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wordWrap/>
        <w:overflowPunct/>
        <w:topLinePunct w:val="0"/>
        <w:bidi w:val="0"/>
        <w:spacing w:line="560" w:lineRule="exact"/>
        <w:jc w:val="center"/>
        <w:outlineLvl w:val="0"/>
        <w:rPr>
          <w:rFonts w:hint="default" w:ascii="Times New Roman" w:hAnsi="Times New Roman" w:eastAsia="方正小标宋简体" w:cs="Times New Roman"/>
          <w:color w:val="000000"/>
          <w:sz w:val="72"/>
          <w:szCs w:val="72"/>
        </w:rPr>
      </w:pPr>
      <w:bookmarkStart w:id="0" w:name="_Toc15306267"/>
    </w:p>
    <w:p>
      <w:pPr>
        <w:pageBreakBefore w:val="0"/>
        <w:kinsoku/>
        <w:wordWrap/>
        <w:overflowPunct/>
        <w:topLinePunct w:val="0"/>
        <w:bidi w:val="0"/>
        <w:adjustRightInd w:val="0"/>
        <w:snapToGrid w:val="0"/>
        <w:spacing w:line="560" w:lineRule="exact"/>
        <w:jc w:val="center"/>
        <w:outlineLvl w:val="0"/>
        <w:rPr>
          <w:rFonts w:hint="default" w:ascii="Times New Roman" w:hAnsi="Times New Roman" w:eastAsia="黑体" w:cs="Times New Roman"/>
          <w:color w:val="000000"/>
          <w:sz w:val="72"/>
          <w:szCs w:val="72"/>
        </w:rPr>
      </w:pPr>
      <w:bookmarkStart w:id="1" w:name="_Toc15396597"/>
      <w:bookmarkStart w:id="2" w:name="_Toc15396475"/>
      <w:bookmarkStart w:id="3" w:name="_Toc15377193"/>
      <w:bookmarkStart w:id="4" w:name="_Toc15378441"/>
      <w:bookmarkStart w:id="5" w:name="_Toc15377425"/>
    </w:p>
    <w:bookmarkEnd w:id="0"/>
    <w:bookmarkEnd w:id="1"/>
    <w:bookmarkEnd w:id="2"/>
    <w:bookmarkEnd w:id="3"/>
    <w:bookmarkEnd w:id="4"/>
    <w:bookmarkEnd w:id="5"/>
    <w:p>
      <w:pPr>
        <w:pageBreakBefore w:val="0"/>
        <w:kinsoku/>
        <w:wordWrap/>
        <w:overflowPunct/>
        <w:topLinePunct w:val="0"/>
        <w:bidi w:val="0"/>
        <w:adjustRightInd w:val="0"/>
        <w:snapToGrid w:val="0"/>
        <w:spacing w:line="560" w:lineRule="exact"/>
        <w:jc w:val="center"/>
        <w:outlineLvl w:val="0"/>
        <w:rPr>
          <w:rFonts w:hint="default" w:ascii="Times New Roman" w:hAnsi="Times New Roman" w:eastAsia="方正小标宋简体" w:cs="Times New Roman"/>
          <w:sz w:val="72"/>
          <w:szCs w:val="72"/>
        </w:rPr>
      </w:pPr>
    </w:p>
    <w:p>
      <w:pPr>
        <w:adjustRightInd w:val="0"/>
        <w:snapToGrid w:val="0"/>
        <w:spacing w:line="360" w:lineRule="auto"/>
        <w:jc w:val="center"/>
        <w:outlineLvl w:val="0"/>
        <w:rPr>
          <w:rFonts w:hint="default" w:ascii="Times New Roman" w:hAnsi="Times New Roman" w:eastAsia="方正小标宋简体" w:cs="Times New Roman"/>
          <w:sz w:val="72"/>
          <w:szCs w:val="72"/>
        </w:rPr>
      </w:pPr>
      <w:bookmarkStart w:id="6" w:name="_Toc15377196"/>
      <w:bookmarkStart w:id="7" w:name="_Toc15396599"/>
    </w:p>
    <w:p>
      <w:pPr>
        <w:adjustRightInd w:val="0"/>
        <w:snapToGrid w:val="0"/>
        <w:spacing w:line="360" w:lineRule="auto"/>
        <w:jc w:val="center"/>
        <w:outlineLvl w:val="0"/>
        <w:rPr>
          <w:rFonts w:hint="default" w:ascii="Times New Roman" w:hAnsi="Times New Roman" w:eastAsia="方正小标宋简体" w:cs="Times New Roman"/>
          <w:sz w:val="72"/>
          <w:szCs w:val="72"/>
        </w:rPr>
      </w:pPr>
    </w:p>
    <w:p>
      <w:pPr>
        <w:adjustRightInd w:val="0"/>
        <w:snapToGrid w:val="0"/>
        <w:spacing w:line="360" w:lineRule="auto"/>
        <w:ind w:firstLine="2880" w:firstLineChars="400"/>
        <w:jc w:val="both"/>
        <w:outlineLvl w:val="0"/>
        <w:rPr>
          <w:rFonts w:hint="default" w:ascii="Times New Roman" w:hAnsi="Times New Roman" w:eastAsia="方正小标宋简体" w:cs="Times New Roman"/>
          <w:sz w:val="72"/>
          <w:szCs w:val="72"/>
        </w:rPr>
      </w:pPr>
      <w:r>
        <w:rPr>
          <w:rFonts w:hint="default" w:ascii="Times New Roman" w:hAnsi="Times New Roman" w:eastAsia="方正小标宋简体" w:cs="Times New Roman"/>
          <w:sz w:val="72"/>
          <w:szCs w:val="72"/>
        </w:rPr>
        <w:t>2022年度</w:t>
      </w:r>
    </w:p>
    <w:p>
      <w:pPr>
        <w:adjustRightInd w:val="0"/>
        <w:snapToGrid w:val="0"/>
        <w:spacing w:line="360" w:lineRule="auto"/>
        <w:jc w:val="center"/>
        <w:outlineLvl w:val="0"/>
        <w:rPr>
          <w:rFonts w:hint="default" w:ascii="Times New Roman" w:hAnsi="Times New Roman" w:eastAsia="方正小标宋简体" w:cs="Times New Roman"/>
          <w:sz w:val="72"/>
          <w:szCs w:val="72"/>
        </w:rPr>
      </w:pPr>
      <w:bookmarkStart w:id="8" w:name="_Toc15377426"/>
      <w:bookmarkStart w:id="9" w:name="_Toc15396598"/>
      <w:bookmarkStart w:id="10" w:name="_Toc15378442"/>
      <w:bookmarkStart w:id="11" w:name="_Toc15306268"/>
      <w:bookmarkStart w:id="12" w:name="_Toc15377194"/>
      <w:bookmarkStart w:id="13" w:name="_Toc15396476"/>
      <w:r>
        <w:rPr>
          <w:rFonts w:hint="default" w:ascii="Times New Roman" w:hAnsi="Times New Roman" w:eastAsia="方正小标宋简体" w:cs="Times New Roman"/>
          <w:sz w:val="72"/>
          <w:szCs w:val="72"/>
          <w:lang w:val="en-US" w:eastAsia="zh-CN"/>
        </w:rPr>
        <w:t xml:space="preserve"> </w:t>
      </w:r>
      <w:r>
        <w:rPr>
          <w:rFonts w:hint="default" w:ascii="Times New Roman" w:hAnsi="Times New Roman" w:eastAsia="方正小标宋简体" w:cs="Times New Roman"/>
          <w:sz w:val="72"/>
          <w:szCs w:val="72"/>
        </w:rPr>
        <w:t>攀枝花市</w:t>
      </w:r>
      <w:r>
        <w:rPr>
          <w:rFonts w:hint="default" w:ascii="Times New Roman" w:hAnsi="Times New Roman" w:eastAsia="方正小标宋简体" w:cs="Times New Roman"/>
          <w:sz w:val="72"/>
          <w:szCs w:val="72"/>
          <w:lang w:eastAsia="zh-CN"/>
        </w:rPr>
        <w:t>仁和区</w:t>
      </w:r>
      <w:r>
        <w:rPr>
          <w:rFonts w:hint="default" w:ascii="Times New Roman" w:hAnsi="Times New Roman" w:eastAsia="方正小标宋简体" w:cs="Times New Roman"/>
          <w:sz w:val="72"/>
          <w:szCs w:val="72"/>
        </w:rPr>
        <w:t>财政局</w:t>
      </w:r>
    </w:p>
    <w:p>
      <w:pPr>
        <w:adjustRightInd w:val="0"/>
        <w:snapToGrid w:val="0"/>
        <w:spacing w:line="360" w:lineRule="auto"/>
        <w:jc w:val="center"/>
        <w:outlineLvl w:val="0"/>
        <w:rPr>
          <w:rFonts w:hint="default" w:ascii="Times New Roman" w:hAnsi="Times New Roman" w:eastAsia="方正小标宋简体" w:cs="Times New Roman"/>
          <w:sz w:val="72"/>
          <w:szCs w:val="72"/>
        </w:rPr>
      </w:pPr>
      <w:r>
        <w:rPr>
          <w:rFonts w:hint="default" w:ascii="Times New Roman" w:hAnsi="Times New Roman" w:eastAsia="方正小标宋简体" w:cs="Times New Roman"/>
          <w:sz w:val="72"/>
          <w:szCs w:val="72"/>
        </w:rPr>
        <w:t>部门决算</w:t>
      </w:r>
      <w:bookmarkEnd w:id="8"/>
      <w:bookmarkEnd w:id="9"/>
      <w:bookmarkEnd w:id="10"/>
      <w:bookmarkEnd w:id="11"/>
      <w:bookmarkEnd w:id="12"/>
      <w:bookmarkEnd w:id="13"/>
    </w:p>
    <w:p>
      <w:pPr>
        <w:pageBreakBefore w:val="0"/>
        <w:widowControl/>
        <w:kinsoku/>
        <w:wordWrap/>
        <w:overflowPunct/>
        <w:topLinePunct w:val="0"/>
        <w:bidi w:val="0"/>
        <w:spacing w:line="560" w:lineRule="exact"/>
        <w:jc w:val="center"/>
        <w:rPr>
          <w:rFonts w:hint="default" w:ascii="Times New Roman" w:hAnsi="Times New Roman" w:eastAsia="黑体" w:cs="Times New Roman"/>
          <w:sz w:val="48"/>
          <w:szCs w:val="48"/>
        </w:rPr>
      </w:pPr>
    </w:p>
    <w:p>
      <w:pPr>
        <w:pageBreakBefore w:val="0"/>
        <w:widowControl/>
        <w:kinsoku/>
        <w:wordWrap/>
        <w:overflowPunct/>
        <w:topLinePunct w:val="0"/>
        <w:bidi w:val="0"/>
        <w:spacing w:line="560" w:lineRule="exact"/>
        <w:jc w:val="center"/>
        <w:rPr>
          <w:rFonts w:hint="default" w:ascii="Times New Roman" w:hAnsi="Times New Roman" w:eastAsia="黑体" w:cs="Times New Roman"/>
          <w:sz w:val="48"/>
          <w:szCs w:val="48"/>
        </w:rPr>
      </w:pPr>
    </w:p>
    <w:p>
      <w:pPr>
        <w:pageBreakBefore w:val="0"/>
        <w:widowControl/>
        <w:kinsoku/>
        <w:wordWrap/>
        <w:overflowPunct/>
        <w:topLinePunct w:val="0"/>
        <w:bidi w:val="0"/>
        <w:spacing w:line="560" w:lineRule="exact"/>
        <w:jc w:val="center"/>
        <w:rPr>
          <w:rFonts w:hint="default" w:ascii="Times New Roman" w:hAnsi="Times New Roman" w:eastAsia="黑体" w:cs="Times New Roman"/>
          <w:sz w:val="48"/>
          <w:szCs w:val="48"/>
        </w:rPr>
      </w:pPr>
    </w:p>
    <w:p>
      <w:pPr>
        <w:pageBreakBefore w:val="0"/>
        <w:widowControl/>
        <w:kinsoku/>
        <w:wordWrap/>
        <w:overflowPunct/>
        <w:topLinePunct w:val="0"/>
        <w:bidi w:val="0"/>
        <w:spacing w:line="560" w:lineRule="exact"/>
        <w:jc w:val="center"/>
        <w:rPr>
          <w:rFonts w:hint="default" w:ascii="Times New Roman" w:hAnsi="Times New Roman" w:eastAsia="黑体" w:cs="Times New Roman"/>
          <w:sz w:val="48"/>
          <w:szCs w:val="48"/>
        </w:rPr>
      </w:pPr>
    </w:p>
    <w:p>
      <w:pPr>
        <w:pageBreakBefore w:val="0"/>
        <w:widowControl/>
        <w:kinsoku/>
        <w:wordWrap/>
        <w:overflowPunct/>
        <w:topLinePunct w:val="0"/>
        <w:bidi w:val="0"/>
        <w:spacing w:line="560" w:lineRule="exact"/>
        <w:jc w:val="center"/>
        <w:rPr>
          <w:rFonts w:hint="default" w:ascii="Times New Roman" w:hAnsi="Times New Roman" w:eastAsia="黑体" w:cs="Times New Roman"/>
          <w:sz w:val="48"/>
          <w:szCs w:val="48"/>
        </w:rPr>
      </w:pPr>
    </w:p>
    <w:p>
      <w:pPr>
        <w:pageBreakBefore w:val="0"/>
        <w:widowControl/>
        <w:kinsoku/>
        <w:wordWrap/>
        <w:overflowPunct/>
        <w:topLinePunct w:val="0"/>
        <w:bidi w:val="0"/>
        <w:spacing w:line="560" w:lineRule="exact"/>
        <w:jc w:val="center"/>
        <w:rPr>
          <w:rFonts w:hint="default" w:ascii="Times New Roman" w:hAnsi="Times New Roman" w:eastAsia="黑体" w:cs="Times New Roman"/>
          <w:sz w:val="48"/>
          <w:szCs w:val="48"/>
        </w:rPr>
      </w:pPr>
    </w:p>
    <w:p>
      <w:pPr>
        <w:pageBreakBefore w:val="0"/>
        <w:widowControl/>
        <w:kinsoku/>
        <w:wordWrap/>
        <w:overflowPunct/>
        <w:topLinePunct w:val="0"/>
        <w:bidi w:val="0"/>
        <w:spacing w:line="560" w:lineRule="exact"/>
        <w:jc w:val="center"/>
        <w:rPr>
          <w:rFonts w:hint="default" w:ascii="Times New Roman" w:hAnsi="Times New Roman" w:eastAsia="黑体" w:cs="Times New Roman"/>
          <w:sz w:val="48"/>
          <w:szCs w:val="48"/>
        </w:rPr>
      </w:pPr>
    </w:p>
    <w:p>
      <w:pPr>
        <w:pageBreakBefore w:val="0"/>
        <w:widowControl/>
        <w:kinsoku/>
        <w:wordWrap/>
        <w:overflowPunct/>
        <w:topLinePunct w:val="0"/>
        <w:bidi w:val="0"/>
        <w:spacing w:line="560" w:lineRule="exact"/>
        <w:jc w:val="center"/>
        <w:rPr>
          <w:rFonts w:hint="default" w:ascii="Times New Roman" w:hAnsi="Times New Roman" w:eastAsia="黑体" w:cs="Times New Roman"/>
          <w:sz w:val="48"/>
          <w:szCs w:val="48"/>
        </w:rPr>
      </w:pPr>
    </w:p>
    <w:p>
      <w:pPr>
        <w:pageBreakBefore w:val="0"/>
        <w:widowControl/>
        <w:kinsoku/>
        <w:wordWrap/>
        <w:overflowPunct/>
        <w:topLinePunct w:val="0"/>
        <w:bidi w:val="0"/>
        <w:spacing w:line="560" w:lineRule="exact"/>
        <w:jc w:val="center"/>
        <w:rPr>
          <w:rFonts w:hint="default" w:ascii="Times New Roman" w:hAnsi="Times New Roman" w:eastAsia="黑体" w:cs="Times New Roman"/>
          <w:sz w:val="48"/>
          <w:szCs w:val="48"/>
        </w:rPr>
      </w:pPr>
    </w:p>
    <w:p>
      <w:pPr>
        <w:pageBreakBefore w:val="0"/>
        <w:widowControl/>
        <w:kinsoku/>
        <w:wordWrap/>
        <w:overflowPunct/>
        <w:topLinePunct w:val="0"/>
        <w:bidi w:val="0"/>
        <w:spacing w:line="560" w:lineRule="exact"/>
        <w:jc w:val="center"/>
        <w:rPr>
          <w:rFonts w:hint="default" w:ascii="Times New Roman" w:hAnsi="Times New Roman" w:eastAsia="黑体" w:cs="Times New Roman"/>
          <w:sz w:val="48"/>
          <w:szCs w:val="48"/>
        </w:rPr>
      </w:pPr>
    </w:p>
    <w:p>
      <w:pPr>
        <w:pageBreakBefore w:val="0"/>
        <w:widowControl/>
        <w:kinsoku/>
        <w:wordWrap/>
        <w:overflowPunct/>
        <w:topLinePunct w:val="0"/>
        <w:bidi w:val="0"/>
        <w:spacing w:line="560" w:lineRule="exact"/>
        <w:ind w:firstLine="3840" w:firstLineChars="800"/>
        <w:jc w:val="both"/>
        <w:rPr>
          <w:rFonts w:hint="default" w:ascii="Times New Roman" w:hAnsi="Times New Roman" w:eastAsia="黑体" w:cs="Times New Roman"/>
          <w:sz w:val="48"/>
          <w:szCs w:val="48"/>
        </w:rPr>
      </w:pPr>
      <w:r>
        <w:rPr>
          <w:rFonts w:hint="default" w:ascii="Times New Roman" w:hAnsi="Times New Roman" w:eastAsia="黑体" w:cs="Times New Roman"/>
          <w:sz w:val="48"/>
          <w:szCs w:val="48"/>
        </w:rPr>
        <w:t>目录</w:t>
      </w:r>
    </w:p>
    <w:p>
      <w:pPr>
        <w:pStyle w:val="2"/>
        <w:pageBreakBefore w:val="0"/>
        <w:kinsoku/>
        <w:wordWrap/>
        <w:overflowPunct/>
        <w:topLinePunct w:val="0"/>
        <w:bidi w:val="0"/>
        <w:spacing w:line="560" w:lineRule="exact"/>
        <w:rPr>
          <w:rFonts w:hint="default" w:ascii="Times New Roman" w:hAnsi="Times New Roman" w:cs="Times New Roman"/>
        </w:rPr>
      </w:pPr>
    </w:p>
    <w:p>
      <w:pPr>
        <w:pStyle w:val="13"/>
        <w:pageBreakBefore w:val="0"/>
        <w:kinsoku/>
        <w:wordWrap/>
        <w:overflowPunct/>
        <w:topLinePunct w:val="0"/>
        <w:bidi w:val="0"/>
        <w:spacing w:line="560" w:lineRule="exact"/>
        <w:rPr>
          <w:rFonts w:hint="default" w:ascii="Times New Roman" w:hAnsi="Times New Roman" w:cs="Times New Roman"/>
        </w:rPr>
      </w:pPr>
      <w:r>
        <w:rPr>
          <w:rFonts w:hint="default" w:ascii="Times New Roman" w:hAnsi="Times New Roman" w:cs="Times New Roman"/>
        </w:rPr>
        <w:t>公开时间：2023年9月</w:t>
      </w:r>
      <w:r>
        <w:rPr>
          <w:rFonts w:hint="default" w:ascii="Times New Roman" w:hAnsi="Times New Roman" w:cs="Times New Roman"/>
          <w:lang w:val="en-US" w:eastAsia="zh-CN"/>
        </w:rPr>
        <w:t xml:space="preserve"> 2</w:t>
      </w:r>
      <w:r>
        <w:rPr>
          <w:rFonts w:hint="eastAsia" w:ascii="Times New Roman" w:hAnsi="Times New Roman" w:cs="Times New Roman"/>
          <w:lang w:val="en-US" w:eastAsia="zh-CN"/>
        </w:rPr>
        <w:t>7</w:t>
      </w:r>
      <w:r>
        <w:rPr>
          <w:rFonts w:hint="default" w:ascii="Times New Roman" w:hAnsi="Times New Roman" w:cs="Times New Roman"/>
        </w:rPr>
        <w:t>日</w:t>
      </w:r>
    </w:p>
    <w:p>
      <w:pPr>
        <w:pageBreakBefore w:val="0"/>
        <w:kinsoku/>
        <w:wordWrap/>
        <w:overflowPunct/>
        <w:topLinePunct w:val="0"/>
        <w:bidi w:val="0"/>
        <w:spacing w:line="560" w:lineRule="exact"/>
        <w:rPr>
          <w:rFonts w:hint="default" w:ascii="Times New Roman" w:hAnsi="Times New Roman" w:cs="Times New Roman"/>
        </w:rPr>
      </w:pPr>
    </w:p>
    <w:p>
      <w:pPr>
        <w:pageBreakBefore w:val="0"/>
        <w:kinsoku/>
        <w:wordWrap/>
        <w:overflowPunct/>
        <w:topLinePunct w:val="0"/>
        <w:bidi w:val="0"/>
        <w:spacing w:line="560" w:lineRule="exact"/>
        <w:rPr>
          <w:rFonts w:hint="default" w:ascii="Times New Roman" w:hAnsi="Times New Roman" w:cs="Times New Roman"/>
        </w:rPr>
      </w:pPr>
    </w:p>
    <w:p>
      <w:pPr>
        <w:pStyle w:val="13"/>
        <w:pageBreakBefore w:val="0"/>
        <w:kinsoku/>
        <w:wordWrap/>
        <w:overflowPunct/>
        <w:topLinePunct w:val="0"/>
        <w:bidi w:val="0"/>
        <w:adjustRightInd w:val="0"/>
        <w:snapToGrid w:val="0"/>
        <w:spacing w:before="0" w:line="560" w:lineRule="exact"/>
        <w:jc w:val="left"/>
        <w:rPr>
          <w:rFonts w:hint="default" w:ascii="Times New Roman" w:hAnsi="Times New Roman" w:cs="Times New Roman"/>
          <w:sz w:val="24"/>
          <w:szCs w:val="24"/>
        </w:rPr>
      </w:pPr>
      <w:r>
        <w:rPr>
          <w:rFonts w:hint="default" w:ascii="Times New Roman" w:hAnsi="Times New Roman" w:cs="Times New Roman"/>
          <w:sz w:val="24"/>
        </w:rPr>
        <w:t>第一部分 部门概况</w:t>
      </w:r>
      <w:r>
        <w:rPr>
          <w:rFonts w:hint="default" w:ascii="Times New Roman" w:hAnsi="Times New Roman" w:cs="Times New Roman"/>
          <w:sz w:val="24"/>
          <w:szCs w:val="24"/>
        </w:rPr>
        <w:tab/>
      </w:r>
      <w:r>
        <w:rPr>
          <w:rFonts w:hint="default" w:ascii="Times New Roman" w:hAnsi="Times New Roman" w:cs="Times New Roman"/>
          <w:sz w:val="24"/>
          <w:szCs w:val="24"/>
        </w:rPr>
        <w:t>4</w:t>
      </w:r>
    </w:p>
    <w:p>
      <w:pPr>
        <w:pStyle w:val="14"/>
        <w:pageBreakBefore w:val="0"/>
        <w:kinsoku/>
        <w:wordWrap/>
        <w:overflowPunct/>
        <w:topLinePunct w:val="0"/>
        <w:bidi w:val="0"/>
        <w:adjustRightInd w:val="0"/>
        <w:snapToGrid w:val="0"/>
        <w:spacing w:line="560" w:lineRule="exact"/>
        <w:jc w:val="left"/>
        <w:rPr>
          <w:rFonts w:hint="default" w:ascii="Times New Roman" w:hAnsi="Times New Roman" w:cs="Times New Roman" w:eastAsiaTheme="majorEastAsia"/>
          <w:sz w:val="24"/>
        </w:rPr>
      </w:pPr>
      <w:r>
        <w:rPr>
          <w:rFonts w:hint="default" w:ascii="Times New Roman" w:hAnsi="Times New Roman" w:cs="Times New Roman" w:eastAsiaTheme="majorEastAsia"/>
          <w:sz w:val="24"/>
        </w:rPr>
        <w:t>一、部门职责</w:t>
      </w:r>
      <w:r>
        <w:rPr>
          <w:rFonts w:hint="default" w:ascii="Times New Roman" w:hAnsi="Times New Roman" w:cs="Times New Roman" w:eastAsiaTheme="majorEastAsia"/>
          <w:sz w:val="24"/>
        </w:rPr>
        <w:tab/>
      </w:r>
      <w:r>
        <w:rPr>
          <w:rFonts w:hint="default" w:ascii="Times New Roman" w:hAnsi="Times New Roman" w:cs="Times New Roman" w:eastAsiaTheme="majorEastAsia"/>
          <w:sz w:val="24"/>
        </w:rPr>
        <w:t>4</w:t>
      </w:r>
    </w:p>
    <w:p>
      <w:pPr>
        <w:pStyle w:val="14"/>
        <w:pageBreakBefore w:val="0"/>
        <w:kinsoku/>
        <w:wordWrap/>
        <w:overflowPunct/>
        <w:topLinePunct w:val="0"/>
        <w:bidi w:val="0"/>
        <w:adjustRightInd w:val="0"/>
        <w:snapToGrid w:val="0"/>
        <w:spacing w:line="560" w:lineRule="exact"/>
        <w:jc w:val="left"/>
        <w:rPr>
          <w:rFonts w:hint="default" w:ascii="Times New Roman" w:hAnsi="Times New Roman" w:cs="Times New Roman" w:eastAsiaTheme="majorEastAsia"/>
          <w:sz w:val="24"/>
          <w:lang w:eastAsia="zh-CN"/>
        </w:rPr>
      </w:pPr>
      <w:r>
        <w:rPr>
          <w:rFonts w:hint="default" w:ascii="Times New Roman" w:hAnsi="Times New Roman" w:cs="Times New Roman" w:eastAsiaTheme="majorEastAsia"/>
          <w:sz w:val="24"/>
        </w:rPr>
        <w:t>二、机构设置</w:t>
      </w:r>
      <w:r>
        <w:rPr>
          <w:rFonts w:hint="default" w:ascii="Times New Roman" w:hAnsi="Times New Roman" w:cs="Times New Roman" w:eastAsiaTheme="majorEastAsia"/>
          <w:sz w:val="24"/>
        </w:rPr>
        <w:tab/>
      </w:r>
      <w:r>
        <w:rPr>
          <w:rFonts w:hint="default" w:ascii="Times New Roman" w:hAnsi="Times New Roman" w:cs="Times New Roman" w:eastAsiaTheme="majorEastAsia"/>
          <w:sz w:val="24"/>
          <w:lang w:val="en-US" w:eastAsia="zh-CN"/>
        </w:rPr>
        <w:t>7</w:t>
      </w:r>
    </w:p>
    <w:p>
      <w:pPr>
        <w:pStyle w:val="13"/>
        <w:pageBreakBefore w:val="0"/>
        <w:kinsoku/>
        <w:wordWrap/>
        <w:overflowPunct/>
        <w:topLinePunct w:val="0"/>
        <w:bidi w:val="0"/>
        <w:adjustRightInd w:val="0"/>
        <w:snapToGrid w:val="0"/>
        <w:spacing w:before="0" w:line="560" w:lineRule="exact"/>
        <w:jc w:val="left"/>
        <w:rPr>
          <w:rFonts w:hint="eastAsia" w:ascii="Times New Roman" w:hAnsi="Times New Roman" w:eastAsia="仿宋" w:cs="Times New Roman"/>
          <w:sz w:val="24"/>
          <w:szCs w:val="24"/>
          <w:lang w:val="en-US" w:eastAsia="zh-CN"/>
        </w:rPr>
      </w:pPr>
      <w:r>
        <w:rPr>
          <w:rFonts w:hint="default" w:ascii="Times New Roman" w:hAnsi="Times New Roman" w:cs="Times New Roman"/>
          <w:sz w:val="24"/>
        </w:rPr>
        <w:t>第二部分 2022年度部门决算情况说明</w:t>
      </w:r>
      <w:r>
        <w:rPr>
          <w:rFonts w:hint="default" w:ascii="Times New Roman" w:hAnsi="Times New Roman" w:cs="Times New Roman"/>
          <w:sz w:val="24"/>
          <w:szCs w:val="24"/>
        </w:rPr>
        <w:tab/>
      </w:r>
      <w:r>
        <w:rPr>
          <w:rFonts w:hint="eastAsia" w:ascii="Times New Roman" w:hAnsi="Times New Roman" w:cs="Times New Roman"/>
          <w:sz w:val="24"/>
          <w:szCs w:val="24"/>
          <w:lang w:val="en-US" w:eastAsia="zh-CN"/>
        </w:rPr>
        <w:t>8</w:t>
      </w:r>
    </w:p>
    <w:p>
      <w:pPr>
        <w:pStyle w:val="14"/>
        <w:pageBreakBefore w:val="0"/>
        <w:kinsoku/>
        <w:wordWrap/>
        <w:overflowPunct/>
        <w:topLinePunct w:val="0"/>
        <w:bidi w:val="0"/>
        <w:adjustRightInd w:val="0"/>
        <w:snapToGrid w:val="0"/>
        <w:spacing w:line="560" w:lineRule="exact"/>
        <w:jc w:val="left"/>
        <w:rPr>
          <w:rFonts w:hint="eastAsia" w:ascii="Times New Roman" w:hAnsi="Times New Roman" w:cs="Times New Roman" w:eastAsiaTheme="majorEastAsia"/>
          <w:sz w:val="24"/>
          <w:lang w:eastAsia="zh-CN"/>
        </w:rPr>
      </w:pPr>
      <w:r>
        <w:rPr>
          <w:rFonts w:hint="default" w:ascii="Times New Roman" w:hAnsi="Times New Roman" w:cs="Times New Roman" w:eastAsiaTheme="majorEastAsia"/>
          <w:sz w:val="24"/>
        </w:rPr>
        <w:t>一、收入支出决算总体情况说明</w:t>
      </w:r>
      <w:r>
        <w:rPr>
          <w:rFonts w:hint="default" w:ascii="Times New Roman" w:hAnsi="Times New Roman" w:cs="Times New Roman" w:eastAsiaTheme="majorEastAsia"/>
          <w:sz w:val="24"/>
        </w:rPr>
        <w:tab/>
      </w:r>
      <w:r>
        <w:rPr>
          <w:rFonts w:hint="eastAsia" w:cs="Times New Roman" w:eastAsiaTheme="majorEastAsia"/>
          <w:sz w:val="24"/>
          <w:lang w:val="en-US" w:eastAsia="zh-CN"/>
        </w:rPr>
        <w:t>8</w:t>
      </w:r>
    </w:p>
    <w:p>
      <w:pPr>
        <w:pStyle w:val="14"/>
        <w:pageBreakBefore w:val="0"/>
        <w:kinsoku/>
        <w:wordWrap/>
        <w:overflowPunct/>
        <w:topLinePunct w:val="0"/>
        <w:bidi w:val="0"/>
        <w:adjustRightInd w:val="0"/>
        <w:snapToGrid w:val="0"/>
        <w:spacing w:line="560" w:lineRule="exact"/>
        <w:jc w:val="left"/>
        <w:rPr>
          <w:rFonts w:hint="default" w:ascii="Times New Roman" w:hAnsi="Times New Roman" w:cs="Times New Roman" w:eastAsiaTheme="majorEastAsia"/>
          <w:sz w:val="24"/>
          <w:lang w:eastAsia="zh-CN"/>
        </w:rPr>
      </w:pPr>
      <w:r>
        <w:rPr>
          <w:rFonts w:hint="default" w:ascii="Times New Roman" w:hAnsi="Times New Roman" w:cs="Times New Roman" w:eastAsiaTheme="majorEastAsia"/>
          <w:sz w:val="24"/>
        </w:rPr>
        <w:t>二、收入决算情况说明</w:t>
      </w:r>
      <w:r>
        <w:rPr>
          <w:rFonts w:hint="default" w:ascii="Times New Roman" w:hAnsi="Times New Roman" w:cs="Times New Roman" w:eastAsiaTheme="majorEastAsia"/>
          <w:sz w:val="24"/>
        </w:rPr>
        <w:tab/>
      </w:r>
      <w:r>
        <w:rPr>
          <w:rFonts w:hint="default" w:ascii="Times New Roman" w:hAnsi="Times New Roman" w:cs="Times New Roman" w:eastAsiaTheme="majorEastAsia"/>
          <w:sz w:val="24"/>
          <w:lang w:val="en-US" w:eastAsia="zh-CN"/>
        </w:rPr>
        <w:t>8</w:t>
      </w:r>
    </w:p>
    <w:p>
      <w:pPr>
        <w:pStyle w:val="14"/>
        <w:pageBreakBefore w:val="0"/>
        <w:kinsoku/>
        <w:wordWrap/>
        <w:overflowPunct/>
        <w:topLinePunct w:val="0"/>
        <w:bidi w:val="0"/>
        <w:adjustRightInd w:val="0"/>
        <w:snapToGrid w:val="0"/>
        <w:spacing w:line="560" w:lineRule="exact"/>
        <w:jc w:val="left"/>
        <w:rPr>
          <w:rFonts w:hint="default" w:ascii="Times New Roman" w:hAnsi="Times New Roman" w:cs="Times New Roman" w:eastAsiaTheme="majorEastAsia"/>
          <w:sz w:val="24"/>
          <w:lang w:val="en-US" w:eastAsia="zh-CN"/>
        </w:rPr>
      </w:pPr>
      <w:r>
        <w:rPr>
          <w:rFonts w:hint="default" w:ascii="Times New Roman" w:hAnsi="Times New Roman" w:cs="Times New Roman" w:eastAsiaTheme="majorEastAsia"/>
          <w:sz w:val="24"/>
        </w:rPr>
        <w:t>三、支出决算情况说明</w:t>
      </w:r>
      <w:r>
        <w:rPr>
          <w:rFonts w:hint="default" w:ascii="Times New Roman" w:hAnsi="Times New Roman" w:cs="Times New Roman" w:eastAsiaTheme="majorEastAsia"/>
          <w:sz w:val="24"/>
        </w:rPr>
        <w:tab/>
      </w:r>
      <w:r>
        <w:rPr>
          <w:rFonts w:hint="eastAsia" w:cs="Times New Roman" w:eastAsiaTheme="majorEastAsia"/>
          <w:sz w:val="24"/>
          <w:lang w:val="en-US" w:eastAsia="zh-CN"/>
        </w:rPr>
        <w:t>9</w:t>
      </w:r>
    </w:p>
    <w:p>
      <w:pPr>
        <w:pStyle w:val="14"/>
        <w:pageBreakBefore w:val="0"/>
        <w:kinsoku/>
        <w:wordWrap/>
        <w:overflowPunct/>
        <w:topLinePunct w:val="0"/>
        <w:bidi w:val="0"/>
        <w:adjustRightInd w:val="0"/>
        <w:snapToGrid w:val="0"/>
        <w:spacing w:line="560" w:lineRule="exact"/>
        <w:jc w:val="left"/>
        <w:rPr>
          <w:rFonts w:hint="default" w:ascii="Times New Roman" w:hAnsi="Times New Roman" w:cs="Times New Roman" w:eastAsiaTheme="majorEastAsia"/>
          <w:sz w:val="24"/>
          <w:lang w:eastAsia="zh-CN"/>
        </w:rPr>
      </w:pPr>
      <w:r>
        <w:rPr>
          <w:rFonts w:hint="default" w:ascii="Times New Roman" w:hAnsi="Times New Roman" w:cs="Times New Roman" w:eastAsiaTheme="majorEastAsia"/>
          <w:sz w:val="24"/>
        </w:rPr>
        <w:t>四、财政拨款收入支出决算总体情况说明</w:t>
      </w:r>
      <w:r>
        <w:rPr>
          <w:rFonts w:hint="default" w:ascii="Times New Roman" w:hAnsi="Times New Roman" w:cs="Times New Roman" w:eastAsiaTheme="majorEastAsia"/>
          <w:sz w:val="24"/>
        </w:rPr>
        <w:tab/>
      </w:r>
      <w:r>
        <w:rPr>
          <w:rFonts w:hint="eastAsia" w:cs="Times New Roman" w:eastAsiaTheme="majorEastAsia"/>
          <w:sz w:val="24"/>
          <w:lang w:val="en-US" w:eastAsia="zh-CN"/>
        </w:rPr>
        <w:t>9</w:t>
      </w:r>
    </w:p>
    <w:p>
      <w:pPr>
        <w:pStyle w:val="14"/>
        <w:pageBreakBefore w:val="0"/>
        <w:kinsoku/>
        <w:wordWrap/>
        <w:overflowPunct/>
        <w:topLinePunct w:val="0"/>
        <w:bidi w:val="0"/>
        <w:adjustRightInd w:val="0"/>
        <w:snapToGrid w:val="0"/>
        <w:spacing w:line="560" w:lineRule="exact"/>
        <w:jc w:val="left"/>
        <w:rPr>
          <w:rFonts w:hint="eastAsia" w:cs="Times New Roman" w:eastAsiaTheme="majorEastAsia"/>
          <w:sz w:val="24"/>
          <w:lang w:val="en-US" w:eastAsia="zh-CN"/>
        </w:rPr>
      </w:pPr>
      <w:r>
        <w:rPr>
          <w:rFonts w:hint="default" w:ascii="Times New Roman" w:hAnsi="Times New Roman" w:cs="Times New Roman" w:eastAsiaTheme="majorEastAsia"/>
          <w:sz w:val="24"/>
        </w:rPr>
        <w:t>五、一般公共预算财政拨款支出决算情况说明</w:t>
      </w:r>
      <w:r>
        <w:rPr>
          <w:rFonts w:hint="default" w:ascii="Times New Roman" w:hAnsi="Times New Roman" w:cs="Times New Roman" w:eastAsiaTheme="majorEastAsia"/>
          <w:sz w:val="24"/>
        </w:rPr>
        <w:tab/>
      </w:r>
      <w:r>
        <w:rPr>
          <w:rFonts w:hint="eastAsia" w:cs="Times New Roman" w:eastAsiaTheme="majorEastAsia"/>
          <w:sz w:val="24"/>
          <w:lang w:val="en-US" w:eastAsia="zh-CN"/>
        </w:rPr>
        <w:t>10</w:t>
      </w:r>
    </w:p>
    <w:p>
      <w:pPr>
        <w:pStyle w:val="14"/>
        <w:pageBreakBefore w:val="0"/>
        <w:kinsoku/>
        <w:wordWrap/>
        <w:overflowPunct/>
        <w:topLinePunct w:val="0"/>
        <w:bidi w:val="0"/>
        <w:adjustRightInd w:val="0"/>
        <w:snapToGrid w:val="0"/>
        <w:spacing w:line="560" w:lineRule="exact"/>
        <w:jc w:val="left"/>
        <w:rPr>
          <w:rFonts w:hint="default" w:ascii="Times New Roman" w:hAnsi="Times New Roman" w:cs="Times New Roman" w:eastAsiaTheme="majorEastAsia"/>
          <w:sz w:val="24"/>
          <w:lang w:eastAsia="zh-CN"/>
        </w:rPr>
      </w:pPr>
      <w:r>
        <w:rPr>
          <w:rFonts w:hint="default" w:ascii="Times New Roman" w:hAnsi="Times New Roman" w:cs="Times New Roman" w:eastAsiaTheme="majorEastAsia"/>
          <w:sz w:val="24"/>
        </w:rPr>
        <w:t>六、一般公共预算财政拨款基本支出决算情况说明</w:t>
      </w:r>
      <w:r>
        <w:rPr>
          <w:rFonts w:hint="default" w:ascii="Times New Roman" w:hAnsi="Times New Roman" w:cs="Times New Roman" w:eastAsiaTheme="majorEastAsia"/>
          <w:sz w:val="24"/>
        </w:rPr>
        <w:tab/>
      </w:r>
      <w:r>
        <w:rPr>
          <w:rFonts w:hint="default" w:ascii="Times New Roman" w:hAnsi="Times New Roman" w:cs="Times New Roman" w:eastAsiaTheme="majorEastAsia"/>
          <w:sz w:val="24"/>
        </w:rPr>
        <w:t>1</w:t>
      </w:r>
      <w:r>
        <w:rPr>
          <w:rFonts w:hint="eastAsia" w:cs="Times New Roman" w:eastAsiaTheme="majorEastAsia"/>
          <w:sz w:val="24"/>
          <w:lang w:val="en-US" w:eastAsia="zh-CN"/>
        </w:rPr>
        <w:t>2</w:t>
      </w:r>
    </w:p>
    <w:p>
      <w:pPr>
        <w:pStyle w:val="14"/>
        <w:pageBreakBefore w:val="0"/>
        <w:kinsoku/>
        <w:wordWrap/>
        <w:overflowPunct/>
        <w:topLinePunct w:val="0"/>
        <w:bidi w:val="0"/>
        <w:adjustRightInd w:val="0"/>
        <w:snapToGrid w:val="0"/>
        <w:spacing w:line="560" w:lineRule="exact"/>
        <w:jc w:val="left"/>
        <w:rPr>
          <w:rFonts w:hint="default" w:ascii="Times New Roman" w:hAnsi="Times New Roman" w:cs="Times New Roman" w:eastAsiaTheme="majorEastAsia"/>
          <w:sz w:val="24"/>
          <w:lang w:eastAsia="zh-CN"/>
        </w:rPr>
      </w:pPr>
      <w:r>
        <w:rPr>
          <w:rFonts w:hint="default" w:ascii="Times New Roman" w:hAnsi="Times New Roman" w:cs="Times New Roman" w:eastAsiaTheme="majorEastAsia"/>
          <w:sz w:val="24"/>
        </w:rPr>
        <w:t>七、财政拨款“三公”经费支出决算情况说明</w:t>
      </w:r>
      <w:r>
        <w:rPr>
          <w:rFonts w:hint="default" w:ascii="Times New Roman" w:hAnsi="Times New Roman" w:cs="Times New Roman" w:eastAsiaTheme="majorEastAsia"/>
          <w:sz w:val="24"/>
        </w:rPr>
        <w:tab/>
      </w:r>
      <w:r>
        <w:rPr>
          <w:rFonts w:hint="default" w:ascii="Times New Roman" w:hAnsi="Times New Roman" w:cs="Times New Roman" w:eastAsiaTheme="majorEastAsia"/>
          <w:sz w:val="24"/>
        </w:rPr>
        <w:t>1</w:t>
      </w:r>
      <w:r>
        <w:rPr>
          <w:rFonts w:hint="eastAsia" w:cs="Times New Roman" w:eastAsiaTheme="majorEastAsia"/>
          <w:sz w:val="24"/>
          <w:lang w:val="en-US" w:eastAsia="zh-CN"/>
        </w:rPr>
        <w:t>3</w:t>
      </w:r>
    </w:p>
    <w:p>
      <w:pPr>
        <w:pStyle w:val="14"/>
        <w:pageBreakBefore w:val="0"/>
        <w:kinsoku/>
        <w:wordWrap/>
        <w:overflowPunct/>
        <w:topLinePunct w:val="0"/>
        <w:bidi w:val="0"/>
        <w:adjustRightInd w:val="0"/>
        <w:snapToGrid w:val="0"/>
        <w:spacing w:line="560" w:lineRule="exact"/>
        <w:jc w:val="left"/>
        <w:rPr>
          <w:rFonts w:hint="default" w:ascii="Times New Roman" w:hAnsi="Times New Roman" w:cs="Times New Roman" w:eastAsiaTheme="majorEastAsia"/>
          <w:sz w:val="24"/>
          <w:lang w:eastAsia="zh-CN"/>
        </w:rPr>
      </w:pPr>
      <w:r>
        <w:rPr>
          <w:rFonts w:hint="default" w:ascii="Times New Roman" w:hAnsi="Times New Roman" w:cs="Times New Roman" w:eastAsiaTheme="majorEastAsia"/>
          <w:sz w:val="24"/>
        </w:rPr>
        <w:t>八、政府性基金预算支出决算情况说明</w:t>
      </w:r>
      <w:r>
        <w:rPr>
          <w:rFonts w:hint="default" w:ascii="Times New Roman" w:hAnsi="Times New Roman" w:cs="Times New Roman" w:eastAsiaTheme="majorEastAsia"/>
          <w:sz w:val="24"/>
        </w:rPr>
        <w:tab/>
      </w:r>
      <w:r>
        <w:rPr>
          <w:rFonts w:hint="default" w:ascii="Times New Roman" w:hAnsi="Times New Roman" w:cs="Times New Roman" w:eastAsiaTheme="majorEastAsia"/>
          <w:sz w:val="24"/>
        </w:rPr>
        <w:t>1</w:t>
      </w:r>
      <w:r>
        <w:rPr>
          <w:rFonts w:hint="eastAsia" w:cs="Times New Roman" w:eastAsiaTheme="majorEastAsia"/>
          <w:sz w:val="24"/>
          <w:lang w:val="en-US" w:eastAsia="zh-CN"/>
        </w:rPr>
        <w:t>5</w:t>
      </w:r>
    </w:p>
    <w:p>
      <w:pPr>
        <w:pStyle w:val="14"/>
        <w:pageBreakBefore w:val="0"/>
        <w:kinsoku/>
        <w:wordWrap/>
        <w:overflowPunct/>
        <w:topLinePunct w:val="0"/>
        <w:bidi w:val="0"/>
        <w:adjustRightInd w:val="0"/>
        <w:snapToGrid w:val="0"/>
        <w:spacing w:line="560" w:lineRule="exact"/>
        <w:ind w:leftChars="0"/>
        <w:jc w:val="left"/>
        <w:rPr>
          <w:rFonts w:hint="default" w:ascii="Times New Roman" w:hAnsi="Times New Roman" w:cs="Times New Roman" w:eastAsiaTheme="majorEastAsia"/>
          <w:sz w:val="24"/>
          <w:lang w:val="en-US" w:eastAsia="zh-CN"/>
        </w:rPr>
      </w:pPr>
      <w:r>
        <w:rPr>
          <w:rFonts w:hint="default" w:ascii="Times New Roman" w:hAnsi="Times New Roman" w:cs="Times New Roman" w:eastAsiaTheme="majorEastAsia"/>
          <w:sz w:val="24"/>
        </w:rPr>
        <w:t>九、国有资本经营预算支出决算情况说明</w:t>
      </w:r>
      <w:r>
        <w:rPr>
          <w:rFonts w:hint="default" w:ascii="Times New Roman" w:hAnsi="Times New Roman" w:cs="Times New Roman" w:eastAsiaTheme="majorEastAsia"/>
          <w:sz w:val="24"/>
        </w:rPr>
        <w:tab/>
      </w:r>
      <w:r>
        <w:rPr>
          <w:rFonts w:hint="default" w:ascii="Times New Roman" w:hAnsi="Times New Roman" w:cs="Times New Roman" w:eastAsiaTheme="majorEastAsia"/>
          <w:sz w:val="24"/>
        </w:rPr>
        <w:t>1</w:t>
      </w:r>
      <w:r>
        <w:rPr>
          <w:rFonts w:hint="eastAsia" w:cs="Times New Roman" w:eastAsiaTheme="majorEastAsia"/>
          <w:sz w:val="24"/>
          <w:lang w:val="en-US" w:eastAsia="zh-CN"/>
        </w:rPr>
        <w:t>5</w:t>
      </w:r>
    </w:p>
    <w:p>
      <w:pPr>
        <w:pStyle w:val="14"/>
        <w:pageBreakBefore w:val="0"/>
        <w:kinsoku/>
        <w:wordWrap/>
        <w:overflowPunct/>
        <w:topLinePunct w:val="0"/>
        <w:bidi w:val="0"/>
        <w:adjustRightInd w:val="0"/>
        <w:snapToGrid w:val="0"/>
        <w:spacing w:line="560" w:lineRule="exact"/>
        <w:jc w:val="left"/>
        <w:rPr>
          <w:rFonts w:hint="default" w:ascii="Times New Roman" w:hAnsi="Times New Roman" w:cs="Times New Roman" w:eastAsiaTheme="majorEastAsia"/>
          <w:sz w:val="24"/>
          <w:lang w:val="en-US" w:eastAsia="zh-CN"/>
        </w:rPr>
      </w:pPr>
      <w:r>
        <w:rPr>
          <w:rFonts w:hint="default" w:ascii="Times New Roman" w:hAnsi="Times New Roman" w:cs="Times New Roman" w:eastAsiaTheme="majorEastAsia"/>
          <w:sz w:val="24"/>
        </w:rPr>
        <w:t>十、其他重要事项的情况说明</w:t>
      </w:r>
      <w:r>
        <w:rPr>
          <w:rFonts w:hint="default" w:ascii="Times New Roman" w:hAnsi="Times New Roman" w:cs="Times New Roman" w:eastAsiaTheme="majorEastAsia"/>
          <w:sz w:val="24"/>
        </w:rPr>
        <w:tab/>
      </w:r>
      <w:r>
        <w:rPr>
          <w:rFonts w:hint="default" w:ascii="Times New Roman" w:hAnsi="Times New Roman" w:cs="Times New Roman" w:eastAsiaTheme="majorEastAsia"/>
          <w:sz w:val="24"/>
        </w:rPr>
        <w:t>1</w:t>
      </w:r>
      <w:r>
        <w:rPr>
          <w:rFonts w:hint="eastAsia" w:cs="Times New Roman" w:eastAsiaTheme="majorEastAsia"/>
          <w:sz w:val="24"/>
          <w:lang w:val="en-US" w:eastAsia="zh-CN"/>
        </w:rPr>
        <w:t>5</w:t>
      </w:r>
    </w:p>
    <w:p>
      <w:pPr>
        <w:pStyle w:val="13"/>
        <w:pageBreakBefore w:val="0"/>
        <w:kinsoku/>
        <w:wordWrap/>
        <w:overflowPunct/>
        <w:topLinePunct w:val="0"/>
        <w:bidi w:val="0"/>
        <w:adjustRightInd w:val="0"/>
        <w:snapToGrid w:val="0"/>
        <w:spacing w:before="0" w:line="560" w:lineRule="exact"/>
        <w:jc w:val="left"/>
        <w:rPr>
          <w:rFonts w:hint="default" w:ascii="Times New Roman" w:hAnsi="Times New Roman" w:eastAsia="仿宋" w:cs="Times New Roman"/>
          <w:sz w:val="24"/>
          <w:szCs w:val="24"/>
          <w:lang w:eastAsia="zh-CN"/>
        </w:rPr>
      </w:pPr>
      <w:r>
        <w:rPr>
          <w:rFonts w:hint="default" w:ascii="Times New Roman" w:hAnsi="Times New Roman" w:cs="Times New Roman"/>
          <w:sz w:val="24"/>
        </w:rPr>
        <w:t>第三部分 名词解释</w:t>
      </w:r>
      <w:r>
        <w:rPr>
          <w:rFonts w:hint="default" w:ascii="Times New Roman" w:hAnsi="Times New Roman" w:cs="Times New Roman"/>
          <w:sz w:val="24"/>
          <w:szCs w:val="24"/>
        </w:rPr>
        <w:tab/>
      </w: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7</w:t>
      </w:r>
    </w:p>
    <w:p>
      <w:pPr>
        <w:pStyle w:val="13"/>
        <w:pageBreakBefore w:val="0"/>
        <w:kinsoku/>
        <w:wordWrap/>
        <w:overflowPunct/>
        <w:topLinePunct w:val="0"/>
        <w:bidi w:val="0"/>
        <w:adjustRightInd w:val="0"/>
        <w:snapToGrid w:val="0"/>
        <w:spacing w:before="0" w:line="560" w:lineRule="exact"/>
        <w:jc w:val="left"/>
        <w:rPr>
          <w:rFonts w:hint="eastAsia" w:ascii="Times New Roman" w:hAnsi="Times New Roman" w:cs="Times New Roman"/>
          <w:sz w:val="24"/>
          <w:szCs w:val="24"/>
          <w:lang w:val="en-US" w:eastAsia="zh-CN"/>
        </w:rPr>
      </w:pPr>
      <w:r>
        <w:rPr>
          <w:rFonts w:hint="default" w:ascii="Times New Roman" w:hAnsi="Times New Roman" w:cs="Times New Roman"/>
          <w:sz w:val="24"/>
        </w:rPr>
        <w:t>第四部分 附件</w:t>
      </w:r>
      <w:r>
        <w:rPr>
          <w:rFonts w:hint="default" w:ascii="Times New Roman" w:hAnsi="Times New Roman" w:cs="Times New Roman"/>
          <w:sz w:val="24"/>
          <w:szCs w:val="24"/>
        </w:rPr>
        <w:tab/>
      </w: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1</w:t>
      </w:r>
    </w:p>
    <w:p>
      <w:pPr>
        <w:pStyle w:val="13"/>
        <w:pageBreakBefore w:val="0"/>
        <w:kinsoku/>
        <w:wordWrap/>
        <w:overflowPunct/>
        <w:topLinePunct w:val="0"/>
        <w:bidi w:val="0"/>
        <w:adjustRightInd w:val="0"/>
        <w:snapToGrid w:val="0"/>
        <w:spacing w:before="0" w:line="560" w:lineRule="exact"/>
        <w:jc w:val="left"/>
        <w:rPr>
          <w:rFonts w:hint="default" w:ascii="Times New Roman" w:hAnsi="Times New Roman" w:eastAsia="仿宋" w:cs="Times New Roman"/>
          <w:color w:val="0000FF"/>
          <w:sz w:val="24"/>
          <w:szCs w:val="24"/>
          <w:lang w:val="en-US" w:eastAsia="zh-CN"/>
        </w:rPr>
      </w:pPr>
      <w:r>
        <w:rPr>
          <w:rFonts w:hint="default" w:ascii="Times New Roman" w:hAnsi="Times New Roman" w:cs="Times New Roman"/>
          <w:sz w:val="24"/>
        </w:rPr>
        <w:t>第五部分 附表</w:t>
      </w:r>
      <w:r>
        <w:rPr>
          <w:rFonts w:hint="default" w:ascii="Times New Roman" w:hAnsi="Times New Roman" w:cs="Times New Roman"/>
          <w:sz w:val="24"/>
          <w:szCs w:val="24"/>
        </w:rPr>
        <w:tab/>
      </w:r>
      <w:r>
        <w:rPr>
          <w:rFonts w:hint="default" w:ascii="Times New Roman" w:hAnsi="Times New Roman" w:cs="Times New Roman"/>
          <w:color w:val="000000" w:themeColor="text1"/>
          <w:sz w:val="24"/>
          <w:szCs w:val="24"/>
          <w:lang w:val="en-US" w:eastAsia="zh-CN"/>
        </w:rPr>
        <w:t>4</w:t>
      </w:r>
      <w:r>
        <w:rPr>
          <w:rFonts w:hint="eastAsia" w:ascii="Times New Roman" w:hAnsi="Times New Roman" w:cs="Times New Roman"/>
          <w:color w:val="000000" w:themeColor="text1"/>
          <w:sz w:val="24"/>
          <w:szCs w:val="24"/>
          <w:lang w:val="en-US" w:eastAsia="zh-CN"/>
        </w:rPr>
        <w:t>2</w:t>
      </w:r>
    </w:p>
    <w:p>
      <w:pPr>
        <w:pStyle w:val="14"/>
        <w:pageBreakBefore w:val="0"/>
        <w:kinsoku/>
        <w:wordWrap/>
        <w:overflowPunct/>
        <w:topLinePunct w:val="0"/>
        <w:bidi w:val="0"/>
        <w:adjustRightInd w:val="0"/>
        <w:snapToGrid w:val="0"/>
        <w:spacing w:line="560" w:lineRule="exact"/>
        <w:jc w:val="left"/>
        <w:rPr>
          <w:rFonts w:hint="default" w:ascii="Times New Roman" w:hAnsi="Times New Roman" w:cs="Times New Roman" w:eastAsiaTheme="majorEastAsia"/>
          <w:sz w:val="24"/>
          <w:lang w:val="en-US" w:eastAsia="zh-CN"/>
        </w:rPr>
      </w:pPr>
      <w:r>
        <w:rPr>
          <w:rFonts w:hint="default" w:ascii="Times New Roman" w:hAnsi="Times New Roman" w:cs="Times New Roman"/>
          <w:sz w:val="24"/>
        </w:rPr>
        <w:t>一、收入支出决算总表</w:t>
      </w:r>
      <w:r>
        <w:rPr>
          <w:rFonts w:hint="default" w:ascii="Times New Roman" w:hAnsi="Times New Roman" w:cs="Times New Roman" w:eastAsiaTheme="majorEastAsia"/>
          <w:sz w:val="24"/>
        </w:rPr>
        <w:tab/>
      </w:r>
      <w:r>
        <w:rPr>
          <w:rFonts w:hint="default" w:ascii="Times New Roman" w:hAnsi="Times New Roman" w:cs="Times New Roman" w:eastAsiaTheme="majorEastAsia"/>
          <w:sz w:val="24"/>
          <w:lang w:val="en-US" w:eastAsia="zh-CN"/>
        </w:rPr>
        <w:t>4</w:t>
      </w:r>
      <w:r>
        <w:rPr>
          <w:rFonts w:hint="eastAsia" w:cs="Times New Roman" w:eastAsiaTheme="majorEastAsia"/>
          <w:sz w:val="24"/>
          <w:lang w:val="en-US" w:eastAsia="zh-CN"/>
        </w:rPr>
        <w:t>2</w:t>
      </w:r>
    </w:p>
    <w:p>
      <w:pPr>
        <w:pStyle w:val="14"/>
        <w:pageBreakBefore w:val="0"/>
        <w:kinsoku/>
        <w:wordWrap/>
        <w:overflowPunct/>
        <w:topLinePunct w:val="0"/>
        <w:bidi w:val="0"/>
        <w:adjustRightInd w:val="0"/>
        <w:snapToGrid w:val="0"/>
        <w:spacing w:line="560" w:lineRule="exact"/>
        <w:jc w:val="left"/>
        <w:rPr>
          <w:rFonts w:hint="default" w:ascii="Times New Roman" w:hAnsi="Times New Roman" w:cs="Times New Roman" w:eastAsiaTheme="majorEastAsia"/>
          <w:sz w:val="24"/>
          <w:lang w:val="en-US" w:eastAsia="zh-CN"/>
        </w:rPr>
      </w:pPr>
      <w:r>
        <w:rPr>
          <w:rFonts w:hint="default" w:ascii="Times New Roman" w:hAnsi="Times New Roman" w:cs="Times New Roman"/>
          <w:sz w:val="24"/>
        </w:rPr>
        <w:t>二、收入决算表</w:t>
      </w:r>
      <w:r>
        <w:rPr>
          <w:rFonts w:hint="default" w:ascii="Times New Roman" w:hAnsi="Times New Roman" w:cs="Times New Roman" w:eastAsiaTheme="majorEastAsia"/>
          <w:sz w:val="24"/>
        </w:rPr>
        <w:tab/>
      </w:r>
      <w:r>
        <w:rPr>
          <w:rFonts w:hint="default" w:ascii="Times New Roman" w:hAnsi="Times New Roman" w:cs="Times New Roman" w:eastAsiaTheme="majorEastAsia"/>
          <w:sz w:val="24"/>
          <w:lang w:val="en-US" w:eastAsia="zh-CN"/>
        </w:rPr>
        <w:t>4</w:t>
      </w:r>
      <w:r>
        <w:rPr>
          <w:rFonts w:hint="eastAsia" w:cs="Times New Roman" w:eastAsiaTheme="majorEastAsia"/>
          <w:sz w:val="24"/>
          <w:lang w:val="en-US" w:eastAsia="zh-CN"/>
        </w:rPr>
        <w:t>2</w:t>
      </w:r>
    </w:p>
    <w:p>
      <w:pPr>
        <w:pStyle w:val="14"/>
        <w:pageBreakBefore w:val="0"/>
        <w:kinsoku/>
        <w:wordWrap/>
        <w:overflowPunct/>
        <w:topLinePunct w:val="0"/>
        <w:bidi w:val="0"/>
        <w:adjustRightInd w:val="0"/>
        <w:snapToGrid w:val="0"/>
        <w:spacing w:line="560" w:lineRule="exact"/>
        <w:jc w:val="left"/>
        <w:rPr>
          <w:rFonts w:hint="default" w:ascii="Times New Roman" w:hAnsi="Times New Roman" w:cs="Times New Roman" w:eastAsiaTheme="majorEastAsia"/>
          <w:sz w:val="24"/>
          <w:lang w:val="en-US" w:eastAsia="zh-CN"/>
        </w:rPr>
      </w:pPr>
      <w:r>
        <w:rPr>
          <w:rFonts w:hint="default" w:ascii="Times New Roman" w:hAnsi="Times New Roman" w:cs="Times New Roman"/>
          <w:sz w:val="24"/>
        </w:rPr>
        <w:t>三、支出决算表</w:t>
      </w:r>
      <w:r>
        <w:rPr>
          <w:rFonts w:hint="default" w:ascii="Times New Roman" w:hAnsi="Times New Roman" w:cs="Times New Roman" w:eastAsiaTheme="majorEastAsia"/>
          <w:sz w:val="24"/>
        </w:rPr>
        <w:tab/>
      </w:r>
      <w:r>
        <w:rPr>
          <w:rFonts w:hint="default" w:ascii="Times New Roman" w:hAnsi="Times New Roman" w:cs="Times New Roman" w:eastAsiaTheme="majorEastAsia"/>
          <w:sz w:val="24"/>
          <w:lang w:val="en-US" w:eastAsia="zh-CN"/>
        </w:rPr>
        <w:t>4</w:t>
      </w:r>
      <w:r>
        <w:rPr>
          <w:rFonts w:hint="eastAsia" w:cs="Times New Roman" w:eastAsiaTheme="majorEastAsia"/>
          <w:sz w:val="24"/>
          <w:lang w:val="en-US" w:eastAsia="zh-CN"/>
        </w:rPr>
        <w:t>2</w:t>
      </w:r>
    </w:p>
    <w:p>
      <w:pPr>
        <w:pStyle w:val="14"/>
        <w:pageBreakBefore w:val="0"/>
        <w:kinsoku/>
        <w:wordWrap/>
        <w:overflowPunct/>
        <w:topLinePunct w:val="0"/>
        <w:bidi w:val="0"/>
        <w:adjustRightInd w:val="0"/>
        <w:snapToGrid w:val="0"/>
        <w:spacing w:line="560" w:lineRule="exact"/>
        <w:jc w:val="left"/>
        <w:rPr>
          <w:rFonts w:hint="default" w:ascii="Times New Roman" w:hAnsi="Times New Roman" w:cs="Times New Roman" w:eastAsiaTheme="majorEastAsia"/>
          <w:sz w:val="24"/>
          <w:lang w:val="en-US" w:eastAsia="zh-CN"/>
        </w:rPr>
      </w:pPr>
      <w:r>
        <w:rPr>
          <w:rFonts w:hint="default" w:ascii="Times New Roman" w:hAnsi="Times New Roman" w:cs="Times New Roman"/>
          <w:sz w:val="24"/>
        </w:rPr>
        <w:t>四、财政拨款收入支出决算总表</w:t>
      </w:r>
      <w:r>
        <w:rPr>
          <w:rFonts w:hint="default" w:ascii="Times New Roman" w:hAnsi="Times New Roman" w:cs="Times New Roman" w:eastAsiaTheme="majorEastAsia"/>
          <w:sz w:val="24"/>
        </w:rPr>
        <w:tab/>
      </w:r>
      <w:r>
        <w:rPr>
          <w:rFonts w:hint="default" w:ascii="Times New Roman" w:hAnsi="Times New Roman" w:cs="Times New Roman" w:eastAsiaTheme="majorEastAsia"/>
          <w:sz w:val="24"/>
          <w:lang w:val="en-US" w:eastAsia="zh-CN"/>
        </w:rPr>
        <w:t>4</w:t>
      </w:r>
      <w:r>
        <w:rPr>
          <w:rFonts w:hint="eastAsia" w:cs="Times New Roman" w:eastAsiaTheme="majorEastAsia"/>
          <w:sz w:val="24"/>
          <w:lang w:val="en-US" w:eastAsia="zh-CN"/>
        </w:rPr>
        <w:t>2</w:t>
      </w:r>
    </w:p>
    <w:p>
      <w:pPr>
        <w:pStyle w:val="14"/>
        <w:pageBreakBefore w:val="0"/>
        <w:kinsoku/>
        <w:wordWrap/>
        <w:overflowPunct/>
        <w:topLinePunct w:val="0"/>
        <w:bidi w:val="0"/>
        <w:adjustRightInd w:val="0"/>
        <w:snapToGrid w:val="0"/>
        <w:spacing w:line="560" w:lineRule="exact"/>
        <w:jc w:val="left"/>
        <w:rPr>
          <w:rFonts w:hint="eastAsia" w:cs="Times New Roman" w:eastAsiaTheme="majorEastAsia"/>
          <w:sz w:val="24"/>
          <w:lang w:val="en-US" w:eastAsia="zh-CN"/>
        </w:rPr>
      </w:pPr>
      <w:r>
        <w:rPr>
          <w:rFonts w:hint="default" w:ascii="Times New Roman" w:hAnsi="Times New Roman" w:cs="Times New Roman"/>
          <w:sz w:val="24"/>
        </w:rPr>
        <w:t>五、财政拨款支出决算明细表</w:t>
      </w:r>
      <w:r>
        <w:rPr>
          <w:rFonts w:hint="default" w:ascii="Times New Roman" w:hAnsi="Times New Roman" w:cs="Times New Roman" w:eastAsiaTheme="majorEastAsia"/>
          <w:sz w:val="24"/>
        </w:rPr>
        <w:tab/>
      </w:r>
      <w:r>
        <w:rPr>
          <w:rFonts w:hint="default" w:ascii="Times New Roman" w:hAnsi="Times New Roman" w:cs="Times New Roman" w:eastAsiaTheme="majorEastAsia"/>
          <w:sz w:val="24"/>
          <w:lang w:val="en-US" w:eastAsia="zh-CN"/>
        </w:rPr>
        <w:t>4</w:t>
      </w:r>
      <w:r>
        <w:rPr>
          <w:rFonts w:hint="eastAsia" w:cs="Times New Roman" w:eastAsiaTheme="majorEastAsia"/>
          <w:sz w:val="24"/>
          <w:lang w:val="en-US" w:eastAsia="zh-CN"/>
        </w:rPr>
        <w:t>2</w:t>
      </w:r>
    </w:p>
    <w:p>
      <w:pPr>
        <w:pStyle w:val="14"/>
        <w:pageBreakBefore w:val="0"/>
        <w:kinsoku/>
        <w:wordWrap/>
        <w:overflowPunct/>
        <w:topLinePunct w:val="0"/>
        <w:bidi w:val="0"/>
        <w:adjustRightInd w:val="0"/>
        <w:snapToGrid w:val="0"/>
        <w:spacing w:line="560" w:lineRule="exact"/>
        <w:jc w:val="left"/>
        <w:rPr>
          <w:rFonts w:hint="eastAsia" w:cs="Times New Roman" w:eastAsiaTheme="majorEastAsia"/>
          <w:sz w:val="24"/>
          <w:lang w:val="en-US" w:eastAsia="zh-CN"/>
        </w:rPr>
      </w:pPr>
      <w:r>
        <w:rPr>
          <w:rFonts w:hint="default" w:ascii="Times New Roman" w:hAnsi="Times New Roman" w:cs="Times New Roman"/>
          <w:sz w:val="24"/>
        </w:rPr>
        <w:t>六、一般公共预算财政拨款支出决算表</w:t>
      </w:r>
      <w:r>
        <w:rPr>
          <w:rFonts w:hint="default" w:ascii="Times New Roman" w:hAnsi="Times New Roman" w:cs="Times New Roman" w:eastAsiaTheme="majorEastAsia"/>
          <w:sz w:val="24"/>
        </w:rPr>
        <w:tab/>
      </w:r>
      <w:r>
        <w:rPr>
          <w:rFonts w:hint="default" w:ascii="Times New Roman" w:hAnsi="Times New Roman" w:cs="Times New Roman" w:eastAsiaTheme="majorEastAsia"/>
          <w:sz w:val="24"/>
          <w:lang w:val="en-US" w:eastAsia="zh-CN"/>
        </w:rPr>
        <w:t>4</w:t>
      </w:r>
      <w:r>
        <w:rPr>
          <w:rFonts w:hint="eastAsia" w:cs="Times New Roman" w:eastAsiaTheme="majorEastAsia"/>
          <w:sz w:val="24"/>
          <w:lang w:val="en-US" w:eastAsia="zh-CN"/>
        </w:rPr>
        <w:t>2</w:t>
      </w:r>
    </w:p>
    <w:p>
      <w:pPr>
        <w:pStyle w:val="14"/>
        <w:pageBreakBefore w:val="0"/>
        <w:kinsoku/>
        <w:wordWrap/>
        <w:overflowPunct/>
        <w:topLinePunct w:val="0"/>
        <w:bidi w:val="0"/>
        <w:adjustRightInd w:val="0"/>
        <w:snapToGrid w:val="0"/>
        <w:spacing w:line="560" w:lineRule="exact"/>
        <w:jc w:val="left"/>
        <w:rPr>
          <w:rFonts w:hint="default" w:ascii="Times New Roman" w:hAnsi="Times New Roman" w:cs="Times New Roman" w:eastAsiaTheme="majorEastAsia"/>
          <w:sz w:val="24"/>
          <w:lang w:val="en-US" w:eastAsia="zh-CN"/>
        </w:rPr>
      </w:pPr>
      <w:r>
        <w:rPr>
          <w:rFonts w:hint="default" w:ascii="Times New Roman" w:hAnsi="Times New Roman" w:cs="Times New Roman"/>
          <w:sz w:val="24"/>
        </w:rPr>
        <w:t>七、一般公共预算财政拨款支出决算明细表</w:t>
      </w:r>
      <w:r>
        <w:rPr>
          <w:rFonts w:hint="default" w:ascii="Times New Roman" w:hAnsi="Times New Roman" w:cs="Times New Roman" w:eastAsiaTheme="majorEastAsia"/>
          <w:sz w:val="24"/>
        </w:rPr>
        <w:tab/>
      </w:r>
      <w:r>
        <w:rPr>
          <w:rFonts w:hint="default" w:ascii="Times New Roman" w:hAnsi="Times New Roman" w:cs="Times New Roman" w:eastAsiaTheme="majorEastAsia"/>
          <w:sz w:val="24"/>
          <w:lang w:val="en-US" w:eastAsia="zh-CN"/>
        </w:rPr>
        <w:t>4</w:t>
      </w:r>
      <w:r>
        <w:rPr>
          <w:rFonts w:hint="eastAsia" w:cs="Times New Roman" w:eastAsiaTheme="majorEastAsia"/>
          <w:sz w:val="24"/>
          <w:lang w:val="en-US" w:eastAsia="zh-CN"/>
        </w:rPr>
        <w:t>2</w:t>
      </w:r>
    </w:p>
    <w:p>
      <w:pPr>
        <w:pStyle w:val="14"/>
        <w:pageBreakBefore w:val="0"/>
        <w:kinsoku/>
        <w:wordWrap/>
        <w:overflowPunct/>
        <w:topLinePunct w:val="0"/>
        <w:bidi w:val="0"/>
        <w:adjustRightInd w:val="0"/>
        <w:snapToGrid w:val="0"/>
        <w:spacing w:line="560" w:lineRule="exact"/>
        <w:jc w:val="left"/>
        <w:rPr>
          <w:rFonts w:hint="default" w:ascii="Times New Roman" w:hAnsi="Times New Roman" w:cs="Times New Roman" w:eastAsiaTheme="majorEastAsia"/>
          <w:sz w:val="24"/>
          <w:lang w:val="en-US" w:eastAsia="zh-CN"/>
        </w:rPr>
      </w:pPr>
      <w:r>
        <w:rPr>
          <w:rFonts w:hint="default" w:ascii="Times New Roman" w:hAnsi="Times New Roman" w:cs="Times New Roman"/>
          <w:sz w:val="24"/>
        </w:rPr>
        <w:t>八、一般公共预算财政拨款基本支出决算明细表</w:t>
      </w:r>
      <w:r>
        <w:rPr>
          <w:rFonts w:hint="default" w:ascii="Times New Roman" w:hAnsi="Times New Roman" w:cs="Times New Roman" w:eastAsiaTheme="majorEastAsia"/>
          <w:sz w:val="24"/>
        </w:rPr>
        <w:tab/>
      </w:r>
      <w:r>
        <w:rPr>
          <w:rFonts w:hint="default" w:ascii="Times New Roman" w:hAnsi="Times New Roman" w:cs="Times New Roman" w:eastAsiaTheme="majorEastAsia"/>
          <w:sz w:val="24"/>
          <w:lang w:val="en-US" w:eastAsia="zh-CN"/>
        </w:rPr>
        <w:t>4</w:t>
      </w:r>
      <w:r>
        <w:rPr>
          <w:rFonts w:hint="eastAsia" w:cs="Times New Roman" w:eastAsiaTheme="majorEastAsia"/>
          <w:sz w:val="24"/>
          <w:lang w:val="en-US" w:eastAsia="zh-CN"/>
        </w:rPr>
        <w:t>2</w:t>
      </w:r>
    </w:p>
    <w:p>
      <w:pPr>
        <w:pStyle w:val="14"/>
        <w:pageBreakBefore w:val="0"/>
        <w:kinsoku/>
        <w:wordWrap/>
        <w:overflowPunct/>
        <w:topLinePunct w:val="0"/>
        <w:bidi w:val="0"/>
        <w:adjustRightInd w:val="0"/>
        <w:snapToGrid w:val="0"/>
        <w:spacing w:line="560" w:lineRule="exact"/>
        <w:jc w:val="left"/>
        <w:rPr>
          <w:rFonts w:hint="default" w:ascii="Times New Roman" w:hAnsi="Times New Roman" w:cs="Times New Roman" w:eastAsiaTheme="majorEastAsia"/>
          <w:sz w:val="24"/>
          <w:lang w:val="en-US" w:eastAsia="zh-CN"/>
        </w:rPr>
      </w:pPr>
      <w:r>
        <w:rPr>
          <w:rFonts w:hint="default" w:ascii="Times New Roman" w:hAnsi="Times New Roman" w:cs="Times New Roman"/>
          <w:sz w:val="24"/>
        </w:rPr>
        <w:t>九、一般公共预算财政拨款项目支出决算表</w:t>
      </w:r>
      <w:r>
        <w:rPr>
          <w:rFonts w:hint="default" w:ascii="Times New Roman" w:hAnsi="Times New Roman" w:cs="Times New Roman" w:eastAsiaTheme="majorEastAsia"/>
          <w:sz w:val="24"/>
        </w:rPr>
        <w:tab/>
      </w:r>
      <w:r>
        <w:rPr>
          <w:rFonts w:hint="default" w:ascii="Times New Roman" w:hAnsi="Times New Roman" w:cs="Times New Roman" w:eastAsiaTheme="majorEastAsia"/>
          <w:sz w:val="24"/>
          <w:lang w:val="en-US" w:eastAsia="zh-CN"/>
        </w:rPr>
        <w:t>4</w:t>
      </w:r>
      <w:r>
        <w:rPr>
          <w:rFonts w:hint="eastAsia" w:cs="Times New Roman" w:eastAsiaTheme="majorEastAsia"/>
          <w:sz w:val="24"/>
          <w:lang w:val="en-US" w:eastAsia="zh-CN"/>
        </w:rPr>
        <w:t>2</w:t>
      </w:r>
    </w:p>
    <w:p>
      <w:pPr>
        <w:pStyle w:val="14"/>
        <w:pageBreakBefore w:val="0"/>
        <w:kinsoku/>
        <w:wordWrap/>
        <w:overflowPunct/>
        <w:topLinePunct w:val="0"/>
        <w:bidi w:val="0"/>
        <w:adjustRightInd w:val="0"/>
        <w:snapToGrid w:val="0"/>
        <w:spacing w:line="560" w:lineRule="exact"/>
        <w:jc w:val="left"/>
        <w:rPr>
          <w:rFonts w:hint="default" w:ascii="Times New Roman" w:hAnsi="Times New Roman" w:cs="Times New Roman" w:eastAsiaTheme="majorEastAsia"/>
          <w:sz w:val="24"/>
          <w:lang w:val="en-US" w:eastAsia="zh-CN"/>
        </w:rPr>
      </w:pPr>
      <w:r>
        <w:rPr>
          <w:rFonts w:hint="default" w:ascii="Times New Roman" w:hAnsi="Times New Roman" w:cs="Times New Roman"/>
          <w:sz w:val="24"/>
        </w:rPr>
        <w:t>十、政府性基金预算财政拨款收入支出决算表</w:t>
      </w:r>
      <w:r>
        <w:rPr>
          <w:rFonts w:hint="default" w:ascii="Times New Roman" w:hAnsi="Times New Roman" w:cs="Times New Roman" w:eastAsiaTheme="majorEastAsia"/>
          <w:sz w:val="24"/>
        </w:rPr>
        <w:tab/>
      </w:r>
      <w:r>
        <w:rPr>
          <w:rFonts w:hint="default" w:ascii="Times New Roman" w:hAnsi="Times New Roman" w:cs="Times New Roman" w:eastAsiaTheme="majorEastAsia"/>
          <w:sz w:val="24"/>
          <w:lang w:val="en-US" w:eastAsia="zh-CN"/>
        </w:rPr>
        <w:t>4</w:t>
      </w:r>
      <w:r>
        <w:rPr>
          <w:rFonts w:hint="eastAsia" w:cs="Times New Roman" w:eastAsiaTheme="majorEastAsia"/>
          <w:sz w:val="24"/>
          <w:lang w:val="en-US" w:eastAsia="zh-CN"/>
        </w:rPr>
        <w:t>2</w:t>
      </w:r>
    </w:p>
    <w:p>
      <w:pPr>
        <w:pStyle w:val="14"/>
        <w:pageBreakBefore w:val="0"/>
        <w:kinsoku/>
        <w:wordWrap/>
        <w:overflowPunct/>
        <w:topLinePunct w:val="0"/>
        <w:bidi w:val="0"/>
        <w:adjustRightInd w:val="0"/>
        <w:snapToGrid w:val="0"/>
        <w:spacing w:line="560" w:lineRule="exact"/>
        <w:jc w:val="left"/>
        <w:rPr>
          <w:rFonts w:hint="default" w:ascii="Times New Roman" w:hAnsi="Times New Roman" w:cs="Times New Roman" w:eastAsiaTheme="majorEastAsia"/>
          <w:sz w:val="24"/>
          <w:lang w:val="en-US" w:eastAsia="zh-CN"/>
        </w:rPr>
      </w:pPr>
      <w:r>
        <w:rPr>
          <w:rFonts w:hint="default" w:ascii="Times New Roman" w:hAnsi="Times New Roman" w:cs="Times New Roman"/>
          <w:sz w:val="24"/>
        </w:rPr>
        <w:t>十一、国有资本经营预算财政拨款收入支出决算表</w:t>
      </w:r>
      <w:r>
        <w:rPr>
          <w:rFonts w:hint="default" w:ascii="Times New Roman" w:hAnsi="Times New Roman" w:cs="Times New Roman" w:eastAsiaTheme="majorEastAsia"/>
          <w:sz w:val="24"/>
        </w:rPr>
        <w:tab/>
      </w:r>
      <w:r>
        <w:rPr>
          <w:rFonts w:hint="default" w:ascii="Times New Roman" w:hAnsi="Times New Roman" w:cs="Times New Roman" w:eastAsiaTheme="majorEastAsia"/>
          <w:sz w:val="24"/>
          <w:lang w:val="en-US" w:eastAsia="zh-CN"/>
        </w:rPr>
        <w:t>4</w:t>
      </w:r>
      <w:r>
        <w:rPr>
          <w:rFonts w:hint="eastAsia" w:cs="Times New Roman" w:eastAsiaTheme="majorEastAsia"/>
          <w:sz w:val="24"/>
          <w:lang w:val="en-US" w:eastAsia="zh-CN"/>
        </w:rPr>
        <w:t>2</w:t>
      </w:r>
    </w:p>
    <w:p>
      <w:pPr>
        <w:pStyle w:val="14"/>
        <w:pageBreakBefore w:val="0"/>
        <w:kinsoku/>
        <w:wordWrap/>
        <w:overflowPunct/>
        <w:topLinePunct w:val="0"/>
        <w:bidi w:val="0"/>
        <w:adjustRightInd w:val="0"/>
        <w:snapToGrid w:val="0"/>
        <w:spacing w:line="560" w:lineRule="exact"/>
        <w:jc w:val="left"/>
        <w:rPr>
          <w:rFonts w:hint="default" w:ascii="Times New Roman" w:hAnsi="Times New Roman" w:cs="Times New Roman" w:eastAsiaTheme="majorEastAsia"/>
          <w:sz w:val="24"/>
          <w:lang w:val="en-US" w:eastAsia="zh-CN"/>
        </w:rPr>
      </w:pPr>
      <w:r>
        <w:rPr>
          <w:rFonts w:hint="default" w:ascii="Times New Roman" w:hAnsi="Times New Roman" w:cs="Times New Roman"/>
          <w:sz w:val="24"/>
        </w:rPr>
        <w:t>十二、国有资本经营预算财政拨款支出决算表</w:t>
      </w:r>
      <w:r>
        <w:rPr>
          <w:rFonts w:hint="default" w:ascii="Times New Roman" w:hAnsi="Times New Roman" w:cs="Times New Roman" w:eastAsiaTheme="majorEastAsia"/>
          <w:sz w:val="24"/>
        </w:rPr>
        <w:tab/>
      </w:r>
      <w:r>
        <w:rPr>
          <w:rFonts w:hint="default" w:ascii="Times New Roman" w:hAnsi="Times New Roman" w:cs="Times New Roman" w:eastAsiaTheme="majorEastAsia"/>
          <w:sz w:val="24"/>
          <w:lang w:val="en-US" w:eastAsia="zh-CN"/>
        </w:rPr>
        <w:t>4</w:t>
      </w:r>
      <w:r>
        <w:rPr>
          <w:rFonts w:hint="eastAsia" w:cs="Times New Roman" w:eastAsiaTheme="majorEastAsia"/>
          <w:sz w:val="24"/>
          <w:lang w:val="en-US" w:eastAsia="zh-CN"/>
        </w:rPr>
        <w:t>2</w:t>
      </w:r>
    </w:p>
    <w:p>
      <w:pPr>
        <w:pStyle w:val="14"/>
        <w:pageBreakBefore w:val="0"/>
        <w:kinsoku/>
        <w:wordWrap/>
        <w:overflowPunct/>
        <w:topLinePunct w:val="0"/>
        <w:bidi w:val="0"/>
        <w:adjustRightInd w:val="0"/>
        <w:snapToGrid w:val="0"/>
        <w:spacing w:line="560" w:lineRule="exact"/>
        <w:jc w:val="left"/>
        <w:rPr>
          <w:rFonts w:hint="default" w:ascii="Times New Roman" w:hAnsi="Times New Roman" w:cs="Times New Roman" w:eastAsiaTheme="majorEastAsia"/>
          <w:sz w:val="24"/>
          <w:lang w:val="en-US" w:eastAsia="zh-CN"/>
        </w:rPr>
      </w:pPr>
      <w:r>
        <w:rPr>
          <w:rFonts w:hint="default" w:ascii="Times New Roman" w:hAnsi="Times New Roman" w:cs="Times New Roman"/>
          <w:sz w:val="24"/>
        </w:rPr>
        <w:t>十三、财政拨款“三公”经费支出决算表</w:t>
      </w:r>
      <w:r>
        <w:rPr>
          <w:rFonts w:hint="default" w:ascii="Times New Roman" w:hAnsi="Times New Roman" w:cs="Times New Roman" w:eastAsiaTheme="majorEastAsia"/>
          <w:sz w:val="24"/>
        </w:rPr>
        <w:tab/>
      </w:r>
      <w:r>
        <w:rPr>
          <w:rFonts w:hint="default" w:ascii="Times New Roman" w:hAnsi="Times New Roman" w:cs="Times New Roman" w:eastAsiaTheme="majorEastAsia"/>
          <w:sz w:val="24"/>
          <w:lang w:val="en-US" w:eastAsia="zh-CN"/>
        </w:rPr>
        <w:t>4</w:t>
      </w:r>
      <w:r>
        <w:rPr>
          <w:rFonts w:hint="eastAsia" w:cs="Times New Roman" w:eastAsiaTheme="majorEastAsia"/>
          <w:sz w:val="24"/>
          <w:lang w:val="en-US" w:eastAsia="zh-CN"/>
        </w:rPr>
        <w:t>2</w:t>
      </w:r>
    </w:p>
    <w:p>
      <w:pPr>
        <w:pageBreakBefore w:val="0"/>
        <w:widowControl/>
        <w:kinsoku/>
        <w:wordWrap/>
        <w:overflowPunct/>
        <w:topLinePunct w:val="0"/>
        <w:bidi w:val="0"/>
        <w:spacing w:line="560" w:lineRule="exact"/>
        <w:jc w:val="left"/>
        <w:rPr>
          <w:rFonts w:hint="default" w:ascii="Times New Roman" w:hAnsi="Times New Roman" w:cs="Times New Roman" w:eastAsiaTheme="majorEastAsia"/>
          <w:sz w:val="24"/>
        </w:rPr>
      </w:pPr>
      <w:r>
        <w:rPr>
          <w:rFonts w:hint="default" w:ascii="Times New Roman" w:hAnsi="Times New Roman" w:cs="Times New Roman" w:eastAsiaTheme="majorEastAsia"/>
          <w:sz w:val="24"/>
        </w:rPr>
        <w:tab/>
      </w:r>
    </w:p>
    <w:p>
      <w:pPr>
        <w:pStyle w:val="2"/>
        <w:pageBreakBefore w:val="0"/>
        <w:kinsoku/>
        <w:wordWrap/>
        <w:overflowPunct/>
        <w:topLinePunct w:val="0"/>
        <w:bidi w:val="0"/>
        <w:spacing w:line="560" w:lineRule="exact"/>
        <w:rPr>
          <w:rFonts w:hint="default" w:ascii="Times New Roman" w:hAnsi="Times New Roman" w:cs="Times New Roman" w:eastAsiaTheme="majorEastAsia"/>
          <w:sz w:val="24"/>
        </w:rPr>
      </w:pPr>
    </w:p>
    <w:p>
      <w:pPr>
        <w:pStyle w:val="2"/>
        <w:pageBreakBefore w:val="0"/>
        <w:kinsoku/>
        <w:wordWrap/>
        <w:overflowPunct/>
        <w:topLinePunct w:val="0"/>
        <w:bidi w:val="0"/>
        <w:spacing w:line="560" w:lineRule="exact"/>
        <w:rPr>
          <w:rFonts w:hint="default" w:ascii="Times New Roman" w:hAnsi="Times New Roman" w:cs="Times New Roman" w:eastAsiaTheme="majorEastAsia"/>
          <w:sz w:val="24"/>
        </w:rPr>
      </w:pPr>
    </w:p>
    <w:p>
      <w:pPr>
        <w:pStyle w:val="2"/>
        <w:pageBreakBefore w:val="0"/>
        <w:kinsoku/>
        <w:wordWrap/>
        <w:overflowPunct/>
        <w:topLinePunct w:val="0"/>
        <w:bidi w:val="0"/>
        <w:spacing w:line="560" w:lineRule="exact"/>
        <w:rPr>
          <w:rFonts w:hint="default" w:ascii="Times New Roman" w:hAnsi="Times New Roman" w:cs="Times New Roman" w:eastAsiaTheme="majorEastAsia"/>
          <w:sz w:val="24"/>
        </w:rPr>
      </w:pPr>
    </w:p>
    <w:p>
      <w:pPr>
        <w:pStyle w:val="2"/>
        <w:pageBreakBefore w:val="0"/>
        <w:kinsoku/>
        <w:wordWrap/>
        <w:overflowPunct/>
        <w:topLinePunct w:val="0"/>
        <w:bidi w:val="0"/>
        <w:spacing w:line="560" w:lineRule="exact"/>
        <w:rPr>
          <w:rFonts w:hint="default" w:ascii="Times New Roman" w:hAnsi="Times New Roman" w:cs="Times New Roman" w:eastAsiaTheme="majorEastAsia"/>
          <w:sz w:val="24"/>
        </w:rPr>
      </w:pPr>
    </w:p>
    <w:p>
      <w:pPr>
        <w:pStyle w:val="2"/>
        <w:pageBreakBefore w:val="0"/>
        <w:kinsoku/>
        <w:wordWrap/>
        <w:overflowPunct/>
        <w:topLinePunct w:val="0"/>
        <w:bidi w:val="0"/>
        <w:spacing w:line="560" w:lineRule="exact"/>
        <w:rPr>
          <w:rFonts w:hint="default" w:ascii="Times New Roman" w:hAnsi="Times New Roman" w:cs="Times New Roman" w:eastAsiaTheme="majorEastAsia"/>
          <w:sz w:val="24"/>
        </w:rPr>
      </w:pPr>
    </w:p>
    <w:p>
      <w:pPr>
        <w:pStyle w:val="2"/>
        <w:pageBreakBefore w:val="0"/>
        <w:kinsoku/>
        <w:wordWrap/>
        <w:overflowPunct/>
        <w:topLinePunct w:val="0"/>
        <w:bidi w:val="0"/>
        <w:spacing w:line="560" w:lineRule="exact"/>
        <w:rPr>
          <w:rFonts w:hint="default" w:ascii="Times New Roman" w:hAnsi="Times New Roman" w:cs="Times New Roman" w:eastAsiaTheme="majorEastAsia"/>
          <w:sz w:val="24"/>
        </w:rPr>
      </w:pPr>
    </w:p>
    <w:p>
      <w:pPr>
        <w:pStyle w:val="2"/>
        <w:pageBreakBefore w:val="0"/>
        <w:kinsoku/>
        <w:wordWrap/>
        <w:overflowPunct/>
        <w:topLinePunct w:val="0"/>
        <w:bidi w:val="0"/>
        <w:spacing w:line="560" w:lineRule="exact"/>
        <w:rPr>
          <w:rFonts w:hint="default" w:ascii="Times New Roman" w:hAnsi="Times New Roman" w:cs="Times New Roman" w:eastAsiaTheme="majorEastAsia"/>
          <w:sz w:val="24"/>
        </w:rPr>
      </w:pPr>
    </w:p>
    <w:p>
      <w:pPr>
        <w:pStyle w:val="2"/>
        <w:pageBreakBefore w:val="0"/>
        <w:kinsoku/>
        <w:wordWrap/>
        <w:overflowPunct/>
        <w:topLinePunct w:val="0"/>
        <w:bidi w:val="0"/>
        <w:spacing w:line="560" w:lineRule="exact"/>
        <w:rPr>
          <w:rFonts w:hint="default" w:ascii="Times New Roman" w:hAnsi="Times New Roman" w:cs="Times New Roman" w:eastAsiaTheme="majorEastAsia"/>
          <w:sz w:val="24"/>
        </w:rPr>
      </w:pPr>
    </w:p>
    <w:p>
      <w:pPr>
        <w:pStyle w:val="2"/>
        <w:pageBreakBefore w:val="0"/>
        <w:kinsoku/>
        <w:wordWrap/>
        <w:overflowPunct/>
        <w:topLinePunct w:val="0"/>
        <w:bidi w:val="0"/>
        <w:spacing w:line="560" w:lineRule="exact"/>
        <w:rPr>
          <w:rFonts w:hint="default" w:ascii="Times New Roman" w:hAnsi="Times New Roman" w:cs="Times New Roman" w:eastAsiaTheme="majorEastAsia"/>
          <w:sz w:val="24"/>
        </w:rPr>
      </w:pPr>
    </w:p>
    <w:p>
      <w:pPr>
        <w:pStyle w:val="2"/>
        <w:pageBreakBefore w:val="0"/>
        <w:kinsoku/>
        <w:wordWrap/>
        <w:overflowPunct/>
        <w:topLinePunct w:val="0"/>
        <w:bidi w:val="0"/>
        <w:spacing w:line="560" w:lineRule="exact"/>
        <w:rPr>
          <w:rFonts w:hint="default" w:ascii="Times New Roman" w:hAnsi="Times New Roman" w:cs="Times New Roman" w:eastAsiaTheme="majorEastAsia"/>
          <w:sz w:val="24"/>
        </w:rPr>
      </w:pPr>
    </w:p>
    <w:p>
      <w:pPr>
        <w:pStyle w:val="2"/>
        <w:pageBreakBefore w:val="0"/>
        <w:kinsoku/>
        <w:wordWrap/>
        <w:overflowPunct/>
        <w:topLinePunct w:val="0"/>
        <w:bidi w:val="0"/>
        <w:spacing w:line="560" w:lineRule="exact"/>
        <w:rPr>
          <w:rFonts w:hint="default" w:ascii="Times New Roman" w:hAnsi="Times New Roman" w:cs="Times New Roman" w:eastAsiaTheme="majorEastAsia"/>
          <w:sz w:val="24"/>
        </w:rPr>
      </w:pPr>
    </w:p>
    <w:p>
      <w:pPr>
        <w:pStyle w:val="2"/>
        <w:pageBreakBefore w:val="0"/>
        <w:kinsoku/>
        <w:wordWrap/>
        <w:overflowPunct/>
        <w:topLinePunct w:val="0"/>
        <w:bidi w:val="0"/>
        <w:spacing w:line="560" w:lineRule="exact"/>
        <w:rPr>
          <w:rFonts w:hint="default" w:ascii="Times New Roman" w:hAnsi="Times New Roman" w:cs="Times New Roman" w:eastAsiaTheme="majorEastAsia"/>
          <w:sz w:val="24"/>
        </w:rPr>
      </w:pPr>
    </w:p>
    <w:p>
      <w:pPr>
        <w:pStyle w:val="2"/>
        <w:pageBreakBefore w:val="0"/>
        <w:kinsoku/>
        <w:wordWrap/>
        <w:overflowPunct/>
        <w:topLinePunct w:val="0"/>
        <w:bidi w:val="0"/>
        <w:spacing w:line="560" w:lineRule="exact"/>
        <w:rPr>
          <w:rFonts w:hint="default" w:ascii="Times New Roman" w:hAnsi="Times New Roman" w:cs="Times New Roman" w:eastAsiaTheme="majorEastAsia"/>
          <w:sz w:val="24"/>
        </w:rPr>
      </w:pPr>
    </w:p>
    <w:p>
      <w:pPr>
        <w:pStyle w:val="2"/>
        <w:pageBreakBefore w:val="0"/>
        <w:kinsoku/>
        <w:wordWrap/>
        <w:overflowPunct/>
        <w:topLinePunct w:val="0"/>
        <w:bidi w:val="0"/>
        <w:spacing w:line="560" w:lineRule="exact"/>
        <w:rPr>
          <w:rFonts w:hint="default" w:ascii="Times New Roman" w:hAnsi="Times New Roman" w:cs="Times New Roman" w:eastAsiaTheme="majorEastAsia"/>
          <w:sz w:val="24"/>
        </w:rPr>
      </w:pPr>
    </w:p>
    <w:p>
      <w:pPr>
        <w:pStyle w:val="3"/>
        <w:pageBreakBefore w:val="0"/>
        <w:kinsoku/>
        <w:wordWrap/>
        <w:overflowPunct/>
        <w:topLinePunct w:val="0"/>
        <w:bidi w:val="0"/>
        <w:spacing w:line="560" w:lineRule="exact"/>
        <w:jc w:val="center"/>
        <w:rPr>
          <w:rFonts w:hint="default" w:ascii="Times New Roman" w:hAnsi="Times New Roman" w:eastAsia="方正小标宋_GBK" w:cs="Times New Roman"/>
          <w:color w:val="000000"/>
          <w:sz w:val="44"/>
          <w:szCs w:val="44"/>
        </w:rPr>
      </w:pPr>
      <w:r>
        <w:rPr>
          <w:rFonts w:hint="default" w:ascii="Times New Roman" w:hAnsi="Times New Roman" w:eastAsia="方正小标宋_GBK" w:cs="Times New Roman"/>
          <w:b w:val="0"/>
          <w:sz w:val="44"/>
          <w:szCs w:val="44"/>
        </w:rPr>
        <w:t xml:space="preserve">第一部分 </w:t>
      </w:r>
      <w:r>
        <w:rPr>
          <w:rStyle w:val="28"/>
          <w:rFonts w:hint="default" w:ascii="Times New Roman" w:hAnsi="Times New Roman" w:eastAsia="方正小标宋_GBK" w:cs="Times New Roman"/>
          <w:b w:val="0"/>
          <w:bCs w:val="0"/>
          <w:sz w:val="44"/>
          <w:szCs w:val="44"/>
        </w:rPr>
        <w:t>部门概况</w:t>
      </w:r>
      <w:bookmarkEnd w:id="6"/>
      <w:bookmarkEnd w:id="7"/>
    </w:p>
    <w:p>
      <w:pPr>
        <w:pageBreakBefore w:val="0"/>
        <w:kinsoku/>
        <w:wordWrap/>
        <w:overflowPunct/>
        <w:topLinePunct w:val="0"/>
        <w:autoSpaceDE w:val="0"/>
        <w:autoSpaceDN w:val="0"/>
        <w:bidi w:val="0"/>
        <w:adjustRightInd w:val="0"/>
        <w:snapToGrid/>
        <w:spacing w:line="240" w:lineRule="auto"/>
        <w:ind w:left="199" w:leftChars="95" w:firstLine="648" w:firstLineChars="200"/>
        <w:jc w:val="left"/>
        <w:textAlignment w:val="auto"/>
        <w:rPr>
          <w:rFonts w:hint="default" w:ascii="Times New Roman" w:hAnsi="Times New Roman" w:eastAsia="方正黑体_GBK" w:cs="Times New Roman"/>
          <w:color w:val="000000"/>
          <w:spacing w:val="2"/>
          <w:sz w:val="32"/>
          <w:szCs w:val="32"/>
          <w:lang w:val="en-US" w:eastAsia="zh-CN"/>
        </w:rPr>
      </w:pPr>
      <w:bookmarkStart w:id="14" w:name="_Toc15377197"/>
      <w:bookmarkStart w:id="15" w:name="_Toc15396600"/>
      <w:r>
        <w:rPr>
          <w:rFonts w:hint="default" w:ascii="Times New Roman" w:hAnsi="Times New Roman" w:eastAsia="方正黑体_GBK" w:cs="Times New Roman"/>
          <w:color w:val="000000"/>
          <w:spacing w:val="2"/>
          <w:sz w:val="32"/>
          <w:szCs w:val="32"/>
          <w:lang w:val="en-US" w:eastAsia="zh-CN"/>
        </w:rPr>
        <w:t>一、</w:t>
      </w:r>
      <w:bookmarkEnd w:id="14"/>
      <w:bookmarkEnd w:id="15"/>
      <w:r>
        <w:rPr>
          <w:rFonts w:hint="default" w:ascii="Times New Roman" w:hAnsi="Times New Roman" w:eastAsia="方正黑体_GBK" w:cs="Times New Roman"/>
          <w:color w:val="000000"/>
          <w:spacing w:val="2"/>
          <w:sz w:val="32"/>
          <w:szCs w:val="32"/>
          <w:lang w:val="en-US" w:eastAsia="zh-CN"/>
        </w:rPr>
        <w:t>部门职责</w:t>
      </w:r>
      <w:bookmarkStart w:id="16" w:name="_Toc15377199"/>
      <w:bookmarkStart w:id="17" w:name="_Toc15378446"/>
    </w:p>
    <w:p>
      <w:pPr>
        <w:pageBreakBefore w:val="0"/>
        <w:kinsoku/>
        <w:wordWrap/>
        <w:overflowPunct/>
        <w:topLinePunct w:val="0"/>
        <w:autoSpaceDE w:val="0"/>
        <w:autoSpaceDN w:val="0"/>
        <w:bidi w:val="0"/>
        <w:adjustRightInd w:val="0"/>
        <w:snapToGrid/>
        <w:spacing w:line="240" w:lineRule="auto"/>
        <w:ind w:left="199" w:leftChars="95" w:firstLine="648" w:firstLineChars="200"/>
        <w:jc w:val="left"/>
        <w:textAlignment w:val="auto"/>
        <w:rPr>
          <w:rFonts w:hint="default" w:ascii="Times New Roman" w:hAnsi="Times New Roman" w:eastAsia="仿宋_GB2312" w:cs="Times New Roman"/>
          <w:color w:val="000000"/>
          <w:spacing w:val="2"/>
          <w:sz w:val="32"/>
          <w:szCs w:val="32"/>
          <w:lang w:val="en-US" w:eastAsia="zh-CN"/>
        </w:rPr>
      </w:pPr>
      <w:r>
        <w:rPr>
          <w:rFonts w:hint="default" w:ascii="Times New Roman" w:hAnsi="Times New Roman" w:eastAsia="仿宋_GB2312" w:cs="Times New Roman"/>
          <w:color w:val="000000"/>
          <w:spacing w:val="2"/>
          <w:sz w:val="32"/>
          <w:szCs w:val="32"/>
          <w:lang w:val="en-US" w:eastAsia="zh-CN"/>
        </w:rPr>
        <w:t>区财政局贯彻落实党中央关于财经工作、国有资产管理工作和金融工作的方针政策和省、市、区委的决策部署，在履行职责过程中坚持和加强党对财政工作的集中统一领导。主要职责是：</w:t>
      </w:r>
    </w:p>
    <w:p>
      <w:pPr>
        <w:pageBreakBefore w:val="0"/>
        <w:kinsoku/>
        <w:wordWrap/>
        <w:overflowPunct/>
        <w:topLinePunct w:val="0"/>
        <w:autoSpaceDE w:val="0"/>
        <w:autoSpaceDN w:val="0"/>
        <w:bidi w:val="0"/>
        <w:adjustRightInd w:val="0"/>
        <w:snapToGrid/>
        <w:spacing w:line="240" w:lineRule="auto"/>
        <w:ind w:left="199" w:leftChars="95" w:firstLine="648" w:firstLineChars="200"/>
        <w:jc w:val="left"/>
        <w:textAlignment w:val="auto"/>
        <w:rPr>
          <w:rFonts w:hint="default" w:ascii="Times New Roman" w:hAnsi="Times New Roman" w:eastAsia="仿宋_GB2312" w:cs="Times New Roman"/>
          <w:color w:val="000000"/>
          <w:spacing w:val="2"/>
          <w:sz w:val="32"/>
          <w:szCs w:val="32"/>
          <w:lang w:val="en-US" w:eastAsia="zh-CN"/>
        </w:rPr>
      </w:pPr>
      <w:r>
        <w:rPr>
          <w:rFonts w:hint="default" w:ascii="Times New Roman" w:hAnsi="Times New Roman" w:eastAsia="仿宋_GB2312" w:cs="Times New Roman"/>
          <w:color w:val="000000"/>
          <w:spacing w:val="2"/>
          <w:sz w:val="32"/>
          <w:szCs w:val="32"/>
          <w:lang w:val="en-US" w:eastAsia="zh-CN"/>
        </w:rPr>
        <w:t>1.拟订全区财税发展战略、规划、政策和改革方案并组织实施。分析预测宏观经济形势，参与制定各项经济政策，提出运用财税政策实施宏观调控和综合平衡社会财力的建议。拟订区与乡(镇)政府、政府与企业的分配政策，完善鼓励公益事业发展的财税政策。</w:t>
      </w:r>
    </w:p>
    <w:p>
      <w:pPr>
        <w:pageBreakBefore w:val="0"/>
        <w:kinsoku/>
        <w:wordWrap/>
        <w:overflowPunct/>
        <w:topLinePunct w:val="0"/>
        <w:autoSpaceDE w:val="0"/>
        <w:autoSpaceDN w:val="0"/>
        <w:bidi w:val="0"/>
        <w:adjustRightInd w:val="0"/>
        <w:snapToGrid/>
        <w:spacing w:line="240" w:lineRule="auto"/>
        <w:ind w:left="199" w:leftChars="95" w:firstLine="648" w:firstLineChars="200"/>
        <w:jc w:val="left"/>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2、贯彻执行财政、税收、财务、会计管理的法律法规和规章。负责组织起草地方性财政政策、规范性文件和规章制度并组织实施。按照管理权限管理全区税政事项。承办国务院关税税则委员会办公室要求区一级承担的工作。</w:t>
      </w:r>
    </w:p>
    <w:p>
      <w:pPr>
        <w:pageBreakBefore w:val="0"/>
        <w:kinsoku/>
        <w:wordWrap/>
        <w:overflowPunct/>
        <w:topLinePunct w:val="0"/>
        <w:autoSpaceDE w:val="0"/>
        <w:autoSpaceDN w:val="0"/>
        <w:bidi w:val="0"/>
        <w:adjustRightInd w:val="0"/>
        <w:snapToGrid/>
        <w:spacing w:line="240" w:lineRule="auto"/>
        <w:ind w:left="199" w:leftChars="95" w:firstLine="648" w:firstLineChars="200"/>
        <w:jc w:val="left"/>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3、负责管理各项财政收支。编制年度区级预决算草案并组织执行。组织制定经费开支标准、定额，审核批复部门(单位)年度预决算。受区政府委托，向区人大及其常委会报告财政预算、执行和决算等情况。负责政府建立的各类基金、风险金、分险金的监督管理。负责区级预决算公开。负责全面实施预算绩效管理。</w:t>
      </w:r>
    </w:p>
    <w:p>
      <w:pPr>
        <w:pageBreakBefore w:val="0"/>
        <w:kinsoku/>
        <w:wordWrap/>
        <w:overflowPunct/>
        <w:topLinePunct w:val="0"/>
        <w:autoSpaceDE w:val="0"/>
        <w:autoSpaceDN w:val="0"/>
        <w:bidi w:val="0"/>
        <w:adjustRightInd w:val="0"/>
        <w:snapToGrid/>
        <w:spacing w:line="240" w:lineRule="auto"/>
        <w:ind w:left="199" w:leftChars="95" w:firstLine="648" w:firstLineChars="200"/>
        <w:jc w:val="left"/>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4、按分工负责政府非税收入管理。负责政府性基金管理，按规定管理行政事业性收费等其他非税收入。管理财政票据。执行彩票管理政策，按规定管理彩票资金。</w:t>
      </w:r>
    </w:p>
    <w:p>
      <w:pPr>
        <w:pageBreakBefore w:val="0"/>
        <w:kinsoku/>
        <w:wordWrap/>
        <w:overflowPunct/>
        <w:topLinePunct w:val="0"/>
        <w:autoSpaceDE w:val="0"/>
        <w:autoSpaceDN w:val="0"/>
        <w:bidi w:val="0"/>
        <w:adjustRightInd w:val="0"/>
        <w:snapToGrid/>
        <w:spacing w:line="240" w:lineRule="auto"/>
        <w:ind w:left="199" w:leftChars="95" w:firstLine="648" w:firstLineChars="200"/>
        <w:jc w:val="left"/>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5、组织制定全区国库管理制度、国库集中收付制度，指导和监督国库业务，开展国库现金管理工作。贯彻执行政府财务报告编制办法并组织实施。监督管理全区政府采购工作。</w:t>
      </w:r>
    </w:p>
    <w:p>
      <w:pPr>
        <w:pageBreakBefore w:val="0"/>
        <w:kinsoku/>
        <w:wordWrap/>
        <w:overflowPunct/>
        <w:topLinePunct w:val="0"/>
        <w:autoSpaceDE w:val="0"/>
        <w:autoSpaceDN w:val="0"/>
        <w:bidi w:val="0"/>
        <w:adjustRightInd w:val="0"/>
        <w:snapToGrid/>
        <w:spacing w:line="240" w:lineRule="auto"/>
        <w:ind w:left="199" w:leftChars="95" w:firstLine="648" w:firstLineChars="200"/>
        <w:jc w:val="left"/>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6、贯彻执行地方政府债务管理制度和政策，制定具体管理办法，编制地方政府债余额限额计划，统一管理政府外债，防范财政风险。</w:t>
      </w:r>
    </w:p>
    <w:p>
      <w:pPr>
        <w:pageBreakBefore w:val="0"/>
        <w:kinsoku/>
        <w:wordWrap/>
        <w:overflowPunct/>
        <w:topLinePunct w:val="0"/>
        <w:autoSpaceDE w:val="0"/>
        <w:autoSpaceDN w:val="0"/>
        <w:bidi w:val="0"/>
        <w:adjustRightInd w:val="0"/>
        <w:snapToGrid/>
        <w:spacing w:line="240" w:lineRule="auto"/>
        <w:ind w:left="199" w:leftChars="95" w:firstLine="648" w:firstLineChars="200"/>
        <w:jc w:val="left"/>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7、牵头编制全区国有资产管理情况报告。根据区政府授权，集中统一履行区级国有金融资本出资人职责。制定区级国有金融资本管理制度。拟订全区行政事业单位国有资产管理制度并组织实施。制定和监督执行统一规定的开支标准和支出政策。</w:t>
      </w:r>
    </w:p>
    <w:p>
      <w:pPr>
        <w:pageBreakBefore w:val="0"/>
        <w:kinsoku/>
        <w:wordWrap/>
        <w:overflowPunct/>
        <w:topLinePunct w:val="0"/>
        <w:autoSpaceDE w:val="0"/>
        <w:autoSpaceDN w:val="0"/>
        <w:bidi w:val="0"/>
        <w:adjustRightInd w:val="0"/>
        <w:snapToGrid/>
        <w:spacing w:line="240" w:lineRule="auto"/>
        <w:ind w:left="199" w:leftChars="95" w:firstLine="648" w:firstLineChars="200"/>
        <w:jc w:val="left"/>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8、负责审核并汇总编制全区国有资本经营预决算草案。制定国有资本经营预算制度和办法，收取区本级企业国有资本收益。组织实施企业财务制度，负责财政预算内行政事业单位和社会团体的非贸易外汇和财政预算内的国际收支管理。</w:t>
      </w:r>
    </w:p>
    <w:p>
      <w:pPr>
        <w:pageBreakBefore w:val="0"/>
        <w:kinsoku/>
        <w:wordWrap/>
        <w:overflowPunct/>
        <w:topLinePunct w:val="0"/>
        <w:autoSpaceDE w:val="0"/>
        <w:autoSpaceDN w:val="0"/>
        <w:bidi w:val="0"/>
        <w:adjustRightInd w:val="0"/>
        <w:snapToGrid/>
        <w:spacing w:line="240" w:lineRule="auto"/>
        <w:ind w:left="199" w:leftChars="95" w:firstLine="648" w:firstLineChars="200"/>
        <w:jc w:val="left"/>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9、负责审核并汇总编制全区社会保险基金预决算草案，会同有关部门拟订有关资金(基金)财务管理制度，承担社会保险基金财政监管工作。</w:t>
      </w:r>
    </w:p>
    <w:p>
      <w:pPr>
        <w:pageBreakBefore w:val="0"/>
        <w:kinsoku/>
        <w:wordWrap/>
        <w:overflowPunct/>
        <w:topLinePunct w:val="0"/>
        <w:autoSpaceDE w:val="0"/>
        <w:autoSpaceDN w:val="0"/>
        <w:bidi w:val="0"/>
        <w:adjustRightInd w:val="0"/>
        <w:snapToGrid/>
        <w:spacing w:line="240" w:lineRule="auto"/>
        <w:ind w:left="199" w:leftChars="95" w:firstLine="648" w:firstLineChars="200"/>
        <w:jc w:val="left"/>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10、负责办理和监督区级财政的经济发展支出、区级政府性投资项目的财政拨款，负责投资评审管理工作，参与拟订区级基建投资有关政策，监督执行基建财务管理制度。负责政府性投资项目竣工决算、结算管理工作。</w:t>
      </w:r>
    </w:p>
    <w:p>
      <w:pPr>
        <w:pageBreakBefore w:val="0"/>
        <w:kinsoku/>
        <w:wordWrap/>
        <w:overflowPunct/>
        <w:topLinePunct w:val="0"/>
        <w:autoSpaceDE w:val="0"/>
        <w:autoSpaceDN w:val="0"/>
        <w:bidi w:val="0"/>
        <w:adjustRightInd w:val="0"/>
        <w:snapToGrid/>
        <w:spacing w:line="240" w:lineRule="auto"/>
        <w:ind w:left="199" w:leftChars="95" w:firstLine="648" w:firstLineChars="200"/>
        <w:jc w:val="left"/>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11、管理外国政府和国际金融机构贷(赠)款项目的有关业务，参与财经领域的国际交流与合作。</w:t>
      </w:r>
    </w:p>
    <w:p>
      <w:pPr>
        <w:pageBreakBefore w:val="0"/>
        <w:kinsoku/>
        <w:wordWrap/>
        <w:overflowPunct/>
        <w:topLinePunct w:val="0"/>
        <w:autoSpaceDE w:val="0"/>
        <w:autoSpaceDN w:val="0"/>
        <w:bidi w:val="0"/>
        <w:adjustRightInd w:val="0"/>
        <w:snapToGrid/>
        <w:spacing w:line="240" w:lineRule="auto"/>
        <w:ind w:left="199" w:leftChars="95" w:firstLine="648" w:firstLineChars="200"/>
        <w:jc w:val="left"/>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12、负责管理全区会计工作，监督和规范会计行为，组织实施国家统一的会计制度，指导社会审计。依法管理资产评估有关工作。</w:t>
      </w:r>
    </w:p>
    <w:p>
      <w:pPr>
        <w:pageBreakBefore w:val="0"/>
        <w:kinsoku/>
        <w:wordWrap/>
        <w:overflowPunct/>
        <w:topLinePunct w:val="0"/>
        <w:autoSpaceDE w:val="0"/>
        <w:autoSpaceDN w:val="0"/>
        <w:bidi w:val="0"/>
        <w:adjustRightInd w:val="0"/>
        <w:snapToGrid/>
        <w:spacing w:line="240" w:lineRule="auto"/>
        <w:ind w:left="199" w:leftChars="95" w:firstLine="648" w:firstLineChars="200"/>
        <w:jc w:val="left"/>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13、拟定和执行国有资产管理的政策法规、规章制度和管理办法；负责全区行政事业单位国有资产及国有资产经营收益管理工作；组织实施行政事业单位、国有资产及区属企业资产的清产核资和绩效评价工作；组织实施区级行政事业单位及企业国有产权界定、企业国有资产产权界定和转让工作，监缴国有资产收益；负责国有资产及区属国有企业资产的统计、分析；指导和监督行政事业单位、区属国有企业资产的产权界定、清查登记等工作；指导和监督办理执行《企业财务通则》和相关财务会计制度，参与拟定企业国有资产管理相关制度。</w:t>
      </w:r>
    </w:p>
    <w:p>
      <w:pPr>
        <w:pageBreakBefore w:val="0"/>
        <w:kinsoku/>
        <w:wordWrap/>
        <w:overflowPunct/>
        <w:topLinePunct w:val="0"/>
        <w:autoSpaceDE w:val="0"/>
        <w:autoSpaceDN w:val="0"/>
        <w:bidi w:val="0"/>
        <w:adjustRightInd w:val="0"/>
        <w:snapToGrid/>
        <w:spacing w:line="240" w:lineRule="auto"/>
        <w:ind w:left="199" w:leftChars="95" w:firstLine="648" w:firstLineChars="200"/>
        <w:jc w:val="left"/>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14、负责联系协调全区金融机构，推动地方政府与金融机构合作交流，防控金融风险、深化金融改革。负责全区小额贷款公司、融资担保公司、典当行、融资租赁公司等监管；维护地方金融秩序，牵头会同有关部门防范、化解和处置地方金融风险；牵头处置非法集资、协调配合有关部门打击其他非法金融活动；推进全区金融知识宣传普及工作。</w:t>
      </w:r>
    </w:p>
    <w:p>
      <w:pPr>
        <w:pageBreakBefore w:val="0"/>
        <w:kinsoku/>
        <w:wordWrap/>
        <w:overflowPunct/>
        <w:topLinePunct w:val="0"/>
        <w:autoSpaceDE w:val="0"/>
        <w:autoSpaceDN w:val="0"/>
        <w:bidi w:val="0"/>
        <w:adjustRightInd w:val="0"/>
        <w:snapToGrid/>
        <w:spacing w:line="240" w:lineRule="auto"/>
        <w:ind w:left="199" w:leftChars="95" w:firstLine="648" w:firstLineChars="200"/>
        <w:jc w:val="left"/>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15、负责职责范围内的安全生产和职业健康、生态环境保护、审批服务便民化等工作。按省、市要求，指导推进相对集中行政许可权改革。</w:t>
      </w:r>
    </w:p>
    <w:p>
      <w:pPr>
        <w:pageBreakBefore w:val="0"/>
        <w:kinsoku/>
        <w:wordWrap/>
        <w:overflowPunct/>
        <w:topLinePunct w:val="0"/>
        <w:bidi w:val="0"/>
        <w:snapToGrid/>
        <w:spacing w:line="240" w:lineRule="auto"/>
        <w:ind w:firstLine="800"/>
        <w:jc w:val="both"/>
        <w:textAlignment w:val="auto"/>
        <w:rPr>
          <w:rFonts w:hint="default" w:ascii="Times New Roman" w:hAnsi="Times New Roman" w:cs="Times New Roman"/>
          <w:color w:val="000000"/>
          <w:spacing w:val="2"/>
          <w:sz w:val="32"/>
          <w:szCs w:val="32"/>
        </w:rPr>
      </w:pPr>
      <w:r>
        <w:rPr>
          <w:rFonts w:hint="default" w:ascii="Times New Roman" w:hAnsi="Times New Roman" w:cs="Times New Roman"/>
          <w:color w:val="000000"/>
          <w:spacing w:val="2"/>
          <w:sz w:val="32"/>
          <w:szCs w:val="32"/>
        </w:rPr>
        <w:t>16、完成区委、区政府交办的其他任务。</w:t>
      </w:r>
    </w:p>
    <w:bookmarkEnd w:id="16"/>
    <w:bookmarkEnd w:id="17"/>
    <w:p>
      <w:pPr>
        <w:pageBreakBefore w:val="0"/>
        <w:kinsoku/>
        <w:wordWrap/>
        <w:overflowPunct/>
        <w:topLinePunct w:val="0"/>
        <w:autoSpaceDE w:val="0"/>
        <w:autoSpaceDN w:val="0"/>
        <w:bidi w:val="0"/>
        <w:adjustRightInd w:val="0"/>
        <w:snapToGrid/>
        <w:spacing w:line="240" w:lineRule="auto"/>
        <w:ind w:left="199" w:leftChars="95" w:firstLine="648" w:firstLineChars="200"/>
        <w:jc w:val="left"/>
        <w:textAlignment w:val="auto"/>
        <w:rPr>
          <w:rFonts w:hint="default" w:ascii="Times New Roman" w:hAnsi="Times New Roman" w:eastAsia="方正黑体_GBK" w:cs="Times New Roman"/>
          <w:color w:val="000000"/>
          <w:spacing w:val="2"/>
          <w:sz w:val="32"/>
          <w:szCs w:val="32"/>
          <w:lang w:val="en-US" w:eastAsia="zh-CN"/>
        </w:rPr>
      </w:pPr>
      <w:bookmarkStart w:id="18" w:name="_Toc15377200"/>
      <w:bookmarkStart w:id="19" w:name="_Toc15396601"/>
      <w:r>
        <w:rPr>
          <w:rFonts w:hint="default" w:ascii="Times New Roman" w:hAnsi="Times New Roman" w:eastAsia="方正黑体_GBK" w:cs="Times New Roman"/>
          <w:color w:val="000000"/>
          <w:spacing w:val="2"/>
          <w:sz w:val="32"/>
          <w:szCs w:val="32"/>
          <w:lang w:val="en-US" w:eastAsia="zh-CN"/>
        </w:rPr>
        <w:t>二、机构设置</w:t>
      </w:r>
      <w:bookmarkEnd w:id="18"/>
      <w:bookmarkEnd w:id="19"/>
    </w:p>
    <w:p>
      <w:pPr>
        <w:pageBreakBefore w:val="0"/>
        <w:kinsoku/>
        <w:wordWrap/>
        <w:overflowPunct/>
        <w:topLinePunct w:val="0"/>
        <w:autoSpaceDE w:val="0"/>
        <w:autoSpaceDN w:val="0"/>
        <w:bidi w:val="0"/>
        <w:adjustRightInd w:val="0"/>
        <w:snapToGrid/>
        <w:spacing w:line="240" w:lineRule="auto"/>
        <w:ind w:left="199" w:leftChars="95" w:firstLine="648" w:firstLineChars="200"/>
        <w:jc w:val="left"/>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lang w:eastAsia="zh-CN"/>
        </w:rPr>
        <w:t>攀枝花市</w:t>
      </w:r>
      <w:r>
        <w:rPr>
          <w:rFonts w:hint="default" w:ascii="Times New Roman" w:hAnsi="Times New Roman" w:eastAsia="仿宋_GB2312" w:cs="Times New Roman"/>
          <w:color w:val="000000"/>
          <w:spacing w:val="2"/>
          <w:sz w:val="32"/>
          <w:szCs w:val="32"/>
        </w:rPr>
        <w:t>仁和区财政局属于一级预算单位,下设9个科室，1个驻局纪检监察组，独立编制的2个参照公务员法管理的事业单位和</w:t>
      </w:r>
      <w:r>
        <w:rPr>
          <w:rFonts w:hint="default" w:ascii="Times New Roman" w:hAnsi="Times New Roman" w:eastAsia="仿宋_GB2312" w:cs="Times New Roman"/>
          <w:color w:val="000000"/>
          <w:spacing w:val="2"/>
          <w:sz w:val="32"/>
          <w:szCs w:val="32"/>
          <w:lang w:val="en-US" w:eastAsia="zh-CN"/>
        </w:rPr>
        <w:t>1</w:t>
      </w:r>
      <w:r>
        <w:rPr>
          <w:rFonts w:hint="default" w:ascii="Times New Roman" w:hAnsi="Times New Roman" w:eastAsia="仿宋_GB2312" w:cs="Times New Roman"/>
          <w:color w:val="000000"/>
          <w:spacing w:val="2"/>
          <w:sz w:val="32"/>
          <w:szCs w:val="32"/>
        </w:rPr>
        <w:t>个其他事业单位。仁和区财政局财务统一管理，无单独核算的</w:t>
      </w:r>
      <w:r>
        <w:rPr>
          <w:rFonts w:hint="default" w:ascii="Times New Roman" w:hAnsi="Times New Roman" w:eastAsia="仿宋_GB2312" w:cs="Times New Roman"/>
          <w:color w:val="000000"/>
          <w:spacing w:val="2"/>
          <w:sz w:val="32"/>
          <w:szCs w:val="32"/>
          <w:lang w:eastAsia="zh-CN"/>
        </w:rPr>
        <w:t>二</w:t>
      </w:r>
      <w:r>
        <w:rPr>
          <w:rFonts w:hint="default" w:ascii="Times New Roman" w:hAnsi="Times New Roman" w:eastAsia="仿宋_GB2312" w:cs="Times New Roman"/>
          <w:color w:val="000000"/>
          <w:spacing w:val="2"/>
          <w:sz w:val="32"/>
          <w:szCs w:val="32"/>
        </w:rPr>
        <w:t>级预算单位。</w:t>
      </w:r>
    </w:p>
    <w:p>
      <w:pPr>
        <w:pageBreakBefore w:val="0"/>
        <w:kinsoku/>
        <w:wordWrap/>
        <w:overflowPunct/>
        <w:topLinePunct w:val="0"/>
        <w:autoSpaceDE w:val="0"/>
        <w:autoSpaceDN w:val="0"/>
        <w:bidi w:val="0"/>
        <w:adjustRightInd w:val="0"/>
        <w:snapToGrid/>
        <w:spacing w:line="240" w:lineRule="auto"/>
        <w:ind w:left="199" w:leftChars="95" w:firstLine="648" w:firstLineChars="200"/>
        <w:jc w:val="left"/>
        <w:textAlignment w:val="auto"/>
        <w:rPr>
          <w:rFonts w:hint="default" w:ascii="Times New Roman" w:hAnsi="Times New Roman" w:eastAsia="仿宋_GB2312" w:cs="Times New Roman"/>
          <w:color w:val="000000"/>
          <w:spacing w:val="2"/>
          <w:sz w:val="32"/>
          <w:szCs w:val="32"/>
          <w:lang w:val="zh-CN"/>
        </w:rPr>
      </w:pPr>
      <w:bookmarkStart w:id="20" w:name="_Toc15377433"/>
      <w:bookmarkStart w:id="21" w:name="_Toc15306276"/>
      <w:bookmarkStart w:id="22" w:name="_Toc15378449"/>
      <w:bookmarkStart w:id="23" w:name="_Toc15377202"/>
      <w:r>
        <w:rPr>
          <w:rFonts w:hint="default" w:ascii="Times New Roman" w:hAnsi="Times New Roman" w:eastAsia="仿宋_GB2312" w:cs="Times New Roman"/>
          <w:color w:val="000000"/>
          <w:spacing w:val="2"/>
          <w:sz w:val="32"/>
          <w:szCs w:val="32"/>
          <w:lang w:val="zh-CN"/>
        </w:rPr>
        <w:t>纳入攀枝花市仁和区财政局2022年度部门决算编制范围的二级单位包括：</w:t>
      </w:r>
    </w:p>
    <w:p>
      <w:pPr>
        <w:pageBreakBefore w:val="0"/>
        <w:widowControl/>
        <w:numPr>
          <w:ilvl w:val="0"/>
          <w:numId w:val="0"/>
        </w:numPr>
        <w:kinsoku/>
        <w:wordWrap/>
        <w:overflowPunct/>
        <w:topLinePunct w:val="0"/>
        <w:bidi w:val="0"/>
        <w:snapToGrid/>
        <w:spacing w:line="240" w:lineRule="auto"/>
        <w:ind w:left="630" w:leftChars="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仁和区财政国库支付中心</w:t>
      </w:r>
      <w:bookmarkEnd w:id="20"/>
      <w:bookmarkEnd w:id="21"/>
      <w:bookmarkEnd w:id="22"/>
      <w:bookmarkEnd w:id="23"/>
    </w:p>
    <w:p>
      <w:pPr>
        <w:pageBreakBefore w:val="0"/>
        <w:widowControl/>
        <w:numPr>
          <w:ilvl w:val="0"/>
          <w:numId w:val="0"/>
        </w:numPr>
        <w:kinsoku/>
        <w:wordWrap/>
        <w:overflowPunct/>
        <w:topLinePunct w:val="0"/>
        <w:bidi w:val="0"/>
        <w:snapToGrid/>
        <w:spacing w:line="240" w:lineRule="auto"/>
        <w:ind w:left="630" w:leftChars="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仁和区财政绩效评价中心</w:t>
      </w:r>
    </w:p>
    <w:p>
      <w:pPr>
        <w:pageBreakBefore w:val="0"/>
        <w:widowControl/>
        <w:numPr>
          <w:ilvl w:val="0"/>
          <w:numId w:val="0"/>
        </w:numPr>
        <w:kinsoku/>
        <w:wordWrap/>
        <w:overflowPunct/>
        <w:topLinePunct w:val="0"/>
        <w:bidi w:val="0"/>
        <w:snapToGrid/>
        <w:spacing w:line="240" w:lineRule="auto"/>
        <w:ind w:left="630" w:leftChars="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仁和区财政投资评审</w:t>
      </w:r>
      <w:r>
        <w:rPr>
          <w:rFonts w:hint="default" w:ascii="Times New Roman" w:hAnsi="Times New Roman" w:eastAsia="仿宋_GB2312" w:cs="Times New Roman"/>
          <w:sz w:val="32"/>
          <w:szCs w:val="32"/>
          <w:lang w:eastAsia="zh-CN"/>
        </w:rPr>
        <w:t>与</w:t>
      </w:r>
      <w:r>
        <w:rPr>
          <w:rFonts w:hint="default" w:ascii="Times New Roman" w:hAnsi="Times New Roman" w:eastAsia="仿宋_GB2312" w:cs="Times New Roman"/>
          <w:sz w:val="32"/>
          <w:szCs w:val="32"/>
        </w:rPr>
        <w:t>政府债务风险防控中心</w:t>
      </w:r>
    </w:p>
    <w:p>
      <w:pPr>
        <w:pStyle w:val="3"/>
        <w:pageBreakBefore w:val="0"/>
        <w:kinsoku/>
        <w:wordWrap/>
        <w:overflowPunct/>
        <w:topLinePunct w:val="0"/>
        <w:bidi w:val="0"/>
        <w:spacing w:line="560" w:lineRule="exact"/>
        <w:ind w:right="440"/>
        <w:jc w:val="right"/>
        <w:rPr>
          <w:rFonts w:hint="default" w:ascii="Times New Roman" w:hAnsi="Times New Roman" w:eastAsia="黑体" w:cs="Times New Roman"/>
          <w:b w:val="0"/>
          <w:color w:val="000000"/>
        </w:rPr>
      </w:pPr>
      <w:bookmarkStart w:id="24" w:name="_Toc15377204"/>
      <w:bookmarkStart w:id="25" w:name="_Toc15396602"/>
    </w:p>
    <w:p>
      <w:pPr>
        <w:pStyle w:val="3"/>
        <w:pageBreakBefore w:val="0"/>
        <w:kinsoku/>
        <w:wordWrap/>
        <w:overflowPunct/>
        <w:topLinePunct w:val="0"/>
        <w:bidi w:val="0"/>
        <w:spacing w:line="560" w:lineRule="exact"/>
        <w:ind w:right="440"/>
        <w:jc w:val="right"/>
        <w:rPr>
          <w:rFonts w:hint="default" w:ascii="Times New Roman" w:hAnsi="Times New Roman" w:eastAsia="黑体" w:cs="Times New Roman"/>
          <w:b w:val="0"/>
          <w:color w:val="000000"/>
        </w:rPr>
      </w:pPr>
    </w:p>
    <w:p>
      <w:pPr>
        <w:pStyle w:val="3"/>
        <w:pageBreakBefore w:val="0"/>
        <w:kinsoku/>
        <w:wordWrap/>
        <w:overflowPunct/>
        <w:topLinePunct w:val="0"/>
        <w:bidi w:val="0"/>
        <w:spacing w:line="560" w:lineRule="exact"/>
        <w:ind w:right="440"/>
        <w:jc w:val="right"/>
        <w:rPr>
          <w:rFonts w:hint="default" w:ascii="Times New Roman" w:hAnsi="Times New Roman" w:eastAsia="黑体" w:cs="Times New Roman"/>
          <w:b w:val="0"/>
          <w:color w:val="000000"/>
        </w:rPr>
      </w:pPr>
    </w:p>
    <w:p>
      <w:pPr>
        <w:pStyle w:val="3"/>
        <w:pageBreakBefore w:val="0"/>
        <w:kinsoku/>
        <w:wordWrap/>
        <w:overflowPunct/>
        <w:topLinePunct w:val="0"/>
        <w:bidi w:val="0"/>
        <w:spacing w:line="560" w:lineRule="exact"/>
        <w:ind w:right="440"/>
        <w:jc w:val="right"/>
        <w:rPr>
          <w:rFonts w:hint="default" w:ascii="Times New Roman" w:hAnsi="Times New Roman" w:eastAsia="黑体" w:cs="Times New Roman"/>
          <w:b w:val="0"/>
          <w:color w:val="000000"/>
        </w:rPr>
      </w:pPr>
    </w:p>
    <w:p>
      <w:pPr>
        <w:pStyle w:val="3"/>
        <w:pageBreakBefore w:val="0"/>
        <w:kinsoku/>
        <w:wordWrap/>
        <w:overflowPunct/>
        <w:topLinePunct w:val="0"/>
        <w:bidi w:val="0"/>
        <w:spacing w:line="560" w:lineRule="exact"/>
        <w:ind w:right="440"/>
        <w:jc w:val="both"/>
        <w:rPr>
          <w:rFonts w:hint="default" w:ascii="Times New Roman" w:hAnsi="Times New Roman" w:eastAsia="黑体" w:cs="Times New Roman"/>
          <w:b w:val="0"/>
          <w:color w:val="000000"/>
        </w:rPr>
      </w:pPr>
    </w:p>
    <w:p>
      <w:pPr>
        <w:pStyle w:val="3"/>
        <w:pageBreakBefore w:val="0"/>
        <w:kinsoku/>
        <w:wordWrap/>
        <w:overflowPunct/>
        <w:topLinePunct w:val="0"/>
        <w:bidi w:val="0"/>
        <w:spacing w:line="560" w:lineRule="exact"/>
        <w:ind w:right="440"/>
        <w:jc w:val="both"/>
        <w:rPr>
          <w:rFonts w:hint="default" w:ascii="Times New Roman" w:hAnsi="Times New Roman" w:eastAsia="黑体" w:cs="Times New Roman"/>
          <w:b w:val="0"/>
          <w:color w:val="000000"/>
        </w:rPr>
      </w:pPr>
    </w:p>
    <w:p>
      <w:pPr>
        <w:rPr>
          <w:rFonts w:hint="default" w:ascii="Times New Roman" w:hAnsi="Times New Roman" w:cs="Times New Roman"/>
        </w:rPr>
      </w:pPr>
    </w:p>
    <w:p>
      <w:pPr>
        <w:pStyle w:val="3"/>
        <w:pageBreakBefore w:val="0"/>
        <w:kinsoku/>
        <w:wordWrap/>
        <w:overflowPunct/>
        <w:topLinePunct w:val="0"/>
        <w:bidi w:val="0"/>
        <w:spacing w:line="560" w:lineRule="exact"/>
        <w:ind w:right="440"/>
        <w:jc w:val="both"/>
        <w:rPr>
          <w:rFonts w:hint="default" w:ascii="Times New Roman" w:hAnsi="Times New Roman" w:eastAsia="黑体" w:cs="Times New Roman"/>
          <w:b w:val="0"/>
          <w:color w:val="000000"/>
        </w:rPr>
      </w:pPr>
    </w:p>
    <w:p>
      <w:pPr>
        <w:pStyle w:val="3"/>
        <w:pageBreakBefore w:val="0"/>
        <w:kinsoku/>
        <w:wordWrap/>
        <w:overflowPunct/>
        <w:topLinePunct w:val="0"/>
        <w:bidi w:val="0"/>
        <w:spacing w:line="560" w:lineRule="exact"/>
        <w:jc w:val="center"/>
        <w:rPr>
          <w:rFonts w:hint="default" w:ascii="Times New Roman" w:hAnsi="Times New Roman" w:eastAsia="方正小标宋_GBK" w:cs="Times New Roman"/>
          <w:b w:val="0"/>
          <w:sz w:val="44"/>
          <w:szCs w:val="44"/>
        </w:rPr>
      </w:pPr>
      <w:r>
        <w:rPr>
          <w:rFonts w:hint="default" w:ascii="Times New Roman" w:hAnsi="Times New Roman" w:eastAsia="方正小标宋_GBK" w:cs="Times New Roman"/>
          <w:b w:val="0"/>
          <w:sz w:val="44"/>
          <w:szCs w:val="44"/>
        </w:rPr>
        <w:t>第二部分 202</w:t>
      </w:r>
      <w:r>
        <w:rPr>
          <w:rFonts w:hint="default" w:ascii="Times New Roman" w:hAnsi="Times New Roman" w:eastAsia="方正小标宋_GBK" w:cs="Times New Roman"/>
          <w:b w:val="0"/>
          <w:sz w:val="44"/>
          <w:szCs w:val="44"/>
          <w:lang w:val="en-US" w:eastAsia="zh-CN"/>
        </w:rPr>
        <w:t>2</w:t>
      </w:r>
      <w:r>
        <w:rPr>
          <w:rFonts w:hint="default" w:ascii="Times New Roman" w:hAnsi="Times New Roman" w:eastAsia="方正小标宋_GBK" w:cs="Times New Roman"/>
          <w:b w:val="0"/>
          <w:sz w:val="44"/>
          <w:szCs w:val="44"/>
        </w:rPr>
        <w:t>年度部门决算情况说明</w:t>
      </w:r>
      <w:bookmarkEnd w:id="24"/>
      <w:bookmarkEnd w:id="25"/>
    </w:p>
    <w:p>
      <w:pPr>
        <w:pageBreakBefore w:val="0"/>
        <w:kinsoku/>
        <w:wordWrap/>
        <w:overflowPunct/>
        <w:topLinePunct w:val="0"/>
        <w:autoSpaceDE w:val="0"/>
        <w:autoSpaceDN w:val="0"/>
        <w:bidi w:val="0"/>
        <w:adjustRightInd w:val="0"/>
        <w:snapToGrid/>
        <w:spacing w:line="240" w:lineRule="auto"/>
        <w:ind w:left="199" w:leftChars="95" w:firstLine="648" w:firstLineChars="200"/>
        <w:jc w:val="left"/>
        <w:textAlignment w:val="auto"/>
        <w:rPr>
          <w:rFonts w:hint="default" w:ascii="Times New Roman" w:hAnsi="Times New Roman" w:eastAsia="方正黑体_GBK" w:cs="Times New Roman"/>
          <w:color w:val="000000"/>
          <w:spacing w:val="2"/>
          <w:sz w:val="32"/>
          <w:szCs w:val="32"/>
          <w:lang w:val="zh-CN" w:eastAsia="zh-CN"/>
        </w:rPr>
      </w:pPr>
      <w:bookmarkStart w:id="26" w:name="_Toc15396603"/>
      <w:bookmarkStart w:id="27" w:name="_Toc15377205"/>
      <w:r>
        <w:rPr>
          <w:rFonts w:hint="default" w:ascii="Times New Roman" w:hAnsi="Times New Roman" w:eastAsia="方正黑体_GBK" w:cs="Times New Roman"/>
          <w:color w:val="000000"/>
          <w:spacing w:val="2"/>
          <w:sz w:val="32"/>
          <w:szCs w:val="32"/>
          <w:lang w:val="en-US" w:eastAsia="zh-CN"/>
        </w:rPr>
        <w:t>一、收入支出决算总体情况说明</w:t>
      </w:r>
      <w:bookmarkEnd w:id="26"/>
      <w:bookmarkEnd w:id="27"/>
      <w:r>
        <w:rPr>
          <w:rFonts w:hint="default" w:ascii="Times New Roman" w:hAnsi="Times New Roman" w:eastAsia="方正黑体_GBK" w:cs="Times New Roman"/>
          <w:color w:val="000000"/>
          <w:spacing w:val="2"/>
          <w:sz w:val="32"/>
          <w:szCs w:val="32"/>
          <w:lang w:val="zh-CN" w:eastAsia="zh-CN"/>
        </w:rPr>
        <w:t xml:space="preserve"> </w:t>
      </w:r>
    </w:p>
    <w:p>
      <w:pPr>
        <w:pageBreakBefore w:val="0"/>
        <w:kinsoku/>
        <w:wordWrap/>
        <w:overflowPunct/>
        <w:topLinePunct w:val="0"/>
        <w:autoSpaceDE w:val="0"/>
        <w:autoSpaceDN w:val="0"/>
        <w:bidi w:val="0"/>
        <w:adjustRightInd w:val="0"/>
        <w:snapToGrid/>
        <w:spacing w:line="240" w:lineRule="auto"/>
        <w:ind w:left="199" w:leftChars="95" w:firstLine="648" w:firstLineChars="200"/>
        <w:jc w:val="left"/>
        <w:textAlignment w:val="auto"/>
        <w:rPr>
          <w:rFonts w:hint="default" w:ascii="Times New Roman" w:hAnsi="Times New Roman" w:eastAsia="仿宋_GB2312" w:cs="Times New Roman"/>
          <w:color w:val="000000"/>
          <w:spacing w:val="2"/>
          <w:sz w:val="32"/>
          <w:szCs w:val="32"/>
          <w:lang w:val="zh-CN" w:eastAsia="zh-CN"/>
        </w:rPr>
      </w:pPr>
      <w:r>
        <w:rPr>
          <w:rFonts w:hint="default" w:ascii="Times New Roman" w:hAnsi="Times New Roman" w:eastAsia="仿宋_GB2312" w:cs="Times New Roman"/>
          <w:color w:val="000000"/>
          <w:spacing w:val="2"/>
          <w:sz w:val="32"/>
          <w:szCs w:val="32"/>
          <w:lang w:val="zh-CN" w:eastAsia="zh-CN"/>
        </w:rPr>
        <w:t>2022年度收、支总计1,762.37万元。与2021年相比，收、支总计各增加198.53万元，增长12.7%。</w:t>
      </w:r>
      <w:r>
        <w:rPr>
          <w:rFonts w:hint="default" w:ascii="Times New Roman" w:hAnsi="Times New Roman" w:eastAsia="仿宋_GB2312" w:cs="Times New Roman"/>
          <w:color w:val="000000"/>
          <w:spacing w:val="2"/>
          <w:sz w:val="32"/>
          <w:szCs w:val="32"/>
          <w:lang w:eastAsia="zh-CN"/>
        </w:rPr>
        <w:t>主要变动原因是人员经费政策调整及实施项目的增加，支出增加。</w:t>
      </w:r>
    </w:p>
    <w:p>
      <w:pPr>
        <w:pageBreakBefore w:val="0"/>
        <w:kinsoku/>
        <w:wordWrap/>
        <w:overflowPunct/>
        <w:topLinePunct w:val="0"/>
        <w:autoSpaceDE w:val="0"/>
        <w:autoSpaceDN w:val="0"/>
        <w:bidi w:val="0"/>
        <w:adjustRightInd w:val="0"/>
        <w:snapToGrid/>
        <w:spacing w:line="240" w:lineRule="auto"/>
        <w:ind w:left="199" w:leftChars="95" w:firstLine="648" w:firstLineChars="200"/>
        <w:jc w:val="left"/>
        <w:textAlignment w:val="auto"/>
        <w:rPr>
          <w:rFonts w:hint="default" w:ascii="Times New Roman" w:hAnsi="Times New Roman" w:eastAsia="仿宋_GB2312" w:cs="Times New Roman"/>
          <w:color w:val="000000"/>
          <w:spacing w:val="2"/>
          <w:sz w:val="32"/>
          <w:szCs w:val="32"/>
          <w:lang w:val="zh-CN" w:eastAsia="zh-CN"/>
        </w:rPr>
      </w:pPr>
      <w:r>
        <w:rPr>
          <w:rFonts w:hint="default" w:ascii="Times New Roman" w:hAnsi="Times New Roman" w:eastAsia="仿宋_GB2312" w:cs="Times New Roman"/>
          <w:color w:val="000000"/>
          <w:spacing w:val="2"/>
          <w:sz w:val="32"/>
          <w:szCs w:val="32"/>
          <w:lang w:val="zh-CN" w:eastAsia="zh-CN"/>
        </w:rPr>
        <w:t>（图1：收、支决算总计变动情况图）（柱状图）</w:t>
      </w:r>
    </w:p>
    <w:p>
      <w:pPr>
        <w:pageBreakBefore w:val="0"/>
        <w:kinsoku/>
        <w:wordWrap/>
        <w:overflowPunct/>
        <w:topLinePunct w:val="0"/>
        <w:bidi w:val="0"/>
        <w:spacing w:line="560" w:lineRule="exact"/>
        <w:ind w:firstLine="640" w:firstLineChars="200"/>
        <w:rPr>
          <w:rFonts w:hint="default" w:ascii="Times New Roman" w:hAnsi="Times New Roman" w:eastAsia="仿宋" w:cs="Times New Roman"/>
          <w:color w:val="000000" w:themeColor="text1"/>
          <w:sz w:val="32"/>
          <w:szCs w:val="32"/>
        </w:rPr>
      </w:pPr>
      <w:r>
        <w:rPr>
          <w:rFonts w:hint="default" w:ascii="Times New Roman" w:hAnsi="Times New Roman" w:eastAsia="仿宋" w:cs="Times New Roman"/>
          <w:color w:val="000000" w:themeColor="text1"/>
          <w:sz w:val="32"/>
          <w:szCs w:val="32"/>
        </w:rPr>
        <w:drawing>
          <wp:anchor distT="0" distB="0" distL="114300" distR="114300" simplePos="0" relativeHeight="251661312" behindDoc="0" locked="0" layoutInCell="1" allowOverlap="1">
            <wp:simplePos x="0" y="0"/>
            <wp:positionH relativeFrom="column">
              <wp:posOffset>647700</wp:posOffset>
            </wp:positionH>
            <wp:positionV relativeFrom="paragraph">
              <wp:posOffset>36830</wp:posOffset>
            </wp:positionV>
            <wp:extent cx="4126230" cy="2239645"/>
            <wp:effectExtent l="4445" t="4445" r="22225" b="22860"/>
            <wp:wrapNone/>
            <wp:docPr id="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anchor>
        </w:drawing>
      </w:r>
    </w:p>
    <w:p>
      <w:pPr>
        <w:pageBreakBefore w:val="0"/>
        <w:kinsoku/>
        <w:wordWrap/>
        <w:overflowPunct/>
        <w:topLinePunct w:val="0"/>
        <w:bidi w:val="0"/>
        <w:spacing w:line="560" w:lineRule="exact"/>
        <w:ind w:firstLine="640" w:firstLineChars="200"/>
        <w:rPr>
          <w:rFonts w:hint="default" w:ascii="Times New Roman" w:hAnsi="Times New Roman" w:eastAsia="仿宋" w:cs="Times New Roman"/>
          <w:color w:val="000000" w:themeColor="text1"/>
          <w:sz w:val="32"/>
          <w:szCs w:val="32"/>
        </w:rPr>
      </w:pPr>
    </w:p>
    <w:p>
      <w:pPr>
        <w:pageBreakBefore w:val="0"/>
        <w:kinsoku/>
        <w:wordWrap/>
        <w:overflowPunct/>
        <w:topLinePunct w:val="0"/>
        <w:bidi w:val="0"/>
        <w:spacing w:line="560" w:lineRule="exact"/>
        <w:ind w:firstLine="640" w:firstLineChars="200"/>
        <w:rPr>
          <w:rFonts w:hint="default" w:ascii="Times New Roman" w:hAnsi="Times New Roman" w:eastAsia="仿宋" w:cs="Times New Roman"/>
          <w:color w:val="000000" w:themeColor="text1"/>
          <w:sz w:val="32"/>
          <w:szCs w:val="32"/>
        </w:rPr>
      </w:pPr>
    </w:p>
    <w:p>
      <w:pPr>
        <w:pageBreakBefore w:val="0"/>
        <w:kinsoku/>
        <w:wordWrap/>
        <w:overflowPunct/>
        <w:topLinePunct w:val="0"/>
        <w:bidi w:val="0"/>
        <w:spacing w:line="560" w:lineRule="exact"/>
        <w:ind w:firstLine="640" w:firstLineChars="200"/>
        <w:rPr>
          <w:rFonts w:hint="default" w:ascii="Times New Roman" w:hAnsi="Times New Roman" w:eastAsia="仿宋" w:cs="Times New Roman"/>
          <w:color w:val="000000" w:themeColor="text1"/>
          <w:sz w:val="32"/>
          <w:szCs w:val="32"/>
        </w:rPr>
      </w:pPr>
    </w:p>
    <w:p>
      <w:pPr>
        <w:pageBreakBefore w:val="0"/>
        <w:kinsoku/>
        <w:wordWrap/>
        <w:overflowPunct/>
        <w:topLinePunct w:val="0"/>
        <w:bidi w:val="0"/>
        <w:spacing w:line="560" w:lineRule="exact"/>
        <w:ind w:firstLine="640" w:firstLineChars="200"/>
        <w:rPr>
          <w:rFonts w:hint="default" w:ascii="Times New Roman" w:hAnsi="Times New Roman" w:eastAsia="仿宋" w:cs="Times New Roman"/>
          <w:color w:val="000000" w:themeColor="text1"/>
          <w:sz w:val="32"/>
          <w:szCs w:val="32"/>
        </w:rPr>
      </w:pPr>
    </w:p>
    <w:p>
      <w:pPr>
        <w:pageBreakBefore w:val="0"/>
        <w:kinsoku/>
        <w:wordWrap/>
        <w:overflowPunct/>
        <w:topLinePunct w:val="0"/>
        <w:bidi w:val="0"/>
        <w:spacing w:line="560" w:lineRule="exact"/>
        <w:ind w:firstLine="640" w:firstLineChars="200"/>
        <w:rPr>
          <w:rFonts w:hint="default" w:ascii="Times New Roman" w:hAnsi="Times New Roman" w:eastAsia="仿宋" w:cs="Times New Roman"/>
          <w:color w:val="000000" w:themeColor="text1"/>
          <w:sz w:val="32"/>
          <w:szCs w:val="32"/>
        </w:rPr>
      </w:pPr>
    </w:p>
    <w:p>
      <w:pPr>
        <w:pageBreakBefore w:val="0"/>
        <w:kinsoku/>
        <w:wordWrap/>
        <w:overflowPunct/>
        <w:topLinePunct w:val="0"/>
        <w:bidi w:val="0"/>
        <w:spacing w:line="560" w:lineRule="exact"/>
        <w:ind w:firstLine="640" w:firstLineChars="200"/>
        <w:rPr>
          <w:rFonts w:hint="default" w:ascii="Times New Roman" w:hAnsi="Times New Roman" w:eastAsia="仿宋" w:cs="Times New Roman"/>
          <w:color w:val="000000" w:themeColor="text1"/>
          <w:sz w:val="32"/>
          <w:szCs w:val="32"/>
        </w:rPr>
      </w:pPr>
    </w:p>
    <w:p>
      <w:pPr>
        <w:pageBreakBefore w:val="0"/>
        <w:kinsoku/>
        <w:wordWrap/>
        <w:overflowPunct/>
        <w:topLinePunct w:val="0"/>
        <w:autoSpaceDE w:val="0"/>
        <w:autoSpaceDN w:val="0"/>
        <w:bidi w:val="0"/>
        <w:adjustRightInd w:val="0"/>
        <w:snapToGrid/>
        <w:spacing w:line="240" w:lineRule="auto"/>
        <w:ind w:left="199" w:leftChars="95" w:firstLine="648" w:firstLineChars="200"/>
        <w:jc w:val="left"/>
        <w:textAlignment w:val="auto"/>
        <w:rPr>
          <w:rFonts w:hint="default" w:ascii="Times New Roman" w:hAnsi="Times New Roman" w:eastAsia="方正黑体_GBK" w:cs="Times New Roman"/>
          <w:color w:val="000000"/>
          <w:spacing w:val="2"/>
          <w:sz w:val="32"/>
          <w:szCs w:val="32"/>
          <w:lang w:val="en-US" w:eastAsia="zh-CN"/>
        </w:rPr>
      </w:pPr>
      <w:r>
        <w:rPr>
          <w:rFonts w:hint="default" w:ascii="Times New Roman" w:hAnsi="Times New Roman" w:eastAsia="方正黑体_GBK" w:cs="Times New Roman"/>
          <w:color w:val="000000"/>
          <w:spacing w:val="2"/>
          <w:sz w:val="32"/>
          <w:szCs w:val="32"/>
          <w:lang w:val="en-US" w:eastAsia="zh-CN"/>
        </w:rPr>
        <w:drawing>
          <wp:anchor distT="0" distB="0" distL="114300" distR="114300" simplePos="0" relativeHeight="251659264" behindDoc="0" locked="0" layoutInCell="1" allowOverlap="1">
            <wp:simplePos x="0" y="0"/>
            <wp:positionH relativeFrom="column">
              <wp:posOffset>7467600</wp:posOffset>
            </wp:positionH>
            <wp:positionV relativeFrom="paragraph">
              <wp:posOffset>323850</wp:posOffset>
            </wp:positionV>
            <wp:extent cx="5080000" cy="3810000"/>
            <wp:effectExtent l="19050" t="0" r="25400" b="0"/>
            <wp:wrapNone/>
            <wp:docPr id="1"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bookmarkStart w:id="28" w:name="_Toc15396604"/>
      <w:bookmarkStart w:id="29" w:name="_Toc15377206"/>
      <w:r>
        <w:rPr>
          <w:rFonts w:hint="default" w:ascii="Times New Roman" w:hAnsi="Times New Roman" w:eastAsia="方正黑体_GBK" w:cs="Times New Roman"/>
          <w:color w:val="000000"/>
          <w:spacing w:val="2"/>
          <w:sz w:val="32"/>
          <w:szCs w:val="32"/>
          <w:lang w:val="en-US" w:eastAsia="zh-CN"/>
        </w:rPr>
        <w:t>二、收入决算情况说明</w:t>
      </w:r>
      <w:bookmarkEnd w:id="28"/>
      <w:bookmarkEnd w:id="29"/>
    </w:p>
    <w:p>
      <w:pPr>
        <w:pageBreakBefore w:val="0"/>
        <w:kinsoku/>
        <w:wordWrap/>
        <w:overflowPunct/>
        <w:topLinePunct w:val="0"/>
        <w:autoSpaceDE w:val="0"/>
        <w:autoSpaceDN w:val="0"/>
        <w:bidi w:val="0"/>
        <w:adjustRightInd w:val="0"/>
        <w:snapToGrid/>
        <w:spacing w:line="240" w:lineRule="auto"/>
        <w:ind w:left="199" w:leftChars="95" w:firstLine="648" w:firstLineChars="200"/>
        <w:jc w:val="left"/>
        <w:textAlignment w:val="auto"/>
        <w:rPr>
          <w:rFonts w:hint="default" w:ascii="Times New Roman" w:hAnsi="Times New Roman" w:eastAsia="仿宋_GB2312" w:cs="Times New Roman"/>
          <w:color w:val="000000"/>
          <w:spacing w:val="2"/>
          <w:sz w:val="32"/>
          <w:szCs w:val="32"/>
          <w:lang w:val="zh-CN" w:eastAsia="zh-CN"/>
        </w:rPr>
      </w:pPr>
      <w:r>
        <w:rPr>
          <w:rFonts w:hint="default" w:ascii="Times New Roman" w:hAnsi="Times New Roman" w:eastAsia="仿宋_GB2312" w:cs="Times New Roman"/>
          <w:color w:val="000000"/>
          <w:spacing w:val="2"/>
          <w:sz w:val="32"/>
          <w:szCs w:val="32"/>
          <w:lang w:val="zh-CN" w:eastAsia="zh-CN"/>
        </w:rPr>
        <w:t>2022年本年收入合计1,761.07万元，其中：一般公共预算财政拨款收入1,541.51万元，占87.5%；政府性基金预算财政拨款收入219.56万元，占12.5%。</w:t>
      </w:r>
    </w:p>
    <w:p>
      <w:pPr>
        <w:pageBreakBefore w:val="0"/>
        <w:kinsoku/>
        <w:wordWrap/>
        <w:overflowPunct/>
        <w:topLinePunct w:val="0"/>
        <w:autoSpaceDE w:val="0"/>
        <w:autoSpaceDN w:val="0"/>
        <w:bidi w:val="0"/>
        <w:adjustRightInd w:val="0"/>
        <w:snapToGrid/>
        <w:spacing w:line="240" w:lineRule="auto"/>
        <w:ind w:left="199" w:leftChars="95" w:firstLine="648" w:firstLineChars="200"/>
        <w:jc w:val="left"/>
        <w:textAlignment w:val="auto"/>
        <w:rPr>
          <w:rFonts w:hint="default" w:ascii="Times New Roman" w:hAnsi="Times New Roman" w:eastAsia="仿宋_GB2312" w:cs="Times New Roman"/>
          <w:color w:val="000000"/>
          <w:spacing w:val="2"/>
          <w:sz w:val="32"/>
          <w:szCs w:val="32"/>
          <w:lang w:val="zh-CN" w:eastAsia="zh-CN"/>
        </w:rPr>
      </w:pPr>
      <w:r>
        <w:rPr>
          <w:rFonts w:hint="default" w:ascii="Times New Roman" w:hAnsi="Times New Roman" w:eastAsia="仿宋_GB2312" w:cs="Times New Roman"/>
          <w:color w:val="000000"/>
          <w:spacing w:val="2"/>
          <w:sz w:val="32"/>
          <w:szCs w:val="32"/>
          <w:lang w:val="zh-CN" w:eastAsia="zh-CN"/>
        </w:rPr>
        <w:t>（图2：收入决算结构图）（饼状图）</w:t>
      </w:r>
    </w:p>
    <w:p>
      <w:pPr>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FF0000"/>
          <w:sz w:val="32"/>
          <w:szCs w:val="32"/>
        </w:rPr>
      </w:pPr>
      <w:r>
        <w:rPr>
          <w:rFonts w:hint="default" w:ascii="Times New Roman" w:hAnsi="Times New Roman" w:eastAsia="仿宋_GB2312" w:cs="Times New Roman"/>
          <w:color w:val="FF0000"/>
          <w:sz w:val="32"/>
          <w:szCs w:val="32"/>
        </w:rPr>
        <w:drawing>
          <wp:anchor distT="0" distB="0" distL="114300" distR="114300" simplePos="0" relativeHeight="251660288" behindDoc="0" locked="0" layoutInCell="1" allowOverlap="1">
            <wp:simplePos x="0" y="0"/>
            <wp:positionH relativeFrom="column">
              <wp:posOffset>381000</wp:posOffset>
            </wp:positionH>
            <wp:positionV relativeFrom="paragraph">
              <wp:posOffset>87630</wp:posOffset>
            </wp:positionV>
            <wp:extent cx="4564380" cy="2000885"/>
            <wp:effectExtent l="4445" t="4445" r="22225" b="13970"/>
            <wp:wrapNone/>
            <wp:docPr id="2"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pPr>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FF0000"/>
          <w:sz w:val="32"/>
          <w:szCs w:val="32"/>
        </w:rPr>
      </w:pPr>
    </w:p>
    <w:p>
      <w:pPr>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FF0000"/>
          <w:sz w:val="32"/>
          <w:szCs w:val="32"/>
        </w:rPr>
      </w:pPr>
    </w:p>
    <w:p>
      <w:pPr>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FF0000"/>
          <w:sz w:val="32"/>
          <w:szCs w:val="32"/>
        </w:rPr>
      </w:pPr>
    </w:p>
    <w:p>
      <w:pPr>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FF0000"/>
          <w:sz w:val="32"/>
          <w:szCs w:val="32"/>
        </w:rPr>
      </w:pPr>
    </w:p>
    <w:p>
      <w:pPr>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FF0000"/>
          <w:sz w:val="32"/>
          <w:szCs w:val="32"/>
        </w:rPr>
      </w:pPr>
    </w:p>
    <w:p>
      <w:pPr>
        <w:pageBreakBefore w:val="0"/>
        <w:kinsoku/>
        <w:wordWrap/>
        <w:overflowPunct/>
        <w:topLinePunct w:val="0"/>
        <w:autoSpaceDE w:val="0"/>
        <w:autoSpaceDN w:val="0"/>
        <w:bidi w:val="0"/>
        <w:adjustRightInd w:val="0"/>
        <w:snapToGrid/>
        <w:spacing w:line="240" w:lineRule="auto"/>
        <w:ind w:left="199" w:leftChars="95" w:firstLine="648" w:firstLineChars="200"/>
        <w:jc w:val="left"/>
        <w:textAlignment w:val="auto"/>
        <w:rPr>
          <w:rFonts w:hint="default" w:ascii="Times New Roman" w:hAnsi="Times New Roman" w:eastAsia="方正黑体_GBK" w:cs="Times New Roman"/>
          <w:color w:val="000000"/>
          <w:spacing w:val="2"/>
          <w:sz w:val="32"/>
          <w:szCs w:val="32"/>
          <w:lang w:val="en-US" w:eastAsia="zh-CN"/>
        </w:rPr>
      </w:pPr>
      <w:r>
        <w:rPr>
          <w:rFonts w:hint="default" w:ascii="Times New Roman" w:hAnsi="Times New Roman" w:eastAsia="方正黑体_GBK" w:cs="Times New Roman"/>
          <w:color w:val="000000"/>
          <w:spacing w:val="2"/>
          <w:sz w:val="32"/>
          <w:szCs w:val="32"/>
          <w:lang w:val="en-US" w:eastAsia="zh-CN"/>
        </w:rPr>
        <w:t>三、支出决算情况说明</w:t>
      </w:r>
    </w:p>
    <w:p>
      <w:pPr>
        <w:keepNext/>
        <w:keepLines/>
        <w:pageBreakBefore w:val="0"/>
        <w:kinsoku/>
        <w:wordWrap/>
        <w:overflowPunct/>
        <w:topLinePunct w:val="0"/>
        <w:bidi w:val="0"/>
        <w:spacing w:line="560" w:lineRule="exact"/>
        <w:ind w:firstLine="640"/>
        <w:jc w:val="both"/>
        <w:rPr>
          <w:rFonts w:hint="default" w:ascii="Times New Roman" w:hAnsi="Times New Roman" w:eastAsia="仿宋_GB2312" w:cs="Times New Roman"/>
          <w:color w:val="000000"/>
          <w:kern w:val="2"/>
          <w:sz w:val="32"/>
          <w:szCs w:val="24"/>
          <w:lang w:val="zh-CN"/>
        </w:rPr>
      </w:pPr>
      <w:r>
        <w:rPr>
          <w:rFonts w:hint="default" w:ascii="Times New Roman" w:hAnsi="Times New Roman" w:eastAsia="仿宋_GB2312" w:cs="Times New Roman"/>
          <w:color w:val="000000"/>
          <w:kern w:val="2"/>
          <w:sz w:val="32"/>
          <w:szCs w:val="24"/>
          <w:lang w:val="zh-CN"/>
        </w:rPr>
        <w:t>2022年本年支出合计1,762.05万元，其中：基本支出978.5万元，占55.5%；项目支出783.56万元，占44.5%；。</w:t>
      </w:r>
    </w:p>
    <w:p>
      <w:pPr>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FF0000"/>
          <w:sz w:val="32"/>
          <w:szCs w:val="32"/>
        </w:rPr>
      </w:pPr>
      <w:r>
        <w:rPr>
          <w:rFonts w:hint="default" w:ascii="Times New Roman" w:hAnsi="Times New Roman" w:eastAsia="仿宋" w:cs="Times New Roman"/>
          <w:color w:val="000000" w:themeColor="text1"/>
          <w:sz w:val="32"/>
          <w:szCs w:val="32"/>
        </w:rPr>
        <w:t>（图3：支出决算结构图）（饼状图）</w:t>
      </w:r>
    </w:p>
    <w:p>
      <w:pPr>
        <w:pageBreakBefore w:val="0"/>
        <w:kinsoku/>
        <w:wordWrap/>
        <w:overflowPunct/>
        <w:topLinePunct w:val="0"/>
        <w:bidi w:val="0"/>
        <w:spacing w:line="560" w:lineRule="exact"/>
        <w:rPr>
          <w:rFonts w:hint="default" w:ascii="Times New Roman" w:hAnsi="Times New Roman" w:eastAsia="仿宋_GB2312" w:cs="Times New Roman"/>
          <w:color w:val="FF0000"/>
          <w:sz w:val="32"/>
          <w:szCs w:val="32"/>
        </w:rPr>
      </w:pPr>
      <w:r>
        <w:rPr>
          <w:rFonts w:hint="default" w:ascii="Times New Roman" w:hAnsi="Times New Roman" w:eastAsia="仿宋_GB2312" w:cs="Times New Roman"/>
          <w:color w:val="FF0000"/>
          <w:sz w:val="32"/>
          <w:szCs w:val="32"/>
        </w:rPr>
        <w:drawing>
          <wp:anchor distT="0" distB="0" distL="114300" distR="114300" simplePos="0" relativeHeight="251662336" behindDoc="0" locked="0" layoutInCell="1" allowOverlap="1">
            <wp:simplePos x="0" y="0"/>
            <wp:positionH relativeFrom="column">
              <wp:posOffset>400050</wp:posOffset>
            </wp:positionH>
            <wp:positionV relativeFrom="paragraph">
              <wp:posOffset>125730</wp:posOffset>
            </wp:positionV>
            <wp:extent cx="4686935" cy="2034540"/>
            <wp:effectExtent l="4445" t="5080" r="13970" b="17780"/>
            <wp:wrapNone/>
            <wp:docPr id="6"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pPr>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FF0000"/>
          <w:sz w:val="32"/>
          <w:szCs w:val="32"/>
        </w:rPr>
      </w:pPr>
    </w:p>
    <w:p>
      <w:pPr>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FF0000"/>
          <w:sz w:val="32"/>
          <w:szCs w:val="32"/>
        </w:rPr>
      </w:pPr>
    </w:p>
    <w:p>
      <w:pPr>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FF0000"/>
          <w:sz w:val="32"/>
          <w:szCs w:val="32"/>
        </w:rPr>
      </w:pPr>
    </w:p>
    <w:p>
      <w:pPr>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FF0000"/>
          <w:sz w:val="32"/>
          <w:szCs w:val="32"/>
        </w:rPr>
      </w:pPr>
    </w:p>
    <w:p>
      <w:pPr>
        <w:pageBreakBefore w:val="0"/>
        <w:kinsoku/>
        <w:wordWrap/>
        <w:overflowPunct/>
        <w:topLinePunct w:val="0"/>
        <w:bidi w:val="0"/>
        <w:spacing w:line="560" w:lineRule="exact"/>
        <w:rPr>
          <w:rFonts w:hint="default" w:ascii="Times New Roman" w:hAnsi="Times New Roman" w:eastAsia="仿宋_GB2312" w:cs="Times New Roman"/>
          <w:color w:val="FF0000"/>
          <w:sz w:val="32"/>
          <w:szCs w:val="32"/>
        </w:rPr>
      </w:pPr>
    </w:p>
    <w:p>
      <w:pPr>
        <w:pageBreakBefore w:val="0"/>
        <w:kinsoku/>
        <w:wordWrap/>
        <w:overflowPunct/>
        <w:topLinePunct w:val="0"/>
        <w:autoSpaceDE w:val="0"/>
        <w:autoSpaceDN w:val="0"/>
        <w:bidi w:val="0"/>
        <w:adjustRightInd w:val="0"/>
        <w:snapToGrid/>
        <w:spacing w:line="240" w:lineRule="auto"/>
        <w:ind w:left="199" w:leftChars="95" w:firstLine="648" w:firstLineChars="200"/>
        <w:jc w:val="left"/>
        <w:textAlignment w:val="auto"/>
        <w:rPr>
          <w:rFonts w:hint="default" w:ascii="Times New Roman" w:hAnsi="Times New Roman" w:eastAsia="方正黑体_GBK" w:cs="Times New Roman"/>
          <w:color w:val="000000"/>
          <w:spacing w:val="2"/>
          <w:sz w:val="32"/>
          <w:szCs w:val="32"/>
          <w:lang w:val="en-US" w:eastAsia="zh-CN"/>
        </w:rPr>
      </w:pPr>
      <w:bookmarkStart w:id="30" w:name="_Toc15396606"/>
      <w:bookmarkStart w:id="31" w:name="_Toc15377208"/>
      <w:r>
        <w:rPr>
          <w:rFonts w:hint="default" w:ascii="Times New Roman" w:hAnsi="Times New Roman" w:eastAsia="方正黑体_GBK" w:cs="Times New Roman"/>
          <w:color w:val="000000"/>
          <w:spacing w:val="2"/>
          <w:sz w:val="32"/>
          <w:szCs w:val="32"/>
          <w:lang w:val="en-US" w:eastAsia="zh-CN"/>
        </w:rPr>
        <w:t>四、财政拨款收入支出决算总体情况说明</w:t>
      </w:r>
      <w:bookmarkEnd w:id="30"/>
      <w:bookmarkEnd w:id="31"/>
    </w:p>
    <w:p>
      <w:pPr>
        <w:pageBreakBefore w:val="0"/>
        <w:kinsoku/>
        <w:wordWrap/>
        <w:overflowPunct/>
        <w:topLinePunct w:val="0"/>
        <w:bidi w:val="0"/>
        <w:spacing w:line="560" w:lineRule="exact"/>
        <w:ind w:firstLine="709"/>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kern w:val="2"/>
          <w:sz w:val="32"/>
          <w:szCs w:val="24"/>
          <w:lang w:val="zh-CN"/>
        </w:rPr>
        <w:t>2022年财政拨款收、支总计1,761.07万元。与2021年相比，财政拨款收、支总计各增加249.23万元，增长16.5%。</w:t>
      </w:r>
      <w:r>
        <w:rPr>
          <w:rFonts w:hint="default" w:ascii="Times New Roman" w:hAnsi="Times New Roman" w:eastAsia="仿宋" w:cs="Times New Roman"/>
          <w:sz w:val="32"/>
          <w:szCs w:val="32"/>
        </w:rPr>
        <w:t>主要变动原因是</w:t>
      </w:r>
      <w:r>
        <w:rPr>
          <w:rFonts w:hint="default" w:ascii="Times New Roman" w:hAnsi="Times New Roman" w:eastAsia="仿宋_GB2312" w:cs="Times New Roman"/>
          <w:color w:val="000000"/>
          <w:sz w:val="32"/>
          <w:szCs w:val="32"/>
        </w:rPr>
        <w:t>人员经费政策调整及实施</w:t>
      </w:r>
      <w:r>
        <w:rPr>
          <w:rFonts w:hint="default" w:ascii="Times New Roman" w:hAnsi="Times New Roman" w:eastAsia="仿宋_GB2312" w:cs="Times New Roman"/>
          <w:sz w:val="32"/>
          <w:szCs w:val="32"/>
          <w:lang w:eastAsia="zh-CN"/>
        </w:rPr>
        <w:t>年中增加项目经费</w:t>
      </w:r>
      <w:r>
        <w:rPr>
          <w:rFonts w:hint="default" w:ascii="Times New Roman" w:hAnsi="Times New Roman" w:eastAsia="仿宋_GB2312" w:cs="Times New Roman"/>
          <w:color w:val="000000"/>
          <w:sz w:val="32"/>
          <w:szCs w:val="32"/>
        </w:rPr>
        <w:t>的</w:t>
      </w:r>
      <w:r>
        <w:rPr>
          <w:rFonts w:hint="default" w:ascii="Times New Roman" w:hAnsi="Times New Roman" w:eastAsia="仿宋_GB2312" w:cs="Times New Roman"/>
          <w:color w:val="000000"/>
          <w:sz w:val="32"/>
          <w:szCs w:val="32"/>
          <w:lang w:eastAsia="zh-CN"/>
        </w:rPr>
        <w:t>增加</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eastAsia="zh-CN"/>
        </w:rPr>
        <w:t>相应</w:t>
      </w:r>
      <w:r>
        <w:rPr>
          <w:rFonts w:hint="default" w:ascii="Times New Roman" w:hAnsi="Times New Roman" w:eastAsia="仿宋_GB2312" w:cs="Times New Roman"/>
          <w:color w:val="000000"/>
          <w:kern w:val="2"/>
          <w:sz w:val="32"/>
          <w:szCs w:val="24"/>
          <w:lang w:val="zh-CN"/>
        </w:rPr>
        <w:t>财政拨款</w:t>
      </w:r>
      <w:r>
        <w:rPr>
          <w:rFonts w:hint="default" w:ascii="Times New Roman" w:hAnsi="Times New Roman" w:eastAsia="仿宋_GB2312" w:cs="Times New Roman"/>
          <w:color w:val="000000"/>
          <w:sz w:val="32"/>
          <w:szCs w:val="32"/>
        </w:rPr>
        <w:t>支</w:t>
      </w:r>
      <w:r>
        <w:rPr>
          <w:rFonts w:hint="default" w:ascii="Times New Roman" w:hAnsi="Times New Roman" w:eastAsia="仿宋_GB2312" w:cs="Times New Roman"/>
          <w:color w:val="000000"/>
          <w:sz w:val="32"/>
          <w:szCs w:val="32"/>
          <w:lang w:eastAsia="zh-CN"/>
        </w:rPr>
        <w:t>出增加</w:t>
      </w:r>
      <w:r>
        <w:rPr>
          <w:rFonts w:hint="default" w:ascii="Times New Roman" w:hAnsi="Times New Roman" w:eastAsia="仿宋_GB2312" w:cs="Times New Roman"/>
          <w:color w:val="000000"/>
          <w:sz w:val="32"/>
          <w:szCs w:val="32"/>
        </w:rPr>
        <w:t>。</w:t>
      </w:r>
    </w:p>
    <w:p>
      <w:pPr>
        <w:pageBreakBefore w:val="0"/>
        <w:kinsoku/>
        <w:wordWrap/>
        <w:overflowPunct/>
        <w:topLinePunct w:val="0"/>
        <w:bidi w:val="0"/>
        <w:spacing w:line="560" w:lineRule="exact"/>
        <w:ind w:firstLine="160" w:firstLineChars="50"/>
        <w:rPr>
          <w:rFonts w:hint="default" w:ascii="Times New Roman" w:hAnsi="Times New Roman" w:eastAsia="仿宋" w:cs="Times New Roman"/>
          <w:b/>
          <w:color w:val="00B050"/>
          <w:sz w:val="32"/>
          <w:szCs w:val="32"/>
        </w:rPr>
      </w:pPr>
      <w:r>
        <w:rPr>
          <w:rFonts w:hint="default" w:ascii="Times New Roman" w:hAnsi="Times New Roman" w:eastAsia="仿宋" w:cs="Times New Roman"/>
          <w:color w:val="000000" w:themeColor="text1"/>
          <w:sz w:val="32"/>
          <w:szCs w:val="32"/>
        </w:rPr>
        <w:drawing>
          <wp:anchor distT="0" distB="0" distL="114300" distR="114300" simplePos="0" relativeHeight="251663360" behindDoc="0" locked="0" layoutInCell="1" allowOverlap="1">
            <wp:simplePos x="0" y="0"/>
            <wp:positionH relativeFrom="column">
              <wp:posOffset>247650</wp:posOffset>
            </wp:positionH>
            <wp:positionV relativeFrom="paragraph">
              <wp:posOffset>368300</wp:posOffset>
            </wp:positionV>
            <wp:extent cx="5077460" cy="2847975"/>
            <wp:effectExtent l="4445" t="4445" r="23495" b="5080"/>
            <wp:wrapNone/>
            <wp:docPr id="7"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default" w:ascii="Times New Roman" w:hAnsi="Times New Roman" w:eastAsia="仿宋" w:cs="Times New Roman"/>
          <w:color w:val="000000" w:themeColor="text1"/>
          <w:sz w:val="32"/>
          <w:szCs w:val="32"/>
        </w:rPr>
        <w:t>（图4：财政拨款收、支决算总计变动情况）（柱状图）</w:t>
      </w:r>
    </w:p>
    <w:p>
      <w:pPr>
        <w:pageBreakBefore w:val="0"/>
        <w:kinsoku/>
        <w:wordWrap/>
        <w:overflowPunct/>
        <w:topLinePunct w:val="0"/>
        <w:bidi w:val="0"/>
        <w:spacing w:line="560" w:lineRule="exact"/>
        <w:ind w:firstLine="640"/>
        <w:rPr>
          <w:rFonts w:hint="default" w:ascii="Times New Roman" w:hAnsi="Times New Roman" w:eastAsia="仿宋" w:cs="Times New Roman"/>
          <w:b/>
          <w:color w:val="00B050"/>
          <w:sz w:val="32"/>
          <w:szCs w:val="32"/>
        </w:rPr>
      </w:pPr>
    </w:p>
    <w:p>
      <w:pPr>
        <w:pageBreakBefore w:val="0"/>
        <w:kinsoku/>
        <w:wordWrap/>
        <w:overflowPunct/>
        <w:topLinePunct w:val="0"/>
        <w:bidi w:val="0"/>
        <w:spacing w:line="560" w:lineRule="exact"/>
        <w:ind w:firstLine="640"/>
        <w:rPr>
          <w:rFonts w:hint="default" w:ascii="Times New Roman" w:hAnsi="Times New Roman" w:eastAsia="仿宋" w:cs="Times New Roman"/>
          <w:b/>
          <w:color w:val="00B050"/>
          <w:sz w:val="32"/>
          <w:szCs w:val="32"/>
        </w:rPr>
      </w:pPr>
    </w:p>
    <w:p>
      <w:pPr>
        <w:pageBreakBefore w:val="0"/>
        <w:kinsoku/>
        <w:wordWrap/>
        <w:overflowPunct/>
        <w:topLinePunct w:val="0"/>
        <w:bidi w:val="0"/>
        <w:spacing w:line="560" w:lineRule="exact"/>
        <w:ind w:firstLine="640"/>
        <w:rPr>
          <w:rFonts w:hint="default" w:ascii="Times New Roman" w:hAnsi="Times New Roman" w:eastAsia="仿宋" w:cs="Times New Roman"/>
          <w:b/>
          <w:color w:val="00B050"/>
          <w:sz w:val="32"/>
          <w:szCs w:val="32"/>
        </w:rPr>
      </w:pPr>
    </w:p>
    <w:p>
      <w:pPr>
        <w:pageBreakBefore w:val="0"/>
        <w:kinsoku/>
        <w:wordWrap/>
        <w:overflowPunct/>
        <w:topLinePunct w:val="0"/>
        <w:bidi w:val="0"/>
        <w:spacing w:line="560" w:lineRule="exact"/>
        <w:ind w:firstLine="640"/>
        <w:rPr>
          <w:rFonts w:hint="default" w:ascii="Times New Roman" w:hAnsi="Times New Roman" w:eastAsia="仿宋" w:cs="Times New Roman"/>
          <w:b/>
          <w:color w:val="00B050"/>
          <w:sz w:val="32"/>
          <w:szCs w:val="32"/>
        </w:rPr>
      </w:pPr>
    </w:p>
    <w:p>
      <w:pPr>
        <w:pageBreakBefore w:val="0"/>
        <w:kinsoku/>
        <w:wordWrap/>
        <w:overflowPunct/>
        <w:topLinePunct w:val="0"/>
        <w:bidi w:val="0"/>
        <w:spacing w:line="560" w:lineRule="exact"/>
        <w:ind w:firstLine="640"/>
        <w:rPr>
          <w:rFonts w:hint="default" w:ascii="Times New Roman" w:hAnsi="Times New Roman" w:eastAsia="仿宋" w:cs="Times New Roman"/>
          <w:b/>
          <w:color w:val="00B050"/>
          <w:sz w:val="32"/>
          <w:szCs w:val="32"/>
        </w:rPr>
      </w:pPr>
    </w:p>
    <w:p>
      <w:pPr>
        <w:pageBreakBefore w:val="0"/>
        <w:kinsoku/>
        <w:wordWrap/>
        <w:overflowPunct/>
        <w:topLinePunct w:val="0"/>
        <w:bidi w:val="0"/>
        <w:spacing w:line="560" w:lineRule="exact"/>
        <w:ind w:firstLine="640"/>
        <w:rPr>
          <w:rFonts w:hint="default" w:ascii="Times New Roman" w:hAnsi="Times New Roman" w:eastAsia="仿宋" w:cs="Times New Roman"/>
          <w:b/>
          <w:color w:val="00B050"/>
          <w:sz w:val="32"/>
          <w:szCs w:val="32"/>
        </w:rPr>
      </w:pPr>
    </w:p>
    <w:p>
      <w:pPr>
        <w:pageBreakBefore w:val="0"/>
        <w:kinsoku/>
        <w:wordWrap/>
        <w:overflowPunct/>
        <w:topLinePunct w:val="0"/>
        <w:bidi w:val="0"/>
        <w:spacing w:line="560" w:lineRule="exact"/>
        <w:ind w:firstLine="640" w:firstLineChars="200"/>
        <w:outlineLvl w:val="1"/>
        <w:rPr>
          <w:rFonts w:hint="default" w:ascii="Times New Roman" w:hAnsi="Times New Roman" w:eastAsia="黑体" w:cs="Times New Roman"/>
          <w:color w:val="000000"/>
          <w:sz w:val="32"/>
          <w:szCs w:val="32"/>
        </w:rPr>
      </w:pPr>
      <w:bookmarkStart w:id="32" w:name="_Toc15377210"/>
    </w:p>
    <w:p>
      <w:pPr>
        <w:pageBreakBefore w:val="0"/>
        <w:kinsoku/>
        <w:wordWrap/>
        <w:overflowPunct/>
        <w:topLinePunct w:val="0"/>
        <w:bidi w:val="0"/>
        <w:spacing w:line="560" w:lineRule="exact"/>
        <w:ind w:firstLine="640" w:firstLineChars="200"/>
        <w:outlineLvl w:val="1"/>
        <w:rPr>
          <w:rFonts w:hint="default" w:ascii="Times New Roman" w:hAnsi="Times New Roman" w:eastAsia="黑体" w:cs="Times New Roman"/>
          <w:color w:val="000000"/>
          <w:sz w:val="32"/>
          <w:szCs w:val="32"/>
        </w:rPr>
      </w:pPr>
    </w:p>
    <w:bookmarkEnd w:id="32"/>
    <w:p>
      <w:pPr>
        <w:pageBreakBefore w:val="0"/>
        <w:kinsoku/>
        <w:wordWrap/>
        <w:overflowPunct/>
        <w:topLinePunct w:val="0"/>
        <w:bidi w:val="0"/>
        <w:spacing w:line="560" w:lineRule="exact"/>
        <w:ind w:firstLine="709"/>
        <w:rPr>
          <w:rFonts w:hint="default" w:ascii="Times New Roman" w:hAnsi="Times New Roman" w:eastAsia="仿宋_GB2312" w:cs="Times New Roman"/>
          <w:b/>
          <w:color w:val="000000"/>
          <w:kern w:val="2"/>
          <w:sz w:val="32"/>
          <w:szCs w:val="24"/>
          <w:lang w:val="zh-CN"/>
        </w:rPr>
      </w:pPr>
    </w:p>
    <w:p>
      <w:pPr>
        <w:pageBreakBefore w:val="0"/>
        <w:kinsoku/>
        <w:wordWrap/>
        <w:overflowPunct/>
        <w:topLinePunct w:val="0"/>
        <w:autoSpaceDE w:val="0"/>
        <w:autoSpaceDN w:val="0"/>
        <w:bidi w:val="0"/>
        <w:adjustRightInd w:val="0"/>
        <w:snapToGrid/>
        <w:spacing w:line="240" w:lineRule="auto"/>
        <w:ind w:left="199" w:leftChars="95" w:firstLine="648" w:firstLineChars="200"/>
        <w:jc w:val="left"/>
        <w:textAlignment w:val="auto"/>
        <w:rPr>
          <w:rFonts w:hint="default" w:ascii="Times New Roman" w:hAnsi="Times New Roman" w:eastAsia="方正黑体_GBK" w:cs="Times New Roman"/>
          <w:color w:val="000000"/>
          <w:spacing w:val="2"/>
          <w:sz w:val="32"/>
          <w:szCs w:val="32"/>
          <w:lang w:val="zh-CN" w:eastAsia="zh-CN"/>
        </w:rPr>
      </w:pPr>
      <w:bookmarkStart w:id="33" w:name="_Toc15396607"/>
      <w:bookmarkStart w:id="34" w:name="_Toc15377209"/>
      <w:r>
        <w:rPr>
          <w:rFonts w:hint="default" w:ascii="Times New Roman" w:hAnsi="Times New Roman" w:eastAsia="方正黑体_GBK" w:cs="Times New Roman"/>
          <w:color w:val="000000"/>
          <w:spacing w:val="2"/>
          <w:sz w:val="32"/>
          <w:szCs w:val="32"/>
          <w:lang w:val="en-US" w:eastAsia="zh-CN"/>
        </w:rPr>
        <w:t>五、一般公共预算财政拨款支出决算情况说明</w:t>
      </w:r>
      <w:bookmarkEnd w:id="33"/>
      <w:bookmarkEnd w:id="34"/>
    </w:p>
    <w:p>
      <w:pPr>
        <w:pageBreakBefore w:val="0"/>
        <w:kinsoku/>
        <w:wordWrap/>
        <w:overflowPunct/>
        <w:topLinePunct w:val="0"/>
        <w:bidi w:val="0"/>
        <w:spacing w:line="560" w:lineRule="exact"/>
        <w:ind w:firstLine="709"/>
        <w:rPr>
          <w:rFonts w:hint="default" w:ascii="Times New Roman" w:hAnsi="Times New Roman" w:eastAsia="楷体" w:cs="Times New Roman"/>
          <w:b/>
          <w:bCs/>
          <w:color w:val="000000"/>
          <w:kern w:val="2"/>
          <w:sz w:val="32"/>
          <w:szCs w:val="24"/>
          <w:lang w:val="zh-CN" w:eastAsia="zh-CN"/>
        </w:rPr>
      </w:pPr>
      <w:r>
        <w:rPr>
          <w:rFonts w:hint="default" w:ascii="Times New Roman" w:hAnsi="Times New Roman" w:eastAsia="楷体" w:cs="Times New Roman"/>
          <w:b/>
          <w:bCs/>
          <w:color w:val="000000"/>
          <w:kern w:val="2"/>
          <w:sz w:val="32"/>
          <w:szCs w:val="24"/>
          <w:lang w:val="zh-CN"/>
        </w:rPr>
        <w:t>（</w:t>
      </w:r>
      <w:r>
        <w:rPr>
          <w:rFonts w:hint="default" w:ascii="Times New Roman" w:hAnsi="Times New Roman" w:eastAsia="楷体" w:cs="Times New Roman"/>
          <w:b/>
          <w:bCs/>
          <w:color w:val="000000"/>
          <w:kern w:val="2"/>
          <w:sz w:val="32"/>
          <w:szCs w:val="24"/>
          <w:lang w:val="en-US" w:eastAsia="zh-CN"/>
        </w:rPr>
        <w:t>一</w:t>
      </w:r>
      <w:r>
        <w:rPr>
          <w:rFonts w:hint="default" w:ascii="Times New Roman" w:hAnsi="Times New Roman" w:eastAsia="楷体" w:cs="Times New Roman"/>
          <w:b/>
          <w:bCs/>
          <w:color w:val="000000"/>
          <w:kern w:val="2"/>
          <w:sz w:val="32"/>
          <w:szCs w:val="24"/>
          <w:lang w:val="zh-CN"/>
        </w:rPr>
        <w:t>）</w:t>
      </w:r>
      <w:r>
        <w:rPr>
          <w:rFonts w:hint="default" w:ascii="Times New Roman" w:hAnsi="Times New Roman" w:eastAsia="楷体" w:cs="Times New Roman"/>
          <w:b/>
          <w:bCs/>
          <w:color w:val="000000" w:themeColor="text1"/>
          <w:sz w:val="32"/>
          <w:szCs w:val="32"/>
        </w:rPr>
        <w:t>一般公共预算财政拨款支出决算变动情况</w:t>
      </w:r>
      <w:r>
        <w:rPr>
          <w:rFonts w:hint="default" w:ascii="Times New Roman" w:hAnsi="Times New Roman" w:eastAsia="楷体" w:cs="Times New Roman"/>
          <w:b/>
          <w:bCs/>
          <w:color w:val="000000" w:themeColor="text1"/>
          <w:sz w:val="32"/>
          <w:szCs w:val="32"/>
          <w:lang w:eastAsia="zh-CN"/>
        </w:rPr>
        <w:t>。</w:t>
      </w:r>
    </w:p>
    <w:p>
      <w:pPr>
        <w:pageBreakBefore w:val="0"/>
        <w:kinsoku/>
        <w:wordWrap/>
        <w:overflowPunct/>
        <w:topLinePunct w:val="0"/>
        <w:bidi w:val="0"/>
        <w:spacing w:line="560" w:lineRule="exact"/>
        <w:ind w:firstLine="709"/>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kern w:val="2"/>
          <w:sz w:val="32"/>
          <w:szCs w:val="24"/>
          <w:lang w:val="zh-CN"/>
        </w:rPr>
        <w:t>2022年一般公共预算财政拨款支出1,541.51万元，占本年支出合计的87.5%。与2021年相比，一般公共预算财政拨款支出增加49.67万元，增长3.3%。</w:t>
      </w:r>
      <w:r>
        <w:rPr>
          <w:rFonts w:hint="default" w:ascii="Times New Roman" w:hAnsi="Times New Roman" w:eastAsia="仿宋" w:cs="Times New Roman"/>
          <w:sz w:val="32"/>
          <w:szCs w:val="32"/>
        </w:rPr>
        <w:t>主要变动原因是</w:t>
      </w:r>
      <w:r>
        <w:rPr>
          <w:rFonts w:hint="default" w:ascii="Times New Roman" w:hAnsi="Times New Roman" w:eastAsia="仿宋_GB2312" w:cs="Times New Roman"/>
          <w:color w:val="000000"/>
          <w:sz w:val="32"/>
          <w:szCs w:val="32"/>
        </w:rPr>
        <w:t>人员经费政策调整及实施</w:t>
      </w:r>
      <w:r>
        <w:rPr>
          <w:rFonts w:hint="default" w:ascii="Times New Roman" w:hAnsi="Times New Roman" w:eastAsia="仿宋_GB2312" w:cs="Times New Roman"/>
          <w:sz w:val="32"/>
          <w:szCs w:val="32"/>
          <w:lang w:eastAsia="zh-CN"/>
        </w:rPr>
        <w:t>年中增加项目经费</w:t>
      </w:r>
      <w:r>
        <w:rPr>
          <w:rFonts w:hint="default" w:ascii="Times New Roman" w:hAnsi="Times New Roman" w:eastAsia="仿宋_GB2312" w:cs="Times New Roman"/>
          <w:color w:val="000000"/>
          <w:sz w:val="32"/>
          <w:szCs w:val="32"/>
        </w:rPr>
        <w:t>的</w:t>
      </w:r>
      <w:r>
        <w:rPr>
          <w:rFonts w:hint="default" w:ascii="Times New Roman" w:hAnsi="Times New Roman" w:eastAsia="仿宋_GB2312" w:cs="Times New Roman"/>
          <w:color w:val="000000"/>
          <w:sz w:val="32"/>
          <w:szCs w:val="32"/>
          <w:lang w:eastAsia="zh-CN"/>
        </w:rPr>
        <w:t>增加</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eastAsia="zh-CN"/>
        </w:rPr>
        <w:t>相应</w:t>
      </w:r>
      <w:r>
        <w:rPr>
          <w:rFonts w:hint="default" w:ascii="Times New Roman" w:hAnsi="Times New Roman" w:eastAsia="仿宋_GB2312" w:cs="Times New Roman"/>
          <w:color w:val="000000"/>
          <w:kern w:val="2"/>
          <w:sz w:val="32"/>
          <w:szCs w:val="24"/>
          <w:lang w:val="zh-CN"/>
        </w:rPr>
        <w:t>财政拨款</w:t>
      </w:r>
      <w:r>
        <w:rPr>
          <w:rFonts w:hint="default" w:ascii="Times New Roman" w:hAnsi="Times New Roman" w:eastAsia="仿宋_GB2312" w:cs="Times New Roman"/>
          <w:color w:val="000000"/>
          <w:sz w:val="32"/>
          <w:szCs w:val="32"/>
        </w:rPr>
        <w:t>支</w:t>
      </w:r>
      <w:r>
        <w:rPr>
          <w:rFonts w:hint="default" w:ascii="Times New Roman" w:hAnsi="Times New Roman" w:eastAsia="仿宋_GB2312" w:cs="Times New Roman"/>
          <w:color w:val="000000"/>
          <w:sz w:val="32"/>
          <w:szCs w:val="32"/>
          <w:lang w:eastAsia="zh-CN"/>
        </w:rPr>
        <w:t>出增加</w:t>
      </w:r>
      <w:r>
        <w:rPr>
          <w:rFonts w:hint="default" w:ascii="Times New Roman" w:hAnsi="Times New Roman" w:eastAsia="仿宋_GB2312" w:cs="Times New Roman"/>
          <w:color w:val="000000"/>
          <w:sz w:val="32"/>
          <w:szCs w:val="32"/>
        </w:rPr>
        <w:t>。</w:t>
      </w:r>
    </w:p>
    <w:p>
      <w:pPr>
        <w:pageBreakBefore w:val="0"/>
        <w:kinsoku/>
        <w:wordWrap/>
        <w:overflowPunct/>
        <w:topLinePunct w:val="0"/>
        <w:bidi w:val="0"/>
        <w:spacing w:line="560" w:lineRule="exact"/>
        <w:ind w:firstLine="320" w:firstLineChars="100"/>
        <w:rPr>
          <w:rFonts w:hint="default" w:ascii="Times New Roman" w:hAnsi="Times New Roman" w:eastAsia="仿宋" w:cs="Times New Roman"/>
          <w:color w:val="000000" w:themeColor="text1"/>
          <w:sz w:val="32"/>
          <w:szCs w:val="32"/>
        </w:rPr>
      </w:pPr>
      <w:r>
        <w:rPr>
          <w:rFonts w:hint="default" w:ascii="Times New Roman" w:hAnsi="Times New Roman" w:eastAsia="仿宋" w:cs="Times New Roman"/>
          <w:color w:val="000000" w:themeColor="text1"/>
          <w:sz w:val="32"/>
          <w:szCs w:val="32"/>
        </w:rPr>
        <w:t>图5：一般公共预算财政拨款支出决算变动情况（柱状图）</w:t>
      </w:r>
    </w:p>
    <w:p>
      <w:pPr>
        <w:pageBreakBefore w:val="0"/>
        <w:kinsoku/>
        <w:wordWrap/>
        <w:overflowPunct/>
        <w:topLinePunct w:val="0"/>
        <w:bidi w:val="0"/>
        <w:spacing w:line="560" w:lineRule="exact"/>
        <w:ind w:firstLine="643" w:firstLineChars="200"/>
        <w:outlineLvl w:val="2"/>
        <w:rPr>
          <w:rFonts w:hint="default" w:ascii="Times New Roman" w:hAnsi="Times New Roman" w:eastAsia="仿宋" w:cs="Times New Roman"/>
          <w:b/>
          <w:color w:val="000000"/>
          <w:sz w:val="32"/>
          <w:szCs w:val="32"/>
        </w:rPr>
      </w:pPr>
      <w:r>
        <w:rPr>
          <w:rFonts w:hint="default" w:ascii="Times New Roman" w:hAnsi="Times New Roman" w:eastAsia="仿宋" w:cs="Times New Roman"/>
          <w:b/>
          <w:color w:val="000000"/>
          <w:sz w:val="32"/>
          <w:szCs w:val="32"/>
        </w:rPr>
        <w:drawing>
          <wp:anchor distT="0" distB="0" distL="114300" distR="114300" simplePos="0" relativeHeight="251664384" behindDoc="0" locked="0" layoutInCell="1" allowOverlap="1">
            <wp:simplePos x="0" y="0"/>
            <wp:positionH relativeFrom="column">
              <wp:posOffset>972185</wp:posOffset>
            </wp:positionH>
            <wp:positionV relativeFrom="paragraph">
              <wp:posOffset>162560</wp:posOffset>
            </wp:positionV>
            <wp:extent cx="3751580" cy="1905635"/>
            <wp:effectExtent l="5080" t="4445" r="15240" b="13970"/>
            <wp:wrapNone/>
            <wp:docPr id="9"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ageBreakBefore w:val="0"/>
        <w:kinsoku/>
        <w:wordWrap/>
        <w:overflowPunct/>
        <w:topLinePunct w:val="0"/>
        <w:bidi w:val="0"/>
        <w:spacing w:line="560" w:lineRule="exact"/>
        <w:ind w:firstLine="643" w:firstLineChars="200"/>
        <w:outlineLvl w:val="2"/>
        <w:rPr>
          <w:rFonts w:hint="default" w:ascii="Times New Roman" w:hAnsi="Times New Roman" w:eastAsia="仿宋" w:cs="Times New Roman"/>
          <w:b/>
          <w:color w:val="000000"/>
          <w:sz w:val="32"/>
          <w:szCs w:val="32"/>
        </w:rPr>
      </w:pPr>
    </w:p>
    <w:p>
      <w:pPr>
        <w:pageBreakBefore w:val="0"/>
        <w:kinsoku/>
        <w:wordWrap/>
        <w:overflowPunct/>
        <w:topLinePunct w:val="0"/>
        <w:bidi w:val="0"/>
        <w:spacing w:line="560" w:lineRule="exact"/>
        <w:ind w:firstLine="643" w:firstLineChars="200"/>
        <w:outlineLvl w:val="2"/>
        <w:rPr>
          <w:rFonts w:hint="default" w:ascii="Times New Roman" w:hAnsi="Times New Roman" w:eastAsia="仿宋" w:cs="Times New Roman"/>
          <w:b/>
          <w:color w:val="000000"/>
          <w:sz w:val="32"/>
          <w:szCs w:val="32"/>
        </w:rPr>
      </w:pPr>
    </w:p>
    <w:p>
      <w:pPr>
        <w:pageBreakBefore w:val="0"/>
        <w:kinsoku/>
        <w:wordWrap/>
        <w:overflowPunct/>
        <w:topLinePunct w:val="0"/>
        <w:bidi w:val="0"/>
        <w:spacing w:line="560" w:lineRule="exact"/>
        <w:ind w:firstLine="643" w:firstLineChars="200"/>
        <w:outlineLvl w:val="2"/>
        <w:rPr>
          <w:rFonts w:hint="default" w:ascii="Times New Roman" w:hAnsi="Times New Roman" w:eastAsia="仿宋" w:cs="Times New Roman"/>
          <w:b/>
          <w:color w:val="000000"/>
          <w:sz w:val="32"/>
          <w:szCs w:val="32"/>
        </w:rPr>
      </w:pPr>
    </w:p>
    <w:p>
      <w:pPr>
        <w:pageBreakBefore w:val="0"/>
        <w:kinsoku/>
        <w:wordWrap/>
        <w:overflowPunct/>
        <w:topLinePunct w:val="0"/>
        <w:bidi w:val="0"/>
        <w:spacing w:line="560" w:lineRule="exact"/>
        <w:ind w:firstLine="643" w:firstLineChars="200"/>
        <w:outlineLvl w:val="2"/>
        <w:rPr>
          <w:rFonts w:hint="default" w:ascii="Times New Roman" w:hAnsi="Times New Roman" w:eastAsia="仿宋" w:cs="Times New Roman"/>
          <w:b/>
          <w:color w:val="000000"/>
          <w:sz w:val="32"/>
          <w:szCs w:val="32"/>
        </w:rPr>
      </w:pPr>
    </w:p>
    <w:p>
      <w:pPr>
        <w:pageBreakBefore w:val="0"/>
        <w:kinsoku/>
        <w:wordWrap/>
        <w:overflowPunct/>
        <w:topLinePunct w:val="0"/>
        <w:bidi w:val="0"/>
        <w:spacing w:line="560" w:lineRule="exact"/>
        <w:ind w:firstLine="643" w:firstLineChars="200"/>
        <w:outlineLvl w:val="2"/>
        <w:rPr>
          <w:rFonts w:hint="default" w:ascii="Times New Roman" w:hAnsi="Times New Roman" w:eastAsia="仿宋" w:cs="Times New Roman"/>
          <w:b/>
          <w:color w:val="000000"/>
          <w:sz w:val="32"/>
          <w:szCs w:val="32"/>
        </w:rPr>
      </w:pPr>
      <w:bookmarkStart w:id="35" w:name="_Toc15377211"/>
    </w:p>
    <w:p>
      <w:pPr>
        <w:pageBreakBefore w:val="0"/>
        <w:kinsoku/>
        <w:wordWrap/>
        <w:overflowPunct/>
        <w:topLinePunct w:val="0"/>
        <w:bidi w:val="0"/>
        <w:spacing w:line="560" w:lineRule="exact"/>
        <w:ind w:firstLine="709"/>
        <w:rPr>
          <w:rFonts w:hint="default" w:ascii="Times New Roman" w:hAnsi="Times New Roman" w:eastAsia="楷体" w:cs="Times New Roman"/>
          <w:b/>
          <w:bCs/>
          <w:color w:val="000000"/>
          <w:kern w:val="2"/>
          <w:sz w:val="32"/>
          <w:szCs w:val="24"/>
          <w:lang w:val="zh-CN"/>
        </w:rPr>
      </w:pPr>
      <w:r>
        <w:rPr>
          <w:rFonts w:hint="default" w:ascii="Times New Roman" w:hAnsi="Times New Roman" w:eastAsia="楷体" w:cs="Times New Roman"/>
          <w:b/>
          <w:bCs/>
          <w:color w:val="000000"/>
          <w:kern w:val="2"/>
          <w:sz w:val="32"/>
          <w:szCs w:val="24"/>
          <w:lang w:val="zh-CN"/>
        </w:rPr>
        <w:t>（</w:t>
      </w:r>
      <w:r>
        <w:rPr>
          <w:rFonts w:hint="default" w:ascii="Times New Roman" w:hAnsi="Times New Roman" w:eastAsia="楷体" w:cs="Times New Roman"/>
          <w:b/>
          <w:bCs/>
          <w:color w:val="000000"/>
          <w:kern w:val="2"/>
          <w:sz w:val="32"/>
          <w:szCs w:val="24"/>
          <w:lang w:val="en-US" w:eastAsia="zh-CN"/>
        </w:rPr>
        <w:t>二</w:t>
      </w:r>
      <w:r>
        <w:rPr>
          <w:rFonts w:hint="default" w:ascii="Times New Roman" w:hAnsi="Times New Roman" w:eastAsia="楷体" w:cs="Times New Roman"/>
          <w:b/>
          <w:bCs/>
          <w:color w:val="000000"/>
          <w:kern w:val="2"/>
          <w:sz w:val="32"/>
          <w:szCs w:val="24"/>
          <w:lang w:val="zh-CN"/>
        </w:rPr>
        <w:t>）一般公共预算财政拨款支出决算结构情况</w:t>
      </w:r>
      <w:bookmarkEnd w:id="35"/>
      <w:r>
        <w:rPr>
          <w:rFonts w:hint="default" w:ascii="Times New Roman" w:hAnsi="Times New Roman" w:eastAsia="楷体" w:cs="Times New Roman"/>
          <w:b/>
          <w:bCs/>
          <w:color w:val="000000"/>
          <w:kern w:val="2"/>
          <w:sz w:val="32"/>
          <w:szCs w:val="24"/>
          <w:lang w:val="zh-CN"/>
        </w:rPr>
        <w:t>。</w:t>
      </w:r>
    </w:p>
    <w:p>
      <w:pPr>
        <w:keepNext/>
        <w:keepLines/>
        <w:pageBreakBefore w:val="0"/>
        <w:kinsoku/>
        <w:wordWrap/>
        <w:overflowPunct/>
        <w:topLinePunct w:val="0"/>
        <w:bidi w:val="0"/>
        <w:spacing w:line="560" w:lineRule="exact"/>
        <w:ind w:firstLine="640"/>
        <w:jc w:val="both"/>
        <w:rPr>
          <w:rFonts w:hint="default" w:ascii="Times New Roman" w:hAnsi="Times New Roman" w:eastAsia="仿宋" w:cs="Times New Roman"/>
          <w:b/>
          <w:color w:val="000000"/>
          <w:sz w:val="32"/>
          <w:szCs w:val="32"/>
        </w:rPr>
      </w:pPr>
      <w:r>
        <w:rPr>
          <w:rFonts w:hint="default" w:ascii="Times New Roman" w:hAnsi="Times New Roman" w:eastAsia="仿宋_GB2312" w:cs="Times New Roman"/>
          <w:color w:val="000000"/>
          <w:kern w:val="2"/>
          <w:sz w:val="32"/>
          <w:szCs w:val="24"/>
          <w:lang w:val="zh-CN"/>
        </w:rPr>
        <w:t>2022年一般公共预算财政拨款支出1,541.51万元，主要用于以下方面: 一般公共服务支出1,312.98万元，占85.2%；社会保障和就业支出108.89万元，占7.1%；卫生健康支出49.68万元，占3.2%；住房保障支出69.96万元，占4.5%。</w:t>
      </w:r>
    </w:p>
    <w:p>
      <w:pPr>
        <w:pageBreakBefore w:val="0"/>
        <w:kinsoku/>
        <w:wordWrap/>
        <w:overflowPunct/>
        <w:topLinePunct w:val="0"/>
        <w:bidi w:val="0"/>
        <w:spacing w:line="560" w:lineRule="exact"/>
        <w:ind w:firstLine="640" w:firstLineChars="200"/>
        <w:jc w:val="left"/>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图6：一般公共预算财政拨款支出决算结构（饼状图）</w:t>
      </w:r>
    </w:p>
    <w:p>
      <w:pPr>
        <w:pageBreakBefore w:val="0"/>
        <w:kinsoku/>
        <w:wordWrap/>
        <w:overflowPunct/>
        <w:topLinePunct w:val="0"/>
        <w:bidi w:val="0"/>
        <w:spacing w:line="560" w:lineRule="exact"/>
        <w:ind w:firstLine="480" w:firstLineChars="150"/>
        <w:jc w:val="left"/>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drawing>
          <wp:anchor distT="0" distB="0" distL="0" distR="0" simplePos="0" relativeHeight="251665408" behindDoc="0" locked="0" layoutInCell="1" allowOverlap="1">
            <wp:simplePos x="0" y="0"/>
            <wp:positionH relativeFrom="column">
              <wp:posOffset>647700</wp:posOffset>
            </wp:positionH>
            <wp:positionV relativeFrom="paragraph">
              <wp:posOffset>62230</wp:posOffset>
            </wp:positionV>
            <wp:extent cx="4086860" cy="1830070"/>
            <wp:effectExtent l="4445" t="5080" r="23495" b="12700"/>
            <wp:wrapNone/>
            <wp:docPr id="10"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pageBreakBefore w:val="0"/>
        <w:kinsoku/>
        <w:wordWrap/>
        <w:overflowPunct/>
        <w:topLinePunct w:val="0"/>
        <w:bidi w:val="0"/>
        <w:spacing w:line="560" w:lineRule="exact"/>
        <w:ind w:firstLine="643" w:firstLineChars="200"/>
        <w:outlineLvl w:val="2"/>
        <w:rPr>
          <w:rFonts w:hint="default" w:ascii="Times New Roman" w:hAnsi="Times New Roman" w:eastAsia="仿宋" w:cs="Times New Roman"/>
          <w:b/>
          <w:color w:val="000000"/>
          <w:sz w:val="32"/>
          <w:szCs w:val="32"/>
        </w:rPr>
      </w:pPr>
    </w:p>
    <w:p>
      <w:pPr>
        <w:pageBreakBefore w:val="0"/>
        <w:kinsoku/>
        <w:wordWrap/>
        <w:overflowPunct/>
        <w:topLinePunct w:val="0"/>
        <w:bidi w:val="0"/>
        <w:spacing w:line="560" w:lineRule="exact"/>
        <w:ind w:firstLine="643" w:firstLineChars="200"/>
        <w:outlineLvl w:val="2"/>
        <w:rPr>
          <w:rFonts w:hint="default" w:ascii="Times New Roman" w:hAnsi="Times New Roman" w:eastAsia="仿宋" w:cs="Times New Roman"/>
          <w:b/>
          <w:color w:val="000000"/>
          <w:sz w:val="32"/>
          <w:szCs w:val="32"/>
        </w:rPr>
      </w:pPr>
    </w:p>
    <w:p>
      <w:pPr>
        <w:pageBreakBefore w:val="0"/>
        <w:kinsoku/>
        <w:wordWrap/>
        <w:overflowPunct/>
        <w:topLinePunct w:val="0"/>
        <w:bidi w:val="0"/>
        <w:spacing w:line="560" w:lineRule="exact"/>
        <w:ind w:firstLine="643" w:firstLineChars="200"/>
        <w:outlineLvl w:val="2"/>
        <w:rPr>
          <w:rFonts w:hint="default" w:ascii="Times New Roman" w:hAnsi="Times New Roman" w:eastAsia="仿宋" w:cs="Times New Roman"/>
          <w:b/>
          <w:color w:val="000000"/>
          <w:sz w:val="32"/>
          <w:szCs w:val="32"/>
        </w:rPr>
      </w:pPr>
    </w:p>
    <w:p>
      <w:pPr>
        <w:pageBreakBefore w:val="0"/>
        <w:kinsoku/>
        <w:wordWrap/>
        <w:overflowPunct/>
        <w:topLinePunct w:val="0"/>
        <w:bidi w:val="0"/>
        <w:spacing w:line="560" w:lineRule="exact"/>
        <w:ind w:firstLine="643" w:firstLineChars="200"/>
        <w:outlineLvl w:val="2"/>
        <w:rPr>
          <w:rFonts w:hint="default" w:ascii="Times New Roman" w:hAnsi="Times New Roman" w:eastAsia="仿宋" w:cs="Times New Roman"/>
          <w:b/>
          <w:color w:val="000000"/>
          <w:sz w:val="32"/>
          <w:szCs w:val="32"/>
        </w:rPr>
      </w:pPr>
    </w:p>
    <w:p>
      <w:pPr>
        <w:pageBreakBefore w:val="0"/>
        <w:kinsoku/>
        <w:wordWrap/>
        <w:overflowPunct/>
        <w:topLinePunct w:val="0"/>
        <w:bidi w:val="0"/>
        <w:spacing w:line="560" w:lineRule="exact"/>
        <w:ind w:firstLine="643" w:firstLineChars="200"/>
        <w:outlineLvl w:val="2"/>
        <w:rPr>
          <w:rFonts w:hint="default" w:ascii="Times New Roman" w:hAnsi="Times New Roman" w:eastAsia="仿宋" w:cs="Times New Roman"/>
          <w:b/>
          <w:color w:val="000000"/>
          <w:sz w:val="32"/>
          <w:szCs w:val="32"/>
        </w:rPr>
      </w:pPr>
    </w:p>
    <w:p>
      <w:pPr>
        <w:pageBreakBefore w:val="0"/>
        <w:numPr>
          <w:ilvl w:val="0"/>
          <w:numId w:val="0"/>
        </w:numPr>
        <w:kinsoku/>
        <w:wordWrap/>
        <w:overflowPunct/>
        <w:topLinePunct w:val="0"/>
        <w:bidi w:val="0"/>
        <w:spacing w:line="560" w:lineRule="exact"/>
        <w:ind w:leftChars="146" w:firstLine="321" w:firstLineChars="100"/>
        <w:outlineLvl w:val="2"/>
        <w:rPr>
          <w:rFonts w:hint="default" w:ascii="Times New Roman" w:hAnsi="Times New Roman" w:eastAsia="仿宋" w:cs="Times New Roman"/>
          <w:b/>
          <w:color w:val="000000"/>
          <w:sz w:val="32"/>
          <w:szCs w:val="32"/>
          <w:lang w:eastAsia="zh-CN"/>
        </w:rPr>
      </w:pPr>
      <w:bookmarkStart w:id="36" w:name="_Toc15377212"/>
      <w:r>
        <w:rPr>
          <w:rFonts w:hint="default" w:ascii="Times New Roman" w:hAnsi="Times New Roman" w:eastAsia="仿宋" w:cs="Times New Roman"/>
          <w:b/>
          <w:color w:val="000000"/>
          <w:sz w:val="32"/>
          <w:szCs w:val="32"/>
          <w:lang w:eastAsia="zh-CN"/>
        </w:rPr>
        <w:t>（</w:t>
      </w:r>
      <w:r>
        <w:rPr>
          <w:rFonts w:hint="default" w:ascii="Times New Roman" w:hAnsi="Times New Roman" w:eastAsia="仿宋" w:cs="Times New Roman"/>
          <w:b/>
          <w:color w:val="000000"/>
          <w:sz w:val="32"/>
          <w:szCs w:val="32"/>
          <w:lang w:val="en-US" w:eastAsia="zh-CN"/>
        </w:rPr>
        <w:t>三</w:t>
      </w:r>
      <w:r>
        <w:rPr>
          <w:rFonts w:hint="default" w:ascii="Times New Roman" w:hAnsi="Times New Roman" w:eastAsia="仿宋" w:cs="Times New Roman"/>
          <w:b/>
          <w:color w:val="000000"/>
          <w:sz w:val="32"/>
          <w:szCs w:val="32"/>
          <w:lang w:eastAsia="zh-CN"/>
        </w:rPr>
        <w:t>）</w:t>
      </w:r>
      <w:r>
        <w:rPr>
          <w:rFonts w:hint="default" w:ascii="Times New Roman" w:hAnsi="Times New Roman" w:eastAsia="仿宋" w:cs="Times New Roman"/>
          <w:b/>
          <w:color w:val="000000"/>
          <w:sz w:val="32"/>
          <w:szCs w:val="32"/>
        </w:rPr>
        <w:t>一般公共预算财政拨款支出决算具体情况</w:t>
      </w:r>
      <w:bookmarkEnd w:id="36"/>
      <w:r>
        <w:rPr>
          <w:rFonts w:hint="default" w:ascii="Times New Roman" w:hAnsi="Times New Roman" w:eastAsia="仿宋" w:cs="Times New Roman"/>
          <w:b/>
          <w:color w:val="000000"/>
          <w:sz w:val="32"/>
          <w:szCs w:val="32"/>
          <w:lang w:eastAsia="zh-CN"/>
        </w:rPr>
        <w:t>。</w:t>
      </w:r>
    </w:p>
    <w:p>
      <w:pPr>
        <w:keepNext/>
        <w:keepLines/>
        <w:pageBreakBefore w:val="0"/>
        <w:kinsoku/>
        <w:wordWrap/>
        <w:overflowPunct/>
        <w:topLinePunct w:val="0"/>
        <w:bidi w:val="0"/>
        <w:spacing w:line="560" w:lineRule="exact"/>
        <w:ind w:firstLine="643"/>
        <w:jc w:val="both"/>
        <w:rPr>
          <w:rFonts w:hint="default" w:ascii="Times New Roman" w:hAnsi="Times New Roman" w:eastAsia="仿宋_GB2312" w:cs="Times New Roman"/>
          <w:b w:val="0"/>
          <w:bCs/>
          <w:color w:val="000000"/>
          <w:kern w:val="2"/>
          <w:sz w:val="32"/>
          <w:szCs w:val="24"/>
          <w:lang w:val="zh-CN"/>
        </w:rPr>
      </w:pPr>
      <w:bookmarkStart w:id="37" w:name="_Toc15377213"/>
      <w:bookmarkStart w:id="38" w:name="_Toc15377444"/>
      <w:bookmarkStart w:id="39" w:name="_Toc15378460"/>
      <w:r>
        <w:rPr>
          <w:rFonts w:hint="default" w:ascii="Times New Roman" w:hAnsi="Times New Roman" w:eastAsia="仿宋_GB2312" w:cs="Times New Roman"/>
          <w:b w:val="0"/>
          <w:bCs/>
          <w:color w:val="000000"/>
          <w:kern w:val="2"/>
          <w:sz w:val="32"/>
          <w:szCs w:val="24"/>
          <w:lang w:val="zh-CN"/>
        </w:rPr>
        <w:t>2022年一般公共预算支出决算数为1,541.51万元，完成预算100%。其中：</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Style w:val="18"/>
          <w:rFonts w:hint="default" w:ascii="Times New Roman" w:hAnsi="Times New Roman" w:eastAsia="仿宋_GB2312" w:cs="Times New Roman"/>
          <w:b w:val="0"/>
          <w:bCs/>
          <w:color w:val="000000"/>
          <w:sz w:val="32"/>
          <w:szCs w:val="32"/>
        </w:rPr>
      </w:pPr>
      <w:r>
        <w:rPr>
          <w:rFonts w:hint="default" w:ascii="Times New Roman" w:hAnsi="Times New Roman" w:eastAsia="仿宋_GB2312" w:cs="Times New Roman"/>
          <w:b w:val="0"/>
          <w:bCs/>
          <w:color w:val="000000"/>
          <w:kern w:val="2"/>
          <w:sz w:val="32"/>
          <w:szCs w:val="24"/>
          <w:lang w:val="en-US"/>
        </w:rPr>
        <w:t>1.</w:t>
      </w:r>
      <w:r>
        <w:rPr>
          <w:rStyle w:val="18"/>
          <w:rFonts w:hint="default" w:ascii="Times New Roman" w:hAnsi="Times New Roman" w:eastAsia="仿宋_GB2312" w:cs="Times New Roman"/>
          <w:b w:val="0"/>
          <w:bCs/>
          <w:color w:val="000000"/>
          <w:sz w:val="32"/>
          <w:szCs w:val="32"/>
        </w:rPr>
        <w:t>一般公共服务（类）财政事务（款）行政运行（项）2010601:支出决算为</w:t>
      </w:r>
      <w:r>
        <w:rPr>
          <w:rStyle w:val="18"/>
          <w:rFonts w:hint="default" w:ascii="Times New Roman" w:hAnsi="Times New Roman" w:eastAsia="仿宋_GB2312" w:cs="Times New Roman"/>
          <w:b w:val="0"/>
          <w:bCs/>
          <w:color w:val="000000"/>
          <w:sz w:val="32"/>
          <w:szCs w:val="32"/>
          <w:lang w:val="en-US" w:eastAsia="zh-CN"/>
        </w:rPr>
        <w:t>519.75</w:t>
      </w:r>
      <w:r>
        <w:rPr>
          <w:rStyle w:val="18"/>
          <w:rFonts w:hint="default" w:ascii="Times New Roman" w:hAnsi="Times New Roman" w:eastAsia="仿宋_GB2312" w:cs="Times New Roman"/>
          <w:b w:val="0"/>
          <w:bCs/>
          <w:color w:val="000000"/>
          <w:sz w:val="32"/>
          <w:szCs w:val="32"/>
        </w:rPr>
        <w:t>万元，完成调整预算100%。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Style w:val="18"/>
          <w:rFonts w:hint="default" w:ascii="Times New Roman" w:hAnsi="Times New Roman" w:eastAsia="仿宋_GB2312" w:cs="Times New Roman"/>
          <w:b w:val="0"/>
          <w:bCs/>
          <w:color w:val="000000"/>
          <w:sz w:val="32"/>
          <w:szCs w:val="32"/>
        </w:rPr>
      </w:pPr>
      <w:r>
        <w:rPr>
          <w:rFonts w:hint="default" w:ascii="Times New Roman" w:hAnsi="Times New Roman" w:eastAsia="仿宋_GB2312" w:cs="Times New Roman"/>
          <w:b w:val="0"/>
          <w:bCs/>
          <w:color w:val="000000"/>
          <w:kern w:val="2"/>
          <w:sz w:val="32"/>
          <w:szCs w:val="24"/>
          <w:lang w:val="en-US" w:eastAsia="zh-CN"/>
        </w:rPr>
        <w:t>2</w:t>
      </w:r>
      <w:r>
        <w:rPr>
          <w:rFonts w:hint="default" w:ascii="Times New Roman" w:hAnsi="Times New Roman" w:eastAsia="仿宋_GB2312" w:cs="Times New Roman"/>
          <w:b w:val="0"/>
          <w:bCs/>
          <w:color w:val="000000"/>
          <w:kern w:val="2"/>
          <w:sz w:val="32"/>
          <w:szCs w:val="24"/>
          <w:lang w:val="en-US"/>
        </w:rPr>
        <w:t>.一般公共服务（类）财政事务（款）一般行政管理事务（项）</w:t>
      </w:r>
      <w:r>
        <w:rPr>
          <w:rStyle w:val="18"/>
          <w:rFonts w:hint="default" w:ascii="Times New Roman" w:hAnsi="Times New Roman" w:eastAsia="仿宋_GB2312" w:cs="Times New Roman"/>
          <w:b w:val="0"/>
          <w:bCs/>
          <w:color w:val="000000"/>
          <w:sz w:val="32"/>
          <w:szCs w:val="32"/>
        </w:rPr>
        <w:t>2010602:支出决算</w:t>
      </w:r>
      <w:r>
        <w:rPr>
          <w:rStyle w:val="18"/>
          <w:rFonts w:hint="default" w:ascii="Times New Roman" w:hAnsi="Times New Roman" w:eastAsia="仿宋_GB2312" w:cs="Times New Roman"/>
          <w:b w:val="0"/>
          <w:bCs/>
          <w:color w:val="000000"/>
          <w:sz w:val="32"/>
          <w:szCs w:val="32"/>
          <w:lang w:val="en-US" w:eastAsia="zh-CN"/>
        </w:rPr>
        <w:t>62.24</w:t>
      </w:r>
      <w:r>
        <w:rPr>
          <w:rStyle w:val="18"/>
          <w:rFonts w:hint="default" w:ascii="Times New Roman" w:hAnsi="Times New Roman" w:eastAsia="仿宋_GB2312" w:cs="Times New Roman"/>
          <w:b w:val="0"/>
          <w:bCs/>
          <w:color w:val="000000"/>
          <w:sz w:val="32"/>
          <w:szCs w:val="32"/>
        </w:rPr>
        <w:t>万元，完成调整预算100%。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Style w:val="18"/>
          <w:rFonts w:hint="default" w:ascii="Times New Roman" w:hAnsi="Times New Roman" w:eastAsia="仿宋_GB2312" w:cs="Times New Roman"/>
          <w:b w:val="0"/>
          <w:bCs/>
          <w:color w:val="000000"/>
          <w:sz w:val="32"/>
          <w:szCs w:val="32"/>
        </w:rPr>
      </w:pPr>
      <w:r>
        <w:rPr>
          <w:rFonts w:hint="default" w:ascii="Times New Roman" w:hAnsi="Times New Roman" w:eastAsia="仿宋_GB2312" w:cs="Times New Roman"/>
          <w:b w:val="0"/>
          <w:bCs/>
          <w:color w:val="000000"/>
          <w:kern w:val="2"/>
          <w:sz w:val="32"/>
          <w:szCs w:val="24"/>
          <w:lang w:val="en-US" w:eastAsia="zh-CN"/>
        </w:rPr>
        <w:t>3.一般公共服务（类）财政事务（款）财政委托业务支出（项）</w:t>
      </w:r>
      <w:r>
        <w:rPr>
          <w:rStyle w:val="18"/>
          <w:rFonts w:hint="default" w:ascii="Times New Roman" w:hAnsi="Times New Roman" w:eastAsia="仿宋_GB2312" w:cs="Times New Roman"/>
          <w:b w:val="0"/>
          <w:bCs/>
          <w:color w:val="000000"/>
          <w:sz w:val="32"/>
          <w:szCs w:val="32"/>
        </w:rPr>
        <w:t>201060</w:t>
      </w:r>
      <w:r>
        <w:rPr>
          <w:rStyle w:val="18"/>
          <w:rFonts w:hint="default" w:ascii="Times New Roman" w:hAnsi="Times New Roman" w:eastAsia="仿宋_GB2312" w:cs="Times New Roman"/>
          <w:b w:val="0"/>
          <w:bCs/>
          <w:color w:val="000000"/>
          <w:sz w:val="32"/>
          <w:szCs w:val="32"/>
          <w:lang w:val="en-US" w:eastAsia="zh-CN"/>
        </w:rPr>
        <w:t>8</w:t>
      </w:r>
      <w:r>
        <w:rPr>
          <w:rStyle w:val="18"/>
          <w:rFonts w:hint="default" w:ascii="Times New Roman" w:hAnsi="Times New Roman" w:eastAsia="仿宋_GB2312" w:cs="Times New Roman"/>
          <w:b w:val="0"/>
          <w:bCs/>
          <w:color w:val="000000"/>
          <w:sz w:val="32"/>
          <w:szCs w:val="32"/>
        </w:rPr>
        <w:t>:支出决算</w:t>
      </w:r>
      <w:r>
        <w:rPr>
          <w:rStyle w:val="18"/>
          <w:rFonts w:hint="default" w:ascii="Times New Roman" w:hAnsi="Times New Roman" w:eastAsia="仿宋_GB2312" w:cs="Times New Roman"/>
          <w:b w:val="0"/>
          <w:bCs/>
          <w:color w:val="000000"/>
          <w:sz w:val="32"/>
          <w:szCs w:val="32"/>
          <w:lang w:val="en-US" w:eastAsia="zh-CN"/>
        </w:rPr>
        <w:t>331.33</w:t>
      </w:r>
      <w:r>
        <w:rPr>
          <w:rStyle w:val="18"/>
          <w:rFonts w:hint="default" w:ascii="Times New Roman" w:hAnsi="Times New Roman" w:eastAsia="仿宋_GB2312" w:cs="Times New Roman"/>
          <w:b w:val="0"/>
          <w:bCs/>
          <w:color w:val="000000"/>
          <w:sz w:val="32"/>
          <w:szCs w:val="32"/>
        </w:rPr>
        <w:t>万元，完成调整预算100%。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Style w:val="18"/>
          <w:rFonts w:hint="default" w:ascii="Times New Roman" w:hAnsi="Times New Roman" w:eastAsia="仿宋_GB2312" w:cs="Times New Roman"/>
          <w:b w:val="0"/>
          <w:bCs/>
          <w:color w:val="000000"/>
          <w:sz w:val="32"/>
          <w:szCs w:val="32"/>
        </w:rPr>
      </w:pPr>
      <w:r>
        <w:rPr>
          <w:rFonts w:hint="default" w:ascii="Times New Roman" w:hAnsi="Times New Roman" w:eastAsia="仿宋_GB2312" w:cs="Times New Roman"/>
          <w:b w:val="0"/>
          <w:bCs/>
          <w:color w:val="000000"/>
          <w:kern w:val="2"/>
          <w:sz w:val="32"/>
          <w:szCs w:val="24"/>
          <w:lang w:val="en-US" w:eastAsia="zh-CN"/>
        </w:rPr>
        <w:t>4.一般公共服务（类）财政事务（款）事业运行（项）</w:t>
      </w:r>
      <w:r>
        <w:rPr>
          <w:rStyle w:val="18"/>
          <w:rFonts w:hint="default" w:ascii="Times New Roman" w:hAnsi="Times New Roman" w:eastAsia="仿宋_GB2312" w:cs="Times New Roman"/>
          <w:b w:val="0"/>
          <w:bCs/>
          <w:color w:val="000000"/>
          <w:sz w:val="32"/>
          <w:szCs w:val="32"/>
        </w:rPr>
        <w:t>2010650:支出决算为</w:t>
      </w:r>
      <w:r>
        <w:rPr>
          <w:rStyle w:val="18"/>
          <w:rFonts w:hint="default" w:ascii="Times New Roman" w:hAnsi="Times New Roman" w:eastAsia="仿宋_GB2312" w:cs="Times New Roman"/>
          <w:b w:val="0"/>
          <w:bCs/>
          <w:color w:val="000000"/>
          <w:sz w:val="32"/>
          <w:szCs w:val="32"/>
          <w:lang w:val="en-US" w:eastAsia="zh-CN"/>
        </w:rPr>
        <w:t>230.21</w:t>
      </w:r>
      <w:r>
        <w:rPr>
          <w:rStyle w:val="18"/>
          <w:rFonts w:hint="default" w:ascii="Times New Roman" w:hAnsi="Times New Roman" w:eastAsia="仿宋_GB2312" w:cs="Times New Roman"/>
          <w:b w:val="0"/>
          <w:bCs/>
          <w:color w:val="000000"/>
          <w:sz w:val="32"/>
          <w:szCs w:val="32"/>
        </w:rPr>
        <w:t>万元，完成调整预算100%。</w:t>
      </w:r>
    </w:p>
    <w:p>
      <w:pPr>
        <w:pStyle w:val="2"/>
        <w:keepNext w:val="0"/>
        <w:keepLines w:val="0"/>
        <w:pageBreakBefore w:val="0"/>
        <w:widowControl w:val="0"/>
        <w:kinsoku/>
        <w:wordWrap/>
        <w:overflowPunct/>
        <w:topLinePunct w:val="0"/>
        <w:autoSpaceDE/>
        <w:autoSpaceDN/>
        <w:bidi w:val="0"/>
        <w:adjustRightInd/>
        <w:snapToGrid/>
        <w:spacing w:before="93" w:line="240" w:lineRule="auto"/>
        <w:ind w:firstLine="640" w:firstLineChars="200"/>
        <w:textAlignment w:val="auto"/>
        <w:rPr>
          <w:rFonts w:hint="default" w:ascii="Times New Roman" w:hAnsi="Times New Roman" w:eastAsia="仿宋_GB2312" w:cs="Times New Roman"/>
          <w:b w:val="0"/>
          <w:bCs/>
        </w:rPr>
      </w:pPr>
      <w:r>
        <w:rPr>
          <w:rFonts w:hint="default" w:ascii="Times New Roman" w:hAnsi="Times New Roman" w:eastAsia="仿宋_GB2312" w:cs="Times New Roman"/>
          <w:b w:val="0"/>
          <w:bCs/>
          <w:color w:val="000000"/>
          <w:kern w:val="2"/>
          <w:sz w:val="32"/>
          <w:szCs w:val="24"/>
          <w:lang w:val="en-US" w:eastAsia="zh-CN" w:bidi="ar-SA"/>
        </w:rPr>
        <w:t>5.一般公共服务（类）财政事务（款）其他财政事务支出（项）</w:t>
      </w:r>
      <w:r>
        <w:rPr>
          <w:rStyle w:val="18"/>
          <w:rFonts w:hint="default" w:ascii="Times New Roman" w:hAnsi="Times New Roman" w:eastAsia="仿宋_GB2312" w:cs="Times New Roman"/>
          <w:b w:val="0"/>
          <w:bCs/>
          <w:sz w:val="32"/>
          <w:szCs w:val="32"/>
          <w:lang w:val="en-US" w:eastAsia="zh-CN"/>
        </w:rPr>
        <w:t>2010699</w:t>
      </w:r>
      <w:r>
        <w:rPr>
          <w:rStyle w:val="18"/>
          <w:rFonts w:hint="default" w:ascii="Times New Roman" w:hAnsi="Times New Roman" w:eastAsia="仿宋_GB2312" w:cs="Times New Roman"/>
          <w:b w:val="0"/>
          <w:bCs/>
          <w:sz w:val="32"/>
          <w:szCs w:val="32"/>
        </w:rPr>
        <w:t>: 支出决算为</w:t>
      </w:r>
      <w:r>
        <w:rPr>
          <w:rStyle w:val="18"/>
          <w:rFonts w:hint="default" w:ascii="Times New Roman" w:hAnsi="Times New Roman" w:eastAsia="仿宋_GB2312" w:cs="Times New Roman"/>
          <w:b w:val="0"/>
          <w:bCs/>
          <w:sz w:val="32"/>
          <w:szCs w:val="32"/>
          <w:lang w:val="en-US" w:eastAsia="zh-CN"/>
        </w:rPr>
        <w:t>169.44</w:t>
      </w:r>
      <w:r>
        <w:rPr>
          <w:rStyle w:val="18"/>
          <w:rFonts w:hint="default" w:ascii="Times New Roman" w:hAnsi="Times New Roman" w:eastAsia="仿宋_GB2312" w:cs="Times New Roman"/>
          <w:b w:val="0"/>
          <w:bCs/>
          <w:sz w:val="32"/>
          <w:szCs w:val="32"/>
        </w:rPr>
        <w:t>万元，完成预算100%。</w:t>
      </w:r>
    </w:p>
    <w:p>
      <w:pPr>
        <w:pStyle w:val="2"/>
        <w:keepNext w:val="0"/>
        <w:keepLines w:val="0"/>
        <w:pageBreakBefore w:val="0"/>
        <w:widowControl w:val="0"/>
        <w:kinsoku/>
        <w:wordWrap/>
        <w:overflowPunct/>
        <w:topLinePunct w:val="0"/>
        <w:autoSpaceDE/>
        <w:autoSpaceDN/>
        <w:bidi w:val="0"/>
        <w:adjustRightInd/>
        <w:snapToGrid/>
        <w:spacing w:before="93" w:line="240" w:lineRule="auto"/>
        <w:ind w:firstLine="640" w:firstLineChars="200"/>
        <w:textAlignment w:val="auto"/>
        <w:rPr>
          <w:rStyle w:val="18"/>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color w:val="000000"/>
          <w:kern w:val="2"/>
          <w:sz w:val="32"/>
          <w:szCs w:val="24"/>
          <w:lang w:val="en-US" w:eastAsia="zh-CN" w:bidi="ar-SA"/>
        </w:rPr>
        <w:t>6.社会保障和就业（类）行政事业单位养老支出（款）行政单位离退休（项）</w:t>
      </w:r>
      <w:r>
        <w:rPr>
          <w:rStyle w:val="18"/>
          <w:rFonts w:hint="default" w:ascii="Times New Roman" w:hAnsi="Times New Roman" w:eastAsia="仿宋_GB2312" w:cs="Times New Roman"/>
          <w:b w:val="0"/>
          <w:bCs/>
          <w:color w:val="000000"/>
          <w:sz w:val="32"/>
          <w:szCs w:val="32"/>
        </w:rPr>
        <w:t>2080501:支出决算为</w:t>
      </w:r>
      <w:r>
        <w:rPr>
          <w:rStyle w:val="18"/>
          <w:rFonts w:hint="default" w:ascii="Times New Roman" w:hAnsi="Times New Roman" w:eastAsia="仿宋_GB2312" w:cs="Times New Roman"/>
          <w:b w:val="0"/>
          <w:bCs/>
          <w:sz w:val="32"/>
          <w:szCs w:val="32"/>
          <w:lang w:val="en-US" w:eastAsia="zh-CN"/>
        </w:rPr>
        <w:t>48.5</w:t>
      </w:r>
      <w:r>
        <w:rPr>
          <w:rStyle w:val="18"/>
          <w:rFonts w:hint="default" w:ascii="Times New Roman" w:hAnsi="Times New Roman" w:eastAsia="仿宋_GB2312" w:cs="Times New Roman"/>
          <w:b w:val="0"/>
          <w:bCs/>
          <w:sz w:val="32"/>
          <w:szCs w:val="32"/>
        </w:rPr>
        <w:t>万元，完成预算100%。</w:t>
      </w:r>
    </w:p>
    <w:p>
      <w:pPr>
        <w:pStyle w:val="2"/>
        <w:keepNext w:val="0"/>
        <w:keepLines w:val="0"/>
        <w:pageBreakBefore w:val="0"/>
        <w:widowControl w:val="0"/>
        <w:kinsoku/>
        <w:wordWrap/>
        <w:overflowPunct/>
        <w:topLinePunct w:val="0"/>
        <w:autoSpaceDE/>
        <w:autoSpaceDN/>
        <w:bidi w:val="0"/>
        <w:adjustRightInd/>
        <w:snapToGrid/>
        <w:spacing w:before="93" w:line="240" w:lineRule="auto"/>
        <w:ind w:firstLine="640" w:firstLineChars="200"/>
        <w:textAlignment w:val="auto"/>
        <w:rPr>
          <w:rFonts w:hint="default" w:ascii="Times New Roman" w:hAnsi="Times New Roman" w:eastAsia="仿宋_GB2312" w:cs="Times New Roman"/>
          <w:b w:val="0"/>
          <w:bCs/>
        </w:rPr>
      </w:pPr>
      <w:r>
        <w:rPr>
          <w:rFonts w:hint="default" w:ascii="Times New Roman" w:hAnsi="Times New Roman" w:eastAsia="仿宋_GB2312" w:cs="Times New Roman"/>
          <w:b w:val="0"/>
          <w:bCs/>
          <w:color w:val="000000"/>
          <w:kern w:val="2"/>
          <w:sz w:val="32"/>
          <w:szCs w:val="24"/>
          <w:lang w:val="en-US" w:eastAsia="zh-CN" w:bidi="ar-SA"/>
        </w:rPr>
        <w:t>7.社会保障和就业（类）行政事业单位养老支出（款）机关事业单位基本养老保险缴费支出（项）</w:t>
      </w:r>
      <w:r>
        <w:rPr>
          <w:rStyle w:val="18"/>
          <w:rFonts w:hint="default" w:ascii="Times New Roman" w:hAnsi="Times New Roman" w:eastAsia="仿宋_GB2312" w:cs="Times New Roman"/>
          <w:b w:val="0"/>
          <w:bCs/>
          <w:color w:val="000000"/>
          <w:sz w:val="32"/>
          <w:szCs w:val="32"/>
        </w:rPr>
        <w:t>208050</w:t>
      </w:r>
      <w:r>
        <w:rPr>
          <w:rStyle w:val="18"/>
          <w:rFonts w:hint="default" w:ascii="Times New Roman" w:hAnsi="Times New Roman" w:eastAsia="仿宋_GB2312" w:cs="Times New Roman"/>
          <w:b w:val="0"/>
          <w:bCs/>
          <w:color w:val="000000"/>
          <w:sz w:val="32"/>
          <w:szCs w:val="32"/>
          <w:lang w:val="en-US" w:eastAsia="zh-CN"/>
        </w:rPr>
        <w:t>5</w:t>
      </w:r>
      <w:r>
        <w:rPr>
          <w:rStyle w:val="18"/>
          <w:rFonts w:hint="default" w:ascii="Times New Roman" w:hAnsi="Times New Roman" w:eastAsia="仿宋_GB2312" w:cs="Times New Roman"/>
          <w:b w:val="0"/>
          <w:bCs/>
          <w:color w:val="000000"/>
          <w:sz w:val="32"/>
          <w:szCs w:val="32"/>
        </w:rPr>
        <w:t>:支出决算为</w:t>
      </w:r>
      <w:r>
        <w:rPr>
          <w:rStyle w:val="18"/>
          <w:rFonts w:hint="default" w:ascii="Times New Roman" w:hAnsi="Times New Roman" w:eastAsia="仿宋_GB2312" w:cs="Times New Roman"/>
          <w:b w:val="0"/>
          <w:bCs/>
          <w:color w:val="000000"/>
          <w:sz w:val="32"/>
          <w:szCs w:val="32"/>
          <w:lang w:val="en-US" w:eastAsia="zh-CN"/>
        </w:rPr>
        <w:t>56.82</w:t>
      </w:r>
      <w:r>
        <w:rPr>
          <w:rStyle w:val="18"/>
          <w:rFonts w:hint="default" w:ascii="Times New Roman" w:hAnsi="Times New Roman" w:eastAsia="仿宋_GB2312" w:cs="Times New Roman"/>
          <w:b w:val="0"/>
          <w:bCs/>
          <w:sz w:val="32"/>
          <w:szCs w:val="32"/>
        </w:rPr>
        <w:t>万元，完成预算100%。</w:t>
      </w:r>
    </w:p>
    <w:p>
      <w:pPr>
        <w:pStyle w:val="2"/>
        <w:keepNext w:val="0"/>
        <w:keepLines w:val="0"/>
        <w:pageBreakBefore w:val="0"/>
        <w:widowControl w:val="0"/>
        <w:kinsoku/>
        <w:wordWrap/>
        <w:overflowPunct/>
        <w:topLinePunct w:val="0"/>
        <w:autoSpaceDE/>
        <w:autoSpaceDN/>
        <w:bidi w:val="0"/>
        <w:adjustRightInd/>
        <w:snapToGrid/>
        <w:spacing w:before="93" w:line="240" w:lineRule="auto"/>
        <w:ind w:firstLine="640" w:firstLineChars="200"/>
        <w:textAlignment w:val="auto"/>
        <w:rPr>
          <w:rStyle w:val="18"/>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color w:val="000000"/>
          <w:kern w:val="2"/>
          <w:sz w:val="32"/>
          <w:szCs w:val="24"/>
          <w:lang w:val="en-US" w:eastAsia="zh-CN" w:bidi="ar-SA"/>
        </w:rPr>
        <w:t>8.社会保障和就业（类）行政事业单位养老支出（款）机关事业单位职业年金缴费支出（项）</w:t>
      </w:r>
      <w:r>
        <w:rPr>
          <w:rStyle w:val="18"/>
          <w:rFonts w:hint="default" w:ascii="Times New Roman" w:hAnsi="Times New Roman" w:eastAsia="仿宋_GB2312" w:cs="Times New Roman"/>
          <w:b w:val="0"/>
          <w:bCs/>
          <w:color w:val="000000"/>
          <w:sz w:val="32"/>
          <w:szCs w:val="32"/>
        </w:rPr>
        <w:t>208050</w:t>
      </w:r>
      <w:r>
        <w:rPr>
          <w:rStyle w:val="18"/>
          <w:rFonts w:hint="default" w:ascii="Times New Roman" w:hAnsi="Times New Roman" w:eastAsia="仿宋_GB2312" w:cs="Times New Roman"/>
          <w:b w:val="0"/>
          <w:bCs/>
          <w:color w:val="000000"/>
          <w:sz w:val="32"/>
          <w:szCs w:val="32"/>
          <w:lang w:val="en-US" w:eastAsia="zh-CN"/>
        </w:rPr>
        <w:t>6</w:t>
      </w:r>
      <w:r>
        <w:rPr>
          <w:rStyle w:val="18"/>
          <w:rFonts w:hint="default" w:ascii="Times New Roman" w:hAnsi="Times New Roman" w:eastAsia="仿宋_GB2312" w:cs="Times New Roman"/>
          <w:b w:val="0"/>
          <w:bCs/>
          <w:color w:val="000000"/>
          <w:sz w:val="32"/>
          <w:szCs w:val="32"/>
        </w:rPr>
        <w:t>:支出决算为</w:t>
      </w:r>
      <w:r>
        <w:rPr>
          <w:rStyle w:val="18"/>
          <w:rFonts w:hint="default" w:ascii="Times New Roman" w:hAnsi="Times New Roman" w:eastAsia="仿宋_GB2312" w:cs="Times New Roman"/>
          <w:b w:val="0"/>
          <w:bCs/>
          <w:color w:val="000000"/>
          <w:sz w:val="32"/>
          <w:szCs w:val="32"/>
          <w:lang w:val="en-US" w:eastAsia="zh-CN"/>
        </w:rPr>
        <w:t>3.56</w:t>
      </w:r>
      <w:r>
        <w:rPr>
          <w:rStyle w:val="18"/>
          <w:rFonts w:hint="default" w:ascii="Times New Roman" w:hAnsi="Times New Roman" w:eastAsia="仿宋_GB2312" w:cs="Times New Roman"/>
          <w:b w:val="0"/>
          <w:bCs/>
          <w:sz w:val="32"/>
          <w:szCs w:val="32"/>
        </w:rPr>
        <w:t>万元，完成预算100%。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Style w:val="18"/>
          <w:rFonts w:hint="default" w:ascii="Times New Roman" w:hAnsi="Times New Roman" w:eastAsia="仿宋_GB2312" w:cs="Times New Roman"/>
          <w:b w:val="0"/>
          <w:bCs/>
          <w:color w:val="000000"/>
          <w:sz w:val="32"/>
          <w:szCs w:val="32"/>
        </w:rPr>
      </w:pPr>
      <w:r>
        <w:rPr>
          <w:rFonts w:hint="default" w:ascii="Times New Roman" w:hAnsi="Times New Roman" w:eastAsia="仿宋_GB2312" w:cs="Times New Roman"/>
          <w:b w:val="0"/>
          <w:bCs/>
          <w:color w:val="000000"/>
          <w:kern w:val="2"/>
          <w:sz w:val="32"/>
          <w:szCs w:val="24"/>
          <w:lang w:val="en-US" w:eastAsia="zh-CN" w:bidi="ar-SA"/>
        </w:rPr>
        <w:t>9.卫生健康支出（类）行政事业单位医疗（款）行政单位医疗（项）</w:t>
      </w:r>
      <w:r>
        <w:rPr>
          <w:rStyle w:val="18"/>
          <w:rFonts w:hint="default" w:ascii="Times New Roman" w:hAnsi="Times New Roman" w:eastAsia="仿宋_GB2312" w:cs="Times New Roman"/>
          <w:b w:val="0"/>
          <w:bCs/>
          <w:color w:val="000000"/>
          <w:sz w:val="32"/>
          <w:szCs w:val="32"/>
        </w:rPr>
        <w:t>2101101:支出决算为</w:t>
      </w:r>
      <w:r>
        <w:rPr>
          <w:rStyle w:val="18"/>
          <w:rFonts w:hint="default" w:ascii="Times New Roman" w:hAnsi="Times New Roman" w:eastAsia="仿宋_GB2312" w:cs="Times New Roman"/>
          <w:b w:val="0"/>
          <w:bCs/>
          <w:color w:val="000000"/>
          <w:sz w:val="32"/>
          <w:szCs w:val="32"/>
          <w:lang w:val="en-US" w:eastAsia="zh-CN"/>
        </w:rPr>
        <w:t>29.7</w:t>
      </w:r>
      <w:r>
        <w:rPr>
          <w:rStyle w:val="18"/>
          <w:rFonts w:hint="default" w:ascii="Times New Roman" w:hAnsi="Times New Roman" w:eastAsia="仿宋_GB2312" w:cs="Times New Roman"/>
          <w:b w:val="0"/>
          <w:bCs/>
          <w:color w:val="000000"/>
          <w:sz w:val="32"/>
          <w:szCs w:val="32"/>
        </w:rPr>
        <w:t>万元，完成调整预算100%。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Style w:val="18"/>
          <w:rFonts w:hint="default" w:ascii="Times New Roman" w:hAnsi="Times New Roman" w:eastAsia="仿宋_GB2312" w:cs="Times New Roman"/>
          <w:b w:val="0"/>
          <w:bCs/>
          <w:color w:val="000000"/>
          <w:sz w:val="32"/>
          <w:szCs w:val="32"/>
        </w:rPr>
      </w:pPr>
      <w:r>
        <w:rPr>
          <w:rFonts w:hint="default" w:ascii="Times New Roman" w:hAnsi="Times New Roman" w:eastAsia="仿宋_GB2312" w:cs="Times New Roman"/>
          <w:b w:val="0"/>
          <w:bCs/>
          <w:color w:val="000000"/>
          <w:kern w:val="2"/>
          <w:sz w:val="32"/>
          <w:szCs w:val="24"/>
          <w:lang w:val="en-US" w:eastAsia="zh-CN" w:bidi="ar-SA"/>
        </w:rPr>
        <w:t>10.卫生健康支出（类）行政事业单位医疗（款）事业单位医疗（项）</w:t>
      </w:r>
      <w:r>
        <w:rPr>
          <w:rStyle w:val="18"/>
          <w:rFonts w:hint="default" w:ascii="Times New Roman" w:hAnsi="Times New Roman" w:eastAsia="仿宋_GB2312" w:cs="Times New Roman"/>
          <w:b w:val="0"/>
          <w:bCs/>
          <w:color w:val="000000"/>
          <w:sz w:val="32"/>
          <w:szCs w:val="32"/>
        </w:rPr>
        <w:t>210110</w:t>
      </w:r>
      <w:r>
        <w:rPr>
          <w:rStyle w:val="18"/>
          <w:rFonts w:hint="default" w:ascii="Times New Roman" w:hAnsi="Times New Roman" w:eastAsia="仿宋_GB2312" w:cs="Times New Roman"/>
          <w:b w:val="0"/>
          <w:bCs/>
          <w:color w:val="000000"/>
          <w:sz w:val="32"/>
          <w:szCs w:val="32"/>
          <w:lang w:val="en-US" w:eastAsia="zh-CN"/>
        </w:rPr>
        <w:t>2</w:t>
      </w:r>
      <w:r>
        <w:rPr>
          <w:rStyle w:val="18"/>
          <w:rFonts w:hint="default" w:ascii="Times New Roman" w:hAnsi="Times New Roman" w:eastAsia="仿宋_GB2312" w:cs="Times New Roman"/>
          <w:b w:val="0"/>
          <w:bCs/>
          <w:color w:val="000000"/>
          <w:sz w:val="32"/>
          <w:szCs w:val="32"/>
        </w:rPr>
        <w:t>:支出决算为</w:t>
      </w:r>
      <w:r>
        <w:rPr>
          <w:rStyle w:val="18"/>
          <w:rFonts w:hint="default" w:ascii="Times New Roman" w:hAnsi="Times New Roman" w:eastAsia="仿宋_GB2312" w:cs="Times New Roman"/>
          <w:b w:val="0"/>
          <w:bCs/>
          <w:color w:val="000000"/>
          <w:sz w:val="32"/>
          <w:szCs w:val="32"/>
          <w:lang w:val="en-US" w:eastAsia="zh-CN"/>
        </w:rPr>
        <w:t>13.69</w:t>
      </w:r>
      <w:r>
        <w:rPr>
          <w:rStyle w:val="18"/>
          <w:rFonts w:hint="default" w:ascii="Times New Roman" w:hAnsi="Times New Roman" w:eastAsia="仿宋_GB2312" w:cs="Times New Roman"/>
          <w:b w:val="0"/>
          <w:bCs/>
          <w:color w:val="000000"/>
          <w:sz w:val="32"/>
          <w:szCs w:val="32"/>
        </w:rPr>
        <w:t>万元，完成调整预算100%。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Style w:val="18"/>
          <w:rFonts w:hint="default" w:ascii="Times New Roman" w:hAnsi="Times New Roman" w:eastAsia="仿宋_GB2312" w:cs="Times New Roman"/>
          <w:b w:val="0"/>
          <w:bCs/>
          <w:color w:val="000000"/>
          <w:sz w:val="32"/>
          <w:szCs w:val="32"/>
        </w:rPr>
      </w:pPr>
      <w:r>
        <w:rPr>
          <w:rFonts w:hint="default" w:ascii="Times New Roman" w:hAnsi="Times New Roman" w:eastAsia="仿宋_GB2312" w:cs="Times New Roman"/>
          <w:b w:val="0"/>
          <w:bCs/>
          <w:color w:val="000000"/>
          <w:kern w:val="2"/>
          <w:sz w:val="32"/>
          <w:szCs w:val="24"/>
          <w:lang w:val="en-US" w:eastAsia="zh-CN" w:bidi="ar-SA"/>
        </w:rPr>
        <w:t>11.卫生健康支出（类）行政事业单位医疗（款）公务员医疗补助（项）</w:t>
      </w:r>
      <w:r>
        <w:rPr>
          <w:rStyle w:val="18"/>
          <w:rFonts w:hint="default" w:ascii="Times New Roman" w:hAnsi="Times New Roman" w:eastAsia="仿宋_GB2312" w:cs="Times New Roman"/>
          <w:b w:val="0"/>
          <w:bCs/>
          <w:color w:val="000000"/>
          <w:sz w:val="32"/>
          <w:szCs w:val="32"/>
        </w:rPr>
        <w:t>210110</w:t>
      </w:r>
      <w:r>
        <w:rPr>
          <w:rStyle w:val="18"/>
          <w:rFonts w:hint="default" w:ascii="Times New Roman" w:hAnsi="Times New Roman" w:eastAsia="仿宋_GB2312" w:cs="Times New Roman"/>
          <w:b w:val="0"/>
          <w:bCs/>
          <w:color w:val="000000"/>
          <w:sz w:val="32"/>
          <w:szCs w:val="32"/>
          <w:lang w:val="en-US" w:eastAsia="zh-CN"/>
        </w:rPr>
        <w:t>3</w:t>
      </w:r>
      <w:r>
        <w:rPr>
          <w:rStyle w:val="18"/>
          <w:rFonts w:hint="default" w:ascii="Times New Roman" w:hAnsi="Times New Roman" w:eastAsia="仿宋_GB2312" w:cs="Times New Roman"/>
          <w:b w:val="0"/>
          <w:bCs/>
          <w:color w:val="000000"/>
          <w:sz w:val="32"/>
          <w:szCs w:val="32"/>
        </w:rPr>
        <w:t>:支出决算为</w:t>
      </w:r>
      <w:r>
        <w:rPr>
          <w:rStyle w:val="18"/>
          <w:rFonts w:hint="default" w:ascii="Times New Roman" w:hAnsi="Times New Roman" w:eastAsia="仿宋_GB2312" w:cs="Times New Roman"/>
          <w:b w:val="0"/>
          <w:bCs/>
          <w:color w:val="000000"/>
          <w:sz w:val="32"/>
          <w:szCs w:val="32"/>
          <w:lang w:val="en-US" w:eastAsia="zh-CN"/>
        </w:rPr>
        <w:t>6.28</w:t>
      </w:r>
      <w:r>
        <w:rPr>
          <w:rStyle w:val="18"/>
          <w:rFonts w:hint="default" w:ascii="Times New Roman" w:hAnsi="Times New Roman" w:eastAsia="仿宋_GB2312" w:cs="Times New Roman"/>
          <w:b w:val="0"/>
          <w:bCs/>
          <w:color w:val="000000"/>
          <w:sz w:val="32"/>
          <w:szCs w:val="32"/>
        </w:rPr>
        <w:t>万元，完成调整预算100%。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Style w:val="18"/>
          <w:rFonts w:hint="default" w:ascii="Times New Roman" w:hAnsi="Times New Roman" w:eastAsia="仿宋_GB2312" w:cs="Times New Roman"/>
          <w:b w:val="0"/>
          <w:bCs/>
          <w:color w:val="000000"/>
          <w:sz w:val="32"/>
          <w:szCs w:val="32"/>
        </w:rPr>
      </w:pPr>
      <w:r>
        <w:rPr>
          <w:rFonts w:hint="default" w:ascii="Times New Roman" w:hAnsi="Times New Roman" w:eastAsia="仿宋_GB2312" w:cs="Times New Roman"/>
          <w:b w:val="0"/>
          <w:bCs/>
          <w:color w:val="000000"/>
          <w:kern w:val="2"/>
          <w:sz w:val="32"/>
          <w:szCs w:val="24"/>
          <w:lang w:val="en-US" w:eastAsia="zh-CN" w:bidi="ar-SA"/>
        </w:rPr>
        <w:t>12.住房保障支出（类）住房改革支出（款）住房公积金（项）</w:t>
      </w:r>
      <w:r>
        <w:rPr>
          <w:rStyle w:val="18"/>
          <w:rFonts w:hint="default" w:ascii="Times New Roman" w:hAnsi="Times New Roman" w:eastAsia="仿宋_GB2312" w:cs="Times New Roman"/>
          <w:b w:val="0"/>
          <w:bCs/>
          <w:color w:val="000000"/>
          <w:sz w:val="32"/>
          <w:szCs w:val="32"/>
        </w:rPr>
        <w:t>2210201:支出决算为</w:t>
      </w:r>
      <w:r>
        <w:rPr>
          <w:rStyle w:val="18"/>
          <w:rFonts w:hint="default" w:ascii="Times New Roman" w:hAnsi="Times New Roman" w:eastAsia="仿宋_GB2312" w:cs="Times New Roman"/>
          <w:b w:val="0"/>
          <w:bCs/>
          <w:color w:val="000000"/>
          <w:sz w:val="32"/>
          <w:szCs w:val="32"/>
          <w:lang w:val="en-US" w:eastAsia="zh-CN"/>
        </w:rPr>
        <w:t>69.96</w:t>
      </w:r>
      <w:r>
        <w:rPr>
          <w:rStyle w:val="18"/>
          <w:rFonts w:hint="default" w:ascii="Times New Roman" w:hAnsi="Times New Roman" w:eastAsia="仿宋_GB2312" w:cs="Times New Roman"/>
          <w:b w:val="0"/>
          <w:bCs/>
          <w:color w:val="000000"/>
          <w:sz w:val="32"/>
          <w:szCs w:val="32"/>
        </w:rPr>
        <w:t>万元，完成调整预算100%。</w:t>
      </w:r>
    </w:p>
    <w:bookmarkEnd w:id="37"/>
    <w:bookmarkEnd w:id="38"/>
    <w:bookmarkEnd w:id="39"/>
    <w:p>
      <w:pPr>
        <w:pageBreakBefore w:val="0"/>
        <w:tabs>
          <w:tab w:val="right" w:pos="8306"/>
        </w:tabs>
        <w:kinsoku/>
        <w:wordWrap/>
        <w:overflowPunct/>
        <w:topLinePunct w:val="0"/>
        <w:bidi w:val="0"/>
        <w:spacing w:line="560" w:lineRule="exact"/>
        <w:ind w:firstLine="640"/>
        <w:outlineLvl w:val="1"/>
        <w:rPr>
          <w:rFonts w:hint="default" w:ascii="Times New Roman" w:hAnsi="Times New Roman" w:eastAsia="黑体" w:cs="Times New Roman"/>
          <w:b/>
          <w:bCs/>
          <w:color w:val="000000"/>
          <w:sz w:val="32"/>
          <w:szCs w:val="32"/>
        </w:rPr>
      </w:pPr>
      <w:bookmarkStart w:id="40" w:name="_Toc15377214"/>
      <w:bookmarkStart w:id="41" w:name="_Toc15396608"/>
      <w:r>
        <w:rPr>
          <w:rFonts w:hint="default" w:ascii="Times New Roman" w:hAnsi="Times New Roman" w:eastAsia="方正黑体_GBK" w:cs="Times New Roman"/>
          <w:color w:val="000000"/>
          <w:spacing w:val="2"/>
          <w:sz w:val="32"/>
          <w:szCs w:val="32"/>
          <w:lang w:val="en-US" w:eastAsia="zh-CN"/>
        </w:rPr>
        <w:t>六、一般公共预算财政拨款基本支出决算情况说明</w:t>
      </w:r>
      <w:bookmarkEnd w:id="40"/>
      <w:bookmarkEnd w:id="41"/>
      <w:r>
        <w:rPr>
          <w:rFonts w:hint="default" w:ascii="Times New Roman" w:hAnsi="Times New Roman" w:eastAsia="黑体" w:cs="Times New Roman"/>
          <w:bCs/>
          <w:color w:val="000000"/>
          <w:sz w:val="32"/>
          <w:szCs w:val="32"/>
        </w:rPr>
        <w:tab/>
      </w:r>
    </w:p>
    <w:p>
      <w:pPr>
        <w:pageBreakBefore w:val="0"/>
        <w:kinsoku/>
        <w:wordWrap/>
        <w:overflowPunct/>
        <w:topLinePunct w:val="0"/>
        <w:bidi w:val="0"/>
        <w:spacing w:line="560" w:lineRule="exact"/>
        <w:ind w:firstLine="640"/>
        <w:jc w:val="both"/>
        <w:rPr>
          <w:rFonts w:hint="default" w:ascii="Times New Roman" w:hAnsi="Times New Roman" w:eastAsia="仿宋_GB2312" w:cs="Times New Roman"/>
          <w:color w:val="000000"/>
          <w:kern w:val="2"/>
          <w:sz w:val="32"/>
          <w:szCs w:val="24"/>
          <w:lang w:val="zh-CN"/>
        </w:rPr>
      </w:pPr>
      <w:bookmarkStart w:id="42" w:name="_Toc15396609"/>
      <w:bookmarkStart w:id="43" w:name="_Toc15377215"/>
      <w:r>
        <w:rPr>
          <w:rFonts w:hint="default" w:ascii="Times New Roman" w:hAnsi="Times New Roman" w:eastAsia="仿宋_GB2312" w:cs="Times New Roman"/>
          <w:color w:val="000000"/>
          <w:kern w:val="2"/>
          <w:sz w:val="32"/>
          <w:szCs w:val="24"/>
          <w:lang w:val="zh-CN"/>
        </w:rPr>
        <w:t>2022年一般公共预算财政拨款基本支出978.5万元，其中：</w:t>
      </w:r>
    </w:p>
    <w:p>
      <w:pPr>
        <w:pageBreakBefore w:val="0"/>
        <w:kinsoku/>
        <w:wordWrap/>
        <w:overflowPunct/>
        <w:topLinePunct w:val="0"/>
        <w:bidi w:val="0"/>
        <w:spacing w:line="560" w:lineRule="exact"/>
        <w:ind w:firstLine="643"/>
        <w:jc w:val="both"/>
        <w:rPr>
          <w:rFonts w:hint="default" w:ascii="Times New Roman" w:hAnsi="Times New Roman" w:eastAsia="仿宋_GB2312" w:cs="Times New Roman"/>
          <w:color w:val="000000"/>
          <w:kern w:val="2"/>
          <w:sz w:val="32"/>
          <w:szCs w:val="24"/>
          <w:lang w:val="zh-CN"/>
        </w:rPr>
      </w:pPr>
      <w:r>
        <w:rPr>
          <w:rFonts w:hint="default" w:ascii="Times New Roman" w:hAnsi="Times New Roman" w:eastAsia="仿宋_GB2312" w:cs="Times New Roman"/>
          <w:b/>
          <w:color w:val="000000"/>
          <w:kern w:val="2"/>
          <w:sz w:val="32"/>
          <w:szCs w:val="24"/>
          <w:lang w:val="zh-CN"/>
        </w:rPr>
        <w:t>人员经费</w:t>
      </w:r>
      <w:r>
        <w:rPr>
          <w:rFonts w:hint="default" w:ascii="Times New Roman" w:hAnsi="Times New Roman" w:eastAsia="仿宋_GB2312" w:cs="Times New Roman"/>
          <w:color w:val="000000"/>
          <w:kern w:val="2"/>
          <w:sz w:val="32"/>
          <w:szCs w:val="24"/>
          <w:lang w:val="zh-CN"/>
        </w:rPr>
        <w:t>892.15万元，主要包括：</w:t>
      </w:r>
      <w:r>
        <w:rPr>
          <w:rFonts w:hint="default" w:ascii="Times New Roman" w:hAnsi="Times New Roman" w:eastAsia="仿宋" w:cs="Times New Roman"/>
          <w:color w:val="auto"/>
          <w:kern w:val="2"/>
          <w:sz w:val="32"/>
          <w:szCs w:val="24"/>
          <w:lang w:val="en-US"/>
        </w:rPr>
        <w:t>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default" w:ascii="Times New Roman" w:hAnsi="Times New Roman" w:eastAsia="仿宋_GB2312" w:cs="Times New Roman"/>
          <w:color w:val="000000"/>
          <w:kern w:val="2"/>
          <w:sz w:val="32"/>
          <w:szCs w:val="24"/>
          <w:lang w:val="zh-CN"/>
        </w:rPr>
        <w:t>。</w:t>
      </w:r>
    </w:p>
    <w:p>
      <w:pPr>
        <w:pageBreakBefore w:val="0"/>
        <w:kinsoku/>
        <w:wordWrap/>
        <w:overflowPunct/>
        <w:topLinePunct w:val="0"/>
        <w:bidi w:val="0"/>
        <w:spacing w:line="560" w:lineRule="exact"/>
        <w:ind w:firstLine="643"/>
        <w:jc w:val="both"/>
        <w:rPr>
          <w:rFonts w:hint="default" w:ascii="Times New Roman" w:hAnsi="Times New Roman" w:eastAsia="仿宋_GB2312" w:cs="Times New Roman"/>
          <w:color w:val="000000"/>
          <w:kern w:val="2"/>
          <w:sz w:val="32"/>
          <w:szCs w:val="24"/>
          <w:lang w:val="zh-CN"/>
        </w:rPr>
      </w:pPr>
      <w:r>
        <w:rPr>
          <w:rFonts w:hint="default" w:ascii="Times New Roman" w:hAnsi="Times New Roman" w:eastAsia="仿宋_GB2312" w:cs="Times New Roman"/>
          <w:b/>
          <w:color w:val="000000"/>
          <w:kern w:val="2"/>
          <w:sz w:val="32"/>
          <w:szCs w:val="24"/>
          <w:lang w:val="zh-CN"/>
        </w:rPr>
        <w:t>公用经费</w:t>
      </w:r>
      <w:r>
        <w:rPr>
          <w:rFonts w:hint="default" w:ascii="Times New Roman" w:hAnsi="Times New Roman" w:eastAsia="仿宋_GB2312" w:cs="Times New Roman"/>
          <w:color w:val="000000"/>
          <w:kern w:val="2"/>
          <w:sz w:val="32"/>
          <w:szCs w:val="24"/>
          <w:lang w:val="zh-CN"/>
        </w:rPr>
        <w:t>86.35万元，主要包括：</w:t>
      </w:r>
      <w:r>
        <w:rPr>
          <w:rFonts w:hint="default" w:ascii="Times New Roman" w:hAnsi="Times New Roman" w:eastAsia="仿宋" w:cs="Times New Roman"/>
          <w:color w:val="auto"/>
          <w:kern w:val="2"/>
          <w:sz w:val="32"/>
          <w:szCs w:val="24"/>
          <w:lang w:val="en-US"/>
        </w:rPr>
        <w:t>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r>
        <w:rPr>
          <w:rFonts w:hint="default" w:ascii="Times New Roman" w:hAnsi="Times New Roman" w:eastAsia="仿宋_GB2312" w:cs="Times New Roman"/>
          <w:color w:val="000000"/>
          <w:kern w:val="2"/>
          <w:sz w:val="32"/>
          <w:szCs w:val="24"/>
          <w:lang w:val="zh-CN"/>
        </w:rPr>
        <w:t>。</w:t>
      </w:r>
    </w:p>
    <w:p>
      <w:pPr>
        <w:pageBreakBefore w:val="0"/>
        <w:tabs>
          <w:tab w:val="right" w:pos="8306"/>
        </w:tabs>
        <w:kinsoku/>
        <w:wordWrap/>
        <w:overflowPunct/>
        <w:topLinePunct w:val="0"/>
        <w:bidi w:val="0"/>
        <w:spacing w:line="560" w:lineRule="exact"/>
        <w:ind w:firstLine="640"/>
        <w:outlineLvl w:val="1"/>
        <w:rPr>
          <w:rFonts w:hint="default" w:ascii="Times New Roman" w:hAnsi="Times New Roman" w:eastAsia="方正黑体_GBK" w:cs="Times New Roman"/>
          <w:color w:val="000000"/>
          <w:spacing w:val="2"/>
          <w:sz w:val="32"/>
          <w:szCs w:val="32"/>
          <w:lang w:val="en-US" w:eastAsia="zh-CN"/>
        </w:rPr>
      </w:pPr>
      <w:r>
        <w:rPr>
          <w:rFonts w:hint="default" w:ascii="Times New Roman" w:hAnsi="Times New Roman" w:eastAsia="方正黑体_GBK" w:cs="Times New Roman"/>
          <w:color w:val="000000"/>
          <w:spacing w:val="2"/>
          <w:sz w:val="32"/>
          <w:szCs w:val="32"/>
          <w:lang w:val="en-US" w:eastAsia="zh-CN"/>
        </w:rPr>
        <w:t>七、“三公”经费财政拨款支出决算情况说明</w:t>
      </w:r>
      <w:bookmarkEnd w:id="42"/>
      <w:bookmarkEnd w:id="43"/>
    </w:p>
    <w:p>
      <w:pPr>
        <w:keepNext/>
        <w:keepLines/>
        <w:pageBreakBefore w:val="0"/>
        <w:kinsoku/>
        <w:wordWrap/>
        <w:overflowPunct/>
        <w:topLinePunct w:val="0"/>
        <w:bidi w:val="0"/>
        <w:spacing w:line="560" w:lineRule="exact"/>
        <w:ind w:firstLine="643"/>
        <w:jc w:val="both"/>
        <w:rPr>
          <w:rFonts w:hint="default" w:ascii="Times New Roman" w:hAnsi="Times New Roman" w:eastAsia="楷体" w:cs="Times New Roman"/>
          <w:b/>
          <w:color w:val="000000"/>
          <w:kern w:val="2"/>
          <w:sz w:val="32"/>
          <w:szCs w:val="24"/>
          <w:lang w:val="zh-CN"/>
        </w:rPr>
      </w:pPr>
      <w:r>
        <w:rPr>
          <w:rFonts w:hint="default" w:ascii="Times New Roman" w:hAnsi="Times New Roman" w:eastAsia="楷体" w:cs="Times New Roman"/>
          <w:b/>
          <w:color w:val="000000"/>
          <w:kern w:val="2"/>
          <w:sz w:val="32"/>
          <w:szCs w:val="24"/>
          <w:lang w:val="zh-CN"/>
        </w:rPr>
        <w:t>（一）“三公”经费财政拨款支出决算总体情况说明。</w:t>
      </w:r>
    </w:p>
    <w:p>
      <w:pPr>
        <w:pageBreakBefore w:val="0"/>
        <w:kinsoku/>
        <w:wordWrap/>
        <w:overflowPunct/>
        <w:topLinePunct w:val="0"/>
        <w:bidi w:val="0"/>
        <w:spacing w:line="560" w:lineRule="exact"/>
        <w:ind w:firstLine="640"/>
        <w:rPr>
          <w:rFonts w:hint="default" w:ascii="Times New Roman" w:hAnsi="Times New Roman" w:eastAsia="仿宋" w:cs="Times New Roman"/>
          <w:color w:val="000000"/>
          <w:sz w:val="32"/>
          <w:szCs w:val="32"/>
        </w:rPr>
      </w:pPr>
      <w:r>
        <w:rPr>
          <w:rFonts w:hint="default" w:ascii="Times New Roman" w:hAnsi="Times New Roman" w:eastAsia="仿宋_GB2312" w:cs="Times New Roman"/>
          <w:color w:val="000000"/>
          <w:kern w:val="2"/>
          <w:sz w:val="32"/>
          <w:szCs w:val="24"/>
          <w:lang w:val="zh-CN"/>
        </w:rPr>
        <w:t>2022年“三公”经费财政拨款支出决算为2.26万元，完成预算37%；较上年增加1.5万元，增长197.4%。决算数小于预算数的主要原因是节约了</w:t>
      </w:r>
      <w:r>
        <w:rPr>
          <w:rFonts w:hint="default" w:ascii="Times New Roman" w:hAnsi="Times New Roman" w:eastAsia="仿宋" w:cs="Times New Roman"/>
          <w:color w:val="000000"/>
          <w:sz w:val="32"/>
          <w:szCs w:val="32"/>
        </w:rPr>
        <w:t>公务接待费。</w:t>
      </w:r>
    </w:p>
    <w:p>
      <w:pPr>
        <w:keepNext/>
        <w:keepLines/>
        <w:pageBreakBefore w:val="0"/>
        <w:kinsoku/>
        <w:wordWrap/>
        <w:overflowPunct/>
        <w:topLinePunct w:val="0"/>
        <w:bidi w:val="0"/>
        <w:spacing w:line="560" w:lineRule="exact"/>
        <w:ind w:firstLine="643"/>
        <w:jc w:val="both"/>
        <w:rPr>
          <w:rFonts w:hint="default" w:ascii="Times New Roman" w:hAnsi="Times New Roman" w:eastAsia="楷体" w:cs="Times New Roman"/>
          <w:b/>
          <w:color w:val="000000"/>
          <w:kern w:val="2"/>
          <w:sz w:val="32"/>
          <w:szCs w:val="24"/>
          <w:lang w:val="zh-CN"/>
        </w:rPr>
      </w:pPr>
      <w:bookmarkStart w:id="44" w:name="_Toc15377217"/>
      <w:r>
        <w:rPr>
          <w:rFonts w:hint="default" w:ascii="Times New Roman" w:hAnsi="Times New Roman" w:eastAsia="楷体" w:cs="Times New Roman"/>
          <w:b/>
          <w:color w:val="000000"/>
          <w:kern w:val="2"/>
          <w:sz w:val="32"/>
          <w:szCs w:val="24"/>
          <w:lang w:val="zh-CN"/>
        </w:rPr>
        <w:t>（二）“三公”经费财政拨款支出决算具体情况说明</w:t>
      </w:r>
      <w:bookmarkEnd w:id="44"/>
    </w:p>
    <w:p>
      <w:pPr>
        <w:keepNext/>
        <w:keepLines/>
        <w:pageBreakBefore w:val="0"/>
        <w:kinsoku/>
        <w:wordWrap/>
        <w:overflowPunct/>
        <w:topLinePunct w:val="0"/>
        <w:bidi w:val="0"/>
        <w:spacing w:line="560" w:lineRule="exact"/>
        <w:ind w:firstLine="640"/>
        <w:jc w:val="both"/>
        <w:rPr>
          <w:rFonts w:hint="default" w:ascii="Times New Roman" w:hAnsi="Times New Roman" w:eastAsia="仿宋_GB2312" w:cs="Times New Roman"/>
          <w:color w:val="000000"/>
          <w:kern w:val="2"/>
          <w:sz w:val="32"/>
          <w:szCs w:val="24"/>
          <w:lang w:val="zh-CN"/>
        </w:rPr>
      </w:pPr>
      <w:r>
        <w:rPr>
          <w:rFonts w:hint="default" w:ascii="Times New Roman" w:hAnsi="Times New Roman" w:eastAsia="仿宋_GB2312" w:cs="Times New Roman"/>
          <w:color w:val="000000"/>
          <w:kern w:val="2"/>
          <w:sz w:val="32"/>
          <w:szCs w:val="24"/>
          <w:lang w:val="zh-CN"/>
        </w:rPr>
        <w:t>2022年“三公”经费财政拨款支出决算中，因公出国（境）费支出决算0万元，占0%；公务用车购置及运行维护费支出决算0万元，占0%；公务接待费支出决算2.26万元，占100%。具体情况如下：</w:t>
      </w:r>
    </w:p>
    <w:p>
      <w:pPr>
        <w:pageBreakBefore w:val="0"/>
        <w:kinsoku/>
        <w:wordWrap/>
        <w:overflowPunct/>
        <w:topLinePunct w:val="0"/>
        <w:bidi w:val="0"/>
        <w:spacing w:line="560" w:lineRule="exact"/>
        <w:ind w:firstLine="640"/>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t>（图7：“三公”经费财政拨款支出结构）（饼状图）</w:t>
      </w:r>
    </w:p>
    <w:p>
      <w:pPr>
        <w:pageBreakBefore w:val="0"/>
        <w:kinsoku/>
        <w:wordWrap/>
        <w:overflowPunct/>
        <w:topLinePunct w:val="0"/>
        <w:bidi w:val="0"/>
        <w:spacing w:line="560" w:lineRule="exact"/>
        <w:ind w:firstLine="640"/>
        <w:rPr>
          <w:rFonts w:hint="default" w:ascii="Times New Roman" w:hAnsi="Times New Roman" w:eastAsia="仿宋" w:cs="Times New Roman"/>
          <w:color w:val="000000"/>
          <w:sz w:val="32"/>
          <w:szCs w:val="32"/>
        </w:rPr>
      </w:pPr>
      <w:r>
        <w:rPr>
          <w:rFonts w:hint="default" w:ascii="Times New Roman" w:hAnsi="Times New Roman" w:eastAsia="仿宋" w:cs="Times New Roman"/>
          <w:color w:val="000000"/>
          <w:sz w:val="32"/>
          <w:szCs w:val="32"/>
        </w:rPr>
        <w:drawing>
          <wp:anchor distT="0" distB="0" distL="114300" distR="114300" simplePos="0" relativeHeight="251666432" behindDoc="0" locked="0" layoutInCell="1" allowOverlap="1">
            <wp:simplePos x="0" y="0"/>
            <wp:positionH relativeFrom="column">
              <wp:posOffset>1019175</wp:posOffset>
            </wp:positionH>
            <wp:positionV relativeFrom="paragraph">
              <wp:posOffset>30480</wp:posOffset>
            </wp:positionV>
            <wp:extent cx="3486150" cy="1506855"/>
            <wp:effectExtent l="4445" t="4445" r="14605" b="12700"/>
            <wp:wrapNone/>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pageBreakBefore w:val="0"/>
        <w:kinsoku/>
        <w:wordWrap/>
        <w:overflowPunct/>
        <w:topLinePunct w:val="0"/>
        <w:bidi w:val="0"/>
        <w:spacing w:line="560" w:lineRule="exact"/>
        <w:rPr>
          <w:rFonts w:hint="default" w:ascii="Times New Roman" w:hAnsi="Times New Roman" w:eastAsia="仿宋" w:cs="Times New Roman"/>
          <w:color w:val="000000"/>
          <w:sz w:val="32"/>
          <w:szCs w:val="32"/>
        </w:rPr>
      </w:pPr>
    </w:p>
    <w:p>
      <w:pPr>
        <w:pageBreakBefore w:val="0"/>
        <w:kinsoku/>
        <w:wordWrap/>
        <w:overflowPunct/>
        <w:topLinePunct w:val="0"/>
        <w:bidi w:val="0"/>
        <w:spacing w:line="560" w:lineRule="exact"/>
        <w:ind w:firstLine="640"/>
        <w:rPr>
          <w:rFonts w:hint="default" w:ascii="Times New Roman" w:hAnsi="Times New Roman" w:eastAsia="仿宋" w:cs="Times New Roman"/>
          <w:color w:val="000000"/>
          <w:sz w:val="32"/>
          <w:szCs w:val="32"/>
        </w:rPr>
      </w:pPr>
    </w:p>
    <w:p>
      <w:pPr>
        <w:pageBreakBefore w:val="0"/>
        <w:kinsoku/>
        <w:wordWrap/>
        <w:overflowPunct/>
        <w:topLinePunct w:val="0"/>
        <w:bidi w:val="0"/>
        <w:spacing w:line="560" w:lineRule="exact"/>
        <w:ind w:firstLine="640"/>
        <w:rPr>
          <w:rFonts w:hint="default" w:ascii="Times New Roman" w:hAnsi="Times New Roman" w:eastAsia="仿宋" w:cs="Times New Roman"/>
          <w:color w:val="000000"/>
          <w:sz w:val="32"/>
          <w:szCs w:val="32"/>
        </w:rPr>
      </w:pPr>
    </w:p>
    <w:p>
      <w:pPr>
        <w:pageBreakBefore w:val="0"/>
        <w:kinsoku/>
        <w:wordWrap/>
        <w:overflowPunct/>
        <w:topLinePunct w:val="0"/>
        <w:bidi w:val="0"/>
        <w:spacing w:line="560" w:lineRule="exact"/>
        <w:ind w:firstLine="640"/>
        <w:rPr>
          <w:rFonts w:hint="default" w:ascii="Times New Roman" w:hAnsi="Times New Roman" w:eastAsia="仿宋_GB2312" w:cs="Times New Roman"/>
          <w:b/>
          <w:color w:val="000000"/>
          <w:sz w:val="32"/>
          <w:szCs w:val="32"/>
        </w:rPr>
      </w:pPr>
    </w:p>
    <w:p>
      <w:pPr>
        <w:pageBreakBefore w:val="0"/>
        <w:kinsoku/>
        <w:wordWrap/>
        <w:overflowPunct/>
        <w:topLinePunct w:val="0"/>
        <w:bidi w:val="0"/>
        <w:spacing w:line="560" w:lineRule="exact"/>
        <w:ind w:firstLine="640"/>
        <w:rPr>
          <w:rStyle w:val="18"/>
          <w:rFonts w:hint="default" w:ascii="Times New Roman" w:hAnsi="Times New Roman" w:eastAsia="仿宋" w:cs="Times New Roman"/>
          <w:b w:val="0"/>
          <w:bCs/>
          <w:color w:val="000000"/>
          <w:sz w:val="32"/>
          <w:szCs w:val="32"/>
        </w:rPr>
      </w:pPr>
      <w:r>
        <w:rPr>
          <w:rFonts w:hint="default" w:ascii="Times New Roman" w:hAnsi="Times New Roman" w:eastAsia="仿宋_GB2312" w:cs="Times New Roman"/>
          <w:b/>
          <w:color w:val="000000"/>
          <w:sz w:val="32"/>
          <w:szCs w:val="32"/>
        </w:rPr>
        <w:t>1. 因公出国（境）经费支出</w:t>
      </w:r>
      <w:r>
        <w:rPr>
          <w:rFonts w:hint="default" w:ascii="Times New Roman" w:hAnsi="Times New Roman" w:eastAsia="仿宋_GB2312" w:cs="Times New Roman"/>
          <w:color w:val="000000"/>
          <w:sz w:val="32"/>
          <w:szCs w:val="32"/>
        </w:rPr>
        <w:t>0万元，</w:t>
      </w:r>
      <w:r>
        <w:rPr>
          <w:rStyle w:val="18"/>
          <w:rFonts w:hint="default" w:ascii="Times New Roman" w:hAnsi="Times New Roman" w:eastAsia="仿宋" w:cs="Times New Roman"/>
          <w:b w:val="0"/>
          <w:bCs/>
          <w:color w:val="000000"/>
          <w:sz w:val="32"/>
          <w:szCs w:val="32"/>
        </w:rPr>
        <w:t>完成预算0%。</w:t>
      </w:r>
      <w:r>
        <w:rPr>
          <w:rFonts w:hint="default" w:ascii="Times New Roman" w:hAnsi="Times New Roman" w:eastAsia="仿宋_GB2312" w:cs="Times New Roman"/>
          <w:color w:val="000000"/>
          <w:sz w:val="32"/>
          <w:szCs w:val="32"/>
        </w:rPr>
        <w:t>全年安排因公出国（境）团组0次，出国（境）0人。</w:t>
      </w:r>
    </w:p>
    <w:p>
      <w:pPr>
        <w:pageBreakBefore w:val="0"/>
        <w:kinsoku/>
        <w:wordWrap/>
        <w:overflowPunct/>
        <w:topLinePunct w:val="0"/>
        <w:bidi w:val="0"/>
        <w:spacing w:line="560" w:lineRule="exact"/>
        <w:ind w:firstLine="643"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rPr>
        <w:t>2. 公务用车购置及运行维护费支出</w:t>
      </w:r>
      <w:r>
        <w:rPr>
          <w:rFonts w:hint="default" w:ascii="Times New Roman" w:hAnsi="Times New Roman" w:eastAsia="仿宋_GB2312" w:cs="Times New Roman"/>
          <w:color w:val="000000"/>
          <w:sz w:val="32"/>
          <w:szCs w:val="32"/>
        </w:rPr>
        <w:t>0万元,</w:t>
      </w:r>
      <w:r>
        <w:rPr>
          <w:rStyle w:val="18"/>
          <w:rFonts w:hint="default" w:ascii="Times New Roman" w:hAnsi="Times New Roman" w:eastAsia="仿宋" w:cs="Times New Roman"/>
          <w:b w:val="0"/>
          <w:bCs/>
          <w:color w:val="000000"/>
          <w:sz w:val="32"/>
          <w:szCs w:val="32"/>
        </w:rPr>
        <w:t>完成预算0%。</w:t>
      </w:r>
    </w:p>
    <w:p>
      <w:pPr>
        <w:pageBreakBefore w:val="0"/>
        <w:kinsoku/>
        <w:wordWrap/>
        <w:overflowPunct/>
        <w:topLinePunct w:val="0"/>
        <w:bidi w:val="0"/>
        <w:spacing w:line="560" w:lineRule="exact"/>
        <w:ind w:firstLine="64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其中：</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b/>
          <w:color w:val="000000"/>
          <w:sz w:val="32"/>
          <w:szCs w:val="32"/>
        </w:rPr>
        <w:t>公务用车购置支出</w:t>
      </w:r>
      <w:r>
        <w:rPr>
          <w:rFonts w:hint="default" w:ascii="Times New Roman" w:hAnsi="Times New Roman" w:eastAsia="仿宋_GB2312" w:cs="Times New Roman"/>
          <w:color w:val="000000"/>
          <w:sz w:val="32"/>
          <w:szCs w:val="32"/>
        </w:rPr>
        <w:t>0万元。全年按规定更新购置公务用车0辆，其中：轿车0辆、金额0万元，越野车0辆、金额0万元，小型载客汽车0辆、金额0万元，大中型载客汽车0辆、金额0万元，其他车型0辆、金额0万元。截至202</w:t>
      </w:r>
      <w:r>
        <w:rPr>
          <w:rFonts w:hint="default" w:ascii="Times New Roman" w:hAnsi="Times New Roman"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rPr>
        <w:t>年12月底，本单位共有公务用车0辆，其中：轿车0辆、越野车0辆、小型载客汽车0辆、大中型载客汽车0辆、其他车型0辆。</w:t>
      </w:r>
    </w:p>
    <w:p>
      <w:pPr>
        <w:pageBreakBefore w:val="0"/>
        <w:kinsoku/>
        <w:wordWrap/>
        <w:overflowPunct/>
        <w:topLinePunct w:val="0"/>
        <w:bidi w:val="0"/>
        <w:spacing w:line="560" w:lineRule="exact"/>
        <w:ind w:firstLine="64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sz w:val="32"/>
          <w:szCs w:val="32"/>
          <w:lang w:eastAsia="zh-CN"/>
        </w:rPr>
        <w:t>（</w:t>
      </w:r>
      <w:r>
        <w:rPr>
          <w:rFonts w:hint="default" w:ascii="Times New Roman" w:hAnsi="Times New Roman" w:eastAsia="仿宋_GB2312" w:cs="Times New Roman"/>
          <w:b/>
          <w:color w:val="000000"/>
          <w:sz w:val="32"/>
          <w:szCs w:val="32"/>
          <w:lang w:val="en-US" w:eastAsia="zh-CN"/>
        </w:rPr>
        <w:t>2</w:t>
      </w:r>
      <w:r>
        <w:rPr>
          <w:rFonts w:hint="default" w:ascii="Times New Roman" w:hAnsi="Times New Roman" w:eastAsia="仿宋_GB2312" w:cs="Times New Roman"/>
          <w:b/>
          <w:color w:val="000000"/>
          <w:sz w:val="32"/>
          <w:szCs w:val="32"/>
          <w:lang w:eastAsia="zh-CN"/>
        </w:rPr>
        <w:t>）</w:t>
      </w:r>
      <w:r>
        <w:rPr>
          <w:rFonts w:hint="default" w:ascii="Times New Roman" w:hAnsi="Times New Roman" w:eastAsia="仿宋_GB2312" w:cs="Times New Roman"/>
          <w:b/>
          <w:color w:val="000000"/>
          <w:sz w:val="32"/>
          <w:szCs w:val="32"/>
        </w:rPr>
        <w:t>公务用车运行维护费支出</w:t>
      </w:r>
      <w:r>
        <w:rPr>
          <w:rFonts w:hint="default" w:ascii="Times New Roman" w:hAnsi="Times New Roman" w:eastAsia="仿宋_GB2312" w:cs="Times New Roman"/>
          <w:color w:val="000000"/>
          <w:sz w:val="32"/>
          <w:szCs w:val="32"/>
        </w:rPr>
        <w:t>0万元。</w:t>
      </w:r>
    </w:p>
    <w:p>
      <w:pPr>
        <w:keepNext/>
        <w:keepLines/>
        <w:pageBreakBefore w:val="0"/>
        <w:kinsoku/>
        <w:wordWrap/>
        <w:overflowPunct/>
        <w:topLinePunct w:val="0"/>
        <w:bidi w:val="0"/>
        <w:spacing w:line="560" w:lineRule="exact"/>
        <w:ind w:firstLine="643"/>
        <w:jc w:val="both"/>
        <w:rPr>
          <w:rFonts w:hint="default" w:ascii="Times New Roman" w:hAnsi="Times New Roman" w:eastAsia="仿宋_GB2312" w:cs="Times New Roman"/>
          <w:color w:val="000000"/>
          <w:kern w:val="2"/>
          <w:sz w:val="32"/>
          <w:szCs w:val="24"/>
          <w:lang w:val="zh-CN"/>
        </w:rPr>
      </w:pPr>
      <w:r>
        <w:rPr>
          <w:rFonts w:hint="default" w:ascii="Times New Roman" w:hAnsi="Times New Roman" w:eastAsia="仿宋_GB2312" w:cs="Times New Roman"/>
          <w:b/>
          <w:color w:val="000000"/>
          <w:sz w:val="32"/>
          <w:szCs w:val="32"/>
        </w:rPr>
        <w:t>3.</w:t>
      </w:r>
      <w:r>
        <w:rPr>
          <w:rFonts w:hint="default" w:ascii="Times New Roman" w:hAnsi="Times New Roman" w:eastAsia="仿宋_GB2312" w:cs="Times New Roman"/>
          <w:b/>
          <w:color w:val="000000"/>
          <w:kern w:val="2"/>
          <w:sz w:val="32"/>
          <w:szCs w:val="24"/>
          <w:lang w:val="zh-CN"/>
        </w:rPr>
        <w:t>公务接待费</w:t>
      </w:r>
      <w:r>
        <w:rPr>
          <w:rFonts w:hint="default" w:ascii="Times New Roman" w:hAnsi="Times New Roman" w:eastAsia="仿宋_GB2312" w:cs="Times New Roman"/>
          <w:color w:val="000000"/>
          <w:kern w:val="2"/>
          <w:sz w:val="32"/>
          <w:szCs w:val="24"/>
          <w:lang w:val="zh-CN"/>
        </w:rPr>
        <w:t>支出2.26万元，完成预算37%。公务接待费支出决算比2021年增加/减少1.5万元，增长197.4%。</w:t>
      </w:r>
      <w:r>
        <w:rPr>
          <w:rFonts w:hint="default" w:ascii="Times New Roman" w:hAnsi="Times New Roman" w:eastAsia="仿宋_GB2312" w:cs="Times New Roman"/>
          <w:sz w:val="32"/>
          <w:szCs w:val="32"/>
        </w:rPr>
        <w:t>主要原因为接待人</w:t>
      </w:r>
      <w:r>
        <w:rPr>
          <w:rFonts w:hint="default" w:ascii="Times New Roman" w:hAnsi="Times New Roman" w:eastAsia="仿宋_GB2312" w:cs="Times New Roman"/>
          <w:sz w:val="32"/>
          <w:szCs w:val="32"/>
          <w:lang w:eastAsia="zh-CN"/>
        </w:rPr>
        <w:t>数</w:t>
      </w:r>
      <w:r>
        <w:rPr>
          <w:rFonts w:hint="default" w:ascii="Times New Roman" w:hAnsi="Times New Roman" w:eastAsia="仿宋_GB2312" w:cs="Times New Roman"/>
          <w:sz w:val="32"/>
          <w:szCs w:val="32"/>
        </w:rPr>
        <w:t>次</w:t>
      </w:r>
      <w:r>
        <w:rPr>
          <w:rFonts w:hint="default" w:ascii="Times New Roman" w:hAnsi="Times New Roman" w:eastAsia="仿宋_GB2312" w:cs="Times New Roman"/>
          <w:sz w:val="32"/>
          <w:szCs w:val="32"/>
          <w:lang w:eastAsia="zh-CN"/>
        </w:rPr>
        <w:t>数</w:t>
      </w:r>
      <w:r>
        <w:rPr>
          <w:rFonts w:hint="default" w:ascii="Times New Roman" w:hAnsi="Times New Roman" w:eastAsia="仿宋_GB2312" w:cs="Times New Roman"/>
          <w:sz w:val="32"/>
          <w:szCs w:val="32"/>
        </w:rPr>
        <w:t>相比上年度增加</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color w:val="000000"/>
          <w:kern w:val="2"/>
          <w:sz w:val="32"/>
          <w:szCs w:val="24"/>
          <w:lang w:val="zh-CN"/>
        </w:rPr>
        <w:t>增加</w:t>
      </w:r>
      <w:r>
        <w:rPr>
          <w:rFonts w:hint="default" w:ascii="Times New Roman" w:hAnsi="Times New Roman" w:eastAsia="仿宋" w:cs="Times New Roman"/>
          <w:color w:val="000000"/>
          <w:sz w:val="32"/>
          <w:szCs w:val="32"/>
        </w:rPr>
        <w:t>公务接待费</w:t>
      </w:r>
      <w:r>
        <w:rPr>
          <w:rFonts w:hint="default" w:ascii="Times New Roman" w:hAnsi="Times New Roman" w:eastAsia="仿宋" w:cs="Times New Roman"/>
          <w:color w:val="000000"/>
          <w:sz w:val="32"/>
          <w:szCs w:val="32"/>
          <w:lang w:eastAsia="zh-CN"/>
        </w:rPr>
        <w:t>次数、人次</w:t>
      </w:r>
      <w:r>
        <w:rPr>
          <w:rFonts w:hint="default" w:ascii="Times New Roman" w:hAnsi="Times New Roman" w:eastAsia="仿宋" w:cs="Times New Roman"/>
          <w:color w:val="000000"/>
          <w:sz w:val="32"/>
          <w:szCs w:val="32"/>
        </w:rPr>
        <w:t>。</w:t>
      </w:r>
      <w:r>
        <w:rPr>
          <w:rFonts w:hint="default" w:ascii="Times New Roman" w:hAnsi="Times New Roman" w:eastAsia="仿宋_GB2312" w:cs="Times New Roman"/>
          <w:color w:val="000000"/>
          <w:kern w:val="2"/>
          <w:sz w:val="32"/>
          <w:szCs w:val="24"/>
          <w:lang w:val="zh-CN"/>
        </w:rPr>
        <w:t>其中：</w:t>
      </w:r>
    </w:p>
    <w:p>
      <w:pPr>
        <w:pageBreakBefore w:val="0"/>
        <w:kinsoku/>
        <w:wordWrap/>
        <w:overflowPunct/>
        <w:topLinePunct w:val="0"/>
        <w:bidi w:val="0"/>
        <w:spacing w:line="560" w:lineRule="exact"/>
        <w:ind w:firstLine="64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color w:val="000000"/>
          <w:kern w:val="2"/>
          <w:sz w:val="32"/>
          <w:szCs w:val="24"/>
          <w:lang w:val="zh-CN"/>
        </w:rPr>
        <w:t>国内公务接待</w:t>
      </w:r>
      <w:r>
        <w:rPr>
          <w:rFonts w:hint="default" w:ascii="Times New Roman" w:hAnsi="Times New Roman" w:eastAsia="仿宋_GB2312" w:cs="Times New Roman"/>
          <w:color w:val="000000"/>
          <w:kern w:val="2"/>
          <w:sz w:val="32"/>
          <w:szCs w:val="24"/>
          <w:lang w:val="zh-CN"/>
        </w:rPr>
        <w:t>支出2.26万元。主要用于</w:t>
      </w:r>
      <w:r>
        <w:rPr>
          <w:rFonts w:hint="default" w:ascii="Times New Roman" w:hAnsi="Times New Roman" w:eastAsia="仿宋_GB2312" w:cs="Times New Roman"/>
          <w:color w:val="000000"/>
          <w:kern w:val="2"/>
          <w:sz w:val="32"/>
          <w:szCs w:val="24"/>
          <w:highlight w:val="white"/>
          <w:lang w:val="en-US" w:eastAsia="zh-CN"/>
        </w:rPr>
        <w:t>接待调研、检查、</w:t>
      </w:r>
      <w:r>
        <w:rPr>
          <w:rFonts w:hint="default" w:ascii="Times New Roman" w:hAnsi="Times New Roman" w:eastAsia="仿宋_GB2312" w:cs="Times New Roman"/>
          <w:color w:val="000000"/>
          <w:sz w:val="32"/>
          <w:szCs w:val="32"/>
        </w:rPr>
        <w:t>交流学习</w:t>
      </w:r>
      <w:r>
        <w:rPr>
          <w:rFonts w:hint="default" w:ascii="Times New Roman" w:hAnsi="Times New Roman" w:eastAsia="仿宋_GB2312" w:cs="Times New Roman"/>
          <w:color w:val="000000"/>
          <w:sz w:val="32"/>
          <w:szCs w:val="32"/>
          <w:lang w:eastAsia="zh-CN"/>
        </w:rPr>
        <w:t>等</w:t>
      </w:r>
      <w:r>
        <w:rPr>
          <w:rFonts w:hint="default" w:ascii="Times New Roman" w:hAnsi="Times New Roman" w:eastAsia="仿宋_GB2312" w:cs="Times New Roman"/>
          <w:color w:val="000000"/>
          <w:kern w:val="2"/>
          <w:sz w:val="32"/>
          <w:szCs w:val="24"/>
          <w:highlight w:val="white"/>
          <w:lang w:val="en-US"/>
        </w:rPr>
        <w:t>用餐费。</w:t>
      </w:r>
      <w:r>
        <w:rPr>
          <w:rFonts w:hint="default" w:ascii="Times New Roman" w:hAnsi="Times New Roman" w:eastAsia="仿宋_GB2312" w:cs="Times New Roman"/>
          <w:color w:val="000000"/>
          <w:kern w:val="2"/>
          <w:sz w:val="32"/>
          <w:szCs w:val="24"/>
          <w:lang w:val="zh-CN"/>
        </w:rPr>
        <w:t>国内公务接待12批次，93人次，共计支出2.26万元，具体内容包括</w:t>
      </w:r>
      <w:r>
        <w:rPr>
          <w:rFonts w:hint="default" w:ascii="Times New Roman" w:hAnsi="Times New Roman" w:eastAsia="仿宋_GB2312" w:cs="Times New Roman"/>
          <w:color w:val="000000"/>
          <w:sz w:val="32"/>
          <w:szCs w:val="32"/>
        </w:rPr>
        <w:t>：</w:t>
      </w:r>
    </w:p>
    <w:p>
      <w:pPr>
        <w:pageBreakBefore w:val="0"/>
        <w:kinsoku/>
        <w:wordWrap/>
        <w:overflowPunct/>
        <w:topLinePunct w:val="0"/>
        <w:bidi w:val="0"/>
        <w:spacing w:line="560" w:lineRule="exact"/>
        <w:ind w:firstLine="64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接待市国资委开展国有企业退休人员社会化管理财政补助资金清算评审</w:t>
      </w:r>
      <w:r>
        <w:rPr>
          <w:rFonts w:hint="default" w:ascii="Times New Roman" w:hAnsi="Times New Roman" w:eastAsia="仿宋_GB2312" w:cs="Times New Roman"/>
          <w:color w:val="000000"/>
          <w:sz w:val="32"/>
          <w:szCs w:val="32"/>
          <w:lang w:eastAsia="zh-CN"/>
        </w:rPr>
        <w:t>餐费</w:t>
      </w:r>
      <w:r>
        <w:rPr>
          <w:rFonts w:hint="default" w:ascii="Times New Roman" w:hAnsi="Times New Roman" w:eastAsia="仿宋_GB2312" w:cs="Times New Roman"/>
          <w:color w:val="000000"/>
          <w:sz w:val="32"/>
          <w:szCs w:val="32"/>
          <w:lang w:val="en-US" w:eastAsia="zh-CN"/>
        </w:rPr>
        <w:t>0.15</w:t>
      </w:r>
      <w:r>
        <w:rPr>
          <w:rFonts w:hint="default" w:ascii="Times New Roman" w:hAnsi="Times New Roman" w:eastAsia="仿宋_GB2312" w:cs="Times New Roman"/>
          <w:color w:val="000000"/>
          <w:sz w:val="32"/>
          <w:szCs w:val="32"/>
        </w:rPr>
        <w:t>万元;</w:t>
      </w:r>
    </w:p>
    <w:p>
      <w:pPr>
        <w:pageBreakBefore w:val="0"/>
        <w:kinsoku/>
        <w:wordWrap/>
        <w:overflowPunct/>
        <w:topLinePunct w:val="0"/>
        <w:bidi w:val="0"/>
        <w:spacing w:line="560" w:lineRule="exact"/>
        <w:ind w:firstLine="64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接待西区财政局一体化系统交流学习</w:t>
      </w:r>
      <w:r>
        <w:rPr>
          <w:rFonts w:hint="default" w:ascii="Times New Roman" w:hAnsi="Times New Roman" w:eastAsia="仿宋_GB2312" w:cs="Times New Roman"/>
          <w:color w:val="000000"/>
          <w:sz w:val="32"/>
          <w:szCs w:val="32"/>
          <w:lang w:eastAsia="zh-CN"/>
        </w:rPr>
        <w:t>餐费</w:t>
      </w:r>
      <w:r>
        <w:rPr>
          <w:rFonts w:hint="default" w:ascii="Times New Roman" w:hAnsi="Times New Roman" w:eastAsia="仿宋_GB2312" w:cs="Times New Roman"/>
          <w:color w:val="000000"/>
          <w:sz w:val="32"/>
          <w:szCs w:val="32"/>
          <w:lang w:val="en-US" w:eastAsia="zh-CN"/>
        </w:rPr>
        <w:t>0.24</w:t>
      </w:r>
      <w:r>
        <w:rPr>
          <w:rFonts w:hint="default" w:ascii="Times New Roman" w:hAnsi="Times New Roman" w:eastAsia="仿宋_GB2312" w:cs="Times New Roman"/>
          <w:color w:val="000000"/>
          <w:sz w:val="32"/>
          <w:szCs w:val="32"/>
        </w:rPr>
        <w:t>万元;</w:t>
      </w:r>
    </w:p>
    <w:p>
      <w:pPr>
        <w:pageBreakBefore w:val="0"/>
        <w:kinsoku/>
        <w:wordWrap/>
        <w:overflowPunct/>
        <w:topLinePunct w:val="0"/>
        <w:bidi w:val="0"/>
        <w:spacing w:line="560" w:lineRule="exact"/>
        <w:ind w:firstLine="64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接待接待市财政局债券资金管理及项目核查调研</w:t>
      </w:r>
      <w:r>
        <w:rPr>
          <w:rFonts w:hint="default" w:ascii="Times New Roman" w:hAnsi="Times New Roman" w:eastAsia="仿宋_GB2312" w:cs="Times New Roman"/>
          <w:color w:val="000000"/>
          <w:sz w:val="32"/>
          <w:szCs w:val="32"/>
          <w:lang w:eastAsia="zh-CN"/>
        </w:rPr>
        <w:t>餐费</w:t>
      </w:r>
      <w:r>
        <w:rPr>
          <w:rFonts w:hint="default" w:ascii="Times New Roman" w:hAnsi="Times New Roman" w:eastAsia="仿宋_GB2312" w:cs="Times New Roman"/>
          <w:color w:val="000000"/>
          <w:sz w:val="32"/>
          <w:szCs w:val="32"/>
        </w:rPr>
        <w:t>0.</w:t>
      </w:r>
      <w:r>
        <w:rPr>
          <w:rFonts w:hint="default" w:ascii="Times New Roman" w:hAnsi="Times New Roman" w:eastAsia="仿宋_GB2312" w:cs="Times New Roman"/>
          <w:color w:val="000000"/>
          <w:sz w:val="32"/>
          <w:szCs w:val="32"/>
          <w:lang w:val="en-US" w:eastAsia="zh-CN"/>
        </w:rPr>
        <w:t>36</w:t>
      </w:r>
      <w:r>
        <w:rPr>
          <w:rFonts w:hint="default" w:ascii="Times New Roman" w:hAnsi="Times New Roman" w:eastAsia="仿宋_GB2312" w:cs="Times New Roman"/>
          <w:color w:val="000000"/>
          <w:sz w:val="32"/>
          <w:szCs w:val="32"/>
        </w:rPr>
        <w:t>万元;</w:t>
      </w:r>
    </w:p>
    <w:p>
      <w:pPr>
        <w:pageBreakBefore w:val="0"/>
        <w:kinsoku/>
        <w:wordWrap/>
        <w:overflowPunct/>
        <w:topLinePunct w:val="0"/>
        <w:bidi w:val="0"/>
        <w:spacing w:line="560" w:lineRule="exact"/>
        <w:ind w:firstLine="64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接待四川文鼎宏图科技公司调研就餐费</w:t>
      </w:r>
      <w:r>
        <w:rPr>
          <w:rFonts w:hint="default" w:ascii="Times New Roman" w:hAnsi="Times New Roman" w:eastAsia="仿宋_GB2312" w:cs="Times New Roman"/>
          <w:color w:val="000000"/>
          <w:sz w:val="32"/>
          <w:szCs w:val="32"/>
          <w:lang w:val="en-US" w:eastAsia="zh-CN"/>
        </w:rPr>
        <w:t>0.10</w:t>
      </w:r>
      <w:r>
        <w:rPr>
          <w:rFonts w:hint="default" w:ascii="Times New Roman" w:hAnsi="Times New Roman" w:eastAsia="仿宋_GB2312" w:cs="Times New Roman"/>
          <w:color w:val="000000"/>
          <w:sz w:val="32"/>
          <w:szCs w:val="32"/>
        </w:rPr>
        <w:t>万元;</w:t>
      </w:r>
    </w:p>
    <w:p>
      <w:pPr>
        <w:pageBreakBefore w:val="0"/>
        <w:kinsoku/>
        <w:wordWrap/>
        <w:overflowPunct/>
        <w:topLinePunct w:val="0"/>
        <w:bidi w:val="0"/>
        <w:spacing w:line="560" w:lineRule="exact"/>
        <w:ind w:firstLine="64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接待米易财政局财政预算一</w:t>
      </w:r>
      <w:r>
        <w:rPr>
          <w:rFonts w:hint="eastAsia" w:eastAsia="仿宋_GB2312" w:cs="Times New Roman"/>
          <w:color w:val="000000"/>
          <w:sz w:val="32"/>
          <w:szCs w:val="32"/>
          <w:lang w:val="en-US" w:eastAsia="zh-CN"/>
        </w:rPr>
        <w:t>体</w:t>
      </w:r>
      <w:r>
        <w:rPr>
          <w:rFonts w:hint="default" w:ascii="Times New Roman" w:hAnsi="Times New Roman" w:eastAsia="仿宋_GB2312" w:cs="Times New Roman"/>
          <w:color w:val="000000"/>
          <w:sz w:val="32"/>
          <w:szCs w:val="32"/>
        </w:rPr>
        <w:t>化系统平台业务交流学习就餐费0.1</w:t>
      </w:r>
      <w:r>
        <w:rPr>
          <w:rFonts w:hint="default" w:ascii="Times New Roman" w:hAnsi="Times New Roman" w:eastAsia="仿宋_GB2312" w:cs="Times New Roman"/>
          <w:color w:val="000000"/>
          <w:sz w:val="32"/>
          <w:szCs w:val="32"/>
          <w:lang w:val="en-US" w:eastAsia="zh-CN"/>
        </w:rPr>
        <w:t>9</w:t>
      </w:r>
      <w:r>
        <w:rPr>
          <w:rFonts w:hint="default" w:ascii="Times New Roman" w:hAnsi="Times New Roman" w:eastAsia="仿宋_GB2312" w:cs="Times New Roman"/>
          <w:color w:val="000000"/>
          <w:sz w:val="32"/>
          <w:szCs w:val="32"/>
        </w:rPr>
        <w:t>万元;</w:t>
      </w:r>
    </w:p>
    <w:p>
      <w:pPr>
        <w:pageBreakBefore w:val="0"/>
        <w:kinsoku/>
        <w:wordWrap/>
        <w:overflowPunct/>
        <w:topLinePunct w:val="0"/>
        <w:bidi w:val="0"/>
        <w:spacing w:line="560" w:lineRule="exact"/>
        <w:ind w:firstLine="640"/>
        <w:rPr>
          <w:rFonts w:hint="default" w:ascii="Times New Roman" w:hAnsi="Times New Roman" w:eastAsia="仿宋_GB2312" w:cs="Times New Roman"/>
          <w:color w:val="000000"/>
          <w:w w:val="95"/>
          <w:sz w:val="32"/>
          <w:szCs w:val="32"/>
        </w:rPr>
      </w:pPr>
      <w:r>
        <w:rPr>
          <w:rFonts w:hint="default" w:ascii="Times New Roman" w:hAnsi="Times New Roman" w:eastAsia="仿宋_GB2312" w:cs="Times New Roman"/>
          <w:color w:val="000000"/>
          <w:w w:val="95"/>
          <w:sz w:val="32"/>
          <w:szCs w:val="32"/>
        </w:rPr>
        <w:t>接待永仁县政府开展园区经济物流调研就餐费0.1</w:t>
      </w:r>
      <w:r>
        <w:rPr>
          <w:rFonts w:hint="default" w:ascii="Times New Roman" w:hAnsi="Times New Roman" w:eastAsia="仿宋_GB2312" w:cs="Times New Roman"/>
          <w:color w:val="000000"/>
          <w:w w:val="95"/>
          <w:sz w:val="32"/>
          <w:szCs w:val="32"/>
          <w:lang w:val="en-US" w:eastAsia="zh-CN"/>
        </w:rPr>
        <w:t>8</w:t>
      </w:r>
      <w:r>
        <w:rPr>
          <w:rFonts w:hint="default" w:ascii="Times New Roman" w:hAnsi="Times New Roman" w:eastAsia="仿宋_GB2312" w:cs="Times New Roman"/>
          <w:color w:val="000000"/>
          <w:w w:val="95"/>
          <w:sz w:val="32"/>
          <w:szCs w:val="32"/>
        </w:rPr>
        <w:t>万元;</w:t>
      </w:r>
    </w:p>
    <w:p>
      <w:pPr>
        <w:pageBreakBefore w:val="0"/>
        <w:kinsoku/>
        <w:wordWrap/>
        <w:overflowPunct/>
        <w:topLinePunct w:val="0"/>
        <w:bidi w:val="0"/>
        <w:spacing w:line="560" w:lineRule="exact"/>
        <w:ind w:firstLine="64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接待财政部四川监管局仁和调研就餐费0.1</w:t>
      </w:r>
      <w:r>
        <w:rPr>
          <w:rFonts w:hint="default" w:ascii="Times New Roman" w:hAnsi="Times New Roman" w:eastAsia="仿宋_GB2312" w:cs="Times New Roman"/>
          <w:color w:val="000000"/>
          <w:sz w:val="32"/>
          <w:szCs w:val="32"/>
          <w:lang w:val="en-US" w:eastAsia="zh-CN"/>
        </w:rPr>
        <w:t>9</w:t>
      </w:r>
      <w:r>
        <w:rPr>
          <w:rFonts w:hint="default" w:ascii="Times New Roman" w:hAnsi="Times New Roman" w:eastAsia="仿宋_GB2312" w:cs="Times New Roman"/>
          <w:color w:val="000000"/>
          <w:sz w:val="32"/>
          <w:szCs w:val="32"/>
        </w:rPr>
        <w:t>万元;</w:t>
      </w:r>
    </w:p>
    <w:p>
      <w:pPr>
        <w:pageBreakBefore w:val="0"/>
        <w:kinsoku/>
        <w:wordWrap/>
        <w:overflowPunct/>
        <w:topLinePunct w:val="0"/>
        <w:bidi w:val="0"/>
        <w:spacing w:line="560" w:lineRule="exact"/>
        <w:ind w:firstLine="64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接待省财政厅仁和开展农业农村综合改革调研就餐费0.1</w:t>
      </w:r>
      <w:r>
        <w:rPr>
          <w:rFonts w:hint="default" w:ascii="Times New Roman" w:hAnsi="Times New Roman" w:eastAsia="仿宋_GB2312" w:cs="Times New Roman"/>
          <w:color w:val="000000"/>
          <w:sz w:val="32"/>
          <w:szCs w:val="32"/>
          <w:lang w:val="en-US" w:eastAsia="zh-CN"/>
        </w:rPr>
        <w:t>8</w:t>
      </w:r>
      <w:r>
        <w:rPr>
          <w:rFonts w:hint="default" w:ascii="Times New Roman" w:hAnsi="Times New Roman" w:eastAsia="仿宋_GB2312" w:cs="Times New Roman"/>
          <w:color w:val="000000"/>
          <w:sz w:val="32"/>
          <w:szCs w:val="32"/>
        </w:rPr>
        <w:t>万元;</w:t>
      </w:r>
    </w:p>
    <w:p>
      <w:pPr>
        <w:pageBreakBefore w:val="0"/>
        <w:kinsoku/>
        <w:wordWrap/>
        <w:overflowPunct/>
        <w:topLinePunct w:val="0"/>
        <w:bidi w:val="0"/>
        <w:spacing w:line="560" w:lineRule="exact"/>
        <w:ind w:firstLine="64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接待市清理规范公务员工资津贴补贴组开展工资津贴补贴专项检查就餐</w:t>
      </w:r>
      <w:r>
        <w:rPr>
          <w:rFonts w:hint="default" w:ascii="Times New Roman" w:hAnsi="Times New Roman" w:eastAsia="仿宋_GB2312" w:cs="Times New Roman"/>
          <w:color w:val="000000"/>
          <w:sz w:val="32"/>
          <w:szCs w:val="32"/>
          <w:lang w:eastAsia="zh-CN"/>
        </w:rPr>
        <w:t>费</w:t>
      </w:r>
      <w:r>
        <w:rPr>
          <w:rFonts w:hint="default" w:ascii="Times New Roman" w:hAnsi="Times New Roman" w:eastAsia="仿宋_GB2312" w:cs="Times New Roman"/>
          <w:color w:val="000000"/>
          <w:sz w:val="32"/>
          <w:szCs w:val="32"/>
          <w:lang w:val="en-US" w:eastAsia="zh-CN"/>
        </w:rPr>
        <w:t>0.19</w:t>
      </w:r>
      <w:r>
        <w:rPr>
          <w:rFonts w:hint="default" w:ascii="Times New Roman" w:hAnsi="Times New Roman" w:eastAsia="仿宋_GB2312" w:cs="Times New Roman"/>
          <w:color w:val="000000"/>
          <w:sz w:val="32"/>
          <w:szCs w:val="32"/>
        </w:rPr>
        <w:t>万元;</w:t>
      </w:r>
    </w:p>
    <w:p>
      <w:pPr>
        <w:pageBreakBefore w:val="0"/>
        <w:kinsoku/>
        <w:wordWrap/>
        <w:overflowPunct/>
        <w:topLinePunct w:val="0"/>
        <w:bidi w:val="0"/>
        <w:spacing w:line="560" w:lineRule="exact"/>
        <w:ind w:firstLine="640"/>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接待省财政厅、市财政局粮食风险基金检查就餐费0.14</w:t>
      </w:r>
      <w:r>
        <w:rPr>
          <w:rFonts w:hint="default" w:ascii="Times New Roman" w:hAnsi="Times New Roman" w:eastAsia="仿宋_GB2312" w:cs="Times New Roman"/>
          <w:color w:val="000000"/>
          <w:sz w:val="32"/>
          <w:szCs w:val="32"/>
        </w:rPr>
        <w:t>万元;</w:t>
      </w:r>
    </w:p>
    <w:p>
      <w:pPr>
        <w:pageBreakBefore w:val="0"/>
        <w:kinsoku/>
        <w:wordWrap/>
        <w:overflowPunct/>
        <w:topLinePunct w:val="0"/>
        <w:bidi w:val="0"/>
        <w:spacing w:line="560" w:lineRule="exact"/>
        <w:ind w:firstLine="640"/>
        <w:rPr>
          <w:rFonts w:hint="default" w:ascii="Times New Roman" w:hAnsi="Times New Roman" w:eastAsia="仿宋_GB2312" w:cs="Times New Roman"/>
          <w:color w:val="000000"/>
          <w:w w:val="95"/>
          <w:sz w:val="32"/>
          <w:szCs w:val="32"/>
          <w:lang w:val="en-US" w:eastAsia="zh-CN"/>
        </w:rPr>
      </w:pPr>
      <w:r>
        <w:rPr>
          <w:rFonts w:hint="default" w:ascii="Times New Roman" w:hAnsi="Times New Roman" w:eastAsia="仿宋_GB2312" w:cs="Times New Roman"/>
          <w:color w:val="000000"/>
          <w:w w:val="95"/>
          <w:sz w:val="32"/>
          <w:szCs w:val="32"/>
          <w:lang w:val="en-US" w:eastAsia="zh-CN"/>
        </w:rPr>
        <w:t>接待省财政厅地方预决算公开专项检查就餐费0.15</w:t>
      </w:r>
      <w:r>
        <w:rPr>
          <w:rFonts w:hint="default" w:ascii="Times New Roman" w:hAnsi="Times New Roman" w:eastAsia="仿宋_GB2312" w:cs="Times New Roman"/>
          <w:color w:val="000000"/>
          <w:w w:val="95"/>
          <w:sz w:val="32"/>
          <w:szCs w:val="32"/>
        </w:rPr>
        <w:t>万元;</w:t>
      </w:r>
    </w:p>
    <w:p>
      <w:pPr>
        <w:pageBreakBefore w:val="0"/>
        <w:kinsoku/>
        <w:wordWrap/>
        <w:overflowPunct/>
        <w:topLinePunct w:val="0"/>
        <w:bidi w:val="0"/>
        <w:spacing w:line="560" w:lineRule="exact"/>
        <w:ind w:firstLine="640"/>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接待米易县财政局债务、预算交流学习就餐费0.10</w:t>
      </w:r>
      <w:r>
        <w:rPr>
          <w:rFonts w:hint="default" w:ascii="Times New Roman" w:hAnsi="Times New Roman" w:eastAsia="仿宋_GB2312" w:cs="Times New Roman"/>
          <w:color w:val="000000"/>
          <w:sz w:val="32"/>
          <w:szCs w:val="32"/>
        </w:rPr>
        <w:t>万元;</w:t>
      </w:r>
    </w:p>
    <w:p>
      <w:pPr>
        <w:pageBreakBefore w:val="0"/>
        <w:kinsoku/>
        <w:wordWrap/>
        <w:overflowPunct/>
        <w:topLinePunct w:val="0"/>
        <w:bidi w:val="0"/>
        <w:spacing w:line="560" w:lineRule="exact"/>
        <w:ind w:firstLine="640"/>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接待市财政局政府采购监督管理及一体化交流学习就餐费0.09</w:t>
      </w:r>
      <w:r>
        <w:rPr>
          <w:rFonts w:hint="default" w:ascii="Times New Roman" w:hAnsi="Times New Roman" w:eastAsia="仿宋_GB2312" w:cs="Times New Roman"/>
          <w:color w:val="000000"/>
          <w:sz w:val="32"/>
          <w:szCs w:val="32"/>
        </w:rPr>
        <w:t>万元</w:t>
      </w:r>
      <w:r>
        <w:rPr>
          <w:rFonts w:hint="default" w:ascii="Times New Roman" w:hAnsi="Times New Roman" w:eastAsia="仿宋_GB2312" w:cs="Times New Roman"/>
          <w:color w:val="000000"/>
          <w:sz w:val="32"/>
          <w:szCs w:val="32"/>
          <w:lang w:val="en-US" w:eastAsia="zh-CN"/>
        </w:rPr>
        <w:t>。</w:t>
      </w:r>
    </w:p>
    <w:p>
      <w:pPr>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外事接待支出</w:t>
      </w:r>
      <w:r>
        <w:rPr>
          <w:rFonts w:hint="default" w:ascii="Times New Roman" w:hAnsi="Times New Roman" w:eastAsia="仿宋" w:cs="Times New Roman"/>
          <w:color w:val="000000"/>
          <w:sz w:val="32"/>
          <w:szCs w:val="32"/>
        </w:rPr>
        <w:t>0</w:t>
      </w:r>
      <w:r>
        <w:rPr>
          <w:rFonts w:hint="default" w:ascii="Times New Roman" w:hAnsi="Times New Roman" w:eastAsia="仿宋_GB2312" w:cs="Times New Roman"/>
          <w:color w:val="000000"/>
          <w:sz w:val="32"/>
          <w:szCs w:val="32"/>
        </w:rPr>
        <w:t>万元，外事接待0批次，0人，共计支出0万元。</w:t>
      </w:r>
    </w:p>
    <w:p>
      <w:pPr>
        <w:pageBreakBefore w:val="0"/>
        <w:kinsoku/>
        <w:wordWrap/>
        <w:overflowPunct/>
        <w:topLinePunct w:val="0"/>
        <w:bidi w:val="0"/>
        <w:spacing w:line="560" w:lineRule="exact"/>
        <w:ind w:firstLine="640"/>
        <w:outlineLvl w:val="1"/>
        <w:rPr>
          <w:rStyle w:val="29"/>
          <w:rFonts w:hint="default" w:ascii="Times New Roman" w:hAnsi="Times New Roman" w:eastAsia="黑体" w:cs="Times New Roman"/>
        </w:rPr>
      </w:pPr>
      <w:bookmarkStart w:id="45" w:name="_Toc15396610"/>
      <w:bookmarkStart w:id="46" w:name="_Toc15377218"/>
      <w:r>
        <w:rPr>
          <w:rFonts w:hint="default" w:ascii="Times New Roman" w:hAnsi="Times New Roman" w:eastAsia="黑体" w:cs="Times New Roman"/>
          <w:color w:val="000000"/>
          <w:sz w:val="32"/>
          <w:szCs w:val="32"/>
        </w:rPr>
        <w:t>八、</w:t>
      </w:r>
      <w:r>
        <w:rPr>
          <w:rStyle w:val="29"/>
          <w:rFonts w:hint="default" w:ascii="Times New Roman" w:hAnsi="Times New Roman" w:eastAsia="黑体" w:cs="Times New Roman"/>
          <w:b w:val="0"/>
        </w:rPr>
        <w:t>政府性基金预算支出决算情况说明</w:t>
      </w:r>
      <w:bookmarkEnd w:id="45"/>
      <w:bookmarkEnd w:id="46"/>
    </w:p>
    <w:p>
      <w:pPr>
        <w:pageBreakBefore w:val="0"/>
        <w:kinsoku/>
        <w:wordWrap/>
        <w:overflowPunct/>
        <w:topLinePunct w:val="0"/>
        <w:bidi w:val="0"/>
        <w:spacing w:line="560" w:lineRule="exact"/>
        <w:ind w:firstLine="64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202</w:t>
      </w:r>
      <w:r>
        <w:rPr>
          <w:rFonts w:hint="default" w:ascii="Times New Roman" w:hAnsi="Times New Roman"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rPr>
        <w:t>年政府性基金预算拨款支出</w:t>
      </w:r>
      <w:r>
        <w:rPr>
          <w:rFonts w:hint="default" w:ascii="Times New Roman" w:hAnsi="Times New Roman" w:eastAsia="仿宋_GB2312" w:cs="Times New Roman"/>
          <w:color w:val="000000"/>
          <w:kern w:val="2"/>
          <w:sz w:val="32"/>
          <w:szCs w:val="24"/>
          <w:lang w:val="zh-CN"/>
        </w:rPr>
        <w:t>219.56</w:t>
      </w:r>
      <w:r>
        <w:rPr>
          <w:rFonts w:hint="default" w:ascii="Times New Roman" w:hAnsi="Times New Roman" w:eastAsia="仿宋_GB2312" w:cs="Times New Roman"/>
          <w:color w:val="000000"/>
          <w:sz w:val="32"/>
          <w:szCs w:val="32"/>
        </w:rPr>
        <w:t>万元。</w:t>
      </w:r>
    </w:p>
    <w:p>
      <w:pPr>
        <w:pageBreakBefore w:val="0"/>
        <w:numPr>
          <w:ilvl w:val="0"/>
          <w:numId w:val="1"/>
        </w:numPr>
        <w:kinsoku/>
        <w:wordWrap/>
        <w:overflowPunct/>
        <w:topLinePunct w:val="0"/>
        <w:bidi w:val="0"/>
        <w:spacing w:line="560" w:lineRule="exact"/>
        <w:ind w:firstLine="640"/>
        <w:outlineLvl w:val="1"/>
        <w:rPr>
          <w:rStyle w:val="29"/>
          <w:rFonts w:hint="default" w:ascii="Times New Roman" w:hAnsi="Times New Roman" w:eastAsia="黑体" w:cs="Times New Roman"/>
          <w:b w:val="0"/>
        </w:rPr>
      </w:pPr>
      <w:bookmarkStart w:id="47" w:name="_Toc15396611"/>
      <w:bookmarkStart w:id="48" w:name="_Toc15377219"/>
      <w:r>
        <w:rPr>
          <w:rStyle w:val="29"/>
          <w:rFonts w:hint="default" w:ascii="Times New Roman" w:hAnsi="Times New Roman" w:eastAsia="黑体" w:cs="Times New Roman"/>
          <w:b w:val="0"/>
        </w:rPr>
        <w:t>国有资本经营预算支出决算情况说明</w:t>
      </w:r>
      <w:bookmarkEnd w:id="47"/>
      <w:bookmarkEnd w:id="48"/>
    </w:p>
    <w:p>
      <w:pPr>
        <w:pageBreakBefore w:val="0"/>
        <w:kinsoku/>
        <w:wordWrap/>
        <w:overflowPunct/>
        <w:topLinePunct w:val="0"/>
        <w:bidi w:val="0"/>
        <w:spacing w:line="560" w:lineRule="exact"/>
        <w:ind w:firstLine="640"/>
        <w:jc w:val="both"/>
        <w:rPr>
          <w:rFonts w:hint="default" w:ascii="Times New Roman" w:hAnsi="Times New Roman" w:eastAsia="仿宋_GB2312" w:cs="Times New Roman"/>
          <w:color w:val="000000"/>
          <w:kern w:val="2"/>
          <w:sz w:val="32"/>
          <w:szCs w:val="24"/>
          <w:lang w:val="zh-CN"/>
        </w:rPr>
      </w:pPr>
      <w:bookmarkStart w:id="49" w:name="_Toc15377221"/>
      <w:bookmarkStart w:id="50" w:name="_Toc15396612"/>
      <w:r>
        <w:rPr>
          <w:rFonts w:hint="default" w:ascii="Times New Roman" w:hAnsi="Times New Roman" w:eastAsia="仿宋_GB2312" w:cs="Times New Roman"/>
          <w:color w:val="000000"/>
          <w:kern w:val="2"/>
          <w:sz w:val="32"/>
          <w:szCs w:val="24"/>
          <w:lang w:val="zh-CN"/>
        </w:rPr>
        <w:t>2022年国有资本经营预算拨款支出0万元。</w:t>
      </w:r>
    </w:p>
    <w:p>
      <w:pPr>
        <w:pageBreakBefore w:val="0"/>
        <w:kinsoku/>
        <w:wordWrap/>
        <w:overflowPunct/>
        <w:topLinePunct w:val="0"/>
        <w:bidi w:val="0"/>
        <w:spacing w:line="560" w:lineRule="exact"/>
        <w:ind w:firstLine="800" w:firstLineChars="250"/>
        <w:outlineLvl w:val="1"/>
        <w:rPr>
          <w:rStyle w:val="29"/>
          <w:rFonts w:hint="default" w:ascii="Times New Roman" w:hAnsi="Times New Roman" w:eastAsia="黑体" w:cs="Times New Roman"/>
        </w:rPr>
      </w:pPr>
      <w:r>
        <w:rPr>
          <w:rFonts w:hint="default" w:ascii="Times New Roman" w:hAnsi="Times New Roman" w:eastAsia="黑体" w:cs="Times New Roman"/>
          <w:color w:val="000000"/>
          <w:sz w:val="32"/>
          <w:szCs w:val="32"/>
        </w:rPr>
        <w:t>十</w:t>
      </w:r>
      <w:r>
        <w:rPr>
          <w:rStyle w:val="29"/>
          <w:rFonts w:hint="default" w:ascii="Times New Roman" w:hAnsi="Times New Roman" w:eastAsia="黑体" w:cs="Times New Roman"/>
        </w:rPr>
        <w:t>、</w:t>
      </w:r>
      <w:r>
        <w:rPr>
          <w:rStyle w:val="29"/>
          <w:rFonts w:hint="default" w:ascii="Times New Roman" w:hAnsi="Times New Roman" w:eastAsia="黑体" w:cs="Times New Roman"/>
          <w:b w:val="0"/>
        </w:rPr>
        <w:t>其他重要事项的情况说明</w:t>
      </w:r>
      <w:bookmarkEnd w:id="49"/>
      <w:bookmarkEnd w:id="50"/>
    </w:p>
    <w:p>
      <w:pPr>
        <w:keepNext/>
        <w:keepLines/>
        <w:pageBreakBefore w:val="0"/>
        <w:kinsoku/>
        <w:wordWrap/>
        <w:overflowPunct/>
        <w:topLinePunct w:val="0"/>
        <w:bidi w:val="0"/>
        <w:spacing w:line="560" w:lineRule="exact"/>
        <w:ind w:firstLine="643"/>
        <w:jc w:val="both"/>
        <w:rPr>
          <w:rFonts w:hint="default" w:ascii="Times New Roman" w:hAnsi="Times New Roman" w:eastAsia="仿宋_GB2312" w:cs="Times New Roman"/>
          <w:color w:val="000000"/>
          <w:kern w:val="2"/>
          <w:sz w:val="32"/>
          <w:szCs w:val="24"/>
          <w:lang w:val="zh-CN"/>
        </w:rPr>
      </w:pPr>
      <w:r>
        <w:rPr>
          <w:rFonts w:hint="default" w:ascii="Times New Roman" w:hAnsi="Times New Roman" w:eastAsia="仿宋_GB2312" w:cs="Times New Roman"/>
          <w:b/>
          <w:color w:val="000000"/>
          <w:kern w:val="2"/>
          <w:sz w:val="32"/>
          <w:szCs w:val="24"/>
          <w:lang w:val="zh-CN"/>
        </w:rPr>
        <w:t>（一）机关运行经费支出情况</w:t>
      </w:r>
    </w:p>
    <w:p>
      <w:pPr>
        <w:pageBreakBefore w:val="0"/>
        <w:kinsoku/>
        <w:wordWrap/>
        <w:overflowPunct/>
        <w:topLinePunct w:val="0"/>
        <w:bidi w:val="0"/>
        <w:spacing w:line="560" w:lineRule="exact"/>
        <w:ind w:firstLine="640"/>
        <w:rPr>
          <w:rFonts w:hint="default" w:ascii="Times New Roman" w:hAnsi="Times New Roman" w:eastAsia="仿宋_GB2312" w:cs="Times New Roman"/>
          <w:color w:val="000000" w:themeColor="text1"/>
          <w:sz w:val="32"/>
          <w:szCs w:val="32"/>
        </w:rPr>
      </w:pPr>
      <w:r>
        <w:rPr>
          <w:rFonts w:hint="default" w:ascii="Times New Roman" w:hAnsi="Times New Roman" w:eastAsia="仿宋_GB2312" w:cs="Times New Roman"/>
          <w:color w:val="000000"/>
          <w:kern w:val="2"/>
          <w:sz w:val="32"/>
          <w:szCs w:val="24"/>
          <w:lang w:val="zh-CN"/>
        </w:rPr>
        <w:t>2022年，攀枝花市仁和区财政局机关运行经费支出86.35万元，比2021年增加0.67万元，增长0.8%。主</w:t>
      </w:r>
      <w:r>
        <w:rPr>
          <w:rFonts w:hint="default" w:ascii="Times New Roman" w:hAnsi="Times New Roman" w:eastAsia="仿宋_GB2312" w:cs="Times New Roman"/>
          <w:color w:val="000000" w:themeColor="text1"/>
          <w:sz w:val="32"/>
          <w:szCs w:val="32"/>
        </w:rPr>
        <w:t>要原因是本年度我单位组织的会议、培训次数</w:t>
      </w:r>
      <w:r>
        <w:rPr>
          <w:rFonts w:hint="default" w:ascii="Times New Roman" w:hAnsi="Times New Roman" w:eastAsia="仿宋_GB2312" w:cs="Times New Roman"/>
          <w:color w:val="000000" w:themeColor="text1"/>
          <w:sz w:val="32"/>
          <w:szCs w:val="32"/>
          <w:lang w:eastAsia="zh-CN"/>
        </w:rPr>
        <w:t>增加</w:t>
      </w:r>
      <w:r>
        <w:rPr>
          <w:rFonts w:hint="default" w:ascii="Times New Roman" w:hAnsi="Times New Roman" w:eastAsia="仿宋_GB2312" w:cs="Times New Roman"/>
          <w:color w:val="000000" w:themeColor="text1"/>
          <w:sz w:val="32"/>
          <w:szCs w:val="32"/>
        </w:rPr>
        <w:t>，从而</w:t>
      </w:r>
      <w:r>
        <w:rPr>
          <w:rFonts w:hint="default" w:ascii="Times New Roman" w:hAnsi="Times New Roman" w:eastAsia="仿宋_GB2312" w:cs="Times New Roman"/>
          <w:color w:val="000000" w:themeColor="text1"/>
          <w:sz w:val="32"/>
          <w:szCs w:val="32"/>
          <w:lang w:eastAsia="zh-CN"/>
        </w:rPr>
        <w:t>增加</w:t>
      </w:r>
      <w:r>
        <w:rPr>
          <w:rFonts w:hint="default" w:ascii="Times New Roman" w:hAnsi="Times New Roman" w:eastAsia="仿宋_GB2312" w:cs="Times New Roman"/>
          <w:color w:val="000000" w:themeColor="text1"/>
          <w:sz w:val="32"/>
          <w:szCs w:val="32"/>
        </w:rPr>
        <w:t>水、电、办公用品等支出。</w:t>
      </w:r>
    </w:p>
    <w:p>
      <w:pPr>
        <w:pageBreakBefore w:val="0"/>
        <w:kinsoku/>
        <w:wordWrap/>
        <w:overflowPunct/>
        <w:topLinePunct w:val="0"/>
        <w:autoSpaceDE w:val="0"/>
        <w:autoSpaceDN w:val="0"/>
        <w:bidi w:val="0"/>
        <w:adjustRightInd w:val="0"/>
        <w:spacing w:line="560" w:lineRule="exact"/>
        <w:ind w:firstLine="643" w:firstLineChars="200"/>
        <w:jc w:val="left"/>
        <w:outlineLvl w:val="2"/>
        <w:rPr>
          <w:rFonts w:hint="default" w:ascii="Times New Roman" w:hAnsi="Times New Roman" w:eastAsia="仿宋" w:cs="Times New Roman"/>
          <w:b/>
          <w:color w:val="000000"/>
          <w:sz w:val="32"/>
          <w:szCs w:val="32"/>
        </w:rPr>
      </w:pPr>
      <w:bookmarkStart w:id="51" w:name="_Toc15377223"/>
      <w:r>
        <w:rPr>
          <w:rFonts w:hint="default" w:ascii="Times New Roman" w:hAnsi="Times New Roman" w:eastAsia="仿宋" w:cs="Times New Roman"/>
          <w:b/>
          <w:color w:val="000000"/>
          <w:sz w:val="32"/>
          <w:szCs w:val="32"/>
        </w:rPr>
        <w:t>（二）政府采购支出情况</w:t>
      </w:r>
      <w:bookmarkEnd w:id="51"/>
    </w:p>
    <w:p>
      <w:pPr>
        <w:pageBreakBefore w:val="0"/>
        <w:kinsoku/>
        <w:wordWrap/>
        <w:overflowPunct/>
        <w:topLinePunct w:val="0"/>
        <w:bidi w:val="0"/>
        <w:spacing w:beforeLines="0" w:afterLines="0" w:line="560" w:lineRule="exact"/>
        <w:ind w:left="200"/>
        <w:jc w:val="left"/>
        <w:rPr>
          <w:rFonts w:hint="default" w:ascii="Times New Roman" w:hAnsi="Times New Roman" w:eastAsia="仿宋_GB2312" w:cs="Times New Roman"/>
          <w:color w:val="000000"/>
          <w:kern w:val="2"/>
          <w:sz w:val="32"/>
          <w:szCs w:val="24"/>
          <w:lang w:val="zh-CN"/>
        </w:rPr>
      </w:pPr>
      <w:r>
        <w:rPr>
          <w:rFonts w:hint="default" w:ascii="Times New Roman" w:hAnsi="Times New Roman" w:eastAsia="仿宋_GB2312" w:cs="Times New Roman"/>
          <w:color w:val="000000"/>
          <w:kern w:val="2"/>
          <w:sz w:val="32"/>
          <w:szCs w:val="24"/>
          <w:lang w:val="zh-CN"/>
        </w:rPr>
        <w:t>2022年，攀枝花市仁和区财政局政府采购支出总额1,021.77万元，其中：政府采购货物支出177.74万元、政府采购工程支出0万元、政府采购服务支出844.03万元。政府采购服务支出：主要用于乡镇土地空间规划编制建设项目</w:t>
      </w:r>
      <w:r>
        <w:rPr>
          <w:rFonts w:hint="default" w:ascii="Times New Roman" w:hAnsi="Times New Roman" w:eastAsia="仿宋_GB2312" w:cs="Times New Roman"/>
          <w:color w:val="000000"/>
          <w:kern w:val="2"/>
          <w:sz w:val="32"/>
          <w:szCs w:val="24"/>
          <w:lang w:val="en-US" w:eastAsia="zh-CN"/>
        </w:rPr>
        <w:t>,</w:t>
      </w:r>
      <w:r>
        <w:rPr>
          <w:rFonts w:hint="default" w:ascii="Times New Roman" w:hAnsi="Times New Roman" w:eastAsia="仿宋_GB2312" w:cs="Times New Roman"/>
          <w:color w:val="000000"/>
          <w:kern w:val="2"/>
          <w:sz w:val="32"/>
          <w:szCs w:val="24"/>
          <w:lang w:val="zh-CN"/>
        </w:rPr>
        <w:t>货物主要支出：主要用于空气质量监测微站建设等。授予中小企业合同金额0万元，占政府采购支出总额的0%，其中：授予小微企业合同金额0万元，</w:t>
      </w:r>
      <w:r>
        <w:rPr>
          <w:rFonts w:hint="default" w:ascii="Times New Roman" w:hAnsi="Times New Roman" w:eastAsia="仿宋_GB2312" w:cs="Times New Roman"/>
          <w:color w:val="auto"/>
          <w:kern w:val="2"/>
          <w:sz w:val="32"/>
          <w:szCs w:val="24"/>
          <w:lang w:val="en-US"/>
        </w:rPr>
        <w:t>占政府采购支出总额的</w:t>
      </w:r>
      <w:r>
        <w:rPr>
          <w:rFonts w:hint="default" w:ascii="Times New Roman" w:hAnsi="Times New Roman" w:eastAsia="仿宋_GB2312" w:cs="Times New Roman"/>
          <w:color w:val="000000"/>
          <w:kern w:val="2"/>
          <w:sz w:val="32"/>
          <w:szCs w:val="24"/>
          <w:lang w:val="zh-CN"/>
        </w:rPr>
        <w:t>0%。</w:t>
      </w:r>
    </w:p>
    <w:p>
      <w:pPr>
        <w:keepNext/>
        <w:keepLines/>
        <w:pageBreakBefore w:val="0"/>
        <w:kinsoku/>
        <w:wordWrap/>
        <w:overflowPunct/>
        <w:topLinePunct w:val="0"/>
        <w:bidi w:val="0"/>
        <w:spacing w:line="560" w:lineRule="exact"/>
        <w:ind w:firstLine="643"/>
        <w:jc w:val="both"/>
        <w:rPr>
          <w:rFonts w:hint="default" w:ascii="Times New Roman" w:hAnsi="Times New Roman" w:eastAsia="仿宋_GB2312" w:cs="Times New Roman"/>
          <w:b/>
          <w:color w:val="000000"/>
          <w:kern w:val="2"/>
          <w:sz w:val="32"/>
          <w:szCs w:val="24"/>
          <w:lang w:val="zh-CN"/>
        </w:rPr>
      </w:pPr>
      <w:r>
        <w:rPr>
          <w:rFonts w:hint="default" w:ascii="Times New Roman" w:hAnsi="Times New Roman" w:eastAsia="仿宋_GB2312" w:cs="Times New Roman"/>
          <w:b/>
          <w:color w:val="000000"/>
          <w:kern w:val="2"/>
          <w:sz w:val="32"/>
          <w:szCs w:val="24"/>
          <w:lang w:val="zh-CN"/>
        </w:rPr>
        <w:t>（三）国有资产占有使用情况</w:t>
      </w:r>
    </w:p>
    <w:p>
      <w:pPr>
        <w:pageBreakBefore w:val="0"/>
        <w:kinsoku/>
        <w:wordWrap/>
        <w:overflowPunct/>
        <w:topLinePunct w:val="0"/>
        <w:bidi w:val="0"/>
        <w:spacing w:line="560" w:lineRule="exact"/>
        <w:ind w:firstLine="64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kern w:val="2"/>
          <w:sz w:val="32"/>
          <w:szCs w:val="24"/>
          <w:lang w:val="zh-CN"/>
        </w:rPr>
        <w:t>截至2022年12月31日，攀枝花市仁和区财政局共有车辆0辆，其中：副部（省）级及以上领导用车0辆、主要领导干部用车0辆、机要通信用车0辆、应急保障用车0辆、执法执勤用车0辆、特种专业技术用车0辆、离退休干部用车0辆、其他用车0辆。</w:t>
      </w:r>
      <w:r>
        <w:rPr>
          <w:rFonts w:hint="default" w:ascii="Times New Roman" w:hAnsi="Times New Roman" w:eastAsia="仿宋_GB2312" w:cs="Times New Roman"/>
          <w:color w:val="000000"/>
          <w:sz w:val="32"/>
          <w:szCs w:val="32"/>
        </w:rPr>
        <w:t>单价50万元以上通用设备0台（套），单价100万元以上专用设备0台（套）。</w:t>
      </w:r>
    </w:p>
    <w:p>
      <w:pPr>
        <w:pageBreakBefore w:val="0"/>
        <w:kinsoku/>
        <w:wordWrap/>
        <w:overflowPunct/>
        <w:topLinePunct w:val="0"/>
        <w:autoSpaceDE w:val="0"/>
        <w:autoSpaceDN w:val="0"/>
        <w:bidi w:val="0"/>
        <w:adjustRightInd w:val="0"/>
        <w:spacing w:line="560" w:lineRule="exact"/>
        <w:ind w:firstLine="643" w:firstLineChars="200"/>
        <w:jc w:val="left"/>
        <w:rPr>
          <w:rFonts w:hint="default" w:ascii="Times New Roman" w:hAnsi="Times New Roman" w:eastAsia="仿宋" w:cs="Times New Roman"/>
          <w:b/>
          <w:color w:val="000000"/>
          <w:sz w:val="32"/>
          <w:szCs w:val="32"/>
        </w:rPr>
      </w:pPr>
      <w:r>
        <w:rPr>
          <w:rFonts w:hint="default" w:ascii="Times New Roman" w:hAnsi="Times New Roman" w:eastAsia="仿宋" w:cs="Times New Roman"/>
          <w:b/>
          <w:color w:val="000000"/>
          <w:sz w:val="32"/>
          <w:szCs w:val="32"/>
        </w:rPr>
        <w:t>（四）预算绩效管理情况。</w:t>
      </w:r>
    </w:p>
    <w:p>
      <w:pPr>
        <w:pageBreakBefore w:val="0"/>
        <w:kinsoku/>
        <w:wordWrap/>
        <w:overflowPunct/>
        <w:topLinePunct w:val="0"/>
        <w:bidi w:val="0"/>
        <w:spacing w:line="560" w:lineRule="exact"/>
        <w:ind w:firstLine="640"/>
        <w:jc w:val="both"/>
        <w:rPr>
          <w:rFonts w:hint="default" w:ascii="Times New Roman" w:hAnsi="Times New Roman" w:eastAsia="仿宋_GB2312" w:cs="Times New Roman"/>
          <w:color w:val="auto"/>
          <w:kern w:val="2"/>
          <w:sz w:val="32"/>
          <w:szCs w:val="24"/>
          <w:lang w:val="en-US"/>
        </w:rPr>
      </w:pPr>
      <w:r>
        <w:rPr>
          <w:rFonts w:hint="default" w:ascii="Times New Roman" w:hAnsi="Times New Roman" w:eastAsia="仿宋_GB2312" w:cs="Times New Roman"/>
          <w:color w:val="auto"/>
          <w:kern w:val="2"/>
          <w:sz w:val="32"/>
          <w:szCs w:val="24"/>
          <w:lang w:val="en-US"/>
        </w:rPr>
        <w:t>根据预算绩效管理要求，本部门在2022年度预算编制阶段，组织对财政预算管理一体化系统建设运行维护管理经费</w:t>
      </w:r>
      <w:r>
        <w:rPr>
          <w:rFonts w:hint="default" w:ascii="Times New Roman" w:hAnsi="Times New Roman" w:eastAsia="仿宋_GB2312" w:cs="Times New Roman"/>
          <w:color w:val="auto"/>
          <w:kern w:val="2"/>
          <w:sz w:val="32"/>
          <w:szCs w:val="24"/>
          <w:lang w:val="en-US" w:eastAsia="zh-CN"/>
        </w:rPr>
        <w:t>、财政网络及信息化设备运行维护保障服务费、债务监测平台维护费、用友A++财务软件账套运行维护服务费、资产管理信息系统软件运行维护经费、</w:t>
      </w:r>
      <w:r>
        <w:rPr>
          <w:rFonts w:hint="default" w:ascii="Times New Roman" w:hAnsi="Times New Roman" w:eastAsia="仿宋_GB2312" w:cs="Times New Roman"/>
          <w:color w:val="auto"/>
          <w:kern w:val="2"/>
          <w:sz w:val="32"/>
          <w:szCs w:val="24"/>
          <w:lang w:val="en-US"/>
        </w:rPr>
        <w:t>委托代理记账</w:t>
      </w:r>
      <w:r>
        <w:rPr>
          <w:rFonts w:hint="default" w:ascii="Times New Roman" w:hAnsi="Times New Roman" w:eastAsia="仿宋_GB2312" w:cs="Times New Roman"/>
          <w:color w:val="auto"/>
          <w:kern w:val="2"/>
          <w:sz w:val="32"/>
          <w:szCs w:val="24"/>
          <w:lang w:val="en-US" w:eastAsia="zh-CN"/>
        </w:rPr>
        <w:t>、政府投资项目评审服务费、博思电子票据管理系统V1.0维护费、非税收入收缴系统软件维护费</w:t>
      </w:r>
      <w:r>
        <w:rPr>
          <w:rFonts w:hint="default" w:ascii="Times New Roman" w:hAnsi="Times New Roman" w:eastAsia="仿宋_GB2312" w:cs="Times New Roman"/>
          <w:color w:val="auto"/>
          <w:kern w:val="2"/>
          <w:sz w:val="32"/>
          <w:szCs w:val="24"/>
          <w:lang w:val="en-US"/>
        </w:rPr>
        <w:t>项目等</w:t>
      </w:r>
      <w:r>
        <w:rPr>
          <w:rFonts w:hint="default" w:ascii="Times New Roman" w:hAnsi="Times New Roman" w:eastAsia="仿宋_GB2312" w:cs="Times New Roman"/>
          <w:color w:val="auto"/>
          <w:kern w:val="2"/>
          <w:sz w:val="32"/>
          <w:szCs w:val="24"/>
          <w:lang w:val="en-US" w:eastAsia="zh-CN"/>
        </w:rPr>
        <w:t>9</w:t>
      </w:r>
      <w:r>
        <w:rPr>
          <w:rFonts w:hint="default" w:ascii="Times New Roman" w:hAnsi="Times New Roman" w:eastAsia="仿宋_GB2312" w:cs="Times New Roman"/>
          <w:color w:val="auto"/>
          <w:kern w:val="2"/>
          <w:sz w:val="32"/>
          <w:szCs w:val="24"/>
          <w:lang w:val="en-US"/>
        </w:rPr>
        <w:t>个项目开展了预算事前绩效评估，编制了绩效目标，预算执行过程中，选</w:t>
      </w:r>
      <w:r>
        <w:rPr>
          <w:rFonts w:hint="default" w:ascii="Times New Roman" w:hAnsi="Times New Roman" w:eastAsia="仿宋_GB2312" w:cs="Times New Roman"/>
          <w:color w:val="auto"/>
          <w:kern w:val="2"/>
          <w:sz w:val="32"/>
          <w:szCs w:val="24"/>
          <w:lang w:val="en-US" w:eastAsia="zh-CN"/>
        </w:rPr>
        <w:t>2</w:t>
      </w:r>
      <w:r>
        <w:rPr>
          <w:rFonts w:hint="default" w:ascii="Times New Roman" w:hAnsi="Times New Roman" w:eastAsia="仿宋_GB2312" w:cs="Times New Roman"/>
          <w:color w:val="auto"/>
          <w:kern w:val="2"/>
          <w:sz w:val="32"/>
          <w:szCs w:val="24"/>
          <w:lang w:val="en-US"/>
        </w:rPr>
        <w:t>个项目开展绩效监控。</w:t>
      </w:r>
    </w:p>
    <w:p>
      <w:pPr>
        <w:pageBreakBefore w:val="0"/>
        <w:widowControl/>
        <w:kinsoku/>
        <w:wordWrap/>
        <w:overflowPunct/>
        <w:topLinePunct w:val="0"/>
        <w:bidi w:val="0"/>
        <w:spacing w:line="56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color w:val="auto"/>
          <w:kern w:val="2"/>
          <w:sz w:val="32"/>
          <w:szCs w:val="24"/>
          <w:lang w:val="en-US"/>
        </w:rPr>
        <w:t>组织对2022年度一般公共预算、政府性基金预算、国有资本经营预算、社会保险基金预算以及资本资产、债券资金等全面开展绩效自评，形成</w:t>
      </w:r>
      <w:r>
        <w:rPr>
          <w:rFonts w:hint="default" w:ascii="Times New Roman" w:hAnsi="Times New Roman" w:eastAsia="仿宋_GB2312" w:cs="Times New Roman"/>
          <w:color w:val="auto"/>
          <w:kern w:val="2"/>
          <w:sz w:val="32"/>
          <w:szCs w:val="24"/>
          <w:lang w:val="en-US" w:eastAsia="zh-CN"/>
        </w:rPr>
        <w:t>攀枝花市仁和区财政局</w:t>
      </w:r>
      <w:r>
        <w:rPr>
          <w:rFonts w:hint="default" w:ascii="Times New Roman" w:hAnsi="Times New Roman" w:eastAsia="仿宋_GB2312" w:cs="Times New Roman"/>
          <w:color w:val="auto"/>
          <w:kern w:val="2"/>
          <w:sz w:val="32"/>
          <w:szCs w:val="24"/>
          <w:lang w:val="en-US"/>
        </w:rPr>
        <w:t>部门整体（含部门预算项目）绩效自评报告</w:t>
      </w:r>
      <w:r>
        <w:rPr>
          <w:rFonts w:hint="default" w:ascii="Times New Roman" w:hAnsi="Times New Roman" w:eastAsia="仿宋_GB2312" w:cs="Times New Roman"/>
          <w:color w:val="auto"/>
          <w:kern w:val="2"/>
          <w:sz w:val="32"/>
          <w:szCs w:val="24"/>
          <w:lang w:val="en-US" w:eastAsia="zh-CN"/>
        </w:rPr>
        <w:t>，</w:t>
      </w:r>
      <w:r>
        <w:rPr>
          <w:rFonts w:hint="default" w:ascii="Times New Roman" w:hAnsi="Times New Roman" w:eastAsia="仿宋_GB2312" w:cs="Times New Roman"/>
          <w:color w:val="auto"/>
          <w:kern w:val="2"/>
          <w:sz w:val="32"/>
          <w:szCs w:val="24"/>
          <w:lang w:val="en-US"/>
        </w:rPr>
        <w:t>其中，</w:t>
      </w:r>
      <w:r>
        <w:rPr>
          <w:rFonts w:hint="default" w:ascii="Times New Roman" w:hAnsi="Times New Roman" w:eastAsia="仿宋_GB2312" w:cs="Times New Roman"/>
          <w:color w:val="auto"/>
          <w:kern w:val="2"/>
          <w:sz w:val="32"/>
          <w:szCs w:val="24"/>
          <w:lang w:val="en-US" w:eastAsia="zh-CN"/>
        </w:rPr>
        <w:t>攀枝花市仁和区财政局</w:t>
      </w:r>
      <w:r>
        <w:rPr>
          <w:rFonts w:hint="default" w:ascii="Times New Roman" w:hAnsi="Times New Roman" w:eastAsia="仿宋_GB2312" w:cs="Times New Roman"/>
          <w:color w:val="auto"/>
          <w:kern w:val="2"/>
          <w:sz w:val="32"/>
          <w:szCs w:val="24"/>
          <w:lang w:val="en-US"/>
        </w:rPr>
        <w:t>部门整体（含部门预算项目）绩效自评得分为</w:t>
      </w:r>
      <w:r>
        <w:rPr>
          <w:rFonts w:hint="default" w:ascii="Times New Roman" w:hAnsi="Times New Roman" w:eastAsia="仿宋_GB2312" w:cs="Times New Roman"/>
          <w:color w:val="auto"/>
          <w:kern w:val="2"/>
          <w:sz w:val="32"/>
          <w:szCs w:val="24"/>
          <w:lang w:val="en-US" w:eastAsia="zh-CN"/>
        </w:rPr>
        <w:t>93</w:t>
      </w:r>
      <w:r>
        <w:rPr>
          <w:rFonts w:hint="default" w:ascii="Times New Roman" w:hAnsi="Times New Roman" w:eastAsia="仿宋_GB2312" w:cs="Times New Roman"/>
          <w:color w:val="auto"/>
          <w:kern w:val="2"/>
          <w:sz w:val="32"/>
          <w:szCs w:val="24"/>
          <w:lang w:val="en-US"/>
        </w:rPr>
        <w:t>分</w:t>
      </w:r>
      <w:r>
        <w:rPr>
          <w:rFonts w:hint="default" w:ascii="Times New Roman" w:hAnsi="Times New Roman" w:eastAsia="仿宋_GB2312" w:cs="Times New Roman"/>
          <w:color w:val="auto"/>
          <w:kern w:val="2"/>
          <w:sz w:val="32"/>
          <w:szCs w:val="24"/>
          <w:lang w:val="en-US" w:eastAsia="zh-CN"/>
        </w:rPr>
        <w:t>，</w:t>
      </w:r>
      <w:r>
        <w:rPr>
          <w:rFonts w:hint="default" w:ascii="Times New Roman" w:hAnsi="Times New Roman" w:eastAsia="仿宋_GB2312" w:cs="Times New Roman"/>
          <w:sz w:val="32"/>
          <w:szCs w:val="32"/>
        </w:rPr>
        <w:t>《2022年攀枝花市财政局部门整体绩效评价报告》详见</w:t>
      </w:r>
      <w:r>
        <w:rPr>
          <w:rFonts w:hint="default" w:ascii="Times New Roman" w:hAnsi="Times New Roman" w:eastAsia="仿宋_GB2312" w:cs="Times New Roman"/>
          <w:sz w:val="32"/>
          <w:szCs w:val="32"/>
          <w:lang w:eastAsia="zh-CN"/>
        </w:rPr>
        <w:t>第四部分</w:t>
      </w:r>
      <w:r>
        <w:rPr>
          <w:rFonts w:hint="default" w:ascii="Times New Roman" w:hAnsi="Times New Roman" w:eastAsia="仿宋_GB2312" w:cs="Times New Roman"/>
          <w:sz w:val="32"/>
          <w:szCs w:val="32"/>
        </w:rPr>
        <w:t>附件。</w:t>
      </w:r>
    </w:p>
    <w:p>
      <w:pPr>
        <w:pageBreakBefore w:val="0"/>
        <w:kinsoku/>
        <w:wordWrap/>
        <w:overflowPunct/>
        <w:topLinePunct w:val="0"/>
        <w:bidi w:val="0"/>
        <w:spacing w:line="560" w:lineRule="exact"/>
        <w:ind w:firstLine="643"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b/>
          <w:color w:val="000000"/>
          <w:kern w:val="2"/>
          <w:sz w:val="32"/>
          <w:szCs w:val="24"/>
          <w:lang w:val="zh-CN"/>
        </w:rPr>
        <w:br w:type="page"/>
      </w:r>
    </w:p>
    <w:p>
      <w:pPr>
        <w:pStyle w:val="3"/>
        <w:pageBreakBefore w:val="0"/>
        <w:kinsoku/>
        <w:wordWrap/>
        <w:overflowPunct/>
        <w:topLinePunct w:val="0"/>
        <w:bidi w:val="0"/>
        <w:spacing w:line="560" w:lineRule="exact"/>
        <w:ind w:right="440" w:firstLine="2200" w:firstLineChars="500"/>
        <w:jc w:val="both"/>
        <w:rPr>
          <w:rFonts w:hint="default" w:ascii="Times New Roman" w:hAnsi="Times New Roman" w:eastAsia="黑体" w:cs="Times New Roman"/>
          <w:b w:val="0"/>
          <w:color w:val="000000"/>
        </w:rPr>
      </w:pPr>
      <w:bookmarkStart w:id="52" w:name="_Toc15377225"/>
      <w:bookmarkStart w:id="53" w:name="_Toc15396613"/>
      <w:r>
        <w:rPr>
          <w:rFonts w:hint="eastAsia" w:eastAsia="黑体" w:cs="Times New Roman"/>
          <w:b w:val="0"/>
          <w:color w:val="000000"/>
          <w:lang w:val="en-US" w:eastAsia="zh-CN"/>
        </w:rPr>
        <w:t xml:space="preserve">第三部分  </w:t>
      </w:r>
      <w:r>
        <w:rPr>
          <w:rFonts w:hint="default" w:ascii="Times New Roman" w:hAnsi="Times New Roman" w:eastAsia="黑体" w:cs="Times New Roman"/>
          <w:b w:val="0"/>
          <w:color w:val="000000"/>
        </w:rPr>
        <w:t>名词解释</w:t>
      </w:r>
      <w:bookmarkEnd w:id="52"/>
      <w:bookmarkEnd w:id="53"/>
    </w:p>
    <w:p>
      <w:pPr>
        <w:pStyle w:val="26"/>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t>1.财政拨款收入：指单位从同级财政部门取得的财政预算资金。</w:t>
      </w:r>
    </w:p>
    <w:p>
      <w:pPr>
        <w:pStyle w:val="26"/>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t>2.事业收入：指事业单位开展专业业务活动及辅助活动取得的收入。</w:t>
      </w:r>
    </w:p>
    <w:p>
      <w:pPr>
        <w:pStyle w:val="26"/>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t>3.经营收入：指事业单位在专业业务活动及其辅助活动之外开展非独立核算经营活动取得的收入。</w:t>
      </w:r>
    </w:p>
    <w:p>
      <w:pPr>
        <w:pStyle w:val="26"/>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t>4.其他收入：指单位取得的除上述收入以外的各项收入。主要是收青鹏人才支持资金1万元。</w:t>
      </w:r>
    </w:p>
    <w:p>
      <w:pPr>
        <w:pStyle w:val="26"/>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t xml:space="preserve">5. 使用非财政拨款结余：指事业单位使用以前年度积累的非财政拨款结余弥补当年收支差额的金额。 </w:t>
      </w:r>
    </w:p>
    <w:p>
      <w:pPr>
        <w:pStyle w:val="26"/>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t xml:space="preserve">6.年初结转和结余：指以前年度尚未完成、结转到本年按有关规定继续使用的资金。 </w:t>
      </w:r>
    </w:p>
    <w:p>
      <w:pPr>
        <w:pStyle w:val="26"/>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t>7.结余分配：指事业单位按照会计制度规定缴纳的所得税、提取的专用结余以及转入非财政拨款结余的金额等。</w:t>
      </w:r>
    </w:p>
    <w:p>
      <w:pPr>
        <w:pStyle w:val="26"/>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t>8.年末结转和结余：指单位按有关规定结转到下年或以后年度继续使用的资金。</w:t>
      </w:r>
    </w:p>
    <w:p>
      <w:pPr>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t>9.一般公共服务（类）财政事务（款）行政运行（项）:指行政单位（包括实行公务员管理的事业单位）的基本支出。</w:t>
      </w:r>
    </w:p>
    <w:p>
      <w:pPr>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t>10.一般公共服务（类）财政事务（款）一般行政管理事务（项）: 指行政单位（包括实行公务员管理的事业单位）未单独设置项级科目的其他项目支出。</w:t>
      </w:r>
    </w:p>
    <w:p>
      <w:pPr>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t>11、一般公共服务（类）财政事务（款）财政委托业务支出（项）: 指反映财政委托评审机构进行财政投资评审和委托建设银行等机构代理业务发生的支出。</w:t>
      </w:r>
    </w:p>
    <w:p>
      <w:pPr>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t>12、一般公共服务（类）财政事务（款）事业运行（项）: 指反映事业单位的基本支出，不包括行政单位（包括实行公务员管理的事业单位）后勤服务中心、医务室等附属事业单位。</w:t>
      </w:r>
    </w:p>
    <w:p>
      <w:pPr>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t>13、一般公共服务（类）财政事务（款）其他财政事务支出（项）:指反映其他财政事务方面的支出。</w:t>
      </w:r>
    </w:p>
    <w:p>
      <w:pPr>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t>14、社会保障和就业（类）行政事业单位养老支出（款）行政单位离退休（项）:指反映行政单位（包括实行公务员管理的事业单位）开支的离退休经费。</w:t>
      </w:r>
    </w:p>
    <w:p>
      <w:pPr>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t>15、社会保障和就业（类）行政事业单位养老支出（款）机关事业单位基本养老保险缴费支出（项）: 指反映机关事业单位实施养老保险制度由单位缴纳的基本养老保险费支出。</w:t>
      </w:r>
    </w:p>
    <w:p>
      <w:pPr>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t>16、社会保障和就业（类）行政事业单位养老支出（款）机关事业单位职业年金缴费支出（项）: 指反映机关事业单位实施养老保险制度由单位实际缴纳的职业年金支出。</w:t>
      </w:r>
    </w:p>
    <w:p>
      <w:pPr>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t>17、卫生健康支出（类）行政事业单位医疗（款）行政单位医疗（项）:指反映财政部门安排的行政单位（包括实行公务员管理的事业单位，下同）基本医疗保险缴费经费，未参加养老保险的行政单位的公费医疗经费，按国家规定享受离休人员、红军老战士待遇人员的医疗经费。</w:t>
      </w:r>
    </w:p>
    <w:p>
      <w:pPr>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t>18、卫生健康支出（类）行政事业单位医疗（款）事业单位医疗（项）: 指反映财政部门安排的事业单位基本医疗保险缴费经费，未参加医疗保险的事业单位的公费医疗经费，按国家规定享受离休人员待遇的医疗经费。</w:t>
      </w:r>
    </w:p>
    <w:p>
      <w:pPr>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auto"/>
          <w:w w:val="95"/>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t>19、</w:t>
      </w:r>
      <w:r>
        <w:rPr>
          <w:rFonts w:hint="default" w:ascii="Times New Roman" w:hAnsi="Times New Roman" w:eastAsia="仿宋_GB2312" w:cs="Times New Roman"/>
          <w:color w:val="auto"/>
          <w:w w:val="95"/>
          <w:kern w:val="2"/>
          <w:sz w:val="32"/>
          <w:szCs w:val="24"/>
          <w:lang w:val="en-US" w:eastAsia="zh-CN" w:bidi="ar-SA"/>
        </w:rPr>
        <w:t>卫生健康支出（类）行政事业单位医疗（款）公务员医疗补助（项）:指反映财政部门安排的公务员医疗补助经费。</w:t>
      </w:r>
    </w:p>
    <w:p>
      <w:pPr>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t>20、城乡社区支出（类）国有土地使用权出让收入安排的支出（款）土地开发支出（项）:指反映新疆生产建设兵团和地方政府用于前期土地开发性支出以及与前期土地开发相关的费用等支出。</w:t>
      </w:r>
    </w:p>
    <w:p>
      <w:pPr>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t>21、城乡社区支出（类）国有土地使用权出让收入安排的支出（款）农村社会事业支出（项）:指反映土地出让收入用于农村教育、农村文化和精神文明建设等方面支出。</w:t>
      </w:r>
    </w:p>
    <w:p>
      <w:pPr>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t>22、住房保障支出（类）住房改革支出（款）住房公积金（项）:指反映行政事业单位按人力资源和社会保障部、财政部规定的基本工资和津贴补贴以及规定比例为职工缴纳的住房公积金。</w:t>
      </w:r>
    </w:p>
    <w:p>
      <w:pPr>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t>23.基本支出：指为保障机构正常运转、完成日常工作任务而发生的人员支出和公用支出。</w:t>
      </w:r>
    </w:p>
    <w:p>
      <w:pPr>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t xml:space="preserve">24.项目支出：指在基本支出之外为完成特定行政任务和事业发展目标所发生的支出。 </w:t>
      </w:r>
    </w:p>
    <w:p>
      <w:pPr>
        <w:pStyle w:val="26"/>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t>25.“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6"/>
        <w:pageBreakBefore w:val="0"/>
        <w:kinsoku/>
        <w:wordWrap/>
        <w:overflowPunct/>
        <w:topLinePunct w:val="0"/>
        <w:bidi w:val="0"/>
        <w:spacing w:line="560" w:lineRule="exact"/>
        <w:ind w:firstLine="640" w:firstLineChars="200"/>
        <w:rPr>
          <w:rFonts w:hint="default" w:ascii="Times New Roman" w:hAnsi="Times New Roman"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t>26.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2"/>
        <w:pageBreakBefore w:val="0"/>
        <w:kinsoku/>
        <w:wordWrap/>
        <w:overflowPunct/>
        <w:topLinePunct w:val="0"/>
        <w:bidi w:val="0"/>
        <w:spacing w:line="560" w:lineRule="exact"/>
        <w:rPr>
          <w:rFonts w:hint="default" w:ascii="Times New Roman" w:hAnsi="Times New Roman" w:eastAsia="黑体" w:cs="Times New Roman"/>
          <w:color w:val="000000"/>
          <w:sz w:val="44"/>
          <w:szCs w:val="44"/>
        </w:rPr>
      </w:pPr>
      <w:bookmarkStart w:id="54" w:name="_Toc15396614"/>
      <w:bookmarkStart w:id="55" w:name="_Toc15377226"/>
    </w:p>
    <w:p>
      <w:pPr>
        <w:pStyle w:val="3"/>
        <w:pageBreakBefore w:val="0"/>
        <w:kinsoku/>
        <w:wordWrap/>
        <w:overflowPunct/>
        <w:topLinePunct w:val="0"/>
        <w:bidi w:val="0"/>
        <w:spacing w:line="560" w:lineRule="exact"/>
        <w:ind w:right="440" w:firstLine="2200" w:firstLineChars="500"/>
        <w:jc w:val="both"/>
        <w:rPr>
          <w:rFonts w:hint="default" w:eastAsia="黑体" w:cs="Times New Roman"/>
          <w:b w:val="0"/>
          <w:color w:val="000000"/>
          <w:lang w:val="en-US" w:eastAsia="zh-CN"/>
        </w:rPr>
      </w:pPr>
      <w:r>
        <w:rPr>
          <w:rFonts w:hint="default" w:eastAsia="黑体" w:cs="Times New Roman"/>
          <w:b w:val="0"/>
          <w:color w:val="000000"/>
          <w:lang w:val="en-US" w:eastAsia="zh-CN"/>
        </w:rPr>
        <w:t>第四部分 附件</w:t>
      </w:r>
      <w:bookmarkEnd w:id="54"/>
    </w:p>
    <w:p>
      <w:pPr>
        <w:pageBreakBefore w:val="0"/>
        <w:kinsoku/>
        <w:wordWrap/>
        <w:overflowPunct/>
        <w:topLinePunct w:val="0"/>
        <w:bidi w:val="0"/>
        <w:spacing w:line="560" w:lineRule="exact"/>
        <w:jc w:val="left"/>
        <w:outlineLvl w:val="0"/>
        <w:rPr>
          <w:rFonts w:hint="default" w:ascii="Times New Roman" w:hAnsi="Times New Roman" w:eastAsia="方正小标宋简体" w:cs="Times New Roman"/>
          <w:sz w:val="32"/>
          <w:szCs w:val="32"/>
        </w:rPr>
      </w:pPr>
      <w:r>
        <w:rPr>
          <w:rFonts w:hint="default" w:ascii="Times New Roman" w:hAnsi="Times New Roman" w:eastAsia="黑体" w:cs="Times New Roman"/>
          <w:sz w:val="32"/>
          <w:szCs w:val="32"/>
        </w:rPr>
        <w:t>附件1</w:t>
      </w:r>
    </w:p>
    <w:p>
      <w:pPr>
        <w:pageBreakBefore w:val="0"/>
        <w:kinsoku/>
        <w:wordWrap/>
        <w:overflowPunct/>
        <w:topLinePunct w:val="0"/>
        <w:bidi w:val="0"/>
        <w:spacing w:line="560" w:lineRule="exact"/>
        <w:jc w:val="center"/>
        <w:rPr>
          <w:rFonts w:hint="default" w:ascii="Times New Roman" w:hAnsi="Times New Roman" w:eastAsia="方正小标宋简体" w:cs="Times New Roman"/>
          <w:sz w:val="44"/>
          <w:szCs w:val="44"/>
        </w:rPr>
      </w:pPr>
    </w:p>
    <w:p>
      <w:pPr>
        <w:pageBreakBefore w:val="0"/>
        <w:kinsoku/>
        <w:wordWrap/>
        <w:overflowPunct/>
        <w:topLinePunct w:val="0"/>
        <w:bidi w:val="0"/>
        <w:spacing w:line="560" w:lineRule="exact"/>
        <w:jc w:val="center"/>
        <w:rPr>
          <w:rFonts w:hint="default" w:ascii="Times New Roman" w:hAnsi="Times New Roman" w:eastAsia="方正小标宋简体" w:cs="Times New Roman"/>
          <w:color w:val="000000"/>
          <w:kern w:val="0"/>
          <w:sz w:val="40"/>
          <w:szCs w:val="44"/>
        </w:rPr>
      </w:pPr>
      <w:r>
        <w:rPr>
          <w:rFonts w:hint="default" w:ascii="Times New Roman" w:hAnsi="Times New Roman" w:eastAsia="方正小标宋简体" w:cs="Times New Roman"/>
          <w:color w:val="000000"/>
          <w:kern w:val="0"/>
          <w:sz w:val="40"/>
          <w:szCs w:val="44"/>
        </w:rPr>
        <w:t>攀枝花市仁和区财政局</w:t>
      </w:r>
    </w:p>
    <w:p>
      <w:pPr>
        <w:pageBreakBefore w:val="0"/>
        <w:kinsoku/>
        <w:wordWrap/>
        <w:overflowPunct/>
        <w:topLinePunct w:val="0"/>
        <w:bidi w:val="0"/>
        <w:spacing w:line="560" w:lineRule="exact"/>
        <w:jc w:val="center"/>
        <w:rPr>
          <w:rFonts w:hint="default" w:ascii="Times New Roman" w:hAnsi="Times New Roman" w:eastAsia="方正小标宋简体" w:cs="Times New Roman"/>
          <w:color w:val="000000"/>
          <w:kern w:val="0"/>
          <w:sz w:val="40"/>
          <w:szCs w:val="44"/>
          <w:lang w:val="zh-CN"/>
        </w:rPr>
      </w:pPr>
      <w:r>
        <w:rPr>
          <w:rFonts w:hint="default" w:ascii="Times New Roman" w:hAnsi="Times New Roman" w:eastAsia="方正小标宋简体" w:cs="Times New Roman"/>
          <w:color w:val="000000"/>
          <w:kern w:val="0"/>
          <w:sz w:val="40"/>
          <w:szCs w:val="44"/>
        </w:rPr>
        <w:t>202</w:t>
      </w:r>
      <w:r>
        <w:rPr>
          <w:rFonts w:hint="default" w:ascii="Times New Roman" w:hAnsi="Times New Roman" w:eastAsia="方正小标宋简体" w:cs="Times New Roman"/>
          <w:color w:val="000000"/>
          <w:kern w:val="0"/>
          <w:sz w:val="40"/>
          <w:szCs w:val="44"/>
          <w:lang w:val="en-US" w:eastAsia="zh-CN"/>
        </w:rPr>
        <w:t>2</w:t>
      </w:r>
      <w:r>
        <w:rPr>
          <w:rFonts w:hint="default" w:ascii="Times New Roman" w:hAnsi="Times New Roman" w:eastAsia="方正小标宋简体" w:cs="Times New Roman"/>
          <w:color w:val="000000"/>
          <w:kern w:val="0"/>
          <w:sz w:val="40"/>
          <w:szCs w:val="44"/>
        </w:rPr>
        <w:t>年部门</w:t>
      </w:r>
      <w:r>
        <w:rPr>
          <w:rFonts w:hint="default" w:ascii="Times New Roman" w:hAnsi="Times New Roman" w:eastAsia="方正小标宋简体" w:cs="Times New Roman"/>
          <w:color w:val="000000"/>
          <w:kern w:val="0"/>
          <w:sz w:val="40"/>
          <w:szCs w:val="44"/>
          <w:lang w:val="zh-CN"/>
        </w:rPr>
        <w:t>整体支出绩效评价报告</w:t>
      </w:r>
    </w:p>
    <w:p>
      <w:pPr>
        <w:pageBreakBefore w:val="0"/>
        <w:widowControl/>
        <w:kinsoku/>
        <w:wordWrap/>
        <w:overflowPunct/>
        <w:topLinePunct w:val="0"/>
        <w:bidi w:val="0"/>
        <w:adjustRightInd w:val="0"/>
        <w:snapToGrid w:val="0"/>
        <w:spacing w:line="560" w:lineRule="exact"/>
        <w:ind w:firstLine="480" w:firstLineChars="200"/>
        <w:contextualSpacing/>
        <w:jc w:val="left"/>
        <w:rPr>
          <w:rFonts w:hint="default" w:ascii="Times New Roman" w:hAnsi="Times New Roman" w:eastAsia="黑体" w:cs="Times New Roman"/>
          <w:color w:val="000000"/>
          <w:kern w:val="0"/>
          <w:sz w:val="24"/>
          <w:szCs w:val="32"/>
          <w:shd w:val="clear" w:color="auto" w:fill="FFFFFF"/>
        </w:rPr>
      </w:pPr>
    </w:p>
    <w:p>
      <w:pPr>
        <w:pageBreakBefore w:val="0"/>
        <w:widowControl/>
        <w:numPr>
          <w:ilvl w:val="0"/>
          <w:numId w:val="0"/>
        </w:numPr>
        <w:kinsoku/>
        <w:wordWrap/>
        <w:overflowPunct/>
        <w:topLinePunct w:val="0"/>
        <w:bidi w:val="0"/>
        <w:adjustRightInd w:val="0"/>
        <w:snapToGrid w:val="0"/>
        <w:spacing w:line="560" w:lineRule="exact"/>
        <w:contextualSpacing/>
        <w:jc w:val="left"/>
        <w:rPr>
          <w:rFonts w:hint="default" w:ascii="Times New Roman" w:hAnsi="Times New Roman" w:eastAsia="黑体" w:cs="Times New Roman"/>
          <w:kern w:val="0"/>
          <w:sz w:val="32"/>
          <w:szCs w:val="32"/>
          <w:shd w:val="clear" w:color="auto" w:fill="FFFFFF"/>
          <w:lang w:val="zh-CN"/>
        </w:rPr>
      </w:pPr>
      <w:r>
        <w:rPr>
          <w:rFonts w:hint="default" w:ascii="Times New Roman" w:hAnsi="Times New Roman" w:eastAsia="黑体" w:cs="Times New Roman"/>
          <w:sz w:val="32"/>
          <w:szCs w:val="32"/>
        </w:rPr>
        <w:t>一、</w:t>
      </w:r>
      <w:r>
        <w:rPr>
          <w:rFonts w:hint="default" w:ascii="Times New Roman" w:hAnsi="Times New Roman" w:eastAsia="黑体" w:cs="Times New Roman"/>
          <w:color w:val="auto"/>
          <w:kern w:val="0"/>
          <w:sz w:val="32"/>
          <w:szCs w:val="24"/>
          <w:lang w:val="zh-CN"/>
        </w:rPr>
        <w:t>部门（单位）基本情况</w:t>
      </w:r>
    </w:p>
    <w:p>
      <w:pPr>
        <w:pageBreakBefore w:val="0"/>
        <w:widowControl/>
        <w:kinsoku/>
        <w:wordWrap/>
        <w:overflowPunct/>
        <w:topLinePunct w:val="0"/>
        <w:bidi w:val="0"/>
        <w:adjustRightInd w:val="0"/>
        <w:snapToGrid w:val="0"/>
        <w:spacing w:line="560" w:lineRule="exact"/>
        <w:ind w:firstLine="643" w:firstLineChars="200"/>
        <w:contextualSpacing/>
        <w:jc w:val="left"/>
        <w:rPr>
          <w:rFonts w:hint="default" w:ascii="Times New Roman" w:hAnsi="Times New Roman" w:eastAsia="仿宋_GB2312" w:cs="Times New Roman"/>
          <w:color w:val="000000"/>
          <w:kern w:val="0"/>
          <w:sz w:val="32"/>
          <w:szCs w:val="32"/>
          <w:shd w:val="clear" w:color="auto" w:fill="FFFFFF"/>
          <w:lang w:val="zh-CN"/>
        </w:rPr>
      </w:pPr>
      <w:r>
        <w:rPr>
          <w:rFonts w:hint="default" w:ascii="Times New Roman" w:hAnsi="Times New Roman" w:eastAsia="楷体_GB2312" w:cs="Times New Roman"/>
          <w:b/>
          <w:color w:val="auto"/>
          <w:kern w:val="0"/>
          <w:sz w:val="32"/>
          <w:szCs w:val="24"/>
          <w:lang w:val="zh-CN" w:eastAsia="zh-CN" w:bidi="ar-SA"/>
        </w:rPr>
        <w:t>（一）机构组成。</w:t>
      </w:r>
    </w:p>
    <w:p>
      <w:pPr>
        <w:pageBreakBefore w:val="0"/>
        <w:kinsoku/>
        <w:wordWrap/>
        <w:overflowPunct/>
        <w:topLinePunct w:val="0"/>
        <w:bidi w:val="0"/>
        <w:adjustRightInd w:val="0"/>
        <w:snapToGrid w:val="0"/>
        <w:spacing w:line="560" w:lineRule="exact"/>
        <w:ind w:firstLine="720"/>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区财政局下属财政国库支付中心、仁和区财政绩效评价中心、仁和区财政投资评审中心、仁和区政府债务风险防控中心四个二级部门；设局办公室、预算股、国库股、经济建设股、政策法规.国有资产与会计股、行政事业股、涉农资金管理股、金融与政府债务管理股、财政监督与绩效管理股等9个内部机构，派驻纪检组1个。</w:t>
      </w:r>
    </w:p>
    <w:p>
      <w:pPr>
        <w:pStyle w:val="26"/>
        <w:pageBreakBefore w:val="0"/>
        <w:numPr>
          <w:ilvl w:val="0"/>
          <w:numId w:val="2"/>
        </w:numPr>
        <w:kinsoku/>
        <w:wordWrap/>
        <w:overflowPunct/>
        <w:topLinePunct w:val="0"/>
        <w:bidi w:val="0"/>
        <w:spacing w:line="560" w:lineRule="exact"/>
        <w:ind w:left="-94" w:leftChars="0" w:firstLine="640" w:firstLineChars="0"/>
        <w:rPr>
          <w:rFonts w:hint="default" w:ascii="Times New Roman" w:hAnsi="Times New Roman" w:eastAsia="楷体_GB2312" w:cs="Times New Roman"/>
          <w:b/>
          <w:color w:val="auto"/>
          <w:sz w:val="32"/>
          <w:szCs w:val="24"/>
          <w:lang w:val="zh-CN"/>
        </w:rPr>
      </w:pPr>
      <w:r>
        <w:rPr>
          <w:rFonts w:hint="default" w:ascii="Times New Roman" w:hAnsi="Times New Roman" w:eastAsia="楷体_GB2312" w:cs="Times New Roman"/>
          <w:b/>
          <w:color w:val="auto"/>
          <w:sz w:val="32"/>
          <w:szCs w:val="24"/>
          <w:lang w:val="zh-CN"/>
        </w:rPr>
        <w:t>机构职能和人员概况。</w:t>
      </w:r>
    </w:p>
    <w:p>
      <w:pPr>
        <w:pStyle w:val="26"/>
        <w:pageBreakBefore w:val="0"/>
        <w:numPr>
          <w:ilvl w:val="0"/>
          <w:numId w:val="0"/>
        </w:numPr>
        <w:kinsoku/>
        <w:wordWrap/>
        <w:overflowPunct/>
        <w:topLinePunct w:val="0"/>
        <w:bidi w:val="0"/>
        <w:spacing w:line="560" w:lineRule="exact"/>
        <w:ind w:firstLine="960" w:firstLineChars="3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color w:val="000000"/>
          <w:kern w:val="0"/>
          <w:sz w:val="32"/>
          <w:szCs w:val="32"/>
          <w:shd w:val="clear" w:color="auto" w:fill="FFFFFF"/>
          <w:lang w:val="zh-CN"/>
        </w:rPr>
        <w:t>机构职能</w:t>
      </w:r>
    </w:p>
    <w:p>
      <w:pPr>
        <w:pStyle w:val="26"/>
        <w:pageBreakBefore w:val="0"/>
        <w:kinsoku/>
        <w:wordWrap/>
        <w:overflowPunct/>
        <w:topLinePunct w:val="0"/>
        <w:bidi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区财政局贯彻落实党中央关于财经工作、国有资产管理工作和金融工作的方针政策和省、市、区委的决策部署，在履行职责过程中坚持和加强党对财政工作的集中统一领导。主要职责是：</w:t>
      </w:r>
    </w:p>
    <w:p>
      <w:pPr>
        <w:pStyle w:val="26"/>
        <w:pageBreakBefore w:val="0"/>
        <w:kinsoku/>
        <w:wordWrap/>
        <w:overflowPunct/>
        <w:topLinePunct w:val="0"/>
        <w:bidi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拟订全区财税发展战略、规划、政策和改革方案并组织实施。分析预测宏观经济形势，参与制定各项经济政策，提出运用财税政策实施宏观调控和综合平衡社会财力的建议。拟订区与乡(镇)政府、政府与企业的分配政策，完善鼓励公益事业发展的财税政策。</w:t>
      </w:r>
    </w:p>
    <w:p>
      <w:pPr>
        <w:pStyle w:val="26"/>
        <w:pageBreakBefore w:val="0"/>
        <w:kinsoku/>
        <w:wordWrap/>
        <w:overflowPunct/>
        <w:topLinePunct w:val="0"/>
        <w:bidi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贯彻执行财政、税收、财务、会计管理的法律法规和规章。负责组织起草地方性财政政策、规范性文件和规章制度并组织实施。按照管理权限管理全区税政事项。承办国务院关税税则委员会办公室要求区一级承担的工作。</w:t>
      </w:r>
    </w:p>
    <w:p>
      <w:pPr>
        <w:pStyle w:val="26"/>
        <w:pageBreakBefore w:val="0"/>
        <w:kinsoku/>
        <w:wordWrap/>
        <w:overflowPunct/>
        <w:topLinePunct w:val="0"/>
        <w:bidi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负责管理各项财政收支。编制年度区级预决算草案并组织执行。组织制定经费开支标准、定额，审核批复部门(单位)年度预决算。受区政府委托，向区人大及其常委会报告财政预算、执行和决算等情况。负责政府建立的各类基金、风险金、分险金的监督管理。负责区级预决算公开。负责全面实施预算绩效管理。</w:t>
      </w:r>
    </w:p>
    <w:p>
      <w:pPr>
        <w:pStyle w:val="26"/>
        <w:pageBreakBefore w:val="0"/>
        <w:kinsoku/>
        <w:wordWrap/>
        <w:overflowPunct/>
        <w:topLinePunct w:val="0"/>
        <w:bidi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4</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按分工负责政府非税收入管理。负责政府性基金管理，按规定管理行政事业性收费等其他非税收入。管理财政票据。执行彩票管理政策，按规定管理彩票资金。</w:t>
      </w:r>
    </w:p>
    <w:p>
      <w:pPr>
        <w:pStyle w:val="26"/>
        <w:pageBreakBefore w:val="0"/>
        <w:kinsoku/>
        <w:wordWrap/>
        <w:overflowPunct/>
        <w:topLinePunct w:val="0"/>
        <w:bidi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5</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组织制定全区国库管理制度、国库集中收付制度，指导和监督国库业务，开展国库现金管理工作。贯彻执行政府财务报告编制办法并组织实施。监督管理全区政府采购工作。</w:t>
      </w:r>
    </w:p>
    <w:p>
      <w:pPr>
        <w:pStyle w:val="26"/>
        <w:pageBreakBefore w:val="0"/>
        <w:kinsoku/>
        <w:wordWrap/>
        <w:overflowPunct/>
        <w:topLinePunct w:val="0"/>
        <w:bidi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6</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贯彻执行地方政府债务管理制度和政策，制定具体管理办法，编制地方政府债余额限额计划，统一管理政府外债，防范财政风险。</w:t>
      </w:r>
    </w:p>
    <w:p>
      <w:pPr>
        <w:pStyle w:val="26"/>
        <w:pageBreakBefore w:val="0"/>
        <w:kinsoku/>
        <w:wordWrap/>
        <w:overflowPunct/>
        <w:topLinePunct w:val="0"/>
        <w:bidi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7</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牵头编制全区国有资产管理情况报告。根据区政府授权，集中统一履行区级国有金融资本出资人职责。制定区级国有金融资本管理制度。拟订全区行政事业单位国有资产管理制度并组织实施。制定和监督执行统一规定的开支标准和支出政策。</w:t>
      </w:r>
    </w:p>
    <w:p>
      <w:pPr>
        <w:pStyle w:val="26"/>
        <w:pageBreakBefore w:val="0"/>
        <w:kinsoku/>
        <w:wordWrap/>
        <w:overflowPunct/>
        <w:topLinePunct w:val="0"/>
        <w:bidi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8</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负责审核并汇总编制全区国有资本经营预决算草案。制定国有资本经营预算制度和办法，收取区本级企业国有资本收益。组织实施企业财务制度，负责财政预算内行政事业单位和社会团体的非贸易外汇和财政预算内的国际收支管理。</w:t>
      </w:r>
    </w:p>
    <w:p>
      <w:pPr>
        <w:pStyle w:val="26"/>
        <w:pageBreakBefore w:val="0"/>
        <w:kinsoku/>
        <w:wordWrap/>
        <w:overflowPunct/>
        <w:topLinePunct w:val="0"/>
        <w:bidi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9</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负责审核并汇总编制全区社会保险基金预决算草案，会同有关部门拟订有关资金(基金)财务管理制度，承担社会保险基金财政监管工作。</w:t>
      </w:r>
    </w:p>
    <w:p>
      <w:pPr>
        <w:pStyle w:val="26"/>
        <w:pageBreakBefore w:val="0"/>
        <w:kinsoku/>
        <w:wordWrap/>
        <w:overflowPunct/>
        <w:topLinePunct w:val="0"/>
        <w:bidi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10</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负责办理和监督区级财政的经济发展支出、区级政府性投资项目的财政拨款，负责投资评审管理工作，参与拟订区级基建投资有关政策，监督执行基建财务管理制度。负责政府性投资项目竣工决算、结算管理工作。</w:t>
      </w:r>
    </w:p>
    <w:p>
      <w:pPr>
        <w:pStyle w:val="26"/>
        <w:pageBreakBefore w:val="0"/>
        <w:kinsoku/>
        <w:wordWrap/>
        <w:overflowPunct/>
        <w:topLinePunct w:val="0"/>
        <w:bidi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11</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管理外国政府和国际金融机构贷(赠)款项目的有关业务，参与财经领域的国际交流与合作。</w:t>
      </w:r>
    </w:p>
    <w:p>
      <w:pPr>
        <w:pStyle w:val="26"/>
        <w:pageBreakBefore w:val="0"/>
        <w:kinsoku/>
        <w:wordWrap/>
        <w:overflowPunct/>
        <w:topLinePunct w:val="0"/>
        <w:bidi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12</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负责管理全区会计工作，监督和规范会计行为，组织实施国家统一的会计制度，指导社会审计。依法管理资产评估有关工作。</w:t>
      </w:r>
    </w:p>
    <w:p>
      <w:pPr>
        <w:pStyle w:val="26"/>
        <w:pageBreakBefore w:val="0"/>
        <w:kinsoku/>
        <w:wordWrap/>
        <w:overflowPunct/>
        <w:topLinePunct w:val="0"/>
        <w:bidi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13</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拟定和执行国有资产管理的政策法规、规章制度和管理办法；负责全区行政事业单位国有资产及国有资产经营收益管理工作；组织实施行政事业单位、国有资产及区属企业资产的清产核资和绩效评价工作；组织实施区级行政事业单位及企业国有产权界定、企业国有资产产权界定和转让工作，监缴国有资产收益；负责国有资产及区属国有企业资产的统计、分析；指导和监督行政事业单位、区属国有企业资产的产权界定、清查登记等工作；指导和监督办理执行《企业财务通则》和相关财务会计制度，参与拟定企业国有资产管理相关制度。</w:t>
      </w:r>
    </w:p>
    <w:p>
      <w:pPr>
        <w:pStyle w:val="26"/>
        <w:pageBreakBefore w:val="0"/>
        <w:kinsoku/>
        <w:wordWrap/>
        <w:overflowPunct/>
        <w:topLinePunct w:val="0"/>
        <w:bidi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14</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负责联系协调全区金融机构，推动地方政府与金融机构合作交流，防控金融风险、深化金融改革。负责全区小额贷款公司、融资担保公司、典当行、融资租赁公司等监管；维护地方金融秩序，牵头会同有关部门防范、化解和处置地方金融风险；牵头处置非法集资、协调配合有关部门打击其他非法金融活动；推进全区金融知识宣传普及工作。</w:t>
      </w:r>
    </w:p>
    <w:p>
      <w:pPr>
        <w:pStyle w:val="26"/>
        <w:pageBreakBefore w:val="0"/>
        <w:kinsoku/>
        <w:wordWrap/>
        <w:overflowPunct/>
        <w:topLinePunct w:val="0"/>
        <w:bidi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15</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负责职责范围内的安全生产和职业健康、生态环境保护、审批服务便民化等工作。按省、市要求，指导推进相对集中行政许可权改革。</w:t>
      </w:r>
    </w:p>
    <w:p>
      <w:pPr>
        <w:pStyle w:val="26"/>
        <w:pageBreakBefore w:val="0"/>
        <w:kinsoku/>
        <w:wordWrap/>
        <w:overflowPunct/>
        <w:topLinePunct w:val="0"/>
        <w:bidi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16</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完成区委、区政府交办的其他任务。</w:t>
      </w:r>
    </w:p>
    <w:p>
      <w:pPr>
        <w:pageBreakBefore w:val="0"/>
        <w:widowControl/>
        <w:kinsoku/>
        <w:wordWrap/>
        <w:overflowPunct/>
        <w:topLinePunct w:val="0"/>
        <w:bidi w:val="0"/>
        <w:adjustRightInd w:val="0"/>
        <w:snapToGrid w:val="0"/>
        <w:spacing w:line="560" w:lineRule="exact"/>
        <w:ind w:firstLine="640" w:firstLineChars="200"/>
        <w:contextualSpacing/>
        <w:jc w:val="left"/>
        <w:rPr>
          <w:rFonts w:hint="default" w:ascii="Times New Roman" w:hAnsi="Times New Roman" w:eastAsia="仿宋_GB2312" w:cs="Times New Roman"/>
          <w:color w:val="000000"/>
          <w:kern w:val="0"/>
          <w:sz w:val="32"/>
          <w:szCs w:val="32"/>
          <w:shd w:val="clear" w:color="auto" w:fill="FFFFFF"/>
          <w:lang w:val="zh-CN"/>
        </w:rPr>
      </w:pPr>
      <w:r>
        <w:rPr>
          <w:rFonts w:hint="default" w:ascii="Times New Roman" w:hAnsi="Times New Roman" w:eastAsia="仿宋_GB2312" w:cs="Times New Roman"/>
          <w:color w:val="000000"/>
          <w:kern w:val="0"/>
          <w:sz w:val="32"/>
          <w:szCs w:val="32"/>
          <w:shd w:val="clear" w:color="auto" w:fill="FFFFFF"/>
          <w:lang w:val="zh-CN"/>
        </w:rPr>
        <w:t>2.人员概况。</w:t>
      </w:r>
    </w:p>
    <w:p>
      <w:pPr>
        <w:pStyle w:val="26"/>
        <w:pageBreakBefore w:val="0"/>
        <w:kinsoku/>
        <w:wordWrap/>
        <w:overflowPunct/>
        <w:topLinePunct w:val="0"/>
        <w:bidi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截至2022年</w:t>
      </w:r>
      <w:r>
        <w:rPr>
          <w:rFonts w:hint="default" w:ascii="Times New Roman" w:hAnsi="Times New Roman" w:eastAsia="仿宋_GB2312" w:cs="Times New Roman"/>
          <w:sz w:val="32"/>
          <w:szCs w:val="32"/>
          <w:lang w:eastAsia="zh-CN"/>
        </w:rPr>
        <w:t>年底，</w:t>
      </w:r>
      <w:r>
        <w:rPr>
          <w:rFonts w:hint="default" w:ascii="Times New Roman" w:hAnsi="Times New Roman" w:eastAsia="仿宋_GB2312" w:cs="Times New Roman"/>
          <w:sz w:val="32"/>
          <w:szCs w:val="32"/>
        </w:rPr>
        <w:t>财政局机关19个行政编，2个工勤编；财政国库支付中心11个参公编制、财政绩效评价中心3个参公编制、财政评审与债务风险防控中心16个事业编）</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核编人数51人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实有在职财政供养人员48人（含派驻纪检组3人、编内聘用1人）；退休人员31人。</w:t>
      </w:r>
    </w:p>
    <w:p>
      <w:pPr>
        <w:keepNext/>
        <w:keepLines/>
        <w:pageBreakBefore w:val="0"/>
        <w:numPr>
          <w:ilvl w:val="0"/>
          <w:numId w:val="2"/>
        </w:numPr>
        <w:kinsoku/>
        <w:wordWrap/>
        <w:overflowPunct/>
        <w:topLinePunct w:val="0"/>
        <w:bidi w:val="0"/>
        <w:spacing w:line="560" w:lineRule="exact"/>
        <w:ind w:left="-94" w:leftChars="0" w:firstLine="640" w:firstLineChars="0"/>
        <w:rPr>
          <w:rFonts w:hint="default" w:ascii="Times New Roman" w:hAnsi="Times New Roman" w:eastAsia="楷体_GB2312" w:cs="Times New Roman"/>
          <w:b/>
          <w:color w:val="auto"/>
          <w:sz w:val="32"/>
          <w:szCs w:val="24"/>
          <w:lang w:val="zh-CN"/>
        </w:rPr>
      </w:pPr>
      <w:r>
        <w:rPr>
          <w:rFonts w:hint="default" w:ascii="Times New Roman" w:hAnsi="Times New Roman" w:eastAsia="楷体_GB2312" w:cs="Times New Roman"/>
          <w:b/>
          <w:color w:val="auto"/>
          <w:sz w:val="32"/>
          <w:szCs w:val="24"/>
          <w:lang w:val="zh-CN"/>
        </w:rPr>
        <w:t>年度主要工作任务。</w:t>
      </w:r>
    </w:p>
    <w:p>
      <w:pPr>
        <w:pageBreakBefore w:val="0"/>
        <w:kinsoku/>
        <w:wordWrap/>
        <w:overflowPunct/>
        <w:topLinePunct w:val="0"/>
        <w:bidi w:val="0"/>
        <w:adjustRightInd w:val="0"/>
        <w:snapToGrid w:val="0"/>
        <w:spacing w:line="560" w:lineRule="exact"/>
        <w:ind w:firstLine="643" w:firstLineChars="200"/>
        <w:rPr>
          <w:rFonts w:hint="eastAsia" w:ascii="Times New Roman" w:hAnsi="Times New Roman" w:eastAsia="楷体_GB2312" w:cs="Times New Roman"/>
          <w:b/>
          <w:sz w:val="32"/>
          <w:szCs w:val="32"/>
          <w:lang w:eastAsia="zh-CN"/>
        </w:rPr>
      </w:pPr>
      <w:r>
        <w:rPr>
          <w:rFonts w:hint="default" w:ascii="Times New Roman" w:hAnsi="Times New Roman" w:eastAsia="楷体_GB2312" w:cs="Times New Roman"/>
          <w:b/>
          <w:sz w:val="32"/>
          <w:szCs w:val="32"/>
        </w:rPr>
        <w:t>1、持续深化全面从严治党</w:t>
      </w:r>
      <w:r>
        <w:rPr>
          <w:rFonts w:hint="eastAsia" w:eastAsia="楷体_GB2312" w:cs="Times New Roman"/>
          <w:b/>
          <w:sz w:val="32"/>
          <w:szCs w:val="32"/>
          <w:lang w:eastAsia="zh-CN"/>
        </w:rPr>
        <w:t>。</w:t>
      </w:r>
    </w:p>
    <w:p>
      <w:pPr>
        <w:pageBreakBefore w:val="0"/>
        <w:kinsoku/>
        <w:wordWrap/>
        <w:overflowPunct/>
        <w:topLinePunct w:val="0"/>
        <w:autoSpaceDE w:val="0"/>
        <w:autoSpaceDN w:val="0"/>
        <w:bidi w:val="0"/>
        <w:adjustRightInd w:val="0"/>
        <w:spacing w:line="560" w:lineRule="exact"/>
        <w:ind w:left="199" w:leftChars="95" w:firstLine="648" w:firstLineChars="200"/>
        <w:jc w:val="left"/>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一是坚持将党的全面领导贯穿财政管理全过程，要把政治建设摆在首位，持之以恒落实中央八项规定，认真履行监督职责，落实</w:t>
      </w:r>
      <w:r>
        <w:rPr>
          <w:rFonts w:hint="eastAsia" w:eastAsia="仿宋_GB2312" w:cs="Times New Roman"/>
          <w:color w:val="000000"/>
          <w:spacing w:val="2"/>
          <w:sz w:val="32"/>
          <w:szCs w:val="32"/>
          <w:lang w:eastAsia="zh-CN"/>
        </w:rPr>
        <w:t>全面</w:t>
      </w:r>
      <w:bookmarkStart w:id="70" w:name="_GoBack"/>
      <w:bookmarkEnd w:id="70"/>
      <w:r>
        <w:rPr>
          <w:rFonts w:hint="default" w:ascii="Times New Roman" w:hAnsi="Times New Roman" w:eastAsia="仿宋_GB2312" w:cs="Times New Roman"/>
          <w:color w:val="000000"/>
          <w:spacing w:val="2"/>
          <w:sz w:val="32"/>
          <w:szCs w:val="32"/>
        </w:rPr>
        <w:t>从严治党的要求；二是把党风廉政建设与部门职能有机结合，融入到财政业务工作中，全面压实“两个责任”，依规依纪管党治党，强化财政权利监督制约；三是切实加强机关作风整顿，加强财政干部队伍建设，切实增强财政部门及财政干部的政治素养，加强理想信念教育、纪律规矩教育、职业素养教育。</w:t>
      </w:r>
    </w:p>
    <w:p>
      <w:pPr>
        <w:pageBreakBefore w:val="0"/>
        <w:pBdr>
          <w:bottom w:val="single" w:color="FFFFFF" w:sz="4" w:space="31"/>
        </w:pBdr>
        <w:kinsoku/>
        <w:wordWrap/>
        <w:overflowPunct/>
        <w:topLinePunct w:val="0"/>
        <w:bidi w:val="0"/>
        <w:adjustRightInd w:val="0"/>
        <w:snapToGrid w:val="0"/>
        <w:spacing w:line="560" w:lineRule="exact"/>
        <w:ind w:right="210" w:rightChars="100" w:firstLine="630" w:firstLineChars="196"/>
        <w:rPr>
          <w:rFonts w:hint="eastAsia" w:ascii="Times New Roman" w:hAnsi="Times New Roman" w:eastAsia="楷体_GB2312" w:cs="Times New Roman"/>
          <w:b/>
          <w:sz w:val="32"/>
          <w:szCs w:val="32"/>
          <w:lang w:eastAsia="zh-CN"/>
        </w:rPr>
      </w:pPr>
      <w:r>
        <w:rPr>
          <w:rFonts w:hint="default" w:ascii="Times New Roman" w:hAnsi="Times New Roman" w:eastAsia="楷体_GB2312" w:cs="Times New Roman"/>
          <w:b/>
          <w:sz w:val="32"/>
          <w:szCs w:val="32"/>
        </w:rPr>
        <w:t>2、强化统筹，全力推动财政稳健运行</w:t>
      </w:r>
      <w:r>
        <w:rPr>
          <w:rFonts w:hint="eastAsia" w:eastAsia="楷体_GB2312" w:cs="Times New Roman"/>
          <w:b/>
          <w:sz w:val="32"/>
          <w:szCs w:val="32"/>
          <w:lang w:eastAsia="zh-CN"/>
        </w:rPr>
        <w:t>。</w:t>
      </w:r>
    </w:p>
    <w:p>
      <w:pPr>
        <w:pageBreakBefore w:val="0"/>
        <w:pBdr>
          <w:bottom w:val="single" w:color="FFFFFF" w:sz="4" w:space="31"/>
        </w:pBdr>
        <w:kinsoku/>
        <w:wordWrap/>
        <w:overflowPunct/>
        <w:topLinePunct w:val="0"/>
        <w:bidi w:val="0"/>
        <w:adjustRightInd w:val="0"/>
        <w:snapToGrid w:val="0"/>
        <w:spacing w:line="560" w:lineRule="exact"/>
        <w:ind w:right="210" w:rightChars="100" w:firstLine="627" w:firstLineChars="196"/>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是全力组织财政收入，确保全年目标任务完成。二是加大检查和清缴力度，及时跟进和组织非税收入入库，完成非税收入任务。三是大力调整优化财政支出结构，坚决做到从严从紧预算管理，建立能增能减、有保有压的预算安排机制，严控一般性支出，兜实兜牢“三保”底线，切实提高财政资源配置效率和资金使用效益。四是加大专项资金争取力度，全力做好均衡性转移支付、县级基本财力保障等财力性补助的争取工作，缓解本级财政困难。</w:t>
      </w:r>
    </w:p>
    <w:p>
      <w:pPr>
        <w:pageBreakBefore w:val="0"/>
        <w:pBdr>
          <w:bottom w:val="single" w:color="FFFFFF" w:sz="4" w:space="31"/>
        </w:pBdr>
        <w:kinsoku/>
        <w:wordWrap/>
        <w:overflowPunct/>
        <w:topLinePunct w:val="0"/>
        <w:bidi w:val="0"/>
        <w:adjustRightInd w:val="0"/>
        <w:snapToGrid w:val="0"/>
        <w:spacing w:line="560" w:lineRule="exact"/>
        <w:ind w:right="210" w:rightChars="100" w:firstLine="630" w:firstLineChars="196"/>
        <w:rPr>
          <w:rFonts w:hint="eastAsia" w:ascii="Times New Roman" w:hAnsi="Times New Roman" w:eastAsia="楷体_GB2312" w:cs="Times New Roman"/>
          <w:b/>
          <w:sz w:val="32"/>
          <w:szCs w:val="32"/>
          <w:lang w:eastAsia="zh-CN"/>
        </w:rPr>
      </w:pPr>
      <w:r>
        <w:rPr>
          <w:rFonts w:hint="default" w:ascii="Times New Roman" w:hAnsi="Times New Roman" w:eastAsia="楷体_GB2312" w:cs="Times New Roman"/>
          <w:b/>
          <w:sz w:val="32"/>
          <w:szCs w:val="32"/>
        </w:rPr>
        <w:t>3、加强保障，扎实推进民生民本改善</w:t>
      </w:r>
      <w:r>
        <w:rPr>
          <w:rFonts w:hint="eastAsia" w:eastAsia="楷体_GB2312" w:cs="Times New Roman"/>
          <w:b/>
          <w:sz w:val="32"/>
          <w:szCs w:val="32"/>
          <w:lang w:eastAsia="zh-CN"/>
        </w:rPr>
        <w:t>。</w:t>
      </w:r>
    </w:p>
    <w:p>
      <w:pPr>
        <w:pageBreakBefore w:val="0"/>
        <w:pBdr>
          <w:bottom w:val="single" w:color="FFFFFF" w:sz="4" w:space="31"/>
        </w:pBdr>
        <w:kinsoku/>
        <w:wordWrap/>
        <w:overflowPunct/>
        <w:topLinePunct w:val="0"/>
        <w:bidi w:val="0"/>
        <w:adjustRightInd w:val="0"/>
        <w:snapToGrid w:val="0"/>
        <w:spacing w:line="560" w:lineRule="exact"/>
        <w:ind w:right="210" w:rightChars="100" w:firstLine="630" w:firstLineChars="196"/>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一是</w:t>
      </w:r>
      <w:r>
        <w:rPr>
          <w:rFonts w:hint="default" w:ascii="Times New Roman" w:hAnsi="Times New Roman" w:eastAsia="仿宋_GB2312" w:cs="Times New Roman"/>
          <w:sz w:val="32"/>
          <w:szCs w:val="32"/>
        </w:rPr>
        <w:t>优化教育资源，支持教育综合改革，落实普惠性幼儿园奖补，推动普通高中发展，促进教育质量提升。</w:t>
      </w:r>
      <w:r>
        <w:rPr>
          <w:rFonts w:hint="default" w:ascii="Times New Roman" w:hAnsi="Times New Roman" w:eastAsia="仿宋_GB2312" w:cs="Times New Roman"/>
          <w:b/>
          <w:sz w:val="32"/>
          <w:szCs w:val="32"/>
        </w:rPr>
        <w:t>二是</w:t>
      </w:r>
      <w:r>
        <w:rPr>
          <w:rFonts w:hint="default" w:ascii="Times New Roman" w:hAnsi="Times New Roman" w:eastAsia="仿宋_GB2312" w:cs="Times New Roman"/>
          <w:sz w:val="32"/>
          <w:szCs w:val="32"/>
        </w:rPr>
        <w:t>支持“健康仁和”发展，深化医疗卫生体制改革，落实基本医疗保障补助政策，健全公共卫生经费保障机制，提升医疗卫生资源供给水平。</w:t>
      </w:r>
      <w:r>
        <w:rPr>
          <w:rFonts w:hint="default" w:ascii="Times New Roman" w:hAnsi="Times New Roman" w:eastAsia="仿宋_GB2312" w:cs="Times New Roman"/>
          <w:b/>
          <w:sz w:val="32"/>
          <w:szCs w:val="32"/>
        </w:rPr>
        <w:t>三是</w:t>
      </w:r>
      <w:r>
        <w:rPr>
          <w:rFonts w:hint="default" w:ascii="Times New Roman" w:hAnsi="Times New Roman" w:eastAsia="仿宋_GB2312" w:cs="Times New Roman"/>
          <w:sz w:val="32"/>
          <w:szCs w:val="32"/>
        </w:rPr>
        <w:t>巩固脱贫攻坚成果，落实产业、就业、教育、住房、低保兜底等领域扶贫政策，防止返贫现象发生。</w:t>
      </w:r>
      <w:r>
        <w:rPr>
          <w:rFonts w:hint="default" w:ascii="Times New Roman" w:hAnsi="Times New Roman" w:eastAsia="仿宋_GB2312" w:cs="Times New Roman"/>
          <w:b/>
          <w:sz w:val="32"/>
          <w:szCs w:val="32"/>
        </w:rPr>
        <w:t>四是</w:t>
      </w:r>
      <w:r>
        <w:rPr>
          <w:rFonts w:hint="default" w:ascii="Times New Roman" w:hAnsi="Times New Roman" w:eastAsia="仿宋_GB2312" w:cs="Times New Roman"/>
          <w:sz w:val="32"/>
          <w:szCs w:val="32"/>
        </w:rPr>
        <w:t>推动实施乡村振兴战略，建立多元投入机制，全面整合财政涉农资金，加快推进现代特色农业发展。2022年创建乡村振兴先进县资金筹措相关工作。</w:t>
      </w:r>
      <w:r>
        <w:rPr>
          <w:rFonts w:hint="default" w:ascii="Times New Roman" w:hAnsi="Times New Roman" w:eastAsia="仿宋_GB2312" w:cs="Times New Roman"/>
          <w:b/>
          <w:sz w:val="32"/>
          <w:szCs w:val="32"/>
        </w:rPr>
        <w:t>五是</w:t>
      </w:r>
      <w:r>
        <w:rPr>
          <w:rFonts w:hint="default" w:ascii="Times New Roman" w:hAnsi="Times New Roman" w:eastAsia="仿宋_GB2312" w:cs="Times New Roman"/>
          <w:sz w:val="32"/>
          <w:szCs w:val="32"/>
        </w:rPr>
        <w:t>支持做好疫情常态化防控工作，严格落实“外防输入、内防反弹”各项措施，着力抓好重点人群免费接种新冠疫苗工作。</w:t>
      </w:r>
      <w:r>
        <w:rPr>
          <w:rFonts w:hint="default" w:ascii="Times New Roman" w:hAnsi="Times New Roman" w:eastAsia="仿宋_GB2312" w:cs="Times New Roman"/>
          <w:b/>
          <w:sz w:val="32"/>
          <w:szCs w:val="32"/>
        </w:rPr>
        <w:t>六是</w:t>
      </w:r>
      <w:r>
        <w:rPr>
          <w:rFonts w:hint="default" w:ascii="Times New Roman" w:hAnsi="Times New Roman" w:eastAsia="仿宋_GB2312" w:cs="Times New Roman"/>
          <w:sz w:val="32"/>
          <w:szCs w:val="32"/>
        </w:rPr>
        <w:t>积极做好防治减灾救灾及森林草原防灭火相关工作，推动健全森林草原防灭火财政投入稳定保障机制。</w:t>
      </w:r>
      <w:r>
        <w:rPr>
          <w:rFonts w:hint="default" w:ascii="Times New Roman" w:hAnsi="Times New Roman" w:eastAsia="仿宋_GB2312" w:cs="Times New Roman"/>
          <w:b/>
          <w:sz w:val="32"/>
          <w:szCs w:val="32"/>
        </w:rPr>
        <w:t>七是</w:t>
      </w:r>
      <w:r>
        <w:rPr>
          <w:rFonts w:hint="default" w:ascii="Times New Roman" w:hAnsi="Times New Roman" w:eastAsia="仿宋_GB2312" w:cs="Times New Roman"/>
          <w:sz w:val="32"/>
          <w:szCs w:val="32"/>
        </w:rPr>
        <w:t>推进宜居环境建设，支持生态环境治理和人居环境改善。八是积极筹措资金保障“五大会战”“三项行动”工作。</w:t>
      </w:r>
    </w:p>
    <w:p>
      <w:pPr>
        <w:pageBreakBefore w:val="0"/>
        <w:pBdr>
          <w:bottom w:val="single" w:color="FFFFFF" w:sz="4" w:space="31"/>
        </w:pBdr>
        <w:kinsoku/>
        <w:wordWrap/>
        <w:overflowPunct/>
        <w:topLinePunct w:val="0"/>
        <w:bidi w:val="0"/>
        <w:adjustRightInd w:val="0"/>
        <w:snapToGrid w:val="0"/>
        <w:spacing w:line="560" w:lineRule="exact"/>
        <w:ind w:right="210" w:rightChars="100" w:firstLine="630" w:firstLineChars="196"/>
        <w:rPr>
          <w:rFonts w:hint="eastAsia" w:ascii="Times New Roman" w:hAnsi="Times New Roman" w:eastAsia="楷体_GB2312" w:cs="Times New Roman"/>
          <w:b/>
          <w:sz w:val="32"/>
          <w:szCs w:val="32"/>
          <w:lang w:eastAsia="zh-CN"/>
        </w:rPr>
      </w:pPr>
      <w:r>
        <w:rPr>
          <w:rFonts w:hint="default" w:ascii="Times New Roman" w:hAnsi="Times New Roman" w:eastAsia="楷体_GB2312" w:cs="Times New Roman"/>
          <w:b/>
          <w:sz w:val="32"/>
          <w:szCs w:val="32"/>
        </w:rPr>
        <w:t>4、坚守底线，防范化解财政风险</w:t>
      </w:r>
      <w:r>
        <w:rPr>
          <w:rFonts w:hint="eastAsia" w:eastAsia="楷体_GB2312" w:cs="Times New Roman"/>
          <w:b/>
          <w:sz w:val="32"/>
          <w:szCs w:val="32"/>
          <w:lang w:eastAsia="zh-CN"/>
        </w:rPr>
        <w:t>。</w:t>
      </w:r>
    </w:p>
    <w:p>
      <w:pPr>
        <w:pageBreakBefore w:val="0"/>
        <w:pBdr>
          <w:bottom w:val="single" w:color="FFFFFF" w:sz="4" w:space="31"/>
        </w:pBdr>
        <w:kinsoku/>
        <w:wordWrap/>
        <w:overflowPunct/>
        <w:topLinePunct w:val="0"/>
        <w:bidi w:val="0"/>
        <w:adjustRightInd w:val="0"/>
        <w:snapToGrid w:val="0"/>
        <w:spacing w:line="560" w:lineRule="exact"/>
        <w:ind w:right="210" w:rightChars="100" w:firstLine="627" w:firstLineChars="196"/>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始终坚持底线思维，牢固树立风险意识，扎实将各项举措落地落实，牢牢守住不发生系统性、区域性风险底线。</w:t>
      </w:r>
      <w:r>
        <w:rPr>
          <w:rFonts w:hint="default" w:ascii="Times New Roman" w:hAnsi="Times New Roman" w:eastAsia="仿宋_GB2312" w:cs="Times New Roman"/>
          <w:b/>
          <w:sz w:val="32"/>
          <w:szCs w:val="32"/>
        </w:rPr>
        <w:t>一是</w:t>
      </w:r>
      <w:r>
        <w:rPr>
          <w:rFonts w:hint="default" w:ascii="Times New Roman" w:hAnsi="Times New Roman" w:eastAsia="仿宋_GB2312" w:cs="Times New Roman"/>
          <w:sz w:val="32"/>
          <w:szCs w:val="32"/>
        </w:rPr>
        <w:t>重点围绕政府债务和隐性债务、县级“三保”支出保障、基层国库资金运行、政府采购、严肃财经纪律等方面，逐一制定防范化解具体行动方案。</w:t>
      </w:r>
      <w:r>
        <w:rPr>
          <w:rFonts w:hint="default" w:ascii="Times New Roman" w:hAnsi="Times New Roman" w:eastAsia="仿宋_GB2312" w:cs="Times New Roman"/>
          <w:b/>
          <w:sz w:val="32"/>
          <w:szCs w:val="32"/>
        </w:rPr>
        <w:t>二是</w:t>
      </w:r>
      <w:r>
        <w:rPr>
          <w:rFonts w:hint="default" w:ascii="Times New Roman" w:hAnsi="Times New Roman" w:eastAsia="仿宋_GB2312" w:cs="Times New Roman"/>
          <w:sz w:val="32"/>
          <w:szCs w:val="32"/>
        </w:rPr>
        <w:t>加强政府债务管理工作，落实各项化债措施，切实做到化债任务明确，化债思路清晰，化债措施有效。三是加强库款运行调度监测，完善库款运行动态监控机制，扎实推进防范化解基层国库资金运行风险两年行动，加快清理消化财政暂付款。</w:t>
      </w:r>
    </w:p>
    <w:p>
      <w:pPr>
        <w:pageBreakBefore w:val="0"/>
        <w:pBdr>
          <w:bottom w:val="single" w:color="FFFFFF" w:sz="4" w:space="31"/>
        </w:pBdr>
        <w:kinsoku/>
        <w:wordWrap/>
        <w:overflowPunct/>
        <w:topLinePunct w:val="0"/>
        <w:bidi w:val="0"/>
        <w:adjustRightInd w:val="0"/>
        <w:snapToGrid w:val="0"/>
        <w:spacing w:line="560" w:lineRule="exact"/>
        <w:ind w:right="210" w:rightChars="100" w:firstLine="630" w:firstLineChars="196"/>
        <w:rPr>
          <w:rFonts w:hint="eastAsia" w:ascii="Times New Roman" w:hAnsi="Times New Roman" w:eastAsia="楷体_GB2312" w:cs="Times New Roman"/>
          <w:b/>
          <w:sz w:val="32"/>
          <w:szCs w:val="32"/>
          <w:lang w:eastAsia="zh-CN"/>
        </w:rPr>
      </w:pPr>
      <w:r>
        <w:rPr>
          <w:rFonts w:hint="default" w:ascii="Times New Roman" w:hAnsi="Times New Roman" w:eastAsia="楷体_GB2312" w:cs="Times New Roman"/>
          <w:b/>
          <w:sz w:val="32"/>
          <w:szCs w:val="32"/>
        </w:rPr>
        <w:t>5、突出关键，持续推进财税体制改革</w:t>
      </w:r>
      <w:r>
        <w:rPr>
          <w:rFonts w:hint="eastAsia" w:eastAsia="楷体_GB2312" w:cs="Times New Roman"/>
          <w:b/>
          <w:sz w:val="32"/>
          <w:szCs w:val="32"/>
          <w:lang w:eastAsia="zh-CN"/>
        </w:rPr>
        <w:t>。</w:t>
      </w:r>
    </w:p>
    <w:p>
      <w:pPr>
        <w:pageBreakBefore w:val="0"/>
        <w:pBdr>
          <w:bottom w:val="single" w:color="FFFFFF" w:sz="4" w:space="31"/>
        </w:pBdr>
        <w:kinsoku/>
        <w:wordWrap/>
        <w:overflowPunct/>
        <w:topLinePunct w:val="0"/>
        <w:bidi w:val="0"/>
        <w:adjustRightInd w:val="0"/>
        <w:snapToGrid w:val="0"/>
        <w:spacing w:line="560" w:lineRule="exact"/>
        <w:ind w:right="210" w:rightChars="100" w:firstLine="630" w:firstLineChars="196"/>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一是</w:t>
      </w:r>
      <w:r>
        <w:rPr>
          <w:rFonts w:hint="default" w:ascii="Times New Roman" w:hAnsi="Times New Roman" w:eastAsia="仿宋_GB2312" w:cs="Times New Roman"/>
          <w:sz w:val="32"/>
          <w:szCs w:val="32"/>
        </w:rPr>
        <w:t>不断完善预算管理制度，加强收入统筹，规范支出管理，完善全口径政府预算管理体系；科学编制中期财政规划，健全三年滚动实施预算项目库，提高财政规划的计划性和预见性；强化预算控制和约束，推进预算管理一体化改革，加快建立全面规范透明、标准科学、约束有力的现代预算制度。</w:t>
      </w:r>
      <w:r>
        <w:rPr>
          <w:rFonts w:hint="default" w:ascii="Times New Roman" w:hAnsi="Times New Roman" w:eastAsia="仿宋_GB2312" w:cs="Times New Roman"/>
          <w:b/>
          <w:sz w:val="32"/>
          <w:szCs w:val="32"/>
        </w:rPr>
        <w:t>二是</w:t>
      </w:r>
      <w:r>
        <w:rPr>
          <w:rFonts w:hint="default" w:ascii="Times New Roman" w:hAnsi="Times New Roman" w:eastAsia="仿宋_GB2312" w:cs="Times New Roman"/>
          <w:sz w:val="32"/>
          <w:szCs w:val="32"/>
        </w:rPr>
        <w:t>深化预算绩效管理改革，加快实现绩效与预算一体化融合，全面实施绩效动态监控，优化全过程绩效结果应用机制，出台绩效结果与预算挂钩细则。</w:t>
      </w:r>
      <w:r>
        <w:rPr>
          <w:rFonts w:hint="default" w:ascii="Times New Roman" w:hAnsi="Times New Roman" w:eastAsia="仿宋_GB2312" w:cs="Times New Roman"/>
          <w:b/>
          <w:sz w:val="32"/>
          <w:szCs w:val="32"/>
        </w:rPr>
        <w:t>三是</w:t>
      </w:r>
      <w:r>
        <w:rPr>
          <w:rFonts w:hint="default" w:ascii="Times New Roman" w:hAnsi="Times New Roman" w:eastAsia="仿宋_GB2312" w:cs="Times New Roman"/>
          <w:sz w:val="32"/>
          <w:szCs w:val="32"/>
        </w:rPr>
        <w:t>提升财政投资评审质量，提高评审项目范围、规模和标准，进一步压减预算（控制价）评审时限，加强助审机构库管理，推进财政投资评审提质提效。</w:t>
      </w:r>
      <w:r>
        <w:rPr>
          <w:rFonts w:hint="default" w:ascii="Times New Roman" w:hAnsi="Times New Roman" w:eastAsia="仿宋_GB2312" w:cs="Times New Roman"/>
          <w:b/>
          <w:sz w:val="32"/>
          <w:szCs w:val="32"/>
        </w:rPr>
        <w:t>四是</w:t>
      </w:r>
      <w:r>
        <w:rPr>
          <w:rFonts w:hint="default" w:ascii="Times New Roman" w:hAnsi="Times New Roman" w:eastAsia="仿宋_GB2312" w:cs="Times New Roman"/>
          <w:sz w:val="32"/>
          <w:szCs w:val="32"/>
        </w:rPr>
        <w:t>优化政府购买服务管理，明确政府购买服务实施范围，落实政府购买服务绩效评价，提高公共服务质量和水平。</w:t>
      </w:r>
    </w:p>
    <w:p>
      <w:pPr>
        <w:pageBreakBefore w:val="0"/>
        <w:pBdr>
          <w:bottom w:val="single" w:color="FFFFFF" w:sz="4" w:space="31"/>
        </w:pBdr>
        <w:kinsoku/>
        <w:wordWrap/>
        <w:overflowPunct/>
        <w:topLinePunct w:val="0"/>
        <w:bidi w:val="0"/>
        <w:adjustRightInd w:val="0"/>
        <w:snapToGrid w:val="0"/>
        <w:spacing w:line="560" w:lineRule="exact"/>
        <w:ind w:right="210" w:rightChars="100" w:firstLine="630" w:firstLineChars="196"/>
        <w:rPr>
          <w:rFonts w:hint="eastAsia" w:ascii="Times New Roman" w:hAnsi="Times New Roman" w:eastAsia="楷体_GB2312" w:cs="Times New Roman"/>
          <w:b/>
          <w:sz w:val="32"/>
          <w:szCs w:val="32"/>
          <w:lang w:eastAsia="zh-CN"/>
        </w:rPr>
      </w:pPr>
      <w:r>
        <w:rPr>
          <w:rFonts w:hint="default" w:ascii="Times New Roman" w:hAnsi="Times New Roman" w:eastAsia="楷体_GB2312" w:cs="Times New Roman"/>
          <w:b/>
          <w:sz w:val="32"/>
          <w:szCs w:val="32"/>
        </w:rPr>
        <w:t>6、积极谋划，高质量编制好财政“十四五”规划</w:t>
      </w:r>
      <w:r>
        <w:rPr>
          <w:rFonts w:hint="eastAsia" w:eastAsia="楷体_GB2312" w:cs="Times New Roman"/>
          <w:b/>
          <w:sz w:val="32"/>
          <w:szCs w:val="32"/>
          <w:lang w:eastAsia="zh-CN"/>
        </w:rPr>
        <w:t>。</w:t>
      </w:r>
    </w:p>
    <w:p>
      <w:pPr>
        <w:pageBreakBefore w:val="0"/>
        <w:pBdr>
          <w:bottom w:val="single" w:color="FFFFFF" w:sz="4" w:space="31"/>
        </w:pBdr>
        <w:kinsoku/>
        <w:wordWrap/>
        <w:overflowPunct/>
        <w:topLinePunct w:val="0"/>
        <w:bidi w:val="0"/>
        <w:adjustRightInd w:val="0"/>
        <w:snapToGrid w:val="0"/>
        <w:spacing w:line="560" w:lineRule="exact"/>
        <w:ind w:right="210" w:rightChars="100" w:firstLine="627" w:firstLineChars="196"/>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切实把思想统一到中央、省、市、区对经济和社会发展的正确判断上来，牢牢树立上下“一盘棋”思想，积极对接和关注上级财政规划编制方向、要求和内容，要与上级财政“十四五”规划、全区国民经济和社会发展“十四五”规划紧密衔接，认真谋篇布局、细化部署落实，把握好重点与全局、短期与长远的关系，切实提高规划编制的准确性、科学性、有效性。</w:t>
      </w:r>
    </w:p>
    <w:p>
      <w:pPr>
        <w:pageBreakBefore w:val="0"/>
        <w:numPr>
          <w:ilvl w:val="0"/>
          <w:numId w:val="3"/>
        </w:numPr>
        <w:pBdr>
          <w:bottom w:val="single" w:color="FFFFFF" w:sz="4" w:space="31"/>
        </w:pBdr>
        <w:kinsoku/>
        <w:wordWrap/>
        <w:overflowPunct/>
        <w:topLinePunct w:val="0"/>
        <w:bidi w:val="0"/>
        <w:adjustRightInd w:val="0"/>
        <w:snapToGrid w:val="0"/>
        <w:spacing w:line="560" w:lineRule="exact"/>
        <w:ind w:right="210" w:rightChars="100" w:firstLine="630" w:firstLineChars="196"/>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严肃纪律，依法规范财政管理监督</w:t>
      </w:r>
      <w:r>
        <w:rPr>
          <w:rFonts w:hint="eastAsia" w:eastAsia="楷体_GB2312" w:cs="Times New Roman"/>
          <w:b/>
          <w:sz w:val="32"/>
          <w:szCs w:val="32"/>
          <w:lang w:eastAsia="zh-CN"/>
        </w:rPr>
        <w:t>。</w:t>
      </w:r>
    </w:p>
    <w:p>
      <w:pPr>
        <w:pageBreakBefore w:val="0"/>
        <w:numPr>
          <w:ilvl w:val="0"/>
          <w:numId w:val="0"/>
        </w:numPr>
        <w:pBdr>
          <w:bottom w:val="single" w:color="FFFFFF" w:sz="4" w:space="31"/>
        </w:pBdr>
        <w:kinsoku/>
        <w:wordWrap/>
        <w:overflowPunct/>
        <w:topLinePunct w:val="0"/>
        <w:bidi w:val="0"/>
        <w:adjustRightInd w:val="0"/>
        <w:snapToGrid w:val="0"/>
        <w:spacing w:line="560" w:lineRule="exact"/>
        <w:ind w:right="210" w:rightChars="100" w:firstLine="643"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sz w:val="32"/>
          <w:szCs w:val="32"/>
        </w:rPr>
        <w:t>一是</w:t>
      </w:r>
      <w:r>
        <w:rPr>
          <w:rFonts w:hint="default" w:ascii="Times New Roman" w:hAnsi="Times New Roman" w:eastAsia="仿宋_GB2312" w:cs="Times New Roman"/>
          <w:sz w:val="32"/>
          <w:szCs w:val="32"/>
        </w:rPr>
        <w:t>深入学习贯彻习近平法治思想，认真谋划推进财政“八五”普法工作。</w:t>
      </w:r>
      <w:r>
        <w:rPr>
          <w:rFonts w:hint="default" w:ascii="Times New Roman" w:hAnsi="Times New Roman" w:eastAsia="仿宋_GB2312" w:cs="Times New Roman"/>
          <w:b/>
          <w:sz w:val="32"/>
          <w:szCs w:val="32"/>
        </w:rPr>
        <w:t>二是</w:t>
      </w:r>
      <w:r>
        <w:rPr>
          <w:rFonts w:hint="default" w:ascii="Times New Roman" w:hAnsi="Times New Roman" w:eastAsia="仿宋_GB2312" w:cs="Times New Roman"/>
          <w:sz w:val="32"/>
          <w:szCs w:val="32"/>
        </w:rPr>
        <w:t>认真履行出资人职责，加强国有资本管理。三是开展2022年度专项资金重点绩效评价和严肃财经纪律及财务管理风险排查工作。四</w:t>
      </w:r>
      <w:r>
        <w:rPr>
          <w:rFonts w:hint="default" w:ascii="Times New Roman" w:hAnsi="Times New Roman" w:eastAsia="仿宋_GB2312" w:cs="Times New Roman"/>
          <w:b/>
          <w:sz w:val="32"/>
          <w:szCs w:val="32"/>
        </w:rPr>
        <w:t>是</w:t>
      </w:r>
      <w:r>
        <w:rPr>
          <w:rFonts w:hint="default" w:ascii="Times New Roman" w:hAnsi="Times New Roman" w:eastAsia="仿宋_GB2312" w:cs="Times New Roman"/>
          <w:sz w:val="32"/>
          <w:szCs w:val="32"/>
        </w:rPr>
        <w:t>进一步强化财政监督，做好财会监督与党内监督以及其他各类监督的贯通协同，严肃查处违法违纪违规行为。五是开展直达资</w:t>
      </w:r>
      <w:r>
        <w:rPr>
          <w:rFonts w:hint="default" w:ascii="Times New Roman" w:hAnsi="Times New Roman" w:eastAsia="仿宋_GB2312" w:cs="Times New Roman"/>
          <w:sz w:val="32"/>
          <w:szCs w:val="32"/>
          <w:highlight w:val="none"/>
        </w:rPr>
        <w:t>金监控系统指标分配下达、支付关联工作，并督促项目单位加快直达资金的支付进度。</w:t>
      </w:r>
    </w:p>
    <w:p>
      <w:pPr>
        <w:pageBreakBefore w:val="0"/>
        <w:numPr>
          <w:ilvl w:val="0"/>
          <w:numId w:val="0"/>
        </w:numPr>
        <w:pBdr>
          <w:bottom w:val="single" w:color="FFFFFF" w:sz="4" w:space="31"/>
        </w:pBdr>
        <w:kinsoku/>
        <w:wordWrap/>
        <w:overflowPunct/>
        <w:topLinePunct w:val="0"/>
        <w:bidi w:val="0"/>
        <w:adjustRightInd w:val="0"/>
        <w:snapToGrid w:val="0"/>
        <w:spacing w:line="560" w:lineRule="exact"/>
        <w:ind w:right="210" w:rightChars="100" w:firstLine="643" w:firstLineChars="200"/>
        <w:rPr>
          <w:rFonts w:hint="default" w:ascii="Times New Roman" w:hAnsi="Times New Roman" w:eastAsia="楷体_GB2312" w:cs="Times New Roman"/>
          <w:b/>
          <w:color w:val="auto"/>
          <w:sz w:val="32"/>
          <w:szCs w:val="24"/>
          <w:lang w:val="zh-CN"/>
        </w:rPr>
      </w:pPr>
      <w:r>
        <w:rPr>
          <w:rFonts w:hint="default" w:ascii="Times New Roman" w:hAnsi="Times New Roman" w:eastAsia="楷体_GB2312" w:cs="Times New Roman"/>
          <w:b/>
          <w:color w:val="auto"/>
          <w:sz w:val="32"/>
          <w:szCs w:val="24"/>
          <w:lang w:val="en-US" w:eastAsia="zh-CN"/>
        </w:rPr>
        <w:t>（四）</w:t>
      </w:r>
      <w:r>
        <w:rPr>
          <w:rFonts w:hint="default" w:ascii="Times New Roman" w:hAnsi="Times New Roman" w:eastAsia="楷体_GB2312" w:cs="Times New Roman"/>
          <w:b/>
          <w:color w:val="auto"/>
          <w:sz w:val="32"/>
          <w:szCs w:val="24"/>
          <w:lang w:val="zh-CN"/>
        </w:rPr>
        <w:t>部门整体支出绩效目标。</w:t>
      </w:r>
    </w:p>
    <w:p>
      <w:pPr>
        <w:pageBreakBefore w:val="0"/>
        <w:numPr>
          <w:ilvl w:val="0"/>
          <w:numId w:val="0"/>
        </w:numPr>
        <w:pBdr>
          <w:bottom w:val="single" w:color="FFFFFF" w:sz="4" w:space="31"/>
        </w:pBdr>
        <w:kinsoku/>
        <w:wordWrap/>
        <w:overflowPunct/>
        <w:topLinePunct w:val="0"/>
        <w:bidi w:val="0"/>
        <w:adjustRightInd w:val="0"/>
        <w:snapToGrid w:val="0"/>
        <w:spacing w:line="560" w:lineRule="exact"/>
        <w:ind w:right="210" w:rightChars="100"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kern w:val="0"/>
          <w:sz w:val="32"/>
          <w:szCs w:val="32"/>
          <w:shd w:val="clear" w:color="auto" w:fill="FFFFFF"/>
          <w:lang w:val="zh-CN"/>
        </w:rPr>
        <w:t>2022年攀枝花市仁和区财政局部门</w:t>
      </w:r>
      <w:r>
        <w:rPr>
          <w:rFonts w:hint="default" w:ascii="Times New Roman" w:hAnsi="Times New Roman" w:eastAsia="仿宋_GB2312" w:cs="Times New Roman"/>
          <w:sz w:val="32"/>
          <w:szCs w:val="32"/>
        </w:rPr>
        <w:t>整体支出、部门通用项目和专用项目均按要求实行绩效目标管理</w:t>
      </w:r>
      <w:r>
        <w:rPr>
          <w:rFonts w:hint="default" w:ascii="Times New Roman" w:hAnsi="Times New Roman" w:eastAsia="仿宋_GB2312" w:cs="Times New Roman"/>
          <w:sz w:val="32"/>
          <w:szCs w:val="32"/>
          <w:lang w:eastAsia="zh-CN"/>
        </w:rPr>
        <w:t>，部门</w:t>
      </w:r>
      <w:r>
        <w:rPr>
          <w:rFonts w:hint="default" w:ascii="Times New Roman" w:hAnsi="Times New Roman" w:eastAsia="仿宋_GB2312" w:cs="Times New Roman"/>
          <w:kern w:val="0"/>
          <w:sz w:val="32"/>
          <w:szCs w:val="32"/>
          <w:shd w:val="clear" w:color="auto" w:fill="FFFFFF"/>
          <w:lang w:val="zh-CN"/>
        </w:rPr>
        <w:t>整体支出绩效自查自评结果良好，全年贯彻落实过紧日子的要求，严格执行相关政策，保障工资及时发放、足额发放，预算编制科学合理，严格执行预算，减少结余资金。公用支出保障单位日常运转，项目支出保障了重点工作的运行</w:t>
      </w:r>
      <w:r>
        <w:rPr>
          <w:rFonts w:hint="default" w:ascii="Times New Roman" w:hAnsi="Times New Roman" w:eastAsia="仿宋_GB2312" w:cs="Times New Roman"/>
          <w:sz w:val="32"/>
          <w:szCs w:val="32"/>
        </w:rPr>
        <w:t>。</w:t>
      </w:r>
      <w:r>
        <w:rPr>
          <w:rFonts w:hint="default" w:ascii="Times New Roman" w:hAnsi="Times New Roman" w:eastAsia="仿宋_GB2312" w:cs="Times New Roman"/>
          <w:kern w:val="0"/>
          <w:sz w:val="32"/>
          <w:szCs w:val="32"/>
          <w:shd w:val="clear" w:color="auto" w:fill="FFFFFF"/>
          <w:lang w:val="zh-CN"/>
        </w:rPr>
        <w:t>“三公经费”控制率</w:t>
      </w:r>
      <w:r>
        <w:rPr>
          <w:rFonts w:hint="default" w:ascii="Times New Roman" w:hAnsi="Times New Roman" w:eastAsia="仿宋_GB2312" w:cs="Times New Roman"/>
          <w:kern w:val="0"/>
          <w:sz w:val="32"/>
          <w:szCs w:val="32"/>
          <w:shd w:val="clear" w:color="auto" w:fill="FFFFFF"/>
          <w:lang w:val="en-US" w:eastAsia="zh-CN"/>
        </w:rPr>
        <w:t>37</w:t>
      </w:r>
      <w:r>
        <w:rPr>
          <w:rFonts w:hint="default" w:ascii="Times New Roman" w:hAnsi="Times New Roman" w:eastAsia="仿宋_GB2312" w:cs="Times New Roman"/>
          <w:kern w:val="0"/>
          <w:sz w:val="32"/>
          <w:szCs w:val="32"/>
          <w:shd w:val="clear" w:color="auto" w:fill="FFFFFF"/>
          <w:lang w:val="zh-CN"/>
        </w:rPr>
        <w:t>%，公务接待经费结余</w:t>
      </w:r>
      <w:r>
        <w:rPr>
          <w:rFonts w:hint="default" w:ascii="Times New Roman" w:hAnsi="Times New Roman" w:eastAsia="仿宋_GB2312" w:cs="Times New Roman"/>
          <w:kern w:val="0"/>
          <w:sz w:val="32"/>
          <w:szCs w:val="32"/>
          <w:shd w:val="clear" w:color="auto" w:fill="FFFFFF"/>
          <w:lang w:val="en-US" w:eastAsia="zh-CN"/>
        </w:rPr>
        <w:t>63%</w:t>
      </w:r>
      <w:r>
        <w:rPr>
          <w:rFonts w:hint="default" w:ascii="Times New Roman" w:hAnsi="Times New Roman" w:eastAsia="仿宋_GB2312" w:cs="Times New Roman"/>
          <w:kern w:val="0"/>
          <w:sz w:val="32"/>
          <w:szCs w:val="32"/>
          <w:shd w:val="clear" w:color="auto" w:fill="FFFFFF"/>
          <w:lang w:val="zh-CN"/>
        </w:rPr>
        <w:t>；部门整体预算执行率较高，机关落实过紧日子的要求，按时支付日常公用经费，执行公务卡结算，严控会议、培训、差旅等公务事项审批，加强内部控制管理，开展能耗分析，节约水电费，各项公用经费得到了大幅压减。</w:t>
      </w:r>
      <w:r>
        <w:rPr>
          <w:rFonts w:hint="default" w:ascii="Times New Roman" w:hAnsi="Times New Roman" w:eastAsia="仿宋_GB2312" w:cs="Times New Roman"/>
          <w:color w:val="000000"/>
          <w:sz w:val="32"/>
          <w:szCs w:val="32"/>
          <w:lang w:eastAsia="zh-CN"/>
        </w:rPr>
        <w:t>合理</w:t>
      </w:r>
      <w:r>
        <w:rPr>
          <w:rFonts w:hint="default" w:ascii="Times New Roman" w:hAnsi="Times New Roman" w:eastAsia="仿宋_GB2312" w:cs="Times New Roman"/>
          <w:color w:val="000000"/>
          <w:sz w:val="32"/>
          <w:szCs w:val="32"/>
        </w:rPr>
        <w:t>安排各个项目资金的执行进度，2022年预算支出全部按期完成</w:t>
      </w:r>
      <w:r>
        <w:rPr>
          <w:rFonts w:hint="default" w:ascii="Times New Roman" w:hAnsi="Times New Roman" w:eastAsia="仿宋_GB2312" w:cs="Times New Roman"/>
          <w:color w:val="000000"/>
          <w:sz w:val="32"/>
          <w:szCs w:val="32"/>
          <w:lang w:eastAsia="zh-CN"/>
        </w:rPr>
        <w:t>的</w:t>
      </w:r>
      <w:r>
        <w:rPr>
          <w:rFonts w:hint="default" w:ascii="Times New Roman" w:hAnsi="Times New Roman" w:eastAsia="仿宋_GB2312" w:cs="Times New Roman"/>
          <w:color w:val="000000"/>
          <w:sz w:val="32"/>
          <w:szCs w:val="32"/>
        </w:rPr>
        <w:t>项目有</w:t>
      </w:r>
      <w:r>
        <w:rPr>
          <w:rFonts w:hint="default" w:ascii="Times New Roman" w:hAnsi="Times New Roman" w:eastAsia="仿宋_GB2312" w:cs="Times New Roman"/>
          <w:color w:val="000000"/>
          <w:sz w:val="32"/>
          <w:szCs w:val="32"/>
          <w:lang w:eastAsia="zh-CN"/>
        </w:rPr>
        <w:t>债务</w:t>
      </w:r>
      <w:r>
        <w:rPr>
          <w:rFonts w:hint="default" w:ascii="Times New Roman" w:hAnsi="Times New Roman" w:eastAsia="仿宋_GB2312" w:cs="Times New Roman"/>
          <w:color w:val="000000"/>
          <w:sz w:val="32"/>
          <w:szCs w:val="32"/>
        </w:rPr>
        <w:t>监测平台维护费</w:t>
      </w:r>
      <w:r>
        <w:rPr>
          <w:rFonts w:hint="default" w:ascii="Times New Roman" w:hAnsi="Times New Roman" w:eastAsia="仿宋_GB2312" w:cs="Times New Roman"/>
          <w:kern w:val="0"/>
          <w:sz w:val="32"/>
          <w:szCs w:val="32"/>
          <w:shd w:val="clear" w:color="auto" w:fill="FFFFFF"/>
          <w:lang w:val="zh-CN"/>
        </w:rPr>
        <w:t>、非税收入收缴系统软件维护费、</w:t>
      </w:r>
      <w:r>
        <w:rPr>
          <w:rFonts w:hint="default" w:ascii="Times New Roman" w:hAnsi="Times New Roman" w:eastAsia="仿宋_GB2312" w:cs="Times New Roman"/>
          <w:sz w:val="32"/>
          <w:szCs w:val="32"/>
        </w:rPr>
        <w:t>资产管理信息系统软件运行维护经费</w:t>
      </w:r>
      <w:r>
        <w:rPr>
          <w:rFonts w:hint="default" w:ascii="Times New Roman" w:hAnsi="Times New Roman" w:eastAsia="仿宋_GB2312" w:cs="Times New Roman"/>
          <w:sz w:val="32"/>
          <w:szCs w:val="32"/>
          <w:lang w:eastAsia="zh-CN"/>
        </w:rPr>
        <w:t>、委托代理记账服务费、财政网络及信息化设备运行维护保障服务费</w:t>
      </w:r>
      <w:r>
        <w:rPr>
          <w:rFonts w:hint="default" w:ascii="Times New Roman" w:hAnsi="Times New Roman" w:eastAsia="仿宋_GB2312" w:cs="Times New Roman"/>
          <w:color w:val="000000"/>
          <w:sz w:val="32"/>
          <w:szCs w:val="32"/>
        </w:rPr>
        <w:t>。压减了</w:t>
      </w:r>
      <w:r>
        <w:rPr>
          <w:rFonts w:hint="default" w:ascii="Times New Roman" w:hAnsi="Times New Roman" w:eastAsia="仿宋_GB2312" w:cs="Times New Roman"/>
          <w:sz w:val="32"/>
          <w:szCs w:val="32"/>
          <w:lang w:eastAsia="zh-CN"/>
        </w:rPr>
        <w:t>用友A++财务软件账套运行维护服务费、</w:t>
      </w:r>
      <w:r>
        <w:rPr>
          <w:rFonts w:hint="default" w:ascii="Times New Roman" w:hAnsi="Times New Roman" w:eastAsia="仿宋_GB2312" w:cs="Times New Roman"/>
          <w:kern w:val="0"/>
          <w:sz w:val="32"/>
          <w:szCs w:val="32"/>
          <w:shd w:val="clear" w:color="auto" w:fill="FFFFFF"/>
          <w:lang w:val="zh-CN"/>
        </w:rPr>
        <w:t>博思电子票据管理系统V1.0维护费、一体化系统建设运行维护管理经费、政府投资项目评审费及项目结算审核费四个项目经费，使得</w:t>
      </w:r>
      <w:r>
        <w:rPr>
          <w:rFonts w:hint="default" w:ascii="Times New Roman" w:hAnsi="Times New Roman" w:eastAsia="仿宋_GB2312" w:cs="Times New Roman"/>
          <w:color w:val="000000"/>
          <w:sz w:val="32"/>
          <w:szCs w:val="32"/>
        </w:rPr>
        <w:t>财政资金使用效益不断提高。</w:t>
      </w:r>
    </w:p>
    <w:p>
      <w:pPr>
        <w:pageBreakBefore w:val="0"/>
        <w:numPr>
          <w:ilvl w:val="0"/>
          <w:numId w:val="4"/>
        </w:numPr>
        <w:pBdr>
          <w:bottom w:val="single" w:color="FFFFFF" w:sz="4" w:space="31"/>
        </w:pBdr>
        <w:kinsoku/>
        <w:wordWrap/>
        <w:overflowPunct/>
        <w:topLinePunct w:val="0"/>
        <w:bidi w:val="0"/>
        <w:adjustRightInd w:val="0"/>
        <w:snapToGrid w:val="0"/>
        <w:spacing w:line="560" w:lineRule="exact"/>
        <w:ind w:right="210" w:rightChars="100" w:firstLine="640" w:firstLineChars="200"/>
        <w:rPr>
          <w:rFonts w:hint="default" w:ascii="Times New Roman" w:hAnsi="Times New Roman" w:eastAsia="黑体" w:cs="Times New Roman"/>
          <w:sz w:val="32"/>
          <w:szCs w:val="32"/>
          <w:lang w:val="en-US"/>
        </w:rPr>
      </w:pPr>
      <w:r>
        <w:rPr>
          <w:rFonts w:hint="default" w:ascii="Times New Roman" w:hAnsi="Times New Roman" w:eastAsia="黑体" w:cs="Times New Roman"/>
          <w:sz w:val="32"/>
          <w:szCs w:val="32"/>
          <w:lang w:val="en-US"/>
        </w:rPr>
        <w:t>部门资金收支情况</w:t>
      </w:r>
    </w:p>
    <w:p>
      <w:pPr>
        <w:pageBreakBefore w:val="0"/>
        <w:numPr>
          <w:ilvl w:val="0"/>
          <w:numId w:val="5"/>
        </w:numPr>
        <w:pBdr>
          <w:bottom w:val="single" w:color="FFFFFF" w:sz="4" w:space="31"/>
        </w:pBdr>
        <w:kinsoku/>
        <w:wordWrap/>
        <w:overflowPunct/>
        <w:topLinePunct w:val="0"/>
        <w:bidi w:val="0"/>
        <w:adjustRightInd w:val="0"/>
        <w:snapToGrid w:val="0"/>
        <w:spacing w:line="560" w:lineRule="exact"/>
        <w:ind w:right="210" w:rightChars="100" w:firstLine="643" w:firstLineChars="200"/>
        <w:rPr>
          <w:rFonts w:hint="default" w:ascii="Times New Roman" w:hAnsi="Times New Roman" w:eastAsia="仿宋_GB2312" w:cs="Times New Roman"/>
          <w:b/>
          <w:bCs/>
          <w:sz w:val="32"/>
          <w:szCs w:val="32"/>
          <w:lang w:val="zh-CN"/>
        </w:rPr>
      </w:pPr>
      <w:r>
        <w:rPr>
          <w:rFonts w:hint="default" w:ascii="Times New Roman" w:hAnsi="Times New Roman" w:eastAsia="仿宋_GB2312" w:cs="Times New Roman"/>
          <w:b/>
          <w:bCs/>
          <w:sz w:val="32"/>
          <w:szCs w:val="32"/>
          <w:lang w:val="zh-CN"/>
        </w:rPr>
        <w:t>部门总体收支情况。</w:t>
      </w:r>
    </w:p>
    <w:p>
      <w:pPr>
        <w:pageBreakBefore w:val="0"/>
        <w:numPr>
          <w:ilvl w:val="0"/>
          <w:numId w:val="0"/>
        </w:numPr>
        <w:pBdr>
          <w:bottom w:val="single" w:color="FFFFFF" w:sz="4" w:space="31"/>
        </w:pBdr>
        <w:kinsoku/>
        <w:wordWrap/>
        <w:overflowPunct/>
        <w:topLinePunct w:val="0"/>
        <w:bidi w:val="0"/>
        <w:adjustRightInd w:val="0"/>
        <w:snapToGrid w:val="0"/>
        <w:spacing w:line="560" w:lineRule="exact"/>
        <w:ind w:right="210" w:rightChars="100" w:firstLine="640" w:firstLineChars="200"/>
        <w:rPr>
          <w:rFonts w:hint="default" w:ascii="Times New Roman" w:hAnsi="Times New Roman" w:eastAsia="仿宋_GB2312" w:cs="Times New Roman"/>
          <w:sz w:val="32"/>
          <w:szCs w:val="32"/>
          <w:lang w:val="en-US"/>
        </w:rPr>
      </w:pPr>
      <w:r>
        <w:rPr>
          <w:rFonts w:hint="eastAsia" w:eastAsia="仿宋_GB2312" w:cs="Times New Roman"/>
          <w:sz w:val="32"/>
          <w:szCs w:val="32"/>
          <w:lang w:val="en-US" w:eastAsia="zh-CN"/>
        </w:rPr>
        <w:t>1.</w:t>
      </w:r>
      <w:r>
        <w:rPr>
          <w:rFonts w:hint="default" w:ascii="Times New Roman" w:hAnsi="Times New Roman" w:eastAsia="仿宋_GB2312" w:cs="Times New Roman"/>
          <w:sz w:val="32"/>
          <w:szCs w:val="32"/>
          <w:lang w:val="en-US"/>
        </w:rPr>
        <w:t>部门总体收入情况</w:t>
      </w:r>
    </w:p>
    <w:p>
      <w:pPr>
        <w:pageBreakBefore w:val="0"/>
        <w:numPr>
          <w:ilvl w:val="0"/>
          <w:numId w:val="0"/>
        </w:numPr>
        <w:pBdr>
          <w:bottom w:val="single" w:color="FFFFFF" w:sz="4" w:space="31"/>
        </w:pBdr>
        <w:kinsoku/>
        <w:wordWrap/>
        <w:overflowPunct/>
        <w:topLinePunct w:val="0"/>
        <w:bidi w:val="0"/>
        <w:adjustRightInd w:val="0"/>
        <w:snapToGrid w:val="0"/>
        <w:spacing w:line="560" w:lineRule="exact"/>
        <w:ind w:right="210" w:rightChars="100" w:firstLine="640" w:firstLineChars="200"/>
        <w:rPr>
          <w:rFonts w:hint="default" w:ascii="Times New Roman" w:hAnsi="Times New Roman" w:eastAsia="仿宋_GB2312" w:cs="Times New Roman"/>
          <w:kern w:val="0"/>
          <w:sz w:val="32"/>
          <w:szCs w:val="32"/>
          <w:shd w:val="clear" w:color="auto" w:fill="FFFFFF"/>
          <w:lang w:val="zh-CN"/>
        </w:rPr>
      </w:pPr>
      <w:r>
        <w:rPr>
          <w:rFonts w:hint="default" w:ascii="Times New Roman" w:hAnsi="Times New Roman" w:eastAsia="仿宋_GB2312" w:cs="Times New Roman"/>
          <w:kern w:val="0"/>
          <w:sz w:val="32"/>
          <w:szCs w:val="32"/>
          <w:shd w:val="clear" w:color="auto" w:fill="FFFFFF"/>
          <w:lang w:val="zh-CN"/>
        </w:rPr>
        <w:t>2022年决算收入总计</w:t>
      </w:r>
      <w:r>
        <w:rPr>
          <w:rFonts w:hint="default" w:ascii="Times New Roman" w:hAnsi="Times New Roman" w:eastAsia="仿宋_GB2312" w:cs="Times New Roman"/>
          <w:kern w:val="0"/>
          <w:sz w:val="32"/>
          <w:szCs w:val="32"/>
          <w:shd w:val="clear" w:color="auto" w:fill="FFFFFF"/>
          <w:lang w:val="en-US" w:eastAsia="zh-CN"/>
        </w:rPr>
        <w:t>1761.07</w:t>
      </w:r>
      <w:r>
        <w:rPr>
          <w:rFonts w:hint="default" w:ascii="Times New Roman" w:hAnsi="Times New Roman" w:eastAsia="仿宋_GB2312" w:cs="Times New Roman"/>
          <w:kern w:val="0"/>
          <w:sz w:val="32"/>
          <w:szCs w:val="32"/>
          <w:shd w:val="clear" w:color="auto" w:fill="FFFFFF"/>
          <w:lang w:val="zh-CN"/>
        </w:rPr>
        <w:t>万元，其中：一般公共预算财政拨款收入</w:t>
      </w:r>
      <w:r>
        <w:rPr>
          <w:rFonts w:hint="default" w:ascii="Times New Roman" w:hAnsi="Times New Roman" w:eastAsia="仿宋_GB2312" w:cs="Times New Roman"/>
          <w:kern w:val="0"/>
          <w:sz w:val="32"/>
          <w:szCs w:val="32"/>
          <w:shd w:val="clear" w:color="auto" w:fill="FFFFFF"/>
          <w:lang w:val="en-US" w:eastAsia="zh-CN"/>
        </w:rPr>
        <w:t>1541.51</w:t>
      </w:r>
      <w:r>
        <w:rPr>
          <w:rFonts w:hint="default" w:ascii="Times New Roman" w:hAnsi="Times New Roman" w:eastAsia="仿宋_GB2312" w:cs="Times New Roman"/>
          <w:kern w:val="0"/>
          <w:sz w:val="32"/>
          <w:szCs w:val="32"/>
          <w:shd w:val="clear" w:color="auto" w:fill="FFFFFF"/>
          <w:lang w:val="zh-CN"/>
        </w:rPr>
        <w:t>万元，政府性基金预算财政拨款收入</w:t>
      </w:r>
      <w:r>
        <w:rPr>
          <w:rFonts w:hint="default" w:ascii="Times New Roman" w:hAnsi="Times New Roman" w:eastAsia="仿宋_GB2312" w:cs="Times New Roman"/>
          <w:kern w:val="0"/>
          <w:sz w:val="32"/>
          <w:szCs w:val="32"/>
          <w:shd w:val="clear" w:color="auto" w:fill="FFFFFF"/>
          <w:lang w:val="en-US" w:eastAsia="zh-CN"/>
        </w:rPr>
        <w:t>219.56</w:t>
      </w:r>
      <w:r>
        <w:rPr>
          <w:rFonts w:hint="default" w:ascii="Times New Roman" w:hAnsi="Times New Roman" w:eastAsia="仿宋_GB2312" w:cs="Times New Roman"/>
          <w:kern w:val="0"/>
          <w:sz w:val="32"/>
          <w:szCs w:val="32"/>
          <w:shd w:val="clear" w:color="auto" w:fill="FFFFFF"/>
          <w:lang w:val="zh-CN"/>
        </w:rPr>
        <w:t>元。</w:t>
      </w:r>
    </w:p>
    <w:p>
      <w:pPr>
        <w:pageBreakBefore w:val="0"/>
        <w:numPr>
          <w:ilvl w:val="0"/>
          <w:numId w:val="0"/>
        </w:numPr>
        <w:pBdr>
          <w:bottom w:val="single" w:color="FFFFFF" w:sz="4" w:space="31"/>
        </w:pBdr>
        <w:kinsoku/>
        <w:wordWrap/>
        <w:overflowPunct/>
        <w:topLinePunct w:val="0"/>
        <w:bidi w:val="0"/>
        <w:adjustRightInd w:val="0"/>
        <w:snapToGrid w:val="0"/>
        <w:spacing w:line="560" w:lineRule="exact"/>
        <w:ind w:right="210" w:rightChars="100" w:firstLine="640" w:firstLineChars="200"/>
        <w:rPr>
          <w:rFonts w:hint="default" w:ascii="Times New Roman" w:hAnsi="Times New Roman" w:eastAsia="仿宋_GB2312" w:cs="Times New Roman"/>
          <w:color w:val="auto"/>
          <w:sz w:val="32"/>
          <w:szCs w:val="24"/>
          <w:lang w:val="en-US"/>
        </w:rPr>
      </w:pPr>
      <w:r>
        <w:rPr>
          <w:rFonts w:hint="eastAsia" w:eastAsia="仿宋_GB2312" w:cs="Times New Roman"/>
          <w:color w:val="auto"/>
          <w:sz w:val="32"/>
          <w:szCs w:val="24"/>
          <w:lang w:val="en-US" w:eastAsia="zh-CN"/>
        </w:rPr>
        <w:t>2.</w:t>
      </w:r>
      <w:r>
        <w:rPr>
          <w:rFonts w:hint="default" w:ascii="Times New Roman" w:hAnsi="Times New Roman" w:eastAsia="仿宋_GB2312" w:cs="Times New Roman"/>
          <w:color w:val="auto"/>
          <w:sz w:val="32"/>
          <w:szCs w:val="24"/>
          <w:lang w:val="en-US"/>
        </w:rPr>
        <w:t>部门总体支出情况</w:t>
      </w:r>
    </w:p>
    <w:p>
      <w:pPr>
        <w:pageBreakBefore w:val="0"/>
        <w:numPr>
          <w:ilvl w:val="0"/>
          <w:numId w:val="0"/>
        </w:numPr>
        <w:pBdr>
          <w:bottom w:val="single" w:color="FFFFFF" w:sz="4" w:space="31"/>
        </w:pBdr>
        <w:kinsoku/>
        <w:wordWrap/>
        <w:overflowPunct/>
        <w:topLinePunct w:val="0"/>
        <w:bidi w:val="0"/>
        <w:adjustRightInd w:val="0"/>
        <w:snapToGrid w:val="0"/>
        <w:spacing w:line="560" w:lineRule="exact"/>
        <w:ind w:right="210" w:rightChars="100" w:firstLine="640" w:firstLineChars="200"/>
        <w:rPr>
          <w:rFonts w:hint="default" w:ascii="Times New Roman" w:hAnsi="Times New Roman" w:eastAsia="仿宋_GB2312" w:cs="Times New Roman"/>
          <w:kern w:val="0"/>
          <w:sz w:val="32"/>
          <w:szCs w:val="32"/>
          <w:shd w:val="clear" w:color="auto" w:fill="FFFFFF"/>
          <w:lang w:val="zh-CN"/>
        </w:rPr>
      </w:pPr>
      <w:r>
        <w:rPr>
          <w:rFonts w:hint="default" w:ascii="Times New Roman" w:hAnsi="Times New Roman" w:eastAsia="仿宋_GB2312" w:cs="Times New Roman"/>
          <w:kern w:val="0"/>
          <w:sz w:val="32"/>
          <w:szCs w:val="32"/>
          <w:shd w:val="clear" w:color="auto" w:fill="FFFFFF"/>
          <w:lang w:val="zh-CN"/>
        </w:rPr>
        <w:t>2022年决算支出总额</w:t>
      </w:r>
      <w:r>
        <w:rPr>
          <w:rFonts w:hint="default" w:ascii="Times New Roman" w:hAnsi="Times New Roman" w:eastAsia="仿宋_GB2312" w:cs="Times New Roman"/>
          <w:kern w:val="0"/>
          <w:sz w:val="32"/>
          <w:szCs w:val="32"/>
          <w:shd w:val="clear" w:color="auto" w:fill="FFFFFF"/>
          <w:lang w:val="en-US" w:eastAsia="zh-CN"/>
        </w:rPr>
        <w:t>1762.05</w:t>
      </w:r>
      <w:r>
        <w:rPr>
          <w:rFonts w:hint="default" w:ascii="Times New Roman" w:hAnsi="Times New Roman" w:eastAsia="仿宋_GB2312" w:cs="Times New Roman"/>
          <w:kern w:val="0"/>
          <w:sz w:val="32"/>
          <w:szCs w:val="32"/>
          <w:shd w:val="clear" w:color="auto" w:fill="FFFFFF"/>
          <w:lang w:val="zh-CN"/>
        </w:rPr>
        <w:t>万元，其中：基本支出</w:t>
      </w:r>
      <w:r>
        <w:rPr>
          <w:rFonts w:hint="default" w:ascii="Times New Roman" w:hAnsi="Times New Roman" w:eastAsia="仿宋_GB2312" w:cs="Times New Roman"/>
          <w:kern w:val="0"/>
          <w:sz w:val="32"/>
          <w:szCs w:val="32"/>
          <w:shd w:val="clear" w:color="auto" w:fill="FFFFFF"/>
          <w:lang w:val="en-US" w:eastAsia="zh-CN"/>
        </w:rPr>
        <w:t>978.49</w:t>
      </w:r>
      <w:r>
        <w:rPr>
          <w:rFonts w:hint="default" w:ascii="Times New Roman" w:hAnsi="Times New Roman" w:eastAsia="仿宋_GB2312" w:cs="Times New Roman"/>
          <w:kern w:val="0"/>
          <w:sz w:val="32"/>
          <w:szCs w:val="32"/>
          <w:shd w:val="clear" w:color="auto" w:fill="FFFFFF"/>
          <w:lang w:val="zh-CN"/>
        </w:rPr>
        <w:t>万元，占</w:t>
      </w:r>
      <w:r>
        <w:rPr>
          <w:rFonts w:hint="default" w:ascii="Times New Roman" w:hAnsi="Times New Roman" w:eastAsia="仿宋_GB2312" w:cs="Times New Roman"/>
          <w:kern w:val="0"/>
          <w:sz w:val="32"/>
          <w:szCs w:val="32"/>
          <w:shd w:val="clear" w:color="auto" w:fill="FFFFFF"/>
          <w:lang w:val="en-US" w:eastAsia="zh-CN"/>
        </w:rPr>
        <w:t>55.53</w:t>
      </w:r>
      <w:r>
        <w:rPr>
          <w:rFonts w:hint="default" w:ascii="Times New Roman" w:hAnsi="Times New Roman" w:eastAsia="仿宋_GB2312" w:cs="Times New Roman"/>
          <w:kern w:val="0"/>
          <w:sz w:val="32"/>
          <w:szCs w:val="32"/>
          <w:shd w:val="clear" w:color="auto" w:fill="FFFFFF"/>
          <w:lang w:val="zh-CN"/>
        </w:rPr>
        <w:t>%，项目支出</w:t>
      </w:r>
      <w:r>
        <w:rPr>
          <w:rFonts w:hint="default" w:ascii="Times New Roman" w:hAnsi="Times New Roman" w:eastAsia="仿宋_GB2312" w:cs="Times New Roman"/>
          <w:kern w:val="0"/>
          <w:sz w:val="32"/>
          <w:szCs w:val="32"/>
          <w:shd w:val="clear" w:color="auto" w:fill="FFFFFF"/>
          <w:lang w:val="en-US" w:eastAsia="zh-CN"/>
        </w:rPr>
        <w:t>783.56</w:t>
      </w:r>
      <w:r>
        <w:rPr>
          <w:rFonts w:hint="default" w:ascii="Times New Roman" w:hAnsi="Times New Roman" w:eastAsia="仿宋_GB2312" w:cs="Times New Roman"/>
          <w:kern w:val="0"/>
          <w:sz w:val="32"/>
          <w:szCs w:val="32"/>
          <w:shd w:val="clear" w:color="auto" w:fill="FFFFFF"/>
          <w:lang w:val="zh-CN"/>
        </w:rPr>
        <w:t>万元，占</w:t>
      </w:r>
      <w:r>
        <w:rPr>
          <w:rFonts w:hint="default" w:ascii="Times New Roman" w:hAnsi="Times New Roman" w:eastAsia="仿宋_GB2312" w:cs="Times New Roman"/>
          <w:kern w:val="0"/>
          <w:sz w:val="32"/>
          <w:szCs w:val="32"/>
          <w:shd w:val="clear" w:color="auto" w:fill="FFFFFF"/>
          <w:lang w:val="en-US" w:eastAsia="zh-CN"/>
        </w:rPr>
        <w:t>44.47</w:t>
      </w:r>
      <w:r>
        <w:rPr>
          <w:rFonts w:hint="default" w:ascii="Times New Roman" w:hAnsi="Times New Roman" w:eastAsia="仿宋_GB2312" w:cs="Times New Roman"/>
          <w:kern w:val="0"/>
          <w:sz w:val="32"/>
          <w:szCs w:val="32"/>
          <w:shd w:val="clear" w:color="auto" w:fill="FFFFFF"/>
          <w:lang w:val="zh-CN"/>
        </w:rPr>
        <w:t>%</w:t>
      </w:r>
      <w:r>
        <w:rPr>
          <w:rFonts w:hint="default" w:ascii="Times New Roman" w:hAnsi="Times New Roman" w:eastAsia="仿宋_GB2312" w:cs="Times New Roman"/>
          <w:kern w:val="0"/>
          <w:sz w:val="32"/>
          <w:szCs w:val="32"/>
          <w:shd w:val="clear" w:color="auto" w:fill="FFFFFF"/>
          <w:lang w:val="zh-CN" w:eastAsia="zh-CN"/>
        </w:rPr>
        <w:t>；</w:t>
      </w:r>
      <w:r>
        <w:rPr>
          <w:rFonts w:hint="default" w:ascii="Times New Roman" w:hAnsi="Times New Roman" w:eastAsia="仿宋_GB2312" w:cs="Times New Roman"/>
          <w:kern w:val="0"/>
          <w:sz w:val="32"/>
          <w:szCs w:val="32"/>
          <w:shd w:val="clear" w:color="auto" w:fill="FFFFFF"/>
          <w:lang w:val="zh-CN"/>
        </w:rPr>
        <w:t>其中：一般公共服务支出</w:t>
      </w:r>
      <w:r>
        <w:rPr>
          <w:rFonts w:hint="default" w:ascii="Times New Roman" w:hAnsi="Times New Roman" w:eastAsia="仿宋_GB2312" w:cs="Times New Roman"/>
          <w:kern w:val="0"/>
          <w:sz w:val="32"/>
          <w:szCs w:val="32"/>
          <w:shd w:val="clear" w:color="auto" w:fill="FFFFFF"/>
          <w:lang w:val="en-US" w:eastAsia="zh-CN"/>
        </w:rPr>
        <w:t>1313.96</w:t>
      </w:r>
      <w:r>
        <w:rPr>
          <w:rFonts w:hint="default" w:ascii="Times New Roman" w:hAnsi="Times New Roman" w:eastAsia="仿宋_GB2312" w:cs="Times New Roman"/>
          <w:kern w:val="0"/>
          <w:sz w:val="32"/>
          <w:szCs w:val="32"/>
          <w:shd w:val="clear" w:color="auto" w:fill="FFFFFF"/>
          <w:lang w:val="zh-CN"/>
        </w:rPr>
        <w:t>万元，社会保障和就业支出</w:t>
      </w:r>
      <w:r>
        <w:rPr>
          <w:rFonts w:hint="default" w:ascii="Times New Roman" w:hAnsi="Times New Roman" w:eastAsia="仿宋_GB2312" w:cs="Times New Roman"/>
          <w:kern w:val="0"/>
          <w:sz w:val="32"/>
          <w:szCs w:val="32"/>
          <w:shd w:val="clear" w:color="auto" w:fill="FFFFFF"/>
          <w:lang w:val="en-US" w:eastAsia="zh-CN"/>
        </w:rPr>
        <w:t>108.89</w:t>
      </w:r>
      <w:r>
        <w:rPr>
          <w:rFonts w:hint="default" w:ascii="Times New Roman" w:hAnsi="Times New Roman" w:eastAsia="仿宋_GB2312" w:cs="Times New Roman"/>
          <w:kern w:val="0"/>
          <w:sz w:val="32"/>
          <w:szCs w:val="32"/>
          <w:shd w:val="clear" w:color="auto" w:fill="FFFFFF"/>
          <w:lang w:val="zh-CN"/>
        </w:rPr>
        <w:t>万元，卫生健康支出</w:t>
      </w:r>
      <w:r>
        <w:rPr>
          <w:rFonts w:hint="default" w:ascii="Times New Roman" w:hAnsi="Times New Roman" w:eastAsia="仿宋_GB2312" w:cs="Times New Roman"/>
          <w:kern w:val="0"/>
          <w:sz w:val="32"/>
          <w:szCs w:val="32"/>
          <w:shd w:val="clear" w:color="auto" w:fill="FFFFFF"/>
          <w:lang w:val="en-US" w:eastAsia="zh-CN"/>
        </w:rPr>
        <w:t>49.68</w:t>
      </w:r>
      <w:r>
        <w:rPr>
          <w:rFonts w:hint="default" w:ascii="Times New Roman" w:hAnsi="Times New Roman" w:eastAsia="仿宋_GB2312" w:cs="Times New Roman"/>
          <w:kern w:val="0"/>
          <w:sz w:val="32"/>
          <w:szCs w:val="32"/>
          <w:shd w:val="clear" w:color="auto" w:fill="FFFFFF"/>
          <w:lang w:val="zh-CN"/>
        </w:rPr>
        <w:t>万元，城乡社区支出住房保障</w:t>
      </w:r>
      <w:r>
        <w:rPr>
          <w:rFonts w:hint="default" w:ascii="Times New Roman" w:hAnsi="Times New Roman" w:eastAsia="仿宋_GB2312" w:cs="Times New Roman"/>
          <w:kern w:val="0"/>
          <w:sz w:val="32"/>
          <w:szCs w:val="32"/>
          <w:shd w:val="clear" w:color="auto" w:fill="FFFFFF"/>
          <w:lang w:val="en-US" w:eastAsia="zh-CN"/>
        </w:rPr>
        <w:t>219.56</w:t>
      </w:r>
      <w:r>
        <w:rPr>
          <w:rFonts w:hint="default" w:ascii="Times New Roman" w:hAnsi="Times New Roman" w:eastAsia="仿宋_GB2312" w:cs="Times New Roman"/>
          <w:kern w:val="0"/>
          <w:sz w:val="32"/>
          <w:szCs w:val="32"/>
          <w:shd w:val="clear" w:color="auto" w:fill="FFFFFF"/>
          <w:lang w:val="zh-CN"/>
        </w:rPr>
        <w:t>万元，支出</w:t>
      </w:r>
      <w:r>
        <w:rPr>
          <w:rFonts w:hint="default" w:ascii="Times New Roman" w:hAnsi="Times New Roman" w:eastAsia="仿宋_GB2312" w:cs="Times New Roman"/>
          <w:kern w:val="0"/>
          <w:sz w:val="32"/>
          <w:szCs w:val="32"/>
          <w:shd w:val="clear" w:color="auto" w:fill="FFFFFF"/>
          <w:lang w:val="en-US" w:eastAsia="zh-CN"/>
        </w:rPr>
        <w:t>69.96</w:t>
      </w:r>
      <w:r>
        <w:rPr>
          <w:rFonts w:hint="default" w:ascii="Times New Roman" w:hAnsi="Times New Roman" w:eastAsia="仿宋_GB2312" w:cs="Times New Roman"/>
          <w:kern w:val="0"/>
          <w:sz w:val="32"/>
          <w:szCs w:val="32"/>
          <w:shd w:val="clear" w:color="auto" w:fill="FFFFFF"/>
          <w:lang w:val="zh-CN"/>
        </w:rPr>
        <w:t>万元。</w:t>
      </w:r>
    </w:p>
    <w:p>
      <w:pPr>
        <w:pageBreakBefore w:val="0"/>
        <w:numPr>
          <w:ilvl w:val="0"/>
          <w:numId w:val="0"/>
        </w:numPr>
        <w:pBdr>
          <w:bottom w:val="single" w:color="FFFFFF" w:sz="4" w:space="31"/>
        </w:pBdr>
        <w:kinsoku/>
        <w:wordWrap/>
        <w:overflowPunct/>
        <w:topLinePunct w:val="0"/>
        <w:bidi w:val="0"/>
        <w:adjustRightInd w:val="0"/>
        <w:snapToGrid w:val="0"/>
        <w:spacing w:line="560" w:lineRule="exact"/>
        <w:ind w:right="210" w:rightChars="100" w:firstLine="640" w:firstLineChars="200"/>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lang w:val="en-US" w:eastAsia="zh-CN"/>
        </w:rPr>
        <w:t>3.部</w:t>
      </w:r>
      <w:r>
        <w:rPr>
          <w:rFonts w:hint="default" w:ascii="Times New Roman" w:hAnsi="Times New Roman" w:eastAsia="仿宋_GB2312" w:cs="Times New Roman"/>
          <w:sz w:val="32"/>
          <w:szCs w:val="32"/>
          <w:lang w:val="en-US"/>
        </w:rPr>
        <w:t>门总体结转结余情况</w:t>
      </w:r>
    </w:p>
    <w:p>
      <w:pPr>
        <w:pageBreakBefore w:val="0"/>
        <w:kinsoku/>
        <w:wordWrap/>
        <w:overflowPunct/>
        <w:topLinePunct w:val="0"/>
        <w:bidi w:val="0"/>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年初结转和结余1.3万元，年末结转和结余0.32万元。</w:t>
      </w:r>
    </w:p>
    <w:p>
      <w:pPr>
        <w:keepNext/>
        <w:keepLines/>
        <w:pageBreakBefore w:val="0"/>
        <w:kinsoku/>
        <w:wordWrap/>
        <w:overflowPunct/>
        <w:topLinePunct w:val="0"/>
        <w:bidi w:val="0"/>
        <w:spacing w:line="560" w:lineRule="exact"/>
        <w:ind w:firstLine="643"/>
        <w:rPr>
          <w:rFonts w:hint="default" w:ascii="Times New Roman" w:hAnsi="Times New Roman" w:eastAsia="楷体_GB2312" w:cs="Times New Roman"/>
          <w:b/>
          <w:color w:val="auto"/>
          <w:sz w:val="32"/>
          <w:szCs w:val="24"/>
          <w:lang w:val="zh-CN"/>
        </w:rPr>
      </w:pPr>
      <w:r>
        <w:rPr>
          <w:rFonts w:hint="default" w:ascii="Times New Roman" w:hAnsi="Times New Roman" w:eastAsia="楷体_GB2312" w:cs="Times New Roman"/>
          <w:b/>
          <w:color w:val="auto"/>
          <w:sz w:val="32"/>
          <w:szCs w:val="24"/>
          <w:lang w:val="zh-CN"/>
        </w:rPr>
        <w:t>（二）部门财政拨款收支情况。</w:t>
      </w:r>
    </w:p>
    <w:p>
      <w:pPr>
        <w:keepNext/>
        <w:keepLines/>
        <w:pageBreakBefore w:val="0"/>
        <w:kinsoku/>
        <w:wordWrap/>
        <w:overflowPunct/>
        <w:topLinePunct w:val="0"/>
        <w:bidi w:val="0"/>
        <w:spacing w:line="560" w:lineRule="exact"/>
        <w:ind w:firstLine="640" w:firstLineChars="200"/>
        <w:rPr>
          <w:rFonts w:hint="eastAsia" w:ascii="Times New Roman" w:hAnsi="Times New Roman" w:eastAsia="仿宋_GB2312" w:cs="Times New Roman"/>
          <w:color w:val="auto"/>
          <w:sz w:val="32"/>
          <w:szCs w:val="24"/>
          <w:lang w:val="en-US" w:eastAsia="zh-CN"/>
        </w:rPr>
      </w:pPr>
      <w:r>
        <w:rPr>
          <w:rFonts w:hint="default" w:ascii="Times New Roman" w:hAnsi="Times New Roman" w:eastAsia="仿宋_GB2312" w:cs="Times New Roman"/>
          <w:color w:val="auto"/>
          <w:sz w:val="32"/>
          <w:szCs w:val="24"/>
          <w:lang w:val="en-US"/>
        </w:rPr>
        <w:t>1.部门财政拨款收入情况</w:t>
      </w:r>
      <w:r>
        <w:rPr>
          <w:rFonts w:hint="eastAsia" w:eastAsia="仿宋_GB2312" w:cs="Times New Roman"/>
          <w:color w:val="auto"/>
          <w:sz w:val="32"/>
          <w:szCs w:val="24"/>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Times New Roman" w:hAnsi="Times New Roman" w:eastAsia="仿宋_GB2312" w:cs="Times New Roman"/>
          <w:color w:val="auto"/>
          <w:sz w:val="32"/>
          <w:szCs w:val="24"/>
          <w:lang w:val="en-US"/>
        </w:rPr>
      </w:pPr>
      <w:r>
        <w:rPr>
          <w:rFonts w:hint="default" w:ascii="Times New Roman" w:hAnsi="Times New Roman" w:cs="Times New Roman"/>
        </w:rPr>
        <w:t xml:space="preserve"> </w:t>
      </w:r>
      <w:r>
        <w:rPr>
          <w:rFonts w:hint="default" w:ascii="Times New Roman" w:hAnsi="Times New Roman" w:eastAsia="仿宋_GB2312" w:cs="Times New Roman"/>
          <w:color w:val="auto"/>
          <w:sz w:val="32"/>
          <w:szCs w:val="24"/>
          <w:lang w:val="en-US"/>
        </w:rPr>
        <w:t>2022年决算收入（财政拨款收入）总计</w:t>
      </w:r>
      <w:r>
        <w:rPr>
          <w:rFonts w:hint="default" w:ascii="Times New Roman" w:hAnsi="Times New Roman" w:eastAsia="仿宋_GB2312" w:cs="Times New Roman"/>
          <w:color w:val="auto"/>
          <w:sz w:val="32"/>
          <w:szCs w:val="24"/>
          <w:lang w:val="en-US" w:eastAsia="zh-CN"/>
        </w:rPr>
        <w:t>1761.07</w:t>
      </w:r>
      <w:r>
        <w:rPr>
          <w:rFonts w:hint="default" w:ascii="Times New Roman" w:hAnsi="Times New Roman" w:eastAsia="仿宋_GB2312" w:cs="Times New Roman"/>
          <w:color w:val="auto"/>
          <w:sz w:val="32"/>
          <w:szCs w:val="24"/>
          <w:lang w:val="en-US"/>
        </w:rPr>
        <w:t>万元，其中：一般公共预算财政拨款收入</w:t>
      </w:r>
      <w:r>
        <w:rPr>
          <w:rFonts w:hint="default" w:ascii="Times New Roman" w:hAnsi="Times New Roman" w:eastAsia="仿宋_GB2312" w:cs="Times New Roman"/>
          <w:color w:val="auto"/>
          <w:sz w:val="32"/>
          <w:szCs w:val="24"/>
          <w:lang w:val="en-US" w:eastAsia="zh-CN"/>
        </w:rPr>
        <w:t>1541.51</w:t>
      </w:r>
      <w:r>
        <w:rPr>
          <w:rFonts w:hint="default" w:ascii="Times New Roman" w:hAnsi="Times New Roman" w:eastAsia="仿宋_GB2312" w:cs="Times New Roman"/>
          <w:color w:val="auto"/>
          <w:sz w:val="32"/>
          <w:szCs w:val="24"/>
          <w:lang w:val="en-US"/>
        </w:rPr>
        <w:t>万元，政府性基金预算财政拨款收入</w:t>
      </w:r>
      <w:r>
        <w:rPr>
          <w:rFonts w:hint="default" w:ascii="Times New Roman" w:hAnsi="Times New Roman" w:eastAsia="仿宋_GB2312" w:cs="Times New Roman"/>
          <w:color w:val="auto"/>
          <w:sz w:val="32"/>
          <w:szCs w:val="24"/>
          <w:lang w:val="en-US" w:eastAsia="zh-CN"/>
        </w:rPr>
        <w:t>219.56</w:t>
      </w:r>
      <w:r>
        <w:rPr>
          <w:rFonts w:hint="default" w:ascii="Times New Roman" w:hAnsi="Times New Roman" w:eastAsia="仿宋_GB2312" w:cs="Times New Roman"/>
          <w:color w:val="auto"/>
          <w:sz w:val="32"/>
          <w:szCs w:val="24"/>
          <w:lang w:val="en-US"/>
        </w:rPr>
        <w:t>元。</w:t>
      </w:r>
    </w:p>
    <w:p>
      <w:pPr>
        <w:keepNext/>
        <w:keepLines/>
        <w:pageBreakBefore w:val="0"/>
        <w:numPr>
          <w:ilvl w:val="0"/>
          <w:numId w:val="0"/>
        </w:numPr>
        <w:kinsoku/>
        <w:wordWrap/>
        <w:overflowPunct/>
        <w:topLinePunct w:val="0"/>
        <w:bidi w:val="0"/>
        <w:spacing w:line="560" w:lineRule="exact"/>
        <w:ind w:firstLine="640" w:firstLineChars="200"/>
        <w:rPr>
          <w:rFonts w:hint="eastAsia" w:ascii="Times New Roman" w:hAnsi="Times New Roman" w:eastAsia="仿宋_GB2312" w:cs="Times New Roman"/>
          <w:color w:val="auto"/>
          <w:sz w:val="32"/>
          <w:szCs w:val="24"/>
          <w:lang w:val="en-US" w:eastAsia="zh-CN"/>
        </w:rPr>
      </w:pPr>
      <w:r>
        <w:rPr>
          <w:rFonts w:hint="eastAsia" w:eastAsia="仿宋_GB2312" w:cs="Times New Roman"/>
          <w:color w:val="auto"/>
          <w:sz w:val="32"/>
          <w:szCs w:val="24"/>
          <w:lang w:val="en-US" w:eastAsia="zh-CN"/>
        </w:rPr>
        <w:t>2.</w:t>
      </w:r>
      <w:r>
        <w:rPr>
          <w:rFonts w:hint="default" w:ascii="Times New Roman" w:hAnsi="Times New Roman" w:eastAsia="仿宋_GB2312" w:cs="Times New Roman"/>
          <w:color w:val="auto"/>
          <w:sz w:val="32"/>
          <w:szCs w:val="24"/>
          <w:lang w:val="en-US"/>
        </w:rPr>
        <w:t>部门财政拨款支出情况</w:t>
      </w:r>
      <w:r>
        <w:rPr>
          <w:rFonts w:hint="eastAsia" w:eastAsia="仿宋_GB2312" w:cs="Times New Roman"/>
          <w:color w:val="auto"/>
          <w:sz w:val="32"/>
          <w:szCs w:val="24"/>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lang w:val="en-US"/>
        </w:rPr>
      </w:pPr>
      <w:r>
        <w:rPr>
          <w:rFonts w:hint="default" w:ascii="Times New Roman" w:hAnsi="Times New Roman" w:eastAsia="仿宋_GB2312" w:cs="Times New Roman"/>
          <w:color w:val="auto"/>
          <w:sz w:val="32"/>
          <w:szCs w:val="24"/>
          <w:lang w:val="en-US"/>
        </w:rPr>
        <w:t>2022年决算支出（财政拨款支出）总额</w:t>
      </w:r>
      <w:r>
        <w:rPr>
          <w:rFonts w:hint="default" w:ascii="Times New Roman" w:hAnsi="Times New Roman" w:eastAsia="仿宋_GB2312" w:cs="Times New Roman"/>
          <w:color w:val="auto"/>
          <w:sz w:val="32"/>
          <w:szCs w:val="24"/>
          <w:lang w:val="en-US" w:eastAsia="zh-CN"/>
        </w:rPr>
        <w:t>1761.07</w:t>
      </w:r>
      <w:r>
        <w:rPr>
          <w:rFonts w:hint="default" w:ascii="Times New Roman" w:hAnsi="Times New Roman" w:eastAsia="仿宋_GB2312" w:cs="Times New Roman"/>
          <w:color w:val="auto"/>
          <w:sz w:val="32"/>
          <w:szCs w:val="24"/>
          <w:lang w:val="en-US"/>
        </w:rPr>
        <w:t>万元，其中：基本支出</w:t>
      </w:r>
      <w:r>
        <w:rPr>
          <w:rFonts w:hint="default" w:ascii="Times New Roman" w:hAnsi="Times New Roman" w:eastAsia="仿宋_GB2312" w:cs="Times New Roman"/>
          <w:color w:val="auto"/>
          <w:sz w:val="32"/>
          <w:szCs w:val="24"/>
          <w:lang w:val="en-US" w:eastAsia="zh-CN"/>
        </w:rPr>
        <w:t>978.50</w:t>
      </w:r>
      <w:r>
        <w:rPr>
          <w:rFonts w:hint="default" w:ascii="Times New Roman" w:hAnsi="Times New Roman" w:eastAsia="仿宋_GB2312" w:cs="Times New Roman"/>
          <w:color w:val="auto"/>
          <w:sz w:val="32"/>
          <w:szCs w:val="24"/>
          <w:lang w:val="en-US"/>
        </w:rPr>
        <w:t>万元，占</w:t>
      </w:r>
      <w:r>
        <w:rPr>
          <w:rFonts w:hint="default" w:ascii="Times New Roman" w:hAnsi="Times New Roman" w:eastAsia="仿宋_GB2312" w:cs="Times New Roman"/>
          <w:color w:val="auto"/>
          <w:sz w:val="32"/>
          <w:szCs w:val="24"/>
          <w:lang w:val="en-US" w:eastAsia="zh-CN"/>
        </w:rPr>
        <w:t>55.56</w:t>
      </w:r>
      <w:r>
        <w:rPr>
          <w:rFonts w:hint="default" w:ascii="Times New Roman" w:hAnsi="Times New Roman" w:eastAsia="仿宋_GB2312" w:cs="Times New Roman"/>
          <w:color w:val="auto"/>
          <w:sz w:val="32"/>
          <w:szCs w:val="24"/>
          <w:lang w:val="en-US"/>
        </w:rPr>
        <w:t>%，项目支出</w:t>
      </w:r>
      <w:r>
        <w:rPr>
          <w:rFonts w:hint="default" w:ascii="Times New Roman" w:hAnsi="Times New Roman" w:eastAsia="仿宋_GB2312" w:cs="Times New Roman"/>
          <w:color w:val="auto"/>
          <w:sz w:val="32"/>
          <w:szCs w:val="24"/>
          <w:lang w:val="en-US" w:eastAsia="zh-CN"/>
        </w:rPr>
        <w:t>783.56</w:t>
      </w:r>
      <w:r>
        <w:rPr>
          <w:rFonts w:hint="default" w:ascii="Times New Roman" w:hAnsi="Times New Roman" w:eastAsia="仿宋_GB2312" w:cs="Times New Roman"/>
          <w:color w:val="auto"/>
          <w:sz w:val="32"/>
          <w:szCs w:val="24"/>
          <w:lang w:val="en-US"/>
        </w:rPr>
        <w:t>万元，占</w:t>
      </w:r>
      <w:r>
        <w:rPr>
          <w:rFonts w:hint="default" w:ascii="Times New Roman" w:hAnsi="Times New Roman" w:eastAsia="仿宋_GB2312" w:cs="Times New Roman"/>
          <w:color w:val="auto"/>
          <w:sz w:val="32"/>
          <w:szCs w:val="24"/>
          <w:lang w:val="en-US" w:eastAsia="zh-CN"/>
        </w:rPr>
        <w:t>44.44</w:t>
      </w:r>
      <w:r>
        <w:rPr>
          <w:rFonts w:hint="default" w:ascii="Times New Roman" w:hAnsi="Times New Roman" w:eastAsia="仿宋_GB2312" w:cs="Times New Roman"/>
          <w:color w:val="auto"/>
          <w:sz w:val="32"/>
          <w:szCs w:val="24"/>
          <w:lang w:val="en-US"/>
        </w:rPr>
        <w:t>%</w:t>
      </w:r>
      <w:r>
        <w:rPr>
          <w:rFonts w:hint="default" w:ascii="Times New Roman" w:hAnsi="Times New Roman" w:eastAsia="仿宋_GB2312" w:cs="Times New Roman"/>
          <w:color w:val="auto"/>
          <w:sz w:val="32"/>
          <w:szCs w:val="24"/>
          <w:lang w:val="en-US" w:eastAsia="zh-CN"/>
        </w:rPr>
        <w:t>；</w:t>
      </w:r>
      <w:r>
        <w:rPr>
          <w:rFonts w:hint="default" w:ascii="Times New Roman" w:hAnsi="Times New Roman" w:eastAsia="仿宋_GB2312" w:cs="Times New Roman"/>
          <w:color w:val="auto"/>
          <w:sz w:val="32"/>
          <w:szCs w:val="24"/>
          <w:lang w:val="en-US"/>
        </w:rPr>
        <w:t>其中：</w:t>
      </w:r>
      <w:r>
        <w:rPr>
          <w:rFonts w:hint="default" w:ascii="Times New Roman" w:hAnsi="Times New Roman" w:eastAsia="仿宋_GB2312" w:cs="Times New Roman"/>
          <w:color w:val="auto"/>
          <w:sz w:val="32"/>
          <w:szCs w:val="24"/>
          <w:lang w:val="en-US" w:eastAsia="zh-CN"/>
        </w:rPr>
        <w:t>工资福利支出 843.69</w:t>
      </w:r>
      <w:r>
        <w:rPr>
          <w:rFonts w:hint="default" w:ascii="Times New Roman" w:hAnsi="Times New Roman" w:eastAsia="仿宋_GB2312" w:cs="Times New Roman"/>
          <w:color w:val="auto"/>
          <w:sz w:val="32"/>
          <w:szCs w:val="24"/>
          <w:lang w:val="en-US"/>
        </w:rPr>
        <w:t>万元，</w:t>
      </w:r>
      <w:r>
        <w:rPr>
          <w:rFonts w:hint="default" w:ascii="Times New Roman" w:hAnsi="Times New Roman" w:eastAsia="仿宋_GB2312" w:cs="Times New Roman"/>
          <w:color w:val="auto"/>
          <w:sz w:val="32"/>
          <w:szCs w:val="24"/>
          <w:lang w:val="en-US" w:eastAsia="zh-CN"/>
        </w:rPr>
        <w:t>商品和服务支出 850.78</w:t>
      </w:r>
      <w:r>
        <w:rPr>
          <w:rFonts w:hint="default" w:ascii="Times New Roman" w:hAnsi="Times New Roman" w:eastAsia="仿宋_GB2312" w:cs="Times New Roman"/>
          <w:color w:val="auto"/>
          <w:sz w:val="32"/>
          <w:szCs w:val="24"/>
          <w:lang w:val="en-US"/>
        </w:rPr>
        <w:t>万元，</w:t>
      </w:r>
      <w:r>
        <w:rPr>
          <w:rFonts w:hint="default" w:ascii="Times New Roman" w:hAnsi="Times New Roman" w:eastAsia="仿宋_GB2312" w:cs="Times New Roman"/>
          <w:color w:val="auto"/>
          <w:sz w:val="32"/>
          <w:szCs w:val="24"/>
          <w:lang w:val="en-US" w:eastAsia="zh-CN"/>
        </w:rPr>
        <w:t>对个人和家庭的补助48.46</w:t>
      </w:r>
      <w:r>
        <w:rPr>
          <w:rFonts w:hint="default" w:ascii="Times New Roman" w:hAnsi="Times New Roman" w:eastAsia="仿宋_GB2312" w:cs="Times New Roman"/>
          <w:color w:val="auto"/>
          <w:sz w:val="32"/>
          <w:szCs w:val="24"/>
          <w:lang w:val="en-US"/>
        </w:rPr>
        <w:t>万元</w:t>
      </w:r>
      <w:r>
        <w:rPr>
          <w:rFonts w:hint="default" w:ascii="Times New Roman" w:hAnsi="Times New Roman" w:eastAsia="仿宋_GB2312" w:cs="Times New Roman"/>
          <w:color w:val="auto"/>
          <w:sz w:val="32"/>
          <w:szCs w:val="24"/>
          <w:lang w:val="en-US" w:eastAsia="zh-CN"/>
        </w:rPr>
        <w:t>，资本性支出18.14</w:t>
      </w:r>
      <w:r>
        <w:rPr>
          <w:rFonts w:hint="default" w:ascii="Times New Roman" w:hAnsi="Times New Roman" w:eastAsia="仿宋_GB2312" w:cs="Times New Roman"/>
          <w:color w:val="auto"/>
          <w:sz w:val="32"/>
          <w:szCs w:val="24"/>
          <w:lang w:val="en-US"/>
        </w:rPr>
        <w:t>万元。</w:t>
      </w:r>
    </w:p>
    <w:p>
      <w:pPr>
        <w:pageBreakBefore w:val="0"/>
        <w:kinsoku/>
        <w:wordWrap/>
        <w:overflowPunct/>
        <w:topLinePunct w:val="0"/>
        <w:bidi w:val="0"/>
        <w:spacing w:line="560" w:lineRule="exact"/>
        <w:ind w:firstLine="640" w:firstLineChars="200"/>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rPr>
        <w:t>3.部门财政拨款结转结余情况</w:t>
      </w:r>
      <w:r>
        <w:rPr>
          <w:rFonts w:hint="eastAsia" w:eastAsia="仿宋_GB2312" w:cs="Times New Roman"/>
          <w:sz w:val="32"/>
          <w:szCs w:val="32"/>
          <w:lang w:val="en-US" w:eastAsia="zh-CN"/>
        </w:rPr>
        <w:t>。</w:t>
      </w:r>
    </w:p>
    <w:p>
      <w:pPr>
        <w:pageBreakBefore w:val="0"/>
        <w:kinsoku/>
        <w:wordWrap/>
        <w:overflowPunct/>
        <w:topLinePunct w:val="0"/>
        <w:bidi w:val="0"/>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部门财政拨款结转结余为零</w:t>
      </w:r>
    </w:p>
    <w:p>
      <w:pPr>
        <w:pageBreakBefore w:val="0"/>
        <w:numPr>
          <w:ilvl w:val="0"/>
          <w:numId w:val="0"/>
        </w:numPr>
        <w:kinsoku/>
        <w:wordWrap/>
        <w:overflowPunct/>
        <w:topLinePunct w:val="0"/>
        <w:bidi w:val="0"/>
        <w:adjustRightInd w:val="0"/>
        <w:snapToGrid w:val="0"/>
        <w:spacing w:line="560" w:lineRule="exact"/>
        <w:ind w:left="640" w:leftChars="0"/>
        <w:rPr>
          <w:rFonts w:hint="default" w:ascii="Times New Roman" w:hAnsi="Times New Roman" w:eastAsia="黑体" w:cs="Times New Roman"/>
          <w:color w:val="auto"/>
          <w:sz w:val="32"/>
          <w:szCs w:val="24"/>
          <w:lang w:val="en-US"/>
        </w:rPr>
      </w:pPr>
      <w:r>
        <w:rPr>
          <w:rFonts w:hint="eastAsia" w:eastAsia="黑体" w:cs="Times New Roman"/>
          <w:color w:val="auto"/>
          <w:sz w:val="32"/>
          <w:szCs w:val="24"/>
          <w:lang w:val="en-US" w:eastAsia="zh-CN"/>
        </w:rPr>
        <w:t>四、</w:t>
      </w:r>
      <w:r>
        <w:rPr>
          <w:rFonts w:hint="default" w:ascii="Times New Roman" w:hAnsi="Times New Roman" w:eastAsia="黑体" w:cs="Times New Roman"/>
          <w:color w:val="auto"/>
          <w:sz w:val="32"/>
          <w:szCs w:val="24"/>
          <w:lang w:val="en-US"/>
        </w:rPr>
        <w:t>部门整体绩效分析</w:t>
      </w:r>
    </w:p>
    <w:p>
      <w:pPr>
        <w:pageBreakBefore w:val="0"/>
        <w:widowControl/>
        <w:numPr>
          <w:ilvl w:val="0"/>
          <w:numId w:val="6"/>
        </w:numPr>
        <w:kinsoku/>
        <w:wordWrap/>
        <w:overflowPunct/>
        <w:topLinePunct w:val="0"/>
        <w:bidi w:val="0"/>
        <w:adjustRightInd w:val="0"/>
        <w:snapToGrid w:val="0"/>
        <w:spacing w:line="560" w:lineRule="exact"/>
        <w:ind w:firstLine="643" w:firstLineChars="200"/>
        <w:contextualSpacing/>
        <w:jc w:val="left"/>
        <w:rPr>
          <w:rFonts w:hint="default" w:ascii="Times New Roman" w:hAnsi="Times New Roman" w:eastAsia="楷体_GB2312" w:cs="Times New Roman"/>
          <w:b/>
          <w:color w:val="auto"/>
          <w:sz w:val="32"/>
          <w:szCs w:val="24"/>
          <w:lang w:val="zh-CN"/>
        </w:rPr>
      </w:pPr>
      <w:r>
        <w:rPr>
          <w:rFonts w:hint="default" w:ascii="Times New Roman" w:hAnsi="Times New Roman" w:eastAsia="楷体_GB2312" w:cs="Times New Roman"/>
          <w:b/>
          <w:color w:val="auto"/>
          <w:sz w:val="32"/>
          <w:szCs w:val="24"/>
          <w:lang w:val="zh-CN"/>
        </w:rPr>
        <w:t>部门预算项目绩效分析。</w:t>
      </w:r>
    </w:p>
    <w:p>
      <w:pPr>
        <w:pageBreakBefore w:val="0"/>
        <w:widowControl/>
        <w:numPr>
          <w:ilvl w:val="0"/>
          <w:numId w:val="0"/>
        </w:numPr>
        <w:kinsoku/>
        <w:wordWrap/>
        <w:overflowPunct/>
        <w:topLinePunct w:val="0"/>
        <w:bidi w:val="0"/>
        <w:adjustRightInd w:val="0"/>
        <w:snapToGrid w:val="0"/>
        <w:spacing w:line="560" w:lineRule="exact"/>
        <w:ind w:firstLine="640" w:firstLineChars="200"/>
        <w:contextualSpacing/>
        <w:jc w:val="left"/>
        <w:rPr>
          <w:rFonts w:hint="eastAsia" w:ascii="Times New Roman" w:hAnsi="Times New Roman" w:eastAsia="仿宋_GB2312" w:cs="Times New Roman"/>
          <w:kern w:val="0"/>
          <w:sz w:val="32"/>
          <w:szCs w:val="32"/>
          <w:shd w:val="clear" w:color="auto" w:fill="FFFFFF"/>
          <w:lang w:eastAsia="zh-CN"/>
        </w:rPr>
      </w:pPr>
      <w:r>
        <w:rPr>
          <w:rFonts w:hint="default" w:ascii="Times New Roman" w:hAnsi="Times New Roman" w:eastAsia="仿宋_GB2312" w:cs="Times New Roman"/>
          <w:kern w:val="0"/>
          <w:sz w:val="32"/>
          <w:szCs w:val="32"/>
          <w:shd w:val="clear" w:color="auto" w:fill="FFFFFF"/>
        </w:rPr>
        <w:t>1.人员类项目绩效分析</w:t>
      </w:r>
      <w:r>
        <w:rPr>
          <w:rFonts w:hint="eastAsia" w:eastAsia="仿宋_GB2312" w:cs="Times New Roman"/>
          <w:kern w:val="0"/>
          <w:sz w:val="32"/>
          <w:szCs w:val="32"/>
          <w:shd w:val="clear" w:color="auto" w:fill="FFFFFF"/>
          <w:lang w:eastAsia="zh-CN"/>
        </w:rPr>
        <w:t>。</w:t>
      </w:r>
    </w:p>
    <w:p>
      <w:pPr>
        <w:pageBreakBefore w:val="0"/>
        <w:widowControl/>
        <w:kinsoku/>
        <w:wordWrap/>
        <w:overflowPunct/>
        <w:topLinePunct w:val="0"/>
        <w:bidi w:val="0"/>
        <w:adjustRightInd w:val="0"/>
        <w:snapToGrid w:val="0"/>
        <w:spacing w:line="560" w:lineRule="exact"/>
        <w:ind w:firstLine="640" w:firstLineChars="200"/>
        <w:contextualSpacing/>
        <w:jc w:val="left"/>
        <w:rPr>
          <w:rFonts w:hint="default" w:ascii="Times New Roman" w:hAnsi="Times New Roman" w:cs="Times New Roman"/>
          <w:color w:val="000000"/>
          <w:szCs w:val="32"/>
        </w:rPr>
      </w:pPr>
      <w:r>
        <w:rPr>
          <w:rFonts w:hint="default" w:ascii="Times New Roman" w:hAnsi="Times New Roman" w:eastAsia="仿宋_GB2312" w:cs="Times New Roman"/>
          <w:kern w:val="0"/>
          <w:sz w:val="32"/>
          <w:szCs w:val="32"/>
          <w:shd w:val="clear" w:color="auto" w:fill="FFFFFF"/>
        </w:rPr>
        <w:t>2022年部门人员基础信息情况制定人员类部门预算，</w:t>
      </w:r>
      <w:r>
        <w:rPr>
          <w:rFonts w:hint="default" w:ascii="Times New Roman" w:hAnsi="Times New Roman" w:eastAsia="仿宋_GB2312" w:cs="Times New Roman"/>
          <w:kern w:val="0"/>
          <w:sz w:val="32"/>
          <w:szCs w:val="32"/>
          <w:shd w:val="clear" w:color="auto" w:fill="FFFFFF"/>
          <w:lang w:val="zh-CN"/>
        </w:rPr>
        <w:t>人员类实际支出数</w:t>
      </w:r>
      <w:r>
        <w:rPr>
          <w:rFonts w:hint="default" w:ascii="Times New Roman" w:hAnsi="Times New Roman" w:eastAsia="仿宋_GB2312" w:cs="Times New Roman"/>
          <w:kern w:val="0"/>
          <w:sz w:val="32"/>
          <w:szCs w:val="32"/>
          <w:shd w:val="clear" w:color="auto" w:fill="FFFFFF"/>
          <w:lang w:val="en-US" w:eastAsia="zh-CN"/>
        </w:rPr>
        <w:t>892.15</w:t>
      </w:r>
      <w:r>
        <w:rPr>
          <w:rFonts w:hint="default" w:ascii="Times New Roman" w:hAnsi="Times New Roman" w:eastAsia="仿宋_GB2312" w:cs="Times New Roman"/>
          <w:kern w:val="0"/>
          <w:sz w:val="32"/>
          <w:szCs w:val="32"/>
          <w:shd w:val="clear" w:color="auto" w:fill="FFFFFF"/>
          <w:lang w:val="zh-CN"/>
        </w:rPr>
        <w:t>万元，截</w:t>
      </w:r>
      <w:r>
        <w:rPr>
          <w:rFonts w:hint="eastAsia" w:eastAsia="仿宋_GB2312" w:cs="Times New Roman"/>
          <w:kern w:val="0"/>
          <w:sz w:val="32"/>
          <w:szCs w:val="32"/>
          <w:shd w:val="clear" w:color="auto" w:fill="FFFFFF"/>
          <w:lang w:val="en-US" w:eastAsia="zh-CN"/>
        </w:rPr>
        <w:t>至</w:t>
      </w:r>
      <w:r>
        <w:rPr>
          <w:rFonts w:hint="default" w:ascii="Times New Roman" w:hAnsi="Times New Roman" w:eastAsia="仿宋_GB2312" w:cs="Times New Roman"/>
          <w:kern w:val="0"/>
          <w:sz w:val="32"/>
          <w:szCs w:val="32"/>
          <w:shd w:val="clear" w:color="auto" w:fill="FFFFFF"/>
          <w:lang w:val="zh-CN"/>
        </w:rPr>
        <w:t>2022年12月31日资金实际执行数</w:t>
      </w:r>
      <w:r>
        <w:rPr>
          <w:rFonts w:hint="default" w:ascii="Times New Roman" w:hAnsi="Times New Roman" w:eastAsia="仿宋_GB2312" w:cs="Times New Roman"/>
          <w:kern w:val="0"/>
          <w:sz w:val="32"/>
          <w:szCs w:val="32"/>
          <w:shd w:val="clear" w:color="auto" w:fill="FFFFFF"/>
          <w:lang w:val="en-US" w:eastAsia="zh-CN"/>
        </w:rPr>
        <w:t>892.15</w:t>
      </w:r>
      <w:r>
        <w:rPr>
          <w:rFonts w:hint="default" w:ascii="Times New Roman" w:hAnsi="Times New Roman" w:eastAsia="仿宋_GB2312" w:cs="Times New Roman"/>
          <w:kern w:val="0"/>
          <w:sz w:val="32"/>
          <w:szCs w:val="32"/>
          <w:shd w:val="clear" w:color="auto" w:fill="FFFFFF"/>
          <w:lang w:val="zh-CN"/>
        </w:rPr>
        <w:t>万元，预算执行率为100%。</w:t>
      </w:r>
      <w:r>
        <w:rPr>
          <w:rFonts w:hint="default" w:ascii="Times New Roman" w:hAnsi="Times New Roman" w:eastAsia="仿宋_GB2312" w:cs="Times New Roman"/>
          <w:kern w:val="0"/>
          <w:sz w:val="32"/>
          <w:szCs w:val="32"/>
          <w:shd w:val="clear" w:color="auto" w:fill="FFFFFF"/>
        </w:rPr>
        <w:t>人员各项经费支出与执行进度一致，职工工资福利待遇及时到位，得到了干部职工的认可，有力保障了部门工作任务目标的顺利完成。</w:t>
      </w:r>
      <w:r>
        <w:rPr>
          <w:rFonts w:hint="default" w:ascii="Times New Roman" w:hAnsi="Times New Roman" w:eastAsia="仿宋_GB2312" w:cs="Times New Roman"/>
          <w:color w:val="000000"/>
          <w:sz w:val="32"/>
          <w:szCs w:val="32"/>
        </w:rPr>
        <w:t>以上支出依法依规按月或按年定期发放，全年支出控制、执行进度、预算完成100%，年末人员类资金无结余，无违规情况。</w:t>
      </w:r>
    </w:p>
    <w:p>
      <w:pPr>
        <w:pageBreakBefore w:val="0"/>
        <w:widowControl/>
        <w:kinsoku/>
        <w:wordWrap/>
        <w:overflowPunct/>
        <w:topLinePunct w:val="0"/>
        <w:bidi w:val="0"/>
        <w:adjustRightInd w:val="0"/>
        <w:snapToGrid w:val="0"/>
        <w:spacing w:line="560" w:lineRule="exact"/>
        <w:ind w:firstLine="640" w:firstLineChars="200"/>
        <w:contextualSpacing/>
        <w:jc w:val="left"/>
        <w:rPr>
          <w:rFonts w:hint="eastAsia" w:ascii="Times New Roman" w:hAnsi="Times New Roman" w:eastAsia="仿宋_GB2312" w:cs="Times New Roman"/>
          <w:kern w:val="0"/>
          <w:sz w:val="32"/>
          <w:szCs w:val="32"/>
          <w:shd w:val="clear" w:color="auto" w:fill="FFFFFF"/>
          <w:lang w:eastAsia="zh-CN"/>
        </w:rPr>
      </w:pPr>
      <w:r>
        <w:rPr>
          <w:rFonts w:hint="default" w:ascii="Times New Roman" w:hAnsi="Times New Roman" w:eastAsia="仿宋_GB2312" w:cs="Times New Roman"/>
          <w:kern w:val="0"/>
          <w:sz w:val="32"/>
          <w:szCs w:val="32"/>
          <w:shd w:val="clear" w:color="auto" w:fill="FFFFFF"/>
        </w:rPr>
        <w:t>2.运转类项目绩效分析</w:t>
      </w:r>
      <w:r>
        <w:rPr>
          <w:rFonts w:hint="eastAsia" w:eastAsia="仿宋_GB2312" w:cs="Times New Roman"/>
          <w:kern w:val="0"/>
          <w:sz w:val="32"/>
          <w:szCs w:val="32"/>
          <w:shd w:val="clear" w:color="auto" w:fill="FFFFFF"/>
          <w:lang w:eastAsia="zh-CN"/>
        </w:rPr>
        <w:t>。</w:t>
      </w:r>
    </w:p>
    <w:p>
      <w:pPr>
        <w:pageBreakBefore w:val="0"/>
        <w:widowControl/>
        <w:kinsoku/>
        <w:wordWrap/>
        <w:overflowPunct/>
        <w:topLinePunct w:val="0"/>
        <w:bidi w:val="0"/>
        <w:adjustRightInd w:val="0"/>
        <w:snapToGrid w:val="0"/>
        <w:spacing w:line="560" w:lineRule="exact"/>
        <w:ind w:firstLine="640" w:firstLineChars="200"/>
        <w:contextualSpacing/>
        <w:jc w:val="left"/>
        <w:rPr>
          <w:rFonts w:hint="default" w:ascii="Times New Roman" w:hAnsi="Times New Roman" w:eastAsia="仿宋_GB2312" w:cs="Times New Roman"/>
          <w:color w:val="000000"/>
          <w:kern w:val="0"/>
          <w:sz w:val="32"/>
          <w:szCs w:val="32"/>
          <w:shd w:val="clear" w:color="auto" w:fill="FFFFFF"/>
          <w:lang w:val="zh-CN"/>
        </w:rPr>
      </w:pPr>
      <w:r>
        <w:rPr>
          <w:rFonts w:hint="default" w:ascii="Times New Roman" w:hAnsi="Times New Roman" w:eastAsia="仿宋_GB2312" w:cs="Times New Roman"/>
          <w:sz w:val="32"/>
          <w:szCs w:val="32"/>
        </w:rPr>
        <w:t>2022年工作任务制定了部门绩效目标，编制了较准确的部门预算，预算执行进度与目标执行情况基本一致</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color w:val="000000"/>
          <w:kern w:val="0"/>
          <w:sz w:val="32"/>
          <w:szCs w:val="32"/>
          <w:shd w:val="clear" w:color="auto" w:fill="FFFFFF"/>
          <w:lang w:val="zh-CN"/>
        </w:rPr>
        <w:t>运转类项目主要是维持单位基本运转的各类商品服务，包括水电费、三公经费、差旅费、办公费、项目经费等。</w:t>
      </w:r>
      <w:r>
        <w:rPr>
          <w:rFonts w:hint="default" w:ascii="Times New Roman" w:hAnsi="Times New Roman" w:eastAsia="仿宋_GB2312" w:cs="Times New Roman"/>
          <w:color w:val="000000"/>
          <w:kern w:val="0"/>
          <w:sz w:val="32"/>
          <w:szCs w:val="32"/>
          <w:shd w:val="clear" w:color="auto" w:fill="FFFFFF"/>
          <w:lang w:val="zh-CN" w:eastAsia="zh-CN"/>
        </w:rPr>
        <w:t>当</w:t>
      </w:r>
      <w:r>
        <w:rPr>
          <w:rFonts w:hint="default" w:ascii="Times New Roman" w:hAnsi="Times New Roman" w:eastAsia="仿宋_GB2312" w:cs="Times New Roman"/>
          <w:color w:val="000000"/>
          <w:kern w:val="0"/>
          <w:sz w:val="32"/>
          <w:szCs w:val="32"/>
          <w:shd w:val="clear" w:color="auto" w:fill="FFFFFF"/>
          <w:lang w:val="zh-CN"/>
        </w:rPr>
        <w:t>年运转类实际支出数</w:t>
      </w:r>
      <w:r>
        <w:rPr>
          <w:rFonts w:hint="default" w:ascii="Times New Roman" w:hAnsi="Times New Roman" w:eastAsia="仿宋_GB2312" w:cs="Times New Roman"/>
          <w:color w:val="000000"/>
          <w:kern w:val="0"/>
          <w:sz w:val="32"/>
          <w:szCs w:val="32"/>
          <w:shd w:val="clear" w:color="auto" w:fill="FFFFFF"/>
          <w:lang w:val="en-US" w:eastAsia="zh-CN"/>
        </w:rPr>
        <w:t>868.92</w:t>
      </w:r>
      <w:r>
        <w:rPr>
          <w:rFonts w:hint="default" w:ascii="Times New Roman" w:hAnsi="Times New Roman" w:eastAsia="仿宋_GB2312" w:cs="Times New Roman"/>
          <w:color w:val="000000"/>
          <w:kern w:val="0"/>
          <w:sz w:val="32"/>
          <w:szCs w:val="32"/>
          <w:shd w:val="clear" w:color="auto" w:fill="FFFFFF"/>
          <w:lang w:val="zh-CN"/>
        </w:rPr>
        <w:t>万元，截</w:t>
      </w:r>
      <w:r>
        <w:rPr>
          <w:rFonts w:hint="eastAsia" w:eastAsia="仿宋_GB2312" w:cs="Times New Roman"/>
          <w:color w:val="000000"/>
          <w:kern w:val="0"/>
          <w:sz w:val="32"/>
          <w:szCs w:val="32"/>
          <w:shd w:val="clear" w:color="auto" w:fill="FFFFFF"/>
          <w:lang w:val="en-US" w:eastAsia="zh-CN"/>
        </w:rPr>
        <w:t>至</w:t>
      </w:r>
      <w:r>
        <w:rPr>
          <w:rFonts w:hint="default" w:ascii="Times New Roman" w:hAnsi="Times New Roman" w:eastAsia="仿宋_GB2312" w:cs="Times New Roman"/>
          <w:color w:val="000000"/>
          <w:kern w:val="0"/>
          <w:sz w:val="32"/>
          <w:szCs w:val="32"/>
          <w:shd w:val="clear" w:color="auto" w:fill="FFFFFF"/>
          <w:lang w:val="zh-CN"/>
        </w:rPr>
        <w:t>2022年12月31日资金实际执行数</w:t>
      </w:r>
      <w:r>
        <w:rPr>
          <w:rFonts w:hint="default" w:ascii="Times New Roman" w:hAnsi="Times New Roman" w:eastAsia="仿宋_GB2312" w:cs="Times New Roman"/>
          <w:color w:val="000000"/>
          <w:kern w:val="0"/>
          <w:sz w:val="32"/>
          <w:szCs w:val="32"/>
          <w:shd w:val="clear" w:color="auto" w:fill="FFFFFF"/>
          <w:lang w:val="en-US" w:eastAsia="zh-CN"/>
        </w:rPr>
        <w:t>868.92</w:t>
      </w:r>
      <w:r>
        <w:rPr>
          <w:rFonts w:hint="default" w:ascii="Times New Roman" w:hAnsi="Times New Roman" w:eastAsia="仿宋_GB2312" w:cs="Times New Roman"/>
          <w:color w:val="000000"/>
          <w:kern w:val="0"/>
          <w:sz w:val="32"/>
          <w:szCs w:val="32"/>
          <w:shd w:val="clear" w:color="auto" w:fill="FFFFFF"/>
          <w:lang w:val="zh-CN"/>
        </w:rPr>
        <w:t>万元，预算执行率为100%。较好地完成了数量指标、质量指标、时效指标的指标值</w:t>
      </w:r>
      <w:r>
        <w:rPr>
          <w:rFonts w:hint="default" w:ascii="Times New Roman" w:hAnsi="Times New Roman" w:eastAsia="仿宋_GB2312" w:cs="Times New Roman"/>
          <w:color w:val="000000"/>
          <w:kern w:val="0"/>
          <w:sz w:val="32"/>
          <w:szCs w:val="32"/>
          <w:shd w:val="clear" w:color="auto" w:fill="FFFFFF"/>
          <w:lang w:val="zh-CN" w:eastAsia="zh-CN"/>
        </w:rPr>
        <w:t>和</w:t>
      </w:r>
      <w:r>
        <w:rPr>
          <w:rFonts w:hint="default" w:ascii="Times New Roman" w:hAnsi="Times New Roman" w:eastAsia="仿宋_GB2312" w:cs="Times New Roman"/>
          <w:color w:val="000000"/>
          <w:kern w:val="0"/>
          <w:sz w:val="32"/>
          <w:szCs w:val="32"/>
          <w:shd w:val="clear" w:color="auto" w:fill="FFFFFF"/>
          <w:lang w:val="zh-CN"/>
        </w:rPr>
        <w:t>绩效目标。年末运转类资金无结余，无违规情况。</w:t>
      </w:r>
    </w:p>
    <w:p>
      <w:pPr>
        <w:pageBreakBefore w:val="0"/>
        <w:widowControl/>
        <w:kinsoku/>
        <w:wordWrap/>
        <w:overflowPunct/>
        <w:topLinePunct w:val="0"/>
        <w:bidi w:val="0"/>
        <w:adjustRightInd w:val="0"/>
        <w:snapToGrid w:val="0"/>
        <w:spacing w:line="560" w:lineRule="exact"/>
        <w:ind w:firstLine="640" w:firstLineChars="200"/>
        <w:contextualSpacing/>
        <w:jc w:val="left"/>
        <w:rPr>
          <w:rFonts w:hint="eastAsia" w:ascii="Times New Roman" w:hAnsi="Times New Roman" w:eastAsia="仿宋_GB2312" w:cs="Times New Roman"/>
          <w:kern w:val="0"/>
          <w:sz w:val="32"/>
          <w:szCs w:val="32"/>
          <w:shd w:val="clear" w:color="auto" w:fill="FFFFFF"/>
          <w:lang w:eastAsia="zh-CN"/>
        </w:rPr>
      </w:pPr>
      <w:r>
        <w:rPr>
          <w:rFonts w:hint="default" w:ascii="Times New Roman" w:hAnsi="Times New Roman" w:eastAsia="仿宋_GB2312" w:cs="Times New Roman"/>
          <w:kern w:val="0"/>
          <w:sz w:val="32"/>
          <w:szCs w:val="32"/>
          <w:shd w:val="clear" w:color="auto" w:fill="FFFFFF"/>
        </w:rPr>
        <w:t>3.特定目标类项目绩效分析</w:t>
      </w:r>
      <w:r>
        <w:rPr>
          <w:rFonts w:hint="eastAsia" w:eastAsia="仿宋_GB2312" w:cs="Times New Roman"/>
          <w:kern w:val="0"/>
          <w:sz w:val="32"/>
          <w:szCs w:val="32"/>
          <w:shd w:val="clear" w:color="auto" w:fill="FFFFFF"/>
          <w:lang w:eastAsia="zh-CN"/>
        </w:rPr>
        <w:t>。</w:t>
      </w:r>
    </w:p>
    <w:p>
      <w:pPr>
        <w:pageBreakBefore w:val="0"/>
        <w:widowControl/>
        <w:kinsoku/>
        <w:wordWrap/>
        <w:overflowPunct/>
        <w:topLinePunct w:val="0"/>
        <w:bidi w:val="0"/>
        <w:adjustRightInd w:val="0"/>
        <w:snapToGrid w:val="0"/>
        <w:spacing w:line="560" w:lineRule="exact"/>
        <w:ind w:firstLine="640" w:firstLineChars="200"/>
        <w:contextualSpacing/>
        <w:jc w:val="left"/>
        <w:rPr>
          <w:rFonts w:hint="default" w:ascii="Times New Roman" w:hAnsi="Times New Roman" w:eastAsia="仿宋_GB2312" w:cs="Times New Roman"/>
          <w:kern w:val="0"/>
          <w:sz w:val="32"/>
          <w:szCs w:val="32"/>
          <w:shd w:val="clear" w:color="auto" w:fill="FFFFFF"/>
        </w:rPr>
      </w:pPr>
      <w:r>
        <w:rPr>
          <w:rFonts w:hint="default" w:ascii="Times New Roman" w:hAnsi="Times New Roman" w:eastAsia="仿宋_GB2312" w:cs="Times New Roman"/>
          <w:kern w:val="0"/>
          <w:sz w:val="32"/>
          <w:szCs w:val="32"/>
          <w:shd w:val="clear" w:color="auto" w:fill="FFFFFF"/>
        </w:rPr>
        <w:t>无特定目标类项目</w:t>
      </w:r>
    </w:p>
    <w:p>
      <w:pPr>
        <w:keepNext/>
        <w:keepLines/>
        <w:pageBreakBefore w:val="0"/>
        <w:kinsoku/>
        <w:wordWrap/>
        <w:overflowPunct/>
        <w:topLinePunct w:val="0"/>
        <w:bidi w:val="0"/>
        <w:spacing w:line="560" w:lineRule="exact"/>
        <w:ind w:firstLine="643"/>
        <w:rPr>
          <w:rFonts w:hint="default" w:ascii="Times New Roman" w:hAnsi="Times New Roman" w:eastAsia="楷体_GB2312" w:cs="Times New Roman"/>
          <w:b/>
          <w:color w:val="auto"/>
          <w:sz w:val="32"/>
          <w:szCs w:val="24"/>
          <w:lang w:val="zh-CN"/>
        </w:rPr>
      </w:pPr>
      <w:r>
        <w:rPr>
          <w:rFonts w:hint="default" w:ascii="Times New Roman" w:hAnsi="Times New Roman" w:eastAsia="楷体_GB2312" w:cs="Times New Roman"/>
          <w:b/>
          <w:color w:val="auto"/>
          <w:sz w:val="32"/>
          <w:szCs w:val="24"/>
          <w:lang w:val="zh-CN"/>
        </w:rPr>
        <w:t>（二）部门整体履职绩效分析。</w:t>
      </w:r>
    </w:p>
    <w:p>
      <w:pPr>
        <w:pageBreakBefore w:val="0"/>
        <w:widowControl/>
        <w:kinsoku/>
        <w:wordWrap/>
        <w:overflowPunct/>
        <w:topLinePunct w:val="0"/>
        <w:bidi w:val="0"/>
        <w:adjustRightInd w:val="0"/>
        <w:snapToGrid w:val="0"/>
        <w:spacing w:line="560" w:lineRule="exact"/>
        <w:ind w:firstLine="640" w:firstLineChars="200"/>
        <w:contextualSpacing/>
        <w:jc w:val="left"/>
        <w:rPr>
          <w:rFonts w:hint="default" w:ascii="Times New Roman" w:hAnsi="Times New Roman" w:eastAsia="仿宋_GB2312" w:cs="Times New Roman"/>
          <w:kern w:val="0"/>
          <w:sz w:val="32"/>
          <w:szCs w:val="32"/>
          <w:shd w:val="clear" w:color="auto" w:fill="FFFFFF"/>
        </w:rPr>
      </w:pPr>
      <w:r>
        <w:rPr>
          <w:rFonts w:hint="default" w:ascii="Times New Roman" w:hAnsi="Times New Roman" w:eastAsia="仿宋_GB2312" w:cs="Times New Roman"/>
          <w:kern w:val="0"/>
          <w:sz w:val="32"/>
          <w:szCs w:val="32"/>
          <w:shd w:val="clear" w:color="auto" w:fill="FFFFFF"/>
          <w:lang w:val="zh-CN"/>
        </w:rPr>
        <w:t>顺利完成了预算执行任务。通过对过去一年的工作进行分析和评估，</w:t>
      </w:r>
      <w:r>
        <w:rPr>
          <w:rFonts w:hint="default" w:ascii="Times New Roman" w:hAnsi="Times New Roman" w:eastAsia="仿宋_GB2312" w:cs="Times New Roman"/>
          <w:kern w:val="0"/>
          <w:sz w:val="32"/>
          <w:szCs w:val="32"/>
          <w:shd w:val="clear" w:color="auto" w:fill="FFFFFF"/>
        </w:rPr>
        <w:t>各类资金高效运转，</w:t>
      </w:r>
      <w:r>
        <w:rPr>
          <w:rFonts w:hint="default" w:ascii="Times New Roman" w:hAnsi="Times New Roman" w:cs="Times New Roman"/>
          <w:sz w:val="32"/>
          <w:szCs w:val="32"/>
          <w:lang w:val="zh-CN"/>
        </w:rPr>
        <w:t>资金使用率提高，</w:t>
      </w:r>
      <w:r>
        <w:rPr>
          <w:rFonts w:hint="default" w:ascii="Times New Roman" w:hAnsi="Times New Roman" w:eastAsia="仿宋_GB2312" w:cs="Times New Roman"/>
          <w:kern w:val="0"/>
          <w:sz w:val="32"/>
          <w:szCs w:val="32"/>
          <w:shd w:val="clear" w:color="auto" w:fill="FFFFFF"/>
        </w:rPr>
        <w:t>有力保障了各项工作目标任务的顺利完成</w:t>
      </w:r>
      <w:r>
        <w:rPr>
          <w:rFonts w:hint="default" w:ascii="Times New Roman" w:hAnsi="Times New Roman" w:eastAsia="仿宋_GB2312" w:cs="Times New Roman"/>
          <w:kern w:val="0"/>
          <w:sz w:val="32"/>
          <w:szCs w:val="32"/>
          <w:shd w:val="clear" w:color="auto" w:fill="FFFFFF"/>
          <w:lang w:eastAsia="zh-CN"/>
        </w:rPr>
        <w:t>，</w:t>
      </w:r>
      <w:r>
        <w:rPr>
          <w:rFonts w:hint="default" w:ascii="Times New Roman" w:hAnsi="Times New Roman" w:eastAsia="仿宋_GB2312" w:cs="Times New Roman"/>
          <w:kern w:val="0"/>
          <w:sz w:val="32"/>
          <w:szCs w:val="32"/>
          <w:shd w:val="clear" w:color="auto" w:fill="FFFFFF"/>
        </w:rPr>
        <w:t>服务对象满意度均达到了目标值，满意度很高。</w:t>
      </w:r>
    </w:p>
    <w:p>
      <w:pPr>
        <w:keepNext/>
        <w:keepLines/>
        <w:pageBreakBefore w:val="0"/>
        <w:numPr>
          <w:ilvl w:val="0"/>
          <w:numId w:val="6"/>
        </w:numPr>
        <w:kinsoku/>
        <w:wordWrap/>
        <w:overflowPunct/>
        <w:topLinePunct w:val="0"/>
        <w:bidi w:val="0"/>
        <w:spacing w:line="560" w:lineRule="exact"/>
        <w:ind w:left="0" w:leftChars="0" w:firstLine="643" w:firstLineChars="200"/>
        <w:rPr>
          <w:rFonts w:hint="default" w:ascii="Times New Roman" w:hAnsi="Times New Roman" w:eastAsia="楷体_GB2312" w:cs="Times New Roman"/>
          <w:b/>
          <w:color w:val="auto"/>
          <w:sz w:val="32"/>
          <w:szCs w:val="24"/>
          <w:lang w:val="zh-CN"/>
        </w:rPr>
      </w:pPr>
      <w:r>
        <w:rPr>
          <w:rFonts w:hint="default" w:ascii="Times New Roman" w:hAnsi="Times New Roman" w:eastAsia="楷体_GB2312" w:cs="Times New Roman"/>
          <w:b/>
          <w:color w:val="auto"/>
          <w:sz w:val="32"/>
          <w:szCs w:val="24"/>
          <w:lang w:val="zh-CN"/>
        </w:rPr>
        <w:t>结果应用情况。</w:t>
      </w:r>
    </w:p>
    <w:p>
      <w:pPr>
        <w:pageBreakBefore w:val="0"/>
        <w:widowControl/>
        <w:kinsoku/>
        <w:wordWrap/>
        <w:overflowPunct/>
        <w:topLinePunct w:val="0"/>
        <w:bidi w:val="0"/>
        <w:adjustRightInd w:val="0"/>
        <w:snapToGrid w:val="0"/>
        <w:spacing w:line="560" w:lineRule="exact"/>
        <w:ind w:firstLine="640" w:firstLineChars="200"/>
        <w:contextualSpacing/>
        <w:jc w:val="left"/>
        <w:rPr>
          <w:rFonts w:hint="default" w:ascii="Times New Roman" w:hAnsi="Times New Roman" w:eastAsia="仿宋_GB2312" w:cs="Times New Roman"/>
          <w:kern w:val="0"/>
          <w:sz w:val="32"/>
          <w:szCs w:val="32"/>
          <w:shd w:val="clear" w:color="auto" w:fill="FFFFFF"/>
          <w:lang w:val="zh-CN"/>
        </w:rPr>
      </w:pPr>
      <w:r>
        <w:rPr>
          <w:rFonts w:hint="default" w:ascii="Times New Roman" w:hAnsi="Times New Roman" w:eastAsia="仿宋_GB2312" w:cs="Times New Roman"/>
          <w:kern w:val="0"/>
          <w:sz w:val="32"/>
          <w:szCs w:val="32"/>
          <w:shd w:val="clear" w:color="auto" w:fill="FFFFFF"/>
          <w:lang w:val="zh-CN"/>
        </w:rPr>
        <w:t>1、内部应用</w:t>
      </w:r>
    </w:p>
    <w:p>
      <w:pPr>
        <w:pageBreakBefore w:val="0"/>
        <w:widowControl/>
        <w:kinsoku/>
        <w:wordWrap/>
        <w:overflowPunct/>
        <w:topLinePunct w:val="0"/>
        <w:bidi w:val="0"/>
        <w:adjustRightInd w:val="0"/>
        <w:snapToGrid w:val="0"/>
        <w:spacing w:line="560" w:lineRule="exact"/>
        <w:ind w:firstLine="640" w:firstLineChars="200"/>
        <w:contextualSpacing/>
        <w:jc w:val="left"/>
        <w:rPr>
          <w:rFonts w:hint="default" w:ascii="Times New Roman" w:hAnsi="Times New Roman" w:eastAsia="仿宋_GB2312" w:cs="Times New Roman"/>
          <w:kern w:val="0"/>
          <w:sz w:val="32"/>
          <w:szCs w:val="32"/>
          <w:shd w:val="clear" w:color="auto" w:fill="FFFFFF"/>
          <w:lang w:val="zh-CN"/>
        </w:rPr>
      </w:pPr>
      <w:r>
        <w:rPr>
          <w:rFonts w:hint="default" w:ascii="Times New Roman" w:hAnsi="Times New Roman" w:eastAsia="仿宋_GB2312" w:cs="Times New Roman"/>
          <w:kern w:val="0"/>
          <w:sz w:val="32"/>
          <w:szCs w:val="32"/>
          <w:shd w:val="clear" w:color="auto" w:fill="FFFFFF"/>
          <w:lang w:val="zh-CN"/>
        </w:rPr>
        <w:t>通过自评工作的开展，严格按照项目资金管理办法的规定做好项目实施和监管，切实做到专款专用，从而发挥好项目资金对项目实施的促进作用，将评价结果作为改进预算管理和财务管理以及以后年度预算安排的重要依据，对自评中发现的问题及时督促项目实施股室及下属单位进行整改，加强预算财务管理，完善管理制度，提高管理水平，增加财政资金使用的经济效益和社会效益。</w:t>
      </w:r>
    </w:p>
    <w:p>
      <w:pPr>
        <w:pageBreakBefore w:val="0"/>
        <w:widowControl/>
        <w:kinsoku/>
        <w:wordWrap/>
        <w:overflowPunct/>
        <w:topLinePunct w:val="0"/>
        <w:bidi w:val="0"/>
        <w:adjustRightInd w:val="0"/>
        <w:snapToGrid w:val="0"/>
        <w:spacing w:line="560" w:lineRule="exact"/>
        <w:ind w:firstLine="640" w:firstLineChars="200"/>
        <w:contextualSpacing/>
        <w:jc w:val="left"/>
        <w:rPr>
          <w:rFonts w:hint="default" w:ascii="Times New Roman" w:hAnsi="Times New Roman" w:eastAsia="仿宋_GB2312" w:cs="Times New Roman"/>
          <w:kern w:val="0"/>
          <w:sz w:val="32"/>
          <w:szCs w:val="32"/>
          <w:shd w:val="clear" w:color="auto" w:fill="FFFFFF"/>
          <w:lang w:val="zh-CN"/>
        </w:rPr>
      </w:pPr>
      <w:r>
        <w:rPr>
          <w:rFonts w:hint="default" w:ascii="Times New Roman" w:hAnsi="Times New Roman" w:eastAsia="仿宋_GB2312" w:cs="Times New Roman"/>
          <w:kern w:val="0"/>
          <w:sz w:val="32"/>
          <w:szCs w:val="32"/>
          <w:shd w:val="clear" w:color="auto" w:fill="FFFFFF"/>
          <w:lang w:val="zh-CN"/>
        </w:rPr>
        <w:t>2</w:t>
      </w:r>
      <w:r>
        <w:rPr>
          <w:rFonts w:hint="default" w:ascii="Times New Roman" w:hAnsi="Times New Roman" w:eastAsia="仿宋_GB2312" w:cs="Times New Roman"/>
          <w:kern w:val="0"/>
          <w:sz w:val="32"/>
          <w:szCs w:val="32"/>
          <w:shd w:val="clear" w:color="auto" w:fill="FFFFFF"/>
          <w:lang w:val="zh-CN" w:eastAsia="zh-CN"/>
        </w:rPr>
        <w:t>、</w:t>
      </w:r>
      <w:r>
        <w:rPr>
          <w:rFonts w:hint="default" w:ascii="Times New Roman" w:hAnsi="Times New Roman" w:eastAsia="仿宋_GB2312" w:cs="Times New Roman"/>
          <w:kern w:val="0"/>
          <w:sz w:val="32"/>
          <w:szCs w:val="32"/>
          <w:shd w:val="clear" w:color="auto" w:fill="FFFFFF"/>
          <w:lang w:val="zh-CN"/>
        </w:rPr>
        <w:t>自评公开</w:t>
      </w:r>
    </w:p>
    <w:p>
      <w:pPr>
        <w:pageBreakBefore w:val="0"/>
        <w:widowControl/>
        <w:kinsoku/>
        <w:wordWrap/>
        <w:overflowPunct/>
        <w:topLinePunct w:val="0"/>
        <w:bidi w:val="0"/>
        <w:adjustRightInd w:val="0"/>
        <w:snapToGrid w:val="0"/>
        <w:spacing w:line="560" w:lineRule="exact"/>
        <w:contextualSpacing/>
        <w:jc w:val="left"/>
        <w:rPr>
          <w:rFonts w:hint="default" w:ascii="Times New Roman" w:hAnsi="Times New Roman" w:eastAsia="仿宋_GB2312" w:cs="Times New Roman"/>
          <w:kern w:val="0"/>
          <w:sz w:val="32"/>
          <w:szCs w:val="32"/>
          <w:shd w:val="clear" w:color="auto" w:fill="FFFFFF"/>
          <w:lang w:val="zh-CN"/>
        </w:rPr>
      </w:pPr>
      <w:r>
        <w:rPr>
          <w:rFonts w:hint="default" w:ascii="Times New Roman" w:hAnsi="Times New Roman" w:eastAsia="仿宋_GB2312" w:cs="Times New Roman"/>
          <w:kern w:val="0"/>
          <w:sz w:val="32"/>
          <w:szCs w:val="32"/>
          <w:shd w:val="clear" w:color="auto" w:fill="FFFFFF"/>
          <w:lang w:val="zh-CN" w:eastAsia="zh-CN"/>
        </w:rPr>
        <w:t>按文件要求</w:t>
      </w:r>
      <w:r>
        <w:rPr>
          <w:rFonts w:hint="default" w:ascii="Times New Roman" w:hAnsi="Times New Roman" w:eastAsia="仿宋_GB2312" w:cs="Times New Roman"/>
          <w:kern w:val="0"/>
          <w:sz w:val="32"/>
          <w:szCs w:val="32"/>
          <w:shd w:val="clear" w:color="auto" w:fill="FFFFFF"/>
          <w:lang w:val="zh-CN"/>
        </w:rPr>
        <w:t>将</w:t>
      </w:r>
      <w:r>
        <w:rPr>
          <w:rFonts w:hint="default" w:ascii="Times New Roman" w:hAnsi="Times New Roman" w:eastAsia="仿宋_GB2312" w:cs="Times New Roman"/>
          <w:kern w:val="0"/>
          <w:sz w:val="32"/>
          <w:szCs w:val="32"/>
          <w:shd w:val="clear" w:color="auto" w:fill="FFFFFF"/>
          <w:lang w:val="zh-CN" w:eastAsia="zh-CN"/>
        </w:rPr>
        <w:t>部门整体支出绩效评价</w:t>
      </w:r>
      <w:r>
        <w:rPr>
          <w:rFonts w:hint="default" w:ascii="Times New Roman" w:hAnsi="Times New Roman" w:eastAsia="仿宋_GB2312" w:cs="Times New Roman"/>
          <w:kern w:val="0"/>
          <w:sz w:val="32"/>
          <w:szCs w:val="32"/>
          <w:shd w:val="clear" w:color="auto" w:fill="FFFFFF"/>
          <w:lang w:val="zh-CN"/>
        </w:rPr>
        <w:t>报告及相关附表、绩效信息</w:t>
      </w:r>
      <w:r>
        <w:rPr>
          <w:rFonts w:hint="default" w:ascii="Times New Roman" w:hAnsi="Times New Roman" w:eastAsia="仿宋_GB2312" w:cs="Times New Roman"/>
          <w:kern w:val="0"/>
          <w:sz w:val="32"/>
          <w:szCs w:val="32"/>
          <w:shd w:val="clear" w:color="auto" w:fill="FFFFFF"/>
          <w:lang w:val="zh-CN" w:eastAsia="zh-CN"/>
        </w:rPr>
        <w:t>完善后，经分管领导审核，并按照规定时间</w:t>
      </w:r>
      <w:r>
        <w:rPr>
          <w:rFonts w:hint="default" w:ascii="Times New Roman" w:hAnsi="Times New Roman" w:eastAsia="仿宋_GB2312" w:cs="Times New Roman"/>
          <w:kern w:val="0"/>
          <w:sz w:val="32"/>
          <w:szCs w:val="32"/>
          <w:shd w:val="clear" w:color="auto" w:fill="FFFFFF"/>
          <w:lang w:val="zh-CN"/>
        </w:rPr>
        <w:t>在仁和区门户网站进行了公示。</w:t>
      </w:r>
    </w:p>
    <w:p>
      <w:pPr>
        <w:pageBreakBefore w:val="0"/>
        <w:widowControl/>
        <w:kinsoku/>
        <w:wordWrap/>
        <w:overflowPunct/>
        <w:topLinePunct w:val="0"/>
        <w:bidi w:val="0"/>
        <w:adjustRightInd w:val="0"/>
        <w:snapToGrid w:val="0"/>
        <w:spacing w:line="560" w:lineRule="exact"/>
        <w:ind w:firstLine="640" w:firstLineChars="200"/>
        <w:contextualSpacing/>
        <w:jc w:val="left"/>
        <w:rPr>
          <w:rFonts w:hint="default" w:ascii="Times New Roman" w:hAnsi="Times New Roman" w:eastAsia="仿宋_GB2312" w:cs="Times New Roman"/>
          <w:kern w:val="0"/>
          <w:sz w:val="32"/>
          <w:szCs w:val="32"/>
          <w:shd w:val="clear" w:color="auto" w:fill="FFFFFF"/>
          <w:lang w:val="zh-CN"/>
        </w:rPr>
      </w:pPr>
      <w:r>
        <w:rPr>
          <w:rFonts w:hint="default" w:ascii="Times New Roman" w:hAnsi="Times New Roman" w:eastAsia="仿宋_GB2312" w:cs="Times New Roman"/>
          <w:kern w:val="0"/>
          <w:sz w:val="32"/>
          <w:szCs w:val="32"/>
          <w:shd w:val="clear" w:color="auto" w:fill="FFFFFF"/>
          <w:lang w:val="zh-CN"/>
        </w:rPr>
        <w:t>3</w:t>
      </w:r>
      <w:r>
        <w:rPr>
          <w:rFonts w:hint="default" w:ascii="Times New Roman" w:hAnsi="Times New Roman" w:eastAsia="仿宋_GB2312" w:cs="Times New Roman"/>
          <w:kern w:val="0"/>
          <w:sz w:val="32"/>
          <w:szCs w:val="32"/>
          <w:shd w:val="clear" w:color="auto" w:fill="FFFFFF"/>
          <w:lang w:val="zh-CN" w:eastAsia="zh-CN"/>
        </w:rPr>
        <w:t>、</w:t>
      </w:r>
      <w:r>
        <w:rPr>
          <w:rFonts w:hint="default" w:ascii="Times New Roman" w:hAnsi="Times New Roman" w:eastAsia="仿宋_GB2312" w:cs="Times New Roman"/>
          <w:kern w:val="0"/>
          <w:sz w:val="32"/>
          <w:szCs w:val="32"/>
          <w:shd w:val="clear" w:color="auto" w:fill="FFFFFF"/>
          <w:lang w:val="zh-CN"/>
        </w:rPr>
        <w:t>问题整改</w:t>
      </w:r>
    </w:p>
    <w:p>
      <w:pPr>
        <w:pageBreakBefore w:val="0"/>
        <w:widowControl/>
        <w:kinsoku/>
        <w:wordWrap/>
        <w:overflowPunct/>
        <w:topLinePunct w:val="0"/>
        <w:bidi w:val="0"/>
        <w:adjustRightInd w:val="0"/>
        <w:snapToGrid w:val="0"/>
        <w:spacing w:line="560" w:lineRule="exact"/>
        <w:ind w:firstLine="640" w:firstLineChars="200"/>
        <w:contextualSpacing/>
        <w:jc w:val="left"/>
        <w:rPr>
          <w:rFonts w:hint="default" w:ascii="Times New Roman" w:hAnsi="Times New Roman" w:eastAsia="仿宋_GB2312" w:cs="Times New Roman"/>
          <w:kern w:val="0"/>
          <w:sz w:val="32"/>
          <w:szCs w:val="32"/>
          <w:shd w:val="clear" w:color="auto" w:fill="FFFFFF"/>
          <w:lang w:val="zh-CN"/>
        </w:rPr>
      </w:pPr>
      <w:r>
        <w:rPr>
          <w:rFonts w:hint="default" w:ascii="Times New Roman" w:hAnsi="Times New Roman" w:eastAsia="仿宋_GB2312" w:cs="Times New Roman"/>
          <w:kern w:val="0"/>
          <w:sz w:val="32"/>
          <w:szCs w:val="32"/>
          <w:shd w:val="clear" w:color="auto" w:fill="FFFFFF"/>
          <w:lang w:val="zh-CN"/>
        </w:rPr>
        <w:t>绩效目标预算执行与年初预算编制有一定偏差。</w:t>
      </w:r>
    </w:p>
    <w:p>
      <w:pPr>
        <w:pageBreakBefore w:val="0"/>
        <w:widowControl/>
        <w:kinsoku/>
        <w:wordWrap/>
        <w:overflowPunct/>
        <w:topLinePunct w:val="0"/>
        <w:bidi w:val="0"/>
        <w:adjustRightInd w:val="0"/>
        <w:snapToGrid w:val="0"/>
        <w:spacing w:line="560" w:lineRule="exact"/>
        <w:ind w:firstLine="640" w:firstLineChars="200"/>
        <w:contextualSpacing/>
        <w:jc w:val="left"/>
        <w:rPr>
          <w:rFonts w:hint="default" w:ascii="Times New Roman" w:hAnsi="Times New Roman" w:eastAsia="仿宋_GB2312" w:cs="Times New Roman"/>
          <w:kern w:val="0"/>
          <w:sz w:val="32"/>
          <w:szCs w:val="32"/>
          <w:shd w:val="clear" w:color="auto" w:fill="FFFFFF"/>
          <w:lang w:val="zh-CN"/>
        </w:rPr>
      </w:pPr>
      <w:r>
        <w:rPr>
          <w:rFonts w:hint="default" w:ascii="Times New Roman" w:hAnsi="Times New Roman" w:eastAsia="仿宋_GB2312" w:cs="Times New Roman"/>
          <w:kern w:val="0"/>
          <w:sz w:val="32"/>
          <w:szCs w:val="32"/>
          <w:shd w:val="clear" w:color="auto" w:fill="FFFFFF"/>
          <w:lang w:val="zh-CN"/>
        </w:rPr>
        <w:t>4</w:t>
      </w:r>
      <w:r>
        <w:rPr>
          <w:rFonts w:hint="default" w:ascii="Times New Roman" w:hAnsi="Times New Roman" w:eastAsia="仿宋_GB2312" w:cs="Times New Roman"/>
          <w:kern w:val="0"/>
          <w:sz w:val="32"/>
          <w:szCs w:val="32"/>
          <w:shd w:val="clear" w:color="auto" w:fill="FFFFFF"/>
          <w:lang w:val="zh-CN" w:eastAsia="zh-CN"/>
        </w:rPr>
        <w:t>、</w:t>
      </w:r>
      <w:r>
        <w:rPr>
          <w:rFonts w:hint="default" w:ascii="Times New Roman" w:hAnsi="Times New Roman" w:eastAsia="仿宋_GB2312" w:cs="Times New Roman"/>
          <w:kern w:val="0"/>
          <w:sz w:val="32"/>
          <w:szCs w:val="32"/>
          <w:shd w:val="clear" w:color="auto" w:fill="FFFFFF"/>
          <w:lang w:val="zh-CN"/>
        </w:rPr>
        <w:t>应用反馈</w:t>
      </w:r>
    </w:p>
    <w:p>
      <w:pPr>
        <w:pageBreakBefore w:val="0"/>
        <w:widowControl/>
        <w:kinsoku/>
        <w:wordWrap/>
        <w:overflowPunct/>
        <w:topLinePunct w:val="0"/>
        <w:bidi w:val="0"/>
        <w:adjustRightInd w:val="0"/>
        <w:snapToGrid w:val="0"/>
        <w:spacing w:line="560" w:lineRule="exact"/>
        <w:ind w:firstLine="640" w:firstLineChars="200"/>
        <w:contextualSpacing/>
        <w:jc w:val="left"/>
        <w:rPr>
          <w:rFonts w:hint="default" w:ascii="Times New Roman" w:hAnsi="Times New Roman" w:eastAsia="仿宋_GB2312" w:cs="Times New Roman"/>
          <w:kern w:val="0"/>
          <w:sz w:val="32"/>
          <w:szCs w:val="32"/>
          <w:shd w:val="clear" w:color="auto" w:fill="FFFFFF"/>
          <w:lang w:val="zh-CN"/>
        </w:rPr>
      </w:pPr>
      <w:r>
        <w:rPr>
          <w:rFonts w:hint="default" w:ascii="Times New Roman" w:hAnsi="Times New Roman" w:eastAsia="仿宋_GB2312" w:cs="Times New Roman"/>
          <w:kern w:val="0"/>
          <w:sz w:val="32"/>
          <w:szCs w:val="32"/>
          <w:shd w:val="clear" w:color="auto" w:fill="FFFFFF"/>
          <w:lang w:val="zh-CN"/>
        </w:rPr>
        <w:t>规范财务管理</w:t>
      </w:r>
      <w:r>
        <w:rPr>
          <w:rFonts w:hint="default" w:ascii="Times New Roman" w:hAnsi="Times New Roman" w:eastAsia="仿宋_GB2312" w:cs="Times New Roman"/>
          <w:kern w:val="0"/>
          <w:sz w:val="32"/>
          <w:szCs w:val="32"/>
          <w:shd w:val="clear" w:color="auto" w:fill="FFFFFF"/>
          <w:lang w:val="zh-CN" w:eastAsia="zh-CN"/>
        </w:rPr>
        <w:t>，</w:t>
      </w:r>
      <w:r>
        <w:rPr>
          <w:rFonts w:hint="default" w:ascii="Times New Roman" w:hAnsi="Times New Roman" w:eastAsia="仿宋_GB2312" w:cs="Times New Roman"/>
          <w:kern w:val="0"/>
          <w:sz w:val="32"/>
          <w:szCs w:val="32"/>
          <w:shd w:val="clear" w:color="auto" w:fill="FFFFFF"/>
          <w:lang w:val="zh-CN"/>
        </w:rPr>
        <w:t>严格将预算执行纳入单位整体支出绩效目标和项目绩效目标管理，按期及时向财政部门反馈部门资金使用情况，提高财政资金使用效益。各项目得以顺利实施，确保财政工作有序开展，防范财政风险，促进全区经济健康平稳发展，社会和谐稳定，服务对象满意。</w:t>
      </w:r>
    </w:p>
    <w:p>
      <w:pPr>
        <w:keepNext/>
        <w:keepLines/>
        <w:pageBreakBefore w:val="0"/>
        <w:kinsoku/>
        <w:wordWrap/>
        <w:overflowPunct/>
        <w:topLinePunct w:val="0"/>
        <w:bidi w:val="0"/>
        <w:spacing w:line="560" w:lineRule="exact"/>
        <w:ind w:firstLine="643"/>
        <w:rPr>
          <w:rFonts w:hint="default" w:ascii="Times New Roman" w:hAnsi="Times New Roman" w:eastAsia="楷体_GB2312" w:cs="Times New Roman"/>
          <w:b/>
          <w:color w:val="auto"/>
          <w:sz w:val="32"/>
          <w:szCs w:val="24"/>
          <w:lang w:val="zh-CN"/>
        </w:rPr>
      </w:pPr>
      <w:r>
        <w:rPr>
          <w:rFonts w:hint="default" w:ascii="Times New Roman" w:hAnsi="Times New Roman" w:eastAsia="楷体_GB2312" w:cs="Times New Roman"/>
          <w:b/>
          <w:color w:val="auto"/>
          <w:sz w:val="32"/>
          <w:szCs w:val="24"/>
          <w:lang w:val="en-US"/>
        </w:rPr>
        <w:t>（四）</w:t>
      </w:r>
      <w:r>
        <w:rPr>
          <w:rFonts w:hint="default" w:ascii="Times New Roman" w:hAnsi="Times New Roman" w:eastAsia="楷体_GB2312" w:cs="Times New Roman"/>
          <w:b/>
          <w:color w:val="auto"/>
          <w:sz w:val="32"/>
          <w:szCs w:val="24"/>
          <w:lang w:val="zh-CN"/>
        </w:rPr>
        <w:t>自评质量。</w:t>
      </w:r>
    </w:p>
    <w:p>
      <w:pPr>
        <w:pageBreakBefore w:val="0"/>
        <w:kinsoku/>
        <w:wordWrap/>
        <w:overflowPunct/>
        <w:topLinePunct w:val="0"/>
        <w:bidi w:val="0"/>
        <w:spacing w:line="560" w:lineRule="exact"/>
        <w:rPr>
          <w:rFonts w:hint="default" w:ascii="Times New Roman" w:hAnsi="Times New Roman" w:cs="Times New Roman"/>
          <w:lang w:val="en-US"/>
        </w:rPr>
      </w:pPr>
      <w:r>
        <w:rPr>
          <w:rFonts w:hint="default" w:ascii="Times New Roman" w:hAnsi="Times New Roman" w:eastAsia="仿宋_GB2312" w:cs="Times New Roman"/>
          <w:b w:val="0"/>
          <w:bCs w:val="0"/>
          <w:kern w:val="0"/>
          <w:sz w:val="32"/>
          <w:szCs w:val="32"/>
          <w:shd w:val="clear" w:color="auto" w:fill="FFFFFF"/>
          <w:lang w:val="zh-CN" w:eastAsia="zh-CN" w:bidi="ar-SA"/>
        </w:rPr>
        <w:t>按照财政资金的使用用途和目的，做到资金管理制度健全，款项支付规范，专款专用，最大限度地发挥了财政资金的使用效率，较好地执行了年初预算各项资金计划；遵守各项规章制度及中央、省、市各项规定，“三公经费”有所下降。项目资金加强了管理监督，达到了节约、高效的支出目标。</w:t>
      </w:r>
      <w:r>
        <w:rPr>
          <w:rFonts w:hint="eastAsia" w:eastAsia="仿宋_GB2312" w:cs="Times New Roman"/>
          <w:b w:val="0"/>
          <w:bCs w:val="0"/>
          <w:kern w:val="0"/>
          <w:sz w:val="32"/>
          <w:szCs w:val="32"/>
          <w:shd w:val="clear" w:color="auto" w:fill="FFFFFF"/>
          <w:lang w:val="en-US" w:eastAsia="zh-CN" w:bidi="ar-SA"/>
        </w:rPr>
        <w:t>账</w:t>
      </w:r>
      <w:r>
        <w:rPr>
          <w:rFonts w:hint="default" w:ascii="Times New Roman" w:hAnsi="Times New Roman" w:eastAsia="仿宋_GB2312" w:cs="Times New Roman"/>
          <w:b w:val="0"/>
          <w:bCs w:val="0"/>
          <w:kern w:val="0"/>
          <w:sz w:val="32"/>
          <w:szCs w:val="32"/>
          <w:shd w:val="clear" w:color="auto" w:fill="FFFFFF"/>
          <w:lang w:val="zh-CN" w:eastAsia="zh-CN" w:bidi="ar-SA"/>
        </w:rPr>
        <w:t>务核算及时规范，保障了机关正常运转；积极履职，强化管理，较好</w:t>
      </w:r>
      <w:r>
        <w:rPr>
          <w:rFonts w:hint="eastAsia" w:eastAsia="仿宋_GB2312" w:cs="Times New Roman"/>
          <w:b w:val="0"/>
          <w:bCs w:val="0"/>
          <w:kern w:val="0"/>
          <w:sz w:val="32"/>
          <w:szCs w:val="32"/>
          <w:shd w:val="clear" w:color="auto" w:fill="FFFFFF"/>
          <w:lang w:val="en-US" w:eastAsia="zh-CN" w:bidi="ar-SA"/>
        </w:rPr>
        <w:t>地</w:t>
      </w:r>
      <w:r>
        <w:rPr>
          <w:rFonts w:hint="default" w:ascii="Times New Roman" w:hAnsi="Times New Roman" w:eastAsia="仿宋_GB2312" w:cs="Times New Roman"/>
          <w:b w:val="0"/>
          <w:bCs w:val="0"/>
          <w:kern w:val="0"/>
          <w:sz w:val="32"/>
          <w:szCs w:val="32"/>
          <w:shd w:val="clear" w:color="auto" w:fill="FFFFFF"/>
          <w:lang w:val="zh-CN" w:eastAsia="zh-CN" w:bidi="ar-SA"/>
        </w:rPr>
        <w:t>完成了年度工作目标，根据区级部门支出绩效评价共性指标体系评价标准，评价良好。</w:t>
      </w:r>
    </w:p>
    <w:p>
      <w:pPr>
        <w:keepNext/>
        <w:keepLines/>
        <w:pageBreakBefore w:val="0"/>
        <w:kinsoku/>
        <w:wordWrap/>
        <w:overflowPunct/>
        <w:topLinePunct w:val="0"/>
        <w:autoSpaceDE w:val="0"/>
        <w:autoSpaceDN w:val="0"/>
        <w:bidi w:val="0"/>
        <w:adjustRightInd w:val="0"/>
        <w:spacing w:line="560" w:lineRule="exact"/>
        <w:ind w:firstLine="640"/>
        <w:jc w:val="left"/>
        <w:rPr>
          <w:rFonts w:hint="default" w:ascii="Times New Roman" w:hAnsi="Times New Roman" w:eastAsia="黑体" w:cs="Times New Roman"/>
          <w:color w:val="auto"/>
          <w:kern w:val="0"/>
          <w:sz w:val="32"/>
          <w:szCs w:val="24"/>
          <w:lang w:val="en-US"/>
        </w:rPr>
      </w:pPr>
      <w:r>
        <w:rPr>
          <w:rFonts w:hint="default" w:ascii="Times New Roman" w:hAnsi="Times New Roman" w:eastAsia="黑体" w:cs="Times New Roman"/>
          <w:color w:val="auto"/>
          <w:kern w:val="0"/>
          <w:sz w:val="32"/>
          <w:szCs w:val="24"/>
          <w:lang w:val="en-US"/>
        </w:rPr>
        <w:t>四、评价结论及建议</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kern w:val="0"/>
          <w:sz w:val="32"/>
          <w:szCs w:val="32"/>
          <w:shd w:val="clear" w:color="auto" w:fill="FFFFFF"/>
          <w:lang w:val="zh-CN" w:eastAsia="zh-CN" w:bidi="ar-SA"/>
        </w:rPr>
      </w:pPr>
      <w:r>
        <w:rPr>
          <w:rFonts w:hint="eastAsia" w:ascii="楷体" w:hAnsi="楷体" w:eastAsia="楷体" w:cs="楷体"/>
          <w:b/>
          <w:bCs/>
          <w:kern w:val="0"/>
          <w:sz w:val="32"/>
          <w:szCs w:val="32"/>
          <w:shd w:val="clear" w:color="auto" w:fill="FFFFFF"/>
          <w:lang w:val="zh-CN" w:eastAsia="zh-CN" w:bidi="ar-SA"/>
        </w:rPr>
        <w:t>（一）评价结论。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0"/>
          <w:sz w:val="32"/>
          <w:szCs w:val="32"/>
          <w:shd w:val="clear" w:color="auto" w:fill="FFFFFF"/>
          <w:lang w:val="zh-CN" w:eastAsia="zh-CN" w:bidi="ar-SA"/>
        </w:rPr>
      </w:pPr>
      <w:r>
        <w:rPr>
          <w:rFonts w:hint="default" w:ascii="Times New Roman" w:hAnsi="Times New Roman" w:eastAsia="仿宋_GB2312" w:cs="Times New Roman"/>
          <w:b w:val="0"/>
          <w:bCs w:val="0"/>
          <w:kern w:val="0"/>
          <w:sz w:val="32"/>
          <w:szCs w:val="32"/>
          <w:shd w:val="clear" w:color="auto" w:fill="FFFFFF"/>
          <w:lang w:val="zh-CN" w:eastAsia="zh-CN" w:bidi="ar-SA"/>
        </w:rPr>
        <w:t xml:space="preserve"> 按要求对202</w:t>
      </w:r>
      <w:r>
        <w:rPr>
          <w:rFonts w:hint="default" w:ascii="Times New Roman" w:hAnsi="Times New Roman" w:eastAsia="仿宋_GB2312" w:cs="Times New Roman"/>
          <w:b w:val="0"/>
          <w:bCs w:val="0"/>
          <w:kern w:val="0"/>
          <w:sz w:val="32"/>
          <w:szCs w:val="32"/>
          <w:shd w:val="clear" w:color="auto" w:fill="FFFFFF"/>
          <w:lang w:val="en-US" w:eastAsia="zh-CN" w:bidi="ar-SA"/>
        </w:rPr>
        <w:t>2</w:t>
      </w:r>
      <w:r>
        <w:rPr>
          <w:rFonts w:hint="default" w:ascii="Times New Roman" w:hAnsi="Times New Roman" w:eastAsia="仿宋_GB2312" w:cs="Times New Roman"/>
          <w:b w:val="0"/>
          <w:bCs w:val="0"/>
          <w:kern w:val="0"/>
          <w:sz w:val="32"/>
          <w:szCs w:val="32"/>
          <w:shd w:val="clear" w:color="auto" w:fill="FFFFFF"/>
          <w:lang w:val="zh-CN" w:eastAsia="zh-CN" w:bidi="ar-SA"/>
        </w:rPr>
        <w:t>年部门预算整体绩效评价进行自评，从评价情况看，202</w:t>
      </w:r>
      <w:r>
        <w:rPr>
          <w:rFonts w:hint="default" w:ascii="Times New Roman" w:hAnsi="Times New Roman" w:eastAsia="仿宋_GB2312" w:cs="Times New Roman"/>
          <w:b w:val="0"/>
          <w:bCs w:val="0"/>
          <w:kern w:val="0"/>
          <w:sz w:val="32"/>
          <w:szCs w:val="32"/>
          <w:shd w:val="clear" w:color="auto" w:fill="FFFFFF"/>
          <w:lang w:val="en-US" w:eastAsia="zh-CN" w:bidi="ar-SA"/>
        </w:rPr>
        <w:t>2</w:t>
      </w:r>
      <w:r>
        <w:rPr>
          <w:rFonts w:hint="default" w:ascii="Times New Roman" w:hAnsi="Times New Roman" w:eastAsia="仿宋_GB2312" w:cs="Times New Roman"/>
          <w:b w:val="0"/>
          <w:bCs w:val="0"/>
          <w:kern w:val="0"/>
          <w:sz w:val="32"/>
          <w:szCs w:val="32"/>
          <w:shd w:val="clear" w:color="auto" w:fill="FFFFFF"/>
          <w:lang w:val="zh-CN" w:eastAsia="zh-CN" w:bidi="ar-SA"/>
        </w:rPr>
        <w:t xml:space="preserve"> 年我单位部门整体支出绩效评价自查自评结果良好，全年基本支出保证了部门的正常运行和日常工作的正常开展，项目支出保障了重点工作的开展，绩效目标得到较好实现，绩效管理水平不断提高，绩效指标体系逐渐丰富和完善。绩效目标全面完成，单位财务制度健全，管理规范，财政预算得到有效执行。通过加强绩效预算管理，财政资金得到有效使用，行政效率得到提高，促进了各项工作顺利开展。社会评价良好，群众满意度较高，项目实施成效较好。</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kern w:val="0"/>
          <w:sz w:val="32"/>
          <w:szCs w:val="32"/>
          <w:shd w:val="clear" w:color="auto" w:fill="FFFFFF"/>
          <w:lang w:val="zh-CN" w:eastAsia="zh-CN" w:bidi="ar-SA"/>
        </w:rPr>
      </w:pPr>
      <w:r>
        <w:rPr>
          <w:rFonts w:hint="eastAsia" w:ascii="楷体" w:hAnsi="楷体" w:eastAsia="楷体" w:cs="楷体"/>
          <w:b/>
          <w:bCs/>
          <w:kern w:val="0"/>
          <w:sz w:val="32"/>
          <w:szCs w:val="32"/>
          <w:shd w:val="clear" w:color="auto" w:fill="FFFFFF"/>
          <w:lang w:val="zh-CN" w:eastAsia="zh-CN" w:bidi="ar-SA"/>
        </w:rPr>
        <w:t>（二）存在问题。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0"/>
          <w:sz w:val="32"/>
          <w:szCs w:val="32"/>
          <w:shd w:val="clear" w:color="auto" w:fill="FFFFFF"/>
          <w:lang w:val="zh-CN" w:eastAsia="zh-CN" w:bidi="ar-SA"/>
        </w:rPr>
      </w:pPr>
      <w:r>
        <w:rPr>
          <w:rFonts w:hint="default" w:ascii="Times New Roman" w:hAnsi="Times New Roman" w:eastAsia="仿宋_GB2312" w:cs="Times New Roman"/>
          <w:b w:val="0"/>
          <w:bCs w:val="0"/>
          <w:kern w:val="0"/>
          <w:sz w:val="32"/>
          <w:szCs w:val="32"/>
          <w:shd w:val="clear" w:color="auto" w:fill="FFFFFF"/>
          <w:lang w:val="zh-CN" w:eastAsia="zh-CN" w:bidi="ar-SA"/>
        </w:rPr>
        <w:t>绩效目标预算执行与年初预算编制有一定偏差。预算执行管理需持续强化。</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kern w:val="0"/>
          <w:sz w:val="32"/>
          <w:szCs w:val="32"/>
          <w:shd w:val="clear" w:color="auto" w:fill="FFFFFF"/>
          <w:lang w:val="zh-CN" w:eastAsia="zh-CN" w:bidi="ar-SA"/>
        </w:rPr>
      </w:pPr>
      <w:r>
        <w:rPr>
          <w:rFonts w:hint="default" w:ascii="Times New Roman" w:hAnsi="Times New Roman" w:eastAsia="仿宋_GB2312" w:cs="Times New Roman"/>
          <w:b/>
          <w:bCs/>
          <w:kern w:val="0"/>
          <w:sz w:val="32"/>
          <w:szCs w:val="32"/>
          <w:shd w:val="clear" w:color="auto" w:fill="FFFFFF"/>
          <w:lang w:val="zh-CN" w:eastAsia="zh-CN" w:bidi="ar-SA"/>
        </w:rPr>
        <w:t>（三）改进建议。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kern w:val="0"/>
          <w:sz w:val="32"/>
          <w:szCs w:val="32"/>
          <w:shd w:val="clear" w:color="auto" w:fill="FFFFFF"/>
          <w:lang w:val="zh-CN" w:eastAsia="zh-CN" w:bidi="ar-SA"/>
        </w:rPr>
      </w:pPr>
      <w:r>
        <w:rPr>
          <w:rFonts w:hint="default" w:ascii="Times New Roman" w:hAnsi="Times New Roman" w:eastAsia="仿宋_GB2312" w:cs="Times New Roman"/>
          <w:b w:val="0"/>
          <w:bCs w:val="0"/>
          <w:kern w:val="0"/>
          <w:sz w:val="32"/>
          <w:szCs w:val="32"/>
          <w:shd w:val="clear" w:color="auto" w:fill="FFFFFF"/>
          <w:lang w:val="zh-CN" w:eastAsia="zh-CN" w:bidi="ar-SA"/>
        </w:rPr>
        <w:t>针对存在的问题，科学设定绩效目标，加强预算执行管理是关键。一是进一步规范部门收支预算编制程序，提高预算编制质量；二是加强项目绩效的目标审核，力求科学合理，提高资金成本的使用率。</w:t>
      </w:r>
    </w:p>
    <w:p>
      <w:pPr>
        <w:pStyle w:val="15"/>
        <w:pageBreakBefore w:val="0"/>
        <w:kinsoku/>
        <w:wordWrap/>
        <w:overflowPunct/>
        <w:topLinePunct w:val="0"/>
        <w:bidi w:val="0"/>
        <w:spacing w:line="560" w:lineRule="exact"/>
        <w:ind w:left="0" w:leftChars="0" w:firstLine="640"/>
        <w:rPr>
          <w:rFonts w:hint="default" w:ascii="Times New Roman" w:hAnsi="Times New Roman" w:eastAsia="仿宋_GB2312" w:cs="Times New Roman"/>
          <w:sz w:val="32"/>
        </w:rPr>
      </w:pPr>
      <w:r>
        <w:rPr>
          <w:rFonts w:hint="default" w:ascii="Times New Roman" w:hAnsi="Times New Roman" w:eastAsia="仿宋_GB2312" w:cs="Times New Roman"/>
          <w:sz w:val="32"/>
          <w:lang w:val="zh-CN"/>
        </w:rPr>
        <w:t>附表：</w:t>
      </w:r>
      <w:r>
        <w:rPr>
          <w:rFonts w:hint="default" w:ascii="Times New Roman" w:hAnsi="Times New Roman" w:eastAsia="仿宋_GB2312" w:cs="Times New Roman"/>
          <w:sz w:val="32"/>
        </w:rPr>
        <w:t>部门预算项目支出绩效自评表（2022年度）见附件3</w:t>
      </w:r>
    </w:p>
    <w:p>
      <w:pPr>
        <w:pStyle w:val="15"/>
        <w:pageBreakBefore w:val="0"/>
        <w:kinsoku/>
        <w:wordWrap/>
        <w:overflowPunct/>
        <w:topLinePunct w:val="0"/>
        <w:bidi w:val="0"/>
        <w:spacing w:line="560" w:lineRule="exact"/>
        <w:ind w:left="0" w:leftChars="0" w:firstLine="640"/>
        <w:rPr>
          <w:rFonts w:hint="default" w:ascii="Times New Roman" w:hAnsi="Times New Roman" w:eastAsia="仿宋_GB2312" w:cs="Times New Roman"/>
          <w:sz w:val="32"/>
        </w:rPr>
      </w:pPr>
    </w:p>
    <w:p>
      <w:pPr>
        <w:pStyle w:val="15"/>
        <w:pageBreakBefore w:val="0"/>
        <w:kinsoku/>
        <w:wordWrap/>
        <w:overflowPunct/>
        <w:topLinePunct w:val="0"/>
        <w:bidi w:val="0"/>
        <w:spacing w:line="560" w:lineRule="exact"/>
        <w:ind w:left="0" w:leftChars="0" w:firstLine="640"/>
        <w:rPr>
          <w:rFonts w:hint="default" w:ascii="Times New Roman" w:hAnsi="Times New Roman" w:eastAsia="仿宋_GB2312" w:cs="Times New Roman"/>
          <w:sz w:val="32"/>
        </w:rPr>
      </w:pPr>
    </w:p>
    <w:p>
      <w:pPr>
        <w:pStyle w:val="15"/>
        <w:pageBreakBefore w:val="0"/>
        <w:kinsoku/>
        <w:wordWrap/>
        <w:overflowPunct/>
        <w:topLinePunct w:val="0"/>
        <w:bidi w:val="0"/>
        <w:spacing w:line="560" w:lineRule="exact"/>
        <w:ind w:left="0" w:leftChars="0" w:firstLine="640"/>
        <w:rPr>
          <w:rFonts w:hint="default" w:ascii="Times New Roman" w:hAnsi="Times New Roman" w:eastAsia="仿宋_GB2312" w:cs="Times New Roman"/>
          <w:sz w:val="32"/>
        </w:rPr>
      </w:pPr>
    </w:p>
    <w:p>
      <w:pPr>
        <w:pStyle w:val="15"/>
        <w:pageBreakBefore w:val="0"/>
        <w:kinsoku/>
        <w:wordWrap/>
        <w:overflowPunct/>
        <w:topLinePunct w:val="0"/>
        <w:bidi w:val="0"/>
        <w:spacing w:line="560" w:lineRule="exact"/>
        <w:ind w:left="0" w:leftChars="0" w:firstLine="640"/>
        <w:rPr>
          <w:rFonts w:hint="default" w:ascii="Times New Roman" w:hAnsi="Times New Roman" w:eastAsia="仿宋_GB2312" w:cs="Times New Roman"/>
          <w:sz w:val="32"/>
        </w:rPr>
      </w:pPr>
    </w:p>
    <w:p>
      <w:pPr>
        <w:pStyle w:val="15"/>
        <w:pageBreakBefore w:val="0"/>
        <w:kinsoku/>
        <w:wordWrap/>
        <w:overflowPunct/>
        <w:topLinePunct w:val="0"/>
        <w:bidi w:val="0"/>
        <w:spacing w:line="560" w:lineRule="exact"/>
        <w:ind w:left="0" w:leftChars="0" w:firstLine="640"/>
        <w:rPr>
          <w:rFonts w:hint="default" w:ascii="Times New Roman" w:hAnsi="Times New Roman" w:eastAsia="仿宋_GB2312" w:cs="Times New Roman"/>
          <w:sz w:val="32"/>
        </w:rPr>
      </w:pPr>
    </w:p>
    <w:p>
      <w:pPr>
        <w:pStyle w:val="15"/>
        <w:pageBreakBefore w:val="0"/>
        <w:kinsoku/>
        <w:wordWrap/>
        <w:overflowPunct/>
        <w:topLinePunct w:val="0"/>
        <w:bidi w:val="0"/>
        <w:spacing w:line="560" w:lineRule="exact"/>
        <w:ind w:left="0" w:leftChars="0" w:firstLine="640"/>
        <w:rPr>
          <w:rFonts w:hint="default" w:ascii="Times New Roman" w:hAnsi="Times New Roman" w:eastAsia="仿宋_GB2312" w:cs="Times New Roman"/>
          <w:sz w:val="32"/>
        </w:rPr>
      </w:pPr>
    </w:p>
    <w:p>
      <w:pPr>
        <w:pStyle w:val="15"/>
        <w:pageBreakBefore w:val="0"/>
        <w:kinsoku/>
        <w:wordWrap/>
        <w:overflowPunct/>
        <w:topLinePunct w:val="0"/>
        <w:bidi w:val="0"/>
        <w:spacing w:line="560" w:lineRule="exact"/>
        <w:ind w:left="0" w:leftChars="0" w:firstLine="640"/>
        <w:rPr>
          <w:rFonts w:hint="default" w:ascii="Times New Roman" w:hAnsi="Times New Roman" w:eastAsia="仿宋_GB2312" w:cs="Times New Roman"/>
          <w:sz w:val="32"/>
        </w:rPr>
      </w:pPr>
    </w:p>
    <w:p>
      <w:pPr>
        <w:pStyle w:val="15"/>
        <w:pageBreakBefore w:val="0"/>
        <w:kinsoku/>
        <w:wordWrap/>
        <w:overflowPunct/>
        <w:topLinePunct w:val="0"/>
        <w:bidi w:val="0"/>
        <w:spacing w:line="560" w:lineRule="exact"/>
        <w:ind w:left="0" w:leftChars="0" w:firstLine="640"/>
        <w:rPr>
          <w:rFonts w:hint="default" w:ascii="Times New Roman" w:hAnsi="Times New Roman" w:eastAsia="仿宋_GB2312" w:cs="Times New Roman"/>
          <w:sz w:val="32"/>
        </w:rPr>
      </w:pPr>
    </w:p>
    <w:p>
      <w:pPr>
        <w:pStyle w:val="15"/>
        <w:pageBreakBefore w:val="0"/>
        <w:kinsoku/>
        <w:wordWrap/>
        <w:overflowPunct/>
        <w:topLinePunct w:val="0"/>
        <w:bidi w:val="0"/>
        <w:spacing w:line="560" w:lineRule="exact"/>
        <w:ind w:left="0" w:leftChars="0" w:firstLine="0" w:firstLineChars="0"/>
        <w:rPr>
          <w:rFonts w:hint="default" w:ascii="Times New Roman" w:hAnsi="Times New Roman" w:eastAsia="仿宋_GB2312" w:cs="Times New Roman"/>
          <w:sz w:val="32"/>
          <w:lang w:val="zh-CN"/>
        </w:rPr>
      </w:pPr>
    </w:p>
    <w:p>
      <w:pPr>
        <w:pStyle w:val="26"/>
        <w:pageBreakBefore w:val="0"/>
        <w:kinsoku/>
        <w:wordWrap/>
        <w:overflowPunct/>
        <w:topLinePunct w:val="0"/>
        <w:bidi w:val="0"/>
        <w:spacing w:line="560" w:lineRule="exact"/>
        <w:ind w:firstLine="640" w:firstLineChars="200"/>
        <w:rPr>
          <w:rFonts w:hint="default" w:ascii="Times New Roman" w:hAnsi="Times New Roman" w:eastAsia="仿宋_GB2312" w:cs="Times New Roman"/>
          <w:sz w:val="32"/>
          <w:szCs w:val="32"/>
        </w:rPr>
      </w:pPr>
    </w:p>
    <w:p>
      <w:pPr>
        <w:pStyle w:val="2"/>
        <w:pageBreakBefore w:val="0"/>
        <w:kinsoku/>
        <w:wordWrap/>
        <w:overflowPunct/>
        <w:topLinePunct w:val="0"/>
        <w:bidi w:val="0"/>
        <w:spacing w:before="93" w:line="560" w:lineRule="exact"/>
        <w:rPr>
          <w:rFonts w:hint="default" w:ascii="Times New Roman" w:hAnsi="Times New Roman" w:cs="Times New Roman"/>
          <w:sz w:val="32"/>
          <w:szCs w:val="32"/>
          <w:shd w:val="clear" w:color="auto" w:fill="FFFFFF"/>
        </w:rPr>
      </w:pPr>
      <w:r>
        <w:rPr>
          <w:rFonts w:hint="default" w:ascii="Times New Roman" w:hAnsi="Times New Roman" w:cs="Times New Roman"/>
          <w:sz w:val="32"/>
          <w:szCs w:val="32"/>
          <w:shd w:val="clear" w:color="auto" w:fill="FFFFFF"/>
          <w:lang w:val="zh-CN"/>
        </w:rPr>
        <w:t>附件</w:t>
      </w:r>
      <w:r>
        <w:rPr>
          <w:rFonts w:hint="default" w:ascii="Times New Roman" w:hAnsi="Times New Roman" w:cs="Times New Roman"/>
          <w:sz w:val="32"/>
          <w:szCs w:val="32"/>
          <w:shd w:val="clear" w:color="auto" w:fill="FFFFFF"/>
        </w:rPr>
        <w:t>2</w:t>
      </w:r>
    </w:p>
    <w:p>
      <w:pPr>
        <w:pStyle w:val="2"/>
        <w:pageBreakBefore w:val="0"/>
        <w:kinsoku/>
        <w:wordWrap/>
        <w:overflowPunct/>
        <w:topLinePunct w:val="0"/>
        <w:bidi w:val="0"/>
        <w:spacing w:before="93" w:line="560" w:lineRule="exact"/>
        <w:ind w:firstLine="800" w:firstLineChars="200"/>
        <w:rPr>
          <w:rFonts w:hint="default" w:ascii="Times New Roman" w:hAnsi="Times New Roman" w:eastAsia="方正小标宋简体" w:cs="Times New Roman"/>
          <w:sz w:val="40"/>
          <w:szCs w:val="40"/>
        </w:rPr>
      </w:pPr>
    </w:p>
    <w:p>
      <w:pPr>
        <w:pStyle w:val="2"/>
        <w:pageBreakBefore w:val="0"/>
        <w:kinsoku/>
        <w:wordWrap/>
        <w:overflowPunct/>
        <w:topLinePunct w:val="0"/>
        <w:bidi w:val="0"/>
        <w:spacing w:before="93" w:line="560" w:lineRule="exact"/>
        <w:ind w:firstLine="800" w:firstLineChars="200"/>
        <w:rPr>
          <w:rFonts w:hint="default" w:ascii="Times New Roman" w:hAnsi="Times New Roman" w:eastAsia="方正小标宋简体" w:cs="Times New Roman"/>
          <w:sz w:val="40"/>
          <w:szCs w:val="40"/>
        </w:rPr>
      </w:pPr>
    </w:p>
    <w:p>
      <w:pPr>
        <w:pStyle w:val="2"/>
        <w:pageBreakBefore w:val="0"/>
        <w:kinsoku/>
        <w:wordWrap/>
        <w:overflowPunct/>
        <w:topLinePunct w:val="0"/>
        <w:bidi w:val="0"/>
        <w:spacing w:before="93" w:line="560" w:lineRule="exact"/>
        <w:ind w:firstLine="800" w:firstLineChars="200"/>
        <w:rPr>
          <w:rFonts w:hint="default" w:ascii="Times New Roman" w:hAnsi="Times New Roman" w:eastAsia="方正小标宋简体" w:cs="Times New Roman"/>
          <w:sz w:val="40"/>
          <w:szCs w:val="40"/>
        </w:rPr>
      </w:pPr>
    </w:p>
    <w:p>
      <w:pPr>
        <w:pStyle w:val="2"/>
        <w:pageBreakBefore w:val="0"/>
        <w:kinsoku/>
        <w:wordWrap/>
        <w:overflowPunct/>
        <w:topLinePunct w:val="0"/>
        <w:bidi w:val="0"/>
        <w:spacing w:before="93" w:line="560" w:lineRule="exact"/>
        <w:ind w:firstLine="800" w:firstLineChars="200"/>
        <w:rPr>
          <w:rFonts w:hint="default" w:ascii="Times New Roman" w:hAnsi="Times New Roman" w:eastAsia="方正小标宋简体" w:cs="Times New Roman"/>
          <w:sz w:val="40"/>
          <w:szCs w:val="40"/>
        </w:rPr>
      </w:pPr>
    </w:p>
    <w:p>
      <w:pPr>
        <w:pStyle w:val="2"/>
        <w:pageBreakBefore w:val="0"/>
        <w:kinsoku/>
        <w:wordWrap/>
        <w:overflowPunct/>
        <w:topLinePunct w:val="0"/>
        <w:bidi w:val="0"/>
        <w:spacing w:before="93" w:line="560" w:lineRule="exact"/>
        <w:ind w:firstLine="800" w:firstLineChars="200"/>
        <w:rPr>
          <w:rFonts w:hint="default" w:ascii="Times New Roman" w:hAnsi="Times New Roman" w:eastAsia="方正小标宋简体" w:cs="Times New Roman"/>
          <w:sz w:val="40"/>
          <w:szCs w:val="40"/>
        </w:rPr>
      </w:pPr>
    </w:p>
    <w:p>
      <w:pPr>
        <w:pStyle w:val="2"/>
        <w:pageBreakBefore w:val="0"/>
        <w:kinsoku/>
        <w:wordWrap/>
        <w:overflowPunct/>
        <w:topLinePunct w:val="0"/>
        <w:bidi w:val="0"/>
        <w:spacing w:before="93" w:line="560" w:lineRule="exact"/>
        <w:ind w:firstLine="800" w:firstLineChars="200"/>
        <w:rPr>
          <w:rFonts w:hint="default" w:ascii="Times New Roman" w:hAnsi="Times New Roman" w:eastAsia="方正小标宋简体" w:cs="Times New Roman"/>
          <w:sz w:val="40"/>
          <w:szCs w:val="40"/>
          <w:lang w:val="zh-CN"/>
        </w:rPr>
      </w:pPr>
      <w:r>
        <w:rPr>
          <w:rFonts w:hint="default" w:ascii="Times New Roman" w:hAnsi="Times New Roman" w:eastAsia="方正小标宋简体" w:cs="Times New Roman"/>
          <w:sz w:val="40"/>
          <w:szCs w:val="40"/>
        </w:rPr>
        <w:t>202</w:t>
      </w:r>
      <w:r>
        <w:rPr>
          <w:rFonts w:hint="default" w:ascii="Times New Roman" w:hAnsi="Times New Roman" w:eastAsia="方正小标宋简体" w:cs="Times New Roman"/>
          <w:sz w:val="40"/>
          <w:szCs w:val="40"/>
          <w:lang w:val="en-US" w:eastAsia="zh-CN"/>
        </w:rPr>
        <w:t>2</w:t>
      </w:r>
      <w:r>
        <w:rPr>
          <w:rFonts w:hint="default" w:ascii="Times New Roman" w:hAnsi="Times New Roman" w:eastAsia="方正小标宋简体" w:cs="Times New Roman"/>
          <w:sz w:val="40"/>
          <w:szCs w:val="40"/>
        </w:rPr>
        <w:t>年</w:t>
      </w:r>
      <w:r>
        <w:rPr>
          <w:rFonts w:hint="default" w:ascii="Times New Roman" w:hAnsi="Times New Roman" w:eastAsia="方正小标宋简体" w:cs="Times New Roman"/>
          <w:sz w:val="40"/>
          <w:szCs w:val="40"/>
          <w:lang w:val="zh-CN"/>
        </w:rPr>
        <w:t>专项预算项目支出绩效自评报告</w:t>
      </w:r>
    </w:p>
    <w:p>
      <w:pPr>
        <w:keepNext/>
        <w:keepLines/>
        <w:pageBreakBefore w:val="0"/>
        <w:kinsoku/>
        <w:wordWrap/>
        <w:overflowPunct/>
        <w:topLinePunct w:val="0"/>
        <w:bidi w:val="0"/>
        <w:spacing w:line="560" w:lineRule="exact"/>
        <w:ind w:left="2400" w:hanging="2400" w:hangingChars="500"/>
        <w:jc w:val="both"/>
        <w:rPr>
          <w:rFonts w:hint="default" w:ascii="Times New Roman" w:hAnsi="Times New Roman" w:eastAsia="方正小标宋简体" w:cs="Times New Roman"/>
          <w:color w:val="000000"/>
          <w:kern w:val="0"/>
          <w:sz w:val="48"/>
          <w:szCs w:val="48"/>
          <w:lang w:val="en-US" w:eastAsia="zh-CN" w:bidi="ar-SA"/>
        </w:rPr>
      </w:pPr>
    </w:p>
    <w:p>
      <w:pPr>
        <w:keepNext/>
        <w:keepLines/>
        <w:pageBreakBefore w:val="0"/>
        <w:kinsoku/>
        <w:wordWrap/>
        <w:overflowPunct/>
        <w:topLinePunct w:val="0"/>
        <w:bidi w:val="0"/>
        <w:spacing w:line="560" w:lineRule="exact"/>
        <w:ind w:left="2400" w:hanging="1800" w:hangingChars="500"/>
        <w:jc w:val="both"/>
        <w:rPr>
          <w:rFonts w:hint="eastAsia" w:ascii="方正小标宋_GBK" w:hAnsi="方正小标宋_GBK" w:eastAsia="方正小标宋_GBK" w:cs="方正小标宋_GBK"/>
          <w:color w:val="000000"/>
          <w:kern w:val="0"/>
          <w:sz w:val="36"/>
          <w:szCs w:val="36"/>
          <w:lang w:val="en-US" w:eastAsia="zh-CN" w:bidi="ar-SA"/>
        </w:rPr>
      </w:pPr>
    </w:p>
    <w:p>
      <w:pPr>
        <w:keepNext/>
        <w:keepLines/>
        <w:pageBreakBefore w:val="0"/>
        <w:kinsoku/>
        <w:wordWrap/>
        <w:overflowPunct/>
        <w:topLinePunct w:val="0"/>
        <w:bidi w:val="0"/>
        <w:spacing w:line="560" w:lineRule="exact"/>
        <w:ind w:left="2400" w:hanging="1800" w:hangingChars="500"/>
        <w:jc w:val="both"/>
        <w:rPr>
          <w:rFonts w:hint="eastAsia" w:ascii="方正小标宋_GBK" w:hAnsi="方正小标宋_GBK" w:eastAsia="方正小标宋_GBK" w:cs="方正小标宋_GBK"/>
          <w:color w:val="auto"/>
          <w:kern w:val="2"/>
          <w:sz w:val="36"/>
          <w:szCs w:val="36"/>
          <w:lang w:val="en-US"/>
        </w:rPr>
      </w:pPr>
      <w:r>
        <w:rPr>
          <w:rFonts w:hint="eastAsia" w:ascii="方正小标宋_GBK" w:hAnsi="方正小标宋_GBK" w:eastAsia="方正小标宋_GBK" w:cs="方正小标宋_GBK"/>
          <w:color w:val="000000"/>
          <w:kern w:val="0"/>
          <w:sz w:val="36"/>
          <w:szCs w:val="36"/>
          <w:lang w:val="en-US" w:eastAsia="zh-CN" w:bidi="ar-SA"/>
        </w:rPr>
        <w:t>2022年委托代理记账服务费项目支出绩效自评报告</w:t>
      </w:r>
    </w:p>
    <w:p>
      <w:pPr>
        <w:keepNext/>
        <w:keepLines/>
        <w:pageBreakBefore w:val="0"/>
        <w:kinsoku/>
        <w:wordWrap/>
        <w:overflowPunct/>
        <w:topLinePunct w:val="0"/>
        <w:bidi w:val="0"/>
        <w:spacing w:line="560" w:lineRule="exact"/>
        <w:ind w:firstLine="640" w:firstLineChars="200"/>
        <w:jc w:val="both"/>
        <w:rPr>
          <w:rFonts w:hint="default" w:ascii="Times New Roman" w:hAnsi="Times New Roman" w:eastAsia="黑体" w:cs="Times New Roman"/>
          <w:color w:val="auto"/>
          <w:kern w:val="2"/>
          <w:sz w:val="32"/>
          <w:szCs w:val="24"/>
          <w:lang w:val="en-US"/>
        </w:rPr>
      </w:pPr>
    </w:p>
    <w:p>
      <w:pPr>
        <w:keepNext/>
        <w:keepLines/>
        <w:pageBreakBefore w:val="0"/>
        <w:kinsoku/>
        <w:wordWrap/>
        <w:overflowPunct/>
        <w:topLinePunct w:val="0"/>
        <w:bidi w:val="0"/>
        <w:spacing w:line="560" w:lineRule="exact"/>
        <w:ind w:firstLine="960" w:firstLineChars="300"/>
        <w:jc w:val="both"/>
        <w:rPr>
          <w:rFonts w:hint="default" w:ascii="Times New Roman" w:hAnsi="Times New Roman" w:eastAsia="黑体" w:cs="Times New Roman"/>
          <w:color w:val="auto"/>
          <w:kern w:val="2"/>
          <w:sz w:val="32"/>
          <w:szCs w:val="24"/>
          <w:lang w:val="zh-CN"/>
        </w:rPr>
      </w:pPr>
      <w:r>
        <w:rPr>
          <w:rFonts w:hint="default" w:ascii="Times New Roman" w:hAnsi="Times New Roman" w:eastAsia="黑体" w:cs="Times New Roman"/>
          <w:color w:val="auto"/>
          <w:kern w:val="2"/>
          <w:sz w:val="32"/>
          <w:szCs w:val="24"/>
          <w:lang w:val="en-US"/>
        </w:rPr>
        <w:t>一、</w:t>
      </w:r>
      <w:r>
        <w:rPr>
          <w:rFonts w:hint="default" w:ascii="Times New Roman" w:hAnsi="Times New Roman" w:eastAsia="黑体" w:cs="Times New Roman"/>
          <w:color w:val="auto"/>
          <w:kern w:val="2"/>
          <w:sz w:val="32"/>
          <w:szCs w:val="24"/>
          <w:lang w:val="zh-CN"/>
        </w:rPr>
        <w:t>项目概况</w:t>
      </w:r>
    </w:p>
    <w:p>
      <w:pPr>
        <w:keepNext/>
        <w:keepLines/>
        <w:pageBreakBefore w:val="0"/>
        <w:kinsoku/>
        <w:wordWrap/>
        <w:overflowPunct/>
        <w:topLinePunct w:val="0"/>
        <w:bidi w:val="0"/>
        <w:spacing w:line="560" w:lineRule="exact"/>
        <w:ind w:firstLine="720"/>
        <w:jc w:val="both"/>
        <w:rPr>
          <w:rFonts w:hint="default" w:ascii="Times New Roman" w:hAnsi="Times New Roman" w:eastAsia="楷体_GB2312" w:cs="Times New Roman"/>
          <w:b/>
          <w:color w:val="auto"/>
          <w:kern w:val="2"/>
          <w:sz w:val="32"/>
          <w:szCs w:val="24"/>
          <w:lang w:val="zh-CN"/>
        </w:rPr>
      </w:pPr>
      <w:r>
        <w:rPr>
          <w:rFonts w:hint="default" w:ascii="Times New Roman" w:hAnsi="Times New Roman" w:eastAsia="楷体_GB2312" w:cs="Times New Roman"/>
          <w:b/>
          <w:color w:val="auto"/>
          <w:kern w:val="2"/>
          <w:sz w:val="32"/>
          <w:szCs w:val="24"/>
          <w:lang w:val="zh-CN"/>
        </w:rPr>
        <w:t>（一）项目基本情况。</w:t>
      </w:r>
    </w:p>
    <w:p>
      <w:pPr>
        <w:keepNext/>
        <w:keepLines/>
        <w:pageBreakBefore w:val="0"/>
        <w:kinsoku/>
        <w:wordWrap/>
        <w:overflowPunct/>
        <w:topLinePunct w:val="0"/>
        <w:bidi w:val="0"/>
        <w:spacing w:line="560" w:lineRule="exact"/>
        <w:ind w:firstLine="720"/>
        <w:jc w:val="both"/>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“委托代理记账服务费”项目用于解决部</w:t>
      </w:r>
      <w:r>
        <w:rPr>
          <w:rFonts w:hint="eastAsia" w:eastAsia="仿宋_GB2312" w:cs="Times New Roman"/>
          <w:kern w:val="0"/>
          <w:sz w:val="32"/>
          <w:szCs w:val="32"/>
          <w:lang w:val="en-US" w:eastAsia="zh-CN"/>
        </w:rPr>
        <w:t>分</w:t>
      </w:r>
      <w:r>
        <w:rPr>
          <w:rFonts w:hint="default" w:ascii="Times New Roman" w:hAnsi="Times New Roman" w:eastAsia="仿宋_GB2312" w:cs="Times New Roman"/>
          <w:kern w:val="0"/>
          <w:sz w:val="32"/>
          <w:szCs w:val="32"/>
        </w:rPr>
        <w:t>行政事业单位人员编制少，财务人员缺乏的实际困难。按照预算管理及绩效管理相关要求，我单位针对该项目认真填报《部门预算项目支出绩效目标申报表》</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并上报审核。</w:t>
      </w:r>
      <w:r>
        <w:rPr>
          <w:rFonts w:hint="default" w:ascii="Times New Roman" w:hAnsi="Times New Roman" w:eastAsia="仿宋_GB2312" w:cs="Times New Roman"/>
          <w:kern w:val="0"/>
          <w:sz w:val="32"/>
          <w:szCs w:val="32"/>
          <w:lang w:val="zh-CN"/>
        </w:rPr>
        <w:t>该项目年初预算23.4万元，预算批复数为23.4万元。</w:t>
      </w:r>
    </w:p>
    <w:p>
      <w:pPr>
        <w:keepNext/>
        <w:keepLines/>
        <w:pageBreakBefore w:val="0"/>
        <w:kinsoku/>
        <w:wordWrap/>
        <w:overflowPunct/>
        <w:topLinePunct w:val="0"/>
        <w:bidi w:val="0"/>
        <w:spacing w:line="560" w:lineRule="exact"/>
        <w:ind w:firstLine="720"/>
        <w:jc w:val="both"/>
        <w:rPr>
          <w:rFonts w:hint="default" w:ascii="Times New Roman" w:hAnsi="Times New Roman" w:eastAsia="楷体_GB2312" w:cs="Times New Roman"/>
          <w:b/>
          <w:color w:val="auto"/>
          <w:kern w:val="2"/>
          <w:sz w:val="32"/>
          <w:szCs w:val="24"/>
          <w:lang w:val="zh-CN"/>
        </w:rPr>
      </w:pPr>
      <w:r>
        <w:rPr>
          <w:rFonts w:hint="default" w:ascii="Times New Roman" w:hAnsi="Times New Roman" w:eastAsia="楷体_GB2312" w:cs="Times New Roman"/>
          <w:b/>
          <w:color w:val="auto"/>
          <w:kern w:val="2"/>
          <w:sz w:val="32"/>
          <w:szCs w:val="24"/>
          <w:lang w:val="zh-CN"/>
        </w:rPr>
        <w:t>（二）项目绩效目标。</w:t>
      </w:r>
    </w:p>
    <w:p>
      <w:pPr>
        <w:keepNext/>
        <w:keepLines/>
        <w:pageBreakBefore w:val="0"/>
        <w:kinsoku/>
        <w:wordWrap/>
        <w:overflowPunct/>
        <w:topLinePunct w:val="0"/>
        <w:bidi w:val="0"/>
        <w:spacing w:line="560" w:lineRule="exact"/>
        <w:ind w:firstLine="640"/>
        <w:rPr>
          <w:rFonts w:hint="default" w:ascii="Times New Roman" w:hAnsi="Times New Roman" w:eastAsia="仿宋_GB2312" w:cs="Times New Roman"/>
          <w:color w:val="auto"/>
          <w:sz w:val="32"/>
          <w:szCs w:val="24"/>
          <w:lang w:val="zh-CN"/>
        </w:rPr>
      </w:pPr>
      <w:r>
        <w:rPr>
          <w:rFonts w:hint="default" w:ascii="Times New Roman" w:hAnsi="Times New Roman" w:eastAsia="仿宋_GB2312" w:cs="Times New Roman"/>
          <w:kern w:val="0"/>
          <w:sz w:val="32"/>
          <w:szCs w:val="32"/>
          <w:lang w:val="zh-CN"/>
        </w:rPr>
        <w:t>委托代理26个行政事业单位记</w:t>
      </w:r>
      <w:r>
        <w:rPr>
          <w:rFonts w:hint="default" w:ascii="Times New Roman" w:hAnsi="Times New Roman" w:eastAsia="仿宋_GB2312" w:cs="Times New Roman"/>
          <w:color w:val="auto"/>
          <w:kern w:val="2"/>
          <w:sz w:val="32"/>
          <w:szCs w:val="24"/>
          <w:lang w:val="en-US"/>
        </w:rPr>
        <w:t>账</w:t>
      </w:r>
      <w:r>
        <w:rPr>
          <w:rFonts w:hint="default" w:ascii="Times New Roman" w:hAnsi="Times New Roman" w:eastAsia="仿宋_GB2312" w:cs="Times New Roman"/>
          <w:kern w:val="0"/>
          <w:sz w:val="32"/>
          <w:szCs w:val="32"/>
          <w:lang w:val="zh-CN"/>
        </w:rPr>
        <w:t>业务相关事宜，按照相关要求，审核会计原始凭证，填制会计记</w:t>
      </w:r>
      <w:r>
        <w:rPr>
          <w:rFonts w:hint="default" w:ascii="Times New Roman" w:hAnsi="Times New Roman" w:eastAsia="仿宋_GB2312" w:cs="Times New Roman"/>
          <w:color w:val="auto"/>
          <w:kern w:val="2"/>
          <w:sz w:val="32"/>
          <w:szCs w:val="24"/>
          <w:lang w:val="en-US"/>
        </w:rPr>
        <w:t>账</w:t>
      </w:r>
      <w:r>
        <w:rPr>
          <w:rFonts w:hint="default" w:ascii="Times New Roman" w:hAnsi="Times New Roman" w:eastAsia="仿宋_GB2312" w:cs="Times New Roman"/>
          <w:kern w:val="0"/>
          <w:sz w:val="32"/>
          <w:szCs w:val="32"/>
          <w:lang w:val="zh-CN"/>
        </w:rPr>
        <w:t>凭证，登记会计</w:t>
      </w:r>
      <w:r>
        <w:rPr>
          <w:rFonts w:hint="eastAsia" w:eastAsia="仿宋_GB2312" w:cs="Times New Roman"/>
          <w:kern w:val="0"/>
          <w:sz w:val="32"/>
          <w:szCs w:val="32"/>
          <w:lang w:val="en-US" w:eastAsia="zh-CN"/>
        </w:rPr>
        <w:t>账簿</w:t>
      </w:r>
      <w:r>
        <w:rPr>
          <w:rFonts w:hint="default" w:ascii="Times New Roman" w:hAnsi="Times New Roman" w:eastAsia="仿宋_GB2312" w:cs="Times New Roman"/>
          <w:kern w:val="0"/>
          <w:sz w:val="32"/>
          <w:szCs w:val="32"/>
          <w:lang w:val="zh-CN"/>
        </w:rPr>
        <w:t>，编制会计报告（会计报表），办理年终财务决算，对委托单位会计档案，年度内统一按《会计档案管理办法》规定归档保管，年度结束后移交委托单位保管。</w:t>
      </w:r>
      <w:r>
        <w:rPr>
          <w:rFonts w:hint="default" w:ascii="Times New Roman" w:hAnsi="Times New Roman" w:eastAsia="仿宋_GB2312" w:cs="Times New Roman"/>
          <w:color w:val="auto"/>
          <w:sz w:val="32"/>
          <w:szCs w:val="24"/>
          <w:lang w:val="zh-CN"/>
        </w:rPr>
        <w:t>分析评价申报内容与实际相符，申报目标合理可行。</w:t>
      </w:r>
    </w:p>
    <w:p>
      <w:pPr>
        <w:keepNext/>
        <w:keepLines/>
        <w:pageBreakBefore w:val="0"/>
        <w:numPr>
          <w:ilvl w:val="0"/>
          <w:numId w:val="6"/>
        </w:numPr>
        <w:kinsoku/>
        <w:wordWrap/>
        <w:overflowPunct/>
        <w:topLinePunct w:val="0"/>
        <w:bidi w:val="0"/>
        <w:spacing w:line="560" w:lineRule="exact"/>
        <w:ind w:left="0" w:leftChars="0" w:firstLine="643" w:firstLineChars="200"/>
        <w:jc w:val="both"/>
        <w:rPr>
          <w:rFonts w:hint="default" w:ascii="Times New Roman" w:hAnsi="Times New Roman" w:eastAsia="楷体_GB2312" w:cs="Times New Roman"/>
          <w:b/>
          <w:color w:val="auto"/>
          <w:kern w:val="2"/>
          <w:sz w:val="32"/>
          <w:szCs w:val="24"/>
          <w:highlight w:val="none"/>
          <w:lang w:val="zh-CN"/>
        </w:rPr>
      </w:pPr>
      <w:r>
        <w:rPr>
          <w:rFonts w:hint="default" w:ascii="Times New Roman" w:hAnsi="Times New Roman" w:eastAsia="楷体_GB2312" w:cs="Times New Roman"/>
          <w:b/>
          <w:color w:val="auto"/>
          <w:kern w:val="2"/>
          <w:sz w:val="32"/>
          <w:szCs w:val="24"/>
          <w:highlight w:val="none"/>
          <w:lang w:val="zh-CN"/>
        </w:rPr>
        <w:t>项目自评步骤及方法。</w:t>
      </w:r>
    </w:p>
    <w:p>
      <w:pPr>
        <w:pStyle w:val="2"/>
        <w:pageBreakBefore w:val="0"/>
        <w:kinsoku/>
        <w:wordWrap/>
        <w:overflowPunct/>
        <w:topLinePunct w:val="0"/>
        <w:bidi w:val="0"/>
        <w:spacing w:before="93" w:line="560" w:lineRule="exact"/>
        <w:ind w:firstLine="640" w:firstLineChars="200"/>
        <w:rPr>
          <w:rFonts w:hint="default" w:ascii="Times New Roman" w:hAnsi="Times New Roman" w:cs="Times New Roman"/>
          <w:sz w:val="32"/>
          <w:szCs w:val="32"/>
          <w:shd w:val="clear" w:color="auto" w:fill="FFFFFF"/>
        </w:rPr>
      </w:pPr>
      <w:r>
        <w:rPr>
          <w:rFonts w:hint="default" w:ascii="Times New Roman" w:hAnsi="Times New Roman" w:cs="Times New Roman"/>
          <w:kern w:val="0"/>
          <w:sz w:val="32"/>
          <w:szCs w:val="32"/>
          <w:lang w:eastAsia="zh-CN"/>
        </w:rPr>
        <w:t>按</w:t>
      </w:r>
      <w:r>
        <w:rPr>
          <w:rFonts w:hint="default" w:ascii="Times New Roman" w:hAnsi="Times New Roman" w:eastAsia="仿宋_GB2312" w:cs="Times New Roman"/>
          <w:kern w:val="0"/>
          <w:sz w:val="32"/>
          <w:szCs w:val="32"/>
        </w:rPr>
        <w:t>《攀枝花市仁和区财政局 关于仁和区行政事业单位委托代理记账业务相关工作的通</w:t>
      </w:r>
      <w:r>
        <w:rPr>
          <w:rFonts w:hint="default" w:ascii="Times New Roman" w:hAnsi="Times New Roman" w:eastAsia="仿宋_GB2312" w:cs="Times New Roman"/>
          <w:kern w:val="0"/>
          <w:sz w:val="32"/>
          <w:szCs w:val="32"/>
          <w:lang w:val="en-US" w:eastAsia="zh-CN"/>
        </w:rPr>
        <w:t>知》</w:t>
      </w:r>
      <w:r>
        <w:rPr>
          <w:rFonts w:hint="default" w:ascii="Times New Roman" w:hAnsi="Times New Roman" w:eastAsia="仿宋_GB2312" w:cs="Times New Roman"/>
          <w:kern w:val="0"/>
          <w:sz w:val="32"/>
          <w:szCs w:val="32"/>
        </w:rPr>
        <w:t>相关规定，通过</w:t>
      </w:r>
      <w:r>
        <w:rPr>
          <w:rFonts w:hint="default" w:ascii="Times New Roman" w:hAnsi="Times New Roman" w:cs="Times New Roman"/>
          <w:sz w:val="32"/>
          <w:szCs w:val="32"/>
          <w:lang w:eastAsia="zh-CN"/>
        </w:rPr>
        <w:t>服务对象</w:t>
      </w:r>
      <w:r>
        <w:rPr>
          <w:rFonts w:hint="default" w:ascii="Times New Roman" w:hAnsi="Times New Roman" w:eastAsia="仿宋_GB2312" w:cs="Times New Roman"/>
          <w:sz w:val="32"/>
          <w:szCs w:val="32"/>
        </w:rPr>
        <w:t>考评和财政监督检查相结合</w:t>
      </w:r>
      <w:r>
        <w:rPr>
          <w:rFonts w:hint="default" w:ascii="Times New Roman" w:hAnsi="Times New Roman" w:cs="Times New Roman"/>
          <w:sz w:val="32"/>
          <w:szCs w:val="32"/>
          <w:lang w:eastAsia="zh-CN"/>
        </w:rPr>
        <w:t>，</w:t>
      </w:r>
      <w:r>
        <w:rPr>
          <w:rFonts w:hint="default" w:ascii="Times New Roman" w:hAnsi="Times New Roman" w:cs="Times New Roman"/>
          <w:sz w:val="32"/>
          <w:szCs w:val="32"/>
          <w:shd w:val="clear" w:color="auto" w:fill="FFFFFF"/>
        </w:rPr>
        <w:t>根据</w:t>
      </w:r>
      <w:r>
        <w:rPr>
          <w:rFonts w:hint="default" w:ascii="Times New Roman" w:hAnsi="Times New Roman" w:cs="Times New Roman"/>
          <w:sz w:val="32"/>
          <w:szCs w:val="32"/>
          <w:shd w:val="clear" w:color="auto" w:fill="FFFFFF"/>
          <w:lang w:eastAsia="zh-CN"/>
        </w:rPr>
        <w:t>代理记</w:t>
      </w:r>
      <w:r>
        <w:rPr>
          <w:rFonts w:hint="default" w:ascii="Times New Roman" w:hAnsi="Times New Roman" w:eastAsia="仿宋_GB2312" w:cs="Times New Roman"/>
          <w:color w:val="auto"/>
          <w:kern w:val="2"/>
          <w:sz w:val="32"/>
          <w:szCs w:val="24"/>
          <w:lang w:val="en-US"/>
        </w:rPr>
        <w:t>账</w:t>
      </w:r>
      <w:r>
        <w:rPr>
          <w:rFonts w:hint="default" w:ascii="Times New Roman" w:hAnsi="Times New Roman" w:cs="Times New Roman"/>
          <w:sz w:val="32"/>
          <w:szCs w:val="32"/>
          <w:shd w:val="clear" w:color="auto" w:fill="FFFFFF"/>
        </w:rPr>
        <w:t>的服务质量、效率、</w:t>
      </w:r>
      <w:r>
        <w:rPr>
          <w:rFonts w:hint="default" w:ascii="Times New Roman" w:hAnsi="Times New Roman" w:cs="Times New Roman"/>
          <w:sz w:val="32"/>
          <w:szCs w:val="32"/>
          <w:shd w:val="clear" w:color="auto" w:fill="FFFFFF"/>
          <w:lang w:eastAsia="zh-CN"/>
        </w:rPr>
        <w:t>单位</w:t>
      </w:r>
      <w:r>
        <w:rPr>
          <w:rFonts w:hint="default" w:ascii="Times New Roman" w:hAnsi="Times New Roman" w:cs="Times New Roman"/>
          <w:sz w:val="32"/>
          <w:szCs w:val="32"/>
          <w:shd w:val="clear" w:color="auto" w:fill="FFFFFF"/>
        </w:rPr>
        <w:t>满意度等因素来制定评价标准;通过服务对象反馈情况等方式收集数据</w:t>
      </w:r>
      <w:r>
        <w:rPr>
          <w:rFonts w:hint="default" w:ascii="Times New Roman" w:hAnsi="Times New Roman" w:cs="Times New Roman"/>
          <w:sz w:val="32"/>
          <w:szCs w:val="32"/>
          <w:shd w:val="clear" w:color="auto" w:fill="FFFFFF"/>
          <w:lang w:eastAsia="zh-CN"/>
        </w:rPr>
        <w:t>，服务对象给代理记</w:t>
      </w:r>
      <w:r>
        <w:rPr>
          <w:rFonts w:hint="default" w:ascii="Times New Roman" w:hAnsi="Times New Roman" w:eastAsia="仿宋_GB2312" w:cs="Times New Roman"/>
          <w:color w:val="auto"/>
          <w:kern w:val="2"/>
          <w:sz w:val="32"/>
          <w:szCs w:val="24"/>
          <w:lang w:val="en-US"/>
        </w:rPr>
        <w:t>账</w:t>
      </w:r>
      <w:r>
        <w:rPr>
          <w:rFonts w:hint="default" w:ascii="Times New Roman" w:hAnsi="Times New Roman" w:cs="Times New Roman"/>
          <w:sz w:val="32"/>
          <w:szCs w:val="32"/>
          <w:shd w:val="clear" w:color="auto" w:fill="FFFFFF"/>
          <w:lang w:eastAsia="zh-CN"/>
        </w:rPr>
        <w:t>公司考评打分</w:t>
      </w:r>
      <w:r>
        <w:rPr>
          <w:rFonts w:hint="default" w:ascii="Times New Roman" w:hAnsi="Times New Roman" w:cs="Times New Roman"/>
          <w:sz w:val="32"/>
          <w:szCs w:val="32"/>
          <w:shd w:val="clear" w:color="auto" w:fill="FFFFFF"/>
        </w:rPr>
        <w:t>。</w:t>
      </w:r>
      <w:r>
        <w:rPr>
          <w:rFonts w:hint="default" w:ascii="Times New Roman" w:hAnsi="Times New Roman" w:cs="Times New Roman"/>
          <w:sz w:val="32"/>
          <w:szCs w:val="32"/>
          <w:shd w:val="clear" w:color="auto" w:fill="FFFFFF"/>
          <w:lang w:eastAsia="zh-CN"/>
        </w:rPr>
        <w:t>年底我单位</w:t>
      </w:r>
      <w:r>
        <w:rPr>
          <w:rFonts w:hint="default" w:ascii="Times New Roman" w:hAnsi="Times New Roman" w:cs="Times New Roman"/>
          <w:sz w:val="32"/>
          <w:szCs w:val="32"/>
          <w:shd w:val="clear" w:color="auto" w:fill="FFFFFF"/>
        </w:rPr>
        <w:t>根据</w:t>
      </w:r>
      <w:r>
        <w:rPr>
          <w:rFonts w:hint="default" w:ascii="Times New Roman" w:hAnsi="Times New Roman" w:cs="Times New Roman"/>
          <w:sz w:val="32"/>
          <w:szCs w:val="32"/>
          <w:shd w:val="clear" w:color="auto" w:fill="FFFFFF"/>
          <w:lang w:eastAsia="zh-CN"/>
        </w:rPr>
        <w:t>考评打分</w:t>
      </w:r>
      <w:r>
        <w:rPr>
          <w:rFonts w:hint="default" w:ascii="Times New Roman" w:hAnsi="Times New Roman" w:cs="Times New Roman"/>
          <w:sz w:val="32"/>
          <w:szCs w:val="32"/>
          <w:shd w:val="clear" w:color="auto" w:fill="FFFFFF"/>
        </w:rPr>
        <w:t>结果，</w:t>
      </w:r>
      <w:r>
        <w:rPr>
          <w:rFonts w:hint="default" w:ascii="Times New Roman" w:hAnsi="Times New Roman" w:cs="Times New Roman"/>
          <w:sz w:val="32"/>
          <w:szCs w:val="32"/>
          <w:shd w:val="clear" w:color="auto" w:fill="FFFFFF"/>
          <w:lang w:eastAsia="zh-CN"/>
        </w:rPr>
        <w:t>按合同价</w:t>
      </w:r>
      <w:r>
        <w:rPr>
          <w:rFonts w:hint="default" w:ascii="Times New Roman" w:hAnsi="Times New Roman" w:cs="Times New Roman"/>
          <w:sz w:val="32"/>
          <w:szCs w:val="32"/>
          <w:shd w:val="clear" w:color="auto" w:fill="FFFFFF"/>
          <w:lang w:val="en-US" w:eastAsia="zh-CN"/>
        </w:rPr>
        <w:t>80%部分支付款项，次年支付20%</w:t>
      </w:r>
      <w:r>
        <w:rPr>
          <w:rFonts w:hint="default" w:ascii="Times New Roman" w:hAnsi="Times New Roman" w:cs="Times New Roman"/>
          <w:sz w:val="32"/>
          <w:szCs w:val="32"/>
          <w:shd w:val="clear" w:color="auto" w:fill="FFFFFF"/>
        </w:rPr>
        <w:t>。</w:t>
      </w:r>
    </w:p>
    <w:p>
      <w:pPr>
        <w:keepNext/>
        <w:keepLines/>
        <w:pageBreakBefore w:val="0"/>
        <w:kinsoku/>
        <w:wordWrap/>
        <w:overflowPunct/>
        <w:topLinePunct w:val="0"/>
        <w:bidi w:val="0"/>
        <w:spacing w:line="560" w:lineRule="exact"/>
        <w:ind w:firstLine="720"/>
        <w:jc w:val="both"/>
        <w:rPr>
          <w:rFonts w:hint="default" w:ascii="Times New Roman" w:hAnsi="Times New Roman" w:eastAsia="黑体" w:cs="Times New Roman"/>
          <w:color w:val="auto"/>
          <w:kern w:val="2"/>
          <w:sz w:val="32"/>
          <w:szCs w:val="24"/>
          <w:lang w:val="en-US"/>
        </w:rPr>
      </w:pPr>
      <w:r>
        <w:rPr>
          <w:rFonts w:hint="default" w:ascii="Times New Roman" w:hAnsi="Times New Roman" w:eastAsia="黑体" w:cs="Times New Roman"/>
          <w:color w:val="auto"/>
          <w:kern w:val="2"/>
          <w:sz w:val="32"/>
          <w:szCs w:val="24"/>
          <w:lang w:val="en-US"/>
        </w:rPr>
        <w:t>二、项目资金申报及使用情况</w:t>
      </w:r>
    </w:p>
    <w:p>
      <w:pPr>
        <w:keepNext/>
        <w:keepLines/>
        <w:pageBreakBefore w:val="0"/>
        <w:kinsoku/>
        <w:wordWrap/>
        <w:overflowPunct/>
        <w:topLinePunct w:val="0"/>
        <w:bidi w:val="0"/>
        <w:spacing w:line="560" w:lineRule="exact"/>
        <w:ind w:firstLine="720"/>
        <w:jc w:val="both"/>
        <w:rPr>
          <w:rFonts w:hint="default" w:ascii="Times New Roman" w:hAnsi="Times New Roman" w:eastAsia="楷体_GB2312" w:cs="Times New Roman"/>
          <w:b/>
          <w:color w:val="auto"/>
          <w:kern w:val="2"/>
          <w:sz w:val="32"/>
          <w:szCs w:val="24"/>
          <w:lang w:val="zh-CN"/>
        </w:rPr>
      </w:pPr>
      <w:r>
        <w:rPr>
          <w:rFonts w:hint="default" w:ascii="Times New Roman" w:hAnsi="Times New Roman" w:eastAsia="楷体_GB2312" w:cs="Times New Roman"/>
          <w:b/>
          <w:color w:val="auto"/>
          <w:kern w:val="2"/>
          <w:sz w:val="32"/>
          <w:szCs w:val="24"/>
          <w:lang w:val="zh-CN"/>
        </w:rPr>
        <w:t>（一）项目资金申报及批复情况。</w:t>
      </w:r>
    </w:p>
    <w:p>
      <w:pPr>
        <w:keepNext/>
        <w:keepLines/>
        <w:pageBreakBefore w:val="0"/>
        <w:kinsoku/>
        <w:wordWrap/>
        <w:overflowPunct/>
        <w:topLinePunct w:val="0"/>
        <w:bidi w:val="0"/>
        <w:spacing w:line="560" w:lineRule="exact"/>
        <w:ind w:firstLine="720"/>
        <w:jc w:val="both"/>
        <w:rPr>
          <w:rFonts w:hint="default" w:ascii="Times New Roman" w:hAnsi="Times New Roman" w:eastAsia="仿宋_GB2312" w:cs="Times New Roman"/>
          <w:kern w:val="0"/>
          <w:sz w:val="32"/>
          <w:szCs w:val="32"/>
          <w:lang w:val="zh-CN"/>
        </w:rPr>
      </w:pPr>
      <w:r>
        <w:rPr>
          <w:rFonts w:hint="default" w:ascii="Times New Roman" w:hAnsi="Times New Roman" w:eastAsia="仿宋_GB2312" w:cs="Times New Roman"/>
          <w:kern w:val="0"/>
          <w:sz w:val="32"/>
          <w:szCs w:val="32"/>
          <w:lang w:val="zh-CN"/>
        </w:rPr>
        <w:t>按照预算管理及绩效管理相关要求，针对该项目认真填报《部门预算项目支出绩效目标申报表》，并上报审核。该项目年初预算23.4万元，预算批复数为23.4万元。</w:t>
      </w:r>
    </w:p>
    <w:p>
      <w:pPr>
        <w:keepNext/>
        <w:keepLines/>
        <w:pageBreakBefore w:val="0"/>
        <w:kinsoku/>
        <w:wordWrap/>
        <w:overflowPunct/>
        <w:topLinePunct w:val="0"/>
        <w:bidi w:val="0"/>
        <w:spacing w:line="560" w:lineRule="exact"/>
        <w:ind w:firstLine="720"/>
        <w:jc w:val="both"/>
        <w:rPr>
          <w:rFonts w:hint="default" w:ascii="Times New Roman" w:hAnsi="Times New Roman" w:eastAsia="仿宋_GB2312" w:cs="Times New Roman"/>
          <w:color w:val="auto"/>
          <w:kern w:val="2"/>
          <w:sz w:val="32"/>
          <w:szCs w:val="24"/>
          <w:lang w:val="zh-CN"/>
        </w:rPr>
      </w:pPr>
      <w:r>
        <w:rPr>
          <w:rFonts w:hint="default" w:ascii="Times New Roman" w:hAnsi="Times New Roman" w:eastAsia="楷体_GB2312" w:cs="Times New Roman"/>
          <w:b/>
          <w:color w:val="auto"/>
          <w:kern w:val="2"/>
          <w:sz w:val="32"/>
          <w:szCs w:val="24"/>
          <w:lang w:val="zh-CN"/>
        </w:rPr>
        <w:t>（二）资金计划、到位及使用情况。</w:t>
      </w:r>
    </w:p>
    <w:p>
      <w:pPr>
        <w:pageBreakBefore w:val="0"/>
        <w:kinsoku/>
        <w:wordWrap/>
        <w:overflowPunct/>
        <w:topLinePunct w:val="0"/>
        <w:autoSpaceDE w:val="0"/>
        <w:autoSpaceDN w:val="0"/>
        <w:bidi w:val="0"/>
        <w:adjustRightInd w:val="0"/>
        <w:spacing w:line="56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1．资金计划。</w:t>
      </w:r>
    </w:p>
    <w:p>
      <w:pPr>
        <w:pageBreakBefore w:val="0"/>
        <w:kinsoku/>
        <w:wordWrap/>
        <w:overflowPunct/>
        <w:topLinePunct w:val="0"/>
        <w:autoSpaceDE w:val="0"/>
        <w:autoSpaceDN w:val="0"/>
        <w:bidi w:val="0"/>
        <w:adjustRightInd w:val="0"/>
        <w:spacing w:line="56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该项目资金全部为本级财政资金23.4万元。</w:t>
      </w:r>
    </w:p>
    <w:p>
      <w:pPr>
        <w:pageBreakBefore w:val="0"/>
        <w:kinsoku/>
        <w:wordWrap/>
        <w:overflowPunct/>
        <w:topLinePunct w:val="0"/>
        <w:autoSpaceDE w:val="0"/>
        <w:autoSpaceDN w:val="0"/>
        <w:bidi w:val="0"/>
        <w:adjustRightInd w:val="0"/>
        <w:spacing w:line="56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2．资金到位。</w:t>
      </w:r>
    </w:p>
    <w:p>
      <w:pPr>
        <w:pageBreakBefore w:val="0"/>
        <w:kinsoku/>
        <w:wordWrap/>
        <w:overflowPunct/>
        <w:topLinePunct w:val="0"/>
        <w:autoSpaceDE w:val="0"/>
        <w:autoSpaceDN w:val="0"/>
        <w:bidi w:val="0"/>
        <w:adjustRightInd w:val="0"/>
        <w:spacing w:line="56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仿宋_GB2312" w:cs="Times New Roman"/>
          <w:kern w:val="0"/>
          <w:sz w:val="32"/>
          <w:szCs w:val="32"/>
        </w:rPr>
        <w:t>该项目资金202</w:t>
      </w:r>
      <w:r>
        <w:rPr>
          <w:rFonts w:hint="default" w:ascii="Times New Roman" w:hAnsi="Times New Roman" w:eastAsia="仿宋_GB2312" w:cs="Times New Roman"/>
          <w:kern w:val="0"/>
          <w:sz w:val="32"/>
          <w:szCs w:val="32"/>
          <w:lang w:val="en-US" w:eastAsia="zh-CN"/>
        </w:rPr>
        <w:t>2</w:t>
      </w:r>
      <w:r>
        <w:rPr>
          <w:rFonts w:hint="default" w:ascii="Times New Roman" w:hAnsi="Times New Roman" w:eastAsia="仿宋_GB2312" w:cs="Times New Roman"/>
          <w:kern w:val="0"/>
          <w:sz w:val="32"/>
          <w:szCs w:val="32"/>
        </w:rPr>
        <w:t>年已全部位。</w:t>
      </w:r>
    </w:p>
    <w:p>
      <w:pPr>
        <w:pageBreakBefore w:val="0"/>
        <w:kinsoku/>
        <w:wordWrap/>
        <w:overflowPunct/>
        <w:topLinePunct w:val="0"/>
        <w:autoSpaceDE w:val="0"/>
        <w:autoSpaceDN w:val="0"/>
        <w:bidi w:val="0"/>
        <w:adjustRightInd w:val="0"/>
        <w:spacing w:line="560" w:lineRule="exact"/>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3．资金使用。</w:t>
      </w:r>
    </w:p>
    <w:p>
      <w:pPr>
        <w:pageBreakBefore w:val="0"/>
        <w:kinsoku/>
        <w:wordWrap/>
        <w:overflowPunct/>
        <w:topLinePunct w:val="0"/>
        <w:autoSpaceDE w:val="0"/>
        <w:autoSpaceDN w:val="0"/>
        <w:bidi w:val="0"/>
        <w:adjustRightInd w:val="0"/>
        <w:spacing w:line="56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根据《攀枝花市仁和区财政局 关于仁和区行政事业单位委托代理记账业务相关工作的通</w:t>
      </w:r>
      <w:r>
        <w:rPr>
          <w:rFonts w:hint="default" w:ascii="Times New Roman" w:hAnsi="Times New Roman" w:eastAsia="仿宋_GB2312" w:cs="Times New Roman"/>
          <w:kern w:val="0"/>
          <w:sz w:val="32"/>
          <w:szCs w:val="32"/>
          <w:lang w:val="en-US" w:eastAsia="zh-CN"/>
        </w:rPr>
        <w:t>知》</w:t>
      </w:r>
      <w:r>
        <w:rPr>
          <w:rFonts w:hint="default" w:ascii="Times New Roman" w:hAnsi="Times New Roman" w:eastAsia="仿宋_GB2312" w:cs="Times New Roman"/>
          <w:kern w:val="0"/>
          <w:sz w:val="32"/>
          <w:szCs w:val="32"/>
        </w:rPr>
        <w:t>相关规定，按合同要求，委托单位对代理记账的考评等相关情况按规定支付了委托代理记账服务费</w:t>
      </w:r>
      <w:r>
        <w:rPr>
          <w:rFonts w:hint="default" w:ascii="Times New Roman" w:hAnsi="Times New Roman" w:eastAsia="仿宋_GB2312" w:cs="Times New Roman"/>
          <w:kern w:val="0"/>
          <w:sz w:val="32"/>
          <w:szCs w:val="32"/>
          <w:lang w:val="en-US" w:eastAsia="zh-CN"/>
        </w:rPr>
        <w:t>23.4</w:t>
      </w:r>
      <w:r>
        <w:rPr>
          <w:rFonts w:hint="default" w:ascii="Times New Roman" w:hAnsi="Times New Roman" w:eastAsia="仿宋_GB2312" w:cs="Times New Roman"/>
          <w:kern w:val="0"/>
          <w:sz w:val="32"/>
          <w:szCs w:val="32"/>
        </w:rPr>
        <w:t>万元。</w:t>
      </w:r>
    </w:p>
    <w:p>
      <w:pPr>
        <w:pageBreakBefore w:val="0"/>
        <w:kinsoku/>
        <w:wordWrap/>
        <w:overflowPunct/>
        <w:topLinePunct w:val="0"/>
        <w:autoSpaceDE w:val="0"/>
        <w:autoSpaceDN w:val="0"/>
        <w:bidi w:val="0"/>
        <w:adjustRightInd w:val="0"/>
        <w:spacing w:line="560" w:lineRule="exact"/>
        <w:ind w:firstLine="643" w:firstLineChars="200"/>
        <w:jc w:val="left"/>
        <w:rPr>
          <w:rFonts w:hint="default" w:ascii="Times New Roman" w:hAnsi="Times New Roman" w:eastAsia="楷体_GB2312" w:cs="Times New Roman"/>
          <w:b/>
          <w:color w:val="auto"/>
          <w:kern w:val="2"/>
          <w:sz w:val="32"/>
          <w:szCs w:val="24"/>
          <w:lang w:val="zh-CN"/>
        </w:rPr>
      </w:pPr>
      <w:r>
        <w:rPr>
          <w:rFonts w:hint="default" w:ascii="Times New Roman" w:hAnsi="Times New Roman" w:eastAsia="楷体_GB2312" w:cs="Times New Roman"/>
          <w:b/>
          <w:color w:val="auto"/>
          <w:kern w:val="2"/>
          <w:sz w:val="32"/>
          <w:szCs w:val="24"/>
          <w:lang w:val="zh-CN"/>
        </w:rPr>
        <w:t>（三）项目财务管理情况。</w:t>
      </w:r>
    </w:p>
    <w:p>
      <w:pPr>
        <w:pageBreakBefore w:val="0"/>
        <w:kinsoku/>
        <w:wordWrap/>
        <w:overflowPunct/>
        <w:topLinePunct w:val="0"/>
        <w:autoSpaceDE w:val="0"/>
        <w:autoSpaceDN w:val="0"/>
        <w:bidi w:val="0"/>
        <w:adjustRightInd w:val="0"/>
        <w:spacing w:line="560" w:lineRule="exact"/>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该项目实施单位攀枝花市好管家财税咨询有限公司，该单位财务管理制度健全</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会计核算及账务处理符合相关规定</w:t>
      </w:r>
      <w:r>
        <w:rPr>
          <w:rFonts w:hint="default" w:ascii="Times New Roman" w:hAnsi="Times New Roman" w:eastAsia="仿宋_GB2312" w:cs="Times New Roman"/>
          <w:kern w:val="0"/>
          <w:sz w:val="32"/>
          <w:szCs w:val="32"/>
          <w:lang w:eastAsia="zh-CN"/>
        </w:rPr>
        <w:t>，</w:t>
      </w:r>
      <w:r>
        <w:rPr>
          <w:rFonts w:hint="default" w:ascii="Times New Roman" w:hAnsi="Times New Roman" w:eastAsia="仿宋_GB2312" w:cs="Times New Roman"/>
          <w:sz w:val="32"/>
          <w:szCs w:val="32"/>
        </w:rPr>
        <w:t>具有代理记账许可证、固定办公场所</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kern w:val="0"/>
          <w:sz w:val="32"/>
          <w:szCs w:val="32"/>
        </w:rPr>
        <w:t>人员配置相对固定，能很好</w:t>
      </w:r>
      <w:r>
        <w:rPr>
          <w:rFonts w:hint="eastAsia" w:eastAsia="仿宋_GB2312" w:cs="Times New Roman"/>
          <w:kern w:val="0"/>
          <w:sz w:val="32"/>
          <w:szCs w:val="32"/>
          <w:lang w:val="en-US" w:eastAsia="zh-CN"/>
        </w:rPr>
        <w:t>地</w:t>
      </w:r>
      <w:r>
        <w:rPr>
          <w:rFonts w:hint="default" w:ascii="Times New Roman" w:hAnsi="Times New Roman" w:eastAsia="仿宋_GB2312" w:cs="Times New Roman"/>
          <w:kern w:val="0"/>
          <w:sz w:val="32"/>
          <w:szCs w:val="32"/>
        </w:rPr>
        <w:t>完成委托代理记账业务。</w:t>
      </w:r>
    </w:p>
    <w:p>
      <w:pPr>
        <w:pageBreakBefore w:val="0"/>
        <w:widowControl w:val="0"/>
        <w:numPr>
          <w:ilvl w:val="0"/>
          <w:numId w:val="4"/>
        </w:numPr>
        <w:kinsoku/>
        <w:wordWrap/>
        <w:overflowPunct/>
        <w:topLinePunct w:val="0"/>
        <w:autoSpaceDE w:val="0"/>
        <w:autoSpaceDN w:val="0"/>
        <w:bidi w:val="0"/>
        <w:adjustRightInd w:val="0"/>
        <w:spacing w:line="240" w:lineRule="auto"/>
        <w:ind w:left="0" w:leftChars="0" w:firstLine="640" w:firstLineChars="200"/>
        <w:jc w:val="left"/>
        <w:textAlignment w:val="auto"/>
        <w:rPr>
          <w:rFonts w:hint="default" w:ascii="Times New Roman" w:hAnsi="Times New Roman" w:eastAsia="楷体_GB2312" w:cs="Times New Roman"/>
          <w:b/>
          <w:color w:val="auto"/>
          <w:kern w:val="2"/>
          <w:sz w:val="32"/>
          <w:szCs w:val="24"/>
          <w:lang w:val="zh-CN"/>
        </w:rPr>
      </w:pPr>
      <w:r>
        <w:rPr>
          <w:rFonts w:hint="default" w:ascii="Times New Roman" w:hAnsi="Times New Roman" w:eastAsia="黑体" w:cs="Times New Roman"/>
          <w:color w:val="auto"/>
          <w:kern w:val="2"/>
          <w:sz w:val="32"/>
          <w:szCs w:val="24"/>
          <w:lang w:val="en-US"/>
        </w:rPr>
        <w:t>项目实施及管理情况</w:t>
      </w:r>
    </w:p>
    <w:p>
      <w:pPr>
        <w:pageBreakBefore w:val="0"/>
        <w:widowControl w:val="0"/>
        <w:numPr>
          <w:ilvl w:val="0"/>
          <w:numId w:val="7"/>
        </w:numPr>
        <w:kinsoku/>
        <w:wordWrap/>
        <w:overflowPunct/>
        <w:topLinePunct w:val="0"/>
        <w:autoSpaceDE w:val="0"/>
        <w:autoSpaceDN w:val="0"/>
        <w:bidi w:val="0"/>
        <w:adjustRightInd w:val="0"/>
        <w:spacing w:line="240" w:lineRule="auto"/>
        <w:ind w:leftChars="200"/>
        <w:jc w:val="left"/>
        <w:textAlignment w:val="auto"/>
        <w:rPr>
          <w:rFonts w:hint="default" w:ascii="Times New Roman" w:hAnsi="Times New Roman" w:eastAsia="楷体_GB2312" w:cs="Times New Roman"/>
          <w:b/>
          <w:color w:val="auto"/>
          <w:kern w:val="2"/>
          <w:sz w:val="32"/>
          <w:szCs w:val="24"/>
          <w:lang w:val="zh-CN"/>
        </w:rPr>
      </w:pPr>
      <w:r>
        <w:rPr>
          <w:rFonts w:hint="default" w:ascii="Times New Roman" w:hAnsi="Times New Roman" w:eastAsia="楷体_GB2312" w:cs="Times New Roman"/>
          <w:b/>
          <w:color w:val="auto"/>
          <w:kern w:val="2"/>
          <w:sz w:val="32"/>
          <w:szCs w:val="24"/>
          <w:lang w:val="zh-CN"/>
        </w:rPr>
        <w:t>项目组织架构及实施流程。</w:t>
      </w:r>
    </w:p>
    <w:p>
      <w:pPr>
        <w:pageBreakBefore w:val="0"/>
        <w:widowControl w:val="0"/>
        <w:numPr>
          <w:ilvl w:val="0"/>
          <w:numId w:val="0"/>
        </w:numPr>
        <w:kinsoku/>
        <w:wordWrap/>
        <w:overflowPunct/>
        <w:topLinePunct w:val="0"/>
        <w:autoSpaceDE w:val="0"/>
        <w:autoSpaceDN w:val="0"/>
        <w:bidi w:val="0"/>
        <w:adjustRightInd w:val="0"/>
        <w:spacing w:line="240" w:lineRule="auto"/>
        <w:ind w:firstLine="640" w:firstLineChars="200"/>
        <w:jc w:val="left"/>
        <w:textAlignment w:val="auto"/>
        <w:rPr>
          <w:rFonts w:hint="default" w:ascii="Times New Roman" w:hAnsi="Times New Roman" w:eastAsia="楷体_GB2312" w:cs="Times New Roman"/>
          <w:b/>
          <w:color w:val="auto"/>
          <w:kern w:val="2"/>
          <w:sz w:val="32"/>
          <w:szCs w:val="24"/>
          <w:lang w:val="en-US" w:eastAsia="zh-CN"/>
        </w:rPr>
      </w:pPr>
      <w:r>
        <w:rPr>
          <w:rFonts w:hint="default" w:ascii="Times New Roman" w:hAnsi="Times New Roman" w:eastAsia="仿宋_GB2312" w:cs="Times New Roman"/>
          <w:kern w:val="0"/>
          <w:sz w:val="32"/>
          <w:szCs w:val="32"/>
        </w:rPr>
        <w:t>我单位制定下发《关于仁和区行政事业单位委托代理记账业务相关工作的通知》，明确代理记账范围、申请代理记账程序、职责分工并提出相关的工作要求。</w:t>
      </w:r>
    </w:p>
    <w:p>
      <w:pPr>
        <w:keepNext/>
        <w:keepLines/>
        <w:pageBreakBefore w:val="0"/>
        <w:widowControl w:val="0"/>
        <w:numPr>
          <w:ilvl w:val="0"/>
          <w:numId w:val="0"/>
        </w:numPr>
        <w:kinsoku/>
        <w:wordWrap/>
        <w:overflowPunct/>
        <w:topLinePunct w:val="0"/>
        <w:bidi w:val="0"/>
        <w:spacing w:line="240" w:lineRule="auto"/>
        <w:ind w:left="720" w:leftChars="0"/>
        <w:jc w:val="both"/>
        <w:textAlignment w:val="auto"/>
        <w:rPr>
          <w:rFonts w:hint="default" w:ascii="Times New Roman" w:hAnsi="Times New Roman" w:eastAsia="楷体_GB2312" w:cs="Times New Roman"/>
          <w:b/>
          <w:color w:val="auto"/>
          <w:kern w:val="2"/>
          <w:sz w:val="32"/>
          <w:szCs w:val="24"/>
          <w:lang w:val="zh-CN"/>
        </w:rPr>
      </w:pPr>
      <w:r>
        <w:rPr>
          <w:rFonts w:hint="eastAsia" w:eastAsia="楷体_GB2312" w:cs="Times New Roman"/>
          <w:b/>
          <w:color w:val="auto"/>
          <w:kern w:val="2"/>
          <w:sz w:val="32"/>
          <w:szCs w:val="24"/>
          <w:lang w:val="zh-CN"/>
        </w:rPr>
        <w:t>（</w:t>
      </w:r>
      <w:r>
        <w:rPr>
          <w:rFonts w:hint="eastAsia" w:eastAsia="楷体_GB2312" w:cs="Times New Roman"/>
          <w:b/>
          <w:color w:val="auto"/>
          <w:kern w:val="2"/>
          <w:sz w:val="32"/>
          <w:szCs w:val="24"/>
          <w:lang w:val="en-US" w:eastAsia="zh-CN"/>
        </w:rPr>
        <w:t>二</w:t>
      </w:r>
      <w:r>
        <w:rPr>
          <w:rFonts w:hint="eastAsia" w:eastAsia="楷体_GB2312" w:cs="Times New Roman"/>
          <w:b/>
          <w:color w:val="auto"/>
          <w:kern w:val="2"/>
          <w:sz w:val="32"/>
          <w:szCs w:val="24"/>
          <w:lang w:val="zh-CN"/>
        </w:rPr>
        <w:t>）</w:t>
      </w:r>
      <w:r>
        <w:rPr>
          <w:rFonts w:hint="default" w:ascii="Times New Roman" w:hAnsi="Times New Roman" w:eastAsia="楷体_GB2312" w:cs="Times New Roman"/>
          <w:b/>
          <w:color w:val="auto"/>
          <w:kern w:val="2"/>
          <w:sz w:val="32"/>
          <w:szCs w:val="24"/>
          <w:lang w:val="zh-CN"/>
        </w:rPr>
        <w:t>项目管理情况。</w:t>
      </w:r>
    </w:p>
    <w:p>
      <w:pPr>
        <w:pageBreakBefore w:val="0"/>
        <w:widowControl w:val="0"/>
        <w:kinsoku/>
        <w:wordWrap/>
        <w:overflowPunct/>
        <w:topLinePunct w:val="0"/>
        <w:autoSpaceDE w:val="0"/>
        <w:autoSpaceDN w:val="0"/>
        <w:bidi w:val="0"/>
        <w:adjustRightInd w:val="0"/>
        <w:spacing w:line="240" w:lineRule="auto"/>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按照职责分工我单位采取定期或不定期组织对代理记账公司和委托代理记账单位监督检查，实地查看人员落实情况、双方票据移交情况、账务处理情况等，根据督查、抽查情况进行针对的业务指导。</w:t>
      </w:r>
    </w:p>
    <w:p>
      <w:pPr>
        <w:pageBreakBefore w:val="0"/>
        <w:widowControl w:val="0"/>
        <w:numPr>
          <w:ilvl w:val="0"/>
          <w:numId w:val="0"/>
        </w:numPr>
        <w:kinsoku/>
        <w:wordWrap/>
        <w:overflowPunct/>
        <w:topLinePunct w:val="0"/>
        <w:autoSpaceDE w:val="0"/>
        <w:autoSpaceDN w:val="0"/>
        <w:bidi w:val="0"/>
        <w:adjustRightInd w:val="0"/>
        <w:spacing w:line="240" w:lineRule="auto"/>
        <w:ind w:left="720" w:leftChars="0"/>
        <w:jc w:val="left"/>
        <w:textAlignment w:val="auto"/>
        <w:rPr>
          <w:rFonts w:hint="default" w:ascii="Times New Roman" w:hAnsi="Times New Roman" w:eastAsia="楷体_GB2312" w:cs="Times New Roman"/>
          <w:b/>
          <w:color w:val="auto"/>
          <w:kern w:val="2"/>
          <w:sz w:val="32"/>
          <w:szCs w:val="24"/>
          <w:lang w:val="zh-CN"/>
        </w:rPr>
      </w:pPr>
      <w:r>
        <w:rPr>
          <w:rFonts w:hint="eastAsia" w:eastAsia="楷体_GB2312" w:cs="Times New Roman"/>
          <w:b/>
          <w:color w:val="auto"/>
          <w:kern w:val="2"/>
          <w:sz w:val="32"/>
          <w:szCs w:val="24"/>
          <w:lang w:val="zh-CN"/>
        </w:rPr>
        <w:t>（</w:t>
      </w:r>
      <w:r>
        <w:rPr>
          <w:rFonts w:hint="eastAsia" w:eastAsia="楷体_GB2312" w:cs="Times New Roman"/>
          <w:b/>
          <w:color w:val="auto"/>
          <w:kern w:val="2"/>
          <w:sz w:val="32"/>
          <w:szCs w:val="24"/>
          <w:lang w:val="en-US" w:eastAsia="zh-CN"/>
        </w:rPr>
        <w:t>三</w:t>
      </w:r>
      <w:r>
        <w:rPr>
          <w:rFonts w:hint="eastAsia" w:eastAsia="楷体_GB2312" w:cs="Times New Roman"/>
          <w:b/>
          <w:color w:val="auto"/>
          <w:kern w:val="2"/>
          <w:sz w:val="32"/>
          <w:szCs w:val="24"/>
          <w:lang w:val="zh-CN"/>
        </w:rPr>
        <w:t>）</w:t>
      </w:r>
      <w:r>
        <w:rPr>
          <w:rFonts w:hint="default" w:ascii="Times New Roman" w:hAnsi="Times New Roman" w:eastAsia="楷体_GB2312" w:cs="Times New Roman"/>
          <w:b/>
          <w:color w:val="auto"/>
          <w:kern w:val="2"/>
          <w:sz w:val="32"/>
          <w:szCs w:val="24"/>
          <w:lang w:val="zh-CN"/>
        </w:rPr>
        <w:t>项目监管情况。</w:t>
      </w:r>
    </w:p>
    <w:p>
      <w:pPr>
        <w:pageBreakBefore w:val="0"/>
        <w:widowControl w:val="0"/>
        <w:kinsoku/>
        <w:wordWrap/>
        <w:overflowPunct/>
        <w:topLinePunct w:val="0"/>
        <w:autoSpaceDE w:val="0"/>
        <w:autoSpaceDN w:val="0"/>
        <w:bidi w:val="0"/>
        <w:adjustRightInd w:val="0"/>
        <w:spacing w:line="240" w:lineRule="auto"/>
        <w:ind w:firstLine="640" w:firstLineChars="200"/>
        <w:jc w:val="left"/>
        <w:textAlignment w:val="auto"/>
        <w:rPr>
          <w:rFonts w:hint="default" w:ascii="Times New Roman" w:hAnsi="Times New Roman" w:eastAsia="仿宋_GB2312" w:cs="Times New Roman"/>
          <w:kern w:val="0"/>
          <w:sz w:val="32"/>
          <w:szCs w:val="32"/>
          <w:lang w:eastAsia="zh-CN"/>
        </w:rPr>
      </w:pPr>
      <w:r>
        <w:rPr>
          <w:rFonts w:hint="default" w:ascii="Times New Roman" w:hAnsi="Times New Roman" w:eastAsia="仿宋_GB2312" w:cs="Times New Roman"/>
          <w:kern w:val="0"/>
          <w:sz w:val="32"/>
          <w:szCs w:val="32"/>
        </w:rPr>
        <w:t>通过</w:t>
      </w:r>
      <w:r>
        <w:rPr>
          <w:rFonts w:hint="default" w:ascii="Times New Roman" w:hAnsi="Times New Roman" w:eastAsia="仿宋_GB2312" w:cs="Times New Roman"/>
          <w:sz w:val="32"/>
          <w:szCs w:val="32"/>
        </w:rPr>
        <w:t>单位考评和财政监督检查相结合，促进委托单位会计核算规范化、财务管理制度化，</w:t>
      </w:r>
      <w:r>
        <w:rPr>
          <w:rFonts w:hint="default" w:ascii="Times New Roman" w:hAnsi="Times New Roman" w:eastAsia="仿宋_GB2312" w:cs="Times New Roman"/>
          <w:kern w:val="0"/>
          <w:sz w:val="32"/>
          <w:szCs w:val="32"/>
        </w:rPr>
        <w:t>进一步提高该项目的管理成效</w:t>
      </w:r>
      <w:r>
        <w:rPr>
          <w:rFonts w:hint="default" w:ascii="Times New Roman" w:hAnsi="Times New Roman" w:eastAsia="仿宋_GB2312" w:cs="Times New Roman"/>
          <w:kern w:val="0"/>
          <w:sz w:val="32"/>
          <w:szCs w:val="32"/>
          <w:lang w:eastAsia="zh-CN"/>
        </w:rPr>
        <w:t>。</w:t>
      </w:r>
    </w:p>
    <w:p>
      <w:pPr>
        <w:pageBreakBefore w:val="0"/>
        <w:widowControl w:val="0"/>
        <w:kinsoku/>
        <w:wordWrap/>
        <w:overflowPunct/>
        <w:topLinePunct w:val="0"/>
        <w:autoSpaceDE w:val="0"/>
        <w:autoSpaceDN w:val="0"/>
        <w:bidi w:val="0"/>
        <w:adjustRightInd w:val="0"/>
        <w:spacing w:line="240" w:lineRule="auto"/>
        <w:ind w:firstLine="640" w:firstLineChars="200"/>
        <w:jc w:val="left"/>
        <w:textAlignment w:val="auto"/>
        <w:rPr>
          <w:rFonts w:hint="default" w:ascii="Times New Roman" w:hAnsi="Times New Roman" w:eastAsia="仿宋_GB2312" w:cs="Times New Roman"/>
          <w:color w:val="auto"/>
          <w:kern w:val="2"/>
          <w:sz w:val="32"/>
          <w:szCs w:val="24"/>
          <w:lang w:val="zh-CN"/>
        </w:rPr>
      </w:pPr>
      <w:r>
        <w:rPr>
          <w:rFonts w:hint="default" w:ascii="Times New Roman" w:hAnsi="Times New Roman" w:eastAsia="黑体" w:cs="Times New Roman"/>
          <w:color w:val="auto"/>
          <w:kern w:val="2"/>
          <w:sz w:val="32"/>
          <w:szCs w:val="24"/>
          <w:lang w:val="en-US"/>
        </w:rPr>
        <w:t>四、项目绩效情况</w:t>
      </w:r>
      <w:r>
        <w:rPr>
          <w:rFonts w:hint="default" w:ascii="Times New Roman" w:hAnsi="Times New Roman" w:eastAsia="宋体" w:cs="Times New Roman"/>
          <w:color w:val="auto"/>
          <w:kern w:val="2"/>
          <w:sz w:val="32"/>
          <w:szCs w:val="24"/>
          <w:lang w:val="zh-CN"/>
        </w:rPr>
        <w:tab/>
      </w:r>
    </w:p>
    <w:p>
      <w:pPr>
        <w:keepNext/>
        <w:keepLines/>
        <w:pageBreakBefore w:val="0"/>
        <w:widowControl w:val="0"/>
        <w:kinsoku/>
        <w:wordWrap/>
        <w:overflowPunct/>
        <w:topLinePunct w:val="0"/>
        <w:bidi w:val="0"/>
        <w:spacing w:line="240" w:lineRule="auto"/>
        <w:ind w:firstLine="720"/>
        <w:jc w:val="both"/>
        <w:textAlignment w:val="auto"/>
        <w:rPr>
          <w:rFonts w:hint="default" w:ascii="Times New Roman" w:hAnsi="Times New Roman" w:eastAsia="楷体_GB2312" w:cs="Times New Roman"/>
          <w:b/>
          <w:color w:val="auto"/>
          <w:kern w:val="2"/>
          <w:sz w:val="32"/>
          <w:szCs w:val="24"/>
          <w:lang w:val="zh-CN"/>
        </w:rPr>
      </w:pPr>
      <w:r>
        <w:rPr>
          <w:rFonts w:hint="default" w:ascii="Times New Roman" w:hAnsi="Times New Roman" w:eastAsia="楷体_GB2312" w:cs="Times New Roman"/>
          <w:b/>
          <w:color w:val="auto"/>
          <w:kern w:val="2"/>
          <w:sz w:val="32"/>
          <w:szCs w:val="24"/>
          <w:lang w:val="zh-CN"/>
        </w:rPr>
        <w:t>（一）项目完成情况。</w:t>
      </w:r>
    </w:p>
    <w:p>
      <w:pPr>
        <w:pageBreakBefore w:val="0"/>
        <w:widowControl w:val="0"/>
        <w:kinsoku/>
        <w:wordWrap/>
        <w:overflowPunct/>
        <w:topLinePunct w:val="0"/>
        <w:autoSpaceDE w:val="0"/>
        <w:autoSpaceDN w:val="0"/>
        <w:bidi w:val="0"/>
        <w:adjustRightInd w:val="0"/>
        <w:spacing w:line="240" w:lineRule="auto"/>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该项目完成了202</w:t>
      </w:r>
      <w:r>
        <w:rPr>
          <w:rFonts w:hint="default" w:ascii="Times New Roman" w:hAnsi="Times New Roman" w:cs="Times New Roman"/>
          <w:kern w:val="0"/>
          <w:sz w:val="32"/>
          <w:szCs w:val="32"/>
          <w:lang w:val="en-US" w:eastAsia="zh-CN"/>
        </w:rPr>
        <w:t>2</w:t>
      </w:r>
      <w:r>
        <w:rPr>
          <w:rFonts w:hint="default" w:ascii="Times New Roman" w:hAnsi="Times New Roman" w:eastAsia="仿宋_GB2312" w:cs="Times New Roman"/>
          <w:kern w:val="0"/>
          <w:sz w:val="32"/>
          <w:szCs w:val="32"/>
        </w:rPr>
        <w:t>年委托代理26个行政事业单位记账业务相关事宜，在规定的时间内规定时间内完成会计核算账务处理、办理了年终财务决算、编制了会计报告、会计报表等。</w:t>
      </w:r>
    </w:p>
    <w:p>
      <w:pPr>
        <w:pageBreakBefore w:val="0"/>
        <w:widowControl w:val="0"/>
        <w:numPr>
          <w:ilvl w:val="0"/>
          <w:numId w:val="8"/>
        </w:numPr>
        <w:kinsoku/>
        <w:wordWrap/>
        <w:overflowPunct/>
        <w:topLinePunct w:val="0"/>
        <w:autoSpaceDE w:val="0"/>
        <w:autoSpaceDN w:val="0"/>
        <w:bidi w:val="0"/>
        <w:adjustRightInd w:val="0"/>
        <w:spacing w:line="240" w:lineRule="auto"/>
        <w:ind w:firstLine="643" w:firstLineChars="200"/>
        <w:jc w:val="left"/>
        <w:textAlignment w:val="auto"/>
        <w:rPr>
          <w:rFonts w:hint="default" w:ascii="Times New Roman" w:hAnsi="Times New Roman" w:eastAsia="楷体_GB2312" w:cs="Times New Roman"/>
          <w:b/>
          <w:color w:val="auto"/>
          <w:kern w:val="2"/>
          <w:sz w:val="32"/>
          <w:szCs w:val="24"/>
          <w:lang w:val="zh-CN"/>
        </w:rPr>
      </w:pPr>
      <w:r>
        <w:rPr>
          <w:rFonts w:hint="default" w:ascii="Times New Roman" w:hAnsi="Times New Roman" w:eastAsia="楷体_GB2312" w:cs="Times New Roman"/>
          <w:b/>
          <w:color w:val="auto"/>
          <w:kern w:val="2"/>
          <w:sz w:val="32"/>
          <w:szCs w:val="24"/>
          <w:lang w:val="zh-CN"/>
        </w:rPr>
        <w:t>项目效益情况。</w:t>
      </w:r>
    </w:p>
    <w:p>
      <w:pPr>
        <w:pageBreakBefore w:val="0"/>
        <w:widowControl w:val="0"/>
        <w:kinsoku/>
        <w:wordWrap/>
        <w:overflowPunct/>
        <w:topLinePunct w:val="0"/>
        <w:autoSpaceDE w:val="0"/>
        <w:autoSpaceDN w:val="0"/>
        <w:bidi w:val="0"/>
        <w:adjustRightInd w:val="0"/>
        <w:spacing w:line="240" w:lineRule="auto"/>
        <w:ind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该项目解决</w:t>
      </w:r>
      <w:r>
        <w:rPr>
          <w:rFonts w:hint="default" w:ascii="Times New Roman" w:hAnsi="Times New Roman" w:cs="Times New Roman"/>
          <w:kern w:val="0"/>
          <w:sz w:val="32"/>
          <w:szCs w:val="32"/>
          <w:lang w:eastAsia="zh-CN"/>
        </w:rPr>
        <w:t>全区</w:t>
      </w:r>
      <w:r>
        <w:rPr>
          <w:rFonts w:hint="default" w:ascii="Times New Roman" w:hAnsi="Times New Roman" w:eastAsia="仿宋_GB2312" w:cs="Times New Roman"/>
          <w:kern w:val="0"/>
          <w:sz w:val="32"/>
          <w:szCs w:val="32"/>
        </w:rPr>
        <w:t>部</w:t>
      </w:r>
      <w:r>
        <w:rPr>
          <w:rFonts w:hint="eastAsia" w:eastAsia="仿宋_GB2312" w:cs="Times New Roman"/>
          <w:kern w:val="0"/>
          <w:sz w:val="32"/>
          <w:szCs w:val="32"/>
          <w:lang w:val="en-US" w:eastAsia="zh-CN"/>
        </w:rPr>
        <w:t>分</w:t>
      </w:r>
      <w:r>
        <w:rPr>
          <w:rFonts w:hint="default" w:ascii="Times New Roman" w:hAnsi="Times New Roman" w:eastAsia="仿宋_GB2312" w:cs="Times New Roman"/>
          <w:kern w:val="0"/>
          <w:sz w:val="32"/>
          <w:szCs w:val="32"/>
        </w:rPr>
        <w:t>行政事业单位人员编制少，财务人员缺乏的实际困难，</w:t>
      </w:r>
      <w:r>
        <w:rPr>
          <w:rFonts w:hint="default" w:ascii="Times New Roman" w:hAnsi="Times New Roman" w:eastAsia="仿宋_GB2312" w:cs="Times New Roman"/>
          <w:sz w:val="32"/>
          <w:szCs w:val="32"/>
        </w:rPr>
        <w:t>进一步理顺委托单位与代理记账的关系，促进委托单位会计核算和财务管理水平进一步提高。</w:t>
      </w:r>
      <w:r>
        <w:rPr>
          <w:rFonts w:hint="default" w:ascii="Times New Roman" w:hAnsi="Times New Roman" w:eastAsia="仿宋_GB2312" w:cs="Times New Roman"/>
          <w:kern w:val="0"/>
          <w:sz w:val="32"/>
          <w:szCs w:val="32"/>
        </w:rPr>
        <w:t>降低了单位外聘财务人员成本，解决了人员少、无财务人员的行政事业单位能正常开展财务工作的实际困难，单位满意度达96%。</w:t>
      </w:r>
    </w:p>
    <w:p>
      <w:pPr>
        <w:pageBreakBefore w:val="0"/>
        <w:widowControl w:val="0"/>
        <w:kinsoku/>
        <w:wordWrap/>
        <w:overflowPunct/>
        <w:topLinePunct w:val="0"/>
        <w:autoSpaceDE w:val="0"/>
        <w:autoSpaceDN w:val="0"/>
        <w:bidi w:val="0"/>
        <w:adjustRightInd w:val="0"/>
        <w:spacing w:line="240" w:lineRule="auto"/>
        <w:ind w:firstLine="640" w:firstLineChars="200"/>
        <w:jc w:val="left"/>
        <w:textAlignment w:val="auto"/>
        <w:rPr>
          <w:rFonts w:hint="default" w:ascii="Times New Roman" w:hAnsi="Times New Roman" w:eastAsia="黑体" w:cs="Times New Roman"/>
          <w:color w:val="auto"/>
          <w:kern w:val="2"/>
          <w:sz w:val="32"/>
          <w:szCs w:val="24"/>
          <w:lang w:val="en-US"/>
        </w:rPr>
      </w:pPr>
      <w:r>
        <w:rPr>
          <w:rFonts w:hint="default" w:ascii="Times New Roman" w:hAnsi="Times New Roman" w:eastAsia="黑体" w:cs="Times New Roman"/>
          <w:color w:val="auto"/>
          <w:kern w:val="2"/>
          <w:sz w:val="32"/>
          <w:szCs w:val="24"/>
          <w:lang w:val="en-US"/>
        </w:rPr>
        <w:t>五、评价结论及建议</w:t>
      </w:r>
    </w:p>
    <w:p>
      <w:pPr>
        <w:keepNext/>
        <w:keepLines/>
        <w:pageBreakBefore w:val="0"/>
        <w:widowControl w:val="0"/>
        <w:kinsoku/>
        <w:wordWrap/>
        <w:overflowPunct/>
        <w:topLinePunct w:val="0"/>
        <w:bidi w:val="0"/>
        <w:spacing w:line="240" w:lineRule="auto"/>
        <w:ind w:firstLine="720"/>
        <w:jc w:val="both"/>
        <w:textAlignment w:val="auto"/>
        <w:rPr>
          <w:rFonts w:hint="default" w:ascii="Times New Roman" w:hAnsi="Times New Roman" w:eastAsia="楷体_GB2312" w:cs="Times New Roman"/>
          <w:b/>
          <w:color w:val="auto"/>
          <w:kern w:val="2"/>
          <w:sz w:val="32"/>
          <w:szCs w:val="24"/>
          <w:lang w:val="zh-CN"/>
        </w:rPr>
      </w:pPr>
      <w:r>
        <w:rPr>
          <w:rFonts w:hint="default" w:ascii="Times New Roman" w:hAnsi="Times New Roman" w:eastAsia="楷体_GB2312" w:cs="Times New Roman"/>
          <w:b/>
          <w:color w:val="auto"/>
          <w:kern w:val="2"/>
          <w:sz w:val="32"/>
          <w:szCs w:val="24"/>
          <w:lang w:val="zh-CN"/>
        </w:rPr>
        <w:t>（一）评价结论。</w:t>
      </w:r>
    </w:p>
    <w:p>
      <w:pPr>
        <w:pageBreakBefore w:val="0"/>
        <w:widowControl w:val="0"/>
        <w:kinsoku/>
        <w:wordWrap/>
        <w:overflowPunct/>
        <w:topLinePunct w:val="0"/>
        <w:autoSpaceDE w:val="0"/>
        <w:autoSpaceDN w:val="0"/>
        <w:bidi w:val="0"/>
        <w:adjustRightInd w:val="0"/>
        <w:spacing w:line="240" w:lineRule="auto"/>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rPr>
        <w:t>该项目解决部份行政事业单位人员编制少，财务人员缺乏的实际困难，</w:t>
      </w:r>
      <w:r>
        <w:rPr>
          <w:rFonts w:hint="default" w:ascii="Times New Roman" w:hAnsi="Times New Roman" w:eastAsia="仿宋_GB2312" w:cs="Times New Roman"/>
          <w:sz w:val="32"/>
          <w:szCs w:val="32"/>
        </w:rPr>
        <w:t>进一步理顺委托单位与代理记账的关系，促进委托单位会计核算和财务管理水平进一步提高。</w:t>
      </w:r>
    </w:p>
    <w:p>
      <w:pPr>
        <w:pageBreakBefore w:val="0"/>
        <w:widowControl w:val="0"/>
        <w:kinsoku/>
        <w:wordWrap/>
        <w:overflowPunct/>
        <w:topLinePunct w:val="0"/>
        <w:autoSpaceDE w:val="0"/>
        <w:autoSpaceDN w:val="0"/>
        <w:bidi w:val="0"/>
        <w:adjustRightInd w:val="0"/>
        <w:spacing w:line="240" w:lineRule="auto"/>
        <w:ind w:firstLine="643" w:firstLineChars="200"/>
        <w:jc w:val="left"/>
        <w:textAlignment w:val="auto"/>
        <w:rPr>
          <w:rFonts w:hint="default" w:ascii="Times New Roman" w:hAnsi="Times New Roman" w:eastAsia="楷体_GB2312" w:cs="Times New Roman"/>
          <w:b/>
          <w:color w:val="auto"/>
          <w:kern w:val="2"/>
          <w:sz w:val="32"/>
          <w:szCs w:val="24"/>
          <w:lang w:val="zh-CN"/>
        </w:rPr>
      </w:pPr>
      <w:r>
        <w:rPr>
          <w:rFonts w:hint="default" w:ascii="Times New Roman" w:hAnsi="Times New Roman" w:eastAsia="楷体_GB2312" w:cs="Times New Roman"/>
          <w:b/>
          <w:color w:val="auto"/>
          <w:kern w:val="2"/>
          <w:sz w:val="32"/>
          <w:szCs w:val="24"/>
          <w:lang w:val="zh-CN"/>
        </w:rPr>
        <w:t>（二）存在的问题。</w:t>
      </w:r>
    </w:p>
    <w:p>
      <w:pPr>
        <w:keepNext/>
        <w:keepLines/>
        <w:pageBreakBefore w:val="0"/>
        <w:widowControl w:val="0"/>
        <w:kinsoku/>
        <w:wordWrap/>
        <w:overflowPunct/>
        <w:topLinePunct w:val="0"/>
        <w:bidi w:val="0"/>
        <w:spacing w:line="240" w:lineRule="auto"/>
        <w:ind w:firstLine="720"/>
        <w:jc w:val="both"/>
        <w:textAlignment w:val="auto"/>
        <w:rPr>
          <w:rFonts w:hint="default" w:ascii="Times New Roman" w:hAnsi="Times New Roman" w:eastAsia="仿宋_GB2312" w:cs="Times New Roman"/>
          <w:color w:val="auto"/>
          <w:sz w:val="32"/>
          <w:szCs w:val="24"/>
          <w:lang w:val="en-US" w:eastAsia="zh-CN"/>
        </w:rPr>
      </w:pPr>
      <w:r>
        <w:rPr>
          <w:rFonts w:hint="default" w:ascii="Times New Roman" w:hAnsi="Times New Roman" w:eastAsia="仿宋_GB2312" w:cs="Times New Roman"/>
          <w:color w:val="auto"/>
          <w:sz w:val="32"/>
          <w:szCs w:val="24"/>
          <w:lang w:val="en-US" w:eastAsia="zh-CN"/>
        </w:rPr>
        <w:t>委托单位一把手主体责任意识不强。缺乏对代理记账机构、本单位财务人员的严格管理和监督。</w:t>
      </w:r>
    </w:p>
    <w:p>
      <w:pPr>
        <w:keepNext/>
        <w:keepLines/>
        <w:pageBreakBefore w:val="0"/>
        <w:widowControl w:val="0"/>
        <w:numPr>
          <w:ilvl w:val="0"/>
          <w:numId w:val="8"/>
        </w:numPr>
        <w:kinsoku/>
        <w:wordWrap/>
        <w:overflowPunct/>
        <w:topLinePunct w:val="0"/>
        <w:bidi w:val="0"/>
        <w:spacing w:line="240" w:lineRule="auto"/>
        <w:ind w:left="0" w:leftChars="0" w:firstLine="643" w:firstLineChars="200"/>
        <w:jc w:val="both"/>
        <w:textAlignment w:val="auto"/>
        <w:rPr>
          <w:rFonts w:hint="default" w:ascii="Times New Roman" w:hAnsi="Times New Roman" w:eastAsia="楷体_GB2312" w:cs="Times New Roman"/>
          <w:b/>
          <w:color w:val="auto"/>
          <w:kern w:val="2"/>
          <w:sz w:val="32"/>
          <w:szCs w:val="24"/>
          <w:lang w:val="zh-CN"/>
        </w:rPr>
      </w:pPr>
      <w:r>
        <w:rPr>
          <w:rFonts w:hint="default" w:ascii="Times New Roman" w:hAnsi="Times New Roman" w:eastAsia="楷体_GB2312" w:cs="Times New Roman"/>
          <w:b/>
          <w:color w:val="auto"/>
          <w:kern w:val="2"/>
          <w:sz w:val="32"/>
          <w:szCs w:val="24"/>
          <w:lang w:val="zh-CN"/>
        </w:rPr>
        <w:t>相关建议。</w:t>
      </w:r>
    </w:p>
    <w:p>
      <w:pPr>
        <w:keepNext/>
        <w:keepLines/>
        <w:pageBreakBefore w:val="0"/>
        <w:widowControl w:val="0"/>
        <w:kinsoku/>
        <w:wordWrap/>
        <w:overflowPunct/>
        <w:topLinePunct w:val="0"/>
        <w:bidi w:val="0"/>
        <w:spacing w:line="240" w:lineRule="auto"/>
        <w:ind w:firstLine="720"/>
        <w:jc w:val="both"/>
        <w:textAlignment w:val="auto"/>
        <w:rPr>
          <w:rFonts w:hint="default" w:ascii="Times New Roman" w:hAnsi="Times New Roman" w:eastAsia="仿宋_GB2312" w:cs="Times New Roman"/>
          <w:color w:val="auto"/>
          <w:sz w:val="32"/>
          <w:szCs w:val="24"/>
          <w:lang w:val="en-US" w:eastAsia="zh-CN"/>
        </w:rPr>
      </w:pPr>
      <w:r>
        <w:rPr>
          <w:rFonts w:hint="default" w:ascii="Times New Roman" w:hAnsi="Times New Roman" w:eastAsia="仿宋_GB2312" w:cs="Times New Roman"/>
          <w:color w:val="auto"/>
          <w:sz w:val="32"/>
          <w:szCs w:val="24"/>
          <w:lang w:val="en-US" w:eastAsia="zh-CN"/>
        </w:rPr>
        <w:t>建议纪委、审计等部门加大对委托单位的检查，增强单位一把手的主体责任。</w:t>
      </w:r>
    </w:p>
    <w:p>
      <w:pPr>
        <w:pStyle w:val="9"/>
        <w:pageBreakBefore w:val="0"/>
        <w:widowControl w:val="0"/>
        <w:kinsoku/>
        <w:wordWrap/>
        <w:overflowPunct/>
        <w:topLinePunct w:val="0"/>
        <w:bidi w:val="0"/>
        <w:spacing w:line="240" w:lineRule="auto"/>
        <w:ind w:firstLine="640" w:firstLineChars="200"/>
        <w:jc w:val="left"/>
        <w:textAlignment w:val="auto"/>
        <w:rPr>
          <w:rFonts w:hint="default" w:ascii="Times New Roman" w:hAnsi="Times New Roman" w:eastAsia="黑体" w:cs="Times New Roman"/>
          <w:sz w:val="32"/>
          <w:szCs w:val="32"/>
        </w:rPr>
      </w:pPr>
    </w:p>
    <w:p>
      <w:pPr>
        <w:pageBreakBefore w:val="0"/>
        <w:widowControl w:val="0"/>
        <w:kinsoku/>
        <w:wordWrap/>
        <w:overflowPunct/>
        <w:topLinePunct w:val="0"/>
        <w:bidi w:val="0"/>
        <w:adjustRightInd w:val="0"/>
        <w:snapToGrid w:val="0"/>
        <w:spacing w:line="240" w:lineRule="auto"/>
        <w:ind w:firstLine="720"/>
        <w:textAlignment w:val="auto"/>
        <w:rPr>
          <w:rFonts w:hint="default" w:ascii="Times New Roman" w:hAnsi="Times New Roman" w:eastAsia="仿宋_GB2312" w:cs="Times New Roman"/>
          <w:b w:val="0"/>
          <w:bCs w:val="0"/>
          <w:kern w:val="0"/>
          <w:sz w:val="32"/>
          <w:szCs w:val="32"/>
          <w:shd w:val="clear" w:color="auto" w:fill="FFFFFF"/>
          <w:lang w:val="zh-CN" w:eastAsia="zh-CN" w:bidi="ar-SA"/>
        </w:rPr>
      </w:pPr>
    </w:p>
    <w:p>
      <w:pPr>
        <w:pStyle w:val="2"/>
        <w:pageBreakBefore w:val="0"/>
        <w:widowControl w:val="0"/>
        <w:kinsoku/>
        <w:wordWrap/>
        <w:overflowPunct/>
        <w:topLinePunct w:val="0"/>
        <w:bidi w:val="0"/>
        <w:spacing w:before="93" w:line="240" w:lineRule="auto"/>
        <w:textAlignment w:val="auto"/>
        <w:rPr>
          <w:rFonts w:hint="default" w:ascii="Times New Roman" w:hAnsi="Times New Roman" w:cs="Times New Roman"/>
          <w:sz w:val="32"/>
          <w:szCs w:val="32"/>
          <w:shd w:val="clear" w:color="auto" w:fill="FFFFFF"/>
          <w:lang w:val="zh-CN"/>
        </w:rPr>
      </w:pPr>
    </w:p>
    <w:p>
      <w:pPr>
        <w:pageBreakBefore w:val="0"/>
        <w:widowControl/>
        <w:kinsoku/>
        <w:wordWrap/>
        <w:overflowPunct/>
        <w:topLinePunct w:val="0"/>
        <w:bidi w:val="0"/>
        <w:spacing w:line="560" w:lineRule="exact"/>
        <w:jc w:val="center"/>
        <w:textAlignment w:val="center"/>
        <w:rPr>
          <w:rFonts w:hint="default" w:ascii="Times New Roman" w:hAnsi="Times New Roman" w:eastAsia="方正小标宋简体" w:cs="Times New Roman"/>
          <w:sz w:val="40"/>
          <w:szCs w:val="40"/>
        </w:rPr>
      </w:pPr>
    </w:p>
    <w:p>
      <w:pPr>
        <w:pageBreakBefore w:val="0"/>
        <w:widowControl/>
        <w:kinsoku/>
        <w:wordWrap/>
        <w:overflowPunct/>
        <w:topLinePunct w:val="0"/>
        <w:bidi w:val="0"/>
        <w:spacing w:line="560" w:lineRule="exact"/>
        <w:jc w:val="center"/>
        <w:textAlignment w:val="center"/>
        <w:rPr>
          <w:rFonts w:hint="default" w:ascii="Times New Roman" w:hAnsi="Times New Roman" w:eastAsia="方正小标宋简体" w:cs="Times New Roman"/>
          <w:sz w:val="40"/>
          <w:szCs w:val="40"/>
        </w:rPr>
      </w:pPr>
    </w:p>
    <w:p>
      <w:pPr>
        <w:pageBreakBefore w:val="0"/>
        <w:widowControl/>
        <w:kinsoku/>
        <w:wordWrap/>
        <w:overflowPunct/>
        <w:topLinePunct w:val="0"/>
        <w:bidi w:val="0"/>
        <w:spacing w:line="560" w:lineRule="exact"/>
        <w:jc w:val="center"/>
        <w:textAlignment w:val="center"/>
        <w:rPr>
          <w:rFonts w:hint="default" w:ascii="Times New Roman" w:hAnsi="Times New Roman" w:eastAsia="方正小标宋简体" w:cs="Times New Roman"/>
          <w:sz w:val="40"/>
          <w:szCs w:val="40"/>
        </w:rPr>
      </w:pPr>
    </w:p>
    <w:p>
      <w:pPr>
        <w:pageBreakBefore w:val="0"/>
        <w:widowControl/>
        <w:kinsoku/>
        <w:wordWrap/>
        <w:overflowPunct/>
        <w:topLinePunct w:val="0"/>
        <w:bidi w:val="0"/>
        <w:spacing w:line="560" w:lineRule="exact"/>
        <w:jc w:val="center"/>
        <w:textAlignment w:val="center"/>
        <w:rPr>
          <w:rFonts w:hint="default" w:ascii="Times New Roman" w:hAnsi="Times New Roman" w:eastAsia="方正小标宋简体" w:cs="Times New Roman"/>
          <w:sz w:val="40"/>
          <w:szCs w:val="40"/>
        </w:rPr>
      </w:pPr>
    </w:p>
    <w:p>
      <w:pPr>
        <w:pageBreakBefore w:val="0"/>
        <w:widowControl/>
        <w:kinsoku/>
        <w:wordWrap/>
        <w:overflowPunct/>
        <w:topLinePunct w:val="0"/>
        <w:bidi w:val="0"/>
        <w:spacing w:line="560" w:lineRule="exact"/>
        <w:jc w:val="center"/>
        <w:textAlignment w:val="center"/>
        <w:rPr>
          <w:rFonts w:hint="default" w:ascii="Times New Roman" w:hAnsi="Times New Roman" w:eastAsia="方正小标宋简体" w:cs="Times New Roman"/>
          <w:sz w:val="40"/>
          <w:szCs w:val="40"/>
        </w:rPr>
      </w:pPr>
    </w:p>
    <w:p>
      <w:pPr>
        <w:pageBreakBefore w:val="0"/>
        <w:widowControl/>
        <w:kinsoku/>
        <w:wordWrap/>
        <w:overflowPunct/>
        <w:topLinePunct w:val="0"/>
        <w:bidi w:val="0"/>
        <w:spacing w:line="560" w:lineRule="exact"/>
        <w:jc w:val="center"/>
        <w:textAlignment w:val="center"/>
        <w:rPr>
          <w:rFonts w:hint="default" w:ascii="Times New Roman" w:hAnsi="Times New Roman" w:eastAsia="方正小标宋简体" w:cs="Times New Roman"/>
          <w:sz w:val="40"/>
          <w:szCs w:val="40"/>
        </w:rPr>
      </w:pPr>
    </w:p>
    <w:p>
      <w:pPr>
        <w:pageBreakBefore w:val="0"/>
        <w:widowControl/>
        <w:kinsoku/>
        <w:wordWrap/>
        <w:overflowPunct/>
        <w:topLinePunct w:val="0"/>
        <w:bidi w:val="0"/>
        <w:spacing w:line="560" w:lineRule="exact"/>
        <w:jc w:val="center"/>
        <w:textAlignment w:val="center"/>
        <w:rPr>
          <w:rFonts w:hint="default" w:ascii="Times New Roman" w:hAnsi="Times New Roman" w:eastAsia="方正小标宋简体" w:cs="Times New Roman"/>
          <w:sz w:val="40"/>
          <w:szCs w:val="40"/>
        </w:rPr>
      </w:pPr>
    </w:p>
    <w:p>
      <w:pPr>
        <w:pageBreakBefore w:val="0"/>
        <w:widowControl/>
        <w:kinsoku/>
        <w:wordWrap/>
        <w:overflowPunct/>
        <w:topLinePunct w:val="0"/>
        <w:bidi w:val="0"/>
        <w:spacing w:line="560" w:lineRule="exact"/>
        <w:jc w:val="center"/>
        <w:textAlignment w:val="center"/>
        <w:rPr>
          <w:rFonts w:hint="default" w:ascii="Times New Roman" w:hAnsi="Times New Roman" w:eastAsia="方正小标宋简体" w:cs="Times New Roman"/>
          <w:sz w:val="40"/>
          <w:szCs w:val="40"/>
        </w:rPr>
      </w:pPr>
    </w:p>
    <w:p>
      <w:pPr>
        <w:pStyle w:val="2"/>
        <w:rPr>
          <w:rFonts w:hint="default" w:ascii="Times New Roman" w:hAnsi="Times New Roman" w:eastAsia="方正小标宋简体" w:cs="Times New Roman"/>
          <w:sz w:val="40"/>
          <w:szCs w:val="40"/>
        </w:rPr>
      </w:pPr>
    </w:p>
    <w:p>
      <w:pPr>
        <w:pStyle w:val="2"/>
        <w:rPr>
          <w:rFonts w:hint="default" w:ascii="Times New Roman" w:hAnsi="Times New Roman" w:eastAsia="方正小标宋简体" w:cs="Times New Roman"/>
          <w:sz w:val="40"/>
          <w:szCs w:val="40"/>
        </w:rPr>
      </w:pPr>
    </w:p>
    <w:p>
      <w:pPr>
        <w:pageBreakBefore w:val="0"/>
        <w:widowControl/>
        <w:kinsoku/>
        <w:wordWrap/>
        <w:overflowPunct/>
        <w:topLinePunct w:val="0"/>
        <w:bidi w:val="0"/>
        <w:spacing w:line="560" w:lineRule="exact"/>
        <w:jc w:val="center"/>
        <w:textAlignment w:val="center"/>
        <w:rPr>
          <w:rFonts w:hint="default" w:ascii="Times New Roman" w:hAnsi="Times New Roman" w:eastAsia="方正小标宋简体" w:cs="Times New Roman"/>
          <w:sz w:val="40"/>
          <w:szCs w:val="40"/>
        </w:rPr>
      </w:pPr>
    </w:p>
    <w:p>
      <w:pPr>
        <w:pageBreakBefore w:val="0"/>
        <w:widowControl/>
        <w:kinsoku/>
        <w:wordWrap/>
        <w:overflowPunct/>
        <w:topLinePunct w:val="0"/>
        <w:bidi w:val="0"/>
        <w:spacing w:line="560" w:lineRule="exact"/>
        <w:jc w:val="center"/>
        <w:textAlignment w:val="center"/>
        <w:rPr>
          <w:rFonts w:hint="default" w:ascii="Times New Roman" w:hAnsi="Times New Roman" w:eastAsia="方正小标宋简体" w:cs="Times New Roman"/>
          <w:sz w:val="40"/>
          <w:szCs w:val="40"/>
        </w:rPr>
      </w:pPr>
    </w:p>
    <w:p>
      <w:pPr>
        <w:pStyle w:val="34"/>
        <w:pageBreakBefore w:val="0"/>
        <w:kinsoku/>
        <w:wordWrap/>
        <w:overflowPunct/>
        <w:topLinePunct w:val="0"/>
        <w:bidi w:val="0"/>
        <w:spacing w:line="560" w:lineRule="exact"/>
        <w:jc w:val="center"/>
        <w:rPr>
          <w:rFonts w:hint="default" w:ascii="Times New Roman" w:hAnsi="Times New Roman" w:eastAsia="黑体" w:cs="Times New Roman"/>
          <w:highlight w:val="none"/>
          <w:lang w:val="en-US" w:eastAsia="zh-CN"/>
        </w:rPr>
      </w:pPr>
      <w:r>
        <w:rPr>
          <w:rFonts w:hint="default" w:ascii="Times New Roman" w:hAnsi="Times New Roman" w:eastAsia="方正小标宋简体" w:cs="Times New Roman"/>
          <w:sz w:val="44"/>
          <w:szCs w:val="44"/>
          <w:highlight w:val="none"/>
          <w:lang w:val="en-US"/>
        </w:rPr>
        <w:t>202</w:t>
      </w:r>
      <w:r>
        <w:rPr>
          <w:rFonts w:hint="default" w:ascii="Times New Roman" w:hAnsi="Times New Roman" w:eastAsia="方正小标宋简体" w:cs="Times New Roman"/>
          <w:sz w:val="44"/>
          <w:szCs w:val="44"/>
          <w:highlight w:val="none"/>
          <w:lang w:val="en-US" w:eastAsia="zh-CN"/>
        </w:rPr>
        <w:t>2</w:t>
      </w:r>
      <w:r>
        <w:rPr>
          <w:rFonts w:hint="default" w:ascii="Times New Roman" w:hAnsi="Times New Roman" w:eastAsia="方正小标宋简体" w:cs="Times New Roman"/>
          <w:sz w:val="44"/>
          <w:szCs w:val="44"/>
          <w:highlight w:val="none"/>
          <w:lang w:val="en-US"/>
        </w:rPr>
        <w:t>年</w:t>
      </w:r>
      <w:r>
        <w:rPr>
          <w:rFonts w:hint="default" w:ascii="Times New Roman" w:hAnsi="Times New Roman" w:eastAsia="方正小标宋简体" w:cs="Times New Roman"/>
          <w:sz w:val="44"/>
          <w:szCs w:val="44"/>
          <w:highlight w:val="none"/>
          <w:lang w:val="en-US" w:eastAsia="zh-CN"/>
        </w:rPr>
        <w:t>政府专项债券项目咨询服务费</w:t>
      </w:r>
      <w:r>
        <w:rPr>
          <w:rFonts w:hint="default" w:ascii="Times New Roman" w:hAnsi="Times New Roman" w:eastAsia="方正小标宋简体" w:cs="Times New Roman"/>
          <w:sz w:val="44"/>
          <w:szCs w:val="44"/>
          <w:highlight w:val="none"/>
        </w:rPr>
        <w:t>项目支出绩效自评报告</w:t>
      </w:r>
    </w:p>
    <w:p>
      <w:pPr>
        <w:keepNext/>
        <w:keepLines/>
        <w:pageBreakBefore w:val="0"/>
        <w:kinsoku/>
        <w:wordWrap/>
        <w:overflowPunct/>
        <w:topLinePunct w:val="0"/>
        <w:bidi w:val="0"/>
        <w:spacing w:line="560" w:lineRule="exact"/>
        <w:jc w:val="center"/>
        <w:rPr>
          <w:rFonts w:hint="default" w:ascii="Times New Roman" w:hAnsi="Times New Roman" w:eastAsia="方正小标宋简体" w:cs="Times New Roman"/>
          <w:color w:val="auto"/>
          <w:kern w:val="2"/>
          <w:sz w:val="32"/>
          <w:szCs w:val="24"/>
          <w:lang w:val="en-US"/>
        </w:rPr>
      </w:pPr>
    </w:p>
    <w:p>
      <w:pPr>
        <w:keepNext/>
        <w:keepLines/>
        <w:pageBreakBefore w:val="0"/>
        <w:kinsoku/>
        <w:wordWrap/>
        <w:overflowPunct/>
        <w:topLinePunct w:val="0"/>
        <w:bidi w:val="0"/>
        <w:spacing w:line="560" w:lineRule="exact"/>
        <w:ind w:firstLine="720"/>
        <w:jc w:val="both"/>
        <w:rPr>
          <w:rFonts w:hint="default" w:ascii="Times New Roman" w:hAnsi="Times New Roman" w:eastAsia="黑体" w:cs="Times New Roman"/>
          <w:b/>
          <w:bCs/>
          <w:color w:val="auto"/>
          <w:kern w:val="2"/>
          <w:sz w:val="32"/>
          <w:szCs w:val="24"/>
          <w:lang w:val="zh-CN"/>
        </w:rPr>
      </w:pPr>
      <w:r>
        <w:rPr>
          <w:rFonts w:hint="default" w:ascii="Times New Roman" w:hAnsi="Times New Roman" w:eastAsia="黑体" w:cs="Times New Roman"/>
          <w:b/>
          <w:bCs/>
          <w:color w:val="auto"/>
          <w:kern w:val="2"/>
          <w:sz w:val="32"/>
          <w:szCs w:val="24"/>
          <w:lang w:val="en-US"/>
        </w:rPr>
        <w:t>一、</w:t>
      </w:r>
      <w:r>
        <w:rPr>
          <w:rFonts w:hint="default" w:ascii="Times New Roman" w:hAnsi="Times New Roman" w:eastAsia="黑体" w:cs="Times New Roman"/>
          <w:b/>
          <w:bCs/>
          <w:color w:val="auto"/>
          <w:kern w:val="2"/>
          <w:sz w:val="32"/>
          <w:szCs w:val="24"/>
          <w:lang w:val="zh-CN"/>
        </w:rPr>
        <w:t>项目概况</w:t>
      </w:r>
    </w:p>
    <w:p>
      <w:pPr>
        <w:keepNext/>
        <w:keepLines/>
        <w:pageBreakBefore w:val="0"/>
        <w:kinsoku/>
        <w:wordWrap/>
        <w:overflowPunct/>
        <w:topLinePunct w:val="0"/>
        <w:bidi w:val="0"/>
        <w:spacing w:line="560" w:lineRule="exact"/>
        <w:ind w:firstLine="720"/>
        <w:jc w:val="both"/>
        <w:rPr>
          <w:rFonts w:hint="default" w:ascii="Times New Roman" w:hAnsi="Times New Roman" w:eastAsia="楷体_GB2312" w:cs="Times New Roman"/>
          <w:b/>
          <w:color w:val="auto"/>
          <w:kern w:val="2"/>
          <w:sz w:val="32"/>
          <w:szCs w:val="24"/>
          <w:lang w:val="zh-CN"/>
        </w:rPr>
      </w:pPr>
      <w:r>
        <w:rPr>
          <w:rFonts w:hint="default" w:ascii="Times New Roman" w:hAnsi="Times New Roman" w:eastAsia="楷体_GB2312" w:cs="Times New Roman"/>
          <w:b/>
          <w:color w:val="auto"/>
          <w:kern w:val="2"/>
          <w:sz w:val="32"/>
          <w:szCs w:val="24"/>
          <w:lang w:val="zh-CN"/>
        </w:rPr>
        <w:t>（一）项目基本情况。</w:t>
      </w:r>
    </w:p>
    <w:p>
      <w:pPr>
        <w:keepNext/>
        <w:keepLines/>
        <w:pageBreakBefore w:val="0"/>
        <w:kinsoku/>
        <w:wordWrap/>
        <w:overflowPunct/>
        <w:topLinePunct w:val="0"/>
        <w:bidi w:val="0"/>
        <w:spacing w:line="56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仁和区财政局由4个收益与融资自求平衡专项债券项目在规定时间内完成申报并经四川省财政厅审核通过，进入四川省财政厅专项债券发行备选库系统，分别是：仁和苴却砚特色小镇基础设施建设项目一期、攀枝花市仁和区弯庄安置房一期周边老旧小区改造项目、攀枝花市仁和区抗旱水源工程大龙潭彝族乡东山坡提灌站工程项目、前进镇五摩路（交警一大队至水库组安置房）沿线老旧小区改造项目，入库债券资金需求额度为32,285万元。 根据《仁和区财政局申报2020-2022年政府专项债券中介机构服务合同》约定，单个项目合同金额为36万元，4个项目共计需要144万元。</w:t>
      </w:r>
    </w:p>
    <w:p>
      <w:pPr>
        <w:pageBreakBefore w:val="0"/>
        <w:kinsoku/>
        <w:wordWrap/>
        <w:overflowPunct/>
        <w:topLinePunct w:val="0"/>
        <w:bidi w:val="0"/>
        <w:adjustRightInd w:val="0"/>
        <w:snapToGrid w:val="0"/>
        <w:spacing w:line="560" w:lineRule="exact"/>
        <w:ind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根据《四川省财政厅关于依法依规自主选择第三方机构参与项目收益专项债券相关工作的通知》（川财金〔2018〕51号）有关规定，发行项目收益与融资自求平衡专项债券，需编制项目收益专项债券实施方案，由独立第三方专业机构进行评估并出具专项评估意见</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各地按照有关法律法规规定，依法依规自主选择第三方机构参与项目收益专项债券工作。根据采购文件要求进行公开竞标，由中标单位：成都万铭企业管理咨询有限责任公司，与区财政局签订《仁和区财政局申报2020-2022年政府专项债券中介机构服务合同》，按合同要求履行仁和区申报2020-2022年政府专项债券咨询后，支付咨询费用。</w:t>
      </w:r>
    </w:p>
    <w:p>
      <w:pPr>
        <w:pageBreakBefore w:val="0"/>
        <w:numPr>
          <w:ilvl w:val="0"/>
          <w:numId w:val="9"/>
        </w:numPr>
        <w:kinsoku/>
        <w:wordWrap/>
        <w:overflowPunct/>
        <w:topLinePunct w:val="0"/>
        <w:bidi w:val="0"/>
        <w:adjustRightInd w:val="0"/>
        <w:snapToGrid w:val="0"/>
        <w:spacing w:line="560" w:lineRule="exact"/>
        <w:ind w:firstLine="643" w:firstLineChars="200"/>
        <w:rPr>
          <w:rFonts w:hint="default" w:ascii="Times New Roman" w:hAnsi="Times New Roman" w:eastAsia="楷体_GB2312" w:cs="Times New Roman"/>
          <w:b/>
          <w:color w:val="auto"/>
          <w:kern w:val="2"/>
          <w:sz w:val="32"/>
          <w:szCs w:val="24"/>
          <w:lang w:val="zh-CN"/>
        </w:rPr>
      </w:pPr>
      <w:r>
        <w:rPr>
          <w:rFonts w:hint="default" w:ascii="Times New Roman" w:hAnsi="Times New Roman" w:eastAsia="楷体_GB2312" w:cs="Times New Roman"/>
          <w:b/>
          <w:color w:val="auto"/>
          <w:kern w:val="2"/>
          <w:sz w:val="32"/>
          <w:szCs w:val="24"/>
          <w:lang w:val="zh-CN"/>
        </w:rPr>
        <w:t>项目绩效目标。</w:t>
      </w:r>
    </w:p>
    <w:p>
      <w:pPr>
        <w:pageBreakBefore w:val="0"/>
        <w:numPr>
          <w:ilvl w:val="0"/>
          <w:numId w:val="0"/>
        </w:numPr>
        <w:kinsoku/>
        <w:wordWrap/>
        <w:overflowPunct/>
        <w:topLinePunct w:val="0"/>
        <w:bidi w:val="0"/>
        <w:adjustRightInd w:val="0"/>
        <w:snapToGrid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成都万铭企业管理咨询有限责任公司</w:t>
      </w:r>
      <w:r>
        <w:rPr>
          <w:rFonts w:hint="default" w:ascii="Times New Roman" w:hAnsi="Times New Roman" w:eastAsia="仿宋_GB2312" w:cs="Times New Roman"/>
          <w:sz w:val="32"/>
          <w:szCs w:val="32"/>
          <w:lang w:eastAsia="zh-CN"/>
        </w:rPr>
        <w:t>履行</w:t>
      </w:r>
      <w:r>
        <w:rPr>
          <w:rFonts w:hint="default" w:ascii="Times New Roman" w:hAnsi="Times New Roman" w:eastAsia="仿宋_GB2312" w:cs="Times New Roman"/>
          <w:sz w:val="32"/>
          <w:szCs w:val="32"/>
        </w:rPr>
        <w:t>合同约定</w:t>
      </w:r>
      <w:r>
        <w:rPr>
          <w:rFonts w:hint="default" w:ascii="Times New Roman" w:hAnsi="Times New Roman" w:eastAsia="仿宋_GB2312" w:cs="Times New Roman"/>
          <w:sz w:val="32"/>
          <w:szCs w:val="32"/>
          <w:lang w:eastAsia="zh-CN"/>
        </w:rPr>
        <w:t>服务内容，</w:t>
      </w:r>
      <w:r>
        <w:rPr>
          <w:rFonts w:hint="default" w:ascii="Times New Roman" w:hAnsi="Times New Roman" w:eastAsia="仿宋_GB2312" w:cs="Times New Roman"/>
          <w:sz w:val="32"/>
          <w:szCs w:val="32"/>
          <w:lang w:val="en-US" w:eastAsia="zh-CN"/>
        </w:rPr>
        <w:t>1、对每年度各单位梳理上报的拟申报债券项目的报送提供法律、法规、政策依据及流程制度（指引）咨询。2、编制每年度各相关单位梳理上报的拟申报债券项目《项目实施方案》《财务评估报告》及底稿;《项目法律意见书》及底稿。3、协助财政部门将完成“一案两书”录入“四川省政府债券管理平台”并完成上报。4、省财政厅委托相关行业专家组成项目专项债券审核专家组，对各地在四川省政府债券管理平台系统中上报的项目实施方案进行线上集中审核，并出具独立审核意见时乙方派专人跟踪通过预审的项目纳入债券备选库。5、通过专家审核通过的项目，从债券备选库转入发行备选库，作为发行项目专项债券的备选项目，乙方负责项目专项债券的相关信息，包括发行信息、发行结果信息、</w:t>
      </w:r>
      <w:r>
        <w:rPr>
          <w:rFonts w:hint="eastAsia" w:eastAsia="仿宋_GB2312" w:cs="Times New Roman"/>
          <w:sz w:val="32"/>
          <w:szCs w:val="32"/>
          <w:lang w:val="en-US" w:eastAsia="zh-CN"/>
        </w:rPr>
        <w:t>支</w:t>
      </w:r>
      <w:r>
        <w:rPr>
          <w:rFonts w:hint="default" w:ascii="Times New Roman" w:hAnsi="Times New Roman" w:eastAsia="仿宋_GB2312" w:cs="Times New Roman"/>
          <w:sz w:val="32"/>
          <w:szCs w:val="32"/>
          <w:lang w:val="en-US" w:eastAsia="zh-CN"/>
        </w:rPr>
        <w:t>付</w:t>
      </w:r>
      <w:r>
        <w:rPr>
          <w:rFonts w:hint="eastAsia" w:eastAsia="仿宋_GB2312" w:cs="Times New Roman"/>
          <w:sz w:val="32"/>
          <w:szCs w:val="32"/>
          <w:lang w:val="en-US" w:eastAsia="zh-CN"/>
        </w:rPr>
        <w:t>利</w:t>
      </w:r>
      <w:r>
        <w:rPr>
          <w:rFonts w:hint="default" w:ascii="Times New Roman" w:hAnsi="Times New Roman" w:eastAsia="仿宋_GB2312" w:cs="Times New Roman"/>
          <w:sz w:val="32"/>
          <w:szCs w:val="32"/>
          <w:lang w:val="en-US" w:eastAsia="zh-CN"/>
        </w:rPr>
        <w:t>息信息、兑付信息、定期信息、重大事项信息等进行披露。</w:t>
      </w:r>
      <w:r>
        <w:rPr>
          <w:rFonts w:hint="default" w:ascii="Times New Roman" w:hAnsi="Times New Roman" w:eastAsia="仿宋_GB2312" w:cs="Times New Roman"/>
          <w:sz w:val="32"/>
          <w:szCs w:val="32"/>
        </w:rPr>
        <w:t>成都万铭企业管理咨询有限责任公司正确、全面履行合同，区财政以每年度各相关单位梳理上报的拟申报债券项目单个结算，单个项目合同金额为36万元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4个项目共计需要144万元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color w:val="auto"/>
          <w:sz w:val="32"/>
          <w:szCs w:val="32"/>
        </w:rPr>
        <w:t>4个项目的入库债券资金需求额度为32,285万元，以较低成本实现绩效目标</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评估内容</w:t>
      </w:r>
      <w:r>
        <w:rPr>
          <w:rFonts w:hint="default" w:ascii="Times New Roman" w:hAnsi="Times New Roman" w:eastAsia="仿宋_GB2312" w:cs="Times New Roman"/>
          <w:sz w:val="32"/>
          <w:szCs w:val="32"/>
        </w:rPr>
        <w:t>全面完整、可量化、可考核，与仁和区的长期规划目标、年度工作目标相一致，产出和效果相关联，满意度指标较好。</w:t>
      </w:r>
    </w:p>
    <w:p>
      <w:pPr>
        <w:pageBreakBefore w:val="0"/>
        <w:numPr>
          <w:ilvl w:val="0"/>
          <w:numId w:val="0"/>
        </w:numPr>
        <w:kinsoku/>
        <w:wordWrap/>
        <w:overflowPunct/>
        <w:topLinePunct w:val="0"/>
        <w:bidi w:val="0"/>
        <w:adjustRightInd w:val="0"/>
        <w:snapToGrid w:val="0"/>
        <w:spacing w:line="560" w:lineRule="exact"/>
        <w:ind w:firstLine="643" w:firstLineChars="200"/>
        <w:rPr>
          <w:rFonts w:hint="default" w:ascii="Times New Roman" w:hAnsi="Times New Roman" w:eastAsia="楷体_GB2312" w:cs="Times New Roman"/>
          <w:b/>
          <w:color w:val="auto"/>
          <w:kern w:val="2"/>
          <w:sz w:val="32"/>
          <w:szCs w:val="24"/>
          <w:lang w:val="zh-CN"/>
        </w:rPr>
      </w:pPr>
      <w:r>
        <w:rPr>
          <w:rFonts w:hint="default" w:ascii="Times New Roman" w:hAnsi="Times New Roman" w:eastAsia="楷体_GB2312" w:cs="Times New Roman"/>
          <w:b/>
          <w:color w:val="auto"/>
          <w:kern w:val="2"/>
          <w:sz w:val="32"/>
          <w:szCs w:val="24"/>
          <w:lang w:val="zh-CN"/>
        </w:rPr>
        <w:t>（三）项目自评步骤及方法。</w:t>
      </w:r>
    </w:p>
    <w:p>
      <w:pPr>
        <w:pageBreakBefore w:val="0"/>
        <w:numPr>
          <w:ilvl w:val="0"/>
          <w:numId w:val="0"/>
        </w:numPr>
        <w:kinsoku/>
        <w:wordWrap/>
        <w:overflowPunct/>
        <w:topLinePunct w:val="0"/>
        <w:bidi w:val="0"/>
        <w:adjustRightInd w:val="0"/>
        <w:snapToGrid w:val="0"/>
        <w:spacing w:line="560" w:lineRule="exact"/>
        <w:ind w:firstLine="640" w:firstLineChars="200"/>
        <w:rPr>
          <w:rFonts w:hint="default" w:ascii="Times New Roman" w:hAnsi="Times New Roman" w:eastAsia="仿宋_GB2312" w:cs="Times New Roman"/>
          <w:color w:val="auto"/>
          <w:sz w:val="32"/>
          <w:szCs w:val="24"/>
          <w:lang w:val="zh-CN"/>
        </w:rPr>
      </w:pPr>
      <w:r>
        <w:rPr>
          <w:rFonts w:hint="default" w:ascii="Times New Roman" w:hAnsi="Times New Roman" w:eastAsia="仿宋_GB2312" w:cs="Times New Roman"/>
          <w:sz w:val="32"/>
          <w:szCs w:val="32"/>
        </w:rPr>
        <w:t>根据《仁和区财政局申报2020-2022年政府专项债券中介机构服务合同》约定，</w:t>
      </w:r>
      <w:r>
        <w:rPr>
          <w:rFonts w:hint="default" w:ascii="Times New Roman" w:hAnsi="Times New Roman" w:eastAsia="仿宋_GB2312" w:cs="Times New Roman"/>
          <w:sz w:val="32"/>
          <w:szCs w:val="32"/>
          <w:lang w:val="en-US" w:eastAsia="zh-CN"/>
        </w:rPr>
        <w:t>通过专家审核通过的项目，从债券备选库转入发行备选库，作为发行项目专项债券的备选项目，最终在四川省政府债券管理平台系统中成功发行，再按合同约定</w:t>
      </w:r>
      <w:r>
        <w:rPr>
          <w:rFonts w:hint="default" w:ascii="Times New Roman" w:hAnsi="Times New Roman" w:eastAsia="仿宋_GB2312" w:cs="Times New Roman"/>
          <w:sz w:val="32"/>
          <w:szCs w:val="32"/>
        </w:rPr>
        <w:t>单个项目合同金额为36万元，4个项目共计需要144万元。</w:t>
      </w:r>
    </w:p>
    <w:p>
      <w:pPr>
        <w:keepNext/>
        <w:keepLines/>
        <w:pageBreakBefore w:val="0"/>
        <w:kinsoku/>
        <w:wordWrap/>
        <w:overflowPunct/>
        <w:topLinePunct w:val="0"/>
        <w:bidi w:val="0"/>
        <w:spacing w:line="560" w:lineRule="exact"/>
        <w:ind w:firstLine="720"/>
        <w:jc w:val="both"/>
        <w:rPr>
          <w:rFonts w:hint="default" w:ascii="Times New Roman" w:hAnsi="Times New Roman" w:eastAsia="黑体" w:cs="Times New Roman"/>
          <w:b/>
          <w:bCs/>
          <w:color w:val="auto"/>
          <w:kern w:val="2"/>
          <w:sz w:val="32"/>
          <w:szCs w:val="24"/>
          <w:lang w:val="en-US"/>
        </w:rPr>
      </w:pPr>
      <w:r>
        <w:rPr>
          <w:rFonts w:hint="default" w:ascii="Times New Roman" w:hAnsi="Times New Roman" w:eastAsia="黑体" w:cs="Times New Roman"/>
          <w:b/>
          <w:bCs/>
          <w:color w:val="auto"/>
          <w:kern w:val="2"/>
          <w:sz w:val="32"/>
          <w:szCs w:val="24"/>
          <w:lang w:val="en-US"/>
        </w:rPr>
        <w:t>二、项目资金申报及使用情况</w:t>
      </w:r>
    </w:p>
    <w:p>
      <w:pPr>
        <w:keepNext/>
        <w:keepLines/>
        <w:pageBreakBefore w:val="0"/>
        <w:kinsoku/>
        <w:wordWrap/>
        <w:overflowPunct/>
        <w:topLinePunct w:val="0"/>
        <w:bidi w:val="0"/>
        <w:spacing w:line="560" w:lineRule="exact"/>
        <w:ind w:firstLine="720"/>
        <w:jc w:val="both"/>
        <w:rPr>
          <w:rFonts w:hint="default" w:ascii="Times New Roman" w:hAnsi="Times New Roman" w:eastAsia="楷体_GB2312" w:cs="Times New Roman"/>
          <w:b/>
          <w:color w:val="auto"/>
          <w:kern w:val="2"/>
          <w:sz w:val="32"/>
          <w:szCs w:val="24"/>
          <w:lang w:val="zh-CN"/>
        </w:rPr>
      </w:pPr>
      <w:r>
        <w:rPr>
          <w:rFonts w:hint="default" w:ascii="Times New Roman" w:hAnsi="Times New Roman" w:eastAsia="楷体_GB2312" w:cs="Times New Roman"/>
          <w:b/>
          <w:color w:val="auto"/>
          <w:kern w:val="2"/>
          <w:sz w:val="32"/>
          <w:szCs w:val="24"/>
          <w:lang w:val="zh-CN"/>
        </w:rPr>
        <w:t>（一）项目资金申报及批复情况。</w:t>
      </w:r>
    </w:p>
    <w:p>
      <w:pPr>
        <w:keepNext/>
        <w:keepLines/>
        <w:pageBreakBefore w:val="0"/>
        <w:kinsoku/>
        <w:wordWrap/>
        <w:overflowPunct/>
        <w:topLinePunct w:val="0"/>
        <w:bidi w:val="0"/>
        <w:spacing w:line="560" w:lineRule="exact"/>
        <w:ind w:firstLine="720"/>
        <w:jc w:val="both"/>
        <w:rPr>
          <w:rFonts w:hint="default" w:ascii="Times New Roman" w:hAnsi="Times New Roman" w:eastAsia="仿宋_GB2312" w:cs="Times New Roman"/>
          <w:kern w:val="0"/>
          <w:sz w:val="32"/>
          <w:szCs w:val="32"/>
          <w:lang w:val="zh-CN"/>
        </w:rPr>
      </w:pPr>
      <w:r>
        <w:rPr>
          <w:rFonts w:hint="default" w:ascii="Times New Roman" w:hAnsi="Times New Roman" w:eastAsia="仿宋_GB2312" w:cs="Times New Roman"/>
          <w:sz w:val="32"/>
          <w:szCs w:val="32"/>
        </w:rPr>
        <w:t>根据《关于解决2022年政府专项债券项目咨询服务费的请示》（攀仁财〔2022〕90号）、《区政府第18次常务会议纪要》议定，为准时完成专项债券项目申报，确保收益与融资自求平衡，原则同意区财政局请示，区财政局根据会议意见修改完善后按程序办理</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kern w:val="0"/>
          <w:sz w:val="32"/>
          <w:szCs w:val="32"/>
          <w:lang w:val="zh-CN"/>
        </w:rPr>
        <w:t>该项目预算申报数</w:t>
      </w:r>
      <w:r>
        <w:rPr>
          <w:rFonts w:hint="default" w:ascii="Times New Roman" w:hAnsi="Times New Roman" w:eastAsia="仿宋_GB2312" w:cs="Times New Roman"/>
          <w:kern w:val="0"/>
          <w:sz w:val="32"/>
          <w:szCs w:val="32"/>
          <w:lang w:val="en-US" w:eastAsia="zh-CN"/>
        </w:rPr>
        <w:t>144</w:t>
      </w:r>
      <w:r>
        <w:rPr>
          <w:rFonts w:hint="default" w:ascii="Times New Roman" w:hAnsi="Times New Roman" w:eastAsia="仿宋_GB2312" w:cs="Times New Roman"/>
          <w:kern w:val="0"/>
          <w:sz w:val="32"/>
          <w:szCs w:val="32"/>
          <w:lang w:val="zh-CN"/>
        </w:rPr>
        <w:t>万元，批复数为</w:t>
      </w:r>
      <w:r>
        <w:rPr>
          <w:rFonts w:hint="default" w:ascii="Times New Roman" w:hAnsi="Times New Roman" w:eastAsia="仿宋_GB2312" w:cs="Times New Roman"/>
          <w:kern w:val="0"/>
          <w:sz w:val="32"/>
          <w:szCs w:val="32"/>
          <w:lang w:val="en-US" w:eastAsia="zh-CN"/>
        </w:rPr>
        <w:t>144</w:t>
      </w:r>
      <w:r>
        <w:rPr>
          <w:rFonts w:hint="default" w:ascii="Times New Roman" w:hAnsi="Times New Roman" w:eastAsia="仿宋_GB2312" w:cs="Times New Roman"/>
          <w:kern w:val="0"/>
          <w:sz w:val="32"/>
          <w:szCs w:val="32"/>
          <w:lang w:val="zh-CN"/>
        </w:rPr>
        <w:t>万元。</w:t>
      </w:r>
    </w:p>
    <w:p>
      <w:pPr>
        <w:pageBreakBefore w:val="0"/>
        <w:kinsoku/>
        <w:wordWrap/>
        <w:overflowPunct/>
        <w:topLinePunct w:val="0"/>
        <w:bidi w:val="0"/>
        <w:adjustRightInd w:val="0"/>
        <w:snapToGrid w:val="0"/>
        <w:spacing w:line="560" w:lineRule="exact"/>
        <w:ind w:firstLine="643" w:firstLineChars="200"/>
        <w:rPr>
          <w:rFonts w:hint="default" w:ascii="Times New Roman" w:hAnsi="Times New Roman" w:eastAsia="楷体_GB2312" w:cs="Times New Roman"/>
          <w:b/>
          <w:color w:val="auto"/>
          <w:kern w:val="2"/>
          <w:sz w:val="32"/>
          <w:szCs w:val="24"/>
          <w:lang w:val="en-US" w:eastAsia="zh-CN"/>
        </w:rPr>
      </w:pPr>
      <w:r>
        <w:rPr>
          <w:rFonts w:hint="default" w:ascii="Times New Roman" w:hAnsi="Times New Roman" w:eastAsia="楷体_GB2312" w:cs="Times New Roman"/>
          <w:b/>
          <w:color w:val="auto"/>
          <w:kern w:val="2"/>
          <w:sz w:val="32"/>
          <w:szCs w:val="24"/>
          <w:lang w:val="zh-CN"/>
        </w:rPr>
        <w:t>（二）资金计划、到位及使用情况。</w:t>
      </w:r>
      <w:r>
        <w:rPr>
          <w:rFonts w:hint="default" w:ascii="Times New Roman" w:hAnsi="Times New Roman" w:eastAsia="楷体_GB2312" w:cs="Times New Roman"/>
          <w:b/>
          <w:color w:val="auto"/>
          <w:kern w:val="2"/>
          <w:sz w:val="32"/>
          <w:szCs w:val="24"/>
          <w:lang w:val="en-US" w:eastAsia="zh-CN"/>
        </w:rPr>
        <w:t xml:space="preserve">  </w:t>
      </w:r>
    </w:p>
    <w:p>
      <w:pPr>
        <w:keepNext/>
        <w:keepLines/>
        <w:pageBreakBefore w:val="0"/>
        <w:kinsoku/>
        <w:wordWrap/>
        <w:overflowPunct/>
        <w:topLinePunct w:val="0"/>
        <w:bidi w:val="0"/>
        <w:spacing w:line="560" w:lineRule="exact"/>
        <w:ind w:firstLine="640"/>
        <w:rPr>
          <w:rFonts w:hint="default" w:ascii="Times New Roman" w:hAnsi="Times New Roman" w:eastAsia="仿宋_GB2312" w:cs="Times New Roman"/>
          <w:color w:val="auto"/>
          <w:sz w:val="32"/>
          <w:szCs w:val="24"/>
          <w:lang w:val="zh-CN"/>
        </w:rPr>
      </w:pPr>
      <w:r>
        <w:rPr>
          <w:rFonts w:hint="default" w:ascii="Times New Roman" w:hAnsi="Times New Roman" w:eastAsia="楷体_GB2312" w:cs="Times New Roman"/>
          <w:b/>
          <w:color w:val="auto"/>
          <w:kern w:val="2"/>
          <w:sz w:val="32"/>
          <w:szCs w:val="24"/>
          <w:lang w:val="en-US" w:eastAsia="zh-CN"/>
        </w:rPr>
        <w:t xml:space="preserve"> </w:t>
      </w:r>
      <w:r>
        <w:rPr>
          <w:rFonts w:hint="default" w:ascii="Times New Roman" w:hAnsi="Times New Roman" w:eastAsia="仿宋_GB2312" w:cs="Times New Roman"/>
          <w:color w:val="auto"/>
          <w:sz w:val="32"/>
          <w:szCs w:val="24"/>
          <w:lang w:val="zh-CN"/>
        </w:rPr>
        <w:t>1．资金计划。根据</w:t>
      </w:r>
      <w:r>
        <w:rPr>
          <w:rFonts w:hint="default" w:ascii="Times New Roman" w:hAnsi="Times New Roman" w:eastAsia="仿宋_GB2312" w:cs="Times New Roman"/>
          <w:sz w:val="32"/>
          <w:szCs w:val="32"/>
        </w:rPr>
        <w:t>《区政府第18次常务会议纪要》会议议定</w:t>
      </w:r>
      <w:r>
        <w:rPr>
          <w:rFonts w:hint="default" w:ascii="Times New Roman" w:hAnsi="Times New Roman" w:eastAsia="仿宋_GB2312" w:cs="Times New Roman"/>
          <w:sz w:val="32"/>
          <w:szCs w:val="32"/>
          <w:lang w:eastAsia="zh-CN"/>
        </w:rPr>
        <w:t>和财政局领导的批示，仁和区财政局</w:t>
      </w:r>
      <w:r>
        <w:rPr>
          <w:rFonts w:hint="default" w:ascii="Times New Roman" w:hAnsi="Times New Roman" w:eastAsia="仿宋_GB2312" w:cs="Times New Roman"/>
          <w:color w:val="auto"/>
          <w:sz w:val="32"/>
          <w:szCs w:val="24"/>
          <w:lang w:val="zh-CN"/>
        </w:rPr>
        <w:t>筹集资金，安排资金计划。</w:t>
      </w:r>
    </w:p>
    <w:p>
      <w:pPr>
        <w:keepNext/>
        <w:keepLines/>
        <w:pageBreakBefore w:val="0"/>
        <w:kinsoku/>
        <w:wordWrap/>
        <w:overflowPunct/>
        <w:topLinePunct w:val="0"/>
        <w:bidi w:val="0"/>
        <w:spacing w:line="560" w:lineRule="exact"/>
        <w:ind w:firstLine="640"/>
        <w:rPr>
          <w:rFonts w:hint="default" w:ascii="Times New Roman" w:hAnsi="Times New Roman" w:eastAsia="仿宋_GB2312" w:cs="Times New Roman"/>
          <w:color w:val="auto"/>
          <w:sz w:val="32"/>
          <w:szCs w:val="24"/>
          <w:lang w:val="zh-CN"/>
        </w:rPr>
      </w:pPr>
      <w:r>
        <w:rPr>
          <w:rFonts w:hint="default" w:ascii="Times New Roman" w:hAnsi="Times New Roman" w:eastAsia="仿宋_GB2312" w:cs="Times New Roman"/>
          <w:color w:val="auto"/>
          <w:sz w:val="32"/>
          <w:szCs w:val="24"/>
          <w:lang w:val="zh-CN"/>
        </w:rPr>
        <w:t>2．资金到位。仁和区财政局及时筹集到位资金</w:t>
      </w:r>
      <w:r>
        <w:rPr>
          <w:rFonts w:hint="default" w:ascii="Times New Roman" w:hAnsi="Times New Roman" w:eastAsia="仿宋_GB2312" w:cs="Times New Roman"/>
          <w:color w:val="auto"/>
          <w:sz w:val="32"/>
          <w:szCs w:val="24"/>
          <w:lang w:val="en-US" w:eastAsia="zh-CN"/>
        </w:rPr>
        <w:t>144</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color w:val="auto"/>
          <w:sz w:val="32"/>
          <w:szCs w:val="24"/>
          <w:lang w:val="zh-CN"/>
        </w:rPr>
        <w:t>。</w:t>
      </w:r>
    </w:p>
    <w:p>
      <w:pPr>
        <w:keepNext/>
        <w:keepLines/>
        <w:pageBreakBefore w:val="0"/>
        <w:kinsoku/>
        <w:wordWrap/>
        <w:overflowPunct/>
        <w:topLinePunct w:val="0"/>
        <w:bidi w:val="0"/>
        <w:spacing w:line="560" w:lineRule="exact"/>
        <w:ind w:firstLine="640"/>
        <w:rPr>
          <w:rFonts w:hint="default" w:ascii="Times New Roman" w:hAnsi="Times New Roman" w:eastAsia="仿宋_GB2312" w:cs="Times New Roman"/>
          <w:color w:val="auto"/>
          <w:sz w:val="32"/>
          <w:szCs w:val="24"/>
          <w:lang w:val="zh-CN"/>
        </w:rPr>
      </w:pPr>
      <w:r>
        <w:rPr>
          <w:rFonts w:hint="default" w:ascii="Times New Roman" w:hAnsi="Times New Roman" w:eastAsia="仿宋_GB2312" w:cs="Times New Roman"/>
          <w:color w:val="auto"/>
          <w:sz w:val="32"/>
          <w:szCs w:val="24"/>
          <w:lang w:val="zh-CN"/>
        </w:rPr>
        <w:t>3．资金使用。</w:t>
      </w:r>
      <w:r>
        <w:rPr>
          <w:rFonts w:hint="default" w:ascii="Times New Roman" w:hAnsi="Times New Roman" w:eastAsia="仿宋_GB2312" w:cs="Times New Roman"/>
          <w:sz w:val="32"/>
          <w:szCs w:val="32"/>
          <w:lang w:val="en-US" w:eastAsia="zh-CN"/>
        </w:rPr>
        <w:t>按合同约定</w:t>
      </w:r>
      <w:r>
        <w:rPr>
          <w:rFonts w:hint="default" w:ascii="Times New Roman" w:hAnsi="Times New Roman" w:eastAsia="仿宋_GB2312" w:cs="Times New Roman"/>
          <w:sz w:val="32"/>
          <w:szCs w:val="32"/>
        </w:rPr>
        <w:t>单个项目合同金额为36万元，4个项目共计</w:t>
      </w:r>
      <w:r>
        <w:rPr>
          <w:rFonts w:hint="default" w:ascii="Times New Roman" w:hAnsi="Times New Roman" w:eastAsia="仿宋_GB2312" w:cs="Times New Roman"/>
          <w:sz w:val="32"/>
          <w:szCs w:val="32"/>
          <w:lang w:eastAsia="zh-CN"/>
        </w:rPr>
        <w:t>支付了</w:t>
      </w:r>
      <w:r>
        <w:rPr>
          <w:rFonts w:hint="default" w:ascii="Times New Roman" w:hAnsi="Times New Roman" w:eastAsia="仿宋_GB2312" w:cs="Times New Roman"/>
          <w:sz w:val="32"/>
          <w:szCs w:val="32"/>
        </w:rPr>
        <w:t>144万元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color w:val="auto"/>
          <w:sz w:val="32"/>
          <w:szCs w:val="24"/>
          <w:lang w:val="zh-CN"/>
        </w:rPr>
        <w:t>资金支付范围、支付标准、支付进度、支付依据合规合法、与预算相符。</w:t>
      </w:r>
    </w:p>
    <w:p>
      <w:pPr>
        <w:pageBreakBefore w:val="0"/>
        <w:kinsoku/>
        <w:wordWrap/>
        <w:overflowPunct/>
        <w:topLinePunct w:val="0"/>
        <w:bidi w:val="0"/>
        <w:adjustRightInd w:val="0"/>
        <w:snapToGrid w:val="0"/>
        <w:spacing w:line="560" w:lineRule="exact"/>
        <w:ind w:firstLine="643" w:firstLineChars="200"/>
        <w:rPr>
          <w:rFonts w:hint="default" w:ascii="Times New Roman" w:hAnsi="Times New Roman" w:eastAsia="楷体_GB2312" w:cs="Times New Roman"/>
          <w:b/>
          <w:color w:val="auto"/>
          <w:kern w:val="2"/>
          <w:sz w:val="32"/>
          <w:szCs w:val="24"/>
          <w:lang w:val="zh-CN"/>
        </w:rPr>
      </w:pPr>
      <w:r>
        <w:rPr>
          <w:rFonts w:hint="default" w:ascii="Times New Roman" w:hAnsi="Times New Roman" w:eastAsia="楷体_GB2312" w:cs="Times New Roman"/>
          <w:b/>
          <w:color w:val="auto"/>
          <w:kern w:val="2"/>
          <w:sz w:val="32"/>
          <w:szCs w:val="24"/>
          <w:lang w:val="zh-CN"/>
        </w:rPr>
        <w:t>（三）项目财务管理情况。</w:t>
      </w:r>
    </w:p>
    <w:p>
      <w:pPr>
        <w:pageBreakBefore w:val="0"/>
        <w:kinsoku/>
        <w:wordWrap/>
        <w:overflowPunct/>
        <w:topLinePunct w:val="0"/>
        <w:bidi w:val="0"/>
        <w:adjustRightInd w:val="0"/>
        <w:snapToGrid w:val="0"/>
        <w:spacing w:line="560" w:lineRule="exact"/>
        <w:ind w:firstLine="640" w:firstLineChars="200"/>
        <w:rPr>
          <w:rFonts w:hint="default" w:ascii="Times New Roman" w:hAnsi="Times New Roman" w:eastAsia="仿宋_GB2312" w:cs="Times New Roman"/>
          <w:color w:val="auto"/>
          <w:sz w:val="32"/>
          <w:szCs w:val="24"/>
          <w:lang w:val="zh-CN"/>
        </w:rPr>
      </w:pPr>
      <w:r>
        <w:rPr>
          <w:rFonts w:hint="default" w:ascii="Times New Roman" w:hAnsi="Times New Roman" w:eastAsia="仿宋_GB2312" w:cs="Times New Roman"/>
          <w:color w:val="auto"/>
          <w:sz w:val="32"/>
          <w:szCs w:val="24"/>
          <w:lang w:val="zh-CN"/>
        </w:rPr>
        <w:t>项目实施单位财务管理制度健全，严格执行财务管理制度，账务处理及时，会计核算规范。</w:t>
      </w:r>
    </w:p>
    <w:p>
      <w:pPr>
        <w:keepNext/>
        <w:keepLines/>
        <w:pageBreakBefore w:val="0"/>
        <w:kinsoku/>
        <w:wordWrap/>
        <w:overflowPunct/>
        <w:topLinePunct w:val="0"/>
        <w:bidi w:val="0"/>
        <w:spacing w:line="560" w:lineRule="exact"/>
        <w:ind w:firstLine="720"/>
        <w:jc w:val="both"/>
        <w:rPr>
          <w:rFonts w:hint="default" w:ascii="Times New Roman" w:hAnsi="Times New Roman" w:eastAsia="仿宋_GB2312" w:cs="Times New Roman"/>
          <w:color w:val="auto"/>
          <w:sz w:val="32"/>
          <w:szCs w:val="24"/>
          <w:lang w:val="en-US" w:eastAsia="zh-CN"/>
        </w:rPr>
      </w:pPr>
      <w:r>
        <w:rPr>
          <w:rFonts w:hint="default" w:ascii="Times New Roman" w:hAnsi="Times New Roman" w:eastAsia="黑体" w:cs="Times New Roman"/>
          <w:b/>
          <w:bCs/>
          <w:color w:val="auto"/>
          <w:kern w:val="2"/>
          <w:sz w:val="32"/>
          <w:szCs w:val="24"/>
          <w:lang w:val="en-US"/>
        </w:rPr>
        <w:t>三、项目实施及管理情况</w:t>
      </w:r>
      <w:r>
        <w:rPr>
          <w:rFonts w:hint="default" w:ascii="Times New Roman" w:hAnsi="Times New Roman" w:eastAsia="仿宋_GB2312" w:cs="Times New Roman"/>
          <w:b/>
          <w:bCs/>
          <w:color w:val="auto"/>
          <w:sz w:val="32"/>
          <w:szCs w:val="24"/>
          <w:lang w:val="en-US" w:eastAsia="zh-CN"/>
        </w:rPr>
        <w:t xml:space="preserve"> </w:t>
      </w:r>
      <w:r>
        <w:rPr>
          <w:rFonts w:hint="default" w:ascii="Times New Roman" w:hAnsi="Times New Roman" w:eastAsia="仿宋_GB2312" w:cs="Times New Roman"/>
          <w:color w:val="auto"/>
          <w:sz w:val="32"/>
          <w:szCs w:val="24"/>
          <w:lang w:val="en-US" w:eastAsia="zh-CN"/>
        </w:rPr>
        <w:t xml:space="preserve">   </w:t>
      </w:r>
    </w:p>
    <w:p>
      <w:pPr>
        <w:keepNext/>
        <w:keepLines/>
        <w:pageBreakBefore w:val="0"/>
        <w:numPr>
          <w:ilvl w:val="0"/>
          <w:numId w:val="10"/>
        </w:numPr>
        <w:kinsoku/>
        <w:wordWrap/>
        <w:overflowPunct/>
        <w:topLinePunct w:val="0"/>
        <w:bidi w:val="0"/>
        <w:spacing w:line="560" w:lineRule="exact"/>
        <w:ind w:firstLine="720"/>
        <w:jc w:val="both"/>
        <w:rPr>
          <w:rFonts w:hint="default" w:ascii="Times New Roman" w:hAnsi="Times New Roman" w:eastAsia="楷体_GB2312" w:cs="Times New Roman"/>
          <w:b/>
          <w:color w:val="auto"/>
          <w:kern w:val="2"/>
          <w:sz w:val="32"/>
          <w:szCs w:val="24"/>
          <w:lang w:val="zh-CN"/>
        </w:rPr>
      </w:pPr>
      <w:r>
        <w:rPr>
          <w:rFonts w:hint="default" w:ascii="Times New Roman" w:hAnsi="Times New Roman" w:eastAsia="楷体_GB2312" w:cs="Times New Roman"/>
          <w:b/>
          <w:color w:val="auto"/>
          <w:kern w:val="2"/>
          <w:sz w:val="32"/>
          <w:szCs w:val="24"/>
          <w:lang w:val="zh-CN"/>
        </w:rPr>
        <w:t>项目组织架构及实施流程。</w:t>
      </w:r>
    </w:p>
    <w:p>
      <w:pPr>
        <w:pageBreakBefore w:val="0"/>
        <w:kinsoku/>
        <w:wordWrap/>
        <w:overflowPunct/>
        <w:topLinePunct w:val="0"/>
        <w:bidi w:val="0"/>
        <w:adjustRightInd w:val="0"/>
        <w:snapToGrid w:val="0"/>
        <w:spacing w:line="560" w:lineRule="exact"/>
        <w:ind w:firstLine="643" w:firstLineChars="200"/>
        <w:rPr>
          <w:rFonts w:hint="default" w:ascii="Times New Roman" w:hAnsi="Times New Roman" w:eastAsia="仿宋_GB2312" w:cs="Times New Roman"/>
          <w:sz w:val="32"/>
          <w:szCs w:val="32"/>
        </w:rPr>
      </w:pPr>
      <w:r>
        <w:rPr>
          <w:rFonts w:hint="default" w:ascii="Times New Roman" w:hAnsi="Times New Roman" w:eastAsia="楷体_GB2312" w:cs="Times New Roman"/>
          <w:b/>
          <w:color w:val="auto"/>
          <w:kern w:val="2"/>
          <w:sz w:val="32"/>
          <w:szCs w:val="24"/>
          <w:lang w:val="en-US" w:eastAsia="zh-CN"/>
        </w:rPr>
        <w:t xml:space="preserve"> </w:t>
      </w:r>
      <w:r>
        <w:rPr>
          <w:rFonts w:hint="default" w:ascii="Times New Roman" w:hAnsi="Times New Roman" w:eastAsia="仿宋_GB2312" w:cs="Times New Roman"/>
          <w:sz w:val="32"/>
          <w:szCs w:val="32"/>
        </w:rPr>
        <w:t>根据《四川省财政厅关于依法依规自主选择第三方机构参与项目收益专项债券相关工作的通知》（川财金〔2018〕51号）有关规定，发行项目收益与融资自求平衡专项债券，需编制项目收益专项债券实施方案，由独立第三方专业机构进行评估并出具专项评估意见各地按照有关法律法规规定，依法依规自主选择第三方机构参与项目收益专项债券工作。根据采购文件要求进行公开竞标，由中标单位：成都万铭企业管理咨询有限责任公司与区财政局签订《仁和区财政局申报2020-2022年政府专项债券中介机构服务合同》，按合同要求履行仁和区申报2020-2022年政府专项债券咨询后，支付咨询费用。</w:t>
      </w:r>
    </w:p>
    <w:p>
      <w:pPr>
        <w:pageBreakBefore w:val="0"/>
        <w:kinsoku/>
        <w:wordWrap/>
        <w:overflowPunct/>
        <w:topLinePunct w:val="0"/>
        <w:bidi w:val="0"/>
        <w:adjustRightInd w:val="0"/>
        <w:snapToGrid w:val="0"/>
        <w:spacing w:line="560" w:lineRule="exact"/>
        <w:ind w:firstLine="643" w:firstLineChars="200"/>
        <w:rPr>
          <w:rFonts w:hint="default" w:ascii="Times New Roman" w:hAnsi="Times New Roman" w:eastAsia="楷体_GB2312" w:cs="Times New Roman"/>
          <w:b/>
          <w:color w:val="auto"/>
          <w:kern w:val="2"/>
          <w:sz w:val="32"/>
          <w:szCs w:val="24"/>
          <w:lang w:val="zh-CN"/>
        </w:rPr>
      </w:pPr>
      <w:r>
        <w:rPr>
          <w:rFonts w:hint="default" w:ascii="Times New Roman" w:hAnsi="Times New Roman" w:eastAsia="楷体_GB2312" w:cs="Times New Roman"/>
          <w:b/>
          <w:color w:val="auto"/>
          <w:kern w:val="2"/>
          <w:sz w:val="32"/>
          <w:szCs w:val="24"/>
          <w:lang w:val="zh-CN"/>
        </w:rPr>
        <w:t>（二）项目监管情况。</w:t>
      </w:r>
    </w:p>
    <w:p>
      <w:pPr>
        <w:pageBreakBefore w:val="0"/>
        <w:kinsoku/>
        <w:wordWrap/>
        <w:overflowPunct/>
        <w:topLinePunct w:val="0"/>
        <w:bidi w:val="0"/>
        <w:adjustRightInd w:val="0"/>
        <w:snapToGrid w:val="0"/>
        <w:spacing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省财政厅委托相关行业专家组成项目专项债券审核专家组，对各地在四川省政府债券管理平台系统中上报的项目实施方案进行线上集中审核，并出具独立审核意见。</w:t>
      </w:r>
      <w:r>
        <w:rPr>
          <w:rFonts w:hint="default" w:ascii="Times New Roman" w:hAnsi="Times New Roman" w:eastAsia="仿宋_GB2312" w:cs="Times New Roman"/>
          <w:color w:val="auto"/>
          <w:sz w:val="32"/>
          <w:szCs w:val="24"/>
          <w:lang w:val="zh-CN"/>
        </w:rPr>
        <w:t>区发改局加强项目管理，</w:t>
      </w:r>
      <w:r>
        <w:rPr>
          <w:rFonts w:hint="default" w:ascii="Times New Roman" w:hAnsi="Times New Roman" w:eastAsia="仿宋_GB2312" w:cs="Times New Roman"/>
          <w:sz w:val="32"/>
          <w:szCs w:val="32"/>
        </w:rPr>
        <w:t>确保收益与融资自求平衡</w:t>
      </w:r>
      <w:r>
        <w:rPr>
          <w:rFonts w:hint="default" w:ascii="Times New Roman" w:hAnsi="Times New Roman" w:eastAsia="仿宋_GB2312" w:cs="Times New Roman"/>
          <w:sz w:val="32"/>
          <w:szCs w:val="32"/>
          <w:lang w:val="en-US" w:eastAsia="zh-CN"/>
        </w:rPr>
        <w:t>。</w:t>
      </w:r>
    </w:p>
    <w:p>
      <w:pPr>
        <w:pageBreakBefore w:val="0"/>
        <w:numPr>
          <w:ilvl w:val="0"/>
          <w:numId w:val="11"/>
        </w:numPr>
        <w:kinsoku/>
        <w:wordWrap/>
        <w:overflowPunct/>
        <w:topLinePunct w:val="0"/>
        <w:bidi w:val="0"/>
        <w:adjustRightInd w:val="0"/>
        <w:snapToGrid w:val="0"/>
        <w:spacing w:line="560" w:lineRule="exact"/>
        <w:ind w:firstLine="643" w:firstLineChars="200"/>
        <w:rPr>
          <w:rFonts w:hint="default" w:ascii="Times New Roman" w:hAnsi="Times New Roman" w:eastAsia="宋体" w:cs="Times New Roman"/>
          <w:b/>
          <w:bCs/>
          <w:color w:val="auto"/>
          <w:kern w:val="2"/>
          <w:sz w:val="32"/>
          <w:szCs w:val="24"/>
          <w:lang w:val="zh-CN"/>
        </w:rPr>
      </w:pPr>
      <w:r>
        <w:rPr>
          <w:rFonts w:hint="default" w:ascii="Times New Roman" w:hAnsi="Times New Roman" w:eastAsia="黑体" w:cs="Times New Roman"/>
          <w:b/>
          <w:bCs/>
          <w:color w:val="auto"/>
          <w:kern w:val="2"/>
          <w:sz w:val="32"/>
          <w:szCs w:val="24"/>
          <w:lang w:val="en-US"/>
        </w:rPr>
        <w:t>项目绩效情况</w:t>
      </w:r>
      <w:r>
        <w:rPr>
          <w:rFonts w:hint="default" w:ascii="Times New Roman" w:hAnsi="Times New Roman" w:eastAsia="宋体" w:cs="Times New Roman"/>
          <w:b/>
          <w:bCs/>
          <w:color w:val="auto"/>
          <w:kern w:val="2"/>
          <w:sz w:val="32"/>
          <w:szCs w:val="24"/>
          <w:lang w:val="zh-CN"/>
        </w:rPr>
        <w:tab/>
      </w:r>
    </w:p>
    <w:p>
      <w:pPr>
        <w:pageBreakBefore w:val="0"/>
        <w:numPr>
          <w:ilvl w:val="0"/>
          <w:numId w:val="0"/>
        </w:numPr>
        <w:kinsoku/>
        <w:wordWrap/>
        <w:overflowPunct/>
        <w:topLinePunct w:val="0"/>
        <w:bidi w:val="0"/>
        <w:adjustRightInd w:val="0"/>
        <w:snapToGrid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4个项目共计需要144万元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color w:val="auto"/>
          <w:sz w:val="32"/>
          <w:szCs w:val="32"/>
        </w:rPr>
        <w:t>4个项目的入库债券资金需求额度为32,285万元，以较低成本实现</w:t>
      </w:r>
      <w:r>
        <w:rPr>
          <w:rFonts w:hint="default" w:ascii="Times New Roman" w:hAnsi="Times New Roman" w:eastAsia="仿宋_GB2312" w:cs="Times New Roman"/>
          <w:color w:val="auto"/>
          <w:sz w:val="32"/>
          <w:szCs w:val="32"/>
          <w:lang w:eastAsia="zh-CN"/>
        </w:rPr>
        <w:t>较大的经济效益；</w:t>
      </w:r>
      <w:r>
        <w:rPr>
          <w:rFonts w:hint="default" w:ascii="Times New Roman" w:hAnsi="Times New Roman" w:eastAsia="仿宋_GB2312" w:cs="Times New Roman"/>
          <w:color w:val="auto"/>
          <w:sz w:val="32"/>
          <w:szCs w:val="24"/>
          <w:lang w:val="en-US"/>
        </w:rPr>
        <w:t>改善人民群众的生活环境、社会和谐、人民幸福</w:t>
      </w:r>
      <w:r>
        <w:rPr>
          <w:rFonts w:hint="default" w:ascii="Times New Roman" w:hAnsi="Times New Roman" w:eastAsia="仿宋_GB2312" w:cs="Times New Roman"/>
          <w:color w:val="auto"/>
          <w:sz w:val="32"/>
          <w:szCs w:val="24"/>
          <w:lang w:val="en-US" w:eastAsia="zh-CN"/>
        </w:rPr>
        <w:t>，</w:t>
      </w:r>
      <w:r>
        <w:rPr>
          <w:rFonts w:hint="default" w:ascii="Times New Roman" w:hAnsi="Times New Roman" w:eastAsia="仿宋_GB2312" w:cs="Times New Roman"/>
          <w:color w:val="auto"/>
          <w:sz w:val="32"/>
          <w:szCs w:val="24"/>
          <w:lang w:val="zh-CN"/>
        </w:rPr>
        <w:t>社会效益显著；可持续推动仁和区的经济建设稳步发展。服务对象满意度达</w:t>
      </w:r>
      <w:r>
        <w:rPr>
          <w:rFonts w:hint="default" w:ascii="Times New Roman" w:hAnsi="Times New Roman" w:eastAsia="仿宋_GB2312" w:cs="Times New Roman"/>
          <w:color w:val="auto"/>
          <w:sz w:val="32"/>
          <w:szCs w:val="24"/>
          <w:lang w:val="en-US" w:eastAsia="zh-CN"/>
        </w:rPr>
        <w:t>92%</w:t>
      </w:r>
      <w:r>
        <w:rPr>
          <w:rFonts w:hint="default" w:ascii="Times New Roman" w:hAnsi="Times New Roman" w:eastAsia="仿宋_GB2312" w:cs="Times New Roman"/>
          <w:color w:val="auto"/>
          <w:sz w:val="32"/>
          <w:szCs w:val="24"/>
          <w:lang w:val="zh-CN"/>
        </w:rPr>
        <w:t>。</w:t>
      </w:r>
    </w:p>
    <w:p>
      <w:pPr>
        <w:keepNext/>
        <w:keepLines/>
        <w:pageBreakBefore w:val="0"/>
        <w:kinsoku/>
        <w:wordWrap/>
        <w:overflowPunct/>
        <w:topLinePunct w:val="0"/>
        <w:bidi w:val="0"/>
        <w:spacing w:line="560" w:lineRule="exact"/>
        <w:ind w:firstLine="720"/>
        <w:jc w:val="both"/>
        <w:rPr>
          <w:rFonts w:hint="default" w:ascii="Times New Roman" w:hAnsi="Times New Roman" w:eastAsia="黑体" w:cs="Times New Roman"/>
          <w:b/>
          <w:bCs/>
          <w:color w:val="auto"/>
          <w:kern w:val="2"/>
          <w:sz w:val="32"/>
          <w:szCs w:val="24"/>
          <w:lang w:val="en-US"/>
        </w:rPr>
      </w:pPr>
      <w:r>
        <w:rPr>
          <w:rFonts w:hint="default" w:ascii="Times New Roman" w:hAnsi="Times New Roman" w:eastAsia="黑体" w:cs="Times New Roman"/>
          <w:b/>
          <w:bCs/>
          <w:color w:val="auto"/>
          <w:kern w:val="2"/>
          <w:sz w:val="32"/>
          <w:szCs w:val="24"/>
          <w:lang w:val="en-US"/>
        </w:rPr>
        <w:t>五、评价结论及建议</w:t>
      </w:r>
    </w:p>
    <w:p>
      <w:pPr>
        <w:keepNext/>
        <w:keepLines/>
        <w:pageBreakBefore w:val="0"/>
        <w:kinsoku/>
        <w:wordWrap/>
        <w:overflowPunct/>
        <w:topLinePunct w:val="0"/>
        <w:bidi w:val="0"/>
        <w:spacing w:line="560" w:lineRule="exact"/>
        <w:ind w:firstLine="720"/>
        <w:jc w:val="both"/>
        <w:rPr>
          <w:rFonts w:hint="default" w:ascii="Times New Roman" w:hAnsi="Times New Roman" w:eastAsia="楷体_GB2312" w:cs="Times New Roman"/>
          <w:b/>
          <w:color w:val="auto"/>
          <w:kern w:val="2"/>
          <w:sz w:val="32"/>
          <w:szCs w:val="24"/>
          <w:lang w:val="zh-CN"/>
        </w:rPr>
      </w:pPr>
      <w:r>
        <w:rPr>
          <w:rFonts w:hint="default" w:ascii="Times New Roman" w:hAnsi="Times New Roman" w:eastAsia="楷体_GB2312" w:cs="Times New Roman"/>
          <w:b/>
          <w:color w:val="auto"/>
          <w:kern w:val="2"/>
          <w:sz w:val="32"/>
          <w:szCs w:val="24"/>
          <w:lang w:val="zh-CN"/>
        </w:rPr>
        <w:t>（一）评价结论。</w:t>
      </w:r>
    </w:p>
    <w:p>
      <w:pPr>
        <w:pageBreakBefore w:val="0"/>
        <w:kinsoku/>
        <w:wordWrap/>
        <w:overflowPunct/>
        <w:topLinePunct w:val="0"/>
        <w:bidi w:val="0"/>
        <w:adjustRightInd w:val="0"/>
        <w:snapToGrid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为促进仁和区经济的稳步发展，充分发挥政府依法合规举债的积极作用，通过向上争取专项债券资金方式加快在建项目的实施，保障区级重大重点项目建设和在建项目的合理融资需求。</w:t>
      </w:r>
    </w:p>
    <w:p>
      <w:pPr>
        <w:keepNext/>
        <w:keepLines/>
        <w:pageBreakBefore w:val="0"/>
        <w:kinsoku/>
        <w:wordWrap/>
        <w:overflowPunct/>
        <w:topLinePunct w:val="0"/>
        <w:bidi w:val="0"/>
        <w:spacing w:line="560" w:lineRule="exact"/>
        <w:ind w:firstLine="720"/>
        <w:jc w:val="both"/>
        <w:rPr>
          <w:rFonts w:hint="default" w:ascii="Times New Roman" w:hAnsi="Times New Roman" w:eastAsia="楷体_GB2312" w:cs="Times New Roman"/>
          <w:b/>
          <w:color w:val="auto"/>
          <w:kern w:val="2"/>
          <w:sz w:val="32"/>
          <w:szCs w:val="24"/>
          <w:lang w:val="zh-CN"/>
        </w:rPr>
      </w:pPr>
      <w:r>
        <w:rPr>
          <w:rFonts w:hint="default" w:ascii="Times New Roman" w:hAnsi="Times New Roman" w:eastAsia="楷体_GB2312" w:cs="Times New Roman"/>
          <w:b/>
          <w:color w:val="auto"/>
          <w:kern w:val="2"/>
          <w:sz w:val="32"/>
          <w:szCs w:val="24"/>
          <w:lang w:val="zh-CN"/>
        </w:rPr>
        <w:t>（二）存在的问题。</w:t>
      </w:r>
    </w:p>
    <w:p>
      <w:pPr>
        <w:keepNext/>
        <w:keepLines/>
        <w:pageBreakBefore w:val="0"/>
        <w:kinsoku/>
        <w:wordWrap/>
        <w:overflowPunct/>
        <w:topLinePunct w:val="0"/>
        <w:bidi w:val="0"/>
        <w:spacing w:line="560" w:lineRule="exact"/>
        <w:ind w:firstLine="2249" w:firstLineChars="703"/>
        <w:rPr>
          <w:rFonts w:hint="default" w:ascii="Times New Roman" w:hAnsi="Times New Roman" w:eastAsia="仿宋_GB2312" w:cs="Times New Roman"/>
          <w:color w:val="auto"/>
          <w:sz w:val="32"/>
          <w:szCs w:val="24"/>
          <w:lang w:val="en-US"/>
        </w:rPr>
      </w:pPr>
      <w:r>
        <w:rPr>
          <w:rFonts w:hint="default" w:ascii="Times New Roman" w:hAnsi="Times New Roman" w:eastAsia="仿宋_GB2312" w:cs="Times New Roman"/>
          <w:color w:val="auto"/>
          <w:sz w:val="32"/>
          <w:szCs w:val="24"/>
          <w:lang w:val="zh-CN"/>
        </w:rPr>
        <w:t>无</w:t>
      </w:r>
    </w:p>
    <w:p>
      <w:pPr>
        <w:keepNext/>
        <w:keepLines/>
        <w:pageBreakBefore w:val="0"/>
        <w:kinsoku/>
        <w:wordWrap/>
        <w:overflowPunct/>
        <w:topLinePunct w:val="0"/>
        <w:bidi w:val="0"/>
        <w:spacing w:line="560" w:lineRule="exact"/>
        <w:ind w:firstLine="720"/>
        <w:jc w:val="both"/>
        <w:rPr>
          <w:rFonts w:hint="default" w:ascii="Times New Roman" w:hAnsi="Times New Roman" w:eastAsia="楷体_GB2312" w:cs="Times New Roman"/>
          <w:b/>
          <w:color w:val="auto"/>
          <w:kern w:val="2"/>
          <w:sz w:val="32"/>
          <w:szCs w:val="24"/>
          <w:lang w:val="zh-CN"/>
        </w:rPr>
      </w:pPr>
      <w:r>
        <w:rPr>
          <w:rFonts w:hint="default" w:ascii="Times New Roman" w:hAnsi="Times New Roman" w:eastAsia="楷体_GB2312" w:cs="Times New Roman"/>
          <w:b/>
          <w:color w:val="auto"/>
          <w:kern w:val="2"/>
          <w:sz w:val="32"/>
          <w:szCs w:val="24"/>
          <w:lang w:val="zh-CN"/>
        </w:rPr>
        <w:t>（三）相关建议。</w:t>
      </w:r>
    </w:p>
    <w:p>
      <w:pPr>
        <w:keepNext/>
        <w:keepLines/>
        <w:pageBreakBefore w:val="0"/>
        <w:kinsoku/>
        <w:wordWrap/>
        <w:overflowPunct/>
        <w:topLinePunct w:val="0"/>
        <w:bidi w:val="0"/>
        <w:spacing w:line="560" w:lineRule="exact"/>
        <w:ind w:firstLine="2240" w:firstLineChars="700"/>
        <w:rPr>
          <w:rFonts w:hint="default" w:ascii="Times New Roman" w:hAnsi="Times New Roman" w:eastAsia="黑体" w:cs="Times New Roman"/>
          <w:color w:val="auto"/>
          <w:kern w:val="44"/>
          <w:sz w:val="32"/>
          <w:szCs w:val="24"/>
          <w:lang w:val="en-US"/>
        </w:rPr>
      </w:pPr>
      <w:r>
        <w:rPr>
          <w:rFonts w:hint="default" w:ascii="Times New Roman" w:hAnsi="Times New Roman" w:eastAsia="仿宋_GB2312" w:cs="Times New Roman"/>
          <w:color w:val="auto"/>
          <w:sz w:val="32"/>
          <w:szCs w:val="24"/>
          <w:lang w:val="zh-CN"/>
        </w:rPr>
        <w:t>无</w:t>
      </w:r>
    </w:p>
    <w:p>
      <w:pPr>
        <w:pageBreakBefore w:val="0"/>
        <w:kinsoku/>
        <w:wordWrap/>
        <w:overflowPunct/>
        <w:topLinePunct w:val="0"/>
        <w:bidi w:val="0"/>
        <w:spacing w:line="560" w:lineRule="exact"/>
        <w:jc w:val="both"/>
        <w:rPr>
          <w:rFonts w:hint="default" w:ascii="Times New Roman" w:hAnsi="Times New Roman" w:eastAsia="黑体" w:cs="Times New Roman"/>
          <w:color w:val="auto"/>
          <w:kern w:val="44"/>
          <w:sz w:val="44"/>
          <w:szCs w:val="24"/>
          <w:lang w:val="en-US"/>
        </w:rPr>
      </w:pPr>
    </w:p>
    <w:p>
      <w:pPr>
        <w:pStyle w:val="2"/>
        <w:pageBreakBefore w:val="0"/>
        <w:kinsoku/>
        <w:wordWrap/>
        <w:overflowPunct/>
        <w:topLinePunct w:val="0"/>
        <w:bidi w:val="0"/>
        <w:spacing w:line="560" w:lineRule="exact"/>
        <w:rPr>
          <w:rFonts w:hint="default" w:ascii="Times New Roman" w:hAnsi="Times New Roman" w:eastAsia="方正小标宋简体" w:cs="Times New Roman"/>
          <w:sz w:val="40"/>
          <w:szCs w:val="40"/>
        </w:rPr>
      </w:pPr>
    </w:p>
    <w:p>
      <w:pPr>
        <w:pStyle w:val="2"/>
        <w:pageBreakBefore w:val="0"/>
        <w:kinsoku/>
        <w:wordWrap/>
        <w:overflowPunct/>
        <w:topLinePunct w:val="0"/>
        <w:bidi w:val="0"/>
        <w:spacing w:line="560" w:lineRule="exact"/>
        <w:rPr>
          <w:rFonts w:hint="default" w:ascii="Times New Roman" w:hAnsi="Times New Roman" w:eastAsia="方正小标宋简体" w:cs="Times New Roman"/>
          <w:sz w:val="40"/>
          <w:szCs w:val="40"/>
        </w:rPr>
      </w:pPr>
    </w:p>
    <w:p>
      <w:pPr>
        <w:pStyle w:val="2"/>
        <w:pageBreakBefore w:val="0"/>
        <w:kinsoku/>
        <w:wordWrap/>
        <w:overflowPunct/>
        <w:topLinePunct w:val="0"/>
        <w:bidi w:val="0"/>
        <w:spacing w:line="560" w:lineRule="exact"/>
        <w:rPr>
          <w:rFonts w:hint="default" w:ascii="Times New Roman" w:hAnsi="Times New Roman" w:eastAsia="方正小标宋简体" w:cs="Times New Roman"/>
          <w:sz w:val="40"/>
          <w:szCs w:val="40"/>
        </w:rPr>
      </w:pPr>
    </w:p>
    <w:p>
      <w:pPr>
        <w:pStyle w:val="2"/>
        <w:pageBreakBefore w:val="0"/>
        <w:kinsoku/>
        <w:wordWrap/>
        <w:overflowPunct/>
        <w:topLinePunct w:val="0"/>
        <w:bidi w:val="0"/>
        <w:spacing w:line="560" w:lineRule="exact"/>
        <w:rPr>
          <w:rFonts w:hint="default" w:ascii="Times New Roman" w:hAnsi="Times New Roman" w:eastAsia="方正小标宋简体" w:cs="Times New Roman"/>
          <w:sz w:val="40"/>
          <w:szCs w:val="40"/>
        </w:rPr>
      </w:pPr>
    </w:p>
    <w:p>
      <w:pPr>
        <w:pStyle w:val="2"/>
        <w:pageBreakBefore w:val="0"/>
        <w:kinsoku/>
        <w:wordWrap/>
        <w:overflowPunct/>
        <w:topLinePunct w:val="0"/>
        <w:bidi w:val="0"/>
        <w:spacing w:line="560" w:lineRule="exact"/>
        <w:rPr>
          <w:rFonts w:hint="default" w:ascii="Times New Roman" w:hAnsi="Times New Roman" w:eastAsia="方正小标宋简体" w:cs="Times New Roman"/>
          <w:sz w:val="40"/>
          <w:szCs w:val="40"/>
        </w:rPr>
      </w:pPr>
    </w:p>
    <w:p>
      <w:pPr>
        <w:pStyle w:val="2"/>
        <w:pageBreakBefore w:val="0"/>
        <w:kinsoku/>
        <w:wordWrap/>
        <w:overflowPunct/>
        <w:topLinePunct w:val="0"/>
        <w:bidi w:val="0"/>
        <w:spacing w:line="560" w:lineRule="exact"/>
        <w:rPr>
          <w:rFonts w:hint="default" w:ascii="Times New Roman" w:hAnsi="Times New Roman" w:eastAsia="方正小标宋简体" w:cs="Times New Roman"/>
          <w:sz w:val="40"/>
          <w:szCs w:val="40"/>
        </w:rPr>
      </w:pPr>
    </w:p>
    <w:p>
      <w:pPr>
        <w:pStyle w:val="2"/>
        <w:pageBreakBefore w:val="0"/>
        <w:kinsoku/>
        <w:wordWrap/>
        <w:overflowPunct/>
        <w:topLinePunct w:val="0"/>
        <w:bidi w:val="0"/>
        <w:spacing w:line="560" w:lineRule="exact"/>
        <w:rPr>
          <w:rFonts w:hint="default" w:ascii="Times New Roman" w:hAnsi="Times New Roman" w:eastAsia="方正小标宋简体" w:cs="Times New Roman"/>
          <w:sz w:val="40"/>
          <w:szCs w:val="40"/>
        </w:rPr>
      </w:pPr>
    </w:p>
    <w:p>
      <w:pPr>
        <w:pStyle w:val="2"/>
        <w:pageBreakBefore w:val="0"/>
        <w:kinsoku/>
        <w:wordWrap/>
        <w:overflowPunct/>
        <w:topLinePunct w:val="0"/>
        <w:bidi w:val="0"/>
        <w:spacing w:line="560" w:lineRule="exact"/>
        <w:rPr>
          <w:rFonts w:hint="default" w:ascii="Times New Roman" w:hAnsi="Times New Roman" w:eastAsia="方正小标宋简体" w:cs="Times New Roman"/>
          <w:sz w:val="40"/>
          <w:szCs w:val="40"/>
        </w:rPr>
      </w:pPr>
    </w:p>
    <w:p>
      <w:pPr>
        <w:pStyle w:val="2"/>
        <w:pageBreakBefore w:val="0"/>
        <w:kinsoku/>
        <w:wordWrap/>
        <w:overflowPunct/>
        <w:topLinePunct w:val="0"/>
        <w:bidi w:val="0"/>
        <w:spacing w:line="560" w:lineRule="exact"/>
        <w:rPr>
          <w:rFonts w:hint="default" w:ascii="Times New Roman" w:hAnsi="Times New Roman" w:eastAsia="方正小标宋简体" w:cs="Times New Roman"/>
          <w:sz w:val="40"/>
          <w:szCs w:val="40"/>
        </w:rPr>
      </w:pPr>
    </w:p>
    <w:p>
      <w:pPr>
        <w:pStyle w:val="2"/>
        <w:pageBreakBefore w:val="0"/>
        <w:kinsoku/>
        <w:wordWrap/>
        <w:overflowPunct/>
        <w:topLinePunct w:val="0"/>
        <w:bidi w:val="0"/>
        <w:spacing w:line="560" w:lineRule="exact"/>
        <w:rPr>
          <w:rFonts w:hint="default" w:ascii="Times New Roman" w:hAnsi="Times New Roman" w:eastAsia="方正小标宋简体" w:cs="Times New Roman"/>
          <w:sz w:val="40"/>
          <w:szCs w:val="40"/>
        </w:rPr>
      </w:pPr>
    </w:p>
    <w:p>
      <w:pPr>
        <w:pStyle w:val="2"/>
        <w:pageBreakBefore w:val="0"/>
        <w:kinsoku/>
        <w:wordWrap/>
        <w:overflowPunct/>
        <w:topLinePunct w:val="0"/>
        <w:bidi w:val="0"/>
        <w:spacing w:line="560" w:lineRule="exact"/>
        <w:rPr>
          <w:rFonts w:hint="default" w:ascii="Times New Roman" w:hAnsi="Times New Roman" w:eastAsia="方正小标宋简体" w:cs="Times New Roman"/>
          <w:sz w:val="40"/>
          <w:szCs w:val="40"/>
        </w:rPr>
      </w:pPr>
    </w:p>
    <w:p>
      <w:pPr>
        <w:pStyle w:val="2"/>
        <w:pageBreakBefore w:val="0"/>
        <w:kinsoku/>
        <w:wordWrap/>
        <w:overflowPunct/>
        <w:topLinePunct w:val="0"/>
        <w:bidi w:val="0"/>
        <w:spacing w:line="560" w:lineRule="exact"/>
        <w:rPr>
          <w:rFonts w:hint="default" w:ascii="Times New Roman" w:hAnsi="Times New Roman" w:eastAsia="方正小标宋简体" w:cs="Times New Roman"/>
          <w:sz w:val="40"/>
          <w:szCs w:val="40"/>
        </w:rPr>
      </w:pPr>
    </w:p>
    <w:p>
      <w:pPr>
        <w:pStyle w:val="2"/>
        <w:pageBreakBefore w:val="0"/>
        <w:kinsoku/>
        <w:wordWrap/>
        <w:overflowPunct/>
        <w:topLinePunct w:val="0"/>
        <w:bidi w:val="0"/>
        <w:spacing w:line="560" w:lineRule="exact"/>
        <w:rPr>
          <w:rFonts w:hint="default" w:ascii="Times New Roman" w:hAnsi="Times New Roman" w:eastAsia="方正小标宋简体" w:cs="Times New Roman"/>
          <w:sz w:val="40"/>
          <w:szCs w:val="40"/>
        </w:rPr>
      </w:pPr>
    </w:p>
    <w:bookmarkEnd w:id="55"/>
    <w:p>
      <w:pPr>
        <w:pageBreakBefore w:val="0"/>
        <w:kinsoku/>
        <w:wordWrap/>
        <w:overflowPunct/>
        <w:topLinePunct w:val="0"/>
        <w:bidi w:val="0"/>
        <w:spacing w:line="560" w:lineRule="exact"/>
        <w:ind w:firstLine="2640" w:firstLineChars="600"/>
        <w:jc w:val="both"/>
        <w:outlineLvl w:val="0"/>
        <w:rPr>
          <w:rFonts w:hint="default" w:ascii="Times New Roman" w:hAnsi="Times New Roman" w:eastAsia="仿宋" w:cs="Times New Roman"/>
        </w:rPr>
      </w:pPr>
      <w:bookmarkStart w:id="56" w:name="_Toc15396618"/>
      <w:r>
        <w:rPr>
          <w:rFonts w:hint="default" w:ascii="Times New Roman" w:hAnsi="Times New Roman" w:eastAsia="黑体" w:cs="Times New Roman"/>
          <w:sz w:val="44"/>
          <w:szCs w:val="44"/>
        </w:rPr>
        <w:t>第</w:t>
      </w:r>
      <w:r>
        <w:rPr>
          <w:rStyle w:val="35"/>
          <w:rFonts w:hint="default" w:ascii="Times New Roman" w:hAnsi="Times New Roman" w:eastAsia="黑体" w:cs="Times New Roman"/>
          <w:b w:val="0"/>
        </w:rPr>
        <w:t>五部分 附表</w:t>
      </w:r>
      <w:bookmarkEnd w:id="56"/>
      <w:bookmarkStart w:id="57" w:name="_Toc15396619"/>
    </w:p>
    <w:p>
      <w:pPr>
        <w:pStyle w:val="4"/>
        <w:pageBreakBefore w:val="0"/>
        <w:kinsoku/>
        <w:wordWrap/>
        <w:overflowPunct/>
        <w:topLinePunct w:val="0"/>
        <w:bidi w:val="0"/>
        <w:spacing w:line="560" w:lineRule="exact"/>
        <w:rPr>
          <w:rFonts w:hint="default" w:ascii="Times New Roman" w:hAnsi="Times New Roman" w:eastAsia="仿宋" w:cs="Times New Roman"/>
        </w:rPr>
      </w:pPr>
      <w:r>
        <w:rPr>
          <w:rFonts w:hint="default" w:ascii="Times New Roman" w:hAnsi="Times New Roman" w:eastAsia="仿宋" w:cs="Times New Roman"/>
          <w:b w:val="0"/>
        </w:rPr>
        <w:t>一、收</w:t>
      </w:r>
      <w:r>
        <w:rPr>
          <w:rStyle w:val="36"/>
          <w:rFonts w:hint="default" w:ascii="Times New Roman" w:hAnsi="Times New Roman" w:eastAsia="仿宋" w:cs="Times New Roman"/>
          <w:b w:val="0"/>
          <w:bCs w:val="0"/>
        </w:rPr>
        <w:t>入支出决算总表</w:t>
      </w:r>
      <w:bookmarkEnd w:id="57"/>
    </w:p>
    <w:p>
      <w:pPr>
        <w:pStyle w:val="4"/>
        <w:pageBreakBefore w:val="0"/>
        <w:kinsoku/>
        <w:wordWrap/>
        <w:overflowPunct/>
        <w:topLinePunct w:val="0"/>
        <w:bidi w:val="0"/>
        <w:spacing w:line="560" w:lineRule="exact"/>
        <w:rPr>
          <w:rFonts w:hint="default" w:ascii="Times New Roman" w:hAnsi="Times New Roman" w:eastAsia="仿宋" w:cs="Times New Roman"/>
        </w:rPr>
      </w:pPr>
      <w:bookmarkStart w:id="58" w:name="_Toc15396620"/>
      <w:r>
        <w:rPr>
          <w:rFonts w:hint="default" w:ascii="Times New Roman" w:hAnsi="Times New Roman" w:eastAsia="仿宋" w:cs="Times New Roman"/>
          <w:b w:val="0"/>
        </w:rPr>
        <w:t>二、收</w:t>
      </w:r>
      <w:r>
        <w:rPr>
          <w:rStyle w:val="36"/>
          <w:rFonts w:hint="default" w:ascii="Times New Roman" w:hAnsi="Times New Roman" w:eastAsia="仿宋" w:cs="Times New Roman"/>
          <w:b w:val="0"/>
          <w:bCs w:val="0"/>
        </w:rPr>
        <w:t>入决算表</w:t>
      </w:r>
      <w:bookmarkEnd w:id="58"/>
    </w:p>
    <w:p>
      <w:pPr>
        <w:pStyle w:val="4"/>
        <w:pageBreakBefore w:val="0"/>
        <w:kinsoku/>
        <w:wordWrap/>
        <w:overflowPunct/>
        <w:topLinePunct w:val="0"/>
        <w:bidi w:val="0"/>
        <w:spacing w:line="560" w:lineRule="exact"/>
        <w:rPr>
          <w:rFonts w:hint="default" w:ascii="Times New Roman" w:hAnsi="Times New Roman" w:eastAsia="仿宋" w:cs="Times New Roman"/>
        </w:rPr>
      </w:pPr>
      <w:bookmarkStart w:id="59" w:name="_Toc15396621"/>
      <w:r>
        <w:rPr>
          <w:rStyle w:val="36"/>
          <w:rFonts w:hint="default" w:ascii="Times New Roman" w:hAnsi="Times New Roman" w:eastAsia="仿宋" w:cs="Times New Roman"/>
          <w:b w:val="0"/>
          <w:bCs w:val="0"/>
        </w:rPr>
        <w:t>三、</w:t>
      </w:r>
      <w:r>
        <w:rPr>
          <w:rFonts w:hint="default" w:ascii="Times New Roman" w:hAnsi="Times New Roman" w:eastAsia="仿宋" w:cs="Times New Roman"/>
          <w:b w:val="0"/>
        </w:rPr>
        <w:t>支</w:t>
      </w:r>
      <w:r>
        <w:rPr>
          <w:rStyle w:val="36"/>
          <w:rFonts w:hint="default" w:ascii="Times New Roman" w:hAnsi="Times New Roman" w:eastAsia="仿宋" w:cs="Times New Roman"/>
          <w:b w:val="0"/>
          <w:bCs w:val="0"/>
        </w:rPr>
        <w:t>出决算表</w:t>
      </w:r>
      <w:bookmarkEnd w:id="59"/>
    </w:p>
    <w:p>
      <w:pPr>
        <w:pStyle w:val="4"/>
        <w:pageBreakBefore w:val="0"/>
        <w:kinsoku/>
        <w:wordWrap/>
        <w:overflowPunct/>
        <w:topLinePunct w:val="0"/>
        <w:bidi w:val="0"/>
        <w:spacing w:line="560" w:lineRule="exact"/>
        <w:rPr>
          <w:rFonts w:hint="default" w:ascii="Times New Roman" w:hAnsi="Times New Roman" w:eastAsia="仿宋" w:cs="Times New Roman"/>
          <w:b w:val="0"/>
        </w:rPr>
      </w:pPr>
      <w:bookmarkStart w:id="60" w:name="_Toc15396622"/>
      <w:r>
        <w:rPr>
          <w:rStyle w:val="36"/>
          <w:rFonts w:hint="default" w:ascii="Times New Roman" w:hAnsi="Times New Roman" w:eastAsia="仿宋" w:cs="Times New Roman"/>
          <w:b w:val="0"/>
          <w:bCs w:val="0"/>
        </w:rPr>
        <w:t>四、</w:t>
      </w:r>
      <w:r>
        <w:rPr>
          <w:rFonts w:hint="default" w:ascii="Times New Roman" w:hAnsi="Times New Roman" w:eastAsia="仿宋" w:cs="Times New Roman"/>
          <w:b w:val="0"/>
        </w:rPr>
        <w:t>财</w:t>
      </w:r>
      <w:r>
        <w:rPr>
          <w:rStyle w:val="36"/>
          <w:rFonts w:hint="default" w:ascii="Times New Roman" w:hAnsi="Times New Roman" w:eastAsia="仿宋" w:cs="Times New Roman"/>
          <w:b w:val="0"/>
          <w:bCs w:val="0"/>
        </w:rPr>
        <w:t>政拨款收入支出决算总表</w:t>
      </w:r>
      <w:bookmarkEnd w:id="60"/>
    </w:p>
    <w:p>
      <w:pPr>
        <w:pStyle w:val="4"/>
        <w:pageBreakBefore w:val="0"/>
        <w:kinsoku/>
        <w:wordWrap/>
        <w:overflowPunct/>
        <w:topLinePunct w:val="0"/>
        <w:bidi w:val="0"/>
        <w:spacing w:line="560" w:lineRule="exact"/>
        <w:rPr>
          <w:rStyle w:val="36"/>
          <w:rFonts w:hint="default" w:ascii="Times New Roman" w:hAnsi="Times New Roman" w:eastAsia="仿宋" w:cs="Times New Roman"/>
          <w:b w:val="0"/>
          <w:bCs w:val="0"/>
        </w:rPr>
      </w:pPr>
      <w:bookmarkStart w:id="61" w:name="_Toc15396623"/>
      <w:r>
        <w:rPr>
          <w:rStyle w:val="36"/>
          <w:rFonts w:hint="default" w:ascii="Times New Roman" w:hAnsi="Times New Roman" w:eastAsia="仿宋" w:cs="Times New Roman"/>
          <w:b w:val="0"/>
          <w:bCs w:val="0"/>
        </w:rPr>
        <w:t>五、</w:t>
      </w:r>
      <w:r>
        <w:rPr>
          <w:rFonts w:hint="default" w:ascii="Times New Roman" w:hAnsi="Times New Roman" w:eastAsia="仿宋" w:cs="Times New Roman"/>
          <w:b w:val="0"/>
        </w:rPr>
        <w:t>财</w:t>
      </w:r>
      <w:r>
        <w:rPr>
          <w:rStyle w:val="36"/>
          <w:rFonts w:hint="default" w:ascii="Times New Roman" w:hAnsi="Times New Roman" w:eastAsia="仿宋" w:cs="Times New Roman"/>
          <w:b w:val="0"/>
          <w:bCs w:val="0"/>
        </w:rPr>
        <w:t>政拨款支出决算明细表</w:t>
      </w:r>
      <w:bookmarkEnd w:id="61"/>
      <w:bookmarkStart w:id="62" w:name="_Toc15396624"/>
    </w:p>
    <w:p>
      <w:pPr>
        <w:pStyle w:val="4"/>
        <w:pageBreakBefore w:val="0"/>
        <w:kinsoku/>
        <w:wordWrap/>
        <w:overflowPunct/>
        <w:topLinePunct w:val="0"/>
        <w:bidi w:val="0"/>
        <w:spacing w:line="560" w:lineRule="exact"/>
        <w:rPr>
          <w:rFonts w:hint="default" w:ascii="Times New Roman" w:hAnsi="Times New Roman" w:eastAsia="仿宋" w:cs="Times New Roman"/>
        </w:rPr>
      </w:pPr>
      <w:r>
        <w:rPr>
          <w:rStyle w:val="36"/>
          <w:rFonts w:hint="default" w:ascii="Times New Roman" w:hAnsi="Times New Roman" w:eastAsia="仿宋" w:cs="Times New Roman"/>
          <w:b w:val="0"/>
          <w:bCs w:val="0"/>
        </w:rPr>
        <w:t>六、</w:t>
      </w:r>
      <w:r>
        <w:rPr>
          <w:rFonts w:hint="default" w:ascii="Times New Roman" w:hAnsi="Times New Roman" w:eastAsia="仿宋" w:cs="Times New Roman"/>
          <w:b w:val="0"/>
        </w:rPr>
        <w:t>一</w:t>
      </w:r>
      <w:r>
        <w:rPr>
          <w:rStyle w:val="36"/>
          <w:rFonts w:hint="default" w:ascii="Times New Roman" w:hAnsi="Times New Roman" w:eastAsia="仿宋" w:cs="Times New Roman"/>
          <w:b w:val="0"/>
          <w:bCs w:val="0"/>
        </w:rPr>
        <w:t>般公共预算财政拨款支出决算表</w:t>
      </w:r>
      <w:bookmarkEnd w:id="62"/>
    </w:p>
    <w:p>
      <w:pPr>
        <w:pStyle w:val="4"/>
        <w:pageBreakBefore w:val="0"/>
        <w:kinsoku/>
        <w:wordWrap/>
        <w:overflowPunct/>
        <w:topLinePunct w:val="0"/>
        <w:bidi w:val="0"/>
        <w:spacing w:line="560" w:lineRule="exact"/>
        <w:rPr>
          <w:rFonts w:hint="default" w:ascii="Times New Roman" w:hAnsi="Times New Roman" w:eastAsia="仿宋" w:cs="Times New Roman"/>
        </w:rPr>
      </w:pPr>
      <w:bookmarkStart w:id="63" w:name="_Toc15396625"/>
      <w:r>
        <w:rPr>
          <w:rStyle w:val="36"/>
          <w:rFonts w:hint="default" w:ascii="Times New Roman" w:hAnsi="Times New Roman" w:eastAsia="仿宋" w:cs="Times New Roman"/>
          <w:b w:val="0"/>
          <w:bCs w:val="0"/>
        </w:rPr>
        <w:t>七、</w:t>
      </w:r>
      <w:r>
        <w:rPr>
          <w:rFonts w:hint="default" w:ascii="Times New Roman" w:hAnsi="Times New Roman" w:eastAsia="仿宋" w:cs="Times New Roman"/>
          <w:b w:val="0"/>
        </w:rPr>
        <w:t>一</w:t>
      </w:r>
      <w:r>
        <w:rPr>
          <w:rStyle w:val="36"/>
          <w:rFonts w:hint="default" w:ascii="Times New Roman" w:hAnsi="Times New Roman" w:eastAsia="仿宋" w:cs="Times New Roman"/>
          <w:b w:val="0"/>
          <w:bCs w:val="0"/>
        </w:rPr>
        <w:t>般公共预算财政拨款支出决算明细表</w:t>
      </w:r>
      <w:bookmarkEnd w:id="63"/>
    </w:p>
    <w:p>
      <w:pPr>
        <w:pStyle w:val="4"/>
        <w:pageBreakBefore w:val="0"/>
        <w:kinsoku/>
        <w:wordWrap/>
        <w:overflowPunct/>
        <w:topLinePunct w:val="0"/>
        <w:bidi w:val="0"/>
        <w:spacing w:line="560" w:lineRule="exact"/>
        <w:rPr>
          <w:rFonts w:hint="default" w:ascii="Times New Roman" w:hAnsi="Times New Roman" w:eastAsia="仿宋" w:cs="Times New Roman"/>
        </w:rPr>
      </w:pPr>
      <w:bookmarkStart w:id="64" w:name="_Toc15396626"/>
      <w:r>
        <w:rPr>
          <w:rStyle w:val="36"/>
          <w:rFonts w:hint="default" w:ascii="Times New Roman" w:hAnsi="Times New Roman" w:eastAsia="仿宋" w:cs="Times New Roman"/>
          <w:b w:val="0"/>
          <w:bCs w:val="0"/>
        </w:rPr>
        <w:t>八、</w:t>
      </w:r>
      <w:r>
        <w:rPr>
          <w:rFonts w:hint="default" w:ascii="Times New Roman" w:hAnsi="Times New Roman" w:eastAsia="仿宋" w:cs="Times New Roman"/>
          <w:b w:val="0"/>
        </w:rPr>
        <w:t>一</w:t>
      </w:r>
      <w:r>
        <w:rPr>
          <w:rStyle w:val="36"/>
          <w:rFonts w:hint="default" w:ascii="Times New Roman" w:hAnsi="Times New Roman" w:eastAsia="仿宋" w:cs="Times New Roman"/>
          <w:b w:val="0"/>
          <w:bCs w:val="0"/>
        </w:rPr>
        <w:t>般公共预算财政拨款基本支出决算表</w:t>
      </w:r>
      <w:bookmarkEnd w:id="64"/>
    </w:p>
    <w:p>
      <w:pPr>
        <w:pStyle w:val="4"/>
        <w:pageBreakBefore w:val="0"/>
        <w:kinsoku/>
        <w:wordWrap/>
        <w:overflowPunct/>
        <w:topLinePunct w:val="0"/>
        <w:bidi w:val="0"/>
        <w:spacing w:line="560" w:lineRule="exact"/>
        <w:rPr>
          <w:rFonts w:hint="default" w:ascii="Times New Roman" w:hAnsi="Times New Roman" w:eastAsia="仿宋" w:cs="Times New Roman"/>
        </w:rPr>
      </w:pPr>
      <w:bookmarkStart w:id="65" w:name="_Toc15396627"/>
      <w:r>
        <w:rPr>
          <w:rStyle w:val="36"/>
          <w:rFonts w:hint="default" w:ascii="Times New Roman" w:hAnsi="Times New Roman" w:eastAsia="仿宋" w:cs="Times New Roman"/>
          <w:b w:val="0"/>
          <w:bCs w:val="0"/>
        </w:rPr>
        <w:t>九、</w:t>
      </w:r>
      <w:r>
        <w:rPr>
          <w:rFonts w:hint="default" w:ascii="Times New Roman" w:hAnsi="Times New Roman" w:eastAsia="仿宋" w:cs="Times New Roman"/>
          <w:b w:val="0"/>
        </w:rPr>
        <w:t>一</w:t>
      </w:r>
      <w:r>
        <w:rPr>
          <w:rStyle w:val="36"/>
          <w:rFonts w:hint="default" w:ascii="Times New Roman" w:hAnsi="Times New Roman" w:eastAsia="仿宋" w:cs="Times New Roman"/>
          <w:b w:val="0"/>
          <w:bCs w:val="0"/>
        </w:rPr>
        <w:t>般公共预算财政拨款项目支出决算表</w:t>
      </w:r>
      <w:bookmarkEnd w:id="65"/>
    </w:p>
    <w:p>
      <w:pPr>
        <w:pStyle w:val="4"/>
        <w:pageBreakBefore w:val="0"/>
        <w:kinsoku/>
        <w:wordWrap/>
        <w:overflowPunct/>
        <w:topLinePunct w:val="0"/>
        <w:bidi w:val="0"/>
        <w:spacing w:line="560" w:lineRule="exact"/>
        <w:rPr>
          <w:rFonts w:hint="default" w:ascii="Times New Roman" w:hAnsi="Times New Roman" w:eastAsia="仿宋" w:cs="Times New Roman"/>
        </w:rPr>
      </w:pPr>
      <w:bookmarkStart w:id="66" w:name="_Toc15396628"/>
      <w:r>
        <w:rPr>
          <w:rStyle w:val="36"/>
          <w:rFonts w:hint="default" w:ascii="Times New Roman" w:hAnsi="Times New Roman" w:eastAsia="仿宋" w:cs="Times New Roman"/>
          <w:b w:val="0"/>
          <w:bCs w:val="0"/>
        </w:rPr>
        <w:t>十、</w:t>
      </w:r>
      <w:bookmarkEnd w:id="66"/>
      <w:r>
        <w:rPr>
          <w:rFonts w:hint="default" w:ascii="Times New Roman" w:hAnsi="Times New Roman" w:eastAsia="仿宋" w:cs="Times New Roman"/>
          <w:b w:val="0"/>
        </w:rPr>
        <w:t>政</w:t>
      </w:r>
      <w:r>
        <w:rPr>
          <w:rStyle w:val="36"/>
          <w:rFonts w:hint="default" w:ascii="Times New Roman" w:hAnsi="Times New Roman" w:eastAsia="仿宋" w:cs="Times New Roman"/>
          <w:b w:val="0"/>
          <w:bCs w:val="0"/>
        </w:rPr>
        <w:t>府性基金预算财政拨款收入支出决算表</w:t>
      </w:r>
    </w:p>
    <w:p>
      <w:pPr>
        <w:pStyle w:val="4"/>
        <w:pageBreakBefore w:val="0"/>
        <w:kinsoku/>
        <w:wordWrap/>
        <w:overflowPunct/>
        <w:topLinePunct w:val="0"/>
        <w:bidi w:val="0"/>
        <w:spacing w:line="560" w:lineRule="exact"/>
        <w:rPr>
          <w:rFonts w:hint="default" w:ascii="Times New Roman" w:hAnsi="Times New Roman" w:eastAsia="仿宋" w:cs="Times New Roman"/>
        </w:rPr>
      </w:pPr>
      <w:bookmarkStart w:id="67" w:name="_Toc15396629"/>
      <w:r>
        <w:rPr>
          <w:rStyle w:val="36"/>
          <w:rFonts w:hint="default" w:ascii="Times New Roman" w:hAnsi="Times New Roman" w:eastAsia="仿宋" w:cs="Times New Roman"/>
          <w:b w:val="0"/>
          <w:bCs w:val="0"/>
        </w:rPr>
        <w:t>十一、</w:t>
      </w:r>
      <w:bookmarkEnd w:id="67"/>
      <w:r>
        <w:rPr>
          <w:rFonts w:hint="default" w:ascii="Times New Roman" w:hAnsi="Times New Roman" w:eastAsia="仿宋" w:cs="Times New Roman"/>
          <w:b w:val="0"/>
        </w:rPr>
        <w:t>国</w:t>
      </w:r>
      <w:r>
        <w:rPr>
          <w:rStyle w:val="36"/>
          <w:rFonts w:hint="default" w:ascii="Times New Roman" w:hAnsi="Times New Roman" w:eastAsia="仿宋" w:cs="Times New Roman"/>
          <w:b w:val="0"/>
          <w:bCs w:val="0"/>
        </w:rPr>
        <w:t>有资本经营预算财政拨款收入支出决算表</w:t>
      </w:r>
    </w:p>
    <w:p>
      <w:pPr>
        <w:pStyle w:val="4"/>
        <w:pageBreakBefore w:val="0"/>
        <w:kinsoku/>
        <w:wordWrap/>
        <w:overflowPunct/>
        <w:topLinePunct w:val="0"/>
        <w:bidi w:val="0"/>
        <w:spacing w:line="560" w:lineRule="exact"/>
        <w:rPr>
          <w:rFonts w:hint="default" w:ascii="Times New Roman" w:hAnsi="Times New Roman" w:eastAsia="仿宋" w:cs="Times New Roman"/>
        </w:rPr>
      </w:pPr>
      <w:bookmarkStart w:id="68" w:name="_Toc15396630"/>
      <w:r>
        <w:rPr>
          <w:rStyle w:val="36"/>
          <w:rFonts w:hint="default" w:ascii="Times New Roman" w:hAnsi="Times New Roman" w:eastAsia="仿宋" w:cs="Times New Roman"/>
          <w:b w:val="0"/>
          <w:bCs w:val="0"/>
        </w:rPr>
        <w:t>十二、</w:t>
      </w:r>
      <w:bookmarkEnd w:id="68"/>
      <w:r>
        <w:rPr>
          <w:rStyle w:val="36"/>
          <w:rFonts w:hint="default" w:ascii="Times New Roman" w:hAnsi="Times New Roman" w:eastAsia="仿宋" w:cs="Times New Roman"/>
          <w:b w:val="0"/>
          <w:bCs w:val="0"/>
        </w:rPr>
        <w:t>国有资本经营预算财政拨款支出决算表</w:t>
      </w:r>
    </w:p>
    <w:p>
      <w:pPr>
        <w:pStyle w:val="4"/>
        <w:pageBreakBefore w:val="0"/>
        <w:kinsoku/>
        <w:wordWrap/>
        <w:overflowPunct/>
        <w:topLinePunct w:val="0"/>
        <w:bidi w:val="0"/>
        <w:spacing w:line="560" w:lineRule="exact"/>
        <w:rPr>
          <w:rFonts w:hint="default" w:ascii="Times New Roman" w:hAnsi="Times New Roman" w:eastAsia="仿宋" w:cs="Times New Roman"/>
        </w:rPr>
      </w:pPr>
      <w:bookmarkStart w:id="69" w:name="_Toc15396631"/>
      <w:r>
        <w:rPr>
          <w:rStyle w:val="36"/>
          <w:rFonts w:hint="default" w:ascii="Times New Roman" w:hAnsi="Times New Roman" w:eastAsia="仿宋" w:cs="Times New Roman"/>
          <w:b w:val="0"/>
          <w:bCs w:val="0"/>
        </w:rPr>
        <w:t>十三、</w:t>
      </w:r>
      <w:bookmarkEnd w:id="69"/>
      <w:r>
        <w:rPr>
          <w:rStyle w:val="36"/>
          <w:rFonts w:hint="default" w:ascii="Times New Roman" w:hAnsi="Times New Roman" w:eastAsia="仿宋" w:cs="Times New Roman"/>
          <w:b w:val="0"/>
          <w:bCs w:val="0"/>
        </w:rPr>
        <w:t>财政拨款“三公”经费支出决算表</w:t>
      </w:r>
    </w:p>
    <w:p>
      <w:pPr>
        <w:pStyle w:val="4"/>
        <w:pageBreakBefore w:val="0"/>
        <w:kinsoku/>
        <w:wordWrap/>
        <w:overflowPunct/>
        <w:topLinePunct w:val="0"/>
        <w:bidi w:val="0"/>
        <w:spacing w:line="560" w:lineRule="exact"/>
        <w:rPr>
          <w:rStyle w:val="29"/>
          <w:rFonts w:hint="default" w:ascii="Times New Roman" w:hAnsi="Times New Roman" w:eastAsia="仿宋" w:cs="Times New Roman"/>
          <w:b w:val="0"/>
          <w:bCs w:val="0"/>
        </w:rPr>
      </w:pPr>
    </w:p>
    <w:sectPr>
      <w:footerReference r:id="rId3" w:type="default"/>
      <w:pgSz w:w="11906" w:h="16838"/>
      <w:pgMar w:top="426" w:right="1800" w:bottom="1135"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0AFF" w:usb1="00007843" w:usb2="00000001" w:usb3="00000000" w:csb0="400001BF" w:csb1="DFF7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0" w:csb1="00000000"/>
  </w:font>
  <w:font w:name="方正小标宋简体">
    <w:altName w:val="黑体"/>
    <w:panose1 w:val="03000509000000000000"/>
    <w:charset w:val="86"/>
    <w:family w:val="script"/>
    <w:pitch w:val="default"/>
    <w:sig w:usb0="00000000" w:usb1="0000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058369"/>
    </w:sdtPr>
    <w:sdtContent>
      <w:p>
        <w:pPr>
          <w:pStyle w:val="11"/>
          <w:jc w:val="center"/>
        </w:pPr>
        <w:r>
          <w:fldChar w:fldCharType="begin"/>
        </w:r>
        <w:r>
          <w:instrText xml:space="preserve">PAGE   \* MERGEFORMAT</w:instrText>
        </w:r>
        <w:r>
          <w:fldChar w:fldCharType="separate"/>
        </w:r>
        <w:r>
          <w:rPr>
            <w:lang w:val="zh-CN"/>
          </w:rPr>
          <w:t>13</w:t>
        </w:r>
        <w:r>
          <w:rPr>
            <w:lang w:val="zh-CN"/>
          </w:rPr>
          <w:fldChar w:fldCharType="end"/>
        </w:r>
      </w:p>
    </w:sdtContent>
  </w:sdt>
  <w:p>
    <w:pPr>
      <w:pStyle w:val="1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B1222"/>
    <w:multiLevelType w:val="singleLevel"/>
    <w:tmpl w:val="B0CB1222"/>
    <w:lvl w:ilvl="0" w:tentative="0">
      <w:start w:val="7"/>
      <w:numFmt w:val="decimal"/>
      <w:suff w:val="nothing"/>
      <w:lvlText w:val="%1、"/>
      <w:lvlJc w:val="left"/>
    </w:lvl>
  </w:abstractNum>
  <w:abstractNum w:abstractNumId="1">
    <w:nsid w:val="BCED5FBE"/>
    <w:multiLevelType w:val="singleLevel"/>
    <w:tmpl w:val="BCED5FBE"/>
    <w:lvl w:ilvl="0" w:tentative="0">
      <w:start w:val="2"/>
      <w:numFmt w:val="chineseCounting"/>
      <w:suff w:val="nothing"/>
      <w:lvlText w:val="（%1）"/>
      <w:lvlJc w:val="left"/>
      <w:rPr>
        <w:rFonts w:hint="eastAsia"/>
      </w:rPr>
    </w:lvl>
  </w:abstractNum>
  <w:abstractNum w:abstractNumId="2">
    <w:nsid w:val="C936B31E"/>
    <w:multiLevelType w:val="singleLevel"/>
    <w:tmpl w:val="C936B31E"/>
    <w:lvl w:ilvl="0" w:tentative="0">
      <w:start w:val="1"/>
      <w:numFmt w:val="chineseCounting"/>
      <w:suff w:val="nothing"/>
      <w:lvlText w:val="（%1）"/>
      <w:lvlJc w:val="left"/>
      <w:rPr>
        <w:rFonts w:hint="eastAsia"/>
      </w:rPr>
    </w:lvl>
  </w:abstractNum>
  <w:abstractNum w:abstractNumId="3">
    <w:nsid w:val="CF652CEC"/>
    <w:multiLevelType w:val="singleLevel"/>
    <w:tmpl w:val="CF652CEC"/>
    <w:lvl w:ilvl="0" w:tentative="0">
      <w:start w:val="9"/>
      <w:numFmt w:val="chineseCounting"/>
      <w:suff w:val="nothing"/>
      <w:lvlText w:val="%1、"/>
      <w:lvlJc w:val="left"/>
      <w:rPr>
        <w:rFonts w:hint="eastAsia"/>
      </w:rPr>
    </w:lvl>
  </w:abstractNum>
  <w:abstractNum w:abstractNumId="4">
    <w:nsid w:val="DB121A62"/>
    <w:multiLevelType w:val="singleLevel"/>
    <w:tmpl w:val="DB121A62"/>
    <w:lvl w:ilvl="0" w:tentative="0">
      <w:start w:val="1"/>
      <w:numFmt w:val="chineseCounting"/>
      <w:suff w:val="nothing"/>
      <w:lvlText w:val="（%1）"/>
      <w:lvlJc w:val="left"/>
      <w:rPr>
        <w:rFonts w:hint="eastAsia"/>
      </w:rPr>
    </w:lvl>
  </w:abstractNum>
  <w:abstractNum w:abstractNumId="5">
    <w:nsid w:val="0F42DCAB"/>
    <w:multiLevelType w:val="singleLevel"/>
    <w:tmpl w:val="0F42DCAB"/>
    <w:lvl w:ilvl="0" w:tentative="0">
      <w:start w:val="2"/>
      <w:numFmt w:val="chineseCounting"/>
      <w:suff w:val="nothing"/>
      <w:lvlText w:val="（%1）"/>
      <w:lvlJc w:val="left"/>
      <w:rPr>
        <w:rFonts w:hint="eastAsia"/>
      </w:rPr>
    </w:lvl>
  </w:abstractNum>
  <w:abstractNum w:abstractNumId="6">
    <w:nsid w:val="176DC701"/>
    <w:multiLevelType w:val="singleLevel"/>
    <w:tmpl w:val="176DC701"/>
    <w:lvl w:ilvl="0" w:tentative="0">
      <w:start w:val="4"/>
      <w:numFmt w:val="chineseCounting"/>
      <w:suff w:val="nothing"/>
      <w:lvlText w:val="%1、"/>
      <w:lvlJc w:val="left"/>
      <w:rPr>
        <w:rFonts w:hint="eastAsia"/>
      </w:rPr>
    </w:lvl>
  </w:abstractNum>
  <w:abstractNum w:abstractNumId="7">
    <w:nsid w:val="1F8EF768"/>
    <w:multiLevelType w:val="singleLevel"/>
    <w:tmpl w:val="1F8EF768"/>
    <w:lvl w:ilvl="0" w:tentative="0">
      <w:start w:val="1"/>
      <w:numFmt w:val="chineseCounting"/>
      <w:suff w:val="nothing"/>
      <w:lvlText w:val="（%1）"/>
      <w:lvlJc w:val="left"/>
      <w:rPr>
        <w:rFonts w:hint="eastAsia"/>
      </w:rPr>
    </w:lvl>
  </w:abstractNum>
  <w:abstractNum w:abstractNumId="8">
    <w:nsid w:val="333CBECF"/>
    <w:multiLevelType w:val="singleLevel"/>
    <w:tmpl w:val="333CBECF"/>
    <w:lvl w:ilvl="0" w:tentative="0">
      <w:start w:val="3"/>
      <w:numFmt w:val="chineseCounting"/>
      <w:suff w:val="nothing"/>
      <w:lvlText w:val="%1、"/>
      <w:lvlJc w:val="left"/>
      <w:rPr>
        <w:rFonts w:hint="eastAsia"/>
      </w:rPr>
    </w:lvl>
  </w:abstractNum>
  <w:abstractNum w:abstractNumId="9">
    <w:nsid w:val="48C9BBE7"/>
    <w:multiLevelType w:val="singleLevel"/>
    <w:tmpl w:val="48C9BBE7"/>
    <w:lvl w:ilvl="0" w:tentative="0">
      <w:start w:val="1"/>
      <w:numFmt w:val="chineseCounting"/>
      <w:suff w:val="nothing"/>
      <w:lvlText w:val="（%1）"/>
      <w:lvlJc w:val="left"/>
      <w:rPr>
        <w:rFonts w:hint="eastAsia"/>
      </w:rPr>
    </w:lvl>
  </w:abstractNum>
  <w:abstractNum w:abstractNumId="10">
    <w:nsid w:val="76B1D4D2"/>
    <w:multiLevelType w:val="singleLevel"/>
    <w:tmpl w:val="76B1D4D2"/>
    <w:lvl w:ilvl="0" w:tentative="0">
      <w:start w:val="2"/>
      <w:numFmt w:val="chineseCounting"/>
      <w:suff w:val="nothing"/>
      <w:lvlText w:val="（%1）"/>
      <w:lvlJc w:val="left"/>
      <w:pPr>
        <w:ind w:left="-94"/>
      </w:pPr>
      <w:rPr>
        <w:rFonts w:hint="eastAsia"/>
      </w:rPr>
    </w:lvl>
  </w:abstractNum>
  <w:num w:numId="1">
    <w:abstractNumId w:val="3"/>
  </w:num>
  <w:num w:numId="2">
    <w:abstractNumId w:val="10"/>
  </w:num>
  <w:num w:numId="3">
    <w:abstractNumId w:val="0"/>
  </w:num>
  <w:num w:numId="4">
    <w:abstractNumId w:val="8"/>
  </w:num>
  <w:num w:numId="5">
    <w:abstractNumId w:val="4"/>
  </w:num>
  <w:num w:numId="6">
    <w:abstractNumId w:val="7"/>
  </w:num>
  <w:num w:numId="7">
    <w:abstractNumId w:val="9"/>
  </w:num>
  <w:num w:numId="8">
    <w:abstractNumId w:val="1"/>
  </w:num>
  <w:num w:numId="9">
    <w:abstractNumId w:val="5"/>
  </w:num>
  <w:num w:numId="10">
    <w:abstractNumId w:val="2"/>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72A27"/>
    <w:rsid w:val="00006FEF"/>
    <w:rsid w:val="00007960"/>
    <w:rsid w:val="00014F70"/>
    <w:rsid w:val="000162DA"/>
    <w:rsid w:val="000222C6"/>
    <w:rsid w:val="00022F91"/>
    <w:rsid w:val="0002549F"/>
    <w:rsid w:val="000329F1"/>
    <w:rsid w:val="000468DB"/>
    <w:rsid w:val="00055298"/>
    <w:rsid w:val="00057E03"/>
    <w:rsid w:val="000619C1"/>
    <w:rsid w:val="0006487A"/>
    <w:rsid w:val="00065F8F"/>
    <w:rsid w:val="000676AC"/>
    <w:rsid w:val="00070A43"/>
    <w:rsid w:val="00070E55"/>
    <w:rsid w:val="0007126A"/>
    <w:rsid w:val="000768F2"/>
    <w:rsid w:val="00076A13"/>
    <w:rsid w:val="0009055F"/>
    <w:rsid w:val="00091011"/>
    <w:rsid w:val="0009184B"/>
    <w:rsid w:val="00094236"/>
    <w:rsid w:val="0009593C"/>
    <w:rsid w:val="00097156"/>
    <w:rsid w:val="00097322"/>
    <w:rsid w:val="000A375F"/>
    <w:rsid w:val="000A6A92"/>
    <w:rsid w:val="000B047F"/>
    <w:rsid w:val="000B5923"/>
    <w:rsid w:val="000B5A48"/>
    <w:rsid w:val="000B6FF3"/>
    <w:rsid w:val="000B7E14"/>
    <w:rsid w:val="000C0D49"/>
    <w:rsid w:val="000C1DC5"/>
    <w:rsid w:val="000C3467"/>
    <w:rsid w:val="000C3CA6"/>
    <w:rsid w:val="000C4ECB"/>
    <w:rsid w:val="000D1267"/>
    <w:rsid w:val="000D1D50"/>
    <w:rsid w:val="000D417B"/>
    <w:rsid w:val="000D5782"/>
    <w:rsid w:val="000E098D"/>
    <w:rsid w:val="000E3B12"/>
    <w:rsid w:val="000E54F3"/>
    <w:rsid w:val="000E6613"/>
    <w:rsid w:val="000E7119"/>
    <w:rsid w:val="000F432B"/>
    <w:rsid w:val="000F53D0"/>
    <w:rsid w:val="00114E9B"/>
    <w:rsid w:val="00117069"/>
    <w:rsid w:val="00122907"/>
    <w:rsid w:val="00124E35"/>
    <w:rsid w:val="00126240"/>
    <w:rsid w:val="001263A7"/>
    <w:rsid w:val="00130FB0"/>
    <w:rsid w:val="0013449D"/>
    <w:rsid w:val="00140652"/>
    <w:rsid w:val="00142216"/>
    <w:rsid w:val="001430FB"/>
    <w:rsid w:val="001447B5"/>
    <w:rsid w:val="00144D6A"/>
    <w:rsid w:val="0014729F"/>
    <w:rsid w:val="00157BAB"/>
    <w:rsid w:val="001654D1"/>
    <w:rsid w:val="001703E0"/>
    <w:rsid w:val="001705A0"/>
    <w:rsid w:val="00174518"/>
    <w:rsid w:val="00180A21"/>
    <w:rsid w:val="0018106D"/>
    <w:rsid w:val="00182813"/>
    <w:rsid w:val="001877A7"/>
    <w:rsid w:val="00191536"/>
    <w:rsid w:val="00191FEB"/>
    <w:rsid w:val="00196465"/>
    <w:rsid w:val="00196687"/>
    <w:rsid w:val="001A4239"/>
    <w:rsid w:val="001A4D3B"/>
    <w:rsid w:val="001A553B"/>
    <w:rsid w:val="001B1AE0"/>
    <w:rsid w:val="001B1CAE"/>
    <w:rsid w:val="001B1FC3"/>
    <w:rsid w:val="001B5FF1"/>
    <w:rsid w:val="001B64BD"/>
    <w:rsid w:val="001B6B70"/>
    <w:rsid w:val="001C0962"/>
    <w:rsid w:val="001C3595"/>
    <w:rsid w:val="001C5802"/>
    <w:rsid w:val="001D5452"/>
    <w:rsid w:val="001D7531"/>
    <w:rsid w:val="001D7B35"/>
    <w:rsid w:val="001E10B1"/>
    <w:rsid w:val="001E6612"/>
    <w:rsid w:val="001E737D"/>
    <w:rsid w:val="001F0592"/>
    <w:rsid w:val="001F1961"/>
    <w:rsid w:val="001F2160"/>
    <w:rsid w:val="001F63ED"/>
    <w:rsid w:val="001F7506"/>
    <w:rsid w:val="002006CD"/>
    <w:rsid w:val="00202B36"/>
    <w:rsid w:val="00203D57"/>
    <w:rsid w:val="002049E1"/>
    <w:rsid w:val="00204B7A"/>
    <w:rsid w:val="00204CDE"/>
    <w:rsid w:val="00207DBE"/>
    <w:rsid w:val="0021101A"/>
    <w:rsid w:val="002149CF"/>
    <w:rsid w:val="00220536"/>
    <w:rsid w:val="00235629"/>
    <w:rsid w:val="00235BB2"/>
    <w:rsid w:val="0024349B"/>
    <w:rsid w:val="002435D6"/>
    <w:rsid w:val="00247AEF"/>
    <w:rsid w:val="002505B4"/>
    <w:rsid w:val="00250763"/>
    <w:rsid w:val="002513CA"/>
    <w:rsid w:val="002569D2"/>
    <w:rsid w:val="00260C38"/>
    <w:rsid w:val="002616C0"/>
    <w:rsid w:val="0026358D"/>
    <w:rsid w:val="00264BEC"/>
    <w:rsid w:val="00265372"/>
    <w:rsid w:val="002662AA"/>
    <w:rsid w:val="00280496"/>
    <w:rsid w:val="002804AA"/>
    <w:rsid w:val="00282C3C"/>
    <w:rsid w:val="002866A2"/>
    <w:rsid w:val="0028775F"/>
    <w:rsid w:val="00294DC9"/>
    <w:rsid w:val="00295495"/>
    <w:rsid w:val="002A31DE"/>
    <w:rsid w:val="002B2613"/>
    <w:rsid w:val="002B3D2B"/>
    <w:rsid w:val="002B58F2"/>
    <w:rsid w:val="002B73E0"/>
    <w:rsid w:val="002C0461"/>
    <w:rsid w:val="002C40D7"/>
    <w:rsid w:val="002D19B0"/>
    <w:rsid w:val="002D6D05"/>
    <w:rsid w:val="002E5D0E"/>
    <w:rsid w:val="002F1818"/>
    <w:rsid w:val="002F567B"/>
    <w:rsid w:val="00302369"/>
    <w:rsid w:val="00314DA9"/>
    <w:rsid w:val="003162F9"/>
    <w:rsid w:val="003170EC"/>
    <w:rsid w:val="003216A9"/>
    <w:rsid w:val="00323C8E"/>
    <w:rsid w:val="00335A74"/>
    <w:rsid w:val="00343658"/>
    <w:rsid w:val="00352C0A"/>
    <w:rsid w:val="00355C1B"/>
    <w:rsid w:val="0036561B"/>
    <w:rsid w:val="0037013F"/>
    <w:rsid w:val="00372EB8"/>
    <w:rsid w:val="0037409C"/>
    <w:rsid w:val="00380C92"/>
    <w:rsid w:val="0039132B"/>
    <w:rsid w:val="00391E12"/>
    <w:rsid w:val="003A484F"/>
    <w:rsid w:val="003A4883"/>
    <w:rsid w:val="003B0BE0"/>
    <w:rsid w:val="003B0C1B"/>
    <w:rsid w:val="003B3FAF"/>
    <w:rsid w:val="003B688C"/>
    <w:rsid w:val="003C0291"/>
    <w:rsid w:val="003C1A6A"/>
    <w:rsid w:val="003C39AE"/>
    <w:rsid w:val="003C7B60"/>
    <w:rsid w:val="003D0C0F"/>
    <w:rsid w:val="003D1FB2"/>
    <w:rsid w:val="003D66DA"/>
    <w:rsid w:val="003D6CBC"/>
    <w:rsid w:val="003E1310"/>
    <w:rsid w:val="003E5EA9"/>
    <w:rsid w:val="003E6F55"/>
    <w:rsid w:val="003E70F7"/>
    <w:rsid w:val="003E73FC"/>
    <w:rsid w:val="003F11D7"/>
    <w:rsid w:val="003F692F"/>
    <w:rsid w:val="00402892"/>
    <w:rsid w:val="00406254"/>
    <w:rsid w:val="00407ED0"/>
    <w:rsid w:val="0041178F"/>
    <w:rsid w:val="00416CD4"/>
    <w:rsid w:val="0041747D"/>
    <w:rsid w:val="00421C58"/>
    <w:rsid w:val="004223DE"/>
    <w:rsid w:val="00422413"/>
    <w:rsid w:val="00423ED7"/>
    <w:rsid w:val="00434489"/>
    <w:rsid w:val="00437085"/>
    <w:rsid w:val="00437AE9"/>
    <w:rsid w:val="00443880"/>
    <w:rsid w:val="00444E70"/>
    <w:rsid w:val="004451E4"/>
    <w:rsid w:val="004464F4"/>
    <w:rsid w:val="00446C51"/>
    <w:rsid w:val="00450C11"/>
    <w:rsid w:val="0046140A"/>
    <w:rsid w:val="00462CCC"/>
    <w:rsid w:val="00464352"/>
    <w:rsid w:val="004648DB"/>
    <w:rsid w:val="00467151"/>
    <w:rsid w:val="00471401"/>
    <w:rsid w:val="00473F31"/>
    <w:rsid w:val="00477903"/>
    <w:rsid w:val="00481527"/>
    <w:rsid w:val="0048263A"/>
    <w:rsid w:val="00487E5D"/>
    <w:rsid w:val="004A711F"/>
    <w:rsid w:val="004B199D"/>
    <w:rsid w:val="004B421D"/>
    <w:rsid w:val="004B4690"/>
    <w:rsid w:val="004C3D3E"/>
    <w:rsid w:val="004D23D7"/>
    <w:rsid w:val="004E0A2D"/>
    <w:rsid w:val="004E0B8D"/>
    <w:rsid w:val="004E1547"/>
    <w:rsid w:val="004E206B"/>
    <w:rsid w:val="004E4962"/>
    <w:rsid w:val="004E6DF7"/>
    <w:rsid w:val="004F0CAC"/>
    <w:rsid w:val="004F0FBD"/>
    <w:rsid w:val="004F403E"/>
    <w:rsid w:val="004F468E"/>
    <w:rsid w:val="0050125E"/>
    <w:rsid w:val="00505A47"/>
    <w:rsid w:val="00512FDA"/>
    <w:rsid w:val="005152F4"/>
    <w:rsid w:val="00520DA0"/>
    <w:rsid w:val="005230EE"/>
    <w:rsid w:val="0053762C"/>
    <w:rsid w:val="005418D9"/>
    <w:rsid w:val="005510A2"/>
    <w:rsid w:val="0055429E"/>
    <w:rsid w:val="005547EE"/>
    <w:rsid w:val="005664BB"/>
    <w:rsid w:val="00566EAF"/>
    <w:rsid w:val="00566FFA"/>
    <w:rsid w:val="0056756C"/>
    <w:rsid w:val="00567D5D"/>
    <w:rsid w:val="0057481D"/>
    <w:rsid w:val="00575F0B"/>
    <w:rsid w:val="0058486E"/>
    <w:rsid w:val="00585B33"/>
    <w:rsid w:val="0059014D"/>
    <w:rsid w:val="005B3C10"/>
    <w:rsid w:val="005B5C64"/>
    <w:rsid w:val="005C6BD0"/>
    <w:rsid w:val="005C6C4C"/>
    <w:rsid w:val="005C70F9"/>
    <w:rsid w:val="005D1C8B"/>
    <w:rsid w:val="005D2E46"/>
    <w:rsid w:val="005D468D"/>
    <w:rsid w:val="005D5CED"/>
    <w:rsid w:val="005D7599"/>
    <w:rsid w:val="005E215F"/>
    <w:rsid w:val="005F1A4C"/>
    <w:rsid w:val="005F6A6D"/>
    <w:rsid w:val="005F6C24"/>
    <w:rsid w:val="00605688"/>
    <w:rsid w:val="00606E42"/>
    <w:rsid w:val="006070AF"/>
    <w:rsid w:val="00607E6C"/>
    <w:rsid w:val="006101B1"/>
    <w:rsid w:val="00613B0E"/>
    <w:rsid w:val="00614E44"/>
    <w:rsid w:val="0062270A"/>
    <w:rsid w:val="00622830"/>
    <w:rsid w:val="00623DA0"/>
    <w:rsid w:val="00626988"/>
    <w:rsid w:val="00630AEF"/>
    <w:rsid w:val="006325F8"/>
    <w:rsid w:val="00633463"/>
    <w:rsid w:val="00633E26"/>
    <w:rsid w:val="00634C9A"/>
    <w:rsid w:val="006356C5"/>
    <w:rsid w:val="0063620E"/>
    <w:rsid w:val="00642D4C"/>
    <w:rsid w:val="006440E4"/>
    <w:rsid w:val="0066343B"/>
    <w:rsid w:val="00664777"/>
    <w:rsid w:val="006657F1"/>
    <w:rsid w:val="00673AA7"/>
    <w:rsid w:val="006748A4"/>
    <w:rsid w:val="0068067D"/>
    <w:rsid w:val="00681A31"/>
    <w:rsid w:val="00683E73"/>
    <w:rsid w:val="006927CD"/>
    <w:rsid w:val="0069415B"/>
    <w:rsid w:val="006A2466"/>
    <w:rsid w:val="006A3141"/>
    <w:rsid w:val="006A5E34"/>
    <w:rsid w:val="006B2422"/>
    <w:rsid w:val="006B2B9A"/>
    <w:rsid w:val="006B537B"/>
    <w:rsid w:val="006C1937"/>
    <w:rsid w:val="006D3FAB"/>
    <w:rsid w:val="006D4537"/>
    <w:rsid w:val="006D4D68"/>
    <w:rsid w:val="006E670C"/>
    <w:rsid w:val="006F020C"/>
    <w:rsid w:val="006F1A49"/>
    <w:rsid w:val="00704019"/>
    <w:rsid w:val="007043B7"/>
    <w:rsid w:val="007104A4"/>
    <w:rsid w:val="00710FE5"/>
    <w:rsid w:val="007117C5"/>
    <w:rsid w:val="00711F6A"/>
    <w:rsid w:val="007127B7"/>
    <w:rsid w:val="007161F9"/>
    <w:rsid w:val="0071798E"/>
    <w:rsid w:val="00723CFE"/>
    <w:rsid w:val="007255D9"/>
    <w:rsid w:val="00727533"/>
    <w:rsid w:val="007314EB"/>
    <w:rsid w:val="007416B6"/>
    <w:rsid w:val="00746F48"/>
    <w:rsid w:val="0075404D"/>
    <w:rsid w:val="007568E9"/>
    <w:rsid w:val="0076182A"/>
    <w:rsid w:val="0076364F"/>
    <w:rsid w:val="00766667"/>
    <w:rsid w:val="00767B7E"/>
    <w:rsid w:val="007706B3"/>
    <w:rsid w:val="0077420B"/>
    <w:rsid w:val="00776C03"/>
    <w:rsid w:val="007770C3"/>
    <w:rsid w:val="00782F99"/>
    <w:rsid w:val="00784D24"/>
    <w:rsid w:val="00785FBA"/>
    <w:rsid w:val="00786E4A"/>
    <w:rsid w:val="007875EB"/>
    <w:rsid w:val="007907FD"/>
    <w:rsid w:val="0079426B"/>
    <w:rsid w:val="007962D5"/>
    <w:rsid w:val="007A165C"/>
    <w:rsid w:val="007A1E65"/>
    <w:rsid w:val="007A205D"/>
    <w:rsid w:val="007A47AF"/>
    <w:rsid w:val="007A605E"/>
    <w:rsid w:val="007B0B13"/>
    <w:rsid w:val="007C240C"/>
    <w:rsid w:val="007C4A09"/>
    <w:rsid w:val="007D1682"/>
    <w:rsid w:val="007D2847"/>
    <w:rsid w:val="007D312A"/>
    <w:rsid w:val="007D3F19"/>
    <w:rsid w:val="007E23B0"/>
    <w:rsid w:val="007E7E81"/>
    <w:rsid w:val="007F1991"/>
    <w:rsid w:val="007F2C2F"/>
    <w:rsid w:val="007F438D"/>
    <w:rsid w:val="007F44C7"/>
    <w:rsid w:val="007F55FC"/>
    <w:rsid w:val="007F5665"/>
    <w:rsid w:val="00800112"/>
    <w:rsid w:val="00805CE3"/>
    <w:rsid w:val="00813348"/>
    <w:rsid w:val="0081373B"/>
    <w:rsid w:val="00813ED8"/>
    <w:rsid w:val="0081629B"/>
    <w:rsid w:val="008163A9"/>
    <w:rsid w:val="00820B4E"/>
    <w:rsid w:val="00824C2C"/>
    <w:rsid w:val="00825380"/>
    <w:rsid w:val="008253BB"/>
    <w:rsid w:val="00826E58"/>
    <w:rsid w:val="00833962"/>
    <w:rsid w:val="00835A6B"/>
    <w:rsid w:val="0083706E"/>
    <w:rsid w:val="00837DC3"/>
    <w:rsid w:val="00840718"/>
    <w:rsid w:val="008408F6"/>
    <w:rsid w:val="0084145A"/>
    <w:rsid w:val="00841AC6"/>
    <w:rsid w:val="008423A5"/>
    <w:rsid w:val="008429A8"/>
    <w:rsid w:val="00850625"/>
    <w:rsid w:val="0085301C"/>
    <w:rsid w:val="00853718"/>
    <w:rsid w:val="00853A74"/>
    <w:rsid w:val="00855221"/>
    <w:rsid w:val="0085692C"/>
    <w:rsid w:val="00860645"/>
    <w:rsid w:val="00866011"/>
    <w:rsid w:val="00871F71"/>
    <w:rsid w:val="0087223F"/>
    <w:rsid w:val="00872FD8"/>
    <w:rsid w:val="008817F9"/>
    <w:rsid w:val="00885AF4"/>
    <w:rsid w:val="008939CD"/>
    <w:rsid w:val="00894BB3"/>
    <w:rsid w:val="00894EE2"/>
    <w:rsid w:val="008B527D"/>
    <w:rsid w:val="008B768C"/>
    <w:rsid w:val="008C25E3"/>
    <w:rsid w:val="008C4DB1"/>
    <w:rsid w:val="008C4EAF"/>
    <w:rsid w:val="008C5176"/>
    <w:rsid w:val="008C6E65"/>
    <w:rsid w:val="008C7FD0"/>
    <w:rsid w:val="008D1271"/>
    <w:rsid w:val="008D421D"/>
    <w:rsid w:val="008E1DE7"/>
    <w:rsid w:val="008E2D38"/>
    <w:rsid w:val="008E4696"/>
    <w:rsid w:val="008E616B"/>
    <w:rsid w:val="008E707C"/>
    <w:rsid w:val="008E7126"/>
    <w:rsid w:val="00900AB2"/>
    <w:rsid w:val="00900B08"/>
    <w:rsid w:val="00901E3C"/>
    <w:rsid w:val="00902155"/>
    <w:rsid w:val="00902B95"/>
    <w:rsid w:val="00902FA3"/>
    <w:rsid w:val="00906F81"/>
    <w:rsid w:val="009117D4"/>
    <w:rsid w:val="00921F03"/>
    <w:rsid w:val="00922D06"/>
    <w:rsid w:val="00923564"/>
    <w:rsid w:val="0092392E"/>
    <w:rsid w:val="009254B2"/>
    <w:rsid w:val="009315F9"/>
    <w:rsid w:val="009319E5"/>
    <w:rsid w:val="00932261"/>
    <w:rsid w:val="00933499"/>
    <w:rsid w:val="009346B5"/>
    <w:rsid w:val="00935C98"/>
    <w:rsid w:val="0093601C"/>
    <w:rsid w:val="00936D95"/>
    <w:rsid w:val="00941714"/>
    <w:rsid w:val="0094231C"/>
    <w:rsid w:val="00946945"/>
    <w:rsid w:val="0094714A"/>
    <w:rsid w:val="00951248"/>
    <w:rsid w:val="0095152F"/>
    <w:rsid w:val="0095475E"/>
    <w:rsid w:val="00954C49"/>
    <w:rsid w:val="00955E37"/>
    <w:rsid w:val="0097099F"/>
    <w:rsid w:val="00971997"/>
    <w:rsid w:val="00971FFC"/>
    <w:rsid w:val="009811A5"/>
    <w:rsid w:val="0098660A"/>
    <w:rsid w:val="00992B64"/>
    <w:rsid w:val="009931C3"/>
    <w:rsid w:val="009954CB"/>
    <w:rsid w:val="00996348"/>
    <w:rsid w:val="009A2B9C"/>
    <w:rsid w:val="009A70DA"/>
    <w:rsid w:val="009A7110"/>
    <w:rsid w:val="009B063B"/>
    <w:rsid w:val="009B1612"/>
    <w:rsid w:val="009B2AAB"/>
    <w:rsid w:val="009B2C43"/>
    <w:rsid w:val="009B3AA2"/>
    <w:rsid w:val="009B4EAE"/>
    <w:rsid w:val="009B6E05"/>
    <w:rsid w:val="009B7573"/>
    <w:rsid w:val="009B7A60"/>
    <w:rsid w:val="009C22F4"/>
    <w:rsid w:val="009C2E98"/>
    <w:rsid w:val="009C3351"/>
    <w:rsid w:val="009C37FB"/>
    <w:rsid w:val="009C3D55"/>
    <w:rsid w:val="009C798C"/>
    <w:rsid w:val="009D317A"/>
    <w:rsid w:val="009D3447"/>
    <w:rsid w:val="009D4520"/>
    <w:rsid w:val="009D4711"/>
    <w:rsid w:val="009F01FD"/>
    <w:rsid w:val="009F1185"/>
    <w:rsid w:val="009F18CD"/>
    <w:rsid w:val="009F2A13"/>
    <w:rsid w:val="009F3C60"/>
    <w:rsid w:val="009F60E7"/>
    <w:rsid w:val="009F7527"/>
    <w:rsid w:val="00A01B71"/>
    <w:rsid w:val="00A039ED"/>
    <w:rsid w:val="00A04EB0"/>
    <w:rsid w:val="00A05D87"/>
    <w:rsid w:val="00A11E26"/>
    <w:rsid w:val="00A13B22"/>
    <w:rsid w:val="00A13CC1"/>
    <w:rsid w:val="00A16847"/>
    <w:rsid w:val="00A22BA8"/>
    <w:rsid w:val="00A237D8"/>
    <w:rsid w:val="00A245CF"/>
    <w:rsid w:val="00A268C4"/>
    <w:rsid w:val="00A2773D"/>
    <w:rsid w:val="00A277BC"/>
    <w:rsid w:val="00A307CD"/>
    <w:rsid w:val="00A331C8"/>
    <w:rsid w:val="00A33FCB"/>
    <w:rsid w:val="00A35117"/>
    <w:rsid w:val="00A3604F"/>
    <w:rsid w:val="00A37350"/>
    <w:rsid w:val="00A374C1"/>
    <w:rsid w:val="00A40A00"/>
    <w:rsid w:val="00A4142F"/>
    <w:rsid w:val="00A41ECB"/>
    <w:rsid w:val="00A422EB"/>
    <w:rsid w:val="00A43503"/>
    <w:rsid w:val="00A45BB7"/>
    <w:rsid w:val="00A56DF2"/>
    <w:rsid w:val="00A56E6E"/>
    <w:rsid w:val="00A56EA3"/>
    <w:rsid w:val="00A61149"/>
    <w:rsid w:val="00A679D6"/>
    <w:rsid w:val="00A67AB5"/>
    <w:rsid w:val="00A733B2"/>
    <w:rsid w:val="00A741C2"/>
    <w:rsid w:val="00A74B03"/>
    <w:rsid w:val="00A76176"/>
    <w:rsid w:val="00A91760"/>
    <w:rsid w:val="00A918BD"/>
    <w:rsid w:val="00A93B00"/>
    <w:rsid w:val="00A93C21"/>
    <w:rsid w:val="00A93FB3"/>
    <w:rsid w:val="00AA21B6"/>
    <w:rsid w:val="00AB04F6"/>
    <w:rsid w:val="00AB2C93"/>
    <w:rsid w:val="00AB64C9"/>
    <w:rsid w:val="00AC0DC3"/>
    <w:rsid w:val="00AC3C6A"/>
    <w:rsid w:val="00AC5ABA"/>
    <w:rsid w:val="00AD0F83"/>
    <w:rsid w:val="00AD492F"/>
    <w:rsid w:val="00AD5620"/>
    <w:rsid w:val="00AD656B"/>
    <w:rsid w:val="00AD65E2"/>
    <w:rsid w:val="00AD7C1B"/>
    <w:rsid w:val="00AE16BA"/>
    <w:rsid w:val="00AE1EBE"/>
    <w:rsid w:val="00AE5BD1"/>
    <w:rsid w:val="00B03C9D"/>
    <w:rsid w:val="00B060AE"/>
    <w:rsid w:val="00B06775"/>
    <w:rsid w:val="00B076F2"/>
    <w:rsid w:val="00B10517"/>
    <w:rsid w:val="00B13FD2"/>
    <w:rsid w:val="00B14E76"/>
    <w:rsid w:val="00B15376"/>
    <w:rsid w:val="00B161B8"/>
    <w:rsid w:val="00B1663D"/>
    <w:rsid w:val="00B2048C"/>
    <w:rsid w:val="00B2360A"/>
    <w:rsid w:val="00B310B9"/>
    <w:rsid w:val="00B3288A"/>
    <w:rsid w:val="00B3415A"/>
    <w:rsid w:val="00B35F3F"/>
    <w:rsid w:val="00B36CBB"/>
    <w:rsid w:val="00B40E31"/>
    <w:rsid w:val="00B425E0"/>
    <w:rsid w:val="00B440AA"/>
    <w:rsid w:val="00B44731"/>
    <w:rsid w:val="00B44B70"/>
    <w:rsid w:val="00B53C56"/>
    <w:rsid w:val="00B554B2"/>
    <w:rsid w:val="00B57DAF"/>
    <w:rsid w:val="00B62AF1"/>
    <w:rsid w:val="00B71939"/>
    <w:rsid w:val="00B758C9"/>
    <w:rsid w:val="00B77EA6"/>
    <w:rsid w:val="00B81598"/>
    <w:rsid w:val="00B841F1"/>
    <w:rsid w:val="00B855C8"/>
    <w:rsid w:val="00B926AD"/>
    <w:rsid w:val="00B944D6"/>
    <w:rsid w:val="00BA7213"/>
    <w:rsid w:val="00BA768E"/>
    <w:rsid w:val="00BA7AAE"/>
    <w:rsid w:val="00BB349E"/>
    <w:rsid w:val="00BB4DF0"/>
    <w:rsid w:val="00BC289F"/>
    <w:rsid w:val="00BC2D50"/>
    <w:rsid w:val="00BC48F2"/>
    <w:rsid w:val="00BC5361"/>
    <w:rsid w:val="00BC5460"/>
    <w:rsid w:val="00BC6B50"/>
    <w:rsid w:val="00BD0E25"/>
    <w:rsid w:val="00BD7C90"/>
    <w:rsid w:val="00BE0D9C"/>
    <w:rsid w:val="00BE0F7D"/>
    <w:rsid w:val="00BE1B0D"/>
    <w:rsid w:val="00BE24CB"/>
    <w:rsid w:val="00BE28E4"/>
    <w:rsid w:val="00BF03A4"/>
    <w:rsid w:val="00BF14F7"/>
    <w:rsid w:val="00BF5BD6"/>
    <w:rsid w:val="00C00743"/>
    <w:rsid w:val="00C03E31"/>
    <w:rsid w:val="00C04A15"/>
    <w:rsid w:val="00C05B4B"/>
    <w:rsid w:val="00C10B92"/>
    <w:rsid w:val="00C11CF3"/>
    <w:rsid w:val="00C13F03"/>
    <w:rsid w:val="00C1629E"/>
    <w:rsid w:val="00C22E1B"/>
    <w:rsid w:val="00C2793F"/>
    <w:rsid w:val="00C30E69"/>
    <w:rsid w:val="00C33E72"/>
    <w:rsid w:val="00C354B2"/>
    <w:rsid w:val="00C35554"/>
    <w:rsid w:val="00C35847"/>
    <w:rsid w:val="00C42709"/>
    <w:rsid w:val="00C45E87"/>
    <w:rsid w:val="00C46C97"/>
    <w:rsid w:val="00C51F41"/>
    <w:rsid w:val="00C533CC"/>
    <w:rsid w:val="00C55E22"/>
    <w:rsid w:val="00C5751C"/>
    <w:rsid w:val="00C61BFC"/>
    <w:rsid w:val="00C62B85"/>
    <w:rsid w:val="00C65438"/>
    <w:rsid w:val="00C72B9A"/>
    <w:rsid w:val="00C75911"/>
    <w:rsid w:val="00C80AA0"/>
    <w:rsid w:val="00C8118A"/>
    <w:rsid w:val="00C81A8C"/>
    <w:rsid w:val="00C835DC"/>
    <w:rsid w:val="00C9035B"/>
    <w:rsid w:val="00C91CBB"/>
    <w:rsid w:val="00CA2BA6"/>
    <w:rsid w:val="00CA3104"/>
    <w:rsid w:val="00CA6E61"/>
    <w:rsid w:val="00CB3699"/>
    <w:rsid w:val="00CB3C3B"/>
    <w:rsid w:val="00CB49BE"/>
    <w:rsid w:val="00CB4E70"/>
    <w:rsid w:val="00CC09B6"/>
    <w:rsid w:val="00CC0E24"/>
    <w:rsid w:val="00CC2447"/>
    <w:rsid w:val="00CC666F"/>
    <w:rsid w:val="00CD1E3F"/>
    <w:rsid w:val="00CD236A"/>
    <w:rsid w:val="00CE0AA1"/>
    <w:rsid w:val="00CE0F2E"/>
    <w:rsid w:val="00CE2144"/>
    <w:rsid w:val="00CE44F6"/>
    <w:rsid w:val="00CE49DA"/>
    <w:rsid w:val="00CE677C"/>
    <w:rsid w:val="00CE7B61"/>
    <w:rsid w:val="00CF0003"/>
    <w:rsid w:val="00CF6B4E"/>
    <w:rsid w:val="00D00095"/>
    <w:rsid w:val="00D114F0"/>
    <w:rsid w:val="00D20620"/>
    <w:rsid w:val="00D254F7"/>
    <w:rsid w:val="00D2586D"/>
    <w:rsid w:val="00D26091"/>
    <w:rsid w:val="00D2685C"/>
    <w:rsid w:val="00D321AF"/>
    <w:rsid w:val="00D34487"/>
    <w:rsid w:val="00D34E7C"/>
    <w:rsid w:val="00D35489"/>
    <w:rsid w:val="00D36AFE"/>
    <w:rsid w:val="00D379A1"/>
    <w:rsid w:val="00D41040"/>
    <w:rsid w:val="00D51276"/>
    <w:rsid w:val="00D54124"/>
    <w:rsid w:val="00D57900"/>
    <w:rsid w:val="00D67B82"/>
    <w:rsid w:val="00D7035F"/>
    <w:rsid w:val="00D74432"/>
    <w:rsid w:val="00D750F1"/>
    <w:rsid w:val="00D8086E"/>
    <w:rsid w:val="00D81891"/>
    <w:rsid w:val="00D84F2A"/>
    <w:rsid w:val="00D8678D"/>
    <w:rsid w:val="00D86D71"/>
    <w:rsid w:val="00D87EE3"/>
    <w:rsid w:val="00D92852"/>
    <w:rsid w:val="00DA526E"/>
    <w:rsid w:val="00DA634F"/>
    <w:rsid w:val="00DA65AC"/>
    <w:rsid w:val="00DB1913"/>
    <w:rsid w:val="00DC410D"/>
    <w:rsid w:val="00DC5A81"/>
    <w:rsid w:val="00DC68CA"/>
    <w:rsid w:val="00DC7CBA"/>
    <w:rsid w:val="00DD31A0"/>
    <w:rsid w:val="00DD607C"/>
    <w:rsid w:val="00DD6D6F"/>
    <w:rsid w:val="00DD73B7"/>
    <w:rsid w:val="00DE0126"/>
    <w:rsid w:val="00DE11E8"/>
    <w:rsid w:val="00DE32A3"/>
    <w:rsid w:val="00DF0735"/>
    <w:rsid w:val="00DF28BC"/>
    <w:rsid w:val="00DF33BD"/>
    <w:rsid w:val="00DF3493"/>
    <w:rsid w:val="00DF34B9"/>
    <w:rsid w:val="00E003F9"/>
    <w:rsid w:val="00E01053"/>
    <w:rsid w:val="00E07ACF"/>
    <w:rsid w:val="00E10644"/>
    <w:rsid w:val="00E15C65"/>
    <w:rsid w:val="00E26E27"/>
    <w:rsid w:val="00E331A1"/>
    <w:rsid w:val="00E33202"/>
    <w:rsid w:val="00E336A9"/>
    <w:rsid w:val="00E35A33"/>
    <w:rsid w:val="00E42BC9"/>
    <w:rsid w:val="00E4638C"/>
    <w:rsid w:val="00E472B1"/>
    <w:rsid w:val="00E50624"/>
    <w:rsid w:val="00E5110C"/>
    <w:rsid w:val="00E568DF"/>
    <w:rsid w:val="00E57A8A"/>
    <w:rsid w:val="00E63CE6"/>
    <w:rsid w:val="00E63F1B"/>
    <w:rsid w:val="00E64269"/>
    <w:rsid w:val="00E66797"/>
    <w:rsid w:val="00E82267"/>
    <w:rsid w:val="00E83137"/>
    <w:rsid w:val="00E83CA2"/>
    <w:rsid w:val="00E83DEE"/>
    <w:rsid w:val="00E853CE"/>
    <w:rsid w:val="00E867B6"/>
    <w:rsid w:val="00E87F08"/>
    <w:rsid w:val="00E905B1"/>
    <w:rsid w:val="00EA010F"/>
    <w:rsid w:val="00EA6D98"/>
    <w:rsid w:val="00EB1D04"/>
    <w:rsid w:val="00EB578C"/>
    <w:rsid w:val="00EB66CA"/>
    <w:rsid w:val="00EC25F1"/>
    <w:rsid w:val="00EC727A"/>
    <w:rsid w:val="00ED1B63"/>
    <w:rsid w:val="00ED3C1F"/>
    <w:rsid w:val="00ED4085"/>
    <w:rsid w:val="00ED420E"/>
    <w:rsid w:val="00ED68AA"/>
    <w:rsid w:val="00ED6FBE"/>
    <w:rsid w:val="00EE2F57"/>
    <w:rsid w:val="00EE323F"/>
    <w:rsid w:val="00EE32F3"/>
    <w:rsid w:val="00EE6956"/>
    <w:rsid w:val="00EF4C34"/>
    <w:rsid w:val="00EF77C6"/>
    <w:rsid w:val="00F04881"/>
    <w:rsid w:val="00F05438"/>
    <w:rsid w:val="00F1361C"/>
    <w:rsid w:val="00F156F0"/>
    <w:rsid w:val="00F160C7"/>
    <w:rsid w:val="00F20392"/>
    <w:rsid w:val="00F2408F"/>
    <w:rsid w:val="00F240E9"/>
    <w:rsid w:val="00F26B6E"/>
    <w:rsid w:val="00F3422F"/>
    <w:rsid w:val="00F36D8F"/>
    <w:rsid w:val="00F417B1"/>
    <w:rsid w:val="00F44C21"/>
    <w:rsid w:val="00F45853"/>
    <w:rsid w:val="00F5117D"/>
    <w:rsid w:val="00F52D28"/>
    <w:rsid w:val="00F602DF"/>
    <w:rsid w:val="00F6142E"/>
    <w:rsid w:val="00F754A1"/>
    <w:rsid w:val="00F75839"/>
    <w:rsid w:val="00F8039B"/>
    <w:rsid w:val="00F81FD9"/>
    <w:rsid w:val="00F841AA"/>
    <w:rsid w:val="00F84A94"/>
    <w:rsid w:val="00F87E96"/>
    <w:rsid w:val="00F914ED"/>
    <w:rsid w:val="00F949ED"/>
    <w:rsid w:val="00F95892"/>
    <w:rsid w:val="00F97E6A"/>
    <w:rsid w:val="00FA23E8"/>
    <w:rsid w:val="00FA34D9"/>
    <w:rsid w:val="00FA4A6B"/>
    <w:rsid w:val="00FA7D1D"/>
    <w:rsid w:val="00FB716A"/>
    <w:rsid w:val="00FC3094"/>
    <w:rsid w:val="00FC438F"/>
    <w:rsid w:val="00FC4605"/>
    <w:rsid w:val="00FD1F7C"/>
    <w:rsid w:val="00FD3980"/>
    <w:rsid w:val="00FD3CC1"/>
    <w:rsid w:val="00FD4058"/>
    <w:rsid w:val="00FE0359"/>
    <w:rsid w:val="00FE149B"/>
    <w:rsid w:val="00FF04C2"/>
    <w:rsid w:val="00FF0546"/>
    <w:rsid w:val="00FF1E02"/>
    <w:rsid w:val="00FF30B4"/>
    <w:rsid w:val="00FF6EEA"/>
    <w:rsid w:val="034E77FA"/>
    <w:rsid w:val="03565465"/>
    <w:rsid w:val="03B3339D"/>
    <w:rsid w:val="04C3735B"/>
    <w:rsid w:val="066C092C"/>
    <w:rsid w:val="06A430F4"/>
    <w:rsid w:val="07990616"/>
    <w:rsid w:val="079F03CB"/>
    <w:rsid w:val="07AF5B02"/>
    <w:rsid w:val="08D65C03"/>
    <w:rsid w:val="09C62B48"/>
    <w:rsid w:val="0B40611B"/>
    <w:rsid w:val="0BB43441"/>
    <w:rsid w:val="0C167667"/>
    <w:rsid w:val="0C9C373F"/>
    <w:rsid w:val="0D775617"/>
    <w:rsid w:val="0DAC3A97"/>
    <w:rsid w:val="0DD237BC"/>
    <w:rsid w:val="0E9C2E85"/>
    <w:rsid w:val="0FFA07C1"/>
    <w:rsid w:val="10C055FF"/>
    <w:rsid w:val="1331710B"/>
    <w:rsid w:val="151C53A4"/>
    <w:rsid w:val="16BB723D"/>
    <w:rsid w:val="172C4FC2"/>
    <w:rsid w:val="17CD529B"/>
    <w:rsid w:val="17E3163D"/>
    <w:rsid w:val="1A0B4F03"/>
    <w:rsid w:val="1AB967D4"/>
    <w:rsid w:val="1AF11496"/>
    <w:rsid w:val="1B20049C"/>
    <w:rsid w:val="1D2F75CC"/>
    <w:rsid w:val="1F034F6D"/>
    <w:rsid w:val="1F596214"/>
    <w:rsid w:val="207240C5"/>
    <w:rsid w:val="20C84600"/>
    <w:rsid w:val="21AE4866"/>
    <w:rsid w:val="221C3EC6"/>
    <w:rsid w:val="240371BF"/>
    <w:rsid w:val="242F38B6"/>
    <w:rsid w:val="25125EFC"/>
    <w:rsid w:val="25135B0D"/>
    <w:rsid w:val="25B2685B"/>
    <w:rsid w:val="29F36060"/>
    <w:rsid w:val="29FD04D3"/>
    <w:rsid w:val="2A6B7798"/>
    <w:rsid w:val="2BFA5FF7"/>
    <w:rsid w:val="2BFB51EF"/>
    <w:rsid w:val="2C0B3047"/>
    <w:rsid w:val="2C8E6CA9"/>
    <w:rsid w:val="2CB855A8"/>
    <w:rsid w:val="2E006DDE"/>
    <w:rsid w:val="2E3014D6"/>
    <w:rsid w:val="319F7F4E"/>
    <w:rsid w:val="31D900D5"/>
    <w:rsid w:val="32943113"/>
    <w:rsid w:val="32B545C0"/>
    <w:rsid w:val="336664F1"/>
    <w:rsid w:val="34B23E39"/>
    <w:rsid w:val="35454B29"/>
    <w:rsid w:val="35857D93"/>
    <w:rsid w:val="399B1010"/>
    <w:rsid w:val="3A206945"/>
    <w:rsid w:val="3A7D7711"/>
    <w:rsid w:val="3B083496"/>
    <w:rsid w:val="3B6C0E2E"/>
    <w:rsid w:val="3BCB5D44"/>
    <w:rsid w:val="3C716B5F"/>
    <w:rsid w:val="3D221515"/>
    <w:rsid w:val="3DB520C9"/>
    <w:rsid w:val="3E274987"/>
    <w:rsid w:val="3F1A6759"/>
    <w:rsid w:val="402853D1"/>
    <w:rsid w:val="42F00F2D"/>
    <w:rsid w:val="42FD277A"/>
    <w:rsid w:val="436A0E0A"/>
    <w:rsid w:val="47C22C96"/>
    <w:rsid w:val="488708F5"/>
    <w:rsid w:val="49A850E2"/>
    <w:rsid w:val="4A156CF8"/>
    <w:rsid w:val="4B2870B0"/>
    <w:rsid w:val="4B304806"/>
    <w:rsid w:val="4B985ABC"/>
    <w:rsid w:val="4BE36A82"/>
    <w:rsid w:val="4CDE7282"/>
    <w:rsid w:val="4ECE2238"/>
    <w:rsid w:val="4F1E505A"/>
    <w:rsid w:val="4F87302A"/>
    <w:rsid w:val="515F688E"/>
    <w:rsid w:val="51CC3030"/>
    <w:rsid w:val="528E7969"/>
    <w:rsid w:val="53645CDE"/>
    <w:rsid w:val="54D42F4B"/>
    <w:rsid w:val="55E05528"/>
    <w:rsid w:val="55E76EC0"/>
    <w:rsid w:val="56E31118"/>
    <w:rsid w:val="571C090A"/>
    <w:rsid w:val="577F6332"/>
    <w:rsid w:val="5B6932B6"/>
    <w:rsid w:val="5BD14B39"/>
    <w:rsid w:val="5CC14DF5"/>
    <w:rsid w:val="5D225ADD"/>
    <w:rsid w:val="5F2E2070"/>
    <w:rsid w:val="608562AE"/>
    <w:rsid w:val="620B6B90"/>
    <w:rsid w:val="62D31995"/>
    <w:rsid w:val="63572A30"/>
    <w:rsid w:val="6515774B"/>
    <w:rsid w:val="67642CE4"/>
    <w:rsid w:val="68727968"/>
    <w:rsid w:val="698E123D"/>
    <w:rsid w:val="6A5E280F"/>
    <w:rsid w:val="6BAD0949"/>
    <w:rsid w:val="6BB71B46"/>
    <w:rsid w:val="6D5B6DAA"/>
    <w:rsid w:val="6DE54A49"/>
    <w:rsid w:val="6F2177A4"/>
    <w:rsid w:val="6F316A46"/>
    <w:rsid w:val="6FA21DDE"/>
    <w:rsid w:val="701F5F83"/>
    <w:rsid w:val="705636CC"/>
    <w:rsid w:val="70967F6C"/>
    <w:rsid w:val="71384501"/>
    <w:rsid w:val="71455B4E"/>
    <w:rsid w:val="715C1B92"/>
    <w:rsid w:val="71C11C1D"/>
    <w:rsid w:val="72734D90"/>
    <w:rsid w:val="72787EDD"/>
    <w:rsid w:val="73262C77"/>
    <w:rsid w:val="74C93A6E"/>
    <w:rsid w:val="74E80FB6"/>
    <w:rsid w:val="75383588"/>
    <w:rsid w:val="75707339"/>
    <w:rsid w:val="768A6ED2"/>
    <w:rsid w:val="79744DC3"/>
    <w:rsid w:val="79D86652"/>
    <w:rsid w:val="7A684DE1"/>
    <w:rsid w:val="7B45659B"/>
    <w:rsid w:val="7BDF6365"/>
    <w:rsid w:val="7D0F3C0D"/>
    <w:rsid w:val="7F6C3E3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5"/>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5"/>
    <w:qFormat/>
    <w:uiPriority w:val="99"/>
    <w:pPr>
      <w:spacing w:beforeLines="30"/>
    </w:pPr>
    <w:rPr>
      <w:rFonts w:ascii="仿宋_GB2312" w:eastAsia="仿宋_GB2312"/>
      <w:kern w:val="0"/>
      <w:sz w:val="30"/>
    </w:rPr>
  </w:style>
  <w:style w:type="paragraph" w:styleId="6">
    <w:name w:val="caption"/>
    <w:basedOn w:val="1"/>
    <w:next w:val="1"/>
    <w:semiHidden/>
    <w:unhideWhenUsed/>
    <w:qFormat/>
    <w:uiPriority w:val="35"/>
    <w:rPr>
      <w:rFonts w:ascii="Arial" w:hAnsi="Arial" w:eastAsia="黑体"/>
      <w:sz w:val="20"/>
    </w:rPr>
  </w:style>
  <w:style w:type="paragraph" w:styleId="7">
    <w:name w:val="Body Text Indent"/>
    <w:basedOn w:val="1"/>
    <w:qFormat/>
    <w:uiPriority w:val="0"/>
    <w:pPr>
      <w:spacing w:after="120"/>
      <w:ind w:left="200" w:leftChars="200"/>
    </w:pPr>
    <w:rPr>
      <w:rFonts w:ascii="仿宋_GB2312"/>
      <w:szCs w:val="32"/>
    </w:rPr>
  </w:style>
  <w:style w:type="paragraph" w:styleId="8">
    <w:name w:val="toc 3"/>
    <w:basedOn w:val="1"/>
    <w:next w:val="1"/>
    <w:unhideWhenUsed/>
    <w:qFormat/>
    <w:uiPriority w:val="39"/>
    <w:pPr>
      <w:tabs>
        <w:tab w:val="right" w:leader="dot" w:pos="8296"/>
      </w:tabs>
      <w:ind w:left="840" w:leftChars="400"/>
    </w:pPr>
  </w:style>
  <w:style w:type="paragraph" w:styleId="9">
    <w:name w:val="Plain Text"/>
    <w:basedOn w:val="1"/>
    <w:qFormat/>
    <w:uiPriority w:val="0"/>
    <w:rPr>
      <w:rFonts w:ascii="宋体" w:hAnsi="Courier New"/>
    </w:r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paragraph" w:styleId="15">
    <w:name w:val="Body Text First Indent 2"/>
    <w:basedOn w:val="7"/>
    <w:unhideWhenUsed/>
    <w:qFormat/>
    <w:uiPriority w:val="99"/>
    <w:pPr>
      <w:ind w:firstLine="420" w:firstLine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rPr>
  </w:style>
  <w:style w:type="character" w:customStyle="1" w:styleId="20">
    <w:name w:val="Header Char"/>
    <w:basedOn w:val="17"/>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7"/>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7"/>
    <w:semiHidden/>
    <w:qFormat/>
    <w:uiPriority w:val="99"/>
    <w:rPr>
      <w:rFonts w:ascii="Times New Roman" w:hAnsi="Times New Roman"/>
      <w:szCs w:val="24"/>
    </w:rPr>
  </w:style>
  <w:style w:type="character" w:customStyle="1" w:styleId="25">
    <w:name w:val="正文文本 Char"/>
    <w:link w:val="2"/>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7"/>
    <w:link w:val="3"/>
    <w:qFormat/>
    <w:uiPriority w:val="9"/>
    <w:rPr>
      <w:rFonts w:ascii="Times New Roman" w:hAnsi="Times New Roman"/>
      <w:b/>
      <w:bCs/>
      <w:kern w:val="44"/>
      <w:sz w:val="44"/>
      <w:szCs w:val="44"/>
    </w:rPr>
  </w:style>
  <w:style w:type="character" w:customStyle="1" w:styleId="29">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1">
    <w:name w:val="批注框文本 Char"/>
    <w:basedOn w:val="17"/>
    <w:link w:val="10"/>
    <w:semiHidden/>
    <w:qFormat/>
    <w:uiPriority w:val="99"/>
    <w:rPr>
      <w:rFonts w:ascii="Times New Roman" w:hAnsi="Times New Roman"/>
      <w:kern w:val="2"/>
      <w:sz w:val="18"/>
      <w:szCs w:val="18"/>
    </w:rPr>
  </w:style>
  <w:style w:type="character" w:customStyle="1" w:styleId="32">
    <w:name w:val="标题 3 Char"/>
    <w:basedOn w:val="17"/>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rPr>
  </w:style>
  <w:style w:type="character" w:customStyle="1" w:styleId="35">
    <w:name w:val="标题 1 字符"/>
    <w:basedOn w:val="17"/>
    <w:link w:val="3"/>
    <w:qFormat/>
    <w:uiPriority w:val="9"/>
    <w:rPr>
      <w:rFonts w:ascii="Times New Roman" w:hAnsi="Times New Roman"/>
      <w:b/>
      <w:bCs/>
      <w:kern w:val="44"/>
      <w:sz w:val="44"/>
      <w:szCs w:val="44"/>
    </w:rPr>
  </w:style>
  <w:style w:type="character" w:customStyle="1" w:styleId="36">
    <w:name w:val="标题 2 字符"/>
    <w:basedOn w:val="17"/>
    <w:link w:val="4"/>
    <w:qFormat/>
    <w:uiPriority w:val="9"/>
    <w:rPr>
      <w:rFonts w:asciiTheme="majorHAnsi" w:hAnsiTheme="majorHAnsi" w:eastAsiaTheme="majorEastAsia" w:cstheme="majorBidi"/>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chart" Target="charts/chart5.xml"/><Relationship Id="rId8" Type="http://schemas.openxmlformats.org/officeDocument/2006/relationships/chart" Target="charts/chart4.xml"/><Relationship Id="rId7" Type="http://schemas.openxmlformats.org/officeDocument/2006/relationships/chart" Target="charts/chart3.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chart" Target="charts/chart8.xml"/><Relationship Id="rId11" Type="http://schemas.openxmlformats.org/officeDocument/2006/relationships/chart" Target="charts/chart7.xml"/><Relationship Id="rId10" Type="http://schemas.openxmlformats.org/officeDocument/2006/relationships/chart" Target="charts/chart6.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Workbook8.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2022</a:t>
            </a:r>
            <a:r>
              <a:rPr altLang="en-US"/>
              <a:t>年度收、支决算总计变动情况</a:t>
            </a:r>
            <a:endParaRPr altLang="en-US"/>
          </a:p>
        </c:rich>
      </c:tx>
      <c:layout>
        <c:manualLayout>
          <c:xMode val="edge"/>
          <c:yMode val="edge"/>
          <c:x val="0.216475095785441"/>
          <c:y val="0.02"/>
        </c:manualLayout>
      </c:layout>
      <c:overlay val="0"/>
      <c:spPr>
        <a:noFill/>
        <a:ln>
          <a:noFill/>
        </a:ln>
        <a:effectLst/>
      </c:spPr>
    </c:title>
    <c:autoTitleDeleted val="0"/>
    <c:plotArea>
      <c:layout>
        <c:manualLayout>
          <c:layoutTarget val="inner"/>
          <c:xMode val="edge"/>
          <c:yMode val="edge"/>
          <c:x val="0.107757033920589"/>
          <c:y val="0.287244594326522"/>
          <c:w val="0.888298711543518"/>
          <c:h val="0.654909740130926"/>
        </c:manualLayout>
      </c:layout>
      <c:barChart>
        <c:barDir val="col"/>
        <c:grouping val="clustered"/>
        <c:varyColors val="0"/>
        <c:ser>
          <c:idx val="0"/>
          <c:order val="0"/>
          <c:tx>
            <c:strRef>
              <c:f>Sheet1!$B$1</c:f>
              <c:strCache>
                <c:ptCount val="1"/>
                <c:pt idx="0">
                  <c:v>2021年度</c:v>
                </c:pt>
              </c:strCache>
            </c:strRef>
          </c:tx>
          <c:spPr>
            <a:solidFill>
              <a:schemeClr val="accent1"/>
            </a:solidFill>
            <a:ln>
              <a:noFill/>
            </a:ln>
            <a:effectLst/>
          </c:spPr>
          <c:invertIfNegative val="0"/>
          <c:dLbls>
            <c:dLbl>
              <c:idx val="2"/>
              <c:layout>
                <c:manualLayout>
                  <c:x val="-0.0332056194125161"/>
                  <c:y val="-0.003333333333333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本年收入</c:v>
                </c:pt>
                <c:pt idx="1">
                  <c:v>年初结转结余</c:v>
                </c:pt>
                <c:pt idx="2">
                  <c:v>本年支出</c:v>
                </c:pt>
                <c:pt idx="3">
                  <c:v>年末结转结余</c:v>
                </c:pt>
              </c:strCache>
            </c:strRef>
          </c:cat>
          <c:val>
            <c:numRef>
              <c:f>Sheet1!$B$2:$B$5</c:f>
              <c:numCache>
                <c:formatCode>General</c:formatCode>
                <c:ptCount val="4"/>
                <c:pt idx="0">
                  <c:v>1563.84</c:v>
                </c:pt>
                <c:pt idx="1">
                  <c:v>137.63</c:v>
                </c:pt>
                <c:pt idx="2">
                  <c:v>1562.54</c:v>
                </c:pt>
                <c:pt idx="3">
                  <c:v>1.3</c:v>
                </c:pt>
              </c:numCache>
            </c:numRef>
          </c:val>
        </c:ser>
        <c:ser>
          <c:idx val="1"/>
          <c:order val="1"/>
          <c:tx>
            <c:strRef>
              <c:f>Sheet1!$C$1</c:f>
              <c:strCache>
                <c:ptCount val="1"/>
                <c:pt idx="0">
                  <c:v>2022年度</c:v>
                </c:pt>
              </c:strCache>
            </c:strRef>
          </c:tx>
          <c:spPr>
            <a:solidFill>
              <a:schemeClr val="accent2"/>
            </a:solidFill>
            <a:ln>
              <a:noFill/>
            </a:ln>
            <a:effectLst/>
          </c:spPr>
          <c:invertIfNegative val="0"/>
          <c:dLbls>
            <c:dLbl>
              <c:idx val="0"/>
              <c:layout>
                <c:manualLayout>
                  <c:x val="0.038314176245210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459770114942529"/>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本年收入</c:v>
                </c:pt>
                <c:pt idx="1">
                  <c:v>年初结转结余</c:v>
                </c:pt>
                <c:pt idx="2">
                  <c:v>本年支出</c:v>
                </c:pt>
                <c:pt idx="3">
                  <c:v>年末结转结余</c:v>
                </c:pt>
              </c:strCache>
            </c:strRef>
          </c:cat>
          <c:val>
            <c:numRef>
              <c:f>Sheet1!$C$2:$C$5</c:f>
              <c:numCache>
                <c:formatCode>General</c:formatCode>
                <c:ptCount val="4"/>
                <c:pt idx="0">
                  <c:v>1762.37</c:v>
                </c:pt>
                <c:pt idx="1">
                  <c:v>1.3</c:v>
                </c:pt>
                <c:pt idx="2">
                  <c:v>1762.37</c:v>
                </c:pt>
                <c:pt idx="3">
                  <c:v>0.32</c:v>
                </c:pt>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本年收入</c:v>
                </c:pt>
                <c:pt idx="1">
                  <c:v>年初结转结余</c:v>
                </c:pt>
                <c:pt idx="2">
                  <c:v>本年支出</c:v>
                </c:pt>
                <c:pt idx="3">
                  <c:v>年末结转结余</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138189824"/>
        <c:axId val="138304128"/>
      </c:barChart>
      <c:catAx>
        <c:axId val="138189824"/>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8304128"/>
        <c:crosses val="autoZero"/>
        <c:auto val="1"/>
        <c:lblAlgn val="ctr"/>
        <c:lblOffset val="100"/>
        <c:noMultiLvlLbl val="0"/>
      </c:catAx>
      <c:valAx>
        <c:axId val="13830412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8189824"/>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alpha val="35000"/>
      </a:schemeClr>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本年收入</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Sheet1!$A$2:$A$4</c:f>
              <c:strCache>
                <c:ptCount val="3"/>
                <c:pt idx="0">
                  <c:v>一般公共预算财政拨款收入</c:v>
                </c:pt>
                <c:pt idx="1">
                  <c:v>政府性基金预算财政拨款收入</c:v>
                </c:pt>
                <c:pt idx="2">
                  <c:v>其他收入</c:v>
                </c:pt>
              </c:strCache>
            </c:strRef>
          </c:cat>
          <c:val>
            <c:numRef>
              <c:f>Sheet1!$B$2:$B$4</c:f>
              <c:numCache>
                <c:formatCode>0.00%</c:formatCode>
                <c:ptCount val="3"/>
                <c:pt idx="0">
                  <c:v>0.875</c:v>
                </c:pt>
                <c:pt idx="1">
                  <c:v>0.125</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436000000000003"/>
          <c:y val="0.0456639295013018"/>
        </c:manualLayout>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manualLayout>
          <c:layoutTarget val="inner"/>
          <c:xMode val="edge"/>
          <c:yMode val="edge"/>
          <c:x val="0.361451851851852"/>
          <c:y val="0.243116883116883"/>
          <c:w val="0.277096296296296"/>
          <c:h val="0.54530612244898"/>
        </c:manualLayout>
      </c:layout>
      <c:pieChart>
        <c:varyColors val="1"/>
        <c:ser>
          <c:idx val="0"/>
          <c:order val="0"/>
          <c:tx>
            <c:strRef>
              <c:f>Sheet1!$B$1</c:f>
              <c:strCache>
                <c:ptCount val="1"/>
                <c:pt idx="0">
                  <c:v>本年支出</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基本支出</c:v>
                </c:pt>
                <c:pt idx="1">
                  <c:v>项目支出</c:v>
                </c:pt>
              </c:strCache>
            </c:strRef>
          </c:cat>
          <c:val>
            <c:numRef>
              <c:f>Sheet1!$B$2:$B$5</c:f>
              <c:numCache>
                <c:formatCode>0.00%</c:formatCode>
                <c:ptCount val="4"/>
                <c:pt idx="0">
                  <c:v>0.555</c:v>
                </c:pt>
                <c:pt idx="1">
                  <c:v>0.445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2022</a:t>
            </a:r>
            <a:r>
              <a:rPr altLang="en-US"/>
              <a:t>年财政拨款收、支决算总计变动情况</a:t>
            </a:r>
            <a:endParaRPr altLang="en-US"/>
          </a:p>
        </c:rich>
      </c:tx>
      <c:layout>
        <c:manualLayout>
          <c:xMode val="edge"/>
          <c:yMode val="edge"/>
          <c:x val="0.172222222222222"/>
          <c:y val="0.0246153846153846"/>
        </c:manualLayout>
      </c:layout>
      <c:overlay val="0"/>
      <c:spPr>
        <a:noFill/>
        <a:ln>
          <a:noFill/>
        </a:ln>
        <a:effectLst/>
      </c:spPr>
    </c:title>
    <c:autoTitleDeleted val="0"/>
    <c:plotArea>
      <c:layout>
        <c:manualLayout>
          <c:layoutTarget val="inner"/>
          <c:xMode val="edge"/>
          <c:yMode val="edge"/>
          <c:x val="0.148877205904817"/>
          <c:y val="0.136205128205128"/>
          <c:w val="0.827172176811232"/>
          <c:h val="0.342851282051282"/>
        </c:manualLayout>
      </c:layout>
      <c:barChart>
        <c:barDir val="col"/>
        <c:grouping val="clustered"/>
        <c:varyColors val="0"/>
        <c:ser>
          <c:idx val="0"/>
          <c:order val="0"/>
          <c:tx>
            <c:strRef>
              <c:f>Sheet1!$B$1</c:f>
              <c:strCache>
                <c:ptCount val="1"/>
                <c:pt idx="0">
                  <c:v>2021年度</c:v>
                </c:pt>
              </c:strCache>
            </c:strRef>
          </c:tx>
          <c:spPr>
            <a:solidFill>
              <a:schemeClr val="accent1"/>
            </a:solidFill>
            <a:ln>
              <a:noFill/>
            </a:ln>
            <a:effectLst/>
          </c:spPr>
          <c:invertIfNegative val="0"/>
          <c:dLbls>
            <c:dLbl>
              <c:idx val="0"/>
              <c:layout>
                <c:manualLayout>
                  <c:x val="-0.032"/>
                  <c:y val="-0.004089979550102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一般公共预算财政拨款收入</c:v>
                </c:pt>
                <c:pt idx="1">
                  <c:v>基本支出</c:v>
                </c:pt>
                <c:pt idx="2">
                  <c:v>项目支出</c:v>
                </c:pt>
                <c:pt idx="3">
                  <c:v>政府性基金预算财政拨款项目支出</c:v>
                </c:pt>
              </c:strCache>
            </c:strRef>
          </c:cat>
          <c:val>
            <c:numRef>
              <c:f>Sheet1!$B$2:$B$5</c:f>
              <c:numCache>
                <c:formatCode>General</c:formatCode>
                <c:ptCount val="4"/>
                <c:pt idx="0">
                  <c:v>1425.21</c:v>
                </c:pt>
                <c:pt idx="1">
                  <c:v>996.93</c:v>
                </c:pt>
                <c:pt idx="2">
                  <c:v>494.91</c:v>
                </c:pt>
                <c:pt idx="3">
                  <c:v>20</c:v>
                </c:pt>
              </c:numCache>
            </c:numRef>
          </c:val>
        </c:ser>
        <c:ser>
          <c:idx val="1"/>
          <c:order val="1"/>
          <c:tx>
            <c:strRef>
              <c:f>Sheet1!$C$1</c:f>
              <c:strCache>
                <c:ptCount val="1"/>
                <c:pt idx="0">
                  <c:v>2022年度</c:v>
                </c:pt>
              </c:strCache>
            </c:strRef>
          </c:tx>
          <c:spPr>
            <a:solidFill>
              <a:schemeClr val="accent2"/>
            </a:solidFill>
            <a:ln>
              <a:noFill/>
            </a:ln>
            <a:effectLst/>
          </c:spPr>
          <c:invertIfNegative val="0"/>
          <c:dLbls>
            <c:dLbl>
              <c:idx val="0"/>
              <c:layout>
                <c:manualLayout>
                  <c:x val="0.0351851851851852"/>
                  <c:y val="0.003076923076923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4"/>
                  <c:y val="-0.02044989775051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48"/>
                  <c:y val="-0.02862985685071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400000000000001"/>
                  <c:y val="-0.040899795501022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一般公共预算财政拨款收入</c:v>
                </c:pt>
                <c:pt idx="1">
                  <c:v>基本支出</c:v>
                </c:pt>
                <c:pt idx="2">
                  <c:v>项目支出</c:v>
                </c:pt>
                <c:pt idx="3">
                  <c:v>政府性基金预算财政拨款项目支出</c:v>
                </c:pt>
              </c:strCache>
            </c:strRef>
          </c:cat>
          <c:val>
            <c:numRef>
              <c:f>Sheet1!$C$2:$C$5</c:f>
              <c:numCache>
                <c:formatCode>General</c:formatCode>
                <c:ptCount val="4"/>
                <c:pt idx="0">
                  <c:v>1541.51</c:v>
                </c:pt>
                <c:pt idx="1">
                  <c:v>978.5</c:v>
                </c:pt>
                <c:pt idx="2">
                  <c:v>563.01</c:v>
                </c:pt>
                <c:pt idx="3">
                  <c:v>219.56</c:v>
                </c:pt>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一般公共预算财政拨款收入</c:v>
                </c:pt>
                <c:pt idx="1">
                  <c:v>基本支出</c:v>
                </c:pt>
                <c:pt idx="2">
                  <c:v>项目支出</c:v>
                </c:pt>
                <c:pt idx="3">
                  <c:v>政府性基金预算财政拨款项目支出</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140464512"/>
        <c:axId val="140466048"/>
      </c:barChart>
      <c:catAx>
        <c:axId val="140464512"/>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0466048"/>
        <c:crosses val="autoZero"/>
        <c:auto val="1"/>
        <c:lblAlgn val="ctr"/>
        <c:lblOffset val="100"/>
        <c:noMultiLvlLbl val="0"/>
      </c:catAx>
      <c:valAx>
        <c:axId val="14046604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046451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00" b="0" i="0" u="none" strike="noStrike" kern="1200" spc="0" baseline="0">
                <a:solidFill>
                  <a:schemeClr val="tx1">
                    <a:lumMod val="65000"/>
                    <a:lumOff val="35000"/>
                  </a:schemeClr>
                </a:solidFill>
                <a:latin typeface="+mn-lt"/>
                <a:ea typeface="+mn-ea"/>
                <a:cs typeface="+mn-cs"/>
              </a:defRPr>
            </a:pPr>
            <a:r>
              <a:rPr sz="900"/>
              <a:t>一般公共预算财政拨款支出决算变动表</a:t>
            </a:r>
            <a:endParaRPr sz="900"/>
          </a:p>
        </c:rich>
      </c:tx>
      <c:layout/>
      <c:overlay val="0"/>
      <c:spPr>
        <a:noFill/>
        <a:ln>
          <a:noFill/>
        </a:ln>
        <a:effectLst/>
      </c:spPr>
    </c:title>
    <c:autoTitleDeleted val="0"/>
    <c:plotArea>
      <c:layout>
        <c:manualLayout>
          <c:layoutTarget val="inner"/>
          <c:xMode val="edge"/>
          <c:yMode val="edge"/>
          <c:x val="0.127725118483412"/>
          <c:y val="0.277574141952682"/>
          <c:w val="0.802031144211239"/>
          <c:h val="0.505298233922026"/>
        </c:manualLayout>
      </c:layout>
      <c:barChart>
        <c:barDir val="col"/>
        <c:grouping val="clustered"/>
        <c:varyColors val="0"/>
        <c:ser>
          <c:idx val="0"/>
          <c:order val="0"/>
          <c:tx>
            <c:strRef>
              <c:f>Sheet1!$B$1</c:f>
              <c:strCache>
                <c:ptCount val="1"/>
                <c:pt idx="0">
                  <c:v>2021年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7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基本支出</c:v>
                </c:pt>
                <c:pt idx="1">
                  <c:v>项目支出</c:v>
                </c:pt>
              </c:strCache>
            </c:strRef>
          </c:cat>
          <c:val>
            <c:numRef>
              <c:f>Sheet1!$B$2:$B$5</c:f>
              <c:numCache>
                <c:formatCode>General</c:formatCode>
                <c:ptCount val="4"/>
                <c:pt idx="0">
                  <c:v>996.93</c:v>
                </c:pt>
                <c:pt idx="1">
                  <c:v>494.91</c:v>
                </c:pt>
              </c:numCache>
            </c:numRef>
          </c:val>
        </c:ser>
        <c:ser>
          <c:idx val="1"/>
          <c:order val="1"/>
          <c:tx>
            <c:strRef>
              <c:f>Sheet1!$C$1</c:f>
              <c:strCache>
                <c:ptCount val="1"/>
                <c:pt idx="0">
                  <c:v>2022年</c:v>
                </c:pt>
              </c:strCache>
            </c:strRef>
          </c:tx>
          <c:spPr>
            <a:solidFill>
              <a:schemeClr val="accent2"/>
            </a:solidFill>
            <a:ln>
              <a:noFill/>
            </a:ln>
            <a:effectLst/>
          </c:spPr>
          <c:invertIfNegative val="0"/>
          <c:dLbls>
            <c:dLbl>
              <c:idx val="0"/>
              <c:layout>
                <c:manualLayout>
                  <c:x val="0.04"/>
                  <c:y val="-0.023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5"/>
                  <c:y val="-0.03333333333333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7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基本支出</c:v>
                </c:pt>
                <c:pt idx="1">
                  <c:v>项目支出</c:v>
                </c:pt>
              </c:strCache>
            </c:strRef>
          </c:cat>
          <c:val>
            <c:numRef>
              <c:f>Sheet1!$C$2:$C$5</c:f>
              <c:numCache>
                <c:formatCode>General</c:formatCode>
                <c:ptCount val="4"/>
                <c:pt idx="0">
                  <c:v>978.5</c:v>
                </c:pt>
                <c:pt idx="1">
                  <c:v>563.01</c:v>
                </c:pt>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基本支出</c:v>
                </c:pt>
                <c:pt idx="1">
                  <c:v>项目支出</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160395264"/>
        <c:axId val="160396800"/>
      </c:barChart>
      <c:catAx>
        <c:axId val="160395264"/>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750" b="0" i="0" u="none" strike="noStrike" kern="1200" baseline="0">
                <a:solidFill>
                  <a:schemeClr val="tx1">
                    <a:lumMod val="65000"/>
                    <a:lumOff val="35000"/>
                  </a:schemeClr>
                </a:solidFill>
                <a:latin typeface="+mn-lt"/>
                <a:ea typeface="+mn-ea"/>
                <a:cs typeface="+mn-cs"/>
              </a:defRPr>
            </a:pPr>
          </a:p>
        </c:txPr>
        <c:crossAx val="160396800"/>
        <c:crosses val="autoZero"/>
        <c:auto val="1"/>
        <c:lblAlgn val="ctr"/>
        <c:lblOffset val="100"/>
        <c:noMultiLvlLbl val="0"/>
      </c:catAx>
      <c:valAx>
        <c:axId val="16039680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750" b="0" i="0" u="none" strike="noStrike" kern="1200" baseline="0">
                <a:solidFill>
                  <a:schemeClr val="tx1">
                    <a:lumMod val="65000"/>
                    <a:lumOff val="35000"/>
                  </a:schemeClr>
                </a:solidFill>
                <a:latin typeface="+mn-lt"/>
                <a:ea typeface="+mn-ea"/>
                <a:cs typeface="+mn-cs"/>
              </a:defRPr>
            </a:pPr>
          </a:p>
        </c:txPr>
        <c:crossAx val="160395264"/>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75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75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750" b="0" i="0" u="none" strike="noStrike" kern="1200" baseline="0">
                <a:solidFill>
                  <a:schemeClr val="tx1">
                    <a:lumMod val="65000"/>
                    <a:lumOff val="35000"/>
                  </a:schemeClr>
                </a:solidFill>
                <a:latin typeface="+mn-lt"/>
                <a:ea typeface="+mn-ea"/>
                <a:cs typeface="+mn-cs"/>
              </a:defRPr>
            </a:pPr>
          </a:p>
        </c:txPr>
      </c:legendEntry>
      <c:layout>
        <c:manualLayout>
          <c:xMode val="edge"/>
          <c:yMode val="edge"/>
          <c:x val="0.47137243358599"/>
          <c:y val="0.894591090021032"/>
          <c:w val="0.251647459955356"/>
          <c:h val="0.0745038327162747"/>
        </c:manualLayout>
      </c:layout>
      <c:overlay val="0"/>
      <c:spPr>
        <a:noFill/>
        <a:ln>
          <a:noFill/>
        </a:ln>
        <a:effectLst/>
      </c:spPr>
      <c:txPr>
        <a:bodyPr rot="0" spcFirstLastPara="0" vertOverflow="ellipsis" vert="horz" wrap="square" anchor="ctr" anchorCtr="1"/>
        <a:lstStyle/>
        <a:p>
          <a:pPr>
            <a:defRPr lang="zh-CN" sz="75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sz="750"/>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25699192044748"/>
          <c:y val="0.0666128381106177"/>
        </c:manualLayout>
      </c:layout>
      <c:overlay val="0"/>
      <c:txPr>
        <a:bodyPr rot="0" spcFirstLastPara="0" vertOverflow="ellipsis" vert="horz" wrap="square" anchor="ctr" anchorCtr="1"/>
        <a:lstStyle/>
        <a:p>
          <a:pPr>
            <a:defRPr lang="zh-CN" sz="9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explosion val="25"/>
          <c:dPt>
            <c:idx val="0"/>
            <c:bubble3D val="0"/>
          </c:dPt>
          <c:dPt>
            <c:idx val="1"/>
            <c:bubble3D val="0"/>
          </c:dPt>
          <c:dPt>
            <c:idx val="2"/>
            <c:bubble3D val="0"/>
          </c:dPt>
          <c:dPt>
            <c:idx val="3"/>
            <c:bubble3D val="0"/>
          </c:dPt>
          <c:dLbls>
            <c:dLbl>
              <c:idx val="3"/>
              <c:layout>
                <c:manualLayout>
                  <c:x val="0.0598535271699239"/>
                  <c:y val="0.0122986401240768"/>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75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0.00%</c:formatCode>
                <c:ptCount val="4"/>
                <c:pt idx="0">
                  <c:v>0.852</c:v>
                </c:pt>
                <c:pt idx="1">
                  <c:v>0.071</c:v>
                </c:pt>
                <c:pt idx="2">
                  <c:v>0.032</c:v>
                </c:pt>
                <c:pt idx="3">
                  <c:v>0.045</c:v>
                </c:pt>
              </c:numCache>
            </c:numRef>
          </c:val>
        </c:ser>
        <c:dLbls>
          <c:showLegendKey val="0"/>
          <c:showVal val="1"/>
          <c:showCatName val="0"/>
          <c:showSerName val="0"/>
          <c:showPercent val="0"/>
          <c:showBubbleSize val="0"/>
          <c:showLeaderLines val="1"/>
        </c:dLbls>
        <c:firstSliceAng val="15"/>
      </c:pieChart>
      <c:spPr>
        <a:noFill/>
        <a:ln>
          <a:noFill/>
        </a:ln>
        <a:effectLst/>
      </c:spPr>
    </c:plotArea>
    <c:legend>
      <c:legendPos val="r"/>
      <c:legendEntry>
        <c:idx val="0"/>
        <c:txPr>
          <a:bodyPr rot="0" spcFirstLastPara="0" vertOverflow="ellipsis" vert="horz" wrap="square" anchor="ctr" anchorCtr="1"/>
          <a:lstStyle/>
          <a:p>
            <a:pPr>
              <a:defRPr lang="zh-CN" sz="75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75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75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1"/>
          <a:lstStyle/>
          <a:p>
            <a:pPr>
              <a:defRPr lang="zh-CN" sz="750" b="0" i="0" u="none" strike="noStrike" kern="1200" baseline="0">
                <a:solidFill>
                  <a:schemeClr val="tx1"/>
                </a:solidFill>
                <a:latin typeface="+mn-lt"/>
                <a:ea typeface="+mn-ea"/>
                <a:cs typeface="+mn-cs"/>
              </a:defRPr>
            </a:pPr>
          </a:p>
        </c:txPr>
      </c:legendEntry>
      <c:layout/>
      <c:overlay val="0"/>
      <c:txPr>
        <a:bodyPr rot="0" spcFirstLastPara="0" vertOverflow="ellipsis" vert="horz" wrap="square" anchor="ctr" anchorCtr="1"/>
        <a:lstStyle/>
        <a:p>
          <a:pPr>
            <a:defRPr lang="zh-CN" sz="750" b="0" i="0" u="none" strike="noStrike" kern="1200" baseline="0">
              <a:solidFill>
                <a:schemeClr val="tx1"/>
              </a:solidFill>
              <a:latin typeface="+mn-lt"/>
              <a:ea typeface="+mn-ea"/>
              <a:cs typeface="+mn-cs"/>
            </a:defRPr>
          </a:pPr>
        </a:p>
      </c:txPr>
    </c:legend>
    <c:plotVisOnly val="1"/>
    <c:dispBlanksAs val="zero"/>
    <c:showDLblsOverMax val="0"/>
  </c:chart>
  <c:txPr>
    <a:bodyPr/>
    <a:lstStyle/>
    <a:p>
      <a:pPr>
        <a:defRPr lang="zh-CN" sz="750"/>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78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“三公”经费财政拨款支出结构</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1"/>
              <c:layout>
                <c:manualLayout>
                  <c:x val="0.178124212598426"/>
                  <c:y val="0.0386616797900263"/>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474990157480315"/>
                  <c:y val="-0.0030052493438320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因公出国（境）费用</c:v>
                </c:pt>
                <c:pt idx="1">
                  <c:v>公务用车购置及运行费</c:v>
                </c:pt>
                <c:pt idx="2">
                  <c:v>公务接待费</c:v>
                </c:pt>
              </c:strCache>
            </c:strRef>
          </c:cat>
          <c:val>
            <c:numRef>
              <c:f>Sheet1!$B$2:$B$5</c:f>
              <c:numCache>
                <c:formatCode>0.00%</c:formatCode>
                <c:ptCount val="4"/>
                <c:pt idx="0">
                  <c:v>0</c:v>
                </c:pt>
                <c:pt idx="1">
                  <c:v>0</c:v>
                </c:pt>
                <c:pt idx="2">
                  <c:v>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65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65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65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650" b="0" i="0" u="none" strike="noStrike" kern="1200" baseline="0">
                <a:solidFill>
                  <a:schemeClr val="tx1">
                    <a:lumMod val="65000"/>
                    <a:lumOff val="35000"/>
                  </a:schemeClr>
                </a:solidFill>
                <a:latin typeface="+mn-lt"/>
                <a:ea typeface="+mn-ea"/>
                <a:cs typeface="+mn-cs"/>
              </a:defRPr>
            </a:pPr>
          </a:p>
        </c:txPr>
      </c:legendEntry>
      <c:layout>
        <c:manualLayout>
          <c:xMode val="edge"/>
          <c:yMode val="edge"/>
          <c:x val="0.0966302367941712"/>
          <c:y val="0.718499789296249"/>
        </c:manualLayout>
      </c:layout>
      <c:overlay val="0"/>
      <c:spPr>
        <a:noFill/>
        <a:ln>
          <a:noFill/>
        </a:ln>
        <a:effectLst/>
      </c:spPr>
      <c:txPr>
        <a:bodyPr rot="0" spcFirstLastPara="0" vertOverflow="ellipsis" vert="horz" wrap="square" anchor="ctr" anchorCtr="1"/>
        <a:lstStyle/>
        <a:p>
          <a:pPr>
            <a:defRPr lang="zh-CN" sz="65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sz="650"/>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14C0AA-9F18-41DA-84AE-F70D2B1D10BE}">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33</Pages>
  <Words>2450</Words>
  <Characters>13966</Characters>
  <Lines>116</Lines>
  <Paragraphs>32</Paragraphs>
  <TotalTime>26</TotalTime>
  <ScaleCrop>false</ScaleCrop>
  <LinksUpToDate>false</LinksUpToDate>
  <CharactersWithSpaces>16384</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2020-08-04T01:49:00Z</dcterms:created>
  <dc:creator>曹颖</dc:creator>
  <cp:lastModifiedBy>李长秋</cp:lastModifiedBy>
  <cp:lastPrinted>2022-09-27T10:37:00Z</cp:lastPrinted>
  <dcterms:modified xsi:type="dcterms:W3CDTF">2026-10-12T10:04:23Z</dcterms:modified>
  <dc:title>四川省***</dc:title>
  <cp:revision>295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FEB5D08F82CC49FBB6A7B9446F0D541B</vt:lpwstr>
  </property>
</Properties>
</file>