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eastAsia="方正小标宋简体"/>
          <w:bCs/>
          <w:sz w:val="44"/>
          <w:szCs w:val="44"/>
        </w:rPr>
      </w:pPr>
      <w:r>
        <w:rPr>
          <w:rFonts w:eastAsia="方正小标宋简体"/>
          <w:bCs/>
          <w:sz w:val="44"/>
          <w:szCs w:val="44"/>
        </w:rPr>
        <w:t>攀枝花市仁和区人民政府</w:t>
      </w:r>
    </w:p>
    <w:p>
      <w:pPr>
        <w:spacing w:line="760" w:lineRule="exact"/>
        <w:jc w:val="center"/>
        <w:rPr>
          <w:rFonts w:eastAsia="方正小标宋简体"/>
          <w:bCs/>
          <w:sz w:val="44"/>
          <w:szCs w:val="44"/>
        </w:rPr>
      </w:pPr>
      <w:r>
        <w:rPr>
          <w:rFonts w:hint="eastAsia" w:eastAsia="方正小标宋简体"/>
          <w:bCs/>
          <w:sz w:val="44"/>
          <w:szCs w:val="44"/>
        </w:rPr>
        <w:t>关于</w:t>
      </w:r>
      <w:r>
        <w:rPr>
          <w:rFonts w:eastAsia="方正小标宋简体"/>
          <w:bCs/>
          <w:sz w:val="44"/>
          <w:szCs w:val="44"/>
        </w:rPr>
        <w:t>仁和区2020年财政决算和2021年1至</w:t>
      </w:r>
    </w:p>
    <w:p>
      <w:pPr>
        <w:spacing w:line="760" w:lineRule="exact"/>
        <w:jc w:val="center"/>
        <w:rPr>
          <w:rFonts w:eastAsia="方正小标宋简体"/>
          <w:bCs/>
          <w:sz w:val="44"/>
          <w:szCs w:val="44"/>
        </w:rPr>
      </w:pPr>
      <w:r>
        <w:rPr>
          <w:rFonts w:eastAsia="方正小标宋简体"/>
          <w:bCs/>
          <w:sz w:val="44"/>
          <w:szCs w:val="44"/>
        </w:rPr>
        <w:t>6月预算执行情况的报告</w:t>
      </w:r>
    </w:p>
    <w:p>
      <w:pPr>
        <w:spacing w:line="580" w:lineRule="exact"/>
        <w:ind w:firstLine="16" w:firstLineChars="6"/>
        <w:jc w:val="center"/>
        <w:rPr>
          <w:rFonts w:eastAsia="楷体_GB2312"/>
          <w:spacing w:val="-14"/>
          <w:w w:val="90"/>
          <w:sz w:val="33"/>
          <w:szCs w:val="33"/>
        </w:rPr>
      </w:pPr>
      <w:r>
        <w:rPr>
          <w:rFonts w:eastAsia="楷体_GB2312"/>
          <w:spacing w:val="-14"/>
          <w:w w:val="90"/>
          <w:sz w:val="33"/>
          <w:szCs w:val="33"/>
        </w:rPr>
        <w:t>——2021年8月27日在区十二届人大常委会第五十次会议上</w:t>
      </w:r>
    </w:p>
    <w:p>
      <w:pPr>
        <w:pStyle w:val="9"/>
        <w:ind w:left="0" w:leftChars="0" w:firstLine="0" w:firstLineChars="0"/>
      </w:pPr>
    </w:p>
    <w:p>
      <w:pPr>
        <w:ind w:firstLine="16" w:firstLineChars="5"/>
        <w:rPr>
          <w:rFonts w:eastAsia="仿宋_GB2312"/>
          <w:kern w:val="0"/>
          <w:sz w:val="32"/>
          <w:szCs w:val="32"/>
        </w:rPr>
      </w:pPr>
      <w:r>
        <w:rPr>
          <w:rFonts w:eastAsia="仿宋_GB2312"/>
          <w:kern w:val="0"/>
          <w:sz w:val="32"/>
          <w:szCs w:val="32"/>
        </w:rPr>
        <w:t>区人大常委会：</w:t>
      </w:r>
    </w:p>
    <w:p>
      <w:pPr>
        <w:ind w:firstLine="640" w:firstLineChars="200"/>
        <w:rPr>
          <w:rFonts w:eastAsia="仿宋_GB2312"/>
          <w:kern w:val="0"/>
          <w:sz w:val="32"/>
          <w:szCs w:val="32"/>
        </w:rPr>
      </w:pPr>
      <w:r>
        <w:rPr>
          <w:rFonts w:eastAsia="仿宋_GB2312"/>
          <w:kern w:val="0"/>
          <w:sz w:val="32"/>
          <w:szCs w:val="32"/>
        </w:rPr>
        <w:t>根据工作安排，现将仁和区2020年财政决算和2021年1至6月预算执行情况的报告如下。</w:t>
      </w:r>
    </w:p>
    <w:p>
      <w:pPr>
        <w:pStyle w:val="23"/>
        <w:ind w:firstLine="640"/>
        <w:jc w:val="both"/>
        <w:rPr>
          <w:rFonts w:ascii="Times New Roman" w:hAnsi="Times New Roman" w:eastAsia="黑体" w:cs="Times New Roman"/>
          <w:sz w:val="32"/>
          <w:szCs w:val="32"/>
        </w:rPr>
      </w:pPr>
      <w:r>
        <w:rPr>
          <w:rFonts w:ascii="Times New Roman" w:hAnsi="黑体" w:eastAsia="黑体" w:cs="Times New Roman"/>
          <w:sz w:val="32"/>
          <w:szCs w:val="32"/>
        </w:rPr>
        <w:t>一、</w:t>
      </w:r>
      <w:r>
        <w:rPr>
          <w:rFonts w:ascii="Times New Roman" w:hAnsi="Times New Roman" w:eastAsia="黑体" w:cs="Times New Roman"/>
          <w:sz w:val="32"/>
          <w:szCs w:val="32"/>
        </w:rPr>
        <w:t>2020</w:t>
      </w:r>
      <w:r>
        <w:rPr>
          <w:rFonts w:ascii="Times New Roman" w:hAnsi="黑体" w:eastAsia="黑体" w:cs="Times New Roman"/>
          <w:sz w:val="32"/>
          <w:szCs w:val="32"/>
        </w:rPr>
        <w:t>年仁和区财政决算情况</w:t>
      </w:r>
    </w:p>
    <w:p>
      <w:pPr>
        <w:ind w:firstLine="640"/>
        <w:rPr>
          <w:rFonts w:eastAsia="仿宋_GB2312"/>
          <w:bCs/>
          <w:sz w:val="32"/>
          <w:szCs w:val="32"/>
        </w:rPr>
      </w:pPr>
      <w:r>
        <w:rPr>
          <w:rFonts w:eastAsia="仿宋_GB2312"/>
          <w:bCs/>
          <w:sz w:val="32"/>
          <w:szCs w:val="32"/>
        </w:rPr>
        <w:t>2020年是全面建成小康社会和“十三五”规划收官之年，在区委的坚强领导下，在区人大和区政协的监督指导下，区政府以习近平新时代中国特色社会主义思想为指导，全面贯彻落实区十一届五次党代会部署，坚持稳中求进工作总基调，着力抓好增收节支，全力打好“四大会战”，实施“三项行动”，在重点领域和薄弱环节加大投资力度，推进重点财政资金和重点项目落地生效，推动经济平稳运行。</w:t>
      </w:r>
    </w:p>
    <w:p>
      <w:pPr>
        <w:ind w:firstLine="643"/>
        <w:rPr>
          <w:rFonts w:eastAsia="楷体_GB2312"/>
          <w:b/>
          <w:bCs/>
          <w:sz w:val="32"/>
          <w:szCs w:val="32"/>
        </w:rPr>
      </w:pPr>
      <w:r>
        <w:rPr>
          <w:rFonts w:eastAsia="楷体_GB2312"/>
          <w:b/>
          <w:bCs/>
          <w:sz w:val="32"/>
          <w:szCs w:val="32"/>
        </w:rPr>
        <w:t>（一）一般公共预算收支决算情况。</w:t>
      </w:r>
    </w:p>
    <w:p>
      <w:pPr>
        <w:ind w:firstLine="627" w:firstLineChars="196"/>
        <w:rPr>
          <w:rFonts w:eastAsia="仿宋_GB2312"/>
          <w:bCs/>
          <w:sz w:val="32"/>
          <w:szCs w:val="32"/>
        </w:rPr>
      </w:pPr>
      <w:r>
        <w:rPr>
          <w:rFonts w:eastAsia="仿宋_GB2312"/>
          <w:bCs/>
          <w:sz w:val="32"/>
          <w:szCs w:val="32"/>
        </w:rPr>
        <w:t>2020年，全区一般公共预算收入完成104,932万元，占预算的103.69%，同比增收9,716万元，增长10.2%；加上级补助收入98,095万元、地方政府一般债券转贷收入30,863万元、上年结转6,454万元、调入预算稳定调节基金216万元、调入资金36,107万元，收入总计276,667万元。一般公共预算支出实现225,088万元，占调整预算的98.39%，同比增加46,711万元，增长26.19%；加上解支出10,094万元、一般债务还本支出34,070万元、安排预算稳定调节基金3,732万元，支出总计272,984万元。总收入减去总支出后，年终结余3,683万元（其中：专项结余3,683万元），实现了财政收支滚动平衡的目标。</w:t>
      </w:r>
    </w:p>
    <w:p>
      <w:pPr>
        <w:ind w:firstLine="640"/>
        <w:rPr>
          <w:rFonts w:eastAsia="仿宋_GB2312"/>
          <w:bCs/>
          <w:sz w:val="32"/>
          <w:szCs w:val="32"/>
        </w:rPr>
      </w:pPr>
      <w:r>
        <w:rPr>
          <w:rFonts w:eastAsia="仿宋_GB2312"/>
          <w:bCs/>
          <w:sz w:val="32"/>
          <w:szCs w:val="32"/>
        </w:rPr>
        <w:t>与向</w:t>
      </w:r>
      <w:bookmarkStart w:id="0" w:name="_GoBack"/>
      <w:bookmarkEnd w:id="0"/>
      <w:r>
        <w:rPr>
          <w:rFonts w:eastAsia="仿宋_GB2312"/>
          <w:bCs/>
          <w:sz w:val="32"/>
          <w:szCs w:val="32"/>
        </w:rPr>
        <w:t>区第十二届人民代表大会第八次会议报告的预算执行数相比，上级补助收入增加166万元，主要是增加结算补助收入166万元（其中：增加农商行企业所得税分成结算收入99万元、成昆铁路复线攀枝花段建设期间收入划转结算收入19万元、选调生到村任职中央财政补助资金28万元、民族地区送温暖慰问金20万元）；上解支出减少491万元，主要是减少专项上解491万元（其中：减少“三代”手续费专项上解181万元、企业养老保险基金缺口上解294万元、路灯事权下划后相关费用上解5万元、医疗卫生领域事权和支出责任划分（城乡居民医保补助）地方负担部分上解11万元）；收支品迭后，一般公共预算年终滚存结余增加657万元。</w:t>
      </w:r>
    </w:p>
    <w:p>
      <w:pPr>
        <w:ind w:firstLine="643"/>
        <w:rPr>
          <w:rFonts w:eastAsia="仿宋_GB2312"/>
          <w:b/>
          <w:bCs/>
          <w:sz w:val="32"/>
          <w:szCs w:val="32"/>
        </w:rPr>
      </w:pPr>
      <w:r>
        <w:rPr>
          <w:rFonts w:eastAsia="楷体_GB2312"/>
          <w:b/>
          <w:bCs/>
          <w:sz w:val="32"/>
          <w:szCs w:val="32"/>
        </w:rPr>
        <w:t>（二）政府性基金预算收支决算情况。</w:t>
      </w:r>
    </w:p>
    <w:p>
      <w:pPr>
        <w:ind w:firstLine="640"/>
        <w:rPr>
          <w:rFonts w:eastAsia="仿宋_GB2312"/>
          <w:bCs/>
          <w:sz w:val="32"/>
          <w:szCs w:val="32"/>
        </w:rPr>
      </w:pPr>
      <w:r>
        <w:rPr>
          <w:rFonts w:eastAsia="仿宋_GB2312"/>
          <w:bCs/>
          <w:sz w:val="32"/>
          <w:szCs w:val="32"/>
        </w:rPr>
        <w:t>2020年，全区政府性基金预算收入完成69,432万元，占调整预算的103.63%，同比减收37,607万元，下降35.13%。加上级补助收入15,977万元、地方政府专项债务转贷收入30,812万元、上年结余241万元、调入资金13,494万元，收入总计129,956万元。政府性基金预算支出实现112,892万元，占调整预算的97.75%，同比减支68,186万元，下降37.66％。加地方政府专项债务还本支出14,462万元，支出总计127,354万元。总收入减去总支出后，年终滚存结余2,602万元，其中：专项结余2,602万元，实现了收支滚动平衡目标。</w:t>
      </w:r>
    </w:p>
    <w:p>
      <w:pPr>
        <w:ind w:firstLine="640"/>
        <w:rPr>
          <w:rFonts w:eastAsia="仿宋_GB2312"/>
          <w:bCs/>
          <w:sz w:val="32"/>
          <w:szCs w:val="32"/>
        </w:rPr>
      </w:pPr>
      <w:r>
        <w:rPr>
          <w:rFonts w:eastAsia="仿宋_GB2312"/>
          <w:bCs/>
          <w:sz w:val="32"/>
          <w:szCs w:val="32"/>
        </w:rPr>
        <w:t>与向区第十二届人民代表大会第八次会议上报告的预算执行数一致。</w:t>
      </w:r>
    </w:p>
    <w:p>
      <w:pPr>
        <w:ind w:firstLine="643"/>
        <w:rPr>
          <w:rFonts w:eastAsia="楷体_GB2312"/>
          <w:b/>
          <w:bCs/>
          <w:sz w:val="32"/>
          <w:szCs w:val="32"/>
        </w:rPr>
      </w:pPr>
      <w:r>
        <w:rPr>
          <w:rFonts w:eastAsia="楷体_GB2312"/>
          <w:b/>
          <w:bCs/>
          <w:sz w:val="32"/>
          <w:szCs w:val="32"/>
        </w:rPr>
        <w:t>（三）国有资本经营预算收支决算情况。</w:t>
      </w:r>
    </w:p>
    <w:p>
      <w:pPr>
        <w:ind w:firstLine="640"/>
        <w:rPr>
          <w:rFonts w:eastAsia="仿宋_GB2312"/>
          <w:bCs/>
          <w:sz w:val="32"/>
          <w:szCs w:val="32"/>
        </w:rPr>
      </w:pPr>
      <w:r>
        <w:rPr>
          <w:rFonts w:eastAsia="仿宋_GB2312"/>
          <w:bCs/>
          <w:sz w:val="32"/>
          <w:szCs w:val="32"/>
        </w:rPr>
        <w:t>全区国有资本经营预算收入实现1,000万元，完成预算数的100%，调出资金1,000万元，实现了收支滚动平衡目标。</w:t>
      </w:r>
    </w:p>
    <w:p>
      <w:pPr>
        <w:ind w:firstLine="640"/>
        <w:rPr>
          <w:rFonts w:eastAsia="仿宋_GB2312"/>
          <w:bCs/>
          <w:sz w:val="32"/>
          <w:szCs w:val="32"/>
        </w:rPr>
      </w:pPr>
      <w:r>
        <w:rPr>
          <w:rFonts w:eastAsia="仿宋_GB2312"/>
          <w:bCs/>
          <w:sz w:val="32"/>
          <w:szCs w:val="32"/>
        </w:rPr>
        <w:t>与向区第十二届人民代表大会第八次会议上报告的预算执行数一致。</w:t>
      </w:r>
    </w:p>
    <w:p>
      <w:pPr>
        <w:ind w:firstLine="643"/>
        <w:rPr>
          <w:rFonts w:eastAsia="楷体_GB2312"/>
          <w:b/>
          <w:bCs/>
          <w:sz w:val="32"/>
          <w:szCs w:val="32"/>
        </w:rPr>
      </w:pPr>
      <w:r>
        <w:rPr>
          <w:rFonts w:eastAsia="楷体_GB2312"/>
          <w:b/>
          <w:bCs/>
          <w:sz w:val="32"/>
          <w:szCs w:val="32"/>
        </w:rPr>
        <w:t>（四）地方政府债务情况。</w:t>
      </w:r>
    </w:p>
    <w:p>
      <w:pPr>
        <w:ind w:firstLine="640"/>
        <w:rPr>
          <w:rFonts w:eastAsia="仿宋_GB2312"/>
          <w:bCs/>
          <w:sz w:val="32"/>
          <w:szCs w:val="32"/>
        </w:rPr>
      </w:pPr>
      <w:r>
        <w:rPr>
          <w:rFonts w:eastAsia="仿宋_GB2312"/>
          <w:bCs/>
          <w:sz w:val="32"/>
          <w:szCs w:val="32"/>
        </w:rPr>
        <w:t>2020年，地方政府债券转贷收入61,675万元，其中：再融资债券37,275万元，新增债券24,400万元。</w:t>
      </w:r>
    </w:p>
    <w:p>
      <w:pPr>
        <w:ind w:firstLine="640"/>
        <w:rPr>
          <w:rFonts w:eastAsia="仿宋_GB2312"/>
          <w:bCs/>
          <w:sz w:val="32"/>
          <w:szCs w:val="32"/>
        </w:rPr>
      </w:pPr>
      <w:r>
        <w:rPr>
          <w:rFonts w:eastAsia="仿宋_GB2312"/>
          <w:bCs/>
          <w:sz w:val="32"/>
          <w:szCs w:val="32"/>
        </w:rPr>
        <w:t>再融资债券37,275万元全部用于偿还2020年到期的地方政府债券本金；新增债券24,400万元，安排用于南山园区标准化厂房建设10,000万元，环境综合整治2,000万元，大竹河水库工程项目5,000万元，仁和医院二期建设3,000万元，仁和区公共停车场建设4,200万元，应急救援支出200万元。</w:t>
      </w:r>
    </w:p>
    <w:p>
      <w:pPr>
        <w:ind w:firstLine="640"/>
        <w:rPr>
          <w:rFonts w:eastAsia="仿宋_GB2312"/>
          <w:bCs/>
          <w:sz w:val="32"/>
          <w:szCs w:val="32"/>
        </w:rPr>
      </w:pPr>
      <w:r>
        <w:rPr>
          <w:rFonts w:eastAsia="仿宋_GB2312"/>
          <w:bCs/>
          <w:sz w:val="32"/>
          <w:szCs w:val="32"/>
        </w:rPr>
        <w:t>2020年仁和区支付政府债务系统本息61,628万元，其中：一般债券还本支出34,070万元，付息支出5,666万元；专项债券还本支出14,462万元，付息支出7,430万元。</w:t>
      </w:r>
    </w:p>
    <w:p>
      <w:pPr>
        <w:ind w:firstLine="640"/>
        <w:rPr>
          <w:rFonts w:eastAsia="仿宋_GB2312"/>
          <w:bCs/>
          <w:sz w:val="32"/>
          <w:szCs w:val="32"/>
        </w:rPr>
      </w:pPr>
      <w:r>
        <w:rPr>
          <w:rFonts w:eastAsia="仿宋_GB2312"/>
          <w:bCs/>
          <w:sz w:val="32"/>
          <w:szCs w:val="32"/>
        </w:rPr>
        <w:t>2020年仁和区政府债务系统余额为361,418万元，其中：一般债务149,476万元、专项债务211,942万元，控制在当年全区政府债务限额393,275万元以内。经测算，我区2020年政府法定债务率为107.93%；利息支出率3.87%（其中：一般债务利息支出率为2.52%，专项债务利息支出率为6.58%），利息支出率控制在10%的警戒线以内；一般债务偿债资金保障倍数2.04、专项债务偿债资金保障倍数0.87；我区债务风险等级为绿色。</w:t>
      </w:r>
    </w:p>
    <w:p>
      <w:pPr>
        <w:ind w:firstLine="643"/>
        <w:rPr>
          <w:rFonts w:eastAsia="楷体_GB2312"/>
          <w:b/>
          <w:bCs/>
          <w:sz w:val="32"/>
          <w:szCs w:val="32"/>
        </w:rPr>
      </w:pPr>
      <w:r>
        <w:rPr>
          <w:rFonts w:eastAsia="楷体_GB2312"/>
          <w:b/>
          <w:bCs/>
          <w:sz w:val="32"/>
          <w:szCs w:val="32"/>
        </w:rPr>
        <w:t>（五）2020年分级收入情况。</w:t>
      </w:r>
    </w:p>
    <w:p>
      <w:pPr>
        <w:ind w:firstLine="640"/>
        <w:rPr>
          <w:rFonts w:eastAsia="仿宋_GB2312"/>
          <w:bCs/>
          <w:sz w:val="32"/>
          <w:szCs w:val="32"/>
        </w:rPr>
      </w:pPr>
      <w:r>
        <w:rPr>
          <w:rFonts w:eastAsia="仿宋_GB2312"/>
          <w:bCs/>
          <w:sz w:val="32"/>
          <w:szCs w:val="32"/>
        </w:rPr>
        <w:t>1.2020年税收全口径收入181,162万元，其中上划上级收入106,413万元（中央级68,412万元、省级3,165万元、市级34,836万元）；区级收入74,749万元。</w:t>
      </w:r>
    </w:p>
    <w:p>
      <w:pPr>
        <w:ind w:firstLine="640"/>
        <w:rPr>
          <w:rFonts w:eastAsia="仿宋_GB2312"/>
          <w:bCs/>
          <w:sz w:val="32"/>
          <w:szCs w:val="32"/>
        </w:rPr>
      </w:pPr>
      <w:r>
        <w:rPr>
          <w:rFonts w:eastAsia="仿宋_GB2312"/>
          <w:bCs/>
          <w:sz w:val="32"/>
          <w:szCs w:val="32"/>
        </w:rPr>
        <w:t>2.2020年非税全口径收入31,977万元，其中上划上级收入1,794万元（中央级507万元、省级1,118万元、市级169万元）；区级收入30,183万元。</w:t>
      </w:r>
    </w:p>
    <w:p>
      <w:pPr>
        <w:ind w:firstLine="640"/>
        <w:rPr>
          <w:rFonts w:eastAsia="仿宋_GB2312"/>
          <w:bCs/>
          <w:sz w:val="32"/>
          <w:szCs w:val="32"/>
        </w:rPr>
      </w:pPr>
      <w:r>
        <w:rPr>
          <w:rFonts w:eastAsia="仿宋_GB2312"/>
          <w:bCs/>
          <w:sz w:val="32"/>
          <w:szCs w:val="32"/>
        </w:rPr>
        <w:t>3.2020年土地出让金全口径收入89,973万元，计提“两金”3,890万元和缴纳新增建设用地有偿使用费1,591万元后，市级收入16,365万元，区级收入68,127万元。</w:t>
      </w:r>
    </w:p>
    <w:p>
      <w:pPr>
        <w:ind w:firstLine="643"/>
        <w:rPr>
          <w:rFonts w:eastAsia="楷体_GB2312"/>
          <w:b/>
          <w:bCs/>
          <w:sz w:val="32"/>
          <w:szCs w:val="32"/>
        </w:rPr>
      </w:pPr>
      <w:r>
        <w:rPr>
          <w:rFonts w:eastAsia="楷体_GB2312"/>
          <w:b/>
          <w:bCs/>
          <w:sz w:val="32"/>
          <w:szCs w:val="32"/>
        </w:rPr>
        <w:t>（六）2020年预备费安排使用情况。</w:t>
      </w:r>
    </w:p>
    <w:p>
      <w:pPr>
        <w:ind w:firstLine="640"/>
        <w:rPr>
          <w:rFonts w:eastAsia="仿宋_GB2312"/>
          <w:bCs/>
          <w:sz w:val="32"/>
          <w:szCs w:val="32"/>
        </w:rPr>
      </w:pPr>
      <w:r>
        <w:rPr>
          <w:rFonts w:eastAsia="仿宋_GB2312"/>
          <w:bCs/>
          <w:sz w:val="32"/>
          <w:szCs w:val="32"/>
        </w:rPr>
        <w:t>2020年区级预备费预算安排2,000万元，支出2,000万元，其中：519万元用于机关事业单位养老保险缺口财政兜底上解增量部分，1,481万元用于新冠疫情防控、森林草原防灭火、人员增资、村（社区）干部报酬提标等方面。</w:t>
      </w:r>
    </w:p>
    <w:p>
      <w:pPr>
        <w:ind w:firstLine="643"/>
        <w:rPr>
          <w:rFonts w:eastAsia="楷体_GB2312"/>
          <w:b/>
          <w:bCs/>
          <w:sz w:val="32"/>
          <w:szCs w:val="32"/>
        </w:rPr>
      </w:pPr>
      <w:r>
        <w:rPr>
          <w:rFonts w:eastAsia="楷体_GB2312"/>
          <w:b/>
          <w:bCs/>
          <w:sz w:val="32"/>
          <w:szCs w:val="32"/>
        </w:rPr>
        <w:t>（七）2020年预算稳定调节基金安排使用情况。</w:t>
      </w:r>
    </w:p>
    <w:p>
      <w:pPr>
        <w:ind w:firstLine="640"/>
        <w:rPr>
          <w:rFonts w:eastAsia="仿宋_GB2312"/>
          <w:bCs/>
          <w:sz w:val="32"/>
          <w:szCs w:val="32"/>
        </w:rPr>
      </w:pPr>
      <w:r>
        <w:rPr>
          <w:rFonts w:eastAsia="仿宋_GB2312"/>
          <w:bCs/>
          <w:sz w:val="32"/>
          <w:szCs w:val="32"/>
        </w:rPr>
        <w:t>2020年初区级预算稳定调节基金余额为216万元，经区第十二届人民代表大会第七次会议以及区十二届人大常委会第四十二次会议批准，2020年动用预算稳定调节基金216万元，年终一般公共预算超收收入补充预算稳定调节基金3,732万元，2020年末区级预算稳定调节基金余额为3,732万元。</w:t>
      </w:r>
    </w:p>
    <w:p>
      <w:pPr>
        <w:ind w:firstLine="643"/>
        <w:rPr>
          <w:rFonts w:eastAsia="楷体_GB2312"/>
          <w:b/>
          <w:bCs/>
          <w:sz w:val="32"/>
          <w:szCs w:val="32"/>
        </w:rPr>
      </w:pPr>
      <w:r>
        <w:rPr>
          <w:rFonts w:eastAsia="楷体_GB2312"/>
          <w:b/>
          <w:bCs/>
          <w:sz w:val="32"/>
          <w:szCs w:val="32"/>
        </w:rPr>
        <w:t>（八）新增财政资金直达基层安排情况。</w:t>
      </w:r>
    </w:p>
    <w:p>
      <w:pPr>
        <w:ind w:firstLine="640"/>
        <w:rPr>
          <w:rFonts w:eastAsia="仿宋_GB2312"/>
          <w:bCs/>
          <w:sz w:val="32"/>
          <w:szCs w:val="32"/>
        </w:rPr>
      </w:pPr>
      <w:r>
        <w:rPr>
          <w:rFonts w:eastAsia="仿宋_GB2312"/>
          <w:bCs/>
          <w:sz w:val="32"/>
          <w:szCs w:val="32"/>
        </w:rPr>
        <w:t>2020年中央建立特殊转移支付机制，财政资金直达基层，直接惠企利民。仁和区共收到直达资金指标27,811万元，其中：直达资金22,857万元，参照直达资金4,954万元。我区直达资金全部安排用于公共卫生体系及重大疫情防控救治体系建设、产业链改造、老旧小区改造、学校建设、民生支出等方面，切实兜牢“三保”底线，保障了我区社会事务的平稳发展。</w:t>
      </w:r>
    </w:p>
    <w:p>
      <w:pPr>
        <w:ind w:firstLine="643"/>
        <w:rPr>
          <w:rFonts w:eastAsia="楷体_GB2312"/>
          <w:b/>
          <w:bCs/>
          <w:sz w:val="32"/>
          <w:szCs w:val="32"/>
        </w:rPr>
      </w:pPr>
      <w:r>
        <w:rPr>
          <w:rFonts w:eastAsia="楷体_GB2312"/>
          <w:b/>
          <w:bCs/>
          <w:sz w:val="32"/>
          <w:szCs w:val="32"/>
        </w:rPr>
        <w:t>（九）财政存量资金清理盘活情况。</w:t>
      </w:r>
    </w:p>
    <w:p>
      <w:pPr>
        <w:ind w:firstLine="640"/>
        <w:rPr>
          <w:rFonts w:eastAsia="仿宋_GB2312"/>
          <w:bCs/>
          <w:sz w:val="32"/>
          <w:szCs w:val="32"/>
        </w:rPr>
      </w:pPr>
      <w:r>
        <w:rPr>
          <w:rFonts w:eastAsia="仿宋_GB2312"/>
          <w:bCs/>
          <w:sz w:val="32"/>
          <w:szCs w:val="32"/>
        </w:rPr>
        <w:t>2020年盘活财政存量资金41,474万元，统筹安排支出23,629 万元，主要按原用途安排使用以及统筹用于民生领域、区级重点项目建设，有效缓解了我区财政预算平衡压力。</w:t>
      </w:r>
    </w:p>
    <w:p>
      <w:pPr>
        <w:ind w:firstLine="643"/>
        <w:rPr>
          <w:rFonts w:eastAsia="楷体_GB2312"/>
          <w:b/>
          <w:bCs/>
          <w:sz w:val="32"/>
          <w:szCs w:val="32"/>
        </w:rPr>
      </w:pPr>
      <w:r>
        <w:rPr>
          <w:rFonts w:eastAsia="楷体_GB2312"/>
          <w:b/>
          <w:bCs/>
          <w:sz w:val="32"/>
          <w:szCs w:val="32"/>
        </w:rPr>
        <w:t>（十）2020年区人大预算决议落实情况。</w:t>
      </w:r>
    </w:p>
    <w:p>
      <w:pPr>
        <w:ind w:firstLine="640"/>
        <w:rPr>
          <w:rFonts w:eastAsia="仿宋_GB2312"/>
          <w:bCs/>
          <w:sz w:val="32"/>
          <w:szCs w:val="32"/>
        </w:rPr>
      </w:pPr>
      <w:r>
        <w:rPr>
          <w:rFonts w:eastAsia="仿宋_GB2312"/>
          <w:bCs/>
          <w:sz w:val="32"/>
          <w:szCs w:val="32"/>
        </w:rPr>
        <w:t>2020年，财政工作认真贯彻落实人大及其常委会的决议决定和审查（审议）意见，围绕区委重大决策部署，严格执行《预算法》《四川省预算审查监督条例》有关规定，多措并举狠抓收支预算管理，不遗余力保重点支出，为全区扎实做好“六稳”，全面落实“六保”任务提供了重要财力保障。</w:t>
      </w:r>
    </w:p>
    <w:p>
      <w:pPr>
        <w:ind w:firstLine="643"/>
        <w:rPr>
          <w:rFonts w:eastAsia="仿宋_GB2312"/>
          <w:bCs/>
          <w:sz w:val="32"/>
          <w:szCs w:val="32"/>
        </w:rPr>
      </w:pPr>
      <w:r>
        <w:rPr>
          <w:rFonts w:eastAsia="仿宋_GB2312"/>
          <w:b/>
          <w:bCs/>
          <w:sz w:val="32"/>
          <w:szCs w:val="32"/>
        </w:rPr>
        <w:t>1.咬住目标挖掘财源，紧盯资金抓好落实。</w:t>
      </w:r>
      <w:r>
        <w:rPr>
          <w:rFonts w:eastAsia="仿宋_GB2312"/>
          <w:bCs/>
          <w:sz w:val="32"/>
          <w:szCs w:val="32"/>
        </w:rPr>
        <w:t>面对新冠肺炎疫情带来的影响，全面落实国务院更大规模的减税降费一系列决策部署，加强对重点项目和重点企业的跟踪服务，特别是观音岩水电站税收跨省分成工作取得重大突破，形成事实入库。在调整攀西科技城财税收入征管体制的情况下，强化收入征管统筹，财政收入圆满完成年初任务，同口径增长19.68%，实现稳步增收。向上争取各类资金209,482万元，其中：财力性转移支付资金72,936万元、专项转移支付资金56,781万元、债券资金61,675万元、直拨资金18,090万元。特别是争取到的特殊转移支付资金10,292万元和抗疫特别国债资金8,300万元，为促进经济社会全面发展提供了坚实的资金保障，有效缓解财政压力。</w:t>
      </w:r>
    </w:p>
    <w:p>
      <w:pPr>
        <w:ind w:firstLine="643"/>
        <w:rPr>
          <w:rFonts w:eastAsia="仿宋_GB2312"/>
          <w:bCs/>
          <w:sz w:val="32"/>
          <w:szCs w:val="32"/>
        </w:rPr>
      </w:pPr>
      <w:r>
        <w:rPr>
          <w:rFonts w:eastAsia="仿宋_GB2312"/>
          <w:b/>
          <w:bCs/>
          <w:sz w:val="32"/>
          <w:szCs w:val="32"/>
        </w:rPr>
        <w:t>2.厉行节约保“三保”，不断优化财政支出。</w:t>
      </w:r>
      <w:r>
        <w:rPr>
          <w:rFonts w:eastAsia="仿宋_GB2312"/>
          <w:bCs/>
          <w:sz w:val="32"/>
          <w:szCs w:val="32"/>
        </w:rPr>
        <w:t>认真贯彻全省财政工作会议精神，牢固树立底线思维，坚决落实过“紧日子”的要求，开源节流，精打细算，切实兜紧兜牢“三保”支出底线。财政投资评审项目188个，送审金额155,997万元，审减金额21,317万元，审减率13.67%。政府投资项目竣工结算审核213个，送审金额31,599万元，审减金额1,205万元，审减率3.81%。政府采购项目410个，采购金额21,614万元，节约率5.6 %。</w:t>
      </w:r>
    </w:p>
    <w:p>
      <w:pPr>
        <w:ind w:firstLine="643"/>
        <w:rPr>
          <w:rFonts w:eastAsia="仿宋_GB2312"/>
          <w:bCs/>
          <w:sz w:val="32"/>
          <w:szCs w:val="32"/>
        </w:rPr>
      </w:pPr>
      <w:r>
        <w:rPr>
          <w:rFonts w:eastAsia="仿宋_GB2312"/>
          <w:b/>
          <w:bCs/>
          <w:sz w:val="32"/>
          <w:szCs w:val="32"/>
        </w:rPr>
        <w:t>3.主动压实责任担当，持续保障改善民生。</w:t>
      </w:r>
      <w:r>
        <w:rPr>
          <w:rFonts w:eastAsia="仿宋_GB2312"/>
          <w:bCs/>
          <w:sz w:val="32"/>
          <w:szCs w:val="32"/>
        </w:rPr>
        <w:t>一是投入新冠肺炎经费1,946万元，为全区打赢疫情防控阻击战提供强有力的财政支撑作用。二是投入资金1,136万元，全力促进就业创新创业。三是投入资金3,535万元，全面落实养老保障、城乡低保、特困供养、困难救助等社会保障工作。四是投入资金22,187万元，全力支持教育优先发展。五是投入资金19,389万元，全力推动医疗卫生建设和城乡医疗救助。六是投入资金2,420万元，全力推进养老体系建设。七是投入资金2,901万元，全力支持公共文化服务体系建设。</w:t>
      </w:r>
    </w:p>
    <w:p>
      <w:pPr>
        <w:ind w:firstLine="643"/>
        <w:rPr>
          <w:rFonts w:eastAsia="仿宋_GB2312"/>
          <w:bCs/>
          <w:sz w:val="32"/>
          <w:szCs w:val="32"/>
        </w:rPr>
      </w:pPr>
      <w:r>
        <w:rPr>
          <w:rFonts w:eastAsia="仿宋_GB2312"/>
          <w:b/>
          <w:bCs/>
          <w:sz w:val="32"/>
          <w:szCs w:val="32"/>
        </w:rPr>
        <w:t>4.聚焦重点关键领域，防范化解债务风险。</w:t>
      </w:r>
      <w:r>
        <w:rPr>
          <w:rFonts w:eastAsia="仿宋_GB2312"/>
          <w:bCs/>
          <w:sz w:val="32"/>
          <w:szCs w:val="32"/>
        </w:rPr>
        <w:t>一是围绕全面实现小康目标，投入资金3,574万元，为脱贫攻坚圆满收官，顺利通过国家“大考”提供了坚强的财政资金保障。二是投入资金7,439万元，持续推动第二污水处理厂、仁和区生活垃圾周转站、生活应急垃圾填埋场、南山工业园区环境综合整治项目等建设。三是筹集还本付息资金63,398万元，用于偿还到期债务本息。四是积极开展防范化解基层国库资金运行风险两年行动，全年未新增国库暂付款，消化存量暂付款25,322万元，坚决守住不发生重大财政风险的底线。</w:t>
      </w:r>
    </w:p>
    <w:p>
      <w:pPr>
        <w:ind w:firstLine="643"/>
        <w:rPr>
          <w:rFonts w:eastAsia="仿宋_GB2312"/>
          <w:bCs/>
          <w:sz w:val="32"/>
          <w:szCs w:val="32"/>
        </w:rPr>
      </w:pPr>
      <w:r>
        <w:rPr>
          <w:rFonts w:eastAsia="仿宋_GB2312"/>
          <w:b/>
          <w:bCs/>
          <w:sz w:val="32"/>
          <w:szCs w:val="32"/>
        </w:rPr>
        <w:t>5.围绕发展重点方向，突出财政支撑保障。</w:t>
      </w:r>
      <w:r>
        <w:rPr>
          <w:rFonts w:eastAsia="仿宋_GB2312"/>
          <w:bCs/>
          <w:sz w:val="32"/>
          <w:szCs w:val="32"/>
        </w:rPr>
        <w:t>投入资金15,060万元，全力支持“工业强区”大会战；投入资金60,442万元，全力支持“城市南扩”大会战；投入资金28,100万元，全力支持乡村振兴战略；投入资金7,741万元，全力支持城乡基层治理。</w:t>
      </w:r>
    </w:p>
    <w:p>
      <w:pPr>
        <w:ind w:firstLine="643"/>
        <w:rPr>
          <w:rFonts w:eastAsia="仿宋_GB2312"/>
          <w:bCs/>
          <w:sz w:val="32"/>
          <w:szCs w:val="32"/>
        </w:rPr>
      </w:pPr>
      <w:r>
        <w:rPr>
          <w:rFonts w:eastAsia="仿宋_GB2312"/>
          <w:b/>
          <w:bCs/>
          <w:sz w:val="32"/>
          <w:szCs w:val="32"/>
        </w:rPr>
        <w:t>6.深化财税体制改革，推进财政治理现代化。</w:t>
      </w:r>
      <w:r>
        <w:rPr>
          <w:rFonts w:eastAsia="仿宋_GB2312"/>
          <w:bCs/>
          <w:sz w:val="32"/>
          <w:szCs w:val="32"/>
        </w:rPr>
        <w:t>全面实施积极财政政策，严格落实疫情防控期间新出台的减税降费等政策，2020年新增减税降费6,649万元；着力构建全方位、全过程、全覆盖的预算绩效管理体系。出台《仁和区关于贯彻落实四川省全面实施预算绩效管理实施意见的工作方案》《攀枝花市仁和区预算绩效管理实施办法（暂行）》，全域拓展预算目标编制范围，2020年度财政预算安排的资金全部纳入绩效目标编制；全面强化财政监督检查，深入开展“新官不理旧账”专项整治，启动严肃财经纪律及财务管理风险排查工作，开展全面“体检”，查摆存在风险和突出问题；全面加强国有资产管理，盘活橄榄坪工业用地和厂房资源、解决产权纠纷问题、盘活宗地，确保国有资产保值增值，建立向区人大常委会报告仁和区政府行政事业单位国有资产管理情况的长效机制。全面规范预算支出管理，印发《攀枝花市仁和区本级基本支出预算管理办法》《攀枝花市仁和区本级项目支出预算管理办法》。</w:t>
      </w:r>
    </w:p>
    <w:p>
      <w:pPr>
        <w:ind w:firstLine="640"/>
        <w:rPr>
          <w:rFonts w:eastAsia="仿宋_GB2312"/>
          <w:bCs/>
          <w:sz w:val="32"/>
          <w:szCs w:val="32"/>
        </w:rPr>
      </w:pPr>
      <w:r>
        <w:rPr>
          <w:rFonts w:eastAsia="仿宋_GB2312"/>
          <w:bCs/>
          <w:sz w:val="32"/>
          <w:szCs w:val="32"/>
        </w:rPr>
        <w:t>2020年区级预算数、决算数及其对比分析，已经区政府审计部门审计，详见决算草案。以上2020年决算，请予审查。</w:t>
      </w:r>
    </w:p>
    <w:p>
      <w:pPr>
        <w:pStyle w:val="23"/>
        <w:ind w:firstLine="640"/>
        <w:jc w:val="both"/>
        <w:rPr>
          <w:rFonts w:ascii="Times New Roman" w:hAnsi="Times New Roman" w:eastAsia="黑体" w:cs="Times New Roman"/>
          <w:sz w:val="32"/>
          <w:szCs w:val="32"/>
        </w:rPr>
      </w:pPr>
      <w:r>
        <w:rPr>
          <w:rFonts w:ascii="Times New Roman" w:hAnsi="黑体" w:eastAsia="黑体" w:cs="Times New Roman"/>
          <w:sz w:val="32"/>
          <w:szCs w:val="32"/>
        </w:rPr>
        <w:t>二、</w:t>
      </w:r>
      <w:r>
        <w:rPr>
          <w:rFonts w:ascii="Times New Roman" w:hAnsi="Times New Roman" w:eastAsia="黑体" w:cs="Times New Roman"/>
          <w:sz w:val="32"/>
          <w:szCs w:val="32"/>
        </w:rPr>
        <w:t>2021</w:t>
      </w:r>
      <w:r>
        <w:rPr>
          <w:rFonts w:ascii="Times New Roman" w:hAnsi="黑体" w:eastAsia="黑体" w:cs="Times New Roman"/>
          <w:sz w:val="32"/>
          <w:szCs w:val="32"/>
        </w:rPr>
        <w:t>年</w:t>
      </w:r>
      <w:r>
        <w:rPr>
          <w:rFonts w:ascii="Times New Roman" w:hAnsi="Times New Roman" w:eastAsia="黑体" w:cs="Times New Roman"/>
          <w:sz w:val="32"/>
          <w:szCs w:val="32"/>
        </w:rPr>
        <w:t>1</w:t>
      </w:r>
      <w:r>
        <w:rPr>
          <w:rFonts w:ascii="Times New Roman" w:hAnsi="黑体" w:eastAsia="黑体" w:cs="Times New Roman"/>
          <w:sz w:val="32"/>
          <w:szCs w:val="32"/>
        </w:rPr>
        <w:t>至</w:t>
      </w:r>
      <w:r>
        <w:rPr>
          <w:rFonts w:ascii="Times New Roman" w:hAnsi="Times New Roman" w:eastAsia="黑体" w:cs="Times New Roman"/>
          <w:sz w:val="32"/>
          <w:szCs w:val="32"/>
        </w:rPr>
        <w:t>6</w:t>
      </w:r>
      <w:r>
        <w:rPr>
          <w:rFonts w:ascii="Times New Roman" w:hAnsi="黑体" w:eastAsia="黑体" w:cs="Times New Roman"/>
          <w:sz w:val="32"/>
          <w:szCs w:val="32"/>
        </w:rPr>
        <w:t>月财政收支预算执行情况</w:t>
      </w:r>
    </w:p>
    <w:p>
      <w:pPr>
        <w:ind w:firstLine="640"/>
        <w:rPr>
          <w:rFonts w:eastAsia="仿宋_GB2312"/>
          <w:bCs/>
          <w:sz w:val="32"/>
          <w:szCs w:val="32"/>
        </w:rPr>
      </w:pPr>
      <w:r>
        <w:rPr>
          <w:rFonts w:eastAsia="仿宋_GB2312"/>
          <w:bCs/>
          <w:sz w:val="32"/>
          <w:szCs w:val="32"/>
        </w:rPr>
        <w:t>2021年，全区财政工作坚持以习近平新时代中国特色社会主义思想为指导，全面落实区十二届人大八次会议预算决议，深入贯彻新发展理念，扎实做好“六稳”“六保”工作任务，继续树立过“紧日子”的思想，加强风险防范化解，促进全区经济持续健康发展。</w:t>
      </w:r>
    </w:p>
    <w:p>
      <w:pPr>
        <w:ind w:firstLine="643"/>
        <w:rPr>
          <w:rFonts w:eastAsia="楷体_GB2312"/>
          <w:b/>
          <w:bCs/>
          <w:sz w:val="32"/>
          <w:szCs w:val="32"/>
        </w:rPr>
      </w:pPr>
      <w:r>
        <w:rPr>
          <w:rFonts w:eastAsia="楷体_GB2312"/>
          <w:b/>
          <w:bCs/>
          <w:sz w:val="32"/>
          <w:szCs w:val="32"/>
        </w:rPr>
        <w:t>（一）财政收支预算执行情况。</w:t>
      </w:r>
    </w:p>
    <w:p>
      <w:pPr>
        <w:ind w:firstLine="643"/>
        <w:rPr>
          <w:rFonts w:eastAsia="仿宋_GB2312"/>
          <w:b/>
          <w:bCs/>
          <w:sz w:val="32"/>
          <w:szCs w:val="32"/>
        </w:rPr>
      </w:pPr>
      <w:r>
        <w:rPr>
          <w:rFonts w:eastAsia="仿宋_GB2312"/>
          <w:b/>
          <w:bCs/>
          <w:sz w:val="32"/>
          <w:szCs w:val="32"/>
        </w:rPr>
        <w:t>1.一般公共预算收支情况。</w:t>
      </w:r>
    </w:p>
    <w:p>
      <w:pPr>
        <w:ind w:firstLine="640"/>
        <w:rPr>
          <w:rFonts w:eastAsia="仿宋_GB2312"/>
          <w:bCs/>
          <w:sz w:val="32"/>
          <w:szCs w:val="32"/>
        </w:rPr>
      </w:pPr>
      <w:r>
        <w:rPr>
          <w:rFonts w:eastAsia="仿宋_GB2312"/>
          <w:bCs/>
          <w:sz w:val="32"/>
          <w:szCs w:val="32"/>
        </w:rPr>
        <w:t>仁和区一般公共预算收入完成63,065万元（税收收入完成42,090万元，非税收入完成20,975万元），同比增长7.33%，占预算数的56.26%，超序时进度6.26个百分点，其中：区本级完成43,098万元，攀枝花钒钛产业园区完成19,967万元。</w:t>
      </w:r>
    </w:p>
    <w:p>
      <w:pPr>
        <w:ind w:firstLine="640"/>
        <w:rPr>
          <w:rFonts w:eastAsia="仿宋_GB2312"/>
          <w:bCs/>
          <w:sz w:val="32"/>
          <w:szCs w:val="32"/>
        </w:rPr>
      </w:pPr>
      <w:r>
        <w:rPr>
          <w:rFonts w:eastAsia="仿宋_GB2312"/>
          <w:bCs/>
          <w:sz w:val="32"/>
          <w:szCs w:val="32"/>
        </w:rPr>
        <w:t>一般公共预算支出完成105,513万元，占预算数的61.99%，同比增支33,898万元，增长47.33%。</w:t>
      </w:r>
    </w:p>
    <w:p>
      <w:pPr>
        <w:ind w:firstLine="643"/>
        <w:rPr>
          <w:rFonts w:eastAsia="仿宋_GB2312"/>
          <w:b/>
          <w:bCs/>
          <w:sz w:val="32"/>
          <w:szCs w:val="32"/>
        </w:rPr>
      </w:pPr>
      <w:r>
        <w:rPr>
          <w:rFonts w:eastAsia="仿宋_GB2312"/>
          <w:b/>
          <w:bCs/>
          <w:sz w:val="32"/>
          <w:szCs w:val="32"/>
        </w:rPr>
        <w:t>2.政府性基金预算收支情况。</w:t>
      </w:r>
    </w:p>
    <w:p>
      <w:pPr>
        <w:ind w:firstLine="640"/>
        <w:rPr>
          <w:rFonts w:eastAsia="仿宋_GB2312"/>
          <w:bCs/>
          <w:sz w:val="32"/>
          <w:szCs w:val="32"/>
        </w:rPr>
      </w:pPr>
      <w:r>
        <w:rPr>
          <w:rFonts w:eastAsia="仿宋_GB2312"/>
          <w:bCs/>
          <w:sz w:val="32"/>
          <w:szCs w:val="32"/>
        </w:rPr>
        <w:t>区本级政府性预算基金收入19,432万元，占预算数的21.59%，同比增加14,741万元，增长314.24%。</w:t>
      </w:r>
    </w:p>
    <w:p>
      <w:pPr>
        <w:ind w:firstLine="640"/>
        <w:rPr>
          <w:rFonts w:eastAsia="仿宋_GB2312"/>
          <w:bCs/>
          <w:sz w:val="32"/>
          <w:szCs w:val="32"/>
        </w:rPr>
      </w:pPr>
      <w:r>
        <w:rPr>
          <w:rFonts w:eastAsia="仿宋_GB2312"/>
          <w:bCs/>
          <w:sz w:val="32"/>
          <w:szCs w:val="32"/>
        </w:rPr>
        <w:t>政府性基金预算支出完成83,137万元，占预算数的103.19%，同比增支59,619万元，增长253.50%。</w:t>
      </w:r>
    </w:p>
    <w:p>
      <w:pPr>
        <w:ind w:firstLine="643"/>
        <w:rPr>
          <w:rFonts w:eastAsia="仿宋_GB2312"/>
          <w:b/>
          <w:bCs/>
          <w:sz w:val="32"/>
          <w:szCs w:val="32"/>
        </w:rPr>
      </w:pPr>
      <w:r>
        <w:rPr>
          <w:rFonts w:eastAsia="仿宋_GB2312"/>
          <w:b/>
          <w:bCs/>
          <w:sz w:val="32"/>
          <w:szCs w:val="32"/>
        </w:rPr>
        <w:t>3.国有资本经营预算收支情况。</w:t>
      </w:r>
    </w:p>
    <w:p>
      <w:pPr>
        <w:ind w:firstLine="640"/>
        <w:rPr>
          <w:rFonts w:eastAsia="仿宋_GB2312"/>
          <w:bCs/>
          <w:sz w:val="32"/>
          <w:szCs w:val="32"/>
        </w:rPr>
      </w:pPr>
      <w:r>
        <w:rPr>
          <w:rFonts w:eastAsia="仿宋_GB2312"/>
          <w:bCs/>
          <w:sz w:val="32"/>
          <w:szCs w:val="32"/>
        </w:rPr>
        <w:t>上半年，仁和区国有资本经营预算无入库收入。</w:t>
      </w:r>
    </w:p>
    <w:p>
      <w:pPr>
        <w:ind w:firstLine="643"/>
        <w:rPr>
          <w:rFonts w:eastAsia="楷体_GB2312"/>
          <w:b/>
          <w:bCs/>
          <w:sz w:val="32"/>
          <w:szCs w:val="32"/>
        </w:rPr>
      </w:pPr>
      <w:r>
        <w:rPr>
          <w:rFonts w:eastAsia="楷体_GB2312"/>
          <w:b/>
          <w:bCs/>
          <w:sz w:val="32"/>
          <w:szCs w:val="32"/>
        </w:rPr>
        <w:t>（二）上半年预算执行的主要特点。</w:t>
      </w:r>
    </w:p>
    <w:p>
      <w:pPr>
        <w:ind w:firstLine="643"/>
        <w:rPr>
          <w:rFonts w:eastAsia="仿宋_GB2312"/>
          <w:bCs/>
          <w:sz w:val="32"/>
          <w:szCs w:val="32"/>
        </w:rPr>
      </w:pPr>
      <w:r>
        <w:rPr>
          <w:rFonts w:eastAsia="仿宋_GB2312"/>
          <w:b/>
          <w:bCs/>
          <w:sz w:val="32"/>
          <w:szCs w:val="32"/>
        </w:rPr>
        <w:t>1.顺利实现“双过半”目标任务。</w:t>
      </w:r>
      <w:r>
        <w:rPr>
          <w:rFonts w:eastAsia="仿宋_GB2312"/>
          <w:bCs/>
          <w:sz w:val="32"/>
          <w:szCs w:val="32"/>
        </w:rPr>
        <w:t>上半年，区本级一般公共预算收入完成43,098万元，占年初预算数81,000万元的53.21%，超目标进度3.21个百分点，其中：税收收入完成25,957万元，占年初预算数55,000万元的47.19%，欠进度2.81个百分点；非税收入完成17,141万元，占年初预算数26,000万元的65.93%，超进度15.93个百分点。</w:t>
      </w:r>
    </w:p>
    <w:p>
      <w:pPr>
        <w:ind w:firstLine="643"/>
        <w:rPr>
          <w:rFonts w:eastAsia="仿宋_GB2312"/>
          <w:bCs/>
          <w:sz w:val="32"/>
          <w:szCs w:val="32"/>
        </w:rPr>
      </w:pPr>
      <w:r>
        <w:rPr>
          <w:rFonts w:eastAsia="仿宋_GB2312"/>
          <w:b/>
          <w:bCs/>
          <w:sz w:val="32"/>
          <w:szCs w:val="32"/>
        </w:rPr>
        <w:t>2.主体税种增长迅猛，但不稳定。</w:t>
      </w:r>
      <w:r>
        <w:rPr>
          <w:rFonts w:eastAsia="仿宋_GB2312"/>
          <w:bCs/>
          <w:sz w:val="32"/>
          <w:szCs w:val="32"/>
        </w:rPr>
        <w:t>上半年，税收收入完成25,957万元，同比增长1.7%，占一般公共预算收入的比重为60.23%，与上年同比增加2.6个百分点，但一次性收入较多，不稳定。增值税、企业所得税、房产税、土地使用税、契税等主体税种同比增长分别为24.09%、119.8%、89.49%、32.13%、44.12%，收入增长迅猛，主要得益于一些一次性税收收入，如增值税依赖于建筑行业年中结算入库1,829万元以及销售不动产增值税入库1,160万元、企业所得税主要来自汇算清缴2020年所得税1,417万元、契税来自普达集中办理房产证缴纳房屋契税1,137万元。税收收入来源主要还是依赖投资拉动和土地资源带来的收入，如房地产业入库税收15,383万元，同比增长44.56%、建筑业入库10,085万元，同比增长6.95%。</w:t>
      </w:r>
    </w:p>
    <w:p>
      <w:pPr>
        <w:ind w:firstLine="643"/>
        <w:rPr>
          <w:rFonts w:eastAsia="仿宋_GB2312"/>
          <w:bCs/>
          <w:sz w:val="32"/>
          <w:szCs w:val="32"/>
        </w:rPr>
      </w:pPr>
      <w:r>
        <w:rPr>
          <w:rFonts w:eastAsia="仿宋_GB2312"/>
          <w:b/>
          <w:bCs/>
          <w:sz w:val="32"/>
          <w:szCs w:val="32"/>
        </w:rPr>
        <w:t>3.政府性基金收入严重欠进度。</w:t>
      </w:r>
      <w:r>
        <w:rPr>
          <w:rFonts w:eastAsia="仿宋_GB2312"/>
          <w:bCs/>
          <w:sz w:val="32"/>
          <w:szCs w:val="32"/>
        </w:rPr>
        <w:t>上半年，仁和区未实现土地出让交易，基金收入仅1.94亿元，来源为普达去年交易宗地缴纳的土地出让金。</w:t>
      </w:r>
    </w:p>
    <w:p>
      <w:pPr>
        <w:ind w:firstLine="643"/>
        <w:rPr>
          <w:rFonts w:eastAsia="仿宋_GB2312"/>
          <w:bCs/>
          <w:sz w:val="32"/>
          <w:szCs w:val="32"/>
        </w:rPr>
      </w:pPr>
      <w:r>
        <w:rPr>
          <w:rFonts w:eastAsia="仿宋_GB2312"/>
          <w:b/>
          <w:bCs/>
          <w:sz w:val="32"/>
          <w:szCs w:val="32"/>
        </w:rPr>
        <w:t>4.严守财政保障序列。</w:t>
      </w:r>
      <w:r>
        <w:rPr>
          <w:rFonts w:eastAsia="仿宋_GB2312"/>
          <w:bCs/>
          <w:sz w:val="32"/>
          <w:szCs w:val="32"/>
        </w:rPr>
        <w:t>上半年，通过组织收入、盘活存量、调入资金、争取上级调度等方式，筹集库款22.67亿元，有序地保障了全区工资、民生、基本运转、政府债务还本付息、征拆以及重大项目建设的资金需求，为仁和区各项经济社会事务稳定发展提供了财政保障。</w:t>
      </w:r>
    </w:p>
    <w:p>
      <w:pPr>
        <w:ind w:firstLine="643"/>
        <w:rPr>
          <w:rFonts w:eastAsia="楷体_GB2312"/>
          <w:b/>
          <w:bCs/>
          <w:sz w:val="32"/>
          <w:szCs w:val="32"/>
        </w:rPr>
      </w:pPr>
      <w:r>
        <w:rPr>
          <w:rFonts w:eastAsia="楷体_GB2312"/>
          <w:b/>
          <w:bCs/>
          <w:sz w:val="32"/>
          <w:szCs w:val="32"/>
        </w:rPr>
        <w:t>（三）上半年的主要工作。</w:t>
      </w:r>
    </w:p>
    <w:p>
      <w:pPr>
        <w:pStyle w:val="9"/>
        <w:spacing w:after="0"/>
        <w:ind w:left="0" w:leftChars="0" w:firstLine="839" w:firstLineChars="0"/>
        <w:rPr>
          <w:rFonts w:eastAsia="仿宋_GB2312"/>
          <w:bCs/>
          <w:sz w:val="32"/>
          <w:szCs w:val="32"/>
        </w:rPr>
      </w:pPr>
      <w:r>
        <w:rPr>
          <w:rFonts w:eastAsia="仿宋_GB2312"/>
          <w:b/>
          <w:bCs/>
          <w:sz w:val="32"/>
          <w:szCs w:val="32"/>
        </w:rPr>
        <w:t>1.狠抓财政收入，顺利实现目标任务。</w:t>
      </w:r>
      <w:r>
        <w:rPr>
          <w:rFonts w:eastAsia="仿宋_GB2312"/>
          <w:bCs/>
          <w:sz w:val="32"/>
          <w:szCs w:val="32"/>
        </w:rPr>
        <w:t>紧紧围绕年初确定的财政收入目标任务和市级下达的一季度、半年节点收入任务，分解目标任务、压实责任，努力克服冬春疫情、减税降费等不利因素的影响，确保了“开门红”“双过半”目标任务的顺利实现。1－6月，我区共向上争取各类资金109,581万元，完成年度目标任务的59.78%，其中：财力性转移支付资金42,467万元、专项转移支付资金37,006万元、债券资金22,089万元、直拨资金8,019万元。</w:t>
      </w:r>
    </w:p>
    <w:p>
      <w:pPr>
        <w:ind w:firstLine="643"/>
        <w:rPr>
          <w:rFonts w:eastAsia="仿宋_GB2312"/>
          <w:bCs/>
          <w:sz w:val="32"/>
          <w:szCs w:val="32"/>
        </w:rPr>
      </w:pPr>
      <w:r>
        <w:rPr>
          <w:rFonts w:eastAsia="仿宋_GB2312"/>
          <w:b/>
          <w:bCs/>
          <w:sz w:val="32"/>
          <w:szCs w:val="32"/>
        </w:rPr>
        <w:t>2.兜牢“三保”底线，切实保障改善民生。</w:t>
      </w:r>
      <w:r>
        <w:rPr>
          <w:rFonts w:eastAsia="仿宋_GB2312"/>
          <w:bCs/>
          <w:sz w:val="32"/>
          <w:szCs w:val="32"/>
        </w:rPr>
        <w:t>按照“三保”支出实行“三单列三专项”的预算管理机制，在继续实行工资专户、基本民生支出专户的基础上，将扶贫支出专户直接转换为乡村振兴支出专户，实行专项库款保障管理。上半年，兑现2016年至2019年退休人员工资新增支出政策以及职业年金缴纳1,710万元，落实民生支出18,720万元，主要是：教育类资金3,254万元，社会保障类资金2,809万元，医疗卫生类资金1,581万元，交通运输类资金3,409万元，农林水类资金2,479万元，城乡社区类资金1,774万元。安排新冠肺炎疫情防控资金1,007万元，森林防灭火经费2,425万元，为全区常态化疫情防控工作、森林草原防灭火工作提供了强有力资金保障。</w:t>
      </w:r>
    </w:p>
    <w:p>
      <w:pPr>
        <w:ind w:firstLine="643"/>
        <w:rPr>
          <w:rFonts w:eastAsia="仿宋_GB2312"/>
          <w:bCs/>
          <w:sz w:val="32"/>
          <w:szCs w:val="32"/>
        </w:rPr>
      </w:pPr>
      <w:r>
        <w:rPr>
          <w:rFonts w:eastAsia="仿宋_GB2312"/>
          <w:b/>
          <w:bCs/>
          <w:sz w:val="32"/>
          <w:szCs w:val="32"/>
        </w:rPr>
        <w:t>3.聚焦重大决策部署，强化财政保障重点。</w:t>
      </w:r>
      <w:r>
        <w:rPr>
          <w:rFonts w:eastAsia="仿宋_GB2312"/>
          <w:bCs/>
          <w:sz w:val="32"/>
          <w:szCs w:val="32"/>
        </w:rPr>
        <w:t>一是围绕“兴工强区”投入资金3,469万元，加大对园区基础设施的建设，提高园区的承载能力。二是围绕“乡村振兴”投入资金18,198万元，推动现代芒果产业园区提档升级，高标准农田建设，水利应急工程等。三是围绕“阳光康养”“南向门户”和“公园城市”，投入资金76,656万元，推动普达阳光、铜锣湾、冷链物流、大河流域水环境及沿线综合整治、老旧小区改造、农村人居环境整治、智慧城市精细化管理、站前南街浣沙路总发路南段等项目实施。四是围绕壮大国有企业实有资本，加大对国有平台公司的扶持力度，注入区属国有企业资本金42,700万元，增强企业投、融资能力，提高承接能力。五是将区级“PPP”支出责任（即火车南站商贸城“PPP”项目四号地块二期“PPP”市政基础设施项目）9,393万元纳入年初预算，保障项目推进实施。</w:t>
      </w:r>
    </w:p>
    <w:p>
      <w:pPr>
        <w:ind w:firstLine="643"/>
        <w:rPr>
          <w:rFonts w:eastAsia="仿宋_GB2312"/>
          <w:bCs/>
          <w:sz w:val="32"/>
          <w:szCs w:val="32"/>
        </w:rPr>
      </w:pPr>
      <w:r>
        <w:rPr>
          <w:rFonts w:eastAsia="仿宋_GB2312"/>
          <w:b/>
          <w:bCs/>
          <w:sz w:val="32"/>
          <w:szCs w:val="32"/>
        </w:rPr>
        <w:t>4.强化管控措施，防范化解债务风险。</w:t>
      </w:r>
      <w:r>
        <w:rPr>
          <w:rFonts w:eastAsia="仿宋_GB2312"/>
          <w:bCs/>
          <w:sz w:val="32"/>
          <w:szCs w:val="32"/>
        </w:rPr>
        <w:t>上半年，地方政府债券转贷收入22,089万元，其中：再融资债券5,509万元，全部用于偿还到期的地方政府债券本金；新增债券16,580万元，安排用于南山园区标准化厂房建设7,000万元，南山园区基础设施建设项目3,200万元，老旧小区改造项目2,000万元，乡村振兴示范园建设项目4,000万元，应急管理信息化及指挥场所建设120万元，消防车购置项目200万元，水库大坝安全监测项目60万元。1－6月共支付政府债务系统本息12,785万元，其中：一般债券还本支出5,075万元，付息支出2,952万元；专项债券还本支出2,310万元，付息支出2,448万元。截至6月，仁和区政府债务系统余额为391,322万元，其中：一般债务167,180万元、专项债务224,142万元；控制在全区政府债务限额393,275万元以内。</w:t>
      </w:r>
    </w:p>
    <w:p>
      <w:pPr>
        <w:ind w:firstLine="643"/>
        <w:rPr>
          <w:rFonts w:eastAsia="仿宋_GB2312"/>
          <w:bCs/>
          <w:sz w:val="32"/>
          <w:szCs w:val="32"/>
        </w:rPr>
      </w:pPr>
      <w:r>
        <w:rPr>
          <w:rFonts w:eastAsia="仿宋_GB2312"/>
          <w:b/>
          <w:bCs/>
          <w:sz w:val="32"/>
          <w:szCs w:val="32"/>
        </w:rPr>
        <w:t>5.深化财政体制改革，强化财政监督管理。</w:t>
      </w:r>
      <w:r>
        <w:rPr>
          <w:rFonts w:eastAsia="仿宋_GB2312"/>
          <w:bCs/>
          <w:sz w:val="32"/>
          <w:szCs w:val="32"/>
        </w:rPr>
        <w:t>一是按照中央、省建立预算管理精细化体系的要求，有序推进预算一体化信息系统建设。二是统筹推进乡镇行政区划和村级建制调整改革“后半篇”文章，做好加大政府购买服务和盘活用好镇村公有资产工作。三是加强直达资金管理，确保直接惠企利民。四是开展严肃财经纪律风险排查，排查出十个方面288个问题，收到存量资金8,531万元（其中：财政代管账户7,463万元，财政预算内存款账户1,068万元），建立常态化管理机制，进一步规范财务管理。五是做好财政投资评审工作，上半年，完成建设工程项目招标控制价评审114个，审定金额53,263万元，审减率为14.51 %；完成工程竣工结算审核项目70个，审定金额10,308万元，审减率为4.1%。六是依法接受审计监督，积极配合审计部门开展的各项审计工作，动态跟踪抓好审计查出问题整改落实。七是自觉接受人大监督，认真贯彻《四川省预算审查监督条例》，落实预算联网监督相关要求，积极做好预算联网监督数据的收集上传等工作。</w:t>
      </w:r>
    </w:p>
    <w:p>
      <w:pPr>
        <w:ind w:firstLine="643"/>
        <w:rPr>
          <w:rFonts w:eastAsia="仿宋_GB2312"/>
          <w:bCs/>
          <w:sz w:val="32"/>
          <w:szCs w:val="32"/>
        </w:rPr>
      </w:pPr>
      <w:r>
        <w:rPr>
          <w:rFonts w:eastAsia="仿宋_GB2312"/>
          <w:b/>
          <w:bCs/>
          <w:sz w:val="32"/>
          <w:szCs w:val="32"/>
        </w:rPr>
        <w:t>6.推进绩效管理，全面构建管理体系。</w:t>
      </w:r>
      <w:r>
        <w:rPr>
          <w:rFonts w:eastAsia="仿宋_GB2312"/>
          <w:bCs/>
          <w:sz w:val="32"/>
          <w:szCs w:val="32"/>
        </w:rPr>
        <w:t>按照实现绩效目标与预算资金“编审同步、上会同步、批复同步、公开同步”的要求，上半年，已完成123个预算单位部门绩效目标编审、上会、批复及公开工作。按照强化预算绩效目标管理和评价的要求，全域拓展绩效范围的广度和深度，上半年已完成全区部门整体绩效自评及公开工作。</w:t>
      </w:r>
    </w:p>
    <w:p>
      <w:pPr>
        <w:pStyle w:val="23"/>
        <w:ind w:firstLine="640"/>
        <w:jc w:val="both"/>
        <w:rPr>
          <w:rFonts w:ascii="Times New Roman" w:hAnsi="Times New Roman" w:eastAsia="黑体" w:cs="Times New Roman"/>
          <w:sz w:val="32"/>
          <w:szCs w:val="32"/>
        </w:rPr>
      </w:pPr>
      <w:r>
        <w:rPr>
          <w:rFonts w:ascii="Times New Roman" w:hAnsi="Times New Roman" w:eastAsia="黑体" w:cs="Times New Roman"/>
          <w:sz w:val="32"/>
          <w:szCs w:val="32"/>
        </w:rPr>
        <w:t>三、2021年下半年的工作重点</w:t>
      </w:r>
    </w:p>
    <w:p>
      <w:pPr>
        <w:ind w:firstLine="640"/>
        <w:rPr>
          <w:rFonts w:eastAsia="仿宋_GB2312"/>
          <w:bCs/>
          <w:sz w:val="32"/>
          <w:szCs w:val="32"/>
        </w:rPr>
      </w:pPr>
      <w:r>
        <w:rPr>
          <w:rFonts w:eastAsia="仿宋_GB2312"/>
          <w:bCs/>
          <w:sz w:val="32"/>
          <w:szCs w:val="32"/>
        </w:rPr>
        <w:t>上半年，财政运行总体趋于平稳，同时，也存在一些问题，比如：财政收入质量不高，一次性收入因素较多；政府性基金收入欠进度，支出缺口较大；财力水平不及支出规模的不断扩大，财政收支矛盾十分突出；金库库款长期处于低位运行，资金调度异常紧张；债务风险防控有待进一步加强。下半年，随着存量税源的减少和一次性收入的消失以及增值税留抵退税工作的推进，税收收入要完成全年收入任务十分困难。面对这些问题和严峻的收支形势，我们将高度重视，积极采取措施逐步加以解决，下一步，结合区十二届人大八次会议预算决议和本次会议的审查意见，重点做好以下工作：</w:t>
      </w:r>
    </w:p>
    <w:p>
      <w:pPr>
        <w:ind w:firstLine="643"/>
        <w:rPr>
          <w:rFonts w:eastAsia="仿宋_GB2312"/>
          <w:bCs/>
          <w:sz w:val="32"/>
          <w:szCs w:val="32"/>
        </w:rPr>
      </w:pPr>
      <w:r>
        <w:rPr>
          <w:rFonts w:eastAsia="楷体_GB2312"/>
          <w:b/>
          <w:bCs/>
          <w:sz w:val="32"/>
          <w:szCs w:val="32"/>
        </w:rPr>
        <w:t>（一）全力组织收入，确保实现目标任务。</w:t>
      </w:r>
      <w:r>
        <w:rPr>
          <w:rFonts w:eastAsia="仿宋_GB2312"/>
          <w:bCs/>
          <w:sz w:val="32"/>
          <w:szCs w:val="32"/>
        </w:rPr>
        <w:t>围绕年初目标任务，加强协税护税协调机制的运行，部门间要强化信息沟通，加强重点税源和企业跟踪，全力组织税收收入，做到应收尽收、应缴尽缴。加强对非税收入的统筹征管和国有资产处置盘活。加强土地运营中征地拆迁资金的保障，确保土地运营工作顺利开展。</w:t>
      </w:r>
    </w:p>
    <w:p>
      <w:pPr>
        <w:tabs>
          <w:tab w:val="left" w:pos="1701"/>
          <w:tab w:val="left" w:pos="1843"/>
          <w:tab w:val="left" w:pos="3969"/>
          <w:tab w:val="left" w:pos="7513"/>
        </w:tabs>
        <w:ind w:firstLine="643"/>
        <w:rPr>
          <w:rFonts w:eastAsia="仿宋_GB2312"/>
          <w:bCs/>
          <w:sz w:val="32"/>
          <w:szCs w:val="32"/>
        </w:rPr>
      </w:pPr>
      <w:r>
        <w:rPr>
          <w:rFonts w:eastAsia="楷体_GB2312"/>
          <w:b/>
          <w:bCs/>
          <w:sz w:val="32"/>
          <w:szCs w:val="32"/>
        </w:rPr>
        <w:t>（二）加强预算管理，确保年度收支平衡。</w:t>
      </w:r>
      <w:r>
        <w:rPr>
          <w:rFonts w:eastAsia="仿宋_GB2312"/>
          <w:bCs/>
          <w:sz w:val="32"/>
          <w:szCs w:val="32"/>
        </w:rPr>
        <w:t>落细落实政府过“紧日子”的要求，厉行节约，严控支出。硬化预算约束，年度执行中除人员增资、应急救灾外，严禁新增支出。从紧控制政府采购，硬化政府采购执行管理和行政事业单位资产调配制度，凡能通过单位间调配解决的，一律不得进行新的资产配置。将绩效管理嵌入预算管理全过程，加强绩效结果应用，坚决削减低效无效资金，努力让每一分钱花出最好效果。</w:t>
      </w:r>
    </w:p>
    <w:p>
      <w:pPr>
        <w:ind w:firstLine="643"/>
        <w:rPr>
          <w:rFonts w:eastAsia="仿宋_GB2312"/>
          <w:bCs/>
          <w:sz w:val="32"/>
          <w:szCs w:val="32"/>
        </w:rPr>
      </w:pPr>
      <w:r>
        <w:rPr>
          <w:rFonts w:eastAsia="楷体_GB2312"/>
          <w:b/>
          <w:bCs/>
          <w:sz w:val="32"/>
          <w:szCs w:val="32"/>
        </w:rPr>
        <w:t>（三）防范运行风险，确保财政运行平稳。</w:t>
      </w:r>
      <w:r>
        <w:rPr>
          <w:rFonts w:eastAsia="仿宋_GB2312"/>
          <w:bCs/>
          <w:sz w:val="32"/>
          <w:szCs w:val="32"/>
        </w:rPr>
        <w:t>按照《国务院关于进一步深化预算管理制度改革的意见》（国发〔2021〕5号）文件精神，梳理我区PPP项目、重大支出项目及重大政府投资项目的实施开展情况，评估项目实施对财政承受能力的影响，对超出财政承受能力的项目进行清理，减少财政运行风险隐患；严格地方政府债务限额管理和预算管理，有序稳妥化解，按时支付政府债务本息，守住不出现政府债务系统性风险的底线。加强“三保”预算执行监控，确保“三保”支出及时足额保障到位。加强库款动态监测和调度保障，持续推进财政暂付款清理消化三年攻坚行动，防范化解国库资金运行风险。</w:t>
      </w:r>
    </w:p>
    <w:p>
      <w:pPr>
        <w:pStyle w:val="22"/>
        <w:ind w:firstLine="643"/>
        <w:rPr>
          <w:rFonts w:ascii="Times New Roman" w:hAnsi="Times New Roman" w:eastAsia="仿宋_GB2312" w:cs="Times New Roman"/>
          <w:bCs/>
          <w:color w:val="auto"/>
          <w:sz w:val="32"/>
          <w:szCs w:val="32"/>
        </w:rPr>
      </w:pPr>
      <w:r>
        <w:rPr>
          <w:rFonts w:ascii="Times New Roman" w:hAnsi="Times New Roman" w:eastAsia="楷体_GB2312" w:cs="Times New Roman"/>
          <w:b/>
          <w:bCs/>
          <w:color w:val="auto"/>
          <w:sz w:val="32"/>
          <w:szCs w:val="32"/>
        </w:rPr>
        <w:t>（四）贯彻落实部署，全面确保重点支出。</w:t>
      </w:r>
      <w:r>
        <w:rPr>
          <w:rFonts w:ascii="Times New Roman" w:hAnsi="Times New Roman" w:eastAsia="仿宋_GB2312" w:cs="Times New Roman"/>
          <w:bCs/>
          <w:color w:val="auto"/>
          <w:sz w:val="32"/>
          <w:szCs w:val="32"/>
        </w:rPr>
        <w:t>紧跟政府重点工作安排，做好资金保障工作。全力支持重点项目顺利开展、重点产业蓬勃发展，坚决不发生资金链断裂现象。保障底线性工作资金需求，确保防疫、防汛等“五防”工作顺利进行，环保督察有序开展。</w:t>
      </w:r>
    </w:p>
    <w:p>
      <w:pPr>
        <w:pStyle w:val="22"/>
        <w:ind w:firstLine="643"/>
        <w:rPr>
          <w:rFonts w:ascii="Times New Roman" w:hAnsi="Times New Roman" w:eastAsia="仿宋_GB2312" w:cs="Times New Roman"/>
          <w:bCs/>
          <w:color w:val="auto"/>
          <w:sz w:val="32"/>
          <w:szCs w:val="32"/>
        </w:rPr>
      </w:pPr>
      <w:r>
        <w:rPr>
          <w:rFonts w:ascii="Times New Roman" w:hAnsi="Times New Roman" w:eastAsia="楷体_GB2312" w:cs="Times New Roman"/>
          <w:b/>
          <w:bCs/>
          <w:color w:val="auto"/>
          <w:sz w:val="32"/>
          <w:szCs w:val="32"/>
        </w:rPr>
        <w:t>（五）严控绩效评价，落实财政监督管理。</w:t>
      </w:r>
      <w:r>
        <w:rPr>
          <w:rFonts w:ascii="Times New Roman" w:hAnsi="Times New Roman" w:eastAsia="仿宋_GB2312" w:cs="Times New Roman"/>
          <w:bCs/>
          <w:color w:val="auto"/>
          <w:sz w:val="32"/>
          <w:szCs w:val="32"/>
        </w:rPr>
        <w:t>贯彻落实上级文件精神，继续开展严肃财经纪律及财务管理风险排查等两项工作；推进仁和区2021年区级重点项目绩效评价、绩效中期监控；扎实开展会计信息质量监督检查等工作。</w:t>
      </w:r>
    </w:p>
    <w:p>
      <w:pPr>
        <w:pStyle w:val="22"/>
        <w:ind w:firstLine="643"/>
        <w:rPr>
          <w:rFonts w:ascii="Times New Roman" w:hAnsi="Times New Roman" w:eastAsia="仿宋_GB2312" w:cs="Times New Roman"/>
          <w:sz w:val="32"/>
          <w:szCs w:val="32"/>
        </w:rPr>
      </w:pPr>
      <w:r>
        <w:rPr>
          <w:rFonts w:ascii="Times New Roman" w:hAnsi="Times New Roman" w:eastAsia="楷体_GB2312" w:cs="Times New Roman"/>
          <w:b/>
          <w:bCs/>
          <w:color w:val="auto"/>
          <w:sz w:val="32"/>
          <w:szCs w:val="32"/>
        </w:rPr>
        <w:t>（六）深化财政改革，提高财政管理水平。</w:t>
      </w:r>
      <w:r>
        <w:rPr>
          <w:rFonts w:ascii="Times New Roman" w:hAnsi="Times New Roman" w:eastAsia="仿宋_GB2312" w:cs="Times New Roman"/>
          <w:bCs/>
          <w:sz w:val="32"/>
          <w:szCs w:val="32"/>
        </w:rPr>
        <w:t>积极对接市和县（区）财政体制改革工作，做好改革的前瞻性和准备工作。持续推进预算一体化信息系统的建设，启动2022年预算编制工作。继续完善医疗机构电子票据改革，实现收入征管全面现代化。加强国有资产管理，积极清理盘活。主动接受人大监督，不断提升依法理财水平。</w:t>
      </w:r>
    </w:p>
    <w:p>
      <w:pPr>
        <w:ind w:firstLine="705"/>
        <w:rPr>
          <w:rFonts w:eastAsia="仿宋_GB2312"/>
          <w:sz w:val="32"/>
          <w:szCs w:val="32"/>
        </w:rPr>
      </w:pPr>
    </w:p>
    <w:p>
      <w:pPr>
        <w:ind w:firstLine="705"/>
        <w:rPr>
          <w:rFonts w:eastAsia="仿宋_GB2312"/>
          <w:sz w:val="32"/>
          <w:szCs w:val="32"/>
        </w:rPr>
      </w:pPr>
    </w:p>
    <w:p>
      <w:pPr>
        <w:ind w:firstLine="705"/>
        <w:rPr>
          <w:rFonts w:eastAsia="仿宋_GB2312"/>
          <w:sz w:val="32"/>
          <w:szCs w:val="32"/>
        </w:rPr>
      </w:pPr>
      <w:r>
        <w:rPr>
          <w:rFonts w:eastAsia="仿宋_GB2312"/>
          <w:sz w:val="32"/>
          <w:szCs w:val="32"/>
        </w:rPr>
        <w:t>附件： 20</w:t>
      </w:r>
      <w:r>
        <w:rPr>
          <w:rFonts w:hint="eastAsia" w:eastAsia="仿宋_GB2312"/>
          <w:sz w:val="32"/>
          <w:szCs w:val="32"/>
        </w:rPr>
        <w:t>20</w:t>
      </w:r>
      <w:r>
        <w:rPr>
          <w:rFonts w:eastAsia="仿宋_GB2312"/>
          <w:sz w:val="32"/>
          <w:szCs w:val="32"/>
        </w:rPr>
        <w:t>年仁和区决算报告公开附表1-20</w:t>
      </w:r>
    </w:p>
    <w:p>
      <w:pPr>
        <w:spacing w:line="560" w:lineRule="exact"/>
        <w:rPr>
          <w:rFonts w:eastAsia="仿宋_GB2312"/>
          <w:color w:val="FF0000"/>
          <w:sz w:val="32"/>
          <w:szCs w:val="32"/>
        </w:rPr>
      </w:pPr>
    </w:p>
    <w:p>
      <w:pPr>
        <w:spacing w:line="560" w:lineRule="exact"/>
        <w:rPr>
          <w:rFonts w:eastAsia="仿宋_GB2312"/>
          <w:color w:val="FF0000"/>
          <w:sz w:val="32"/>
          <w:szCs w:val="32"/>
        </w:rPr>
      </w:pPr>
    </w:p>
    <w:p>
      <w:pPr>
        <w:tabs>
          <w:tab w:val="left" w:pos="3544"/>
        </w:tabs>
        <w:spacing w:line="580" w:lineRule="exact"/>
        <w:ind w:firstLine="3465" w:firstLineChars="1050"/>
        <w:rPr>
          <w:rFonts w:eastAsia="方正仿宋_GBK"/>
          <w:sz w:val="33"/>
          <w:szCs w:val="33"/>
        </w:rPr>
      </w:pPr>
    </w:p>
    <w:p>
      <w:pPr>
        <w:tabs>
          <w:tab w:val="left" w:pos="3544"/>
        </w:tabs>
        <w:spacing w:line="580" w:lineRule="exact"/>
        <w:ind w:firstLine="3465" w:firstLineChars="1050"/>
        <w:rPr>
          <w:rFonts w:eastAsia="方正仿宋_GBK"/>
          <w:sz w:val="33"/>
          <w:szCs w:val="33"/>
        </w:rPr>
      </w:pPr>
    </w:p>
    <w:p>
      <w:pPr>
        <w:snapToGrid w:val="0"/>
        <w:spacing w:line="480" w:lineRule="exact"/>
        <w:ind w:right="-693" w:rightChars="-330" w:firstLine="640"/>
        <w:jc w:val="left"/>
        <w:rPr>
          <w:rFonts w:eastAsia="仿宋_GB2312"/>
          <w:sz w:val="32"/>
          <w:szCs w:val="32"/>
        </w:rPr>
      </w:pPr>
    </w:p>
    <w:p>
      <w:pPr>
        <w:snapToGrid w:val="0"/>
        <w:spacing w:line="480" w:lineRule="exact"/>
        <w:ind w:right="-693" w:rightChars="-330" w:firstLine="640"/>
        <w:jc w:val="left"/>
        <w:rPr>
          <w:rFonts w:eastAsia="仿宋_GB2312"/>
          <w:sz w:val="32"/>
          <w:szCs w:val="32"/>
        </w:rPr>
      </w:pPr>
    </w:p>
    <w:p>
      <w:pPr>
        <w:snapToGrid w:val="0"/>
        <w:spacing w:line="480" w:lineRule="exact"/>
        <w:ind w:right="-693" w:rightChars="-330" w:firstLine="4320" w:firstLineChars="1350"/>
        <w:rPr>
          <w:rFonts w:eastAsia="仿宋_GB2312"/>
          <w:sz w:val="32"/>
          <w:szCs w:val="32"/>
        </w:rPr>
      </w:pPr>
      <w:r>
        <w:rPr>
          <w:rFonts w:eastAsia="仿宋_GB2312"/>
          <w:sz w:val="32"/>
          <w:szCs w:val="32"/>
        </w:rPr>
        <w:t>攀枝花市仁和区人民政府</w:t>
      </w:r>
    </w:p>
    <w:p>
      <w:pPr>
        <w:snapToGrid w:val="0"/>
        <w:spacing w:line="480" w:lineRule="exact"/>
        <w:ind w:right="-693" w:rightChars="-330" w:firstLine="4800" w:firstLineChars="1500"/>
        <w:rPr>
          <w:rFonts w:eastAsia="仿宋_GB2312"/>
          <w:sz w:val="32"/>
          <w:szCs w:val="32"/>
        </w:rPr>
      </w:pPr>
      <w:r>
        <w:rPr>
          <w:rFonts w:eastAsia="仿宋_GB2312"/>
          <w:sz w:val="32"/>
          <w:szCs w:val="32"/>
        </w:rPr>
        <w:t>202</w:t>
      </w:r>
      <w:r>
        <w:rPr>
          <w:rFonts w:hint="eastAsia" w:eastAsia="仿宋_GB2312"/>
          <w:sz w:val="32"/>
          <w:szCs w:val="32"/>
        </w:rPr>
        <w:t>1</w:t>
      </w:r>
      <w:r>
        <w:rPr>
          <w:rFonts w:eastAsia="仿宋_GB2312"/>
          <w:sz w:val="32"/>
          <w:szCs w:val="32"/>
        </w:rPr>
        <w:t>年9月8日</w:t>
      </w:r>
    </w:p>
    <w:p>
      <w:pPr>
        <w:snapToGrid w:val="0"/>
        <w:spacing w:line="480" w:lineRule="exact"/>
        <w:ind w:right="-693" w:rightChars="-330" w:firstLine="3150" w:firstLineChars="1500"/>
        <w:rPr>
          <w:rFonts w:eastAsia="仿宋_GB2312"/>
        </w:rPr>
      </w:pPr>
    </w:p>
    <w:p>
      <w:pPr>
        <w:snapToGrid w:val="0"/>
        <w:spacing w:line="480" w:lineRule="exact"/>
        <w:ind w:right="-693" w:rightChars="-330" w:firstLine="3150" w:firstLineChars="1500"/>
        <w:rPr>
          <w:rFonts w:eastAsia="仿宋_GB2312"/>
        </w:rPr>
      </w:pPr>
    </w:p>
    <w:sectPr>
      <w:headerReference r:id="rId3" w:type="default"/>
      <w:footerReference r:id="rId4" w:type="default"/>
      <w:footerReference r:id="rId5" w:type="even"/>
      <w:pgSz w:w="11906" w:h="16838"/>
      <w:pgMar w:top="1304" w:right="1559" w:bottom="1304"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Helvetica Neu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22C0B"/>
    <w:rsid w:val="00000686"/>
    <w:rsid w:val="000027EF"/>
    <w:rsid w:val="00003548"/>
    <w:rsid w:val="00005D9E"/>
    <w:rsid w:val="000104EA"/>
    <w:rsid w:val="00010A3D"/>
    <w:rsid w:val="00010A99"/>
    <w:rsid w:val="00010AE7"/>
    <w:rsid w:val="00013E1A"/>
    <w:rsid w:val="000148C4"/>
    <w:rsid w:val="000202BE"/>
    <w:rsid w:val="00022965"/>
    <w:rsid w:val="00022C0B"/>
    <w:rsid w:val="00022FF8"/>
    <w:rsid w:val="00025448"/>
    <w:rsid w:val="00025B12"/>
    <w:rsid w:val="00025C17"/>
    <w:rsid w:val="0002781F"/>
    <w:rsid w:val="00027C1B"/>
    <w:rsid w:val="000305EC"/>
    <w:rsid w:val="00032725"/>
    <w:rsid w:val="0004044B"/>
    <w:rsid w:val="00041D8F"/>
    <w:rsid w:val="00041E0A"/>
    <w:rsid w:val="00044215"/>
    <w:rsid w:val="00044630"/>
    <w:rsid w:val="00045DC7"/>
    <w:rsid w:val="00046A8E"/>
    <w:rsid w:val="0004703B"/>
    <w:rsid w:val="000500E6"/>
    <w:rsid w:val="00051932"/>
    <w:rsid w:val="000534D4"/>
    <w:rsid w:val="0005473C"/>
    <w:rsid w:val="00054969"/>
    <w:rsid w:val="00054BA6"/>
    <w:rsid w:val="000565ED"/>
    <w:rsid w:val="0006151B"/>
    <w:rsid w:val="0006377B"/>
    <w:rsid w:val="0006395B"/>
    <w:rsid w:val="00064970"/>
    <w:rsid w:val="000656EE"/>
    <w:rsid w:val="000676B9"/>
    <w:rsid w:val="00070CC2"/>
    <w:rsid w:val="00070ECE"/>
    <w:rsid w:val="00072BFA"/>
    <w:rsid w:val="0007597E"/>
    <w:rsid w:val="000814D5"/>
    <w:rsid w:val="000838F3"/>
    <w:rsid w:val="000907A9"/>
    <w:rsid w:val="00092CC0"/>
    <w:rsid w:val="0009626B"/>
    <w:rsid w:val="000976E8"/>
    <w:rsid w:val="000A1000"/>
    <w:rsid w:val="000A35DD"/>
    <w:rsid w:val="000A4C1E"/>
    <w:rsid w:val="000A60FD"/>
    <w:rsid w:val="000B1403"/>
    <w:rsid w:val="000B3527"/>
    <w:rsid w:val="000B47BE"/>
    <w:rsid w:val="000B6089"/>
    <w:rsid w:val="000B674E"/>
    <w:rsid w:val="000B690D"/>
    <w:rsid w:val="000C0508"/>
    <w:rsid w:val="000C5C0A"/>
    <w:rsid w:val="000C7094"/>
    <w:rsid w:val="000C7247"/>
    <w:rsid w:val="000C7FA3"/>
    <w:rsid w:val="000C7FE7"/>
    <w:rsid w:val="000D0B9B"/>
    <w:rsid w:val="000D4D06"/>
    <w:rsid w:val="000E2A12"/>
    <w:rsid w:val="000E4B41"/>
    <w:rsid w:val="000E531B"/>
    <w:rsid w:val="000E77CE"/>
    <w:rsid w:val="000E7D95"/>
    <w:rsid w:val="000F1A60"/>
    <w:rsid w:val="000F4E42"/>
    <w:rsid w:val="000F57D0"/>
    <w:rsid w:val="000F62DE"/>
    <w:rsid w:val="00100CA6"/>
    <w:rsid w:val="001014A7"/>
    <w:rsid w:val="00104D28"/>
    <w:rsid w:val="001051EC"/>
    <w:rsid w:val="0010736F"/>
    <w:rsid w:val="00112346"/>
    <w:rsid w:val="001125D0"/>
    <w:rsid w:val="00112BEC"/>
    <w:rsid w:val="001138B4"/>
    <w:rsid w:val="001166C2"/>
    <w:rsid w:val="00120B91"/>
    <w:rsid w:val="00120C81"/>
    <w:rsid w:val="001211CA"/>
    <w:rsid w:val="00122CDD"/>
    <w:rsid w:val="00123A6F"/>
    <w:rsid w:val="001241D8"/>
    <w:rsid w:val="001249C3"/>
    <w:rsid w:val="00125871"/>
    <w:rsid w:val="001272BB"/>
    <w:rsid w:val="001275E2"/>
    <w:rsid w:val="00127ABE"/>
    <w:rsid w:val="00127FFD"/>
    <w:rsid w:val="00132386"/>
    <w:rsid w:val="00132609"/>
    <w:rsid w:val="001332C1"/>
    <w:rsid w:val="001353CB"/>
    <w:rsid w:val="0013606B"/>
    <w:rsid w:val="00140256"/>
    <w:rsid w:val="00140E65"/>
    <w:rsid w:val="001426BC"/>
    <w:rsid w:val="0014434B"/>
    <w:rsid w:val="00145F84"/>
    <w:rsid w:val="00150545"/>
    <w:rsid w:val="00150657"/>
    <w:rsid w:val="00150674"/>
    <w:rsid w:val="001511FD"/>
    <w:rsid w:val="00151D16"/>
    <w:rsid w:val="00151D88"/>
    <w:rsid w:val="0015393F"/>
    <w:rsid w:val="00153AC3"/>
    <w:rsid w:val="00154118"/>
    <w:rsid w:val="0015594D"/>
    <w:rsid w:val="001560C2"/>
    <w:rsid w:val="00160CE1"/>
    <w:rsid w:val="001617C3"/>
    <w:rsid w:val="00162B9A"/>
    <w:rsid w:val="001649EB"/>
    <w:rsid w:val="001678B0"/>
    <w:rsid w:val="00170578"/>
    <w:rsid w:val="00170651"/>
    <w:rsid w:val="0017148B"/>
    <w:rsid w:val="00171A27"/>
    <w:rsid w:val="00173E89"/>
    <w:rsid w:val="00174CFF"/>
    <w:rsid w:val="00175D7E"/>
    <w:rsid w:val="001830B2"/>
    <w:rsid w:val="00186FCC"/>
    <w:rsid w:val="00187619"/>
    <w:rsid w:val="001918ED"/>
    <w:rsid w:val="001923DB"/>
    <w:rsid w:val="00192654"/>
    <w:rsid w:val="001931CA"/>
    <w:rsid w:val="001936D4"/>
    <w:rsid w:val="00195F34"/>
    <w:rsid w:val="00196028"/>
    <w:rsid w:val="00196E0C"/>
    <w:rsid w:val="001A1CB4"/>
    <w:rsid w:val="001A25BC"/>
    <w:rsid w:val="001A2F82"/>
    <w:rsid w:val="001A4AED"/>
    <w:rsid w:val="001A513C"/>
    <w:rsid w:val="001A592F"/>
    <w:rsid w:val="001B06A2"/>
    <w:rsid w:val="001B1100"/>
    <w:rsid w:val="001B237B"/>
    <w:rsid w:val="001B4C4A"/>
    <w:rsid w:val="001C147A"/>
    <w:rsid w:val="001C4D37"/>
    <w:rsid w:val="001C761A"/>
    <w:rsid w:val="001D1336"/>
    <w:rsid w:val="001D2BBD"/>
    <w:rsid w:val="001D375F"/>
    <w:rsid w:val="001D39F0"/>
    <w:rsid w:val="001D7E7E"/>
    <w:rsid w:val="001E04E6"/>
    <w:rsid w:val="001E4B79"/>
    <w:rsid w:val="001E5333"/>
    <w:rsid w:val="001E7AE5"/>
    <w:rsid w:val="001E7BEE"/>
    <w:rsid w:val="001F130D"/>
    <w:rsid w:val="001F194A"/>
    <w:rsid w:val="001F4C83"/>
    <w:rsid w:val="001F595F"/>
    <w:rsid w:val="001F64D1"/>
    <w:rsid w:val="001F730D"/>
    <w:rsid w:val="00200B2B"/>
    <w:rsid w:val="00200F21"/>
    <w:rsid w:val="00201034"/>
    <w:rsid w:val="00204227"/>
    <w:rsid w:val="00205F02"/>
    <w:rsid w:val="00205F6D"/>
    <w:rsid w:val="0020607F"/>
    <w:rsid w:val="002062A9"/>
    <w:rsid w:val="0021050B"/>
    <w:rsid w:val="002114F4"/>
    <w:rsid w:val="00211A55"/>
    <w:rsid w:val="0021488B"/>
    <w:rsid w:val="00216EE1"/>
    <w:rsid w:val="0022079D"/>
    <w:rsid w:val="00220FF5"/>
    <w:rsid w:val="00221219"/>
    <w:rsid w:val="002212DD"/>
    <w:rsid w:val="00224515"/>
    <w:rsid w:val="00224866"/>
    <w:rsid w:val="002249A2"/>
    <w:rsid w:val="002257EE"/>
    <w:rsid w:val="00225DBB"/>
    <w:rsid w:val="00231674"/>
    <w:rsid w:val="00231BB4"/>
    <w:rsid w:val="002352A3"/>
    <w:rsid w:val="00235C04"/>
    <w:rsid w:val="00235E83"/>
    <w:rsid w:val="00236DDA"/>
    <w:rsid w:val="00237AFD"/>
    <w:rsid w:val="00242DAD"/>
    <w:rsid w:val="0024388E"/>
    <w:rsid w:val="00244033"/>
    <w:rsid w:val="0024422C"/>
    <w:rsid w:val="00245EDD"/>
    <w:rsid w:val="002467C9"/>
    <w:rsid w:val="00253322"/>
    <w:rsid w:val="00253588"/>
    <w:rsid w:val="00255FF6"/>
    <w:rsid w:val="002560DC"/>
    <w:rsid w:val="00260D7F"/>
    <w:rsid w:val="00261053"/>
    <w:rsid w:val="00265465"/>
    <w:rsid w:val="00265608"/>
    <w:rsid w:val="0026728A"/>
    <w:rsid w:val="00267ECA"/>
    <w:rsid w:val="0027182B"/>
    <w:rsid w:val="002725F3"/>
    <w:rsid w:val="002766DD"/>
    <w:rsid w:val="00276A78"/>
    <w:rsid w:val="00276BC5"/>
    <w:rsid w:val="0027744C"/>
    <w:rsid w:val="002811DD"/>
    <w:rsid w:val="00282A83"/>
    <w:rsid w:val="00285D76"/>
    <w:rsid w:val="002919F3"/>
    <w:rsid w:val="00292F8A"/>
    <w:rsid w:val="0029454D"/>
    <w:rsid w:val="0029592E"/>
    <w:rsid w:val="00296E7C"/>
    <w:rsid w:val="00297922"/>
    <w:rsid w:val="00297F44"/>
    <w:rsid w:val="002A13B3"/>
    <w:rsid w:val="002A4A45"/>
    <w:rsid w:val="002A4BEC"/>
    <w:rsid w:val="002A5E7D"/>
    <w:rsid w:val="002A6685"/>
    <w:rsid w:val="002A7F2F"/>
    <w:rsid w:val="002B10B0"/>
    <w:rsid w:val="002B1AAB"/>
    <w:rsid w:val="002B40F3"/>
    <w:rsid w:val="002C0185"/>
    <w:rsid w:val="002C0746"/>
    <w:rsid w:val="002C1909"/>
    <w:rsid w:val="002C1AD5"/>
    <w:rsid w:val="002C231C"/>
    <w:rsid w:val="002C2402"/>
    <w:rsid w:val="002C3233"/>
    <w:rsid w:val="002C4B8E"/>
    <w:rsid w:val="002C4E86"/>
    <w:rsid w:val="002C6CA6"/>
    <w:rsid w:val="002C7282"/>
    <w:rsid w:val="002C7364"/>
    <w:rsid w:val="002D0540"/>
    <w:rsid w:val="002D0692"/>
    <w:rsid w:val="002D0A74"/>
    <w:rsid w:val="002D0B8E"/>
    <w:rsid w:val="002D0E28"/>
    <w:rsid w:val="002D0E34"/>
    <w:rsid w:val="002D2A6B"/>
    <w:rsid w:val="002D4F29"/>
    <w:rsid w:val="002D5289"/>
    <w:rsid w:val="002D5D70"/>
    <w:rsid w:val="002D64F1"/>
    <w:rsid w:val="002D773F"/>
    <w:rsid w:val="002E1651"/>
    <w:rsid w:val="002E182F"/>
    <w:rsid w:val="002E1A54"/>
    <w:rsid w:val="002E1C3A"/>
    <w:rsid w:val="002E3660"/>
    <w:rsid w:val="002E43DB"/>
    <w:rsid w:val="002E4614"/>
    <w:rsid w:val="002E4E4F"/>
    <w:rsid w:val="002E54BE"/>
    <w:rsid w:val="002E5ED4"/>
    <w:rsid w:val="002E6834"/>
    <w:rsid w:val="002F0343"/>
    <w:rsid w:val="002F0397"/>
    <w:rsid w:val="002F3E91"/>
    <w:rsid w:val="002F5041"/>
    <w:rsid w:val="00300C05"/>
    <w:rsid w:val="00300E37"/>
    <w:rsid w:val="0030134F"/>
    <w:rsid w:val="00301912"/>
    <w:rsid w:val="003027B6"/>
    <w:rsid w:val="00303A55"/>
    <w:rsid w:val="00304F92"/>
    <w:rsid w:val="003062D7"/>
    <w:rsid w:val="00310B81"/>
    <w:rsid w:val="00310D92"/>
    <w:rsid w:val="00310DA7"/>
    <w:rsid w:val="00311041"/>
    <w:rsid w:val="00311C36"/>
    <w:rsid w:val="00313D1C"/>
    <w:rsid w:val="00313FD3"/>
    <w:rsid w:val="0031542C"/>
    <w:rsid w:val="00316125"/>
    <w:rsid w:val="00316318"/>
    <w:rsid w:val="00317AE7"/>
    <w:rsid w:val="00317D56"/>
    <w:rsid w:val="00320001"/>
    <w:rsid w:val="00320019"/>
    <w:rsid w:val="00321D8B"/>
    <w:rsid w:val="00322AFE"/>
    <w:rsid w:val="00322CD0"/>
    <w:rsid w:val="003232C8"/>
    <w:rsid w:val="00324677"/>
    <w:rsid w:val="00325E39"/>
    <w:rsid w:val="00325FBE"/>
    <w:rsid w:val="003273E0"/>
    <w:rsid w:val="00327483"/>
    <w:rsid w:val="00327B15"/>
    <w:rsid w:val="00327C70"/>
    <w:rsid w:val="00330E0C"/>
    <w:rsid w:val="00331F40"/>
    <w:rsid w:val="00333671"/>
    <w:rsid w:val="0033439A"/>
    <w:rsid w:val="00334CA0"/>
    <w:rsid w:val="00336B00"/>
    <w:rsid w:val="003376DB"/>
    <w:rsid w:val="003379E1"/>
    <w:rsid w:val="003409FC"/>
    <w:rsid w:val="00341575"/>
    <w:rsid w:val="003419C5"/>
    <w:rsid w:val="003423A4"/>
    <w:rsid w:val="00343756"/>
    <w:rsid w:val="00347696"/>
    <w:rsid w:val="00353258"/>
    <w:rsid w:val="00353475"/>
    <w:rsid w:val="0035474A"/>
    <w:rsid w:val="00354CBF"/>
    <w:rsid w:val="00356AF7"/>
    <w:rsid w:val="00357D3E"/>
    <w:rsid w:val="00360B6F"/>
    <w:rsid w:val="0036158E"/>
    <w:rsid w:val="003624B2"/>
    <w:rsid w:val="003646EC"/>
    <w:rsid w:val="00364E78"/>
    <w:rsid w:val="00370349"/>
    <w:rsid w:val="003734D4"/>
    <w:rsid w:val="0037403B"/>
    <w:rsid w:val="0037492B"/>
    <w:rsid w:val="0037615F"/>
    <w:rsid w:val="0037643F"/>
    <w:rsid w:val="00377A3F"/>
    <w:rsid w:val="00380A0C"/>
    <w:rsid w:val="00380DB2"/>
    <w:rsid w:val="003823E1"/>
    <w:rsid w:val="00382BEB"/>
    <w:rsid w:val="003839FB"/>
    <w:rsid w:val="00383C1B"/>
    <w:rsid w:val="0038519C"/>
    <w:rsid w:val="003907D5"/>
    <w:rsid w:val="00394499"/>
    <w:rsid w:val="003A2B45"/>
    <w:rsid w:val="003A328E"/>
    <w:rsid w:val="003A68CE"/>
    <w:rsid w:val="003A7173"/>
    <w:rsid w:val="003A78D2"/>
    <w:rsid w:val="003B18A7"/>
    <w:rsid w:val="003B21B3"/>
    <w:rsid w:val="003B3CB9"/>
    <w:rsid w:val="003B474A"/>
    <w:rsid w:val="003B6BD6"/>
    <w:rsid w:val="003B7A04"/>
    <w:rsid w:val="003B7B15"/>
    <w:rsid w:val="003C002A"/>
    <w:rsid w:val="003C02EF"/>
    <w:rsid w:val="003C05B6"/>
    <w:rsid w:val="003C2079"/>
    <w:rsid w:val="003C2222"/>
    <w:rsid w:val="003C4499"/>
    <w:rsid w:val="003C4BAE"/>
    <w:rsid w:val="003D1550"/>
    <w:rsid w:val="003D211C"/>
    <w:rsid w:val="003D267C"/>
    <w:rsid w:val="003D3FAD"/>
    <w:rsid w:val="003D4D0A"/>
    <w:rsid w:val="003D5210"/>
    <w:rsid w:val="003D56DC"/>
    <w:rsid w:val="003D69C7"/>
    <w:rsid w:val="003E02BB"/>
    <w:rsid w:val="003E088A"/>
    <w:rsid w:val="003E0C75"/>
    <w:rsid w:val="003E20CB"/>
    <w:rsid w:val="003E274C"/>
    <w:rsid w:val="003E4DD3"/>
    <w:rsid w:val="003E6B0E"/>
    <w:rsid w:val="003E6C34"/>
    <w:rsid w:val="003F0137"/>
    <w:rsid w:val="003F5939"/>
    <w:rsid w:val="003F6FB8"/>
    <w:rsid w:val="003F7740"/>
    <w:rsid w:val="003F79EA"/>
    <w:rsid w:val="003F7F66"/>
    <w:rsid w:val="004029B5"/>
    <w:rsid w:val="00404F8B"/>
    <w:rsid w:val="004052A7"/>
    <w:rsid w:val="00407C6C"/>
    <w:rsid w:val="00410A4B"/>
    <w:rsid w:val="0041138D"/>
    <w:rsid w:val="00411711"/>
    <w:rsid w:val="00414C92"/>
    <w:rsid w:val="00415C23"/>
    <w:rsid w:val="004168FC"/>
    <w:rsid w:val="00416BDD"/>
    <w:rsid w:val="004201A5"/>
    <w:rsid w:val="00420341"/>
    <w:rsid w:val="004203AF"/>
    <w:rsid w:val="00421966"/>
    <w:rsid w:val="00423466"/>
    <w:rsid w:val="004234CE"/>
    <w:rsid w:val="004235D6"/>
    <w:rsid w:val="004242F0"/>
    <w:rsid w:val="00424B49"/>
    <w:rsid w:val="004275D2"/>
    <w:rsid w:val="0042782A"/>
    <w:rsid w:val="00427D9B"/>
    <w:rsid w:val="004309CE"/>
    <w:rsid w:val="00430D10"/>
    <w:rsid w:val="00431128"/>
    <w:rsid w:val="00432241"/>
    <w:rsid w:val="00433181"/>
    <w:rsid w:val="004331CE"/>
    <w:rsid w:val="004347A6"/>
    <w:rsid w:val="00435D90"/>
    <w:rsid w:val="004372A6"/>
    <w:rsid w:val="00437F60"/>
    <w:rsid w:val="004424D7"/>
    <w:rsid w:val="0044317A"/>
    <w:rsid w:val="00444150"/>
    <w:rsid w:val="0044722E"/>
    <w:rsid w:val="00447C81"/>
    <w:rsid w:val="00450124"/>
    <w:rsid w:val="00450559"/>
    <w:rsid w:val="00450C1A"/>
    <w:rsid w:val="0045115F"/>
    <w:rsid w:val="004529FE"/>
    <w:rsid w:val="004553F3"/>
    <w:rsid w:val="004554D5"/>
    <w:rsid w:val="00455ED8"/>
    <w:rsid w:val="00456B7A"/>
    <w:rsid w:val="0046006A"/>
    <w:rsid w:val="00460B69"/>
    <w:rsid w:val="00460F28"/>
    <w:rsid w:val="00466831"/>
    <w:rsid w:val="00466A5E"/>
    <w:rsid w:val="0046755E"/>
    <w:rsid w:val="004709F8"/>
    <w:rsid w:val="00470B24"/>
    <w:rsid w:val="0047250C"/>
    <w:rsid w:val="00472F05"/>
    <w:rsid w:val="0047387E"/>
    <w:rsid w:val="00475EEB"/>
    <w:rsid w:val="004762B5"/>
    <w:rsid w:val="00477055"/>
    <w:rsid w:val="00477281"/>
    <w:rsid w:val="00481A1A"/>
    <w:rsid w:val="00481B2F"/>
    <w:rsid w:val="0048252B"/>
    <w:rsid w:val="00483B5A"/>
    <w:rsid w:val="0048555C"/>
    <w:rsid w:val="004866D9"/>
    <w:rsid w:val="004869D3"/>
    <w:rsid w:val="00491630"/>
    <w:rsid w:val="00491E33"/>
    <w:rsid w:val="0049230B"/>
    <w:rsid w:val="00493003"/>
    <w:rsid w:val="00493FE8"/>
    <w:rsid w:val="00495949"/>
    <w:rsid w:val="004A05B9"/>
    <w:rsid w:val="004A0D70"/>
    <w:rsid w:val="004A205E"/>
    <w:rsid w:val="004A3420"/>
    <w:rsid w:val="004A4354"/>
    <w:rsid w:val="004A5958"/>
    <w:rsid w:val="004A6420"/>
    <w:rsid w:val="004B07C4"/>
    <w:rsid w:val="004B114A"/>
    <w:rsid w:val="004B3055"/>
    <w:rsid w:val="004B6B23"/>
    <w:rsid w:val="004C17C2"/>
    <w:rsid w:val="004C2012"/>
    <w:rsid w:val="004C3F1E"/>
    <w:rsid w:val="004C5BD8"/>
    <w:rsid w:val="004C5ED0"/>
    <w:rsid w:val="004C76A4"/>
    <w:rsid w:val="004D22ED"/>
    <w:rsid w:val="004D2B54"/>
    <w:rsid w:val="004D4268"/>
    <w:rsid w:val="004D4C82"/>
    <w:rsid w:val="004D5414"/>
    <w:rsid w:val="004D69E0"/>
    <w:rsid w:val="004D711E"/>
    <w:rsid w:val="004D758F"/>
    <w:rsid w:val="004D7BA8"/>
    <w:rsid w:val="004E090C"/>
    <w:rsid w:val="004E1163"/>
    <w:rsid w:val="004E1236"/>
    <w:rsid w:val="004E16A3"/>
    <w:rsid w:val="004E1F00"/>
    <w:rsid w:val="004E7200"/>
    <w:rsid w:val="004E7449"/>
    <w:rsid w:val="004E7AFD"/>
    <w:rsid w:val="004E7E85"/>
    <w:rsid w:val="004F07C5"/>
    <w:rsid w:val="004F1456"/>
    <w:rsid w:val="004F15FB"/>
    <w:rsid w:val="004F1AA3"/>
    <w:rsid w:val="004F369D"/>
    <w:rsid w:val="004F45DF"/>
    <w:rsid w:val="00501BE4"/>
    <w:rsid w:val="00501D79"/>
    <w:rsid w:val="00502A0E"/>
    <w:rsid w:val="00502B20"/>
    <w:rsid w:val="005057E9"/>
    <w:rsid w:val="005104E3"/>
    <w:rsid w:val="00511667"/>
    <w:rsid w:val="00511773"/>
    <w:rsid w:val="00513A19"/>
    <w:rsid w:val="00513C12"/>
    <w:rsid w:val="00513DD3"/>
    <w:rsid w:val="00514319"/>
    <w:rsid w:val="0051444F"/>
    <w:rsid w:val="00514BC5"/>
    <w:rsid w:val="00517752"/>
    <w:rsid w:val="005179FF"/>
    <w:rsid w:val="00517B0C"/>
    <w:rsid w:val="00517F88"/>
    <w:rsid w:val="00521F3F"/>
    <w:rsid w:val="00522211"/>
    <w:rsid w:val="005231D3"/>
    <w:rsid w:val="00523C7B"/>
    <w:rsid w:val="00524709"/>
    <w:rsid w:val="0052556B"/>
    <w:rsid w:val="005278B0"/>
    <w:rsid w:val="0053024D"/>
    <w:rsid w:val="00531786"/>
    <w:rsid w:val="00531B12"/>
    <w:rsid w:val="00533A83"/>
    <w:rsid w:val="00537A6E"/>
    <w:rsid w:val="00537FBC"/>
    <w:rsid w:val="005422FD"/>
    <w:rsid w:val="00542683"/>
    <w:rsid w:val="0054343B"/>
    <w:rsid w:val="00545525"/>
    <w:rsid w:val="00546E77"/>
    <w:rsid w:val="00547815"/>
    <w:rsid w:val="00552E57"/>
    <w:rsid w:val="005532A1"/>
    <w:rsid w:val="00554C70"/>
    <w:rsid w:val="00563188"/>
    <w:rsid w:val="00564E3F"/>
    <w:rsid w:val="005651EE"/>
    <w:rsid w:val="00567076"/>
    <w:rsid w:val="00571ED5"/>
    <w:rsid w:val="00572E72"/>
    <w:rsid w:val="00573CC9"/>
    <w:rsid w:val="0057476D"/>
    <w:rsid w:val="00574A7A"/>
    <w:rsid w:val="00575179"/>
    <w:rsid w:val="00575B59"/>
    <w:rsid w:val="00575FB7"/>
    <w:rsid w:val="00576437"/>
    <w:rsid w:val="00577573"/>
    <w:rsid w:val="005830DA"/>
    <w:rsid w:val="00583F04"/>
    <w:rsid w:val="00584F25"/>
    <w:rsid w:val="005875C3"/>
    <w:rsid w:val="00587CD9"/>
    <w:rsid w:val="00590AE7"/>
    <w:rsid w:val="00591AD6"/>
    <w:rsid w:val="005930A9"/>
    <w:rsid w:val="00593CAF"/>
    <w:rsid w:val="00594B16"/>
    <w:rsid w:val="0059693F"/>
    <w:rsid w:val="005A047B"/>
    <w:rsid w:val="005A1C5C"/>
    <w:rsid w:val="005A26D7"/>
    <w:rsid w:val="005A46C3"/>
    <w:rsid w:val="005A4968"/>
    <w:rsid w:val="005A5A0A"/>
    <w:rsid w:val="005B1706"/>
    <w:rsid w:val="005B2120"/>
    <w:rsid w:val="005B2FE5"/>
    <w:rsid w:val="005B34ED"/>
    <w:rsid w:val="005B49A0"/>
    <w:rsid w:val="005B5E73"/>
    <w:rsid w:val="005B656C"/>
    <w:rsid w:val="005B7437"/>
    <w:rsid w:val="005B7FD8"/>
    <w:rsid w:val="005C049F"/>
    <w:rsid w:val="005C3487"/>
    <w:rsid w:val="005C505F"/>
    <w:rsid w:val="005C641E"/>
    <w:rsid w:val="005C769C"/>
    <w:rsid w:val="005D011D"/>
    <w:rsid w:val="005D061C"/>
    <w:rsid w:val="005D0CB1"/>
    <w:rsid w:val="005D1D3E"/>
    <w:rsid w:val="005D321F"/>
    <w:rsid w:val="005D4D61"/>
    <w:rsid w:val="005E5DFA"/>
    <w:rsid w:val="005F1D7C"/>
    <w:rsid w:val="005F3EA3"/>
    <w:rsid w:val="005F61E1"/>
    <w:rsid w:val="00601127"/>
    <w:rsid w:val="006011FA"/>
    <w:rsid w:val="00601E34"/>
    <w:rsid w:val="00604344"/>
    <w:rsid w:val="00605DF6"/>
    <w:rsid w:val="00607A1A"/>
    <w:rsid w:val="00610209"/>
    <w:rsid w:val="0061073D"/>
    <w:rsid w:val="00612ED2"/>
    <w:rsid w:val="00613DA6"/>
    <w:rsid w:val="0061403D"/>
    <w:rsid w:val="006158F3"/>
    <w:rsid w:val="00616DE4"/>
    <w:rsid w:val="00620351"/>
    <w:rsid w:val="00623371"/>
    <w:rsid w:val="0062445A"/>
    <w:rsid w:val="006258A8"/>
    <w:rsid w:val="00626115"/>
    <w:rsid w:val="00626A21"/>
    <w:rsid w:val="00627748"/>
    <w:rsid w:val="00627B77"/>
    <w:rsid w:val="006305B0"/>
    <w:rsid w:val="00630AA6"/>
    <w:rsid w:val="00633DDF"/>
    <w:rsid w:val="006360E1"/>
    <w:rsid w:val="00636A0E"/>
    <w:rsid w:val="00637415"/>
    <w:rsid w:val="00637960"/>
    <w:rsid w:val="00641317"/>
    <w:rsid w:val="00641D61"/>
    <w:rsid w:val="00642593"/>
    <w:rsid w:val="00644091"/>
    <w:rsid w:val="00645FD7"/>
    <w:rsid w:val="00647465"/>
    <w:rsid w:val="00650A04"/>
    <w:rsid w:val="00651B09"/>
    <w:rsid w:val="006528AD"/>
    <w:rsid w:val="00652A76"/>
    <w:rsid w:val="0065373F"/>
    <w:rsid w:val="00653BB1"/>
    <w:rsid w:val="00655217"/>
    <w:rsid w:val="00655278"/>
    <w:rsid w:val="006555BF"/>
    <w:rsid w:val="00655679"/>
    <w:rsid w:val="0065594A"/>
    <w:rsid w:val="00655EFE"/>
    <w:rsid w:val="00656E95"/>
    <w:rsid w:val="00661BE5"/>
    <w:rsid w:val="00662F33"/>
    <w:rsid w:val="00663CE4"/>
    <w:rsid w:val="00664DFC"/>
    <w:rsid w:val="0066691E"/>
    <w:rsid w:val="00670566"/>
    <w:rsid w:val="00670BDE"/>
    <w:rsid w:val="0067196D"/>
    <w:rsid w:val="006769C3"/>
    <w:rsid w:val="00681F0E"/>
    <w:rsid w:val="00682943"/>
    <w:rsid w:val="0068345E"/>
    <w:rsid w:val="00684FA8"/>
    <w:rsid w:val="006868C9"/>
    <w:rsid w:val="006879E6"/>
    <w:rsid w:val="006902C1"/>
    <w:rsid w:val="00694C1E"/>
    <w:rsid w:val="00694C40"/>
    <w:rsid w:val="00694F55"/>
    <w:rsid w:val="00695357"/>
    <w:rsid w:val="00695364"/>
    <w:rsid w:val="00696317"/>
    <w:rsid w:val="006A2BE2"/>
    <w:rsid w:val="006A2D9A"/>
    <w:rsid w:val="006A4653"/>
    <w:rsid w:val="006A6AC4"/>
    <w:rsid w:val="006A7996"/>
    <w:rsid w:val="006B08AB"/>
    <w:rsid w:val="006B2908"/>
    <w:rsid w:val="006B3618"/>
    <w:rsid w:val="006B3B71"/>
    <w:rsid w:val="006B405A"/>
    <w:rsid w:val="006B408A"/>
    <w:rsid w:val="006B5548"/>
    <w:rsid w:val="006B571C"/>
    <w:rsid w:val="006B5752"/>
    <w:rsid w:val="006B6514"/>
    <w:rsid w:val="006B6704"/>
    <w:rsid w:val="006C0C7C"/>
    <w:rsid w:val="006C11B1"/>
    <w:rsid w:val="006C1AA3"/>
    <w:rsid w:val="006C2F77"/>
    <w:rsid w:val="006C39B8"/>
    <w:rsid w:val="006C5EEE"/>
    <w:rsid w:val="006C68B9"/>
    <w:rsid w:val="006C6A30"/>
    <w:rsid w:val="006D1AB2"/>
    <w:rsid w:val="006D1B8F"/>
    <w:rsid w:val="006D286B"/>
    <w:rsid w:val="006D40A5"/>
    <w:rsid w:val="006D490F"/>
    <w:rsid w:val="006D5330"/>
    <w:rsid w:val="006E08EE"/>
    <w:rsid w:val="006E23A9"/>
    <w:rsid w:val="006E53BF"/>
    <w:rsid w:val="006E5634"/>
    <w:rsid w:val="006E58AD"/>
    <w:rsid w:val="006E6559"/>
    <w:rsid w:val="006F07AB"/>
    <w:rsid w:val="006F3ED3"/>
    <w:rsid w:val="006F4986"/>
    <w:rsid w:val="006F5E2A"/>
    <w:rsid w:val="006F666D"/>
    <w:rsid w:val="006F78E8"/>
    <w:rsid w:val="00700224"/>
    <w:rsid w:val="0070100D"/>
    <w:rsid w:val="00701D1D"/>
    <w:rsid w:val="007021AE"/>
    <w:rsid w:val="0070738A"/>
    <w:rsid w:val="00707D51"/>
    <w:rsid w:val="00711C45"/>
    <w:rsid w:val="00711D80"/>
    <w:rsid w:val="00714551"/>
    <w:rsid w:val="00714E9F"/>
    <w:rsid w:val="00715580"/>
    <w:rsid w:val="00715CD1"/>
    <w:rsid w:val="0071601A"/>
    <w:rsid w:val="007170EB"/>
    <w:rsid w:val="00717500"/>
    <w:rsid w:val="00717F88"/>
    <w:rsid w:val="00722BF3"/>
    <w:rsid w:val="00722D15"/>
    <w:rsid w:val="007243F2"/>
    <w:rsid w:val="00725C32"/>
    <w:rsid w:val="007308AE"/>
    <w:rsid w:val="00733EE3"/>
    <w:rsid w:val="007372D8"/>
    <w:rsid w:val="007406B9"/>
    <w:rsid w:val="00742253"/>
    <w:rsid w:val="007429F8"/>
    <w:rsid w:val="00743EAA"/>
    <w:rsid w:val="00745176"/>
    <w:rsid w:val="0074747A"/>
    <w:rsid w:val="00750A75"/>
    <w:rsid w:val="00751A88"/>
    <w:rsid w:val="00754CD9"/>
    <w:rsid w:val="007570CE"/>
    <w:rsid w:val="007579A6"/>
    <w:rsid w:val="007638AA"/>
    <w:rsid w:val="0076399C"/>
    <w:rsid w:val="00764EC6"/>
    <w:rsid w:val="007709F4"/>
    <w:rsid w:val="00770E75"/>
    <w:rsid w:val="00771375"/>
    <w:rsid w:val="00771FF9"/>
    <w:rsid w:val="00772F51"/>
    <w:rsid w:val="007743A4"/>
    <w:rsid w:val="00776EFC"/>
    <w:rsid w:val="007778CC"/>
    <w:rsid w:val="00777B84"/>
    <w:rsid w:val="00780897"/>
    <w:rsid w:val="00782508"/>
    <w:rsid w:val="00785332"/>
    <w:rsid w:val="00785646"/>
    <w:rsid w:val="00785A5E"/>
    <w:rsid w:val="00785A60"/>
    <w:rsid w:val="00787782"/>
    <w:rsid w:val="007903BB"/>
    <w:rsid w:val="00790E11"/>
    <w:rsid w:val="00790FDD"/>
    <w:rsid w:val="007922E0"/>
    <w:rsid w:val="00794CBD"/>
    <w:rsid w:val="00795705"/>
    <w:rsid w:val="00795AEE"/>
    <w:rsid w:val="007A069F"/>
    <w:rsid w:val="007B0F13"/>
    <w:rsid w:val="007B124A"/>
    <w:rsid w:val="007B19A1"/>
    <w:rsid w:val="007B2C07"/>
    <w:rsid w:val="007B5924"/>
    <w:rsid w:val="007B76FA"/>
    <w:rsid w:val="007B796F"/>
    <w:rsid w:val="007C2612"/>
    <w:rsid w:val="007C3AB2"/>
    <w:rsid w:val="007C4D68"/>
    <w:rsid w:val="007C5A85"/>
    <w:rsid w:val="007C5F6B"/>
    <w:rsid w:val="007C7386"/>
    <w:rsid w:val="007D0A45"/>
    <w:rsid w:val="007D1310"/>
    <w:rsid w:val="007D2522"/>
    <w:rsid w:val="007D2A02"/>
    <w:rsid w:val="007D5346"/>
    <w:rsid w:val="007D5E82"/>
    <w:rsid w:val="007D5FBA"/>
    <w:rsid w:val="007E0073"/>
    <w:rsid w:val="007E1C8F"/>
    <w:rsid w:val="007E3754"/>
    <w:rsid w:val="007E56A8"/>
    <w:rsid w:val="007F00BA"/>
    <w:rsid w:val="007F1FB0"/>
    <w:rsid w:val="007F2ED0"/>
    <w:rsid w:val="007F3C30"/>
    <w:rsid w:val="007F4320"/>
    <w:rsid w:val="007F6393"/>
    <w:rsid w:val="007F7348"/>
    <w:rsid w:val="007F7943"/>
    <w:rsid w:val="008002EE"/>
    <w:rsid w:val="00801D2E"/>
    <w:rsid w:val="00802DCA"/>
    <w:rsid w:val="00805192"/>
    <w:rsid w:val="0080690E"/>
    <w:rsid w:val="008077FF"/>
    <w:rsid w:val="00807C7A"/>
    <w:rsid w:val="00810505"/>
    <w:rsid w:val="008118D5"/>
    <w:rsid w:val="00811C26"/>
    <w:rsid w:val="0081460B"/>
    <w:rsid w:val="00814757"/>
    <w:rsid w:val="00816DD7"/>
    <w:rsid w:val="008226E0"/>
    <w:rsid w:val="00822714"/>
    <w:rsid w:val="00822A46"/>
    <w:rsid w:val="00822F88"/>
    <w:rsid w:val="00823C7E"/>
    <w:rsid w:val="00823D72"/>
    <w:rsid w:val="0082457B"/>
    <w:rsid w:val="00824F6B"/>
    <w:rsid w:val="00831DD8"/>
    <w:rsid w:val="00836412"/>
    <w:rsid w:val="008402EB"/>
    <w:rsid w:val="00840B67"/>
    <w:rsid w:val="00840E41"/>
    <w:rsid w:val="0084181F"/>
    <w:rsid w:val="008436CF"/>
    <w:rsid w:val="00843B9B"/>
    <w:rsid w:val="00844AC3"/>
    <w:rsid w:val="008456C7"/>
    <w:rsid w:val="0085045D"/>
    <w:rsid w:val="008512CA"/>
    <w:rsid w:val="0085459F"/>
    <w:rsid w:val="008552B4"/>
    <w:rsid w:val="0086306A"/>
    <w:rsid w:val="008633B4"/>
    <w:rsid w:val="008638DC"/>
    <w:rsid w:val="00863EA8"/>
    <w:rsid w:val="00864974"/>
    <w:rsid w:val="00865C92"/>
    <w:rsid w:val="00867367"/>
    <w:rsid w:val="008679B5"/>
    <w:rsid w:val="00867B87"/>
    <w:rsid w:val="00867CB1"/>
    <w:rsid w:val="0087051A"/>
    <w:rsid w:val="008712CD"/>
    <w:rsid w:val="00873D8C"/>
    <w:rsid w:val="00875651"/>
    <w:rsid w:val="008764C9"/>
    <w:rsid w:val="008771B1"/>
    <w:rsid w:val="008775C9"/>
    <w:rsid w:val="00877AF8"/>
    <w:rsid w:val="00880D51"/>
    <w:rsid w:val="008858D1"/>
    <w:rsid w:val="00886D91"/>
    <w:rsid w:val="0088754D"/>
    <w:rsid w:val="008875B0"/>
    <w:rsid w:val="008915F6"/>
    <w:rsid w:val="00894756"/>
    <w:rsid w:val="00896021"/>
    <w:rsid w:val="00897030"/>
    <w:rsid w:val="008A0B0A"/>
    <w:rsid w:val="008A48DD"/>
    <w:rsid w:val="008A4C62"/>
    <w:rsid w:val="008A5D8A"/>
    <w:rsid w:val="008B2924"/>
    <w:rsid w:val="008B43AA"/>
    <w:rsid w:val="008B485C"/>
    <w:rsid w:val="008B4C6C"/>
    <w:rsid w:val="008C0037"/>
    <w:rsid w:val="008C221C"/>
    <w:rsid w:val="008C3399"/>
    <w:rsid w:val="008C4CBC"/>
    <w:rsid w:val="008C5CAC"/>
    <w:rsid w:val="008C70E8"/>
    <w:rsid w:val="008D114B"/>
    <w:rsid w:val="008D1C89"/>
    <w:rsid w:val="008D2A4E"/>
    <w:rsid w:val="008D301B"/>
    <w:rsid w:val="008D66C2"/>
    <w:rsid w:val="008D7905"/>
    <w:rsid w:val="008E01FB"/>
    <w:rsid w:val="008E024A"/>
    <w:rsid w:val="008E07C0"/>
    <w:rsid w:val="008E3851"/>
    <w:rsid w:val="008E3997"/>
    <w:rsid w:val="008E4BD6"/>
    <w:rsid w:val="008E5A9A"/>
    <w:rsid w:val="008E61D1"/>
    <w:rsid w:val="008E6687"/>
    <w:rsid w:val="008F2C1C"/>
    <w:rsid w:val="008F2C7F"/>
    <w:rsid w:val="008F5C46"/>
    <w:rsid w:val="008F6A80"/>
    <w:rsid w:val="008F7B5C"/>
    <w:rsid w:val="00900168"/>
    <w:rsid w:val="0090047E"/>
    <w:rsid w:val="00901DEA"/>
    <w:rsid w:val="00902C20"/>
    <w:rsid w:val="00902CFD"/>
    <w:rsid w:val="009032C5"/>
    <w:rsid w:val="00905898"/>
    <w:rsid w:val="00906802"/>
    <w:rsid w:val="009147C3"/>
    <w:rsid w:val="00914F8E"/>
    <w:rsid w:val="00915DF6"/>
    <w:rsid w:val="00916C15"/>
    <w:rsid w:val="009208C7"/>
    <w:rsid w:val="00920FEC"/>
    <w:rsid w:val="00921131"/>
    <w:rsid w:val="00921305"/>
    <w:rsid w:val="00922776"/>
    <w:rsid w:val="009230BF"/>
    <w:rsid w:val="0092528A"/>
    <w:rsid w:val="00926C3B"/>
    <w:rsid w:val="00930BDD"/>
    <w:rsid w:val="00930BEE"/>
    <w:rsid w:val="00931614"/>
    <w:rsid w:val="00936BA2"/>
    <w:rsid w:val="0094158C"/>
    <w:rsid w:val="00941A87"/>
    <w:rsid w:val="00941B2B"/>
    <w:rsid w:val="0094250A"/>
    <w:rsid w:val="00944D09"/>
    <w:rsid w:val="00946980"/>
    <w:rsid w:val="00950554"/>
    <w:rsid w:val="00950790"/>
    <w:rsid w:val="0095131F"/>
    <w:rsid w:val="00951731"/>
    <w:rsid w:val="009543F2"/>
    <w:rsid w:val="009554B2"/>
    <w:rsid w:val="00963F4F"/>
    <w:rsid w:val="009640F1"/>
    <w:rsid w:val="009658E6"/>
    <w:rsid w:val="00966AE1"/>
    <w:rsid w:val="00967EFD"/>
    <w:rsid w:val="00971369"/>
    <w:rsid w:val="009724E9"/>
    <w:rsid w:val="00973301"/>
    <w:rsid w:val="00974FFB"/>
    <w:rsid w:val="00975E5D"/>
    <w:rsid w:val="00976AEE"/>
    <w:rsid w:val="0097774D"/>
    <w:rsid w:val="009807FB"/>
    <w:rsid w:val="00980E73"/>
    <w:rsid w:val="0098170F"/>
    <w:rsid w:val="00981920"/>
    <w:rsid w:val="009829EF"/>
    <w:rsid w:val="0098484B"/>
    <w:rsid w:val="009856AE"/>
    <w:rsid w:val="0098618F"/>
    <w:rsid w:val="009865A7"/>
    <w:rsid w:val="00986765"/>
    <w:rsid w:val="0098715D"/>
    <w:rsid w:val="009902E5"/>
    <w:rsid w:val="009903A7"/>
    <w:rsid w:val="00990649"/>
    <w:rsid w:val="00990C58"/>
    <w:rsid w:val="00991B54"/>
    <w:rsid w:val="00995EF7"/>
    <w:rsid w:val="00996187"/>
    <w:rsid w:val="00996E66"/>
    <w:rsid w:val="009A3C6A"/>
    <w:rsid w:val="009A4C5E"/>
    <w:rsid w:val="009A5F05"/>
    <w:rsid w:val="009A7E13"/>
    <w:rsid w:val="009B275F"/>
    <w:rsid w:val="009B281D"/>
    <w:rsid w:val="009B2DFD"/>
    <w:rsid w:val="009B4EFB"/>
    <w:rsid w:val="009B526C"/>
    <w:rsid w:val="009B5AFB"/>
    <w:rsid w:val="009B6C72"/>
    <w:rsid w:val="009C1BC6"/>
    <w:rsid w:val="009C1E0D"/>
    <w:rsid w:val="009C22B5"/>
    <w:rsid w:val="009C6046"/>
    <w:rsid w:val="009D0AF8"/>
    <w:rsid w:val="009D3EC5"/>
    <w:rsid w:val="009D5999"/>
    <w:rsid w:val="009D62EC"/>
    <w:rsid w:val="009E0FD1"/>
    <w:rsid w:val="009E2EA9"/>
    <w:rsid w:val="009E3B1D"/>
    <w:rsid w:val="009E5F08"/>
    <w:rsid w:val="009E6668"/>
    <w:rsid w:val="009E784B"/>
    <w:rsid w:val="009F0DB2"/>
    <w:rsid w:val="009F0F31"/>
    <w:rsid w:val="009F1FB1"/>
    <w:rsid w:val="009F3757"/>
    <w:rsid w:val="009F3937"/>
    <w:rsid w:val="009F3E30"/>
    <w:rsid w:val="009F5BEB"/>
    <w:rsid w:val="009F5C7A"/>
    <w:rsid w:val="009F6F6C"/>
    <w:rsid w:val="00A001D5"/>
    <w:rsid w:val="00A01207"/>
    <w:rsid w:val="00A021B0"/>
    <w:rsid w:val="00A0310A"/>
    <w:rsid w:val="00A10A94"/>
    <w:rsid w:val="00A11F8F"/>
    <w:rsid w:val="00A125BF"/>
    <w:rsid w:val="00A13DD6"/>
    <w:rsid w:val="00A14E2E"/>
    <w:rsid w:val="00A15404"/>
    <w:rsid w:val="00A15562"/>
    <w:rsid w:val="00A16EE4"/>
    <w:rsid w:val="00A16F87"/>
    <w:rsid w:val="00A1711E"/>
    <w:rsid w:val="00A17BDE"/>
    <w:rsid w:val="00A206AC"/>
    <w:rsid w:val="00A22BC7"/>
    <w:rsid w:val="00A22BD6"/>
    <w:rsid w:val="00A22E93"/>
    <w:rsid w:val="00A239EF"/>
    <w:rsid w:val="00A24D5B"/>
    <w:rsid w:val="00A2738E"/>
    <w:rsid w:val="00A27816"/>
    <w:rsid w:val="00A3309C"/>
    <w:rsid w:val="00A342E7"/>
    <w:rsid w:val="00A34313"/>
    <w:rsid w:val="00A34DAB"/>
    <w:rsid w:val="00A3595F"/>
    <w:rsid w:val="00A40C95"/>
    <w:rsid w:val="00A4150D"/>
    <w:rsid w:val="00A44144"/>
    <w:rsid w:val="00A44157"/>
    <w:rsid w:val="00A44382"/>
    <w:rsid w:val="00A455C8"/>
    <w:rsid w:val="00A460F3"/>
    <w:rsid w:val="00A479EB"/>
    <w:rsid w:val="00A521BF"/>
    <w:rsid w:val="00A54260"/>
    <w:rsid w:val="00A547AC"/>
    <w:rsid w:val="00A5652E"/>
    <w:rsid w:val="00A5787F"/>
    <w:rsid w:val="00A60FE4"/>
    <w:rsid w:val="00A614C9"/>
    <w:rsid w:val="00A61577"/>
    <w:rsid w:val="00A616BD"/>
    <w:rsid w:val="00A6276B"/>
    <w:rsid w:val="00A62AD8"/>
    <w:rsid w:val="00A62FFA"/>
    <w:rsid w:val="00A65948"/>
    <w:rsid w:val="00A65AB6"/>
    <w:rsid w:val="00A67D57"/>
    <w:rsid w:val="00A711F0"/>
    <w:rsid w:val="00A72C1C"/>
    <w:rsid w:val="00A72E4D"/>
    <w:rsid w:val="00A761D6"/>
    <w:rsid w:val="00A76990"/>
    <w:rsid w:val="00A81743"/>
    <w:rsid w:val="00A839D4"/>
    <w:rsid w:val="00A83E44"/>
    <w:rsid w:val="00A8505A"/>
    <w:rsid w:val="00A851D6"/>
    <w:rsid w:val="00A85D1F"/>
    <w:rsid w:val="00A9170C"/>
    <w:rsid w:val="00A94671"/>
    <w:rsid w:val="00A95A02"/>
    <w:rsid w:val="00A962E8"/>
    <w:rsid w:val="00A96D14"/>
    <w:rsid w:val="00AA27D6"/>
    <w:rsid w:val="00AA2B57"/>
    <w:rsid w:val="00AA431A"/>
    <w:rsid w:val="00AA445D"/>
    <w:rsid w:val="00AA451E"/>
    <w:rsid w:val="00AA6E47"/>
    <w:rsid w:val="00AA7ABE"/>
    <w:rsid w:val="00AA7B67"/>
    <w:rsid w:val="00AB135B"/>
    <w:rsid w:val="00AB3FBF"/>
    <w:rsid w:val="00AB615D"/>
    <w:rsid w:val="00AC0C86"/>
    <w:rsid w:val="00AC0D1D"/>
    <w:rsid w:val="00AC1197"/>
    <w:rsid w:val="00AC4F2A"/>
    <w:rsid w:val="00AC51D9"/>
    <w:rsid w:val="00AD22F9"/>
    <w:rsid w:val="00AE0695"/>
    <w:rsid w:val="00AE09C0"/>
    <w:rsid w:val="00AE1847"/>
    <w:rsid w:val="00AE1E95"/>
    <w:rsid w:val="00AF107B"/>
    <w:rsid w:val="00AF2C6E"/>
    <w:rsid w:val="00AF3909"/>
    <w:rsid w:val="00AF58C7"/>
    <w:rsid w:val="00AF795A"/>
    <w:rsid w:val="00AF7A16"/>
    <w:rsid w:val="00AF7B1F"/>
    <w:rsid w:val="00B00221"/>
    <w:rsid w:val="00B01492"/>
    <w:rsid w:val="00B02FD6"/>
    <w:rsid w:val="00B04373"/>
    <w:rsid w:val="00B04FD3"/>
    <w:rsid w:val="00B072ED"/>
    <w:rsid w:val="00B07ABF"/>
    <w:rsid w:val="00B100C2"/>
    <w:rsid w:val="00B10761"/>
    <w:rsid w:val="00B10F9F"/>
    <w:rsid w:val="00B11804"/>
    <w:rsid w:val="00B124DC"/>
    <w:rsid w:val="00B12CAB"/>
    <w:rsid w:val="00B166EB"/>
    <w:rsid w:val="00B214FA"/>
    <w:rsid w:val="00B22310"/>
    <w:rsid w:val="00B22DEC"/>
    <w:rsid w:val="00B245D4"/>
    <w:rsid w:val="00B25075"/>
    <w:rsid w:val="00B2562A"/>
    <w:rsid w:val="00B26BD8"/>
    <w:rsid w:val="00B26C20"/>
    <w:rsid w:val="00B31138"/>
    <w:rsid w:val="00B3136F"/>
    <w:rsid w:val="00B3297A"/>
    <w:rsid w:val="00B34135"/>
    <w:rsid w:val="00B35C3D"/>
    <w:rsid w:val="00B36210"/>
    <w:rsid w:val="00B367C7"/>
    <w:rsid w:val="00B40533"/>
    <w:rsid w:val="00B41A28"/>
    <w:rsid w:val="00B42522"/>
    <w:rsid w:val="00B45A70"/>
    <w:rsid w:val="00B45E10"/>
    <w:rsid w:val="00B45F42"/>
    <w:rsid w:val="00B46B93"/>
    <w:rsid w:val="00B47295"/>
    <w:rsid w:val="00B4771F"/>
    <w:rsid w:val="00B5096C"/>
    <w:rsid w:val="00B51054"/>
    <w:rsid w:val="00B516AD"/>
    <w:rsid w:val="00B52238"/>
    <w:rsid w:val="00B533C4"/>
    <w:rsid w:val="00B534B8"/>
    <w:rsid w:val="00B5383C"/>
    <w:rsid w:val="00B542F0"/>
    <w:rsid w:val="00B54412"/>
    <w:rsid w:val="00B556E2"/>
    <w:rsid w:val="00B56493"/>
    <w:rsid w:val="00B57CB1"/>
    <w:rsid w:val="00B60CED"/>
    <w:rsid w:val="00B61666"/>
    <w:rsid w:val="00B616C0"/>
    <w:rsid w:val="00B61C62"/>
    <w:rsid w:val="00B626A3"/>
    <w:rsid w:val="00B62C6D"/>
    <w:rsid w:val="00B643F3"/>
    <w:rsid w:val="00B65B6D"/>
    <w:rsid w:val="00B665E9"/>
    <w:rsid w:val="00B67F2C"/>
    <w:rsid w:val="00B72EA4"/>
    <w:rsid w:val="00B73B51"/>
    <w:rsid w:val="00B758FC"/>
    <w:rsid w:val="00B768E9"/>
    <w:rsid w:val="00B77132"/>
    <w:rsid w:val="00B803F1"/>
    <w:rsid w:val="00B805B5"/>
    <w:rsid w:val="00B80617"/>
    <w:rsid w:val="00B81533"/>
    <w:rsid w:val="00B82747"/>
    <w:rsid w:val="00B856D2"/>
    <w:rsid w:val="00B8576C"/>
    <w:rsid w:val="00B86022"/>
    <w:rsid w:val="00B86836"/>
    <w:rsid w:val="00B874EB"/>
    <w:rsid w:val="00B90CCF"/>
    <w:rsid w:val="00B9122F"/>
    <w:rsid w:val="00B91977"/>
    <w:rsid w:val="00B9321E"/>
    <w:rsid w:val="00B94B99"/>
    <w:rsid w:val="00B9523A"/>
    <w:rsid w:val="00B965FD"/>
    <w:rsid w:val="00BA0F70"/>
    <w:rsid w:val="00BA45DD"/>
    <w:rsid w:val="00BA5AC3"/>
    <w:rsid w:val="00BA6720"/>
    <w:rsid w:val="00BB0F6C"/>
    <w:rsid w:val="00BB12A6"/>
    <w:rsid w:val="00BB245F"/>
    <w:rsid w:val="00BB30CB"/>
    <w:rsid w:val="00BB55E8"/>
    <w:rsid w:val="00BC07B7"/>
    <w:rsid w:val="00BC16B1"/>
    <w:rsid w:val="00BC2B7F"/>
    <w:rsid w:val="00BC3C63"/>
    <w:rsid w:val="00BC680A"/>
    <w:rsid w:val="00BC7ADA"/>
    <w:rsid w:val="00BD24A1"/>
    <w:rsid w:val="00BD3276"/>
    <w:rsid w:val="00BD4D80"/>
    <w:rsid w:val="00BD58E4"/>
    <w:rsid w:val="00BD62D4"/>
    <w:rsid w:val="00BD6A38"/>
    <w:rsid w:val="00BD7D7F"/>
    <w:rsid w:val="00BE22B8"/>
    <w:rsid w:val="00BE4B6B"/>
    <w:rsid w:val="00BE5ACA"/>
    <w:rsid w:val="00BE5D8A"/>
    <w:rsid w:val="00BE6927"/>
    <w:rsid w:val="00BF0582"/>
    <w:rsid w:val="00BF0C9C"/>
    <w:rsid w:val="00BF1D09"/>
    <w:rsid w:val="00BF2592"/>
    <w:rsid w:val="00BF3437"/>
    <w:rsid w:val="00BF38CC"/>
    <w:rsid w:val="00BF3E96"/>
    <w:rsid w:val="00BF51E9"/>
    <w:rsid w:val="00BF6511"/>
    <w:rsid w:val="00BF6602"/>
    <w:rsid w:val="00BF6DF9"/>
    <w:rsid w:val="00BF7207"/>
    <w:rsid w:val="00C01EEF"/>
    <w:rsid w:val="00C02471"/>
    <w:rsid w:val="00C0298D"/>
    <w:rsid w:val="00C04825"/>
    <w:rsid w:val="00C04AE9"/>
    <w:rsid w:val="00C060BE"/>
    <w:rsid w:val="00C07361"/>
    <w:rsid w:val="00C129ED"/>
    <w:rsid w:val="00C13C3C"/>
    <w:rsid w:val="00C172E1"/>
    <w:rsid w:val="00C17427"/>
    <w:rsid w:val="00C17CE9"/>
    <w:rsid w:val="00C21079"/>
    <w:rsid w:val="00C21F63"/>
    <w:rsid w:val="00C256F2"/>
    <w:rsid w:val="00C260D0"/>
    <w:rsid w:val="00C26B9D"/>
    <w:rsid w:val="00C27D42"/>
    <w:rsid w:val="00C27D4B"/>
    <w:rsid w:val="00C27F71"/>
    <w:rsid w:val="00C3059B"/>
    <w:rsid w:val="00C338A2"/>
    <w:rsid w:val="00C33B25"/>
    <w:rsid w:val="00C35E10"/>
    <w:rsid w:val="00C401DE"/>
    <w:rsid w:val="00C40888"/>
    <w:rsid w:val="00C41E09"/>
    <w:rsid w:val="00C432A4"/>
    <w:rsid w:val="00C442E3"/>
    <w:rsid w:val="00C442E8"/>
    <w:rsid w:val="00C449FE"/>
    <w:rsid w:val="00C45E78"/>
    <w:rsid w:val="00C46740"/>
    <w:rsid w:val="00C52102"/>
    <w:rsid w:val="00C52F72"/>
    <w:rsid w:val="00C53DBC"/>
    <w:rsid w:val="00C60F19"/>
    <w:rsid w:val="00C6136C"/>
    <w:rsid w:val="00C624CC"/>
    <w:rsid w:val="00C64734"/>
    <w:rsid w:val="00C64A1B"/>
    <w:rsid w:val="00C64B24"/>
    <w:rsid w:val="00C66797"/>
    <w:rsid w:val="00C6736E"/>
    <w:rsid w:val="00C67CDD"/>
    <w:rsid w:val="00C67D55"/>
    <w:rsid w:val="00C71F60"/>
    <w:rsid w:val="00C72538"/>
    <w:rsid w:val="00C74D37"/>
    <w:rsid w:val="00C760EF"/>
    <w:rsid w:val="00C763C4"/>
    <w:rsid w:val="00C77D5B"/>
    <w:rsid w:val="00C80239"/>
    <w:rsid w:val="00C80DFA"/>
    <w:rsid w:val="00C80EB6"/>
    <w:rsid w:val="00C81A6A"/>
    <w:rsid w:val="00C82276"/>
    <w:rsid w:val="00C82FBE"/>
    <w:rsid w:val="00C85E5F"/>
    <w:rsid w:val="00C85E80"/>
    <w:rsid w:val="00C85F4B"/>
    <w:rsid w:val="00C868A7"/>
    <w:rsid w:val="00C8698E"/>
    <w:rsid w:val="00C86EDF"/>
    <w:rsid w:val="00C86F9A"/>
    <w:rsid w:val="00C928DE"/>
    <w:rsid w:val="00C931D2"/>
    <w:rsid w:val="00C93BE2"/>
    <w:rsid w:val="00C96363"/>
    <w:rsid w:val="00C963F4"/>
    <w:rsid w:val="00CA0C6B"/>
    <w:rsid w:val="00CA0C92"/>
    <w:rsid w:val="00CA1C09"/>
    <w:rsid w:val="00CA3376"/>
    <w:rsid w:val="00CA4FA4"/>
    <w:rsid w:val="00CA72AC"/>
    <w:rsid w:val="00CA780C"/>
    <w:rsid w:val="00CA7FCD"/>
    <w:rsid w:val="00CB0044"/>
    <w:rsid w:val="00CB57B7"/>
    <w:rsid w:val="00CB667A"/>
    <w:rsid w:val="00CC3446"/>
    <w:rsid w:val="00CC55A6"/>
    <w:rsid w:val="00CC714A"/>
    <w:rsid w:val="00CD0D02"/>
    <w:rsid w:val="00CD12A4"/>
    <w:rsid w:val="00CD141D"/>
    <w:rsid w:val="00CD3568"/>
    <w:rsid w:val="00CD490A"/>
    <w:rsid w:val="00CD55C5"/>
    <w:rsid w:val="00CD58A1"/>
    <w:rsid w:val="00CE2627"/>
    <w:rsid w:val="00CE2E6D"/>
    <w:rsid w:val="00CE3215"/>
    <w:rsid w:val="00CE4AD3"/>
    <w:rsid w:val="00CE5D87"/>
    <w:rsid w:val="00CE5DD3"/>
    <w:rsid w:val="00CF0045"/>
    <w:rsid w:val="00CF3A32"/>
    <w:rsid w:val="00CF3A48"/>
    <w:rsid w:val="00CF3F7B"/>
    <w:rsid w:val="00CF5BD4"/>
    <w:rsid w:val="00CF5C12"/>
    <w:rsid w:val="00CF5F33"/>
    <w:rsid w:val="00CF796D"/>
    <w:rsid w:val="00D007A9"/>
    <w:rsid w:val="00D01469"/>
    <w:rsid w:val="00D0314D"/>
    <w:rsid w:val="00D05DC6"/>
    <w:rsid w:val="00D1039F"/>
    <w:rsid w:val="00D13A2B"/>
    <w:rsid w:val="00D13C4F"/>
    <w:rsid w:val="00D14D74"/>
    <w:rsid w:val="00D169FE"/>
    <w:rsid w:val="00D22963"/>
    <w:rsid w:val="00D2550C"/>
    <w:rsid w:val="00D30428"/>
    <w:rsid w:val="00D32D27"/>
    <w:rsid w:val="00D37E0C"/>
    <w:rsid w:val="00D450A5"/>
    <w:rsid w:val="00D4786D"/>
    <w:rsid w:val="00D52A24"/>
    <w:rsid w:val="00D53906"/>
    <w:rsid w:val="00D53C01"/>
    <w:rsid w:val="00D55F51"/>
    <w:rsid w:val="00D57BD0"/>
    <w:rsid w:val="00D608E8"/>
    <w:rsid w:val="00D60D58"/>
    <w:rsid w:val="00D628EB"/>
    <w:rsid w:val="00D63EB2"/>
    <w:rsid w:val="00D6412D"/>
    <w:rsid w:val="00D6471C"/>
    <w:rsid w:val="00D65CE3"/>
    <w:rsid w:val="00D67C2F"/>
    <w:rsid w:val="00D7274C"/>
    <w:rsid w:val="00D7279F"/>
    <w:rsid w:val="00D736C5"/>
    <w:rsid w:val="00D770A9"/>
    <w:rsid w:val="00D81E7A"/>
    <w:rsid w:val="00D8319B"/>
    <w:rsid w:val="00D84628"/>
    <w:rsid w:val="00D85EE5"/>
    <w:rsid w:val="00D861D5"/>
    <w:rsid w:val="00D868E8"/>
    <w:rsid w:val="00D90AD5"/>
    <w:rsid w:val="00D9318C"/>
    <w:rsid w:val="00D94C43"/>
    <w:rsid w:val="00D95B91"/>
    <w:rsid w:val="00D969F7"/>
    <w:rsid w:val="00D96D2E"/>
    <w:rsid w:val="00D9738A"/>
    <w:rsid w:val="00D977B0"/>
    <w:rsid w:val="00DA3DEF"/>
    <w:rsid w:val="00DA49AF"/>
    <w:rsid w:val="00DA7C1F"/>
    <w:rsid w:val="00DB07EA"/>
    <w:rsid w:val="00DB767D"/>
    <w:rsid w:val="00DB79CE"/>
    <w:rsid w:val="00DB7EB6"/>
    <w:rsid w:val="00DC03A0"/>
    <w:rsid w:val="00DC0621"/>
    <w:rsid w:val="00DC26C4"/>
    <w:rsid w:val="00DC321D"/>
    <w:rsid w:val="00DC6396"/>
    <w:rsid w:val="00DC6629"/>
    <w:rsid w:val="00DD0E67"/>
    <w:rsid w:val="00DD1828"/>
    <w:rsid w:val="00DD191A"/>
    <w:rsid w:val="00DD1DCB"/>
    <w:rsid w:val="00DD2038"/>
    <w:rsid w:val="00DD3C66"/>
    <w:rsid w:val="00DD4091"/>
    <w:rsid w:val="00DD700D"/>
    <w:rsid w:val="00DE28D6"/>
    <w:rsid w:val="00DE3728"/>
    <w:rsid w:val="00DE3E27"/>
    <w:rsid w:val="00DE66CF"/>
    <w:rsid w:val="00DE70E0"/>
    <w:rsid w:val="00DF3C19"/>
    <w:rsid w:val="00DF655C"/>
    <w:rsid w:val="00DF6C80"/>
    <w:rsid w:val="00DF73DA"/>
    <w:rsid w:val="00DF7CB3"/>
    <w:rsid w:val="00DF7F24"/>
    <w:rsid w:val="00E006B8"/>
    <w:rsid w:val="00E013FD"/>
    <w:rsid w:val="00E01E62"/>
    <w:rsid w:val="00E032AD"/>
    <w:rsid w:val="00E04285"/>
    <w:rsid w:val="00E0670B"/>
    <w:rsid w:val="00E06B37"/>
    <w:rsid w:val="00E06D87"/>
    <w:rsid w:val="00E06FAA"/>
    <w:rsid w:val="00E07F1A"/>
    <w:rsid w:val="00E11083"/>
    <w:rsid w:val="00E11858"/>
    <w:rsid w:val="00E14A3E"/>
    <w:rsid w:val="00E168EA"/>
    <w:rsid w:val="00E20253"/>
    <w:rsid w:val="00E21804"/>
    <w:rsid w:val="00E22E7A"/>
    <w:rsid w:val="00E264B5"/>
    <w:rsid w:val="00E27D29"/>
    <w:rsid w:val="00E30264"/>
    <w:rsid w:val="00E30D61"/>
    <w:rsid w:val="00E31304"/>
    <w:rsid w:val="00E36042"/>
    <w:rsid w:val="00E37229"/>
    <w:rsid w:val="00E3760F"/>
    <w:rsid w:val="00E40E78"/>
    <w:rsid w:val="00E40F58"/>
    <w:rsid w:val="00E420B5"/>
    <w:rsid w:val="00E42412"/>
    <w:rsid w:val="00E43655"/>
    <w:rsid w:val="00E44D9A"/>
    <w:rsid w:val="00E451CC"/>
    <w:rsid w:val="00E46F8F"/>
    <w:rsid w:val="00E4791C"/>
    <w:rsid w:val="00E527A0"/>
    <w:rsid w:val="00E535C4"/>
    <w:rsid w:val="00E56B42"/>
    <w:rsid w:val="00E61AE5"/>
    <w:rsid w:val="00E6548C"/>
    <w:rsid w:val="00E67E4D"/>
    <w:rsid w:val="00E704F9"/>
    <w:rsid w:val="00E71F28"/>
    <w:rsid w:val="00E72EB9"/>
    <w:rsid w:val="00E740E4"/>
    <w:rsid w:val="00E755CB"/>
    <w:rsid w:val="00E75660"/>
    <w:rsid w:val="00E7773F"/>
    <w:rsid w:val="00E80A8F"/>
    <w:rsid w:val="00E82484"/>
    <w:rsid w:val="00E82833"/>
    <w:rsid w:val="00E832A1"/>
    <w:rsid w:val="00E83D26"/>
    <w:rsid w:val="00E851FB"/>
    <w:rsid w:val="00E859F4"/>
    <w:rsid w:val="00E86FD7"/>
    <w:rsid w:val="00E8787E"/>
    <w:rsid w:val="00E879D4"/>
    <w:rsid w:val="00E87AF9"/>
    <w:rsid w:val="00E90966"/>
    <w:rsid w:val="00E92296"/>
    <w:rsid w:val="00E924CF"/>
    <w:rsid w:val="00E925C6"/>
    <w:rsid w:val="00E9275F"/>
    <w:rsid w:val="00E93F71"/>
    <w:rsid w:val="00E9480D"/>
    <w:rsid w:val="00E97AE1"/>
    <w:rsid w:val="00EA00D7"/>
    <w:rsid w:val="00EA134A"/>
    <w:rsid w:val="00EA46F5"/>
    <w:rsid w:val="00EA55BD"/>
    <w:rsid w:val="00EA641D"/>
    <w:rsid w:val="00EA6AF1"/>
    <w:rsid w:val="00EB178D"/>
    <w:rsid w:val="00EB3483"/>
    <w:rsid w:val="00EB3F1C"/>
    <w:rsid w:val="00EB4CDD"/>
    <w:rsid w:val="00EB5361"/>
    <w:rsid w:val="00EB6D3E"/>
    <w:rsid w:val="00EB769A"/>
    <w:rsid w:val="00EB7D44"/>
    <w:rsid w:val="00EB7D96"/>
    <w:rsid w:val="00EC1433"/>
    <w:rsid w:val="00EC2F3C"/>
    <w:rsid w:val="00EC4B80"/>
    <w:rsid w:val="00EC4F94"/>
    <w:rsid w:val="00EC515B"/>
    <w:rsid w:val="00EC5E90"/>
    <w:rsid w:val="00EC6F45"/>
    <w:rsid w:val="00EC7D93"/>
    <w:rsid w:val="00ED028E"/>
    <w:rsid w:val="00ED297E"/>
    <w:rsid w:val="00ED56D2"/>
    <w:rsid w:val="00ED6929"/>
    <w:rsid w:val="00ED75D9"/>
    <w:rsid w:val="00EE00AB"/>
    <w:rsid w:val="00EE15EB"/>
    <w:rsid w:val="00EE1C0A"/>
    <w:rsid w:val="00EE4C6E"/>
    <w:rsid w:val="00EE71C3"/>
    <w:rsid w:val="00EF1898"/>
    <w:rsid w:val="00EF258E"/>
    <w:rsid w:val="00EF3635"/>
    <w:rsid w:val="00EF7FD4"/>
    <w:rsid w:val="00F00822"/>
    <w:rsid w:val="00F01931"/>
    <w:rsid w:val="00F05269"/>
    <w:rsid w:val="00F0588A"/>
    <w:rsid w:val="00F05C83"/>
    <w:rsid w:val="00F10F7B"/>
    <w:rsid w:val="00F12603"/>
    <w:rsid w:val="00F135AE"/>
    <w:rsid w:val="00F14120"/>
    <w:rsid w:val="00F17AB4"/>
    <w:rsid w:val="00F17B8C"/>
    <w:rsid w:val="00F17C94"/>
    <w:rsid w:val="00F21482"/>
    <w:rsid w:val="00F22130"/>
    <w:rsid w:val="00F22A2E"/>
    <w:rsid w:val="00F23406"/>
    <w:rsid w:val="00F2553C"/>
    <w:rsid w:val="00F25A6D"/>
    <w:rsid w:val="00F30136"/>
    <w:rsid w:val="00F30303"/>
    <w:rsid w:val="00F305E4"/>
    <w:rsid w:val="00F30DC8"/>
    <w:rsid w:val="00F35BB0"/>
    <w:rsid w:val="00F35BDA"/>
    <w:rsid w:val="00F370EE"/>
    <w:rsid w:val="00F4068B"/>
    <w:rsid w:val="00F40E52"/>
    <w:rsid w:val="00F41A68"/>
    <w:rsid w:val="00F455D2"/>
    <w:rsid w:val="00F460E8"/>
    <w:rsid w:val="00F50187"/>
    <w:rsid w:val="00F5215E"/>
    <w:rsid w:val="00F5269A"/>
    <w:rsid w:val="00F52D46"/>
    <w:rsid w:val="00F541C8"/>
    <w:rsid w:val="00F56506"/>
    <w:rsid w:val="00F56976"/>
    <w:rsid w:val="00F63072"/>
    <w:rsid w:val="00F63230"/>
    <w:rsid w:val="00F6386F"/>
    <w:rsid w:val="00F65791"/>
    <w:rsid w:val="00F706D9"/>
    <w:rsid w:val="00F7357B"/>
    <w:rsid w:val="00F73C3B"/>
    <w:rsid w:val="00F74417"/>
    <w:rsid w:val="00F7474F"/>
    <w:rsid w:val="00F74AFA"/>
    <w:rsid w:val="00F75991"/>
    <w:rsid w:val="00F80E85"/>
    <w:rsid w:val="00F827D0"/>
    <w:rsid w:val="00F82B99"/>
    <w:rsid w:val="00F8447A"/>
    <w:rsid w:val="00F84728"/>
    <w:rsid w:val="00F84730"/>
    <w:rsid w:val="00F8578A"/>
    <w:rsid w:val="00F9021E"/>
    <w:rsid w:val="00F93B9E"/>
    <w:rsid w:val="00F94644"/>
    <w:rsid w:val="00F95556"/>
    <w:rsid w:val="00F955F5"/>
    <w:rsid w:val="00F95FDB"/>
    <w:rsid w:val="00F96CB6"/>
    <w:rsid w:val="00FA00F2"/>
    <w:rsid w:val="00FA01A0"/>
    <w:rsid w:val="00FA1886"/>
    <w:rsid w:val="00FA25BB"/>
    <w:rsid w:val="00FA2F58"/>
    <w:rsid w:val="00FA3C31"/>
    <w:rsid w:val="00FA6B8C"/>
    <w:rsid w:val="00FA773F"/>
    <w:rsid w:val="00FB2602"/>
    <w:rsid w:val="00FB32FE"/>
    <w:rsid w:val="00FB3E03"/>
    <w:rsid w:val="00FB450F"/>
    <w:rsid w:val="00FB4F0C"/>
    <w:rsid w:val="00FB69E4"/>
    <w:rsid w:val="00FC55B0"/>
    <w:rsid w:val="00FC5827"/>
    <w:rsid w:val="00FC5EFA"/>
    <w:rsid w:val="00FC69C7"/>
    <w:rsid w:val="00FC6F4A"/>
    <w:rsid w:val="00FC6FAE"/>
    <w:rsid w:val="00FD09AA"/>
    <w:rsid w:val="00FD2225"/>
    <w:rsid w:val="00FD2825"/>
    <w:rsid w:val="00FD41EF"/>
    <w:rsid w:val="00FD53A6"/>
    <w:rsid w:val="00FD71D3"/>
    <w:rsid w:val="00FD7232"/>
    <w:rsid w:val="00FE10D7"/>
    <w:rsid w:val="00FE272D"/>
    <w:rsid w:val="00FE2CCF"/>
    <w:rsid w:val="00FE31AC"/>
    <w:rsid w:val="00FE46E3"/>
    <w:rsid w:val="00FE5698"/>
    <w:rsid w:val="00FE6FBE"/>
    <w:rsid w:val="00FF4BD6"/>
    <w:rsid w:val="00FF541A"/>
    <w:rsid w:val="00FF6DE1"/>
    <w:rsid w:val="63140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0"/>
    <w:rPr>
      <w:rFonts w:eastAsia="黑体" w:asciiTheme="majorHAnsi" w:hAnsiTheme="majorHAnsi" w:cstheme="majorBidi"/>
      <w:sz w:val="20"/>
      <w:szCs w:val="20"/>
    </w:rPr>
  </w:style>
  <w:style w:type="paragraph" w:styleId="3">
    <w:name w:val="Body Text Indent"/>
    <w:basedOn w:val="1"/>
    <w:link w:val="20"/>
    <w:qFormat/>
    <w:uiPriority w:val="0"/>
    <w:pPr>
      <w:spacing w:after="120"/>
      <w:ind w:left="420" w:leftChars="200"/>
    </w:pPr>
  </w:style>
  <w:style w:type="paragraph" w:styleId="4">
    <w:name w:val="Body Text Indent 2"/>
    <w:basedOn w:val="1"/>
    <w:qFormat/>
    <w:uiPriority w:val="0"/>
    <w:pPr>
      <w:spacing w:after="120" w:line="480" w:lineRule="auto"/>
      <w:ind w:left="420" w:leftChars="200"/>
    </w:pPr>
  </w:style>
  <w:style w:type="paragraph" w:styleId="5">
    <w:name w:val="Balloon Text"/>
    <w:basedOn w:val="1"/>
    <w:link w:val="19"/>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5"/>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jc w:val="left"/>
    </w:pPr>
    <w:rPr>
      <w:rFonts w:ascii="宋体" w:hAnsi="宋体" w:cs="宋体"/>
      <w:color w:val="333333"/>
      <w:kern w:val="0"/>
      <w:sz w:val="24"/>
    </w:rPr>
  </w:style>
  <w:style w:type="paragraph" w:styleId="9">
    <w:name w:val="Body Text First Indent 2"/>
    <w:basedOn w:val="3"/>
    <w:link w:val="21"/>
    <w:qFormat/>
    <w:uiPriority w:val="0"/>
    <w:pPr>
      <w:ind w:firstLine="420" w:firstLineChars="200"/>
    </w:pPr>
  </w:style>
  <w:style w:type="character" w:styleId="12">
    <w:name w:val="page number"/>
    <w:basedOn w:val="11"/>
    <w:qFormat/>
    <w:uiPriority w:val="0"/>
  </w:style>
  <w:style w:type="paragraph" w:customStyle="1" w:styleId="13">
    <w:name w:val="列出段落1"/>
    <w:basedOn w:val="1"/>
    <w:qFormat/>
    <w:uiPriority w:val="0"/>
    <w:pPr>
      <w:spacing w:line="360" w:lineRule="auto"/>
      <w:ind w:firstLine="420" w:firstLineChars="200"/>
    </w:pPr>
    <w:rPr>
      <w:rFonts w:ascii="Calibri" w:hAnsi="Calibri"/>
      <w:szCs w:val="22"/>
    </w:rPr>
  </w:style>
  <w:style w:type="paragraph" w:customStyle="1" w:styleId="14">
    <w:name w:val="Char"/>
    <w:basedOn w:val="1"/>
    <w:uiPriority w:val="0"/>
    <w:rPr>
      <w:rFonts w:ascii="Tahoma" w:hAnsi="Tahoma"/>
      <w:sz w:val="24"/>
      <w:szCs w:val="20"/>
    </w:rPr>
  </w:style>
  <w:style w:type="character" w:customStyle="1" w:styleId="15">
    <w:name w:val="页眉 Char"/>
    <w:basedOn w:val="11"/>
    <w:link w:val="7"/>
    <w:uiPriority w:val="0"/>
    <w:rPr>
      <w:kern w:val="2"/>
      <w:sz w:val="18"/>
      <w:szCs w:val="18"/>
    </w:rPr>
  </w:style>
  <w:style w:type="paragraph" w:customStyle="1" w:styleId="16">
    <w:name w:val="Char Char Char Char Char Char Char"/>
    <w:basedOn w:val="1"/>
    <w:qFormat/>
    <w:uiPriority w:val="0"/>
    <w:pPr>
      <w:framePr w:hSpace="180" w:wrap="around" w:vAnchor="text" w:hAnchor="margin" w:y="7"/>
      <w:widowControl/>
      <w:spacing w:after="160" w:line="240" w:lineRule="exact"/>
      <w:ind w:right="113" w:rightChars="54"/>
    </w:pPr>
    <w:rPr>
      <w:rFonts w:ascii="宋体" w:hAnsi="宋体"/>
      <w:b/>
      <w:color w:val="000000"/>
      <w:kern w:val="0"/>
      <w:sz w:val="18"/>
      <w:szCs w:val="18"/>
    </w:rPr>
  </w:style>
  <w:style w:type="paragraph" w:styleId="17">
    <w:name w:val="List Paragraph"/>
    <w:basedOn w:val="1"/>
    <w:qFormat/>
    <w:uiPriority w:val="0"/>
    <w:pPr>
      <w:spacing w:line="360" w:lineRule="auto"/>
      <w:ind w:firstLine="420" w:firstLineChars="200"/>
    </w:pPr>
    <w:rPr>
      <w:rFonts w:ascii="Calibri" w:hAnsi="Calibri"/>
      <w:szCs w:val="22"/>
    </w:rPr>
  </w:style>
  <w:style w:type="paragraph" w:customStyle="1" w:styleId="18">
    <w:name w:val="Char Char1 Char Char Char Char"/>
    <w:basedOn w:val="1"/>
    <w:semiHidden/>
    <w:qFormat/>
    <w:uiPriority w:val="0"/>
    <w:pPr>
      <w:widowControl/>
      <w:jc w:val="left"/>
    </w:pPr>
    <w:rPr>
      <w:rFonts w:ascii="宋体" w:hAnsi="宋体" w:cs="宋体"/>
      <w:kern w:val="0"/>
      <w:sz w:val="24"/>
    </w:rPr>
  </w:style>
  <w:style w:type="character" w:customStyle="1" w:styleId="19">
    <w:name w:val="批注框文本 Char"/>
    <w:basedOn w:val="11"/>
    <w:link w:val="5"/>
    <w:uiPriority w:val="0"/>
    <w:rPr>
      <w:kern w:val="2"/>
      <w:sz w:val="18"/>
      <w:szCs w:val="18"/>
    </w:rPr>
  </w:style>
  <w:style w:type="character" w:customStyle="1" w:styleId="20">
    <w:name w:val="正文文本缩进 Char"/>
    <w:basedOn w:val="11"/>
    <w:link w:val="3"/>
    <w:qFormat/>
    <w:uiPriority w:val="0"/>
    <w:rPr>
      <w:kern w:val="2"/>
      <w:sz w:val="21"/>
      <w:szCs w:val="24"/>
    </w:rPr>
  </w:style>
  <w:style w:type="character" w:customStyle="1" w:styleId="21">
    <w:name w:val="正文首行缩进 2 Char"/>
    <w:basedOn w:val="20"/>
    <w:link w:val="9"/>
    <w:qFormat/>
    <w:uiPriority w:val="0"/>
  </w:style>
  <w:style w:type="paragraph" w:customStyle="1" w:styleId="22">
    <w:name w:val="默认"/>
    <w:basedOn w:val="1"/>
    <w:next w:val="1"/>
    <w:qFormat/>
    <w:uiPriority w:val="0"/>
    <w:pPr>
      <w:widowControl/>
      <w:ind w:firstLine="21" w:firstLineChars="200"/>
      <w:jc w:val="left"/>
    </w:pPr>
    <w:rPr>
      <w:rFonts w:ascii="Helvetica Neue" w:hAnsi="Helvetica Neue" w:eastAsia="Arial Unicode MS" w:cs="Arial Unicode MS"/>
      <w:color w:val="000000"/>
      <w:kern w:val="0"/>
      <w:sz w:val="20"/>
      <w:szCs w:val="20"/>
    </w:rPr>
  </w:style>
  <w:style w:type="paragraph" w:customStyle="1" w:styleId="23">
    <w:name w:val="Default"/>
    <w:basedOn w:val="1"/>
    <w:qFormat/>
    <w:uiPriority w:val="0"/>
    <w:pPr>
      <w:autoSpaceDE w:val="0"/>
      <w:autoSpaceDN w:val="0"/>
      <w:ind w:firstLine="21" w:firstLineChars="200"/>
      <w:jc w:val="left"/>
    </w:pPr>
    <w:rPr>
      <w:rFonts w:ascii="Calibri" w:hAnsi="Calibri" w:cs="宋体"/>
      <w:color w:val="000000"/>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A6248-C366-46D5-A219-0943732DF3AF}">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16</Pages>
  <Words>1346</Words>
  <Characters>7676</Characters>
  <Lines>63</Lines>
  <Paragraphs>18</Paragraphs>
  <TotalTime>1</TotalTime>
  <ScaleCrop>false</ScaleCrop>
  <LinksUpToDate>false</LinksUpToDate>
  <CharactersWithSpaces>9004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2022-07-17T15:05:00Z</dcterms:created>
  <dc:creator>YlmF</dc:creator>
  <cp:lastModifiedBy>熊鹰</cp:lastModifiedBy>
  <cp:lastPrinted>2018-10-15T10:28:00Z</cp:lastPrinted>
  <dcterms:modified xsi:type="dcterms:W3CDTF">2026-10-10T01:20:26Z</dcterms:modified>
  <dc:title>攀仁财[2008]87号            签发人：赖忠能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1E3175D89E794B40BC08AB2215203289</vt:lpwstr>
  </property>
</Properties>
</file>