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9"/>
        <w:spacing w:before="93"/>
        <w:rPr>
          <w:rFonts w:ascii="Times New Roman" w:eastAsia="方正小标宋简体"/>
          <w:kern w:val="2"/>
          <w:sz w:val="72"/>
          <w:szCs w:val="72"/>
        </w:rPr>
      </w:pPr>
      <w:bookmarkStart w:id="0" w:name="_Toc15378441"/>
      <w:bookmarkStart w:id="1" w:name="_Toc15396475"/>
      <w:bookmarkStart w:id="2" w:name="_Toc15377425"/>
      <w:bookmarkStart w:id="3" w:name="_Toc15396597"/>
      <w:bookmarkStart w:id="4" w:name="_Toc15377193"/>
      <w:bookmarkStart w:id="5" w:name="_Toc15306267"/>
    </w:p>
    <w:p>
      <w:pPr>
        <w:pStyle w:val="9"/>
        <w:spacing w:before="93"/>
        <w:rPr>
          <w:rFonts w:ascii="Times New Roman" w:eastAsia="方正小标宋简体"/>
          <w:kern w:val="2"/>
          <w:sz w:val="72"/>
          <w:szCs w:val="72"/>
        </w:rPr>
      </w:pPr>
    </w:p>
    <w:p>
      <w:pPr>
        <w:pStyle w:val="9"/>
        <w:spacing w:before="93"/>
        <w:rPr>
          <w:rFonts w:ascii="Times New Roman" w:eastAsia="方正小标宋简体"/>
          <w:kern w:val="2"/>
          <w:sz w:val="72"/>
          <w:szCs w:val="72"/>
        </w:rPr>
      </w:pPr>
    </w:p>
    <w:p>
      <w:pPr>
        <w:pStyle w:val="9"/>
        <w:spacing w:before="93"/>
        <w:jc w:val="center"/>
        <w:rPr>
          <w:rFonts w:ascii="Times New Roman" w:eastAsia="方正小标宋简体"/>
          <w:kern w:val="2"/>
          <w:sz w:val="44"/>
          <w:szCs w:val="44"/>
        </w:rPr>
      </w:pPr>
      <w:r>
        <w:rPr>
          <w:rFonts w:hint="eastAsia" w:ascii="Times New Roman" w:eastAsia="方正小标宋简体"/>
          <w:kern w:val="2"/>
          <w:sz w:val="44"/>
          <w:szCs w:val="44"/>
        </w:rPr>
        <w:t>2025年度</w:t>
      </w:r>
      <w:bookmarkStart w:id="6" w:name="OLE_LINK1"/>
      <w:r>
        <w:rPr>
          <w:rFonts w:hint="eastAsia" w:ascii="Times New Roman" w:eastAsia="方正小标宋简体"/>
          <w:kern w:val="2"/>
          <w:sz w:val="44"/>
          <w:szCs w:val="44"/>
        </w:rPr>
        <w:t>四川省攀枝花市仁和区信访局</w:t>
      </w:r>
      <w:bookmarkEnd w:id="6"/>
    </w:p>
    <w:p>
      <w:pPr>
        <w:pStyle w:val="9"/>
        <w:spacing w:before="93"/>
        <w:jc w:val="center"/>
        <w:rPr>
          <w:rFonts w:ascii="Times New Roman" w:eastAsia="方正小标宋简体"/>
          <w:kern w:val="2"/>
          <w:sz w:val="44"/>
          <w:szCs w:val="44"/>
        </w:rPr>
      </w:pPr>
      <w:r>
        <w:rPr>
          <w:rFonts w:hint="eastAsia" w:ascii="Times New Roman" w:eastAsia="方正小标宋简体"/>
          <w:kern w:val="2"/>
          <w:sz w:val="44"/>
          <w:szCs w:val="44"/>
        </w:rPr>
        <w:t>部门决算</w:t>
      </w:r>
    </w:p>
    <w:p>
      <w:pPr>
        <w:spacing w:line="600" w:lineRule="exact"/>
        <w:jc w:val="center"/>
        <w:outlineLvl w:val="0"/>
        <w:rPr>
          <w:rFonts w:eastAsia="方正小标宋简体"/>
          <w:sz w:val="72"/>
          <w:szCs w:val="72"/>
        </w:rPr>
      </w:pPr>
    </w:p>
    <w:p>
      <w:pPr>
        <w:pStyle w:val="22"/>
        <w:rPr>
          <w:rFonts w:ascii="Times New Roman" w:hAnsi="Times New Roman" w:eastAsia="方正小标宋简体"/>
          <w:b w:val="0"/>
          <w:sz w:val="72"/>
          <w:szCs w:val="72"/>
        </w:rPr>
      </w:pPr>
    </w:p>
    <w:p/>
    <w:p/>
    <w:p/>
    <w:p/>
    <w:p/>
    <w:p>
      <w:pPr>
        <w:rPr>
          <w:rFonts w:eastAsia="方正小标宋简体"/>
          <w:sz w:val="72"/>
          <w:szCs w:val="72"/>
        </w:rPr>
      </w:pPr>
    </w:p>
    <w:p/>
    <w:p/>
    <w:p>
      <w:pPr>
        <w:tabs>
          <w:tab w:val="left" w:pos="600"/>
        </w:tabs>
        <w:rPr>
          <w:rFonts w:eastAsia="方正小标宋简体"/>
          <w:sz w:val="72"/>
          <w:szCs w:val="72"/>
        </w:rPr>
      </w:pPr>
      <w:r>
        <w:rPr>
          <w:rFonts w:eastAsia="方正小标宋简体"/>
          <w:sz w:val="72"/>
          <w:szCs w:val="72"/>
        </w:rPr>
        <w:tab/>
      </w:r>
    </w:p>
    <w:p/>
    <w:bookmarkEnd w:id="0"/>
    <w:bookmarkEnd w:id="1"/>
    <w:bookmarkEnd w:id="2"/>
    <w:bookmarkEnd w:id="3"/>
    <w:bookmarkEnd w:id="4"/>
    <w:bookmarkEnd w:id="5"/>
    <w:p>
      <w:pPr>
        <w:widowControl/>
        <w:jc w:val="center"/>
        <w:rPr>
          <w:rFonts w:eastAsia="黑体"/>
          <w:sz w:val="48"/>
          <w:szCs w:val="48"/>
        </w:rPr>
      </w:pPr>
      <w:r>
        <w:rPr>
          <w:rFonts w:hint="eastAsia" w:eastAsia="黑体"/>
          <w:sz w:val="48"/>
          <w:szCs w:val="48"/>
        </w:rPr>
        <w:t>目录</w:t>
      </w:r>
    </w:p>
    <w:p>
      <w:pPr>
        <w:widowControl/>
        <w:jc w:val="center"/>
        <w:rPr>
          <w:rFonts w:eastAsia="黑体" w:cstheme="minorBidi"/>
          <w:sz w:val="28"/>
          <w:szCs w:val="28"/>
        </w:rPr>
      </w:pPr>
    </w:p>
    <w:p>
      <w:pPr>
        <w:pStyle w:val="15"/>
        <w:rPr>
          <w:rFonts w:ascii="Times New Roman" w:hAnsi="Times New Roman" w:eastAsia="仿宋_GB2312" w:cs="仿宋_GB2312"/>
          <w:sz w:val="32"/>
          <w:szCs w:val="32"/>
        </w:rPr>
      </w:pPr>
      <w:r>
        <w:rPr>
          <w:rFonts w:hint="eastAsia" w:ascii="Times New Roman" w:hAnsi="Times New Roman" w:eastAsia="仿宋_GB2312" w:cs="仿宋_GB2312"/>
          <w:sz w:val="32"/>
          <w:szCs w:val="32"/>
          <w:highlight w:val="none"/>
        </w:rPr>
        <w:t>公开时间：2026年 9 月 18 日</w:t>
      </w:r>
    </w:p>
    <w:p/>
    <w:p>
      <w:pPr>
        <w:pStyle w:val="15"/>
        <w:adjustRightInd w:val="0"/>
        <w:snapToGrid w:val="0"/>
        <w:spacing w:before="0" w:line="440" w:lineRule="exact"/>
        <w:jc w:val="left"/>
        <w:rPr>
          <w:rFonts w:ascii="Times New Roman" w:hAnsi="Times New Roman"/>
          <w:b/>
          <w:bCs/>
          <w:sz w:val="24"/>
          <w:szCs w:val="24"/>
        </w:rPr>
      </w:pPr>
      <w:bookmarkStart w:id="7" w:name="_Toc15396599"/>
      <w:bookmarkStart w:id="8" w:name="_Toc15377196"/>
      <w:r>
        <w:rPr>
          <w:rFonts w:ascii="Times New Roman" w:hAnsi="Times New Roman" w:eastAsia="黑体" w:cs="黑体"/>
          <w:sz w:val="32"/>
          <w:szCs w:val="32"/>
        </w:rPr>
        <w:t>第一部分</w:t>
      </w:r>
      <w:r>
        <w:rPr>
          <w:rFonts w:hint="eastAsia" w:ascii="Times New Roman" w:hAnsi="Times New Roman" w:eastAsia="黑体" w:cs="黑体"/>
          <w:sz w:val="32"/>
          <w:szCs w:val="32"/>
        </w:rPr>
        <w:t>部门</w:t>
      </w:r>
      <w:r>
        <w:rPr>
          <w:rFonts w:ascii="Times New Roman" w:hAnsi="Times New Roman" w:eastAsia="黑体" w:cs="黑体"/>
          <w:sz w:val="32"/>
          <w:szCs w:val="32"/>
        </w:rPr>
        <w:t>概况</w:t>
      </w:r>
      <w:r>
        <w:rPr>
          <w:rFonts w:ascii="Times New Roman" w:hAnsi="Times New Roman"/>
          <w:b/>
          <w:bCs/>
          <w:sz w:val="24"/>
        </w:rPr>
        <w:tab/>
      </w:r>
      <w:r>
        <w:rPr>
          <w:rFonts w:hint="eastAsia" w:ascii="Times New Roman" w:hAnsi="Times New Roman" w:eastAsia="仿宋_GB2312" w:cs="仿宋_GB2312"/>
          <w:sz w:val="32"/>
          <w:szCs w:val="32"/>
        </w:rPr>
        <w:t>4</w:t>
      </w:r>
    </w:p>
    <w:p>
      <w:pPr>
        <w:pStyle w:val="16"/>
        <w:adjustRightInd w:val="0"/>
        <w:snapToGrid w:val="0"/>
        <w:spacing w:line="560" w:lineRule="exact"/>
        <w:ind w:left="0" w:leftChars="0" w:firstLine="640" w:firstLineChars="200"/>
        <w:jc w:val="left"/>
        <w:rPr>
          <w:rFonts w:eastAsia="仿宋_GB2312" w:cs="仿宋_GB2312"/>
          <w:sz w:val="32"/>
          <w:szCs w:val="32"/>
        </w:rPr>
      </w:pPr>
      <w:r>
        <w:rPr>
          <w:rFonts w:eastAsia="仿宋_GB2312" w:cs="仿宋_GB2312"/>
          <w:sz w:val="32"/>
          <w:szCs w:val="32"/>
        </w:rPr>
        <w:t>一、</w:t>
      </w:r>
      <w:r>
        <w:rPr>
          <w:rFonts w:hint="eastAsia" w:eastAsia="仿宋_GB2312" w:cs="仿宋_GB2312"/>
          <w:sz w:val="32"/>
          <w:szCs w:val="32"/>
        </w:rPr>
        <w:t>部门</w:t>
      </w:r>
      <w:r>
        <w:rPr>
          <w:rFonts w:eastAsia="仿宋_GB2312" w:cs="仿宋_GB2312"/>
          <w:sz w:val="32"/>
          <w:szCs w:val="32"/>
        </w:rPr>
        <w:t>职责</w:t>
      </w:r>
      <w:r>
        <w:rPr>
          <w:rFonts w:eastAsia="仿宋_GB2312" w:cs="仿宋_GB2312"/>
          <w:sz w:val="32"/>
          <w:szCs w:val="32"/>
        </w:rPr>
        <w:tab/>
      </w:r>
      <w:r>
        <w:rPr>
          <w:rFonts w:hint="eastAsia" w:eastAsia="仿宋_GB2312" w:cs="仿宋_GB2312"/>
          <w:sz w:val="32"/>
          <w:szCs w:val="32"/>
        </w:rPr>
        <w:t>4</w:t>
      </w:r>
    </w:p>
    <w:p>
      <w:pPr>
        <w:pStyle w:val="16"/>
        <w:adjustRightInd w:val="0"/>
        <w:snapToGrid w:val="0"/>
        <w:spacing w:line="560" w:lineRule="exact"/>
        <w:ind w:left="0" w:leftChars="0" w:firstLine="640" w:firstLineChars="200"/>
        <w:jc w:val="left"/>
        <w:rPr>
          <w:rFonts w:eastAsia="仿宋_GB2312" w:cs="仿宋_GB2312"/>
          <w:sz w:val="32"/>
          <w:szCs w:val="32"/>
        </w:rPr>
      </w:pPr>
      <w:r>
        <w:rPr>
          <w:rFonts w:eastAsia="仿宋_GB2312" w:cs="仿宋_GB2312"/>
          <w:sz w:val="32"/>
          <w:szCs w:val="32"/>
        </w:rPr>
        <w:t>二、机构设置</w:t>
      </w:r>
      <w:r>
        <w:rPr>
          <w:rFonts w:eastAsia="仿宋_GB2312" w:cs="仿宋_GB2312"/>
          <w:sz w:val="32"/>
          <w:szCs w:val="32"/>
        </w:rPr>
        <w:tab/>
      </w:r>
      <w:r>
        <w:rPr>
          <w:rFonts w:hint="eastAsia" w:eastAsia="仿宋_GB2312" w:cs="仿宋_GB2312"/>
          <w:sz w:val="32"/>
          <w:szCs w:val="32"/>
        </w:rPr>
        <w:t>5</w:t>
      </w:r>
    </w:p>
    <w:p>
      <w:pPr>
        <w:pStyle w:val="15"/>
        <w:adjustRightInd w:val="0"/>
        <w:snapToGrid w:val="0"/>
        <w:spacing w:before="0" w:line="440" w:lineRule="exact"/>
        <w:jc w:val="left"/>
        <w:rPr>
          <w:rFonts w:ascii="Times New Roman" w:hAnsi="Times New Roman"/>
          <w:b/>
          <w:bCs/>
          <w:sz w:val="24"/>
          <w:szCs w:val="24"/>
        </w:rPr>
      </w:pPr>
      <w:r>
        <w:rPr>
          <w:rFonts w:ascii="Times New Roman" w:hAnsi="Times New Roman" w:eastAsia="黑体" w:cs="黑体"/>
          <w:sz w:val="32"/>
          <w:szCs w:val="32"/>
        </w:rPr>
        <w:t>第二部分 202</w:t>
      </w:r>
      <w:r>
        <w:rPr>
          <w:rFonts w:hint="eastAsia" w:ascii="Times New Roman" w:hAnsi="Times New Roman" w:eastAsia="黑体" w:cs="黑体"/>
          <w:sz w:val="32"/>
          <w:szCs w:val="32"/>
        </w:rPr>
        <w:t>5</w:t>
      </w:r>
      <w:r>
        <w:rPr>
          <w:rFonts w:ascii="Times New Roman" w:hAnsi="Times New Roman" w:eastAsia="黑体" w:cs="黑体"/>
          <w:sz w:val="32"/>
          <w:szCs w:val="32"/>
        </w:rPr>
        <w:t>年度单位决算情况说明</w:t>
      </w:r>
      <w:r>
        <w:rPr>
          <w:rFonts w:ascii="Times New Roman" w:hAnsi="Times New Roman"/>
          <w:b/>
          <w:bCs/>
          <w:sz w:val="24"/>
        </w:rPr>
        <w:tab/>
      </w:r>
      <w:r>
        <w:rPr>
          <w:rFonts w:hint="eastAsia" w:ascii="Times New Roman" w:hAnsi="Times New Roman"/>
          <w:b/>
          <w:bCs/>
          <w:sz w:val="24"/>
        </w:rPr>
        <w:t>6</w:t>
      </w:r>
    </w:p>
    <w:p>
      <w:pPr>
        <w:pStyle w:val="16"/>
        <w:adjustRightInd w:val="0"/>
        <w:snapToGrid w:val="0"/>
        <w:spacing w:line="560" w:lineRule="exact"/>
        <w:ind w:left="0" w:leftChars="0" w:firstLine="640" w:firstLineChars="200"/>
        <w:jc w:val="left"/>
        <w:rPr>
          <w:rFonts w:eastAsia="仿宋_GB2312" w:cs="仿宋_GB2312"/>
          <w:sz w:val="32"/>
          <w:szCs w:val="32"/>
        </w:rPr>
      </w:pPr>
      <w:r>
        <w:rPr>
          <w:rFonts w:eastAsia="仿宋_GB2312" w:cs="仿宋_GB2312"/>
          <w:sz w:val="32"/>
          <w:szCs w:val="32"/>
        </w:rPr>
        <w:t>一、收入支出决算总体情况说明</w:t>
      </w:r>
      <w:r>
        <w:rPr>
          <w:rFonts w:eastAsia="仿宋_GB2312" w:cs="仿宋_GB2312"/>
          <w:sz w:val="32"/>
          <w:szCs w:val="32"/>
        </w:rPr>
        <w:tab/>
      </w:r>
      <w:r>
        <w:rPr>
          <w:rFonts w:hint="eastAsia" w:eastAsia="仿宋_GB2312" w:cs="仿宋_GB2312"/>
          <w:sz w:val="32"/>
          <w:szCs w:val="32"/>
        </w:rPr>
        <w:t>6</w:t>
      </w:r>
    </w:p>
    <w:p>
      <w:pPr>
        <w:pStyle w:val="16"/>
        <w:adjustRightInd w:val="0"/>
        <w:snapToGrid w:val="0"/>
        <w:spacing w:line="560" w:lineRule="exact"/>
        <w:ind w:left="0" w:leftChars="0" w:firstLine="640" w:firstLineChars="200"/>
        <w:jc w:val="left"/>
        <w:rPr>
          <w:rFonts w:eastAsia="仿宋_GB2312" w:cs="仿宋_GB2312"/>
          <w:sz w:val="32"/>
          <w:szCs w:val="32"/>
        </w:rPr>
      </w:pPr>
      <w:r>
        <w:rPr>
          <w:rFonts w:eastAsia="仿宋_GB2312" w:cs="仿宋_GB2312"/>
          <w:sz w:val="32"/>
          <w:szCs w:val="32"/>
        </w:rPr>
        <w:t>二、收入决算情况说明</w:t>
      </w:r>
      <w:r>
        <w:rPr>
          <w:rFonts w:eastAsia="仿宋_GB2312" w:cs="仿宋_GB2312"/>
          <w:sz w:val="32"/>
          <w:szCs w:val="32"/>
        </w:rPr>
        <w:tab/>
      </w:r>
      <w:r>
        <w:rPr>
          <w:rFonts w:hint="eastAsia" w:eastAsia="仿宋_GB2312" w:cs="仿宋_GB2312"/>
          <w:sz w:val="32"/>
          <w:szCs w:val="32"/>
        </w:rPr>
        <w:t>6</w:t>
      </w:r>
    </w:p>
    <w:p>
      <w:pPr>
        <w:pStyle w:val="16"/>
        <w:adjustRightInd w:val="0"/>
        <w:snapToGrid w:val="0"/>
        <w:spacing w:line="560" w:lineRule="exact"/>
        <w:ind w:left="0" w:leftChars="0" w:firstLine="640" w:firstLineChars="200"/>
        <w:jc w:val="left"/>
        <w:rPr>
          <w:rFonts w:eastAsia="仿宋_GB2312" w:cs="仿宋_GB2312"/>
          <w:sz w:val="32"/>
          <w:szCs w:val="32"/>
        </w:rPr>
      </w:pPr>
      <w:r>
        <w:rPr>
          <w:rFonts w:eastAsia="仿宋_GB2312" w:cs="仿宋_GB2312"/>
          <w:sz w:val="32"/>
          <w:szCs w:val="32"/>
        </w:rPr>
        <w:t>三、支出决算情况说明</w:t>
      </w:r>
      <w:r>
        <w:rPr>
          <w:rFonts w:eastAsia="仿宋_GB2312" w:cs="仿宋_GB2312"/>
          <w:sz w:val="32"/>
          <w:szCs w:val="32"/>
        </w:rPr>
        <w:tab/>
      </w:r>
      <w:r>
        <w:rPr>
          <w:rFonts w:hint="eastAsia" w:eastAsia="仿宋_GB2312" w:cs="仿宋_GB2312"/>
          <w:sz w:val="32"/>
          <w:szCs w:val="32"/>
        </w:rPr>
        <w:t>7</w:t>
      </w:r>
    </w:p>
    <w:p>
      <w:pPr>
        <w:pStyle w:val="16"/>
        <w:adjustRightInd w:val="0"/>
        <w:snapToGrid w:val="0"/>
        <w:spacing w:line="560" w:lineRule="exact"/>
        <w:ind w:left="0" w:leftChars="0" w:firstLine="640" w:firstLineChars="200"/>
        <w:jc w:val="left"/>
        <w:rPr>
          <w:rFonts w:eastAsia="仿宋_GB2312" w:cs="仿宋_GB2312"/>
          <w:sz w:val="32"/>
          <w:szCs w:val="32"/>
        </w:rPr>
      </w:pPr>
      <w:r>
        <w:rPr>
          <w:rFonts w:eastAsia="仿宋_GB2312" w:cs="仿宋_GB2312"/>
          <w:sz w:val="32"/>
          <w:szCs w:val="32"/>
        </w:rPr>
        <w:t>四、财政拨款收入支出决算总体情况说明</w:t>
      </w:r>
      <w:r>
        <w:rPr>
          <w:rFonts w:eastAsia="仿宋_GB2312" w:cs="仿宋_GB2312"/>
          <w:sz w:val="32"/>
          <w:szCs w:val="32"/>
        </w:rPr>
        <w:tab/>
      </w:r>
      <w:r>
        <w:rPr>
          <w:rFonts w:hint="eastAsia" w:eastAsia="仿宋_GB2312" w:cs="仿宋_GB2312"/>
          <w:sz w:val="32"/>
          <w:szCs w:val="32"/>
        </w:rPr>
        <w:t>8</w:t>
      </w:r>
    </w:p>
    <w:p>
      <w:pPr>
        <w:pStyle w:val="16"/>
        <w:adjustRightInd w:val="0"/>
        <w:snapToGrid w:val="0"/>
        <w:spacing w:line="560" w:lineRule="exact"/>
        <w:ind w:left="0" w:leftChars="0" w:firstLine="640" w:firstLineChars="200"/>
        <w:jc w:val="left"/>
        <w:rPr>
          <w:rFonts w:eastAsia="仿宋_GB2312" w:cs="仿宋_GB2312"/>
          <w:sz w:val="32"/>
          <w:szCs w:val="32"/>
        </w:rPr>
      </w:pPr>
      <w:r>
        <w:rPr>
          <w:rFonts w:eastAsia="仿宋_GB2312" w:cs="仿宋_GB2312"/>
          <w:sz w:val="32"/>
          <w:szCs w:val="32"/>
        </w:rPr>
        <w:t>五、一般公共预算财政拨款支出决算情况说明</w:t>
      </w:r>
      <w:r>
        <w:rPr>
          <w:rFonts w:eastAsia="仿宋_GB2312" w:cs="仿宋_GB2312"/>
          <w:sz w:val="32"/>
          <w:szCs w:val="32"/>
        </w:rPr>
        <w:tab/>
      </w:r>
      <w:r>
        <w:rPr>
          <w:rFonts w:hint="eastAsia" w:eastAsia="仿宋_GB2312" w:cs="仿宋_GB2312"/>
          <w:sz w:val="32"/>
          <w:szCs w:val="32"/>
        </w:rPr>
        <w:t>8</w:t>
      </w:r>
    </w:p>
    <w:p>
      <w:pPr>
        <w:pStyle w:val="16"/>
        <w:adjustRightInd w:val="0"/>
        <w:snapToGrid w:val="0"/>
        <w:spacing w:line="560" w:lineRule="exact"/>
        <w:ind w:left="0" w:leftChars="0" w:firstLine="640" w:firstLineChars="200"/>
        <w:jc w:val="left"/>
        <w:rPr>
          <w:rFonts w:eastAsia="仿宋_GB2312" w:cs="仿宋_GB2312"/>
          <w:sz w:val="32"/>
          <w:szCs w:val="32"/>
        </w:rPr>
      </w:pPr>
      <w:r>
        <w:rPr>
          <w:rFonts w:eastAsia="仿宋_GB2312" w:cs="仿宋_GB2312"/>
          <w:sz w:val="32"/>
          <w:szCs w:val="32"/>
        </w:rPr>
        <w:t>六、一般公共预算财政拨款基本支出决算情况说明</w:t>
      </w:r>
      <w:r>
        <w:rPr>
          <w:rFonts w:eastAsia="仿宋_GB2312" w:cs="仿宋_GB2312"/>
          <w:sz w:val="32"/>
          <w:szCs w:val="32"/>
        </w:rPr>
        <w:tab/>
      </w:r>
      <w:r>
        <w:rPr>
          <w:rFonts w:hint="eastAsia" w:eastAsia="仿宋_GB2312" w:cs="仿宋_GB2312"/>
          <w:sz w:val="32"/>
          <w:szCs w:val="32"/>
        </w:rPr>
        <w:t>12</w:t>
      </w:r>
    </w:p>
    <w:p>
      <w:pPr>
        <w:pStyle w:val="16"/>
        <w:adjustRightInd w:val="0"/>
        <w:snapToGrid w:val="0"/>
        <w:spacing w:line="560" w:lineRule="exact"/>
        <w:ind w:left="0" w:leftChars="0" w:firstLine="640" w:firstLineChars="200"/>
        <w:jc w:val="left"/>
        <w:rPr>
          <w:rFonts w:eastAsia="仿宋_GB2312" w:cs="仿宋_GB2312"/>
          <w:sz w:val="32"/>
          <w:szCs w:val="32"/>
        </w:rPr>
      </w:pPr>
      <w:r>
        <w:rPr>
          <w:rFonts w:eastAsia="仿宋_GB2312" w:cs="仿宋_GB2312"/>
          <w:sz w:val="32"/>
          <w:szCs w:val="32"/>
        </w:rPr>
        <w:t>七、财政拨款“三公”经费支出决算情况说明</w:t>
      </w:r>
      <w:r>
        <w:rPr>
          <w:rFonts w:eastAsia="仿宋_GB2312" w:cs="仿宋_GB2312"/>
          <w:sz w:val="32"/>
          <w:szCs w:val="32"/>
        </w:rPr>
        <w:tab/>
      </w:r>
      <w:r>
        <w:rPr>
          <w:rFonts w:hint="eastAsia" w:eastAsia="仿宋_GB2312" w:cs="仿宋_GB2312"/>
          <w:sz w:val="32"/>
          <w:szCs w:val="32"/>
        </w:rPr>
        <w:t>13</w:t>
      </w:r>
    </w:p>
    <w:p>
      <w:pPr>
        <w:pStyle w:val="16"/>
        <w:adjustRightInd w:val="0"/>
        <w:snapToGrid w:val="0"/>
        <w:spacing w:line="560" w:lineRule="exact"/>
        <w:ind w:left="0" w:leftChars="0" w:firstLine="640" w:firstLineChars="200"/>
        <w:jc w:val="left"/>
        <w:rPr>
          <w:rFonts w:eastAsia="仿宋_GB2312" w:cs="仿宋_GB2312"/>
          <w:sz w:val="32"/>
          <w:szCs w:val="32"/>
        </w:rPr>
      </w:pPr>
      <w:r>
        <w:rPr>
          <w:rFonts w:eastAsia="仿宋_GB2312" w:cs="仿宋_GB2312"/>
          <w:sz w:val="32"/>
          <w:szCs w:val="32"/>
        </w:rPr>
        <w:t>八、政府性基金预算支出决算情况说明</w:t>
      </w:r>
      <w:r>
        <w:rPr>
          <w:rFonts w:eastAsia="仿宋_GB2312" w:cs="仿宋_GB2312"/>
          <w:sz w:val="32"/>
          <w:szCs w:val="32"/>
        </w:rPr>
        <w:tab/>
      </w:r>
      <w:r>
        <w:rPr>
          <w:rFonts w:hint="eastAsia" w:eastAsia="仿宋_GB2312" w:cs="仿宋_GB2312"/>
          <w:sz w:val="32"/>
          <w:szCs w:val="32"/>
        </w:rPr>
        <w:t>15</w:t>
      </w:r>
    </w:p>
    <w:p>
      <w:pPr>
        <w:pStyle w:val="16"/>
        <w:adjustRightInd w:val="0"/>
        <w:snapToGrid w:val="0"/>
        <w:spacing w:line="560" w:lineRule="exact"/>
        <w:ind w:left="0" w:leftChars="0" w:firstLine="640" w:firstLineChars="200"/>
        <w:jc w:val="left"/>
        <w:rPr>
          <w:rFonts w:eastAsia="仿宋_GB2312" w:cs="仿宋_GB2312"/>
          <w:sz w:val="32"/>
          <w:szCs w:val="32"/>
        </w:rPr>
      </w:pPr>
      <w:r>
        <w:rPr>
          <w:rFonts w:eastAsia="仿宋_GB2312" w:cs="仿宋_GB2312"/>
          <w:sz w:val="32"/>
          <w:szCs w:val="32"/>
        </w:rPr>
        <w:t>九、国有资本经营预算支出决算情况说明</w:t>
      </w:r>
      <w:r>
        <w:rPr>
          <w:rFonts w:eastAsia="仿宋_GB2312" w:cs="仿宋_GB2312"/>
          <w:sz w:val="32"/>
          <w:szCs w:val="32"/>
        </w:rPr>
        <w:tab/>
      </w:r>
      <w:r>
        <w:rPr>
          <w:rFonts w:hint="eastAsia" w:eastAsia="仿宋_GB2312" w:cs="仿宋_GB2312"/>
          <w:sz w:val="32"/>
          <w:szCs w:val="32"/>
        </w:rPr>
        <w:t>15</w:t>
      </w:r>
    </w:p>
    <w:p>
      <w:pPr>
        <w:pStyle w:val="16"/>
        <w:adjustRightInd w:val="0"/>
        <w:snapToGrid w:val="0"/>
        <w:spacing w:line="560" w:lineRule="exact"/>
        <w:ind w:left="0" w:leftChars="0" w:firstLine="640" w:firstLineChars="200"/>
        <w:jc w:val="left"/>
        <w:rPr>
          <w:rFonts w:eastAsia="仿宋_GB2312" w:cs="仿宋_GB2312"/>
          <w:sz w:val="32"/>
          <w:szCs w:val="32"/>
        </w:rPr>
      </w:pPr>
      <w:r>
        <w:rPr>
          <w:rFonts w:eastAsia="仿宋_GB2312" w:cs="仿宋_GB2312"/>
          <w:sz w:val="32"/>
          <w:szCs w:val="32"/>
        </w:rPr>
        <w:t>十、其他重要事项的情况说明</w:t>
      </w:r>
      <w:r>
        <w:rPr>
          <w:rFonts w:eastAsia="仿宋_GB2312" w:cs="仿宋_GB2312"/>
          <w:sz w:val="32"/>
          <w:szCs w:val="32"/>
        </w:rPr>
        <w:tab/>
      </w:r>
      <w:r>
        <w:rPr>
          <w:rFonts w:hint="eastAsia" w:eastAsia="仿宋_GB2312" w:cs="仿宋_GB2312"/>
          <w:sz w:val="32"/>
          <w:szCs w:val="32"/>
        </w:rPr>
        <w:t>15</w:t>
      </w:r>
    </w:p>
    <w:p>
      <w:pPr>
        <w:pStyle w:val="15"/>
        <w:adjustRightInd w:val="0"/>
        <w:snapToGrid w:val="0"/>
        <w:spacing w:before="0" w:line="440" w:lineRule="exact"/>
        <w:jc w:val="left"/>
        <w:rPr>
          <w:rFonts w:hint="eastAsia" w:ascii="Times New Roman" w:hAnsi="Times New Roman" w:eastAsia="仿宋"/>
          <w:b/>
          <w:bCs/>
          <w:sz w:val="24"/>
          <w:szCs w:val="24"/>
          <w:lang w:val="en-US" w:eastAsia="zh-CN"/>
        </w:rPr>
      </w:pPr>
      <w:r>
        <w:rPr>
          <w:rFonts w:ascii="Times New Roman" w:hAnsi="Times New Roman" w:eastAsia="黑体" w:cs="黑体"/>
          <w:sz w:val="32"/>
          <w:szCs w:val="32"/>
        </w:rPr>
        <w:t>第三部分名词解释</w:t>
      </w:r>
      <w:r>
        <w:rPr>
          <w:rFonts w:ascii="Times New Roman" w:hAnsi="Times New Roman"/>
          <w:b/>
          <w:bCs/>
          <w:sz w:val="24"/>
        </w:rPr>
        <w:tab/>
      </w:r>
      <w:r>
        <w:rPr>
          <w:rFonts w:hint="eastAsia" w:ascii="Times New Roman" w:hAnsi="Times New Roman"/>
          <w:b/>
          <w:bCs/>
          <w:sz w:val="24"/>
        </w:rPr>
        <w:t>1</w:t>
      </w:r>
      <w:r>
        <w:rPr>
          <w:rFonts w:hint="eastAsia" w:ascii="Times New Roman" w:hAnsi="Times New Roman"/>
          <w:b/>
          <w:bCs/>
          <w:sz w:val="24"/>
          <w:lang w:val="en-US" w:eastAsia="zh-CN"/>
        </w:rPr>
        <w:t>7</w:t>
      </w:r>
    </w:p>
    <w:p>
      <w:pPr>
        <w:pStyle w:val="15"/>
        <w:adjustRightInd w:val="0"/>
        <w:snapToGrid w:val="0"/>
        <w:spacing w:before="0" w:line="440" w:lineRule="exact"/>
        <w:jc w:val="left"/>
        <w:rPr>
          <w:rFonts w:hint="eastAsia" w:ascii="Times New Roman" w:hAnsi="Times New Roman" w:eastAsia="仿宋"/>
          <w:b/>
          <w:bCs/>
          <w:sz w:val="24"/>
          <w:szCs w:val="24"/>
          <w:lang w:val="en-US" w:eastAsia="zh-CN"/>
        </w:rPr>
      </w:pPr>
      <w:r>
        <w:rPr>
          <w:rFonts w:ascii="Times New Roman" w:hAnsi="Times New Roman" w:eastAsia="黑体" w:cs="黑体"/>
          <w:sz w:val="32"/>
          <w:szCs w:val="32"/>
        </w:rPr>
        <w:t>第四部分附件</w:t>
      </w:r>
      <w:r>
        <w:rPr>
          <w:rFonts w:ascii="Times New Roman" w:hAnsi="Times New Roman"/>
          <w:b/>
          <w:bCs/>
          <w:sz w:val="24"/>
        </w:rPr>
        <w:tab/>
      </w:r>
      <w:r>
        <w:rPr>
          <w:rFonts w:hint="eastAsia" w:ascii="Times New Roman" w:hAnsi="Times New Roman"/>
          <w:b/>
          <w:bCs/>
          <w:sz w:val="24"/>
        </w:rPr>
        <w:t>2</w:t>
      </w:r>
      <w:r>
        <w:rPr>
          <w:rFonts w:hint="eastAsia" w:ascii="Times New Roman" w:hAnsi="Times New Roman"/>
          <w:b/>
          <w:bCs/>
          <w:sz w:val="24"/>
          <w:lang w:val="en-US" w:eastAsia="zh-CN"/>
        </w:rPr>
        <w:t>1</w:t>
      </w:r>
    </w:p>
    <w:p>
      <w:pPr>
        <w:pStyle w:val="15"/>
        <w:adjustRightInd w:val="0"/>
        <w:snapToGrid w:val="0"/>
        <w:spacing w:before="0" w:line="440" w:lineRule="exact"/>
        <w:jc w:val="left"/>
        <w:rPr>
          <w:rFonts w:hint="eastAsia" w:ascii="Times New Roman" w:hAnsi="Times New Roman" w:eastAsia="仿宋"/>
          <w:b/>
          <w:bCs/>
          <w:sz w:val="24"/>
          <w:szCs w:val="24"/>
          <w:lang w:val="en-US" w:eastAsia="zh-CN"/>
        </w:rPr>
      </w:pPr>
      <w:r>
        <w:rPr>
          <w:rFonts w:ascii="Times New Roman" w:hAnsi="Times New Roman" w:eastAsia="黑体" w:cs="黑体"/>
          <w:sz w:val="32"/>
          <w:szCs w:val="32"/>
        </w:rPr>
        <w:t>第五部分附表</w:t>
      </w:r>
      <w:r>
        <w:rPr>
          <w:rFonts w:ascii="Times New Roman" w:hAnsi="Times New Roman"/>
          <w:b/>
          <w:bCs/>
          <w:sz w:val="24"/>
        </w:rPr>
        <w:tab/>
      </w:r>
      <w:r>
        <w:rPr>
          <w:rFonts w:hint="eastAsia" w:ascii="Times New Roman" w:hAnsi="Times New Roman"/>
          <w:b/>
          <w:bCs/>
          <w:sz w:val="24"/>
        </w:rPr>
        <w:t>3</w:t>
      </w:r>
      <w:r>
        <w:rPr>
          <w:rFonts w:hint="eastAsia" w:ascii="Times New Roman" w:hAnsi="Times New Roman"/>
          <w:b/>
          <w:bCs/>
          <w:sz w:val="24"/>
          <w:lang w:val="en-US" w:eastAsia="zh-CN"/>
        </w:rPr>
        <w:t>7</w:t>
      </w:r>
    </w:p>
    <w:p>
      <w:pPr>
        <w:pStyle w:val="16"/>
        <w:adjustRightInd w:val="0"/>
        <w:snapToGrid w:val="0"/>
        <w:spacing w:line="560" w:lineRule="exact"/>
        <w:ind w:left="0" w:leftChars="0" w:firstLine="640" w:firstLineChars="200"/>
        <w:jc w:val="left"/>
        <w:rPr>
          <w:rFonts w:hint="eastAsia" w:eastAsia="仿宋_GB2312" w:cs="仿宋_GB2312"/>
          <w:sz w:val="32"/>
          <w:szCs w:val="32"/>
          <w:lang w:val="en-US" w:eastAsia="zh-CN"/>
        </w:rPr>
      </w:pPr>
      <w:r>
        <w:rPr>
          <w:rFonts w:eastAsia="仿宋_GB2312" w:cs="仿宋_GB2312"/>
          <w:sz w:val="32"/>
          <w:szCs w:val="32"/>
        </w:rPr>
        <w:t>一、收入支出决算总表</w:t>
      </w:r>
      <w:r>
        <w:rPr>
          <w:rFonts w:eastAsia="仿宋_GB2312" w:cs="仿宋_GB2312"/>
          <w:sz w:val="32"/>
          <w:szCs w:val="32"/>
        </w:rPr>
        <w:tab/>
      </w:r>
      <w:r>
        <w:rPr>
          <w:rFonts w:hint="eastAsia" w:eastAsia="仿宋_GB2312" w:cs="仿宋_GB2312"/>
          <w:sz w:val="32"/>
          <w:szCs w:val="32"/>
        </w:rPr>
        <w:t>3</w:t>
      </w:r>
      <w:r>
        <w:rPr>
          <w:rFonts w:hint="eastAsia" w:eastAsia="仿宋_GB2312" w:cs="仿宋_GB2312"/>
          <w:sz w:val="32"/>
          <w:szCs w:val="32"/>
          <w:lang w:val="en-US" w:eastAsia="zh-CN"/>
        </w:rPr>
        <w:t>7</w:t>
      </w:r>
    </w:p>
    <w:p>
      <w:pPr>
        <w:pStyle w:val="16"/>
        <w:adjustRightInd w:val="0"/>
        <w:snapToGrid w:val="0"/>
        <w:spacing w:line="560" w:lineRule="exact"/>
        <w:ind w:left="0" w:leftChars="0" w:firstLine="640" w:firstLineChars="200"/>
        <w:jc w:val="left"/>
        <w:rPr>
          <w:rFonts w:hint="eastAsia" w:eastAsia="仿宋_GB2312" w:cs="仿宋_GB2312"/>
          <w:sz w:val="32"/>
          <w:szCs w:val="32"/>
          <w:lang w:val="en-US" w:eastAsia="zh-CN"/>
        </w:rPr>
      </w:pPr>
      <w:r>
        <w:rPr>
          <w:rFonts w:eastAsia="仿宋_GB2312" w:cs="仿宋_GB2312"/>
          <w:sz w:val="32"/>
          <w:szCs w:val="32"/>
        </w:rPr>
        <w:t>二、收入决算表</w:t>
      </w:r>
      <w:r>
        <w:rPr>
          <w:rFonts w:eastAsia="仿宋_GB2312" w:cs="仿宋_GB2312"/>
          <w:sz w:val="32"/>
          <w:szCs w:val="32"/>
        </w:rPr>
        <w:tab/>
      </w:r>
      <w:r>
        <w:rPr>
          <w:rFonts w:hint="eastAsia" w:eastAsia="仿宋_GB2312" w:cs="仿宋_GB2312"/>
          <w:sz w:val="32"/>
          <w:szCs w:val="32"/>
        </w:rPr>
        <w:t>3</w:t>
      </w:r>
      <w:r>
        <w:rPr>
          <w:rFonts w:hint="eastAsia" w:eastAsia="仿宋_GB2312" w:cs="仿宋_GB2312"/>
          <w:sz w:val="32"/>
          <w:szCs w:val="32"/>
          <w:lang w:val="en-US" w:eastAsia="zh-CN"/>
        </w:rPr>
        <w:t>7</w:t>
      </w:r>
    </w:p>
    <w:p>
      <w:pPr>
        <w:pStyle w:val="16"/>
        <w:adjustRightInd w:val="0"/>
        <w:snapToGrid w:val="0"/>
        <w:spacing w:line="560" w:lineRule="exact"/>
        <w:ind w:left="0" w:leftChars="0" w:firstLine="640" w:firstLineChars="200"/>
        <w:jc w:val="left"/>
        <w:rPr>
          <w:rFonts w:hint="eastAsia" w:eastAsia="仿宋_GB2312" w:cs="仿宋_GB2312"/>
          <w:sz w:val="32"/>
          <w:szCs w:val="32"/>
          <w:lang w:val="en-US" w:eastAsia="zh-CN"/>
        </w:rPr>
      </w:pPr>
      <w:r>
        <w:rPr>
          <w:rFonts w:eastAsia="仿宋_GB2312" w:cs="仿宋_GB2312"/>
          <w:sz w:val="32"/>
          <w:szCs w:val="32"/>
        </w:rPr>
        <w:t>三、支出决算表</w:t>
      </w:r>
      <w:r>
        <w:rPr>
          <w:rFonts w:eastAsia="仿宋_GB2312" w:cs="仿宋_GB2312"/>
          <w:sz w:val="32"/>
          <w:szCs w:val="32"/>
        </w:rPr>
        <w:tab/>
      </w:r>
      <w:r>
        <w:rPr>
          <w:rFonts w:hint="eastAsia" w:eastAsia="仿宋_GB2312" w:cs="仿宋_GB2312"/>
          <w:sz w:val="32"/>
          <w:szCs w:val="32"/>
        </w:rPr>
        <w:t>3</w:t>
      </w:r>
      <w:r>
        <w:rPr>
          <w:rFonts w:hint="eastAsia" w:eastAsia="仿宋_GB2312" w:cs="仿宋_GB2312"/>
          <w:sz w:val="32"/>
          <w:szCs w:val="32"/>
          <w:lang w:val="en-US" w:eastAsia="zh-CN"/>
        </w:rPr>
        <w:t>7</w:t>
      </w:r>
    </w:p>
    <w:p>
      <w:pPr>
        <w:pStyle w:val="16"/>
        <w:adjustRightInd w:val="0"/>
        <w:snapToGrid w:val="0"/>
        <w:spacing w:line="560" w:lineRule="exact"/>
        <w:ind w:left="0" w:leftChars="0" w:firstLine="640" w:firstLineChars="200"/>
        <w:jc w:val="left"/>
        <w:rPr>
          <w:rFonts w:hint="eastAsia" w:eastAsia="仿宋_GB2312" w:cs="仿宋_GB2312"/>
          <w:sz w:val="32"/>
          <w:szCs w:val="32"/>
          <w:lang w:val="en-US" w:eastAsia="zh-CN"/>
        </w:rPr>
      </w:pPr>
      <w:r>
        <w:rPr>
          <w:rFonts w:eastAsia="仿宋_GB2312" w:cs="仿宋_GB2312"/>
          <w:sz w:val="32"/>
          <w:szCs w:val="32"/>
        </w:rPr>
        <w:t>四、财政拨款收入支出决算总表</w:t>
      </w:r>
      <w:r>
        <w:rPr>
          <w:rFonts w:eastAsia="仿宋_GB2312" w:cs="仿宋_GB2312"/>
          <w:sz w:val="32"/>
          <w:szCs w:val="32"/>
        </w:rPr>
        <w:tab/>
      </w:r>
      <w:r>
        <w:rPr>
          <w:rFonts w:hint="eastAsia" w:eastAsia="仿宋_GB2312" w:cs="仿宋_GB2312"/>
          <w:sz w:val="32"/>
          <w:szCs w:val="32"/>
        </w:rPr>
        <w:t>3</w:t>
      </w:r>
      <w:r>
        <w:rPr>
          <w:rFonts w:hint="eastAsia" w:eastAsia="仿宋_GB2312" w:cs="仿宋_GB2312"/>
          <w:sz w:val="32"/>
          <w:szCs w:val="32"/>
          <w:lang w:val="en-US" w:eastAsia="zh-CN"/>
        </w:rPr>
        <w:t>7</w:t>
      </w:r>
    </w:p>
    <w:p>
      <w:pPr>
        <w:pStyle w:val="16"/>
        <w:adjustRightInd w:val="0"/>
        <w:snapToGrid w:val="0"/>
        <w:spacing w:line="560" w:lineRule="exact"/>
        <w:ind w:left="0" w:leftChars="0" w:firstLine="640" w:firstLineChars="200"/>
        <w:jc w:val="left"/>
        <w:rPr>
          <w:rFonts w:hint="eastAsia" w:eastAsia="仿宋_GB2312" w:cs="仿宋_GB2312"/>
          <w:sz w:val="32"/>
          <w:szCs w:val="32"/>
          <w:lang w:val="en-US" w:eastAsia="zh-CN"/>
        </w:rPr>
      </w:pPr>
      <w:r>
        <w:rPr>
          <w:rFonts w:eastAsia="仿宋_GB2312" w:cs="仿宋_GB2312"/>
          <w:sz w:val="32"/>
          <w:szCs w:val="32"/>
        </w:rPr>
        <w:t>五、财政拨款支出决算明细表</w:t>
      </w:r>
      <w:r>
        <w:rPr>
          <w:rFonts w:eastAsia="仿宋_GB2312" w:cs="仿宋_GB2312"/>
          <w:sz w:val="32"/>
          <w:szCs w:val="32"/>
        </w:rPr>
        <w:tab/>
      </w:r>
      <w:r>
        <w:rPr>
          <w:rFonts w:hint="eastAsia" w:eastAsia="仿宋_GB2312" w:cs="仿宋_GB2312"/>
          <w:sz w:val="32"/>
          <w:szCs w:val="32"/>
        </w:rPr>
        <w:t>3</w:t>
      </w:r>
      <w:r>
        <w:rPr>
          <w:rFonts w:hint="eastAsia" w:eastAsia="仿宋_GB2312" w:cs="仿宋_GB2312"/>
          <w:sz w:val="32"/>
          <w:szCs w:val="32"/>
          <w:lang w:val="en-US" w:eastAsia="zh-CN"/>
        </w:rPr>
        <w:t>7</w:t>
      </w:r>
    </w:p>
    <w:p>
      <w:pPr>
        <w:pStyle w:val="16"/>
        <w:adjustRightInd w:val="0"/>
        <w:snapToGrid w:val="0"/>
        <w:spacing w:line="560" w:lineRule="exact"/>
        <w:ind w:left="0" w:leftChars="0" w:firstLine="640" w:firstLineChars="200"/>
        <w:jc w:val="left"/>
        <w:rPr>
          <w:rFonts w:hint="eastAsia" w:eastAsia="仿宋_GB2312" w:cs="仿宋_GB2312"/>
          <w:sz w:val="32"/>
          <w:szCs w:val="32"/>
          <w:lang w:val="en-US" w:eastAsia="zh-CN"/>
        </w:rPr>
      </w:pPr>
      <w:r>
        <w:rPr>
          <w:rFonts w:eastAsia="仿宋_GB2312" w:cs="仿宋_GB2312"/>
          <w:sz w:val="32"/>
          <w:szCs w:val="32"/>
        </w:rPr>
        <w:t>六、一般公共预算财政拨款支出决算表</w:t>
      </w:r>
      <w:r>
        <w:rPr>
          <w:rFonts w:eastAsia="仿宋_GB2312" w:cs="仿宋_GB2312"/>
          <w:sz w:val="32"/>
          <w:szCs w:val="32"/>
        </w:rPr>
        <w:tab/>
      </w:r>
      <w:r>
        <w:rPr>
          <w:rFonts w:hint="eastAsia" w:eastAsia="仿宋_GB2312" w:cs="仿宋_GB2312"/>
          <w:sz w:val="32"/>
          <w:szCs w:val="32"/>
        </w:rPr>
        <w:t>3</w:t>
      </w:r>
      <w:r>
        <w:rPr>
          <w:rFonts w:hint="eastAsia" w:eastAsia="仿宋_GB2312" w:cs="仿宋_GB2312"/>
          <w:sz w:val="32"/>
          <w:szCs w:val="32"/>
          <w:lang w:val="en-US" w:eastAsia="zh-CN"/>
        </w:rPr>
        <w:t>7</w:t>
      </w:r>
    </w:p>
    <w:p>
      <w:pPr>
        <w:pStyle w:val="16"/>
        <w:adjustRightInd w:val="0"/>
        <w:snapToGrid w:val="0"/>
        <w:spacing w:line="560" w:lineRule="exact"/>
        <w:ind w:left="0" w:leftChars="0" w:firstLine="640" w:firstLineChars="200"/>
        <w:jc w:val="left"/>
        <w:rPr>
          <w:rFonts w:hint="eastAsia" w:eastAsia="仿宋_GB2312" w:cs="仿宋_GB2312"/>
          <w:sz w:val="32"/>
          <w:szCs w:val="32"/>
          <w:lang w:val="en-US" w:eastAsia="zh-CN"/>
        </w:rPr>
      </w:pPr>
      <w:r>
        <w:rPr>
          <w:rFonts w:eastAsia="仿宋_GB2312" w:cs="仿宋_GB2312"/>
          <w:sz w:val="32"/>
          <w:szCs w:val="32"/>
        </w:rPr>
        <w:t>七、一般公共预算财政拨款支出决算明细表</w:t>
      </w:r>
      <w:r>
        <w:rPr>
          <w:rFonts w:eastAsia="仿宋_GB2312" w:cs="仿宋_GB2312"/>
          <w:sz w:val="32"/>
          <w:szCs w:val="32"/>
        </w:rPr>
        <w:tab/>
      </w:r>
      <w:r>
        <w:rPr>
          <w:rFonts w:hint="eastAsia" w:eastAsia="仿宋_GB2312" w:cs="仿宋_GB2312"/>
          <w:sz w:val="32"/>
          <w:szCs w:val="32"/>
        </w:rPr>
        <w:t>3</w:t>
      </w:r>
      <w:r>
        <w:rPr>
          <w:rFonts w:hint="eastAsia" w:eastAsia="仿宋_GB2312" w:cs="仿宋_GB2312"/>
          <w:sz w:val="32"/>
          <w:szCs w:val="32"/>
          <w:lang w:val="en-US" w:eastAsia="zh-CN"/>
        </w:rPr>
        <w:t>7</w:t>
      </w:r>
    </w:p>
    <w:p>
      <w:pPr>
        <w:pStyle w:val="16"/>
        <w:adjustRightInd w:val="0"/>
        <w:snapToGrid w:val="0"/>
        <w:spacing w:line="560" w:lineRule="exact"/>
        <w:ind w:left="0" w:leftChars="0" w:firstLine="640" w:firstLineChars="200"/>
        <w:jc w:val="left"/>
        <w:rPr>
          <w:rFonts w:hint="eastAsia" w:eastAsia="仿宋_GB2312" w:cs="仿宋_GB2312"/>
          <w:sz w:val="32"/>
          <w:szCs w:val="32"/>
          <w:lang w:val="en-US" w:eastAsia="zh-CN"/>
        </w:rPr>
      </w:pPr>
      <w:r>
        <w:rPr>
          <w:rFonts w:eastAsia="仿宋_GB2312" w:cs="仿宋_GB2312"/>
          <w:sz w:val="32"/>
          <w:szCs w:val="32"/>
        </w:rPr>
        <w:t>八、一般公共预算财政拨款基本支出决算明细表</w:t>
      </w:r>
      <w:r>
        <w:rPr>
          <w:rFonts w:eastAsia="仿宋_GB2312" w:cs="仿宋_GB2312"/>
          <w:sz w:val="32"/>
          <w:szCs w:val="32"/>
        </w:rPr>
        <w:tab/>
      </w:r>
      <w:r>
        <w:rPr>
          <w:rFonts w:hint="eastAsia" w:eastAsia="仿宋_GB2312" w:cs="仿宋_GB2312"/>
          <w:sz w:val="32"/>
          <w:szCs w:val="32"/>
        </w:rPr>
        <w:t>3</w:t>
      </w:r>
      <w:r>
        <w:rPr>
          <w:rFonts w:hint="eastAsia" w:eastAsia="仿宋_GB2312" w:cs="仿宋_GB2312"/>
          <w:sz w:val="32"/>
          <w:szCs w:val="32"/>
          <w:lang w:val="en-US" w:eastAsia="zh-CN"/>
        </w:rPr>
        <w:t>7</w:t>
      </w:r>
    </w:p>
    <w:p>
      <w:pPr>
        <w:pStyle w:val="16"/>
        <w:adjustRightInd w:val="0"/>
        <w:snapToGrid w:val="0"/>
        <w:spacing w:line="560" w:lineRule="exact"/>
        <w:ind w:left="0" w:leftChars="0" w:firstLine="640" w:firstLineChars="200"/>
        <w:jc w:val="left"/>
        <w:rPr>
          <w:rFonts w:hint="eastAsia" w:eastAsia="仿宋_GB2312" w:cs="仿宋_GB2312"/>
          <w:sz w:val="32"/>
          <w:szCs w:val="32"/>
          <w:lang w:val="en-US" w:eastAsia="zh-CN"/>
        </w:rPr>
      </w:pPr>
      <w:r>
        <w:rPr>
          <w:rFonts w:eastAsia="仿宋_GB2312" w:cs="仿宋_GB2312"/>
          <w:sz w:val="32"/>
          <w:szCs w:val="32"/>
        </w:rPr>
        <w:t>九、一般公共预算财政拨款项目支出决算表</w:t>
      </w:r>
      <w:r>
        <w:rPr>
          <w:rFonts w:eastAsia="仿宋_GB2312" w:cs="仿宋_GB2312"/>
          <w:sz w:val="32"/>
          <w:szCs w:val="32"/>
        </w:rPr>
        <w:tab/>
      </w:r>
      <w:r>
        <w:rPr>
          <w:rFonts w:hint="eastAsia" w:eastAsia="仿宋_GB2312" w:cs="仿宋_GB2312"/>
          <w:sz w:val="32"/>
          <w:szCs w:val="32"/>
        </w:rPr>
        <w:t>3</w:t>
      </w:r>
      <w:r>
        <w:rPr>
          <w:rFonts w:hint="eastAsia" w:eastAsia="仿宋_GB2312" w:cs="仿宋_GB2312"/>
          <w:sz w:val="32"/>
          <w:szCs w:val="32"/>
          <w:lang w:val="en-US" w:eastAsia="zh-CN"/>
        </w:rPr>
        <w:t>7</w:t>
      </w:r>
    </w:p>
    <w:p>
      <w:pPr>
        <w:pStyle w:val="16"/>
        <w:adjustRightInd w:val="0"/>
        <w:snapToGrid w:val="0"/>
        <w:spacing w:line="560" w:lineRule="exact"/>
        <w:ind w:left="0" w:leftChars="0" w:firstLine="640" w:firstLineChars="200"/>
        <w:jc w:val="left"/>
        <w:rPr>
          <w:rFonts w:hint="eastAsia" w:eastAsia="仿宋_GB2312" w:cs="仿宋_GB2312"/>
          <w:sz w:val="32"/>
          <w:szCs w:val="32"/>
          <w:lang w:val="en-US" w:eastAsia="zh-CN"/>
        </w:rPr>
      </w:pPr>
      <w:r>
        <w:rPr>
          <w:rFonts w:eastAsia="仿宋_GB2312" w:cs="仿宋_GB2312"/>
          <w:sz w:val="32"/>
          <w:szCs w:val="32"/>
        </w:rPr>
        <w:t>十、政府性基金预算财政拨款收入支出决算表</w:t>
      </w:r>
      <w:r>
        <w:rPr>
          <w:rFonts w:eastAsia="仿宋_GB2312" w:cs="仿宋_GB2312"/>
          <w:sz w:val="32"/>
          <w:szCs w:val="32"/>
        </w:rPr>
        <w:tab/>
      </w:r>
      <w:r>
        <w:rPr>
          <w:rFonts w:hint="eastAsia" w:eastAsia="仿宋_GB2312" w:cs="仿宋_GB2312"/>
          <w:sz w:val="32"/>
          <w:szCs w:val="32"/>
        </w:rPr>
        <w:t>3</w:t>
      </w:r>
      <w:r>
        <w:rPr>
          <w:rFonts w:hint="eastAsia" w:eastAsia="仿宋_GB2312" w:cs="仿宋_GB2312"/>
          <w:sz w:val="32"/>
          <w:szCs w:val="32"/>
          <w:lang w:val="en-US" w:eastAsia="zh-CN"/>
        </w:rPr>
        <w:t>7</w:t>
      </w:r>
    </w:p>
    <w:p>
      <w:pPr>
        <w:pStyle w:val="16"/>
        <w:adjustRightInd w:val="0"/>
        <w:snapToGrid w:val="0"/>
        <w:spacing w:line="560" w:lineRule="exact"/>
        <w:ind w:left="0" w:leftChars="0" w:firstLine="640" w:firstLineChars="200"/>
        <w:jc w:val="left"/>
        <w:rPr>
          <w:rFonts w:hint="eastAsia" w:eastAsia="仿宋_GB2312" w:cs="仿宋_GB2312"/>
          <w:sz w:val="32"/>
          <w:szCs w:val="32"/>
          <w:lang w:val="en-US" w:eastAsia="zh-CN"/>
        </w:rPr>
      </w:pPr>
      <w:r>
        <w:rPr>
          <w:rFonts w:eastAsia="仿宋_GB2312" w:cs="仿宋_GB2312"/>
          <w:sz w:val="32"/>
          <w:szCs w:val="32"/>
        </w:rPr>
        <w:t>十一、国有资本经营预算财政拨款收入支出决算表</w:t>
      </w:r>
      <w:r>
        <w:rPr>
          <w:rFonts w:eastAsia="仿宋_GB2312" w:cs="仿宋_GB2312"/>
          <w:sz w:val="32"/>
          <w:szCs w:val="32"/>
        </w:rPr>
        <w:tab/>
      </w:r>
      <w:r>
        <w:rPr>
          <w:rFonts w:hint="eastAsia" w:eastAsia="仿宋_GB2312" w:cs="仿宋_GB2312"/>
          <w:sz w:val="32"/>
          <w:szCs w:val="32"/>
        </w:rPr>
        <w:t>3</w:t>
      </w:r>
      <w:r>
        <w:rPr>
          <w:rFonts w:hint="eastAsia" w:eastAsia="仿宋_GB2312" w:cs="仿宋_GB2312"/>
          <w:sz w:val="32"/>
          <w:szCs w:val="32"/>
          <w:lang w:val="en-US" w:eastAsia="zh-CN"/>
        </w:rPr>
        <w:t>7</w:t>
      </w:r>
    </w:p>
    <w:p>
      <w:pPr>
        <w:pStyle w:val="16"/>
        <w:adjustRightInd w:val="0"/>
        <w:snapToGrid w:val="0"/>
        <w:spacing w:line="560" w:lineRule="exact"/>
        <w:ind w:left="0" w:leftChars="0" w:firstLine="640" w:firstLineChars="200"/>
        <w:jc w:val="left"/>
        <w:rPr>
          <w:rFonts w:hint="eastAsia" w:eastAsia="仿宋_GB2312" w:cs="仿宋_GB2312"/>
          <w:sz w:val="32"/>
          <w:szCs w:val="32"/>
          <w:lang w:val="en-US" w:eastAsia="zh-CN"/>
        </w:rPr>
      </w:pPr>
      <w:r>
        <w:rPr>
          <w:rFonts w:eastAsia="仿宋_GB2312" w:cs="仿宋_GB2312"/>
          <w:sz w:val="32"/>
          <w:szCs w:val="32"/>
        </w:rPr>
        <w:t>十二、国有资本经营预算财政拨款支出决算表</w:t>
      </w:r>
      <w:r>
        <w:rPr>
          <w:rFonts w:eastAsia="仿宋_GB2312" w:cs="仿宋_GB2312"/>
          <w:sz w:val="32"/>
          <w:szCs w:val="32"/>
        </w:rPr>
        <w:tab/>
      </w:r>
      <w:r>
        <w:rPr>
          <w:rFonts w:hint="eastAsia" w:eastAsia="仿宋_GB2312" w:cs="仿宋_GB2312"/>
          <w:sz w:val="32"/>
          <w:szCs w:val="32"/>
        </w:rPr>
        <w:t>3</w:t>
      </w:r>
      <w:r>
        <w:rPr>
          <w:rFonts w:hint="eastAsia" w:eastAsia="仿宋_GB2312" w:cs="仿宋_GB2312"/>
          <w:sz w:val="32"/>
          <w:szCs w:val="32"/>
          <w:lang w:val="en-US" w:eastAsia="zh-CN"/>
        </w:rPr>
        <w:t>7</w:t>
      </w:r>
    </w:p>
    <w:p>
      <w:pPr>
        <w:pStyle w:val="16"/>
        <w:adjustRightInd w:val="0"/>
        <w:snapToGrid w:val="0"/>
        <w:spacing w:line="560" w:lineRule="exact"/>
        <w:ind w:left="0" w:leftChars="0" w:firstLine="640" w:firstLineChars="200"/>
        <w:jc w:val="left"/>
        <w:rPr>
          <w:rFonts w:eastAsia="仿宋_GB2312" w:cs="仿宋_GB2312"/>
          <w:sz w:val="32"/>
          <w:szCs w:val="32"/>
        </w:rPr>
      </w:pPr>
      <w:r>
        <w:rPr>
          <w:rFonts w:eastAsia="仿宋_GB2312" w:cs="仿宋_GB2312"/>
          <w:sz w:val="32"/>
          <w:szCs w:val="32"/>
        </w:rPr>
        <w:t>十三、财政拨款“三公”经费支出决算表</w:t>
      </w:r>
      <w:r>
        <w:rPr>
          <w:rFonts w:eastAsia="仿宋_GB2312" w:cs="仿宋_GB2312"/>
          <w:sz w:val="32"/>
          <w:szCs w:val="32"/>
        </w:rPr>
        <w:tab/>
      </w:r>
      <w:r>
        <w:rPr>
          <w:rFonts w:hint="eastAsia" w:eastAsia="仿宋_GB2312" w:cs="仿宋_GB2312"/>
          <w:sz w:val="32"/>
          <w:szCs w:val="32"/>
        </w:rPr>
        <w:t>3</w:t>
      </w:r>
      <w:r>
        <w:rPr>
          <w:rFonts w:hint="eastAsia" w:eastAsia="仿宋_GB2312" w:cs="仿宋_GB2312"/>
          <w:sz w:val="32"/>
          <w:szCs w:val="32"/>
          <w:lang w:val="en-US" w:eastAsia="zh-CN"/>
        </w:rPr>
        <w:t>7</w:t>
      </w:r>
      <w:r>
        <w:rPr>
          <w:rFonts w:hint="eastAsia" w:eastAsia="仿宋_GB2312" w:cs="仿宋_GB2312"/>
          <w:sz w:val="32"/>
          <w:szCs w:val="32"/>
        </w:rPr>
        <w:br w:type="page"/>
      </w:r>
    </w:p>
    <w:p>
      <w:pPr>
        <w:pStyle w:val="5"/>
        <w:jc w:val="center"/>
        <w:rPr>
          <w:rStyle w:val="31"/>
          <w:rFonts w:eastAsia="方正小标宋简体" w:cs="方正小标宋简体"/>
          <w:b/>
          <w:bCs w:val="0"/>
        </w:rPr>
      </w:pPr>
      <w:r>
        <w:rPr>
          <w:rFonts w:hint="eastAsia" w:eastAsia="方正小标宋简体" w:cs="方正小标宋简体"/>
          <w:b w:val="0"/>
        </w:rPr>
        <w:t xml:space="preserve">第一部分  </w:t>
      </w:r>
      <w:r>
        <w:rPr>
          <w:rStyle w:val="31"/>
          <w:rFonts w:hint="eastAsia" w:eastAsia="方正小标宋简体" w:cs="方正小标宋简体"/>
          <w:b w:val="0"/>
          <w:bCs w:val="0"/>
        </w:rPr>
        <w:t>部门概况</w:t>
      </w:r>
      <w:bookmarkEnd w:id="7"/>
      <w:bookmarkEnd w:id="8"/>
    </w:p>
    <w:p>
      <w:pPr>
        <w:pStyle w:val="6"/>
        <w:numPr>
          <w:ilvl w:val="0"/>
          <w:numId w:val="1"/>
        </w:numPr>
        <w:rPr>
          <w:rFonts w:ascii="Times New Roman" w:hAnsi="Times New Roman" w:eastAsia="黑体"/>
          <w:b w:val="0"/>
        </w:rPr>
      </w:pPr>
      <w:r>
        <w:rPr>
          <w:rFonts w:hint="eastAsia" w:ascii="Times New Roman" w:hAnsi="Times New Roman" w:eastAsia="黑体"/>
          <w:b w:val="0"/>
        </w:rPr>
        <w:t>部门职责</w:t>
      </w:r>
    </w:p>
    <w:p>
      <w:pPr>
        <w:spacing w:line="48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是负责处理区内外群众给中央、省、市、区领导的来信，接待群众来访，保证信访渠道畅通，及时准确地向区委、区政府领导反映来信中提出的重要建议、意见和问题；综合分析信访信息，开展调查研究，提出有关政策的建议。二是承办区委、区政府领导同志交办的信访事项，督查领导同志有关信访批示的落实情况，向各乡镇（街办）和部门交办信访事项，督查重要事项的处理和落实。三是协调处理跨乡镇（街办）、部门的重要信访问题，协调处理群众到区委、区政府的集体上访；检查、指导、协调区级各部门信访工作和各乡镇（街办）党政机关的信访工作。四是研究、草拟有关信访工作的规范性文件；总结推广各乡镇（街办）、各部门信访工作经验，提出改进和加强信访工作的意见和建议；通报重大信访问题和信访事件。五是了解掌握全区信访工作队伍建设情况，组织信访干部业务培训，指导各乡镇（街办）、部门信访业务工作。六是负责全区信访工作目标管理的考核评比，向区委、区政府提出对在信访工作中做出成绩的单位和个人给予表彰的建议。七是负责全区信访信息的编辑和报送、做好信访交流、联络工作。八是承担区信访工作领导小组的日常事务工作。九是承担区委、区政府领导及中央、省、市信访部门批办、交办的其他事项。十是负责重大事项的报告，信息的搜集和整理工作。</w:t>
      </w:r>
    </w:p>
    <w:p>
      <w:pPr>
        <w:pStyle w:val="6"/>
        <w:rPr>
          <w:rStyle w:val="32"/>
          <w:rFonts w:ascii="Times New Roman" w:hAnsi="Times New Roman"/>
          <w:b w:val="0"/>
          <w:bCs w:val="0"/>
        </w:rPr>
      </w:pPr>
      <w:bookmarkStart w:id="9" w:name="_Toc15377200"/>
      <w:bookmarkStart w:id="10" w:name="_Toc15396601"/>
      <w:r>
        <w:rPr>
          <w:rFonts w:hint="eastAsia" w:ascii="Times New Roman" w:hAnsi="Times New Roman" w:eastAsia="黑体"/>
          <w:b w:val="0"/>
        </w:rPr>
        <w:t>二、机</w:t>
      </w:r>
      <w:r>
        <w:rPr>
          <w:rStyle w:val="32"/>
          <w:rFonts w:hint="eastAsia" w:ascii="Times New Roman" w:hAnsi="Times New Roman" w:eastAsia="黑体"/>
          <w:b w:val="0"/>
          <w:bCs w:val="0"/>
        </w:rPr>
        <w:t>构设置</w:t>
      </w:r>
      <w:bookmarkEnd w:id="9"/>
      <w:bookmarkEnd w:id="10"/>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攀枝花市仁和区信访局下设2个科室，下属二级预算单位0个，其中行政单位0个，参照公务员法管理的事业单位0个，其他事业单位0个。</w:t>
      </w:r>
    </w:p>
    <w:p>
      <w:pPr>
        <w:widowControl/>
        <w:jc w:val="left"/>
        <w:rPr>
          <w:rFonts w:eastAsia="仿宋"/>
          <w:kern w:val="0"/>
          <w:sz w:val="32"/>
          <w:szCs w:val="32"/>
        </w:rPr>
      </w:pPr>
      <w:r>
        <w:rPr>
          <w:rFonts w:eastAsia="仿宋"/>
          <w:sz w:val="32"/>
          <w:szCs w:val="32"/>
        </w:rPr>
        <w:br w:type="page"/>
      </w:r>
    </w:p>
    <w:p>
      <w:pPr>
        <w:pStyle w:val="5"/>
        <w:jc w:val="center"/>
        <w:rPr>
          <w:rFonts w:eastAsia="方正小标宋简体" w:cs="方正小标宋简体"/>
          <w:b w:val="0"/>
        </w:rPr>
      </w:pPr>
      <w:bookmarkStart w:id="11" w:name="_Toc15377204"/>
      <w:bookmarkStart w:id="12" w:name="_Toc15396602"/>
      <w:r>
        <w:rPr>
          <w:rFonts w:hint="eastAsia" w:eastAsia="方正小标宋简体" w:cs="方正小标宋简体"/>
          <w:b w:val="0"/>
        </w:rPr>
        <w:t>第二部分  2025年度部门决算情况说明</w:t>
      </w:r>
      <w:bookmarkEnd w:id="11"/>
      <w:bookmarkEnd w:id="12"/>
    </w:p>
    <w:p/>
    <w:p>
      <w:pPr>
        <w:pStyle w:val="30"/>
        <w:spacing w:line="600" w:lineRule="exact"/>
        <w:ind w:firstLine="640"/>
        <w:outlineLvl w:val="1"/>
        <w:rPr>
          <w:rStyle w:val="32"/>
          <w:rFonts w:ascii="Times New Roman" w:hAnsi="Times New Roman" w:eastAsia="黑体"/>
          <w:b w:val="0"/>
        </w:rPr>
      </w:pPr>
      <w:bookmarkStart w:id="13" w:name="_Toc15377205"/>
      <w:bookmarkStart w:id="14" w:name="_Toc15396603"/>
      <w:r>
        <w:rPr>
          <w:rFonts w:hint="eastAsia" w:eastAsia="黑体"/>
          <w:sz w:val="32"/>
          <w:szCs w:val="32"/>
        </w:rPr>
        <w:t>一、收</w:t>
      </w:r>
      <w:r>
        <w:rPr>
          <w:rStyle w:val="32"/>
          <w:rFonts w:hint="eastAsia" w:ascii="Times New Roman" w:hAnsi="Times New Roman" w:eastAsia="黑体"/>
          <w:b w:val="0"/>
        </w:rPr>
        <w:t>入支出决算总体情况说明</w:t>
      </w:r>
      <w:bookmarkEnd w:id="13"/>
      <w:bookmarkEnd w:id="14"/>
    </w:p>
    <w:p>
      <w:pPr>
        <w:pStyle w:val="30"/>
        <w:spacing w:line="600" w:lineRule="exact"/>
        <w:ind w:firstLine="640"/>
        <w:outlineLvl w:val="1"/>
        <w:rPr>
          <w:rFonts w:cs="仿宋_GB2312"/>
          <w:sz w:val="32"/>
          <w:szCs w:val="32"/>
        </w:rPr>
      </w:pPr>
      <w:r>
        <w:rPr>
          <w:rFonts w:hint="eastAsia" w:eastAsia="仿宋_GB2312" w:cs="仿宋_GB2312"/>
          <w:sz w:val="32"/>
          <w:szCs w:val="32"/>
        </w:rPr>
        <w:t>2025年度收入、支出总计均为</w:t>
      </w:r>
      <w:r>
        <w:rPr>
          <w:rFonts w:hint="eastAsia" w:ascii="仿宋_GB2312" w:hAnsi="仿宋_GB2312" w:eastAsia="仿宋_GB2312" w:cs="仿宋_GB2312"/>
          <w:sz w:val="32"/>
          <w:szCs w:val="32"/>
        </w:rPr>
        <w:t>369.44</w:t>
      </w:r>
      <w:r>
        <w:rPr>
          <w:rFonts w:hint="eastAsia" w:eastAsia="仿宋_GB2312" w:cs="仿宋_GB2312"/>
          <w:sz w:val="32"/>
          <w:szCs w:val="32"/>
        </w:rPr>
        <w:t>万元。与上年度相比，收入、支出总计各增加35.56万元，增长10.7%。主要变动原因是本年度项目、人员经费、公用经费增加。</w:t>
      </w:r>
    </w:p>
    <w:p>
      <w:pPr>
        <w:pStyle w:val="30"/>
        <w:spacing w:line="600" w:lineRule="exact"/>
        <w:ind w:firstLine="640"/>
        <w:outlineLvl w:val="1"/>
        <w:rPr>
          <w:rFonts w:eastAsia="仿宋_GB2312" w:cs="仿宋_GB2312"/>
          <w:sz w:val="32"/>
          <w:szCs w:val="32"/>
        </w:rPr>
      </w:pPr>
      <w:r>
        <w:rPr>
          <w:rFonts w:hint="eastAsia" w:eastAsia="仿宋_GB2312" w:cs="仿宋_GB2312"/>
          <w:sz w:val="32"/>
          <w:szCs w:val="32"/>
        </w:rPr>
        <w:t>（图1：收入、支出决算总计变动情况图）（柱状图）</w:t>
      </w:r>
    </w:p>
    <w:p>
      <w:pPr>
        <w:ind w:firstLine="420" w:firstLineChars="200"/>
        <w:rPr>
          <w:rFonts w:eastAsia="仿宋_GB2312" w:cs="仿宋_GB2312"/>
          <w:sz w:val="32"/>
          <w:szCs w:val="32"/>
          <w:highlight w:val="yellow"/>
        </w:rPr>
      </w:pPr>
      <w:r>
        <w:drawing>
          <wp:inline distT="0" distB="0" distL="114300" distR="114300">
            <wp:extent cx="4747895" cy="2577465"/>
            <wp:effectExtent l="4445" t="4445" r="10160" b="8890"/>
            <wp:docPr id="1980"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pPr>
        <w:pStyle w:val="30"/>
        <w:spacing w:line="600" w:lineRule="exact"/>
        <w:ind w:firstLine="640"/>
        <w:outlineLvl w:val="1"/>
        <w:rPr>
          <w:rFonts w:eastAsia="黑体"/>
          <w:sz w:val="32"/>
          <w:szCs w:val="32"/>
        </w:rPr>
      </w:pPr>
      <w:bookmarkStart w:id="15" w:name="_Toc15396604"/>
      <w:bookmarkStart w:id="16" w:name="_Toc15377206"/>
      <w:r>
        <w:rPr>
          <w:rFonts w:hint="eastAsia" w:eastAsia="黑体"/>
          <w:sz w:val="32"/>
          <w:szCs w:val="32"/>
        </w:rPr>
        <w:t>二、收入决算情况说明</w:t>
      </w:r>
      <w:bookmarkEnd w:id="15"/>
      <w:bookmarkEnd w:id="16"/>
    </w:p>
    <w:p>
      <w:pPr>
        <w:pStyle w:val="30"/>
        <w:spacing w:line="600" w:lineRule="exact"/>
        <w:ind w:firstLine="640"/>
        <w:outlineLvl w:val="1"/>
        <w:rPr>
          <w:rFonts w:eastAsia="仿宋_GB2312" w:cs="仿宋_GB2312"/>
          <w:b/>
          <w:bCs/>
          <w:sz w:val="32"/>
          <w:szCs w:val="32"/>
        </w:rPr>
      </w:pPr>
      <w:r>
        <w:rPr>
          <w:rFonts w:hint="eastAsia" w:eastAsia="仿宋_GB2312" w:cs="仿宋_GB2312"/>
          <w:sz w:val="32"/>
          <w:szCs w:val="32"/>
        </w:rPr>
        <w:t>2025年度本年收入合计</w:t>
      </w:r>
      <w:r>
        <w:rPr>
          <w:rFonts w:hint="eastAsia" w:ascii="仿宋_GB2312" w:hAnsi="仿宋_GB2312" w:eastAsia="仿宋_GB2312" w:cs="仿宋_GB2312"/>
          <w:sz w:val="32"/>
          <w:szCs w:val="32"/>
        </w:rPr>
        <w:t>369.44</w:t>
      </w:r>
      <w:r>
        <w:rPr>
          <w:rFonts w:hint="eastAsia" w:eastAsia="仿宋_GB2312" w:cs="仿宋_GB2312"/>
          <w:sz w:val="32"/>
          <w:szCs w:val="32"/>
        </w:rPr>
        <w:t>万元，其中：一般公共预算财政拨款收入</w:t>
      </w:r>
      <w:r>
        <w:rPr>
          <w:rFonts w:hint="eastAsia" w:ascii="仿宋_GB2312" w:hAnsi="仿宋_GB2312" w:eastAsia="仿宋_GB2312" w:cs="仿宋_GB2312"/>
          <w:sz w:val="32"/>
          <w:szCs w:val="32"/>
        </w:rPr>
        <w:t>369.44</w:t>
      </w:r>
      <w:r>
        <w:rPr>
          <w:rFonts w:hint="eastAsia" w:eastAsia="仿宋_GB2312" w:cs="仿宋_GB2312"/>
          <w:sz w:val="32"/>
          <w:szCs w:val="32"/>
        </w:rPr>
        <w:t>万元，占</w:t>
      </w:r>
      <w:r>
        <w:rPr>
          <w:rFonts w:hint="eastAsia" w:ascii="仿宋_GB2312" w:hAnsi="仿宋_GB2312" w:eastAsia="仿宋_GB2312" w:cs="仿宋_GB2312"/>
          <w:sz w:val="32"/>
          <w:szCs w:val="32"/>
        </w:rPr>
        <w:t>100</w:t>
      </w:r>
      <w:r>
        <w:rPr>
          <w:rFonts w:hint="eastAsia" w:eastAsia="仿宋_GB2312" w:cs="仿宋_GB2312"/>
          <w:sz w:val="32"/>
          <w:szCs w:val="32"/>
        </w:rPr>
        <w:t>%；政府性基金预算财政拨款收入</w:t>
      </w:r>
      <w:r>
        <w:rPr>
          <w:rFonts w:hint="eastAsia" w:ascii="仿宋_GB2312" w:hAnsi="仿宋_GB2312" w:eastAsia="仿宋_GB2312" w:cs="仿宋_GB2312"/>
          <w:sz w:val="32"/>
          <w:szCs w:val="32"/>
        </w:rPr>
        <w:t>0</w:t>
      </w:r>
      <w:r>
        <w:rPr>
          <w:rFonts w:hint="eastAsia" w:eastAsia="仿宋_GB2312" w:cs="仿宋_GB2312"/>
          <w:sz w:val="32"/>
          <w:szCs w:val="32"/>
        </w:rPr>
        <w:t>万元，占</w:t>
      </w:r>
      <w:r>
        <w:rPr>
          <w:rFonts w:hint="eastAsia" w:ascii="仿宋_GB2312" w:hAnsi="仿宋_GB2312" w:eastAsia="仿宋_GB2312" w:cs="仿宋_GB2312"/>
          <w:sz w:val="32"/>
          <w:szCs w:val="32"/>
        </w:rPr>
        <w:t>0</w:t>
      </w:r>
      <w:r>
        <w:rPr>
          <w:rFonts w:hint="eastAsia" w:eastAsia="仿宋_GB2312" w:cs="仿宋_GB2312"/>
          <w:sz w:val="32"/>
          <w:szCs w:val="32"/>
        </w:rPr>
        <w:t>%；国有资本经营预算财政拨款收入</w:t>
      </w:r>
      <w:r>
        <w:rPr>
          <w:rFonts w:hint="eastAsia" w:ascii="仿宋_GB2312" w:hAnsi="仿宋_GB2312" w:eastAsia="仿宋_GB2312" w:cs="仿宋_GB2312"/>
          <w:sz w:val="32"/>
          <w:szCs w:val="32"/>
        </w:rPr>
        <w:t>0</w:t>
      </w:r>
      <w:r>
        <w:rPr>
          <w:rFonts w:hint="eastAsia" w:eastAsia="仿宋_GB2312" w:cs="仿宋_GB2312"/>
          <w:sz w:val="32"/>
          <w:szCs w:val="32"/>
        </w:rPr>
        <w:t>万元，占</w:t>
      </w:r>
      <w:r>
        <w:rPr>
          <w:rFonts w:hint="eastAsia" w:ascii="仿宋_GB2312" w:hAnsi="仿宋_GB2312" w:eastAsia="仿宋_GB2312" w:cs="仿宋_GB2312"/>
          <w:sz w:val="32"/>
          <w:szCs w:val="32"/>
        </w:rPr>
        <w:t>0</w:t>
      </w:r>
      <w:r>
        <w:rPr>
          <w:rFonts w:hint="eastAsia" w:eastAsia="仿宋_GB2312" w:cs="仿宋_GB2312"/>
          <w:sz w:val="32"/>
          <w:szCs w:val="32"/>
        </w:rPr>
        <w:t>%；上级补助收入</w:t>
      </w:r>
      <w:r>
        <w:rPr>
          <w:rFonts w:hint="eastAsia" w:ascii="仿宋_GB2312" w:hAnsi="仿宋_GB2312" w:eastAsia="仿宋_GB2312" w:cs="仿宋_GB2312"/>
          <w:sz w:val="32"/>
          <w:szCs w:val="32"/>
        </w:rPr>
        <w:t>0</w:t>
      </w:r>
      <w:r>
        <w:rPr>
          <w:rFonts w:hint="eastAsia" w:eastAsia="仿宋_GB2312" w:cs="仿宋_GB2312"/>
          <w:sz w:val="32"/>
          <w:szCs w:val="32"/>
        </w:rPr>
        <w:t>万元，占</w:t>
      </w:r>
      <w:r>
        <w:rPr>
          <w:rFonts w:hint="eastAsia" w:ascii="仿宋_GB2312" w:hAnsi="仿宋_GB2312" w:eastAsia="仿宋_GB2312" w:cs="仿宋_GB2312"/>
          <w:sz w:val="32"/>
          <w:szCs w:val="32"/>
        </w:rPr>
        <w:t>0</w:t>
      </w:r>
      <w:r>
        <w:rPr>
          <w:rFonts w:hint="eastAsia" w:eastAsia="仿宋_GB2312" w:cs="仿宋_GB2312"/>
          <w:sz w:val="32"/>
          <w:szCs w:val="32"/>
        </w:rPr>
        <w:t>%；事业收入</w:t>
      </w:r>
      <w:r>
        <w:rPr>
          <w:rFonts w:hint="eastAsia" w:ascii="仿宋_GB2312" w:hAnsi="仿宋_GB2312" w:eastAsia="仿宋_GB2312" w:cs="仿宋_GB2312"/>
          <w:sz w:val="32"/>
          <w:szCs w:val="32"/>
        </w:rPr>
        <w:t>0</w:t>
      </w:r>
      <w:r>
        <w:rPr>
          <w:rFonts w:hint="eastAsia" w:eastAsia="仿宋_GB2312" w:cs="仿宋_GB2312"/>
          <w:sz w:val="32"/>
          <w:szCs w:val="32"/>
        </w:rPr>
        <w:t>万元，占</w:t>
      </w:r>
      <w:r>
        <w:rPr>
          <w:rFonts w:hint="eastAsia" w:ascii="仿宋_GB2312" w:hAnsi="仿宋_GB2312" w:eastAsia="仿宋_GB2312" w:cs="仿宋_GB2312"/>
          <w:sz w:val="32"/>
          <w:szCs w:val="32"/>
        </w:rPr>
        <w:t>0</w:t>
      </w:r>
      <w:r>
        <w:rPr>
          <w:rFonts w:hint="eastAsia" w:eastAsia="仿宋_GB2312" w:cs="仿宋_GB2312"/>
          <w:sz w:val="32"/>
          <w:szCs w:val="32"/>
        </w:rPr>
        <w:t>%；经营收入</w:t>
      </w:r>
      <w:r>
        <w:rPr>
          <w:rFonts w:hint="eastAsia" w:ascii="仿宋_GB2312" w:hAnsi="仿宋_GB2312" w:eastAsia="仿宋_GB2312" w:cs="仿宋_GB2312"/>
          <w:sz w:val="32"/>
          <w:szCs w:val="32"/>
        </w:rPr>
        <w:t>0</w:t>
      </w:r>
      <w:r>
        <w:rPr>
          <w:rFonts w:hint="eastAsia" w:eastAsia="仿宋_GB2312" w:cs="仿宋_GB2312"/>
          <w:sz w:val="32"/>
          <w:szCs w:val="32"/>
        </w:rPr>
        <w:t>万元，占</w:t>
      </w:r>
      <w:r>
        <w:rPr>
          <w:rFonts w:hint="eastAsia" w:ascii="仿宋_GB2312" w:hAnsi="仿宋_GB2312" w:eastAsia="仿宋_GB2312" w:cs="仿宋_GB2312"/>
          <w:sz w:val="32"/>
          <w:szCs w:val="32"/>
        </w:rPr>
        <w:t>0</w:t>
      </w:r>
      <w:r>
        <w:rPr>
          <w:rFonts w:hint="eastAsia" w:eastAsia="仿宋_GB2312" w:cs="仿宋_GB2312"/>
          <w:sz w:val="32"/>
          <w:szCs w:val="32"/>
        </w:rPr>
        <w:t>%；附属单位上缴收入</w:t>
      </w:r>
      <w:r>
        <w:rPr>
          <w:rFonts w:hint="eastAsia" w:ascii="仿宋_GB2312" w:hAnsi="仿宋_GB2312" w:eastAsia="仿宋_GB2312" w:cs="仿宋_GB2312"/>
          <w:sz w:val="32"/>
          <w:szCs w:val="32"/>
        </w:rPr>
        <w:t>0</w:t>
      </w:r>
      <w:r>
        <w:rPr>
          <w:rFonts w:hint="eastAsia" w:eastAsia="仿宋_GB2312" w:cs="仿宋_GB2312"/>
          <w:sz w:val="32"/>
          <w:szCs w:val="32"/>
        </w:rPr>
        <w:t>万元，占</w:t>
      </w:r>
      <w:r>
        <w:rPr>
          <w:rFonts w:hint="eastAsia" w:ascii="仿宋_GB2312" w:hAnsi="仿宋_GB2312" w:eastAsia="仿宋_GB2312" w:cs="仿宋_GB2312"/>
          <w:sz w:val="32"/>
          <w:szCs w:val="32"/>
        </w:rPr>
        <w:t>0</w:t>
      </w:r>
      <w:r>
        <w:rPr>
          <w:rFonts w:hint="eastAsia" w:eastAsia="仿宋_GB2312" w:cs="仿宋_GB2312"/>
          <w:sz w:val="32"/>
          <w:szCs w:val="32"/>
        </w:rPr>
        <w:t>%；其他收入</w:t>
      </w:r>
      <w:r>
        <w:rPr>
          <w:rFonts w:hint="eastAsia" w:ascii="仿宋_GB2312" w:hAnsi="仿宋_GB2312" w:eastAsia="仿宋_GB2312" w:cs="仿宋_GB2312"/>
          <w:sz w:val="32"/>
          <w:szCs w:val="32"/>
        </w:rPr>
        <w:t>0</w:t>
      </w:r>
      <w:r>
        <w:rPr>
          <w:rFonts w:hint="eastAsia" w:eastAsia="仿宋_GB2312" w:cs="仿宋_GB2312"/>
          <w:sz w:val="32"/>
          <w:szCs w:val="32"/>
        </w:rPr>
        <w:t>万元，占</w:t>
      </w:r>
      <w:r>
        <w:rPr>
          <w:rFonts w:hint="eastAsia" w:ascii="仿宋_GB2312" w:hAnsi="仿宋_GB2312" w:eastAsia="仿宋_GB2312" w:cs="仿宋_GB2312"/>
          <w:sz w:val="32"/>
          <w:szCs w:val="32"/>
        </w:rPr>
        <w:t>0</w:t>
      </w:r>
      <w:r>
        <w:rPr>
          <w:rFonts w:hint="eastAsia" w:eastAsia="仿宋_GB2312" w:cs="仿宋_GB2312"/>
          <w:sz w:val="32"/>
          <w:szCs w:val="32"/>
        </w:rPr>
        <w:t>%。</w:t>
      </w:r>
    </w:p>
    <w:p>
      <w:pPr>
        <w:pStyle w:val="30"/>
        <w:spacing w:line="600" w:lineRule="exact"/>
        <w:ind w:firstLine="640"/>
        <w:outlineLvl w:val="1"/>
        <w:rPr>
          <w:rFonts w:eastAsia="仿宋_GB2312" w:cs="仿宋_GB2312"/>
          <w:sz w:val="32"/>
          <w:szCs w:val="32"/>
        </w:rPr>
      </w:pPr>
      <w:r>
        <w:rPr>
          <w:rFonts w:hint="eastAsia" w:eastAsia="仿宋_GB2312" w:cs="仿宋_GB2312"/>
          <w:sz w:val="32"/>
          <w:szCs w:val="32"/>
        </w:rPr>
        <w:t>（图2：收入决算结构图）（饼状图）</w:t>
      </w:r>
    </w:p>
    <w:p>
      <w:pPr>
        <w:ind w:firstLine="525" w:firstLineChars="250"/>
        <w:rPr>
          <w:rFonts w:eastAsia="仿宋_GB2312" w:cs="仿宋_GB2312"/>
          <w:sz w:val="32"/>
          <w:szCs w:val="32"/>
          <w:highlight w:val="yellow"/>
        </w:rPr>
      </w:pPr>
      <w:r>
        <w:drawing>
          <wp:inline distT="0" distB="0" distL="114300" distR="114300">
            <wp:extent cx="4583430" cy="2400935"/>
            <wp:effectExtent l="4445" t="4445" r="22225" b="13970"/>
            <wp:docPr id="1981"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pPr>
        <w:pStyle w:val="30"/>
        <w:spacing w:line="600" w:lineRule="exact"/>
        <w:ind w:firstLine="640"/>
        <w:outlineLvl w:val="1"/>
        <w:rPr>
          <w:rStyle w:val="32"/>
          <w:rFonts w:ascii="Times New Roman" w:hAnsi="Times New Roman" w:eastAsia="黑体"/>
          <w:b w:val="0"/>
        </w:rPr>
      </w:pPr>
      <w:bookmarkStart w:id="17" w:name="_Toc15396605"/>
      <w:bookmarkStart w:id="18" w:name="_Toc15377207"/>
      <w:r>
        <w:rPr>
          <w:rFonts w:hint="eastAsia" w:eastAsia="黑体"/>
          <w:sz w:val="32"/>
          <w:szCs w:val="32"/>
        </w:rPr>
        <w:t>三、支</w:t>
      </w:r>
      <w:r>
        <w:rPr>
          <w:rStyle w:val="32"/>
          <w:rFonts w:hint="eastAsia" w:ascii="Times New Roman" w:hAnsi="Times New Roman" w:eastAsia="黑体"/>
          <w:b w:val="0"/>
        </w:rPr>
        <w:t>出决算情况说明</w:t>
      </w:r>
      <w:bookmarkEnd w:id="17"/>
      <w:bookmarkEnd w:id="18"/>
    </w:p>
    <w:p>
      <w:pPr>
        <w:pStyle w:val="30"/>
        <w:spacing w:line="600" w:lineRule="exact"/>
        <w:ind w:firstLine="640"/>
        <w:outlineLvl w:val="1"/>
        <w:rPr>
          <w:rFonts w:eastAsia="仿宋_GB2312" w:cs="仿宋_GB2312"/>
          <w:b/>
          <w:bCs/>
          <w:sz w:val="32"/>
          <w:szCs w:val="32"/>
        </w:rPr>
      </w:pPr>
      <w:r>
        <w:rPr>
          <w:rFonts w:hint="eastAsia" w:eastAsia="仿宋_GB2312" w:cs="仿宋_GB2312"/>
          <w:sz w:val="32"/>
          <w:szCs w:val="32"/>
        </w:rPr>
        <w:t>2025年度本年支出合计</w:t>
      </w:r>
      <w:r>
        <w:rPr>
          <w:rFonts w:hint="eastAsia" w:ascii="仿宋_GB2312" w:hAnsi="仿宋_GB2312" w:eastAsia="仿宋_GB2312" w:cs="仿宋_GB2312"/>
          <w:sz w:val="32"/>
          <w:szCs w:val="32"/>
        </w:rPr>
        <w:t>369.44</w:t>
      </w:r>
      <w:r>
        <w:rPr>
          <w:rFonts w:hint="eastAsia" w:eastAsia="仿宋_GB2312" w:cs="仿宋_GB2312"/>
          <w:sz w:val="32"/>
          <w:szCs w:val="32"/>
        </w:rPr>
        <w:t>万元，其中：基本支出</w:t>
      </w:r>
      <w:r>
        <w:rPr>
          <w:rFonts w:hint="eastAsia" w:ascii="仿宋_GB2312" w:hAnsi="仿宋_GB2312" w:eastAsia="仿宋_GB2312" w:cs="仿宋_GB2312"/>
          <w:sz w:val="32"/>
          <w:szCs w:val="32"/>
        </w:rPr>
        <w:t>239.02</w:t>
      </w:r>
      <w:r>
        <w:rPr>
          <w:rFonts w:hint="eastAsia" w:eastAsia="仿宋_GB2312" w:cs="仿宋_GB2312"/>
          <w:sz w:val="32"/>
          <w:szCs w:val="32"/>
        </w:rPr>
        <w:t>万元，占</w:t>
      </w:r>
      <w:r>
        <w:rPr>
          <w:rFonts w:hint="eastAsia" w:ascii="仿宋_GB2312" w:hAnsi="仿宋_GB2312" w:eastAsia="仿宋_GB2312" w:cs="仿宋_GB2312"/>
          <w:sz w:val="32"/>
          <w:szCs w:val="32"/>
        </w:rPr>
        <w:t>64.7</w:t>
      </w:r>
      <w:r>
        <w:rPr>
          <w:rFonts w:hint="eastAsia" w:eastAsia="仿宋_GB2312" w:cs="仿宋_GB2312"/>
          <w:sz w:val="32"/>
          <w:szCs w:val="32"/>
        </w:rPr>
        <w:t>%；项目支出</w:t>
      </w:r>
      <w:r>
        <w:rPr>
          <w:rFonts w:hint="eastAsia" w:ascii="仿宋_GB2312" w:hAnsi="仿宋_GB2312" w:eastAsia="仿宋_GB2312" w:cs="仿宋_GB2312"/>
          <w:sz w:val="32"/>
          <w:szCs w:val="32"/>
        </w:rPr>
        <w:t>130.42</w:t>
      </w:r>
      <w:r>
        <w:rPr>
          <w:rFonts w:hint="eastAsia" w:eastAsia="仿宋_GB2312" w:cs="仿宋_GB2312"/>
          <w:sz w:val="32"/>
          <w:szCs w:val="32"/>
        </w:rPr>
        <w:t>万元，占</w:t>
      </w:r>
      <w:r>
        <w:rPr>
          <w:rFonts w:hint="eastAsia" w:ascii="仿宋_GB2312" w:hAnsi="仿宋_GB2312" w:eastAsia="仿宋_GB2312" w:cs="仿宋_GB2312"/>
          <w:sz w:val="32"/>
          <w:szCs w:val="32"/>
        </w:rPr>
        <w:t>35.3</w:t>
      </w:r>
      <w:r>
        <w:rPr>
          <w:rFonts w:hint="eastAsia" w:eastAsia="仿宋_GB2312" w:cs="仿宋_GB2312"/>
          <w:sz w:val="32"/>
          <w:szCs w:val="32"/>
        </w:rPr>
        <w:t>%；上缴上级支出</w:t>
      </w:r>
      <w:r>
        <w:rPr>
          <w:rFonts w:hint="eastAsia" w:ascii="仿宋_GB2312" w:hAnsi="仿宋_GB2312" w:eastAsia="仿宋_GB2312" w:cs="仿宋_GB2312"/>
          <w:sz w:val="32"/>
          <w:szCs w:val="32"/>
        </w:rPr>
        <w:t>0</w:t>
      </w:r>
      <w:r>
        <w:rPr>
          <w:rFonts w:hint="eastAsia" w:eastAsia="仿宋_GB2312" w:cs="仿宋_GB2312"/>
          <w:sz w:val="32"/>
          <w:szCs w:val="32"/>
        </w:rPr>
        <w:t>万元，占</w:t>
      </w:r>
      <w:r>
        <w:rPr>
          <w:rFonts w:hint="eastAsia" w:ascii="仿宋_GB2312" w:hAnsi="仿宋_GB2312" w:eastAsia="仿宋_GB2312" w:cs="仿宋_GB2312"/>
          <w:sz w:val="32"/>
          <w:szCs w:val="32"/>
        </w:rPr>
        <w:t>0</w:t>
      </w:r>
      <w:r>
        <w:rPr>
          <w:rFonts w:hint="eastAsia" w:eastAsia="仿宋_GB2312" w:cs="仿宋_GB2312"/>
          <w:sz w:val="32"/>
          <w:szCs w:val="32"/>
        </w:rPr>
        <w:t>%；经营支出</w:t>
      </w:r>
      <w:r>
        <w:rPr>
          <w:rFonts w:hint="eastAsia" w:ascii="仿宋_GB2312" w:hAnsi="仿宋_GB2312" w:eastAsia="仿宋_GB2312" w:cs="仿宋_GB2312"/>
          <w:sz w:val="32"/>
          <w:szCs w:val="32"/>
        </w:rPr>
        <w:t>0</w:t>
      </w:r>
      <w:r>
        <w:rPr>
          <w:rFonts w:hint="eastAsia" w:eastAsia="仿宋_GB2312" w:cs="仿宋_GB2312"/>
          <w:sz w:val="32"/>
          <w:szCs w:val="32"/>
        </w:rPr>
        <w:t>万元，占</w:t>
      </w:r>
      <w:r>
        <w:rPr>
          <w:rFonts w:hint="eastAsia" w:ascii="仿宋_GB2312" w:hAnsi="仿宋_GB2312" w:eastAsia="仿宋_GB2312" w:cs="仿宋_GB2312"/>
          <w:sz w:val="32"/>
          <w:szCs w:val="32"/>
        </w:rPr>
        <w:t>0</w:t>
      </w:r>
      <w:r>
        <w:rPr>
          <w:rFonts w:hint="eastAsia" w:eastAsia="仿宋_GB2312" w:cs="仿宋_GB2312"/>
          <w:sz w:val="32"/>
          <w:szCs w:val="32"/>
        </w:rPr>
        <w:t>%；对附属单位补助支出</w:t>
      </w:r>
      <w:r>
        <w:rPr>
          <w:rFonts w:hint="eastAsia" w:ascii="仿宋_GB2312" w:hAnsi="仿宋_GB2312" w:eastAsia="仿宋_GB2312" w:cs="仿宋_GB2312"/>
          <w:sz w:val="32"/>
          <w:szCs w:val="32"/>
        </w:rPr>
        <w:t>0</w:t>
      </w:r>
      <w:r>
        <w:rPr>
          <w:rFonts w:hint="eastAsia" w:eastAsia="仿宋_GB2312" w:cs="仿宋_GB2312"/>
          <w:sz w:val="32"/>
          <w:szCs w:val="32"/>
        </w:rPr>
        <w:t>万元，占</w:t>
      </w:r>
      <w:r>
        <w:rPr>
          <w:rFonts w:hint="eastAsia" w:ascii="仿宋_GB2312" w:hAnsi="仿宋_GB2312" w:eastAsia="仿宋_GB2312" w:cs="仿宋_GB2312"/>
          <w:sz w:val="32"/>
          <w:szCs w:val="32"/>
        </w:rPr>
        <w:t>0</w:t>
      </w:r>
      <w:r>
        <w:rPr>
          <w:rFonts w:hint="eastAsia" w:eastAsia="仿宋_GB2312" w:cs="仿宋_GB2312"/>
          <w:sz w:val="32"/>
          <w:szCs w:val="32"/>
        </w:rPr>
        <w:t>%。</w:t>
      </w:r>
    </w:p>
    <w:p>
      <w:pPr>
        <w:pStyle w:val="30"/>
        <w:spacing w:line="600" w:lineRule="exact"/>
        <w:ind w:firstLine="640"/>
        <w:outlineLvl w:val="1"/>
        <w:rPr>
          <w:rFonts w:eastAsia="仿宋_GB2312" w:cs="仿宋_GB2312"/>
          <w:sz w:val="32"/>
          <w:szCs w:val="32"/>
        </w:rPr>
      </w:pPr>
      <w:r>
        <w:rPr>
          <w:rFonts w:hint="eastAsia" w:eastAsia="仿宋_GB2312" w:cs="仿宋_GB2312"/>
          <w:sz w:val="32"/>
          <w:szCs w:val="32"/>
        </w:rPr>
        <w:t>（图3：支出决算结构图）（饼状图）</w:t>
      </w:r>
    </w:p>
    <w:p>
      <w:pPr>
        <w:ind w:firstLine="525" w:firstLineChars="250"/>
        <w:rPr>
          <w:rFonts w:eastAsia="仿宋_GB2312" w:cs="仿宋_GB2312"/>
          <w:sz w:val="32"/>
          <w:szCs w:val="32"/>
          <w:highlight w:val="yellow"/>
        </w:rPr>
      </w:pPr>
      <w:r>
        <w:drawing>
          <wp:inline distT="0" distB="0" distL="114300" distR="114300">
            <wp:extent cx="4618355" cy="2125980"/>
            <wp:effectExtent l="4445" t="5080" r="6350" b="21590"/>
            <wp:docPr id="1982"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pPr>
        <w:spacing w:line="600" w:lineRule="exact"/>
        <w:outlineLvl w:val="1"/>
        <w:rPr>
          <w:rStyle w:val="32"/>
          <w:rFonts w:ascii="Times New Roman" w:hAnsi="Times New Roman" w:eastAsia="黑体"/>
          <w:b w:val="0"/>
        </w:rPr>
      </w:pPr>
      <w:bookmarkStart w:id="19" w:name="_Toc15396606"/>
      <w:bookmarkStart w:id="20" w:name="_Toc15377208"/>
      <w:r>
        <w:rPr>
          <w:rFonts w:hint="eastAsia" w:eastAsia="黑体"/>
          <w:sz w:val="32"/>
          <w:szCs w:val="32"/>
        </w:rPr>
        <w:t>四、财</w:t>
      </w:r>
      <w:r>
        <w:rPr>
          <w:rStyle w:val="32"/>
          <w:rFonts w:hint="eastAsia" w:ascii="Times New Roman" w:hAnsi="Times New Roman" w:eastAsia="黑体"/>
          <w:b w:val="0"/>
        </w:rPr>
        <w:t>政拨款收入支出决算总体情况说明</w:t>
      </w:r>
      <w:bookmarkEnd w:id="19"/>
      <w:bookmarkEnd w:id="20"/>
    </w:p>
    <w:p>
      <w:pPr>
        <w:spacing w:line="600" w:lineRule="exact"/>
        <w:ind w:firstLine="640"/>
        <w:rPr>
          <w:rFonts w:eastAsia="仿宋_GB2312" w:cs="仿宋_GB2312"/>
          <w:sz w:val="32"/>
          <w:szCs w:val="32"/>
        </w:rPr>
      </w:pPr>
      <w:r>
        <w:rPr>
          <w:rFonts w:hint="eastAsia" w:eastAsia="仿宋_GB2312" w:cs="仿宋_GB2312"/>
          <w:sz w:val="32"/>
          <w:szCs w:val="32"/>
        </w:rPr>
        <w:t>2025年度财政拨款收入、支出总计均为</w:t>
      </w:r>
      <w:r>
        <w:rPr>
          <w:rFonts w:hint="eastAsia" w:ascii="仿宋_GB2312" w:hAnsi="仿宋_GB2312" w:eastAsia="仿宋_GB2312" w:cs="仿宋_GB2312"/>
          <w:sz w:val="32"/>
          <w:szCs w:val="32"/>
        </w:rPr>
        <w:t>369.44</w:t>
      </w:r>
      <w:r>
        <w:rPr>
          <w:rFonts w:hint="eastAsia" w:eastAsia="仿宋_GB2312" w:cs="仿宋_GB2312"/>
          <w:sz w:val="32"/>
          <w:szCs w:val="32"/>
        </w:rPr>
        <w:t>万元。与上年度相比，财政拨款收入、支出总计各增加35.56万元，增长10.7%。主要变动原因是本年度项目、人员经费、公用经费增加。</w:t>
      </w:r>
    </w:p>
    <w:p>
      <w:pPr>
        <w:spacing w:line="600" w:lineRule="exact"/>
        <w:ind w:firstLine="640" w:firstLineChars="200"/>
        <w:rPr>
          <w:rFonts w:eastAsia="仿宋_GB2312" w:cs="仿宋_GB2312"/>
          <w:sz w:val="32"/>
          <w:szCs w:val="32"/>
        </w:rPr>
      </w:pPr>
      <w:r>
        <w:rPr>
          <w:rFonts w:hint="eastAsia" w:eastAsia="仿宋_GB2312" w:cs="仿宋_GB2312"/>
          <w:sz w:val="32"/>
          <w:szCs w:val="32"/>
        </w:rPr>
        <w:t>（图4：财政拨款收、支决算总计变动情况）（柱状图）</w:t>
      </w:r>
    </w:p>
    <w:p>
      <w:pPr>
        <w:pStyle w:val="3"/>
        <w:ind w:left="420"/>
      </w:pPr>
      <w:r>
        <w:drawing>
          <wp:inline distT="0" distB="0" distL="114300" distR="114300">
            <wp:extent cx="5086985" cy="2809240"/>
            <wp:effectExtent l="4445" t="4445" r="13970" b="5715"/>
            <wp:docPr id="1983"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pPr>
        <w:spacing w:line="600" w:lineRule="exact"/>
        <w:ind w:firstLine="640" w:firstLineChars="200"/>
        <w:outlineLvl w:val="1"/>
        <w:rPr>
          <w:rFonts w:hint="eastAsia" w:eastAsia="黑体"/>
          <w:sz w:val="32"/>
          <w:szCs w:val="32"/>
        </w:rPr>
      </w:pPr>
      <w:bookmarkStart w:id="21" w:name="_Toc15396607"/>
      <w:bookmarkStart w:id="22" w:name="_Toc15377209"/>
    </w:p>
    <w:p>
      <w:pPr>
        <w:spacing w:line="600" w:lineRule="exact"/>
        <w:ind w:firstLine="640" w:firstLineChars="200"/>
        <w:outlineLvl w:val="1"/>
        <w:rPr>
          <w:rStyle w:val="32"/>
          <w:rFonts w:ascii="Times New Roman" w:hAnsi="Times New Roman" w:eastAsia="黑体"/>
          <w:b w:val="0"/>
        </w:rPr>
      </w:pPr>
      <w:r>
        <w:rPr>
          <w:rFonts w:hint="eastAsia" w:eastAsia="黑体"/>
          <w:sz w:val="32"/>
          <w:szCs w:val="32"/>
        </w:rPr>
        <w:t>五、</w:t>
      </w:r>
      <w:r>
        <w:rPr>
          <w:rFonts w:hint="eastAsia" w:eastAsia="黑体"/>
          <w:b/>
          <w:sz w:val="32"/>
          <w:szCs w:val="32"/>
        </w:rPr>
        <w:t>一</w:t>
      </w:r>
      <w:r>
        <w:rPr>
          <w:rStyle w:val="32"/>
          <w:rFonts w:hint="eastAsia" w:ascii="Times New Roman" w:hAnsi="Times New Roman" w:eastAsia="黑体"/>
          <w:b w:val="0"/>
        </w:rPr>
        <w:t>般公共预算财政拨款支出决算情况说明</w:t>
      </w:r>
      <w:bookmarkEnd w:id="21"/>
      <w:bookmarkEnd w:id="22"/>
    </w:p>
    <w:p>
      <w:pPr>
        <w:spacing w:line="600" w:lineRule="exact"/>
        <w:ind w:firstLine="642" w:firstLineChars="200"/>
        <w:outlineLvl w:val="2"/>
        <w:rPr>
          <w:rFonts w:eastAsia="楷体_GB2312" w:cs="楷体_GB2312"/>
          <w:b/>
          <w:sz w:val="32"/>
          <w:szCs w:val="32"/>
        </w:rPr>
      </w:pPr>
      <w:bookmarkStart w:id="23" w:name="_Toc15377210"/>
      <w:r>
        <w:rPr>
          <w:rFonts w:hint="eastAsia" w:eastAsia="楷体_GB2312" w:cs="楷体_GB2312"/>
          <w:b/>
          <w:sz w:val="32"/>
          <w:szCs w:val="32"/>
        </w:rPr>
        <w:t>（一）一般公共预算财政拨款支出决算总体情况</w:t>
      </w:r>
      <w:bookmarkEnd w:id="23"/>
    </w:p>
    <w:p>
      <w:pPr>
        <w:spacing w:line="600" w:lineRule="exact"/>
        <w:ind w:firstLine="640"/>
        <w:rPr>
          <w:rFonts w:eastAsia="仿宋_GB2312" w:cs="仿宋_GB2312"/>
          <w:sz w:val="32"/>
          <w:szCs w:val="32"/>
        </w:rPr>
      </w:pPr>
      <w:r>
        <w:rPr>
          <w:rFonts w:hint="eastAsia" w:eastAsia="仿宋_GB2312" w:cs="仿宋_GB2312"/>
          <w:sz w:val="32"/>
          <w:szCs w:val="32"/>
        </w:rPr>
        <w:t>2025年度一般公共预算财政拨款支出</w:t>
      </w:r>
      <w:r>
        <w:rPr>
          <w:rFonts w:hint="eastAsia" w:ascii="仿宋_GB2312" w:hAnsi="仿宋_GB2312" w:eastAsia="仿宋_GB2312" w:cs="仿宋_GB2312"/>
          <w:sz w:val="32"/>
          <w:szCs w:val="32"/>
        </w:rPr>
        <w:t>369.44</w:t>
      </w:r>
      <w:r>
        <w:rPr>
          <w:rFonts w:hint="eastAsia" w:eastAsia="仿宋_GB2312" w:cs="仿宋_GB2312"/>
          <w:sz w:val="32"/>
          <w:szCs w:val="32"/>
        </w:rPr>
        <w:t>万元，占本年支出合计的</w:t>
      </w:r>
      <w:r>
        <w:rPr>
          <w:rFonts w:hint="eastAsia" w:ascii="仿宋_GB2312" w:hAnsi="仿宋_GB2312" w:eastAsia="仿宋_GB2312" w:cs="仿宋_GB2312"/>
          <w:sz w:val="32"/>
          <w:szCs w:val="32"/>
        </w:rPr>
        <w:t>100</w:t>
      </w:r>
      <w:r>
        <w:rPr>
          <w:rFonts w:hint="eastAsia" w:eastAsia="仿宋_GB2312" w:cs="仿宋_GB2312"/>
          <w:sz w:val="32"/>
          <w:szCs w:val="32"/>
        </w:rPr>
        <w:t>%。与上年度相比，一般公共预算财政拨款支出增加增加35.56万元，增长10.7%。主要变动原因是本年度项目、人员经费、公用经费增加。</w:t>
      </w:r>
    </w:p>
    <w:p>
      <w:pPr>
        <w:spacing w:line="600" w:lineRule="exact"/>
        <w:ind w:firstLine="640"/>
        <w:rPr>
          <w:rFonts w:eastAsia="仿宋_GB2312" w:cs="仿宋_GB2312"/>
          <w:sz w:val="32"/>
          <w:szCs w:val="32"/>
        </w:rPr>
      </w:pPr>
      <w:r>
        <w:rPr>
          <w:rFonts w:hint="eastAsia" w:eastAsia="仿宋_GB2312" w:cs="仿宋_GB2312"/>
          <w:sz w:val="32"/>
          <w:szCs w:val="32"/>
        </w:rPr>
        <w:t>（图5：一般公共预算财政拨款支出决算变动情况）（柱状图）</w:t>
      </w:r>
    </w:p>
    <w:p>
      <w:pPr>
        <w:spacing w:line="600" w:lineRule="exact"/>
        <w:ind w:firstLine="640"/>
        <w:rPr>
          <w:rFonts w:eastAsia="仿宋_GB2312" w:cs="仿宋_GB2312"/>
          <w:sz w:val="32"/>
          <w:szCs w:val="32"/>
        </w:rPr>
      </w:pPr>
    </w:p>
    <w:p>
      <w:pPr>
        <w:pStyle w:val="2"/>
        <w:rPr>
          <w:rFonts w:eastAsia="仿宋_GB2312" w:cs="仿宋_GB2312"/>
          <w:sz w:val="32"/>
          <w:szCs w:val="32"/>
          <w:highlight w:val="yellow"/>
        </w:rPr>
      </w:pPr>
    </w:p>
    <w:p>
      <w:pPr>
        <w:pStyle w:val="3"/>
        <w:ind w:left="0" w:leftChars="0" w:firstLine="0" w:firstLineChars="0"/>
        <w:jc w:val="center"/>
      </w:pPr>
      <w:r>
        <w:drawing>
          <wp:inline distT="0" distB="0" distL="114300" distR="114300">
            <wp:extent cx="4202430" cy="2362200"/>
            <wp:effectExtent l="4445" t="4445" r="22225" b="14605"/>
            <wp:docPr id="1984"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pPr>
        <w:spacing w:line="600" w:lineRule="exact"/>
        <w:ind w:firstLine="642" w:firstLineChars="200"/>
        <w:outlineLvl w:val="2"/>
        <w:rPr>
          <w:rFonts w:eastAsia="楷体_GB2312" w:cs="楷体_GB2312"/>
          <w:b/>
          <w:sz w:val="32"/>
          <w:szCs w:val="32"/>
        </w:rPr>
      </w:pPr>
      <w:bookmarkStart w:id="24" w:name="_Toc15377211"/>
      <w:r>
        <w:rPr>
          <w:rFonts w:hint="eastAsia" w:eastAsia="楷体_GB2312" w:cs="楷体_GB2312"/>
          <w:b/>
          <w:sz w:val="32"/>
          <w:szCs w:val="32"/>
        </w:rPr>
        <w:t>（二）一般公共预算财政拨款支出决算结构情况</w:t>
      </w:r>
      <w:bookmarkEnd w:id="24"/>
    </w:p>
    <w:p>
      <w:pPr>
        <w:spacing w:line="600" w:lineRule="exact"/>
        <w:ind w:firstLine="640"/>
        <w:rPr>
          <w:rFonts w:eastAsia="仿宋_GB2312" w:cs="仿宋_GB2312"/>
          <w:b/>
          <w:bCs/>
          <w:sz w:val="32"/>
          <w:szCs w:val="32"/>
        </w:rPr>
      </w:pPr>
      <w:r>
        <w:rPr>
          <w:rFonts w:hint="eastAsia" w:eastAsia="仿宋_GB2312" w:cs="仿宋_GB2312"/>
          <w:sz w:val="32"/>
          <w:szCs w:val="32"/>
        </w:rPr>
        <w:t>2025年度一般公共预算财政拨款支出</w:t>
      </w:r>
      <w:r>
        <w:rPr>
          <w:rFonts w:hint="eastAsia" w:ascii="仿宋_GB2312" w:hAnsi="仿宋_GB2312" w:eastAsia="仿宋_GB2312" w:cs="仿宋_GB2312"/>
          <w:sz w:val="32"/>
          <w:szCs w:val="32"/>
        </w:rPr>
        <w:t>369.44</w:t>
      </w:r>
      <w:r>
        <w:rPr>
          <w:rFonts w:hint="eastAsia" w:eastAsia="仿宋_GB2312" w:cs="仿宋_GB2312"/>
          <w:sz w:val="32"/>
          <w:szCs w:val="32"/>
        </w:rPr>
        <w:t>万元，主要用于以下方面：一般公共服务支出317.51万元，占86%；社会保障和就业支出23.08万元，占6.2%；卫生健康支出12.3万元，占3.3%；住房保障支出16.55万元，占4.5%。</w:t>
      </w:r>
    </w:p>
    <w:p>
      <w:pPr>
        <w:spacing w:line="600" w:lineRule="exact"/>
        <w:ind w:firstLine="640"/>
        <w:rPr>
          <w:rFonts w:eastAsia="仿宋_GB2312" w:cs="仿宋_GB2312"/>
          <w:sz w:val="32"/>
          <w:szCs w:val="32"/>
        </w:rPr>
      </w:pPr>
      <w:r>
        <w:rPr>
          <w:rFonts w:hint="eastAsia" w:eastAsia="仿宋_GB2312" w:cs="仿宋_GB2312"/>
          <w:sz w:val="32"/>
          <w:szCs w:val="32"/>
        </w:rPr>
        <w:t>（图6：一般公共预算财政拨款支出决算结构）（饼状图）</w:t>
      </w:r>
    </w:p>
    <w:p>
      <w:pPr>
        <w:pStyle w:val="2"/>
        <w:rPr>
          <w:rFonts w:eastAsia="仿宋_GB2312" w:cs="仿宋_GB2312"/>
          <w:sz w:val="32"/>
          <w:szCs w:val="32"/>
          <w:highlight w:val="yellow"/>
        </w:rPr>
      </w:pPr>
    </w:p>
    <w:p>
      <w:pPr>
        <w:pStyle w:val="3"/>
        <w:ind w:left="420"/>
      </w:pPr>
      <w:r>
        <w:drawing>
          <wp:inline distT="0" distB="0" distL="114300" distR="114300">
            <wp:extent cx="5268595" cy="2887345"/>
            <wp:effectExtent l="4445" t="4445" r="22860" b="22860"/>
            <wp:docPr id="1986"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pPr>
        <w:spacing w:line="600" w:lineRule="exact"/>
        <w:ind w:firstLine="642" w:firstLineChars="200"/>
        <w:outlineLvl w:val="2"/>
        <w:rPr>
          <w:rFonts w:eastAsia="楷体_GB2312" w:cs="楷体_GB2312"/>
          <w:b/>
          <w:sz w:val="32"/>
          <w:szCs w:val="32"/>
        </w:rPr>
      </w:pPr>
      <w:bookmarkStart w:id="25" w:name="_Toc15377212"/>
      <w:r>
        <w:rPr>
          <w:rFonts w:hint="eastAsia" w:eastAsia="楷体_GB2312" w:cs="楷体_GB2312"/>
          <w:b/>
          <w:sz w:val="32"/>
          <w:szCs w:val="32"/>
        </w:rPr>
        <w:t>（三）一般公共预算财政拨款支出决算具体情况</w:t>
      </w:r>
      <w:bookmarkEnd w:id="25"/>
    </w:p>
    <w:p>
      <w:pPr>
        <w:spacing w:line="600" w:lineRule="exact"/>
        <w:ind w:firstLine="640"/>
        <w:rPr>
          <w:rFonts w:eastAsia="仿宋_GB2312" w:cs="仿宋_GB2312"/>
          <w:sz w:val="32"/>
          <w:szCs w:val="32"/>
        </w:rPr>
      </w:pPr>
      <w:bookmarkStart w:id="26" w:name="_Toc15377213"/>
      <w:bookmarkStart w:id="27" w:name="_Toc15378460"/>
      <w:bookmarkStart w:id="28" w:name="_Toc15377444"/>
      <w:r>
        <w:rPr>
          <w:rFonts w:hint="eastAsia" w:eastAsia="仿宋_GB2312" w:cs="仿宋_GB2312"/>
          <w:sz w:val="32"/>
          <w:szCs w:val="32"/>
        </w:rPr>
        <w:t>2025年度一般公共预算支出决算数为</w:t>
      </w:r>
      <w:r>
        <w:rPr>
          <w:rFonts w:hint="eastAsia" w:ascii="仿宋_GB2312" w:hAnsi="仿宋_GB2312" w:eastAsia="仿宋_GB2312" w:cs="仿宋_GB2312"/>
          <w:sz w:val="32"/>
          <w:szCs w:val="32"/>
        </w:rPr>
        <w:t>369.44万元</w:t>
      </w:r>
      <w:r>
        <w:rPr>
          <w:rFonts w:hint="eastAsia" w:eastAsia="仿宋_GB2312" w:cs="仿宋_GB2312"/>
          <w:sz w:val="32"/>
          <w:szCs w:val="32"/>
        </w:rPr>
        <w:t>，完成预算100%。其中：</w:t>
      </w:r>
      <w:bookmarkEnd w:id="26"/>
      <w:bookmarkEnd w:id="27"/>
      <w:bookmarkEnd w:id="28"/>
    </w:p>
    <w:p>
      <w:pPr>
        <w:spacing w:line="600" w:lineRule="exact"/>
        <w:ind w:firstLine="640"/>
        <w:rPr>
          <w:rFonts w:eastAsia="仿宋_GB2312" w:cs="仿宋_GB2312"/>
          <w:sz w:val="32"/>
          <w:szCs w:val="32"/>
        </w:rPr>
      </w:pPr>
      <w:r>
        <w:rPr>
          <w:rFonts w:hint="eastAsia" w:eastAsia="仿宋_GB2312" w:cs="仿宋_GB2312"/>
          <w:sz w:val="32"/>
          <w:szCs w:val="32"/>
        </w:rPr>
        <w:t>1.一般公共服务（类）党委办公厅（室）及相关机构事务（款）行政运行（项）：支出决算为1.56万元，完成预算100%，决算数等于预算数。</w:t>
      </w:r>
    </w:p>
    <w:p>
      <w:pPr>
        <w:spacing w:line="600" w:lineRule="exact"/>
        <w:ind w:firstLine="640"/>
        <w:rPr>
          <w:rFonts w:eastAsia="仿宋_GB2312" w:cs="仿宋_GB2312"/>
          <w:sz w:val="32"/>
          <w:szCs w:val="32"/>
        </w:rPr>
      </w:pPr>
      <w:r>
        <w:rPr>
          <w:rFonts w:hint="eastAsia" w:eastAsia="仿宋_GB2312" w:cs="仿宋_GB2312"/>
          <w:sz w:val="32"/>
          <w:szCs w:val="32"/>
        </w:rPr>
        <w:t>2.一般公共服务（类）党委办公厅（室）及相关机构事务（款）事业运行（项）：支出决算为4.68万元，完成预算100%，决算数等于预算数。</w:t>
      </w:r>
    </w:p>
    <w:p>
      <w:pPr>
        <w:spacing w:line="600" w:lineRule="exact"/>
        <w:ind w:firstLine="640"/>
        <w:rPr>
          <w:rFonts w:eastAsia="仿宋_GB2312" w:cs="仿宋_GB2312"/>
          <w:sz w:val="32"/>
          <w:szCs w:val="32"/>
        </w:rPr>
      </w:pPr>
      <w:r>
        <w:rPr>
          <w:rFonts w:hint="eastAsia" w:eastAsia="仿宋_GB2312" w:cs="仿宋_GB2312"/>
          <w:sz w:val="32"/>
          <w:szCs w:val="32"/>
        </w:rPr>
        <w:t>3.一般公共服务（类）宣传事务（款）其他宣传事务支出（项）：支出决算为6.08万元，完成预算100%，决算数等于预算数。</w:t>
      </w:r>
    </w:p>
    <w:p>
      <w:pPr>
        <w:spacing w:line="600" w:lineRule="exact"/>
        <w:ind w:firstLine="640"/>
        <w:rPr>
          <w:rFonts w:eastAsia="仿宋_GB2312" w:cs="仿宋_GB2312"/>
          <w:sz w:val="32"/>
          <w:szCs w:val="32"/>
        </w:rPr>
      </w:pPr>
      <w:r>
        <w:rPr>
          <w:rFonts w:hint="eastAsia" w:eastAsia="仿宋_GB2312" w:cs="仿宋_GB2312"/>
          <w:sz w:val="32"/>
          <w:szCs w:val="32"/>
        </w:rPr>
        <w:t>4.一般公共服务（类）信访事务（款）行政运行（项）：支出决算为56.86万元，完成预算100%，决算数等于预算数。</w:t>
      </w:r>
    </w:p>
    <w:p>
      <w:pPr>
        <w:pStyle w:val="3"/>
        <w:ind w:left="0" w:leftChars="0" w:firstLine="640"/>
        <w:rPr>
          <w:rFonts w:eastAsia="仿宋_GB2312" w:cs="仿宋_GB2312"/>
          <w:sz w:val="32"/>
        </w:rPr>
      </w:pPr>
      <w:r>
        <w:rPr>
          <w:rFonts w:hint="eastAsia" w:ascii="Times New Roman" w:eastAsia="仿宋_GB2312" w:cs="仿宋_GB2312"/>
          <w:sz w:val="32"/>
        </w:rPr>
        <w:t>5.一般公共服务（类）信访事务（款）一般行政管理事务（项）</w:t>
      </w:r>
      <w:r>
        <w:rPr>
          <w:rFonts w:hint="eastAsia" w:eastAsia="仿宋_GB2312" w:cs="仿宋_GB2312"/>
          <w:sz w:val="32"/>
        </w:rPr>
        <w:t>：</w:t>
      </w:r>
      <w:r>
        <w:rPr>
          <w:rFonts w:hint="eastAsia" w:ascii="Times New Roman" w:eastAsia="仿宋_GB2312" w:cs="仿宋_GB2312"/>
          <w:sz w:val="32"/>
        </w:rPr>
        <w:t>支出决算为54.95万元，完成预算</w:t>
      </w:r>
      <w:r>
        <w:rPr>
          <w:rFonts w:hint="eastAsia" w:eastAsia="仿宋_GB2312" w:cs="仿宋_GB2312"/>
          <w:sz w:val="32"/>
        </w:rPr>
        <w:t>100</w:t>
      </w:r>
      <w:r>
        <w:rPr>
          <w:rFonts w:hint="eastAsia" w:ascii="Times New Roman" w:eastAsia="仿宋_GB2312" w:cs="仿宋_GB2312"/>
          <w:sz w:val="32"/>
        </w:rPr>
        <w:t>%，决算数等于预算数</w:t>
      </w:r>
      <w:r>
        <w:rPr>
          <w:rFonts w:hint="eastAsia" w:eastAsia="仿宋_GB2312" w:cs="仿宋_GB2312"/>
          <w:sz w:val="32"/>
        </w:rPr>
        <w:t>。</w:t>
      </w:r>
    </w:p>
    <w:p>
      <w:pPr>
        <w:pStyle w:val="3"/>
        <w:ind w:left="0" w:leftChars="0" w:firstLine="640"/>
        <w:rPr>
          <w:rFonts w:eastAsia="仿宋_GB2312" w:cs="仿宋_GB2312"/>
          <w:sz w:val="32"/>
        </w:rPr>
      </w:pPr>
      <w:r>
        <w:rPr>
          <w:rFonts w:hint="eastAsia" w:eastAsia="仿宋_GB2312" w:cs="仿宋_GB2312"/>
          <w:sz w:val="32"/>
        </w:rPr>
        <w:t>6</w:t>
      </w:r>
      <w:r>
        <w:rPr>
          <w:rFonts w:hint="eastAsia" w:ascii="Times New Roman" w:eastAsia="仿宋_GB2312" w:cs="仿宋_GB2312"/>
          <w:sz w:val="32"/>
        </w:rPr>
        <w:t>.一般公共服务（类）信访事务（款）信访业务（项）</w:t>
      </w:r>
      <w:r>
        <w:rPr>
          <w:rFonts w:hint="eastAsia" w:eastAsia="仿宋_GB2312" w:cs="仿宋_GB2312"/>
          <w:sz w:val="32"/>
        </w:rPr>
        <w:t>：</w:t>
      </w:r>
      <w:r>
        <w:rPr>
          <w:rFonts w:hint="eastAsia" w:ascii="Times New Roman" w:eastAsia="仿宋_GB2312" w:cs="仿宋_GB2312"/>
          <w:sz w:val="32"/>
        </w:rPr>
        <w:t>支出决算为57.23万元，完成预算</w:t>
      </w:r>
      <w:r>
        <w:rPr>
          <w:rFonts w:hint="eastAsia" w:eastAsia="仿宋_GB2312" w:cs="仿宋_GB2312"/>
          <w:sz w:val="32"/>
        </w:rPr>
        <w:t>100</w:t>
      </w:r>
      <w:r>
        <w:rPr>
          <w:rFonts w:hint="eastAsia" w:ascii="Times New Roman" w:eastAsia="仿宋_GB2312" w:cs="仿宋_GB2312"/>
          <w:sz w:val="32"/>
        </w:rPr>
        <w:t>%，决算数等于预算数</w:t>
      </w:r>
      <w:r>
        <w:rPr>
          <w:rFonts w:hint="eastAsia" w:eastAsia="仿宋_GB2312" w:cs="仿宋_GB2312"/>
          <w:sz w:val="32"/>
        </w:rPr>
        <w:t>。</w:t>
      </w:r>
    </w:p>
    <w:p>
      <w:pPr>
        <w:ind w:firstLine="640" w:firstLineChars="200"/>
        <w:rPr>
          <w:rFonts w:eastAsia="仿宋_GB2312" w:cs="仿宋_GB2312"/>
          <w:sz w:val="32"/>
          <w:szCs w:val="32"/>
        </w:rPr>
      </w:pPr>
      <w:r>
        <w:rPr>
          <w:rFonts w:hint="eastAsia" w:eastAsia="仿宋_GB2312" w:cs="仿宋_GB2312"/>
          <w:sz w:val="32"/>
          <w:szCs w:val="32"/>
        </w:rPr>
        <w:t>7.一般公共服务（类）信访事务（款）事业运行（项）：支出决算为123.99万元，完成预算100%，决算数等于预算数。</w:t>
      </w:r>
    </w:p>
    <w:p>
      <w:pPr>
        <w:ind w:firstLine="640" w:firstLineChars="200"/>
      </w:pPr>
      <w:r>
        <w:rPr>
          <w:rFonts w:hint="eastAsia" w:eastAsia="仿宋_GB2312" w:cs="仿宋_GB2312"/>
          <w:sz w:val="32"/>
          <w:szCs w:val="32"/>
        </w:rPr>
        <w:t>8.一般公共服务（类）信访事务（款）其他信访事务支出（项）：支出决算为12.17万元，完成预算100%，决算数等于预算数。</w:t>
      </w:r>
    </w:p>
    <w:p>
      <w:pPr>
        <w:spacing w:line="600" w:lineRule="exact"/>
        <w:ind w:firstLine="640"/>
        <w:rPr>
          <w:rFonts w:eastAsia="仿宋_GB2312" w:cs="仿宋_GB2312"/>
          <w:sz w:val="32"/>
          <w:szCs w:val="32"/>
        </w:rPr>
      </w:pPr>
      <w:r>
        <w:rPr>
          <w:rFonts w:hint="eastAsia" w:eastAsia="仿宋_GB2312" w:cs="仿宋_GB2312"/>
          <w:sz w:val="32"/>
          <w:szCs w:val="32"/>
        </w:rPr>
        <w:t>9.社会保障和就业（类）行政事业单位养老支出（款）行政单位离退休（项）：支出决算为2.92万元，完成预算100%，决算数等于预算数。</w:t>
      </w:r>
    </w:p>
    <w:p>
      <w:pPr>
        <w:spacing w:line="600" w:lineRule="exact"/>
        <w:ind w:firstLine="640"/>
      </w:pPr>
      <w:r>
        <w:rPr>
          <w:rFonts w:hint="eastAsia" w:eastAsia="仿宋_GB2312" w:cs="仿宋_GB2312"/>
          <w:sz w:val="32"/>
          <w:szCs w:val="32"/>
        </w:rPr>
        <w:t>10.社会保障和就业（类）行政事业单位养老支出（款）机关事业单位基本养老保险缴费支出（项）：支出决算为20.16万元，完成预算100%，决算数等于预算数。</w:t>
      </w:r>
    </w:p>
    <w:p>
      <w:pPr>
        <w:spacing w:line="600" w:lineRule="exact"/>
        <w:ind w:firstLine="640"/>
        <w:rPr>
          <w:rFonts w:eastAsia="仿宋_GB2312" w:cs="仿宋_GB2312"/>
          <w:sz w:val="32"/>
          <w:szCs w:val="32"/>
        </w:rPr>
      </w:pPr>
      <w:r>
        <w:rPr>
          <w:rFonts w:hint="eastAsia" w:eastAsia="仿宋_GB2312" w:cs="仿宋_GB2312"/>
          <w:sz w:val="32"/>
          <w:szCs w:val="32"/>
        </w:rPr>
        <w:t>11.卫生健康（类）行政事业单位医疗（款）行政单位医疗（项）：支出决算为3.03万元，完成预算100%，决算数等于预算数。</w:t>
      </w:r>
    </w:p>
    <w:p>
      <w:pPr>
        <w:spacing w:line="600" w:lineRule="exact"/>
        <w:ind w:firstLine="640"/>
        <w:rPr>
          <w:rFonts w:eastAsia="仿宋_GB2312" w:cs="仿宋_GB2312"/>
          <w:sz w:val="32"/>
          <w:szCs w:val="32"/>
        </w:rPr>
      </w:pPr>
      <w:r>
        <w:rPr>
          <w:rFonts w:hint="eastAsia" w:eastAsia="仿宋_GB2312" w:cs="仿宋_GB2312"/>
          <w:sz w:val="32"/>
          <w:szCs w:val="32"/>
        </w:rPr>
        <w:t>12.卫生健康（类）行政事业单位医疗（款）事业单位医疗（项）：支出决算为7.71万元，完成预算100%，决算数等于预算数。</w:t>
      </w:r>
    </w:p>
    <w:p>
      <w:pPr>
        <w:spacing w:line="600" w:lineRule="exact"/>
        <w:ind w:firstLine="640"/>
        <w:rPr>
          <w:rFonts w:eastAsia="仿宋_GB2312" w:cs="仿宋_GB2312"/>
          <w:sz w:val="32"/>
          <w:szCs w:val="32"/>
        </w:rPr>
      </w:pPr>
      <w:r>
        <w:rPr>
          <w:rFonts w:hint="eastAsia" w:eastAsia="仿宋_GB2312" w:cs="仿宋_GB2312"/>
          <w:sz w:val="32"/>
          <w:szCs w:val="32"/>
        </w:rPr>
        <w:t>13.卫生健康（类）行政事业单位医疗（款）公务员医疗补助（项）：支出决算为1.56万元，完成预算100%，决算数等于预算数。</w:t>
      </w:r>
    </w:p>
    <w:p>
      <w:pPr>
        <w:spacing w:line="600" w:lineRule="exact"/>
        <w:ind w:firstLine="640"/>
        <w:rPr>
          <w:rFonts w:eastAsia="仿宋_GB2312" w:cs="仿宋_GB2312"/>
          <w:sz w:val="32"/>
          <w:szCs w:val="32"/>
        </w:rPr>
      </w:pPr>
      <w:r>
        <w:rPr>
          <w:rFonts w:hint="eastAsia" w:eastAsia="仿宋_GB2312" w:cs="仿宋_GB2312"/>
          <w:sz w:val="32"/>
          <w:szCs w:val="32"/>
        </w:rPr>
        <w:t>14.住房保障支出（类）住房改革支出（款）住房公积金（项）：支出决算为16.55万元，完成预算100%，决算数等于预算数。</w:t>
      </w:r>
    </w:p>
    <w:p>
      <w:pPr>
        <w:tabs>
          <w:tab w:val="right" w:pos="8306"/>
        </w:tabs>
        <w:spacing w:line="600" w:lineRule="exact"/>
        <w:ind w:firstLine="640"/>
        <w:outlineLvl w:val="1"/>
        <w:rPr>
          <w:rStyle w:val="32"/>
          <w:rFonts w:ascii="Times New Roman" w:hAnsi="Times New Roman"/>
        </w:rPr>
      </w:pPr>
      <w:bookmarkStart w:id="29" w:name="_Toc15396608"/>
      <w:bookmarkStart w:id="30" w:name="_Toc15377214"/>
      <w:r>
        <w:rPr>
          <w:rFonts w:hint="eastAsia" w:eastAsia="黑体"/>
          <w:sz w:val="32"/>
          <w:szCs w:val="32"/>
        </w:rPr>
        <w:t>六</w:t>
      </w:r>
      <w:r>
        <w:rPr>
          <w:rFonts w:hint="eastAsia" w:eastAsia="黑体"/>
          <w:b/>
          <w:sz w:val="32"/>
          <w:szCs w:val="32"/>
        </w:rPr>
        <w:t>、一</w:t>
      </w:r>
      <w:r>
        <w:rPr>
          <w:rStyle w:val="32"/>
          <w:rFonts w:hint="eastAsia" w:ascii="Times New Roman" w:hAnsi="Times New Roman" w:eastAsia="黑体"/>
          <w:b w:val="0"/>
        </w:rPr>
        <w:t>般公共预算财政拨款基本支出决算情况说明</w:t>
      </w:r>
      <w:bookmarkEnd w:id="29"/>
      <w:bookmarkEnd w:id="30"/>
      <w:r>
        <w:rPr>
          <w:rStyle w:val="32"/>
          <w:rFonts w:ascii="Times New Roman" w:hAnsi="Times New Roman" w:eastAsia="黑体"/>
          <w:b w:val="0"/>
        </w:rPr>
        <w:tab/>
      </w:r>
    </w:p>
    <w:p>
      <w:pPr>
        <w:spacing w:line="600" w:lineRule="exact"/>
        <w:ind w:firstLine="640"/>
        <w:rPr>
          <w:rFonts w:eastAsia="仿宋_GB2312" w:cs="仿宋_GB2312"/>
          <w:sz w:val="32"/>
          <w:szCs w:val="32"/>
        </w:rPr>
      </w:pPr>
      <w:r>
        <w:rPr>
          <w:rFonts w:hint="eastAsia" w:eastAsia="仿宋_GB2312" w:cs="仿宋_GB2312"/>
          <w:sz w:val="32"/>
          <w:szCs w:val="32"/>
        </w:rPr>
        <w:t>2025年度一般公共预算财政拨款基本支出</w:t>
      </w:r>
      <w:r>
        <w:rPr>
          <w:rFonts w:hint="eastAsia" w:ascii="仿宋_GB2312" w:hAnsi="仿宋_GB2312" w:eastAsia="仿宋_GB2312" w:cs="仿宋_GB2312"/>
          <w:sz w:val="32"/>
          <w:szCs w:val="32"/>
        </w:rPr>
        <w:t>239.02</w:t>
      </w:r>
      <w:r>
        <w:rPr>
          <w:rFonts w:hint="eastAsia" w:eastAsia="仿宋_GB2312" w:cs="仿宋_GB2312"/>
          <w:sz w:val="32"/>
          <w:szCs w:val="32"/>
        </w:rPr>
        <w:t>万元，其中：</w:t>
      </w:r>
    </w:p>
    <w:p>
      <w:pPr>
        <w:spacing w:line="600" w:lineRule="exact"/>
        <w:ind w:firstLine="640"/>
        <w:rPr>
          <w:rFonts w:eastAsia="仿宋_GB2312" w:cs="仿宋_GB2312"/>
          <w:sz w:val="32"/>
          <w:szCs w:val="32"/>
        </w:rPr>
      </w:pPr>
      <w:r>
        <w:rPr>
          <w:rFonts w:hint="eastAsia" w:eastAsia="仿宋_GB2312" w:cs="仿宋_GB2312"/>
          <w:sz w:val="32"/>
          <w:szCs w:val="32"/>
        </w:rPr>
        <w:t>人员经费</w:t>
      </w:r>
      <w:r>
        <w:rPr>
          <w:rFonts w:hint="eastAsia" w:ascii="仿宋_GB2312" w:hAnsi="仿宋_GB2312" w:eastAsia="仿宋_GB2312" w:cs="仿宋_GB2312"/>
          <w:sz w:val="32"/>
          <w:szCs w:val="32"/>
        </w:rPr>
        <w:t>226.08</w:t>
      </w:r>
      <w:r>
        <w:rPr>
          <w:rFonts w:hint="eastAsia" w:eastAsia="仿宋_GB2312" w:cs="仿宋_GB2312"/>
          <w:sz w:val="32"/>
          <w:szCs w:val="32"/>
        </w:rPr>
        <w:t>万元，主要包括：基本工资、津贴补贴、奖金、绩效工资、机关事业单位基本养老保险缴费、职工基本医疗保险缴费、公务员医疗补助缴费、其他社会保障缴费、公务员医疗补助缴费、医疗费、其他工资福利支出、生活补助、医疗费补助。</w:t>
      </w:r>
      <w:r>
        <w:rPr>
          <w:rFonts w:hint="eastAsia" w:eastAsia="仿宋_GB2312" w:cs="仿宋_GB2312"/>
          <w:sz w:val="32"/>
          <w:szCs w:val="32"/>
        </w:rPr>
        <w:br w:type="textWrapping"/>
      </w:r>
      <w:r>
        <w:rPr>
          <w:rFonts w:hint="eastAsia" w:eastAsia="仿宋_GB2312" w:cs="仿宋_GB2312"/>
          <w:sz w:val="32"/>
          <w:szCs w:val="32"/>
        </w:rPr>
        <w:t>　　公用经费</w:t>
      </w:r>
      <w:r>
        <w:rPr>
          <w:rFonts w:hint="eastAsia" w:ascii="仿宋_GB2312" w:hAnsi="仿宋_GB2312" w:eastAsia="仿宋_GB2312" w:cs="仿宋_GB2312"/>
          <w:sz w:val="32"/>
          <w:szCs w:val="32"/>
        </w:rPr>
        <w:t>12.94</w:t>
      </w:r>
      <w:r>
        <w:rPr>
          <w:rFonts w:hint="eastAsia" w:eastAsia="仿宋_GB2312" w:cs="仿宋_GB2312"/>
          <w:sz w:val="32"/>
          <w:szCs w:val="32"/>
        </w:rPr>
        <w:t>万元，主要包括：办公费、邮电费、差旅费、培训费、工会经费、其他交通费、其他商品和服务支出。</w:t>
      </w:r>
    </w:p>
    <w:p>
      <w:pPr>
        <w:spacing w:line="600" w:lineRule="exact"/>
        <w:ind w:firstLine="640"/>
        <w:rPr>
          <w:rFonts w:eastAsia="仿宋_GB2312" w:cs="仿宋_GB2312"/>
          <w:sz w:val="32"/>
          <w:szCs w:val="32"/>
        </w:rPr>
      </w:pPr>
    </w:p>
    <w:p>
      <w:pPr>
        <w:spacing w:line="600" w:lineRule="exact"/>
        <w:ind w:firstLine="640"/>
        <w:outlineLvl w:val="1"/>
        <w:rPr>
          <w:rStyle w:val="32"/>
          <w:rFonts w:ascii="Times New Roman" w:hAnsi="Times New Roman" w:eastAsia="黑体"/>
          <w:b w:val="0"/>
        </w:rPr>
      </w:pPr>
      <w:bookmarkStart w:id="31" w:name="_Toc15377215"/>
      <w:bookmarkStart w:id="32" w:name="_Toc15396609"/>
      <w:r>
        <w:rPr>
          <w:rFonts w:hint="eastAsia" w:eastAsia="黑体"/>
          <w:sz w:val="32"/>
          <w:szCs w:val="32"/>
        </w:rPr>
        <w:t>七、</w:t>
      </w:r>
      <w:r>
        <w:rPr>
          <w:rStyle w:val="32"/>
          <w:rFonts w:hint="eastAsia" w:ascii="Times New Roman" w:hAnsi="Times New Roman" w:eastAsia="黑体"/>
          <w:b w:val="0"/>
        </w:rPr>
        <w:t>财政拨款</w:t>
      </w:r>
      <w:r>
        <w:rPr>
          <w:rStyle w:val="32"/>
          <w:rFonts w:hint="eastAsia" w:ascii="Times New Roman" w:hAnsi="Times New Roman" w:eastAsia="黑体"/>
        </w:rPr>
        <w:t>“</w:t>
      </w:r>
      <w:r>
        <w:rPr>
          <w:rStyle w:val="32"/>
          <w:rFonts w:hint="eastAsia" w:ascii="Times New Roman" w:hAnsi="Times New Roman" w:eastAsia="黑体"/>
          <w:b w:val="0"/>
        </w:rPr>
        <w:t>三公”经费支出决算情况说明</w:t>
      </w:r>
      <w:bookmarkEnd w:id="31"/>
      <w:bookmarkEnd w:id="32"/>
    </w:p>
    <w:p>
      <w:pPr>
        <w:spacing w:line="600" w:lineRule="exact"/>
        <w:ind w:firstLine="642" w:firstLineChars="200"/>
        <w:outlineLvl w:val="2"/>
        <w:rPr>
          <w:rFonts w:eastAsia="楷体_GB2312" w:cs="楷体_GB2312"/>
          <w:b/>
          <w:sz w:val="32"/>
          <w:szCs w:val="32"/>
        </w:rPr>
      </w:pPr>
      <w:bookmarkStart w:id="33" w:name="_Toc15377216"/>
      <w:r>
        <w:rPr>
          <w:rFonts w:hint="eastAsia" w:eastAsia="楷体_GB2312" w:cs="楷体_GB2312"/>
          <w:b/>
          <w:sz w:val="32"/>
          <w:szCs w:val="32"/>
        </w:rPr>
        <w:t>（一）财政拨款“三公”经费支出决算总体情况说明</w:t>
      </w:r>
      <w:bookmarkEnd w:id="33"/>
    </w:p>
    <w:p>
      <w:pPr>
        <w:spacing w:line="600" w:lineRule="exact"/>
        <w:ind w:firstLine="640"/>
        <w:rPr>
          <w:rFonts w:eastAsia="仿宋_GB2312" w:cs="仿宋_GB2312"/>
          <w:b/>
          <w:bCs/>
          <w:sz w:val="32"/>
          <w:szCs w:val="32"/>
        </w:rPr>
      </w:pPr>
      <w:r>
        <w:rPr>
          <w:rFonts w:hint="eastAsia" w:eastAsia="仿宋_GB2312" w:cs="仿宋_GB2312"/>
          <w:sz w:val="32"/>
          <w:szCs w:val="32"/>
        </w:rPr>
        <w:t>2025年度财政拨款“三公”经费支出决算为</w:t>
      </w:r>
      <w:r>
        <w:rPr>
          <w:rFonts w:hint="eastAsia" w:ascii="仿宋_GB2312" w:hAnsi="仿宋_GB2312" w:eastAsia="仿宋_GB2312" w:cs="仿宋_GB2312"/>
          <w:sz w:val="32"/>
          <w:szCs w:val="32"/>
        </w:rPr>
        <w:t>0</w:t>
      </w:r>
      <w:r>
        <w:rPr>
          <w:rFonts w:hint="eastAsia" w:eastAsia="仿宋_GB2312" w:cs="仿宋_GB2312"/>
          <w:sz w:val="32"/>
          <w:szCs w:val="32"/>
        </w:rPr>
        <w:t>万元，完成预算</w:t>
      </w:r>
      <w:r>
        <w:rPr>
          <w:rFonts w:hint="eastAsia" w:ascii="仿宋_GB2312" w:hAnsi="仿宋_GB2312" w:eastAsia="仿宋_GB2312" w:cs="仿宋_GB2312"/>
          <w:sz w:val="32"/>
          <w:szCs w:val="32"/>
        </w:rPr>
        <w:t>0</w:t>
      </w:r>
      <w:r>
        <w:rPr>
          <w:rFonts w:hint="eastAsia" w:eastAsia="仿宋_GB2312" w:cs="仿宋_GB2312"/>
          <w:sz w:val="32"/>
          <w:szCs w:val="32"/>
        </w:rPr>
        <w:t>%，较上年度减少0.33万元，下降100%。决算数与预算数持平。</w:t>
      </w:r>
    </w:p>
    <w:p>
      <w:pPr>
        <w:spacing w:line="600" w:lineRule="exact"/>
        <w:ind w:firstLine="642" w:firstLineChars="200"/>
        <w:outlineLvl w:val="2"/>
        <w:rPr>
          <w:rFonts w:eastAsia="楷体_GB2312" w:cs="楷体_GB2312"/>
          <w:b/>
          <w:sz w:val="32"/>
          <w:szCs w:val="32"/>
        </w:rPr>
      </w:pPr>
      <w:bookmarkStart w:id="34" w:name="_Toc15377217"/>
      <w:r>
        <w:rPr>
          <w:rFonts w:hint="eastAsia" w:eastAsia="楷体_GB2312" w:cs="楷体_GB2312"/>
          <w:b/>
          <w:sz w:val="32"/>
          <w:szCs w:val="32"/>
        </w:rPr>
        <w:t>（二）财政拨款“三公”经费支出决算具体情况说明</w:t>
      </w:r>
      <w:bookmarkEnd w:id="34"/>
    </w:p>
    <w:p>
      <w:pPr>
        <w:spacing w:line="600" w:lineRule="exact"/>
        <w:ind w:firstLine="640"/>
        <w:rPr>
          <w:rFonts w:eastAsia="仿宋_GB2312" w:cs="仿宋_GB2312"/>
          <w:sz w:val="32"/>
          <w:szCs w:val="32"/>
        </w:rPr>
      </w:pPr>
      <w:r>
        <w:rPr>
          <w:rFonts w:hint="eastAsia" w:eastAsia="仿宋_GB2312" w:cs="仿宋_GB2312"/>
          <w:sz w:val="32"/>
          <w:szCs w:val="32"/>
        </w:rPr>
        <w:t>2025年度财政拨款“三公”经费支出决算中，因公出国（境）费支出决算</w:t>
      </w:r>
      <w:r>
        <w:rPr>
          <w:rFonts w:hint="eastAsia" w:ascii="仿宋_GB2312" w:hAnsi="仿宋_GB2312" w:eastAsia="仿宋_GB2312" w:cs="仿宋_GB2312"/>
          <w:sz w:val="32"/>
          <w:szCs w:val="32"/>
        </w:rPr>
        <w:t>0</w:t>
      </w:r>
      <w:r>
        <w:rPr>
          <w:rFonts w:hint="eastAsia" w:eastAsia="仿宋_GB2312" w:cs="仿宋_GB2312"/>
          <w:sz w:val="32"/>
          <w:szCs w:val="32"/>
        </w:rPr>
        <w:t>万元，占0%；公务用车购置及运行维护费支出决算</w:t>
      </w:r>
      <w:r>
        <w:rPr>
          <w:rFonts w:hint="eastAsia" w:ascii="仿宋_GB2312" w:hAnsi="仿宋_GB2312" w:eastAsia="仿宋_GB2312" w:cs="仿宋_GB2312"/>
          <w:sz w:val="32"/>
          <w:szCs w:val="32"/>
        </w:rPr>
        <w:t>0</w:t>
      </w:r>
      <w:r>
        <w:rPr>
          <w:rFonts w:hint="eastAsia" w:eastAsia="仿宋_GB2312" w:cs="仿宋_GB2312"/>
          <w:sz w:val="32"/>
          <w:szCs w:val="32"/>
        </w:rPr>
        <w:t>万元，占0%；公务接待费支出决算</w:t>
      </w:r>
      <w:r>
        <w:rPr>
          <w:rFonts w:hint="eastAsia" w:ascii="仿宋_GB2312" w:hAnsi="仿宋_GB2312" w:eastAsia="仿宋_GB2312" w:cs="仿宋_GB2312"/>
          <w:sz w:val="32"/>
          <w:szCs w:val="32"/>
        </w:rPr>
        <w:t>0</w:t>
      </w:r>
      <w:r>
        <w:rPr>
          <w:rFonts w:hint="eastAsia" w:eastAsia="仿宋_GB2312" w:cs="仿宋_GB2312"/>
          <w:sz w:val="32"/>
          <w:szCs w:val="32"/>
        </w:rPr>
        <w:t>万元，占0%。具体情况如下：</w:t>
      </w:r>
    </w:p>
    <w:p>
      <w:pPr>
        <w:spacing w:line="600" w:lineRule="exact"/>
        <w:ind w:firstLine="640"/>
        <w:rPr>
          <w:rFonts w:eastAsia="仿宋_GB2312" w:cs="仿宋_GB2312"/>
          <w:sz w:val="32"/>
          <w:szCs w:val="32"/>
        </w:rPr>
      </w:pPr>
      <w:r>
        <w:rPr>
          <w:rFonts w:hint="eastAsia" w:eastAsia="仿宋_GB2312" w:cs="仿宋_GB2312"/>
          <w:sz w:val="32"/>
          <w:szCs w:val="32"/>
        </w:rPr>
        <w:t>（图7：财政拨款“三公”经费支出结构）（饼状图）</w:t>
      </w:r>
    </w:p>
    <w:p>
      <w:pPr>
        <w:pStyle w:val="2"/>
      </w:pPr>
    </w:p>
    <w:p>
      <w:pPr>
        <w:pStyle w:val="3"/>
        <w:ind w:left="420"/>
      </w:pPr>
    </w:p>
    <w:p>
      <w:pPr>
        <w:pStyle w:val="2"/>
      </w:pPr>
    </w:p>
    <w:p/>
    <w:p>
      <w:pPr>
        <w:pStyle w:val="3"/>
        <w:ind w:left="420"/>
      </w:pPr>
      <w:r>
        <w:drawing>
          <wp:inline distT="0" distB="0" distL="114300" distR="114300">
            <wp:extent cx="4508500" cy="2426335"/>
            <wp:effectExtent l="4445" t="4445" r="20955" b="7620"/>
            <wp:docPr id="13543"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pPr>
        <w:spacing w:line="600" w:lineRule="exact"/>
        <w:ind w:firstLine="640"/>
        <w:rPr>
          <w:rFonts w:eastAsia="仿宋_GB2312" w:cs="仿宋_GB2312"/>
          <w:sz w:val="32"/>
          <w:szCs w:val="32"/>
        </w:rPr>
      </w:pPr>
      <w:r>
        <w:rPr>
          <w:rFonts w:hint="eastAsia" w:eastAsia="仿宋_GB2312" w:cs="仿宋_GB2312"/>
          <w:b/>
          <w:bCs/>
          <w:sz w:val="32"/>
          <w:szCs w:val="32"/>
        </w:rPr>
        <w:t>1.因公出国（境）经费支出</w:t>
      </w:r>
      <w:r>
        <w:rPr>
          <w:rFonts w:hint="eastAsia" w:ascii="仿宋_GB2312" w:hAnsi="仿宋_GB2312" w:eastAsia="仿宋_GB2312" w:cs="仿宋_GB2312"/>
          <w:sz w:val="32"/>
          <w:szCs w:val="32"/>
        </w:rPr>
        <w:t>0</w:t>
      </w:r>
      <w:r>
        <w:rPr>
          <w:rFonts w:hint="eastAsia" w:eastAsia="仿宋_GB2312" w:cs="仿宋_GB2312"/>
          <w:b/>
          <w:bCs/>
          <w:sz w:val="32"/>
          <w:szCs w:val="32"/>
        </w:rPr>
        <w:t>万元，完成预算0%。</w:t>
      </w:r>
      <w:r>
        <w:rPr>
          <w:rFonts w:hint="eastAsia" w:eastAsia="仿宋_GB2312" w:cs="仿宋_GB2312"/>
          <w:sz w:val="32"/>
          <w:szCs w:val="32"/>
        </w:rPr>
        <w:t>全年安排因公出国（境）团组</w:t>
      </w:r>
      <w:r>
        <w:rPr>
          <w:rFonts w:hint="eastAsia" w:ascii="仿宋_GB2312" w:hAnsi="仿宋_GB2312" w:eastAsia="仿宋_GB2312" w:cs="仿宋_GB2312"/>
          <w:sz w:val="32"/>
          <w:szCs w:val="32"/>
        </w:rPr>
        <w:t>0</w:t>
      </w:r>
      <w:r>
        <w:rPr>
          <w:rFonts w:hint="eastAsia" w:eastAsia="仿宋_GB2312" w:cs="仿宋_GB2312"/>
          <w:sz w:val="32"/>
          <w:szCs w:val="32"/>
        </w:rPr>
        <w:t>次，出国（境）</w:t>
      </w:r>
      <w:r>
        <w:rPr>
          <w:rFonts w:hint="eastAsia" w:ascii="仿宋_GB2312" w:hAnsi="仿宋_GB2312" w:eastAsia="仿宋_GB2312" w:cs="仿宋_GB2312"/>
          <w:sz w:val="32"/>
          <w:szCs w:val="32"/>
        </w:rPr>
        <w:t>0</w:t>
      </w:r>
      <w:r>
        <w:rPr>
          <w:rFonts w:hint="eastAsia" w:eastAsia="仿宋_GB2312" w:cs="仿宋_GB2312"/>
          <w:sz w:val="32"/>
          <w:szCs w:val="32"/>
        </w:rPr>
        <w:t>人。因公出国（境）支出决算比上年度增加/减少0万元，增长/下降0%。</w:t>
      </w:r>
    </w:p>
    <w:p>
      <w:pPr>
        <w:spacing w:line="600" w:lineRule="exact"/>
        <w:ind w:firstLine="640"/>
        <w:rPr>
          <w:rFonts w:eastAsia="仿宋_GB2312" w:cs="仿宋_GB2312"/>
          <w:sz w:val="32"/>
          <w:szCs w:val="32"/>
        </w:rPr>
      </w:pPr>
      <w:r>
        <w:rPr>
          <w:rFonts w:hint="eastAsia" w:eastAsia="仿宋_GB2312" w:cs="仿宋_GB2312"/>
          <w:b/>
          <w:bCs/>
          <w:sz w:val="32"/>
          <w:szCs w:val="32"/>
        </w:rPr>
        <w:t>2.公务用车购置及运行维护费支出</w:t>
      </w:r>
      <w:r>
        <w:rPr>
          <w:rFonts w:hint="eastAsia" w:ascii="仿宋_GB2312" w:hAnsi="仿宋_GB2312" w:eastAsia="仿宋_GB2312" w:cs="仿宋_GB2312"/>
          <w:b/>
          <w:bCs/>
          <w:sz w:val="32"/>
          <w:szCs w:val="32"/>
        </w:rPr>
        <w:t>0</w:t>
      </w:r>
      <w:r>
        <w:rPr>
          <w:rFonts w:hint="eastAsia" w:eastAsia="仿宋_GB2312" w:cs="仿宋_GB2312"/>
          <w:b/>
          <w:bCs/>
          <w:sz w:val="32"/>
          <w:szCs w:val="32"/>
        </w:rPr>
        <w:t>万元，完成预算0%。</w:t>
      </w:r>
      <w:r>
        <w:rPr>
          <w:rFonts w:hint="eastAsia" w:eastAsia="仿宋_GB2312" w:cs="仿宋_GB2312"/>
          <w:sz w:val="32"/>
          <w:szCs w:val="32"/>
        </w:rPr>
        <w:t>公务用车购置及运行维护费支出决算比上年度增加/减少0万元，增长/下降0%。</w:t>
      </w:r>
    </w:p>
    <w:p>
      <w:pPr>
        <w:spacing w:line="600" w:lineRule="exact"/>
        <w:ind w:firstLine="640"/>
        <w:rPr>
          <w:rFonts w:eastAsia="仿宋_GB2312" w:cs="仿宋_GB2312"/>
          <w:sz w:val="32"/>
          <w:szCs w:val="32"/>
        </w:rPr>
      </w:pPr>
      <w:r>
        <w:rPr>
          <w:rFonts w:hint="eastAsia" w:eastAsia="仿宋_GB2312" w:cs="仿宋_GB2312"/>
          <w:sz w:val="32"/>
          <w:szCs w:val="32"/>
        </w:rPr>
        <w:t>其中：公务用车购置支出</w:t>
      </w:r>
      <w:r>
        <w:rPr>
          <w:rFonts w:hint="eastAsia" w:ascii="仿宋_GB2312" w:hAnsi="仿宋_GB2312" w:eastAsia="仿宋_GB2312" w:cs="仿宋_GB2312"/>
          <w:sz w:val="32"/>
          <w:szCs w:val="32"/>
        </w:rPr>
        <w:t>0</w:t>
      </w:r>
      <w:r>
        <w:rPr>
          <w:rFonts w:hint="eastAsia" w:eastAsia="仿宋_GB2312" w:cs="仿宋_GB2312"/>
          <w:sz w:val="32"/>
          <w:szCs w:val="32"/>
        </w:rPr>
        <w:t>万元。全年按规定更新购置公务用车0辆，其中：轿车0辆、金额0万元，越野车0辆、金额0万元，载客汽车0辆、金额0万元。截至2025年12月31日，单位共有公务用车0辆，其中：轿车0辆、越野车0辆、载客汽车0辆。</w:t>
      </w:r>
    </w:p>
    <w:p>
      <w:pPr>
        <w:spacing w:line="600" w:lineRule="exact"/>
        <w:ind w:firstLine="640"/>
        <w:rPr>
          <w:rFonts w:eastAsia="仿宋_GB2312" w:cs="仿宋_GB2312"/>
          <w:sz w:val="32"/>
          <w:szCs w:val="32"/>
        </w:rPr>
      </w:pPr>
      <w:r>
        <w:rPr>
          <w:rFonts w:hint="eastAsia" w:eastAsia="仿宋_GB2312" w:cs="仿宋_GB2312"/>
          <w:sz w:val="32"/>
          <w:szCs w:val="32"/>
        </w:rPr>
        <w:t>公务用车运行维护费支出</w:t>
      </w:r>
      <w:r>
        <w:rPr>
          <w:rFonts w:hint="eastAsia" w:ascii="仿宋_GB2312" w:hAnsi="仿宋_GB2312" w:eastAsia="仿宋_GB2312" w:cs="仿宋_GB2312"/>
          <w:sz w:val="32"/>
          <w:szCs w:val="32"/>
        </w:rPr>
        <w:t>0</w:t>
      </w:r>
      <w:r>
        <w:rPr>
          <w:rFonts w:hint="eastAsia" w:eastAsia="仿宋_GB2312" w:cs="仿宋_GB2312"/>
          <w:sz w:val="32"/>
          <w:szCs w:val="32"/>
        </w:rPr>
        <w:t>万元。</w:t>
      </w:r>
    </w:p>
    <w:p>
      <w:pPr>
        <w:spacing w:line="600" w:lineRule="exact"/>
        <w:ind w:firstLine="640"/>
        <w:rPr>
          <w:rFonts w:hint="eastAsia" w:eastAsia="仿宋_GB2312" w:cs="仿宋_GB2312"/>
          <w:b/>
          <w:bCs/>
          <w:sz w:val="32"/>
          <w:szCs w:val="32"/>
        </w:rPr>
      </w:pPr>
    </w:p>
    <w:p>
      <w:pPr>
        <w:spacing w:line="600" w:lineRule="exact"/>
        <w:ind w:firstLine="640"/>
        <w:rPr>
          <w:rFonts w:eastAsia="仿宋_GB2312" w:cs="仿宋_GB2312"/>
          <w:sz w:val="32"/>
          <w:szCs w:val="32"/>
        </w:rPr>
      </w:pPr>
      <w:r>
        <w:rPr>
          <w:rFonts w:hint="eastAsia" w:eastAsia="仿宋_GB2312" w:cs="仿宋_GB2312"/>
          <w:b/>
          <w:bCs/>
          <w:sz w:val="32"/>
          <w:szCs w:val="32"/>
        </w:rPr>
        <w:t>3.公务接待费支出</w:t>
      </w:r>
      <w:r>
        <w:rPr>
          <w:rFonts w:hint="eastAsia" w:ascii="仿宋_GB2312" w:hAnsi="仿宋_GB2312" w:eastAsia="仿宋_GB2312" w:cs="仿宋_GB2312"/>
          <w:b/>
          <w:bCs/>
          <w:sz w:val="32"/>
          <w:szCs w:val="32"/>
        </w:rPr>
        <w:t>0</w:t>
      </w:r>
      <w:r>
        <w:rPr>
          <w:rFonts w:hint="eastAsia" w:eastAsia="仿宋_GB2312" w:cs="仿宋_GB2312"/>
          <w:b/>
          <w:bCs/>
          <w:sz w:val="32"/>
          <w:szCs w:val="32"/>
        </w:rPr>
        <w:t>万元，完成预算0%。</w:t>
      </w:r>
      <w:r>
        <w:rPr>
          <w:rFonts w:hint="eastAsia" w:eastAsia="仿宋_GB2312" w:cs="仿宋_GB2312"/>
          <w:sz w:val="32"/>
          <w:szCs w:val="32"/>
        </w:rPr>
        <w:t>公务接待费支出决算比上年度增加/减少0.33万元，下降100%。主要原因是本年度</w:t>
      </w:r>
      <w:r>
        <w:rPr>
          <w:rFonts w:hint="eastAsia" w:eastAsia="仿宋_GB2312" w:cs="仿宋_GB2312"/>
          <w:sz w:val="32"/>
          <w:szCs w:val="32"/>
          <w:lang w:eastAsia="zh-CN"/>
        </w:rPr>
        <w:t>厉</w:t>
      </w:r>
      <w:bookmarkStart w:id="69" w:name="_GoBack"/>
      <w:bookmarkEnd w:id="69"/>
      <w:r>
        <w:rPr>
          <w:rFonts w:hint="eastAsia" w:eastAsia="仿宋_GB2312" w:cs="仿宋_GB2312"/>
          <w:sz w:val="32"/>
          <w:szCs w:val="32"/>
        </w:rPr>
        <w:t>行节约减少不必要开支。其中：</w:t>
      </w:r>
    </w:p>
    <w:p>
      <w:pPr>
        <w:spacing w:line="600" w:lineRule="exact"/>
        <w:ind w:firstLine="640"/>
        <w:rPr>
          <w:rFonts w:eastAsia="仿宋_GB2312" w:cs="仿宋_GB2312"/>
          <w:sz w:val="32"/>
          <w:szCs w:val="32"/>
        </w:rPr>
      </w:pPr>
      <w:r>
        <w:rPr>
          <w:rFonts w:hint="eastAsia" w:eastAsia="仿宋_GB2312" w:cs="仿宋_GB2312"/>
          <w:sz w:val="32"/>
          <w:szCs w:val="32"/>
        </w:rPr>
        <w:t>国内公务接待支出</w:t>
      </w:r>
      <w:r>
        <w:rPr>
          <w:rFonts w:hint="eastAsia" w:ascii="仿宋_GB2312" w:hAnsi="仿宋_GB2312" w:eastAsia="仿宋_GB2312" w:cs="仿宋_GB2312"/>
          <w:sz w:val="32"/>
          <w:szCs w:val="32"/>
        </w:rPr>
        <w:t>0</w:t>
      </w:r>
      <w:r>
        <w:rPr>
          <w:rFonts w:hint="eastAsia" w:eastAsia="仿宋_GB2312" w:cs="仿宋_GB2312"/>
          <w:sz w:val="32"/>
          <w:szCs w:val="32"/>
        </w:rPr>
        <w:t>万元。国内公务接待</w:t>
      </w:r>
      <w:r>
        <w:rPr>
          <w:rFonts w:hint="eastAsia" w:ascii="仿宋_GB2312" w:hAnsi="仿宋_GB2312" w:eastAsia="仿宋_GB2312" w:cs="仿宋_GB2312"/>
          <w:sz w:val="32"/>
          <w:szCs w:val="32"/>
        </w:rPr>
        <w:t>0</w:t>
      </w:r>
      <w:r>
        <w:rPr>
          <w:rFonts w:hint="eastAsia" w:eastAsia="仿宋_GB2312" w:cs="仿宋_GB2312"/>
          <w:sz w:val="32"/>
          <w:szCs w:val="32"/>
        </w:rPr>
        <w:t>批次，</w:t>
      </w:r>
      <w:r>
        <w:rPr>
          <w:rFonts w:hint="eastAsia" w:ascii="仿宋_GB2312" w:hAnsi="仿宋_GB2312" w:eastAsia="仿宋_GB2312" w:cs="仿宋_GB2312"/>
          <w:sz w:val="32"/>
          <w:szCs w:val="32"/>
        </w:rPr>
        <w:t>0</w:t>
      </w:r>
      <w:r>
        <w:rPr>
          <w:rFonts w:hint="eastAsia" w:eastAsia="仿宋_GB2312" w:cs="仿宋_GB2312"/>
          <w:sz w:val="32"/>
          <w:szCs w:val="32"/>
        </w:rPr>
        <w:t>人次（不包括陪同人员），共计支出0万元。</w:t>
      </w:r>
    </w:p>
    <w:p>
      <w:pPr>
        <w:spacing w:line="600" w:lineRule="exact"/>
        <w:ind w:firstLine="640"/>
        <w:rPr>
          <w:rFonts w:eastAsia="仿宋_GB2312" w:cs="仿宋_GB2312"/>
          <w:sz w:val="32"/>
          <w:szCs w:val="32"/>
        </w:rPr>
      </w:pPr>
      <w:r>
        <w:rPr>
          <w:rFonts w:hint="eastAsia" w:eastAsia="仿宋_GB2312" w:cs="仿宋_GB2312"/>
          <w:sz w:val="32"/>
          <w:szCs w:val="32"/>
        </w:rPr>
        <w:t>外事接待支出</w:t>
      </w:r>
      <w:r>
        <w:rPr>
          <w:rFonts w:hint="eastAsia" w:ascii="仿宋_GB2312" w:hAnsi="仿宋_GB2312" w:eastAsia="仿宋_GB2312" w:cs="仿宋_GB2312"/>
          <w:sz w:val="32"/>
          <w:szCs w:val="32"/>
        </w:rPr>
        <w:t>0</w:t>
      </w:r>
      <w:r>
        <w:rPr>
          <w:rFonts w:hint="eastAsia" w:eastAsia="仿宋_GB2312" w:cs="仿宋_GB2312"/>
          <w:sz w:val="32"/>
          <w:szCs w:val="32"/>
        </w:rPr>
        <w:t>万元。外事接待</w:t>
      </w:r>
      <w:r>
        <w:rPr>
          <w:rFonts w:hint="eastAsia" w:ascii="仿宋_GB2312" w:hAnsi="仿宋_GB2312" w:eastAsia="仿宋_GB2312" w:cs="仿宋_GB2312"/>
          <w:sz w:val="32"/>
          <w:szCs w:val="32"/>
        </w:rPr>
        <w:t>0</w:t>
      </w:r>
      <w:r>
        <w:rPr>
          <w:rFonts w:hint="eastAsia" w:eastAsia="仿宋_GB2312" w:cs="仿宋_GB2312"/>
          <w:sz w:val="32"/>
          <w:szCs w:val="32"/>
        </w:rPr>
        <w:t>批次，</w:t>
      </w:r>
      <w:r>
        <w:rPr>
          <w:rFonts w:hint="eastAsia" w:ascii="仿宋_GB2312" w:hAnsi="仿宋_GB2312" w:eastAsia="仿宋_GB2312" w:cs="仿宋_GB2312"/>
          <w:sz w:val="32"/>
          <w:szCs w:val="32"/>
        </w:rPr>
        <w:t>0</w:t>
      </w:r>
      <w:r>
        <w:rPr>
          <w:rFonts w:hint="eastAsia" w:eastAsia="仿宋_GB2312" w:cs="仿宋_GB2312"/>
          <w:sz w:val="32"/>
          <w:szCs w:val="32"/>
        </w:rPr>
        <w:t>人次（不包括陪同人员），共计支出0万元。</w:t>
      </w:r>
      <w:bookmarkStart w:id="35" w:name="_Toc15396610"/>
      <w:bookmarkStart w:id="36" w:name="_Toc15377218"/>
    </w:p>
    <w:p>
      <w:pPr>
        <w:spacing w:line="600" w:lineRule="exact"/>
        <w:ind w:firstLine="640"/>
        <w:outlineLvl w:val="1"/>
        <w:rPr>
          <w:rStyle w:val="32"/>
          <w:rFonts w:ascii="Times New Roman" w:hAnsi="Times New Roman" w:eastAsia="黑体"/>
        </w:rPr>
      </w:pPr>
      <w:r>
        <w:rPr>
          <w:rFonts w:hint="eastAsia" w:eastAsia="黑体"/>
          <w:sz w:val="32"/>
          <w:szCs w:val="32"/>
        </w:rPr>
        <w:t>八、</w:t>
      </w:r>
      <w:r>
        <w:rPr>
          <w:rStyle w:val="32"/>
          <w:rFonts w:hint="eastAsia" w:ascii="Times New Roman" w:hAnsi="Times New Roman" w:eastAsia="黑体"/>
          <w:b w:val="0"/>
        </w:rPr>
        <w:t>政府性基金预算支出决算情况说明</w:t>
      </w:r>
      <w:bookmarkEnd w:id="35"/>
      <w:bookmarkEnd w:id="36"/>
    </w:p>
    <w:p>
      <w:pPr>
        <w:spacing w:line="600" w:lineRule="exact"/>
        <w:ind w:firstLine="640"/>
        <w:rPr>
          <w:rFonts w:eastAsia="仿宋_GB2312" w:cs="仿宋_GB2312"/>
          <w:sz w:val="32"/>
          <w:szCs w:val="32"/>
        </w:rPr>
      </w:pPr>
      <w:r>
        <w:rPr>
          <w:rFonts w:hint="eastAsia" w:eastAsia="仿宋_GB2312" w:cs="仿宋_GB2312"/>
          <w:sz w:val="32"/>
          <w:szCs w:val="32"/>
        </w:rPr>
        <w:t>2025年度政府性基金预算财政拨款支出</w:t>
      </w:r>
      <w:r>
        <w:rPr>
          <w:rFonts w:hint="eastAsia" w:ascii="仿宋_GB2312" w:hAnsi="仿宋_GB2312" w:eastAsia="仿宋_GB2312" w:cs="仿宋_GB2312"/>
          <w:sz w:val="32"/>
          <w:szCs w:val="32"/>
        </w:rPr>
        <w:t>0</w:t>
      </w:r>
      <w:r>
        <w:rPr>
          <w:rFonts w:hint="eastAsia" w:eastAsia="仿宋_GB2312" w:cs="仿宋_GB2312"/>
          <w:sz w:val="32"/>
          <w:szCs w:val="32"/>
        </w:rPr>
        <w:t>万元，占本年支出合计的</w:t>
      </w:r>
      <w:r>
        <w:rPr>
          <w:rFonts w:hint="eastAsia" w:ascii="仿宋_GB2312" w:hAnsi="仿宋_GB2312" w:eastAsia="仿宋_GB2312" w:cs="仿宋_GB2312"/>
          <w:sz w:val="32"/>
          <w:szCs w:val="32"/>
        </w:rPr>
        <w:t>0</w:t>
      </w:r>
      <w:r>
        <w:rPr>
          <w:rFonts w:hint="eastAsia" w:eastAsia="仿宋_GB2312" w:cs="仿宋_GB2312"/>
          <w:sz w:val="32"/>
          <w:szCs w:val="32"/>
        </w:rPr>
        <w:t>%。与上年度相比，政府性基金预算财政拨款支出增加/减少0万元，增长/下降0%。</w:t>
      </w:r>
    </w:p>
    <w:p>
      <w:pPr>
        <w:spacing w:line="600" w:lineRule="exact"/>
        <w:ind w:left="630"/>
        <w:outlineLvl w:val="1"/>
        <w:rPr>
          <w:rStyle w:val="32"/>
          <w:rFonts w:ascii="Times New Roman" w:hAnsi="Times New Roman" w:eastAsia="黑体"/>
          <w:b w:val="0"/>
        </w:rPr>
      </w:pPr>
      <w:bookmarkStart w:id="37" w:name="_Toc15377219"/>
      <w:bookmarkStart w:id="38" w:name="_Toc15396611"/>
      <w:r>
        <w:rPr>
          <w:rStyle w:val="32"/>
          <w:rFonts w:hint="eastAsia" w:ascii="Times New Roman" w:hAnsi="Times New Roman" w:eastAsia="黑体"/>
          <w:b w:val="0"/>
        </w:rPr>
        <w:t>九、国有资本经营预算支出决算情况说明</w:t>
      </w:r>
      <w:bookmarkEnd w:id="37"/>
      <w:bookmarkEnd w:id="38"/>
    </w:p>
    <w:p>
      <w:pPr>
        <w:spacing w:line="600" w:lineRule="exact"/>
        <w:ind w:firstLine="640"/>
        <w:rPr>
          <w:rFonts w:eastAsia="仿宋_GB2312" w:cs="仿宋_GB2312"/>
          <w:sz w:val="32"/>
          <w:szCs w:val="32"/>
        </w:rPr>
      </w:pPr>
      <w:r>
        <w:rPr>
          <w:rFonts w:hint="eastAsia" w:eastAsia="仿宋_GB2312" w:cs="仿宋_GB2312"/>
          <w:sz w:val="32"/>
          <w:szCs w:val="32"/>
        </w:rPr>
        <w:t>2025年度国有资本经营预算财政拨款支出</w:t>
      </w:r>
      <w:r>
        <w:rPr>
          <w:rFonts w:hint="eastAsia" w:ascii="仿宋_GB2312" w:hAnsi="仿宋_GB2312" w:eastAsia="仿宋_GB2312" w:cs="仿宋_GB2312"/>
          <w:sz w:val="32"/>
          <w:szCs w:val="32"/>
        </w:rPr>
        <w:t>0</w:t>
      </w:r>
      <w:r>
        <w:rPr>
          <w:rFonts w:hint="eastAsia" w:eastAsia="仿宋_GB2312" w:cs="仿宋_GB2312"/>
          <w:sz w:val="32"/>
          <w:szCs w:val="32"/>
        </w:rPr>
        <w:t>万元，占本年支出合计的</w:t>
      </w:r>
      <w:r>
        <w:rPr>
          <w:rFonts w:hint="eastAsia" w:ascii="仿宋_GB2312" w:hAnsi="仿宋_GB2312" w:eastAsia="仿宋_GB2312" w:cs="仿宋_GB2312"/>
          <w:sz w:val="32"/>
          <w:szCs w:val="32"/>
        </w:rPr>
        <w:t>0</w:t>
      </w:r>
      <w:r>
        <w:rPr>
          <w:rFonts w:hint="eastAsia" w:eastAsia="仿宋_GB2312" w:cs="仿宋_GB2312"/>
          <w:sz w:val="32"/>
          <w:szCs w:val="32"/>
        </w:rPr>
        <w:t>%。与上年度相比，国有资本经营预算财政拨款支出增加/减少0万元，增长/下降0%。</w:t>
      </w:r>
    </w:p>
    <w:p>
      <w:pPr>
        <w:spacing w:line="600" w:lineRule="exact"/>
        <w:ind w:left="630"/>
        <w:outlineLvl w:val="1"/>
        <w:rPr>
          <w:rStyle w:val="32"/>
          <w:rFonts w:ascii="Times New Roman" w:hAnsi="Times New Roman" w:eastAsia="黑体"/>
          <w:b w:val="0"/>
        </w:rPr>
      </w:pPr>
      <w:bookmarkStart w:id="39" w:name="_Toc15396612"/>
      <w:bookmarkStart w:id="40" w:name="_Toc15377221"/>
      <w:r>
        <w:rPr>
          <w:rStyle w:val="32"/>
          <w:rFonts w:hint="eastAsia" w:ascii="Times New Roman" w:hAnsi="Times New Roman" w:eastAsia="黑体"/>
          <w:b w:val="0"/>
        </w:rPr>
        <w:t>十、其他重要事项的情况说明</w:t>
      </w:r>
      <w:bookmarkEnd w:id="39"/>
      <w:bookmarkEnd w:id="40"/>
    </w:p>
    <w:p>
      <w:pPr>
        <w:spacing w:line="600" w:lineRule="exact"/>
        <w:ind w:firstLine="642" w:firstLineChars="200"/>
        <w:outlineLvl w:val="2"/>
        <w:rPr>
          <w:rFonts w:eastAsia="楷体_GB2312" w:cs="楷体_GB2312"/>
          <w:b/>
          <w:sz w:val="32"/>
          <w:szCs w:val="32"/>
        </w:rPr>
      </w:pPr>
      <w:bookmarkStart w:id="41" w:name="_Toc15377222"/>
      <w:r>
        <w:rPr>
          <w:rFonts w:hint="eastAsia" w:eastAsia="楷体_GB2312" w:cs="楷体_GB2312"/>
          <w:b/>
          <w:sz w:val="32"/>
          <w:szCs w:val="32"/>
        </w:rPr>
        <w:t>（一）机关运行经费支出情况</w:t>
      </w:r>
      <w:bookmarkEnd w:id="41"/>
    </w:p>
    <w:p>
      <w:pPr>
        <w:spacing w:line="600" w:lineRule="exact"/>
        <w:ind w:firstLine="640"/>
        <w:rPr>
          <w:rFonts w:eastAsia="楷体_GB2312" w:cs="楷体_GB2312"/>
          <w:b/>
          <w:sz w:val="32"/>
          <w:szCs w:val="32"/>
        </w:rPr>
      </w:pPr>
      <w:r>
        <w:rPr>
          <w:rFonts w:hint="eastAsia" w:eastAsia="仿宋_GB2312" w:cs="仿宋_GB2312"/>
          <w:sz w:val="32"/>
          <w:szCs w:val="32"/>
        </w:rPr>
        <w:t>2025年度，</w:t>
      </w:r>
      <w:r>
        <w:rPr>
          <w:rFonts w:hint="eastAsia" w:ascii="仿宋_GB2312" w:hAnsi="仿宋_GB2312" w:eastAsia="仿宋_GB2312" w:cs="仿宋_GB2312"/>
          <w:sz w:val="32"/>
          <w:szCs w:val="32"/>
        </w:rPr>
        <w:t>攀枝花市仁和区信访局</w:t>
      </w:r>
      <w:r>
        <w:rPr>
          <w:rFonts w:hint="eastAsia" w:eastAsia="仿宋_GB2312" w:cs="仿宋_GB2312"/>
          <w:sz w:val="32"/>
          <w:szCs w:val="32"/>
        </w:rPr>
        <w:t>机关运行经费支出</w:t>
      </w:r>
      <w:r>
        <w:rPr>
          <w:rFonts w:hint="eastAsia" w:ascii="仿宋_GB2312" w:hAnsi="仿宋_GB2312" w:eastAsia="仿宋_GB2312" w:cs="仿宋_GB2312"/>
          <w:sz w:val="32"/>
          <w:szCs w:val="32"/>
        </w:rPr>
        <w:t>12.94</w:t>
      </w:r>
      <w:r>
        <w:rPr>
          <w:rFonts w:hint="eastAsia" w:eastAsia="仿宋_GB2312" w:cs="仿宋_GB2312"/>
          <w:sz w:val="32"/>
          <w:szCs w:val="32"/>
        </w:rPr>
        <w:t>万元，比上年度</w:t>
      </w:r>
      <w:r>
        <w:rPr>
          <w:rFonts w:hint="eastAsia" w:ascii="仿宋_GB2312" w:hAnsi="仿宋_GB2312" w:eastAsia="仿宋_GB2312" w:cs="仿宋_GB2312"/>
          <w:sz w:val="32"/>
          <w:szCs w:val="32"/>
        </w:rPr>
        <w:t>增加4.78万元，增长58.5%。主要原因是本年度机关运行经费增加。</w:t>
      </w:r>
      <w:bookmarkStart w:id="42" w:name="_Toc15377223"/>
    </w:p>
    <w:p>
      <w:pPr>
        <w:spacing w:line="600" w:lineRule="exact"/>
        <w:ind w:firstLine="642" w:firstLineChars="200"/>
        <w:outlineLvl w:val="2"/>
        <w:rPr>
          <w:rFonts w:eastAsia="楷体_GB2312" w:cs="楷体_GB2312"/>
          <w:b/>
          <w:sz w:val="32"/>
          <w:szCs w:val="32"/>
        </w:rPr>
      </w:pPr>
      <w:r>
        <w:rPr>
          <w:rFonts w:hint="eastAsia" w:eastAsia="楷体_GB2312" w:cs="楷体_GB2312"/>
          <w:b/>
          <w:sz w:val="32"/>
          <w:szCs w:val="32"/>
        </w:rPr>
        <w:t>（二）政府采购支出情况</w:t>
      </w:r>
      <w:bookmarkEnd w:id="42"/>
    </w:p>
    <w:p>
      <w:pPr>
        <w:spacing w:line="600" w:lineRule="exact"/>
        <w:ind w:firstLine="640"/>
        <w:rPr>
          <w:rFonts w:eastAsia="仿宋_GB2312" w:cs="仿宋_GB2312"/>
          <w:sz w:val="32"/>
          <w:szCs w:val="32"/>
        </w:rPr>
      </w:pPr>
      <w:r>
        <w:rPr>
          <w:rFonts w:hint="eastAsia" w:eastAsia="仿宋_GB2312" w:cs="仿宋_GB2312"/>
          <w:sz w:val="32"/>
          <w:szCs w:val="32"/>
        </w:rPr>
        <w:t>2025年度，</w:t>
      </w:r>
      <w:r>
        <w:rPr>
          <w:rFonts w:hint="eastAsia" w:ascii="仿宋_GB2312" w:hAnsi="仿宋_GB2312" w:eastAsia="仿宋_GB2312" w:cs="仿宋_GB2312"/>
          <w:sz w:val="32"/>
          <w:szCs w:val="32"/>
        </w:rPr>
        <w:t>攀枝花市仁和区信访局</w:t>
      </w:r>
      <w:r>
        <w:rPr>
          <w:rFonts w:hint="eastAsia" w:eastAsia="仿宋_GB2312" w:cs="仿宋_GB2312"/>
          <w:sz w:val="32"/>
          <w:szCs w:val="32"/>
        </w:rPr>
        <w:t>政府采购支出总额</w:t>
      </w:r>
      <w:r>
        <w:rPr>
          <w:rFonts w:hint="eastAsia" w:ascii="仿宋_GB2312" w:hAnsi="仿宋_GB2312" w:eastAsia="仿宋_GB2312" w:cs="仿宋_GB2312"/>
          <w:sz w:val="32"/>
          <w:szCs w:val="32"/>
        </w:rPr>
        <w:t>0</w:t>
      </w:r>
      <w:r>
        <w:rPr>
          <w:rFonts w:hint="eastAsia" w:eastAsia="仿宋_GB2312" w:cs="仿宋_GB2312"/>
          <w:sz w:val="32"/>
          <w:szCs w:val="32"/>
        </w:rPr>
        <w:t>万元，其中：政府采购货物支出</w:t>
      </w:r>
      <w:r>
        <w:rPr>
          <w:rFonts w:hint="eastAsia" w:ascii="仿宋_GB2312" w:hAnsi="仿宋_GB2312" w:eastAsia="仿宋_GB2312" w:cs="仿宋_GB2312"/>
          <w:sz w:val="32"/>
          <w:szCs w:val="32"/>
        </w:rPr>
        <w:t>0</w:t>
      </w:r>
      <w:r>
        <w:rPr>
          <w:rFonts w:hint="eastAsia" w:eastAsia="仿宋_GB2312" w:cs="仿宋_GB2312"/>
          <w:sz w:val="32"/>
          <w:szCs w:val="32"/>
        </w:rPr>
        <w:t>万元、政府采购工程支出</w:t>
      </w:r>
      <w:r>
        <w:rPr>
          <w:rFonts w:hint="eastAsia" w:ascii="仿宋_GB2312" w:hAnsi="仿宋_GB2312" w:eastAsia="仿宋_GB2312" w:cs="仿宋_GB2312"/>
          <w:sz w:val="32"/>
          <w:szCs w:val="32"/>
        </w:rPr>
        <w:t>0</w:t>
      </w:r>
      <w:r>
        <w:rPr>
          <w:rFonts w:hint="eastAsia" w:eastAsia="仿宋_GB2312" w:cs="仿宋_GB2312"/>
          <w:sz w:val="32"/>
          <w:szCs w:val="32"/>
        </w:rPr>
        <w:t>万元、政府采购服务支出</w:t>
      </w:r>
      <w:r>
        <w:rPr>
          <w:rFonts w:hint="eastAsia" w:ascii="仿宋_GB2312" w:hAnsi="仿宋_GB2312" w:eastAsia="仿宋_GB2312" w:cs="仿宋_GB2312"/>
          <w:sz w:val="32"/>
          <w:szCs w:val="32"/>
        </w:rPr>
        <w:t>0</w:t>
      </w:r>
      <w:r>
        <w:rPr>
          <w:rFonts w:hint="eastAsia" w:eastAsia="仿宋_GB2312" w:cs="仿宋_GB2312"/>
          <w:sz w:val="32"/>
          <w:szCs w:val="32"/>
        </w:rPr>
        <w:t>万元。。授予中小企业合同金额</w:t>
      </w:r>
      <w:r>
        <w:rPr>
          <w:rFonts w:hint="eastAsia" w:ascii="仿宋_GB2312" w:hAnsi="仿宋_GB2312" w:eastAsia="仿宋_GB2312" w:cs="仿宋_GB2312"/>
          <w:sz w:val="32"/>
          <w:szCs w:val="32"/>
        </w:rPr>
        <w:t>0</w:t>
      </w:r>
      <w:r>
        <w:rPr>
          <w:rFonts w:hint="eastAsia" w:eastAsia="仿宋_GB2312" w:cs="仿宋_GB2312"/>
          <w:sz w:val="32"/>
          <w:szCs w:val="32"/>
        </w:rPr>
        <w:t>万元，占政府采购支出总额的</w:t>
      </w:r>
      <w:r>
        <w:rPr>
          <w:rFonts w:hint="eastAsia" w:ascii="仿宋_GB2312" w:hAnsi="仿宋_GB2312" w:eastAsia="仿宋_GB2312" w:cs="仿宋_GB2312"/>
          <w:sz w:val="32"/>
          <w:szCs w:val="32"/>
        </w:rPr>
        <w:t>0</w:t>
      </w:r>
      <w:r>
        <w:rPr>
          <w:rFonts w:hint="eastAsia" w:eastAsia="仿宋_GB2312" w:cs="仿宋_GB2312"/>
          <w:sz w:val="32"/>
          <w:szCs w:val="32"/>
        </w:rPr>
        <w:t>%，其中：授予小微企业合同金额</w:t>
      </w:r>
      <w:r>
        <w:rPr>
          <w:rFonts w:hint="eastAsia" w:ascii="仿宋_GB2312" w:hAnsi="仿宋_GB2312" w:eastAsia="仿宋_GB2312" w:cs="仿宋_GB2312"/>
          <w:sz w:val="32"/>
          <w:szCs w:val="32"/>
        </w:rPr>
        <w:t>0</w:t>
      </w:r>
      <w:r>
        <w:rPr>
          <w:rFonts w:hint="eastAsia" w:eastAsia="仿宋_GB2312" w:cs="仿宋_GB2312"/>
          <w:sz w:val="32"/>
          <w:szCs w:val="32"/>
        </w:rPr>
        <w:t>万元，占政府采购支出总额的</w:t>
      </w:r>
      <w:r>
        <w:rPr>
          <w:rFonts w:hint="eastAsia" w:ascii="仿宋_GB2312" w:hAnsi="仿宋_GB2312" w:eastAsia="仿宋_GB2312" w:cs="仿宋_GB2312"/>
          <w:sz w:val="32"/>
          <w:szCs w:val="32"/>
        </w:rPr>
        <w:t>0</w:t>
      </w:r>
      <w:r>
        <w:rPr>
          <w:rFonts w:hint="eastAsia" w:eastAsia="仿宋_GB2312" w:cs="仿宋_GB2312"/>
          <w:sz w:val="32"/>
          <w:szCs w:val="32"/>
        </w:rPr>
        <w:t>%。</w:t>
      </w:r>
    </w:p>
    <w:p>
      <w:pPr>
        <w:spacing w:line="600" w:lineRule="exact"/>
        <w:ind w:firstLine="642" w:firstLineChars="200"/>
        <w:outlineLvl w:val="2"/>
        <w:rPr>
          <w:rFonts w:eastAsia="楷体_GB2312" w:cs="楷体_GB2312"/>
          <w:b/>
          <w:sz w:val="32"/>
          <w:szCs w:val="32"/>
        </w:rPr>
      </w:pPr>
      <w:bookmarkStart w:id="43" w:name="_Toc15377224"/>
      <w:r>
        <w:rPr>
          <w:rFonts w:hint="eastAsia" w:eastAsia="楷体_GB2312" w:cs="楷体_GB2312"/>
          <w:b/>
          <w:sz w:val="32"/>
          <w:szCs w:val="32"/>
        </w:rPr>
        <w:t>（三）国有资产占有使用情况</w:t>
      </w:r>
      <w:bookmarkEnd w:id="43"/>
    </w:p>
    <w:p>
      <w:pPr>
        <w:spacing w:line="600" w:lineRule="exact"/>
        <w:ind w:firstLine="640"/>
        <w:rPr>
          <w:rFonts w:eastAsia="仿宋_GB2312" w:cs="仿宋_GB2312"/>
          <w:sz w:val="32"/>
          <w:szCs w:val="32"/>
        </w:rPr>
      </w:pPr>
      <w:r>
        <w:rPr>
          <w:rFonts w:hint="eastAsia" w:eastAsia="仿宋_GB2312" w:cs="仿宋_GB2312"/>
          <w:sz w:val="32"/>
          <w:szCs w:val="32"/>
        </w:rPr>
        <w:t>截至2025年12月31日，</w:t>
      </w:r>
      <w:r>
        <w:rPr>
          <w:rFonts w:hint="eastAsia" w:ascii="仿宋_GB2312" w:hAnsi="仿宋_GB2312" w:eastAsia="仿宋_GB2312" w:cs="仿宋_GB2312"/>
          <w:sz w:val="32"/>
          <w:szCs w:val="32"/>
        </w:rPr>
        <w:t>攀枝花市仁和区信访局</w:t>
      </w:r>
      <w:r>
        <w:rPr>
          <w:rFonts w:hint="eastAsia" w:eastAsia="仿宋_GB2312" w:cs="仿宋_GB2312"/>
          <w:sz w:val="32"/>
          <w:szCs w:val="32"/>
        </w:rPr>
        <w:t>共有车辆</w:t>
      </w:r>
      <w:r>
        <w:rPr>
          <w:rFonts w:hint="eastAsia" w:ascii="仿宋_GB2312" w:hAnsi="仿宋_GB2312" w:eastAsia="仿宋_GB2312" w:cs="仿宋_GB2312"/>
          <w:sz w:val="32"/>
          <w:szCs w:val="32"/>
        </w:rPr>
        <w:t>0</w:t>
      </w:r>
      <w:r>
        <w:rPr>
          <w:rFonts w:hint="eastAsia" w:eastAsia="仿宋_GB2312" w:cs="仿宋_GB2312"/>
          <w:sz w:val="32"/>
          <w:szCs w:val="32"/>
        </w:rPr>
        <w:t>辆，其中：副部（省）级及以上领导用车</w:t>
      </w:r>
      <w:r>
        <w:rPr>
          <w:rFonts w:hint="eastAsia" w:ascii="仿宋_GB2312" w:hAnsi="仿宋_GB2312" w:eastAsia="仿宋_GB2312" w:cs="仿宋_GB2312"/>
          <w:sz w:val="32"/>
          <w:szCs w:val="32"/>
        </w:rPr>
        <w:t>0</w:t>
      </w:r>
      <w:r>
        <w:rPr>
          <w:rFonts w:hint="eastAsia" w:eastAsia="仿宋_GB2312" w:cs="仿宋_GB2312"/>
          <w:sz w:val="32"/>
          <w:szCs w:val="32"/>
        </w:rPr>
        <w:t>辆、主要负责人用车</w:t>
      </w:r>
      <w:r>
        <w:rPr>
          <w:rFonts w:hint="eastAsia" w:ascii="仿宋_GB2312" w:hAnsi="仿宋_GB2312" w:eastAsia="仿宋_GB2312" w:cs="仿宋_GB2312"/>
          <w:sz w:val="32"/>
          <w:szCs w:val="32"/>
        </w:rPr>
        <w:t>0</w:t>
      </w:r>
      <w:r>
        <w:rPr>
          <w:rFonts w:hint="eastAsia" w:eastAsia="仿宋_GB2312" w:cs="仿宋_GB2312"/>
          <w:sz w:val="32"/>
          <w:szCs w:val="32"/>
        </w:rPr>
        <w:t>辆、机要通信用车</w:t>
      </w:r>
      <w:r>
        <w:rPr>
          <w:rFonts w:hint="eastAsia" w:ascii="仿宋_GB2312" w:hAnsi="仿宋_GB2312" w:eastAsia="仿宋_GB2312" w:cs="仿宋_GB2312"/>
          <w:sz w:val="32"/>
          <w:szCs w:val="32"/>
        </w:rPr>
        <w:t>0</w:t>
      </w:r>
      <w:r>
        <w:rPr>
          <w:rFonts w:hint="eastAsia" w:eastAsia="仿宋_GB2312" w:cs="仿宋_GB2312"/>
          <w:sz w:val="32"/>
          <w:szCs w:val="32"/>
        </w:rPr>
        <w:t>辆、应急保障用车</w:t>
      </w:r>
      <w:r>
        <w:rPr>
          <w:rFonts w:hint="eastAsia" w:ascii="仿宋_GB2312" w:hAnsi="仿宋_GB2312" w:eastAsia="仿宋_GB2312" w:cs="仿宋_GB2312"/>
          <w:sz w:val="32"/>
          <w:szCs w:val="32"/>
        </w:rPr>
        <w:t>0</w:t>
      </w:r>
      <w:r>
        <w:rPr>
          <w:rFonts w:hint="eastAsia" w:eastAsia="仿宋_GB2312" w:cs="仿宋_GB2312"/>
          <w:sz w:val="32"/>
          <w:szCs w:val="32"/>
        </w:rPr>
        <w:t>辆、执法执勤用车</w:t>
      </w:r>
      <w:r>
        <w:rPr>
          <w:rFonts w:hint="eastAsia" w:ascii="仿宋_GB2312" w:hAnsi="仿宋_GB2312" w:eastAsia="仿宋_GB2312" w:cs="仿宋_GB2312"/>
          <w:sz w:val="32"/>
          <w:szCs w:val="32"/>
        </w:rPr>
        <w:t>0</w:t>
      </w:r>
      <w:r>
        <w:rPr>
          <w:rFonts w:hint="eastAsia" w:eastAsia="仿宋_GB2312" w:cs="仿宋_GB2312"/>
          <w:sz w:val="32"/>
          <w:szCs w:val="32"/>
        </w:rPr>
        <w:t>辆、特种专业技术用车</w:t>
      </w:r>
      <w:r>
        <w:rPr>
          <w:rFonts w:hint="eastAsia" w:ascii="仿宋_GB2312" w:hAnsi="仿宋_GB2312" w:eastAsia="仿宋_GB2312" w:cs="仿宋_GB2312"/>
          <w:sz w:val="32"/>
          <w:szCs w:val="32"/>
        </w:rPr>
        <w:t>0</w:t>
      </w:r>
      <w:r>
        <w:rPr>
          <w:rFonts w:hint="eastAsia" w:eastAsia="仿宋_GB2312" w:cs="仿宋_GB2312"/>
          <w:sz w:val="32"/>
          <w:szCs w:val="32"/>
        </w:rPr>
        <w:t>辆、离退休干部服务用车</w:t>
      </w:r>
      <w:r>
        <w:rPr>
          <w:rFonts w:hint="eastAsia" w:ascii="仿宋_GB2312" w:hAnsi="仿宋_GB2312" w:eastAsia="仿宋_GB2312" w:cs="仿宋_GB2312"/>
          <w:sz w:val="32"/>
          <w:szCs w:val="32"/>
        </w:rPr>
        <w:t>0</w:t>
      </w:r>
      <w:r>
        <w:rPr>
          <w:rFonts w:hint="eastAsia" w:eastAsia="仿宋_GB2312" w:cs="仿宋_GB2312"/>
          <w:sz w:val="32"/>
          <w:szCs w:val="32"/>
        </w:rPr>
        <w:t>辆、其他用车</w:t>
      </w:r>
      <w:r>
        <w:rPr>
          <w:rFonts w:hint="eastAsia" w:ascii="仿宋_GB2312" w:hAnsi="仿宋_GB2312" w:eastAsia="仿宋_GB2312" w:cs="仿宋_GB2312"/>
          <w:sz w:val="32"/>
          <w:szCs w:val="32"/>
        </w:rPr>
        <w:t>0</w:t>
      </w:r>
      <w:r>
        <w:rPr>
          <w:rFonts w:hint="eastAsia" w:eastAsia="仿宋_GB2312" w:cs="仿宋_GB2312"/>
          <w:sz w:val="32"/>
          <w:szCs w:val="32"/>
        </w:rPr>
        <w:t>辆。单价100万元（含）以上设备（不含车辆）</w:t>
      </w:r>
      <w:r>
        <w:rPr>
          <w:rFonts w:hint="eastAsia" w:ascii="仿宋_GB2312" w:hAnsi="仿宋_GB2312" w:eastAsia="仿宋_GB2312" w:cs="仿宋_GB2312"/>
          <w:sz w:val="32"/>
          <w:szCs w:val="32"/>
        </w:rPr>
        <w:t>0</w:t>
      </w:r>
      <w:r>
        <w:rPr>
          <w:rFonts w:hint="eastAsia" w:eastAsia="仿宋_GB2312" w:cs="仿宋_GB2312"/>
          <w:sz w:val="32"/>
          <w:szCs w:val="32"/>
        </w:rPr>
        <w:t>台（套）。</w:t>
      </w:r>
    </w:p>
    <w:p>
      <w:pPr>
        <w:spacing w:line="600" w:lineRule="exact"/>
        <w:ind w:firstLine="642" w:firstLineChars="200"/>
        <w:outlineLvl w:val="2"/>
        <w:rPr>
          <w:rFonts w:eastAsia="楷体_GB2312" w:cs="楷体_GB2312"/>
          <w:b/>
          <w:sz w:val="32"/>
          <w:szCs w:val="32"/>
        </w:rPr>
      </w:pPr>
      <w:r>
        <w:rPr>
          <w:rFonts w:hint="eastAsia" w:eastAsia="楷体_GB2312" w:cs="楷体_GB2312"/>
          <w:b/>
          <w:sz w:val="32"/>
          <w:szCs w:val="32"/>
        </w:rPr>
        <w:t>（四）预算绩效管理情况</w:t>
      </w:r>
    </w:p>
    <w:p>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根据预算绩效管理要求，本部门在2025年度预算编制阶段，组织对0项目（项目名称）等0个项目开展了预算事前绩效评估，对3个项目编制了绩效目标，预算执行过程中，选取3个项目开展绩效监控。</w:t>
      </w:r>
    </w:p>
    <w:p>
      <w:pPr>
        <w:pStyle w:val="2"/>
        <w:rPr>
          <w:rFonts w:hint="eastAsia" w:ascii="方正仿宋_GB2312" w:hAnsi="方正仿宋_GB2312" w:eastAsia="方正仿宋_GB2312" w:cs="方正仿宋_GB2312"/>
          <w:sz w:val="32"/>
          <w:szCs w:val="32"/>
        </w:rPr>
      </w:pPr>
    </w:p>
    <w:p>
      <w:pPr>
        <w:pStyle w:val="3"/>
        <w:rPr>
          <w:rFonts w:hint="eastAsia"/>
        </w:rPr>
      </w:pPr>
    </w:p>
    <w:p>
      <w:pPr>
        <w:ind w:firstLine="640" w:firstLineChars="200"/>
        <w:rPr>
          <w:rFonts w:eastAsia="黑体"/>
          <w:sz w:val="44"/>
          <w:szCs w:val="44"/>
        </w:rPr>
      </w:pPr>
      <w:r>
        <w:rPr>
          <w:rFonts w:hint="eastAsia" w:ascii="方正仿宋_GB2312" w:hAnsi="方正仿宋_GB2312" w:eastAsia="方正仿宋_GB2312" w:cs="方正仿宋_GB2312"/>
          <w:sz w:val="32"/>
          <w:szCs w:val="32"/>
        </w:rPr>
        <w:t>组织对2025年度一般公共预算开展绩效自评，形成攀枝花市仁和区信访局部门整体（含部门预算项目）绩效自评，绩效自评报告详见附件。</w:t>
      </w:r>
      <w:bookmarkStart w:id="44" w:name="_Toc15377225"/>
      <w:bookmarkStart w:id="45" w:name="_Toc15396613"/>
    </w:p>
    <w:p>
      <w:pPr>
        <w:spacing w:line="600" w:lineRule="exact"/>
        <w:jc w:val="center"/>
        <w:outlineLvl w:val="0"/>
        <w:rPr>
          <w:rFonts w:eastAsia="黑体"/>
          <w:sz w:val="44"/>
          <w:szCs w:val="44"/>
        </w:rPr>
      </w:pPr>
      <w:r>
        <w:rPr>
          <w:rFonts w:hint="eastAsia" w:eastAsia="黑体"/>
          <w:sz w:val="44"/>
          <w:szCs w:val="44"/>
        </w:rPr>
        <w:t>第三部分  名词解释</w:t>
      </w:r>
      <w:bookmarkEnd w:id="44"/>
      <w:bookmarkEnd w:id="45"/>
    </w:p>
    <w:p>
      <w:pPr>
        <w:spacing w:line="600" w:lineRule="exact"/>
        <w:jc w:val="left"/>
        <w:rPr>
          <w:b/>
          <w:sz w:val="44"/>
          <w:szCs w:val="44"/>
        </w:rPr>
      </w:pPr>
    </w:p>
    <w:p>
      <w:pPr>
        <w:spacing w:line="540" w:lineRule="exact"/>
        <w:ind w:firstLine="640"/>
        <w:rPr>
          <w:rFonts w:eastAsia="仿宋_GB2312" w:cs="仿宋_GB2312"/>
          <w:sz w:val="32"/>
          <w:szCs w:val="32"/>
        </w:rPr>
      </w:pPr>
      <w:bookmarkStart w:id="46" w:name="_Toc15396614"/>
      <w:bookmarkStart w:id="47" w:name="_Toc15377226"/>
      <w:r>
        <w:rPr>
          <w:rFonts w:hint="eastAsia" w:eastAsia="仿宋_GB2312" w:cs="仿宋_GB2312"/>
          <w:sz w:val="32"/>
          <w:szCs w:val="32"/>
        </w:rPr>
        <w:t>1.财政拨款收入：指单位从同级财政部门取得的财政预算资金。</w:t>
      </w:r>
    </w:p>
    <w:p>
      <w:pPr>
        <w:spacing w:line="540" w:lineRule="exact"/>
        <w:ind w:firstLine="640"/>
        <w:rPr>
          <w:rFonts w:eastAsia="仿宋_GB2312" w:cs="仿宋_GB2312"/>
          <w:sz w:val="32"/>
          <w:szCs w:val="32"/>
        </w:rPr>
      </w:pPr>
      <w:r>
        <w:rPr>
          <w:rFonts w:hint="eastAsia" w:eastAsia="仿宋_GB2312" w:cs="仿宋_GB2312"/>
          <w:sz w:val="32"/>
          <w:szCs w:val="32"/>
        </w:rPr>
        <w:t>2.事业收入：指事业单位开展专业业务活动及辅助活动取得的收入。</w:t>
      </w:r>
    </w:p>
    <w:p>
      <w:pPr>
        <w:spacing w:line="540" w:lineRule="exact"/>
        <w:ind w:firstLine="640"/>
        <w:rPr>
          <w:rFonts w:eastAsia="仿宋_GB2312" w:cs="仿宋_GB2312"/>
          <w:sz w:val="32"/>
          <w:szCs w:val="32"/>
        </w:rPr>
      </w:pPr>
      <w:r>
        <w:rPr>
          <w:rFonts w:hint="eastAsia" w:eastAsia="仿宋_GB2312" w:cs="仿宋_GB2312"/>
          <w:sz w:val="32"/>
          <w:szCs w:val="32"/>
        </w:rPr>
        <w:t>3.经营收入：指事业单位在专业业务活动及其辅助活动之外开展非独立核算经营活动取得的收入。</w:t>
      </w:r>
    </w:p>
    <w:p>
      <w:pPr>
        <w:spacing w:line="540" w:lineRule="exact"/>
        <w:ind w:firstLine="640"/>
        <w:rPr>
          <w:rFonts w:eastAsia="仿宋_GB2312" w:cs="仿宋_GB2312"/>
          <w:sz w:val="32"/>
          <w:szCs w:val="32"/>
        </w:rPr>
      </w:pPr>
      <w:r>
        <w:rPr>
          <w:rFonts w:hint="eastAsia" w:eastAsia="仿宋_GB2312" w:cs="仿宋_GB2312"/>
          <w:sz w:val="32"/>
          <w:szCs w:val="32"/>
        </w:rPr>
        <w:t xml:space="preserve">4.其他收入：指单位取得的除上述收入以外的各项收入。 </w:t>
      </w:r>
    </w:p>
    <w:p>
      <w:pPr>
        <w:spacing w:line="540" w:lineRule="exact"/>
        <w:ind w:firstLine="640"/>
        <w:rPr>
          <w:rFonts w:eastAsia="仿宋_GB2312" w:cs="仿宋_GB2312"/>
          <w:sz w:val="32"/>
          <w:szCs w:val="32"/>
        </w:rPr>
      </w:pPr>
      <w:r>
        <w:rPr>
          <w:rFonts w:hint="eastAsia" w:eastAsia="仿宋_GB2312" w:cs="仿宋_GB2312"/>
          <w:sz w:val="32"/>
          <w:szCs w:val="32"/>
        </w:rPr>
        <w:t xml:space="preserve">5.使用非财政拨款结余（含专用结余）：指事业单位使用以前年度积累的非财政拨款结余弥补当年收支差额的金额。 </w:t>
      </w:r>
    </w:p>
    <w:p>
      <w:pPr>
        <w:spacing w:line="540" w:lineRule="exact"/>
        <w:ind w:firstLine="640"/>
        <w:rPr>
          <w:rFonts w:eastAsia="仿宋_GB2312" w:cs="仿宋_GB2312"/>
          <w:sz w:val="32"/>
          <w:szCs w:val="32"/>
        </w:rPr>
      </w:pPr>
      <w:r>
        <w:rPr>
          <w:rFonts w:hint="eastAsia" w:eastAsia="仿宋_GB2312" w:cs="仿宋_GB2312"/>
          <w:sz w:val="32"/>
          <w:szCs w:val="32"/>
        </w:rPr>
        <w:t xml:space="preserve">6.年初结转和结余：指以前年度尚未完成、结转到本年按有关规定继续使用的资金。 </w:t>
      </w:r>
    </w:p>
    <w:p>
      <w:pPr>
        <w:spacing w:line="540" w:lineRule="exact"/>
        <w:ind w:firstLine="640"/>
        <w:rPr>
          <w:rFonts w:eastAsia="仿宋_GB2312" w:cs="仿宋_GB2312"/>
          <w:sz w:val="32"/>
          <w:szCs w:val="32"/>
        </w:rPr>
      </w:pPr>
      <w:r>
        <w:rPr>
          <w:rFonts w:hint="eastAsia" w:eastAsia="仿宋_GB2312" w:cs="仿宋_GB2312"/>
          <w:sz w:val="32"/>
          <w:szCs w:val="32"/>
        </w:rPr>
        <w:t>7.结余分配：指事业单位按照会计制度规定缴纳的所得税、提取的专用结余以及转入非财政拨款结余的金额等。</w:t>
      </w:r>
    </w:p>
    <w:p>
      <w:pPr>
        <w:spacing w:line="540" w:lineRule="exact"/>
        <w:ind w:firstLine="640"/>
        <w:rPr>
          <w:rFonts w:eastAsia="仿宋_GB2312" w:cs="仿宋_GB2312"/>
          <w:sz w:val="32"/>
          <w:szCs w:val="32"/>
        </w:rPr>
      </w:pPr>
      <w:r>
        <w:rPr>
          <w:rFonts w:hint="eastAsia" w:eastAsia="仿宋_GB2312" w:cs="仿宋_GB2312"/>
          <w:sz w:val="32"/>
          <w:szCs w:val="32"/>
        </w:rPr>
        <w:t>8.年末结转和结余：指单位按有关规定结转到下年或以后年度继续使用的资金。</w:t>
      </w:r>
    </w:p>
    <w:p>
      <w:pPr>
        <w:pStyle w:val="29"/>
        <w:spacing w:line="540" w:lineRule="exact"/>
        <w:ind w:firstLine="640" w:firstLineChars="200"/>
        <w:rPr>
          <w:rFonts w:ascii="仿宋_GB2312" w:eastAsia="仿宋_GB2312"/>
          <w:color w:val="auto"/>
          <w:sz w:val="32"/>
          <w:szCs w:val="32"/>
        </w:rPr>
      </w:pPr>
      <w:r>
        <w:rPr>
          <w:rFonts w:hint="eastAsia" w:ascii="Times New Roman" w:hAnsi="Times New Roman" w:eastAsia="仿宋_GB2312" w:cs="仿宋_GB2312"/>
          <w:color w:val="auto"/>
          <w:kern w:val="2"/>
          <w:sz w:val="32"/>
          <w:szCs w:val="32"/>
        </w:rPr>
        <w:t>9.</w:t>
      </w:r>
      <w:r>
        <w:rPr>
          <w:rFonts w:hint="eastAsia" w:ascii="Times New Roman" w:hAnsi="Times New Roman" w:eastAsia="仿宋_GB2312" w:cs="仿宋_GB2312"/>
          <w:b/>
          <w:bCs/>
          <w:color w:val="auto"/>
          <w:kern w:val="2"/>
          <w:sz w:val="32"/>
          <w:szCs w:val="32"/>
        </w:rPr>
        <w:t>一般公共服务支出（类）党委办公厅（室）及相关机构事务（款）行政运行（项）</w:t>
      </w:r>
      <w:r>
        <w:rPr>
          <w:rFonts w:hint="eastAsia" w:ascii="Times New Roman" w:hAnsi="Times New Roman" w:eastAsia="仿宋_GB2312" w:cs="仿宋_GB2312"/>
          <w:color w:val="auto"/>
          <w:kern w:val="2"/>
          <w:sz w:val="32"/>
          <w:szCs w:val="32"/>
        </w:rPr>
        <w:t>：</w:t>
      </w:r>
      <w:r>
        <w:rPr>
          <w:rFonts w:hint="eastAsia" w:ascii="仿宋_GB2312" w:eastAsia="仿宋_GB2312"/>
          <w:color w:val="auto"/>
          <w:sz w:val="32"/>
          <w:szCs w:val="32"/>
        </w:rPr>
        <w:t>指反映行政单位（包括实行公务员管理的事业单位）的基本支出。</w:t>
      </w:r>
    </w:p>
    <w:p>
      <w:pPr>
        <w:pStyle w:val="29"/>
        <w:spacing w:line="540" w:lineRule="exact"/>
        <w:ind w:firstLine="640" w:firstLineChars="200"/>
        <w:rPr>
          <w:rFonts w:ascii="仿宋_GB2312" w:eastAsia="仿宋_GB2312"/>
          <w:color w:val="auto"/>
          <w:sz w:val="32"/>
          <w:szCs w:val="32"/>
        </w:rPr>
      </w:pPr>
      <w:bookmarkStart w:id="48" w:name="OLE_LINK7"/>
      <w:r>
        <w:rPr>
          <w:rFonts w:hint="eastAsia" w:ascii="Times New Roman" w:hAnsi="Times New Roman" w:eastAsia="仿宋_GB2312" w:cs="仿宋_GB2312"/>
          <w:color w:val="auto"/>
          <w:kern w:val="2"/>
          <w:sz w:val="32"/>
          <w:szCs w:val="32"/>
        </w:rPr>
        <w:t>10.</w:t>
      </w:r>
      <w:bookmarkStart w:id="49" w:name="OLE_LINK6"/>
      <w:r>
        <w:rPr>
          <w:rFonts w:hint="eastAsia" w:ascii="Times New Roman" w:hAnsi="Times New Roman" w:eastAsia="仿宋_GB2312" w:cs="仿宋_GB2312"/>
          <w:b/>
          <w:bCs/>
          <w:color w:val="auto"/>
          <w:kern w:val="2"/>
          <w:sz w:val="32"/>
          <w:szCs w:val="32"/>
        </w:rPr>
        <w:t>一般公共服务支出（类）党委办公厅（室）及相关机构事务（款）事业运行（项）</w:t>
      </w:r>
      <w:bookmarkEnd w:id="49"/>
      <w:r>
        <w:rPr>
          <w:rFonts w:hint="eastAsia" w:ascii="Times New Roman" w:hAnsi="Times New Roman" w:eastAsia="仿宋_GB2312" w:cs="仿宋_GB2312"/>
          <w:color w:val="auto"/>
          <w:kern w:val="2"/>
          <w:sz w:val="32"/>
          <w:szCs w:val="32"/>
        </w:rPr>
        <w:t>：</w:t>
      </w:r>
      <w:r>
        <w:rPr>
          <w:rFonts w:hint="eastAsia" w:ascii="仿宋_GB2312" w:eastAsia="仿宋_GB2312"/>
          <w:color w:val="auto"/>
          <w:sz w:val="32"/>
          <w:szCs w:val="32"/>
        </w:rPr>
        <w:t>指反映单位事业人员的基本支出。</w:t>
      </w:r>
    </w:p>
    <w:bookmarkEnd w:id="48"/>
    <w:p>
      <w:pPr>
        <w:pStyle w:val="29"/>
        <w:spacing w:line="540" w:lineRule="exact"/>
        <w:ind w:firstLine="640" w:firstLineChars="200"/>
        <w:rPr>
          <w:rFonts w:ascii="仿宋_GB2312" w:eastAsia="仿宋_GB2312"/>
          <w:color w:val="auto"/>
          <w:sz w:val="32"/>
          <w:szCs w:val="32"/>
        </w:rPr>
      </w:pPr>
      <w:r>
        <w:rPr>
          <w:rFonts w:hint="eastAsia" w:ascii="Times New Roman" w:hAnsi="Times New Roman" w:eastAsia="仿宋_GB2312" w:cs="仿宋_GB2312"/>
          <w:color w:val="auto"/>
          <w:kern w:val="2"/>
          <w:sz w:val="32"/>
          <w:szCs w:val="32"/>
        </w:rPr>
        <w:t>11.</w:t>
      </w:r>
      <w:r>
        <w:rPr>
          <w:rFonts w:hint="eastAsia" w:ascii="Times New Roman" w:hAnsi="Times New Roman" w:eastAsia="仿宋_GB2312" w:cs="仿宋_GB2312"/>
          <w:b/>
          <w:bCs/>
          <w:color w:val="auto"/>
          <w:kern w:val="2"/>
          <w:sz w:val="32"/>
          <w:szCs w:val="32"/>
        </w:rPr>
        <w:t>一般公共服务支出（类）党委办公厅（室）及相关机构事务（款）宣传事务（项）</w:t>
      </w:r>
      <w:r>
        <w:rPr>
          <w:rFonts w:hint="eastAsia" w:ascii="Times New Roman" w:hAnsi="Times New Roman" w:eastAsia="仿宋_GB2312" w:cs="仿宋_GB2312"/>
          <w:color w:val="auto"/>
          <w:kern w:val="2"/>
          <w:sz w:val="32"/>
          <w:szCs w:val="32"/>
        </w:rPr>
        <w:t>：</w:t>
      </w:r>
      <w:r>
        <w:rPr>
          <w:rFonts w:hint="eastAsia" w:ascii="仿宋_GB2312" w:eastAsia="仿宋_GB2312"/>
          <w:color w:val="auto"/>
          <w:sz w:val="32"/>
          <w:szCs w:val="32"/>
        </w:rPr>
        <w:t>指反映宣传事务管理方面支出。</w:t>
      </w:r>
    </w:p>
    <w:p>
      <w:pPr>
        <w:pStyle w:val="29"/>
        <w:spacing w:line="540" w:lineRule="exact"/>
        <w:ind w:firstLine="640" w:firstLineChars="200"/>
        <w:rPr>
          <w:rFonts w:ascii="仿宋_GB2312" w:eastAsia="仿宋_GB2312"/>
          <w:sz w:val="32"/>
          <w:szCs w:val="32"/>
        </w:rPr>
      </w:pPr>
      <w:r>
        <w:rPr>
          <w:rFonts w:hint="eastAsia" w:ascii="仿宋_GB2312" w:eastAsia="仿宋_GB2312"/>
          <w:sz w:val="32"/>
          <w:szCs w:val="32"/>
        </w:rPr>
        <w:t>12</w:t>
      </w:r>
      <w:r>
        <w:rPr>
          <w:rFonts w:ascii="仿宋_GB2312" w:eastAsia="仿宋_GB2312"/>
          <w:sz w:val="32"/>
          <w:szCs w:val="32"/>
        </w:rPr>
        <w:t>.</w:t>
      </w:r>
      <w:r>
        <w:rPr>
          <w:rFonts w:ascii="仿宋_GB2312" w:eastAsia="仿宋_GB2312"/>
          <w:b/>
          <w:bCs/>
          <w:sz w:val="32"/>
          <w:szCs w:val="32"/>
        </w:rPr>
        <w:t>一般公共服务支出（类）党委办公厅（室）及相关机构事务（款）</w:t>
      </w:r>
      <w:r>
        <w:rPr>
          <w:rFonts w:hint="eastAsia" w:ascii="仿宋_GB2312" w:eastAsia="仿宋_GB2312"/>
          <w:b/>
          <w:bCs/>
          <w:sz w:val="32"/>
          <w:szCs w:val="32"/>
        </w:rPr>
        <w:t>其他宣传事务支出</w:t>
      </w:r>
      <w:r>
        <w:rPr>
          <w:rFonts w:ascii="仿宋_GB2312" w:eastAsia="仿宋_GB2312"/>
          <w:b/>
          <w:bCs/>
          <w:sz w:val="32"/>
          <w:szCs w:val="32"/>
        </w:rPr>
        <w:t>（项）</w:t>
      </w:r>
      <w:r>
        <w:rPr>
          <w:rFonts w:ascii="仿宋_GB2312" w:eastAsia="仿宋_GB2312"/>
          <w:sz w:val="32"/>
          <w:szCs w:val="32"/>
        </w:rPr>
        <w:t>：指反映除上述项目以外</w:t>
      </w:r>
      <w:r>
        <w:rPr>
          <w:rFonts w:hint="eastAsia" w:ascii="仿宋_GB2312" w:eastAsia="仿宋_GB2312"/>
          <w:sz w:val="32"/>
          <w:szCs w:val="32"/>
        </w:rPr>
        <w:t>其他用于宣传部门的事务支出</w:t>
      </w:r>
      <w:r>
        <w:rPr>
          <w:rFonts w:ascii="仿宋_GB2312" w:eastAsia="仿宋_GB2312"/>
          <w:sz w:val="32"/>
          <w:szCs w:val="32"/>
        </w:rPr>
        <w:t>。</w:t>
      </w:r>
    </w:p>
    <w:p>
      <w:pPr>
        <w:pStyle w:val="29"/>
        <w:spacing w:line="540" w:lineRule="exact"/>
        <w:ind w:firstLine="640" w:firstLineChars="200"/>
        <w:rPr>
          <w:rFonts w:ascii="仿宋_GB2312" w:eastAsia="仿宋_GB2312"/>
          <w:color w:val="auto"/>
          <w:sz w:val="32"/>
          <w:szCs w:val="32"/>
        </w:rPr>
      </w:pPr>
      <w:r>
        <w:rPr>
          <w:rFonts w:hint="eastAsia" w:eastAsia="仿宋_GB2312" w:cs="仿宋_GB2312"/>
          <w:color w:val="auto"/>
          <w:kern w:val="2"/>
          <w:sz w:val="32"/>
          <w:szCs w:val="32"/>
        </w:rPr>
        <w:t>13</w:t>
      </w:r>
      <w:r>
        <w:rPr>
          <w:rFonts w:hint="eastAsia" w:ascii="Times New Roman" w:hAnsi="Times New Roman" w:eastAsia="仿宋_GB2312" w:cs="仿宋_GB2312"/>
          <w:color w:val="auto"/>
          <w:kern w:val="2"/>
          <w:sz w:val="32"/>
          <w:szCs w:val="32"/>
        </w:rPr>
        <w:t>.</w:t>
      </w:r>
      <w:r>
        <w:rPr>
          <w:rFonts w:hint="eastAsia" w:ascii="Times New Roman" w:hAnsi="Times New Roman" w:eastAsia="仿宋_GB2312" w:cs="仿宋_GB2312"/>
          <w:b/>
          <w:bCs/>
          <w:color w:val="auto"/>
          <w:kern w:val="2"/>
          <w:sz w:val="32"/>
          <w:szCs w:val="32"/>
        </w:rPr>
        <w:t>一般公共服务支出（类）信访事务（款）行政运行（项）</w:t>
      </w:r>
      <w:r>
        <w:rPr>
          <w:rFonts w:hint="eastAsia" w:ascii="Times New Roman" w:hAnsi="Times New Roman" w:eastAsia="仿宋_GB2312" w:cs="仿宋_GB2312"/>
          <w:color w:val="auto"/>
          <w:kern w:val="2"/>
          <w:sz w:val="32"/>
          <w:szCs w:val="32"/>
        </w:rPr>
        <w:t>：</w:t>
      </w:r>
      <w:r>
        <w:rPr>
          <w:rFonts w:hint="eastAsia" w:ascii="仿宋_GB2312" w:eastAsia="仿宋_GB2312"/>
          <w:color w:val="auto"/>
          <w:sz w:val="32"/>
          <w:szCs w:val="32"/>
        </w:rPr>
        <w:t>指反映行政单位（包括实行公务员管理的事业单位）的基本支出。</w:t>
      </w:r>
    </w:p>
    <w:p>
      <w:pPr>
        <w:pStyle w:val="29"/>
        <w:spacing w:line="540" w:lineRule="exact"/>
        <w:ind w:firstLine="640" w:firstLineChars="200"/>
        <w:rPr>
          <w:rFonts w:ascii="仿宋_GB2312" w:eastAsia="仿宋_GB2312"/>
          <w:color w:val="auto"/>
          <w:sz w:val="32"/>
          <w:szCs w:val="32"/>
        </w:rPr>
      </w:pPr>
      <w:r>
        <w:rPr>
          <w:rFonts w:hint="eastAsia" w:eastAsia="仿宋_GB2312" w:cs="仿宋_GB2312"/>
          <w:color w:val="auto"/>
          <w:kern w:val="2"/>
          <w:sz w:val="32"/>
          <w:szCs w:val="32"/>
        </w:rPr>
        <w:t>14</w:t>
      </w:r>
      <w:r>
        <w:rPr>
          <w:rFonts w:hint="eastAsia" w:ascii="Times New Roman" w:hAnsi="Times New Roman" w:eastAsia="仿宋_GB2312" w:cs="仿宋_GB2312"/>
          <w:color w:val="auto"/>
          <w:kern w:val="2"/>
          <w:sz w:val="32"/>
          <w:szCs w:val="32"/>
        </w:rPr>
        <w:t>.</w:t>
      </w:r>
      <w:r>
        <w:rPr>
          <w:rFonts w:hint="eastAsia" w:ascii="Times New Roman" w:hAnsi="Times New Roman" w:eastAsia="仿宋_GB2312" w:cs="仿宋_GB2312"/>
          <w:b/>
          <w:bCs/>
          <w:color w:val="auto"/>
          <w:kern w:val="2"/>
          <w:sz w:val="32"/>
          <w:szCs w:val="32"/>
        </w:rPr>
        <w:t>一般公共服务支出（类）信访事务（款）一般行政管理事务（项）：</w:t>
      </w:r>
      <w:r>
        <w:rPr>
          <w:rFonts w:hint="eastAsia" w:ascii="仿宋_GB2312" w:eastAsia="仿宋_GB2312"/>
          <w:color w:val="auto"/>
          <w:sz w:val="32"/>
          <w:szCs w:val="32"/>
        </w:rPr>
        <w:t>指反映用于信访部门特定项目支出。</w:t>
      </w:r>
    </w:p>
    <w:p>
      <w:pPr>
        <w:pStyle w:val="29"/>
        <w:spacing w:line="540" w:lineRule="exact"/>
        <w:ind w:firstLine="640" w:firstLineChars="200"/>
        <w:rPr>
          <w:rFonts w:ascii="仿宋_GB2312" w:eastAsia="仿宋_GB2312"/>
          <w:color w:val="auto"/>
          <w:sz w:val="32"/>
          <w:szCs w:val="32"/>
        </w:rPr>
      </w:pPr>
      <w:r>
        <w:rPr>
          <w:rFonts w:hint="eastAsia" w:eastAsia="仿宋_GB2312" w:cs="仿宋_GB2312"/>
          <w:color w:val="auto"/>
          <w:kern w:val="2"/>
          <w:sz w:val="32"/>
          <w:szCs w:val="32"/>
        </w:rPr>
        <w:t>15</w:t>
      </w:r>
      <w:r>
        <w:rPr>
          <w:rFonts w:hint="eastAsia" w:ascii="Times New Roman" w:hAnsi="Times New Roman" w:eastAsia="仿宋_GB2312" w:cs="仿宋_GB2312"/>
          <w:color w:val="auto"/>
          <w:kern w:val="2"/>
          <w:sz w:val="32"/>
          <w:szCs w:val="32"/>
        </w:rPr>
        <w:t>.</w:t>
      </w:r>
      <w:r>
        <w:rPr>
          <w:rFonts w:hint="eastAsia" w:ascii="Times New Roman" w:hAnsi="Times New Roman" w:eastAsia="仿宋_GB2312" w:cs="仿宋_GB2312"/>
          <w:b/>
          <w:bCs/>
          <w:color w:val="auto"/>
          <w:kern w:val="2"/>
          <w:sz w:val="32"/>
          <w:szCs w:val="32"/>
        </w:rPr>
        <w:t>一般公共服务支出（类）信访事务（款）信访业务（项）：</w:t>
      </w:r>
      <w:r>
        <w:rPr>
          <w:rFonts w:hint="eastAsia" w:ascii="仿宋_GB2312" w:eastAsia="仿宋_GB2312"/>
          <w:color w:val="auto"/>
          <w:sz w:val="32"/>
          <w:szCs w:val="32"/>
        </w:rPr>
        <w:t>指反映各级政府在信访工作方面的相关支出。</w:t>
      </w:r>
    </w:p>
    <w:p>
      <w:pPr>
        <w:pStyle w:val="29"/>
        <w:spacing w:line="540" w:lineRule="exact"/>
        <w:ind w:firstLine="640" w:firstLineChars="200"/>
        <w:rPr>
          <w:rFonts w:ascii="仿宋_GB2312" w:eastAsia="仿宋_GB2312"/>
          <w:color w:val="auto"/>
          <w:sz w:val="32"/>
          <w:szCs w:val="32"/>
        </w:rPr>
      </w:pPr>
      <w:r>
        <w:rPr>
          <w:rFonts w:hint="eastAsia" w:ascii="Times New Roman" w:hAnsi="Times New Roman" w:eastAsia="仿宋_GB2312" w:cs="仿宋_GB2312"/>
          <w:color w:val="auto"/>
          <w:kern w:val="2"/>
          <w:sz w:val="32"/>
          <w:szCs w:val="32"/>
        </w:rPr>
        <w:t>16.</w:t>
      </w:r>
      <w:r>
        <w:rPr>
          <w:rFonts w:hint="eastAsia" w:ascii="Times New Roman" w:hAnsi="Times New Roman" w:eastAsia="仿宋_GB2312" w:cs="仿宋_GB2312"/>
          <w:b/>
          <w:bCs/>
          <w:color w:val="auto"/>
          <w:kern w:val="2"/>
          <w:sz w:val="32"/>
          <w:szCs w:val="32"/>
        </w:rPr>
        <w:t>一般公共服务支出（类）信访事务（款）事业运行（项）</w:t>
      </w:r>
      <w:r>
        <w:rPr>
          <w:rFonts w:hint="eastAsia" w:ascii="Times New Roman" w:hAnsi="Times New Roman" w:eastAsia="仿宋_GB2312" w:cs="仿宋_GB2312"/>
          <w:color w:val="auto"/>
          <w:kern w:val="2"/>
          <w:sz w:val="32"/>
          <w:szCs w:val="32"/>
        </w:rPr>
        <w:t>：</w:t>
      </w:r>
      <w:r>
        <w:rPr>
          <w:rFonts w:hint="eastAsia" w:ascii="仿宋_GB2312" w:eastAsia="仿宋_GB2312"/>
          <w:color w:val="auto"/>
          <w:sz w:val="32"/>
          <w:szCs w:val="32"/>
        </w:rPr>
        <w:t>指反映单位事业人员的基本支出。</w:t>
      </w:r>
    </w:p>
    <w:p>
      <w:pPr>
        <w:spacing w:line="540" w:lineRule="exact"/>
        <w:ind w:firstLine="640"/>
        <w:rPr>
          <w:rFonts w:eastAsia="仿宋_GB2312" w:cs="仿宋_GB2312"/>
          <w:sz w:val="32"/>
          <w:szCs w:val="32"/>
          <w:highlight w:val="yellow"/>
        </w:rPr>
      </w:pPr>
      <w:r>
        <w:rPr>
          <w:rFonts w:hint="eastAsia" w:eastAsia="仿宋_GB2312" w:cs="仿宋_GB2312"/>
          <w:sz w:val="32"/>
          <w:szCs w:val="32"/>
        </w:rPr>
        <w:t>17.</w:t>
      </w:r>
      <w:r>
        <w:rPr>
          <w:rFonts w:hint="eastAsia" w:eastAsia="仿宋_GB2312" w:cs="仿宋_GB2312"/>
          <w:b/>
          <w:bCs/>
          <w:sz w:val="32"/>
          <w:szCs w:val="32"/>
        </w:rPr>
        <w:t>一般公共服务支出（类）信访事务（款）其他信访事务支出（项）：</w:t>
      </w:r>
      <w:r>
        <w:rPr>
          <w:rFonts w:hint="eastAsia" w:ascii="仿宋_GB2312" w:eastAsia="仿宋_GB2312"/>
          <w:sz w:val="32"/>
          <w:szCs w:val="32"/>
        </w:rPr>
        <w:t>指反映各级政务用于接待群众来信来访方面的支出。</w:t>
      </w:r>
    </w:p>
    <w:p>
      <w:pPr>
        <w:pStyle w:val="29"/>
        <w:spacing w:line="540" w:lineRule="exact"/>
        <w:ind w:firstLine="640" w:firstLineChars="200"/>
        <w:rPr>
          <w:rFonts w:ascii="仿宋_GB2312" w:eastAsia="仿宋_GB2312"/>
          <w:color w:val="auto"/>
          <w:sz w:val="32"/>
          <w:szCs w:val="32"/>
        </w:rPr>
      </w:pPr>
      <w:r>
        <w:rPr>
          <w:rFonts w:hint="eastAsia" w:eastAsia="仿宋_GB2312" w:cs="仿宋_GB2312"/>
          <w:color w:val="auto"/>
          <w:kern w:val="2"/>
          <w:sz w:val="32"/>
          <w:szCs w:val="32"/>
        </w:rPr>
        <w:t>18</w:t>
      </w:r>
      <w:r>
        <w:rPr>
          <w:rFonts w:hint="eastAsia" w:ascii="Times New Roman" w:hAnsi="Times New Roman" w:eastAsia="仿宋_GB2312" w:cs="仿宋_GB2312"/>
          <w:b/>
          <w:bCs/>
          <w:color w:val="auto"/>
          <w:kern w:val="2"/>
          <w:sz w:val="32"/>
          <w:szCs w:val="32"/>
        </w:rPr>
        <w:t>.社会保障和就业支出（类）行政事业单位养老支出（款）行政单位离退休（项）：</w:t>
      </w:r>
      <w:r>
        <w:rPr>
          <w:rFonts w:hint="eastAsia" w:ascii="仿宋_GB2312" w:eastAsia="仿宋_GB2312"/>
          <w:color w:val="auto"/>
          <w:sz w:val="32"/>
          <w:szCs w:val="32"/>
        </w:rPr>
        <w:t>指反映行政单位（包括实行公务员管理的事业单位）开支的离退休经费。</w:t>
      </w:r>
    </w:p>
    <w:p>
      <w:pPr>
        <w:spacing w:line="540" w:lineRule="exact"/>
        <w:ind w:firstLine="640"/>
        <w:rPr>
          <w:rFonts w:eastAsia="仿宋_GB2312" w:cs="仿宋_GB2312"/>
          <w:b/>
          <w:bCs/>
          <w:sz w:val="32"/>
          <w:szCs w:val="32"/>
        </w:rPr>
      </w:pPr>
      <w:r>
        <w:rPr>
          <w:rFonts w:hint="eastAsia" w:eastAsia="仿宋_GB2312" w:cs="仿宋_GB2312"/>
          <w:sz w:val="32"/>
          <w:szCs w:val="32"/>
        </w:rPr>
        <w:t>19.</w:t>
      </w:r>
      <w:r>
        <w:rPr>
          <w:rFonts w:hint="eastAsia" w:eastAsia="仿宋_GB2312" w:cs="仿宋_GB2312"/>
          <w:b/>
          <w:bCs/>
          <w:sz w:val="32"/>
          <w:szCs w:val="32"/>
        </w:rPr>
        <w:t>社会保障和就业支出（类）行政事业单位养老支出（款）机关事业单位基本养老保险缴费支出（项）：</w:t>
      </w:r>
      <w:r>
        <w:rPr>
          <w:rFonts w:hint="eastAsia" w:ascii="仿宋_GB2312" w:eastAsia="仿宋_GB2312"/>
          <w:sz w:val="32"/>
          <w:szCs w:val="32"/>
        </w:rPr>
        <w:t>指反映机关事业单位实施养老保险制度由单位缴纳的基本养老保险费支出。</w:t>
      </w:r>
    </w:p>
    <w:p>
      <w:pPr>
        <w:pStyle w:val="29"/>
        <w:spacing w:line="540" w:lineRule="exact"/>
        <w:ind w:firstLine="640" w:firstLineChars="200"/>
        <w:rPr>
          <w:rFonts w:ascii="仿宋_GB2312" w:eastAsia="仿宋_GB2312"/>
          <w:color w:val="auto"/>
          <w:sz w:val="32"/>
          <w:szCs w:val="32"/>
        </w:rPr>
      </w:pPr>
      <w:r>
        <w:rPr>
          <w:rFonts w:hint="eastAsia" w:eastAsia="仿宋_GB2312" w:cs="仿宋_GB2312"/>
          <w:color w:val="auto"/>
          <w:kern w:val="2"/>
          <w:sz w:val="32"/>
          <w:szCs w:val="32"/>
        </w:rPr>
        <w:t>20</w:t>
      </w:r>
      <w:r>
        <w:rPr>
          <w:rFonts w:hint="eastAsia" w:eastAsia="仿宋_GB2312" w:cs="仿宋_GB2312"/>
          <w:b/>
          <w:bCs/>
          <w:color w:val="auto"/>
          <w:kern w:val="2"/>
          <w:sz w:val="32"/>
          <w:szCs w:val="32"/>
        </w:rPr>
        <w:t>.</w:t>
      </w:r>
      <w:r>
        <w:rPr>
          <w:rFonts w:hint="eastAsia" w:ascii="Times New Roman" w:hAnsi="Times New Roman" w:eastAsia="仿宋_GB2312" w:cs="仿宋_GB2312"/>
          <w:b/>
          <w:bCs/>
          <w:color w:val="auto"/>
          <w:kern w:val="2"/>
          <w:sz w:val="32"/>
          <w:szCs w:val="32"/>
        </w:rPr>
        <w:t>卫生健康支出（类）行政事业单位医疗（款）行政单位医疗（项）：</w:t>
      </w:r>
      <w:r>
        <w:rPr>
          <w:rFonts w:hint="eastAsia" w:ascii="仿宋_GB2312" w:eastAsia="仿宋_GB2312"/>
          <w:color w:val="auto"/>
          <w:sz w:val="32"/>
          <w:szCs w:val="32"/>
        </w:rPr>
        <w:t>指反映行政单位（包括实行公务员管理的事业单位，下同）基本医疗保险缴费经费，未参加医疗保险的行政单位的公费医疗经费，按国家规定享受离休人员、红军老战士待遇人员的医疗经费。</w:t>
      </w:r>
    </w:p>
    <w:p>
      <w:pPr>
        <w:pStyle w:val="29"/>
        <w:spacing w:line="540" w:lineRule="exact"/>
        <w:ind w:firstLine="640" w:firstLineChars="200"/>
        <w:rPr>
          <w:rFonts w:ascii="仿宋_GB2312" w:eastAsia="仿宋_GB2312"/>
          <w:color w:val="auto"/>
          <w:sz w:val="32"/>
          <w:szCs w:val="32"/>
        </w:rPr>
      </w:pPr>
      <w:r>
        <w:rPr>
          <w:rFonts w:hint="eastAsia" w:eastAsia="仿宋_GB2312" w:cs="仿宋_GB2312"/>
          <w:color w:val="auto"/>
          <w:kern w:val="2"/>
          <w:sz w:val="32"/>
          <w:szCs w:val="32"/>
        </w:rPr>
        <w:t>21</w:t>
      </w:r>
      <w:r>
        <w:rPr>
          <w:rFonts w:hint="eastAsia" w:eastAsia="仿宋_GB2312" w:cs="仿宋_GB2312"/>
          <w:b/>
          <w:bCs/>
          <w:color w:val="auto"/>
          <w:kern w:val="2"/>
          <w:sz w:val="32"/>
          <w:szCs w:val="32"/>
        </w:rPr>
        <w:t>.</w:t>
      </w:r>
      <w:r>
        <w:rPr>
          <w:rFonts w:hint="eastAsia" w:ascii="Times New Roman" w:hAnsi="Times New Roman" w:eastAsia="仿宋_GB2312" w:cs="仿宋_GB2312"/>
          <w:b/>
          <w:bCs/>
          <w:color w:val="auto"/>
          <w:kern w:val="2"/>
          <w:sz w:val="32"/>
          <w:szCs w:val="32"/>
        </w:rPr>
        <w:t>卫生健康支出（类）行政事业单位医疗（款）事业单位医疗（项）：</w:t>
      </w:r>
      <w:r>
        <w:rPr>
          <w:rFonts w:hint="eastAsia" w:ascii="仿宋_GB2312" w:eastAsia="仿宋_GB2312"/>
          <w:color w:val="auto"/>
          <w:sz w:val="32"/>
          <w:szCs w:val="32"/>
        </w:rPr>
        <w:t>指反映财政部门安排的事业单位基本医疗保险缴费经费，未参加医疗保险的事业单位的公费医疗经费，按国家规定享受离休人员待遇的医疗经费。</w:t>
      </w:r>
    </w:p>
    <w:p>
      <w:pPr>
        <w:spacing w:line="540" w:lineRule="exact"/>
        <w:ind w:firstLine="640"/>
        <w:rPr>
          <w:rFonts w:eastAsia="仿宋_GB2312" w:cs="仿宋_GB2312"/>
          <w:sz w:val="32"/>
          <w:szCs w:val="32"/>
        </w:rPr>
      </w:pPr>
      <w:r>
        <w:rPr>
          <w:rFonts w:hint="eastAsia" w:eastAsia="仿宋_GB2312" w:cs="仿宋_GB2312"/>
          <w:sz w:val="32"/>
          <w:szCs w:val="32"/>
        </w:rPr>
        <w:t>22</w:t>
      </w:r>
      <w:r>
        <w:rPr>
          <w:rFonts w:hint="eastAsia" w:eastAsia="仿宋_GB2312" w:cs="仿宋_GB2312"/>
          <w:b/>
          <w:bCs/>
          <w:sz w:val="32"/>
          <w:szCs w:val="32"/>
        </w:rPr>
        <w:t>.卫生健康支出（类）行政事业单位医疗（款）公务员医疗补助（项）：</w:t>
      </w:r>
      <w:r>
        <w:rPr>
          <w:rFonts w:hint="eastAsia" w:ascii="仿宋_GB2312" w:eastAsia="仿宋_GB2312"/>
          <w:sz w:val="32"/>
          <w:szCs w:val="32"/>
        </w:rPr>
        <w:t>指反映财政部门安排的公务员医疗补助经费。</w:t>
      </w:r>
    </w:p>
    <w:p>
      <w:pPr>
        <w:pStyle w:val="29"/>
        <w:spacing w:line="540" w:lineRule="exact"/>
        <w:ind w:firstLine="640" w:firstLineChars="200"/>
        <w:rPr>
          <w:rFonts w:ascii="仿宋_GB2312" w:eastAsia="仿宋_GB2312"/>
          <w:color w:val="auto"/>
          <w:sz w:val="32"/>
          <w:szCs w:val="32"/>
        </w:rPr>
      </w:pPr>
      <w:r>
        <w:rPr>
          <w:rFonts w:hint="eastAsia" w:eastAsia="仿宋_GB2312" w:cs="仿宋_GB2312"/>
          <w:color w:val="auto"/>
          <w:kern w:val="2"/>
          <w:sz w:val="32"/>
          <w:szCs w:val="32"/>
        </w:rPr>
        <w:t>23</w:t>
      </w:r>
      <w:r>
        <w:rPr>
          <w:rFonts w:hint="eastAsia" w:ascii="Times New Roman" w:hAnsi="Times New Roman" w:eastAsia="仿宋_GB2312" w:cs="仿宋_GB2312"/>
          <w:b/>
          <w:bCs/>
          <w:color w:val="auto"/>
          <w:kern w:val="2"/>
          <w:sz w:val="32"/>
          <w:szCs w:val="32"/>
        </w:rPr>
        <w:t>.住房保障支出（类）住房改革支出（款）住房公积金（项）：</w:t>
      </w:r>
      <w:r>
        <w:rPr>
          <w:rFonts w:hint="eastAsia" w:ascii="仿宋_GB2312" w:eastAsia="仿宋_GB2312"/>
          <w:color w:val="auto"/>
          <w:sz w:val="32"/>
          <w:szCs w:val="32"/>
        </w:rPr>
        <w:t>指反映行政事业单位按人力资源和社会保障部、财政部规定的基本工资和津贴补贴以及规定比例为职工缴纳的住房公积金。</w:t>
      </w:r>
    </w:p>
    <w:p>
      <w:pPr>
        <w:spacing w:line="540" w:lineRule="exact"/>
        <w:ind w:firstLine="640"/>
        <w:rPr>
          <w:rFonts w:eastAsia="仿宋_GB2312" w:cs="仿宋_GB2312"/>
          <w:sz w:val="32"/>
          <w:szCs w:val="32"/>
        </w:rPr>
      </w:pPr>
      <w:r>
        <w:rPr>
          <w:rFonts w:hint="eastAsia" w:eastAsia="仿宋_GB2312" w:cs="仿宋_GB2312"/>
          <w:sz w:val="32"/>
          <w:szCs w:val="32"/>
        </w:rPr>
        <w:t>24.基本支出：指为保障机构正常运转、完成日常工作任务而发生的人员支出和公用支出。</w:t>
      </w:r>
    </w:p>
    <w:p>
      <w:pPr>
        <w:spacing w:line="540" w:lineRule="exact"/>
        <w:ind w:firstLine="640"/>
        <w:rPr>
          <w:rFonts w:eastAsia="仿宋_GB2312" w:cs="仿宋_GB2312"/>
          <w:sz w:val="32"/>
          <w:szCs w:val="32"/>
        </w:rPr>
      </w:pPr>
      <w:r>
        <w:rPr>
          <w:rFonts w:hint="eastAsia" w:eastAsia="仿宋_GB2312" w:cs="仿宋_GB2312"/>
          <w:sz w:val="32"/>
          <w:szCs w:val="32"/>
        </w:rPr>
        <w:t xml:space="preserve">25.项目支出：指在基本支出之外为完成特定行政任务和事业发展目标所发生的支出。 </w:t>
      </w:r>
    </w:p>
    <w:p>
      <w:pPr>
        <w:spacing w:line="540" w:lineRule="exact"/>
        <w:ind w:firstLine="640"/>
        <w:rPr>
          <w:rFonts w:eastAsia="仿宋_GB2312" w:cs="仿宋_GB2312"/>
          <w:sz w:val="32"/>
          <w:szCs w:val="32"/>
        </w:rPr>
      </w:pPr>
      <w:r>
        <w:rPr>
          <w:rFonts w:hint="eastAsia" w:eastAsia="仿宋_GB2312" w:cs="仿宋_GB2312"/>
          <w:sz w:val="32"/>
          <w:szCs w:val="32"/>
        </w:rPr>
        <w:t>26.经营支出：指事业单位在专业业务活动及其辅助活动之外开展非独立核算经营活动发生的支出。</w:t>
      </w:r>
    </w:p>
    <w:p>
      <w:pPr>
        <w:spacing w:line="540" w:lineRule="exact"/>
        <w:ind w:firstLine="640"/>
        <w:rPr>
          <w:rFonts w:eastAsia="仿宋_GB2312" w:cs="仿宋_GB2312"/>
          <w:sz w:val="32"/>
          <w:szCs w:val="32"/>
        </w:rPr>
      </w:pPr>
      <w:r>
        <w:rPr>
          <w:rFonts w:hint="eastAsia" w:eastAsia="仿宋_GB2312" w:cs="仿宋_GB2312"/>
          <w:sz w:val="32"/>
          <w:szCs w:val="32"/>
        </w:rPr>
        <w:t>27.“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spacing w:line="540" w:lineRule="exact"/>
        <w:ind w:firstLine="640"/>
        <w:rPr>
          <w:rFonts w:eastAsia="仿宋_GB2312" w:cs="仿宋_GB2312"/>
          <w:sz w:val="32"/>
          <w:szCs w:val="32"/>
        </w:rPr>
      </w:pPr>
      <w:r>
        <w:rPr>
          <w:rFonts w:hint="eastAsia" w:eastAsia="仿宋_GB2312" w:cs="仿宋_GB2312"/>
          <w:sz w:val="32"/>
          <w:szCs w:val="32"/>
        </w:rPr>
        <w:t>28.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pStyle w:val="3"/>
        <w:ind w:left="0" w:leftChars="0" w:firstLine="0" w:firstLineChars="0"/>
      </w:pPr>
    </w:p>
    <w:p/>
    <w:p>
      <w:pPr>
        <w:spacing w:line="600" w:lineRule="exact"/>
        <w:jc w:val="center"/>
        <w:rPr>
          <w:rStyle w:val="31"/>
          <w:rFonts w:eastAsia="黑体"/>
          <w:b w:val="0"/>
        </w:rPr>
      </w:pPr>
      <w:r>
        <w:rPr>
          <w:rFonts w:hint="eastAsia" w:eastAsia="黑体"/>
          <w:sz w:val="44"/>
          <w:szCs w:val="44"/>
        </w:rPr>
        <w:t>第四部分  附件</w:t>
      </w:r>
      <w:bookmarkEnd w:id="46"/>
    </w:p>
    <w:p>
      <w:pPr>
        <w:spacing w:line="572" w:lineRule="exact"/>
        <w:jc w:val="left"/>
        <w:outlineLvl w:val="0"/>
        <w:rPr>
          <w:rFonts w:eastAsia="黑体" w:cs="方正小标宋简体"/>
          <w:sz w:val="44"/>
          <w:szCs w:val="44"/>
        </w:rPr>
      </w:pPr>
      <w:r>
        <w:rPr>
          <w:rFonts w:hint="eastAsia" w:eastAsia="黑体" w:cs="黑体"/>
          <w:sz w:val="32"/>
          <w:szCs w:val="32"/>
        </w:rPr>
        <w:t>附件1</w:t>
      </w:r>
    </w:p>
    <w:p>
      <w:pPr>
        <w:widowControl/>
        <w:spacing w:line="760" w:lineRule="exact"/>
        <w:contextualSpacing/>
        <w:jc w:val="center"/>
        <w:rPr>
          <w:rFonts w:hint="eastAsia" w:ascii="宋体" w:hAnsi="宋体" w:cs="方正小标宋_GBK"/>
          <w:b/>
          <w:bCs/>
          <w:sz w:val="36"/>
          <w:szCs w:val="36"/>
        </w:rPr>
      </w:pPr>
      <w:r>
        <w:rPr>
          <w:rFonts w:ascii="宋体" w:hAnsi="宋体" w:cs="方正小标宋_GBK"/>
          <w:b/>
          <w:bCs/>
          <w:sz w:val="36"/>
          <w:szCs w:val="36"/>
        </w:rPr>
        <w:t>攀枝花市仁和区</w:t>
      </w:r>
      <w:r>
        <w:rPr>
          <w:rFonts w:hint="eastAsia" w:ascii="宋体" w:hAnsi="宋体" w:cs="宋体"/>
          <w:b/>
          <w:bCs/>
          <w:sz w:val="36"/>
          <w:szCs w:val="36"/>
        </w:rPr>
        <w:t>信访局</w:t>
      </w:r>
    </w:p>
    <w:p>
      <w:pPr>
        <w:widowControl/>
        <w:spacing w:line="760" w:lineRule="exact"/>
        <w:contextualSpacing/>
        <w:jc w:val="center"/>
        <w:rPr>
          <w:rFonts w:hint="eastAsia" w:ascii="宋体" w:hAnsi="宋体" w:cs="方正小标宋_GBK"/>
          <w:b/>
          <w:bCs/>
          <w:sz w:val="36"/>
          <w:szCs w:val="36"/>
        </w:rPr>
      </w:pPr>
      <w:r>
        <w:rPr>
          <w:rFonts w:hint="eastAsia" w:ascii="宋体" w:hAnsi="宋体" w:cs="方正小标宋_GBK"/>
          <w:b/>
          <w:bCs/>
          <w:sz w:val="36"/>
          <w:szCs w:val="36"/>
        </w:rPr>
        <w:t>2025年度整体支出绩效评价报告</w:t>
      </w:r>
    </w:p>
    <w:p>
      <w:pPr>
        <w:widowControl/>
        <w:adjustRightInd w:val="0"/>
        <w:snapToGrid w:val="0"/>
        <w:spacing w:line="580" w:lineRule="exact"/>
        <w:ind w:firstLine="642" w:firstLineChars="200"/>
        <w:contextualSpacing/>
        <w:jc w:val="left"/>
        <w:rPr>
          <w:rFonts w:hint="eastAsia" w:ascii="宋体" w:hAnsi="宋体" w:cs="黑体"/>
          <w:b/>
          <w:bCs/>
          <w:color w:val="000000"/>
          <w:kern w:val="0"/>
          <w:sz w:val="32"/>
          <w:szCs w:val="32"/>
          <w:shd w:val="clear" w:color="auto" w:fill="FFFFFF"/>
        </w:rPr>
      </w:pPr>
    </w:p>
    <w:p>
      <w:pPr>
        <w:widowControl/>
        <w:adjustRightInd w:val="0"/>
        <w:snapToGrid w:val="0"/>
        <w:spacing w:line="580" w:lineRule="exact"/>
        <w:ind w:firstLine="642" w:firstLineChars="200"/>
        <w:contextualSpacing/>
        <w:jc w:val="left"/>
        <w:rPr>
          <w:rFonts w:hint="eastAsia" w:ascii="宋体" w:hAnsi="宋体" w:cs="黑体"/>
          <w:b/>
          <w:bCs/>
          <w:color w:val="000000"/>
          <w:kern w:val="0"/>
          <w:sz w:val="32"/>
          <w:szCs w:val="32"/>
          <w:shd w:val="clear" w:color="auto" w:fill="FFFFFF"/>
          <w:lang w:val="zh-CN"/>
        </w:rPr>
      </w:pPr>
      <w:r>
        <w:rPr>
          <w:rFonts w:hint="eastAsia" w:ascii="宋体" w:hAnsi="宋体" w:cs="黑体"/>
          <w:b/>
          <w:bCs/>
          <w:color w:val="000000"/>
          <w:kern w:val="0"/>
          <w:sz w:val="32"/>
          <w:szCs w:val="32"/>
          <w:shd w:val="clear" w:color="auto" w:fill="FFFFFF"/>
        </w:rPr>
        <w:t>一、</w:t>
      </w:r>
      <w:r>
        <w:rPr>
          <w:rFonts w:hint="eastAsia" w:ascii="宋体" w:hAnsi="宋体" w:cs="黑体"/>
          <w:b/>
          <w:bCs/>
          <w:color w:val="000000"/>
          <w:kern w:val="0"/>
          <w:sz w:val="32"/>
          <w:szCs w:val="32"/>
          <w:shd w:val="clear" w:color="auto" w:fill="FFFFFF"/>
          <w:lang w:val="zh-CN"/>
        </w:rPr>
        <w:t>部门（单位）概况</w:t>
      </w:r>
    </w:p>
    <w:p>
      <w:pPr>
        <w:widowControl/>
        <w:adjustRightInd w:val="0"/>
        <w:snapToGrid w:val="0"/>
        <w:spacing w:line="580" w:lineRule="exact"/>
        <w:ind w:firstLine="642" w:firstLineChars="200"/>
        <w:contextualSpacing/>
        <w:jc w:val="left"/>
        <w:rPr>
          <w:rFonts w:hint="eastAsia" w:ascii="宋体" w:hAnsi="宋体"/>
          <w:b/>
          <w:bCs/>
          <w:color w:val="000000"/>
          <w:kern w:val="0"/>
          <w:sz w:val="32"/>
          <w:szCs w:val="32"/>
          <w:shd w:val="clear" w:color="auto" w:fill="FFFFFF"/>
          <w:lang w:val="zh-CN"/>
        </w:rPr>
      </w:pPr>
      <w:r>
        <w:rPr>
          <w:rFonts w:ascii="宋体" w:hAnsi="宋体"/>
          <w:b/>
          <w:bCs/>
          <w:color w:val="000000"/>
          <w:kern w:val="0"/>
          <w:sz w:val="32"/>
          <w:szCs w:val="32"/>
          <w:shd w:val="clear" w:color="auto" w:fill="FFFFFF"/>
          <w:lang w:val="zh-CN"/>
        </w:rPr>
        <w:t>（一）机构组成。</w:t>
      </w:r>
    </w:p>
    <w:p>
      <w:pPr>
        <w:widowControl/>
        <w:adjustRightInd w:val="0"/>
        <w:snapToGrid w:val="0"/>
        <w:spacing w:line="720" w:lineRule="exact"/>
        <w:ind w:firstLine="640" w:firstLineChars="200"/>
        <w:contextualSpacing/>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攀枝花市仁和区信访局（简称区信访局）是攀枝花市仁和区人民政府工作部门，</w:t>
      </w:r>
      <w:r>
        <w:rPr>
          <w:rFonts w:ascii="仿宋_GB2312" w:hAnsi="仿宋_GB2312" w:eastAsia="仿宋_GB2312" w:cs="仿宋_GB2312"/>
          <w:sz w:val="32"/>
          <w:szCs w:val="32"/>
        </w:rPr>
        <w:t>为正科级，下设办公室和业务股。</w:t>
      </w:r>
    </w:p>
    <w:p>
      <w:pPr>
        <w:widowControl/>
        <w:adjustRightInd w:val="0"/>
        <w:snapToGrid w:val="0"/>
        <w:spacing w:line="580" w:lineRule="exact"/>
        <w:ind w:firstLine="642" w:firstLineChars="200"/>
        <w:contextualSpacing/>
        <w:jc w:val="left"/>
        <w:rPr>
          <w:rFonts w:hint="eastAsia" w:ascii="宋体" w:hAnsi="宋体" w:cs="微软雅黑"/>
          <w:b/>
          <w:bCs/>
          <w:color w:val="000000"/>
          <w:kern w:val="0"/>
          <w:sz w:val="32"/>
          <w:szCs w:val="32"/>
          <w:shd w:val="clear" w:color="auto" w:fill="FFFFFF"/>
          <w:lang w:val="zh-CN"/>
        </w:rPr>
      </w:pPr>
      <w:r>
        <w:rPr>
          <w:rFonts w:hint="eastAsia" w:ascii="宋体" w:hAnsi="宋体" w:cs="微软雅黑"/>
          <w:b/>
          <w:bCs/>
          <w:color w:val="000000"/>
          <w:kern w:val="0"/>
          <w:sz w:val="32"/>
          <w:szCs w:val="32"/>
          <w:shd w:val="clear" w:color="auto" w:fill="FFFFFF"/>
          <w:lang w:val="zh-CN"/>
        </w:rPr>
        <w:t>（二）</w:t>
      </w:r>
      <w:r>
        <w:rPr>
          <w:rFonts w:ascii="宋体" w:hAnsi="宋体" w:cs="微软雅黑"/>
          <w:b/>
          <w:bCs/>
          <w:color w:val="000000"/>
          <w:kern w:val="0"/>
          <w:sz w:val="32"/>
          <w:szCs w:val="32"/>
          <w:shd w:val="clear" w:color="auto" w:fill="FFFFFF"/>
          <w:lang w:val="zh-CN"/>
        </w:rPr>
        <w:t>机构职能。</w:t>
      </w:r>
    </w:p>
    <w:p>
      <w:pPr>
        <w:widowControl/>
        <w:adjustRightInd w:val="0"/>
        <w:snapToGrid w:val="0"/>
        <w:spacing w:line="720" w:lineRule="exact"/>
        <w:ind w:firstLine="640" w:firstLineChars="200"/>
        <w:contextualSpacing/>
        <w:jc w:val="left"/>
        <w:rPr>
          <w:rFonts w:hint="eastAsia" w:ascii="仿宋_GB2312" w:hAnsi="仿宋_GB2312" w:eastAsia="仿宋_GB2312" w:cs="仿宋_GB2312"/>
          <w:sz w:val="32"/>
          <w:szCs w:val="32"/>
        </w:rPr>
      </w:pPr>
      <w:r>
        <w:rPr>
          <w:rFonts w:ascii="仿宋_GB2312" w:hAnsi="仿宋_GB2312" w:eastAsia="仿宋_GB2312" w:cs="仿宋_GB2312"/>
          <w:sz w:val="32"/>
          <w:szCs w:val="32"/>
        </w:rPr>
        <w:t>1.贯彻落实党中央关于信访工作的方针政策和省委、市委、区委的决策部署，在履行职责过程中坚持和加强党对信访工作的集中统一领导。起草有关信访工作的规范性文件；制定信访问题排查化解、风险评估等制度并组织实施，负责提出改进和加强信访工作的建议；负责本系统、本部门依法行政工作。</w:t>
      </w:r>
    </w:p>
    <w:p>
      <w:pPr>
        <w:widowControl/>
        <w:adjustRightInd w:val="0"/>
        <w:snapToGrid w:val="0"/>
        <w:spacing w:line="720" w:lineRule="exact"/>
        <w:ind w:firstLine="640" w:firstLineChars="200"/>
        <w:contextualSpacing/>
        <w:jc w:val="left"/>
        <w:rPr>
          <w:rFonts w:hint="eastAsia" w:ascii="仿宋_GB2312" w:hAnsi="仿宋_GB2312" w:eastAsia="仿宋_GB2312" w:cs="仿宋_GB2312"/>
          <w:sz w:val="32"/>
          <w:szCs w:val="32"/>
        </w:rPr>
      </w:pPr>
      <w:r>
        <w:rPr>
          <w:rFonts w:ascii="仿宋_GB2312" w:hAnsi="仿宋_GB2312" w:eastAsia="仿宋_GB2312" w:cs="仿宋_GB2312"/>
          <w:sz w:val="32"/>
          <w:szCs w:val="32"/>
        </w:rPr>
        <w:t>2.指导全区信访工作，督促检查各乡镇（街道）、区属各部门（单位）信访工作，总结推广信访工作经验，牵头完成信访工作宣传和信息发布。</w:t>
      </w:r>
    </w:p>
    <w:p>
      <w:pPr>
        <w:widowControl/>
        <w:adjustRightInd w:val="0"/>
        <w:snapToGrid w:val="0"/>
        <w:spacing w:line="720" w:lineRule="exact"/>
        <w:ind w:firstLine="640" w:firstLineChars="200"/>
        <w:contextualSpacing/>
        <w:jc w:val="left"/>
        <w:rPr>
          <w:rFonts w:hint="eastAsia" w:ascii="仿宋_GB2312" w:hAnsi="仿宋_GB2312" w:eastAsia="仿宋_GB2312" w:cs="仿宋_GB2312"/>
          <w:sz w:val="32"/>
          <w:szCs w:val="32"/>
        </w:rPr>
      </w:pPr>
      <w:r>
        <w:rPr>
          <w:rFonts w:ascii="仿宋_GB2312" w:hAnsi="仿宋_GB2312" w:eastAsia="仿宋_GB2312" w:cs="仿宋_GB2312"/>
          <w:sz w:val="32"/>
          <w:szCs w:val="32"/>
        </w:rPr>
        <w:t>3.负责处理区内外群众、境外人士、法人及其他组织通过信访渠道给区委、区政府及领导同志的来信来电，接待来访工作。</w:t>
      </w:r>
    </w:p>
    <w:p>
      <w:pPr>
        <w:widowControl/>
        <w:adjustRightInd w:val="0"/>
        <w:snapToGrid w:val="0"/>
        <w:spacing w:line="720" w:lineRule="exact"/>
        <w:ind w:firstLine="640" w:firstLineChars="200"/>
        <w:contextualSpacing/>
        <w:jc w:val="left"/>
        <w:rPr>
          <w:rFonts w:hint="eastAsia" w:ascii="仿宋_GB2312" w:hAnsi="仿宋_GB2312" w:eastAsia="仿宋_GB2312" w:cs="仿宋_GB2312"/>
          <w:sz w:val="32"/>
          <w:szCs w:val="32"/>
        </w:rPr>
      </w:pPr>
      <w:r>
        <w:rPr>
          <w:rFonts w:ascii="仿宋_GB2312" w:hAnsi="仿宋_GB2312" w:eastAsia="仿宋_GB2312" w:cs="仿宋_GB2312"/>
          <w:sz w:val="32"/>
          <w:szCs w:val="32"/>
        </w:rPr>
        <w:t>4.承担协调处理群众进京赴省到市、区集体上访和非接待场所上访的责任，综合协调处理跨地区、跨部门的重要信访问题。</w:t>
      </w:r>
    </w:p>
    <w:p>
      <w:pPr>
        <w:widowControl/>
        <w:adjustRightInd w:val="0"/>
        <w:snapToGrid w:val="0"/>
        <w:spacing w:line="720" w:lineRule="exact"/>
        <w:ind w:firstLine="640" w:firstLineChars="200"/>
        <w:contextualSpacing/>
        <w:jc w:val="left"/>
        <w:rPr>
          <w:rFonts w:hint="eastAsia" w:ascii="仿宋_GB2312" w:hAnsi="仿宋_GB2312" w:eastAsia="仿宋_GB2312" w:cs="仿宋_GB2312"/>
          <w:sz w:val="32"/>
          <w:szCs w:val="32"/>
        </w:rPr>
      </w:pPr>
      <w:r>
        <w:rPr>
          <w:rFonts w:ascii="仿宋_GB2312" w:hAnsi="仿宋_GB2312" w:eastAsia="仿宋_GB2312" w:cs="仿宋_GB2312"/>
          <w:sz w:val="32"/>
          <w:szCs w:val="32"/>
        </w:rPr>
        <w:t>5.负责向区委、区政府反映来信来电来访中提出的重要建议、意见和问题，综合研判信访信息，开展调查研究，提出相关处理建议。负责建立和完善信访信息汇集分析机制，指导信访工作信息化建设和应用。</w:t>
      </w:r>
    </w:p>
    <w:p>
      <w:pPr>
        <w:widowControl/>
        <w:adjustRightInd w:val="0"/>
        <w:snapToGrid w:val="0"/>
        <w:spacing w:line="720" w:lineRule="exact"/>
        <w:ind w:firstLine="640" w:firstLineChars="200"/>
        <w:contextualSpacing/>
        <w:jc w:val="left"/>
        <w:rPr>
          <w:rFonts w:hint="eastAsia" w:ascii="仿宋_GB2312" w:hAnsi="仿宋_GB2312" w:eastAsia="仿宋_GB2312" w:cs="仿宋_GB2312"/>
          <w:sz w:val="32"/>
          <w:szCs w:val="32"/>
        </w:rPr>
      </w:pPr>
      <w:r>
        <w:rPr>
          <w:rFonts w:ascii="仿宋_GB2312" w:hAnsi="仿宋_GB2312" w:eastAsia="仿宋_GB2312" w:cs="仿宋_GB2312"/>
          <w:sz w:val="32"/>
          <w:szCs w:val="32"/>
        </w:rPr>
        <w:t>6.承办上级批示交办信访事项，向各乡镇（街道）、区属各部门（单位）转办、交办信访事项，督促检查重要信访事项的处理和落实。</w:t>
      </w:r>
    </w:p>
    <w:p>
      <w:pPr>
        <w:widowControl/>
        <w:adjustRightInd w:val="0"/>
        <w:snapToGrid w:val="0"/>
        <w:spacing w:line="720" w:lineRule="exact"/>
        <w:ind w:firstLine="640" w:firstLineChars="200"/>
        <w:contextualSpacing/>
        <w:jc w:val="left"/>
        <w:rPr>
          <w:rFonts w:hint="eastAsia" w:ascii="仿宋_GB2312" w:hAnsi="仿宋_GB2312" w:eastAsia="仿宋_GB2312" w:cs="仿宋_GB2312"/>
          <w:sz w:val="32"/>
          <w:szCs w:val="32"/>
        </w:rPr>
      </w:pPr>
      <w:r>
        <w:rPr>
          <w:rFonts w:ascii="仿宋_GB2312" w:hAnsi="仿宋_GB2312" w:eastAsia="仿宋_GB2312" w:cs="仿宋_GB2312"/>
          <w:sz w:val="32"/>
          <w:szCs w:val="32"/>
        </w:rPr>
        <w:t>7.承担区信访工作联席会议、区政府信访事项复查（复核）工作，督促落实有关事项。</w:t>
      </w:r>
    </w:p>
    <w:p>
      <w:pPr>
        <w:widowControl/>
        <w:adjustRightInd w:val="0"/>
        <w:snapToGrid w:val="0"/>
        <w:spacing w:line="720" w:lineRule="exact"/>
        <w:ind w:firstLine="640" w:firstLineChars="200"/>
        <w:contextualSpacing/>
        <w:jc w:val="left"/>
        <w:rPr>
          <w:rFonts w:hint="eastAsia" w:ascii="仿宋_GB2312" w:hAnsi="仿宋_GB2312" w:eastAsia="仿宋_GB2312" w:cs="仿宋_GB2312"/>
          <w:sz w:val="32"/>
          <w:szCs w:val="32"/>
        </w:rPr>
      </w:pPr>
      <w:r>
        <w:rPr>
          <w:rFonts w:ascii="仿宋_GB2312" w:hAnsi="仿宋_GB2312" w:eastAsia="仿宋_GB2312" w:cs="仿宋_GB2312"/>
          <w:sz w:val="32"/>
          <w:szCs w:val="32"/>
        </w:rPr>
        <w:t>8.承担网络投诉受理工作，负责对区党群一号通暨区群众意见受理中心市民投诉件（12345市民热线、四川省网上信访信息系统、“市长信箱”、区委书记信箱、区长信箱等应用系统的投诉件）的受理、交办、督办、协调、处理等工作。</w:t>
      </w:r>
    </w:p>
    <w:p>
      <w:pPr>
        <w:widowControl/>
        <w:adjustRightInd w:val="0"/>
        <w:snapToGrid w:val="0"/>
        <w:spacing w:line="720" w:lineRule="exact"/>
        <w:ind w:firstLine="640" w:firstLineChars="200"/>
        <w:contextualSpacing/>
        <w:jc w:val="left"/>
        <w:rPr>
          <w:rFonts w:hint="eastAsia" w:ascii="仿宋_GB2312" w:hAnsi="仿宋_GB2312" w:eastAsia="仿宋_GB2312" w:cs="仿宋_GB2312"/>
          <w:sz w:val="32"/>
          <w:szCs w:val="32"/>
        </w:rPr>
      </w:pPr>
      <w:r>
        <w:rPr>
          <w:rFonts w:ascii="仿宋_GB2312" w:hAnsi="仿宋_GB2312" w:eastAsia="仿宋_GB2312" w:cs="仿宋_GB2312"/>
          <w:sz w:val="32"/>
          <w:szCs w:val="32"/>
        </w:rPr>
        <w:t>9.负责职责范围内的安全生产和职业健康、生态环境保护、审批服务便民化等工作。按省、市要求，指导推进相对集中行政许可权改革。</w:t>
      </w:r>
    </w:p>
    <w:p>
      <w:pPr>
        <w:widowControl/>
        <w:adjustRightInd w:val="0"/>
        <w:snapToGrid w:val="0"/>
        <w:spacing w:line="720" w:lineRule="exact"/>
        <w:ind w:firstLine="640" w:firstLineChars="200"/>
        <w:contextualSpacing/>
        <w:jc w:val="left"/>
        <w:rPr>
          <w:rFonts w:hint="eastAsia" w:ascii="仿宋_GB2312" w:hAnsi="仿宋_GB2312" w:eastAsia="仿宋_GB2312" w:cs="仿宋_GB2312"/>
          <w:sz w:val="32"/>
          <w:szCs w:val="32"/>
        </w:rPr>
      </w:pPr>
      <w:r>
        <w:rPr>
          <w:rFonts w:ascii="仿宋_GB2312" w:hAnsi="仿宋_GB2312" w:eastAsia="仿宋_GB2312" w:cs="仿宋_GB2312"/>
          <w:sz w:val="32"/>
          <w:szCs w:val="32"/>
        </w:rPr>
        <w:t>10.完成区委、区政府交办的其他任务。</w:t>
      </w:r>
    </w:p>
    <w:p>
      <w:pPr>
        <w:widowControl/>
        <w:adjustRightInd w:val="0"/>
        <w:snapToGrid w:val="0"/>
        <w:spacing w:line="580" w:lineRule="exact"/>
        <w:ind w:firstLine="642" w:firstLineChars="200"/>
        <w:contextualSpacing/>
        <w:jc w:val="left"/>
        <w:rPr>
          <w:rFonts w:hint="eastAsia" w:ascii="宋体" w:hAnsi="宋体"/>
          <w:b/>
          <w:bCs/>
          <w:color w:val="000000"/>
          <w:kern w:val="0"/>
          <w:sz w:val="32"/>
          <w:szCs w:val="32"/>
          <w:shd w:val="clear" w:color="auto" w:fill="FFFFFF"/>
          <w:lang w:val="zh-CN"/>
        </w:rPr>
      </w:pPr>
      <w:r>
        <w:rPr>
          <w:rFonts w:ascii="宋体" w:hAnsi="宋体"/>
          <w:b/>
          <w:bCs/>
          <w:color w:val="000000"/>
          <w:kern w:val="0"/>
          <w:sz w:val="32"/>
          <w:szCs w:val="32"/>
          <w:shd w:val="clear" w:color="auto" w:fill="FFFFFF"/>
          <w:lang w:val="zh-CN"/>
        </w:rPr>
        <w:t>（三）人员概况。</w:t>
      </w:r>
    </w:p>
    <w:p>
      <w:pPr>
        <w:widowControl/>
        <w:adjustRightInd w:val="0"/>
        <w:snapToGrid w:val="0"/>
        <w:spacing w:line="720" w:lineRule="exact"/>
        <w:ind w:firstLine="640" w:firstLineChars="200"/>
        <w:contextualSpacing/>
        <w:jc w:val="left"/>
        <w:rPr>
          <w:rFonts w:hint="eastAsia" w:ascii="仿宋_GB2312" w:hAnsi="仿宋_GB2312" w:eastAsia="仿宋_GB2312" w:cs="仿宋_GB2312"/>
          <w:sz w:val="32"/>
          <w:szCs w:val="32"/>
        </w:rPr>
      </w:pPr>
      <w:r>
        <w:rPr>
          <w:rFonts w:ascii="仿宋_GB2312" w:hAnsi="仿宋_GB2312" w:eastAsia="仿宋_GB2312" w:cs="仿宋_GB2312"/>
          <w:sz w:val="32"/>
          <w:szCs w:val="32"/>
        </w:rPr>
        <w:t>区信访局行政编制3名（局长1名，副局长</w:t>
      </w:r>
      <w:r>
        <w:rPr>
          <w:rFonts w:hint="eastAsia" w:ascii="仿宋_GB2312" w:hAnsi="仿宋_GB2312" w:eastAsia="仿宋_GB2312" w:cs="仿宋_GB2312"/>
          <w:sz w:val="32"/>
          <w:szCs w:val="32"/>
        </w:rPr>
        <w:t>1</w:t>
      </w:r>
      <w:r>
        <w:rPr>
          <w:rFonts w:ascii="仿宋_GB2312" w:hAnsi="仿宋_GB2312" w:eastAsia="仿宋_GB2312" w:cs="仿宋_GB2312"/>
          <w:sz w:val="32"/>
          <w:szCs w:val="32"/>
        </w:rPr>
        <w:t>名），实有人数</w:t>
      </w:r>
      <w:r>
        <w:rPr>
          <w:rFonts w:hint="eastAsia" w:ascii="仿宋_GB2312" w:hAnsi="仿宋_GB2312" w:eastAsia="仿宋_GB2312" w:cs="仿宋_GB2312"/>
          <w:sz w:val="32"/>
          <w:szCs w:val="32"/>
        </w:rPr>
        <w:t>2</w:t>
      </w:r>
      <w:r>
        <w:rPr>
          <w:rFonts w:ascii="仿宋_GB2312" w:hAnsi="仿宋_GB2312" w:eastAsia="仿宋_GB2312" w:cs="仿宋_GB2312"/>
          <w:sz w:val="32"/>
          <w:szCs w:val="32"/>
        </w:rPr>
        <w:t>名。机关工勤人员编制数1名，实有1</w:t>
      </w:r>
      <w:r>
        <w:rPr>
          <w:rFonts w:hint="eastAsia" w:ascii="仿宋_GB2312" w:hAnsi="仿宋_GB2312" w:eastAsia="仿宋_GB2312" w:cs="仿宋_GB2312"/>
          <w:sz w:val="32"/>
          <w:szCs w:val="32"/>
        </w:rPr>
        <w:t xml:space="preserve"> </w:t>
      </w:r>
      <w:r>
        <w:rPr>
          <w:rFonts w:ascii="仿宋_GB2312" w:hAnsi="仿宋_GB2312" w:eastAsia="仿宋_GB2312" w:cs="仿宋_GB2312"/>
          <w:sz w:val="32"/>
          <w:szCs w:val="32"/>
        </w:rPr>
        <w:t>名。全额拨款事业单位编制</w:t>
      </w:r>
      <w:r>
        <w:rPr>
          <w:rFonts w:hint="eastAsia" w:ascii="仿宋_GB2312" w:hAnsi="仿宋_GB2312" w:eastAsia="仿宋_GB2312" w:cs="仿宋_GB2312"/>
          <w:sz w:val="32"/>
          <w:szCs w:val="32"/>
        </w:rPr>
        <w:t>8</w:t>
      </w:r>
      <w:r>
        <w:rPr>
          <w:rFonts w:ascii="仿宋_GB2312" w:hAnsi="仿宋_GB2312" w:eastAsia="仿宋_GB2312" w:cs="仿宋_GB2312"/>
          <w:sz w:val="32"/>
          <w:szCs w:val="32"/>
        </w:rPr>
        <w:t>名（副科级领导职数1名，事业管理岗8名），实有人数</w:t>
      </w:r>
      <w:r>
        <w:rPr>
          <w:rFonts w:hint="eastAsia" w:ascii="仿宋_GB2312" w:hAnsi="仿宋_GB2312" w:eastAsia="仿宋_GB2312" w:cs="仿宋_GB2312"/>
          <w:sz w:val="32"/>
          <w:szCs w:val="32"/>
        </w:rPr>
        <w:t>8</w:t>
      </w:r>
      <w:r>
        <w:rPr>
          <w:rFonts w:ascii="仿宋_GB2312" w:hAnsi="仿宋_GB2312" w:eastAsia="仿宋_GB2312" w:cs="仿宋_GB2312"/>
          <w:sz w:val="32"/>
          <w:szCs w:val="32"/>
        </w:rPr>
        <w:t>名。退休人员</w:t>
      </w:r>
      <w:r>
        <w:rPr>
          <w:rFonts w:hint="eastAsia" w:ascii="仿宋_GB2312" w:hAnsi="仿宋_GB2312" w:eastAsia="仿宋_GB2312" w:cs="仿宋_GB2312"/>
          <w:sz w:val="32"/>
          <w:szCs w:val="32"/>
        </w:rPr>
        <w:t>2</w:t>
      </w:r>
      <w:r>
        <w:rPr>
          <w:rFonts w:ascii="仿宋_GB2312" w:hAnsi="仿宋_GB2312" w:eastAsia="仿宋_GB2312" w:cs="仿宋_GB2312"/>
          <w:sz w:val="32"/>
          <w:szCs w:val="32"/>
        </w:rPr>
        <w:t>名。</w:t>
      </w:r>
    </w:p>
    <w:p>
      <w:pPr>
        <w:widowControl/>
        <w:adjustRightInd w:val="0"/>
        <w:snapToGrid w:val="0"/>
        <w:spacing w:line="578" w:lineRule="exact"/>
        <w:ind w:firstLine="642" w:firstLineChars="200"/>
        <w:contextualSpacing/>
        <w:jc w:val="left"/>
        <w:rPr>
          <w:rFonts w:hint="eastAsia" w:ascii="宋体" w:hAnsi="宋体"/>
          <w:b/>
          <w:bCs/>
          <w:color w:val="000000"/>
          <w:kern w:val="0"/>
          <w:sz w:val="32"/>
          <w:szCs w:val="32"/>
          <w:shd w:val="clear" w:color="auto" w:fill="FFFFFF"/>
        </w:rPr>
      </w:pPr>
      <w:r>
        <w:rPr>
          <w:rFonts w:ascii="宋体" w:hAnsi="宋体"/>
          <w:b/>
          <w:bCs/>
          <w:color w:val="000000"/>
          <w:kern w:val="0"/>
          <w:sz w:val="32"/>
          <w:szCs w:val="32"/>
          <w:shd w:val="clear" w:color="auto" w:fill="FFFFFF"/>
        </w:rPr>
        <w:t>二、部门资金收支情况</w:t>
      </w:r>
    </w:p>
    <w:p>
      <w:pPr>
        <w:snapToGrid w:val="0"/>
        <w:spacing w:line="360" w:lineRule="auto"/>
        <w:ind w:firstLine="642" w:firstLineChars="200"/>
        <w:rPr>
          <w:rFonts w:hint="eastAsia" w:ascii="宋体" w:hAnsi="宋体"/>
          <w:b/>
          <w:bCs/>
          <w:color w:val="000000"/>
          <w:kern w:val="0"/>
          <w:sz w:val="32"/>
          <w:szCs w:val="32"/>
          <w:shd w:val="clear" w:color="auto" w:fill="FFFFFF"/>
          <w:lang w:val="zh-CN"/>
        </w:rPr>
      </w:pPr>
      <w:r>
        <w:rPr>
          <w:rFonts w:ascii="宋体" w:hAnsi="宋体"/>
          <w:b/>
          <w:bCs/>
          <w:color w:val="000000"/>
          <w:kern w:val="0"/>
          <w:sz w:val="32"/>
          <w:szCs w:val="32"/>
          <w:shd w:val="clear" w:color="auto" w:fill="FFFFFF"/>
          <w:lang w:val="zh-CN"/>
        </w:rPr>
        <w:t>（一）收入情况。</w:t>
      </w:r>
    </w:p>
    <w:p>
      <w:pPr>
        <w:widowControl/>
        <w:adjustRightInd w:val="0"/>
        <w:snapToGrid w:val="0"/>
        <w:spacing w:line="720" w:lineRule="exact"/>
        <w:ind w:firstLine="640" w:firstLineChars="200"/>
        <w:contextualSpacing/>
        <w:jc w:val="left"/>
        <w:rPr>
          <w:rFonts w:hint="eastAsia" w:ascii="仿宋_GB2312" w:hAnsi="仿宋_GB2312" w:eastAsia="仿宋_GB2312" w:cs="仿宋_GB2312"/>
          <w:sz w:val="32"/>
          <w:szCs w:val="32"/>
        </w:rPr>
      </w:pPr>
      <w:r>
        <w:rPr>
          <w:rFonts w:ascii="仿宋_GB2312" w:hAnsi="仿宋_GB2312" w:eastAsia="仿宋_GB2312" w:cs="仿宋_GB2312"/>
          <w:sz w:val="32"/>
          <w:szCs w:val="32"/>
        </w:rPr>
        <w:t>攀枝花市仁和区</w:t>
      </w:r>
      <w:r>
        <w:rPr>
          <w:rFonts w:hint="eastAsia" w:ascii="仿宋_GB2312" w:hAnsi="仿宋_GB2312" w:eastAsia="仿宋_GB2312" w:cs="仿宋_GB2312"/>
          <w:sz w:val="32"/>
          <w:szCs w:val="32"/>
        </w:rPr>
        <w:t>信访</w:t>
      </w:r>
      <w:r>
        <w:rPr>
          <w:rFonts w:ascii="仿宋_GB2312" w:hAnsi="仿宋_GB2312" w:eastAsia="仿宋_GB2312" w:cs="仿宋_GB2312"/>
          <w:sz w:val="32"/>
          <w:szCs w:val="32"/>
        </w:rPr>
        <w:t>局202</w:t>
      </w:r>
      <w:r>
        <w:rPr>
          <w:rFonts w:hint="eastAsia" w:ascii="仿宋_GB2312" w:hAnsi="仿宋_GB2312" w:eastAsia="仿宋_GB2312" w:cs="仿宋_GB2312"/>
          <w:sz w:val="32"/>
          <w:szCs w:val="32"/>
        </w:rPr>
        <w:t>5</w:t>
      </w:r>
      <w:r>
        <w:rPr>
          <w:rFonts w:ascii="仿宋_GB2312" w:hAnsi="仿宋_GB2312" w:eastAsia="仿宋_GB2312" w:cs="仿宋_GB2312"/>
          <w:sz w:val="32"/>
          <w:szCs w:val="32"/>
        </w:rPr>
        <w:t>年收入预算执行数</w:t>
      </w:r>
      <w:r>
        <w:rPr>
          <w:rFonts w:hint="eastAsia" w:ascii="仿宋_GB2312" w:hAnsi="仿宋_GB2312" w:eastAsia="仿宋_GB2312" w:cs="仿宋_GB2312"/>
          <w:sz w:val="32"/>
          <w:szCs w:val="32"/>
        </w:rPr>
        <w:t>369.44万</w:t>
      </w:r>
      <w:r>
        <w:rPr>
          <w:rFonts w:ascii="仿宋_GB2312" w:hAnsi="仿宋_GB2312" w:eastAsia="仿宋_GB2312" w:cs="仿宋_GB2312"/>
          <w:sz w:val="32"/>
          <w:szCs w:val="32"/>
        </w:rPr>
        <w:t>元</w:t>
      </w:r>
      <w:r>
        <w:rPr>
          <w:rFonts w:hint="eastAsia" w:ascii="仿宋_GB2312" w:hAnsi="仿宋_GB2312" w:eastAsia="仿宋_GB2312" w:cs="仿宋_GB2312"/>
          <w:sz w:val="32"/>
          <w:szCs w:val="32"/>
        </w:rPr>
        <w:t>，全部为</w:t>
      </w:r>
      <w:r>
        <w:rPr>
          <w:rFonts w:ascii="仿宋_GB2312" w:hAnsi="仿宋_GB2312" w:eastAsia="仿宋_GB2312" w:cs="仿宋_GB2312"/>
          <w:sz w:val="32"/>
          <w:szCs w:val="32"/>
        </w:rPr>
        <w:t>一般公共预算财政拨款收入，比上年</w:t>
      </w:r>
      <w:r>
        <w:rPr>
          <w:rFonts w:hint="eastAsia" w:ascii="仿宋_GB2312" w:hAnsi="仿宋_GB2312" w:eastAsia="仿宋_GB2312" w:cs="仿宋_GB2312"/>
          <w:sz w:val="32"/>
          <w:szCs w:val="32"/>
        </w:rPr>
        <w:t>增加40.56万</w:t>
      </w:r>
      <w:r>
        <w:rPr>
          <w:rFonts w:ascii="仿宋_GB2312" w:hAnsi="仿宋_GB2312" w:eastAsia="仿宋_GB2312" w:cs="仿宋_GB2312"/>
          <w:sz w:val="32"/>
          <w:szCs w:val="32"/>
        </w:rPr>
        <w:t>元，</w:t>
      </w:r>
      <w:r>
        <w:rPr>
          <w:rFonts w:hint="eastAsia" w:ascii="仿宋_GB2312" w:hAnsi="仿宋_GB2312" w:eastAsia="仿宋_GB2312" w:cs="仿宋_GB2312"/>
          <w:sz w:val="32"/>
          <w:szCs w:val="32"/>
        </w:rPr>
        <w:t>增加12.33%，主要为人员工资社保逐年递增及增加项目资金</w:t>
      </w:r>
      <w:r>
        <w:rPr>
          <w:rFonts w:ascii="仿宋_GB2312" w:hAnsi="仿宋_GB2312" w:eastAsia="仿宋_GB2312" w:cs="仿宋_GB2312"/>
          <w:sz w:val="32"/>
          <w:szCs w:val="32"/>
        </w:rPr>
        <w:t>。</w:t>
      </w:r>
    </w:p>
    <w:p>
      <w:pPr>
        <w:widowControl/>
        <w:adjustRightInd w:val="0"/>
        <w:snapToGrid w:val="0"/>
        <w:spacing w:line="578" w:lineRule="exact"/>
        <w:ind w:firstLine="642" w:firstLineChars="200"/>
        <w:contextualSpacing/>
        <w:jc w:val="left"/>
        <w:rPr>
          <w:rFonts w:hint="eastAsia" w:ascii="宋体" w:hAnsi="宋体"/>
          <w:b/>
          <w:bCs/>
          <w:color w:val="000000"/>
          <w:kern w:val="0"/>
          <w:sz w:val="32"/>
          <w:szCs w:val="32"/>
          <w:shd w:val="clear" w:color="auto" w:fill="FFFFFF"/>
          <w:lang w:val="zh-CN"/>
        </w:rPr>
      </w:pPr>
      <w:r>
        <w:rPr>
          <w:rFonts w:ascii="宋体" w:hAnsi="宋体"/>
          <w:b/>
          <w:bCs/>
          <w:color w:val="000000"/>
          <w:kern w:val="0"/>
          <w:sz w:val="32"/>
          <w:szCs w:val="32"/>
          <w:shd w:val="clear" w:color="auto" w:fill="FFFFFF"/>
          <w:lang w:val="zh-CN"/>
        </w:rPr>
        <w:t>（二）支出情况。</w:t>
      </w:r>
    </w:p>
    <w:p>
      <w:pPr>
        <w:widowControl/>
        <w:adjustRightInd w:val="0"/>
        <w:snapToGrid w:val="0"/>
        <w:spacing w:line="720" w:lineRule="exact"/>
        <w:ind w:firstLine="640" w:firstLineChars="200"/>
        <w:contextualSpacing/>
        <w:jc w:val="left"/>
        <w:rPr>
          <w:rFonts w:hint="eastAsia" w:ascii="仿宋_GB2312" w:hAnsi="仿宋_GB2312" w:eastAsia="仿宋_GB2312" w:cs="仿宋_GB2312"/>
          <w:sz w:val="32"/>
          <w:szCs w:val="32"/>
        </w:rPr>
      </w:pPr>
      <w:r>
        <w:rPr>
          <w:rFonts w:ascii="仿宋_GB2312" w:hAnsi="仿宋_GB2312" w:eastAsia="仿宋_GB2312" w:cs="仿宋_GB2312"/>
          <w:sz w:val="32"/>
          <w:szCs w:val="32"/>
        </w:rPr>
        <w:t>攀枝花市仁和区</w:t>
      </w:r>
      <w:r>
        <w:rPr>
          <w:rFonts w:hint="eastAsia" w:ascii="仿宋_GB2312" w:hAnsi="仿宋_GB2312" w:eastAsia="仿宋_GB2312" w:cs="仿宋_GB2312"/>
          <w:sz w:val="32"/>
          <w:szCs w:val="32"/>
        </w:rPr>
        <w:t>信访局</w:t>
      </w:r>
      <w:r>
        <w:rPr>
          <w:rFonts w:ascii="仿宋_GB2312" w:hAnsi="仿宋_GB2312" w:eastAsia="仿宋_GB2312" w:cs="仿宋_GB2312"/>
          <w:sz w:val="32"/>
          <w:szCs w:val="32"/>
        </w:rPr>
        <w:t>202</w:t>
      </w:r>
      <w:r>
        <w:rPr>
          <w:rFonts w:hint="eastAsia" w:ascii="仿宋_GB2312" w:hAnsi="仿宋_GB2312" w:eastAsia="仿宋_GB2312" w:cs="仿宋_GB2312"/>
          <w:sz w:val="32"/>
          <w:szCs w:val="32"/>
        </w:rPr>
        <w:t>5</w:t>
      </w:r>
      <w:r>
        <w:rPr>
          <w:rFonts w:ascii="仿宋_GB2312" w:hAnsi="仿宋_GB2312" w:eastAsia="仿宋_GB2312" w:cs="仿宋_GB2312"/>
          <w:sz w:val="32"/>
          <w:szCs w:val="32"/>
        </w:rPr>
        <w:t>年支出预算执行数</w:t>
      </w:r>
      <w:r>
        <w:rPr>
          <w:rFonts w:hint="eastAsia" w:ascii="仿宋_GB2312" w:hAnsi="仿宋_GB2312" w:eastAsia="仿宋_GB2312" w:cs="仿宋_GB2312"/>
          <w:sz w:val="32"/>
          <w:szCs w:val="32"/>
        </w:rPr>
        <w:t>328.88万元</w:t>
      </w:r>
      <w:r>
        <w:rPr>
          <w:rFonts w:ascii="仿宋_GB2312" w:hAnsi="仿宋_GB2312" w:eastAsia="仿宋_GB2312" w:cs="仿宋_GB2312"/>
          <w:sz w:val="32"/>
          <w:szCs w:val="32"/>
        </w:rPr>
        <w:t>元</w:t>
      </w:r>
      <w:r>
        <w:rPr>
          <w:rFonts w:hint="eastAsia" w:ascii="仿宋_GB2312" w:hAnsi="仿宋_GB2312" w:eastAsia="仿宋_GB2312" w:cs="仿宋_GB2312"/>
          <w:sz w:val="32"/>
          <w:szCs w:val="32"/>
        </w:rPr>
        <w:t>，其中：</w:t>
      </w:r>
      <w:r>
        <w:rPr>
          <w:rFonts w:ascii="仿宋_GB2312" w:hAnsi="仿宋_GB2312" w:eastAsia="仿宋_GB2312" w:cs="仿宋_GB2312"/>
          <w:sz w:val="32"/>
          <w:szCs w:val="32"/>
        </w:rPr>
        <w:t>基本支出</w:t>
      </w:r>
      <w:r>
        <w:rPr>
          <w:rFonts w:hint="eastAsia" w:ascii="仿宋_GB2312" w:hAnsi="仿宋_GB2312" w:eastAsia="仿宋_GB2312" w:cs="仿宋_GB2312"/>
          <w:sz w:val="32"/>
          <w:szCs w:val="32"/>
        </w:rPr>
        <w:t>239.02万</w:t>
      </w:r>
      <w:r>
        <w:rPr>
          <w:rFonts w:ascii="仿宋_GB2312" w:hAnsi="仿宋_GB2312" w:eastAsia="仿宋_GB2312" w:cs="仿宋_GB2312"/>
          <w:sz w:val="32"/>
          <w:szCs w:val="32"/>
        </w:rPr>
        <w:t>元、比上年</w:t>
      </w:r>
      <w:r>
        <w:rPr>
          <w:rFonts w:hint="eastAsia" w:ascii="仿宋_GB2312" w:hAnsi="仿宋_GB2312" w:eastAsia="仿宋_GB2312" w:cs="仿宋_GB2312"/>
          <w:sz w:val="32"/>
          <w:szCs w:val="32"/>
        </w:rPr>
        <w:t>增加18.75万</w:t>
      </w:r>
      <w:r>
        <w:rPr>
          <w:rFonts w:ascii="仿宋_GB2312" w:hAnsi="仿宋_GB2312" w:eastAsia="仿宋_GB2312" w:cs="仿宋_GB2312"/>
          <w:sz w:val="32"/>
          <w:szCs w:val="32"/>
        </w:rPr>
        <w:t>元，</w:t>
      </w:r>
      <w:r>
        <w:rPr>
          <w:rFonts w:hint="eastAsia" w:ascii="仿宋_GB2312" w:hAnsi="仿宋_GB2312" w:eastAsia="仿宋_GB2312" w:cs="仿宋_GB2312"/>
          <w:sz w:val="32"/>
          <w:szCs w:val="32"/>
        </w:rPr>
        <w:t>增加8.51%，</w:t>
      </w:r>
      <w:r>
        <w:rPr>
          <w:rFonts w:ascii="仿宋_GB2312" w:hAnsi="仿宋_GB2312" w:eastAsia="仿宋_GB2312" w:cs="仿宋_GB2312"/>
          <w:sz w:val="32"/>
          <w:szCs w:val="32"/>
        </w:rPr>
        <w:t>项目支出</w:t>
      </w:r>
      <w:r>
        <w:rPr>
          <w:rFonts w:hint="eastAsia" w:ascii="仿宋_GB2312" w:hAnsi="仿宋_GB2312" w:eastAsia="仿宋_GB2312" w:cs="仿宋_GB2312"/>
          <w:sz w:val="32"/>
          <w:szCs w:val="32"/>
        </w:rPr>
        <w:t>130.42万元</w:t>
      </w:r>
      <w:r>
        <w:rPr>
          <w:rFonts w:ascii="仿宋_GB2312" w:hAnsi="仿宋_GB2312" w:eastAsia="仿宋_GB2312" w:cs="仿宋_GB2312"/>
          <w:sz w:val="32"/>
          <w:szCs w:val="32"/>
        </w:rPr>
        <w:t>，比上年</w:t>
      </w:r>
      <w:r>
        <w:rPr>
          <w:rFonts w:hint="eastAsia" w:ascii="仿宋_GB2312" w:hAnsi="仿宋_GB2312" w:eastAsia="仿宋_GB2312" w:cs="仿宋_GB2312"/>
          <w:sz w:val="32"/>
          <w:szCs w:val="32"/>
        </w:rPr>
        <w:t>增加16.81万元</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增加14.80</w:t>
      </w:r>
      <w:r>
        <w:rPr>
          <w:rFonts w:ascii="仿宋_GB2312" w:hAnsi="仿宋_GB2312" w:eastAsia="仿宋_GB2312" w:cs="仿宋_GB2312"/>
          <w:sz w:val="32"/>
          <w:szCs w:val="32"/>
        </w:rPr>
        <w:t>%。</w:t>
      </w:r>
    </w:p>
    <w:p>
      <w:pPr>
        <w:widowControl/>
        <w:adjustRightInd w:val="0"/>
        <w:snapToGrid w:val="0"/>
        <w:spacing w:line="578" w:lineRule="exact"/>
        <w:ind w:firstLine="642" w:firstLineChars="200"/>
        <w:contextualSpacing/>
        <w:jc w:val="left"/>
        <w:rPr>
          <w:rFonts w:hint="eastAsia" w:ascii="仿宋_GB2312" w:hAnsi="仿宋_GB2312" w:eastAsia="仿宋_GB2312" w:cs="仿宋_GB2312"/>
          <w:sz w:val="32"/>
          <w:szCs w:val="32"/>
        </w:rPr>
      </w:pPr>
      <w:r>
        <w:rPr>
          <w:rFonts w:ascii="仿宋_GB2312" w:hAnsi="仿宋_GB2312" w:eastAsia="仿宋_GB2312" w:cs="仿宋_GB2312"/>
          <w:b/>
          <w:bCs/>
          <w:sz w:val="32"/>
          <w:szCs w:val="32"/>
        </w:rPr>
        <w:t>（三）结余分配和结转结余情况。</w:t>
      </w:r>
      <w:r>
        <w:rPr>
          <w:rFonts w:hint="eastAsia" w:ascii="仿宋_GB2312" w:hAnsi="仿宋_GB2312" w:eastAsia="仿宋_GB2312" w:cs="仿宋_GB2312"/>
          <w:sz w:val="32"/>
          <w:szCs w:val="32"/>
        </w:rPr>
        <w:t>仁和区信访局2025年无结转结余情况。</w:t>
      </w:r>
    </w:p>
    <w:p>
      <w:pPr>
        <w:widowControl/>
        <w:adjustRightInd w:val="0"/>
        <w:snapToGrid w:val="0"/>
        <w:spacing w:line="578" w:lineRule="exact"/>
        <w:ind w:firstLine="642" w:firstLineChars="200"/>
        <w:contextualSpacing/>
        <w:jc w:val="left"/>
        <w:rPr>
          <w:rFonts w:hint="eastAsia" w:ascii="仿宋_GB2312" w:hAnsi="仿宋_GB2312" w:eastAsia="仿宋_GB2312" w:cs="仿宋_GB2312"/>
          <w:b/>
          <w:bCs/>
          <w:sz w:val="32"/>
          <w:szCs w:val="32"/>
        </w:rPr>
      </w:pPr>
      <w:r>
        <w:rPr>
          <w:rFonts w:ascii="仿宋_GB2312" w:hAnsi="仿宋_GB2312" w:eastAsia="仿宋_GB2312" w:cs="仿宋_GB2312"/>
          <w:b/>
          <w:bCs/>
          <w:sz w:val="32"/>
          <w:szCs w:val="32"/>
        </w:rPr>
        <w:t>三、部门预算绩效分析</w:t>
      </w:r>
    </w:p>
    <w:p>
      <w:pPr>
        <w:adjustRightInd w:val="0"/>
        <w:snapToGrid w:val="0"/>
        <w:spacing w:line="578" w:lineRule="exact"/>
        <w:ind w:firstLine="642" w:firstLineChars="200"/>
        <w:contextualSpacing/>
        <w:jc w:val="left"/>
        <w:rPr>
          <w:rFonts w:hint="eastAsia" w:ascii="仿宋_GB2312" w:hAnsi="仿宋_GB2312" w:eastAsia="仿宋_GB2312" w:cs="仿宋_GB2312"/>
          <w:b/>
          <w:bCs/>
          <w:sz w:val="32"/>
          <w:szCs w:val="32"/>
        </w:rPr>
      </w:pPr>
      <w:r>
        <w:rPr>
          <w:rFonts w:ascii="仿宋_GB2312" w:hAnsi="仿宋_GB2312" w:eastAsia="仿宋_GB2312" w:cs="仿宋_GB2312"/>
          <w:b/>
          <w:bCs/>
          <w:sz w:val="32"/>
          <w:szCs w:val="32"/>
        </w:rPr>
        <w:t>（一）部门预算总体绩效分析。</w:t>
      </w:r>
    </w:p>
    <w:p>
      <w:pPr>
        <w:widowControl/>
        <w:adjustRightInd w:val="0"/>
        <w:snapToGrid w:val="0"/>
        <w:spacing w:line="720" w:lineRule="exact"/>
        <w:ind w:firstLine="640" w:firstLineChars="200"/>
        <w:contextualSpacing/>
        <w:jc w:val="left"/>
        <w:rPr>
          <w:rFonts w:hint="eastAsia" w:ascii="仿宋_GB2312" w:hAnsi="仿宋_GB2312" w:eastAsia="仿宋_GB2312" w:cs="仿宋_GB2312"/>
          <w:sz w:val="32"/>
          <w:szCs w:val="32"/>
        </w:rPr>
      </w:pPr>
      <w:r>
        <w:rPr>
          <w:rFonts w:ascii="仿宋_GB2312" w:hAnsi="仿宋_GB2312" w:eastAsia="仿宋_GB2312" w:cs="仿宋_GB2312"/>
          <w:sz w:val="32"/>
          <w:szCs w:val="32"/>
        </w:rPr>
        <w:t>1.履职效能。</w:t>
      </w:r>
    </w:p>
    <w:p>
      <w:pPr>
        <w:autoSpaceDE w:val="0"/>
        <w:autoSpaceDN w:val="0"/>
        <w:adjustRightInd w:val="0"/>
        <w:spacing w:line="600" w:lineRule="exact"/>
        <w:ind w:firstLine="640" w:firstLineChars="200"/>
        <w:jc w:val="left"/>
        <w:rPr>
          <w:rFonts w:hint="eastAsia" w:ascii="仿宋_GB2312" w:hAnsi="仿宋_GB2312" w:eastAsia="仿宋_GB2312" w:cs="仿宋_GB2312"/>
          <w:sz w:val="32"/>
          <w:szCs w:val="32"/>
        </w:rPr>
      </w:pPr>
      <w:r>
        <w:rPr>
          <w:rFonts w:ascii="仿宋_GB2312" w:hAnsi="仿宋_GB2312" w:eastAsia="仿宋_GB2312" w:cs="仿宋_GB2312"/>
          <w:sz w:val="32"/>
          <w:szCs w:val="32"/>
        </w:rPr>
        <w:t>一是完成在职人员1</w:t>
      </w:r>
      <w:r>
        <w:rPr>
          <w:rFonts w:hint="eastAsia" w:ascii="仿宋_GB2312" w:hAnsi="仿宋_GB2312" w:eastAsia="仿宋_GB2312" w:cs="仿宋_GB2312"/>
          <w:sz w:val="32"/>
          <w:szCs w:val="32"/>
        </w:rPr>
        <w:t>1</w:t>
      </w:r>
      <w:r>
        <w:rPr>
          <w:rFonts w:ascii="仿宋_GB2312" w:hAnsi="仿宋_GB2312" w:eastAsia="仿宋_GB2312" w:cs="仿宋_GB2312"/>
          <w:sz w:val="32"/>
          <w:szCs w:val="32"/>
        </w:rPr>
        <w:t>人，退休人员</w:t>
      </w:r>
      <w:r>
        <w:rPr>
          <w:rFonts w:hint="eastAsia" w:ascii="仿宋_GB2312" w:hAnsi="仿宋_GB2312" w:eastAsia="仿宋_GB2312" w:cs="仿宋_GB2312"/>
          <w:sz w:val="32"/>
          <w:szCs w:val="32"/>
        </w:rPr>
        <w:t>2</w:t>
      </w:r>
      <w:r>
        <w:rPr>
          <w:rFonts w:ascii="仿宋_GB2312" w:hAnsi="仿宋_GB2312" w:eastAsia="仿宋_GB2312" w:cs="仿宋_GB2312"/>
          <w:sz w:val="32"/>
          <w:szCs w:val="32"/>
        </w:rPr>
        <w:t>人的正常人员经费支付，保障正常工作秩序。二是完成办公场所正常公用经费支付工作，保障在职人员1</w:t>
      </w:r>
      <w:r>
        <w:rPr>
          <w:rFonts w:hint="eastAsia" w:ascii="仿宋_GB2312" w:hAnsi="仿宋_GB2312" w:eastAsia="仿宋_GB2312" w:cs="仿宋_GB2312"/>
          <w:sz w:val="32"/>
          <w:szCs w:val="32"/>
        </w:rPr>
        <w:t>1</w:t>
      </w:r>
      <w:r>
        <w:rPr>
          <w:rFonts w:ascii="仿宋_GB2312" w:hAnsi="仿宋_GB2312" w:eastAsia="仿宋_GB2312" w:cs="仿宋_GB2312"/>
          <w:sz w:val="32"/>
          <w:szCs w:val="32"/>
        </w:rPr>
        <w:t>人正常办公秩序。三是保障202</w:t>
      </w:r>
      <w:r>
        <w:rPr>
          <w:rFonts w:hint="eastAsia" w:ascii="仿宋_GB2312" w:hAnsi="仿宋_GB2312" w:eastAsia="仿宋_GB2312" w:cs="仿宋_GB2312"/>
          <w:sz w:val="32"/>
          <w:szCs w:val="32"/>
        </w:rPr>
        <w:t>5</w:t>
      </w:r>
      <w:r>
        <w:rPr>
          <w:rFonts w:ascii="仿宋_GB2312" w:hAnsi="仿宋_GB2312" w:eastAsia="仿宋_GB2312" w:cs="仿宋_GB2312"/>
          <w:sz w:val="32"/>
          <w:szCs w:val="32"/>
        </w:rPr>
        <w:t>年仁和区矛盾纠纷排查化解、维稳、信访、驻京驻蓉轮流值班、法律顾问、治重化积信访事项化解等工作正常开展。四是完成202</w:t>
      </w:r>
      <w:r>
        <w:rPr>
          <w:rFonts w:hint="eastAsia" w:ascii="仿宋_GB2312" w:hAnsi="仿宋_GB2312" w:eastAsia="仿宋_GB2312" w:cs="仿宋_GB2312"/>
          <w:sz w:val="32"/>
          <w:szCs w:val="32"/>
        </w:rPr>
        <w:t>5</w:t>
      </w:r>
      <w:r>
        <w:rPr>
          <w:rFonts w:ascii="仿宋_GB2312" w:hAnsi="仿宋_GB2312" w:eastAsia="仿宋_GB2312" w:cs="仿宋_GB2312"/>
          <w:sz w:val="32"/>
          <w:szCs w:val="32"/>
        </w:rPr>
        <w:t>年度仁和区疑难信访案件的化解保障工作。五是完成202</w:t>
      </w:r>
      <w:r>
        <w:rPr>
          <w:rFonts w:hint="eastAsia" w:ascii="仿宋_GB2312" w:hAnsi="仿宋_GB2312" w:eastAsia="仿宋_GB2312" w:cs="仿宋_GB2312"/>
          <w:sz w:val="32"/>
          <w:szCs w:val="32"/>
        </w:rPr>
        <w:t>5</w:t>
      </w:r>
      <w:r>
        <w:rPr>
          <w:rFonts w:ascii="仿宋_GB2312" w:hAnsi="仿宋_GB2312" w:eastAsia="仿宋_GB2312" w:cs="仿宋_GB2312"/>
          <w:sz w:val="32"/>
          <w:szCs w:val="32"/>
        </w:rPr>
        <w:t>年仁和区群众意见受理中心工作正常开展。以上项目按进度均在202</w:t>
      </w:r>
      <w:r>
        <w:rPr>
          <w:rFonts w:hint="eastAsia" w:ascii="仿宋_GB2312" w:hAnsi="仿宋_GB2312" w:eastAsia="仿宋_GB2312" w:cs="仿宋_GB2312"/>
          <w:sz w:val="32"/>
          <w:szCs w:val="32"/>
        </w:rPr>
        <w:t>5</w:t>
      </w:r>
      <w:r>
        <w:rPr>
          <w:rFonts w:ascii="仿宋_GB2312" w:hAnsi="仿宋_GB2312" w:eastAsia="仿宋_GB2312" w:cs="仿宋_GB2312"/>
          <w:sz w:val="32"/>
          <w:szCs w:val="32"/>
        </w:rPr>
        <w:t>年完成实施，年终项目实施进度100%，成本指标</w:t>
      </w:r>
      <w:r>
        <w:rPr>
          <w:rFonts w:hint="eastAsia" w:ascii="仿宋_GB2312" w:hAnsi="仿宋_GB2312" w:eastAsia="仿宋_GB2312" w:cs="仿宋_GB2312"/>
          <w:sz w:val="32"/>
          <w:szCs w:val="32"/>
        </w:rPr>
        <w:t>369.44</w:t>
      </w:r>
      <w:r>
        <w:rPr>
          <w:rFonts w:ascii="仿宋_GB2312" w:hAnsi="仿宋_GB2312" w:eastAsia="仿宋_GB2312" w:cs="仿宋_GB2312"/>
          <w:sz w:val="32"/>
          <w:szCs w:val="32"/>
        </w:rPr>
        <w:t>万元，实际支出经费</w:t>
      </w:r>
      <w:r>
        <w:rPr>
          <w:rFonts w:hint="eastAsia" w:ascii="仿宋_GB2312" w:hAnsi="仿宋_GB2312" w:eastAsia="仿宋_GB2312" w:cs="仿宋_GB2312"/>
          <w:sz w:val="32"/>
          <w:szCs w:val="32"/>
        </w:rPr>
        <w:t>369.44</w:t>
      </w:r>
      <w:r>
        <w:rPr>
          <w:rFonts w:ascii="仿宋_GB2312" w:hAnsi="仿宋_GB2312" w:eastAsia="仿宋_GB2312" w:cs="仿宋_GB2312"/>
          <w:sz w:val="32"/>
          <w:szCs w:val="32"/>
        </w:rPr>
        <w:t>万元。</w:t>
      </w:r>
    </w:p>
    <w:p>
      <w:pPr>
        <w:autoSpaceDE w:val="0"/>
        <w:autoSpaceDN w:val="0"/>
        <w:adjustRightInd w:val="0"/>
        <w:spacing w:line="600" w:lineRule="exact"/>
        <w:ind w:firstLine="640" w:firstLineChars="200"/>
        <w:jc w:val="left"/>
        <w:rPr>
          <w:rFonts w:hint="eastAsia" w:ascii="仿宋_GB2312" w:hAnsi="仿宋_GB2312" w:eastAsia="仿宋_GB2312" w:cs="仿宋_GB2312"/>
          <w:sz w:val="32"/>
          <w:szCs w:val="32"/>
        </w:rPr>
      </w:pPr>
      <w:r>
        <w:rPr>
          <w:rFonts w:ascii="仿宋_GB2312" w:hAnsi="仿宋_GB2312" w:eastAsia="仿宋_GB2312" w:cs="仿宋_GB2312"/>
          <w:sz w:val="32"/>
          <w:szCs w:val="32"/>
        </w:rPr>
        <w:t>2.预算管理。</w:t>
      </w:r>
      <w:r>
        <w:rPr>
          <w:rFonts w:hint="eastAsia" w:ascii="仿宋_GB2312" w:hAnsi="仿宋_GB2312" w:eastAsia="仿宋_GB2312" w:cs="仿宋_GB2312"/>
          <w:sz w:val="32"/>
          <w:szCs w:val="32"/>
        </w:rPr>
        <w:t>严格按照财政部门的要求，科学编制年度预算，确保预算的合理性和可执行性。因财政资金调度困难，本年预算资金执行进度滞后，年终整体预算无结转结余。部门严控“三公”经费、会议、培训、差旅、办公设备购置、信息网络及软件购置更新、课题经费等一般性支出，推动预算与绩效挂钩，确保资金使用效益最大化。</w:t>
      </w:r>
    </w:p>
    <w:p>
      <w:pPr>
        <w:autoSpaceDE w:val="0"/>
        <w:autoSpaceDN w:val="0"/>
        <w:adjustRightInd w:val="0"/>
        <w:spacing w:line="600" w:lineRule="exact"/>
        <w:ind w:firstLine="640" w:firstLineChars="200"/>
        <w:jc w:val="left"/>
        <w:rPr>
          <w:rFonts w:hint="eastAsia" w:ascii="仿宋_GB2312" w:hAnsi="仿宋_GB2312" w:eastAsia="仿宋_GB2312" w:cs="仿宋_GB2312"/>
          <w:sz w:val="32"/>
          <w:szCs w:val="32"/>
        </w:rPr>
      </w:pPr>
      <w:r>
        <w:rPr>
          <w:rFonts w:ascii="仿宋_GB2312" w:hAnsi="仿宋_GB2312" w:eastAsia="仿宋_GB2312" w:cs="仿宋_GB2312"/>
          <w:sz w:val="32"/>
          <w:szCs w:val="32"/>
        </w:rPr>
        <w:t>3.财务管理。</w:t>
      </w:r>
      <w:r>
        <w:rPr>
          <w:rFonts w:hint="eastAsia" w:ascii="仿宋_GB2312" w:hAnsi="仿宋_GB2312" w:eastAsia="仿宋_GB2312" w:cs="仿宋_GB2312"/>
          <w:sz w:val="32"/>
          <w:szCs w:val="32"/>
        </w:rPr>
        <w:t>本单位建立健全财务管理制度，并按相关要求进行落实。财务岗位设置合理，明确职责权限。部门资金使用符合财务管理制度规定。</w:t>
      </w:r>
    </w:p>
    <w:p>
      <w:pPr>
        <w:autoSpaceDE w:val="0"/>
        <w:autoSpaceDN w:val="0"/>
        <w:adjustRightInd w:val="0"/>
        <w:spacing w:line="600" w:lineRule="exact"/>
        <w:ind w:firstLine="640" w:firstLineChars="200"/>
        <w:jc w:val="left"/>
        <w:rPr>
          <w:rFonts w:hint="eastAsia" w:ascii="仿宋_GB2312" w:hAnsi="仿宋_GB2312" w:eastAsia="仿宋_GB2312" w:cs="仿宋_GB2312"/>
          <w:sz w:val="32"/>
          <w:szCs w:val="32"/>
        </w:rPr>
      </w:pPr>
      <w:r>
        <w:rPr>
          <w:rFonts w:ascii="仿宋_GB2312" w:hAnsi="仿宋_GB2312" w:eastAsia="仿宋_GB2312" w:cs="仿宋_GB2312"/>
          <w:sz w:val="32"/>
          <w:szCs w:val="32"/>
        </w:rPr>
        <w:t>4.资产管理。</w:t>
      </w:r>
      <w:r>
        <w:rPr>
          <w:rFonts w:hint="eastAsia" w:ascii="仿宋_GB2312" w:hAnsi="仿宋_GB2312" w:eastAsia="仿宋_GB2312" w:cs="仿宋_GB2312"/>
          <w:sz w:val="32"/>
          <w:szCs w:val="32"/>
        </w:rPr>
        <w:t>根据相关要求定期进行盘点与资产清理，总体资产管理情况较完善，资产使用率较高。</w:t>
      </w:r>
    </w:p>
    <w:p>
      <w:pPr>
        <w:autoSpaceDE w:val="0"/>
        <w:autoSpaceDN w:val="0"/>
        <w:adjustRightInd w:val="0"/>
        <w:spacing w:line="600" w:lineRule="exact"/>
        <w:ind w:firstLine="640" w:firstLineChars="200"/>
        <w:jc w:val="left"/>
        <w:rPr>
          <w:rFonts w:hint="eastAsia" w:ascii="仿宋_GB2312" w:hAnsi="仿宋_GB2312" w:eastAsia="仿宋_GB2312" w:cs="仿宋_GB2312"/>
          <w:sz w:val="32"/>
          <w:szCs w:val="32"/>
        </w:rPr>
      </w:pPr>
      <w:r>
        <w:rPr>
          <w:rFonts w:ascii="仿宋_GB2312" w:hAnsi="仿宋_GB2312" w:eastAsia="仿宋_GB2312" w:cs="仿宋_GB2312"/>
          <w:sz w:val="32"/>
          <w:szCs w:val="32"/>
        </w:rPr>
        <w:t>5.采购管理。严格执行政府采购，并按照政府采购规定进行框架协议采购及项目采购。</w:t>
      </w:r>
    </w:p>
    <w:p>
      <w:pPr>
        <w:widowControl/>
        <w:adjustRightInd w:val="0"/>
        <w:snapToGrid w:val="0"/>
        <w:spacing w:line="578" w:lineRule="exact"/>
        <w:ind w:firstLine="642" w:firstLineChars="200"/>
        <w:contextualSpacing/>
        <w:jc w:val="left"/>
        <w:rPr>
          <w:rFonts w:hint="eastAsia" w:ascii="宋体" w:hAnsi="宋体"/>
          <w:color w:val="000000"/>
          <w:kern w:val="0"/>
          <w:sz w:val="32"/>
          <w:szCs w:val="32"/>
          <w:shd w:val="clear" w:color="auto" w:fill="FFFFFF"/>
        </w:rPr>
      </w:pPr>
      <w:r>
        <w:rPr>
          <w:rFonts w:ascii="宋体" w:hAnsi="宋体"/>
          <w:b/>
          <w:bCs/>
          <w:color w:val="000000"/>
          <w:kern w:val="0"/>
          <w:sz w:val="32"/>
          <w:szCs w:val="32"/>
          <w:shd w:val="clear" w:color="auto" w:fill="FFFFFF"/>
          <w:lang w:val="zh-CN"/>
        </w:rPr>
        <w:t>（二）部门预算项目绩效分析。</w:t>
      </w:r>
    </w:p>
    <w:p>
      <w:pPr>
        <w:autoSpaceDE w:val="0"/>
        <w:autoSpaceDN w:val="0"/>
        <w:adjustRightInd w:val="0"/>
        <w:spacing w:line="600" w:lineRule="exact"/>
        <w:ind w:firstLine="642"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常年项目绩效分析。</w:t>
      </w:r>
      <w:r>
        <w:rPr>
          <w:rFonts w:hint="eastAsia" w:ascii="仿宋_GB2312" w:hAnsi="仿宋_GB2312" w:eastAsia="仿宋_GB2312" w:cs="仿宋_GB2312"/>
          <w:sz w:val="32"/>
          <w:szCs w:val="32"/>
        </w:rPr>
        <w:t>该类项目总数5个，分别是“创建全国文明城市专项补助资金</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仁和区群众意见受理中心项目经费</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仁和区矛盾纠纷排查化解、维稳、信访事项专项经费</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和</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驻京驻蓉值班值守工作经费</w:t>
      </w:r>
      <w:r>
        <w:rPr>
          <w:rFonts w:ascii="仿宋_GB2312" w:hAnsi="仿宋_GB2312" w:eastAsia="仿宋_GB2312" w:cs="仿宋_GB2312"/>
          <w:sz w:val="32"/>
          <w:szCs w:val="32"/>
        </w:rPr>
        <w:t>” 和“</w:t>
      </w:r>
      <w:r>
        <w:rPr>
          <w:rFonts w:hint="eastAsia" w:ascii="仿宋_GB2312" w:hAnsi="仿宋_GB2312" w:eastAsia="仿宋_GB2312" w:cs="仿宋_GB2312"/>
          <w:sz w:val="32"/>
          <w:szCs w:val="32"/>
        </w:rPr>
        <w:t>解决特殊疑难信访问题中央补助资金</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，涉及预算总金额136.94万元，实际支付130.42万元1</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12月预算执行总体进度为100 %。</w:t>
      </w:r>
    </w:p>
    <w:p>
      <w:pPr>
        <w:adjustRightInd w:val="0"/>
        <w:snapToGrid w:val="0"/>
        <w:spacing w:line="578" w:lineRule="exact"/>
        <w:ind w:firstLine="642" w:firstLineChars="200"/>
        <w:contextualSpacing/>
        <w:jc w:val="left"/>
        <w:rPr>
          <w:rFonts w:hint="eastAsia" w:ascii="仿宋_GB2312" w:hAnsi="仿宋_GB2312" w:eastAsia="仿宋_GB2312" w:cs="仿宋_GB2312"/>
          <w:sz w:val="32"/>
          <w:szCs w:val="32"/>
        </w:rPr>
      </w:pPr>
      <w:r>
        <w:rPr>
          <w:rFonts w:hint="eastAsia" w:ascii="宋体" w:hAnsi="宋体" w:cs="___WRD_EMBED_SUB_1368"/>
          <w:b/>
          <w:bCs/>
          <w:kern w:val="0"/>
          <w:sz w:val="32"/>
          <w:szCs w:val="32"/>
          <w:shd w:val="clear" w:color="auto" w:fill="FFFFFF"/>
          <w:lang w:val="zh-CN"/>
        </w:rPr>
        <w:t>阶段项目绩效分析</w:t>
      </w:r>
      <w:r>
        <w:rPr>
          <w:rFonts w:hint="eastAsia" w:ascii="宋体" w:hAnsi="宋体" w:cs="___WRD_EMBED_SUB_1368"/>
          <w:kern w:val="0"/>
          <w:sz w:val="32"/>
          <w:szCs w:val="32"/>
          <w:shd w:val="clear" w:color="auto" w:fill="FFFFFF"/>
          <w:lang w:val="zh-CN"/>
        </w:rPr>
        <w:t>。</w:t>
      </w:r>
      <w:bookmarkStart w:id="50" w:name="OLE_LINK4"/>
      <w:r>
        <w:rPr>
          <w:rFonts w:hint="eastAsia" w:ascii="仿宋_GB2312" w:hAnsi="仿宋_GB2312" w:eastAsia="仿宋_GB2312" w:cs="仿宋_GB2312"/>
          <w:sz w:val="32"/>
          <w:szCs w:val="32"/>
        </w:rPr>
        <w:t>该类项目总数2个，为</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解决特殊疑难信访问题中央补助资金</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项目，涉及预算总金额12.50万元，实际支付12.17万元，2025年1-12月预算执行总体进度执行率为97.36%；</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创建全国文明城市专项补助资金</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项目，涉及预算总金额6.08万元，实际支付6.08万元，2025年1-12月预算执行总体进度执行率为100%。</w:t>
      </w:r>
    </w:p>
    <w:bookmarkEnd w:id="50"/>
    <w:p>
      <w:pPr>
        <w:adjustRightInd w:val="0"/>
        <w:snapToGrid w:val="0"/>
        <w:spacing w:line="578" w:lineRule="exact"/>
        <w:ind w:firstLine="642" w:firstLineChars="200"/>
        <w:contextualSpacing/>
        <w:jc w:val="left"/>
        <w:rPr>
          <w:rFonts w:hint="eastAsia" w:ascii="仿宋_GB2312" w:hAnsi="仿宋_GB2312" w:eastAsia="仿宋_GB2312" w:cs="仿宋_GB2312"/>
          <w:sz w:val="32"/>
          <w:szCs w:val="32"/>
        </w:rPr>
      </w:pPr>
      <w:r>
        <w:rPr>
          <w:rFonts w:ascii="宋体" w:hAnsi="宋体"/>
          <w:b/>
          <w:bCs/>
          <w:kern w:val="0"/>
          <w:sz w:val="32"/>
          <w:szCs w:val="32"/>
          <w:shd w:val="clear" w:color="auto" w:fill="FFFFFF"/>
        </w:rPr>
        <w:t>1.</w:t>
      </w:r>
      <w:r>
        <w:rPr>
          <w:rFonts w:ascii="宋体" w:hAnsi="宋体"/>
          <w:b/>
          <w:bCs/>
          <w:kern w:val="0"/>
          <w:sz w:val="32"/>
          <w:szCs w:val="32"/>
          <w:shd w:val="clear" w:color="auto" w:fill="FFFFFF"/>
          <w:lang w:val="zh-CN"/>
        </w:rPr>
        <w:t>项目决策</w:t>
      </w:r>
      <w:r>
        <w:rPr>
          <w:rFonts w:ascii="宋体" w:hAnsi="宋体"/>
          <w:kern w:val="0"/>
          <w:sz w:val="32"/>
          <w:szCs w:val="32"/>
          <w:shd w:val="clear" w:color="auto" w:fill="FFFFFF"/>
          <w:lang w:val="zh-CN"/>
        </w:rPr>
        <w:t>。</w:t>
      </w:r>
      <w:r>
        <w:rPr>
          <w:rFonts w:hint="eastAsia" w:ascii="仿宋_GB2312" w:hAnsi="仿宋_GB2312" w:eastAsia="仿宋_GB2312" w:cs="仿宋_GB2312"/>
          <w:sz w:val="32"/>
          <w:szCs w:val="32"/>
        </w:rPr>
        <w:t>2025年仁和区信访局部门预算项目根据信访工作需要以及相关文件精神进行了评估论证，按程序逐一进行申报。部门预算项目绩效目标与计划期内的任务量、预算安排的资金量相匹配，绩效目标设置科学合理、规范完整、量化细化，并在规定时间内完成项目入库。</w:t>
      </w:r>
    </w:p>
    <w:p>
      <w:pPr>
        <w:adjustRightInd w:val="0"/>
        <w:snapToGrid w:val="0"/>
        <w:spacing w:line="578" w:lineRule="exact"/>
        <w:ind w:firstLine="642" w:firstLineChars="200"/>
        <w:contextualSpacing/>
        <w:jc w:val="left"/>
        <w:rPr>
          <w:rFonts w:hint="eastAsia" w:ascii="宋体" w:hAnsi="宋体"/>
          <w:kern w:val="0"/>
          <w:szCs w:val="32"/>
          <w:lang w:val="zh-CN"/>
        </w:rPr>
      </w:pPr>
      <w:r>
        <w:rPr>
          <w:rFonts w:ascii="宋体" w:hAnsi="宋体"/>
          <w:b/>
          <w:bCs/>
          <w:kern w:val="0"/>
          <w:sz w:val="32"/>
          <w:szCs w:val="32"/>
          <w:shd w:val="clear" w:color="auto" w:fill="FFFFFF"/>
        </w:rPr>
        <w:t>2.项目执行</w:t>
      </w:r>
      <w:r>
        <w:rPr>
          <w:rFonts w:ascii="宋体" w:hAnsi="宋体"/>
          <w:kern w:val="0"/>
          <w:sz w:val="32"/>
          <w:szCs w:val="32"/>
          <w:shd w:val="clear" w:color="auto" w:fill="FFFFFF"/>
          <w:lang w:val="zh-CN"/>
        </w:rPr>
        <w:t>。</w:t>
      </w:r>
      <w:r>
        <w:rPr>
          <w:rFonts w:hint="eastAsia" w:ascii="仿宋_GB2312" w:hAnsi="仿宋_GB2312" w:eastAsia="仿宋_GB2312" w:cs="仿宋_GB2312"/>
          <w:sz w:val="32"/>
          <w:szCs w:val="32"/>
        </w:rPr>
        <w:t>2025年仁和区信访局部门预算项目实际列支内容与绩效目标设置方向相符。因财政资金调度困难，部门预算执行进度稍滞后。</w:t>
      </w:r>
    </w:p>
    <w:p>
      <w:pPr>
        <w:adjustRightInd w:val="0"/>
        <w:snapToGrid w:val="0"/>
        <w:spacing w:line="578" w:lineRule="exact"/>
        <w:ind w:firstLine="642" w:firstLineChars="200"/>
        <w:contextualSpacing/>
        <w:jc w:val="left"/>
        <w:rPr>
          <w:rFonts w:hint="eastAsia" w:ascii="仿宋_GB2312" w:hAnsi="仿宋_GB2312" w:eastAsia="仿宋_GB2312" w:cs="仿宋_GB2312"/>
          <w:sz w:val="32"/>
          <w:szCs w:val="32"/>
        </w:rPr>
      </w:pPr>
      <w:r>
        <w:rPr>
          <w:rFonts w:ascii="宋体" w:hAnsi="宋体"/>
          <w:b/>
          <w:bCs/>
          <w:kern w:val="0"/>
          <w:sz w:val="32"/>
          <w:szCs w:val="32"/>
          <w:shd w:val="clear" w:color="auto" w:fill="FFFFFF"/>
        </w:rPr>
        <w:t>3.</w:t>
      </w:r>
      <w:r>
        <w:rPr>
          <w:rFonts w:ascii="宋体" w:hAnsi="宋体"/>
          <w:b/>
          <w:bCs/>
          <w:kern w:val="0"/>
          <w:sz w:val="32"/>
          <w:szCs w:val="32"/>
          <w:shd w:val="clear" w:color="auto" w:fill="FFFFFF"/>
          <w:lang w:val="zh-CN"/>
        </w:rPr>
        <w:t>目标实现</w:t>
      </w:r>
      <w:r>
        <w:rPr>
          <w:rFonts w:ascii="宋体" w:hAnsi="宋体"/>
          <w:kern w:val="0"/>
          <w:sz w:val="32"/>
          <w:szCs w:val="32"/>
          <w:shd w:val="clear" w:color="auto" w:fill="FFFFFF"/>
          <w:lang w:val="zh-CN"/>
        </w:rPr>
        <w:t>。</w:t>
      </w:r>
      <w:r>
        <w:rPr>
          <w:rFonts w:hint="eastAsia" w:ascii="仿宋_GB2312" w:hAnsi="仿宋_GB2312" w:eastAsia="仿宋_GB2312" w:cs="仿宋_GB2312"/>
          <w:sz w:val="32"/>
          <w:szCs w:val="32"/>
        </w:rPr>
        <w:t>2025年仁和区信访局部门预算项目绩效目标数量指标均已完成，已达到预期目标。</w:t>
      </w:r>
    </w:p>
    <w:p>
      <w:pPr>
        <w:snapToGrid w:val="0"/>
        <w:spacing w:line="360" w:lineRule="auto"/>
        <w:ind w:firstLine="642" w:firstLineChars="200"/>
        <w:rPr>
          <w:rFonts w:hint="eastAsia" w:ascii="仿宋_GB2312" w:hAnsi="仿宋_GB2312" w:eastAsia="仿宋_GB2312" w:cs="仿宋_GB2312"/>
          <w:sz w:val="32"/>
          <w:szCs w:val="32"/>
        </w:rPr>
      </w:pPr>
      <w:r>
        <w:rPr>
          <w:rFonts w:ascii="宋体" w:hAnsi="宋体"/>
          <w:b/>
          <w:bCs/>
          <w:color w:val="000000"/>
          <w:kern w:val="0"/>
          <w:sz w:val="32"/>
          <w:szCs w:val="32"/>
          <w:shd w:val="clear" w:color="auto" w:fill="FFFFFF"/>
          <w:lang w:val="zh-CN"/>
        </w:rPr>
        <w:t>（三）</w:t>
      </w:r>
      <w:r>
        <w:rPr>
          <w:rFonts w:ascii="宋体" w:hAnsi="宋体"/>
          <w:b/>
          <w:bCs/>
          <w:sz w:val="32"/>
          <w:szCs w:val="32"/>
          <w:lang w:val="zh-CN"/>
        </w:rPr>
        <w:t>绩效结果应用情况。</w:t>
      </w:r>
      <w:r>
        <w:rPr>
          <w:rFonts w:hint="eastAsia" w:ascii="仿宋_GB2312" w:hAnsi="仿宋_GB2312" w:eastAsia="仿宋_GB2312" w:cs="仿宋_GB2312"/>
          <w:sz w:val="32"/>
          <w:szCs w:val="32"/>
        </w:rPr>
        <w:t>仁和区信访局2025年度预算资金按规定用途使用，不存在违规支出、截留挪用等情况。2025年度预算根据区财政的要求在仁和区政府门户网站上进行公开公示。</w:t>
      </w:r>
    </w:p>
    <w:p>
      <w:pPr>
        <w:widowControl/>
        <w:adjustRightInd w:val="0"/>
        <w:snapToGrid w:val="0"/>
        <w:spacing w:line="578" w:lineRule="exact"/>
        <w:ind w:firstLine="642" w:firstLineChars="200"/>
        <w:contextualSpacing/>
        <w:jc w:val="left"/>
        <w:rPr>
          <w:rFonts w:hint="eastAsia" w:ascii="宋体" w:hAnsi="宋体"/>
          <w:b/>
          <w:bCs/>
          <w:color w:val="000000"/>
          <w:kern w:val="0"/>
          <w:sz w:val="32"/>
          <w:szCs w:val="32"/>
          <w:shd w:val="clear" w:color="auto" w:fill="FFFFFF"/>
        </w:rPr>
      </w:pPr>
      <w:r>
        <w:rPr>
          <w:rFonts w:ascii="宋体" w:hAnsi="宋体"/>
          <w:b/>
          <w:bCs/>
          <w:color w:val="000000"/>
          <w:kern w:val="0"/>
          <w:sz w:val="32"/>
          <w:szCs w:val="32"/>
          <w:shd w:val="clear" w:color="auto" w:fill="FFFFFF"/>
        </w:rPr>
        <w:t>四、评价结论及建议</w:t>
      </w:r>
    </w:p>
    <w:p>
      <w:pPr>
        <w:snapToGrid w:val="0"/>
        <w:spacing w:line="360" w:lineRule="auto"/>
        <w:ind w:firstLine="642" w:firstLineChars="200"/>
        <w:rPr>
          <w:rFonts w:hint="eastAsia" w:ascii="宋体" w:hAnsi="宋体" w:cs="方正仿宋_GBK"/>
          <w:kern w:val="0"/>
          <w:szCs w:val="32"/>
        </w:rPr>
      </w:pPr>
      <w:r>
        <w:rPr>
          <w:rFonts w:ascii="宋体" w:hAnsi="宋体"/>
          <w:b/>
          <w:bCs/>
          <w:color w:val="000000"/>
          <w:kern w:val="0"/>
          <w:sz w:val="32"/>
          <w:szCs w:val="32"/>
          <w:shd w:val="clear" w:color="auto" w:fill="FFFFFF"/>
          <w:lang w:val="zh-CN"/>
        </w:rPr>
        <w:t>（一）评价结论。</w:t>
      </w:r>
      <w:r>
        <w:rPr>
          <w:rFonts w:hint="eastAsia" w:ascii="仿宋_GB2312" w:hAnsi="仿宋_GB2312" w:eastAsia="仿宋_GB2312" w:cs="仿宋_GB2312"/>
          <w:sz w:val="32"/>
          <w:szCs w:val="32"/>
        </w:rPr>
        <w:t>仁和区信访局</w:t>
      </w:r>
      <w:r>
        <w:rPr>
          <w:rFonts w:ascii="仿宋_GB2312" w:hAnsi="仿宋_GB2312" w:eastAsia="仿宋_GB2312" w:cs="仿宋_GB2312"/>
          <w:sz w:val="32"/>
          <w:szCs w:val="32"/>
        </w:rPr>
        <w:t>202</w:t>
      </w:r>
      <w:r>
        <w:rPr>
          <w:rFonts w:hint="eastAsia" w:ascii="仿宋_GB2312" w:hAnsi="仿宋_GB2312" w:eastAsia="仿宋_GB2312" w:cs="仿宋_GB2312"/>
          <w:sz w:val="32"/>
          <w:szCs w:val="32"/>
        </w:rPr>
        <w:t>5</w:t>
      </w:r>
      <w:r>
        <w:rPr>
          <w:rFonts w:ascii="仿宋_GB2312" w:hAnsi="仿宋_GB2312" w:eastAsia="仿宋_GB2312" w:cs="仿宋_GB2312"/>
          <w:sz w:val="32"/>
          <w:szCs w:val="32"/>
        </w:rPr>
        <w:t>年度</w:t>
      </w:r>
      <w:r>
        <w:rPr>
          <w:rFonts w:hint="eastAsia" w:ascii="仿宋_GB2312" w:hAnsi="仿宋_GB2312" w:eastAsia="仿宋_GB2312" w:cs="仿宋_GB2312"/>
          <w:sz w:val="32"/>
          <w:szCs w:val="32"/>
        </w:rPr>
        <w:t>我单位</w:t>
      </w:r>
      <w:r>
        <w:rPr>
          <w:rFonts w:ascii="仿宋_GB2312" w:hAnsi="仿宋_GB2312" w:eastAsia="仿宋_GB2312" w:cs="仿宋_GB2312"/>
          <w:sz w:val="32"/>
          <w:szCs w:val="32"/>
        </w:rPr>
        <w:t>部门整体绩效目标编制完整、合理，项目绩效目标编制明确、量化。部门预算费用按照相关要求执行，存在资金支</w:t>
      </w:r>
      <w:r>
        <w:rPr>
          <w:rFonts w:hint="eastAsia" w:ascii="仿宋_GB2312" w:hAnsi="仿宋_GB2312" w:eastAsia="仿宋_GB2312" w:cs="仿宋_GB2312"/>
          <w:sz w:val="32"/>
          <w:szCs w:val="32"/>
        </w:rPr>
        <w:t>付进度未达</w:t>
      </w:r>
      <w:r>
        <w:rPr>
          <w:rFonts w:ascii="仿宋_GB2312" w:hAnsi="仿宋_GB2312" w:eastAsia="仿宋_GB2312" w:cs="仿宋_GB2312"/>
          <w:sz w:val="32"/>
          <w:szCs w:val="32"/>
        </w:rPr>
        <w:t>100%的情况，</w:t>
      </w:r>
      <w:r>
        <w:rPr>
          <w:rFonts w:hint="eastAsia" w:ascii="仿宋_GB2312" w:hAnsi="仿宋_GB2312" w:eastAsia="仿宋_GB2312" w:cs="仿宋_GB2312"/>
          <w:sz w:val="32"/>
          <w:szCs w:val="32"/>
        </w:rPr>
        <w:t>但预算执行情况整体良好，自评得分95</w:t>
      </w:r>
      <w:r>
        <w:rPr>
          <w:rFonts w:ascii="仿宋_GB2312" w:hAnsi="仿宋_GB2312" w:eastAsia="仿宋_GB2312" w:cs="仿宋_GB2312"/>
          <w:sz w:val="32"/>
          <w:szCs w:val="32"/>
        </w:rPr>
        <w:t>分。</w:t>
      </w:r>
    </w:p>
    <w:p>
      <w:pPr>
        <w:ind w:firstLine="642" w:firstLineChars="200"/>
        <w:rPr>
          <w:rFonts w:hint="eastAsia" w:ascii="仿宋_GB2312" w:hAnsi="仿宋_GB2312" w:eastAsia="仿宋_GB2312" w:cs="仿宋_GB2312"/>
          <w:sz w:val="32"/>
          <w:szCs w:val="32"/>
        </w:rPr>
      </w:pPr>
      <w:r>
        <w:rPr>
          <w:rFonts w:ascii="仿宋_GB2312" w:hAnsi="仿宋_GB2312" w:eastAsia="仿宋_GB2312" w:cs="仿宋_GB2312"/>
          <w:b/>
          <w:bCs/>
          <w:sz w:val="32"/>
          <w:szCs w:val="32"/>
        </w:rPr>
        <w:t>（二）存在问题。</w:t>
      </w:r>
      <w:r>
        <w:rPr>
          <w:rFonts w:hint="eastAsia" w:ascii="仿宋_GB2312" w:hAnsi="仿宋_GB2312" w:eastAsia="仿宋_GB2312" w:cs="仿宋_GB2312"/>
          <w:sz w:val="32"/>
          <w:szCs w:val="32"/>
        </w:rPr>
        <w:t>2025年度预算绩效存在的主要问题是财政资金调度困难，预算执行进度滞后，资金使用效率低；尤其</w:t>
      </w:r>
      <w:r>
        <w:rPr>
          <w:rFonts w:ascii="仿宋_GB2312" w:hAnsi="仿宋_GB2312" w:eastAsia="仿宋_GB2312" w:cs="仿宋_GB2312"/>
          <w:sz w:val="32"/>
          <w:szCs w:val="32"/>
        </w:rPr>
        <w:t>对专项资金支付延迟，影响了后期工作开展</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.对“绩效评价指标体系”理解还不够深刻、准确。</w:t>
      </w:r>
    </w:p>
    <w:p>
      <w:pPr>
        <w:ind w:firstLine="642" w:firstLineChars="200"/>
        <w:rPr>
          <w:rFonts w:hint="eastAsia" w:ascii="仿宋_GB2312" w:hAnsi="仿宋_GB2312" w:eastAsia="仿宋_GB2312" w:cs="仿宋_GB2312"/>
          <w:sz w:val="32"/>
          <w:szCs w:val="32"/>
        </w:rPr>
      </w:pPr>
      <w:r>
        <w:rPr>
          <w:rFonts w:ascii="仿宋_GB2312" w:hAnsi="仿宋_GB2312" w:eastAsia="仿宋_GB2312" w:cs="仿宋_GB2312"/>
          <w:b/>
          <w:bCs/>
          <w:sz w:val="32"/>
          <w:szCs w:val="32"/>
        </w:rPr>
        <w:t>（三）改进建议。</w:t>
      </w:r>
      <w:bookmarkStart w:id="51" w:name="_Hlk110546638"/>
      <w:r>
        <w:rPr>
          <w:rFonts w:hint="eastAsia" w:ascii="仿宋_GB2312" w:hAnsi="仿宋_GB2312" w:eastAsia="仿宋_GB2312" w:cs="仿宋_GB2312"/>
          <w:sz w:val="32"/>
          <w:szCs w:val="32"/>
        </w:rPr>
        <w:t>一是优化预算编制，加强项目可行性研究，提高预算精准度；二是强化过程管理，建立预算执行动态监控机制，定期开展绩效跟踪；三是完善绩效指标体系，即结合业务特点，细化量化指标，增强可操作性；四是加强人员业务培训，进一步完善内控制度等；五是</w:t>
      </w:r>
      <w:r>
        <w:rPr>
          <w:rFonts w:ascii="仿宋_GB2312" w:hAnsi="仿宋_GB2312" w:eastAsia="仿宋_GB2312" w:cs="仿宋_GB2312"/>
          <w:sz w:val="32"/>
          <w:szCs w:val="32"/>
        </w:rPr>
        <w:t>认真学习“整体支出绩效评价指标体系”内容，提高自评准确率。</w:t>
      </w:r>
    </w:p>
    <w:bookmarkEnd w:id="51"/>
    <w:p>
      <w:pPr>
        <w:spacing w:line="578" w:lineRule="exact"/>
        <w:contextualSpacing/>
        <w:rPr>
          <w:rFonts w:hint="eastAsia" w:ascii="仿宋_GB2312" w:hAnsi="仿宋_GB2312" w:eastAsia="仿宋_GB2312" w:cs="仿宋_GB2312"/>
          <w:sz w:val="32"/>
          <w:szCs w:val="32"/>
        </w:rPr>
      </w:pPr>
    </w:p>
    <w:p>
      <w:pPr>
        <w:widowControl/>
        <w:adjustRightInd w:val="0"/>
        <w:snapToGrid w:val="0"/>
        <w:spacing w:line="578" w:lineRule="exact"/>
        <w:ind w:firstLine="640" w:firstLineChars="200"/>
        <w:contextualSpacing/>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附表：1.部门预算绩效自评打分表</w:t>
      </w:r>
    </w:p>
    <w:p>
      <w:pPr>
        <w:widowControl/>
        <w:adjustRightInd w:val="0"/>
        <w:snapToGrid w:val="0"/>
        <w:spacing w:line="578" w:lineRule="exact"/>
        <w:ind w:firstLine="1600" w:firstLineChars="500"/>
        <w:contextualSpacing/>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2.部门整体绩效目标完成情况自评表</w:t>
      </w:r>
    </w:p>
    <w:p>
      <w:pPr>
        <w:pStyle w:val="17"/>
        <w:ind w:firstLine="640"/>
        <w:rPr>
          <w:rFonts w:hint="eastAsia" w:ascii="宋体" w:hAnsi="宋体"/>
          <w:sz w:val="32"/>
          <w:szCs w:val="32"/>
        </w:rPr>
      </w:pPr>
    </w:p>
    <w:p>
      <w:pPr>
        <w:pStyle w:val="17"/>
        <w:ind w:firstLine="640"/>
        <w:rPr>
          <w:rFonts w:hint="eastAsia" w:ascii="宋体" w:hAnsi="宋体" w:cs="宋体"/>
          <w:b/>
          <w:bCs/>
          <w:sz w:val="32"/>
          <w:szCs w:val="32"/>
        </w:rPr>
      </w:pPr>
      <w:r>
        <w:rPr>
          <w:rFonts w:hint="eastAsia" w:ascii="宋体" w:hAnsi="宋体"/>
          <w:sz w:val="32"/>
          <w:szCs w:val="32"/>
        </w:rPr>
        <w:t xml:space="preserve">                        </w:t>
      </w:r>
    </w:p>
    <w:p>
      <w:pPr>
        <w:spacing w:line="578" w:lineRule="exact"/>
        <w:jc w:val="left"/>
        <w:rPr>
          <w:rFonts w:eastAsia="黑体"/>
        </w:rPr>
      </w:pPr>
      <w:r>
        <w:rPr>
          <w:color w:val="000000"/>
          <w:kern w:val="0"/>
          <w:szCs w:val="32"/>
          <w:shd w:val="clear" w:color="auto" w:fill="FFFFFF"/>
        </w:rPr>
        <w:br w:type="page"/>
      </w:r>
      <w:r>
        <w:rPr>
          <w:rFonts w:eastAsia="黑体"/>
        </w:rPr>
        <w:t>附表</w:t>
      </w:r>
      <w:r>
        <w:rPr>
          <w:rFonts w:hint="eastAsia" w:eastAsia="黑体"/>
        </w:rPr>
        <w:t>1</w:t>
      </w:r>
    </w:p>
    <w:p>
      <w:pPr>
        <w:widowControl/>
        <w:spacing w:line="600" w:lineRule="exact"/>
        <w:jc w:val="center"/>
        <w:textAlignment w:val="center"/>
        <w:rPr>
          <w:rFonts w:eastAsia="方正小标宋简体"/>
          <w:color w:val="000000"/>
          <w:kern w:val="0"/>
          <w:sz w:val="44"/>
          <w:szCs w:val="44"/>
        </w:rPr>
      </w:pPr>
      <w:r>
        <w:rPr>
          <w:rFonts w:hint="eastAsia" w:eastAsia="方正小标宋简体"/>
          <w:color w:val="000000"/>
          <w:kern w:val="0"/>
          <w:sz w:val="44"/>
          <w:szCs w:val="44"/>
        </w:rPr>
        <w:t>部门预算绩效自评打分表</w:t>
      </w:r>
    </w:p>
    <w:tbl>
      <w:tblPr>
        <w:tblStyle w:val="18"/>
        <w:tblW w:w="10819" w:type="dxa"/>
        <w:jc w:val="center"/>
        <w:tblLayout w:type="fixed"/>
        <w:tblCellMar>
          <w:top w:w="0" w:type="dxa"/>
          <w:left w:w="108" w:type="dxa"/>
          <w:bottom w:w="0" w:type="dxa"/>
          <w:right w:w="108" w:type="dxa"/>
        </w:tblCellMar>
      </w:tblPr>
      <w:tblGrid>
        <w:gridCol w:w="1004"/>
        <w:gridCol w:w="1462"/>
        <w:gridCol w:w="1665"/>
        <w:gridCol w:w="720"/>
        <w:gridCol w:w="4734"/>
        <w:gridCol w:w="756"/>
        <w:gridCol w:w="478"/>
      </w:tblGrid>
      <w:tr>
        <w:tblPrEx>
          <w:tblCellMar>
            <w:top w:w="0" w:type="dxa"/>
            <w:left w:w="108" w:type="dxa"/>
            <w:bottom w:w="0" w:type="dxa"/>
            <w:right w:w="108" w:type="dxa"/>
          </w:tblCellMar>
        </w:tblPrEx>
        <w:trPr>
          <w:trHeight w:val="23" w:hRule="atLeast"/>
          <w:jc w:val="center"/>
        </w:trPr>
        <w:tc>
          <w:tcPr>
            <w:tcW w:w="4851" w:type="dxa"/>
            <w:gridSpan w:val="4"/>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黑体" w:eastAsia="黑体" w:cs="黑体"/>
                <w:color w:val="000000"/>
                <w:sz w:val="24"/>
              </w:rPr>
            </w:pPr>
            <w:r>
              <w:rPr>
                <w:rFonts w:hint="eastAsia" w:ascii="黑体" w:eastAsia="黑体" w:cs="黑体"/>
                <w:color w:val="000000"/>
                <w:kern w:val="0"/>
                <w:sz w:val="24"/>
              </w:rPr>
              <w:t>绩效评价指标指标分值</w:t>
            </w:r>
          </w:p>
        </w:tc>
        <w:tc>
          <w:tcPr>
            <w:tcW w:w="4734"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黑体" w:eastAsia="黑体" w:cs="黑体"/>
                <w:color w:val="000000"/>
                <w:sz w:val="24"/>
              </w:rPr>
            </w:pPr>
            <w:r>
              <w:rPr>
                <w:rFonts w:hint="eastAsia" w:ascii="黑体" w:eastAsia="黑体" w:cs="黑体"/>
                <w:color w:val="000000"/>
                <w:kern w:val="0"/>
                <w:sz w:val="24"/>
              </w:rPr>
              <w:t>指标解释</w:t>
            </w:r>
          </w:p>
        </w:tc>
        <w:tc>
          <w:tcPr>
            <w:tcW w:w="756" w:type="dxa"/>
            <w:vMerge w:val="restart"/>
            <w:tcBorders>
              <w:top w:val="single" w:color="000000" w:sz="4" w:space="0"/>
              <w:left w:val="single" w:color="000000" w:sz="4" w:space="0"/>
              <w:right w:val="single" w:color="000000" w:sz="4" w:space="0"/>
            </w:tcBorders>
            <w:vAlign w:val="center"/>
          </w:tcPr>
          <w:p>
            <w:pPr>
              <w:widowControl/>
              <w:spacing w:line="240" w:lineRule="exact"/>
              <w:jc w:val="center"/>
              <w:textAlignment w:val="center"/>
              <w:rPr>
                <w:rFonts w:ascii="黑体" w:eastAsia="黑体" w:cs="黑体"/>
                <w:color w:val="000000"/>
                <w:kern w:val="0"/>
                <w:sz w:val="24"/>
              </w:rPr>
            </w:pPr>
            <w:r>
              <w:rPr>
                <w:rFonts w:hint="eastAsia" w:ascii="黑体" w:eastAsia="黑体" w:cs="黑体"/>
                <w:color w:val="000000"/>
                <w:kern w:val="0"/>
                <w:sz w:val="24"/>
              </w:rPr>
              <w:t>自评得分</w:t>
            </w:r>
          </w:p>
        </w:tc>
        <w:tc>
          <w:tcPr>
            <w:tcW w:w="478" w:type="dxa"/>
            <w:vMerge w:val="restart"/>
            <w:tcBorders>
              <w:top w:val="single" w:color="000000" w:sz="4" w:space="0"/>
              <w:left w:val="single" w:color="000000" w:sz="4" w:space="0"/>
              <w:right w:val="single" w:color="000000" w:sz="4" w:space="0"/>
            </w:tcBorders>
            <w:vAlign w:val="center"/>
          </w:tcPr>
          <w:p>
            <w:pPr>
              <w:widowControl/>
              <w:spacing w:line="240" w:lineRule="exact"/>
              <w:jc w:val="center"/>
              <w:textAlignment w:val="center"/>
              <w:rPr>
                <w:rFonts w:ascii="黑体" w:eastAsia="黑体" w:cs="黑体"/>
                <w:color w:val="000000"/>
                <w:kern w:val="0"/>
                <w:sz w:val="24"/>
              </w:rPr>
            </w:pPr>
            <w:r>
              <w:rPr>
                <w:rFonts w:hint="eastAsia" w:ascii="黑体" w:eastAsia="黑体" w:cs="黑体"/>
                <w:color w:val="000000"/>
                <w:kern w:val="0"/>
                <w:sz w:val="24"/>
              </w:rPr>
              <w:t>备注</w:t>
            </w:r>
          </w:p>
        </w:tc>
      </w:tr>
      <w:tr>
        <w:tblPrEx>
          <w:tblCellMar>
            <w:top w:w="0" w:type="dxa"/>
            <w:left w:w="108" w:type="dxa"/>
            <w:bottom w:w="0" w:type="dxa"/>
            <w:right w:w="108" w:type="dxa"/>
          </w:tblCellMar>
        </w:tblPrEx>
        <w:trPr>
          <w:trHeight w:val="23" w:hRule="atLeast"/>
          <w:jc w:val="center"/>
        </w:trPr>
        <w:tc>
          <w:tcPr>
            <w:tcW w:w="1004" w:type="dxa"/>
            <w:tcBorders>
              <w:top w:val="single" w:color="000000" w:sz="4" w:space="0"/>
              <w:left w:val="single" w:color="000000" w:sz="4" w:space="0"/>
              <w:bottom w:val="single" w:color="000000" w:sz="4" w:space="0"/>
              <w:right w:val="nil"/>
            </w:tcBorders>
            <w:vAlign w:val="center"/>
          </w:tcPr>
          <w:p>
            <w:pPr>
              <w:widowControl/>
              <w:spacing w:line="240" w:lineRule="exact"/>
              <w:jc w:val="center"/>
              <w:textAlignment w:val="center"/>
              <w:rPr>
                <w:rFonts w:ascii="黑体" w:eastAsia="黑体" w:cs="黑体"/>
                <w:color w:val="000000"/>
                <w:sz w:val="24"/>
              </w:rPr>
            </w:pPr>
            <w:r>
              <w:rPr>
                <w:rFonts w:hint="eastAsia" w:ascii="黑体" w:eastAsia="黑体" w:cs="黑体"/>
                <w:color w:val="000000"/>
                <w:kern w:val="0"/>
                <w:sz w:val="24"/>
              </w:rPr>
              <w:t>一级指标</w:t>
            </w:r>
          </w:p>
        </w:tc>
        <w:tc>
          <w:tcPr>
            <w:tcW w:w="146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黑体" w:eastAsia="黑体" w:cs="黑体"/>
                <w:color w:val="000000"/>
                <w:sz w:val="24"/>
              </w:rPr>
            </w:pPr>
            <w:r>
              <w:rPr>
                <w:rFonts w:hint="eastAsia" w:ascii="黑体" w:eastAsia="黑体" w:cs="黑体"/>
                <w:color w:val="000000"/>
                <w:kern w:val="0"/>
                <w:sz w:val="24"/>
              </w:rPr>
              <w:t>二级指标</w:t>
            </w:r>
          </w:p>
        </w:tc>
        <w:tc>
          <w:tcPr>
            <w:tcW w:w="166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黑体" w:eastAsia="黑体" w:cs="黑体"/>
                <w:color w:val="000000"/>
                <w:sz w:val="24"/>
              </w:rPr>
            </w:pPr>
            <w:r>
              <w:rPr>
                <w:rFonts w:hint="eastAsia" w:ascii="黑体" w:eastAsia="黑体" w:cs="黑体"/>
                <w:color w:val="000000"/>
                <w:kern w:val="0"/>
                <w:sz w:val="24"/>
              </w:rPr>
              <w:t>三级指标</w:t>
            </w:r>
          </w:p>
        </w:tc>
        <w:tc>
          <w:tcPr>
            <w:tcW w:w="72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黑体" w:eastAsia="黑体" w:cs="黑体"/>
                <w:color w:val="000000"/>
                <w:sz w:val="24"/>
              </w:rPr>
            </w:pPr>
            <w:r>
              <w:rPr>
                <w:rFonts w:hint="eastAsia" w:ascii="黑体" w:eastAsia="黑体" w:cs="黑体"/>
                <w:color w:val="000000"/>
                <w:kern w:val="0"/>
                <w:sz w:val="24"/>
              </w:rPr>
              <w:t>指标</w:t>
            </w:r>
            <w:r>
              <w:rPr>
                <w:rFonts w:hint="eastAsia" w:ascii="黑体" w:eastAsia="黑体" w:cs="黑体"/>
                <w:color w:val="000000"/>
                <w:kern w:val="0"/>
                <w:sz w:val="24"/>
              </w:rPr>
              <w:br w:type="textWrapping"/>
            </w:r>
            <w:r>
              <w:rPr>
                <w:rFonts w:hint="eastAsia" w:ascii="黑体" w:eastAsia="黑体" w:cs="黑体"/>
                <w:color w:val="000000"/>
                <w:kern w:val="0"/>
                <w:sz w:val="24"/>
              </w:rPr>
              <w:t>分值</w:t>
            </w:r>
          </w:p>
        </w:tc>
        <w:tc>
          <w:tcPr>
            <w:tcW w:w="4734" w:type="dxa"/>
            <w:vMerge w:val="continue"/>
            <w:tcBorders>
              <w:top w:val="single" w:color="000000" w:sz="4" w:space="0"/>
              <w:left w:val="single" w:color="000000" w:sz="4" w:space="0"/>
              <w:bottom w:val="single" w:color="000000" w:sz="4" w:space="0"/>
              <w:right w:val="single" w:color="000000" w:sz="4" w:space="0"/>
            </w:tcBorders>
            <w:vAlign w:val="center"/>
          </w:tcPr>
          <w:p/>
        </w:tc>
        <w:tc>
          <w:tcPr>
            <w:tcW w:w="756" w:type="dxa"/>
            <w:vMerge w:val="continue"/>
            <w:tcBorders>
              <w:left w:val="single" w:color="000000" w:sz="4" w:space="0"/>
              <w:bottom w:val="single" w:color="000000" w:sz="4" w:space="0"/>
              <w:right w:val="single" w:color="000000" w:sz="4" w:space="0"/>
            </w:tcBorders>
            <w:vAlign w:val="center"/>
          </w:tcPr>
          <w:p/>
        </w:tc>
        <w:tc>
          <w:tcPr>
            <w:tcW w:w="478" w:type="dxa"/>
            <w:vMerge w:val="continue"/>
            <w:tcBorders>
              <w:left w:val="single" w:color="000000" w:sz="4" w:space="0"/>
              <w:bottom w:val="single" w:color="000000" w:sz="4" w:space="0"/>
              <w:right w:val="single" w:color="000000" w:sz="4" w:space="0"/>
            </w:tcBorders>
            <w:vAlign w:val="center"/>
          </w:tcPr>
          <w:p/>
        </w:tc>
      </w:tr>
      <w:tr>
        <w:tblPrEx>
          <w:tblCellMar>
            <w:top w:w="0" w:type="dxa"/>
            <w:left w:w="108" w:type="dxa"/>
            <w:bottom w:w="0" w:type="dxa"/>
            <w:right w:w="108" w:type="dxa"/>
          </w:tblCellMar>
        </w:tblPrEx>
        <w:trPr>
          <w:trHeight w:val="23" w:hRule="atLeast"/>
          <w:jc w:val="center"/>
        </w:trPr>
        <w:tc>
          <w:tcPr>
            <w:tcW w:w="1004"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cs="宋体"/>
                <w:b/>
                <w:color w:val="000000"/>
                <w:sz w:val="24"/>
              </w:rPr>
            </w:pPr>
            <w:r>
              <w:rPr>
                <w:rFonts w:hint="eastAsia" w:ascii="宋体" w:cs="宋体"/>
                <w:b/>
                <w:color w:val="000000"/>
                <w:kern w:val="0"/>
                <w:sz w:val="24"/>
              </w:rPr>
              <w:t>总体绩效</w:t>
            </w:r>
            <w:r>
              <w:rPr>
                <w:rFonts w:hint="eastAsia" w:ascii="宋体" w:cs="宋体"/>
                <w:b/>
                <w:color w:val="000000"/>
                <w:kern w:val="0"/>
                <w:sz w:val="24"/>
              </w:rPr>
              <w:br w:type="textWrapping"/>
            </w:r>
            <w:r>
              <w:rPr>
                <w:rFonts w:hint="eastAsia" w:ascii="宋体" w:cs="宋体"/>
                <w:b/>
                <w:color w:val="000000"/>
                <w:kern w:val="0"/>
                <w:sz w:val="24"/>
              </w:rPr>
              <w:t>（65分）</w:t>
            </w:r>
          </w:p>
        </w:tc>
        <w:tc>
          <w:tcPr>
            <w:tcW w:w="146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cs="宋体"/>
                <w:b/>
                <w:color w:val="000000"/>
                <w:sz w:val="24"/>
              </w:rPr>
            </w:pPr>
            <w:r>
              <w:rPr>
                <w:rFonts w:hint="eastAsia" w:ascii="宋体" w:cs="宋体"/>
                <w:b/>
                <w:color w:val="000000"/>
                <w:kern w:val="0"/>
                <w:sz w:val="24"/>
              </w:rPr>
              <w:t>履职效能</w:t>
            </w:r>
            <w:r>
              <w:rPr>
                <w:rFonts w:hint="eastAsia" w:ascii="宋体" w:cs="宋体"/>
                <w:b/>
                <w:color w:val="000000"/>
                <w:kern w:val="0"/>
                <w:sz w:val="24"/>
              </w:rPr>
              <w:br w:type="textWrapping"/>
            </w:r>
            <w:r>
              <w:rPr>
                <w:rFonts w:hint="eastAsia" w:ascii="宋体" w:cs="宋体"/>
                <w:b/>
                <w:color w:val="000000"/>
                <w:kern w:val="0"/>
                <w:sz w:val="24"/>
              </w:rPr>
              <w:t>（15分）</w:t>
            </w:r>
          </w:p>
        </w:tc>
        <w:tc>
          <w:tcPr>
            <w:tcW w:w="166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textAlignment w:val="center"/>
              <w:rPr>
                <w:rFonts w:ascii="宋体" w:cs="宋体"/>
                <w:color w:val="000000"/>
                <w:sz w:val="24"/>
              </w:rPr>
            </w:pPr>
            <w:r>
              <w:rPr>
                <w:rFonts w:hint="eastAsia" w:ascii="宋体" w:cs="宋体"/>
                <w:color w:val="000000"/>
                <w:kern w:val="0"/>
                <w:sz w:val="24"/>
              </w:rPr>
              <w:t>履职效果</w:t>
            </w:r>
          </w:p>
        </w:tc>
        <w:tc>
          <w:tcPr>
            <w:tcW w:w="720" w:type="dxa"/>
            <w:tcBorders>
              <w:top w:val="nil"/>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15</w:t>
            </w:r>
          </w:p>
        </w:tc>
        <w:tc>
          <w:tcPr>
            <w:tcW w:w="473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left"/>
              <w:textAlignment w:val="center"/>
              <w:rPr>
                <w:rFonts w:ascii="宋体" w:cs="宋体"/>
                <w:color w:val="000000"/>
                <w:sz w:val="24"/>
              </w:rPr>
            </w:pPr>
            <w:r>
              <w:rPr>
                <w:rFonts w:ascii="宋体" w:cs="宋体"/>
                <w:color w:val="000000"/>
                <w:sz w:val="24"/>
              </w:rPr>
              <w:t>部门整体绩效目标中选定3-5个核心职能目标，反映该项职能目标完成效果情况，请将xx履职效果改成核心职能目标。</w:t>
            </w:r>
          </w:p>
        </w:tc>
        <w:tc>
          <w:tcPr>
            <w:tcW w:w="756"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left"/>
              <w:textAlignment w:val="center"/>
              <w:rPr>
                <w:rFonts w:ascii="宋体" w:cs="宋体"/>
                <w:color w:val="000000"/>
                <w:kern w:val="0"/>
                <w:sz w:val="24"/>
              </w:rPr>
            </w:pPr>
            <w:r>
              <w:rPr>
                <w:rFonts w:hint="eastAsia" w:ascii="宋体" w:cs="宋体"/>
                <w:color w:val="000000"/>
                <w:kern w:val="0"/>
                <w:sz w:val="24"/>
              </w:rPr>
              <w:t>15</w:t>
            </w:r>
          </w:p>
        </w:tc>
        <w:tc>
          <w:tcPr>
            <w:tcW w:w="47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left"/>
              <w:textAlignment w:val="center"/>
              <w:rPr>
                <w:rFonts w:ascii="宋体" w:cs="宋体"/>
                <w:color w:val="000000"/>
                <w:kern w:val="0"/>
                <w:sz w:val="24"/>
              </w:rPr>
            </w:pPr>
          </w:p>
        </w:tc>
      </w:tr>
      <w:tr>
        <w:tblPrEx>
          <w:tblCellMar>
            <w:top w:w="0" w:type="dxa"/>
            <w:left w:w="108" w:type="dxa"/>
            <w:bottom w:w="0" w:type="dxa"/>
            <w:right w:w="108" w:type="dxa"/>
          </w:tblCellMar>
        </w:tblPrEx>
        <w:trPr>
          <w:trHeight w:val="469"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vAlign w:val="center"/>
          </w:tcPr>
          <w:p/>
        </w:tc>
        <w:tc>
          <w:tcPr>
            <w:tcW w:w="1462"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cs="宋体"/>
                <w:b/>
                <w:color w:val="000000"/>
                <w:sz w:val="24"/>
              </w:rPr>
            </w:pPr>
            <w:r>
              <w:rPr>
                <w:rFonts w:hint="eastAsia" w:ascii="宋体" w:cs="宋体"/>
                <w:b/>
                <w:color w:val="000000"/>
                <w:kern w:val="0"/>
                <w:sz w:val="24"/>
              </w:rPr>
              <w:t>预算管理</w:t>
            </w:r>
            <w:r>
              <w:rPr>
                <w:rFonts w:hint="eastAsia" w:ascii="宋体" w:cs="宋体"/>
                <w:b/>
                <w:color w:val="000000"/>
                <w:kern w:val="0"/>
                <w:sz w:val="24"/>
              </w:rPr>
              <w:br w:type="textWrapping"/>
            </w:r>
            <w:r>
              <w:rPr>
                <w:rFonts w:hint="eastAsia" w:ascii="宋体" w:cs="宋体"/>
                <w:b/>
                <w:color w:val="000000"/>
                <w:kern w:val="0"/>
                <w:sz w:val="24"/>
              </w:rPr>
              <w:t>（25分）</w:t>
            </w:r>
          </w:p>
        </w:tc>
        <w:tc>
          <w:tcPr>
            <w:tcW w:w="166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预算编制质量</w:t>
            </w:r>
          </w:p>
        </w:tc>
        <w:tc>
          <w:tcPr>
            <w:tcW w:w="72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8</w:t>
            </w:r>
          </w:p>
        </w:tc>
        <w:tc>
          <w:tcPr>
            <w:tcW w:w="473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部门是否严格按要求编制年初部门预算，年初预算编制的科学性和准确性</w:t>
            </w:r>
          </w:p>
        </w:tc>
        <w:tc>
          <w:tcPr>
            <w:tcW w:w="756"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left"/>
              <w:textAlignment w:val="center"/>
              <w:rPr>
                <w:rFonts w:ascii="宋体" w:cs="宋体"/>
                <w:color w:val="000000"/>
                <w:kern w:val="0"/>
                <w:sz w:val="24"/>
              </w:rPr>
            </w:pPr>
            <w:r>
              <w:rPr>
                <w:rFonts w:hint="eastAsia" w:ascii="宋体" w:cs="宋体"/>
                <w:color w:val="000000"/>
                <w:kern w:val="0"/>
                <w:sz w:val="24"/>
              </w:rPr>
              <w:t>8</w:t>
            </w:r>
          </w:p>
        </w:tc>
        <w:tc>
          <w:tcPr>
            <w:tcW w:w="47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left"/>
              <w:textAlignment w:val="center"/>
              <w:rPr>
                <w:rFonts w:ascii="宋体" w:cs="宋体"/>
                <w:color w:val="000000"/>
                <w:kern w:val="0"/>
                <w:sz w:val="24"/>
              </w:rPr>
            </w:pPr>
          </w:p>
        </w:tc>
      </w:tr>
      <w:tr>
        <w:tblPrEx>
          <w:tblCellMar>
            <w:top w:w="0" w:type="dxa"/>
            <w:left w:w="108" w:type="dxa"/>
            <w:bottom w:w="0" w:type="dxa"/>
            <w:right w:w="108" w:type="dxa"/>
          </w:tblCellMar>
        </w:tblPrEx>
        <w:trPr>
          <w:trHeight w:val="401"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vAlign w:val="center"/>
          </w:tcPr>
          <w:p/>
        </w:tc>
        <w:tc>
          <w:tcPr>
            <w:tcW w:w="1462" w:type="dxa"/>
            <w:vMerge w:val="continue"/>
            <w:tcBorders>
              <w:top w:val="single" w:color="000000" w:sz="4" w:space="0"/>
              <w:left w:val="single" w:color="000000" w:sz="4" w:space="0"/>
              <w:bottom w:val="single" w:color="000000" w:sz="4" w:space="0"/>
              <w:right w:val="single" w:color="000000" w:sz="4" w:space="0"/>
            </w:tcBorders>
            <w:vAlign w:val="center"/>
          </w:tcPr>
          <w:p/>
        </w:tc>
        <w:tc>
          <w:tcPr>
            <w:tcW w:w="166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支出执行进度</w:t>
            </w:r>
          </w:p>
        </w:tc>
        <w:tc>
          <w:tcPr>
            <w:tcW w:w="72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6</w:t>
            </w:r>
          </w:p>
        </w:tc>
        <w:tc>
          <w:tcPr>
            <w:tcW w:w="473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部门1至6月、1至10月预算执行情况</w:t>
            </w:r>
          </w:p>
        </w:tc>
        <w:tc>
          <w:tcPr>
            <w:tcW w:w="756"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left"/>
              <w:textAlignment w:val="center"/>
              <w:rPr>
                <w:rFonts w:ascii="宋体" w:cs="宋体"/>
                <w:color w:val="000000"/>
                <w:kern w:val="0"/>
                <w:sz w:val="24"/>
              </w:rPr>
            </w:pPr>
            <w:r>
              <w:rPr>
                <w:rFonts w:hint="eastAsia" w:ascii="宋体" w:cs="宋体"/>
                <w:color w:val="000000"/>
                <w:kern w:val="0"/>
                <w:sz w:val="24"/>
              </w:rPr>
              <w:t>4</w:t>
            </w:r>
          </w:p>
        </w:tc>
        <w:tc>
          <w:tcPr>
            <w:tcW w:w="47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left"/>
              <w:textAlignment w:val="center"/>
              <w:rPr>
                <w:rFonts w:ascii="宋体" w:cs="宋体"/>
                <w:color w:val="000000"/>
                <w:kern w:val="0"/>
                <w:sz w:val="24"/>
              </w:rPr>
            </w:pPr>
          </w:p>
        </w:tc>
      </w:tr>
      <w:tr>
        <w:tblPrEx>
          <w:tblCellMar>
            <w:top w:w="0" w:type="dxa"/>
            <w:left w:w="108" w:type="dxa"/>
            <w:bottom w:w="0" w:type="dxa"/>
            <w:right w:w="108" w:type="dxa"/>
          </w:tblCellMar>
        </w:tblPrEx>
        <w:trPr>
          <w:trHeight w:val="420"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vAlign w:val="center"/>
          </w:tcPr>
          <w:p/>
        </w:tc>
        <w:tc>
          <w:tcPr>
            <w:tcW w:w="1462" w:type="dxa"/>
            <w:vMerge w:val="continue"/>
            <w:tcBorders>
              <w:top w:val="single" w:color="000000" w:sz="4" w:space="0"/>
              <w:left w:val="single" w:color="000000" w:sz="4" w:space="0"/>
              <w:bottom w:val="single" w:color="000000" w:sz="4" w:space="0"/>
              <w:right w:val="single" w:color="000000" w:sz="4" w:space="0"/>
            </w:tcBorders>
            <w:vAlign w:val="center"/>
          </w:tcPr>
          <w:p/>
        </w:tc>
        <w:tc>
          <w:tcPr>
            <w:tcW w:w="166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预算年终结余</w:t>
            </w:r>
          </w:p>
        </w:tc>
        <w:tc>
          <w:tcPr>
            <w:tcW w:w="72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cs="宋体"/>
                <w:color w:val="000000"/>
                <w:sz w:val="24"/>
              </w:rPr>
            </w:pPr>
            <w:r>
              <w:rPr>
                <w:rFonts w:ascii="宋体" w:cs="宋体"/>
                <w:color w:val="000000"/>
                <w:sz w:val="24"/>
              </w:rPr>
              <w:t>4</w:t>
            </w:r>
          </w:p>
        </w:tc>
        <w:tc>
          <w:tcPr>
            <w:tcW w:w="473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部门整体年终预算结余情况</w:t>
            </w:r>
          </w:p>
        </w:tc>
        <w:tc>
          <w:tcPr>
            <w:tcW w:w="756"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left"/>
              <w:textAlignment w:val="center"/>
              <w:rPr>
                <w:rFonts w:ascii="宋体" w:cs="宋体"/>
                <w:color w:val="000000"/>
                <w:kern w:val="0"/>
                <w:sz w:val="24"/>
              </w:rPr>
            </w:pPr>
            <w:r>
              <w:rPr>
                <w:rFonts w:hint="eastAsia" w:ascii="宋体" w:cs="宋体"/>
                <w:color w:val="000000"/>
                <w:kern w:val="0"/>
                <w:sz w:val="24"/>
              </w:rPr>
              <w:t>4</w:t>
            </w:r>
          </w:p>
        </w:tc>
        <w:tc>
          <w:tcPr>
            <w:tcW w:w="47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left"/>
              <w:textAlignment w:val="center"/>
              <w:rPr>
                <w:rFonts w:ascii="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vAlign w:val="center"/>
          </w:tcPr>
          <w:p/>
        </w:tc>
        <w:tc>
          <w:tcPr>
            <w:tcW w:w="1462" w:type="dxa"/>
            <w:vMerge w:val="continue"/>
            <w:tcBorders>
              <w:top w:val="single" w:color="000000" w:sz="4" w:space="0"/>
              <w:left w:val="single" w:color="000000" w:sz="4" w:space="0"/>
              <w:bottom w:val="single" w:color="000000" w:sz="4" w:space="0"/>
              <w:right w:val="single" w:color="000000" w:sz="4" w:space="0"/>
            </w:tcBorders>
            <w:vAlign w:val="center"/>
          </w:tcPr>
          <w:p/>
        </w:tc>
        <w:tc>
          <w:tcPr>
            <w:tcW w:w="166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严控一般性支出</w:t>
            </w:r>
          </w:p>
        </w:tc>
        <w:tc>
          <w:tcPr>
            <w:tcW w:w="72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5</w:t>
            </w:r>
          </w:p>
        </w:tc>
        <w:tc>
          <w:tcPr>
            <w:tcW w:w="473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部门严控“三公”经费、会议、培训、差旅、办节办展、办公设备购置、信息网络及软件购置更新、课题经费等8项一般性支出情况</w:t>
            </w:r>
          </w:p>
        </w:tc>
        <w:tc>
          <w:tcPr>
            <w:tcW w:w="756"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left"/>
              <w:textAlignment w:val="center"/>
              <w:rPr>
                <w:rFonts w:ascii="宋体" w:cs="宋体"/>
                <w:color w:val="000000"/>
                <w:kern w:val="0"/>
                <w:sz w:val="24"/>
              </w:rPr>
            </w:pPr>
            <w:r>
              <w:rPr>
                <w:rFonts w:hint="eastAsia" w:ascii="宋体" w:cs="宋体"/>
                <w:color w:val="000000"/>
                <w:kern w:val="0"/>
                <w:sz w:val="24"/>
              </w:rPr>
              <w:t>5</w:t>
            </w:r>
          </w:p>
        </w:tc>
        <w:tc>
          <w:tcPr>
            <w:tcW w:w="47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left"/>
              <w:textAlignment w:val="center"/>
              <w:rPr>
                <w:rFonts w:ascii="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vAlign w:val="center"/>
          </w:tcPr>
          <w:p/>
        </w:tc>
        <w:tc>
          <w:tcPr>
            <w:tcW w:w="1462"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cs="宋体"/>
                <w:b/>
                <w:color w:val="000000"/>
                <w:sz w:val="24"/>
              </w:rPr>
            </w:pPr>
            <w:r>
              <w:rPr>
                <w:rFonts w:hint="eastAsia" w:ascii="宋体" w:cs="宋体"/>
                <w:b/>
                <w:color w:val="000000"/>
                <w:kern w:val="0"/>
                <w:sz w:val="24"/>
              </w:rPr>
              <w:t>财务管理</w:t>
            </w:r>
            <w:r>
              <w:rPr>
                <w:rFonts w:hint="eastAsia" w:ascii="宋体" w:cs="宋体"/>
                <w:b/>
                <w:color w:val="000000"/>
                <w:kern w:val="0"/>
                <w:sz w:val="24"/>
              </w:rPr>
              <w:br w:type="textWrapping"/>
            </w:r>
            <w:r>
              <w:rPr>
                <w:rFonts w:hint="eastAsia" w:ascii="宋体" w:cs="宋体"/>
                <w:b/>
                <w:color w:val="000000"/>
                <w:kern w:val="0"/>
                <w:sz w:val="24"/>
              </w:rPr>
              <w:t>（10分）</w:t>
            </w:r>
          </w:p>
        </w:tc>
        <w:tc>
          <w:tcPr>
            <w:tcW w:w="166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财务管理制度</w:t>
            </w:r>
          </w:p>
        </w:tc>
        <w:tc>
          <w:tcPr>
            <w:tcW w:w="72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4</w:t>
            </w:r>
          </w:p>
        </w:tc>
        <w:tc>
          <w:tcPr>
            <w:tcW w:w="473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部门财务管理制度建立情况</w:t>
            </w:r>
          </w:p>
        </w:tc>
        <w:tc>
          <w:tcPr>
            <w:tcW w:w="756"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left"/>
              <w:textAlignment w:val="center"/>
              <w:rPr>
                <w:rFonts w:ascii="宋体" w:cs="宋体"/>
                <w:color w:val="000000"/>
                <w:kern w:val="0"/>
                <w:sz w:val="24"/>
              </w:rPr>
            </w:pPr>
            <w:r>
              <w:rPr>
                <w:rFonts w:hint="eastAsia" w:ascii="宋体" w:cs="宋体"/>
                <w:color w:val="000000"/>
                <w:kern w:val="0"/>
                <w:sz w:val="24"/>
              </w:rPr>
              <w:t>4</w:t>
            </w:r>
          </w:p>
        </w:tc>
        <w:tc>
          <w:tcPr>
            <w:tcW w:w="47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left"/>
              <w:textAlignment w:val="center"/>
              <w:rPr>
                <w:rFonts w:ascii="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vAlign w:val="center"/>
          </w:tcPr>
          <w:p/>
        </w:tc>
        <w:tc>
          <w:tcPr>
            <w:tcW w:w="1462" w:type="dxa"/>
            <w:vMerge w:val="continue"/>
            <w:tcBorders>
              <w:top w:val="single" w:color="000000" w:sz="4" w:space="0"/>
              <w:left w:val="single" w:color="000000" w:sz="4" w:space="0"/>
              <w:bottom w:val="single" w:color="000000" w:sz="4" w:space="0"/>
              <w:right w:val="single" w:color="000000" w:sz="4" w:space="0"/>
            </w:tcBorders>
            <w:vAlign w:val="center"/>
          </w:tcPr>
          <w:p/>
        </w:tc>
        <w:tc>
          <w:tcPr>
            <w:tcW w:w="166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财务岗位设置</w:t>
            </w:r>
          </w:p>
        </w:tc>
        <w:tc>
          <w:tcPr>
            <w:tcW w:w="72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cs="宋体"/>
                <w:color w:val="000000"/>
                <w:sz w:val="24"/>
              </w:rPr>
            </w:pPr>
            <w:r>
              <w:rPr>
                <w:rFonts w:ascii="宋体" w:cs="宋体"/>
                <w:color w:val="000000"/>
                <w:sz w:val="24"/>
              </w:rPr>
              <w:t>4</w:t>
            </w:r>
          </w:p>
        </w:tc>
        <w:tc>
          <w:tcPr>
            <w:tcW w:w="473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部门财务岗位设置是否符合相关财务管理制度要求</w:t>
            </w:r>
          </w:p>
        </w:tc>
        <w:tc>
          <w:tcPr>
            <w:tcW w:w="756"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left"/>
              <w:textAlignment w:val="center"/>
              <w:rPr>
                <w:rFonts w:ascii="宋体" w:cs="宋体"/>
                <w:color w:val="000000"/>
                <w:kern w:val="0"/>
                <w:sz w:val="24"/>
              </w:rPr>
            </w:pPr>
            <w:r>
              <w:rPr>
                <w:rFonts w:hint="eastAsia" w:ascii="宋体" w:cs="宋体"/>
                <w:color w:val="000000"/>
                <w:kern w:val="0"/>
                <w:sz w:val="24"/>
              </w:rPr>
              <w:t>4</w:t>
            </w:r>
          </w:p>
        </w:tc>
        <w:tc>
          <w:tcPr>
            <w:tcW w:w="47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left"/>
              <w:textAlignment w:val="center"/>
              <w:rPr>
                <w:rFonts w:ascii="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vAlign w:val="center"/>
          </w:tcPr>
          <w:p/>
        </w:tc>
        <w:tc>
          <w:tcPr>
            <w:tcW w:w="1462" w:type="dxa"/>
            <w:vMerge w:val="continue"/>
            <w:tcBorders>
              <w:top w:val="single" w:color="000000" w:sz="4" w:space="0"/>
              <w:left w:val="single" w:color="000000" w:sz="4" w:space="0"/>
              <w:bottom w:val="single" w:color="000000" w:sz="4" w:space="0"/>
              <w:right w:val="single" w:color="000000" w:sz="4" w:space="0"/>
            </w:tcBorders>
            <w:vAlign w:val="center"/>
          </w:tcPr>
          <w:p/>
        </w:tc>
        <w:tc>
          <w:tcPr>
            <w:tcW w:w="166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资金使用规范</w:t>
            </w:r>
          </w:p>
        </w:tc>
        <w:tc>
          <w:tcPr>
            <w:tcW w:w="72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4</w:t>
            </w:r>
          </w:p>
        </w:tc>
        <w:tc>
          <w:tcPr>
            <w:tcW w:w="473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部门资金使用是否符合相关财务管理制度规定</w:t>
            </w:r>
          </w:p>
        </w:tc>
        <w:tc>
          <w:tcPr>
            <w:tcW w:w="756"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left"/>
              <w:textAlignment w:val="center"/>
              <w:rPr>
                <w:rFonts w:ascii="宋体" w:cs="宋体"/>
                <w:color w:val="000000"/>
                <w:kern w:val="0"/>
                <w:sz w:val="24"/>
              </w:rPr>
            </w:pPr>
            <w:r>
              <w:rPr>
                <w:rFonts w:hint="eastAsia" w:ascii="宋体" w:cs="宋体"/>
                <w:color w:val="000000"/>
                <w:kern w:val="0"/>
                <w:sz w:val="24"/>
              </w:rPr>
              <w:t>4</w:t>
            </w:r>
          </w:p>
        </w:tc>
        <w:tc>
          <w:tcPr>
            <w:tcW w:w="47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left"/>
              <w:textAlignment w:val="center"/>
              <w:rPr>
                <w:rFonts w:ascii="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vAlign w:val="center"/>
          </w:tcPr>
          <w:p/>
        </w:tc>
        <w:tc>
          <w:tcPr>
            <w:tcW w:w="1462"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cs="宋体"/>
                <w:b/>
                <w:color w:val="000000"/>
                <w:sz w:val="24"/>
              </w:rPr>
            </w:pPr>
            <w:r>
              <w:rPr>
                <w:rFonts w:hint="eastAsia" w:ascii="宋体" w:cs="宋体"/>
                <w:b/>
                <w:color w:val="000000"/>
                <w:kern w:val="0"/>
                <w:sz w:val="24"/>
              </w:rPr>
              <w:t>资产管理</w:t>
            </w:r>
            <w:r>
              <w:rPr>
                <w:rFonts w:hint="eastAsia" w:ascii="宋体" w:cs="宋体"/>
                <w:b/>
                <w:color w:val="000000"/>
                <w:kern w:val="0"/>
                <w:sz w:val="24"/>
              </w:rPr>
              <w:br w:type="textWrapping"/>
            </w:r>
            <w:r>
              <w:rPr>
                <w:rFonts w:hint="eastAsia" w:ascii="宋体" w:cs="宋体"/>
                <w:b/>
                <w:color w:val="000000"/>
                <w:kern w:val="0"/>
                <w:sz w:val="24"/>
              </w:rPr>
              <w:t>（9分）</w:t>
            </w:r>
          </w:p>
        </w:tc>
        <w:tc>
          <w:tcPr>
            <w:tcW w:w="166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人均资产变化率</w:t>
            </w:r>
          </w:p>
        </w:tc>
        <w:tc>
          <w:tcPr>
            <w:tcW w:w="72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3</w:t>
            </w:r>
          </w:p>
        </w:tc>
        <w:tc>
          <w:tcPr>
            <w:tcW w:w="473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部门人均资产变化情况</w:t>
            </w:r>
          </w:p>
        </w:tc>
        <w:tc>
          <w:tcPr>
            <w:tcW w:w="756"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left"/>
              <w:textAlignment w:val="center"/>
              <w:rPr>
                <w:rFonts w:ascii="宋体" w:cs="宋体"/>
                <w:color w:val="000000"/>
                <w:kern w:val="0"/>
                <w:sz w:val="24"/>
              </w:rPr>
            </w:pPr>
            <w:r>
              <w:rPr>
                <w:rFonts w:hint="eastAsia" w:ascii="宋体" w:cs="宋体"/>
                <w:color w:val="000000"/>
                <w:kern w:val="0"/>
                <w:sz w:val="24"/>
              </w:rPr>
              <w:t>3</w:t>
            </w:r>
          </w:p>
        </w:tc>
        <w:tc>
          <w:tcPr>
            <w:tcW w:w="47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left"/>
              <w:textAlignment w:val="center"/>
              <w:rPr>
                <w:rFonts w:ascii="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vAlign w:val="center"/>
          </w:tcPr>
          <w:p/>
        </w:tc>
        <w:tc>
          <w:tcPr>
            <w:tcW w:w="1462" w:type="dxa"/>
            <w:vMerge w:val="continue"/>
            <w:tcBorders>
              <w:top w:val="single" w:color="000000" w:sz="4" w:space="0"/>
              <w:left w:val="single" w:color="000000" w:sz="4" w:space="0"/>
              <w:bottom w:val="single" w:color="000000" w:sz="4" w:space="0"/>
              <w:right w:val="single" w:color="000000" w:sz="4" w:space="0"/>
            </w:tcBorders>
            <w:vAlign w:val="center"/>
          </w:tcPr>
          <w:p/>
        </w:tc>
        <w:tc>
          <w:tcPr>
            <w:tcW w:w="166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资产利用率</w:t>
            </w:r>
          </w:p>
        </w:tc>
        <w:tc>
          <w:tcPr>
            <w:tcW w:w="72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3</w:t>
            </w:r>
          </w:p>
        </w:tc>
        <w:tc>
          <w:tcPr>
            <w:tcW w:w="473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部门资产超最低使用年限情况</w:t>
            </w:r>
          </w:p>
        </w:tc>
        <w:tc>
          <w:tcPr>
            <w:tcW w:w="756"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left"/>
              <w:textAlignment w:val="center"/>
              <w:rPr>
                <w:rFonts w:ascii="宋体" w:cs="宋体"/>
                <w:color w:val="000000"/>
                <w:kern w:val="0"/>
                <w:sz w:val="24"/>
              </w:rPr>
            </w:pPr>
            <w:r>
              <w:rPr>
                <w:rFonts w:hint="eastAsia" w:ascii="宋体" w:cs="宋体"/>
                <w:color w:val="000000"/>
                <w:kern w:val="0"/>
                <w:sz w:val="24"/>
              </w:rPr>
              <w:t>3</w:t>
            </w:r>
          </w:p>
        </w:tc>
        <w:tc>
          <w:tcPr>
            <w:tcW w:w="47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left"/>
              <w:textAlignment w:val="center"/>
              <w:rPr>
                <w:rFonts w:ascii="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04"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cs="宋体"/>
                <w:b/>
                <w:color w:val="000000"/>
                <w:sz w:val="24"/>
              </w:rPr>
            </w:pPr>
            <w:r>
              <w:rPr>
                <w:rFonts w:hint="eastAsia" w:ascii="宋体" w:cs="宋体"/>
                <w:b/>
                <w:color w:val="000000"/>
                <w:kern w:val="0"/>
                <w:sz w:val="24"/>
              </w:rPr>
              <w:t>总体绩效</w:t>
            </w:r>
            <w:r>
              <w:rPr>
                <w:rFonts w:hint="eastAsia" w:ascii="宋体" w:cs="宋体"/>
                <w:b/>
                <w:color w:val="000000"/>
                <w:kern w:val="0"/>
                <w:sz w:val="24"/>
              </w:rPr>
              <w:br w:type="textWrapping"/>
            </w:r>
            <w:r>
              <w:rPr>
                <w:rFonts w:hint="eastAsia" w:ascii="宋体" w:cs="宋体"/>
                <w:b/>
                <w:color w:val="000000"/>
                <w:kern w:val="0"/>
                <w:sz w:val="24"/>
              </w:rPr>
              <w:t>（65分）</w:t>
            </w:r>
          </w:p>
        </w:tc>
        <w:tc>
          <w:tcPr>
            <w:tcW w:w="146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cs="宋体"/>
                <w:b/>
                <w:color w:val="000000"/>
                <w:sz w:val="24"/>
              </w:rPr>
            </w:pPr>
            <w:r>
              <w:rPr>
                <w:rFonts w:hint="eastAsia" w:ascii="宋体" w:cs="宋体"/>
                <w:b/>
                <w:color w:val="000000"/>
                <w:kern w:val="0"/>
                <w:sz w:val="24"/>
              </w:rPr>
              <w:t>资产管理</w:t>
            </w:r>
            <w:r>
              <w:rPr>
                <w:rFonts w:hint="eastAsia" w:ascii="宋体" w:cs="宋体"/>
                <w:b/>
                <w:color w:val="000000"/>
                <w:kern w:val="0"/>
                <w:sz w:val="24"/>
              </w:rPr>
              <w:br w:type="textWrapping"/>
            </w:r>
            <w:r>
              <w:rPr>
                <w:rFonts w:hint="eastAsia" w:ascii="宋体" w:cs="宋体"/>
                <w:b/>
                <w:color w:val="000000"/>
                <w:kern w:val="0"/>
                <w:sz w:val="24"/>
              </w:rPr>
              <w:t>（9分）</w:t>
            </w:r>
          </w:p>
        </w:tc>
        <w:tc>
          <w:tcPr>
            <w:tcW w:w="166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资产盘活率</w:t>
            </w:r>
          </w:p>
        </w:tc>
        <w:tc>
          <w:tcPr>
            <w:tcW w:w="72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3</w:t>
            </w:r>
          </w:p>
        </w:tc>
        <w:tc>
          <w:tcPr>
            <w:tcW w:w="473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部门闲置一年以上的资产盘活情况</w:t>
            </w:r>
          </w:p>
        </w:tc>
        <w:tc>
          <w:tcPr>
            <w:tcW w:w="756"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left"/>
              <w:textAlignment w:val="center"/>
              <w:rPr>
                <w:rFonts w:ascii="宋体" w:cs="宋体"/>
                <w:color w:val="000000"/>
                <w:kern w:val="0"/>
                <w:sz w:val="24"/>
              </w:rPr>
            </w:pPr>
            <w:r>
              <w:rPr>
                <w:rFonts w:hint="eastAsia" w:ascii="宋体" w:cs="宋体"/>
                <w:color w:val="000000"/>
                <w:kern w:val="0"/>
                <w:sz w:val="24"/>
              </w:rPr>
              <w:t>3</w:t>
            </w:r>
          </w:p>
        </w:tc>
        <w:tc>
          <w:tcPr>
            <w:tcW w:w="47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left"/>
              <w:textAlignment w:val="center"/>
              <w:rPr>
                <w:rFonts w:ascii="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vAlign w:val="center"/>
          </w:tcPr>
          <w:p/>
        </w:tc>
        <w:tc>
          <w:tcPr>
            <w:tcW w:w="1462"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cs="宋体"/>
                <w:b/>
                <w:color w:val="000000"/>
                <w:sz w:val="24"/>
              </w:rPr>
            </w:pPr>
            <w:r>
              <w:rPr>
                <w:rFonts w:hint="eastAsia" w:ascii="宋体" w:cs="宋体"/>
                <w:b/>
                <w:color w:val="000000"/>
                <w:kern w:val="0"/>
                <w:sz w:val="24"/>
              </w:rPr>
              <w:t>采购管理</w:t>
            </w:r>
            <w:r>
              <w:rPr>
                <w:rFonts w:hint="eastAsia" w:ascii="宋体" w:cs="宋体"/>
                <w:b/>
                <w:color w:val="000000"/>
                <w:kern w:val="0"/>
                <w:sz w:val="24"/>
              </w:rPr>
              <w:br w:type="textWrapping"/>
            </w:r>
            <w:r>
              <w:rPr>
                <w:rFonts w:hint="eastAsia" w:ascii="宋体" w:cs="宋体"/>
                <w:b/>
                <w:color w:val="000000"/>
                <w:kern w:val="0"/>
                <w:sz w:val="24"/>
              </w:rPr>
              <w:t>（6分）</w:t>
            </w:r>
          </w:p>
        </w:tc>
        <w:tc>
          <w:tcPr>
            <w:tcW w:w="166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支持中小企业发展</w:t>
            </w:r>
          </w:p>
        </w:tc>
        <w:tc>
          <w:tcPr>
            <w:tcW w:w="72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3</w:t>
            </w:r>
          </w:p>
        </w:tc>
        <w:tc>
          <w:tcPr>
            <w:tcW w:w="473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部门是否严格执行政府采购促进中小企业发展相关管理办法</w:t>
            </w:r>
          </w:p>
        </w:tc>
        <w:tc>
          <w:tcPr>
            <w:tcW w:w="756"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left"/>
              <w:textAlignment w:val="center"/>
              <w:rPr>
                <w:rFonts w:ascii="宋体" w:cs="宋体"/>
                <w:color w:val="000000"/>
                <w:kern w:val="0"/>
                <w:sz w:val="24"/>
              </w:rPr>
            </w:pPr>
            <w:r>
              <w:rPr>
                <w:rFonts w:hint="eastAsia" w:ascii="宋体" w:cs="宋体"/>
                <w:color w:val="000000"/>
                <w:kern w:val="0"/>
                <w:sz w:val="24"/>
              </w:rPr>
              <w:t>3</w:t>
            </w:r>
          </w:p>
        </w:tc>
        <w:tc>
          <w:tcPr>
            <w:tcW w:w="47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left"/>
              <w:textAlignment w:val="center"/>
              <w:rPr>
                <w:rFonts w:ascii="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vAlign w:val="center"/>
          </w:tcPr>
          <w:p/>
        </w:tc>
        <w:tc>
          <w:tcPr>
            <w:tcW w:w="1462" w:type="dxa"/>
            <w:vMerge w:val="continue"/>
            <w:tcBorders>
              <w:top w:val="single" w:color="000000" w:sz="4" w:space="0"/>
              <w:left w:val="single" w:color="000000" w:sz="4" w:space="0"/>
              <w:bottom w:val="single" w:color="000000" w:sz="4" w:space="0"/>
              <w:right w:val="single" w:color="000000" w:sz="4" w:space="0"/>
            </w:tcBorders>
            <w:vAlign w:val="center"/>
          </w:tcPr>
          <w:p/>
        </w:tc>
        <w:tc>
          <w:tcPr>
            <w:tcW w:w="166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采购执行率</w:t>
            </w:r>
          </w:p>
        </w:tc>
        <w:tc>
          <w:tcPr>
            <w:tcW w:w="72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3</w:t>
            </w:r>
          </w:p>
        </w:tc>
        <w:tc>
          <w:tcPr>
            <w:tcW w:w="473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部门政府采购项目资金支付比例情况</w:t>
            </w:r>
          </w:p>
        </w:tc>
        <w:tc>
          <w:tcPr>
            <w:tcW w:w="756"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left"/>
              <w:textAlignment w:val="center"/>
              <w:rPr>
                <w:rFonts w:ascii="宋体" w:cs="宋体"/>
                <w:color w:val="000000"/>
                <w:kern w:val="0"/>
                <w:sz w:val="24"/>
              </w:rPr>
            </w:pPr>
            <w:r>
              <w:rPr>
                <w:rFonts w:hint="eastAsia" w:ascii="宋体" w:cs="宋体"/>
                <w:color w:val="000000"/>
                <w:kern w:val="0"/>
                <w:sz w:val="24"/>
              </w:rPr>
              <w:t>3</w:t>
            </w:r>
          </w:p>
        </w:tc>
        <w:tc>
          <w:tcPr>
            <w:tcW w:w="47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left"/>
              <w:textAlignment w:val="center"/>
              <w:rPr>
                <w:rFonts w:ascii="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04"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cs="宋体"/>
                <w:b/>
                <w:color w:val="000000"/>
                <w:sz w:val="24"/>
              </w:rPr>
            </w:pPr>
            <w:r>
              <w:rPr>
                <w:rFonts w:hint="eastAsia" w:ascii="宋体" w:cs="宋体"/>
                <w:b/>
                <w:color w:val="000000"/>
                <w:kern w:val="0"/>
                <w:sz w:val="24"/>
              </w:rPr>
              <w:t>项目绩效</w:t>
            </w:r>
            <w:r>
              <w:rPr>
                <w:rFonts w:hint="eastAsia" w:ascii="宋体" w:cs="宋体"/>
                <w:b/>
                <w:color w:val="000000"/>
                <w:kern w:val="0"/>
                <w:sz w:val="24"/>
              </w:rPr>
              <w:br w:type="textWrapping"/>
            </w:r>
            <w:r>
              <w:rPr>
                <w:rFonts w:hint="eastAsia" w:ascii="宋体" w:cs="宋体"/>
                <w:b/>
                <w:color w:val="000000"/>
                <w:kern w:val="0"/>
                <w:sz w:val="24"/>
              </w:rPr>
              <w:t>（35分）</w:t>
            </w:r>
          </w:p>
        </w:tc>
        <w:tc>
          <w:tcPr>
            <w:tcW w:w="1462" w:type="dxa"/>
            <w:vMerge w:val="restart"/>
            <w:tcBorders>
              <w:top w:val="single" w:color="000000" w:sz="4" w:space="0"/>
              <w:left w:val="single" w:color="000000" w:sz="4" w:space="0"/>
              <w:bottom w:val="nil"/>
              <w:right w:val="single" w:color="000000" w:sz="4" w:space="0"/>
            </w:tcBorders>
            <w:vAlign w:val="center"/>
          </w:tcPr>
          <w:p>
            <w:pPr>
              <w:widowControl/>
              <w:spacing w:line="240" w:lineRule="exact"/>
              <w:jc w:val="center"/>
              <w:textAlignment w:val="center"/>
              <w:rPr>
                <w:rFonts w:ascii="宋体" w:cs="宋体"/>
                <w:b/>
                <w:color w:val="000000"/>
                <w:sz w:val="24"/>
              </w:rPr>
            </w:pPr>
            <w:r>
              <w:rPr>
                <w:rFonts w:hint="eastAsia" w:ascii="宋体" w:cs="宋体"/>
                <w:b/>
                <w:color w:val="000000"/>
                <w:kern w:val="0"/>
                <w:sz w:val="24"/>
              </w:rPr>
              <w:t>项目决策</w:t>
            </w:r>
            <w:r>
              <w:rPr>
                <w:rFonts w:hint="eastAsia" w:ascii="宋体" w:cs="宋体"/>
                <w:b/>
                <w:color w:val="000000"/>
                <w:kern w:val="0"/>
                <w:sz w:val="24"/>
              </w:rPr>
              <w:br w:type="textWrapping"/>
            </w:r>
            <w:r>
              <w:rPr>
                <w:rFonts w:hint="eastAsia" w:ascii="宋体" w:cs="宋体"/>
                <w:b/>
                <w:color w:val="000000"/>
                <w:kern w:val="0"/>
                <w:sz w:val="24"/>
              </w:rPr>
              <w:t>（12分）</w:t>
            </w:r>
          </w:p>
        </w:tc>
        <w:tc>
          <w:tcPr>
            <w:tcW w:w="166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决策程序</w:t>
            </w:r>
          </w:p>
        </w:tc>
        <w:tc>
          <w:tcPr>
            <w:tcW w:w="72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4</w:t>
            </w:r>
          </w:p>
        </w:tc>
        <w:tc>
          <w:tcPr>
            <w:tcW w:w="473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部门预算项目设立是否按规定履行评估论证、申报程序</w:t>
            </w:r>
          </w:p>
        </w:tc>
        <w:tc>
          <w:tcPr>
            <w:tcW w:w="756"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left"/>
              <w:textAlignment w:val="center"/>
              <w:rPr>
                <w:rFonts w:ascii="宋体" w:cs="宋体"/>
                <w:color w:val="000000"/>
                <w:kern w:val="0"/>
                <w:sz w:val="24"/>
              </w:rPr>
            </w:pPr>
            <w:r>
              <w:rPr>
                <w:rFonts w:hint="eastAsia" w:ascii="宋体" w:cs="宋体"/>
                <w:color w:val="000000"/>
                <w:kern w:val="0"/>
                <w:sz w:val="24"/>
              </w:rPr>
              <w:t>4</w:t>
            </w:r>
          </w:p>
        </w:tc>
        <w:tc>
          <w:tcPr>
            <w:tcW w:w="47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left"/>
              <w:textAlignment w:val="center"/>
              <w:rPr>
                <w:rFonts w:ascii="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vAlign w:val="center"/>
          </w:tcPr>
          <w:p/>
        </w:tc>
        <w:tc>
          <w:tcPr>
            <w:tcW w:w="1462" w:type="dxa"/>
            <w:vMerge w:val="continue"/>
            <w:tcBorders>
              <w:top w:val="single" w:color="000000" w:sz="4" w:space="0"/>
              <w:left w:val="single" w:color="000000" w:sz="4" w:space="0"/>
              <w:bottom w:val="nil"/>
              <w:right w:val="single" w:color="000000" w:sz="4" w:space="0"/>
            </w:tcBorders>
            <w:vAlign w:val="center"/>
          </w:tcPr>
          <w:p/>
        </w:tc>
        <w:tc>
          <w:tcPr>
            <w:tcW w:w="166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目标设置</w:t>
            </w:r>
          </w:p>
        </w:tc>
        <w:tc>
          <w:tcPr>
            <w:tcW w:w="72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4</w:t>
            </w:r>
          </w:p>
        </w:tc>
        <w:tc>
          <w:tcPr>
            <w:tcW w:w="473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部门预算项目绩效目标与计划期内的任务量、预算安排的资金量匹配情况，绩效目标设置是否科学合理、规范完整、量化细化、预算匹配</w:t>
            </w:r>
          </w:p>
        </w:tc>
        <w:tc>
          <w:tcPr>
            <w:tcW w:w="756"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left"/>
              <w:textAlignment w:val="center"/>
              <w:rPr>
                <w:rFonts w:ascii="宋体" w:cs="宋体"/>
                <w:color w:val="000000"/>
                <w:kern w:val="0"/>
                <w:sz w:val="24"/>
              </w:rPr>
            </w:pPr>
            <w:r>
              <w:rPr>
                <w:rFonts w:hint="eastAsia" w:ascii="宋体" w:cs="宋体"/>
                <w:color w:val="000000"/>
                <w:kern w:val="0"/>
                <w:sz w:val="24"/>
              </w:rPr>
              <w:t>4</w:t>
            </w:r>
          </w:p>
        </w:tc>
        <w:tc>
          <w:tcPr>
            <w:tcW w:w="47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left"/>
              <w:textAlignment w:val="center"/>
              <w:rPr>
                <w:rFonts w:ascii="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vAlign w:val="center"/>
          </w:tcPr>
          <w:p/>
        </w:tc>
        <w:tc>
          <w:tcPr>
            <w:tcW w:w="1462" w:type="dxa"/>
            <w:vMerge w:val="continue"/>
            <w:tcBorders>
              <w:top w:val="single" w:color="000000" w:sz="4" w:space="0"/>
              <w:left w:val="single" w:color="000000" w:sz="4" w:space="0"/>
              <w:bottom w:val="nil"/>
              <w:right w:val="single" w:color="000000" w:sz="4" w:space="0"/>
            </w:tcBorders>
            <w:vAlign w:val="center"/>
          </w:tcPr>
          <w:p/>
        </w:tc>
        <w:tc>
          <w:tcPr>
            <w:tcW w:w="166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项目入库</w:t>
            </w:r>
          </w:p>
        </w:tc>
        <w:tc>
          <w:tcPr>
            <w:tcW w:w="72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4</w:t>
            </w:r>
          </w:p>
        </w:tc>
        <w:tc>
          <w:tcPr>
            <w:tcW w:w="473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部门预算项目是否在规定时间完成项目入库</w:t>
            </w:r>
          </w:p>
        </w:tc>
        <w:tc>
          <w:tcPr>
            <w:tcW w:w="756"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left"/>
              <w:textAlignment w:val="center"/>
              <w:rPr>
                <w:rFonts w:ascii="宋体" w:cs="宋体"/>
                <w:color w:val="000000"/>
                <w:kern w:val="0"/>
                <w:sz w:val="24"/>
              </w:rPr>
            </w:pPr>
            <w:r>
              <w:rPr>
                <w:rFonts w:hint="eastAsia" w:ascii="宋体" w:cs="宋体"/>
                <w:color w:val="000000"/>
                <w:kern w:val="0"/>
                <w:sz w:val="24"/>
              </w:rPr>
              <w:t>4</w:t>
            </w:r>
          </w:p>
        </w:tc>
        <w:tc>
          <w:tcPr>
            <w:tcW w:w="47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left"/>
              <w:textAlignment w:val="center"/>
              <w:rPr>
                <w:rFonts w:ascii="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vAlign w:val="center"/>
          </w:tcPr>
          <w:p/>
        </w:tc>
        <w:tc>
          <w:tcPr>
            <w:tcW w:w="1462" w:type="dxa"/>
            <w:vMerge w:val="restart"/>
            <w:tcBorders>
              <w:top w:val="single" w:color="000000" w:sz="4" w:space="0"/>
              <w:left w:val="single" w:color="000000" w:sz="4" w:space="0"/>
              <w:bottom w:val="nil"/>
              <w:right w:val="single" w:color="000000" w:sz="4" w:space="0"/>
            </w:tcBorders>
            <w:vAlign w:val="center"/>
          </w:tcPr>
          <w:p>
            <w:pPr>
              <w:widowControl/>
              <w:spacing w:line="240" w:lineRule="exact"/>
              <w:jc w:val="center"/>
              <w:textAlignment w:val="center"/>
              <w:rPr>
                <w:rFonts w:ascii="宋体" w:cs="宋体"/>
                <w:b/>
                <w:color w:val="000000"/>
                <w:sz w:val="24"/>
              </w:rPr>
            </w:pPr>
            <w:r>
              <w:rPr>
                <w:rFonts w:hint="eastAsia" w:ascii="宋体" w:cs="宋体"/>
                <w:b/>
                <w:color w:val="000000"/>
                <w:kern w:val="0"/>
                <w:sz w:val="24"/>
              </w:rPr>
              <w:t>项目执行</w:t>
            </w:r>
            <w:r>
              <w:rPr>
                <w:rFonts w:hint="eastAsia" w:ascii="宋体" w:cs="宋体"/>
                <w:b/>
                <w:color w:val="000000"/>
                <w:kern w:val="0"/>
                <w:sz w:val="24"/>
              </w:rPr>
              <w:br w:type="textWrapping"/>
            </w:r>
            <w:r>
              <w:rPr>
                <w:rFonts w:hint="eastAsia" w:ascii="宋体" w:cs="宋体"/>
                <w:b/>
                <w:color w:val="000000"/>
                <w:kern w:val="0"/>
                <w:sz w:val="24"/>
              </w:rPr>
              <w:t>（12分）</w:t>
            </w:r>
          </w:p>
        </w:tc>
        <w:tc>
          <w:tcPr>
            <w:tcW w:w="166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执行同向</w:t>
            </w:r>
          </w:p>
        </w:tc>
        <w:tc>
          <w:tcPr>
            <w:tcW w:w="72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4</w:t>
            </w:r>
          </w:p>
        </w:tc>
        <w:tc>
          <w:tcPr>
            <w:tcW w:w="473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部门预算项目实际列支内容是否与绩效目标设置方向相符</w:t>
            </w:r>
          </w:p>
        </w:tc>
        <w:tc>
          <w:tcPr>
            <w:tcW w:w="756"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left"/>
              <w:textAlignment w:val="center"/>
              <w:rPr>
                <w:rFonts w:ascii="宋体" w:cs="宋体"/>
                <w:color w:val="000000"/>
                <w:kern w:val="0"/>
                <w:sz w:val="24"/>
              </w:rPr>
            </w:pPr>
            <w:r>
              <w:rPr>
                <w:rFonts w:hint="eastAsia" w:ascii="宋体" w:cs="宋体"/>
                <w:color w:val="000000"/>
                <w:kern w:val="0"/>
                <w:sz w:val="24"/>
              </w:rPr>
              <w:t>4</w:t>
            </w:r>
          </w:p>
        </w:tc>
        <w:tc>
          <w:tcPr>
            <w:tcW w:w="47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left"/>
              <w:textAlignment w:val="center"/>
              <w:rPr>
                <w:rFonts w:ascii="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vAlign w:val="center"/>
          </w:tcPr>
          <w:p/>
        </w:tc>
        <w:tc>
          <w:tcPr>
            <w:tcW w:w="1462" w:type="dxa"/>
            <w:vMerge w:val="continue"/>
            <w:tcBorders>
              <w:top w:val="single" w:color="000000" w:sz="4" w:space="0"/>
              <w:left w:val="single" w:color="000000" w:sz="4" w:space="0"/>
              <w:bottom w:val="nil"/>
              <w:right w:val="single" w:color="000000" w:sz="4" w:space="0"/>
            </w:tcBorders>
            <w:vAlign w:val="center"/>
          </w:tcPr>
          <w:p/>
        </w:tc>
        <w:tc>
          <w:tcPr>
            <w:tcW w:w="1665" w:type="dxa"/>
            <w:tcBorders>
              <w:top w:val="single" w:color="000000" w:sz="4" w:space="0"/>
              <w:left w:val="single" w:color="000000" w:sz="4" w:space="0"/>
              <w:bottom w:val="nil"/>
              <w:right w:val="single" w:color="000000" w:sz="4" w:space="0"/>
            </w:tcBorders>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项目调整</w:t>
            </w:r>
          </w:p>
        </w:tc>
        <w:tc>
          <w:tcPr>
            <w:tcW w:w="72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4</w:t>
            </w:r>
          </w:p>
        </w:tc>
        <w:tc>
          <w:tcPr>
            <w:tcW w:w="473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部门预算项目是否采取对应调整措施</w:t>
            </w:r>
          </w:p>
        </w:tc>
        <w:tc>
          <w:tcPr>
            <w:tcW w:w="756"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left"/>
              <w:textAlignment w:val="center"/>
              <w:rPr>
                <w:rFonts w:ascii="宋体" w:cs="宋体"/>
                <w:color w:val="000000"/>
                <w:kern w:val="0"/>
                <w:sz w:val="24"/>
              </w:rPr>
            </w:pPr>
            <w:r>
              <w:rPr>
                <w:rFonts w:hint="eastAsia" w:ascii="宋体" w:cs="宋体"/>
                <w:color w:val="000000"/>
                <w:kern w:val="0"/>
                <w:sz w:val="24"/>
              </w:rPr>
              <w:t>2</w:t>
            </w:r>
          </w:p>
        </w:tc>
        <w:tc>
          <w:tcPr>
            <w:tcW w:w="47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left"/>
              <w:textAlignment w:val="center"/>
              <w:rPr>
                <w:rFonts w:ascii="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vAlign w:val="center"/>
          </w:tcPr>
          <w:p/>
        </w:tc>
        <w:tc>
          <w:tcPr>
            <w:tcW w:w="1462" w:type="dxa"/>
            <w:vMerge w:val="continue"/>
            <w:tcBorders>
              <w:top w:val="single" w:color="000000" w:sz="4" w:space="0"/>
              <w:left w:val="single" w:color="000000" w:sz="4" w:space="0"/>
              <w:bottom w:val="nil"/>
              <w:right w:val="single" w:color="000000" w:sz="4" w:space="0"/>
            </w:tcBorders>
            <w:vAlign w:val="center"/>
          </w:tcPr>
          <w:p/>
        </w:tc>
        <w:tc>
          <w:tcPr>
            <w:tcW w:w="166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执行结果</w:t>
            </w:r>
          </w:p>
        </w:tc>
        <w:tc>
          <w:tcPr>
            <w:tcW w:w="72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4</w:t>
            </w:r>
          </w:p>
        </w:tc>
        <w:tc>
          <w:tcPr>
            <w:tcW w:w="473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部门预算项目预算执行情况</w:t>
            </w:r>
          </w:p>
        </w:tc>
        <w:tc>
          <w:tcPr>
            <w:tcW w:w="756"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left"/>
              <w:textAlignment w:val="center"/>
              <w:rPr>
                <w:rFonts w:ascii="宋体" w:cs="宋体"/>
                <w:color w:val="000000"/>
                <w:kern w:val="0"/>
                <w:sz w:val="24"/>
              </w:rPr>
            </w:pPr>
            <w:r>
              <w:rPr>
                <w:rFonts w:hint="eastAsia" w:ascii="宋体" w:cs="宋体"/>
                <w:color w:val="000000"/>
                <w:kern w:val="0"/>
                <w:sz w:val="24"/>
              </w:rPr>
              <w:t>4</w:t>
            </w:r>
          </w:p>
        </w:tc>
        <w:tc>
          <w:tcPr>
            <w:tcW w:w="47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left"/>
              <w:textAlignment w:val="center"/>
              <w:rPr>
                <w:rFonts w:ascii="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vAlign w:val="center"/>
          </w:tcPr>
          <w:p/>
        </w:tc>
        <w:tc>
          <w:tcPr>
            <w:tcW w:w="1462"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cs="宋体"/>
                <w:b/>
                <w:color w:val="000000"/>
                <w:sz w:val="24"/>
              </w:rPr>
            </w:pPr>
            <w:r>
              <w:rPr>
                <w:rFonts w:hint="eastAsia" w:ascii="宋体" w:cs="宋体"/>
                <w:b/>
                <w:color w:val="000000"/>
                <w:kern w:val="0"/>
                <w:sz w:val="24"/>
              </w:rPr>
              <w:t>目标实现</w:t>
            </w:r>
            <w:r>
              <w:rPr>
                <w:rFonts w:hint="eastAsia" w:ascii="宋体" w:cs="宋体"/>
                <w:b/>
                <w:color w:val="000000"/>
                <w:kern w:val="0"/>
                <w:sz w:val="24"/>
              </w:rPr>
              <w:br w:type="textWrapping"/>
            </w:r>
            <w:r>
              <w:rPr>
                <w:rFonts w:hint="eastAsia" w:ascii="宋体" w:cs="宋体"/>
                <w:b/>
                <w:color w:val="000000"/>
                <w:kern w:val="0"/>
                <w:sz w:val="24"/>
              </w:rPr>
              <w:t>（11分）</w:t>
            </w:r>
          </w:p>
        </w:tc>
        <w:tc>
          <w:tcPr>
            <w:tcW w:w="166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目标完成</w:t>
            </w:r>
          </w:p>
        </w:tc>
        <w:tc>
          <w:tcPr>
            <w:tcW w:w="72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4</w:t>
            </w:r>
          </w:p>
        </w:tc>
        <w:tc>
          <w:tcPr>
            <w:tcW w:w="473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部门预算项目绩效目标数量指标完成情况</w:t>
            </w:r>
          </w:p>
        </w:tc>
        <w:tc>
          <w:tcPr>
            <w:tcW w:w="756"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left"/>
              <w:textAlignment w:val="center"/>
              <w:rPr>
                <w:rFonts w:ascii="宋体" w:cs="宋体"/>
                <w:color w:val="000000"/>
                <w:kern w:val="0"/>
                <w:sz w:val="24"/>
              </w:rPr>
            </w:pPr>
            <w:r>
              <w:rPr>
                <w:rFonts w:hint="eastAsia" w:ascii="宋体" w:cs="宋体"/>
                <w:color w:val="000000"/>
                <w:kern w:val="0"/>
                <w:sz w:val="24"/>
              </w:rPr>
              <w:t>4</w:t>
            </w:r>
          </w:p>
        </w:tc>
        <w:tc>
          <w:tcPr>
            <w:tcW w:w="47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left"/>
              <w:textAlignment w:val="center"/>
              <w:rPr>
                <w:rFonts w:ascii="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vAlign w:val="center"/>
          </w:tcPr>
          <w:p/>
        </w:tc>
        <w:tc>
          <w:tcPr>
            <w:tcW w:w="1462" w:type="dxa"/>
            <w:vMerge w:val="continue"/>
            <w:tcBorders>
              <w:top w:val="single" w:color="000000" w:sz="4" w:space="0"/>
              <w:left w:val="single" w:color="000000" w:sz="4" w:space="0"/>
              <w:bottom w:val="single" w:color="000000" w:sz="4" w:space="0"/>
              <w:right w:val="single" w:color="000000" w:sz="4" w:space="0"/>
            </w:tcBorders>
            <w:vAlign w:val="center"/>
          </w:tcPr>
          <w:p/>
        </w:tc>
        <w:tc>
          <w:tcPr>
            <w:tcW w:w="166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目标偏离</w:t>
            </w:r>
          </w:p>
        </w:tc>
        <w:tc>
          <w:tcPr>
            <w:tcW w:w="72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4</w:t>
            </w:r>
          </w:p>
        </w:tc>
        <w:tc>
          <w:tcPr>
            <w:tcW w:w="473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部门预算项目绩效目标数量指标实现程度与预期目标的偏离情况</w:t>
            </w:r>
          </w:p>
        </w:tc>
        <w:tc>
          <w:tcPr>
            <w:tcW w:w="756"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left"/>
              <w:textAlignment w:val="center"/>
              <w:rPr>
                <w:rFonts w:ascii="宋体" w:cs="宋体"/>
                <w:color w:val="000000"/>
                <w:kern w:val="0"/>
                <w:sz w:val="24"/>
              </w:rPr>
            </w:pPr>
            <w:r>
              <w:rPr>
                <w:rFonts w:hint="eastAsia" w:ascii="宋体" w:cs="宋体"/>
                <w:color w:val="000000"/>
                <w:kern w:val="0"/>
                <w:sz w:val="24"/>
              </w:rPr>
              <w:t>4</w:t>
            </w:r>
          </w:p>
        </w:tc>
        <w:tc>
          <w:tcPr>
            <w:tcW w:w="47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left"/>
              <w:textAlignment w:val="center"/>
              <w:rPr>
                <w:rFonts w:ascii="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vAlign w:val="center"/>
          </w:tcPr>
          <w:p/>
        </w:tc>
        <w:tc>
          <w:tcPr>
            <w:tcW w:w="1462" w:type="dxa"/>
            <w:vMerge w:val="continue"/>
            <w:tcBorders>
              <w:top w:val="single" w:color="000000" w:sz="4" w:space="0"/>
              <w:left w:val="single" w:color="000000" w:sz="4" w:space="0"/>
              <w:bottom w:val="single" w:color="000000" w:sz="4" w:space="0"/>
              <w:right w:val="single" w:color="000000" w:sz="4" w:space="0"/>
            </w:tcBorders>
            <w:vAlign w:val="center"/>
          </w:tcPr>
          <w:p/>
        </w:tc>
        <w:tc>
          <w:tcPr>
            <w:tcW w:w="166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实现效果</w:t>
            </w:r>
          </w:p>
        </w:tc>
        <w:tc>
          <w:tcPr>
            <w:tcW w:w="72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3</w:t>
            </w:r>
          </w:p>
        </w:tc>
        <w:tc>
          <w:tcPr>
            <w:tcW w:w="473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部门预算项目绩效目标效益指标实施效果</w:t>
            </w:r>
          </w:p>
        </w:tc>
        <w:tc>
          <w:tcPr>
            <w:tcW w:w="756"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left"/>
              <w:textAlignment w:val="center"/>
              <w:rPr>
                <w:rFonts w:ascii="宋体" w:cs="宋体"/>
                <w:color w:val="000000"/>
                <w:kern w:val="0"/>
                <w:sz w:val="24"/>
              </w:rPr>
            </w:pPr>
            <w:r>
              <w:rPr>
                <w:rFonts w:hint="eastAsia" w:ascii="宋体" w:cs="宋体"/>
                <w:color w:val="000000"/>
                <w:kern w:val="0"/>
                <w:sz w:val="24"/>
              </w:rPr>
              <w:t>2</w:t>
            </w:r>
          </w:p>
        </w:tc>
        <w:tc>
          <w:tcPr>
            <w:tcW w:w="47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left"/>
              <w:textAlignment w:val="center"/>
              <w:rPr>
                <w:rFonts w:ascii="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0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cs="宋体"/>
                <w:b/>
                <w:color w:val="000000"/>
                <w:sz w:val="24"/>
              </w:rPr>
            </w:pPr>
            <w:r>
              <w:rPr>
                <w:rFonts w:hint="eastAsia" w:ascii="宋体" w:cs="宋体"/>
                <w:b/>
                <w:color w:val="000000"/>
                <w:kern w:val="0"/>
                <w:sz w:val="24"/>
              </w:rPr>
              <w:t>扣分项</w:t>
            </w:r>
            <w:r>
              <w:rPr>
                <w:rFonts w:hint="eastAsia" w:ascii="宋体" w:cs="宋体"/>
                <w:b/>
                <w:color w:val="000000"/>
                <w:kern w:val="0"/>
                <w:sz w:val="24"/>
              </w:rPr>
              <w:br w:type="textWrapping"/>
            </w:r>
            <w:r>
              <w:rPr>
                <w:rFonts w:hint="eastAsia" w:ascii="宋体" w:cs="宋体"/>
                <w:b/>
                <w:color w:val="000000"/>
                <w:kern w:val="0"/>
                <w:sz w:val="24"/>
              </w:rPr>
              <w:t>（10分）</w:t>
            </w:r>
          </w:p>
        </w:tc>
        <w:tc>
          <w:tcPr>
            <w:tcW w:w="3127"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被评价部门配合度</w:t>
            </w:r>
          </w:p>
        </w:tc>
        <w:tc>
          <w:tcPr>
            <w:tcW w:w="72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w:t>
            </w:r>
          </w:p>
        </w:tc>
        <w:tc>
          <w:tcPr>
            <w:tcW w:w="473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被评价对象工作配合情况</w:t>
            </w:r>
          </w:p>
        </w:tc>
        <w:tc>
          <w:tcPr>
            <w:tcW w:w="756"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left"/>
              <w:textAlignment w:val="center"/>
              <w:rPr>
                <w:rFonts w:ascii="宋体" w:cs="宋体"/>
                <w:color w:val="000000"/>
                <w:kern w:val="0"/>
                <w:sz w:val="24"/>
              </w:rPr>
            </w:pPr>
          </w:p>
        </w:tc>
        <w:tc>
          <w:tcPr>
            <w:tcW w:w="47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left"/>
              <w:textAlignment w:val="center"/>
              <w:rPr>
                <w:rFonts w:ascii="宋体" w:cs="宋体"/>
                <w:color w:val="000000"/>
                <w:kern w:val="0"/>
                <w:sz w:val="24"/>
              </w:rPr>
            </w:pPr>
          </w:p>
        </w:tc>
      </w:tr>
    </w:tbl>
    <w:p>
      <w:pPr>
        <w:keepNext/>
        <w:keepLines/>
        <w:spacing w:before="280" w:after="156" w:line="20" w:lineRule="exact"/>
        <w:jc w:val="left"/>
        <w:outlineLvl w:val="4"/>
        <w:rPr>
          <w:rFonts w:ascii="Arial" w:hAnsi="Arial" w:eastAsia="黑体"/>
          <w:b/>
          <w:sz w:val="24"/>
          <w:szCs w:val="28"/>
        </w:rPr>
      </w:pPr>
    </w:p>
    <w:p>
      <w:pPr>
        <w:spacing w:line="578" w:lineRule="exact"/>
        <w:jc w:val="left"/>
        <w:rPr>
          <w:rFonts w:eastAsia="黑体"/>
        </w:rPr>
      </w:pPr>
    </w:p>
    <w:tbl>
      <w:tblPr>
        <w:tblStyle w:val="18"/>
        <w:tblW w:w="10560" w:type="dxa"/>
        <w:jc w:val="center"/>
        <w:tblLayout w:type="fixed"/>
        <w:tblCellMar>
          <w:top w:w="15" w:type="dxa"/>
          <w:left w:w="15" w:type="dxa"/>
          <w:bottom w:w="15" w:type="dxa"/>
          <w:right w:w="15" w:type="dxa"/>
        </w:tblCellMar>
      </w:tblPr>
      <w:tblGrid>
        <w:gridCol w:w="10560"/>
      </w:tblGrid>
      <w:tr>
        <w:tblPrEx>
          <w:tblCellMar>
            <w:top w:w="15" w:type="dxa"/>
            <w:left w:w="15" w:type="dxa"/>
            <w:bottom w:w="15" w:type="dxa"/>
            <w:right w:w="15" w:type="dxa"/>
          </w:tblCellMar>
        </w:tblPrEx>
        <w:trPr>
          <w:trHeight w:val="762" w:hRule="exact"/>
          <w:jc w:val="center"/>
        </w:trPr>
        <w:tc>
          <w:tcPr>
            <w:tcW w:w="10560" w:type="dxa"/>
          </w:tcPr>
          <w:p>
            <w:pPr>
              <w:spacing w:line="578" w:lineRule="exact"/>
              <w:jc w:val="left"/>
              <w:rPr>
                <w:rFonts w:eastAsia="黑体"/>
              </w:rPr>
            </w:pPr>
            <w:r>
              <w:rPr>
                <w:rFonts w:eastAsia="黑体"/>
              </w:rPr>
              <w:t>附表</w:t>
            </w:r>
            <w:r>
              <w:rPr>
                <w:rFonts w:hint="eastAsia" w:eastAsia="黑体"/>
              </w:rPr>
              <w:t>2</w:t>
            </w:r>
          </w:p>
        </w:tc>
      </w:tr>
      <w:tr>
        <w:tblPrEx>
          <w:tblCellMar>
            <w:top w:w="15" w:type="dxa"/>
            <w:left w:w="15" w:type="dxa"/>
            <w:bottom w:w="15" w:type="dxa"/>
            <w:right w:w="15" w:type="dxa"/>
          </w:tblCellMar>
        </w:tblPrEx>
        <w:trPr>
          <w:trHeight w:val="23" w:hRule="atLeast"/>
          <w:jc w:val="center"/>
        </w:trPr>
        <w:tc>
          <w:tcPr>
            <w:tcW w:w="10560" w:type="dxa"/>
          </w:tcPr>
          <w:tbl>
            <w:tblPr>
              <w:tblStyle w:val="18"/>
              <w:tblW w:w="10365" w:type="dxa"/>
              <w:jc w:val="center"/>
              <w:tblLayout w:type="fixed"/>
              <w:tblCellMar>
                <w:top w:w="15" w:type="dxa"/>
                <w:left w:w="15" w:type="dxa"/>
                <w:bottom w:w="15" w:type="dxa"/>
                <w:right w:w="15" w:type="dxa"/>
              </w:tblCellMar>
            </w:tblPr>
            <w:tblGrid>
              <w:gridCol w:w="1308"/>
              <w:gridCol w:w="1141"/>
              <w:gridCol w:w="1245"/>
              <w:gridCol w:w="1417"/>
              <w:gridCol w:w="1062"/>
              <w:gridCol w:w="1631"/>
              <w:gridCol w:w="716"/>
              <w:gridCol w:w="1845"/>
            </w:tblGrid>
            <w:tr>
              <w:tblPrEx>
                <w:tblCellMar>
                  <w:top w:w="15" w:type="dxa"/>
                  <w:left w:w="15" w:type="dxa"/>
                  <w:bottom w:w="15" w:type="dxa"/>
                  <w:right w:w="15" w:type="dxa"/>
                </w:tblCellMar>
              </w:tblPrEx>
              <w:trPr>
                <w:trHeight w:val="762" w:hRule="exact"/>
                <w:jc w:val="center"/>
              </w:trPr>
              <w:tc>
                <w:tcPr>
                  <w:tcW w:w="10365" w:type="dxa"/>
                  <w:gridSpan w:val="8"/>
                  <w:vAlign w:val="center"/>
                </w:tcPr>
                <w:p>
                  <w:pPr>
                    <w:widowControl/>
                    <w:spacing w:line="600" w:lineRule="exact"/>
                    <w:jc w:val="center"/>
                    <w:textAlignment w:val="center"/>
                    <w:rPr>
                      <w:rFonts w:eastAsia="黑体"/>
                      <w:color w:val="000000"/>
                      <w:sz w:val="28"/>
                      <w:szCs w:val="28"/>
                    </w:rPr>
                  </w:pPr>
                  <w:r>
                    <w:rPr>
                      <w:rFonts w:eastAsia="Arial Unicode MS"/>
                      <w:color w:val="000000"/>
                      <w:kern w:val="0"/>
                      <w:sz w:val="44"/>
                      <w:szCs w:val="44"/>
                      <w:lang w:bidi="ar"/>
                    </w:rPr>
                    <w:t>部门整体绩效目标完成情况自评表</w:t>
                  </w:r>
                </w:p>
              </w:tc>
            </w:tr>
            <w:tr>
              <w:tblPrEx>
                <w:tblCellMar>
                  <w:top w:w="15" w:type="dxa"/>
                  <w:left w:w="15" w:type="dxa"/>
                  <w:bottom w:w="15" w:type="dxa"/>
                  <w:right w:w="15" w:type="dxa"/>
                </w:tblCellMar>
              </w:tblPrEx>
              <w:trPr>
                <w:trHeight w:val="23" w:hRule="atLeast"/>
                <w:jc w:val="center"/>
              </w:trPr>
              <w:tc>
                <w:tcPr>
                  <w:tcW w:w="10365" w:type="dxa"/>
                  <w:gridSpan w:val="8"/>
                  <w:vAlign w:val="center"/>
                </w:tcPr>
                <w:p>
                  <w:pPr>
                    <w:widowControl/>
                    <w:spacing w:line="300" w:lineRule="exact"/>
                    <w:jc w:val="center"/>
                    <w:textAlignment w:val="center"/>
                    <w:rPr>
                      <w:color w:val="000000"/>
                      <w:sz w:val="28"/>
                      <w:szCs w:val="28"/>
                    </w:rPr>
                  </w:pPr>
                  <w:r>
                    <w:rPr>
                      <w:color w:val="000000"/>
                      <w:kern w:val="0"/>
                      <w:sz w:val="28"/>
                      <w:szCs w:val="28"/>
                      <w:lang w:bidi="ar"/>
                    </w:rPr>
                    <w:t>（202</w:t>
                  </w:r>
                  <w:r>
                    <w:rPr>
                      <w:rFonts w:hint="eastAsia"/>
                      <w:color w:val="000000"/>
                      <w:kern w:val="0"/>
                      <w:sz w:val="28"/>
                      <w:szCs w:val="28"/>
                      <w:lang w:bidi="ar"/>
                    </w:rPr>
                    <w:t>5</w:t>
                  </w:r>
                  <w:r>
                    <w:rPr>
                      <w:color w:val="000000"/>
                      <w:kern w:val="0"/>
                      <w:sz w:val="28"/>
                      <w:szCs w:val="28"/>
                      <w:lang w:bidi="ar"/>
                    </w:rPr>
                    <w:t>年度）</w:t>
                  </w:r>
                </w:p>
              </w:tc>
            </w:tr>
            <w:tr>
              <w:tblPrEx>
                <w:tblCellMar>
                  <w:top w:w="15" w:type="dxa"/>
                  <w:left w:w="15" w:type="dxa"/>
                  <w:bottom w:w="15" w:type="dxa"/>
                  <w:right w:w="15" w:type="dxa"/>
                </w:tblCellMar>
              </w:tblPrEx>
              <w:trPr>
                <w:trHeight w:val="23" w:hRule="atLeast"/>
                <w:jc w:val="center"/>
              </w:trPr>
              <w:tc>
                <w:tcPr>
                  <w:tcW w:w="10365" w:type="dxa"/>
                  <w:gridSpan w:val="8"/>
                  <w:tcBorders>
                    <w:bottom w:val="single" w:color="000000" w:sz="4" w:space="0"/>
                  </w:tcBorders>
                  <w:vAlign w:val="center"/>
                </w:tcPr>
                <w:p>
                  <w:pPr>
                    <w:widowControl/>
                    <w:spacing w:line="300" w:lineRule="exact"/>
                    <w:jc w:val="right"/>
                    <w:textAlignment w:val="center"/>
                    <w:rPr>
                      <w:color w:val="000000"/>
                      <w:szCs w:val="21"/>
                    </w:rPr>
                  </w:pPr>
                  <w:r>
                    <w:rPr>
                      <w:color w:val="000000"/>
                      <w:kern w:val="0"/>
                      <w:szCs w:val="21"/>
                      <w:lang w:bidi="ar"/>
                    </w:rPr>
                    <w:t>单位：万元</w:t>
                  </w:r>
                </w:p>
              </w:tc>
            </w:tr>
            <w:tr>
              <w:tblPrEx>
                <w:tblCellMar>
                  <w:top w:w="15" w:type="dxa"/>
                  <w:left w:w="15" w:type="dxa"/>
                  <w:bottom w:w="15" w:type="dxa"/>
                  <w:right w:w="15" w:type="dxa"/>
                </w:tblCellMar>
              </w:tblPrEx>
              <w:trPr>
                <w:trHeight w:val="23" w:hRule="atLeast"/>
                <w:jc w:val="center"/>
              </w:trPr>
              <w:tc>
                <w:tcPr>
                  <w:tcW w:w="3694" w:type="dxa"/>
                  <w:gridSpan w:val="3"/>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textAlignment w:val="center"/>
                    <w:rPr>
                      <w:color w:val="000000"/>
                      <w:sz w:val="24"/>
                    </w:rPr>
                  </w:pPr>
                  <w:r>
                    <w:rPr>
                      <w:color w:val="000000"/>
                      <w:kern w:val="0"/>
                      <w:sz w:val="24"/>
                      <w:lang w:bidi="ar"/>
                    </w:rPr>
                    <w:t>部门名称</w:t>
                  </w:r>
                </w:p>
              </w:tc>
              <w:tc>
                <w:tcPr>
                  <w:tcW w:w="6671" w:type="dxa"/>
                  <w:gridSpan w:val="5"/>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textAlignment w:val="center"/>
                    <w:rPr>
                      <w:color w:val="000000"/>
                      <w:sz w:val="24"/>
                    </w:rPr>
                  </w:pPr>
                  <w:r>
                    <w:rPr>
                      <w:rFonts w:hint="eastAsia"/>
                      <w:color w:val="000000"/>
                      <w:sz w:val="24"/>
                    </w:rPr>
                    <w:t>攀枝花市仁和区信访局</w:t>
                  </w:r>
                </w:p>
              </w:tc>
            </w:tr>
            <w:tr>
              <w:tblPrEx>
                <w:tblCellMar>
                  <w:top w:w="15" w:type="dxa"/>
                  <w:left w:w="15" w:type="dxa"/>
                  <w:bottom w:w="15" w:type="dxa"/>
                  <w:right w:w="15" w:type="dxa"/>
                </w:tblCellMar>
              </w:tblPrEx>
              <w:trPr>
                <w:trHeight w:val="23" w:hRule="atLeast"/>
                <w:jc w:val="center"/>
              </w:trPr>
              <w:tc>
                <w:tcPr>
                  <w:tcW w:w="1308"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textAlignment w:val="center"/>
                    <w:rPr>
                      <w:color w:val="000000"/>
                      <w:sz w:val="24"/>
                    </w:rPr>
                  </w:pPr>
                  <w:r>
                    <w:rPr>
                      <w:color w:val="000000"/>
                      <w:kern w:val="0"/>
                      <w:sz w:val="24"/>
                      <w:lang w:bidi="ar"/>
                    </w:rPr>
                    <w:t>年度部门整体支出预算</w:t>
                  </w:r>
                </w:p>
              </w:tc>
              <w:tc>
                <w:tcPr>
                  <w:tcW w:w="2386"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textAlignment w:val="center"/>
                    <w:rPr>
                      <w:color w:val="000000"/>
                      <w:sz w:val="24"/>
                    </w:rPr>
                  </w:pPr>
                  <w:r>
                    <w:rPr>
                      <w:color w:val="000000"/>
                      <w:kern w:val="0"/>
                      <w:sz w:val="24"/>
                      <w:lang w:bidi="ar"/>
                    </w:rPr>
                    <w:t>资金总额</w:t>
                  </w:r>
                </w:p>
              </w:tc>
              <w:tc>
                <w:tcPr>
                  <w:tcW w:w="2479"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textAlignment w:val="center"/>
                    <w:rPr>
                      <w:color w:val="000000"/>
                      <w:sz w:val="24"/>
                    </w:rPr>
                  </w:pPr>
                  <w:r>
                    <w:rPr>
                      <w:color w:val="000000"/>
                      <w:kern w:val="0"/>
                      <w:sz w:val="24"/>
                      <w:lang w:bidi="ar"/>
                    </w:rPr>
                    <w:t>财政拨款</w:t>
                  </w:r>
                </w:p>
              </w:tc>
              <w:tc>
                <w:tcPr>
                  <w:tcW w:w="4192" w:type="dxa"/>
                  <w:gridSpan w:val="3"/>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textAlignment w:val="center"/>
                    <w:rPr>
                      <w:color w:val="000000"/>
                      <w:sz w:val="24"/>
                    </w:rPr>
                  </w:pPr>
                  <w:r>
                    <w:rPr>
                      <w:color w:val="000000"/>
                      <w:kern w:val="0"/>
                      <w:sz w:val="24"/>
                      <w:lang w:bidi="ar"/>
                    </w:rPr>
                    <w:t>其他资金</w:t>
                  </w:r>
                </w:p>
              </w:tc>
            </w:tr>
            <w:tr>
              <w:tblPrEx>
                <w:tblCellMar>
                  <w:top w:w="15" w:type="dxa"/>
                  <w:left w:w="15" w:type="dxa"/>
                  <w:bottom w:w="15" w:type="dxa"/>
                  <w:right w:w="15" w:type="dxa"/>
                </w:tblCellMar>
              </w:tblPrEx>
              <w:trPr>
                <w:trHeight w:val="23" w:hRule="atLeast"/>
                <w:jc w:val="center"/>
              </w:trPr>
              <w:tc>
                <w:tcPr>
                  <w:tcW w:w="1308"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rPr>
                      <w:color w:val="000000"/>
                      <w:sz w:val="24"/>
                    </w:rPr>
                  </w:pPr>
                </w:p>
              </w:tc>
              <w:tc>
                <w:tcPr>
                  <w:tcW w:w="2386"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textAlignment w:val="center"/>
                    <w:rPr>
                      <w:color w:val="000000"/>
                      <w:sz w:val="24"/>
                    </w:rPr>
                  </w:pPr>
                  <w:r>
                    <w:rPr>
                      <w:rFonts w:hint="eastAsia"/>
                      <w:color w:val="000000"/>
                      <w:kern w:val="0"/>
                      <w:sz w:val="24"/>
                      <w:lang w:bidi="ar"/>
                    </w:rPr>
                    <w:t>369.44</w:t>
                  </w:r>
                </w:p>
              </w:tc>
              <w:tc>
                <w:tcPr>
                  <w:tcW w:w="2479"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textAlignment w:val="center"/>
                    <w:rPr>
                      <w:color w:val="000000"/>
                      <w:sz w:val="24"/>
                    </w:rPr>
                  </w:pPr>
                  <w:r>
                    <w:rPr>
                      <w:rFonts w:hint="eastAsia"/>
                      <w:color w:val="000000"/>
                      <w:kern w:val="0"/>
                      <w:sz w:val="24"/>
                      <w:lang w:bidi="ar"/>
                    </w:rPr>
                    <w:t>369.44</w:t>
                  </w:r>
                </w:p>
              </w:tc>
              <w:tc>
                <w:tcPr>
                  <w:tcW w:w="4192" w:type="dxa"/>
                  <w:gridSpan w:val="3"/>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textAlignment w:val="center"/>
                    <w:rPr>
                      <w:color w:val="000000"/>
                      <w:sz w:val="24"/>
                    </w:rPr>
                  </w:pPr>
                  <w:r>
                    <w:rPr>
                      <w:rFonts w:hint="eastAsia"/>
                      <w:color w:val="000000"/>
                      <w:sz w:val="24"/>
                    </w:rPr>
                    <w:t>0.00</w:t>
                  </w:r>
                </w:p>
              </w:tc>
            </w:tr>
            <w:tr>
              <w:tblPrEx>
                <w:tblCellMar>
                  <w:top w:w="15" w:type="dxa"/>
                  <w:left w:w="15" w:type="dxa"/>
                  <w:bottom w:w="15" w:type="dxa"/>
                  <w:right w:w="15" w:type="dxa"/>
                </w:tblCellMar>
              </w:tblPrEx>
              <w:trPr>
                <w:trHeight w:val="23" w:hRule="atLeast"/>
                <w:jc w:val="center"/>
              </w:trPr>
              <w:tc>
                <w:tcPr>
                  <w:tcW w:w="1308"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textAlignment w:val="center"/>
                    <w:rPr>
                      <w:color w:val="000000"/>
                      <w:kern w:val="0"/>
                      <w:sz w:val="24"/>
                      <w:lang w:bidi="ar"/>
                    </w:rPr>
                  </w:pPr>
                  <w:r>
                    <w:rPr>
                      <w:color w:val="000000"/>
                      <w:kern w:val="0"/>
                      <w:sz w:val="24"/>
                      <w:lang w:bidi="ar"/>
                    </w:rPr>
                    <w:t>年度总体</w:t>
                  </w:r>
                </w:p>
                <w:p>
                  <w:pPr>
                    <w:widowControl/>
                    <w:spacing w:line="300" w:lineRule="exact"/>
                    <w:jc w:val="center"/>
                    <w:textAlignment w:val="center"/>
                    <w:rPr>
                      <w:color w:val="000000"/>
                      <w:sz w:val="24"/>
                    </w:rPr>
                  </w:pPr>
                  <w:r>
                    <w:rPr>
                      <w:color w:val="000000"/>
                      <w:kern w:val="0"/>
                      <w:sz w:val="24"/>
                      <w:lang w:bidi="ar"/>
                    </w:rPr>
                    <w:t>目标</w:t>
                  </w:r>
                </w:p>
              </w:tc>
              <w:tc>
                <w:tcPr>
                  <w:tcW w:w="9057" w:type="dxa"/>
                  <w:gridSpan w:val="7"/>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textAlignment w:val="center"/>
                    <w:rPr>
                      <w:color w:val="000000"/>
                      <w:sz w:val="24"/>
                    </w:rPr>
                  </w:pPr>
                  <w:r>
                    <w:rPr>
                      <w:rFonts w:hint="eastAsia"/>
                      <w:color w:val="000000"/>
                      <w:kern w:val="0"/>
                      <w:sz w:val="24"/>
                      <w:lang w:bidi="ar"/>
                    </w:rPr>
                    <w:t>保障人员基本工资、津贴补贴、奖金、社会保障缴费、绩效工资、住房公积金、退休费等支出；保障部门正常办公运转。保障2025年仁和区矛盾纠纷排查化解、维稳、信访、驻京驻蓉值班值守、法律顾问、办公场所保洁、信访事项化解等经费支出。保障2025年仁和区群众意见受理中心工作的正常开展，确保各项工作均能顺利开展。</w:t>
                  </w:r>
                </w:p>
              </w:tc>
            </w:tr>
            <w:tr>
              <w:tblPrEx>
                <w:tblCellMar>
                  <w:top w:w="15" w:type="dxa"/>
                  <w:left w:w="15" w:type="dxa"/>
                  <w:bottom w:w="15" w:type="dxa"/>
                  <w:right w:w="15" w:type="dxa"/>
                </w:tblCellMar>
              </w:tblPrEx>
              <w:trPr>
                <w:trHeight w:val="23" w:hRule="atLeast"/>
                <w:jc w:val="center"/>
              </w:trPr>
              <w:tc>
                <w:tcPr>
                  <w:tcW w:w="1308"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textAlignment w:val="center"/>
                    <w:rPr>
                      <w:color w:val="000000"/>
                      <w:kern w:val="0"/>
                      <w:sz w:val="24"/>
                      <w:lang w:bidi="ar"/>
                    </w:rPr>
                  </w:pPr>
                  <w:r>
                    <w:rPr>
                      <w:color w:val="000000"/>
                      <w:kern w:val="0"/>
                      <w:sz w:val="24"/>
                      <w:lang w:bidi="ar"/>
                    </w:rPr>
                    <w:t>年度主要</w:t>
                  </w:r>
                </w:p>
                <w:p>
                  <w:pPr>
                    <w:widowControl/>
                    <w:spacing w:line="300" w:lineRule="exact"/>
                    <w:jc w:val="center"/>
                    <w:textAlignment w:val="center"/>
                    <w:rPr>
                      <w:color w:val="000000"/>
                      <w:sz w:val="24"/>
                    </w:rPr>
                  </w:pPr>
                  <w:r>
                    <w:rPr>
                      <w:color w:val="000000"/>
                      <w:kern w:val="0"/>
                      <w:sz w:val="24"/>
                      <w:lang w:bidi="ar"/>
                    </w:rPr>
                    <w:t>任务</w:t>
                  </w:r>
                </w:p>
              </w:tc>
              <w:tc>
                <w:tcPr>
                  <w:tcW w:w="2386"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textAlignment w:val="center"/>
                    <w:rPr>
                      <w:color w:val="000000"/>
                      <w:sz w:val="24"/>
                    </w:rPr>
                  </w:pPr>
                  <w:r>
                    <w:rPr>
                      <w:color w:val="000000"/>
                      <w:kern w:val="0"/>
                      <w:sz w:val="24"/>
                      <w:lang w:bidi="ar"/>
                    </w:rPr>
                    <w:t>任务名称</w:t>
                  </w:r>
                </w:p>
              </w:tc>
              <w:tc>
                <w:tcPr>
                  <w:tcW w:w="6671" w:type="dxa"/>
                  <w:gridSpan w:val="5"/>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textAlignment w:val="center"/>
                    <w:rPr>
                      <w:color w:val="000000"/>
                      <w:sz w:val="24"/>
                    </w:rPr>
                  </w:pPr>
                  <w:r>
                    <w:rPr>
                      <w:color w:val="000000"/>
                      <w:kern w:val="0"/>
                      <w:sz w:val="24"/>
                      <w:lang w:bidi="ar"/>
                    </w:rPr>
                    <w:t>主要内容</w:t>
                  </w:r>
                </w:p>
              </w:tc>
            </w:tr>
            <w:tr>
              <w:tblPrEx>
                <w:tblCellMar>
                  <w:top w:w="15" w:type="dxa"/>
                  <w:left w:w="15" w:type="dxa"/>
                  <w:bottom w:w="15" w:type="dxa"/>
                  <w:right w:w="15" w:type="dxa"/>
                </w:tblCellMar>
              </w:tblPrEx>
              <w:trPr>
                <w:trHeight w:val="23" w:hRule="atLeast"/>
                <w:jc w:val="center"/>
              </w:trPr>
              <w:tc>
                <w:tcPr>
                  <w:tcW w:w="1308"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rPr>
                      <w:color w:val="000000"/>
                      <w:sz w:val="24"/>
                    </w:rPr>
                  </w:pPr>
                </w:p>
              </w:tc>
              <w:tc>
                <w:tcPr>
                  <w:tcW w:w="2386"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textAlignment w:val="center"/>
                    <w:rPr>
                      <w:color w:val="000000"/>
                      <w:sz w:val="24"/>
                    </w:rPr>
                  </w:pPr>
                  <w:r>
                    <w:rPr>
                      <w:rFonts w:hint="eastAsia"/>
                      <w:color w:val="000000"/>
                      <w:sz w:val="24"/>
                    </w:rPr>
                    <w:t>基本支出</w:t>
                  </w:r>
                </w:p>
              </w:tc>
              <w:tc>
                <w:tcPr>
                  <w:tcW w:w="6671" w:type="dxa"/>
                  <w:gridSpan w:val="5"/>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textAlignment w:val="center"/>
                    <w:rPr>
                      <w:color w:val="000000"/>
                      <w:sz w:val="24"/>
                    </w:rPr>
                  </w:pPr>
                  <w:r>
                    <w:rPr>
                      <w:rFonts w:hint="eastAsia"/>
                      <w:color w:val="000000"/>
                      <w:kern w:val="0"/>
                      <w:sz w:val="24"/>
                      <w:lang w:bidi="ar"/>
                    </w:rPr>
                    <w:t>保障人员的工资、保险、公积金等基本支出，以及人员类公用经费支出。</w:t>
                  </w:r>
                </w:p>
              </w:tc>
            </w:tr>
            <w:tr>
              <w:tblPrEx>
                <w:tblCellMar>
                  <w:top w:w="15" w:type="dxa"/>
                  <w:left w:w="15" w:type="dxa"/>
                  <w:bottom w:w="15" w:type="dxa"/>
                  <w:right w:w="15" w:type="dxa"/>
                </w:tblCellMar>
              </w:tblPrEx>
              <w:trPr>
                <w:trHeight w:val="826" w:hRule="atLeast"/>
                <w:jc w:val="center"/>
              </w:trPr>
              <w:tc>
                <w:tcPr>
                  <w:tcW w:w="1308"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rPr>
                      <w:color w:val="000000"/>
                      <w:sz w:val="24"/>
                    </w:rPr>
                  </w:pPr>
                </w:p>
              </w:tc>
              <w:tc>
                <w:tcPr>
                  <w:tcW w:w="2386"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rPr>
                      <w:color w:val="000000"/>
                      <w:sz w:val="24"/>
                    </w:rPr>
                  </w:pPr>
                  <w:r>
                    <w:rPr>
                      <w:rFonts w:hint="eastAsia"/>
                      <w:color w:val="000000"/>
                      <w:sz w:val="24"/>
                    </w:rPr>
                    <w:t>项目支出</w:t>
                  </w:r>
                </w:p>
              </w:tc>
              <w:tc>
                <w:tcPr>
                  <w:tcW w:w="6671" w:type="dxa"/>
                  <w:gridSpan w:val="5"/>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rPr>
                      <w:color w:val="000000"/>
                      <w:sz w:val="24"/>
                    </w:rPr>
                  </w:pPr>
                  <w:r>
                    <w:rPr>
                      <w:rFonts w:hint="eastAsia"/>
                      <w:color w:val="000000"/>
                      <w:sz w:val="24"/>
                    </w:rPr>
                    <w:t>保障项目的预算、入库、绩效评价、支付等。</w:t>
                  </w:r>
                </w:p>
              </w:tc>
            </w:tr>
            <w:tr>
              <w:tblPrEx>
                <w:tblCellMar>
                  <w:top w:w="15" w:type="dxa"/>
                  <w:left w:w="15" w:type="dxa"/>
                  <w:bottom w:w="15" w:type="dxa"/>
                  <w:right w:w="15" w:type="dxa"/>
                </w:tblCellMar>
              </w:tblPrEx>
              <w:trPr>
                <w:trHeight w:val="23" w:hRule="atLeast"/>
                <w:jc w:val="center"/>
              </w:trPr>
              <w:tc>
                <w:tcPr>
                  <w:tcW w:w="1308"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textAlignment w:val="center"/>
                    <w:rPr>
                      <w:color w:val="000000"/>
                      <w:kern w:val="0"/>
                      <w:sz w:val="24"/>
                      <w:lang w:bidi="ar"/>
                    </w:rPr>
                  </w:pPr>
                  <w:r>
                    <w:rPr>
                      <w:color w:val="000000"/>
                      <w:kern w:val="0"/>
                      <w:sz w:val="24"/>
                      <w:lang w:bidi="ar"/>
                    </w:rPr>
                    <w:t>年度绩效</w:t>
                  </w:r>
                </w:p>
                <w:p>
                  <w:pPr>
                    <w:widowControl/>
                    <w:spacing w:line="300" w:lineRule="exact"/>
                    <w:jc w:val="center"/>
                    <w:textAlignment w:val="center"/>
                    <w:rPr>
                      <w:color w:val="000000"/>
                      <w:sz w:val="24"/>
                    </w:rPr>
                  </w:pPr>
                  <w:r>
                    <w:rPr>
                      <w:color w:val="000000"/>
                      <w:kern w:val="0"/>
                      <w:sz w:val="24"/>
                      <w:lang w:bidi="ar"/>
                    </w:rPr>
                    <w:t>指标</w:t>
                  </w:r>
                </w:p>
              </w:tc>
              <w:tc>
                <w:tcPr>
                  <w:tcW w:w="1141"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textAlignment w:val="center"/>
                    <w:rPr>
                      <w:color w:val="000000"/>
                      <w:sz w:val="24"/>
                    </w:rPr>
                  </w:pPr>
                  <w:r>
                    <w:rPr>
                      <w:color w:val="000000"/>
                      <w:kern w:val="0"/>
                      <w:sz w:val="24"/>
                      <w:lang w:bidi="ar"/>
                    </w:rPr>
                    <w:t>一级指标</w:t>
                  </w:r>
                </w:p>
              </w:tc>
              <w:tc>
                <w:tcPr>
                  <w:tcW w:w="1245"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textAlignment w:val="center"/>
                    <w:rPr>
                      <w:color w:val="000000"/>
                      <w:sz w:val="24"/>
                    </w:rPr>
                  </w:pPr>
                  <w:r>
                    <w:rPr>
                      <w:color w:val="000000"/>
                      <w:kern w:val="0"/>
                      <w:sz w:val="24"/>
                      <w:lang w:bidi="ar"/>
                    </w:rPr>
                    <w:t>二级指标</w:t>
                  </w:r>
                </w:p>
              </w:tc>
              <w:tc>
                <w:tcPr>
                  <w:tcW w:w="1417"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textAlignment w:val="center"/>
                    <w:rPr>
                      <w:color w:val="000000"/>
                      <w:sz w:val="24"/>
                    </w:rPr>
                  </w:pPr>
                  <w:r>
                    <w:rPr>
                      <w:color w:val="000000"/>
                      <w:kern w:val="0"/>
                      <w:sz w:val="24"/>
                      <w:lang w:bidi="ar"/>
                    </w:rPr>
                    <w:t>三级指标</w:t>
                  </w:r>
                </w:p>
              </w:tc>
              <w:tc>
                <w:tcPr>
                  <w:tcW w:w="1062"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textAlignment w:val="center"/>
                    <w:rPr>
                      <w:color w:val="000000"/>
                      <w:kern w:val="0"/>
                      <w:sz w:val="24"/>
                      <w:lang w:bidi="ar"/>
                    </w:rPr>
                  </w:pPr>
                  <w:r>
                    <w:rPr>
                      <w:color w:val="000000"/>
                      <w:kern w:val="0"/>
                      <w:sz w:val="24"/>
                      <w:lang w:bidi="ar"/>
                    </w:rPr>
                    <w:t>绩效指标</w:t>
                  </w:r>
                </w:p>
                <w:p>
                  <w:pPr>
                    <w:widowControl/>
                    <w:spacing w:line="300" w:lineRule="exact"/>
                    <w:jc w:val="center"/>
                    <w:textAlignment w:val="center"/>
                    <w:rPr>
                      <w:color w:val="000000"/>
                      <w:sz w:val="24"/>
                    </w:rPr>
                  </w:pPr>
                  <w:r>
                    <w:rPr>
                      <w:color w:val="000000"/>
                      <w:kern w:val="0"/>
                      <w:sz w:val="24"/>
                      <w:lang w:bidi="ar"/>
                    </w:rPr>
                    <w:t>性质</w:t>
                  </w:r>
                </w:p>
              </w:tc>
              <w:tc>
                <w:tcPr>
                  <w:tcW w:w="1631"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textAlignment w:val="center"/>
                    <w:rPr>
                      <w:color w:val="000000"/>
                      <w:sz w:val="24"/>
                    </w:rPr>
                  </w:pPr>
                  <w:r>
                    <w:rPr>
                      <w:color w:val="000000"/>
                      <w:kern w:val="0"/>
                      <w:sz w:val="24"/>
                      <w:lang w:bidi="ar"/>
                    </w:rPr>
                    <w:t>绩效指标值</w:t>
                  </w:r>
                </w:p>
              </w:tc>
              <w:tc>
                <w:tcPr>
                  <w:tcW w:w="716"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textAlignment w:val="center"/>
                    <w:rPr>
                      <w:color w:val="000000"/>
                      <w:sz w:val="24"/>
                    </w:rPr>
                  </w:pPr>
                  <w:r>
                    <w:rPr>
                      <w:color w:val="000000"/>
                      <w:kern w:val="0"/>
                      <w:sz w:val="24"/>
                      <w:lang w:bidi="ar"/>
                    </w:rPr>
                    <w:t>绩效度量单位</w:t>
                  </w:r>
                </w:p>
              </w:tc>
              <w:tc>
                <w:tcPr>
                  <w:tcW w:w="1845"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textAlignment w:val="center"/>
                    <w:rPr>
                      <w:color w:val="000000"/>
                      <w:kern w:val="0"/>
                      <w:sz w:val="24"/>
                      <w:lang w:bidi="ar"/>
                    </w:rPr>
                  </w:pPr>
                  <w:r>
                    <w:rPr>
                      <w:color w:val="000000"/>
                      <w:kern w:val="0"/>
                      <w:sz w:val="24"/>
                      <w:lang w:bidi="ar"/>
                    </w:rPr>
                    <w:t>实际完成</w:t>
                  </w:r>
                </w:p>
                <w:p>
                  <w:pPr>
                    <w:widowControl/>
                    <w:spacing w:line="300" w:lineRule="exact"/>
                    <w:jc w:val="center"/>
                    <w:textAlignment w:val="center"/>
                    <w:rPr>
                      <w:color w:val="000000"/>
                      <w:sz w:val="24"/>
                    </w:rPr>
                  </w:pPr>
                  <w:r>
                    <w:rPr>
                      <w:color w:val="000000"/>
                      <w:kern w:val="0"/>
                      <w:sz w:val="24"/>
                      <w:lang w:bidi="ar"/>
                    </w:rPr>
                    <w:t>指标值</w:t>
                  </w:r>
                </w:p>
              </w:tc>
            </w:tr>
            <w:tr>
              <w:tblPrEx>
                <w:tblCellMar>
                  <w:top w:w="15" w:type="dxa"/>
                  <w:left w:w="15" w:type="dxa"/>
                  <w:bottom w:w="15" w:type="dxa"/>
                  <w:right w:w="15" w:type="dxa"/>
                </w:tblCellMar>
              </w:tblPrEx>
              <w:trPr>
                <w:trHeight w:val="23" w:hRule="atLeast"/>
                <w:jc w:val="center"/>
              </w:trPr>
              <w:tc>
                <w:tcPr>
                  <w:tcW w:w="1308"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rPr>
                      <w:color w:val="000000"/>
                      <w:sz w:val="24"/>
                    </w:rPr>
                  </w:pPr>
                </w:p>
              </w:tc>
              <w:tc>
                <w:tcPr>
                  <w:tcW w:w="1141"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textAlignment w:val="center"/>
                    <w:rPr>
                      <w:color w:val="000000"/>
                      <w:sz w:val="24"/>
                    </w:rPr>
                  </w:pPr>
                  <w:r>
                    <w:rPr>
                      <w:color w:val="000000"/>
                      <w:kern w:val="0"/>
                      <w:sz w:val="24"/>
                      <w:lang w:bidi="ar"/>
                    </w:rPr>
                    <w:t>产出指标</w:t>
                  </w:r>
                </w:p>
              </w:tc>
              <w:tc>
                <w:tcPr>
                  <w:tcW w:w="1245"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textAlignment w:val="center"/>
                    <w:rPr>
                      <w:color w:val="000000"/>
                      <w:sz w:val="24"/>
                    </w:rPr>
                  </w:pPr>
                  <w:r>
                    <w:rPr>
                      <w:color w:val="000000"/>
                      <w:kern w:val="0"/>
                      <w:sz w:val="24"/>
                      <w:lang w:bidi="ar"/>
                    </w:rPr>
                    <w:t>数量指标</w:t>
                  </w:r>
                </w:p>
              </w:tc>
              <w:tc>
                <w:tcPr>
                  <w:tcW w:w="1417"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textAlignment w:val="center"/>
                    <w:rPr>
                      <w:color w:val="000000"/>
                      <w:sz w:val="24"/>
                    </w:rPr>
                  </w:pPr>
                  <w:r>
                    <w:rPr>
                      <w:rFonts w:hint="eastAsia"/>
                      <w:color w:val="000000"/>
                      <w:sz w:val="24"/>
                    </w:rPr>
                    <w:t>财政供养人员</w:t>
                  </w:r>
                </w:p>
              </w:tc>
              <w:tc>
                <w:tcPr>
                  <w:tcW w:w="1062"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textAlignment w:val="center"/>
                    <w:rPr>
                      <w:color w:val="000000"/>
                      <w:sz w:val="24"/>
                    </w:rPr>
                  </w:pPr>
                  <w:r>
                    <w:rPr>
                      <w:rFonts w:hint="eastAsia"/>
                      <w:color w:val="000000"/>
                      <w:sz w:val="24"/>
                    </w:rPr>
                    <w:t>=</w:t>
                  </w:r>
                </w:p>
              </w:tc>
              <w:tc>
                <w:tcPr>
                  <w:tcW w:w="1631" w:type="dxa"/>
                  <w:tcBorders>
                    <w:top w:val="single" w:color="000000" w:sz="4" w:space="0"/>
                    <w:left w:val="single" w:color="000000" w:sz="4" w:space="0"/>
                    <w:bottom w:val="single" w:color="000000" w:sz="4" w:space="0"/>
                    <w:right w:val="single" w:color="000000" w:sz="4" w:space="0"/>
                  </w:tcBorders>
                  <w:vAlign w:val="center"/>
                </w:tcPr>
                <w:p>
                  <w:pPr>
                    <w:widowControl/>
                    <w:tabs>
                      <w:tab w:val="center" w:pos="629"/>
                    </w:tabs>
                    <w:spacing w:line="300" w:lineRule="exact"/>
                    <w:jc w:val="left"/>
                    <w:textAlignment w:val="center"/>
                    <w:rPr>
                      <w:color w:val="000000"/>
                      <w:sz w:val="24"/>
                    </w:rPr>
                  </w:pPr>
                  <w:r>
                    <w:rPr>
                      <w:rFonts w:hint="eastAsia"/>
                      <w:color w:val="000000"/>
                      <w:sz w:val="24"/>
                    </w:rPr>
                    <w:t>11</w:t>
                  </w:r>
                </w:p>
              </w:tc>
              <w:tc>
                <w:tcPr>
                  <w:tcW w:w="716"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textAlignment w:val="center"/>
                    <w:rPr>
                      <w:color w:val="000000"/>
                      <w:sz w:val="24"/>
                    </w:rPr>
                  </w:pPr>
                  <w:r>
                    <w:rPr>
                      <w:rFonts w:hint="eastAsia"/>
                      <w:color w:val="000000"/>
                      <w:sz w:val="24"/>
                    </w:rPr>
                    <w:t>人</w:t>
                  </w:r>
                </w:p>
              </w:tc>
              <w:tc>
                <w:tcPr>
                  <w:tcW w:w="1845"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textAlignment w:val="center"/>
                    <w:rPr>
                      <w:color w:val="000000"/>
                      <w:sz w:val="24"/>
                    </w:rPr>
                  </w:pPr>
                  <w:r>
                    <w:rPr>
                      <w:rFonts w:hint="eastAsia"/>
                      <w:color w:val="000000"/>
                      <w:sz w:val="24"/>
                    </w:rPr>
                    <w:t>11</w:t>
                  </w:r>
                </w:p>
              </w:tc>
            </w:tr>
            <w:tr>
              <w:tblPrEx>
                <w:tblCellMar>
                  <w:top w:w="15" w:type="dxa"/>
                  <w:left w:w="15" w:type="dxa"/>
                  <w:bottom w:w="15" w:type="dxa"/>
                  <w:right w:w="15" w:type="dxa"/>
                </w:tblCellMar>
              </w:tblPrEx>
              <w:trPr>
                <w:trHeight w:val="23" w:hRule="atLeast"/>
                <w:jc w:val="center"/>
              </w:trPr>
              <w:tc>
                <w:tcPr>
                  <w:tcW w:w="1308"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rPr>
                      <w:color w:val="000000"/>
                      <w:sz w:val="24"/>
                    </w:rPr>
                  </w:pPr>
                </w:p>
              </w:tc>
              <w:tc>
                <w:tcPr>
                  <w:tcW w:w="1141"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rPr>
                      <w:color w:val="000000"/>
                      <w:sz w:val="24"/>
                    </w:rPr>
                  </w:pPr>
                </w:p>
              </w:tc>
              <w:tc>
                <w:tcPr>
                  <w:tcW w:w="1245"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rPr>
                      <w:color w:val="000000"/>
                      <w:sz w:val="24"/>
                    </w:rPr>
                  </w:pPr>
                </w:p>
              </w:tc>
              <w:tc>
                <w:tcPr>
                  <w:tcW w:w="1417"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rPr>
                      <w:color w:val="000000"/>
                      <w:sz w:val="24"/>
                    </w:rPr>
                  </w:pPr>
                  <w:r>
                    <w:rPr>
                      <w:rFonts w:hint="eastAsia"/>
                      <w:color w:val="000000"/>
                      <w:sz w:val="24"/>
                    </w:rPr>
                    <w:t>常规项目、阶段项目</w:t>
                  </w:r>
                </w:p>
              </w:tc>
              <w:tc>
                <w:tcPr>
                  <w:tcW w:w="1062"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rPr>
                      <w:color w:val="000000"/>
                      <w:sz w:val="24"/>
                    </w:rPr>
                  </w:pPr>
                  <w:r>
                    <w:rPr>
                      <w:rFonts w:hint="eastAsia"/>
                      <w:color w:val="000000"/>
                      <w:sz w:val="24"/>
                    </w:rPr>
                    <w:t>=</w:t>
                  </w:r>
                </w:p>
              </w:tc>
              <w:tc>
                <w:tcPr>
                  <w:tcW w:w="1631"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rPr>
                      <w:color w:val="000000"/>
                      <w:sz w:val="24"/>
                    </w:rPr>
                  </w:pPr>
                  <w:r>
                    <w:rPr>
                      <w:rFonts w:hint="eastAsia"/>
                      <w:color w:val="000000"/>
                      <w:sz w:val="24"/>
                    </w:rPr>
                    <w:t>6</w:t>
                  </w:r>
                </w:p>
              </w:tc>
              <w:tc>
                <w:tcPr>
                  <w:tcW w:w="716"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rPr>
                      <w:color w:val="000000"/>
                      <w:sz w:val="24"/>
                    </w:rPr>
                  </w:pPr>
                  <w:r>
                    <w:rPr>
                      <w:rFonts w:hint="eastAsia"/>
                      <w:color w:val="000000"/>
                      <w:sz w:val="24"/>
                    </w:rPr>
                    <w:t>个</w:t>
                  </w:r>
                </w:p>
              </w:tc>
              <w:tc>
                <w:tcPr>
                  <w:tcW w:w="1845"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rPr>
                      <w:color w:val="000000"/>
                      <w:sz w:val="24"/>
                    </w:rPr>
                  </w:pPr>
                  <w:r>
                    <w:rPr>
                      <w:rFonts w:hint="eastAsia"/>
                      <w:color w:val="000000"/>
                      <w:sz w:val="24"/>
                    </w:rPr>
                    <w:t>6</w:t>
                  </w:r>
                </w:p>
              </w:tc>
            </w:tr>
            <w:tr>
              <w:tblPrEx>
                <w:tblCellMar>
                  <w:top w:w="15" w:type="dxa"/>
                  <w:left w:w="15" w:type="dxa"/>
                  <w:bottom w:w="15" w:type="dxa"/>
                  <w:right w:w="15" w:type="dxa"/>
                </w:tblCellMar>
              </w:tblPrEx>
              <w:trPr>
                <w:trHeight w:val="23" w:hRule="atLeast"/>
                <w:jc w:val="center"/>
              </w:trPr>
              <w:tc>
                <w:tcPr>
                  <w:tcW w:w="1308"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rPr>
                      <w:color w:val="000000"/>
                      <w:sz w:val="24"/>
                    </w:rPr>
                  </w:pPr>
                </w:p>
              </w:tc>
              <w:tc>
                <w:tcPr>
                  <w:tcW w:w="1141"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rPr>
                      <w:color w:val="000000"/>
                      <w:sz w:val="24"/>
                    </w:rPr>
                  </w:pPr>
                </w:p>
              </w:tc>
              <w:tc>
                <w:tcPr>
                  <w:tcW w:w="1245" w:type="dxa"/>
                  <w:vMerge w:val="restart"/>
                  <w:tcBorders>
                    <w:top w:val="single" w:color="000000" w:sz="4" w:space="0"/>
                    <w:left w:val="single" w:color="000000" w:sz="4" w:space="0"/>
                    <w:right w:val="single" w:color="000000" w:sz="4" w:space="0"/>
                  </w:tcBorders>
                  <w:vAlign w:val="center"/>
                </w:tcPr>
                <w:p>
                  <w:pPr>
                    <w:widowControl/>
                    <w:spacing w:line="300" w:lineRule="exact"/>
                    <w:jc w:val="center"/>
                    <w:textAlignment w:val="center"/>
                    <w:rPr>
                      <w:color w:val="000000"/>
                      <w:sz w:val="24"/>
                    </w:rPr>
                  </w:pPr>
                  <w:r>
                    <w:rPr>
                      <w:color w:val="000000"/>
                      <w:kern w:val="0"/>
                      <w:sz w:val="24"/>
                      <w:lang w:bidi="ar"/>
                    </w:rPr>
                    <w:t>质量指标</w:t>
                  </w:r>
                </w:p>
              </w:tc>
              <w:tc>
                <w:tcPr>
                  <w:tcW w:w="1417"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textAlignment w:val="center"/>
                    <w:rPr>
                      <w:color w:val="000000"/>
                      <w:sz w:val="24"/>
                    </w:rPr>
                  </w:pPr>
                  <w:r>
                    <w:rPr>
                      <w:rFonts w:hint="eastAsia"/>
                      <w:color w:val="000000"/>
                      <w:sz w:val="24"/>
                    </w:rPr>
                    <w:t>基本支出</w:t>
                  </w:r>
                </w:p>
              </w:tc>
              <w:tc>
                <w:tcPr>
                  <w:tcW w:w="1062"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rPr>
                      <w:color w:val="000000"/>
                      <w:sz w:val="24"/>
                    </w:rPr>
                  </w:pPr>
                  <w:r>
                    <w:rPr>
                      <w:rFonts w:hint="eastAsia"/>
                      <w:color w:val="000000"/>
                      <w:sz w:val="24"/>
                    </w:rPr>
                    <w:t>定性</w:t>
                  </w:r>
                </w:p>
              </w:tc>
              <w:tc>
                <w:tcPr>
                  <w:tcW w:w="1631"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rPr>
                      <w:color w:val="000000"/>
                      <w:sz w:val="24"/>
                    </w:rPr>
                  </w:pPr>
                  <w:r>
                    <w:rPr>
                      <w:rFonts w:hint="eastAsia"/>
                      <w:color w:val="000000"/>
                      <w:sz w:val="24"/>
                    </w:rPr>
                    <w:t>保障人员经费和公用经费</w:t>
                  </w:r>
                </w:p>
              </w:tc>
              <w:tc>
                <w:tcPr>
                  <w:tcW w:w="716"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rPr>
                      <w:color w:val="000000"/>
                      <w:sz w:val="24"/>
                    </w:rPr>
                  </w:pPr>
                </w:p>
              </w:tc>
              <w:tc>
                <w:tcPr>
                  <w:tcW w:w="1845"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rPr>
                      <w:color w:val="000000"/>
                      <w:sz w:val="24"/>
                    </w:rPr>
                  </w:pPr>
                  <w:r>
                    <w:rPr>
                      <w:rFonts w:hint="eastAsia"/>
                      <w:color w:val="000000"/>
                      <w:sz w:val="24"/>
                    </w:rPr>
                    <w:t>已达预期目标，保障了单位正常运转</w:t>
                  </w:r>
                </w:p>
              </w:tc>
            </w:tr>
            <w:tr>
              <w:tblPrEx>
                <w:tblCellMar>
                  <w:top w:w="15" w:type="dxa"/>
                  <w:left w:w="15" w:type="dxa"/>
                  <w:bottom w:w="15" w:type="dxa"/>
                  <w:right w:w="15" w:type="dxa"/>
                </w:tblCellMar>
              </w:tblPrEx>
              <w:trPr>
                <w:trHeight w:val="700" w:hRule="atLeast"/>
                <w:jc w:val="center"/>
              </w:trPr>
              <w:tc>
                <w:tcPr>
                  <w:tcW w:w="1308"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rPr>
                      <w:color w:val="000000"/>
                      <w:sz w:val="24"/>
                    </w:rPr>
                  </w:pPr>
                </w:p>
              </w:tc>
              <w:tc>
                <w:tcPr>
                  <w:tcW w:w="1141"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rPr>
                      <w:color w:val="000000"/>
                      <w:sz w:val="24"/>
                    </w:rPr>
                  </w:pPr>
                </w:p>
              </w:tc>
              <w:tc>
                <w:tcPr>
                  <w:tcW w:w="1245" w:type="dxa"/>
                  <w:vMerge w:val="continue"/>
                  <w:tcBorders>
                    <w:left w:val="single" w:color="000000" w:sz="4" w:space="0"/>
                    <w:bottom w:val="single" w:color="000000" w:sz="4" w:space="0"/>
                    <w:right w:val="single" w:color="000000" w:sz="4" w:space="0"/>
                  </w:tcBorders>
                  <w:vAlign w:val="center"/>
                </w:tcPr>
                <w:p>
                  <w:pPr>
                    <w:widowControl/>
                    <w:spacing w:line="300" w:lineRule="exact"/>
                    <w:jc w:val="center"/>
                    <w:textAlignment w:val="center"/>
                    <w:rPr>
                      <w:color w:val="000000"/>
                      <w:sz w:val="24"/>
                    </w:rPr>
                  </w:pPr>
                </w:p>
              </w:tc>
              <w:tc>
                <w:tcPr>
                  <w:tcW w:w="1417"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rPr>
                      <w:color w:val="000000"/>
                      <w:sz w:val="24"/>
                    </w:rPr>
                  </w:pPr>
                  <w:r>
                    <w:rPr>
                      <w:rFonts w:hint="eastAsia"/>
                      <w:color w:val="000000"/>
                      <w:sz w:val="24"/>
                    </w:rPr>
                    <w:t>项目支出</w:t>
                  </w:r>
                </w:p>
              </w:tc>
              <w:tc>
                <w:tcPr>
                  <w:tcW w:w="1062"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rPr>
                      <w:color w:val="000000"/>
                      <w:sz w:val="24"/>
                    </w:rPr>
                  </w:pPr>
                  <w:r>
                    <w:rPr>
                      <w:rFonts w:hint="eastAsia"/>
                      <w:color w:val="000000"/>
                      <w:sz w:val="24"/>
                    </w:rPr>
                    <w:t>定性</w:t>
                  </w:r>
                </w:p>
              </w:tc>
              <w:tc>
                <w:tcPr>
                  <w:tcW w:w="1631"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rPr>
                      <w:color w:val="000000"/>
                      <w:sz w:val="24"/>
                    </w:rPr>
                  </w:pPr>
                  <w:r>
                    <w:rPr>
                      <w:rFonts w:hint="eastAsia"/>
                      <w:color w:val="000000"/>
                      <w:kern w:val="0"/>
                      <w:sz w:val="24"/>
                      <w:lang w:bidi="ar"/>
                    </w:rPr>
                    <w:t>保障矛盾纠纷排查化解、维稳、信访事项化解等</w:t>
                  </w:r>
                </w:p>
              </w:tc>
              <w:tc>
                <w:tcPr>
                  <w:tcW w:w="716"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rPr>
                      <w:color w:val="000000"/>
                      <w:sz w:val="24"/>
                    </w:rPr>
                  </w:pPr>
                </w:p>
              </w:tc>
              <w:tc>
                <w:tcPr>
                  <w:tcW w:w="1845"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rPr>
                      <w:color w:val="000000"/>
                      <w:sz w:val="24"/>
                    </w:rPr>
                  </w:pPr>
                  <w:r>
                    <w:rPr>
                      <w:rFonts w:hint="eastAsia"/>
                      <w:color w:val="000000"/>
                      <w:sz w:val="24"/>
                    </w:rPr>
                    <w:t>已达预期目标</w:t>
                  </w:r>
                </w:p>
              </w:tc>
            </w:tr>
            <w:tr>
              <w:tblPrEx>
                <w:tblCellMar>
                  <w:top w:w="15" w:type="dxa"/>
                  <w:left w:w="15" w:type="dxa"/>
                  <w:bottom w:w="15" w:type="dxa"/>
                  <w:right w:w="15" w:type="dxa"/>
                </w:tblCellMar>
              </w:tblPrEx>
              <w:trPr>
                <w:trHeight w:val="23" w:hRule="atLeast"/>
                <w:jc w:val="center"/>
              </w:trPr>
              <w:tc>
                <w:tcPr>
                  <w:tcW w:w="1308"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rPr>
                      <w:color w:val="000000"/>
                      <w:sz w:val="24"/>
                    </w:rPr>
                  </w:pPr>
                </w:p>
              </w:tc>
              <w:tc>
                <w:tcPr>
                  <w:tcW w:w="1141"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rPr>
                      <w:color w:val="000000"/>
                      <w:sz w:val="24"/>
                    </w:rPr>
                  </w:pPr>
                </w:p>
              </w:tc>
              <w:tc>
                <w:tcPr>
                  <w:tcW w:w="1245"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textAlignment w:val="center"/>
                    <w:rPr>
                      <w:color w:val="000000"/>
                      <w:sz w:val="24"/>
                    </w:rPr>
                  </w:pPr>
                  <w:r>
                    <w:rPr>
                      <w:color w:val="000000"/>
                      <w:kern w:val="0"/>
                      <w:sz w:val="24"/>
                      <w:lang w:bidi="ar"/>
                    </w:rPr>
                    <w:t>时效指标</w:t>
                  </w:r>
                </w:p>
              </w:tc>
              <w:tc>
                <w:tcPr>
                  <w:tcW w:w="1417"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rPr>
                      <w:color w:val="000000"/>
                      <w:sz w:val="24"/>
                    </w:rPr>
                  </w:pPr>
                  <w:r>
                    <w:rPr>
                      <w:rFonts w:hint="eastAsia"/>
                      <w:color w:val="000000"/>
                      <w:sz w:val="24"/>
                    </w:rPr>
                    <w:t>2025年1-12月</w:t>
                  </w:r>
                </w:p>
              </w:tc>
              <w:tc>
                <w:tcPr>
                  <w:tcW w:w="1062"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rPr>
                      <w:color w:val="000000"/>
                      <w:sz w:val="24"/>
                    </w:rPr>
                  </w:pPr>
                  <w:r>
                    <w:rPr>
                      <w:rFonts w:hint="eastAsia"/>
                      <w:color w:val="000000"/>
                      <w:sz w:val="24"/>
                    </w:rPr>
                    <w:t>=</w:t>
                  </w:r>
                </w:p>
              </w:tc>
              <w:tc>
                <w:tcPr>
                  <w:tcW w:w="1631"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rPr>
                      <w:color w:val="000000"/>
                      <w:sz w:val="24"/>
                    </w:rPr>
                  </w:pPr>
                  <w:r>
                    <w:rPr>
                      <w:rFonts w:hint="eastAsia"/>
                      <w:color w:val="000000"/>
                      <w:sz w:val="24"/>
                    </w:rPr>
                    <w:t>12</w:t>
                  </w:r>
                </w:p>
              </w:tc>
              <w:tc>
                <w:tcPr>
                  <w:tcW w:w="716"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rPr>
                      <w:color w:val="000000"/>
                      <w:sz w:val="24"/>
                    </w:rPr>
                  </w:pPr>
                  <w:r>
                    <w:rPr>
                      <w:rFonts w:hint="eastAsia"/>
                      <w:color w:val="000000"/>
                      <w:sz w:val="24"/>
                    </w:rPr>
                    <w:t>月</w:t>
                  </w:r>
                </w:p>
              </w:tc>
              <w:tc>
                <w:tcPr>
                  <w:tcW w:w="1845"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rPr>
                      <w:color w:val="000000"/>
                      <w:sz w:val="24"/>
                    </w:rPr>
                  </w:pPr>
                  <w:r>
                    <w:rPr>
                      <w:rFonts w:hint="eastAsia"/>
                      <w:color w:val="000000"/>
                      <w:sz w:val="24"/>
                    </w:rPr>
                    <w:t>12</w:t>
                  </w:r>
                </w:p>
              </w:tc>
            </w:tr>
            <w:tr>
              <w:tblPrEx>
                <w:tblCellMar>
                  <w:top w:w="15" w:type="dxa"/>
                  <w:left w:w="15" w:type="dxa"/>
                  <w:bottom w:w="15" w:type="dxa"/>
                  <w:right w:w="15" w:type="dxa"/>
                </w:tblCellMar>
              </w:tblPrEx>
              <w:trPr>
                <w:trHeight w:val="23" w:hRule="atLeast"/>
                <w:jc w:val="center"/>
              </w:trPr>
              <w:tc>
                <w:tcPr>
                  <w:tcW w:w="1308"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rPr>
                      <w:color w:val="000000"/>
                      <w:sz w:val="24"/>
                    </w:rPr>
                  </w:pPr>
                </w:p>
              </w:tc>
              <w:tc>
                <w:tcPr>
                  <w:tcW w:w="1141"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textAlignment w:val="center"/>
                    <w:rPr>
                      <w:color w:val="000000"/>
                      <w:sz w:val="24"/>
                    </w:rPr>
                  </w:pPr>
                  <w:r>
                    <w:rPr>
                      <w:rFonts w:hint="eastAsia"/>
                      <w:color w:val="000000"/>
                      <w:kern w:val="0"/>
                      <w:sz w:val="24"/>
                      <w:lang w:bidi="ar"/>
                    </w:rPr>
                    <w:t>成本</w:t>
                  </w:r>
                  <w:r>
                    <w:rPr>
                      <w:color w:val="000000"/>
                      <w:kern w:val="0"/>
                      <w:sz w:val="24"/>
                      <w:lang w:bidi="ar"/>
                    </w:rPr>
                    <w:t>指标</w:t>
                  </w:r>
                </w:p>
              </w:tc>
              <w:tc>
                <w:tcPr>
                  <w:tcW w:w="1245" w:type="dxa"/>
                  <w:vMerge w:val="restart"/>
                  <w:tcBorders>
                    <w:top w:val="single" w:color="000000" w:sz="4" w:space="0"/>
                    <w:left w:val="single" w:color="000000" w:sz="4" w:space="0"/>
                    <w:right w:val="single" w:color="000000" w:sz="4" w:space="0"/>
                  </w:tcBorders>
                  <w:vAlign w:val="center"/>
                </w:tcPr>
                <w:p>
                  <w:pPr>
                    <w:widowControl/>
                    <w:spacing w:line="300" w:lineRule="exact"/>
                    <w:jc w:val="center"/>
                    <w:textAlignment w:val="center"/>
                    <w:rPr>
                      <w:color w:val="000000"/>
                      <w:kern w:val="0"/>
                      <w:sz w:val="24"/>
                      <w:lang w:bidi="ar"/>
                    </w:rPr>
                  </w:pPr>
                  <w:r>
                    <w:rPr>
                      <w:rFonts w:hint="eastAsia"/>
                      <w:color w:val="000000"/>
                      <w:kern w:val="0"/>
                      <w:sz w:val="24"/>
                      <w:lang w:bidi="ar"/>
                    </w:rPr>
                    <w:t>经济成本</w:t>
                  </w:r>
                </w:p>
                <w:p>
                  <w:pPr>
                    <w:widowControl/>
                    <w:spacing w:line="300" w:lineRule="exact"/>
                    <w:jc w:val="center"/>
                    <w:textAlignment w:val="center"/>
                    <w:rPr>
                      <w:color w:val="000000"/>
                      <w:sz w:val="24"/>
                    </w:rPr>
                  </w:pPr>
                  <w:r>
                    <w:rPr>
                      <w:color w:val="000000"/>
                      <w:kern w:val="0"/>
                      <w:sz w:val="24"/>
                      <w:lang w:bidi="ar"/>
                    </w:rPr>
                    <w:t>指标</w:t>
                  </w:r>
                </w:p>
              </w:tc>
              <w:tc>
                <w:tcPr>
                  <w:tcW w:w="1417"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rPr>
                      <w:color w:val="000000"/>
                      <w:sz w:val="24"/>
                    </w:rPr>
                  </w:pPr>
                  <w:r>
                    <w:rPr>
                      <w:rFonts w:hint="eastAsia"/>
                      <w:color w:val="000000"/>
                      <w:sz w:val="24"/>
                    </w:rPr>
                    <w:t>基本支出</w:t>
                  </w:r>
                </w:p>
              </w:tc>
              <w:tc>
                <w:tcPr>
                  <w:tcW w:w="1062"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rPr>
                      <w:color w:val="000000"/>
                      <w:sz w:val="24"/>
                    </w:rPr>
                  </w:pPr>
                  <w:r>
                    <w:rPr>
                      <w:rFonts w:hint="eastAsia"/>
                      <w:color w:val="000000"/>
                      <w:sz w:val="24"/>
                    </w:rPr>
                    <w:t>=</w:t>
                  </w:r>
                </w:p>
              </w:tc>
              <w:tc>
                <w:tcPr>
                  <w:tcW w:w="1631"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rPr>
                      <w:color w:val="000000"/>
                      <w:sz w:val="24"/>
                    </w:rPr>
                  </w:pPr>
                  <w:r>
                    <w:rPr>
                      <w:rFonts w:hint="eastAsia" w:eastAsia="方正仿宋_GBK"/>
                      <w:kern w:val="0"/>
                      <w:sz w:val="24"/>
                    </w:rPr>
                    <w:t>239.02</w:t>
                  </w:r>
                </w:p>
              </w:tc>
              <w:tc>
                <w:tcPr>
                  <w:tcW w:w="716"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rPr>
                      <w:color w:val="000000"/>
                      <w:sz w:val="24"/>
                    </w:rPr>
                  </w:pPr>
                  <w:r>
                    <w:rPr>
                      <w:rFonts w:hint="eastAsia"/>
                      <w:color w:val="000000"/>
                      <w:sz w:val="24"/>
                    </w:rPr>
                    <w:t>万元</w:t>
                  </w:r>
                </w:p>
              </w:tc>
              <w:tc>
                <w:tcPr>
                  <w:tcW w:w="1845"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rPr>
                      <w:color w:val="000000"/>
                      <w:sz w:val="24"/>
                    </w:rPr>
                  </w:pPr>
                  <w:r>
                    <w:rPr>
                      <w:rFonts w:hint="eastAsia" w:eastAsia="方正仿宋_GBK"/>
                      <w:kern w:val="0"/>
                      <w:sz w:val="24"/>
                    </w:rPr>
                    <w:t>239.02</w:t>
                  </w:r>
                </w:p>
              </w:tc>
            </w:tr>
            <w:tr>
              <w:tblPrEx>
                <w:tblCellMar>
                  <w:top w:w="15" w:type="dxa"/>
                  <w:left w:w="15" w:type="dxa"/>
                  <w:bottom w:w="15" w:type="dxa"/>
                  <w:right w:w="15" w:type="dxa"/>
                </w:tblCellMar>
              </w:tblPrEx>
              <w:trPr>
                <w:trHeight w:val="23" w:hRule="atLeast"/>
                <w:jc w:val="center"/>
              </w:trPr>
              <w:tc>
                <w:tcPr>
                  <w:tcW w:w="1308"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rPr>
                      <w:color w:val="000000"/>
                      <w:sz w:val="24"/>
                    </w:rPr>
                  </w:pPr>
                </w:p>
              </w:tc>
              <w:tc>
                <w:tcPr>
                  <w:tcW w:w="1141"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rPr>
                      <w:color w:val="000000"/>
                      <w:sz w:val="24"/>
                    </w:rPr>
                  </w:pPr>
                </w:p>
              </w:tc>
              <w:tc>
                <w:tcPr>
                  <w:tcW w:w="1245" w:type="dxa"/>
                  <w:vMerge w:val="continue"/>
                  <w:tcBorders>
                    <w:top w:val="single" w:color="000000" w:sz="4" w:space="0"/>
                    <w:left w:val="single" w:color="000000" w:sz="4" w:space="0"/>
                    <w:right w:val="single" w:color="000000" w:sz="4" w:space="0"/>
                  </w:tcBorders>
                  <w:vAlign w:val="center"/>
                </w:tcPr>
                <w:p>
                  <w:pPr>
                    <w:widowControl/>
                    <w:spacing w:line="300" w:lineRule="exact"/>
                    <w:jc w:val="center"/>
                    <w:rPr>
                      <w:color w:val="000000"/>
                      <w:sz w:val="24"/>
                    </w:rPr>
                  </w:pPr>
                </w:p>
              </w:tc>
              <w:tc>
                <w:tcPr>
                  <w:tcW w:w="1417"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rPr>
                      <w:color w:val="000000"/>
                      <w:sz w:val="24"/>
                    </w:rPr>
                  </w:pPr>
                  <w:r>
                    <w:rPr>
                      <w:rFonts w:hint="eastAsia"/>
                      <w:color w:val="000000"/>
                      <w:sz w:val="24"/>
                    </w:rPr>
                    <w:t>项目支出</w:t>
                  </w:r>
                </w:p>
              </w:tc>
              <w:tc>
                <w:tcPr>
                  <w:tcW w:w="1062"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rPr>
                      <w:color w:val="000000"/>
                      <w:sz w:val="24"/>
                    </w:rPr>
                  </w:pPr>
                  <w:r>
                    <w:rPr>
                      <w:rFonts w:hint="eastAsia"/>
                      <w:color w:val="000000"/>
                      <w:sz w:val="24"/>
                    </w:rPr>
                    <w:t>=</w:t>
                  </w:r>
                </w:p>
              </w:tc>
              <w:tc>
                <w:tcPr>
                  <w:tcW w:w="1631"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rPr>
                      <w:color w:val="000000"/>
                      <w:sz w:val="24"/>
                    </w:rPr>
                  </w:pPr>
                  <w:r>
                    <w:rPr>
                      <w:rFonts w:hint="eastAsia"/>
                      <w:color w:val="000000"/>
                      <w:sz w:val="24"/>
                    </w:rPr>
                    <w:t>130.42</w:t>
                  </w:r>
                </w:p>
              </w:tc>
              <w:tc>
                <w:tcPr>
                  <w:tcW w:w="716"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rPr>
                      <w:color w:val="000000"/>
                      <w:sz w:val="24"/>
                    </w:rPr>
                  </w:pPr>
                  <w:r>
                    <w:rPr>
                      <w:rFonts w:hint="eastAsia"/>
                      <w:color w:val="000000"/>
                      <w:sz w:val="24"/>
                    </w:rPr>
                    <w:t>万元</w:t>
                  </w:r>
                </w:p>
              </w:tc>
              <w:tc>
                <w:tcPr>
                  <w:tcW w:w="1845"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rPr>
                      <w:color w:val="000000"/>
                      <w:sz w:val="24"/>
                    </w:rPr>
                  </w:pPr>
                  <w:r>
                    <w:rPr>
                      <w:rFonts w:hint="eastAsia"/>
                      <w:color w:val="000000"/>
                      <w:sz w:val="24"/>
                    </w:rPr>
                    <w:t>130.42</w:t>
                  </w:r>
                </w:p>
              </w:tc>
            </w:tr>
            <w:tr>
              <w:tblPrEx>
                <w:tblCellMar>
                  <w:top w:w="15" w:type="dxa"/>
                  <w:left w:w="15" w:type="dxa"/>
                  <w:bottom w:w="15" w:type="dxa"/>
                  <w:right w:w="15" w:type="dxa"/>
                </w:tblCellMar>
              </w:tblPrEx>
              <w:trPr>
                <w:trHeight w:val="23" w:hRule="atLeast"/>
                <w:jc w:val="center"/>
              </w:trPr>
              <w:tc>
                <w:tcPr>
                  <w:tcW w:w="1308"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rPr>
                      <w:color w:val="000000"/>
                      <w:sz w:val="24"/>
                    </w:rPr>
                  </w:pPr>
                </w:p>
              </w:tc>
              <w:tc>
                <w:tcPr>
                  <w:tcW w:w="1141"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textAlignment w:val="center"/>
                    <w:rPr>
                      <w:color w:val="000000"/>
                      <w:sz w:val="24"/>
                    </w:rPr>
                  </w:pPr>
                  <w:r>
                    <w:rPr>
                      <w:color w:val="000000"/>
                      <w:kern w:val="0"/>
                      <w:sz w:val="24"/>
                      <w:lang w:bidi="ar"/>
                    </w:rPr>
                    <w:t>满意度指标</w:t>
                  </w:r>
                </w:p>
              </w:tc>
              <w:tc>
                <w:tcPr>
                  <w:tcW w:w="1245"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textAlignment w:val="center"/>
                    <w:rPr>
                      <w:color w:val="000000"/>
                      <w:sz w:val="24"/>
                    </w:rPr>
                  </w:pPr>
                  <w:r>
                    <w:rPr>
                      <w:color w:val="000000"/>
                      <w:kern w:val="0"/>
                      <w:sz w:val="24"/>
                      <w:lang w:bidi="ar"/>
                    </w:rPr>
                    <w:t>满意度指标</w:t>
                  </w:r>
                </w:p>
              </w:tc>
              <w:tc>
                <w:tcPr>
                  <w:tcW w:w="1417"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rPr>
                      <w:color w:val="000000"/>
                      <w:sz w:val="24"/>
                    </w:rPr>
                  </w:pPr>
                  <w:r>
                    <w:rPr>
                      <w:rFonts w:hint="eastAsia"/>
                      <w:color w:val="000000"/>
                      <w:sz w:val="24"/>
                    </w:rPr>
                    <w:t>职工群众满意度</w:t>
                  </w:r>
                </w:p>
              </w:tc>
              <w:tc>
                <w:tcPr>
                  <w:tcW w:w="1062"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rPr>
                      <w:color w:val="000000"/>
                      <w:sz w:val="24"/>
                    </w:rPr>
                  </w:pPr>
                  <w:r>
                    <w:rPr>
                      <w:rFonts w:hint="eastAsia"/>
                      <w:color w:val="000000"/>
                      <w:sz w:val="24"/>
                    </w:rPr>
                    <w:t>≥</w:t>
                  </w:r>
                </w:p>
              </w:tc>
              <w:tc>
                <w:tcPr>
                  <w:tcW w:w="1631"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rPr>
                      <w:color w:val="000000"/>
                      <w:sz w:val="24"/>
                    </w:rPr>
                  </w:pPr>
                  <w:r>
                    <w:rPr>
                      <w:rFonts w:hint="eastAsia"/>
                      <w:color w:val="000000"/>
                      <w:sz w:val="24"/>
                    </w:rPr>
                    <w:t>90</w:t>
                  </w:r>
                </w:p>
              </w:tc>
              <w:tc>
                <w:tcPr>
                  <w:tcW w:w="716"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rPr>
                      <w:color w:val="000000"/>
                      <w:sz w:val="24"/>
                    </w:rPr>
                  </w:pPr>
                  <w:r>
                    <w:rPr>
                      <w:rFonts w:hint="eastAsia"/>
                      <w:color w:val="000000"/>
                      <w:sz w:val="24"/>
                    </w:rPr>
                    <w:t>%</w:t>
                  </w:r>
                </w:p>
              </w:tc>
              <w:tc>
                <w:tcPr>
                  <w:tcW w:w="1845"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rPr>
                      <w:color w:val="000000"/>
                      <w:sz w:val="24"/>
                    </w:rPr>
                  </w:pPr>
                  <w:r>
                    <w:rPr>
                      <w:rFonts w:hint="eastAsia"/>
                      <w:color w:val="000000"/>
                      <w:sz w:val="24"/>
                    </w:rPr>
                    <w:t>90</w:t>
                  </w:r>
                </w:p>
              </w:tc>
            </w:tr>
          </w:tbl>
          <w:p/>
        </w:tc>
      </w:tr>
    </w:tbl>
    <w:p>
      <w:pPr>
        <w:rPr>
          <w:kern w:val="0"/>
          <w:szCs w:val="32"/>
        </w:rPr>
      </w:pPr>
    </w:p>
    <w:p>
      <w:pPr>
        <w:pStyle w:val="2"/>
      </w:pPr>
    </w:p>
    <w:p>
      <w:pPr>
        <w:pStyle w:val="3"/>
        <w:ind w:left="420"/>
      </w:pPr>
    </w:p>
    <w:p/>
    <w:p>
      <w:pPr>
        <w:pStyle w:val="2"/>
      </w:pPr>
    </w:p>
    <w:p>
      <w:pPr>
        <w:pStyle w:val="3"/>
        <w:ind w:left="420"/>
      </w:pPr>
    </w:p>
    <w:p/>
    <w:p>
      <w:pPr>
        <w:pStyle w:val="2"/>
      </w:pPr>
    </w:p>
    <w:p>
      <w:pPr>
        <w:pStyle w:val="3"/>
        <w:ind w:left="420"/>
      </w:pPr>
    </w:p>
    <w:p/>
    <w:p>
      <w:pPr>
        <w:pStyle w:val="2"/>
      </w:pPr>
    </w:p>
    <w:p>
      <w:pPr>
        <w:pStyle w:val="3"/>
        <w:ind w:left="420"/>
      </w:pPr>
    </w:p>
    <w:p/>
    <w:p>
      <w:pPr>
        <w:pStyle w:val="3"/>
        <w:ind w:left="420"/>
      </w:pPr>
    </w:p>
    <w:p>
      <w:pPr>
        <w:pStyle w:val="38"/>
        <w:spacing w:beforeLines="0"/>
        <w:rPr>
          <w:rFonts w:ascii="Times New Roman" w:eastAsia="黑体" w:cs="黑体"/>
          <w:sz w:val="32"/>
          <w:szCs w:val="32"/>
        </w:rPr>
      </w:pPr>
      <w:r>
        <w:rPr>
          <w:rFonts w:hint="eastAsia" w:ascii="Times New Roman" w:eastAsia="黑体" w:cs="黑体"/>
          <w:sz w:val="32"/>
          <w:szCs w:val="32"/>
          <w:shd w:val="clear" w:color="auto" w:fill="FFFFFF"/>
          <w:lang w:val="zh-CN"/>
        </w:rPr>
        <w:t>附件</w:t>
      </w:r>
      <w:r>
        <w:rPr>
          <w:rFonts w:hint="eastAsia" w:ascii="Times New Roman" w:eastAsia="黑体" w:cs="黑体"/>
          <w:sz w:val="32"/>
          <w:szCs w:val="32"/>
          <w:shd w:val="clear" w:color="auto" w:fill="FFFFFF"/>
        </w:rPr>
        <w:t>2</w:t>
      </w:r>
    </w:p>
    <w:p>
      <w:pPr>
        <w:pStyle w:val="37"/>
        <w:spacing w:line="600" w:lineRule="exact"/>
        <w:jc w:val="center"/>
        <w:rPr>
          <w:rFonts w:ascii="Times New Roman" w:hAnsi="Times New Roman" w:eastAsia="方正小标宋简体"/>
          <w:color w:val="auto"/>
          <w:kern w:val="2"/>
          <w:sz w:val="40"/>
          <w:szCs w:val="40"/>
        </w:rPr>
      </w:pPr>
      <w:bookmarkStart w:id="52" w:name="_Toc15396618"/>
      <w:r>
        <w:rPr>
          <w:rFonts w:hint="eastAsia" w:ascii="Times New Roman" w:hAnsi="Times New Roman" w:eastAsia="方正小标宋简体"/>
          <w:color w:val="auto"/>
          <w:kern w:val="2"/>
          <w:sz w:val="40"/>
          <w:szCs w:val="40"/>
        </w:rPr>
        <w:t>解决特殊疑难信访问题中央补助资金</w:t>
      </w:r>
      <w:r>
        <w:rPr>
          <w:rFonts w:ascii="Times New Roman" w:hAnsi="Times New Roman" w:eastAsia="方正小标宋简体"/>
          <w:color w:val="auto"/>
          <w:kern w:val="2"/>
          <w:sz w:val="40"/>
          <w:szCs w:val="40"/>
        </w:rPr>
        <w:t>专项预算</w:t>
      </w:r>
    </w:p>
    <w:p>
      <w:pPr>
        <w:pStyle w:val="37"/>
        <w:spacing w:line="600" w:lineRule="exact"/>
        <w:jc w:val="center"/>
        <w:rPr>
          <w:rFonts w:ascii="Times New Roman" w:hAnsi="Times New Roman" w:eastAsia="方正小标宋简体"/>
          <w:color w:val="auto"/>
          <w:kern w:val="2"/>
          <w:sz w:val="40"/>
          <w:szCs w:val="40"/>
        </w:rPr>
      </w:pPr>
      <w:r>
        <w:rPr>
          <w:rFonts w:hint="eastAsia" w:ascii="Times New Roman" w:hAnsi="Times New Roman" w:eastAsia="方正小标宋简体"/>
          <w:color w:val="auto"/>
          <w:kern w:val="2"/>
          <w:sz w:val="40"/>
          <w:szCs w:val="40"/>
        </w:rPr>
        <w:t>2025年</w:t>
      </w:r>
      <w:r>
        <w:rPr>
          <w:rFonts w:ascii="Times New Roman" w:hAnsi="Times New Roman" w:eastAsia="方正小标宋简体"/>
          <w:color w:val="auto"/>
          <w:kern w:val="2"/>
          <w:sz w:val="40"/>
          <w:szCs w:val="40"/>
        </w:rPr>
        <w:t>项目支出绩效自评报告</w:t>
      </w:r>
    </w:p>
    <w:p>
      <w:pPr>
        <w:pStyle w:val="37"/>
        <w:spacing w:line="600" w:lineRule="exact"/>
        <w:ind w:firstLine="640"/>
        <w:jc w:val="center"/>
        <w:rPr>
          <w:rFonts w:ascii="Times New Roman" w:hAnsi="Times New Roman"/>
          <w:color w:val="auto"/>
          <w:kern w:val="2"/>
          <w:sz w:val="32"/>
          <w:szCs w:val="32"/>
        </w:rPr>
      </w:pPr>
    </w:p>
    <w:p>
      <w:pPr>
        <w:adjustRightInd w:val="0"/>
        <w:snapToGrid w:val="0"/>
        <w:spacing w:line="600" w:lineRule="exact"/>
        <w:ind w:firstLine="720"/>
        <w:rPr>
          <w:rFonts w:hint="eastAsia" w:ascii="宋体" w:hAnsi="宋体"/>
          <w:b/>
          <w:bCs/>
          <w:sz w:val="32"/>
          <w:szCs w:val="32"/>
          <w:lang w:val="zh-CN"/>
        </w:rPr>
      </w:pPr>
      <w:r>
        <w:rPr>
          <w:rFonts w:ascii="宋体" w:hAnsi="宋体"/>
          <w:b/>
          <w:bCs/>
          <w:sz w:val="32"/>
          <w:szCs w:val="32"/>
        </w:rPr>
        <w:t>一、</w:t>
      </w:r>
      <w:r>
        <w:rPr>
          <w:rFonts w:ascii="宋体" w:hAnsi="宋体"/>
          <w:b/>
          <w:bCs/>
          <w:sz w:val="32"/>
          <w:szCs w:val="32"/>
          <w:lang w:val="zh-CN"/>
        </w:rPr>
        <w:t>项目概况</w:t>
      </w:r>
    </w:p>
    <w:p>
      <w:pPr>
        <w:adjustRightInd w:val="0"/>
        <w:snapToGrid w:val="0"/>
        <w:spacing w:line="600" w:lineRule="exact"/>
        <w:ind w:firstLine="720"/>
        <w:rPr>
          <w:rFonts w:hint="eastAsia" w:ascii="宋体" w:hAnsi="宋体"/>
          <w:b/>
          <w:sz w:val="32"/>
          <w:szCs w:val="32"/>
          <w:lang w:val="zh-CN"/>
        </w:rPr>
      </w:pPr>
      <w:r>
        <w:rPr>
          <w:rFonts w:ascii="宋体" w:hAnsi="宋体"/>
          <w:b/>
          <w:sz w:val="32"/>
          <w:szCs w:val="32"/>
          <w:lang w:val="zh-CN"/>
        </w:rPr>
        <w:t>（一）项目基本情况</w:t>
      </w:r>
    </w:p>
    <w:p>
      <w:pPr>
        <w:adjustRightInd w:val="0"/>
        <w:snapToGrid w:val="0"/>
        <w:spacing w:line="600" w:lineRule="exact"/>
        <w:ind w:firstLine="720"/>
        <w:rPr>
          <w:rFonts w:hint="eastAsia" w:ascii="仿宋_GB2312" w:hAnsi="仿宋_GB2312" w:eastAsia="仿宋_GB2312" w:cs="仿宋_GB2312"/>
          <w:sz w:val="32"/>
          <w:szCs w:val="32"/>
        </w:rPr>
      </w:pPr>
      <w:r>
        <w:rPr>
          <w:rFonts w:ascii="仿宋_GB2312" w:hAnsi="仿宋_GB2312" w:eastAsia="仿宋_GB2312" w:cs="仿宋_GB2312"/>
          <w:sz w:val="32"/>
          <w:szCs w:val="32"/>
        </w:rPr>
        <w:t>1</w:t>
      </w:r>
      <w:r>
        <w:rPr>
          <w:rFonts w:hint="eastAsia" w:ascii="仿宋_GB2312" w:hAnsi="仿宋_GB2312" w:eastAsia="仿宋_GB2312" w:cs="仿宋_GB2312"/>
          <w:sz w:val="32"/>
          <w:szCs w:val="32"/>
        </w:rPr>
        <w:t>.仁和区信访局</w:t>
      </w:r>
      <w:r>
        <w:rPr>
          <w:rFonts w:ascii="仿宋_GB2312" w:hAnsi="仿宋_GB2312" w:eastAsia="仿宋_GB2312" w:cs="仿宋_GB2312"/>
          <w:sz w:val="32"/>
          <w:szCs w:val="32"/>
        </w:rPr>
        <w:t>作为主管部门，负责项目规划和具体实施的监督指导，</w:t>
      </w:r>
      <w:r>
        <w:rPr>
          <w:rFonts w:hint="eastAsia" w:ascii="仿宋_GB2312" w:hAnsi="仿宋_GB2312" w:eastAsia="仿宋_GB2312" w:cs="仿宋_GB2312"/>
          <w:sz w:val="32"/>
          <w:szCs w:val="32"/>
        </w:rPr>
        <w:t>区信访局</w:t>
      </w:r>
      <w:r>
        <w:rPr>
          <w:rFonts w:ascii="仿宋_GB2312" w:hAnsi="仿宋_GB2312" w:eastAsia="仿宋_GB2312" w:cs="仿宋_GB2312"/>
          <w:sz w:val="32"/>
          <w:szCs w:val="32"/>
        </w:rPr>
        <w:t>按照项目管理相关要求开展具体工作，确保按时保质保量完成项目绩效目标。</w:t>
      </w:r>
    </w:p>
    <w:p>
      <w:pPr>
        <w:ind w:firstLine="640" w:firstLineChars="200"/>
        <w:rPr>
          <w:rFonts w:hint="eastAsia" w:ascii="仿宋_GB2312" w:hAnsi="仿宋_GB2312" w:eastAsia="仿宋_GB2312" w:cs="仿宋_GB2312"/>
          <w:sz w:val="32"/>
          <w:szCs w:val="32"/>
        </w:rPr>
      </w:pPr>
      <w:r>
        <w:rPr>
          <w:rFonts w:ascii="仿宋_GB2312" w:hAnsi="仿宋_GB2312" w:eastAsia="仿宋_GB2312" w:cs="仿宋_GB2312"/>
          <w:sz w:val="32"/>
          <w:szCs w:val="32"/>
        </w:rPr>
        <w:t>2.</w:t>
      </w:r>
      <w:r>
        <w:rPr>
          <w:rFonts w:hint="eastAsia" w:ascii="仿宋_GB2312" w:hAnsi="仿宋_GB2312" w:eastAsia="仿宋_GB2312" w:cs="仿宋_GB2312"/>
          <w:sz w:val="32"/>
          <w:szCs w:val="32"/>
        </w:rPr>
        <w:t>立项和资金申报依据：</w:t>
      </w:r>
    </w:p>
    <w:p>
      <w:pPr>
        <w:adjustRightInd w:val="0"/>
        <w:snapToGrid w:val="0"/>
        <w:spacing w:line="600" w:lineRule="exact"/>
        <w:ind w:firstLine="72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仁和区信访局</w:t>
      </w:r>
      <w:r>
        <w:rPr>
          <w:rFonts w:ascii="仿宋_GB2312" w:hAnsi="仿宋_GB2312" w:eastAsia="仿宋_GB2312" w:cs="仿宋_GB2312"/>
          <w:sz w:val="32"/>
          <w:szCs w:val="32"/>
        </w:rPr>
        <w:t>依据《中华人民共和国预算法》《中华人民共和国政府采购法》等规定，结合</w:t>
      </w:r>
      <w:r>
        <w:rPr>
          <w:rFonts w:hint="eastAsia" w:ascii="仿宋_GB2312" w:hAnsi="仿宋_GB2312" w:eastAsia="仿宋_GB2312" w:cs="仿宋_GB2312"/>
          <w:sz w:val="32"/>
          <w:szCs w:val="32"/>
        </w:rPr>
        <w:t>仁和区</w:t>
      </w:r>
      <w:r>
        <w:rPr>
          <w:rFonts w:ascii="仿宋_GB2312" w:hAnsi="仿宋_GB2312" w:eastAsia="仿宋_GB2312" w:cs="仿宋_GB2312"/>
          <w:sz w:val="32"/>
          <w:szCs w:val="32"/>
        </w:rPr>
        <w:t>财经纪律相关要求，制定</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专项资金管理制度</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，明确专项资金预算、审批、监督、支付等要求。</w:t>
      </w:r>
    </w:p>
    <w:p>
      <w:pPr>
        <w:adjustRightInd w:val="0"/>
        <w:snapToGrid w:val="0"/>
        <w:spacing w:line="600" w:lineRule="exact"/>
        <w:ind w:firstLine="72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仁和区信访局</w:t>
      </w:r>
      <w:r>
        <w:rPr>
          <w:rFonts w:ascii="仿宋_GB2312" w:hAnsi="仿宋_GB2312" w:eastAsia="仿宋_GB2312" w:cs="仿宋_GB2312"/>
          <w:sz w:val="32"/>
          <w:szCs w:val="32"/>
        </w:rPr>
        <w:t>严格落实专项资金管理规定，根据项目实施具体内容，按照对标目标、突出重点、集体决定原则完成项目资金分配，分配主要考虑因素为是否用于</w:t>
      </w:r>
      <w:r>
        <w:rPr>
          <w:rFonts w:hint="eastAsia" w:ascii="仿宋_GB2312" w:hAnsi="仿宋_GB2312" w:eastAsia="仿宋_GB2312" w:cs="仿宋_GB2312"/>
          <w:sz w:val="32"/>
          <w:szCs w:val="32"/>
        </w:rPr>
        <w:t>解决特殊疑难信访问题</w:t>
      </w:r>
      <w:r>
        <w:rPr>
          <w:rFonts w:ascii="仿宋_GB2312" w:hAnsi="仿宋_GB2312" w:eastAsia="仿宋_GB2312" w:cs="仿宋_GB2312"/>
          <w:sz w:val="32"/>
          <w:szCs w:val="32"/>
        </w:rPr>
        <w:t>、是否与绩效目标相对应、是否遵守厉行节约原则。</w:t>
      </w:r>
    </w:p>
    <w:p>
      <w:pPr>
        <w:adjustRightInd w:val="0"/>
        <w:snapToGrid w:val="0"/>
        <w:spacing w:line="600" w:lineRule="exact"/>
        <w:ind w:firstLine="720"/>
        <w:rPr>
          <w:rFonts w:hint="eastAsia" w:ascii="仿宋_GB2312" w:hAnsi="仿宋_GB2312" w:eastAsia="仿宋_GB2312" w:cs="仿宋_GB2312"/>
          <w:b/>
          <w:bCs/>
          <w:sz w:val="32"/>
          <w:szCs w:val="32"/>
        </w:rPr>
      </w:pPr>
      <w:r>
        <w:rPr>
          <w:rFonts w:ascii="仿宋_GB2312" w:hAnsi="仿宋_GB2312" w:eastAsia="仿宋_GB2312" w:cs="仿宋_GB2312"/>
          <w:b/>
          <w:bCs/>
          <w:sz w:val="32"/>
          <w:szCs w:val="32"/>
        </w:rPr>
        <w:t>（二）项目绩效目标</w:t>
      </w:r>
    </w:p>
    <w:p>
      <w:pPr>
        <w:ind w:firstLine="640" w:firstLineChars="200"/>
        <w:rPr>
          <w:rFonts w:hint="eastAsia" w:ascii="仿宋_GB2312" w:hAnsi="仿宋_GB2312" w:eastAsia="仿宋_GB2312" w:cs="仿宋_GB2312"/>
          <w:sz w:val="32"/>
          <w:szCs w:val="32"/>
        </w:rPr>
      </w:pPr>
      <w:r>
        <w:rPr>
          <w:rFonts w:ascii="仿宋_GB2312" w:hAnsi="仿宋_GB2312" w:eastAsia="仿宋_GB2312" w:cs="仿宋_GB2312"/>
          <w:sz w:val="32"/>
          <w:szCs w:val="32"/>
        </w:rPr>
        <w:t>1.项目主要内容</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完成</w:t>
      </w:r>
      <w:r>
        <w:rPr>
          <w:rFonts w:hint="eastAsia" w:ascii="仿宋_GB2312" w:hAnsi="仿宋_GB2312" w:eastAsia="仿宋_GB2312" w:cs="仿宋_GB2312"/>
          <w:sz w:val="32"/>
          <w:szCs w:val="32"/>
        </w:rPr>
        <w:t>信访人员的生活困难救助</w:t>
      </w:r>
      <w:r>
        <w:rPr>
          <w:rFonts w:ascii="仿宋_GB2312" w:hAnsi="仿宋_GB2312" w:eastAsia="仿宋_GB2312" w:cs="仿宋_GB2312"/>
          <w:sz w:val="32"/>
          <w:szCs w:val="32"/>
        </w:rPr>
        <w:t>。</w:t>
      </w:r>
    </w:p>
    <w:p>
      <w:pPr>
        <w:ind w:firstLine="640" w:firstLineChars="200"/>
        <w:rPr>
          <w:rFonts w:hint="eastAsia" w:ascii="仿宋_GB2312" w:hAnsi="仿宋_GB2312" w:eastAsia="仿宋_GB2312" w:cs="仿宋_GB2312"/>
          <w:sz w:val="32"/>
          <w:szCs w:val="32"/>
        </w:rPr>
      </w:pPr>
      <w:r>
        <w:rPr>
          <w:rFonts w:ascii="仿宋_GB2312" w:hAnsi="仿宋_GB2312" w:eastAsia="仿宋_GB2312" w:cs="仿宋_GB2312"/>
          <w:sz w:val="32"/>
          <w:szCs w:val="32"/>
        </w:rPr>
        <w:t>2.项目整体、区域目标。按照</w:t>
      </w:r>
      <w:r>
        <w:rPr>
          <w:rFonts w:hint="eastAsia" w:ascii="仿宋_GB2312" w:hAnsi="仿宋_GB2312" w:eastAsia="仿宋_GB2312" w:cs="仿宋_GB2312"/>
          <w:sz w:val="32"/>
          <w:szCs w:val="32"/>
        </w:rPr>
        <w:t>相关要求，完成此项工作</w:t>
      </w:r>
      <w:r>
        <w:rPr>
          <w:rFonts w:ascii="仿宋_GB2312" w:hAnsi="仿宋_GB2312" w:eastAsia="仿宋_GB2312" w:cs="仿宋_GB2312"/>
          <w:sz w:val="32"/>
          <w:szCs w:val="32"/>
        </w:rPr>
        <w:t>。</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ascii="仿宋_GB2312" w:hAnsi="仿宋_GB2312" w:eastAsia="仿宋_GB2312" w:cs="仿宋_GB2312"/>
          <w:sz w:val="32"/>
          <w:szCs w:val="32"/>
        </w:rPr>
        <w:t>.具体绩效目标</w:t>
      </w:r>
    </w:p>
    <w:p>
      <w:pPr>
        <w:ind w:firstLine="640" w:firstLineChars="200"/>
        <w:rPr>
          <w:rFonts w:hint="eastAsia" w:ascii="仿宋_GB2312" w:hAnsi="仿宋_GB2312" w:eastAsia="仿宋_GB2312" w:cs="仿宋_GB2312"/>
          <w:sz w:val="32"/>
          <w:szCs w:val="32"/>
        </w:rPr>
      </w:pPr>
      <w:r>
        <w:rPr>
          <w:rFonts w:ascii="仿宋_GB2312" w:hAnsi="仿宋_GB2312" w:eastAsia="仿宋_GB2312" w:cs="仿宋_GB2312"/>
          <w:sz w:val="32"/>
          <w:szCs w:val="32"/>
        </w:rPr>
        <w:t>（1）数量指标：</w:t>
      </w:r>
      <w:bookmarkStart w:id="53" w:name="_Hlk198825733"/>
      <w:r>
        <w:rPr>
          <w:rFonts w:ascii="仿宋_GB2312" w:hAnsi="仿宋_GB2312" w:eastAsia="仿宋_GB2312" w:cs="仿宋_GB2312"/>
          <w:sz w:val="32"/>
          <w:szCs w:val="32"/>
        </w:rPr>
        <w:t>完成</w:t>
      </w:r>
      <w:r>
        <w:rPr>
          <w:rFonts w:hint="eastAsia" w:ascii="仿宋_GB2312" w:hAnsi="仿宋_GB2312" w:eastAsia="仿宋_GB2312" w:cs="仿宋_GB2312"/>
          <w:sz w:val="32"/>
          <w:szCs w:val="32"/>
        </w:rPr>
        <w:t>6名信访人员生活困难救助</w:t>
      </w:r>
      <w:bookmarkEnd w:id="53"/>
      <w:r>
        <w:rPr>
          <w:rFonts w:ascii="仿宋_GB2312" w:hAnsi="仿宋_GB2312" w:eastAsia="仿宋_GB2312" w:cs="仿宋_GB2312"/>
          <w:sz w:val="32"/>
          <w:szCs w:val="32"/>
        </w:rPr>
        <w:t>。</w:t>
      </w:r>
    </w:p>
    <w:p>
      <w:pPr>
        <w:pStyle w:val="9"/>
        <w:spacing w:before="93"/>
        <w:ind w:left="420" w:firstLine="640" w:firstLineChars="200"/>
        <w:rPr>
          <w:rFonts w:hint="eastAsia" w:hAnsi="仿宋_GB2312" w:cs="仿宋_GB2312"/>
          <w:kern w:val="2"/>
          <w:sz w:val="32"/>
          <w:szCs w:val="32"/>
        </w:rPr>
      </w:pPr>
      <w:r>
        <w:rPr>
          <w:rFonts w:hAnsi="仿宋_GB2312" w:cs="仿宋_GB2312"/>
          <w:kern w:val="2"/>
          <w:sz w:val="32"/>
          <w:szCs w:val="32"/>
        </w:rPr>
        <w:t>（2）质量指标：</w:t>
      </w:r>
      <w:r>
        <w:rPr>
          <w:rFonts w:hint="eastAsia" w:hAnsi="仿宋_GB2312" w:cs="仿宋_GB2312"/>
          <w:kern w:val="2"/>
          <w:sz w:val="32"/>
          <w:szCs w:val="32"/>
        </w:rPr>
        <w:t xml:space="preserve">按时完成 </w:t>
      </w:r>
      <w:r>
        <w:rPr>
          <w:rFonts w:hAnsi="仿宋_GB2312" w:cs="仿宋_GB2312"/>
          <w:kern w:val="2"/>
          <w:sz w:val="32"/>
          <w:szCs w:val="32"/>
        </w:rPr>
        <w:t>。</w:t>
      </w:r>
    </w:p>
    <w:p>
      <w:pPr>
        <w:pStyle w:val="9"/>
        <w:spacing w:before="93"/>
        <w:ind w:left="420" w:firstLine="640" w:firstLineChars="200"/>
        <w:rPr>
          <w:rFonts w:hint="eastAsia" w:hAnsi="仿宋_GB2312" w:cs="仿宋_GB2312"/>
          <w:kern w:val="2"/>
          <w:sz w:val="32"/>
          <w:szCs w:val="32"/>
        </w:rPr>
      </w:pPr>
      <w:r>
        <w:rPr>
          <w:rFonts w:hAnsi="仿宋_GB2312" w:cs="仿宋_GB2312"/>
          <w:kern w:val="2"/>
          <w:sz w:val="32"/>
          <w:szCs w:val="32"/>
        </w:rPr>
        <w:t>（3）时效指标：时效202</w:t>
      </w:r>
      <w:r>
        <w:rPr>
          <w:rFonts w:hint="eastAsia" w:hAnsi="仿宋_GB2312" w:cs="仿宋_GB2312"/>
          <w:kern w:val="2"/>
          <w:sz w:val="32"/>
          <w:szCs w:val="32"/>
        </w:rPr>
        <w:t>5</w:t>
      </w:r>
      <w:r>
        <w:rPr>
          <w:rFonts w:hAnsi="仿宋_GB2312" w:cs="仿宋_GB2312"/>
          <w:kern w:val="2"/>
          <w:sz w:val="32"/>
          <w:szCs w:val="32"/>
        </w:rPr>
        <w:t>年1月至202</w:t>
      </w:r>
      <w:r>
        <w:rPr>
          <w:rFonts w:hint="eastAsia" w:hAnsi="仿宋_GB2312" w:cs="仿宋_GB2312"/>
          <w:kern w:val="2"/>
          <w:sz w:val="32"/>
          <w:szCs w:val="32"/>
        </w:rPr>
        <w:t>5</w:t>
      </w:r>
      <w:r>
        <w:rPr>
          <w:rFonts w:hAnsi="仿宋_GB2312" w:cs="仿宋_GB2312"/>
          <w:kern w:val="2"/>
          <w:sz w:val="32"/>
          <w:szCs w:val="32"/>
        </w:rPr>
        <w:t>年</w:t>
      </w:r>
      <w:r>
        <w:rPr>
          <w:rFonts w:hint="eastAsia" w:hAnsi="仿宋_GB2312" w:cs="仿宋_GB2312"/>
          <w:kern w:val="2"/>
          <w:sz w:val="32"/>
          <w:szCs w:val="32"/>
        </w:rPr>
        <w:t>12</w:t>
      </w:r>
      <w:r>
        <w:rPr>
          <w:rFonts w:hAnsi="仿宋_GB2312" w:cs="仿宋_GB2312"/>
          <w:kern w:val="2"/>
          <w:sz w:val="32"/>
          <w:szCs w:val="32"/>
        </w:rPr>
        <w:t>月。</w:t>
      </w:r>
    </w:p>
    <w:p>
      <w:pPr>
        <w:pStyle w:val="9"/>
        <w:spacing w:before="93"/>
        <w:ind w:left="420" w:firstLine="640" w:firstLineChars="200"/>
        <w:rPr>
          <w:rFonts w:hint="eastAsia" w:hAnsi="仿宋_GB2312" w:cs="仿宋_GB2312"/>
          <w:kern w:val="2"/>
          <w:sz w:val="32"/>
          <w:szCs w:val="32"/>
        </w:rPr>
      </w:pPr>
      <w:r>
        <w:rPr>
          <w:rFonts w:hAnsi="仿宋_GB2312" w:cs="仿宋_GB2312"/>
          <w:kern w:val="2"/>
          <w:sz w:val="32"/>
          <w:szCs w:val="32"/>
        </w:rPr>
        <w:t>（4）成本指标：</w:t>
      </w:r>
      <w:r>
        <w:rPr>
          <w:rFonts w:hint="eastAsia" w:hAnsi="仿宋_GB2312" w:cs="仿宋_GB2312"/>
          <w:kern w:val="2"/>
          <w:sz w:val="32"/>
          <w:szCs w:val="32"/>
        </w:rPr>
        <w:t>12.17万元。</w:t>
      </w:r>
    </w:p>
    <w:p>
      <w:pPr>
        <w:ind w:firstLine="640" w:firstLineChars="200"/>
        <w:rPr>
          <w:rFonts w:hint="eastAsia" w:ascii="仿宋_GB2312" w:hAnsi="仿宋_GB2312" w:eastAsia="仿宋_GB2312" w:cs="仿宋_GB2312"/>
          <w:sz w:val="32"/>
          <w:szCs w:val="32"/>
        </w:rPr>
      </w:pPr>
      <w:r>
        <w:rPr>
          <w:rFonts w:ascii="仿宋_GB2312" w:hAnsi="仿宋_GB2312" w:eastAsia="仿宋_GB2312" w:cs="仿宋_GB2312"/>
          <w:sz w:val="32"/>
          <w:szCs w:val="32"/>
        </w:rPr>
        <w:t>（5）社会效益指标：</w:t>
      </w:r>
      <w:bookmarkStart w:id="54" w:name="_Hlk198824849"/>
      <w:r>
        <w:rPr>
          <w:rFonts w:hint="eastAsia" w:ascii="仿宋_GB2312" w:hAnsi="仿宋_GB2312" w:eastAsia="仿宋_GB2312" w:cs="仿宋_GB2312"/>
          <w:sz w:val="32"/>
          <w:szCs w:val="32"/>
        </w:rPr>
        <w:t>促进社会和谐稳定、推动信访问题依法依规妥善解决。</w:t>
      </w:r>
    </w:p>
    <w:bookmarkEnd w:id="54"/>
    <w:p>
      <w:pPr>
        <w:pStyle w:val="9"/>
        <w:spacing w:before="93"/>
        <w:ind w:left="420" w:firstLine="640" w:firstLineChars="200"/>
        <w:rPr>
          <w:rFonts w:hint="eastAsia" w:hAnsi="仿宋_GB2312" w:cs="仿宋_GB2312"/>
          <w:kern w:val="2"/>
          <w:sz w:val="32"/>
          <w:szCs w:val="32"/>
        </w:rPr>
      </w:pPr>
      <w:r>
        <w:rPr>
          <w:rFonts w:hAnsi="仿宋_GB2312" w:cs="仿宋_GB2312"/>
          <w:kern w:val="2"/>
          <w:sz w:val="32"/>
          <w:szCs w:val="32"/>
        </w:rPr>
        <w:t>（6）满意度指标：</w:t>
      </w:r>
      <w:r>
        <w:rPr>
          <w:rFonts w:hint="eastAsia" w:hAnsi="仿宋_GB2312" w:cs="仿宋_GB2312"/>
          <w:kern w:val="2"/>
          <w:sz w:val="32"/>
          <w:szCs w:val="32"/>
        </w:rPr>
        <w:t>信访人员</w:t>
      </w:r>
      <w:r>
        <w:rPr>
          <w:rFonts w:hAnsi="仿宋_GB2312" w:cs="仿宋_GB2312"/>
          <w:kern w:val="2"/>
          <w:sz w:val="32"/>
          <w:szCs w:val="32"/>
        </w:rPr>
        <w:t>满意度大于等于95%。</w:t>
      </w:r>
    </w:p>
    <w:p>
      <w:pPr>
        <w:adjustRightInd w:val="0"/>
        <w:snapToGrid w:val="0"/>
        <w:spacing w:line="600" w:lineRule="exact"/>
        <w:ind w:firstLine="72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评价申报内容与该项目问题需求相匹配，合理可行。</w:t>
      </w:r>
    </w:p>
    <w:p>
      <w:pPr>
        <w:adjustRightInd w:val="0"/>
        <w:snapToGrid w:val="0"/>
        <w:spacing w:line="600" w:lineRule="exact"/>
        <w:ind w:firstLine="720"/>
        <w:rPr>
          <w:rFonts w:hint="eastAsia" w:ascii="仿宋_GB2312" w:hAnsi="仿宋_GB2312" w:eastAsia="仿宋_GB2312" w:cs="仿宋_GB2312"/>
          <w:b/>
          <w:bCs/>
          <w:sz w:val="32"/>
          <w:szCs w:val="32"/>
        </w:rPr>
      </w:pPr>
      <w:r>
        <w:rPr>
          <w:rFonts w:ascii="仿宋_GB2312" w:hAnsi="仿宋_GB2312" w:eastAsia="仿宋_GB2312" w:cs="仿宋_GB2312"/>
          <w:b/>
          <w:bCs/>
          <w:sz w:val="32"/>
          <w:szCs w:val="32"/>
        </w:rPr>
        <w:t>（三）项目自评步骤及方法</w:t>
      </w:r>
    </w:p>
    <w:p>
      <w:pPr>
        <w:ind w:firstLine="640" w:firstLineChars="200"/>
        <w:rPr>
          <w:rFonts w:hint="eastAsia" w:ascii="仿宋_GB2312" w:hAnsi="仿宋_GB2312" w:eastAsia="仿宋_GB2312" w:cs="仿宋_GB2312"/>
          <w:sz w:val="32"/>
          <w:szCs w:val="32"/>
        </w:rPr>
      </w:pPr>
      <w:r>
        <w:rPr>
          <w:rFonts w:ascii="仿宋_GB2312" w:hAnsi="仿宋_GB2312" w:eastAsia="仿宋_GB2312" w:cs="仿宋_GB2312"/>
          <w:sz w:val="32"/>
          <w:szCs w:val="32"/>
        </w:rPr>
        <w:t>（1）明确目标任务。项目整体目标</w:t>
      </w:r>
      <w:r>
        <w:rPr>
          <w:rFonts w:hint="eastAsia" w:ascii="仿宋_GB2312" w:hAnsi="仿宋_GB2312" w:eastAsia="仿宋_GB2312" w:cs="仿宋_GB2312"/>
          <w:sz w:val="32"/>
          <w:szCs w:val="32"/>
        </w:rPr>
        <w:t>促进社会和谐稳定、推动信访问题依法依规妥善解决。</w:t>
      </w:r>
    </w:p>
    <w:p>
      <w:pPr>
        <w:adjustRightInd w:val="0"/>
        <w:snapToGrid w:val="0"/>
        <w:spacing w:line="620" w:lineRule="exact"/>
        <w:ind w:firstLine="640" w:firstLineChars="200"/>
        <w:rPr>
          <w:rFonts w:hint="eastAsia" w:ascii="仿宋_GB2312" w:hAnsi="仿宋_GB2312" w:eastAsia="仿宋_GB2312" w:cs="仿宋_GB2312"/>
          <w:sz w:val="32"/>
          <w:szCs w:val="32"/>
        </w:rPr>
      </w:pPr>
      <w:r>
        <w:rPr>
          <w:rFonts w:ascii="仿宋_GB2312" w:hAnsi="仿宋_GB2312" w:eastAsia="仿宋_GB2312" w:cs="仿宋_GB2312"/>
          <w:sz w:val="32"/>
          <w:szCs w:val="32"/>
        </w:rPr>
        <w:t>（2）明确责任分工。由</w:t>
      </w:r>
      <w:r>
        <w:rPr>
          <w:rFonts w:hint="eastAsia" w:ascii="仿宋_GB2312" w:hAnsi="仿宋_GB2312" w:eastAsia="仿宋_GB2312" w:cs="仿宋_GB2312"/>
          <w:sz w:val="32"/>
          <w:szCs w:val="32"/>
        </w:rPr>
        <w:t>区信访局群众意见受理中心</w:t>
      </w:r>
      <w:r>
        <w:rPr>
          <w:rFonts w:ascii="仿宋_GB2312" w:hAnsi="仿宋_GB2312" w:eastAsia="仿宋_GB2312" w:cs="仿宋_GB2312"/>
          <w:sz w:val="32"/>
          <w:szCs w:val="32"/>
        </w:rPr>
        <w:t>牵头，负责统筹项目资金使用分配、协调对接、现场监督等事宜。</w:t>
      </w:r>
    </w:p>
    <w:p>
      <w:pPr>
        <w:ind w:firstLine="640" w:firstLineChars="200"/>
        <w:rPr>
          <w:rFonts w:hint="eastAsia" w:ascii="仿宋_GB2312" w:hAnsi="仿宋_GB2312" w:eastAsia="仿宋_GB2312" w:cs="仿宋_GB2312"/>
          <w:sz w:val="32"/>
          <w:szCs w:val="32"/>
        </w:rPr>
      </w:pPr>
      <w:r>
        <w:rPr>
          <w:rFonts w:ascii="仿宋_GB2312" w:hAnsi="仿宋_GB2312" w:eastAsia="仿宋_GB2312" w:cs="仿宋_GB2312"/>
          <w:sz w:val="32"/>
          <w:szCs w:val="32"/>
        </w:rPr>
        <w:t>（3）明确自评内容。评价内容包括绩效目标、目标完成质量、资金使用、社会效益、服务对象满意度等。</w:t>
      </w:r>
    </w:p>
    <w:p>
      <w:pPr>
        <w:pStyle w:val="9"/>
        <w:spacing w:before="93"/>
        <w:ind w:left="420" w:firstLine="640" w:firstLineChars="200"/>
        <w:rPr>
          <w:rFonts w:hint="eastAsia" w:hAnsi="仿宋_GB2312" w:cs="仿宋_GB2312"/>
          <w:kern w:val="2"/>
          <w:sz w:val="32"/>
          <w:szCs w:val="32"/>
        </w:rPr>
      </w:pPr>
      <w:r>
        <w:rPr>
          <w:rFonts w:hAnsi="仿宋_GB2312" w:cs="仿宋_GB2312"/>
          <w:kern w:val="2"/>
          <w:sz w:val="32"/>
          <w:szCs w:val="32"/>
        </w:rPr>
        <w:t>（4）明确自评步骤。自评步骤为收集项目完成数据、对比绩效目标分析项目完成情况和存在的问题、针对问题提出改进建议、制定下一步工作计划、撰写自评报告。</w:t>
      </w:r>
    </w:p>
    <w:p>
      <w:pPr>
        <w:ind w:firstLine="640" w:firstLineChars="200"/>
        <w:rPr>
          <w:rFonts w:hint="eastAsia" w:ascii="仿宋_GB2312" w:hAnsi="仿宋_GB2312" w:eastAsia="仿宋_GB2312" w:cs="仿宋_GB2312"/>
          <w:sz w:val="32"/>
          <w:szCs w:val="32"/>
        </w:rPr>
      </w:pPr>
      <w:r>
        <w:rPr>
          <w:rFonts w:ascii="仿宋_GB2312" w:hAnsi="仿宋_GB2312" w:eastAsia="仿宋_GB2312" w:cs="仿宋_GB2312"/>
          <w:sz w:val="32"/>
          <w:szCs w:val="32"/>
        </w:rPr>
        <w:t>（5）完成绩效自评。</w:t>
      </w:r>
      <w:r>
        <w:rPr>
          <w:rFonts w:hint="eastAsia" w:ascii="仿宋_GB2312" w:hAnsi="仿宋_GB2312" w:eastAsia="仿宋_GB2312" w:cs="仿宋_GB2312"/>
          <w:sz w:val="32"/>
          <w:szCs w:val="32"/>
        </w:rPr>
        <w:t>截至</w:t>
      </w:r>
      <w:r>
        <w:rPr>
          <w:rFonts w:ascii="仿宋_GB2312" w:hAnsi="仿宋_GB2312" w:eastAsia="仿宋_GB2312" w:cs="仿宋_GB2312"/>
          <w:sz w:val="32"/>
          <w:szCs w:val="32"/>
        </w:rPr>
        <w:t>202</w:t>
      </w:r>
      <w:r>
        <w:rPr>
          <w:rFonts w:hint="eastAsia" w:ascii="仿宋_GB2312" w:hAnsi="仿宋_GB2312" w:eastAsia="仿宋_GB2312" w:cs="仿宋_GB2312"/>
          <w:sz w:val="32"/>
          <w:szCs w:val="32"/>
        </w:rPr>
        <w:t>5</w:t>
      </w:r>
      <w:r>
        <w:rPr>
          <w:rFonts w:ascii="仿宋_GB2312" w:hAnsi="仿宋_GB2312" w:eastAsia="仿宋_GB2312" w:cs="仿宋_GB2312"/>
          <w:sz w:val="32"/>
          <w:szCs w:val="32"/>
        </w:rPr>
        <w:t>年</w:t>
      </w:r>
      <w:r>
        <w:rPr>
          <w:rFonts w:hint="eastAsia" w:ascii="仿宋_GB2312" w:hAnsi="仿宋_GB2312" w:eastAsia="仿宋_GB2312" w:cs="仿宋_GB2312"/>
          <w:sz w:val="32"/>
          <w:szCs w:val="32"/>
        </w:rPr>
        <w:t>12</w:t>
      </w:r>
      <w:r>
        <w:rPr>
          <w:rFonts w:ascii="仿宋_GB2312" w:hAnsi="仿宋_GB2312" w:eastAsia="仿宋_GB2312" w:cs="仿宋_GB2312"/>
          <w:sz w:val="32"/>
          <w:szCs w:val="32"/>
        </w:rPr>
        <w:t>月，</w:t>
      </w:r>
      <w:r>
        <w:rPr>
          <w:rFonts w:hint="eastAsia" w:ascii="仿宋_GB2312" w:hAnsi="仿宋_GB2312" w:eastAsia="仿宋_GB2312" w:cs="仿宋_GB2312"/>
          <w:sz w:val="32"/>
          <w:szCs w:val="32"/>
        </w:rPr>
        <w:t>已</w:t>
      </w:r>
      <w:r>
        <w:rPr>
          <w:rFonts w:ascii="仿宋_GB2312" w:hAnsi="仿宋_GB2312" w:eastAsia="仿宋_GB2312" w:cs="仿宋_GB2312"/>
          <w:sz w:val="32"/>
          <w:szCs w:val="32"/>
        </w:rPr>
        <w:t>完成</w:t>
      </w:r>
      <w:r>
        <w:rPr>
          <w:rFonts w:hint="eastAsia" w:ascii="仿宋_GB2312" w:hAnsi="仿宋_GB2312" w:eastAsia="仿宋_GB2312" w:cs="仿宋_GB2312"/>
          <w:sz w:val="32"/>
          <w:szCs w:val="32"/>
        </w:rPr>
        <w:t>此项工作</w:t>
      </w:r>
      <w:r>
        <w:rPr>
          <w:rFonts w:ascii="仿宋_GB2312" w:hAnsi="仿宋_GB2312" w:eastAsia="仿宋_GB2312" w:cs="仿宋_GB2312"/>
          <w:sz w:val="32"/>
          <w:szCs w:val="32"/>
        </w:rPr>
        <w:t>。</w:t>
      </w:r>
    </w:p>
    <w:p>
      <w:pPr>
        <w:adjustRightInd w:val="0"/>
        <w:snapToGrid w:val="0"/>
        <w:spacing w:line="600" w:lineRule="exact"/>
        <w:ind w:firstLine="720"/>
        <w:rPr>
          <w:rFonts w:hint="eastAsia" w:ascii="仿宋_GB2312" w:hAnsi="仿宋_GB2312" w:eastAsia="仿宋_GB2312" w:cs="仿宋_GB2312"/>
          <w:b/>
          <w:bCs/>
          <w:sz w:val="32"/>
          <w:szCs w:val="32"/>
        </w:rPr>
      </w:pPr>
      <w:r>
        <w:rPr>
          <w:rFonts w:ascii="仿宋_GB2312" w:hAnsi="仿宋_GB2312" w:eastAsia="仿宋_GB2312" w:cs="仿宋_GB2312"/>
          <w:b/>
          <w:bCs/>
          <w:sz w:val="32"/>
          <w:szCs w:val="32"/>
        </w:rPr>
        <w:t>二、项目资金申报及使用情况</w:t>
      </w:r>
    </w:p>
    <w:p>
      <w:pPr>
        <w:adjustRightInd w:val="0"/>
        <w:snapToGrid w:val="0"/>
        <w:spacing w:line="600" w:lineRule="exact"/>
        <w:ind w:firstLine="720"/>
        <w:rPr>
          <w:rFonts w:hint="eastAsia" w:ascii="仿宋_GB2312" w:hAnsi="仿宋_GB2312" w:eastAsia="仿宋_GB2312" w:cs="仿宋_GB2312"/>
          <w:b/>
          <w:bCs/>
          <w:sz w:val="32"/>
          <w:szCs w:val="32"/>
        </w:rPr>
      </w:pPr>
      <w:r>
        <w:rPr>
          <w:rFonts w:ascii="仿宋_GB2312" w:hAnsi="仿宋_GB2312" w:eastAsia="仿宋_GB2312" w:cs="仿宋_GB2312"/>
          <w:b/>
          <w:bCs/>
          <w:sz w:val="32"/>
          <w:szCs w:val="32"/>
        </w:rPr>
        <w:t>（一）项目资金申报及批复情况</w:t>
      </w:r>
    </w:p>
    <w:p>
      <w:pPr>
        <w:adjustRightInd w:val="0"/>
        <w:snapToGrid w:val="0"/>
        <w:spacing w:line="600" w:lineRule="exact"/>
        <w:ind w:firstLine="72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2025年1月，区信访局向区财政局专项资金项目申报</w:t>
      </w:r>
      <w:bookmarkStart w:id="55" w:name="_Hlk198825248"/>
      <w:r>
        <w:rPr>
          <w:rFonts w:hint="eastAsia" w:ascii="仿宋_GB2312" w:hAnsi="仿宋_GB2312" w:eastAsia="仿宋_GB2312" w:cs="仿宋_GB2312"/>
          <w:sz w:val="32"/>
          <w:szCs w:val="32"/>
        </w:rPr>
        <w:t>特殊疑难信访问题中央专项补助资金及疑难信访问题资金12.5万元</w:t>
      </w:r>
      <w:bookmarkEnd w:id="55"/>
      <w:r>
        <w:rPr>
          <w:rFonts w:hint="eastAsia" w:ascii="仿宋_GB2312" w:hAnsi="仿宋_GB2312" w:eastAsia="仿宋_GB2312" w:cs="仿宋_GB2312"/>
          <w:sz w:val="32"/>
          <w:szCs w:val="32"/>
        </w:rPr>
        <w:t>，用于促进社会和谐稳定、推动特殊疑难信访问题依法依规妥善解决。</w:t>
      </w:r>
    </w:p>
    <w:p>
      <w:pPr>
        <w:adjustRightInd w:val="0"/>
        <w:snapToGrid w:val="0"/>
        <w:spacing w:line="600" w:lineRule="exact"/>
        <w:ind w:firstLine="720"/>
        <w:rPr>
          <w:rFonts w:hint="eastAsia" w:ascii="仿宋_GB2312" w:hAnsi="仿宋_GB2312" w:eastAsia="仿宋_GB2312" w:cs="仿宋_GB2312"/>
          <w:b/>
          <w:bCs/>
          <w:sz w:val="32"/>
          <w:szCs w:val="32"/>
        </w:rPr>
      </w:pPr>
      <w:r>
        <w:rPr>
          <w:rFonts w:ascii="仿宋_GB2312" w:hAnsi="仿宋_GB2312" w:eastAsia="仿宋_GB2312" w:cs="仿宋_GB2312"/>
          <w:b/>
          <w:bCs/>
          <w:sz w:val="32"/>
          <w:szCs w:val="32"/>
        </w:rPr>
        <w:t>（二）资金计划、到位及使用情况</w:t>
      </w:r>
    </w:p>
    <w:p>
      <w:pPr>
        <w:adjustRightInd w:val="0"/>
        <w:snapToGrid w:val="0"/>
        <w:spacing w:line="600" w:lineRule="exact"/>
        <w:ind w:firstLine="720"/>
        <w:rPr>
          <w:rFonts w:hint="eastAsia" w:ascii="仿宋_GB2312" w:hAnsi="仿宋_GB2312" w:eastAsia="仿宋_GB2312" w:cs="仿宋_GB2312"/>
          <w:sz w:val="32"/>
          <w:szCs w:val="32"/>
        </w:rPr>
      </w:pPr>
      <w:r>
        <w:rPr>
          <w:rFonts w:ascii="仿宋_GB2312" w:hAnsi="仿宋_GB2312" w:eastAsia="仿宋_GB2312" w:cs="仿宋_GB2312"/>
          <w:sz w:val="32"/>
          <w:szCs w:val="32"/>
        </w:rPr>
        <w:t>1</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资金计划。</w:t>
      </w:r>
      <w:r>
        <w:rPr>
          <w:rFonts w:hint="eastAsia" w:ascii="仿宋_GB2312" w:hAnsi="仿宋_GB2312" w:eastAsia="仿宋_GB2312" w:cs="仿宋_GB2312"/>
          <w:sz w:val="32"/>
          <w:szCs w:val="32"/>
        </w:rPr>
        <w:t>资金使用计划为特殊疑难信访问题中央专项补助资金及疑难信访问题资金12.5万元</w:t>
      </w:r>
      <w:r>
        <w:rPr>
          <w:rFonts w:ascii="仿宋_GB2312" w:hAnsi="仿宋_GB2312" w:eastAsia="仿宋_GB2312" w:cs="仿宋_GB2312"/>
          <w:sz w:val="32"/>
          <w:szCs w:val="32"/>
        </w:rPr>
        <w:t>。</w:t>
      </w:r>
    </w:p>
    <w:p>
      <w:pPr>
        <w:adjustRightInd w:val="0"/>
        <w:snapToGrid w:val="0"/>
        <w:spacing w:line="600" w:lineRule="exact"/>
        <w:ind w:firstLine="720"/>
        <w:rPr>
          <w:rFonts w:hint="eastAsia" w:ascii="仿宋_GB2312" w:hAnsi="仿宋_GB2312" w:eastAsia="仿宋_GB2312" w:cs="仿宋_GB2312"/>
          <w:sz w:val="32"/>
          <w:szCs w:val="32"/>
        </w:rPr>
      </w:pPr>
      <w:r>
        <w:rPr>
          <w:rFonts w:ascii="仿宋_GB2312" w:hAnsi="仿宋_GB2312" w:eastAsia="仿宋_GB2312" w:cs="仿宋_GB2312"/>
          <w:sz w:val="32"/>
          <w:szCs w:val="32"/>
        </w:rPr>
        <w:t>2</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资金到位。</w:t>
      </w:r>
      <w:r>
        <w:rPr>
          <w:rFonts w:hint="eastAsia" w:ascii="仿宋_GB2312" w:hAnsi="仿宋_GB2312" w:eastAsia="仿宋_GB2312" w:cs="仿宋_GB2312"/>
          <w:sz w:val="32"/>
          <w:szCs w:val="32"/>
        </w:rPr>
        <w:t>截至2025年1月仁和</w:t>
      </w:r>
      <w:r>
        <w:rPr>
          <w:rFonts w:ascii="仿宋_GB2312" w:hAnsi="仿宋_GB2312" w:eastAsia="仿宋_GB2312" w:cs="仿宋_GB2312"/>
          <w:sz w:val="32"/>
          <w:szCs w:val="32"/>
        </w:rPr>
        <w:t>区财政局下达</w:t>
      </w:r>
      <w:r>
        <w:rPr>
          <w:rFonts w:hint="eastAsia" w:ascii="仿宋_GB2312" w:hAnsi="仿宋_GB2312" w:eastAsia="仿宋_GB2312" w:cs="仿宋_GB2312"/>
          <w:sz w:val="32"/>
          <w:szCs w:val="32"/>
        </w:rPr>
        <w:t>特殊疑难信访问题中央专项补助资金及疑难信访问题资金12.5万元。</w:t>
      </w:r>
    </w:p>
    <w:p>
      <w:pPr>
        <w:adjustRightInd w:val="0"/>
        <w:snapToGrid w:val="0"/>
        <w:spacing w:line="600" w:lineRule="exact"/>
        <w:ind w:firstLine="720"/>
        <w:rPr>
          <w:rFonts w:hint="eastAsia" w:ascii="仿宋_GB2312" w:hAnsi="仿宋_GB2312" w:eastAsia="仿宋_GB2312" w:cs="仿宋_GB2312"/>
          <w:sz w:val="32"/>
          <w:szCs w:val="32"/>
        </w:rPr>
      </w:pPr>
      <w:r>
        <w:rPr>
          <w:rFonts w:ascii="仿宋_GB2312" w:hAnsi="仿宋_GB2312" w:eastAsia="仿宋_GB2312" w:cs="仿宋_GB2312"/>
          <w:sz w:val="32"/>
          <w:szCs w:val="32"/>
        </w:rPr>
        <w:t>3</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资金使用。</w:t>
      </w:r>
      <w:r>
        <w:rPr>
          <w:rFonts w:hint="eastAsia" w:ascii="仿宋_GB2312" w:hAnsi="仿宋_GB2312" w:eastAsia="仿宋_GB2312" w:cs="仿宋_GB2312"/>
          <w:sz w:val="32"/>
          <w:szCs w:val="32"/>
        </w:rPr>
        <w:t>截至2025年12月已兑现</w:t>
      </w:r>
      <w:r>
        <w:rPr>
          <w:rFonts w:ascii="仿宋_GB2312" w:hAnsi="仿宋_GB2312" w:eastAsia="仿宋_GB2312" w:cs="仿宋_GB2312"/>
          <w:sz w:val="32"/>
          <w:szCs w:val="32"/>
        </w:rPr>
        <w:t>完成</w:t>
      </w:r>
      <w:r>
        <w:rPr>
          <w:rFonts w:hint="eastAsia" w:ascii="仿宋_GB2312" w:hAnsi="仿宋_GB2312" w:eastAsia="仿宋_GB2312" w:cs="仿宋_GB2312"/>
          <w:sz w:val="32"/>
          <w:szCs w:val="32"/>
        </w:rPr>
        <w:t>6名疑难信访人员生活困难救助12.17万元</w:t>
      </w:r>
    </w:p>
    <w:p>
      <w:pPr>
        <w:adjustRightInd w:val="0"/>
        <w:snapToGrid w:val="0"/>
        <w:spacing w:line="600" w:lineRule="exact"/>
        <w:ind w:firstLine="720"/>
        <w:rPr>
          <w:rFonts w:hint="eastAsia" w:ascii="仿宋_GB2312" w:hAnsi="仿宋_GB2312" w:eastAsia="仿宋_GB2312" w:cs="仿宋_GB2312"/>
          <w:b/>
          <w:bCs/>
          <w:sz w:val="32"/>
          <w:szCs w:val="32"/>
        </w:rPr>
      </w:pPr>
      <w:r>
        <w:rPr>
          <w:rFonts w:ascii="仿宋_GB2312" w:hAnsi="仿宋_GB2312" w:eastAsia="仿宋_GB2312" w:cs="仿宋_GB2312"/>
          <w:b/>
          <w:bCs/>
          <w:sz w:val="32"/>
          <w:szCs w:val="32"/>
        </w:rPr>
        <w:t>（三）项目财务管理情况</w:t>
      </w:r>
    </w:p>
    <w:p>
      <w:pPr>
        <w:adjustRightInd w:val="0"/>
        <w:snapToGrid w:val="0"/>
        <w:spacing w:line="600" w:lineRule="exact"/>
        <w:ind w:firstLine="72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项目由攀枝花市仁和区信访局负责实施，</w:t>
      </w:r>
      <w:r>
        <w:rPr>
          <w:rFonts w:ascii="仿宋_GB2312" w:hAnsi="仿宋_GB2312" w:eastAsia="仿宋_GB2312" w:cs="仿宋_GB2312"/>
          <w:sz w:val="32"/>
          <w:szCs w:val="32"/>
        </w:rPr>
        <w:t>财务管理制度</w:t>
      </w:r>
      <w:r>
        <w:rPr>
          <w:rFonts w:hint="eastAsia" w:ascii="仿宋_GB2312" w:hAnsi="仿宋_GB2312" w:eastAsia="仿宋_GB2312" w:cs="仿宋_GB2312"/>
          <w:sz w:val="32"/>
          <w:szCs w:val="32"/>
        </w:rPr>
        <w:t>较</w:t>
      </w:r>
      <w:r>
        <w:rPr>
          <w:rFonts w:ascii="仿宋_GB2312" w:hAnsi="仿宋_GB2312" w:eastAsia="仿宋_GB2312" w:cs="仿宋_GB2312"/>
          <w:sz w:val="32"/>
          <w:szCs w:val="32"/>
        </w:rPr>
        <w:t>健全，严格执行</w:t>
      </w:r>
      <w:r>
        <w:rPr>
          <w:rFonts w:hint="eastAsia" w:ascii="仿宋_GB2312" w:hAnsi="仿宋_GB2312" w:eastAsia="仿宋_GB2312" w:cs="仿宋_GB2312"/>
          <w:sz w:val="32"/>
          <w:szCs w:val="32"/>
        </w:rPr>
        <w:t>了</w:t>
      </w:r>
      <w:r>
        <w:rPr>
          <w:rFonts w:ascii="仿宋_GB2312" w:hAnsi="仿宋_GB2312" w:eastAsia="仿宋_GB2312" w:cs="仿宋_GB2312"/>
          <w:sz w:val="32"/>
          <w:szCs w:val="32"/>
        </w:rPr>
        <w:t>财务管理制度，</w:t>
      </w:r>
      <w:r>
        <w:rPr>
          <w:rFonts w:hint="eastAsia" w:ascii="仿宋_GB2312" w:hAnsi="仿宋_GB2312" w:eastAsia="仿宋_GB2312" w:cs="仿宋_GB2312"/>
          <w:sz w:val="32"/>
          <w:szCs w:val="32"/>
        </w:rPr>
        <w:t>项目审批等流程均合法合规。</w:t>
      </w:r>
    </w:p>
    <w:p>
      <w:pPr>
        <w:adjustRightInd w:val="0"/>
        <w:snapToGrid w:val="0"/>
        <w:spacing w:line="600" w:lineRule="exact"/>
        <w:ind w:firstLine="720"/>
        <w:rPr>
          <w:rFonts w:hint="eastAsia" w:ascii="仿宋_GB2312" w:hAnsi="仿宋_GB2312" w:eastAsia="仿宋_GB2312" w:cs="仿宋_GB2312"/>
          <w:b/>
          <w:bCs/>
          <w:sz w:val="32"/>
          <w:szCs w:val="32"/>
        </w:rPr>
      </w:pPr>
      <w:r>
        <w:rPr>
          <w:rFonts w:ascii="仿宋_GB2312" w:hAnsi="仿宋_GB2312" w:eastAsia="仿宋_GB2312" w:cs="仿宋_GB2312"/>
          <w:b/>
          <w:bCs/>
          <w:sz w:val="32"/>
          <w:szCs w:val="32"/>
        </w:rPr>
        <w:t>三、项目实施及管理情况</w:t>
      </w:r>
    </w:p>
    <w:p>
      <w:pPr>
        <w:adjustRightInd w:val="0"/>
        <w:snapToGrid w:val="0"/>
        <w:spacing w:line="600" w:lineRule="exact"/>
        <w:ind w:firstLine="720"/>
        <w:rPr>
          <w:rFonts w:hint="eastAsia" w:ascii="仿宋_GB2312" w:hAnsi="仿宋_GB2312" w:eastAsia="仿宋_GB2312" w:cs="仿宋_GB2312"/>
          <w:sz w:val="32"/>
          <w:szCs w:val="32"/>
        </w:rPr>
      </w:pPr>
      <w:r>
        <w:rPr>
          <w:rFonts w:ascii="仿宋_GB2312" w:hAnsi="仿宋_GB2312" w:eastAsia="仿宋_GB2312" w:cs="仿宋_GB2312"/>
          <w:sz w:val="32"/>
          <w:szCs w:val="32"/>
        </w:rPr>
        <w:t>（一）项目组织架构及实施流程。</w:t>
      </w:r>
      <w:r>
        <w:rPr>
          <w:rFonts w:hint="eastAsia" w:ascii="仿宋_GB2312" w:hAnsi="仿宋_GB2312" w:eastAsia="仿宋_GB2312" w:cs="仿宋_GB2312"/>
          <w:sz w:val="32"/>
          <w:szCs w:val="32"/>
        </w:rPr>
        <w:t>项目由区信访局局长负责统筹规划，群众意见受理中心负责实施协调工作。</w:t>
      </w:r>
    </w:p>
    <w:p>
      <w:pPr>
        <w:adjustRightInd w:val="0"/>
        <w:snapToGrid w:val="0"/>
        <w:spacing w:line="600" w:lineRule="exact"/>
        <w:ind w:firstLine="720"/>
        <w:rPr>
          <w:rFonts w:hint="eastAsia" w:ascii="仿宋_GB2312" w:hAnsi="仿宋_GB2312" w:eastAsia="仿宋_GB2312" w:cs="仿宋_GB2312"/>
          <w:sz w:val="32"/>
          <w:szCs w:val="32"/>
        </w:rPr>
      </w:pPr>
      <w:r>
        <w:rPr>
          <w:rFonts w:ascii="仿宋_GB2312" w:hAnsi="仿宋_GB2312" w:eastAsia="仿宋_GB2312" w:cs="仿宋_GB2312"/>
          <w:sz w:val="32"/>
          <w:szCs w:val="32"/>
        </w:rPr>
        <w:t>（二）项目管理情况。</w:t>
      </w:r>
      <w:r>
        <w:rPr>
          <w:rFonts w:hint="eastAsia" w:ascii="仿宋_GB2312" w:hAnsi="仿宋_GB2312" w:eastAsia="仿宋_GB2312" w:cs="仿宋_GB2312"/>
          <w:sz w:val="32"/>
          <w:szCs w:val="32"/>
        </w:rPr>
        <w:t>攀枝花市仁和区信访局在项目执行过程中严格按照资金管理制度开展必选工作，项目立项、资金使用均通过相关会议集体讨论通过。</w:t>
      </w:r>
    </w:p>
    <w:p>
      <w:pPr>
        <w:adjustRightInd w:val="0"/>
        <w:snapToGrid w:val="0"/>
        <w:spacing w:line="600" w:lineRule="exact"/>
        <w:ind w:firstLine="720"/>
        <w:rPr>
          <w:rFonts w:hint="eastAsia" w:ascii="仿宋_GB2312" w:hAnsi="仿宋_GB2312" w:eastAsia="仿宋_GB2312" w:cs="仿宋_GB2312"/>
          <w:sz w:val="32"/>
          <w:szCs w:val="32"/>
        </w:rPr>
      </w:pPr>
      <w:r>
        <w:rPr>
          <w:rFonts w:ascii="仿宋_GB2312" w:hAnsi="仿宋_GB2312" w:eastAsia="仿宋_GB2312" w:cs="仿宋_GB2312"/>
          <w:sz w:val="32"/>
          <w:szCs w:val="32"/>
        </w:rPr>
        <w:t>（三）项目监管情况</w:t>
      </w:r>
      <w:r>
        <w:rPr>
          <w:rFonts w:hint="eastAsia" w:ascii="仿宋_GB2312" w:hAnsi="仿宋_GB2312" w:eastAsia="仿宋_GB2312" w:cs="仿宋_GB2312"/>
          <w:sz w:val="32"/>
          <w:szCs w:val="32"/>
        </w:rPr>
        <w:t>。攀枝花市仁和区信访局作为项目主管单位全流程对项目实施情况进行监管，指派专人负责跟进项目实施，有效保障了项目顺利推进。</w:t>
      </w:r>
    </w:p>
    <w:p>
      <w:pPr>
        <w:adjustRightInd w:val="0"/>
        <w:snapToGrid w:val="0"/>
        <w:spacing w:line="600" w:lineRule="exact"/>
        <w:ind w:firstLine="720"/>
        <w:rPr>
          <w:rFonts w:hint="eastAsia" w:ascii="仿宋_GB2312" w:hAnsi="仿宋_GB2312" w:eastAsia="仿宋_GB2312" w:cs="仿宋_GB2312"/>
          <w:b/>
          <w:bCs/>
          <w:sz w:val="32"/>
          <w:szCs w:val="32"/>
        </w:rPr>
      </w:pPr>
      <w:r>
        <w:rPr>
          <w:rFonts w:ascii="仿宋_GB2312" w:hAnsi="仿宋_GB2312" w:eastAsia="仿宋_GB2312" w:cs="仿宋_GB2312"/>
          <w:b/>
          <w:bCs/>
          <w:sz w:val="32"/>
          <w:szCs w:val="32"/>
        </w:rPr>
        <w:t>四、项目绩效情况</w:t>
      </w:r>
      <w:r>
        <w:rPr>
          <w:rFonts w:ascii="仿宋_GB2312" w:hAnsi="仿宋_GB2312" w:eastAsia="仿宋_GB2312" w:cs="仿宋_GB2312"/>
          <w:b/>
          <w:bCs/>
          <w:sz w:val="32"/>
          <w:szCs w:val="32"/>
        </w:rPr>
        <w:tab/>
      </w:r>
    </w:p>
    <w:p>
      <w:pPr>
        <w:adjustRightInd w:val="0"/>
        <w:snapToGrid w:val="0"/>
        <w:spacing w:line="600" w:lineRule="exact"/>
        <w:ind w:firstLine="720"/>
        <w:rPr>
          <w:rFonts w:hint="eastAsia" w:ascii="仿宋_GB2312" w:hAnsi="仿宋_GB2312" w:eastAsia="仿宋_GB2312" w:cs="仿宋_GB2312"/>
          <w:sz w:val="32"/>
          <w:szCs w:val="32"/>
        </w:rPr>
      </w:pPr>
      <w:r>
        <w:rPr>
          <w:rFonts w:ascii="仿宋_GB2312" w:hAnsi="仿宋_GB2312" w:eastAsia="仿宋_GB2312" w:cs="仿宋_GB2312"/>
          <w:sz w:val="32"/>
          <w:szCs w:val="32"/>
        </w:rPr>
        <w:t>（一）项目完成情况</w:t>
      </w:r>
    </w:p>
    <w:p>
      <w:pPr>
        <w:adjustRightInd w:val="0"/>
        <w:snapToGrid w:val="0"/>
        <w:spacing w:line="600" w:lineRule="exact"/>
        <w:ind w:firstLine="72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1.数量指标情况：</w:t>
      </w:r>
      <w:r>
        <w:rPr>
          <w:rFonts w:ascii="仿宋_GB2312" w:hAnsi="仿宋_GB2312" w:eastAsia="仿宋_GB2312" w:cs="仿宋_GB2312"/>
          <w:sz w:val="32"/>
          <w:szCs w:val="32"/>
        </w:rPr>
        <w:t>完成</w:t>
      </w:r>
      <w:r>
        <w:rPr>
          <w:rFonts w:hint="eastAsia" w:ascii="仿宋_GB2312" w:hAnsi="仿宋_GB2312" w:eastAsia="仿宋_GB2312" w:cs="仿宋_GB2312"/>
          <w:sz w:val="32"/>
          <w:szCs w:val="32"/>
        </w:rPr>
        <w:t>6名信访人员生活困难救助</w:t>
      </w:r>
      <w:r>
        <w:rPr>
          <w:rFonts w:ascii="仿宋_GB2312" w:hAnsi="仿宋_GB2312" w:eastAsia="仿宋_GB2312" w:cs="仿宋_GB2312"/>
          <w:sz w:val="32"/>
          <w:szCs w:val="32"/>
        </w:rPr>
        <w:t>。</w:t>
      </w:r>
    </w:p>
    <w:p>
      <w:pPr>
        <w:adjustRightInd w:val="0"/>
        <w:snapToGrid w:val="0"/>
        <w:spacing w:line="600" w:lineRule="exact"/>
        <w:ind w:firstLine="72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2.质量指标情况：项目工作推进顺利</w:t>
      </w:r>
      <w:r>
        <w:rPr>
          <w:rFonts w:ascii="仿宋_GB2312" w:hAnsi="仿宋_GB2312" w:eastAsia="仿宋_GB2312" w:cs="仿宋_GB2312"/>
          <w:sz w:val="32"/>
          <w:szCs w:val="32"/>
        </w:rPr>
        <w:t>。</w:t>
      </w:r>
    </w:p>
    <w:p>
      <w:pPr>
        <w:adjustRightInd w:val="0"/>
        <w:snapToGrid w:val="0"/>
        <w:spacing w:line="600" w:lineRule="exact"/>
        <w:ind w:firstLine="72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3.时效指标情况：在规定时间内启动了项目工作，未存在超时情况。</w:t>
      </w:r>
    </w:p>
    <w:p>
      <w:pPr>
        <w:adjustRightInd w:val="0"/>
        <w:snapToGrid w:val="0"/>
        <w:spacing w:line="600" w:lineRule="exact"/>
        <w:ind w:firstLine="72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4.成本指标情况：项目已完成。</w:t>
      </w:r>
    </w:p>
    <w:p>
      <w:pPr>
        <w:adjustRightInd w:val="0"/>
        <w:snapToGrid w:val="0"/>
        <w:spacing w:line="600" w:lineRule="exact"/>
        <w:ind w:firstLine="72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项目资金将全部用于2025年疑难信访人员生活困难救助，不存在结余情况，所有流程均符合财经制度和纪律要求，无</w:t>
      </w:r>
      <w:r>
        <w:rPr>
          <w:rFonts w:ascii="仿宋_GB2312" w:hAnsi="仿宋_GB2312" w:eastAsia="仿宋_GB2312" w:cs="仿宋_GB2312"/>
          <w:sz w:val="32"/>
          <w:szCs w:val="32"/>
        </w:rPr>
        <w:t>违规记录</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对照项目计划完成目标，</w:t>
      </w:r>
      <w:r>
        <w:rPr>
          <w:rFonts w:hint="eastAsia" w:ascii="仿宋_GB2312" w:hAnsi="仿宋_GB2312" w:eastAsia="仿宋_GB2312" w:cs="仿宋_GB2312"/>
          <w:sz w:val="32"/>
          <w:szCs w:val="32"/>
        </w:rPr>
        <w:t>该项目工作进度在正常范围内，2025年内启动并完成了此项目工作，项目推进情况总体良好。</w:t>
      </w:r>
    </w:p>
    <w:p>
      <w:pPr>
        <w:adjustRightInd w:val="0"/>
        <w:snapToGrid w:val="0"/>
        <w:spacing w:line="600" w:lineRule="exact"/>
        <w:ind w:firstLine="720"/>
        <w:rPr>
          <w:rFonts w:hint="eastAsia" w:ascii="仿宋_GB2312" w:hAnsi="仿宋_GB2312" w:eastAsia="仿宋_GB2312" w:cs="仿宋_GB2312"/>
          <w:b/>
          <w:bCs/>
          <w:sz w:val="32"/>
          <w:szCs w:val="32"/>
        </w:rPr>
      </w:pPr>
      <w:r>
        <w:rPr>
          <w:rFonts w:ascii="仿宋_GB2312" w:hAnsi="仿宋_GB2312" w:eastAsia="仿宋_GB2312" w:cs="仿宋_GB2312"/>
          <w:b/>
          <w:bCs/>
          <w:sz w:val="32"/>
          <w:szCs w:val="32"/>
        </w:rPr>
        <w:t>（二）项目效益情况</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ascii="仿宋_GB2312" w:hAnsi="仿宋_GB2312" w:eastAsia="仿宋_GB2312" w:cs="仿宋_GB2312"/>
          <w:sz w:val="32"/>
          <w:szCs w:val="32"/>
        </w:rPr>
        <w:t>社会效益指标：</w:t>
      </w:r>
      <w:r>
        <w:rPr>
          <w:rFonts w:hint="eastAsia" w:ascii="仿宋_GB2312" w:hAnsi="仿宋_GB2312" w:eastAsia="仿宋_GB2312" w:cs="仿宋_GB2312"/>
          <w:sz w:val="32"/>
          <w:szCs w:val="32"/>
        </w:rPr>
        <w:t>促进社会和谐稳定、推动信访问题依法依规妥善解决。</w:t>
      </w:r>
    </w:p>
    <w:p>
      <w:pPr>
        <w:pStyle w:val="8"/>
        <w:ind w:firstLine="640" w:firstLineChars="200"/>
        <w:rPr>
          <w:rFonts w:hint="eastAsia" w:ascii="仿宋_GB2312" w:hAnsi="仿宋_GB2312" w:cs="仿宋_GB2312"/>
          <w:szCs w:val="32"/>
        </w:rPr>
      </w:pPr>
      <w:r>
        <w:rPr>
          <w:rFonts w:hint="eastAsia" w:ascii="仿宋_GB2312" w:hAnsi="仿宋_GB2312" w:cs="仿宋_GB2312"/>
          <w:szCs w:val="32"/>
        </w:rPr>
        <w:t>2.可持续影响指标：不断促进社会和谐稳定，更好服务信访人员。</w:t>
      </w:r>
    </w:p>
    <w:p>
      <w:pPr>
        <w:adjustRightInd w:val="0"/>
        <w:snapToGrid w:val="0"/>
        <w:spacing w:line="600" w:lineRule="exact"/>
        <w:ind w:firstLine="72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ascii="仿宋_GB2312" w:hAnsi="仿宋_GB2312" w:eastAsia="仿宋_GB2312" w:cs="仿宋_GB2312"/>
          <w:sz w:val="32"/>
          <w:szCs w:val="32"/>
        </w:rPr>
        <w:t>满意度指标：</w:t>
      </w:r>
      <w:r>
        <w:rPr>
          <w:rFonts w:hint="eastAsia" w:ascii="仿宋_GB2312" w:hAnsi="仿宋_GB2312" w:eastAsia="仿宋_GB2312" w:cs="仿宋_GB2312"/>
          <w:sz w:val="32"/>
          <w:szCs w:val="32"/>
        </w:rPr>
        <w:t>职工</w:t>
      </w:r>
      <w:r>
        <w:rPr>
          <w:rFonts w:ascii="仿宋_GB2312" w:hAnsi="仿宋_GB2312" w:eastAsia="仿宋_GB2312" w:cs="仿宋_GB2312"/>
          <w:sz w:val="32"/>
          <w:szCs w:val="32"/>
        </w:rPr>
        <w:t>满意度大于等于</w:t>
      </w:r>
      <w:r>
        <w:rPr>
          <w:rFonts w:hint="eastAsia" w:ascii="仿宋_GB2312" w:hAnsi="仿宋_GB2312" w:eastAsia="仿宋_GB2312" w:cs="仿宋_GB2312"/>
          <w:sz w:val="32"/>
          <w:szCs w:val="32"/>
        </w:rPr>
        <w:t>95</w:t>
      </w:r>
      <w:r>
        <w:rPr>
          <w:rFonts w:ascii="仿宋_GB2312" w:hAnsi="仿宋_GB2312" w:eastAsia="仿宋_GB2312" w:cs="仿宋_GB2312"/>
          <w:sz w:val="32"/>
          <w:szCs w:val="32"/>
        </w:rPr>
        <w:t>%。</w:t>
      </w:r>
    </w:p>
    <w:p>
      <w:pPr>
        <w:adjustRightInd w:val="0"/>
        <w:snapToGrid w:val="0"/>
        <w:spacing w:line="600" w:lineRule="exact"/>
        <w:ind w:firstLine="720"/>
        <w:rPr>
          <w:rFonts w:hint="eastAsia" w:ascii="仿宋_GB2312" w:hAnsi="仿宋_GB2312" w:eastAsia="仿宋_GB2312" w:cs="仿宋_GB2312"/>
          <w:sz w:val="32"/>
          <w:szCs w:val="32"/>
        </w:rPr>
      </w:pPr>
      <w:r>
        <w:rPr>
          <w:rFonts w:ascii="仿宋_GB2312" w:hAnsi="仿宋_GB2312" w:eastAsia="仿宋_GB2312" w:cs="仿宋_GB2312"/>
          <w:sz w:val="32"/>
          <w:szCs w:val="32"/>
        </w:rPr>
        <w:t>五、评价结论及建议</w:t>
      </w:r>
    </w:p>
    <w:p>
      <w:pPr>
        <w:adjustRightInd w:val="0"/>
        <w:snapToGrid w:val="0"/>
        <w:spacing w:line="600" w:lineRule="exact"/>
        <w:ind w:firstLine="720"/>
        <w:rPr>
          <w:rFonts w:hint="eastAsia" w:ascii="仿宋_GB2312" w:hAnsi="仿宋_GB2312" w:eastAsia="仿宋_GB2312" w:cs="仿宋_GB2312"/>
          <w:sz w:val="32"/>
          <w:szCs w:val="32"/>
        </w:rPr>
      </w:pPr>
      <w:r>
        <w:rPr>
          <w:rFonts w:ascii="仿宋_GB2312" w:hAnsi="仿宋_GB2312" w:eastAsia="仿宋_GB2312" w:cs="仿宋_GB2312"/>
          <w:sz w:val="32"/>
          <w:szCs w:val="32"/>
        </w:rPr>
        <w:t>（一）评价结论。</w:t>
      </w:r>
      <w:r>
        <w:rPr>
          <w:rFonts w:hint="eastAsia" w:ascii="仿宋_GB2312" w:hAnsi="仿宋_GB2312" w:eastAsia="仿宋_GB2312" w:cs="仿宋_GB2312"/>
          <w:sz w:val="32"/>
          <w:szCs w:val="32"/>
        </w:rPr>
        <w:t>项目总体评价良好，数量、质量、成本、时效指标均在合理范围内，项目绩效目标设定合理，与相关项目要求匹配，达到了项目要求条件, 自评得分98分。</w:t>
      </w:r>
    </w:p>
    <w:p>
      <w:pPr>
        <w:adjustRightInd w:val="0"/>
        <w:snapToGrid w:val="0"/>
        <w:spacing w:line="600" w:lineRule="exact"/>
        <w:ind w:firstLine="640" w:firstLineChars="200"/>
        <w:rPr>
          <w:rFonts w:hint="eastAsia" w:ascii="仿宋_GB2312" w:hAnsi="仿宋_GB2312" w:eastAsia="仿宋_GB2312" w:cs="仿宋_GB2312"/>
          <w:sz w:val="32"/>
          <w:szCs w:val="32"/>
        </w:rPr>
      </w:pPr>
      <w:r>
        <w:rPr>
          <w:rFonts w:ascii="仿宋_GB2312" w:hAnsi="仿宋_GB2312" w:eastAsia="仿宋_GB2312" w:cs="仿宋_GB2312"/>
          <w:sz w:val="32"/>
          <w:szCs w:val="32"/>
        </w:rPr>
        <w:t>（二）存在的问题。</w:t>
      </w:r>
      <w:r>
        <w:rPr>
          <w:rFonts w:hint="eastAsia" w:ascii="仿宋_GB2312" w:hAnsi="仿宋_GB2312" w:eastAsia="仿宋_GB2312" w:cs="仿宋_GB2312"/>
          <w:sz w:val="32"/>
          <w:szCs w:val="32"/>
        </w:rPr>
        <w:t>项目已经完成，由于财政资金较为紧张，资金未按进度拨付完成。</w:t>
      </w:r>
    </w:p>
    <w:p>
      <w:pPr>
        <w:ind w:firstLine="640" w:firstLineChars="200"/>
        <w:rPr>
          <w:rFonts w:hint="eastAsia" w:ascii="仿宋_GB2312" w:hAnsi="仿宋_GB2312" w:eastAsia="仿宋_GB2312" w:cs="仿宋_GB2312"/>
          <w:sz w:val="32"/>
          <w:szCs w:val="32"/>
        </w:rPr>
      </w:pPr>
      <w:r>
        <w:rPr>
          <w:rFonts w:ascii="仿宋_GB2312" w:hAnsi="仿宋_GB2312" w:eastAsia="仿宋_GB2312" w:cs="仿宋_GB2312"/>
          <w:sz w:val="32"/>
          <w:szCs w:val="32"/>
        </w:rPr>
        <w:t>（三）相关建议。</w:t>
      </w:r>
      <w:r>
        <w:rPr>
          <w:rFonts w:hint="eastAsia" w:ascii="仿宋_GB2312" w:hAnsi="仿宋_GB2312" w:eastAsia="仿宋_GB2312" w:cs="仿宋_GB2312"/>
          <w:sz w:val="32"/>
          <w:szCs w:val="32"/>
        </w:rPr>
        <w:t>加强与财政部门的沟通，及时申报拨付计划，加快项目资金拨付。</w:t>
      </w:r>
    </w:p>
    <w:p>
      <w:pPr>
        <w:widowControl/>
        <w:jc w:val="center"/>
        <w:rPr>
          <w:rFonts w:eastAsia="黑体"/>
          <w:sz w:val="44"/>
          <w:szCs w:val="44"/>
        </w:rPr>
      </w:pPr>
    </w:p>
    <w:p>
      <w:pPr>
        <w:widowControl/>
        <w:jc w:val="center"/>
        <w:rPr>
          <w:rFonts w:eastAsia="黑体"/>
          <w:sz w:val="44"/>
          <w:szCs w:val="44"/>
        </w:rPr>
      </w:pPr>
    </w:p>
    <w:p>
      <w:pPr>
        <w:widowControl/>
        <w:jc w:val="center"/>
        <w:rPr>
          <w:rFonts w:eastAsia="黑体"/>
          <w:sz w:val="44"/>
          <w:szCs w:val="44"/>
        </w:rPr>
      </w:pPr>
    </w:p>
    <w:p>
      <w:pPr>
        <w:widowControl/>
        <w:jc w:val="center"/>
        <w:rPr>
          <w:rFonts w:eastAsia="黑体"/>
          <w:sz w:val="44"/>
          <w:szCs w:val="44"/>
        </w:rPr>
      </w:pPr>
    </w:p>
    <w:p>
      <w:pPr>
        <w:widowControl/>
        <w:jc w:val="center"/>
        <w:rPr>
          <w:rFonts w:eastAsia="黑体"/>
          <w:sz w:val="44"/>
          <w:szCs w:val="44"/>
        </w:rPr>
      </w:pPr>
    </w:p>
    <w:p>
      <w:pPr>
        <w:widowControl/>
        <w:jc w:val="center"/>
        <w:rPr>
          <w:rFonts w:eastAsia="黑体"/>
          <w:sz w:val="44"/>
          <w:szCs w:val="44"/>
        </w:rPr>
      </w:pPr>
    </w:p>
    <w:p>
      <w:pPr>
        <w:widowControl/>
        <w:jc w:val="center"/>
        <w:rPr>
          <w:rFonts w:eastAsia="黑体"/>
          <w:sz w:val="44"/>
          <w:szCs w:val="44"/>
        </w:rPr>
      </w:pPr>
    </w:p>
    <w:p>
      <w:pPr>
        <w:widowControl/>
        <w:jc w:val="center"/>
        <w:rPr>
          <w:rFonts w:eastAsia="黑体"/>
          <w:sz w:val="44"/>
          <w:szCs w:val="44"/>
        </w:rPr>
      </w:pPr>
    </w:p>
    <w:p>
      <w:pPr>
        <w:widowControl/>
        <w:jc w:val="center"/>
        <w:rPr>
          <w:rFonts w:eastAsia="黑体"/>
          <w:sz w:val="44"/>
          <w:szCs w:val="44"/>
        </w:rPr>
      </w:pPr>
    </w:p>
    <w:p>
      <w:pPr>
        <w:widowControl/>
        <w:jc w:val="center"/>
        <w:rPr>
          <w:rFonts w:eastAsia="黑体"/>
          <w:sz w:val="44"/>
          <w:szCs w:val="44"/>
        </w:rPr>
      </w:pPr>
    </w:p>
    <w:p>
      <w:pPr>
        <w:widowControl/>
        <w:jc w:val="center"/>
        <w:rPr>
          <w:rFonts w:eastAsia="黑体"/>
          <w:sz w:val="44"/>
          <w:szCs w:val="44"/>
        </w:rPr>
      </w:pPr>
    </w:p>
    <w:p>
      <w:pPr>
        <w:widowControl/>
        <w:jc w:val="center"/>
        <w:rPr>
          <w:rFonts w:eastAsia="黑体"/>
          <w:sz w:val="44"/>
          <w:szCs w:val="44"/>
        </w:rPr>
      </w:pPr>
    </w:p>
    <w:p>
      <w:pPr>
        <w:widowControl/>
        <w:jc w:val="center"/>
        <w:rPr>
          <w:rFonts w:eastAsia="黑体"/>
          <w:sz w:val="44"/>
          <w:szCs w:val="44"/>
        </w:rPr>
      </w:pPr>
    </w:p>
    <w:p>
      <w:pPr>
        <w:widowControl/>
        <w:jc w:val="center"/>
        <w:rPr>
          <w:rFonts w:eastAsia="黑体"/>
          <w:sz w:val="44"/>
          <w:szCs w:val="44"/>
        </w:rPr>
      </w:pPr>
    </w:p>
    <w:p>
      <w:pPr>
        <w:widowControl/>
        <w:jc w:val="center"/>
        <w:rPr>
          <w:rFonts w:eastAsia="黑体"/>
          <w:sz w:val="44"/>
          <w:szCs w:val="44"/>
        </w:rPr>
      </w:pPr>
    </w:p>
    <w:p>
      <w:pPr>
        <w:widowControl/>
        <w:jc w:val="center"/>
        <w:rPr>
          <w:rFonts w:eastAsia="仿宋"/>
        </w:rPr>
      </w:pPr>
      <w:r>
        <w:rPr>
          <w:rFonts w:hint="eastAsia" w:eastAsia="黑体"/>
          <w:sz w:val="44"/>
          <w:szCs w:val="44"/>
        </w:rPr>
        <w:t>第</w:t>
      </w:r>
      <w:r>
        <w:rPr>
          <w:rStyle w:val="31"/>
          <w:rFonts w:hint="eastAsia" w:eastAsia="黑体"/>
          <w:b w:val="0"/>
        </w:rPr>
        <w:t>五部分 附表</w:t>
      </w:r>
      <w:bookmarkEnd w:id="47"/>
      <w:bookmarkEnd w:id="52"/>
      <w:bookmarkStart w:id="56" w:name="_Toc15396619"/>
    </w:p>
    <w:p>
      <w:pPr>
        <w:pStyle w:val="16"/>
        <w:adjustRightInd w:val="0"/>
        <w:snapToGrid w:val="0"/>
        <w:spacing w:line="560" w:lineRule="exact"/>
        <w:jc w:val="left"/>
        <w:rPr>
          <w:rFonts w:eastAsia="仿宋_GB2312" w:cs="仿宋_GB2312"/>
          <w:sz w:val="32"/>
          <w:szCs w:val="32"/>
        </w:rPr>
      </w:pPr>
    </w:p>
    <w:p>
      <w:pPr>
        <w:pStyle w:val="16"/>
        <w:adjustRightInd w:val="0"/>
        <w:snapToGrid w:val="0"/>
        <w:spacing w:line="560" w:lineRule="exact"/>
        <w:jc w:val="left"/>
        <w:rPr>
          <w:rFonts w:eastAsia="仿宋_GB2312" w:cs="仿宋_GB2312"/>
          <w:sz w:val="32"/>
          <w:szCs w:val="32"/>
        </w:rPr>
      </w:pPr>
      <w:r>
        <w:rPr>
          <w:rFonts w:hint="eastAsia" w:eastAsia="仿宋_GB2312" w:cs="仿宋_GB2312"/>
          <w:sz w:val="32"/>
          <w:szCs w:val="32"/>
        </w:rPr>
        <w:t>一、收入支出决算总表</w:t>
      </w:r>
      <w:bookmarkEnd w:id="56"/>
    </w:p>
    <w:p>
      <w:pPr>
        <w:pStyle w:val="16"/>
        <w:adjustRightInd w:val="0"/>
        <w:snapToGrid w:val="0"/>
        <w:spacing w:line="560" w:lineRule="exact"/>
        <w:jc w:val="left"/>
        <w:rPr>
          <w:rFonts w:eastAsia="仿宋_GB2312" w:cs="仿宋_GB2312"/>
          <w:sz w:val="32"/>
          <w:szCs w:val="32"/>
        </w:rPr>
      </w:pPr>
      <w:bookmarkStart w:id="57" w:name="_Toc15396620"/>
      <w:r>
        <w:rPr>
          <w:rFonts w:hint="eastAsia" w:eastAsia="仿宋_GB2312" w:cs="仿宋_GB2312"/>
          <w:sz w:val="32"/>
          <w:szCs w:val="32"/>
        </w:rPr>
        <w:t>二、收入决算表</w:t>
      </w:r>
      <w:bookmarkEnd w:id="57"/>
    </w:p>
    <w:p>
      <w:pPr>
        <w:pStyle w:val="16"/>
        <w:adjustRightInd w:val="0"/>
        <w:snapToGrid w:val="0"/>
        <w:spacing w:line="560" w:lineRule="exact"/>
        <w:jc w:val="left"/>
        <w:rPr>
          <w:rFonts w:eastAsia="仿宋_GB2312" w:cs="仿宋_GB2312"/>
          <w:sz w:val="32"/>
          <w:szCs w:val="32"/>
        </w:rPr>
      </w:pPr>
      <w:bookmarkStart w:id="58" w:name="_Toc15396621"/>
      <w:r>
        <w:rPr>
          <w:rFonts w:hint="eastAsia" w:eastAsia="仿宋_GB2312" w:cs="仿宋_GB2312"/>
          <w:sz w:val="32"/>
          <w:szCs w:val="32"/>
        </w:rPr>
        <w:t>三、支出决算表</w:t>
      </w:r>
      <w:bookmarkEnd w:id="58"/>
    </w:p>
    <w:p>
      <w:pPr>
        <w:pStyle w:val="16"/>
        <w:adjustRightInd w:val="0"/>
        <w:snapToGrid w:val="0"/>
        <w:spacing w:line="560" w:lineRule="exact"/>
        <w:jc w:val="left"/>
        <w:rPr>
          <w:rFonts w:eastAsia="仿宋_GB2312" w:cs="仿宋_GB2312"/>
          <w:sz w:val="32"/>
          <w:szCs w:val="32"/>
        </w:rPr>
      </w:pPr>
      <w:bookmarkStart w:id="59" w:name="_Toc15396622"/>
      <w:r>
        <w:rPr>
          <w:rFonts w:hint="eastAsia" w:eastAsia="仿宋_GB2312" w:cs="仿宋_GB2312"/>
          <w:sz w:val="32"/>
          <w:szCs w:val="32"/>
        </w:rPr>
        <w:t>四、财政拨款收入支出决算总表</w:t>
      </w:r>
      <w:bookmarkEnd w:id="59"/>
    </w:p>
    <w:p>
      <w:pPr>
        <w:pStyle w:val="16"/>
        <w:adjustRightInd w:val="0"/>
        <w:snapToGrid w:val="0"/>
        <w:spacing w:line="560" w:lineRule="exact"/>
        <w:jc w:val="left"/>
        <w:rPr>
          <w:rFonts w:eastAsia="仿宋_GB2312" w:cs="仿宋_GB2312"/>
          <w:sz w:val="32"/>
          <w:szCs w:val="32"/>
        </w:rPr>
      </w:pPr>
      <w:bookmarkStart w:id="60" w:name="_Toc15396623"/>
      <w:r>
        <w:rPr>
          <w:rFonts w:hint="eastAsia" w:eastAsia="仿宋_GB2312" w:cs="仿宋_GB2312"/>
          <w:sz w:val="32"/>
          <w:szCs w:val="32"/>
        </w:rPr>
        <w:t>五、财政拨款支出决算明细表</w:t>
      </w:r>
      <w:bookmarkEnd w:id="60"/>
      <w:bookmarkStart w:id="61" w:name="_Toc15396624"/>
    </w:p>
    <w:p>
      <w:pPr>
        <w:pStyle w:val="16"/>
        <w:adjustRightInd w:val="0"/>
        <w:snapToGrid w:val="0"/>
        <w:spacing w:line="560" w:lineRule="exact"/>
        <w:jc w:val="left"/>
        <w:rPr>
          <w:rFonts w:eastAsia="仿宋_GB2312" w:cs="仿宋_GB2312"/>
          <w:sz w:val="32"/>
          <w:szCs w:val="32"/>
        </w:rPr>
      </w:pPr>
      <w:r>
        <w:rPr>
          <w:rFonts w:hint="eastAsia" w:eastAsia="仿宋_GB2312" w:cs="仿宋_GB2312"/>
          <w:sz w:val="32"/>
          <w:szCs w:val="32"/>
        </w:rPr>
        <w:t>六、一般公共预算财政拨款支出决算表</w:t>
      </w:r>
      <w:bookmarkEnd w:id="61"/>
    </w:p>
    <w:p>
      <w:pPr>
        <w:pStyle w:val="16"/>
        <w:adjustRightInd w:val="0"/>
        <w:snapToGrid w:val="0"/>
        <w:spacing w:line="560" w:lineRule="exact"/>
        <w:jc w:val="left"/>
        <w:rPr>
          <w:rFonts w:eastAsia="仿宋_GB2312" w:cs="仿宋_GB2312"/>
          <w:sz w:val="32"/>
          <w:szCs w:val="32"/>
        </w:rPr>
      </w:pPr>
      <w:bookmarkStart w:id="62" w:name="_Toc15396625"/>
      <w:r>
        <w:rPr>
          <w:rFonts w:hint="eastAsia" w:eastAsia="仿宋_GB2312" w:cs="仿宋_GB2312"/>
          <w:sz w:val="32"/>
          <w:szCs w:val="32"/>
        </w:rPr>
        <w:t>七、一般公共预算财政拨款支出决算明细表</w:t>
      </w:r>
      <w:bookmarkEnd w:id="62"/>
    </w:p>
    <w:p>
      <w:pPr>
        <w:pStyle w:val="16"/>
        <w:adjustRightInd w:val="0"/>
        <w:snapToGrid w:val="0"/>
        <w:spacing w:line="560" w:lineRule="exact"/>
        <w:jc w:val="left"/>
        <w:rPr>
          <w:rFonts w:eastAsia="仿宋_GB2312" w:cs="仿宋_GB2312"/>
          <w:sz w:val="32"/>
          <w:szCs w:val="32"/>
        </w:rPr>
      </w:pPr>
      <w:bookmarkStart w:id="63" w:name="_Toc15396626"/>
      <w:r>
        <w:rPr>
          <w:rFonts w:hint="eastAsia" w:eastAsia="仿宋_GB2312" w:cs="仿宋_GB2312"/>
          <w:sz w:val="32"/>
          <w:szCs w:val="32"/>
        </w:rPr>
        <w:t>八、一般公共预算财政拨款基本支出决算表</w:t>
      </w:r>
      <w:bookmarkEnd w:id="63"/>
    </w:p>
    <w:p>
      <w:pPr>
        <w:pStyle w:val="16"/>
        <w:adjustRightInd w:val="0"/>
        <w:snapToGrid w:val="0"/>
        <w:spacing w:line="560" w:lineRule="exact"/>
        <w:jc w:val="left"/>
        <w:rPr>
          <w:rFonts w:eastAsia="仿宋_GB2312" w:cs="仿宋_GB2312"/>
          <w:sz w:val="32"/>
          <w:szCs w:val="32"/>
        </w:rPr>
      </w:pPr>
      <w:bookmarkStart w:id="64" w:name="_Toc15396627"/>
      <w:r>
        <w:rPr>
          <w:rFonts w:hint="eastAsia" w:eastAsia="仿宋_GB2312" w:cs="仿宋_GB2312"/>
          <w:sz w:val="32"/>
          <w:szCs w:val="32"/>
        </w:rPr>
        <w:t>九、一般公共预算财政拨款项目支出决算表</w:t>
      </w:r>
      <w:bookmarkEnd w:id="64"/>
    </w:p>
    <w:p>
      <w:pPr>
        <w:pStyle w:val="16"/>
        <w:adjustRightInd w:val="0"/>
        <w:snapToGrid w:val="0"/>
        <w:spacing w:line="560" w:lineRule="exact"/>
        <w:jc w:val="left"/>
        <w:rPr>
          <w:rFonts w:eastAsia="仿宋_GB2312" w:cs="仿宋_GB2312"/>
          <w:sz w:val="32"/>
          <w:szCs w:val="32"/>
        </w:rPr>
      </w:pPr>
      <w:bookmarkStart w:id="65" w:name="_Toc15396628"/>
      <w:r>
        <w:rPr>
          <w:rFonts w:hint="eastAsia" w:eastAsia="仿宋_GB2312" w:cs="仿宋_GB2312"/>
          <w:sz w:val="32"/>
          <w:szCs w:val="32"/>
        </w:rPr>
        <w:t>十、</w:t>
      </w:r>
      <w:bookmarkEnd w:id="65"/>
      <w:r>
        <w:rPr>
          <w:rFonts w:hint="eastAsia" w:eastAsia="仿宋_GB2312" w:cs="仿宋_GB2312"/>
          <w:sz w:val="32"/>
          <w:szCs w:val="32"/>
        </w:rPr>
        <w:t>政府性基金预算财政拨款收入支出决算表</w:t>
      </w:r>
    </w:p>
    <w:p>
      <w:pPr>
        <w:pStyle w:val="16"/>
        <w:adjustRightInd w:val="0"/>
        <w:snapToGrid w:val="0"/>
        <w:spacing w:line="560" w:lineRule="exact"/>
        <w:jc w:val="left"/>
        <w:rPr>
          <w:rFonts w:eastAsia="仿宋_GB2312" w:cs="仿宋_GB2312"/>
          <w:sz w:val="32"/>
          <w:szCs w:val="32"/>
        </w:rPr>
      </w:pPr>
      <w:bookmarkStart w:id="66" w:name="_Toc15396629"/>
      <w:r>
        <w:rPr>
          <w:rFonts w:hint="eastAsia" w:eastAsia="仿宋_GB2312" w:cs="仿宋_GB2312"/>
          <w:sz w:val="32"/>
          <w:szCs w:val="32"/>
        </w:rPr>
        <w:t>十一、</w:t>
      </w:r>
      <w:bookmarkEnd w:id="66"/>
      <w:r>
        <w:rPr>
          <w:rFonts w:hint="eastAsia" w:eastAsia="仿宋_GB2312" w:cs="仿宋_GB2312"/>
          <w:sz w:val="32"/>
          <w:szCs w:val="32"/>
        </w:rPr>
        <w:t>国有资本经营预算财政拨款收入支出决算表</w:t>
      </w:r>
    </w:p>
    <w:p>
      <w:pPr>
        <w:pStyle w:val="16"/>
        <w:adjustRightInd w:val="0"/>
        <w:snapToGrid w:val="0"/>
        <w:spacing w:line="560" w:lineRule="exact"/>
        <w:jc w:val="left"/>
        <w:rPr>
          <w:rFonts w:eastAsia="仿宋_GB2312" w:cs="仿宋_GB2312"/>
          <w:sz w:val="32"/>
          <w:szCs w:val="32"/>
        </w:rPr>
      </w:pPr>
      <w:bookmarkStart w:id="67" w:name="_Toc15396630"/>
      <w:r>
        <w:rPr>
          <w:rFonts w:hint="eastAsia" w:eastAsia="仿宋_GB2312" w:cs="仿宋_GB2312"/>
          <w:sz w:val="32"/>
          <w:szCs w:val="32"/>
        </w:rPr>
        <w:t>十二、</w:t>
      </w:r>
      <w:bookmarkEnd w:id="67"/>
      <w:r>
        <w:rPr>
          <w:rFonts w:hint="eastAsia" w:eastAsia="仿宋_GB2312" w:cs="仿宋_GB2312"/>
          <w:sz w:val="32"/>
          <w:szCs w:val="32"/>
        </w:rPr>
        <w:t>国有资本经营预算财政拨款支出决算表</w:t>
      </w:r>
    </w:p>
    <w:p>
      <w:pPr>
        <w:pStyle w:val="16"/>
        <w:adjustRightInd w:val="0"/>
        <w:snapToGrid w:val="0"/>
        <w:spacing w:line="560" w:lineRule="exact"/>
        <w:jc w:val="left"/>
        <w:rPr>
          <w:rFonts w:eastAsia="仿宋_GB2312" w:cs="仿宋_GB2312"/>
          <w:sz w:val="32"/>
          <w:szCs w:val="32"/>
        </w:rPr>
      </w:pPr>
      <w:bookmarkStart w:id="68" w:name="_Toc15396631"/>
      <w:r>
        <w:rPr>
          <w:rFonts w:hint="eastAsia" w:eastAsia="仿宋_GB2312" w:cs="仿宋_GB2312"/>
          <w:sz w:val="32"/>
          <w:szCs w:val="32"/>
        </w:rPr>
        <w:t>十三、</w:t>
      </w:r>
      <w:bookmarkEnd w:id="68"/>
      <w:r>
        <w:rPr>
          <w:rFonts w:hint="eastAsia" w:eastAsia="仿宋_GB2312" w:cs="仿宋_GB2312"/>
          <w:sz w:val="32"/>
          <w:szCs w:val="32"/>
        </w:rPr>
        <w:t>财政拨款“三公”经费支出决算表</w:t>
      </w:r>
    </w:p>
    <w:p/>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pgNumType w:start="1"/>
      <w:cols w:space="425" w:num="1"/>
      <w:titlePg/>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Cambria">
    <w:altName w:val="FreeSerif"/>
    <w:panose1 w:val="02040503050406030204"/>
    <w:charset w:val="00"/>
    <w:family w:val="roman"/>
    <w:pitch w:val="default"/>
    <w:sig w:usb0="00000000" w:usb1="00000000" w:usb2="02000000" w:usb3="00000000" w:csb0="2000019F" w:csb1="00000000"/>
  </w:font>
  <w:font w:name="FreeSerif">
    <w:panose1 w:val="02020603050405020304"/>
    <w:charset w:val="00"/>
    <w:family w:val="auto"/>
    <w:pitch w:val="default"/>
    <w:sig w:usb0="E59FAFFF" w:usb1="C200FDFF" w:usb2="43501B29" w:usb3="04000043" w:csb0="600101FF" w:csb1="FFFF0000"/>
  </w:font>
  <w:font w:name="仿宋_GB2312">
    <w:panose1 w:val="02010609030101010101"/>
    <w:charset w:val="86"/>
    <w:family w:val="modern"/>
    <w:pitch w:val="default"/>
    <w:sig w:usb0="00000001" w:usb1="080E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
    <w:altName w:val="华文中宋"/>
    <w:panose1 w:val="00000000000000000000"/>
    <w:charset w:val="00"/>
    <w:family w:val="roman"/>
    <w:pitch w:val="default"/>
    <w:sig w:usb0="00000000" w:usb1="00000000" w:usb2="00000000" w:usb3="00000000" w:csb0="00040001" w:csb1="00000000"/>
  </w:font>
  <w:font w:name="华文中宋">
    <w:panose1 w:val="02010600040101010101"/>
    <w:charset w:val="86"/>
    <w:family w:val="auto"/>
    <w:pitch w:val="default"/>
    <w:sig w:usb0="00000287" w:usb1="080F0000" w:usb2="00000000" w:usb3="00000000" w:csb0="0004009F" w:csb1="DFD70000"/>
  </w:font>
  <w:font w:name="方正小标宋简体">
    <w:panose1 w:val="02000000000000000000"/>
    <w:charset w:val="86"/>
    <w:family w:val="script"/>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方正仿宋_GB2312">
    <w:altName w:val="方正仿宋_GBK"/>
    <w:panose1 w:val="02000000000000000000"/>
    <w:charset w:val="86"/>
    <w:family w:val="auto"/>
    <w:pitch w:val="default"/>
    <w:sig w:usb0="00000000" w:usb1="00000000" w:usb2="00000012" w:usb3="00000000" w:csb0="00040001" w:csb1="00000000"/>
  </w:font>
  <w:font w:name="方正小标宋_GBK">
    <w:panose1 w:val="03000509000000000000"/>
    <w:charset w:val="86"/>
    <w:family w:val="auto"/>
    <w:pitch w:val="default"/>
    <w:sig w:usb0="00000001" w:usb1="080E0000" w:usb2="00000000" w:usb3="00000000" w:csb0="00040000" w:csb1="00000000"/>
  </w:font>
  <w:font w:name="微软雅黑">
    <w:altName w:val="黑体"/>
    <w:panose1 w:val="020B0503020204020204"/>
    <w:charset w:val="86"/>
    <w:family w:val="swiss"/>
    <w:pitch w:val="default"/>
    <w:sig w:usb0="00000000" w:usb1="00000000" w:usb2="00000016" w:usb3="00000000" w:csb0="0004001F" w:csb1="00000000"/>
  </w:font>
  <w:font w:name="___WRD_EMBED_SUB_1368">
    <w:altName w:val="仿宋_GB2312"/>
    <w:panose1 w:val="00000000000000000000"/>
    <w:charset w:val="86"/>
    <w:family w:val="modern"/>
    <w:pitch w:val="default"/>
    <w:sig w:usb0="00000000" w:usb1="00000000" w:usb2="00000000" w:usb3="00000000" w:csb0="00040000" w:csb1="00000000"/>
  </w:font>
  <w:font w:name="Arial Unicode MS">
    <w:altName w:val="Times New Roman"/>
    <w:panose1 w:val="020B0604020202020204"/>
    <w:charset w:val="86"/>
    <w:family w:val="roman"/>
    <w:pitch w:val="default"/>
    <w:sig w:usb0="00000000" w:usb1="00000000" w:usb2="0000003F" w:usb3="00000000" w:csb0="603F01FF" w:csb1="FFFF0000"/>
  </w:font>
  <w:font w:name="Liberation Serif">
    <w:panose1 w:val="02020603050405020304"/>
    <w:charset w:val="00"/>
    <w:family w:val="auto"/>
    <w:pitch w:val="default"/>
    <w:sig w:usb0="A00002AF" w:usb1="500078FB" w:usb2="00000000" w:usb3="00000000" w:csb0="6000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393317537"/>
      <w:docPartObj>
        <w:docPartGallery w:val="autotext"/>
      </w:docPartObj>
    </w:sdtPr>
    <w:sdtContent>
      <w:p>
        <w:pPr>
          <w:pStyle w:val="13"/>
          <w:spacing w:before="72"/>
        </w:pPr>
        <w:r>
          <w:fldChar w:fldCharType="begin"/>
        </w:r>
        <w:r>
          <w:instrText xml:space="preserve">PAGE   \* MERGEFORMAT</w:instrText>
        </w:r>
        <w:r>
          <w:fldChar w:fldCharType="separate"/>
        </w:r>
        <w:r>
          <w:rPr>
            <w:lang w:val="zh-CN"/>
          </w:rPr>
          <w:t>2</w:t>
        </w:r>
        <w:r>
          <w:fldChar w:fldCharType="end"/>
        </w:r>
      </w:p>
    </w:sdtContent>
  </w:sdt>
  <w:p>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docPartObj>
        <w:docPartGallery w:val="autotext"/>
      </w:docPartObj>
    </w:sdtPr>
    <w:sdtContent>
      <w:p>
        <w:pPr>
          <w:pStyle w:val="13"/>
          <w:spacing w:before="72"/>
        </w:pPr>
        <w:r>
          <w:fldChar w:fldCharType="begin"/>
        </w:r>
        <w:r>
          <w:instrText xml:space="preserve">PAGE   \* MERGEFORMAT</w:instrText>
        </w:r>
        <w:r>
          <w:fldChar w:fldCharType="separate"/>
        </w:r>
        <w:r>
          <w:rPr>
            <w:lang w:val="zh-CN"/>
          </w:rPr>
          <w:t>2</w:t>
        </w:r>
        <w:r>
          <w:fldChar w:fldCharType="end"/>
        </w:r>
      </w:p>
    </w:sdtContent>
  </w:sdt>
  <w:p>
    <w:pPr>
      <w:pStyle w:val="1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E374943"/>
    <w:multiLevelType w:val="multilevel"/>
    <w:tmpl w:val="7E374943"/>
    <w:lvl w:ilvl="0" w:tentative="0">
      <w:start w:val="1"/>
      <w:numFmt w:val="japaneseCounting"/>
      <w:lvlText w:val="%1、"/>
      <w:lvlJc w:val="left"/>
      <w:pPr>
        <w:ind w:left="648" w:hanging="648"/>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doNotDisplayPageBoundaries w:val="1"/>
  <w:embedSystemFonts/>
  <w:bordersDoNotSurroundHeader w:val="1"/>
  <w:bordersDoNotSurroundFooter w:val="1"/>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1604"/>
    <w:rsid w:val="000222C6"/>
    <w:rsid w:val="0002282C"/>
    <w:rsid w:val="0002549F"/>
    <w:rsid w:val="000442A7"/>
    <w:rsid w:val="000468DB"/>
    <w:rsid w:val="0006487A"/>
    <w:rsid w:val="00065F8F"/>
    <w:rsid w:val="00070A43"/>
    <w:rsid w:val="000711E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38D5"/>
    <w:rsid w:val="001E737D"/>
    <w:rsid w:val="001F0592"/>
    <w:rsid w:val="001F7506"/>
    <w:rsid w:val="002006CD"/>
    <w:rsid w:val="0020187C"/>
    <w:rsid w:val="00202B36"/>
    <w:rsid w:val="00204B7A"/>
    <w:rsid w:val="00204CDE"/>
    <w:rsid w:val="0020579B"/>
    <w:rsid w:val="0021101A"/>
    <w:rsid w:val="00220536"/>
    <w:rsid w:val="00235629"/>
    <w:rsid w:val="0024022D"/>
    <w:rsid w:val="00260C38"/>
    <w:rsid w:val="002616C0"/>
    <w:rsid w:val="00265372"/>
    <w:rsid w:val="002662AA"/>
    <w:rsid w:val="002723E8"/>
    <w:rsid w:val="00280496"/>
    <w:rsid w:val="00291446"/>
    <w:rsid w:val="00294DC9"/>
    <w:rsid w:val="00295495"/>
    <w:rsid w:val="002A31DE"/>
    <w:rsid w:val="002B2613"/>
    <w:rsid w:val="002D6D05"/>
    <w:rsid w:val="002F1818"/>
    <w:rsid w:val="002F567B"/>
    <w:rsid w:val="003216A9"/>
    <w:rsid w:val="00335A74"/>
    <w:rsid w:val="0036561B"/>
    <w:rsid w:val="0037013F"/>
    <w:rsid w:val="00380C92"/>
    <w:rsid w:val="003849DA"/>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11C9"/>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0203"/>
    <w:rsid w:val="005D1C8B"/>
    <w:rsid w:val="005D21CD"/>
    <w:rsid w:val="005D468D"/>
    <w:rsid w:val="005D5CED"/>
    <w:rsid w:val="005F1A4C"/>
    <w:rsid w:val="005F7D36"/>
    <w:rsid w:val="00605688"/>
    <w:rsid w:val="006070AF"/>
    <w:rsid w:val="00607E6C"/>
    <w:rsid w:val="006101B1"/>
    <w:rsid w:val="00614E44"/>
    <w:rsid w:val="00620D22"/>
    <w:rsid w:val="0062270A"/>
    <w:rsid w:val="00622830"/>
    <w:rsid w:val="00623DA0"/>
    <w:rsid w:val="00630AEF"/>
    <w:rsid w:val="006325F8"/>
    <w:rsid w:val="00633463"/>
    <w:rsid w:val="00634C9A"/>
    <w:rsid w:val="006440E4"/>
    <w:rsid w:val="00646A14"/>
    <w:rsid w:val="0066343B"/>
    <w:rsid w:val="00664777"/>
    <w:rsid w:val="006748A4"/>
    <w:rsid w:val="00681A31"/>
    <w:rsid w:val="00683E73"/>
    <w:rsid w:val="006A3141"/>
    <w:rsid w:val="006A5E34"/>
    <w:rsid w:val="006B2422"/>
    <w:rsid w:val="006B2B9A"/>
    <w:rsid w:val="006C1937"/>
    <w:rsid w:val="006F020C"/>
    <w:rsid w:val="007127B7"/>
    <w:rsid w:val="00712A7E"/>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26082"/>
    <w:rsid w:val="0083706E"/>
    <w:rsid w:val="008408F6"/>
    <w:rsid w:val="008423A5"/>
    <w:rsid w:val="00850625"/>
    <w:rsid w:val="00853718"/>
    <w:rsid w:val="00855221"/>
    <w:rsid w:val="00860645"/>
    <w:rsid w:val="00871F71"/>
    <w:rsid w:val="00872FD8"/>
    <w:rsid w:val="00885AF4"/>
    <w:rsid w:val="008939CD"/>
    <w:rsid w:val="008B1979"/>
    <w:rsid w:val="008B768C"/>
    <w:rsid w:val="008C4DB1"/>
    <w:rsid w:val="008C4EAF"/>
    <w:rsid w:val="008C5176"/>
    <w:rsid w:val="008C7FD0"/>
    <w:rsid w:val="008E1DE7"/>
    <w:rsid w:val="008E707C"/>
    <w:rsid w:val="008F2787"/>
    <w:rsid w:val="00900268"/>
    <w:rsid w:val="00900B08"/>
    <w:rsid w:val="00902155"/>
    <w:rsid w:val="00902FA3"/>
    <w:rsid w:val="00922C1B"/>
    <w:rsid w:val="00923564"/>
    <w:rsid w:val="0092392E"/>
    <w:rsid w:val="009315F9"/>
    <w:rsid w:val="00933499"/>
    <w:rsid w:val="00935C98"/>
    <w:rsid w:val="00946945"/>
    <w:rsid w:val="00951248"/>
    <w:rsid w:val="0095152F"/>
    <w:rsid w:val="00954C49"/>
    <w:rsid w:val="00955E37"/>
    <w:rsid w:val="0097099F"/>
    <w:rsid w:val="00971997"/>
    <w:rsid w:val="00971FFC"/>
    <w:rsid w:val="0097614D"/>
    <w:rsid w:val="0098660A"/>
    <w:rsid w:val="009931C3"/>
    <w:rsid w:val="009B02EB"/>
    <w:rsid w:val="009B2C43"/>
    <w:rsid w:val="009B4EAE"/>
    <w:rsid w:val="009B7573"/>
    <w:rsid w:val="009C22F4"/>
    <w:rsid w:val="009C2A4B"/>
    <w:rsid w:val="009C2E98"/>
    <w:rsid w:val="009D3447"/>
    <w:rsid w:val="009D4711"/>
    <w:rsid w:val="009F1185"/>
    <w:rsid w:val="009F18CD"/>
    <w:rsid w:val="009F2A13"/>
    <w:rsid w:val="009F7527"/>
    <w:rsid w:val="00A04EB0"/>
    <w:rsid w:val="00A0574F"/>
    <w:rsid w:val="00A13CC1"/>
    <w:rsid w:val="00A16847"/>
    <w:rsid w:val="00A237D8"/>
    <w:rsid w:val="00A268C4"/>
    <w:rsid w:val="00A307CD"/>
    <w:rsid w:val="00A331C8"/>
    <w:rsid w:val="00A40A00"/>
    <w:rsid w:val="00A4142F"/>
    <w:rsid w:val="00A422EB"/>
    <w:rsid w:val="00A45BB7"/>
    <w:rsid w:val="00A51EC5"/>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410"/>
    <w:rsid w:val="00C33E72"/>
    <w:rsid w:val="00C354B2"/>
    <w:rsid w:val="00C35554"/>
    <w:rsid w:val="00C42709"/>
    <w:rsid w:val="00C533CC"/>
    <w:rsid w:val="00C5751C"/>
    <w:rsid w:val="00C61BFC"/>
    <w:rsid w:val="00C62B0F"/>
    <w:rsid w:val="00C62B85"/>
    <w:rsid w:val="00C65438"/>
    <w:rsid w:val="00C87FD8"/>
    <w:rsid w:val="00C91381"/>
    <w:rsid w:val="00C91CBB"/>
    <w:rsid w:val="00CB4E70"/>
    <w:rsid w:val="00CC09B6"/>
    <w:rsid w:val="00CC666F"/>
    <w:rsid w:val="00CD1E3F"/>
    <w:rsid w:val="00CE44F6"/>
    <w:rsid w:val="00CE49DA"/>
    <w:rsid w:val="00CE7B61"/>
    <w:rsid w:val="00CF0FB1"/>
    <w:rsid w:val="00D00095"/>
    <w:rsid w:val="00D114F0"/>
    <w:rsid w:val="00D20620"/>
    <w:rsid w:val="00D254F7"/>
    <w:rsid w:val="00D26091"/>
    <w:rsid w:val="00D2685C"/>
    <w:rsid w:val="00D34E7C"/>
    <w:rsid w:val="00D35489"/>
    <w:rsid w:val="00D36AFE"/>
    <w:rsid w:val="00D51276"/>
    <w:rsid w:val="00D7035F"/>
    <w:rsid w:val="00D75CC1"/>
    <w:rsid w:val="00D75DB6"/>
    <w:rsid w:val="00DA634F"/>
    <w:rsid w:val="00DA65AC"/>
    <w:rsid w:val="00DA77B4"/>
    <w:rsid w:val="00DB18A3"/>
    <w:rsid w:val="00DB1913"/>
    <w:rsid w:val="00DC410D"/>
    <w:rsid w:val="00DC5A81"/>
    <w:rsid w:val="00DC68CA"/>
    <w:rsid w:val="00DC7CBA"/>
    <w:rsid w:val="00DD73B7"/>
    <w:rsid w:val="00DF28BC"/>
    <w:rsid w:val="00DF34B9"/>
    <w:rsid w:val="00E01053"/>
    <w:rsid w:val="00E0432A"/>
    <w:rsid w:val="00E07ACF"/>
    <w:rsid w:val="00E15532"/>
    <w:rsid w:val="00E331A1"/>
    <w:rsid w:val="00E33202"/>
    <w:rsid w:val="00E336A9"/>
    <w:rsid w:val="00E472B1"/>
    <w:rsid w:val="00E50624"/>
    <w:rsid w:val="00E54633"/>
    <w:rsid w:val="00E568DF"/>
    <w:rsid w:val="00E64269"/>
    <w:rsid w:val="00E82267"/>
    <w:rsid w:val="00E853CE"/>
    <w:rsid w:val="00E86154"/>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B80"/>
    <w:rsid w:val="00FD3CC1"/>
    <w:rsid w:val="00FE408C"/>
    <w:rsid w:val="00FF1E02"/>
    <w:rsid w:val="00FF30B4"/>
    <w:rsid w:val="00FF3B7F"/>
    <w:rsid w:val="015975B8"/>
    <w:rsid w:val="01A23516"/>
    <w:rsid w:val="02317B1B"/>
    <w:rsid w:val="02FEBE30"/>
    <w:rsid w:val="061E35DE"/>
    <w:rsid w:val="066E0107"/>
    <w:rsid w:val="067506D3"/>
    <w:rsid w:val="07996F6E"/>
    <w:rsid w:val="07C953E9"/>
    <w:rsid w:val="07DFD8BA"/>
    <w:rsid w:val="08DB07E4"/>
    <w:rsid w:val="09867E8F"/>
    <w:rsid w:val="0A143EB4"/>
    <w:rsid w:val="0A2032A3"/>
    <w:rsid w:val="0B360BC3"/>
    <w:rsid w:val="0C6C4794"/>
    <w:rsid w:val="0CA8290A"/>
    <w:rsid w:val="0D35B1ED"/>
    <w:rsid w:val="0DE07E2B"/>
    <w:rsid w:val="0F98263C"/>
    <w:rsid w:val="101860EC"/>
    <w:rsid w:val="10C055FF"/>
    <w:rsid w:val="11772AA4"/>
    <w:rsid w:val="118107EC"/>
    <w:rsid w:val="13957196"/>
    <w:rsid w:val="13D50BC4"/>
    <w:rsid w:val="14022904"/>
    <w:rsid w:val="14332161"/>
    <w:rsid w:val="14B16FCE"/>
    <w:rsid w:val="152F2A07"/>
    <w:rsid w:val="165E0673"/>
    <w:rsid w:val="16BB723D"/>
    <w:rsid w:val="16F13FCB"/>
    <w:rsid w:val="186504BB"/>
    <w:rsid w:val="1938089F"/>
    <w:rsid w:val="19A445FC"/>
    <w:rsid w:val="1B7D550C"/>
    <w:rsid w:val="1BE8440E"/>
    <w:rsid w:val="1C8F2E7E"/>
    <w:rsid w:val="1CBC6BFF"/>
    <w:rsid w:val="1CF82602"/>
    <w:rsid w:val="1D155CEE"/>
    <w:rsid w:val="1DE178F3"/>
    <w:rsid w:val="1E740ACF"/>
    <w:rsid w:val="1FF35744"/>
    <w:rsid w:val="1FF6BC77"/>
    <w:rsid w:val="21962A9E"/>
    <w:rsid w:val="21AE7C77"/>
    <w:rsid w:val="22BC3C41"/>
    <w:rsid w:val="23860B96"/>
    <w:rsid w:val="240371BF"/>
    <w:rsid w:val="260F557C"/>
    <w:rsid w:val="281408E2"/>
    <w:rsid w:val="28660C77"/>
    <w:rsid w:val="292E1B32"/>
    <w:rsid w:val="29FD04D3"/>
    <w:rsid w:val="2AB41819"/>
    <w:rsid w:val="2B0258D8"/>
    <w:rsid w:val="2BFF7BC6"/>
    <w:rsid w:val="2C8A61B5"/>
    <w:rsid w:val="2D2E01CF"/>
    <w:rsid w:val="2DF04E50"/>
    <w:rsid w:val="2E9545B0"/>
    <w:rsid w:val="2F040D46"/>
    <w:rsid w:val="2FAE5751"/>
    <w:rsid w:val="2FB1A395"/>
    <w:rsid w:val="2FD9A7D8"/>
    <w:rsid w:val="319F7F4E"/>
    <w:rsid w:val="321B2544"/>
    <w:rsid w:val="3304709D"/>
    <w:rsid w:val="34281836"/>
    <w:rsid w:val="349D6851"/>
    <w:rsid w:val="35BA6CAF"/>
    <w:rsid w:val="35D37231"/>
    <w:rsid w:val="364D14C1"/>
    <w:rsid w:val="36AA5135"/>
    <w:rsid w:val="36BE0DA7"/>
    <w:rsid w:val="376B6AA6"/>
    <w:rsid w:val="376D39B2"/>
    <w:rsid w:val="37E16F03"/>
    <w:rsid w:val="37F53A3B"/>
    <w:rsid w:val="384A691C"/>
    <w:rsid w:val="389B6C89"/>
    <w:rsid w:val="38D469F0"/>
    <w:rsid w:val="39627CCD"/>
    <w:rsid w:val="397BAF1F"/>
    <w:rsid w:val="3AB79AF3"/>
    <w:rsid w:val="3B7EF35A"/>
    <w:rsid w:val="3B9FDB6C"/>
    <w:rsid w:val="3BF5BC2F"/>
    <w:rsid w:val="3BFD5EAB"/>
    <w:rsid w:val="3CEBA265"/>
    <w:rsid w:val="3D98207C"/>
    <w:rsid w:val="3D9B0D99"/>
    <w:rsid w:val="3DEE7CF3"/>
    <w:rsid w:val="3DF02244"/>
    <w:rsid w:val="3E78745D"/>
    <w:rsid w:val="3FC935EB"/>
    <w:rsid w:val="3FF4CAE0"/>
    <w:rsid w:val="3FF7B227"/>
    <w:rsid w:val="40E54C45"/>
    <w:rsid w:val="41313393"/>
    <w:rsid w:val="42DA6120"/>
    <w:rsid w:val="43A407DF"/>
    <w:rsid w:val="44515BEA"/>
    <w:rsid w:val="44E268DA"/>
    <w:rsid w:val="453F7E5B"/>
    <w:rsid w:val="486A6C7A"/>
    <w:rsid w:val="48E57246"/>
    <w:rsid w:val="49176D9B"/>
    <w:rsid w:val="494006BD"/>
    <w:rsid w:val="4A627F82"/>
    <w:rsid w:val="4AC50325"/>
    <w:rsid w:val="4AC71F0B"/>
    <w:rsid w:val="4B0E749A"/>
    <w:rsid w:val="4B4F25DA"/>
    <w:rsid w:val="4BDA0CFB"/>
    <w:rsid w:val="4BE068DB"/>
    <w:rsid w:val="4D3C0CCC"/>
    <w:rsid w:val="4D577224"/>
    <w:rsid w:val="4DBF1CEB"/>
    <w:rsid w:val="4EAB630A"/>
    <w:rsid w:val="4ECE2238"/>
    <w:rsid w:val="4F3B6457"/>
    <w:rsid w:val="4F833267"/>
    <w:rsid w:val="4FE9BD67"/>
    <w:rsid w:val="4FFB052F"/>
    <w:rsid w:val="53083A92"/>
    <w:rsid w:val="53382567"/>
    <w:rsid w:val="537E6D0A"/>
    <w:rsid w:val="53AF27A2"/>
    <w:rsid w:val="53F74C96"/>
    <w:rsid w:val="55C10733"/>
    <w:rsid w:val="56E47B74"/>
    <w:rsid w:val="579D6322"/>
    <w:rsid w:val="57BD3DD4"/>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0A517CB"/>
    <w:rsid w:val="60F143ED"/>
    <w:rsid w:val="62BF3928"/>
    <w:rsid w:val="63020089"/>
    <w:rsid w:val="635F0F40"/>
    <w:rsid w:val="647F5392"/>
    <w:rsid w:val="664B1D71"/>
    <w:rsid w:val="67AA3209"/>
    <w:rsid w:val="681C4F0D"/>
    <w:rsid w:val="69046D0F"/>
    <w:rsid w:val="698D0931"/>
    <w:rsid w:val="69C31557"/>
    <w:rsid w:val="6A1E2815"/>
    <w:rsid w:val="6A993CED"/>
    <w:rsid w:val="6AA631B0"/>
    <w:rsid w:val="6B053271"/>
    <w:rsid w:val="6BCE6674"/>
    <w:rsid w:val="6C4A05C8"/>
    <w:rsid w:val="6C7927DD"/>
    <w:rsid w:val="6C8742B8"/>
    <w:rsid w:val="6C8A170F"/>
    <w:rsid w:val="6CB54609"/>
    <w:rsid w:val="6DBF5E93"/>
    <w:rsid w:val="6DFF077E"/>
    <w:rsid w:val="6E7E3605"/>
    <w:rsid w:val="6E7FDCC7"/>
    <w:rsid w:val="6ED6A62E"/>
    <w:rsid w:val="6EE00B15"/>
    <w:rsid w:val="6F0B4212"/>
    <w:rsid w:val="6F544B20"/>
    <w:rsid w:val="6F6FB3EB"/>
    <w:rsid w:val="6F784160"/>
    <w:rsid w:val="6F8731EA"/>
    <w:rsid w:val="6FCE6052"/>
    <w:rsid w:val="6FD57C00"/>
    <w:rsid w:val="6FEFFFD8"/>
    <w:rsid w:val="6FF5CC65"/>
    <w:rsid w:val="6FFB47EC"/>
    <w:rsid w:val="6FFF034A"/>
    <w:rsid w:val="70496804"/>
    <w:rsid w:val="706A7689"/>
    <w:rsid w:val="707005B2"/>
    <w:rsid w:val="712A28F1"/>
    <w:rsid w:val="715C0E4B"/>
    <w:rsid w:val="72233669"/>
    <w:rsid w:val="72734D90"/>
    <w:rsid w:val="7332FE48"/>
    <w:rsid w:val="73AB61DA"/>
    <w:rsid w:val="73AD73D5"/>
    <w:rsid w:val="73B56B53"/>
    <w:rsid w:val="73B6EB34"/>
    <w:rsid w:val="73FA497D"/>
    <w:rsid w:val="744731E5"/>
    <w:rsid w:val="74527205"/>
    <w:rsid w:val="74BBD01D"/>
    <w:rsid w:val="74ED5379"/>
    <w:rsid w:val="74FC2395"/>
    <w:rsid w:val="75DEEEC2"/>
    <w:rsid w:val="76E3355F"/>
    <w:rsid w:val="76FF5125"/>
    <w:rsid w:val="776F6FFA"/>
    <w:rsid w:val="778769C8"/>
    <w:rsid w:val="77DC22F5"/>
    <w:rsid w:val="78640763"/>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7EF09F8"/>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nhideWhenUsed="0" w:uiPriority="0" w:semiHidden="0"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160" w:line="278" w:lineRule="auto"/>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31"/>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32"/>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5"/>
    <w:unhideWhenUsed/>
    <w:qFormat/>
    <w:uiPriority w:val="9"/>
    <w:pPr>
      <w:keepNext/>
      <w:keepLines/>
      <w:spacing w:before="260" w:after="260" w:line="416" w:lineRule="auto"/>
      <w:outlineLvl w:val="2"/>
    </w:pPr>
    <w:rPr>
      <w:b/>
      <w:bCs/>
      <w:sz w:val="32"/>
      <w:szCs w:val="32"/>
    </w:rPr>
  </w:style>
  <w:style w:type="character" w:default="1" w:styleId="19">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customStyle="1" w:styleId="2">
    <w:name w:val="footnote text1"/>
    <w:basedOn w:val="1"/>
    <w:next w:val="3"/>
    <w:qFormat/>
    <w:uiPriority w:val="0"/>
    <w:pPr>
      <w:snapToGrid w:val="0"/>
      <w:jc w:val="left"/>
    </w:pPr>
    <w:rPr>
      <w:sz w:val="18"/>
      <w:szCs w:val="18"/>
    </w:rPr>
  </w:style>
  <w:style w:type="paragraph" w:customStyle="1" w:styleId="3">
    <w:name w:val="Body Text First Indent 21"/>
    <w:basedOn w:val="4"/>
    <w:next w:val="1"/>
    <w:qFormat/>
    <w:uiPriority w:val="0"/>
    <w:pPr>
      <w:ind w:firstLine="420" w:firstLineChars="200"/>
    </w:pPr>
  </w:style>
  <w:style w:type="paragraph" w:customStyle="1" w:styleId="4">
    <w:name w:val="Body Text Indent1"/>
    <w:basedOn w:val="1"/>
    <w:next w:val="3"/>
    <w:qFormat/>
    <w:uiPriority w:val="0"/>
    <w:pPr>
      <w:spacing w:after="120"/>
      <w:ind w:left="200" w:leftChars="200"/>
    </w:pPr>
    <w:rPr>
      <w:rFonts w:ascii="仿宋_GB2312"/>
      <w:szCs w:val="32"/>
    </w:rPr>
  </w:style>
  <w:style w:type="paragraph" w:styleId="8">
    <w:name w:val="Salutation"/>
    <w:basedOn w:val="1"/>
    <w:next w:val="1"/>
    <w:link w:val="41"/>
    <w:qFormat/>
    <w:uiPriority w:val="0"/>
    <w:pPr>
      <w:spacing w:after="0" w:line="240" w:lineRule="auto"/>
    </w:pPr>
    <w:rPr>
      <w:rFonts w:eastAsia="仿宋_GB2312"/>
      <w:sz w:val="32"/>
    </w:rPr>
  </w:style>
  <w:style w:type="paragraph" w:styleId="9">
    <w:name w:val="Body Text"/>
    <w:basedOn w:val="1"/>
    <w:link w:val="28"/>
    <w:qFormat/>
    <w:uiPriority w:val="99"/>
    <w:pPr>
      <w:spacing w:beforeLines="30"/>
    </w:pPr>
    <w:rPr>
      <w:rFonts w:ascii="仿宋_GB2312" w:eastAsia="仿宋_GB2312"/>
      <w:kern w:val="0"/>
      <w:sz w:val="30"/>
    </w:rPr>
  </w:style>
  <w:style w:type="paragraph" w:styleId="10">
    <w:name w:val="Body Text Indent"/>
    <w:basedOn w:val="1"/>
    <w:link w:val="39"/>
    <w:qFormat/>
    <w:uiPriority w:val="0"/>
    <w:pPr>
      <w:spacing w:after="120"/>
      <w:ind w:left="420" w:leftChars="200"/>
    </w:pPr>
  </w:style>
  <w:style w:type="paragraph" w:styleId="11">
    <w:name w:val="toc 3"/>
    <w:basedOn w:val="1"/>
    <w:next w:val="1"/>
    <w:unhideWhenUsed/>
    <w:qFormat/>
    <w:uiPriority w:val="39"/>
    <w:pPr>
      <w:tabs>
        <w:tab w:val="right" w:leader="dot" w:pos="8296"/>
      </w:tabs>
      <w:ind w:left="840" w:leftChars="400"/>
    </w:pPr>
  </w:style>
  <w:style w:type="paragraph" w:styleId="12">
    <w:name w:val="Balloon Text"/>
    <w:basedOn w:val="1"/>
    <w:link w:val="34"/>
    <w:semiHidden/>
    <w:unhideWhenUsed/>
    <w:qFormat/>
    <w:uiPriority w:val="99"/>
    <w:rPr>
      <w:sz w:val="18"/>
      <w:szCs w:val="18"/>
    </w:rPr>
  </w:style>
  <w:style w:type="paragraph" w:styleId="13">
    <w:name w:val="footer"/>
    <w:basedOn w:val="1"/>
    <w:link w:val="26"/>
    <w:qFormat/>
    <w:uiPriority w:val="99"/>
    <w:pPr>
      <w:tabs>
        <w:tab w:val="center" w:pos="4153"/>
        <w:tab w:val="right" w:pos="8306"/>
      </w:tabs>
      <w:snapToGrid w:val="0"/>
      <w:jc w:val="left"/>
    </w:pPr>
    <w:rPr>
      <w:rFonts w:ascii="Calibri" w:hAnsi="Calibri"/>
      <w:kern w:val="0"/>
      <w:sz w:val="18"/>
      <w:szCs w:val="18"/>
    </w:rPr>
  </w:style>
  <w:style w:type="paragraph" w:styleId="14">
    <w:name w:val="header"/>
    <w:basedOn w:val="1"/>
    <w:link w:val="24"/>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5">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6">
    <w:name w:val="toc 2"/>
    <w:basedOn w:val="1"/>
    <w:next w:val="1"/>
    <w:unhideWhenUsed/>
    <w:qFormat/>
    <w:uiPriority w:val="39"/>
    <w:pPr>
      <w:tabs>
        <w:tab w:val="right" w:leader="dot" w:pos="8296"/>
      </w:tabs>
      <w:ind w:left="420" w:leftChars="200"/>
    </w:pPr>
  </w:style>
  <w:style w:type="paragraph" w:styleId="17">
    <w:name w:val="Body Text First Indent 2"/>
    <w:basedOn w:val="10"/>
    <w:link w:val="40"/>
    <w:unhideWhenUsed/>
    <w:qFormat/>
    <w:uiPriority w:val="99"/>
    <w:pPr>
      <w:ind w:firstLine="420" w:firstLineChars="200"/>
    </w:pPr>
  </w:style>
  <w:style w:type="character" w:styleId="20">
    <w:name w:val="Strong"/>
    <w:basedOn w:val="19"/>
    <w:qFormat/>
    <w:uiPriority w:val="99"/>
    <w:rPr>
      <w:b/>
    </w:rPr>
  </w:style>
  <w:style w:type="character" w:styleId="21">
    <w:name w:val="Hyperlink"/>
    <w:basedOn w:val="19"/>
    <w:unhideWhenUsed/>
    <w:qFormat/>
    <w:uiPriority w:val="99"/>
    <w:rPr>
      <w:color w:val="0000FF" w:themeColor="hyperlink"/>
      <w:u w:val="single"/>
      <w14:textFill>
        <w14:solidFill>
          <w14:schemeClr w14:val="hlink"/>
        </w14:solidFill>
      </w14:textFill>
    </w:rPr>
  </w:style>
  <w:style w:type="paragraph" w:customStyle="1" w:styleId="22">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3">
    <w:name w:val="Header Char"/>
    <w:basedOn w:val="19"/>
    <w:semiHidden/>
    <w:qFormat/>
    <w:uiPriority w:val="99"/>
    <w:rPr>
      <w:rFonts w:ascii="Times New Roman" w:hAnsi="Times New Roman"/>
      <w:sz w:val="18"/>
      <w:szCs w:val="18"/>
    </w:rPr>
  </w:style>
  <w:style w:type="character" w:customStyle="1" w:styleId="24">
    <w:name w:val="页眉 字符"/>
    <w:link w:val="14"/>
    <w:semiHidden/>
    <w:qFormat/>
    <w:locked/>
    <w:uiPriority w:val="99"/>
    <w:rPr>
      <w:sz w:val="18"/>
    </w:rPr>
  </w:style>
  <w:style w:type="character" w:customStyle="1" w:styleId="25">
    <w:name w:val="Footer Char"/>
    <w:basedOn w:val="19"/>
    <w:semiHidden/>
    <w:qFormat/>
    <w:uiPriority w:val="99"/>
    <w:rPr>
      <w:rFonts w:ascii="Times New Roman" w:hAnsi="Times New Roman"/>
      <w:sz w:val="18"/>
      <w:szCs w:val="18"/>
    </w:rPr>
  </w:style>
  <w:style w:type="character" w:customStyle="1" w:styleId="26">
    <w:name w:val="页脚 字符"/>
    <w:link w:val="13"/>
    <w:qFormat/>
    <w:locked/>
    <w:uiPriority w:val="99"/>
    <w:rPr>
      <w:sz w:val="18"/>
    </w:rPr>
  </w:style>
  <w:style w:type="character" w:customStyle="1" w:styleId="27">
    <w:name w:val="Body Text Char"/>
    <w:basedOn w:val="19"/>
    <w:semiHidden/>
    <w:qFormat/>
    <w:uiPriority w:val="99"/>
    <w:rPr>
      <w:rFonts w:ascii="Times New Roman" w:hAnsi="Times New Roman"/>
      <w:szCs w:val="24"/>
    </w:rPr>
  </w:style>
  <w:style w:type="character" w:customStyle="1" w:styleId="28">
    <w:name w:val="正文文本 字符"/>
    <w:link w:val="9"/>
    <w:qFormat/>
    <w:locked/>
    <w:uiPriority w:val="99"/>
    <w:rPr>
      <w:rFonts w:ascii="仿宋_GB2312" w:hAnsi="Times New Roman" w:eastAsia="仿宋_GB2312"/>
      <w:sz w:val="24"/>
    </w:rPr>
  </w:style>
  <w:style w:type="paragraph" w:customStyle="1" w:styleId="29">
    <w:name w:val="Default"/>
    <w:qFormat/>
    <w:uiPriority w:val="0"/>
    <w:pPr>
      <w:widowControl w:val="0"/>
      <w:autoSpaceDE w:val="0"/>
      <w:autoSpaceDN w:val="0"/>
      <w:adjustRightInd w:val="0"/>
      <w:spacing w:after="160" w:line="278" w:lineRule="auto"/>
    </w:pPr>
    <w:rPr>
      <w:rFonts w:ascii="仿宋" w:hAnsi="Calibri" w:eastAsia="仿宋" w:cs="仿宋"/>
      <w:color w:val="000000"/>
      <w:sz w:val="24"/>
      <w:szCs w:val="24"/>
      <w:lang w:val="en-US" w:eastAsia="zh-CN" w:bidi="ar-SA"/>
    </w:rPr>
  </w:style>
  <w:style w:type="paragraph" w:styleId="30">
    <w:name w:val="List Paragraph"/>
    <w:basedOn w:val="1"/>
    <w:qFormat/>
    <w:uiPriority w:val="34"/>
    <w:pPr>
      <w:ind w:firstLine="420" w:firstLineChars="200"/>
    </w:pPr>
  </w:style>
  <w:style w:type="character" w:customStyle="1" w:styleId="31">
    <w:name w:val="标题 1 字符"/>
    <w:basedOn w:val="19"/>
    <w:link w:val="5"/>
    <w:qFormat/>
    <w:uiPriority w:val="9"/>
    <w:rPr>
      <w:rFonts w:ascii="Times New Roman" w:hAnsi="Times New Roman"/>
      <w:b/>
      <w:bCs/>
      <w:kern w:val="44"/>
      <w:sz w:val="44"/>
      <w:szCs w:val="44"/>
    </w:rPr>
  </w:style>
  <w:style w:type="character" w:customStyle="1" w:styleId="32">
    <w:name w:val="标题 2 字符"/>
    <w:basedOn w:val="19"/>
    <w:link w:val="6"/>
    <w:qFormat/>
    <w:uiPriority w:val="9"/>
    <w:rPr>
      <w:rFonts w:asciiTheme="majorHAnsi" w:hAnsiTheme="majorHAnsi" w:eastAsiaTheme="majorEastAsia" w:cstheme="majorBidi"/>
      <w:b/>
      <w:bCs/>
      <w:kern w:val="2"/>
      <w:sz w:val="32"/>
      <w:szCs w:val="32"/>
    </w:rPr>
  </w:style>
  <w:style w:type="paragraph" w:customStyle="1" w:styleId="33">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4">
    <w:name w:val="批注框文本 字符"/>
    <w:basedOn w:val="19"/>
    <w:link w:val="12"/>
    <w:semiHidden/>
    <w:qFormat/>
    <w:uiPriority w:val="99"/>
    <w:rPr>
      <w:rFonts w:ascii="Times New Roman" w:hAnsi="Times New Roman"/>
      <w:kern w:val="2"/>
      <w:sz w:val="18"/>
      <w:szCs w:val="18"/>
    </w:rPr>
  </w:style>
  <w:style w:type="character" w:customStyle="1" w:styleId="35">
    <w:name w:val="标题 3 字符"/>
    <w:basedOn w:val="19"/>
    <w:link w:val="7"/>
    <w:qFormat/>
    <w:uiPriority w:val="9"/>
    <w:rPr>
      <w:rFonts w:ascii="Times New Roman" w:hAnsi="Times New Roman"/>
      <w:b/>
      <w:bCs/>
      <w:kern w:val="2"/>
      <w:sz w:val="32"/>
      <w:szCs w:val="32"/>
    </w:rPr>
  </w:style>
  <w:style w:type="paragraph" w:customStyle="1" w:styleId="36">
    <w:name w:val="TOC 标题2"/>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7">
    <w:name w:val="四号正文"/>
    <w:basedOn w:val="1"/>
    <w:qFormat/>
    <w:uiPriority w:val="0"/>
    <w:pPr>
      <w:spacing w:line="360" w:lineRule="auto"/>
    </w:pPr>
    <w:rPr>
      <w:rFonts w:ascii="??" w:hAnsi="??"/>
      <w:color w:val="000000"/>
      <w:kern w:val="0"/>
      <w:sz w:val="28"/>
      <w:szCs w:val="21"/>
      <w:lang w:val="zh-CN"/>
    </w:rPr>
  </w:style>
  <w:style w:type="paragraph" w:customStyle="1" w:styleId="38">
    <w:name w:val="正文文本1"/>
    <w:basedOn w:val="1"/>
    <w:qFormat/>
    <w:uiPriority w:val="0"/>
    <w:pPr>
      <w:spacing w:before="93" w:beforeLines="30"/>
    </w:pPr>
    <w:rPr>
      <w:rFonts w:ascii="仿宋_GB2312" w:eastAsia="仿宋_GB2312"/>
      <w:sz w:val="24"/>
    </w:rPr>
  </w:style>
  <w:style w:type="character" w:customStyle="1" w:styleId="39">
    <w:name w:val="正文文本缩进 字符"/>
    <w:basedOn w:val="19"/>
    <w:link w:val="10"/>
    <w:qFormat/>
    <w:uiPriority w:val="0"/>
    <w:rPr>
      <w:kern w:val="2"/>
      <w:sz w:val="21"/>
      <w:szCs w:val="24"/>
    </w:rPr>
  </w:style>
  <w:style w:type="character" w:customStyle="1" w:styleId="40">
    <w:name w:val="正文文本首行缩进 2 字符"/>
    <w:basedOn w:val="39"/>
    <w:link w:val="17"/>
    <w:qFormat/>
    <w:uiPriority w:val="99"/>
    <w:rPr>
      <w:kern w:val="2"/>
      <w:sz w:val="21"/>
      <w:szCs w:val="24"/>
    </w:rPr>
  </w:style>
  <w:style w:type="character" w:customStyle="1" w:styleId="41">
    <w:name w:val="称呼 字符"/>
    <w:basedOn w:val="19"/>
    <w:link w:val="8"/>
    <w:qFormat/>
    <w:uiPriority w:val="0"/>
    <w:rPr>
      <w:rFonts w:eastAsia="仿宋_GB2312"/>
      <w:kern w:val="2"/>
      <w:sz w:val="32"/>
      <w:szCs w:val="24"/>
    </w:rPr>
  </w:style>
  <w:style w:type="paragraph" w:customStyle="1" w:styleId="42">
    <w:name w:val="TOC Heading"/>
    <w:basedOn w:val="5"/>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376092" w:themeColor="accent1" w:themeShade="BF"/>
      <w:kern w:val="0"/>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hart" Target="charts/chart7.xml"/><Relationship Id="rId17" Type="http://schemas.openxmlformats.org/officeDocument/2006/relationships/chart" Target="charts/chart6.xml"/><Relationship Id="rId16" Type="http://schemas.openxmlformats.org/officeDocument/2006/relationships/chart" Target="charts/chart5.xml"/><Relationship Id="rId15" Type="http://schemas.openxmlformats.org/officeDocument/2006/relationships/chart" Target="charts/chart4.xml"/><Relationship Id="rId14" Type="http://schemas.openxmlformats.org/officeDocument/2006/relationships/chart" Target="charts/chart3.xml"/><Relationship Id="rId13" Type="http://schemas.openxmlformats.org/officeDocument/2006/relationships/chart" Target="charts/chart2.xml"/><Relationship Id="rId12" Type="http://schemas.openxmlformats.org/officeDocument/2006/relationships/chart" Target="charts/chart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Administrator\Desktop\&#20915;&#31639;\&#20844;&#24320;&#20915;&#31639;&#27604;&#23545;&#34920;.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Administrator\Desktop\&#20915;&#31639;\&#20844;&#24320;&#20915;&#31639;&#27604;&#23545;&#34920;.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Administrator\Desktop\&#20915;&#31639;\&#20844;&#24320;&#20915;&#31639;&#27604;&#23545;&#34920;.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Administrator\Desktop\&#20915;&#31639;\&#20844;&#24320;&#20915;&#31639;&#27604;&#23545;&#34920;.xls"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Administrator\Desktop\&#20915;&#31639;\&#20844;&#24320;&#20915;&#31639;&#27604;&#23545;&#34920;.xls"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Administrator\Desktop\&#20915;&#31639;\&#20844;&#24320;&#20915;&#31639;&#27604;&#23545;&#34920;.xls"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Administrator\Desktop\&#20915;&#31639;\&#20844;&#24320;&#20915;&#31639;&#27604;&#23545;&#34920;.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105" b="1"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r>
              <a:rPr lang="zh-CN" altLang="en-US"/>
              <a:t>收、支决算总计变动情况图</a:t>
            </a:r>
            <a:endParaRPr lang="zh-CN" altLang="en-US" sz="1105" b="1" i="0" u="none" strike="noStrike" baseline="0">
              <a:solidFill>
                <a:srgbClr val="000000">
                  <a:alpha val="100000"/>
                </a:srgbClr>
              </a:solidFill>
              <a:latin typeface="宋体" panose="02010600030101010101" charset="-122"/>
              <a:ea typeface="宋体" panose="02010600030101010101" charset="-122"/>
              <a:cs typeface="宋体" panose="02010600030101010101" charset="-122"/>
            </a:endParaRPr>
          </a:p>
        </c:rich>
      </c:tx>
      <c:layout/>
      <c:overlay val="0"/>
      <c:spPr>
        <a:noFill/>
        <a:ln w="3175">
          <a:noFill/>
        </a:ln>
      </c:spPr>
    </c:title>
    <c:autoTitleDeleted val="0"/>
    <c:plotArea>
      <c:layout/>
      <c:barChart>
        <c:barDir val="col"/>
        <c:grouping val="clustered"/>
        <c:varyColors val="0"/>
        <c:ser>
          <c:idx val="0"/>
          <c:order val="0"/>
          <c:tx>
            <c:strRef>
              <c:f>[公开决算比对表.xls]Sheet1!$B$5</c:f>
              <c:strCache>
                <c:ptCount val="1"/>
                <c:pt idx="0">
                  <c:v>2024</c:v>
                </c:pt>
              </c:strCache>
            </c:strRef>
          </c:tx>
          <c:spPr>
            <a:solidFill>
              <a:srgbClr val="9999FF">
                <a:alpha val="100000"/>
              </a:srgbClr>
            </a:solidFill>
            <a:ln w="12700">
              <a:solidFill>
                <a:srgbClr val="000000">
                  <a:alpha val="100000"/>
                </a:srgbClr>
              </a:solidFill>
              <a:prstDash val="solid"/>
            </a:ln>
          </c:spPr>
          <c:invertIfNegative val="0"/>
          <c:dLbls>
            <c:spPr>
              <a:noFill/>
              <a:ln w="3175">
                <a:noFill/>
              </a:ln>
              <a:effectLst/>
            </c:spPr>
            <c:txPr>
              <a:bodyPr rot="0" spcFirstLastPara="0" vertOverflow="ellipsis" vert="horz" wrap="square" lIns="38100" tIns="19050" rIns="38100" bIns="19050" anchor="ctr" anchorCtr="1"/>
              <a:lstStyle/>
              <a:p>
                <a:pPr>
                  <a:defRPr lang="zh-CN" sz="83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Sheet1!$C$4:$D$4</c:f>
              <c:strCache>
                <c:ptCount val="2"/>
                <c:pt idx="0">
                  <c:v>收入</c:v>
                </c:pt>
                <c:pt idx="1">
                  <c:v>支出</c:v>
                </c:pt>
              </c:strCache>
            </c:strRef>
          </c:cat>
          <c:val>
            <c:numRef>
              <c:f>Sheet1!$C$5:$D$5</c:f>
              <c:numCache>
                <c:formatCode>#,##0.00</c:formatCode>
                <c:ptCount val="2"/>
                <c:pt idx="0">
                  <c:v>333.88</c:v>
                </c:pt>
                <c:pt idx="1">
                  <c:v>333.88</c:v>
                </c:pt>
              </c:numCache>
            </c:numRef>
          </c:val>
        </c:ser>
        <c:ser>
          <c:idx val="1"/>
          <c:order val="1"/>
          <c:tx>
            <c:strRef>
              <c:f>[公开决算比对表.xls]Sheet1!$B$6</c:f>
              <c:strCache>
                <c:ptCount val="1"/>
                <c:pt idx="0">
                  <c:v>2025</c:v>
                </c:pt>
              </c:strCache>
            </c:strRef>
          </c:tx>
          <c:spPr>
            <a:solidFill>
              <a:srgbClr val="993366">
                <a:alpha val="100000"/>
              </a:srgbClr>
            </a:solidFill>
            <a:ln w="12700">
              <a:solidFill>
                <a:srgbClr val="000000">
                  <a:alpha val="100000"/>
                </a:srgbClr>
              </a:solidFill>
              <a:prstDash val="solid"/>
            </a:ln>
          </c:spPr>
          <c:invertIfNegative val="0"/>
          <c:dLbls>
            <c:spPr>
              <a:noFill/>
              <a:ln w="3175">
                <a:noFill/>
              </a:ln>
              <a:effectLst/>
            </c:spPr>
            <c:txPr>
              <a:bodyPr rot="0" spcFirstLastPara="0" vertOverflow="ellipsis" vert="horz" wrap="square" lIns="38100" tIns="19050" rIns="38100" bIns="19050" anchor="ctr" anchorCtr="1"/>
              <a:lstStyle/>
              <a:p>
                <a:pPr>
                  <a:defRPr lang="zh-CN" sz="83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Sheet1!$C$4:$D$4</c:f>
              <c:strCache>
                <c:ptCount val="2"/>
                <c:pt idx="0">
                  <c:v>收入</c:v>
                </c:pt>
                <c:pt idx="1">
                  <c:v>支出</c:v>
                </c:pt>
              </c:strCache>
            </c:strRef>
          </c:cat>
          <c:val>
            <c:numRef>
              <c:f>Sheet1!$C$6:$D$6</c:f>
              <c:numCache>
                <c:formatCode>General</c:formatCode>
                <c:ptCount val="2"/>
                <c:pt idx="0">
                  <c:v>369.44</c:v>
                </c:pt>
                <c:pt idx="1">
                  <c:v>369.44</c:v>
                </c:pt>
              </c:numCache>
            </c:numRef>
          </c:val>
        </c:ser>
        <c:dLbls>
          <c:showLegendKey val="0"/>
          <c:showVal val="0"/>
          <c:showCatName val="0"/>
          <c:showSerName val="0"/>
          <c:showPercent val="0"/>
          <c:showBubbleSize val="0"/>
        </c:dLbls>
        <c:gapWidth val="150"/>
        <c:axId val="879835426"/>
        <c:axId val="707868852"/>
      </c:barChart>
      <c:catAx>
        <c:axId val="879835426"/>
        <c:scaling>
          <c:orientation val="minMax"/>
        </c:scaling>
        <c:delete val="0"/>
        <c:axPos val="b"/>
        <c:numFmt formatCode="General" sourceLinked="0"/>
        <c:majorTickMark val="in"/>
        <c:minorTickMark val="none"/>
        <c:tickLblPos val="nextTo"/>
        <c:spPr>
          <a:ln w="3175" cap="flat" cmpd="sng" algn="ctr">
            <a:solidFill>
              <a:srgbClr val="000000">
                <a:alpha val="100000"/>
              </a:srgbClr>
            </a:solidFill>
            <a:prstDash val="solid"/>
            <a:round/>
          </a:ln>
        </c:spPr>
        <c:txPr>
          <a:bodyPr rot="-60000000" spcFirstLastPara="0" vertOverflow="ellipsis" vert="horz" wrap="square" anchor="ctr" anchorCtr="1"/>
          <a:lstStyle/>
          <a:p>
            <a:pPr>
              <a:defRPr lang="zh-CN" sz="83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crossAx val="707868852"/>
        <c:crosses val="autoZero"/>
        <c:auto val="1"/>
        <c:lblAlgn val="ctr"/>
        <c:lblOffset val="100"/>
        <c:noMultiLvlLbl val="0"/>
      </c:catAx>
      <c:valAx>
        <c:axId val="707868852"/>
        <c:scaling>
          <c:orientation val="minMax"/>
        </c:scaling>
        <c:delete val="0"/>
        <c:axPos val="l"/>
        <c:majorGridlines>
          <c:spPr>
            <a:ln w="3175" cap="flat" cmpd="sng" algn="ctr">
              <a:solidFill>
                <a:srgbClr val="000000">
                  <a:alpha val="100000"/>
                </a:srgbClr>
              </a:solidFill>
              <a:prstDash val="solid"/>
              <a:round/>
            </a:ln>
          </c:spPr>
        </c:majorGridlines>
        <c:numFmt formatCode="#,##0.00" sourceLinked="1"/>
        <c:majorTickMark val="in"/>
        <c:minorTickMark val="none"/>
        <c:tickLblPos val="nextTo"/>
        <c:spPr>
          <a:ln w="3175" cap="flat" cmpd="sng" algn="ctr">
            <a:solidFill>
              <a:srgbClr val="000000">
                <a:alpha val="100000"/>
              </a:srgbClr>
            </a:solidFill>
            <a:prstDash val="solid"/>
            <a:round/>
          </a:ln>
        </c:spPr>
        <c:txPr>
          <a:bodyPr rot="-60000000" spcFirstLastPara="0" vertOverflow="ellipsis" vert="horz" wrap="square" anchor="ctr" anchorCtr="1"/>
          <a:lstStyle/>
          <a:p>
            <a:pPr>
              <a:defRPr lang="zh-CN" sz="83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crossAx val="879835426"/>
        <c:crosses val="autoZero"/>
        <c:crossBetween val="between"/>
      </c:valAx>
      <c:spPr>
        <a:solidFill>
          <a:srgbClr val="C0C0C0">
            <a:alpha val="100000"/>
          </a:srgbClr>
        </a:solidFill>
        <a:ln w="3175">
          <a:solidFill>
            <a:srgbClr val="808080">
              <a:alpha val="100000"/>
            </a:srgbClr>
          </a:solidFill>
          <a:prstDash val="solid"/>
        </a:ln>
      </c:spPr>
    </c:plotArea>
    <c:legend>
      <c:legendPos val="t"/>
      <c:layout>
        <c:manualLayout>
          <c:xMode val="edge"/>
          <c:yMode val="edge"/>
          <c:x val="0.4415"/>
          <c:y val="0.1315"/>
          <c:w val="0.16575"/>
          <c:h val="0.06025"/>
        </c:manualLayout>
      </c:layout>
      <c:overlay val="0"/>
      <c:spPr>
        <a:solidFill>
          <a:srgbClr val="FFFFFF">
            <a:alpha val="100000"/>
          </a:srgbClr>
        </a:solidFill>
        <a:ln w="3175">
          <a:solidFill>
            <a:srgbClr val="000000">
              <a:alpha val="100000"/>
            </a:srgbClr>
          </a:solidFill>
          <a:prstDash val="solid"/>
        </a:ln>
      </c:spPr>
      <c:txPr>
        <a:bodyPr rot="0" spcFirstLastPara="0" vertOverflow="ellipsis" vert="horz" wrap="square" anchor="ctr" anchorCtr="1"/>
        <a:lstStyle/>
        <a:p>
          <a:pPr>
            <a:defRPr lang="zh-CN" sz="83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legend>
    <c:plotVisOnly val="1"/>
    <c:dispBlanksAs val="gap"/>
    <c:showDLblsOverMax val="0"/>
  </c:chart>
  <c:spPr>
    <a:solidFill>
      <a:srgbClr val="FFFFFF">
        <a:alpha val="100000"/>
      </a:srgbClr>
    </a:solidFill>
    <a:ln w="3175" cap="flat" cmpd="sng" algn="ctr">
      <a:solidFill>
        <a:srgbClr val="000000">
          <a:alpha val="100000"/>
        </a:srgbClr>
      </a:solidFill>
      <a:prstDash val="solid"/>
      <a:round/>
    </a:ln>
  </c:spPr>
  <c:txPr>
    <a:bodyPr rot="0" wrap="square" anchor="ctr" anchorCtr="1"/>
    <a:lstStyle/>
    <a:p>
      <a:pPr>
        <a:defRPr lang="zh-CN" sz="830"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025" b="1"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r>
              <a:rPr lang="zh-CN" altLang="en-US"/>
              <a:t>收入决算结构图</a:t>
            </a:r>
            <a:endParaRPr lang="zh-CN" altLang="en-US" sz="1025" b="1" i="0" u="none" strike="noStrike" baseline="0">
              <a:solidFill>
                <a:srgbClr val="000000">
                  <a:alpha val="100000"/>
                </a:srgbClr>
              </a:solidFill>
              <a:latin typeface="宋体" panose="02010600030101010101" charset="-122"/>
              <a:ea typeface="宋体" panose="02010600030101010101" charset="-122"/>
              <a:cs typeface="宋体" panose="02010600030101010101" charset="-122"/>
            </a:endParaRPr>
          </a:p>
        </c:rich>
      </c:tx>
      <c:layout>
        <c:manualLayout>
          <c:xMode val="edge"/>
          <c:yMode val="edge"/>
          <c:x val="0.0141451527567782"/>
          <c:y val="0.0317376355461518"/>
        </c:manualLayout>
      </c:layout>
      <c:overlay val="0"/>
      <c:spPr>
        <a:noFill/>
        <a:ln w="3175">
          <a:noFill/>
        </a:ln>
      </c:spPr>
    </c:title>
    <c:autoTitleDeleted val="0"/>
    <c:plotArea>
      <c:layout>
        <c:manualLayout>
          <c:layoutTarget val="inner"/>
          <c:xMode val="edge"/>
          <c:yMode val="edge"/>
          <c:x val="0.47"/>
          <c:y val="0.19675"/>
          <c:w val="0.3605"/>
          <c:h val="0.706"/>
        </c:manualLayout>
      </c:layout>
      <c:pieChart>
        <c:varyColors val="1"/>
        <c:ser>
          <c:idx val="0"/>
          <c:order val="0"/>
          <c:spPr>
            <a:solidFill>
              <a:srgbClr val="9999FF">
                <a:alpha val="100000"/>
              </a:srgbClr>
            </a:solidFill>
            <a:ln w="12700">
              <a:solidFill>
                <a:srgbClr val="000000">
                  <a:alpha val="100000"/>
                </a:srgbClr>
              </a:solidFill>
              <a:prstDash val="solid"/>
            </a:ln>
          </c:spPr>
          <c:explosion val="0"/>
          <c:dPt>
            <c:idx val="0"/>
            <c:bubble3D val="0"/>
            <c:spPr>
              <a:solidFill>
                <a:srgbClr val="9999FF">
                  <a:alpha val="100000"/>
                </a:srgbClr>
              </a:solidFill>
              <a:ln w="12700">
                <a:solidFill>
                  <a:srgbClr val="000000">
                    <a:alpha val="100000"/>
                  </a:srgbClr>
                </a:solidFill>
                <a:prstDash val="solid"/>
              </a:ln>
            </c:spPr>
          </c:dPt>
          <c:dPt>
            <c:idx val="1"/>
            <c:bubble3D val="0"/>
            <c:spPr>
              <a:solidFill>
                <a:srgbClr val="993366">
                  <a:alpha val="100000"/>
                </a:srgbClr>
              </a:solidFill>
              <a:ln w="12700">
                <a:solidFill>
                  <a:srgbClr val="000000">
                    <a:alpha val="100000"/>
                  </a:srgbClr>
                </a:solidFill>
                <a:prstDash val="solid"/>
              </a:ln>
            </c:spPr>
          </c:dPt>
          <c:dPt>
            <c:idx val="2"/>
            <c:bubble3D val="0"/>
            <c:spPr>
              <a:solidFill>
                <a:srgbClr val="FFFFCC">
                  <a:alpha val="100000"/>
                </a:srgbClr>
              </a:solidFill>
              <a:ln w="12700">
                <a:solidFill>
                  <a:srgbClr val="000000">
                    <a:alpha val="100000"/>
                  </a:srgbClr>
                </a:solidFill>
                <a:prstDash val="solid"/>
              </a:ln>
            </c:spPr>
          </c:dPt>
          <c:dPt>
            <c:idx val="3"/>
            <c:bubble3D val="0"/>
            <c:spPr>
              <a:solidFill>
                <a:srgbClr val="CCFFFF">
                  <a:alpha val="100000"/>
                </a:srgbClr>
              </a:solidFill>
              <a:ln w="12700">
                <a:solidFill>
                  <a:srgbClr val="000000">
                    <a:alpha val="100000"/>
                  </a:srgbClr>
                </a:solidFill>
                <a:prstDash val="solid"/>
              </a:ln>
            </c:spPr>
          </c:dPt>
          <c:dLbls>
            <c:dLbl>
              <c:idx val="0"/>
              <c:layout>
                <c:manualLayout>
                  <c:x val="0.141391738286665"/>
                  <c:y val="-0.0555408622057657"/>
                </c:manualLayout>
              </c:layout>
              <c:dLblPos val="bestFit"/>
              <c:showLegendKey val="0"/>
              <c:showVal val="1"/>
              <c:showCatName val="0"/>
              <c:showSerName val="0"/>
              <c:showPercent val="1"/>
              <c:showBubbleSize val="0"/>
              <c:extLst>
                <c:ext xmlns:c15="http://schemas.microsoft.com/office/drawing/2012/chart" uri="{CE6537A1-D6FC-4f65-9D91-7224C49458BB}">
                  <c15:layout/>
                </c:ext>
              </c:extLst>
            </c:dLbl>
            <c:dLbl>
              <c:idx val="1"/>
              <c:layout>
                <c:manualLayout>
                  <c:x val="-0.0395065151095093"/>
                  <c:y val="-0.0317376355461518"/>
                </c:manualLayout>
              </c:layout>
              <c:dLblPos val="bestFit"/>
              <c:showLegendKey val="0"/>
              <c:showVal val="1"/>
              <c:showCatName val="0"/>
              <c:showSerName val="0"/>
              <c:showPercent val="1"/>
              <c:showBubbleSize val="0"/>
              <c:extLst>
                <c:ext xmlns:c15="http://schemas.microsoft.com/office/drawing/2012/chart" uri="{CE6537A1-D6FC-4f65-9D91-7224C49458BB}">
                  <c15:layout/>
                </c:ext>
              </c:extLst>
            </c:dLbl>
            <c:dLbl>
              <c:idx val="2"/>
              <c:layout>
                <c:manualLayout>
                  <c:x val="0.10812309398392"/>
                  <c:y val="-0.0833112933086485"/>
                </c:manualLayout>
              </c:layout>
              <c:dLblPos val="bestFit"/>
              <c:showLegendKey val="0"/>
              <c:showVal val="1"/>
              <c:showCatName val="0"/>
              <c:showSerName val="0"/>
              <c:showPercent val="1"/>
              <c:showBubbleSize val="0"/>
              <c:extLst>
                <c:ext xmlns:c15="http://schemas.microsoft.com/office/drawing/2012/chart" uri="{CE6537A1-D6FC-4f65-9D91-7224C49458BB}">
                  <c15:layout/>
                </c:ext>
              </c:extLst>
            </c:dLbl>
            <c:dLbl>
              <c:idx val="3"/>
              <c:layout>
                <c:manualLayout>
                  <c:x val="0.10812309398392"/>
                  <c:y val="-0.0238032266596139"/>
                </c:manualLayout>
              </c:layout>
              <c:dLblPos val="bestFit"/>
              <c:showLegendKey val="0"/>
              <c:showVal val="1"/>
              <c:showCatName val="0"/>
              <c:showSerName val="0"/>
              <c:showPercent val="1"/>
              <c:showBubbleSize val="0"/>
              <c:extLst>
                <c:ext xmlns:c15="http://schemas.microsoft.com/office/drawing/2012/chart" uri="{CE6537A1-D6FC-4f65-9D91-7224C49458BB}">
                  <c15:layout/>
                </c:ext>
              </c:extLst>
            </c:dLbl>
            <c:numFmt formatCode="0%" sourceLinked="0"/>
            <c:spPr>
              <a:noFill/>
              <a:ln w="3175">
                <a:noFill/>
              </a:ln>
              <a:effectLst/>
            </c:spPr>
            <c:txPr>
              <a:bodyPr rot="0" spcFirstLastPara="0" vertOverflow="ellipsis" vert="horz" wrap="square" lIns="38100" tIns="19050" rIns="38100" bIns="19050" anchor="ctr" anchorCtr="1"/>
              <a:lstStyle/>
              <a:p>
                <a:pPr>
                  <a:defRPr lang="zh-CN" sz="77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000000">
                          <a:alpha val="100000"/>
                        </a:srgbClr>
                      </a:solidFill>
                      <a:prstDash val="solid"/>
                      <a:round/>
                    </a:ln>
                  </c:spPr>
                </c15:leaderLines>
              </c:ext>
            </c:extLst>
          </c:dLbls>
          <c:cat>
            <c:strRef>
              <c:f>Sheet1!$H$4:$K$4</c:f>
              <c:strCache>
                <c:ptCount val="4"/>
                <c:pt idx="0">
                  <c:v>一般公共预算财政拨款收入</c:v>
                </c:pt>
                <c:pt idx="1">
                  <c:v>政府性基金预算财政拨款收入</c:v>
                </c:pt>
                <c:pt idx="2">
                  <c:v>国有资本经营预算财政拨款</c:v>
                </c:pt>
                <c:pt idx="3">
                  <c:v>其他收入</c:v>
                </c:pt>
              </c:strCache>
            </c:strRef>
          </c:cat>
          <c:val>
            <c:numRef>
              <c:f>Sheet1!$H$5:$K$5</c:f>
              <c:numCache>
                <c:formatCode>General</c:formatCode>
                <c:ptCount val="4"/>
                <c:pt idx="0">
                  <c:v>369.44</c:v>
                </c:pt>
                <c:pt idx="1">
                  <c:v>0</c:v>
                </c:pt>
                <c:pt idx="2">
                  <c:v>0</c:v>
                </c:pt>
                <c:pt idx="3">
                  <c:v>0</c:v>
                </c:pt>
              </c:numCache>
            </c:numRef>
          </c:val>
        </c:ser>
        <c:dLbls>
          <c:showLegendKey val="0"/>
          <c:showVal val="0"/>
          <c:showCatName val="0"/>
          <c:showSerName val="0"/>
          <c:showPercent val="0"/>
          <c:showBubbleSize val="0"/>
          <c:showLeaderLines val="1"/>
        </c:dLbls>
        <c:firstSliceAng val="0"/>
      </c:pieChart>
      <c:spPr>
        <a:noFill/>
        <a:ln w="3175">
          <a:noFill/>
        </a:ln>
      </c:spPr>
    </c:plotArea>
    <c:legend>
      <c:legendPos val="r"/>
      <c:layout>
        <c:manualLayout>
          <c:xMode val="edge"/>
          <c:yMode val="edge"/>
          <c:x val="0.0300186443027447"/>
          <c:y val="0.19593493784713"/>
          <c:w val="0.31475"/>
          <c:h val="0.221"/>
        </c:manualLayout>
      </c:layout>
      <c:overlay val="0"/>
      <c:spPr>
        <a:solidFill>
          <a:srgbClr val="FFFFFF">
            <a:alpha val="100000"/>
          </a:srgbClr>
        </a:solidFill>
        <a:ln w="3175">
          <a:solidFill>
            <a:srgbClr val="000000">
              <a:alpha val="100000"/>
            </a:srgbClr>
          </a:solidFill>
          <a:prstDash val="solid"/>
        </a:ln>
      </c:spPr>
      <c:txPr>
        <a:bodyPr rot="0" spcFirstLastPara="0" vertOverflow="ellipsis" vert="horz" wrap="square" anchor="ctr" anchorCtr="1"/>
        <a:lstStyle/>
        <a:p>
          <a:pPr>
            <a:defRPr lang="zh-CN" sz="77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legend>
    <c:plotVisOnly val="1"/>
    <c:dispBlanksAs val="gap"/>
    <c:showDLblsOverMax val="0"/>
  </c:chart>
  <c:spPr>
    <a:solidFill>
      <a:srgbClr val="FFFFFF">
        <a:alpha val="100000"/>
      </a:srgbClr>
    </a:solidFill>
    <a:ln w="3175" cap="flat" cmpd="sng" algn="ctr">
      <a:solidFill>
        <a:srgbClr val="000000">
          <a:alpha val="100000"/>
        </a:srgbClr>
      </a:solidFill>
      <a:prstDash val="solid"/>
      <a:round/>
    </a:ln>
  </c:spPr>
  <c:txPr>
    <a:bodyPr rot="0" wrap="square" anchor="ctr" anchorCtr="1"/>
    <a:lstStyle/>
    <a:p>
      <a:pPr>
        <a:defRPr lang="zh-CN" sz="770"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00" b="1"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r>
              <a:rPr lang="zh-CN" altLang="en-US"/>
              <a:t>支出决算结构图</a:t>
            </a:r>
            <a:endParaRPr lang="zh-CN" altLang="en-US" sz="900" b="1" i="0" u="none" strike="noStrike" baseline="0">
              <a:solidFill>
                <a:srgbClr val="000000">
                  <a:alpha val="100000"/>
                </a:srgbClr>
              </a:solidFill>
              <a:latin typeface="宋体" panose="02010600030101010101" charset="-122"/>
              <a:ea typeface="宋体" panose="02010600030101010101" charset="-122"/>
              <a:cs typeface="宋体" panose="02010600030101010101" charset="-122"/>
            </a:endParaRPr>
          </a:p>
        </c:rich>
      </c:tx>
      <c:layout/>
      <c:overlay val="0"/>
      <c:spPr>
        <a:noFill/>
        <a:ln w="3175">
          <a:noFill/>
        </a:ln>
      </c:spPr>
    </c:title>
    <c:autoTitleDeleted val="0"/>
    <c:plotArea>
      <c:layout/>
      <c:pieChart>
        <c:varyColors val="1"/>
        <c:ser>
          <c:idx val="0"/>
          <c:order val="0"/>
          <c:spPr>
            <a:solidFill>
              <a:srgbClr val="9999FF">
                <a:alpha val="100000"/>
              </a:srgbClr>
            </a:solidFill>
            <a:ln w="12700">
              <a:solidFill>
                <a:srgbClr val="000000">
                  <a:alpha val="100000"/>
                </a:srgbClr>
              </a:solidFill>
              <a:prstDash val="solid"/>
            </a:ln>
          </c:spPr>
          <c:explosion val="0"/>
          <c:dPt>
            <c:idx val="0"/>
            <c:bubble3D val="0"/>
            <c:spPr>
              <a:solidFill>
                <a:srgbClr val="9999FF">
                  <a:alpha val="100000"/>
                </a:srgbClr>
              </a:solidFill>
              <a:ln w="12700">
                <a:solidFill>
                  <a:srgbClr val="000000">
                    <a:alpha val="100000"/>
                  </a:srgbClr>
                </a:solidFill>
                <a:prstDash val="solid"/>
              </a:ln>
            </c:spPr>
          </c:dPt>
          <c:dPt>
            <c:idx val="1"/>
            <c:bubble3D val="0"/>
            <c:spPr>
              <a:solidFill>
                <a:srgbClr val="993366">
                  <a:alpha val="100000"/>
                </a:srgbClr>
              </a:solidFill>
              <a:ln w="12700">
                <a:solidFill>
                  <a:srgbClr val="000000">
                    <a:alpha val="100000"/>
                  </a:srgbClr>
                </a:solidFill>
                <a:prstDash val="solid"/>
              </a:ln>
            </c:spPr>
          </c:dPt>
          <c:dLbls>
            <c:dLbl>
              <c:idx val="0"/>
              <c:layout>
                <c:manualLayout>
                  <c:x val="0.0144449030127941"/>
                  <c:y val="-0.00448028673835125"/>
                </c:manualLayout>
              </c:layout>
              <c:dLblPos val="bestFit"/>
              <c:showLegendKey val="0"/>
              <c:showVal val="1"/>
              <c:showCatName val="0"/>
              <c:showSerName val="0"/>
              <c:showPercent val="1"/>
              <c:showBubbleSize val="0"/>
              <c:extLst>
                <c:ext xmlns:c15="http://schemas.microsoft.com/office/drawing/2012/chart" uri="{CE6537A1-D6FC-4f65-9D91-7224C49458BB}">
                  <c15:layout/>
                </c:ext>
              </c:extLst>
            </c:dLbl>
            <c:dLbl>
              <c:idx val="1"/>
              <c:layout>
                <c:manualLayout>
                  <c:x val="-0.0206355757325629"/>
                  <c:y val="0"/>
                </c:manualLayout>
              </c:layout>
              <c:dLblPos val="bestFit"/>
              <c:showLegendKey val="0"/>
              <c:showVal val="1"/>
              <c:showCatName val="0"/>
              <c:showSerName val="0"/>
              <c:showPercent val="1"/>
              <c:showBubbleSize val="0"/>
              <c:extLst>
                <c:ext xmlns:c15="http://schemas.microsoft.com/office/drawing/2012/chart" uri="{CE6537A1-D6FC-4f65-9D91-7224C49458BB}">
                  <c15:layout/>
                </c:ext>
              </c:extLst>
            </c:dLbl>
            <c:numFmt formatCode="0%" sourceLinked="0"/>
            <c:spPr>
              <a:noFill/>
              <a:ln w="3175">
                <a:noFill/>
              </a:ln>
              <a:effectLst/>
            </c:spPr>
            <c:txPr>
              <a:bodyPr rot="0" spcFirstLastPara="0" vertOverflow="ellipsis" vert="horz" wrap="square" lIns="38100" tIns="19050" rIns="38100" bIns="19050" anchor="ctr" anchorCtr="1"/>
              <a:lstStyle/>
              <a:p>
                <a:pPr>
                  <a:defRPr lang="zh-CN" sz="68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1"/>
            <c:showBubbleSize val="0"/>
            <c:showLeaderLines val="0"/>
            <c:extLst>
              <c:ext xmlns:c15="http://schemas.microsoft.com/office/drawing/2012/chart" uri="{CE6537A1-D6FC-4f65-9D91-7224C49458BB}">
                <c15:layout/>
                <c15:showLeaderLines val="0"/>
                <c15:leaderLines/>
              </c:ext>
            </c:extLst>
          </c:dLbls>
          <c:cat>
            <c:strRef>
              <c:f>Sheet1!$N$4:$O$4</c:f>
              <c:strCache>
                <c:ptCount val="2"/>
                <c:pt idx="0">
                  <c:v>基本支出</c:v>
                </c:pt>
                <c:pt idx="1">
                  <c:v>项目支出</c:v>
                </c:pt>
              </c:strCache>
            </c:strRef>
          </c:cat>
          <c:val>
            <c:numRef>
              <c:f>Sheet1!$N$5:$O$5</c:f>
              <c:numCache>
                <c:formatCode>General</c:formatCode>
                <c:ptCount val="2"/>
                <c:pt idx="0">
                  <c:v>239.02</c:v>
                </c:pt>
                <c:pt idx="1">
                  <c:v>130.42</c:v>
                </c:pt>
              </c:numCache>
            </c:numRef>
          </c:val>
        </c:ser>
        <c:dLbls>
          <c:showLegendKey val="0"/>
          <c:showVal val="0"/>
          <c:showCatName val="0"/>
          <c:showSerName val="0"/>
          <c:showPercent val="0"/>
          <c:showBubbleSize val="0"/>
          <c:showLeaderLines val="0"/>
        </c:dLbls>
        <c:firstSliceAng val="0"/>
      </c:pieChart>
      <c:spPr>
        <a:noFill/>
        <a:ln w="3175">
          <a:noFill/>
        </a:ln>
      </c:spPr>
    </c:plotArea>
    <c:legend>
      <c:legendPos val="b"/>
      <c:layout>
        <c:manualLayout>
          <c:xMode val="edge"/>
          <c:yMode val="edge"/>
          <c:x val="0.389"/>
          <c:y val="0.914"/>
          <c:w val="0.22175"/>
          <c:h val="0.06675"/>
        </c:manualLayout>
      </c:layout>
      <c:overlay val="0"/>
      <c:spPr>
        <a:solidFill>
          <a:srgbClr val="FFFFFF">
            <a:alpha val="100000"/>
          </a:srgbClr>
        </a:solidFill>
        <a:ln w="3175">
          <a:solidFill>
            <a:srgbClr val="000000">
              <a:alpha val="100000"/>
            </a:srgbClr>
          </a:solidFill>
          <a:prstDash val="solid"/>
        </a:ln>
      </c:spPr>
      <c:txPr>
        <a:bodyPr rot="0" spcFirstLastPara="0" vertOverflow="ellipsis" vert="horz" wrap="square" anchor="ctr" anchorCtr="1"/>
        <a:lstStyle/>
        <a:p>
          <a:pPr>
            <a:defRPr lang="zh-CN" sz="68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legend>
    <c:plotVisOnly val="1"/>
    <c:dispBlanksAs val="gap"/>
    <c:showDLblsOverMax val="0"/>
  </c:chart>
  <c:spPr>
    <a:solidFill>
      <a:srgbClr val="FFFFFF">
        <a:alpha val="100000"/>
      </a:srgbClr>
    </a:solidFill>
    <a:ln w="3175" cap="flat" cmpd="sng" algn="ctr">
      <a:solidFill>
        <a:srgbClr val="000000">
          <a:alpha val="100000"/>
        </a:srgbClr>
      </a:solidFill>
      <a:prstDash val="solid"/>
      <a:round/>
    </a:ln>
  </c:spPr>
  <c:txPr>
    <a:bodyPr rot="0" wrap="square" anchor="ctr" anchorCtr="1"/>
    <a:lstStyle/>
    <a:p>
      <a:pPr>
        <a:defRPr lang="zh-CN" sz="680"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015" b="1"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r>
              <a:rPr lang="zh-CN" altLang="en-US"/>
              <a:t>财政拨款收、支决算总计变动情况</a:t>
            </a:r>
            <a:endParaRPr lang="zh-CN" altLang="en-US" sz="1015" b="1" i="0" u="none" strike="noStrike" baseline="0">
              <a:solidFill>
                <a:srgbClr val="000000">
                  <a:alpha val="100000"/>
                </a:srgbClr>
              </a:solidFill>
              <a:latin typeface="宋体" panose="02010600030101010101" charset="-122"/>
              <a:ea typeface="宋体" panose="02010600030101010101" charset="-122"/>
              <a:cs typeface="宋体" panose="02010600030101010101" charset="-122"/>
            </a:endParaRPr>
          </a:p>
        </c:rich>
      </c:tx>
      <c:layout/>
      <c:overlay val="0"/>
      <c:spPr>
        <a:noFill/>
        <a:ln w="3175">
          <a:noFill/>
        </a:ln>
      </c:spPr>
    </c:title>
    <c:autoTitleDeleted val="0"/>
    <c:plotArea>
      <c:layout/>
      <c:barChart>
        <c:barDir val="col"/>
        <c:grouping val="clustered"/>
        <c:varyColors val="0"/>
        <c:ser>
          <c:idx val="0"/>
          <c:order val="0"/>
          <c:tx>
            <c:strRef>
              <c:f>[公开决算比对表.xls]Sheet1!$B$28</c:f>
              <c:strCache>
                <c:ptCount val="1"/>
                <c:pt idx="0">
                  <c:v>2024</c:v>
                </c:pt>
              </c:strCache>
            </c:strRef>
          </c:tx>
          <c:spPr>
            <a:solidFill>
              <a:srgbClr val="9999FF">
                <a:alpha val="100000"/>
              </a:srgbClr>
            </a:solidFill>
            <a:ln w="12700">
              <a:solidFill>
                <a:srgbClr val="000000">
                  <a:alpha val="100000"/>
                </a:srgbClr>
              </a:solidFill>
              <a:prstDash val="solid"/>
            </a:ln>
          </c:spPr>
          <c:invertIfNegative val="0"/>
          <c:dLbls>
            <c:spPr>
              <a:noFill/>
              <a:ln w="3175">
                <a:noFill/>
              </a:ln>
              <a:effectLst/>
            </c:spPr>
            <c:txPr>
              <a:bodyPr rot="0" spcFirstLastPara="0" vertOverflow="ellipsis" vert="horz" wrap="square" lIns="38100" tIns="19050" rIns="38100" bIns="19050" anchor="ctr" anchorCtr="1"/>
              <a:lstStyle/>
              <a:p>
                <a:pPr>
                  <a:defRPr lang="zh-CN" sz="76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Sheet1!$C$27:$D$27</c:f>
              <c:strCache>
                <c:ptCount val="2"/>
                <c:pt idx="0">
                  <c:v>收入</c:v>
                </c:pt>
                <c:pt idx="1">
                  <c:v>支出</c:v>
                </c:pt>
              </c:strCache>
            </c:strRef>
          </c:cat>
          <c:val>
            <c:numRef>
              <c:f>Sheet1!$C$28:$D$28</c:f>
              <c:numCache>
                <c:formatCode>#,##0.00</c:formatCode>
                <c:ptCount val="2"/>
                <c:pt idx="0">
                  <c:v>333.88</c:v>
                </c:pt>
                <c:pt idx="1">
                  <c:v>333.88</c:v>
                </c:pt>
              </c:numCache>
            </c:numRef>
          </c:val>
        </c:ser>
        <c:ser>
          <c:idx val="1"/>
          <c:order val="1"/>
          <c:tx>
            <c:strRef>
              <c:f>[公开决算比对表.xls]Sheet1!$B$29</c:f>
              <c:strCache>
                <c:ptCount val="1"/>
                <c:pt idx="0">
                  <c:v>2025</c:v>
                </c:pt>
              </c:strCache>
            </c:strRef>
          </c:tx>
          <c:spPr>
            <a:solidFill>
              <a:srgbClr val="993366">
                <a:alpha val="100000"/>
              </a:srgbClr>
            </a:solidFill>
            <a:ln w="12700">
              <a:solidFill>
                <a:srgbClr val="000000">
                  <a:alpha val="100000"/>
                </a:srgbClr>
              </a:solidFill>
              <a:prstDash val="solid"/>
            </a:ln>
          </c:spPr>
          <c:invertIfNegative val="0"/>
          <c:dLbls>
            <c:spPr>
              <a:noFill/>
              <a:ln w="3175">
                <a:noFill/>
              </a:ln>
              <a:effectLst/>
            </c:spPr>
            <c:txPr>
              <a:bodyPr rot="0" spcFirstLastPara="0" vertOverflow="ellipsis" vert="horz" wrap="square" lIns="38100" tIns="19050" rIns="38100" bIns="19050" anchor="ctr" anchorCtr="1"/>
              <a:lstStyle/>
              <a:p>
                <a:pPr>
                  <a:defRPr lang="zh-CN" sz="76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Sheet1!$C$27:$D$27</c:f>
              <c:strCache>
                <c:ptCount val="2"/>
                <c:pt idx="0">
                  <c:v>收入</c:v>
                </c:pt>
                <c:pt idx="1">
                  <c:v>支出</c:v>
                </c:pt>
              </c:strCache>
            </c:strRef>
          </c:cat>
          <c:val>
            <c:numRef>
              <c:f>Sheet1!$C$29:$D$29</c:f>
              <c:numCache>
                <c:formatCode>General</c:formatCode>
                <c:ptCount val="2"/>
                <c:pt idx="0">
                  <c:v>369.44</c:v>
                </c:pt>
                <c:pt idx="1">
                  <c:v>369.44</c:v>
                </c:pt>
              </c:numCache>
            </c:numRef>
          </c:val>
        </c:ser>
        <c:dLbls>
          <c:showLegendKey val="0"/>
          <c:showVal val="0"/>
          <c:showCatName val="0"/>
          <c:showSerName val="0"/>
          <c:showPercent val="0"/>
          <c:showBubbleSize val="0"/>
        </c:dLbls>
        <c:gapWidth val="150"/>
        <c:axId val="314913574"/>
        <c:axId val="662963985"/>
      </c:barChart>
      <c:catAx>
        <c:axId val="314913574"/>
        <c:scaling>
          <c:orientation val="minMax"/>
        </c:scaling>
        <c:delete val="0"/>
        <c:axPos val="b"/>
        <c:numFmt formatCode="General" sourceLinked="0"/>
        <c:majorTickMark val="in"/>
        <c:minorTickMark val="none"/>
        <c:tickLblPos val="nextTo"/>
        <c:spPr>
          <a:ln w="3175" cap="flat" cmpd="sng" algn="ctr">
            <a:solidFill>
              <a:srgbClr val="000000">
                <a:alpha val="100000"/>
              </a:srgbClr>
            </a:solidFill>
            <a:prstDash val="solid"/>
            <a:round/>
          </a:ln>
        </c:spPr>
        <c:txPr>
          <a:bodyPr rot="-60000000" spcFirstLastPara="0" vertOverflow="ellipsis" vert="horz" wrap="square" anchor="ctr" anchorCtr="1"/>
          <a:lstStyle/>
          <a:p>
            <a:pPr>
              <a:defRPr lang="zh-CN" sz="76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crossAx val="662963985"/>
        <c:crosses val="autoZero"/>
        <c:auto val="1"/>
        <c:lblAlgn val="ctr"/>
        <c:lblOffset val="100"/>
        <c:noMultiLvlLbl val="0"/>
      </c:catAx>
      <c:valAx>
        <c:axId val="662963985"/>
        <c:scaling>
          <c:orientation val="minMax"/>
        </c:scaling>
        <c:delete val="0"/>
        <c:axPos val="l"/>
        <c:majorGridlines>
          <c:spPr>
            <a:ln w="3175" cap="flat" cmpd="sng" algn="ctr">
              <a:solidFill>
                <a:srgbClr val="000000">
                  <a:alpha val="100000"/>
                </a:srgbClr>
              </a:solidFill>
              <a:prstDash val="solid"/>
              <a:round/>
            </a:ln>
          </c:spPr>
        </c:majorGridlines>
        <c:numFmt formatCode="#,##0.00" sourceLinked="1"/>
        <c:majorTickMark val="in"/>
        <c:minorTickMark val="none"/>
        <c:tickLblPos val="nextTo"/>
        <c:spPr>
          <a:ln w="3175" cap="flat" cmpd="sng" algn="ctr">
            <a:solidFill>
              <a:srgbClr val="000000">
                <a:alpha val="100000"/>
              </a:srgbClr>
            </a:solidFill>
            <a:prstDash val="solid"/>
            <a:round/>
          </a:ln>
        </c:spPr>
        <c:txPr>
          <a:bodyPr rot="-60000000" spcFirstLastPara="0" vertOverflow="ellipsis" vert="horz" wrap="square" anchor="ctr" anchorCtr="1"/>
          <a:lstStyle/>
          <a:p>
            <a:pPr>
              <a:defRPr lang="zh-CN" sz="76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crossAx val="314913574"/>
        <c:crosses val="autoZero"/>
        <c:crossBetween val="between"/>
      </c:valAx>
      <c:spPr>
        <a:solidFill>
          <a:srgbClr val="C0C0C0">
            <a:alpha val="100000"/>
          </a:srgbClr>
        </a:solidFill>
        <a:ln w="3175">
          <a:solidFill>
            <a:srgbClr val="808080">
              <a:alpha val="100000"/>
            </a:srgbClr>
          </a:solidFill>
          <a:prstDash val="solid"/>
        </a:ln>
      </c:spPr>
    </c:plotArea>
    <c:legend>
      <c:legendPos val="t"/>
      <c:layout>
        <c:manualLayout>
          <c:xMode val="edge"/>
          <c:yMode val="edge"/>
          <c:x val="0.45"/>
          <c:y val="0.133"/>
          <c:w val="0.14225"/>
          <c:h val="0.06025"/>
        </c:manualLayout>
      </c:layout>
      <c:overlay val="0"/>
      <c:spPr>
        <a:solidFill>
          <a:srgbClr val="FFFFFF">
            <a:alpha val="100000"/>
          </a:srgbClr>
        </a:solidFill>
        <a:ln w="3175">
          <a:solidFill>
            <a:srgbClr val="000000">
              <a:alpha val="100000"/>
            </a:srgbClr>
          </a:solidFill>
          <a:prstDash val="solid"/>
        </a:ln>
      </c:spPr>
      <c:txPr>
        <a:bodyPr rot="0" spcFirstLastPara="0" vertOverflow="ellipsis" vert="horz" wrap="square" anchor="ctr" anchorCtr="1"/>
        <a:lstStyle/>
        <a:p>
          <a:pPr>
            <a:defRPr lang="zh-CN" sz="76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legend>
    <c:plotVisOnly val="1"/>
    <c:dispBlanksAs val="gap"/>
    <c:showDLblsOverMax val="0"/>
  </c:chart>
  <c:spPr>
    <a:solidFill>
      <a:srgbClr val="FFFFFF">
        <a:alpha val="100000"/>
      </a:srgbClr>
    </a:solidFill>
    <a:ln w="3175" cap="flat" cmpd="sng" algn="ctr">
      <a:solidFill>
        <a:srgbClr val="000000">
          <a:alpha val="100000"/>
        </a:srgbClr>
      </a:solidFill>
      <a:prstDash val="solid"/>
      <a:round/>
    </a:ln>
  </c:spPr>
  <c:txPr>
    <a:bodyPr rot="0" wrap="square" anchor="ctr" anchorCtr="1"/>
    <a:lstStyle/>
    <a:p>
      <a:pPr>
        <a:defRPr lang="zh-CN" sz="760"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760" b="1"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r>
              <a:rPr lang="zh-CN" altLang="en-US"/>
              <a:t>一般公共预算财政拨款支出决算变动情况</a:t>
            </a:r>
            <a:endParaRPr lang="zh-CN" altLang="en-US" sz="760" b="1" i="0" u="none" strike="noStrike" baseline="0">
              <a:solidFill>
                <a:srgbClr val="000000">
                  <a:alpha val="100000"/>
                </a:srgbClr>
              </a:solidFill>
              <a:latin typeface="宋体" panose="02010600030101010101" charset="-122"/>
              <a:ea typeface="宋体" panose="02010600030101010101" charset="-122"/>
              <a:cs typeface="宋体" panose="02010600030101010101" charset="-122"/>
            </a:endParaRPr>
          </a:p>
        </c:rich>
      </c:tx>
      <c:layout/>
      <c:overlay val="0"/>
      <c:spPr>
        <a:noFill/>
        <a:ln w="3175">
          <a:noFill/>
        </a:ln>
      </c:spPr>
    </c:title>
    <c:autoTitleDeleted val="0"/>
    <c:plotArea>
      <c:layout/>
      <c:barChart>
        <c:barDir val="col"/>
        <c:grouping val="clustered"/>
        <c:varyColors val="0"/>
        <c:ser>
          <c:idx val="1"/>
          <c:order val="0"/>
          <c:tx>
            <c:strRef>
              <c:f>"一般公共预算财政拨款支出决算变动情况"</c:f>
              <c:strCache>
                <c:ptCount val="1"/>
                <c:pt idx="0">
                  <c:v>一般公共预算财政拨款支出决算变动情况</c:v>
                </c:pt>
              </c:strCache>
            </c:strRef>
          </c:tx>
          <c:spPr>
            <a:solidFill>
              <a:srgbClr val="993366">
                <a:alpha val="100000"/>
              </a:srgbClr>
            </a:solidFill>
            <a:ln w="12700">
              <a:solidFill>
                <a:srgbClr val="000000">
                  <a:alpha val="100000"/>
                </a:srgbClr>
              </a:solidFill>
              <a:prstDash val="solid"/>
            </a:ln>
          </c:spPr>
          <c:invertIfNegative val="0"/>
          <c:dLbls>
            <c:spPr>
              <a:noFill/>
              <a:ln w="3175">
                <a:noFill/>
              </a:ln>
              <a:effectLst/>
            </c:spPr>
            <c:txPr>
              <a:bodyPr rot="0" spcFirstLastPara="0" vertOverflow="ellipsis" vert="horz" wrap="square" lIns="38100" tIns="19050" rIns="38100" bIns="19050" anchor="ctr" anchorCtr="1"/>
              <a:lstStyle/>
              <a:p>
                <a:pPr>
                  <a:defRPr lang="zh-CN" sz="76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numRef>
              <c:f>Sheet1!$H$27:$I$27</c:f>
              <c:numCache>
                <c:formatCode>General</c:formatCode>
                <c:ptCount val="2"/>
                <c:pt idx="0">
                  <c:v>2024</c:v>
                </c:pt>
                <c:pt idx="1">
                  <c:v>2025</c:v>
                </c:pt>
              </c:numCache>
            </c:numRef>
          </c:cat>
          <c:val>
            <c:numRef>
              <c:f>Sheet1!$H$28:$I$28</c:f>
              <c:numCache>
                <c:formatCode>#,##0.00</c:formatCode>
                <c:ptCount val="2"/>
                <c:pt idx="0">
                  <c:v>333.88</c:v>
                </c:pt>
                <c:pt idx="1" c:formatCode="General">
                  <c:v>369.44</c:v>
                </c:pt>
              </c:numCache>
            </c:numRef>
          </c:val>
        </c:ser>
        <c:dLbls>
          <c:showLegendKey val="0"/>
          <c:showVal val="0"/>
          <c:showCatName val="0"/>
          <c:showSerName val="0"/>
          <c:showPercent val="0"/>
          <c:showBubbleSize val="0"/>
        </c:dLbls>
        <c:gapWidth val="150"/>
        <c:axId val="478587059"/>
        <c:axId val="494289833"/>
      </c:barChart>
      <c:catAx>
        <c:axId val="478587059"/>
        <c:scaling>
          <c:orientation val="minMax"/>
        </c:scaling>
        <c:delete val="0"/>
        <c:axPos val="b"/>
        <c:numFmt formatCode="General" sourceLinked="0"/>
        <c:majorTickMark val="in"/>
        <c:minorTickMark val="none"/>
        <c:tickLblPos val="nextTo"/>
        <c:spPr>
          <a:ln w="3175" cap="flat" cmpd="sng" algn="ctr">
            <a:solidFill>
              <a:srgbClr val="000000">
                <a:alpha val="100000"/>
              </a:srgbClr>
            </a:solidFill>
            <a:prstDash val="solid"/>
            <a:round/>
          </a:ln>
        </c:spPr>
        <c:txPr>
          <a:bodyPr rot="-60000000" spcFirstLastPara="0" vertOverflow="ellipsis" vert="horz" wrap="square" anchor="ctr" anchorCtr="1"/>
          <a:lstStyle/>
          <a:p>
            <a:pPr>
              <a:defRPr lang="zh-CN" sz="76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crossAx val="494289833"/>
        <c:crosses val="autoZero"/>
        <c:auto val="1"/>
        <c:lblAlgn val="ctr"/>
        <c:lblOffset val="100"/>
        <c:noMultiLvlLbl val="0"/>
      </c:catAx>
      <c:valAx>
        <c:axId val="494289833"/>
        <c:scaling>
          <c:orientation val="minMax"/>
        </c:scaling>
        <c:delete val="0"/>
        <c:axPos val="l"/>
        <c:majorGridlines>
          <c:spPr>
            <a:ln w="3175" cap="flat" cmpd="sng" algn="ctr">
              <a:solidFill>
                <a:srgbClr val="000000">
                  <a:alpha val="100000"/>
                </a:srgbClr>
              </a:solidFill>
              <a:prstDash val="solid"/>
              <a:round/>
            </a:ln>
          </c:spPr>
        </c:majorGridlines>
        <c:numFmt formatCode="#,##0.00" sourceLinked="1"/>
        <c:majorTickMark val="in"/>
        <c:minorTickMark val="none"/>
        <c:tickLblPos val="nextTo"/>
        <c:spPr>
          <a:ln w="3175" cap="flat" cmpd="sng" algn="ctr">
            <a:solidFill>
              <a:srgbClr val="000000">
                <a:alpha val="100000"/>
              </a:srgbClr>
            </a:solidFill>
            <a:prstDash val="solid"/>
            <a:round/>
          </a:ln>
        </c:spPr>
        <c:txPr>
          <a:bodyPr rot="-60000000" spcFirstLastPara="0" vertOverflow="ellipsis" vert="horz" wrap="square" anchor="ctr" anchorCtr="1"/>
          <a:lstStyle/>
          <a:p>
            <a:pPr>
              <a:defRPr lang="zh-CN" sz="76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crossAx val="478587059"/>
        <c:crosses val="autoZero"/>
        <c:crossBetween val="between"/>
      </c:valAx>
      <c:spPr>
        <a:solidFill>
          <a:srgbClr val="C0C0C0">
            <a:alpha val="100000"/>
          </a:srgbClr>
        </a:solidFill>
        <a:ln w="3175">
          <a:solidFill>
            <a:srgbClr val="808080">
              <a:alpha val="100000"/>
            </a:srgbClr>
          </a:solidFill>
          <a:prstDash val="solid"/>
        </a:ln>
      </c:spPr>
    </c:plotArea>
    <c:legend>
      <c:legendPos val="b"/>
      <c:layout>
        <c:manualLayout>
          <c:xMode val="edge"/>
          <c:yMode val="edge"/>
          <c:x val="0.297553749622014"/>
          <c:y val="0.916"/>
          <c:w val="0.46975"/>
          <c:h val="0.06675"/>
        </c:manualLayout>
      </c:layout>
      <c:overlay val="0"/>
      <c:spPr>
        <a:solidFill>
          <a:srgbClr val="FFFFFF">
            <a:alpha val="100000"/>
          </a:srgbClr>
        </a:solidFill>
        <a:ln w="3175">
          <a:solidFill>
            <a:srgbClr val="000000">
              <a:alpha val="100000"/>
            </a:srgbClr>
          </a:solidFill>
          <a:prstDash val="solid"/>
        </a:ln>
      </c:spPr>
      <c:txPr>
        <a:bodyPr rot="0" spcFirstLastPara="0" vertOverflow="ellipsis" vert="horz" wrap="square" anchor="ctr" anchorCtr="1"/>
        <a:lstStyle/>
        <a:p>
          <a:pPr>
            <a:defRPr lang="zh-CN" sz="76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legend>
    <c:plotVisOnly val="1"/>
    <c:dispBlanksAs val="gap"/>
    <c:showDLblsOverMax val="0"/>
  </c:chart>
  <c:spPr>
    <a:solidFill>
      <a:srgbClr val="FFFFFF">
        <a:alpha val="100000"/>
      </a:srgbClr>
    </a:solidFill>
    <a:ln w="3175" cap="flat" cmpd="sng" algn="ctr">
      <a:solidFill>
        <a:srgbClr val="000000">
          <a:alpha val="100000"/>
        </a:srgbClr>
      </a:solidFill>
      <a:prstDash val="solid"/>
      <a:round/>
    </a:ln>
  </c:spPr>
  <c:txPr>
    <a:bodyPr rot="0" wrap="square" anchor="ctr" anchorCtr="1"/>
    <a:lstStyle/>
    <a:p>
      <a:pPr>
        <a:defRPr lang="zh-CN" sz="760"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20" b="1" i="0" u="sng"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r>
              <a:rPr lang="zh-CN" altLang="en-US"/>
              <a:t>一般公共预算财政拨款支出决算情况</a:t>
            </a:r>
            <a:endParaRPr lang="zh-CN" altLang="en-US" sz="1420" b="1" i="0" u="sng" strike="noStrike" baseline="0">
              <a:solidFill>
                <a:srgbClr val="000000">
                  <a:alpha val="100000"/>
                </a:srgbClr>
              </a:solidFill>
              <a:latin typeface="宋体" panose="02010600030101010101" charset="-122"/>
              <a:ea typeface="宋体" panose="02010600030101010101" charset="-122"/>
              <a:cs typeface="宋体" panose="02010600030101010101" charset="-122"/>
            </a:endParaRPr>
          </a:p>
        </c:rich>
      </c:tx>
      <c:layout/>
      <c:overlay val="0"/>
      <c:spPr>
        <a:noFill/>
        <a:ln w="3175">
          <a:noFill/>
        </a:ln>
      </c:spPr>
    </c:title>
    <c:autoTitleDeleted val="0"/>
    <c:plotArea>
      <c:layout>
        <c:manualLayout>
          <c:layoutTarget val="inner"/>
          <c:xMode val="edge"/>
          <c:yMode val="edge"/>
          <c:x val="0.24375"/>
          <c:y val="0.29"/>
          <c:w val="0.28825"/>
          <c:h val="0.51525"/>
        </c:manualLayout>
      </c:layout>
      <c:pieChart>
        <c:varyColors val="1"/>
        <c:ser>
          <c:idx val="0"/>
          <c:order val="0"/>
          <c:spPr>
            <a:solidFill>
              <a:srgbClr val="9999FF">
                <a:alpha val="100000"/>
              </a:srgbClr>
            </a:solidFill>
            <a:ln w="12700">
              <a:solidFill>
                <a:srgbClr val="000000">
                  <a:alpha val="100000"/>
                </a:srgbClr>
              </a:solidFill>
              <a:prstDash val="solid"/>
            </a:ln>
          </c:spPr>
          <c:explosion val="0"/>
          <c:dPt>
            <c:idx val="0"/>
            <c:bubble3D val="0"/>
            <c:spPr>
              <a:solidFill>
                <a:schemeClr val="accent1">
                  <a:lumMod val="20000"/>
                  <a:lumOff val="80000"/>
                </a:schemeClr>
              </a:solidFill>
              <a:ln w="12700">
                <a:solidFill>
                  <a:srgbClr val="000000">
                    <a:alpha val="100000"/>
                  </a:srgbClr>
                </a:solidFill>
                <a:prstDash val="solid"/>
              </a:ln>
            </c:spPr>
          </c:dPt>
          <c:dPt>
            <c:idx val="1"/>
            <c:bubble3D val="0"/>
            <c:spPr>
              <a:solidFill>
                <a:srgbClr val="993366">
                  <a:alpha val="100000"/>
                </a:srgbClr>
              </a:solidFill>
              <a:ln w="19050">
                <a:solidFill>
                  <a:srgbClr val="000000">
                    <a:alpha val="100000"/>
                  </a:srgbClr>
                </a:solidFill>
                <a:prstDash val="solid"/>
              </a:ln>
            </c:spPr>
          </c:dPt>
          <c:dPt>
            <c:idx val="2"/>
            <c:bubble3D val="0"/>
            <c:spPr>
              <a:solidFill>
                <a:srgbClr val="FFFFCC">
                  <a:alpha val="100000"/>
                </a:srgbClr>
              </a:solidFill>
              <a:ln w="19050">
                <a:solidFill>
                  <a:srgbClr val="000000">
                    <a:alpha val="100000"/>
                  </a:srgbClr>
                </a:solidFill>
                <a:prstDash val="solid"/>
              </a:ln>
            </c:spPr>
          </c:dPt>
          <c:dPt>
            <c:idx val="3"/>
            <c:bubble3D val="0"/>
            <c:spPr>
              <a:solidFill>
                <a:srgbClr val="CCFFFF">
                  <a:alpha val="100000"/>
                </a:srgbClr>
              </a:solidFill>
              <a:ln w="19050">
                <a:solidFill>
                  <a:srgbClr val="000000">
                    <a:alpha val="100000"/>
                  </a:srgbClr>
                </a:solidFill>
                <a:prstDash val="solid"/>
              </a:ln>
            </c:spPr>
          </c:dPt>
          <c:dLbls>
            <c:dLbl>
              <c:idx val="0"/>
              <c:layout>
                <c:manualLayout>
                  <c:x val="0.0616089621103209"/>
                  <c:y val="-0.0360121197630602"/>
                </c:manualLayout>
              </c:layout>
              <c:numFmt formatCode="0%" sourceLinked="0"/>
              <c:spPr>
                <a:noFill/>
                <a:ln w="3175">
                  <a:noFill/>
                </a:ln>
                <a:effectLst/>
              </c:spPr>
              <c:txPr>
                <a:bodyPr rot="0" spcFirstLastPara="0" vertOverflow="ellipsis" vert="horz" wrap="square" lIns="38100" tIns="19050" rIns="38100" bIns="19050" anchor="ctr" anchorCtr="1"/>
                <a:lstStyle/>
                <a:p>
                  <a:pPr>
                    <a:defRPr lang="zh-CN" sz="755" b="0" i="0" u="sng"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bestFit"/>
              <c:showLegendKey val="0"/>
              <c:showVal val="1"/>
              <c:showCatName val="0"/>
              <c:showSerName val="0"/>
              <c:showPercent val="1"/>
              <c:showBubbleSize val="0"/>
              <c:extLst>
                <c:ext xmlns:c15="http://schemas.microsoft.com/office/drawing/2012/chart" uri="{CE6537A1-D6FC-4f65-9D91-7224C49458BB}">
                  <c15:layout/>
                </c:ext>
              </c:extLst>
            </c:dLbl>
            <c:dLbl>
              <c:idx val="1"/>
              <c:layout>
                <c:manualLayout>
                  <c:x val="-0.024246682192567"/>
                  <c:y val="0.00303539503571108"/>
                </c:manualLayout>
              </c:layout>
              <c:numFmt formatCode="0%" sourceLinked="0"/>
              <c:spPr>
                <a:noFill/>
                <a:ln w="3175">
                  <a:noFill/>
                </a:ln>
                <a:effectLst/>
              </c:spPr>
              <c:txPr>
                <a:bodyPr rot="0" spcFirstLastPara="0" vertOverflow="ellipsis" vert="horz" wrap="square" lIns="38100" tIns="19050" rIns="38100" bIns="19050" anchor="ctr" anchorCtr="1"/>
                <a:lstStyle/>
                <a:p>
                  <a:pPr>
                    <a:defRPr lang="zh-CN" sz="755" b="0" i="0" u="sng"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bestFit"/>
              <c:showLegendKey val="0"/>
              <c:showVal val="1"/>
              <c:showCatName val="0"/>
              <c:showSerName val="0"/>
              <c:showPercent val="1"/>
              <c:showBubbleSize val="0"/>
              <c:extLst>
                <c:ext xmlns:c15="http://schemas.microsoft.com/office/drawing/2012/chart" uri="{CE6537A1-D6FC-4f65-9D91-7224C49458BB}">
                  <c15:layout/>
                </c:ext>
              </c:extLst>
            </c:dLbl>
            <c:dLbl>
              <c:idx val="2"/>
              <c:layout>
                <c:manualLayout>
                  <c:x val="-0.0178983976430414"/>
                  <c:y val="-0.0337032490182164"/>
                </c:manualLayout>
              </c:layout>
              <c:numFmt formatCode="0%" sourceLinked="0"/>
              <c:spPr>
                <a:noFill/>
                <a:ln w="3175">
                  <a:noFill/>
                </a:ln>
                <a:effectLst/>
              </c:spPr>
              <c:txPr>
                <a:bodyPr rot="0" spcFirstLastPara="0" vertOverflow="ellipsis" vert="horz" wrap="square" lIns="38100" tIns="19050" rIns="38100" bIns="19050" anchor="ctr" anchorCtr="1"/>
                <a:lstStyle/>
                <a:p>
                  <a:pPr>
                    <a:defRPr lang="zh-CN" sz="755" b="0" i="0" u="sng"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bestFit"/>
              <c:showLegendKey val="0"/>
              <c:showVal val="1"/>
              <c:showCatName val="0"/>
              <c:showSerName val="0"/>
              <c:showPercent val="1"/>
              <c:showBubbleSize val="0"/>
              <c:extLst>
                <c:ext xmlns:c15="http://schemas.microsoft.com/office/drawing/2012/chart" uri="{CE6537A1-D6FC-4f65-9D91-7224C49458BB}">
                  <c15:layout/>
                </c:ext>
              </c:extLst>
            </c:dLbl>
            <c:dLbl>
              <c:idx val="3"/>
              <c:layout>
                <c:manualLayout>
                  <c:x val="0.0386120913246097"/>
                  <c:y val="-0.0554506299692232"/>
                </c:manualLayout>
              </c:layout>
              <c:numFmt formatCode="0%" sourceLinked="0"/>
              <c:spPr>
                <a:noFill/>
                <a:ln w="3175">
                  <a:noFill/>
                </a:ln>
                <a:effectLst/>
              </c:spPr>
              <c:txPr>
                <a:bodyPr rot="0" spcFirstLastPara="0" vertOverflow="ellipsis" vert="horz" wrap="square" lIns="38100" tIns="19050" rIns="38100" bIns="19050" anchor="ctr" anchorCtr="1"/>
                <a:lstStyle/>
                <a:p>
                  <a:pPr>
                    <a:defRPr lang="zh-CN" sz="755" b="0" i="0" u="sng"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bestFit"/>
              <c:showLegendKey val="0"/>
              <c:showVal val="1"/>
              <c:showCatName val="0"/>
              <c:showSerName val="0"/>
              <c:showPercent val="1"/>
              <c:showBubbleSize val="0"/>
              <c:extLst>
                <c:ext xmlns:c15="http://schemas.microsoft.com/office/drawing/2012/chart" uri="{CE6537A1-D6FC-4f65-9D91-7224C49458BB}">
                  <c15:layout/>
                </c:ext>
              </c:extLst>
            </c:dLbl>
            <c:numFmt formatCode="0%" sourceLinked="0"/>
            <c:spPr>
              <a:noFill/>
              <a:ln w="3175">
                <a:noFill/>
              </a:ln>
              <a:effectLst/>
            </c:spPr>
            <c:txPr>
              <a:bodyPr rot="0" spcFirstLastPara="0" vertOverflow="ellipsis" vert="horz" wrap="square" lIns="38100" tIns="19050" rIns="38100" bIns="19050" anchor="ctr" anchorCtr="1"/>
              <a:lstStyle/>
              <a:p>
                <a:pPr>
                  <a:defRPr lang="zh-CN" sz="1065" b="0" i="0" u="sng"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000000">
                          <a:alpha val="100000"/>
                        </a:srgbClr>
                      </a:solidFill>
                      <a:prstDash val="solid"/>
                      <a:round/>
                    </a:ln>
                  </c:spPr>
                </c15:leaderLines>
              </c:ext>
            </c:extLst>
          </c:dLbls>
          <c:cat>
            <c:strRef>
              <c:f>[公开决算比对表.xls]Sheet1!$M$26:$P$26</c:f>
              <c:strCache>
                <c:ptCount val="4"/>
                <c:pt idx="0">
                  <c:v>一般公共服务支出</c:v>
                </c:pt>
                <c:pt idx="1">
                  <c:v>社会保障和就业支出</c:v>
                </c:pt>
                <c:pt idx="2">
                  <c:v>卫生健康支出</c:v>
                </c:pt>
                <c:pt idx="3">
                  <c:v>住房保障支出</c:v>
                </c:pt>
              </c:strCache>
            </c:strRef>
          </c:cat>
          <c:val>
            <c:numRef>
              <c:f>[公开决算比对表.xls]Sheet1!$M$27:$P$27</c:f>
              <c:numCache>
                <c:formatCode>#,##0.00</c:formatCode>
                <c:ptCount val="4"/>
                <c:pt idx="0">
                  <c:v>317.51</c:v>
                </c:pt>
                <c:pt idx="1" c:formatCode="General">
                  <c:v>23.08</c:v>
                </c:pt>
                <c:pt idx="2" c:formatCode="General">
                  <c:v>12.3</c:v>
                </c:pt>
                <c:pt idx="3" c:formatCode="General">
                  <c:v>16.55</c:v>
                </c:pt>
              </c:numCache>
            </c:numRef>
          </c:val>
        </c:ser>
        <c:dLbls>
          <c:showLegendKey val="0"/>
          <c:showVal val="0"/>
          <c:showCatName val="0"/>
          <c:showSerName val="0"/>
          <c:showPercent val="0"/>
          <c:showBubbleSize val="0"/>
          <c:showLeaderLines val="1"/>
        </c:dLbls>
        <c:firstSliceAng val="0"/>
      </c:pieChart>
      <c:spPr>
        <a:noFill/>
        <a:ln w="3175">
          <a:noFill/>
        </a:ln>
      </c:spPr>
    </c:plotArea>
    <c:legend>
      <c:legendPos val="r"/>
      <c:legendEntry>
        <c:idx val="0"/>
        <c:txPr>
          <a:bodyPr rot="0" spcFirstLastPara="0" vertOverflow="ellipsis" vert="horz" wrap="square" anchor="ctr" anchorCtr="1"/>
          <a:lstStyle/>
          <a:p>
            <a:pPr>
              <a:defRPr lang="zh-CN" sz="900" b="0" i="0" u="sng" strike="noStrike" kern="1200" cap="none" spc="0" normalizeH="0" baseline="0">
                <a:solidFill>
                  <a:srgbClr val="000000">
                    <a:alpha val="100000"/>
                  </a:srgbClr>
                </a:solidFill>
                <a:uFill>
                  <a:solidFill>
                    <a:srgbClr val="000000">
                      <a:alpha val="100000"/>
                    </a:srgbClr>
                  </a:solidFill>
                </a:uFill>
                <a:latin typeface="宋体" panose="02010600030101010101" charset="-122"/>
                <a:ea typeface="宋体" panose="02010600030101010101" charset="-122"/>
                <a:cs typeface="宋体" panose="02010600030101010101" charset="-122"/>
              </a:defRPr>
            </a:pPr>
          </a:p>
        </c:txPr>
      </c:legendEntry>
      <c:legendEntry>
        <c:idx val="1"/>
        <c:txPr>
          <a:bodyPr rot="0" spcFirstLastPara="0" vertOverflow="ellipsis" vert="horz" wrap="square" anchor="ctr" anchorCtr="1"/>
          <a:lstStyle/>
          <a:p>
            <a:pPr>
              <a:defRPr lang="zh-CN" sz="900" b="0" i="0" u="sng" strike="noStrike" kern="1200" cap="none" spc="0" normalizeH="0" baseline="0">
                <a:solidFill>
                  <a:srgbClr val="000000">
                    <a:alpha val="100000"/>
                  </a:srgbClr>
                </a:solidFill>
                <a:uFill>
                  <a:solidFill>
                    <a:srgbClr val="000000">
                      <a:alpha val="100000"/>
                    </a:srgbClr>
                  </a:solidFill>
                </a:uFill>
                <a:latin typeface="宋体" panose="02010600030101010101" charset="-122"/>
                <a:ea typeface="宋体" panose="02010600030101010101" charset="-122"/>
                <a:cs typeface="宋体" panose="02010600030101010101" charset="-122"/>
              </a:defRPr>
            </a:pPr>
          </a:p>
        </c:txPr>
      </c:legendEntry>
      <c:legendEntry>
        <c:idx val="2"/>
        <c:txPr>
          <a:bodyPr rot="0" spcFirstLastPara="0" vertOverflow="ellipsis" vert="horz" wrap="square" anchor="ctr" anchorCtr="1"/>
          <a:lstStyle/>
          <a:p>
            <a:pPr>
              <a:defRPr lang="zh-CN" sz="900" b="0" i="0" u="sng" strike="noStrike" kern="1200" cap="none" spc="0" normalizeH="0" baseline="0">
                <a:solidFill>
                  <a:srgbClr val="000000">
                    <a:alpha val="100000"/>
                  </a:srgbClr>
                </a:solidFill>
                <a:uFill>
                  <a:solidFill>
                    <a:srgbClr val="000000">
                      <a:alpha val="100000"/>
                    </a:srgbClr>
                  </a:solidFill>
                </a:uFill>
                <a:latin typeface="宋体" panose="02010600030101010101" charset="-122"/>
                <a:ea typeface="宋体" panose="02010600030101010101" charset="-122"/>
                <a:cs typeface="宋体" panose="02010600030101010101" charset="-122"/>
              </a:defRPr>
            </a:pPr>
          </a:p>
        </c:txPr>
      </c:legendEntry>
      <c:legendEntry>
        <c:idx val="3"/>
        <c:txPr>
          <a:bodyPr rot="0" spcFirstLastPara="0" vertOverflow="ellipsis" vert="horz" wrap="square" anchor="ctr" anchorCtr="1"/>
          <a:lstStyle/>
          <a:p>
            <a:pPr>
              <a:defRPr lang="zh-CN" sz="900" b="0" i="0" u="sng" strike="noStrike" kern="1200" cap="none" spc="0" normalizeH="0" baseline="0">
                <a:solidFill>
                  <a:srgbClr val="000000">
                    <a:alpha val="100000"/>
                  </a:srgbClr>
                </a:solidFill>
                <a:uFill>
                  <a:solidFill>
                    <a:srgbClr val="000000">
                      <a:alpha val="100000"/>
                    </a:srgbClr>
                  </a:solidFill>
                </a:uFill>
                <a:latin typeface="宋体" panose="02010600030101010101" charset="-122"/>
                <a:ea typeface="宋体" panose="02010600030101010101" charset="-122"/>
                <a:cs typeface="宋体" panose="02010600030101010101" charset="-122"/>
              </a:defRPr>
            </a:pPr>
          </a:p>
        </c:txPr>
      </c:legendEntry>
      <c:layout>
        <c:manualLayout>
          <c:xMode val="edge"/>
          <c:yMode val="edge"/>
          <c:x val="0.709295437881524"/>
          <c:y val="0.474968110160486"/>
          <c:w val="0.2715"/>
          <c:h val="0.44875"/>
        </c:manualLayout>
      </c:layout>
      <c:overlay val="0"/>
      <c:spPr>
        <a:solidFill>
          <a:srgbClr val="FFFFFF">
            <a:alpha val="100000"/>
          </a:srgbClr>
        </a:solidFill>
        <a:ln w="3175">
          <a:solidFill>
            <a:srgbClr val="000000">
              <a:alpha val="100000"/>
            </a:srgbClr>
          </a:solidFill>
          <a:prstDash val="solid"/>
        </a:ln>
      </c:spPr>
      <c:txPr>
        <a:bodyPr rot="0" spcFirstLastPara="0" vertOverflow="ellipsis" vert="horz" wrap="square" anchor="ctr" anchorCtr="1"/>
        <a:lstStyle/>
        <a:p>
          <a:pPr>
            <a:defRPr lang="zh-CN" sz="900" b="0" i="0" u="sng" strike="noStrike" kern="1200" cap="none" spc="0" normalizeH="0" baseline="0">
              <a:solidFill>
                <a:srgbClr val="000000">
                  <a:alpha val="100000"/>
                </a:srgbClr>
              </a:solidFill>
              <a:uFill>
                <a:solidFill>
                  <a:srgbClr val="000000">
                    <a:alpha val="100000"/>
                  </a:srgbClr>
                </a:solidFill>
              </a:uFill>
              <a:latin typeface="宋体" panose="02010600030101010101" charset="-122"/>
              <a:ea typeface="宋体" panose="02010600030101010101" charset="-122"/>
              <a:cs typeface="宋体" panose="02010600030101010101" charset="-122"/>
            </a:defRPr>
          </a:pPr>
        </a:p>
      </c:txPr>
    </c:legend>
    <c:plotVisOnly val="1"/>
    <c:dispBlanksAs val="gap"/>
    <c:showDLblsOverMax val="0"/>
  </c:chart>
  <c:spPr>
    <a:solidFill>
      <a:srgbClr val="FFFFFF">
        <a:alpha val="100000"/>
      </a:srgbClr>
    </a:solidFill>
    <a:ln w="3175" cap="flat" cmpd="sng" algn="ctr">
      <a:solidFill>
        <a:srgbClr val="000000">
          <a:alpha val="100000"/>
        </a:srgbClr>
      </a:solidFill>
      <a:prstDash val="solid"/>
      <a:round/>
    </a:ln>
  </c:spPr>
  <c:txPr>
    <a:bodyPr rot="0" wrap="square" anchor="ctr" anchorCtr="1"/>
    <a:lstStyle/>
    <a:p>
      <a:pPr>
        <a:defRPr lang="zh-CN" sz="1065" b="0" i="0" u="sng"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000" b="0" i="1" u="none" strike="noStrike" kern="1200" cap="none" spc="0" normalizeH="0" baseline="0">
                <a:solidFill>
                  <a:srgbClr val="000000">
                    <a:alpha val="100000"/>
                  </a:srgbClr>
                </a:solidFill>
                <a:uFill>
                  <a:solidFill>
                    <a:srgbClr val="000000">
                      <a:alpha val="100000"/>
                    </a:srgbClr>
                  </a:solidFill>
                </a:uFill>
                <a:latin typeface="宋体" panose="02010600030101010101" charset="-122"/>
                <a:ea typeface="宋体" panose="02010600030101010101" charset="-122"/>
                <a:cs typeface="宋体" panose="02010600030101010101" charset="-122"/>
              </a:defRPr>
            </a:pPr>
            <a:r>
              <a:rPr lang="zh-CN" altLang="en-US" sz="1000" i="0" u="none" strike="noStrike" cap="none" normalizeH="0">
                <a:solidFill>
                  <a:srgbClr val="000000">
                    <a:alpha val="100000"/>
                  </a:srgbClr>
                </a:solidFill>
                <a:uFill>
                  <a:solidFill>
                    <a:srgbClr val="000000">
                      <a:alpha val="100000"/>
                    </a:srgbClr>
                  </a:solidFill>
                </a:uFill>
                <a:latin typeface="宋体" panose="02010600030101010101" charset="-122"/>
              </a:rPr>
              <a:t>“三公”经费财政拨款支出结构</a:t>
            </a:r>
            <a:endParaRPr lang="zh-CN" altLang="en-US" sz="1000" b="0" i="0" u="none" strike="noStrike" cap="none" normalizeH="0" baseline="0">
              <a:solidFill>
                <a:srgbClr val="000000">
                  <a:alpha val="100000"/>
                </a:srgbClr>
              </a:solidFill>
              <a:uFill>
                <a:solidFill>
                  <a:srgbClr val="000000">
                    <a:alpha val="100000"/>
                  </a:srgbClr>
                </a:solidFill>
              </a:uFill>
              <a:latin typeface="宋体" panose="02010600030101010101" charset="-122"/>
              <a:ea typeface="宋体" panose="02010600030101010101" charset="-122"/>
              <a:cs typeface="宋体" panose="02010600030101010101" charset="-122"/>
            </a:endParaRPr>
          </a:p>
        </c:rich>
      </c:tx>
      <c:layout>
        <c:manualLayout>
          <c:xMode val="edge"/>
          <c:yMode val="edge"/>
          <c:x val="0.0631161971830986"/>
          <c:y val="0.0209053912588328"/>
        </c:manualLayout>
      </c:layout>
      <c:overlay val="0"/>
      <c:spPr>
        <a:noFill/>
        <a:ln w="3175">
          <a:noFill/>
        </a:ln>
      </c:spPr>
    </c:title>
    <c:autoTitleDeleted val="0"/>
    <c:plotArea>
      <c:layout>
        <c:manualLayout>
          <c:layoutTarget val="inner"/>
          <c:xMode val="edge"/>
          <c:yMode val="edge"/>
          <c:x val="0.31975"/>
          <c:y val="0.2935"/>
          <c:w val="0.26575"/>
          <c:h val="0.55975"/>
        </c:manualLayout>
      </c:layout>
      <c:pieChart>
        <c:varyColors val="1"/>
        <c:ser>
          <c:idx val="0"/>
          <c:order val="0"/>
          <c:tx>
            <c:strRef>
              <c:f>"“三公”经费财政拨款支出结构"</c:f>
              <c:strCache>
                <c:ptCount val="1"/>
                <c:pt idx="0">
                  <c:v>“三公”经费财政拨款支出结构</c:v>
                </c:pt>
              </c:strCache>
            </c:strRef>
          </c:tx>
          <c:spPr>
            <a:solidFill>
              <a:srgbClr val="9999FF">
                <a:alpha val="100000"/>
              </a:srgbClr>
            </a:solidFill>
            <a:ln w="12700">
              <a:solidFill>
                <a:srgbClr val="000000">
                  <a:alpha val="100000"/>
                </a:srgbClr>
              </a:solidFill>
              <a:prstDash val="solid"/>
            </a:ln>
          </c:spPr>
          <c:explosion val="0"/>
          <c:dPt>
            <c:idx val="0"/>
            <c:bubble3D val="0"/>
            <c:spPr>
              <a:solidFill>
                <a:srgbClr val="9999FF">
                  <a:alpha val="100000"/>
                </a:srgbClr>
              </a:solidFill>
              <a:ln w="12700">
                <a:solidFill>
                  <a:srgbClr val="000000">
                    <a:alpha val="100000"/>
                  </a:srgbClr>
                </a:solidFill>
                <a:prstDash val="solid"/>
              </a:ln>
            </c:spPr>
          </c:dPt>
          <c:dPt>
            <c:idx val="1"/>
            <c:bubble3D val="0"/>
            <c:spPr>
              <a:solidFill>
                <a:srgbClr val="993366">
                  <a:alpha val="100000"/>
                </a:srgbClr>
              </a:solidFill>
              <a:ln w="3175">
                <a:solidFill>
                  <a:srgbClr val="000000">
                    <a:alpha val="100000"/>
                  </a:srgbClr>
                </a:solidFill>
                <a:prstDash val="solid"/>
              </a:ln>
            </c:spPr>
          </c:dPt>
          <c:dPt>
            <c:idx val="2"/>
            <c:bubble3D val="0"/>
            <c:spPr>
              <a:solidFill>
                <a:srgbClr val="FFFFCC">
                  <a:alpha val="100000"/>
                </a:srgbClr>
              </a:solidFill>
              <a:ln w="12700">
                <a:solidFill>
                  <a:srgbClr val="000000">
                    <a:alpha val="100000"/>
                  </a:srgbClr>
                </a:solidFill>
                <a:prstDash val="solid"/>
              </a:ln>
            </c:spPr>
          </c:dPt>
          <c:dLbls>
            <c:dLbl>
              <c:idx val="0"/>
              <c:layout/>
              <c:numFmt formatCode="0%" sourceLinked="0"/>
              <c:spPr>
                <a:noFill/>
                <a:ln w="3175">
                  <a:noFill/>
                </a:ln>
                <a:effectLst/>
              </c:spPr>
              <c:txPr>
                <a:bodyPr rot="0" spcFirstLastPara="0" vertOverflow="ellipsis" vert="horz" wrap="square" lIns="38100" tIns="19050" rIns="38100" bIns="19050" anchor="ctr" anchorCtr="1"/>
                <a:lstStyle/>
                <a:p>
                  <a:pPr>
                    <a:defRPr lang="zh-CN" sz="530" b="0" i="1"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1"/>
              <c:showVal val="1"/>
              <c:showCatName val="0"/>
              <c:showSerName val="0"/>
              <c:showPercent val="1"/>
              <c:showBubbleSize val="0"/>
              <c:extLst>
                <c:ext xmlns:c15="http://schemas.microsoft.com/office/drawing/2012/chart" uri="{CE6537A1-D6FC-4f65-9D91-7224C49458BB}"/>
              </c:extLst>
            </c:dLbl>
            <c:dLbl>
              <c:idx val="1"/>
              <c:layout/>
              <c:numFmt formatCode="0%" sourceLinked="0"/>
              <c:spPr>
                <a:noFill/>
                <a:ln w="3175">
                  <a:noFill/>
                </a:ln>
                <a:effectLst/>
              </c:spPr>
              <c:txPr>
                <a:bodyPr rot="0" spcFirstLastPara="0" vertOverflow="ellipsis" vert="horz" wrap="square" lIns="38100" tIns="19050" rIns="38100" bIns="19050" anchor="ctr" anchorCtr="1"/>
                <a:lstStyle/>
                <a:p>
                  <a:pPr>
                    <a:defRPr lang="zh-CN" sz="530" b="0" i="1"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1"/>
              <c:showVal val="1"/>
              <c:showCatName val="0"/>
              <c:showSerName val="0"/>
              <c:showPercent val="1"/>
              <c:showBubbleSize val="0"/>
              <c:extLst>
                <c:ext xmlns:c15="http://schemas.microsoft.com/office/drawing/2012/chart" uri="{CE6537A1-D6FC-4f65-9D91-7224C49458BB}"/>
              </c:extLst>
            </c:dLbl>
            <c:dLbl>
              <c:idx val="2"/>
              <c:layout/>
              <c:numFmt formatCode="0%" sourceLinked="0"/>
              <c:spPr>
                <a:noFill/>
                <a:ln w="3175">
                  <a:noFill/>
                </a:ln>
                <a:effectLst/>
              </c:spPr>
              <c:txPr>
                <a:bodyPr rot="0" spcFirstLastPara="0" vertOverflow="ellipsis" vert="horz" wrap="square" lIns="38100" tIns="19050" rIns="38100" bIns="19050" anchor="ctr" anchorCtr="1"/>
                <a:lstStyle/>
                <a:p>
                  <a:pPr>
                    <a:defRPr lang="zh-CN" sz="530" b="0" i="1"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1"/>
              <c:showVal val="1"/>
              <c:showCatName val="0"/>
              <c:showSerName val="0"/>
              <c:showPercent val="1"/>
              <c:showBubbleSize val="0"/>
              <c:extLst>
                <c:ext xmlns:c15="http://schemas.microsoft.com/office/drawing/2012/chart" uri="{CE6537A1-D6FC-4f65-9D91-7224C49458BB}"/>
              </c:extLst>
            </c:dLbl>
            <c:numFmt formatCode="0%" sourceLinked="0"/>
            <c:spPr>
              <a:noFill/>
              <a:ln w="3175">
                <a:noFill/>
              </a:ln>
              <a:effectLst/>
            </c:spPr>
            <c:txPr>
              <a:bodyPr rot="0" spcFirstLastPara="0" vertOverflow="ellipsis" vert="horz" wrap="square" lIns="38100" tIns="19050" rIns="38100" bIns="19050" anchor="ctr" anchorCtr="1"/>
              <a:lstStyle/>
              <a:p>
                <a:pPr>
                  <a:defRPr lang="zh-CN" sz="695" b="0" i="1"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1"/>
            <c:showVal val="1"/>
            <c:showCatName val="0"/>
            <c:showSerName val="0"/>
            <c:showPercent val="1"/>
            <c:showBubbleSize val="0"/>
            <c:showLeaderLines val="0"/>
            <c:extLst>
              <c:ext xmlns:c15="http://schemas.microsoft.com/office/drawing/2012/chart" uri="{CE6537A1-D6FC-4f65-9D91-7224C49458BB}">
                <c15:layout/>
                <c15:showLeaderLines val="0"/>
                <c15:leaderLines/>
              </c:ext>
            </c:extLst>
          </c:dLbls>
          <c:cat>
            <c:strRef>
              <c:f>[公开决算比对表.xls]Sheet1!$B$49:$D$49</c:f>
              <c:strCache>
                <c:ptCount val="3"/>
                <c:pt idx="0">
                  <c:v>因公出国（境）费支出决算</c:v>
                </c:pt>
                <c:pt idx="1">
                  <c:v>公务用车购置及运行维护费支出决算</c:v>
                </c:pt>
                <c:pt idx="2">
                  <c:v>公务接待费支出决算</c:v>
                </c:pt>
              </c:strCache>
            </c:strRef>
          </c:cat>
          <c:val>
            <c:numRef>
              <c:f>[公开决算比对表.xls]Sheet1!$B$50:$D$50</c:f>
              <c:numCache>
                <c:formatCode>General</c:formatCode>
                <c:ptCount val="3"/>
                <c:pt idx="0">
                  <c:v>0</c:v>
                </c:pt>
                <c:pt idx="1">
                  <c:v>0</c:v>
                </c:pt>
                <c:pt idx="2">
                  <c:v>0</c:v>
                </c:pt>
              </c:numCache>
            </c:numRef>
          </c:val>
        </c:ser>
        <c:dLbls>
          <c:showLegendKey val="0"/>
          <c:showVal val="0"/>
          <c:showCatName val="0"/>
          <c:showSerName val="0"/>
          <c:showPercent val="0"/>
          <c:showBubbleSize val="0"/>
          <c:showLeaderLines val="0"/>
        </c:dLbls>
        <c:firstSliceAng val="0"/>
      </c:pieChart>
      <c:spPr>
        <a:noFill/>
        <a:ln w="3175">
          <a:noFill/>
        </a:ln>
      </c:spPr>
    </c:plotArea>
    <c:legend>
      <c:legendPos val="r"/>
      <c:legendEntry>
        <c:idx val="0"/>
        <c:txPr>
          <a:bodyPr rot="0" spcFirstLastPara="0" vertOverflow="ellipsis" vert="horz" wrap="square" anchor="ctr" anchorCtr="1"/>
          <a:lstStyle/>
          <a:p>
            <a:pPr>
              <a:defRPr lang="zh-CN" sz="800" b="0" i="0" u="none" strike="noStrike" kern="1200" cap="none" spc="0" normalizeH="0" baseline="0">
                <a:solidFill>
                  <a:srgbClr val="000000">
                    <a:alpha val="100000"/>
                  </a:srgbClr>
                </a:solidFill>
                <a:uFill>
                  <a:solidFill>
                    <a:srgbClr val="000000">
                      <a:alpha val="100000"/>
                    </a:srgbClr>
                  </a:solidFill>
                </a:uFill>
                <a:latin typeface="宋体" panose="02010600030101010101" charset="-122"/>
                <a:ea typeface="宋体" panose="02010600030101010101" charset="-122"/>
                <a:cs typeface="宋体" panose="02010600030101010101" charset="-122"/>
              </a:defRPr>
            </a:pPr>
          </a:p>
        </c:txPr>
      </c:legendEntry>
      <c:legendEntry>
        <c:idx val="1"/>
        <c:txPr>
          <a:bodyPr rot="0" spcFirstLastPara="0" vertOverflow="ellipsis" vert="horz" wrap="square" anchor="ctr" anchorCtr="1"/>
          <a:lstStyle/>
          <a:p>
            <a:pPr>
              <a:defRPr lang="zh-CN" sz="800" b="0" i="0" u="none" strike="noStrike" kern="1200" cap="none" spc="0" normalizeH="0" baseline="0">
                <a:solidFill>
                  <a:srgbClr val="000000">
                    <a:alpha val="100000"/>
                  </a:srgbClr>
                </a:solidFill>
                <a:uFill>
                  <a:solidFill>
                    <a:srgbClr val="000000">
                      <a:alpha val="100000"/>
                    </a:srgbClr>
                  </a:solidFill>
                </a:uFill>
                <a:latin typeface="宋体" panose="02010600030101010101" charset="-122"/>
                <a:ea typeface="宋体" panose="02010600030101010101" charset="-122"/>
                <a:cs typeface="宋体" panose="02010600030101010101" charset="-122"/>
              </a:defRPr>
            </a:pPr>
          </a:p>
        </c:txPr>
      </c:legendEntry>
      <c:legendEntry>
        <c:idx val="2"/>
        <c:txPr>
          <a:bodyPr rot="0" spcFirstLastPara="0" vertOverflow="ellipsis" vert="horz" wrap="square" anchor="ctr" anchorCtr="1"/>
          <a:lstStyle/>
          <a:p>
            <a:pPr>
              <a:defRPr lang="zh-CN" sz="800" b="0" i="0" u="none" strike="noStrike" kern="1200" cap="none" spc="0" normalizeH="0" baseline="0">
                <a:solidFill>
                  <a:srgbClr val="000000">
                    <a:alpha val="100000"/>
                  </a:srgbClr>
                </a:solidFill>
                <a:uFill>
                  <a:solidFill>
                    <a:srgbClr val="000000">
                      <a:alpha val="100000"/>
                    </a:srgbClr>
                  </a:solidFill>
                </a:uFill>
                <a:latin typeface="宋体" panose="02010600030101010101" charset="-122"/>
                <a:ea typeface="宋体" panose="02010600030101010101" charset="-122"/>
                <a:cs typeface="宋体" panose="02010600030101010101" charset="-122"/>
              </a:defRPr>
            </a:pPr>
          </a:p>
        </c:txPr>
      </c:legendEntry>
      <c:layout>
        <c:manualLayout>
          <c:xMode val="edge"/>
          <c:yMode val="edge"/>
          <c:x val="0.673"/>
          <c:y val="0.3825"/>
          <c:w val="0.31175"/>
          <c:h val="0.30875"/>
        </c:manualLayout>
      </c:layout>
      <c:overlay val="0"/>
      <c:spPr>
        <a:solidFill>
          <a:srgbClr val="FFFFFF">
            <a:alpha val="100000"/>
          </a:srgbClr>
        </a:solidFill>
        <a:ln w="3175">
          <a:solidFill>
            <a:srgbClr val="000000">
              <a:alpha val="100000"/>
            </a:srgbClr>
          </a:solidFill>
          <a:prstDash val="solid"/>
        </a:ln>
      </c:spPr>
      <c:txPr>
        <a:bodyPr rot="0" spcFirstLastPara="0" vertOverflow="ellipsis" vert="horz" wrap="square" anchor="ctr" anchorCtr="1"/>
        <a:lstStyle/>
        <a:p>
          <a:pPr>
            <a:defRPr lang="zh-CN" sz="800" b="0" i="0" u="none" strike="noStrike" kern="1200" cap="none" spc="0" normalizeH="0" baseline="0">
              <a:solidFill>
                <a:srgbClr val="000000">
                  <a:alpha val="100000"/>
                </a:srgbClr>
              </a:solidFill>
              <a:uFill>
                <a:solidFill>
                  <a:srgbClr val="000000">
                    <a:alpha val="100000"/>
                  </a:srgbClr>
                </a:solidFill>
              </a:uFill>
              <a:latin typeface="宋体" panose="02010600030101010101" charset="-122"/>
              <a:ea typeface="宋体" panose="02010600030101010101" charset="-122"/>
              <a:cs typeface="宋体" panose="02010600030101010101" charset="-122"/>
            </a:defRPr>
          </a:pPr>
        </a:p>
      </c:txPr>
    </c:legend>
    <c:plotVisOnly val="1"/>
    <c:dispBlanksAs val="gap"/>
    <c:showDLblsOverMax val="0"/>
  </c:chart>
  <c:spPr>
    <a:solidFill>
      <a:srgbClr val="FFFFFF">
        <a:alpha val="100000"/>
      </a:srgbClr>
    </a:solidFill>
    <a:ln w="3175" cap="flat" cmpd="sng" algn="ctr">
      <a:solidFill>
        <a:srgbClr val="000000">
          <a:alpha val="100000"/>
        </a:srgbClr>
      </a:solidFill>
      <a:prstDash val="solid"/>
      <a:round/>
    </a:ln>
  </c:spPr>
  <c:txPr>
    <a:bodyPr rot="0" wrap="square" anchor="ctr" anchorCtr="1"/>
    <a:lstStyle/>
    <a:p>
      <a:pPr>
        <a:defRPr lang="zh-CN" sz="695" b="0" i="1"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四川省财政厅</Company>
  <Pages>37</Pages>
  <Words>8624</Words>
  <Characters>9241</Characters>
  <Lines>575</Lines>
  <Paragraphs>462</Paragraphs>
  <TotalTime>239</TotalTime>
  <ScaleCrop>false</ScaleCrop>
  <LinksUpToDate>false</LinksUpToDate>
  <CharactersWithSpaces>9319</CharactersWithSpaces>
  <Application>WPS Office_11.8.2.12219_F1E327BC-269C-435d-A152-05C5408002CA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2020-08-09T09:49:00Z</dcterms:created>
  <dc:creator>曹颖</dc:creator>
  <cp:lastModifiedBy>user</cp:lastModifiedBy>
  <cp:lastPrinted>2026-08-04T01:27:00Z</cp:lastPrinted>
  <dcterms:modified xsi:type="dcterms:W3CDTF">2026-10-09T17:10:50Z</dcterms:modified>
  <dc:title>四川省***</dc:title>
  <cp:revision>86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2052-11.8.2.12219</vt:lpwstr>
  </property>
  <property fmtid="{D5CDD505-2E9C-101B-9397-08002B2CF9AE}" pid="3" name="ICV">
    <vt:lpwstr>400D301575C74348A5277D00A7902E06</vt:lpwstr>
  </property>
  <property fmtid="{D5CDD505-2E9C-101B-9397-08002B2CF9AE}" pid="4" name="KSOTemplateDocerSaveRecord">
    <vt:lpwstr>eyJoZGlkIjoiYmY1ZDM2ZTdiY2ViZGIyZTYwYTI3ZWRlMDAzNTliNTEiLCJ1c2VySWQiOiIxNjUxNjQ0NDA5In0=</vt:lpwstr>
  </property>
</Properties>
</file>