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305BE">
      <w:pPr>
        <w:pStyle w:val="5"/>
        <w:spacing w:before="93"/>
        <w:jc w:val="center"/>
        <w:rPr>
          <w:rFonts w:hint="eastAsia" w:ascii="Times New Roman" w:eastAsia="方正小标宋简体"/>
          <w:kern w:val="2"/>
          <w:sz w:val="44"/>
          <w:szCs w:val="44"/>
        </w:rPr>
      </w:pPr>
      <w:bookmarkStart w:id="0" w:name="_Toc15306267"/>
      <w:bookmarkStart w:id="1" w:name="_Toc15377194"/>
      <w:bookmarkStart w:id="2" w:name="_Toc15377426"/>
      <w:bookmarkStart w:id="3" w:name="_Toc15396476"/>
      <w:bookmarkStart w:id="4" w:name="_Toc15396598"/>
      <w:bookmarkStart w:id="5" w:name="_Toc15378442"/>
    </w:p>
    <w:p w14:paraId="08376972">
      <w:pPr>
        <w:pStyle w:val="5"/>
        <w:spacing w:before="93"/>
        <w:jc w:val="center"/>
        <w:rPr>
          <w:rFonts w:hint="eastAsia" w:ascii="Times New Roman" w:eastAsia="方正小标宋简体"/>
          <w:kern w:val="2"/>
          <w:sz w:val="44"/>
          <w:szCs w:val="44"/>
        </w:rPr>
      </w:pPr>
    </w:p>
    <w:p w14:paraId="04FEFBAA">
      <w:pPr>
        <w:pStyle w:val="5"/>
        <w:spacing w:before="93"/>
        <w:jc w:val="center"/>
        <w:rPr>
          <w:rFonts w:hint="eastAsia" w:ascii="Times New Roman" w:eastAsia="方正小标宋简体"/>
          <w:kern w:val="2"/>
          <w:sz w:val="44"/>
          <w:szCs w:val="44"/>
        </w:rPr>
      </w:pPr>
    </w:p>
    <w:p w14:paraId="349465E1">
      <w:pPr>
        <w:pStyle w:val="5"/>
        <w:spacing w:before="93"/>
        <w:jc w:val="center"/>
        <w:rPr>
          <w:rFonts w:hint="eastAsia" w:ascii="Times New Roman" w:eastAsia="方正小标宋简体"/>
          <w:kern w:val="2"/>
          <w:sz w:val="44"/>
          <w:szCs w:val="44"/>
        </w:rPr>
      </w:pPr>
    </w:p>
    <w:p w14:paraId="0F686D45">
      <w:pPr>
        <w:pStyle w:val="5"/>
        <w:spacing w:before="93"/>
        <w:jc w:val="center"/>
        <w:rPr>
          <w:rFonts w:hint="eastAsia" w:ascii="Times New Roman" w:eastAsia="方正小标宋简体"/>
          <w:kern w:val="2"/>
          <w:sz w:val="44"/>
          <w:szCs w:val="44"/>
        </w:rPr>
      </w:pPr>
    </w:p>
    <w:p w14:paraId="4ECCC36F">
      <w:pPr>
        <w:pStyle w:val="5"/>
        <w:spacing w:before="93"/>
        <w:jc w:val="center"/>
        <w:rPr>
          <w:rFonts w:hint="eastAsia" w:ascii="Times New Roman" w:eastAsia="方正小标宋简体"/>
          <w:kern w:val="2"/>
          <w:sz w:val="44"/>
          <w:szCs w:val="44"/>
        </w:rPr>
      </w:pPr>
    </w:p>
    <w:p w14:paraId="466F6BF5">
      <w:pPr>
        <w:adjustRightInd w:val="0"/>
        <w:snapToGrid w:val="0"/>
        <w:spacing w:line="360" w:lineRule="auto"/>
        <w:jc w:val="center"/>
        <w:outlineLvl w:val="9"/>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2025年度</w:t>
      </w:r>
    </w:p>
    <w:p w14:paraId="39CA6F04">
      <w:pPr>
        <w:adjustRightInd w:val="0"/>
        <w:snapToGrid w:val="0"/>
        <w:spacing w:line="360" w:lineRule="auto"/>
        <w:jc w:val="center"/>
        <w:outlineLvl w:val="9"/>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攀枝花市仁和区</w:t>
      </w:r>
      <w:bookmarkEnd w:id="0"/>
      <w:bookmarkStart w:id="6" w:name="_Toc15306268"/>
      <w:r>
        <w:rPr>
          <w:rFonts w:hint="eastAsia" w:ascii="Times New Roman" w:hAnsi="Times New Roman" w:eastAsia="方正小标宋_GBK" w:cs="Times New Roman"/>
          <w:b/>
          <w:kern w:val="2"/>
          <w:sz w:val="44"/>
          <w:szCs w:val="44"/>
          <w:lang w:val="en-US" w:eastAsia="zh-CN" w:bidi="ar-SA"/>
        </w:rPr>
        <w:t>经济合作局</w:t>
      </w:r>
    </w:p>
    <w:p w14:paraId="4998D24F">
      <w:pPr>
        <w:pStyle w:val="5"/>
        <w:spacing w:before="93"/>
        <w:jc w:val="center"/>
        <w:rPr>
          <w:rFonts w:hint="eastAsia" w:ascii="Times New Roman" w:hAnsi="Times New Roman" w:eastAsia="方正小标宋_GBK" w:cs="Times New Roman"/>
          <w:b/>
          <w:kern w:val="2"/>
          <w:sz w:val="44"/>
          <w:szCs w:val="44"/>
          <w:lang w:val="en-US" w:eastAsia="zh-CN" w:bidi="ar-SA"/>
        </w:rPr>
      </w:pPr>
      <w:r>
        <w:rPr>
          <w:rFonts w:hint="eastAsia" w:ascii="Times New Roman" w:hAnsi="Times New Roman" w:eastAsia="方正小标宋_GBK" w:cs="Times New Roman"/>
          <w:b/>
          <w:kern w:val="2"/>
          <w:sz w:val="44"/>
          <w:szCs w:val="44"/>
          <w:lang w:val="en-US" w:eastAsia="zh-CN" w:bidi="ar-SA"/>
        </w:rPr>
        <w:t>部门决算</w:t>
      </w:r>
      <w:bookmarkEnd w:id="1"/>
      <w:bookmarkEnd w:id="2"/>
      <w:bookmarkEnd w:id="3"/>
      <w:bookmarkEnd w:id="4"/>
      <w:bookmarkEnd w:id="5"/>
      <w:bookmarkEnd w:id="6"/>
    </w:p>
    <w:p w14:paraId="2B68017E">
      <w:pPr>
        <w:widowControl/>
        <w:jc w:val="center"/>
        <w:rPr>
          <w:rFonts w:eastAsia="黑体"/>
          <w:sz w:val="48"/>
          <w:szCs w:val="48"/>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sdt>
      <w:sdtPr>
        <w:rPr>
          <w:rFonts w:hint="eastAsia" w:ascii="Times New Roman" w:hAnsi="Times New Roman" w:eastAsia="黑体" w:cs="Times New Roman"/>
          <w:sz w:val="48"/>
          <w:szCs w:val="48"/>
          <w:lang w:val="en-US" w:eastAsia="zh-CN"/>
        </w:rPr>
        <w:id w:val="147483385"/>
        <w15:color w:val="DBDBDB"/>
        <w:docPartObj>
          <w:docPartGallery w:val="Table of Contents"/>
          <w:docPartUnique/>
        </w:docPartObj>
      </w:sdtPr>
      <w:sdtEndPr>
        <w:rPr>
          <w:rFonts w:hint="eastAsia" w:ascii="Times New Roman" w:hAnsi="Times New Roman" w:eastAsia="黑体" w:cs="Times New Roman"/>
          <w:sz w:val="48"/>
          <w:szCs w:val="48"/>
          <w:lang w:val="en-US" w:eastAsia="zh-CN"/>
        </w:rPr>
      </w:sdtEndPr>
      <w:sdtContent>
        <w:p w14:paraId="4E06DD44">
          <w:pPr>
            <w:widowControl/>
            <w:jc w:val="center"/>
            <w:rPr>
              <w:rFonts w:hint="eastAsia" w:ascii="Times New Roman" w:hAnsi="Times New Roman" w:eastAsia="黑体" w:cs="Times New Roman"/>
              <w:sz w:val="48"/>
              <w:szCs w:val="48"/>
            </w:rPr>
          </w:pPr>
          <w:r>
            <w:rPr>
              <w:rFonts w:hint="eastAsia" w:ascii="Times New Roman" w:hAnsi="Times New Roman" w:eastAsia="黑体" w:cs="Times New Roman"/>
              <w:sz w:val="48"/>
              <w:szCs w:val="48"/>
            </w:rPr>
            <w:t>目录</w:t>
          </w:r>
        </w:p>
        <w:p w14:paraId="047400F5">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color w:val="auto"/>
              <w:sz w:val="32"/>
              <w:szCs w:val="32"/>
              <w:lang w:val="en-US" w:eastAsia="zh-CN"/>
            </w:rPr>
            <w:t>22</w:t>
          </w:r>
          <w:r>
            <w:rPr>
              <w:rFonts w:hint="eastAsia" w:ascii="Times New Roman" w:hAnsi="Times New Roman" w:eastAsia="仿宋_GB2312" w:cs="仿宋_GB2312"/>
              <w:sz w:val="32"/>
              <w:szCs w:val="32"/>
            </w:rPr>
            <w:t>日</w:t>
          </w:r>
        </w:p>
        <w:p w14:paraId="7779EDFC">
          <w:pPr>
            <w:spacing w:before="0" w:beforeLines="0" w:after="0" w:afterLines="0" w:line="240" w:lineRule="auto"/>
            <w:ind w:left="0" w:leftChars="0" w:right="0" w:rightChars="0" w:firstLine="0" w:firstLineChars="0"/>
            <w:jc w:val="center"/>
            <w:rPr>
              <w:rFonts w:ascii="宋体" w:hAnsi="宋体" w:eastAsia="宋体"/>
              <w:sz w:val="21"/>
            </w:rPr>
          </w:pPr>
        </w:p>
        <w:p w14:paraId="325F50C0">
          <w:pPr>
            <w:pStyle w:val="12"/>
            <w:tabs>
              <w:tab w:val="right" w:leader="dot" w:pos="8306"/>
              <w:tab w:val="clear" w:pos="8296"/>
            </w:tabs>
          </w:pPr>
          <w:r>
            <w:fldChar w:fldCharType="begin"/>
          </w:r>
          <w:r>
            <w:instrText xml:space="preserve">TOC \o "1-2" \h \u </w:instrText>
          </w:r>
          <w: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_Toc6331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lang w:val="en-US" w:eastAsia="zh-CN"/>
            </w:rPr>
            <w:t>第一部分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_Toc6331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1F7CB6CD">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_Toc5421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一、部门职责</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_Toc5421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3E07813">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_Toc2579 </w:instrText>
          </w:r>
          <w:r>
            <w:rPr>
              <w:rFonts w:hint="eastAsia" w:ascii="Times New Roman" w:hAnsi="Times New Roman" w:eastAsia="仿宋_GB2312" w:cs="仿宋_GB2312"/>
              <w:sz w:val="32"/>
              <w:szCs w:val="32"/>
            </w:rPr>
            <w:fldChar w:fldCharType="separate"/>
          </w:r>
          <w:r>
            <w:rPr>
              <w:rFonts w:hint="default" w:ascii="Times New Roman" w:hAnsi="Times New Roman" w:eastAsia="仿宋_GB2312" w:cs="仿宋_GB2312"/>
              <w:sz w:val="32"/>
              <w:szCs w:val="32"/>
              <w:lang w:val="en-US" w:eastAsia="zh-CN"/>
            </w:rPr>
            <w:t>二、机构设置</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_Toc2579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- 2 -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85A1902">
          <w:pPr>
            <w:pStyle w:val="12"/>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_Toc29728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第二部分</w:t>
          </w:r>
          <w:r>
            <w:rPr>
              <w:rFonts w:hint="eastAsia" w:ascii="Times New Roman" w:hAnsi="Times New Roman" w:eastAsia="黑体" w:cs="黑体"/>
              <w:sz w:val="32"/>
              <w:szCs w:val="32"/>
              <w:lang w:val="en-US" w:eastAsia="zh-CN"/>
            </w:rPr>
            <w:t xml:space="preserve"> </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lang w:val="en-US" w:eastAsia="zh-CN"/>
            </w:rPr>
            <w:t>2025年度</w:t>
          </w:r>
          <w:r>
            <w:rPr>
              <w:rFonts w:hint="eastAsia" w:ascii="Times New Roman" w:hAnsi="Times New Roman" w:eastAsia="黑体" w:cs="黑体"/>
              <w:sz w:val="32"/>
              <w:szCs w:val="32"/>
            </w:rPr>
            <w:t>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_Toc29728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- 3 -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2167CF77">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_Toc1389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一、收入支出决算总体情况说明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_Toc1389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- 3 -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B6FF3EE">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_Toc25939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二、收入决算情况说明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_Toc25939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- 3 -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0D3D22C6">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_Toc16389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三、支出决算情况说明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_Toc16389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- 4 -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DFFE97B">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_Toc2094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四、财政拨款收入支出决算总体情况说明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_Toc2094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- 4 -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12F3F326">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_Toc18870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五、一般公共预算财政拨款支出决算情况说明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_Toc18870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- 5 -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7D44CC65">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_Toc16898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六、一般公共预算财政拨款基本支出决算情况说明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_Toc16898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- 9 -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44A536C9">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_Toc28964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七、财政拨款“三公”经费支出决算情况说明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_Toc28964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- 9 -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233CDA44">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_Toc28577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八、政府性基金预算支出决算情况说明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_Toc28577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- 11 -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5266A12E">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_Toc5296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九、国有资本经营预算支出决算情况说明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_Toc5296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- 11 -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6CAB2328">
          <w:pPr>
            <w:pStyle w:val="14"/>
            <w:adjustRightInd w:val="0"/>
            <w:snapToGrid w:val="0"/>
            <w:spacing w:line="560" w:lineRule="exact"/>
            <w:ind w:left="0" w:leftChars="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HYPERLINK \l _Toc14175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lang w:val="en-US" w:eastAsia="zh-CN"/>
            </w:rPr>
            <w:t>十、其他重要事项的情况说明</w:t>
          </w:r>
          <w:r>
            <w:rPr>
              <w:rFonts w:hint="eastAsia" w:ascii="Times New Roman" w:hAnsi="Times New Roman" w:eastAsia="仿宋_GB2312" w:cs="仿宋_GB2312"/>
              <w:sz w:val="32"/>
              <w:szCs w:val="32"/>
            </w:rPr>
            <w:tab/>
          </w:r>
          <w:r>
            <w:rPr>
              <w:rFonts w:hint="eastAsia" w:ascii="Times New Roman" w:hAnsi="Times New Roman" w:eastAsia="仿宋_GB2312" w:cs="仿宋_GB2312"/>
              <w:sz w:val="32"/>
              <w:szCs w:val="32"/>
            </w:rPr>
            <w:fldChar w:fldCharType="begin"/>
          </w:r>
          <w:r>
            <w:rPr>
              <w:rFonts w:hint="eastAsia" w:ascii="Times New Roman" w:hAnsi="Times New Roman" w:eastAsia="仿宋_GB2312" w:cs="仿宋_GB2312"/>
              <w:sz w:val="32"/>
              <w:szCs w:val="32"/>
            </w:rPr>
            <w:instrText xml:space="preserve"> PAGEREF _Toc14175 \h </w:instrText>
          </w:r>
          <w:r>
            <w:rPr>
              <w:rFonts w:hint="eastAsia" w:ascii="Times New Roman" w:hAnsi="Times New Roman" w:eastAsia="仿宋_GB2312" w:cs="仿宋_GB2312"/>
              <w:sz w:val="32"/>
              <w:szCs w:val="32"/>
            </w:rPr>
            <w:fldChar w:fldCharType="separate"/>
          </w:r>
          <w:r>
            <w:rPr>
              <w:rFonts w:hint="eastAsia" w:ascii="Times New Roman" w:hAnsi="Times New Roman" w:eastAsia="仿宋_GB2312" w:cs="仿宋_GB2312"/>
              <w:sz w:val="32"/>
              <w:szCs w:val="32"/>
            </w:rPr>
            <w:t>- 11 -</w:t>
          </w:r>
          <w:r>
            <w:rPr>
              <w:rFonts w:hint="eastAsia" w:ascii="Times New Roman" w:hAnsi="Times New Roman" w:eastAsia="仿宋_GB2312" w:cs="仿宋_GB2312"/>
              <w:sz w:val="32"/>
              <w:szCs w:val="32"/>
            </w:rPr>
            <w:fldChar w:fldCharType="end"/>
          </w:r>
          <w:r>
            <w:rPr>
              <w:rFonts w:hint="eastAsia" w:ascii="Times New Roman" w:hAnsi="Times New Roman" w:eastAsia="仿宋_GB2312" w:cs="仿宋_GB2312"/>
              <w:sz w:val="32"/>
              <w:szCs w:val="32"/>
            </w:rPr>
            <w:fldChar w:fldCharType="end"/>
          </w:r>
        </w:p>
        <w:p w14:paraId="3523FCE4">
          <w:pPr>
            <w:pStyle w:val="12"/>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_Toc32618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_Toc32618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- 16 -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588A46B0">
          <w:pPr>
            <w:pStyle w:val="12"/>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_Toc9717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lang w:val="en-US" w:eastAsia="zh-CN"/>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_Toc9717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- 20 -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55A33B98">
          <w:pPr>
            <w:pStyle w:val="12"/>
            <w:adjustRightInd w:val="0"/>
            <w:snapToGrid w:val="0"/>
            <w:spacing w:before="0" w:line="560" w:lineRule="exact"/>
            <w:jc w:val="left"/>
            <w:rPr>
              <w:rFonts w:hint="eastAsia" w:ascii="Times New Roman" w:hAnsi="Times New Roman" w:eastAsia="黑体" w:cs="黑体"/>
              <w:sz w:val="32"/>
              <w:szCs w:val="32"/>
            </w:rPr>
          </w:pP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_Toc21940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w:t>
          </w:r>
          <w:r>
            <w:rPr>
              <w:rFonts w:hint="eastAsia" w:ascii="Times New Roman" w:hAnsi="Times New Roman"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r>
            <w:rPr>
              <w:rFonts w:hint="eastAsia" w:ascii="Times New Roman" w:hAnsi="Times New Roman" w:eastAsia="黑体" w:cs="黑体"/>
              <w:sz w:val="32"/>
              <w:szCs w:val="32"/>
            </w:rPr>
            <w:fldChar w:fldCharType="end"/>
          </w:r>
        </w:p>
        <w:p w14:paraId="4DC981E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03089DE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763428B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2094F13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741EE32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31A9F1A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2FB3559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1B9BF7A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0E9F337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w:t>
          </w:r>
          <w:r>
            <w:rPr>
              <w:rFonts w:hint="eastAsia" w:eastAsia="黑体" w:cs="黑体"/>
              <w:sz w:val="32"/>
              <w:szCs w:val="32"/>
              <w:lang w:val="en-US" w:eastAsia="zh-CN"/>
            </w:rPr>
            <w:t xml:space="preserve"> 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3606E69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22A82B6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28"/>
              <w:szCs w:val="28"/>
            </w:rPr>
            <w:fldChar w:fldCharType="begin"/>
          </w:r>
          <w:r>
            <w:rPr>
              <w:rFonts w:hint="eastAsia" w:ascii="Times New Roman" w:hAnsi="Times New Roman" w:eastAsia="黑体" w:cs="黑体"/>
              <w:sz w:val="28"/>
              <w:szCs w:val="28"/>
            </w:rPr>
            <w:instrText xml:space="preserve"> PAGEREF _Toc21940 \h </w:instrText>
          </w:r>
          <w:r>
            <w:rPr>
              <w:rFonts w:hint="eastAsia" w:ascii="Times New Roman" w:hAnsi="Times New Roman" w:eastAsia="黑体" w:cs="黑体"/>
              <w:sz w:val="28"/>
              <w:szCs w:val="28"/>
            </w:rPr>
            <w:fldChar w:fldCharType="separate"/>
          </w:r>
          <w:r>
            <w:rPr>
              <w:rFonts w:hint="eastAsia" w:ascii="Times New Roman" w:hAnsi="Times New Roman" w:eastAsia="黑体" w:cs="黑体"/>
              <w:sz w:val="28"/>
              <w:szCs w:val="28"/>
            </w:rPr>
            <w:t xml:space="preserve">- </w:t>
          </w:r>
          <w:r>
            <w:rPr>
              <w:rFonts w:hint="eastAsia" w:eastAsia="黑体" w:cs="黑体"/>
              <w:sz w:val="28"/>
              <w:szCs w:val="28"/>
              <w:lang w:val="en-US" w:eastAsia="zh-CN"/>
            </w:rPr>
            <w:t>30</w:t>
          </w:r>
          <w:r>
            <w:rPr>
              <w:rFonts w:hint="eastAsia" w:ascii="Times New Roman" w:hAnsi="Times New Roman" w:eastAsia="黑体" w:cs="黑体"/>
              <w:sz w:val="28"/>
              <w:szCs w:val="28"/>
            </w:rPr>
            <w:t xml:space="preserve"> -</w:t>
          </w:r>
          <w:r>
            <w:rPr>
              <w:rFonts w:hint="eastAsia" w:ascii="Times New Roman" w:hAnsi="Times New Roman" w:eastAsia="黑体" w:cs="黑体"/>
              <w:sz w:val="28"/>
              <w:szCs w:val="28"/>
            </w:rPr>
            <w:fldChar w:fldCharType="end"/>
          </w:r>
        </w:p>
        <w:p w14:paraId="3E526D4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48A8BC7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_Toc21940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 xml:space="preserve">- </w:t>
          </w:r>
          <w:r>
            <w:rPr>
              <w:rFonts w:hint="eastAsia" w:eastAsia="黑体" w:cs="黑体"/>
              <w:sz w:val="32"/>
              <w:szCs w:val="32"/>
              <w:lang w:val="en-US" w:eastAsia="zh-CN"/>
            </w:rPr>
            <w:t>30</w:t>
          </w:r>
          <w:r>
            <w:rPr>
              <w:rFonts w:hint="eastAsia" w:ascii="Times New Roman" w:hAnsi="Times New Roman" w:eastAsia="黑体" w:cs="黑体"/>
              <w:sz w:val="32"/>
              <w:szCs w:val="32"/>
            </w:rPr>
            <w:t xml:space="preserve"> -</w:t>
          </w:r>
          <w:r>
            <w:rPr>
              <w:rFonts w:hint="eastAsia" w:ascii="Times New Roman" w:hAnsi="Times New Roman" w:eastAsia="黑体" w:cs="黑体"/>
              <w:sz w:val="32"/>
              <w:szCs w:val="32"/>
            </w:rPr>
            <w:fldChar w:fldCharType="end"/>
          </w:r>
        </w:p>
        <w:p w14:paraId="4A76AD75">
          <w:pPr>
            <w:rPr>
              <w:rFonts w:hint="eastAsia"/>
            </w:rPr>
          </w:pPr>
        </w:p>
        <w:p w14:paraId="27C89E35">
          <w:r>
            <w:fldChar w:fldCharType="end"/>
          </w:r>
        </w:p>
      </w:sdtContent>
    </w:sdt>
    <w:p w14:paraId="103DE46D"/>
    <w:p w14:paraId="6844C6A2">
      <w:pPr>
        <w:pStyle w:val="2"/>
        <w:jc w:val="both"/>
        <w:outlineLvl w:val="0"/>
        <w:rPr>
          <w:rFonts w:hint="eastAsia" w:ascii="Times New Roman" w:hAnsi="Times New Roman" w:eastAsia="方正小标宋_GBK" w:cs="Times New Roman"/>
          <w:b/>
          <w:bCs w:val="0"/>
          <w:kern w:val="2"/>
          <w:sz w:val="44"/>
          <w:szCs w:val="44"/>
          <w:lang w:val="en-US" w:eastAsia="zh-CN" w:bidi="ar-SA"/>
        </w:rPr>
      </w:pPr>
      <w:bookmarkStart w:id="7" w:name="_Toc6331"/>
      <w:bookmarkStart w:id="8" w:name="_Toc7584"/>
      <w:bookmarkStart w:id="9" w:name="_Toc15377196"/>
      <w:bookmarkStart w:id="10" w:name="_Toc15396599"/>
    </w:p>
    <w:p w14:paraId="5EA8FD9E">
      <w:pPr>
        <w:rPr>
          <w:rFonts w:hint="eastAsia" w:ascii="Times New Roman" w:hAnsi="Times New Roman" w:eastAsia="方正小标宋_GBK" w:cs="Times New Roman"/>
          <w:b/>
          <w:bCs w:val="0"/>
          <w:kern w:val="2"/>
          <w:sz w:val="44"/>
          <w:szCs w:val="44"/>
          <w:lang w:val="en-US" w:eastAsia="zh-CN" w:bidi="ar-SA"/>
        </w:rPr>
      </w:pPr>
    </w:p>
    <w:p w14:paraId="0895AAD7">
      <w:pPr>
        <w:rPr>
          <w:rFonts w:hint="eastAsia" w:ascii="Times New Roman" w:hAnsi="Times New Roman" w:eastAsia="方正小标宋_GBK" w:cs="Times New Roman"/>
          <w:b/>
          <w:bCs w:val="0"/>
          <w:kern w:val="2"/>
          <w:sz w:val="44"/>
          <w:szCs w:val="44"/>
          <w:lang w:val="en-US" w:eastAsia="zh-CN" w:bidi="ar-SA"/>
        </w:rPr>
      </w:pPr>
    </w:p>
    <w:p w14:paraId="69B8C24D">
      <w:pPr>
        <w:rPr>
          <w:rFonts w:hint="eastAsia" w:ascii="Times New Roman" w:hAnsi="Times New Roman" w:eastAsia="方正小标宋_GBK" w:cs="Times New Roman"/>
          <w:b/>
          <w:bCs w:val="0"/>
          <w:kern w:val="2"/>
          <w:sz w:val="44"/>
          <w:szCs w:val="44"/>
          <w:lang w:val="en-US" w:eastAsia="zh-CN" w:bidi="ar-SA"/>
        </w:rPr>
      </w:pPr>
    </w:p>
    <w:p w14:paraId="7A085B08">
      <w:pPr>
        <w:rPr>
          <w:rFonts w:hint="eastAsia" w:ascii="Times New Roman" w:hAnsi="Times New Roman" w:eastAsia="方正小标宋_GBK" w:cs="Times New Roman"/>
          <w:b/>
          <w:bCs w:val="0"/>
          <w:kern w:val="2"/>
          <w:sz w:val="44"/>
          <w:szCs w:val="44"/>
          <w:lang w:val="en-US" w:eastAsia="zh-CN" w:bidi="ar-SA"/>
        </w:rPr>
      </w:pPr>
    </w:p>
    <w:p w14:paraId="796D02E3">
      <w:pPr>
        <w:rPr>
          <w:rFonts w:hint="eastAsia" w:ascii="Times New Roman" w:hAnsi="Times New Roman" w:eastAsia="方正小标宋_GBK" w:cs="Times New Roman"/>
          <w:b/>
          <w:bCs w:val="0"/>
          <w:kern w:val="2"/>
          <w:sz w:val="44"/>
          <w:szCs w:val="44"/>
          <w:lang w:val="en-US" w:eastAsia="zh-CN" w:bidi="ar-SA"/>
        </w:rPr>
      </w:pPr>
    </w:p>
    <w:p w14:paraId="2D7FC186">
      <w:pPr>
        <w:rPr>
          <w:rFonts w:hint="eastAsia" w:ascii="Times New Roman" w:hAnsi="Times New Roman" w:eastAsia="方正小标宋_GBK" w:cs="Times New Roman"/>
          <w:b/>
          <w:bCs w:val="0"/>
          <w:kern w:val="2"/>
          <w:sz w:val="44"/>
          <w:szCs w:val="44"/>
          <w:lang w:val="en-US" w:eastAsia="zh-CN" w:bidi="ar-SA"/>
        </w:rPr>
      </w:pPr>
    </w:p>
    <w:p w14:paraId="6DB7D23A">
      <w:pPr>
        <w:rPr>
          <w:rFonts w:hint="eastAsia" w:ascii="Times New Roman" w:hAnsi="Times New Roman" w:eastAsia="方正小标宋_GBK" w:cs="Times New Roman"/>
          <w:b/>
          <w:bCs w:val="0"/>
          <w:kern w:val="2"/>
          <w:sz w:val="44"/>
          <w:szCs w:val="44"/>
          <w:lang w:val="en-US" w:eastAsia="zh-CN" w:bidi="ar-SA"/>
        </w:rPr>
      </w:pPr>
    </w:p>
    <w:p w14:paraId="68EE29B2">
      <w:pPr>
        <w:rPr>
          <w:rFonts w:hint="eastAsia" w:ascii="Times New Roman" w:hAnsi="Times New Roman" w:eastAsia="方正小标宋_GBK" w:cs="Times New Roman"/>
          <w:b/>
          <w:bCs w:val="0"/>
          <w:kern w:val="2"/>
          <w:sz w:val="44"/>
          <w:szCs w:val="44"/>
          <w:lang w:val="en-US" w:eastAsia="zh-CN" w:bidi="ar-SA"/>
        </w:rPr>
      </w:pPr>
    </w:p>
    <w:p w14:paraId="46230BCF">
      <w:pPr>
        <w:pStyle w:val="2"/>
        <w:jc w:val="center"/>
        <w:outlineLvl w:val="0"/>
        <w:rPr>
          <w:rFonts w:hint="eastAsia" w:ascii="Times New Roman" w:hAnsi="Times New Roman" w:eastAsia="方正小标宋_GBK" w:cs="Times New Roman"/>
          <w:b/>
          <w:bCs w:val="0"/>
          <w:kern w:val="2"/>
          <w:sz w:val="44"/>
          <w:szCs w:val="44"/>
          <w:lang w:val="en-US" w:eastAsia="zh-CN" w:bidi="ar-SA"/>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26F8D14D">
      <w:pPr>
        <w:pStyle w:val="2"/>
        <w:jc w:val="center"/>
        <w:outlineLvl w:val="0"/>
        <w:rPr>
          <w:rFonts w:hint="eastAsia" w:ascii="Times New Roman" w:hAnsi="Times New Roman" w:eastAsia="方正小标宋_GBK" w:cs="Times New Roman"/>
          <w:b/>
          <w:bCs w:val="0"/>
          <w:kern w:val="2"/>
          <w:sz w:val="44"/>
          <w:szCs w:val="44"/>
          <w:lang w:val="en-US" w:eastAsia="zh-CN" w:bidi="ar-SA"/>
        </w:rPr>
      </w:pPr>
      <w:r>
        <w:rPr>
          <w:rFonts w:hint="eastAsia" w:ascii="Times New Roman" w:hAnsi="Times New Roman" w:eastAsia="方正小标宋_GBK" w:cs="Times New Roman"/>
          <w:b/>
          <w:bCs w:val="0"/>
          <w:kern w:val="2"/>
          <w:sz w:val="44"/>
          <w:szCs w:val="44"/>
          <w:lang w:val="en-US" w:eastAsia="zh-CN" w:bidi="ar-SA"/>
        </w:rPr>
        <w:t>第一部分  部门概况</w:t>
      </w:r>
      <w:bookmarkEnd w:id="7"/>
      <w:bookmarkEnd w:id="8"/>
      <w:bookmarkEnd w:id="9"/>
      <w:bookmarkEnd w:id="10"/>
    </w:p>
    <w:p w14:paraId="41068FB6">
      <w:pPr>
        <w:widowControl/>
        <w:jc w:val="both"/>
        <w:rPr>
          <w:rFonts w:eastAsia="黑体"/>
          <w:sz w:val="32"/>
          <w:szCs w:val="32"/>
        </w:rPr>
      </w:pPr>
    </w:p>
    <w:p w14:paraId="47A4FE32">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11" w:name="_Toc13793"/>
      <w:bookmarkStart w:id="12" w:name="_Toc5421"/>
      <w:bookmarkStart w:id="13" w:name="_Toc13937"/>
      <w:r>
        <w:rPr>
          <w:rFonts w:hint="eastAsia" w:ascii="Times New Roman" w:hAnsi="Times New Roman" w:eastAsia="方正黑体_GBK" w:cs="Times New Roman"/>
          <w:b w:val="0"/>
          <w:bCs w:val="0"/>
          <w:kern w:val="2"/>
          <w:sz w:val="32"/>
          <w:szCs w:val="32"/>
          <w:lang w:val="en-US" w:eastAsia="zh-CN" w:bidi="ar-SA"/>
        </w:rPr>
        <w:t>一、部门职责</w:t>
      </w:r>
      <w:bookmarkEnd w:id="11"/>
      <w:bookmarkEnd w:id="12"/>
      <w:bookmarkEnd w:id="13"/>
    </w:p>
    <w:p w14:paraId="599DD557">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仁和区经济合作局贯彻落实党中央关于经济合作工作的方针政策和省委、市委、区委的决策部署，在履行职责过程中坚持和加强党对经济合作工作的集中统一领导。主要职责是：</w:t>
      </w:r>
    </w:p>
    <w:p w14:paraId="60B6718B">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1.负责推进投资促进、博览等有关领域的经济合作（以下简称经济合作）。参与起草有关经济合作的规范性文件。参与拟订全区经济合作发展规划、年度计划并组织实施。</w:t>
      </w:r>
    </w:p>
    <w:p w14:paraId="4D1F8DC9">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统筹、协调、指导全区投资促进工作。起草有关投资促进的规范性文件。拟订全区投资促进政策、投资促进发展规划和年度计划并组织实施。牵头落实区委、区政府投资促进工作部署。负责全区投资环境推介工作。统筹组织区级重大投资促进活动。牵头全区重大招商引资项目的促进和落实。推进投资促进和管理服务网络体系建设。</w:t>
      </w:r>
    </w:p>
    <w:p w14:paraId="7D7BFD62">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3.统筹协调全区外商投资促进和管理服务工作。参与拟订外商投资政策和改革方案并组织实施。统计分析全区外商投资情况。依法监督外商投资企业执行有关法律法规规章、合同章程的情况并协调解决有关问题。</w:t>
      </w:r>
    </w:p>
    <w:p w14:paraId="79D79988">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4.参与推进我区与国（境）内外相关区域合作。牵头组织我区与国（境）内外相关区域经济合作活动的有关具体工作。</w:t>
      </w:r>
    </w:p>
    <w:p w14:paraId="7AA29E1C">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5.牵头推动我区与港澳台地区经济合作有关工作。</w:t>
      </w:r>
    </w:p>
    <w:p w14:paraId="22521626">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6.推动全区博览发展促进工作。参与拟订全区会展业发展规划和相关政策。承担区委、区政府交办的会展投资促进活动。</w:t>
      </w:r>
    </w:p>
    <w:p w14:paraId="07F234AB">
      <w:pPr>
        <w:pStyle w:val="15"/>
        <w:pageBreakBefore w:val="0"/>
        <w:widowControl/>
        <w:kinsoku/>
        <w:wordWrap/>
        <w:overflowPunct/>
        <w:topLinePunct w:val="0"/>
        <w:autoSpaceDE/>
        <w:autoSpaceDN/>
        <w:bidi w:val="0"/>
        <w:adjustRightInd/>
        <w:spacing w:before="0" w:beforeAutospacing="0" w:after="0" w:afterAutospacing="0" w:line="240" w:lineRule="auto"/>
        <w:ind w:left="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7.完成区委和区政府交办的其他任务。</w:t>
      </w:r>
    </w:p>
    <w:p w14:paraId="1F8AFBA2">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en-US" w:eastAsia="zh-CN" w:bidi="ar-SA"/>
        </w:rPr>
      </w:pPr>
      <w:bookmarkStart w:id="14" w:name="_Toc2579"/>
      <w:bookmarkStart w:id="15" w:name="_Toc10774"/>
      <w:bookmarkStart w:id="16" w:name="_Toc5745"/>
      <w:r>
        <w:rPr>
          <w:rFonts w:hint="default" w:ascii="Times New Roman" w:hAnsi="Times New Roman" w:eastAsia="方正黑体_GBK" w:cs="Times New Roman"/>
          <w:b w:val="0"/>
          <w:bCs w:val="0"/>
          <w:kern w:val="2"/>
          <w:sz w:val="32"/>
          <w:szCs w:val="32"/>
          <w:lang w:val="en-US" w:eastAsia="zh-CN" w:bidi="ar-SA"/>
        </w:rPr>
        <w:t>二、机构设置</w:t>
      </w:r>
      <w:bookmarkEnd w:id="14"/>
      <w:bookmarkEnd w:id="15"/>
      <w:bookmarkEnd w:id="16"/>
    </w:p>
    <w:p w14:paraId="62BA8D8D">
      <w:pPr>
        <w:pageBreakBefore w:val="0"/>
        <w:kinsoku/>
        <w:wordWrap/>
        <w:overflowPunct/>
        <w:topLinePunct w:val="0"/>
        <w:bidi w:val="0"/>
        <w:spacing w:line="240" w:lineRule="auto"/>
        <w:ind w:firstLine="640"/>
        <w:jc w:val="both"/>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攀枝花市仁和区经济合作局属于一级预算单位，为</w:t>
      </w:r>
      <w:r>
        <w:rPr>
          <w:rFonts w:hint="eastAsia" w:ascii="Times New Roman" w:hAnsi="Times New Roman" w:eastAsia="方正仿宋_GBK" w:cs="Times New Roman"/>
          <w:kern w:val="2"/>
          <w:sz w:val="32"/>
          <w:szCs w:val="32"/>
          <w:lang w:val="en-US" w:eastAsia="zh-CN" w:bidi="ar-SA"/>
        </w:rPr>
        <w:t>副</w:t>
      </w:r>
      <w:r>
        <w:rPr>
          <w:rFonts w:hint="default" w:ascii="Times New Roman" w:hAnsi="Times New Roman" w:eastAsia="方正仿宋_GBK" w:cs="Times New Roman"/>
          <w:kern w:val="2"/>
          <w:sz w:val="32"/>
          <w:szCs w:val="32"/>
          <w:lang w:val="zh-CN" w:eastAsia="zh-CN" w:bidi="ar-SA"/>
        </w:rPr>
        <w:t>科级，内设办公室和业务股2个科室，</w:t>
      </w:r>
      <w:r>
        <w:rPr>
          <w:rFonts w:hint="eastAsia" w:ascii="Times New Roman" w:hAnsi="Times New Roman" w:eastAsia="方正仿宋_GBK" w:cs="Times New Roman"/>
          <w:kern w:val="2"/>
          <w:sz w:val="32"/>
          <w:szCs w:val="32"/>
          <w:lang w:val="en-US" w:eastAsia="zh-CN" w:bidi="ar-SA"/>
        </w:rPr>
        <w:t>代管</w:t>
      </w:r>
      <w:r>
        <w:rPr>
          <w:rFonts w:hint="default" w:ascii="Times New Roman" w:hAnsi="Times New Roman" w:eastAsia="方正仿宋_GBK" w:cs="Times New Roman"/>
          <w:kern w:val="2"/>
          <w:sz w:val="32"/>
          <w:szCs w:val="32"/>
          <w:lang w:val="zh-CN" w:eastAsia="zh-CN" w:bidi="ar-SA"/>
        </w:rPr>
        <w:t>独立编制的事业单位1个</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为仁和区投资促进中心</w:t>
      </w:r>
      <w:r>
        <w:rPr>
          <w:rFonts w:hint="default" w:ascii="Times New Roman" w:hAnsi="Times New Roman" w:eastAsia="方正仿宋_GBK" w:cs="Times New Roman"/>
          <w:kern w:val="2"/>
          <w:sz w:val="32"/>
          <w:szCs w:val="32"/>
          <w:lang w:val="zh-CN" w:eastAsia="zh-CN" w:bidi="ar-SA"/>
        </w:rPr>
        <w:t>。区经合局财务统一管理，无单独核算的二级预算单位。</w:t>
      </w:r>
    </w:p>
    <w:p w14:paraId="77DFA194">
      <w:pPr>
        <w:jc w:val="both"/>
        <w:outlineLvl w:val="9"/>
        <w:rPr>
          <w:rFonts w:hint="default" w:ascii="Times New Roman" w:hAnsi="Times New Roman" w:eastAsia="方正仿宋_GBK" w:cs="Times New Roman"/>
          <w:b/>
          <w:bCs/>
          <w:kern w:val="2"/>
          <w:sz w:val="32"/>
          <w:szCs w:val="32"/>
          <w:lang w:val="en-US" w:eastAsia="zh-CN" w:bidi="ar-SA"/>
        </w:rPr>
      </w:pPr>
      <w:r>
        <w:rPr>
          <w:rFonts w:hint="default" w:ascii="Times New Roman" w:hAnsi="Times New Roman" w:eastAsia="方正仿宋_GBK" w:cs="Times New Roman"/>
          <w:b/>
          <w:bCs/>
          <w:kern w:val="2"/>
          <w:sz w:val="32"/>
          <w:szCs w:val="32"/>
          <w:lang w:val="zh-CN" w:eastAsia="zh-CN" w:bidi="ar-SA"/>
        </w:rPr>
        <w:t>纳入攀枝花市仁和区经济合作局202</w:t>
      </w:r>
      <w:r>
        <w:rPr>
          <w:rFonts w:hint="eastAsia" w:eastAsia="方正仿宋_GBK" w:cs="Times New Roman"/>
          <w:b/>
          <w:bCs/>
          <w:kern w:val="2"/>
          <w:sz w:val="32"/>
          <w:szCs w:val="32"/>
          <w:lang w:val="en-US" w:eastAsia="zh-CN" w:bidi="ar-SA"/>
        </w:rPr>
        <w:t>5</w:t>
      </w:r>
      <w:r>
        <w:rPr>
          <w:rFonts w:hint="default" w:ascii="Times New Roman" w:hAnsi="Times New Roman" w:eastAsia="方正仿宋_GBK" w:cs="Times New Roman"/>
          <w:b/>
          <w:bCs/>
          <w:kern w:val="2"/>
          <w:sz w:val="32"/>
          <w:szCs w:val="32"/>
          <w:lang w:val="zh-CN" w:eastAsia="zh-CN" w:bidi="ar-SA"/>
        </w:rPr>
        <w:t>年度部门决算编制范围的二级预算单位包括：</w:t>
      </w:r>
      <w:r>
        <w:rPr>
          <w:rFonts w:hint="default" w:ascii="Times New Roman" w:hAnsi="Times New Roman" w:eastAsia="方正仿宋_GBK" w:cs="Times New Roman"/>
          <w:b/>
          <w:bCs/>
          <w:kern w:val="2"/>
          <w:sz w:val="32"/>
          <w:szCs w:val="32"/>
          <w:lang w:val="en-US" w:eastAsia="zh-CN" w:bidi="ar-SA"/>
        </w:rPr>
        <w:t>攀枝花市仁和区投资促进中心。</w:t>
      </w:r>
    </w:p>
    <w:p w14:paraId="49208363">
      <w:pPr>
        <w:widowControl/>
        <w:jc w:val="both"/>
        <w:rPr>
          <w:rFonts w:eastAsia="仿宋"/>
          <w:kern w:val="0"/>
          <w:sz w:val="32"/>
          <w:szCs w:val="32"/>
          <w:highlight w:val="none"/>
        </w:rPr>
      </w:pPr>
      <w:r>
        <w:rPr>
          <w:rFonts w:eastAsia="仿宋"/>
          <w:sz w:val="32"/>
          <w:szCs w:val="32"/>
          <w:highlight w:val="none"/>
        </w:rPr>
        <w:br w:type="page"/>
      </w:r>
    </w:p>
    <w:p w14:paraId="52DB17CF">
      <w:pPr>
        <w:pStyle w:val="2"/>
        <w:jc w:val="center"/>
        <w:rPr>
          <w:rFonts w:hint="eastAsia" w:ascii="Times New Roman" w:hAnsi="Times New Roman" w:eastAsia="方正小标宋简体" w:cs="方正小标宋简体"/>
          <w:b w:val="0"/>
          <w:color w:val="auto"/>
          <w:highlight w:val="none"/>
        </w:rPr>
      </w:pPr>
      <w:bookmarkStart w:id="17" w:name="_Toc29728"/>
      <w:bookmarkStart w:id="18" w:name="_Toc15377204"/>
      <w:bookmarkStart w:id="19" w:name="_Toc19914"/>
      <w:bookmarkStart w:id="20"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bookmarkEnd w:id="19"/>
      <w:bookmarkEnd w:id="20"/>
    </w:p>
    <w:p w14:paraId="4A7F3D47">
      <w:pPr>
        <w:rPr>
          <w:rFonts w:ascii="Times New Roman" w:hAnsi="Times New Roman"/>
          <w:color w:val="auto"/>
          <w:highlight w:val="none"/>
        </w:rPr>
      </w:pPr>
    </w:p>
    <w:p w14:paraId="20EB9FD6">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21" w:name="_Toc15377205"/>
      <w:bookmarkStart w:id="22" w:name="_Toc31733"/>
      <w:bookmarkStart w:id="23" w:name="_Toc15396603"/>
      <w:bookmarkStart w:id="24" w:name="_Toc1389"/>
      <w:r>
        <w:rPr>
          <w:rFonts w:hint="eastAsia" w:ascii="Times New Roman" w:hAnsi="Times New Roman" w:eastAsia="方正黑体_GBK" w:cs="Times New Roman"/>
          <w:b w:val="0"/>
          <w:bCs w:val="0"/>
          <w:kern w:val="2"/>
          <w:sz w:val="32"/>
          <w:szCs w:val="32"/>
          <w:lang w:val="en-US" w:eastAsia="zh-CN" w:bidi="ar-SA"/>
        </w:rPr>
        <w:t>一、收入支出决算总体情况说明</w:t>
      </w:r>
      <w:bookmarkEnd w:id="21"/>
      <w:bookmarkEnd w:id="22"/>
      <w:bookmarkEnd w:id="23"/>
      <w:bookmarkEnd w:id="24"/>
    </w:p>
    <w:p w14:paraId="12999A39">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Times New Roman"/>
          <w:kern w:val="2"/>
          <w:sz w:val="32"/>
          <w:szCs w:val="32"/>
          <w:lang w:val="en-US" w:eastAsia="zh-CN" w:bidi="ar-SA"/>
        </w:rPr>
      </w:pPr>
      <w:bookmarkStart w:id="25" w:name="_Toc9748"/>
      <w:bookmarkStart w:id="26" w:name="_Toc9754"/>
      <w:r>
        <w:rPr>
          <w:rFonts w:hint="eastAsia" w:ascii="Times New Roman" w:hAnsi="Times New Roman" w:eastAsia="方正仿宋_GBK" w:cs="Times New Roman"/>
          <w:kern w:val="2"/>
          <w:sz w:val="32"/>
          <w:szCs w:val="32"/>
          <w:lang w:val="en-US" w:eastAsia="zh-CN" w:bidi="ar-SA"/>
        </w:rPr>
        <w:t>2025年度收入、支出总计均为2248.22万元。与上年度相比，收入、支出总计各增加891.48万元，增长65.7%。主要变动原因是本年度项目收支费用增加。</w:t>
      </w:r>
      <w:bookmarkEnd w:id="25"/>
      <w:bookmarkEnd w:id="26"/>
    </w:p>
    <w:p w14:paraId="7E1973E4">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Times New Roman"/>
          <w:kern w:val="2"/>
          <w:sz w:val="32"/>
          <w:szCs w:val="32"/>
          <w:lang w:val="en-US" w:eastAsia="zh-CN" w:bidi="ar-SA"/>
        </w:rPr>
      </w:pPr>
      <w:bookmarkStart w:id="27" w:name="_Toc15751"/>
      <w:bookmarkStart w:id="28" w:name="_Toc18567"/>
      <w:r>
        <w:rPr>
          <w:rFonts w:hint="eastAsia" w:ascii="Times New Roman" w:hAnsi="Times New Roman" w:eastAsia="方正仿宋_GBK" w:cs="Times New Roman"/>
          <w:kern w:val="2"/>
          <w:sz w:val="32"/>
          <w:szCs w:val="32"/>
          <w:lang w:val="en-US" w:eastAsia="zh-CN" w:bidi="ar-SA"/>
        </w:rPr>
        <w:t>（图1：收入、支出决算总计变动情况图）（柱状图）</w:t>
      </w:r>
      <w:bookmarkEnd w:id="27"/>
      <w:bookmarkEnd w:id="28"/>
    </w:p>
    <w:p w14:paraId="1E1A45D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rPr>
          <w:highlight w:val="none"/>
        </w:rPr>
        <w:drawing>
          <wp:inline distT="0" distB="0" distL="114300" distR="114300">
            <wp:extent cx="4747895" cy="2577465"/>
            <wp:effectExtent l="4445" t="4445" r="10160" b="8890"/>
            <wp:docPr id="135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14B0151">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29" w:name="_Toc15377206"/>
      <w:bookmarkStart w:id="30" w:name="_Toc15396604"/>
      <w:bookmarkStart w:id="31" w:name="_Toc685"/>
      <w:bookmarkStart w:id="32" w:name="_Toc25939"/>
      <w:r>
        <w:rPr>
          <w:rFonts w:hint="eastAsia" w:ascii="Times New Roman" w:hAnsi="Times New Roman" w:eastAsia="方正黑体_GBK" w:cs="Times New Roman"/>
          <w:b w:val="0"/>
          <w:bCs w:val="0"/>
          <w:kern w:val="2"/>
          <w:sz w:val="32"/>
          <w:szCs w:val="32"/>
          <w:lang w:val="en-US" w:eastAsia="zh-CN" w:bidi="ar-SA"/>
        </w:rPr>
        <w:t>二、收入决算情况说明</w:t>
      </w:r>
      <w:bookmarkEnd w:id="29"/>
      <w:bookmarkEnd w:id="30"/>
      <w:bookmarkEnd w:id="31"/>
      <w:bookmarkEnd w:id="32"/>
    </w:p>
    <w:p w14:paraId="56A420EB">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Times New Roman"/>
          <w:kern w:val="2"/>
          <w:sz w:val="32"/>
          <w:szCs w:val="32"/>
          <w:lang w:val="en-US" w:eastAsia="zh-CN" w:bidi="ar-SA"/>
        </w:rPr>
      </w:pPr>
      <w:bookmarkStart w:id="33" w:name="_Toc9195"/>
      <w:bookmarkStart w:id="34" w:name="_Toc21604"/>
      <w:r>
        <w:rPr>
          <w:rFonts w:hint="eastAsia" w:ascii="Times New Roman" w:hAnsi="Times New Roman" w:eastAsia="方正仿宋_GBK" w:cs="Times New Roman"/>
          <w:kern w:val="2"/>
          <w:sz w:val="32"/>
          <w:szCs w:val="32"/>
          <w:lang w:val="en-US" w:eastAsia="zh-CN" w:bidi="ar-SA"/>
        </w:rPr>
        <w:t>2025年度本年收入合计2248.22万元，其中：一般公共预算财政拨款收入2057.9万元，占91.5%；政府性基金预算财政拨款收入190.32万元，占8.5%；国有资本经营预算财政拨款收入0万元，占0%；上级补助收入0万元，占0%；事业收入0万元，占0%；经营收入0万元，占0%；附属单位上缴收入0万元，占0%；其他收入0万元，占0%。</w:t>
      </w:r>
      <w:bookmarkEnd w:id="33"/>
      <w:bookmarkEnd w:id="34"/>
    </w:p>
    <w:p w14:paraId="5A14DA58">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Times New Roman"/>
          <w:kern w:val="2"/>
          <w:sz w:val="32"/>
          <w:szCs w:val="32"/>
          <w:lang w:val="en-US" w:eastAsia="zh-CN" w:bidi="ar-SA"/>
        </w:rPr>
      </w:pPr>
      <w:bookmarkStart w:id="35" w:name="_Toc456"/>
      <w:bookmarkStart w:id="36" w:name="_Toc29835"/>
      <w:r>
        <w:rPr>
          <w:rFonts w:hint="eastAsia" w:ascii="Times New Roman" w:hAnsi="Times New Roman" w:eastAsia="方正仿宋_GBK" w:cs="Times New Roman"/>
          <w:kern w:val="2"/>
          <w:sz w:val="32"/>
          <w:szCs w:val="32"/>
          <w:lang w:val="en-US" w:eastAsia="zh-CN" w:bidi="ar-SA"/>
        </w:rPr>
        <w:t>（图2：收入决算结构图）（饼状图）</w:t>
      </w:r>
      <w:bookmarkEnd w:id="35"/>
      <w:bookmarkEnd w:id="36"/>
    </w:p>
    <w:p w14:paraId="1F30B67D">
      <w:pPr>
        <w:pStyle w:val="21"/>
        <w:rPr>
          <w:rFonts w:hint="eastAsia" w:ascii="Times New Roman" w:hAnsi="Times New Roman" w:eastAsia="仿宋_GB2312" w:cs="仿宋_GB2312"/>
          <w:color w:val="auto"/>
          <w:sz w:val="32"/>
          <w:szCs w:val="32"/>
          <w:highlight w:val="none"/>
          <w:lang w:eastAsia="zh-CN"/>
        </w:rPr>
      </w:pPr>
    </w:p>
    <w:p w14:paraId="16068B08">
      <w:pPr>
        <w:pStyle w:val="22"/>
        <w:rPr>
          <w:rFonts w:hint="eastAsia"/>
          <w:highlight w:val="none"/>
          <w:lang w:eastAsia="zh-CN"/>
        </w:rPr>
      </w:pPr>
      <w:r>
        <w:rPr>
          <w:highlight w:val="none"/>
        </w:rPr>
        <w:drawing>
          <wp:inline distT="0" distB="0" distL="114300" distR="114300">
            <wp:extent cx="4583430" cy="2400935"/>
            <wp:effectExtent l="4445" t="4445" r="22225" b="13970"/>
            <wp:docPr id="1353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F5EA99">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37" w:name="_Toc15396605"/>
      <w:bookmarkStart w:id="38" w:name="_Toc15183"/>
      <w:bookmarkStart w:id="39" w:name="_Toc15377207"/>
      <w:bookmarkStart w:id="40" w:name="_Toc16389"/>
      <w:r>
        <w:rPr>
          <w:rFonts w:hint="eastAsia" w:ascii="Times New Roman" w:hAnsi="Times New Roman" w:eastAsia="方正黑体_GBK" w:cs="Times New Roman"/>
          <w:b w:val="0"/>
          <w:bCs w:val="0"/>
          <w:kern w:val="2"/>
          <w:sz w:val="32"/>
          <w:szCs w:val="32"/>
          <w:lang w:val="en-US" w:eastAsia="zh-CN" w:bidi="ar-SA"/>
        </w:rPr>
        <w:t>三、支出决算情况说明</w:t>
      </w:r>
      <w:bookmarkEnd w:id="37"/>
      <w:bookmarkEnd w:id="38"/>
      <w:bookmarkEnd w:id="39"/>
      <w:bookmarkEnd w:id="40"/>
    </w:p>
    <w:p w14:paraId="5EE5CBB6">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方正仿宋_GBK" w:cs="Times New Roman"/>
          <w:kern w:val="2"/>
          <w:sz w:val="32"/>
          <w:szCs w:val="32"/>
          <w:lang w:val="en-US" w:eastAsia="zh-CN" w:bidi="ar-SA"/>
        </w:rPr>
      </w:pPr>
      <w:bookmarkStart w:id="41" w:name="_Toc20356"/>
      <w:bookmarkStart w:id="42" w:name="_Toc31753"/>
      <w:r>
        <w:rPr>
          <w:rFonts w:hint="eastAsia" w:ascii="Times New Roman" w:hAnsi="Times New Roman" w:eastAsia="方正仿宋_GBK" w:cs="Times New Roman"/>
          <w:kern w:val="2"/>
          <w:sz w:val="32"/>
          <w:szCs w:val="32"/>
          <w:lang w:val="en-US" w:eastAsia="zh-CN" w:bidi="ar-SA"/>
        </w:rPr>
        <w:t>2025年度本年支出合计2248.22万元，其中：基本支出298.44万元，占13.3%；项目支出1949.78万元，占86.7%；上缴上级支出0万元，占0%；经营支出0万元，占0%；对附属单位补助支出0万元，占0%。</w:t>
      </w:r>
      <w:bookmarkEnd w:id="41"/>
      <w:bookmarkEnd w:id="42"/>
    </w:p>
    <w:p w14:paraId="451B514B">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43" w:name="_Toc10771"/>
      <w:bookmarkStart w:id="44" w:name="_Toc32248"/>
      <w:r>
        <w:rPr>
          <w:rFonts w:hint="eastAsia" w:ascii="Times New Roman" w:hAnsi="Times New Roman" w:eastAsia="仿宋_GB2312" w:cs="仿宋_GB2312"/>
          <w:color w:val="auto"/>
          <w:sz w:val="32"/>
          <w:szCs w:val="32"/>
          <w:highlight w:val="none"/>
          <w:lang w:eastAsia="zh-CN"/>
        </w:rPr>
        <w:t>（图3：支出决算结构图）（饼状图）</w:t>
      </w:r>
      <w:bookmarkEnd w:id="43"/>
      <w:bookmarkEnd w:id="44"/>
    </w:p>
    <w:p w14:paraId="76FD0B1A">
      <w:pPr>
        <w:ind w:firstLine="525" w:firstLineChars="250"/>
        <w:rPr>
          <w:rFonts w:hint="eastAsia" w:ascii="Times New Roman" w:hAnsi="Times New Roman" w:eastAsia="仿宋_GB2312" w:cs="仿宋_GB2312"/>
          <w:color w:val="auto"/>
          <w:sz w:val="32"/>
          <w:szCs w:val="32"/>
          <w:highlight w:val="none"/>
          <w:lang w:eastAsia="zh-CN"/>
        </w:rPr>
      </w:pPr>
      <w:r>
        <w:rPr>
          <w:highlight w:val="none"/>
        </w:rPr>
        <w:drawing>
          <wp:inline distT="0" distB="0" distL="114300" distR="114300">
            <wp:extent cx="4618355" cy="2125980"/>
            <wp:effectExtent l="4445" t="5080" r="6350" b="21590"/>
            <wp:docPr id="1353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258E5DB">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45" w:name="_Toc25162"/>
      <w:bookmarkStart w:id="46" w:name="_Toc2094"/>
      <w:bookmarkStart w:id="47" w:name="_Toc15396606"/>
      <w:bookmarkStart w:id="48" w:name="_Toc15377208"/>
      <w:r>
        <w:rPr>
          <w:rFonts w:hint="eastAsia" w:ascii="Times New Roman" w:hAnsi="Times New Roman" w:eastAsia="方正黑体_GBK" w:cs="Times New Roman"/>
          <w:b w:val="0"/>
          <w:bCs w:val="0"/>
          <w:kern w:val="2"/>
          <w:sz w:val="32"/>
          <w:szCs w:val="32"/>
          <w:lang w:val="en-US" w:eastAsia="zh-CN" w:bidi="ar-SA"/>
        </w:rPr>
        <w:t>四、财政拨款收入支出决算总体情况说明</w:t>
      </w:r>
      <w:bookmarkEnd w:id="45"/>
      <w:bookmarkEnd w:id="46"/>
      <w:bookmarkEnd w:id="47"/>
      <w:bookmarkEnd w:id="48"/>
    </w:p>
    <w:p w14:paraId="1C36BD80">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2025年度财政拨款收入、支出总计均为2248.22万元。与上年度相比，财政拨款收入、支出总计各增加增加891.48万元，增长65.7%。主要变动原因是本年度项目收支费用增加。</w:t>
      </w:r>
    </w:p>
    <w:p w14:paraId="35EBB067">
      <w:pPr>
        <w:spacing w:line="600" w:lineRule="exact"/>
        <w:ind w:firstLine="640" w:firstLineChars="20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（图4：财政拨款收、支决算总计变动情况）（柱状图）</w:t>
      </w:r>
    </w:p>
    <w:p w14:paraId="116A9792">
      <w:pPr>
        <w:pStyle w:val="21"/>
        <w:rPr>
          <w:rFonts w:hint="eastAsia"/>
          <w:highlight w:val="none"/>
          <w:lang w:val="en-US" w:eastAsia="zh-CN"/>
        </w:rPr>
      </w:pPr>
    </w:p>
    <w:p w14:paraId="13193503">
      <w:pPr>
        <w:pStyle w:val="21"/>
        <w:rPr>
          <w:rFonts w:hint="eastAsia"/>
          <w:highlight w:val="none"/>
          <w:lang w:val="en-US" w:eastAsia="zh-CN"/>
        </w:rPr>
      </w:pPr>
      <w:r>
        <w:rPr>
          <w:highlight w:val="none"/>
        </w:rPr>
        <w:drawing>
          <wp:inline distT="0" distB="0" distL="114300" distR="114300">
            <wp:extent cx="5086985" cy="2809240"/>
            <wp:effectExtent l="4445" t="4445" r="13970" b="5715"/>
            <wp:docPr id="13534"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4963004">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49" w:name="_Toc5031"/>
      <w:bookmarkStart w:id="50" w:name="_Toc18870"/>
      <w:bookmarkStart w:id="51" w:name="_Toc15396607"/>
      <w:bookmarkStart w:id="52" w:name="_Toc15377209"/>
      <w:r>
        <w:rPr>
          <w:rFonts w:hint="eastAsia" w:ascii="Times New Roman" w:hAnsi="Times New Roman" w:eastAsia="方正黑体_GBK" w:cs="Times New Roman"/>
          <w:b w:val="0"/>
          <w:bCs w:val="0"/>
          <w:kern w:val="2"/>
          <w:sz w:val="32"/>
          <w:szCs w:val="32"/>
          <w:lang w:val="en-US" w:eastAsia="zh-CN" w:bidi="ar-SA"/>
        </w:rPr>
        <w:t>五、一般公共预算财政拨款支出决算情况说明</w:t>
      </w:r>
      <w:bookmarkEnd w:id="49"/>
      <w:bookmarkEnd w:id="50"/>
      <w:bookmarkEnd w:id="51"/>
      <w:bookmarkEnd w:id="52"/>
    </w:p>
    <w:p w14:paraId="0A8E979C">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53" w:name="_Toc15377210"/>
      <w:r>
        <w:rPr>
          <w:rFonts w:hint="eastAsia" w:ascii="Times New Roman" w:hAnsi="Times New Roman" w:eastAsia="方正楷体_GBK" w:cs="Times New Roman"/>
          <w:b/>
          <w:kern w:val="2"/>
          <w:sz w:val="32"/>
          <w:szCs w:val="32"/>
        </w:rPr>
        <w:t>（一）一般公共预算财政拨款支出决算总体情况</w:t>
      </w:r>
      <w:bookmarkEnd w:id="53"/>
    </w:p>
    <w:p w14:paraId="3805AA93">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2025年度一般公共预算财政拨款支出2057.9万元，占本年支出合计的91.53%。与上年度相比，一般公共预算财政拨款支出增加989.22万元，增长92.6%。主要变动原因是本年度人员、公用经费、项目支出增加。</w:t>
      </w:r>
    </w:p>
    <w:p w14:paraId="2FDFD72F">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（图5：一般公共预算财政拨款支出决算变动情况）（柱状图）</w:t>
      </w:r>
    </w:p>
    <w:p w14:paraId="274D15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F16309">
      <w:pPr>
        <w:pStyle w:val="21"/>
        <w:rPr>
          <w:rFonts w:hint="eastAsia" w:ascii="Times New Roman" w:hAnsi="Times New Roman" w:eastAsia="仿宋_GB2312" w:cs="仿宋_GB2312"/>
          <w:color w:val="auto"/>
          <w:kern w:val="2"/>
          <w:sz w:val="32"/>
          <w:szCs w:val="32"/>
          <w:highlight w:val="none"/>
          <w:lang w:val="en-US" w:eastAsia="zh-CN" w:bidi="ar-SA"/>
        </w:rPr>
      </w:pPr>
    </w:p>
    <w:p w14:paraId="00C8B20A">
      <w:pPr>
        <w:pStyle w:val="22"/>
        <w:ind w:left="0" w:leftChars="0" w:firstLine="0" w:firstLineChars="0"/>
        <w:jc w:val="center"/>
        <w:rPr>
          <w:rFonts w:hint="eastAsia"/>
          <w:highlight w:val="none"/>
          <w:lang w:val="en-US" w:eastAsia="zh-CN"/>
        </w:rPr>
      </w:pPr>
      <w:r>
        <w:rPr>
          <w:highlight w:val="none"/>
        </w:rPr>
        <w:drawing>
          <wp:inline distT="0" distB="0" distL="114300" distR="114300">
            <wp:extent cx="4202430" cy="2362835"/>
            <wp:effectExtent l="4445" t="4445" r="22225" b="13970"/>
            <wp:docPr id="13535"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470A1F">
      <w:pPr>
        <w:pStyle w:val="21"/>
        <w:rPr>
          <w:rFonts w:hint="eastAsia"/>
          <w:highlight w:val="none"/>
          <w:lang w:val="en-US" w:eastAsia="zh-CN"/>
        </w:rPr>
      </w:pPr>
    </w:p>
    <w:p w14:paraId="7A95F342">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54" w:name="_Toc15377211"/>
      <w:r>
        <w:rPr>
          <w:rFonts w:hint="eastAsia" w:ascii="Times New Roman" w:hAnsi="Times New Roman" w:eastAsia="方正楷体_GBK" w:cs="Times New Roman"/>
          <w:b/>
          <w:kern w:val="2"/>
          <w:sz w:val="32"/>
          <w:szCs w:val="32"/>
        </w:rPr>
        <w:t>（二）一般公共预算财政拨款支出决算结构情况</w:t>
      </w:r>
      <w:bookmarkEnd w:id="54"/>
    </w:p>
    <w:p w14:paraId="5B8BAF2D">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一般公共预算财政拨款支出2057.9万元，主要用于以下方面：一般公共服务支出1652.67万元，占80.3%；社会保障和就业支出33.25万元，占1.6%；卫生健康支出15.49万元，占0.8%；农林水支出315.36万元，占15.3%；商业服务业等支出20万元，占1%；住房保障支出21.12万元，占1%。</w:t>
      </w:r>
    </w:p>
    <w:p w14:paraId="7BB0D0F4">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（图6：一般公共预算财政拨款支出决算结构）（饼状图）</w:t>
      </w:r>
    </w:p>
    <w:p w14:paraId="4CDFD755">
      <w:pPr>
        <w:spacing w:line="600" w:lineRule="exact"/>
        <w:ind w:firstLine="640"/>
        <w:rPr>
          <w:rFonts w:hint="eastAsia" w:ascii="Times New Roman" w:hAnsi="Times New Roman" w:eastAsia="方正仿宋_GBK" w:cs="Times New Roman"/>
          <w:kern w:val="2"/>
          <w:sz w:val="32"/>
          <w:szCs w:val="32"/>
          <w:lang w:val="en-US" w:eastAsia="zh-CN" w:bidi="ar-SA"/>
        </w:rPr>
      </w:pPr>
    </w:p>
    <w:p w14:paraId="76F5B595">
      <w:pPr>
        <w:pStyle w:val="21"/>
        <w:rPr>
          <w:rFonts w:hint="eastAsia"/>
          <w:highlight w:val="none"/>
          <w:lang w:val="en-US" w:eastAsia="zh-CN"/>
        </w:rPr>
      </w:pPr>
      <w:r>
        <w:rPr>
          <w:highlight w:val="none"/>
        </w:rPr>
        <w:drawing>
          <wp:inline distT="0" distB="0" distL="114300" distR="114300">
            <wp:extent cx="5268595" cy="2887345"/>
            <wp:effectExtent l="4445" t="4445" r="22860" b="22860"/>
            <wp:docPr id="13537"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9D6524A">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55" w:name="_Toc15377212"/>
      <w:r>
        <w:rPr>
          <w:rFonts w:hint="eastAsia" w:ascii="Times New Roman" w:hAnsi="Times New Roman" w:eastAsia="方正楷体_GBK" w:cs="Times New Roman"/>
          <w:b/>
          <w:kern w:val="2"/>
          <w:sz w:val="32"/>
          <w:szCs w:val="32"/>
        </w:rPr>
        <w:t>（三）一般公共预算财政拨款支出决算具体情况</w:t>
      </w:r>
      <w:bookmarkEnd w:id="55"/>
    </w:p>
    <w:p w14:paraId="16CCAD8F">
      <w:pPr>
        <w:spacing w:line="600" w:lineRule="exact"/>
        <w:ind w:firstLine="640"/>
        <w:rPr>
          <w:rFonts w:hint="eastAsia" w:ascii="Times New Roman" w:hAnsi="Times New Roman" w:eastAsia="方正仿宋_GBK" w:cs="Times New Roman"/>
          <w:kern w:val="2"/>
          <w:sz w:val="32"/>
          <w:szCs w:val="32"/>
          <w:lang w:val="en-US" w:eastAsia="zh-CN" w:bidi="ar-SA"/>
        </w:rPr>
      </w:pPr>
      <w:bookmarkStart w:id="56" w:name="_Toc15377444"/>
      <w:bookmarkStart w:id="57" w:name="_Toc15378460"/>
      <w:bookmarkStart w:id="58" w:name="_Toc15377213"/>
      <w:r>
        <w:rPr>
          <w:rFonts w:hint="eastAsia" w:ascii="Times New Roman" w:hAnsi="Times New Roman" w:eastAsia="方正仿宋_GBK" w:cs="Times New Roman"/>
          <w:kern w:val="2"/>
          <w:sz w:val="32"/>
          <w:szCs w:val="32"/>
          <w:lang w:val="en-US" w:eastAsia="zh-CN" w:bidi="ar-SA"/>
        </w:rPr>
        <w:t>2025年度一般公共预算支出决算数为2057.9，完成预算100%。其中：</w:t>
      </w:r>
      <w:bookmarkEnd w:id="56"/>
      <w:bookmarkEnd w:id="57"/>
      <w:bookmarkEnd w:id="58"/>
    </w:p>
    <w:p w14:paraId="49CF8D9D">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1.一般公共服务（类）商贸事务（款）行政运行（项）：</w:t>
      </w:r>
      <w:r>
        <w:rPr>
          <w:rFonts w:hint="eastAsia" w:ascii="Times New Roman" w:hAnsi="Times New Roman" w:eastAsia="方正仿宋_GBK" w:cs="Times New Roman"/>
          <w:kern w:val="2"/>
          <w:sz w:val="32"/>
          <w:szCs w:val="32"/>
          <w:lang w:val="en-US" w:eastAsia="zh-CN" w:bidi="ar-SA"/>
        </w:rPr>
        <w:t>支出决算为55.64万元，完成预算100%，决算数等于预算数。</w:t>
      </w:r>
    </w:p>
    <w:p w14:paraId="394362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2.一般公共服务（类）商贸事务（款）招商引资（项）：</w:t>
      </w:r>
      <w:r>
        <w:rPr>
          <w:rFonts w:hint="eastAsia" w:ascii="Times New Roman" w:hAnsi="Times New Roman" w:eastAsia="方正仿宋_GBK" w:cs="Times New Roman"/>
          <w:kern w:val="2"/>
          <w:sz w:val="32"/>
          <w:szCs w:val="32"/>
          <w:lang w:val="en-US" w:eastAsia="zh-CN" w:bidi="ar-SA"/>
        </w:rPr>
        <w:t>支出决算为1424.1万元，完成预算100%，决算数等于预算</w:t>
      </w:r>
      <w:r>
        <w:rPr>
          <w:rFonts w:hint="eastAsia" w:ascii="Times New Roman" w:hAnsi="Times New Roman" w:eastAsia="仿宋_GB2312" w:cs="仿宋_GB2312"/>
          <w:color w:val="auto"/>
          <w:kern w:val="2"/>
          <w:sz w:val="32"/>
          <w:szCs w:val="32"/>
          <w:highlight w:val="none"/>
          <w:lang w:val="en-US" w:eastAsia="zh-CN" w:bidi="ar-SA"/>
        </w:rPr>
        <w:t>数</w:t>
      </w:r>
      <w:r>
        <w:rPr>
          <w:rFonts w:hint="eastAsia" w:eastAsia="仿宋_GB2312" w:cs="仿宋_GB2312"/>
          <w:color w:val="auto"/>
          <w:kern w:val="2"/>
          <w:sz w:val="32"/>
          <w:szCs w:val="32"/>
          <w:highlight w:val="none"/>
          <w:lang w:val="en-US" w:eastAsia="zh-CN" w:bidi="ar-SA"/>
        </w:rPr>
        <w:t>。</w:t>
      </w:r>
    </w:p>
    <w:p w14:paraId="0319376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3.一般公共服务（类）商贸事务（款）事业运行（项）：</w:t>
      </w:r>
      <w:r>
        <w:rPr>
          <w:rFonts w:hint="eastAsia" w:ascii="Times New Roman" w:hAnsi="Times New Roman" w:eastAsia="方正仿宋_GBK" w:cs="Times New Roman"/>
          <w:kern w:val="2"/>
          <w:sz w:val="32"/>
          <w:szCs w:val="32"/>
          <w:lang w:val="en-US" w:eastAsia="zh-CN" w:bidi="ar-SA"/>
        </w:rPr>
        <w:t>支出决算为166.63万元，完成预算100%，决算数等于预算</w:t>
      </w:r>
      <w:r>
        <w:rPr>
          <w:rFonts w:hint="eastAsia" w:ascii="Times New Roman" w:hAnsi="Times New Roman" w:eastAsia="仿宋_GB2312" w:cs="仿宋_GB2312"/>
          <w:color w:val="auto"/>
          <w:kern w:val="2"/>
          <w:sz w:val="32"/>
          <w:szCs w:val="32"/>
          <w:highlight w:val="none"/>
          <w:lang w:val="en-US" w:eastAsia="zh-CN" w:bidi="ar-SA"/>
        </w:rPr>
        <w:t>数</w:t>
      </w:r>
      <w:r>
        <w:rPr>
          <w:rFonts w:hint="eastAsia" w:eastAsia="仿宋_GB2312" w:cs="仿宋_GB2312"/>
          <w:color w:val="auto"/>
          <w:kern w:val="2"/>
          <w:sz w:val="32"/>
          <w:szCs w:val="32"/>
          <w:highlight w:val="none"/>
          <w:lang w:val="en-US" w:eastAsia="zh-CN" w:bidi="ar-SA"/>
        </w:rPr>
        <w:t>。</w:t>
      </w:r>
    </w:p>
    <w:p w14:paraId="11CFE4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4.一般公共服务（类）其他一般公共服务支出（款）其他一般公共服务支出（项）：</w:t>
      </w:r>
      <w:r>
        <w:rPr>
          <w:rFonts w:hint="eastAsia" w:ascii="Times New Roman" w:hAnsi="Times New Roman" w:eastAsia="方正仿宋_GBK" w:cs="Times New Roman"/>
          <w:kern w:val="2"/>
          <w:sz w:val="32"/>
          <w:szCs w:val="32"/>
          <w:lang w:val="en-US" w:eastAsia="zh-CN" w:bidi="ar-SA"/>
        </w:rPr>
        <w:t>支出决算为6.31万元，完成预算100%，决算数等于预算数。</w:t>
      </w:r>
    </w:p>
    <w:p w14:paraId="4027E6AC">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5.社会保障和就业（类）行政事业单位养老支出（款）机关事业单位基本养老保险缴费支出（项）：</w:t>
      </w:r>
      <w:r>
        <w:rPr>
          <w:rFonts w:hint="eastAsia" w:ascii="Times New Roman" w:hAnsi="Times New Roman" w:eastAsia="方正仿宋_GBK" w:cs="Times New Roman"/>
          <w:kern w:val="2"/>
          <w:sz w:val="32"/>
          <w:szCs w:val="32"/>
          <w:lang w:val="en-US" w:eastAsia="zh-CN" w:bidi="ar-SA"/>
        </w:rPr>
        <w:t>支出决算为25.53万元，完成预算100%，决算数等于预算数。</w:t>
      </w:r>
    </w:p>
    <w:p w14:paraId="611BA18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6.社会保障和就业（类）行政事业单位养老支出（款）机关事业单位职业年金缴费支出（项）：</w:t>
      </w:r>
      <w:r>
        <w:rPr>
          <w:rFonts w:hint="eastAsia" w:ascii="Times New Roman" w:hAnsi="Times New Roman" w:eastAsia="方正仿宋_GBK" w:cs="Times New Roman"/>
          <w:kern w:val="2"/>
          <w:sz w:val="32"/>
          <w:szCs w:val="32"/>
          <w:lang w:val="en-US" w:eastAsia="zh-CN" w:bidi="ar-SA"/>
        </w:rPr>
        <w:t>支出决算为7.73万元，完成预算100%，决算数等于预算数。</w:t>
      </w:r>
    </w:p>
    <w:p w14:paraId="4F8580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7.卫生健康（类）行政事业单位医疗（款）行政单位医疗（项）：</w:t>
      </w:r>
      <w:r>
        <w:rPr>
          <w:rFonts w:hint="eastAsia" w:ascii="Times New Roman" w:hAnsi="Times New Roman" w:eastAsia="方正仿宋_GBK" w:cs="Times New Roman"/>
          <w:kern w:val="2"/>
          <w:sz w:val="32"/>
          <w:szCs w:val="32"/>
          <w:lang w:val="en-US" w:eastAsia="zh-CN" w:bidi="ar-SA"/>
        </w:rPr>
        <w:t>支出决算为3.19万元，完成预算100%，决算数等于预算数。</w:t>
      </w:r>
    </w:p>
    <w:p w14:paraId="4703128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8.卫生健康（类）行政事业单位医疗（款）事业单位医疗（项）：</w:t>
      </w:r>
      <w:r>
        <w:rPr>
          <w:rFonts w:hint="eastAsia" w:ascii="Times New Roman" w:hAnsi="Times New Roman" w:eastAsia="方正仿宋_GBK" w:cs="Times New Roman"/>
          <w:kern w:val="2"/>
          <w:sz w:val="32"/>
          <w:szCs w:val="32"/>
          <w:lang w:val="en-US" w:eastAsia="zh-CN" w:bidi="ar-SA"/>
        </w:rPr>
        <w:t>支出决算为10.48万元，完成预算100%，决算数等于预算数。</w:t>
      </w:r>
    </w:p>
    <w:p w14:paraId="7D21D838">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9.卫生健康（类）行政事业单位医疗（款）公务员医疗补助（项）：</w:t>
      </w:r>
      <w:r>
        <w:rPr>
          <w:rFonts w:hint="eastAsia" w:ascii="Times New Roman" w:hAnsi="Times New Roman" w:eastAsia="方正仿宋_GBK" w:cs="Times New Roman"/>
          <w:kern w:val="2"/>
          <w:sz w:val="32"/>
          <w:szCs w:val="32"/>
          <w:lang w:val="en-US" w:eastAsia="zh-CN" w:bidi="ar-SA"/>
        </w:rPr>
        <w:t>支出决算为1.82万元，完成预算100%，决算数等于预算数。</w:t>
      </w:r>
    </w:p>
    <w:p w14:paraId="041C502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方正仿宋_GBK" w:cs="Times New Roman"/>
          <w:b/>
          <w:bCs/>
          <w:kern w:val="2"/>
          <w:sz w:val="32"/>
          <w:szCs w:val="32"/>
          <w:lang w:val="en-US" w:eastAsia="zh-CN" w:bidi="ar-SA"/>
        </w:rPr>
        <w:t>10.农林水支出（类）其他农林水支出（款）其他农林水支出（项）：</w:t>
      </w:r>
      <w:r>
        <w:rPr>
          <w:rFonts w:hint="eastAsia" w:ascii="Times New Roman" w:hAnsi="Times New Roman" w:eastAsia="方正仿宋_GBK" w:cs="Times New Roman"/>
          <w:kern w:val="2"/>
          <w:sz w:val="32"/>
          <w:szCs w:val="32"/>
          <w:lang w:val="en-US" w:eastAsia="zh-CN" w:bidi="ar-SA"/>
        </w:rPr>
        <w:t>支出决算为315.36万元，完成预算100%，决算数等于预算数。</w:t>
      </w:r>
    </w:p>
    <w:p w14:paraId="0A7BA413">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11.商业服务业等支出（类）其他商业服务业等支出（款）其他商业服务业等支出（项）：</w:t>
      </w:r>
      <w:r>
        <w:rPr>
          <w:rFonts w:hint="eastAsia" w:ascii="Times New Roman" w:hAnsi="Times New Roman" w:eastAsia="方正仿宋_GBK" w:cs="Times New Roman"/>
          <w:kern w:val="2"/>
          <w:sz w:val="32"/>
          <w:szCs w:val="32"/>
          <w:lang w:val="en-US" w:eastAsia="zh-CN" w:bidi="ar-SA"/>
        </w:rPr>
        <w:t>支出决算为20万元，完成预算100%，决算数等于预算数。</w:t>
      </w:r>
    </w:p>
    <w:p w14:paraId="49429576">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12.住房保障支出（类）住房改革支出（款）住房公积金（项）：</w:t>
      </w:r>
      <w:r>
        <w:rPr>
          <w:rFonts w:hint="eastAsia" w:ascii="Times New Roman" w:hAnsi="Times New Roman" w:eastAsia="方正仿宋_GBK" w:cs="Times New Roman"/>
          <w:kern w:val="2"/>
          <w:sz w:val="32"/>
          <w:szCs w:val="32"/>
          <w:lang w:val="en-US" w:eastAsia="zh-CN" w:bidi="ar-SA"/>
        </w:rPr>
        <w:t>支出决算为21.12万元，完成预算100%，决算数等于预算数。</w:t>
      </w:r>
    </w:p>
    <w:p w14:paraId="38AC9786">
      <w:pPr>
        <w:tabs>
          <w:tab w:val="right" w:pos="8306"/>
        </w:tabs>
        <w:spacing w:line="600" w:lineRule="exact"/>
        <w:ind w:firstLine="640"/>
        <w:outlineLvl w:val="1"/>
        <w:rPr>
          <w:rStyle w:val="34"/>
          <w:rFonts w:ascii="Times New Roman" w:hAnsi="Times New Roman"/>
          <w:color w:val="auto"/>
          <w:highlight w:val="none"/>
        </w:rPr>
      </w:pPr>
      <w:bookmarkStart w:id="59" w:name="_Toc15377214"/>
      <w:bookmarkStart w:id="60" w:name="_Toc15396608"/>
      <w:bookmarkStart w:id="61" w:name="_Toc16898"/>
      <w:bookmarkStart w:id="62" w:name="_Toc20106"/>
      <w:r>
        <w:rPr>
          <w:rFonts w:hint="eastAsia" w:ascii="Times New Roman" w:hAnsi="Times New Roman" w:eastAsia="方正黑体_GBK" w:cs="Times New Roman"/>
          <w:b w:val="0"/>
          <w:bCs w:val="0"/>
          <w:kern w:val="2"/>
          <w:sz w:val="32"/>
          <w:szCs w:val="32"/>
          <w:lang w:val="en-US" w:eastAsia="zh-CN" w:bidi="ar-SA"/>
        </w:rPr>
        <w:t>六、一般公共预算财政拨款基本支出决算情况说明</w:t>
      </w:r>
      <w:bookmarkEnd w:id="59"/>
      <w:bookmarkEnd w:id="60"/>
      <w:bookmarkEnd w:id="61"/>
      <w:bookmarkEnd w:id="62"/>
      <w:r>
        <w:rPr>
          <w:rStyle w:val="34"/>
          <w:rFonts w:ascii="Times New Roman" w:hAnsi="Times New Roman" w:eastAsia="黑体"/>
          <w:b w:val="0"/>
          <w:color w:val="auto"/>
          <w:highlight w:val="none"/>
        </w:rPr>
        <w:tab/>
      </w:r>
    </w:p>
    <w:p w14:paraId="255F171E">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2025年度一般公共预算财政拨款基本支出298.44万元，其中：</w:t>
      </w:r>
    </w:p>
    <w:p w14:paraId="3674260B">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人员经费281.3万元，主要包括：基本工资、津贴补贴、奖金、绩效工资、机关事业单位基本养老保险缴费、职业年金缴费、职工基本医疗保险缴费、公务员医疗补助缴费、其他社会保障缴费、住房公积金、医疗费、其他工资福利支出。</w:t>
      </w:r>
      <w:r>
        <w:rPr>
          <w:rFonts w:hint="eastAsia" w:ascii="Times New Roman" w:hAnsi="Times New Roman" w:eastAsia="方正仿宋_GBK" w:cs="Times New Roman"/>
          <w:kern w:val="2"/>
          <w:sz w:val="32"/>
          <w:szCs w:val="32"/>
          <w:lang w:val="en-US" w:eastAsia="zh-CN" w:bidi="ar-SA"/>
        </w:rPr>
        <w:br w:type="textWrapping"/>
      </w:r>
      <w:r>
        <w:rPr>
          <w:rFonts w:hint="eastAsia" w:ascii="Times New Roman" w:hAnsi="Times New Roman" w:eastAsia="方正仿宋_GBK" w:cs="Times New Roman"/>
          <w:kern w:val="2"/>
          <w:sz w:val="32"/>
          <w:szCs w:val="32"/>
          <w:lang w:val="en-US" w:eastAsia="zh-CN" w:bidi="ar-SA"/>
        </w:rPr>
        <w:t>　　公用经费17.14万元，主要包括：办公费、水费、电费、邮电费、差旅费、维修（护）费、培训费、公务接待费、劳务费、委托业务费、工会经费、其他交通费、其他商品和服务支出。</w:t>
      </w:r>
    </w:p>
    <w:p w14:paraId="08EC58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8CEE77">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63" w:name="_Toc15377215"/>
      <w:bookmarkStart w:id="64" w:name="_Toc15396609"/>
      <w:bookmarkStart w:id="65" w:name="_Toc28964"/>
      <w:bookmarkStart w:id="66" w:name="_Toc13087"/>
      <w:r>
        <w:rPr>
          <w:rFonts w:hint="eastAsia" w:ascii="Times New Roman" w:hAnsi="Times New Roman" w:eastAsia="方正黑体_GBK" w:cs="Times New Roman"/>
          <w:b w:val="0"/>
          <w:bCs w:val="0"/>
          <w:kern w:val="2"/>
          <w:sz w:val="32"/>
          <w:szCs w:val="32"/>
          <w:lang w:val="en-US" w:eastAsia="zh-CN" w:bidi="ar-SA"/>
        </w:rPr>
        <w:t>七、财政拨款“三公”经费支出决算情况说明</w:t>
      </w:r>
      <w:bookmarkEnd w:id="63"/>
      <w:bookmarkEnd w:id="64"/>
      <w:bookmarkEnd w:id="65"/>
      <w:bookmarkEnd w:id="66"/>
    </w:p>
    <w:p w14:paraId="09922415">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67" w:name="_Toc15377216"/>
      <w:r>
        <w:rPr>
          <w:rFonts w:hint="eastAsia" w:ascii="Times New Roman" w:hAnsi="Times New Roman" w:eastAsia="方正楷体_GBK" w:cs="Times New Roman"/>
          <w:b/>
          <w:kern w:val="2"/>
          <w:sz w:val="32"/>
          <w:szCs w:val="32"/>
        </w:rPr>
        <w:t>（一）财政拨款“三公”经费支出决算总体情况说明</w:t>
      </w:r>
      <w:bookmarkEnd w:id="67"/>
    </w:p>
    <w:p w14:paraId="3FBEFD13">
      <w:pPr>
        <w:spacing w:line="600" w:lineRule="exact"/>
        <w:ind w:firstLine="640"/>
        <w:jc w:val="both"/>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2025年度财政拨款“三公”经费支出决算为39.24万元，完成预算98.56%，较上年度减少36.81万元，下降48.4%。决算数小于预算数的主要原因是本年度厉行节约减少不必要的开支。</w:t>
      </w:r>
    </w:p>
    <w:p w14:paraId="3844782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26B2A4D5">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68" w:name="_Toc15377217"/>
      <w:r>
        <w:rPr>
          <w:rFonts w:hint="eastAsia" w:ascii="Times New Roman" w:hAnsi="Times New Roman" w:eastAsia="方正楷体_GBK" w:cs="Times New Roman"/>
          <w:b/>
          <w:kern w:val="2"/>
          <w:sz w:val="32"/>
          <w:szCs w:val="32"/>
        </w:rPr>
        <w:t>（二）财政拨款“三公”经费支出决算具体情况说明</w:t>
      </w:r>
      <w:bookmarkEnd w:id="68"/>
    </w:p>
    <w:p w14:paraId="104820CF">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2025年度财政拨款“三公”经费支出决算中，因公出国（境）费支出决算0万元，占0%；公务用车购置及运行维护费支出决算0万元，占0%；公务接待费支出决算39.24万元，占100%。具体情况如下：</w:t>
      </w:r>
    </w:p>
    <w:p w14:paraId="16D38D5F">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（图7：财政拨款“三公”经费支出结构）（饼状图）</w:t>
      </w:r>
    </w:p>
    <w:p w14:paraId="119CFB1B">
      <w:pPr>
        <w:pStyle w:val="22"/>
        <w:rPr>
          <w:rFonts w:hint="eastAsia"/>
          <w:highlight w:val="none"/>
          <w:lang w:val="en-US" w:eastAsia="zh-CN"/>
        </w:rPr>
      </w:pPr>
      <w:r>
        <w:rPr>
          <w:highlight w:val="none"/>
        </w:rPr>
        <w:drawing>
          <wp:inline distT="0" distB="0" distL="114300" distR="114300">
            <wp:extent cx="4508500" cy="2426335"/>
            <wp:effectExtent l="4445" t="4445" r="20955" b="7620"/>
            <wp:docPr id="13536"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34143B8">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方正仿宋_GBK" w:cs="Times New Roman"/>
          <w:kern w:val="2"/>
          <w:sz w:val="32"/>
          <w:szCs w:val="32"/>
          <w:lang w:val="en-US" w:eastAsia="zh-CN" w:bidi="ar-SA"/>
        </w:rPr>
        <w:t>全年安排因公出国（境）团组0次，出国（境）0人。因公出国（境）支出决算比上年度增加/减少0万元，增长/下降0%。</w:t>
      </w:r>
    </w:p>
    <w:p w14:paraId="7E2E6949">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方正仿宋_GBK" w:cs="Times New Roman"/>
          <w:kern w:val="2"/>
          <w:sz w:val="32"/>
          <w:szCs w:val="32"/>
          <w:lang w:val="en-US" w:eastAsia="zh-CN" w:bidi="ar-SA"/>
        </w:rPr>
        <w:t>公务用车购置及运行维护费支出决算比上年度增加/减少0万元，增长/下降0%。</w:t>
      </w:r>
    </w:p>
    <w:p w14:paraId="01472DEB">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49CC7E40">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公务用车运行维护费支出0万元。</w:t>
      </w:r>
    </w:p>
    <w:p w14:paraId="1AC48227">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39.24</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方正仿宋_GBK" w:cs="Times New Roman"/>
          <w:kern w:val="2"/>
          <w:sz w:val="32"/>
          <w:szCs w:val="32"/>
          <w:lang w:val="en-US" w:eastAsia="zh-CN" w:bidi="ar-SA"/>
        </w:rPr>
        <w:t>公务接待费支出决算比上年度减少36.81万元，下降48.4%。主要原因是本年度厉行节约减少不必要的开支。其中：</w:t>
      </w:r>
    </w:p>
    <w:p w14:paraId="47BF58A3">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国内公务接待支出39.24万元，主要用于执行公务、开展业务活动开支的交通费、住宿费、用餐费等。国内公务接待282批次，2180人次（不包括陪同人员），共计支出39.24万元，具体内容包括：主要是商务接待方面的费用支出。</w:t>
      </w:r>
    </w:p>
    <w:p w14:paraId="2FA939BB">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外事接待支出0万元。外事接待0批次，0人次（不包括陪同人员），共计支出0万元。</w:t>
      </w:r>
    </w:p>
    <w:p w14:paraId="69F792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9" w:name="_Toc15396610"/>
      <w:bookmarkStart w:id="70" w:name="_Toc15377218"/>
    </w:p>
    <w:p w14:paraId="3CA5C8E7">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71" w:name="_Toc28577"/>
      <w:bookmarkStart w:id="72" w:name="_Toc32530"/>
      <w:r>
        <w:rPr>
          <w:rFonts w:hint="eastAsia" w:ascii="Times New Roman" w:hAnsi="Times New Roman" w:eastAsia="方正黑体_GBK" w:cs="Times New Roman"/>
          <w:b w:val="0"/>
          <w:bCs w:val="0"/>
          <w:kern w:val="2"/>
          <w:sz w:val="32"/>
          <w:szCs w:val="32"/>
          <w:lang w:val="en-US" w:eastAsia="zh-CN" w:bidi="ar-SA"/>
        </w:rPr>
        <w:t>八、政府性基金预算支出决算情况说明</w:t>
      </w:r>
      <w:bookmarkEnd w:id="69"/>
      <w:bookmarkEnd w:id="70"/>
      <w:bookmarkEnd w:id="71"/>
      <w:bookmarkEnd w:id="72"/>
    </w:p>
    <w:p w14:paraId="61092F13">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2025年度政府性基金预算财政拨款支出190.32万元，占本年支出合计的8.46%。与上年度相比，政府性基金预算财政拨款支出减少97.74万元，下降33.9%。主要变动原因是本年度政府性基金收支减少。</w:t>
      </w:r>
    </w:p>
    <w:p w14:paraId="4DCDCE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5003F3A">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73" w:name="_Toc15396611"/>
      <w:bookmarkStart w:id="74" w:name="_Toc16852"/>
      <w:bookmarkStart w:id="75" w:name="_Toc5296"/>
      <w:bookmarkStart w:id="76" w:name="_Toc15377219"/>
      <w:r>
        <w:rPr>
          <w:rFonts w:hint="eastAsia" w:ascii="Times New Roman" w:hAnsi="Times New Roman" w:eastAsia="方正黑体_GBK" w:cs="Times New Roman"/>
          <w:b w:val="0"/>
          <w:bCs w:val="0"/>
          <w:kern w:val="2"/>
          <w:sz w:val="32"/>
          <w:szCs w:val="32"/>
          <w:lang w:val="en-US" w:eastAsia="zh-CN" w:bidi="ar-SA"/>
        </w:rPr>
        <w:t>九、国有资本经营预算支出决算情况说明</w:t>
      </w:r>
      <w:bookmarkEnd w:id="73"/>
      <w:bookmarkEnd w:id="74"/>
      <w:bookmarkEnd w:id="75"/>
      <w:bookmarkEnd w:id="76"/>
    </w:p>
    <w:p w14:paraId="170EA1DA">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2025年度国有资本经营预算财政拨款支出0万元，占本年支出合计的0%。与上年度相比，国有资本经营预算财政拨款支出增加/减少0万元，增长/下降0%。</w:t>
      </w:r>
    </w:p>
    <w:p w14:paraId="71738A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2729629">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eastAsia" w:ascii="Times New Roman" w:hAnsi="Times New Roman" w:eastAsia="方正黑体_GBK" w:cs="Times New Roman"/>
          <w:b w:val="0"/>
          <w:bCs w:val="0"/>
          <w:kern w:val="2"/>
          <w:sz w:val="32"/>
          <w:szCs w:val="32"/>
          <w:lang w:val="en-US" w:eastAsia="zh-CN" w:bidi="ar-SA"/>
        </w:rPr>
      </w:pPr>
      <w:bookmarkStart w:id="77" w:name="_Toc15396612"/>
      <w:bookmarkStart w:id="78" w:name="_Toc2730"/>
      <w:bookmarkStart w:id="79" w:name="_Toc15377221"/>
      <w:bookmarkStart w:id="80" w:name="_Toc14175"/>
      <w:r>
        <w:rPr>
          <w:rFonts w:hint="eastAsia" w:ascii="Times New Roman" w:hAnsi="Times New Roman" w:eastAsia="方正黑体_GBK" w:cs="Times New Roman"/>
          <w:b w:val="0"/>
          <w:bCs w:val="0"/>
          <w:kern w:val="2"/>
          <w:sz w:val="32"/>
          <w:szCs w:val="32"/>
          <w:lang w:val="en-US" w:eastAsia="zh-CN" w:bidi="ar-SA"/>
        </w:rPr>
        <w:t>十、其他重要事项的情况说明</w:t>
      </w:r>
      <w:bookmarkEnd w:id="77"/>
      <w:bookmarkEnd w:id="78"/>
      <w:bookmarkEnd w:id="79"/>
      <w:bookmarkEnd w:id="80"/>
    </w:p>
    <w:p w14:paraId="76B54C03">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81" w:name="_Toc15377222"/>
      <w:r>
        <w:rPr>
          <w:rFonts w:hint="eastAsia" w:ascii="Times New Roman" w:hAnsi="Times New Roman" w:eastAsia="方正楷体_GBK" w:cs="Times New Roman"/>
          <w:b/>
          <w:kern w:val="2"/>
          <w:sz w:val="32"/>
          <w:szCs w:val="32"/>
        </w:rPr>
        <w:t>（一）机关运行经费支出情况</w:t>
      </w:r>
      <w:bookmarkEnd w:id="81"/>
    </w:p>
    <w:p w14:paraId="662F0741">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2025年度，攀枝花市仁和区经济合作局机关运行经费支出17.14万元，比上年度减少2.72万元，下降13.7%。主要原因是本年度机关运行经费减少。</w:t>
      </w:r>
    </w:p>
    <w:p w14:paraId="104D50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44FB27D">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82" w:name="_Toc15377223"/>
      <w:r>
        <w:rPr>
          <w:rFonts w:hint="eastAsia" w:ascii="Times New Roman" w:hAnsi="Times New Roman" w:eastAsia="方正楷体_GBK" w:cs="Times New Roman"/>
          <w:b/>
          <w:kern w:val="2"/>
          <w:sz w:val="32"/>
          <w:szCs w:val="32"/>
        </w:rPr>
        <w:t>（二）政府采购支出情况</w:t>
      </w:r>
      <w:bookmarkEnd w:id="82"/>
    </w:p>
    <w:p w14:paraId="31EE700C">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2025年度，攀枝花市仁和区经济合作局政府采购支出总额1.59万元，其中：政府采购货物支出1.59万元、政府采购工程支出0万元、政府采购服务支出0万元。采购电脑主要用于招商引资外出拜访企业、项目洽谈等工作。授予中小企业合同金额1.59万元，占政府采购支出总额的100%，其中：授予小微企业合同金额1.59万元，占政府采购支出总额的100%。</w:t>
      </w:r>
    </w:p>
    <w:p w14:paraId="7A974F1C">
      <w:pPr>
        <w:spacing w:line="600" w:lineRule="exact"/>
        <w:ind w:firstLine="640"/>
        <w:rPr>
          <w:rFonts w:hint="eastAsia" w:ascii="Times New Roman" w:hAnsi="Times New Roman" w:eastAsia="方正仿宋_GBK" w:cs="Times New Roman"/>
          <w:kern w:val="2"/>
          <w:sz w:val="32"/>
          <w:szCs w:val="32"/>
          <w:lang w:val="en-US" w:eastAsia="zh-CN" w:bidi="ar-SA"/>
        </w:rPr>
      </w:pPr>
    </w:p>
    <w:p w14:paraId="7D6BE54A">
      <w:pPr>
        <w:pStyle w:val="5"/>
        <w:spacing w:beforeLines="-2147483648"/>
        <w:ind w:firstLine="643" w:firstLineChars="200"/>
        <w:jc w:val="both"/>
        <w:outlineLvl w:val="9"/>
        <w:rPr>
          <w:rFonts w:hint="eastAsia" w:ascii="Times New Roman" w:hAnsi="Times New Roman" w:eastAsia="方正楷体_GBK" w:cs="Times New Roman"/>
          <w:b/>
          <w:kern w:val="2"/>
          <w:sz w:val="32"/>
          <w:szCs w:val="32"/>
        </w:rPr>
      </w:pPr>
      <w:bookmarkStart w:id="83" w:name="_Toc15377224"/>
      <w:r>
        <w:rPr>
          <w:rFonts w:hint="eastAsia" w:ascii="Times New Roman" w:hAnsi="Times New Roman" w:eastAsia="方正楷体_GBK" w:cs="Times New Roman"/>
          <w:b/>
          <w:kern w:val="2"/>
          <w:sz w:val="32"/>
          <w:szCs w:val="32"/>
        </w:rPr>
        <w:t>（三）国有资产占有使用情况</w:t>
      </w:r>
      <w:bookmarkEnd w:id="83"/>
    </w:p>
    <w:p w14:paraId="6DD74408">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截至2025年12月31日，攀枝花市仁和区经济合作局共有车辆0辆，其中：副部（省）级及以上领导用车0辆、主要负责人用车0辆、机要通信用车0辆、应急保障用车0辆、执法执勤用车0辆、特种专业技术用车0辆、离退休干部服务用车0辆、其他用车0辆。单价100万元（含）以上设备（不含车辆）0台（套）。</w:t>
      </w:r>
    </w:p>
    <w:p w14:paraId="031EA7EF">
      <w:pPr>
        <w:spacing w:line="600" w:lineRule="exact"/>
        <w:ind w:firstLine="643" w:firstLineChars="200"/>
        <w:outlineLvl w:val="2"/>
        <w:rPr>
          <w:rFonts w:hint="eastAsia" w:eastAsia="楷体_GB2312" w:cs="楷体_GB2312"/>
          <w:b/>
          <w:sz w:val="32"/>
          <w:szCs w:val="32"/>
        </w:rPr>
      </w:pPr>
    </w:p>
    <w:p w14:paraId="5D3960A8">
      <w:pPr>
        <w:spacing w:line="600" w:lineRule="exact"/>
        <w:ind w:firstLine="643" w:firstLineChars="200"/>
        <w:outlineLvl w:val="2"/>
        <w:rPr>
          <w:rFonts w:eastAsia="楷体_GB2312" w:cs="楷体_GB2312"/>
          <w:b/>
          <w:color w:val="auto"/>
          <w:sz w:val="32"/>
          <w:szCs w:val="32"/>
          <w:highlight w:val="none"/>
        </w:rPr>
      </w:pPr>
      <w:r>
        <w:rPr>
          <w:rFonts w:hint="eastAsia" w:eastAsia="楷体_GB2312" w:cs="楷体_GB2312"/>
          <w:b/>
          <w:color w:val="auto"/>
          <w:sz w:val="32"/>
          <w:szCs w:val="32"/>
          <w:highlight w:val="none"/>
        </w:rPr>
        <w:t>（四）预算绩效管理情况</w:t>
      </w:r>
    </w:p>
    <w:p w14:paraId="64011DF0">
      <w:pPr>
        <w:spacing w:line="600" w:lineRule="exact"/>
        <w:ind w:firstLine="640"/>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根据预算绩效管理要求，</w:t>
      </w:r>
      <w:r>
        <w:rPr>
          <w:rFonts w:hint="eastAsia" w:ascii="Times New Roman" w:hAnsi="Times New Roman" w:eastAsia="方正仿宋_GBK" w:cs="Times New Roman"/>
          <w:kern w:val="2"/>
          <w:sz w:val="32"/>
          <w:szCs w:val="32"/>
          <w:lang w:val="zh-CN" w:eastAsia="zh-CN" w:bidi="ar-SA"/>
        </w:rPr>
        <w:t>攀枝花市仁和区经济合作局</w:t>
      </w:r>
      <w:r>
        <w:rPr>
          <w:rFonts w:hint="eastAsia" w:ascii="Times New Roman" w:hAnsi="Times New Roman" w:eastAsia="方正仿宋_GBK" w:cs="Times New Roman"/>
          <w:kern w:val="2"/>
          <w:sz w:val="32"/>
          <w:szCs w:val="32"/>
          <w:lang w:val="en-US" w:eastAsia="zh-CN" w:bidi="ar-SA"/>
        </w:rPr>
        <w:t>在2025年度，组织对恒森绿色科技MiniLED智能灯带生产项目厂房装修补贴、PCB线路板产业集群项目3#厂房装修补贴、宜新集团富邦钒钛钢铁新材料综合利用项目2023年度经济贡献奖补资金、、PCB线路板产业集群项目设备补贴、招商引资激励奖补资金、2025年招商引资工作经费（项目名称）等6个项目涉及金额2248.22万元开展了事前绩效评估，对6个项目编制了绩效目标，预算执行过程中，选取6个项目开展绩效监控。</w:t>
      </w:r>
    </w:p>
    <w:p w14:paraId="716BA1B1">
      <w:pPr>
        <w:spacing w:line="600" w:lineRule="exact"/>
        <w:ind w:firstLine="640"/>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组织对2025年度一般公共预算、政府性基金预算、国有资本经营预算、社会保险基金预算以及资本资产、债券资金等全面开展绩效自评，形成</w:t>
      </w:r>
      <w:r>
        <w:rPr>
          <w:rFonts w:hint="eastAsia" w:ascii="Times New Roman" w:hAnsi="Times New Roman" w:eastAsia="方正仿宋_GBK" w:cs="Times New Roman"/>
          <w:kern w:val="2"/>
          <w:sz w:val="32"/>
          <w:szCs w:val="32"/>
          <w:lang w:val="zh-CN" w:eastAsia="zh-CN" w:bidi="ar-SA"/>
        </w:rPr>
        <w:t>攀枝花市仁和区经济合作局部门</w:t>
      </w:r>
      <w:r>
        <w:rPr>
          <w:rFonts w:hint="eastAsia" w:ascii="Times New Roman" w:hAnsi="Times New Roman" w:eastAsia="方正仿宋_GBK" w:cs="Times New Roman"/>
          <w:kern w:val="2"/>
          <w:sz w:val="32"/>
          <w:szCs w:val="32"/>
          <w:lang w:val="en-US" w:eastAsia="zh-CN" w:bidi="ar-SA"/>
        </w:rPr>
        <w:t>预算（含部门预算项目）绩效自评报告、恒森绿色科技MiniLED智能灯带生产项目厂房装修补贴专项预算项目绩效自评报告、PCB线路板产业集群项目3#厂房装修补贴专项预算项目绩效自评报告、宜新集团富邦钒钛钢铁新材料综合利用项目2023年度经济贡献奖补资金专项预算项目绩效自评报告、PCB线路板产业集群项目设备补贴专项预算项目绩效自评报告、招商引资激励奖补资金专项预算项目绩效自评报告等专项预算项目绩效自评报告，其中，</w:t>
      </w:r>
      <w:r>
        <w:rPr>
          <w:rFonts w:hint="eastAsia" w:ascii="Times New Roman" w:hAnsi="Times New Roman" w:eastAsia="方正仿宋_GBK" w:cs="Times New Roman"/>
          <w:kern w:val="2"/>
          <w:sz w:val="32"/>
          <w:szCs w:val="32"/>
          <w:lang w:val="zh-CN" w:eastAsia="zh-CN" w:bidi="ar-SA"/>
        </w:rPr>
        <w:t>攀枝花市仁和区经济合作局</w:t>
      </w:r>
      <w:r>
        <w:rPr>
          <w:rFonts w:hint="eastAsia" w:ascii="Times New Roman" w:hAnsi="Times New Roman" w:eastAsia="方正仿宋_GBK" w:cs="Times New Roman"/>
          <w:kern w:val="2"/>
          <w:sz w:val="32"/>
          <w:szCs w:val="32"/>
          <w:lang w:val="en-US" w:eastAsia="zh-CN" w:bidi="ar-SA"/>
        </w:rPr>
        <w:t>部门预算（含部门预算项目）绩效自评得分为95分，绩效自评综述：</w:t>
      </w:r>
      <w:r>
        <w:rPr>
          <w:rFonts w:hint="eastAsia" w:ascii="Times New Roman" w:hAnsi="Times New Roman" w:eastAsia="方正仿宋_GBK" w:cs="Times New Roman"/>
          <w:kern w:val="2"/>
          <w:sz w:val="32"/>
          <w:szCs w:val="32"/>
          <w:lang w:val="zh-CN" w:eastAsia="zh-CN" w:bidi="ar-SA"/>
        </w:rPr>
        <w:t>我局部门整体支出绩效评价自查自评结果良好，全年基本支出保证了部门的正常运行和日常工作的正常开展，项目支出保障了重点工作的开展，绩效目标得到较好实现，绩效管理水平不断提高，绩效指标体系逐渐丰富和完善。</w:t>
      </w:r>
      <w:r>
        <w:rPr>
          <w:rFonts w:hint="eastAsia" w:ascii="Times New Roman" w:hAnsi="Times New Roman" w:eastAsia="方正仿宋_GBK" w:cs="Times New Roman"/>
          <w:kern w:val="2"/>
          <w:sz w:val="32"/>
          <w:szCs w:val="32"/>
          <w:lang w:val="en-US" w:eastAsia="zh-CN" w:bidi="ar-SA"/>
        </w:rPr>
        <w:t>；恒森绿色科技MiniLED智能灯带生产项目厂房装修补贴专项预算项目绩效自评得分为91分，绩效自评综述：</w:t>
      </w:r>
      <w:r>
        <w:rPr>
          <w:rFonts w:hint="eastAsia" w:ascii="Times New Roman" w:hAnsi="Times New Roman" w:eastAsia="方正仿宋_GBK" w:cs="Times New Roman"/>
          <w:kern w:val="2"/>
          <w:sz w:val="32"/>
          <w:szCs w:val="32"/>
          <w:lang w:val="zh-CN" w:eastAsia="zh-CN" w:bidi="ar-SA"/>
        </w:rPr>
        <w:t>该项目支出绩效评价自查自评结果良好，</w:t>
      </w:r>
      <w:r>
        <w:rPr>
          <w:rFonts w:hint="eastAsia" w:ascii="Times New Roman" w:hAnsi="Times New Roman" w:eastAsia="方正仿宋_GBK" w:cs="Times New Roman"/>
          <w:kern w:val="2"/>
          <w:sz w:val="32"/>
          <w:szCs w:val="32"/>
          <w:lang w:val="en-US" w:eastAsia="zh-CN" w:bidi="ar-SA"/>
        </w:rPr>
        <w:t>决策及实施合理，缓解了企业生产经营过程中的资金压力，推动项目进一步升级规模；在经济效益方面，推动企业营收增长，促进了仁和区产业结构优化升级，推动了全区经济优质高效发展；在社会效益方面，提供了就业岗位。PCB线路板产业集群项目3#厂房装修补贴专项预算项目绩效自评得分为97分，绩效自评综述：</w:t>
      </w:r>
      <w:r>
        <w:rPr>
          <w:rFonts w:hint="eastAsia" w:ascii="Times New Roman" w:hAnsi="Times New Roman" w:eastAsia="方正仿宋_GBK" w:cs="Times New Roman"/>
          <w:kern w:val="2"/>
          <w:sz w:val="32"/>
          <w:szCs w:val="32"/>
          <w:lang w:val="zh-CN" w:eastAsia="zh-CN" w:bidi="ar-SA"/>
        </w:rPr>
        <w:t>该项目支出绩效评价自查自评结果良好，</w:t>
      </w:r>
      <w:r>
        <w:rPr>
          <w:rFonts w:hint="eastAsia" w:ascii="Times New Roman" w:hAnsi="Times New Roman" w:eastAsia="方正仿宋_GBK" w:cs="Times New Roman"/>
          <w:kern w:val="2"/>
          <w:sz w:val="32"/>
          <w:szCs w:val="32"/>
          <w:lang w:val="en-US" w:eastAsia="zh-CN" w:bidi="ar-SA"/>
        </w:rPr>
        <w:t>决策及实施合理，缓解了企业生产经营过程中的资金压力，推动项目进一步升级规模。在经济效益方面，推动企业营收增长，促进了仁和区产业结构优化升级，推动了全区经济优质高效发展。在社会效益方面，提供了就业岗位。宜新集团富邦钒钛钢铁新材料综合利用项目2023年度经济贡献奖补资金专项预算项目绩效自评得分为91分，绩效自评综述：</w:t>
      </w:r>
      <w:r>
        <w:rPr>
          <w:rFonts w:hint="eastAsia" w:ascii="Times New Roman" w:hAnsi="Times New Roman" w:eastAsia="方正仿宋_GBK" w:cs="Times New Roman"/>
          <w:kern w:val="2"/>
          <w:sz w:val="32"/>
          <w:szCs w:val="32"/>
          <w:lang w:val="zh-CN" w:eastAsia="zh-CN" w:bidi="ar-SA"/>
        </w:rPr>
        <w:t>该项目支出绩效评价自查自评结果良好，</w:t>
      </w:r>
      <w:r>
        <w:rPr>
          <w:rFonts w:hint="eastAsia" w:ascii="Times New Roman" w:hAnsi="Times New Roman" w:eastAsia="方正仿宋_GBK" w:cs="Times New Roman"/>
          <w:kern w:val="2"/>
          <w:sz w:val="32"/>
          <w:szCs w:val="32"/>
          <w:lang w:val="en-US" w:eastAsia="zh-CN" w:bidi="ar-SA"/>
        </w:rPr>
        <w:t>决策及实施合理，缓解了企业生产经营过程中的资金压力，推动项目进一步升级规模，促进了仁和区产业结构优化升级，推动了全区经济优质高效发展，提供了就业岗位246个。PCB线路板产业集群项目设备补贴专项预算项目绩效自评得分为98分，绩效自评综述：</w:t>
      </w:r>
      <w:r>
        <w:rPr>
          <w:rFonts w:hint="eastAsia" w:ascii="Times New Roman" w:hAnsi="Times New Roman" w:eastAsia="方正仿宋_GBK" w:cs="Times New Roman"/>
          <w:kern w:val="2"/>
          <w:sz w:val="32"/>
          <w:szCs w:val="32"/>
          <w:lang w:val="zh-CN" w:eastAsia="zh-CN" w:bidi="ar-SA"/>
        </w:rPr>
        <w:t>该项目支出绩效评价自查自评结果良好，</w:t>
      </w:r>
      <w:r>
        <w:rPr>
          <w:rFonts w:hint="eastAsia" w:ascii="Times New Roman" w:hAnsi="Times New Roman" w:eastAsia="方正仿宋_GBK" w:cs="Times New Roman"/>
          <w:kern w:val="2"/>
          <w:sz w:val="32"/>
          <w:szCs w:val="32"/>
          <w:lang w:val="en-US" w:eastAsia="zh-CN" w:bidi="ar-SA"/>
        </w:rPr>
        <w:t>决策及实施合理，缓解了企业生产经营过程中的资金压力，推动项目进一步升级规模。在经济效益方面，推动企业营收增长，促进了仁和区产业结构优化升级，推动了全区经济优质高效发展。在社会效益方面，提供了就业岗位。招商引资激励奖补资金专项预算项目绩效自评得分为92分，绩效自评综述：</w:t>
      </w:r>
      <w:r>
        <w:rPr>
          <w:rFonts w:hint="eastAsia" w:ascii="Times New Roman" w:hAnsi="Times New Roman" w:eastAsia="方正仿宋_GBK" w:cs="Times New Roman"/>
          <w:kern w:val="2"/>
          <w:sz w:val="32"/>
          <w:szCs w:val="32"/>
          <w:lang w:val="zh-CN" w:eastAsia="zh-CN" w:bidi="ar-SA"/>
        </w:rPr>
        <w:t>该项目支出绩效评价自查自评结果良好，</w:t>
      </w:r>
      <w:r>
        <w:rPr>
          <w:rFonts w:hint="eastAsia" w:ascii="Times New Roman" w:hAnsi="Times New Roman" w:eastAsia="方正仿宋_GBK" w:cs="Times New Roman"/>
          <w:kern w:val="2"/>
          <w:sz w:val="32"/>
          <w:szCs w:val="32"/>
          <w:lang w:val="en-US" w:eastAsia="zh-CN" w:bidi="ar-SA"/>
        </w:rPr>
        <w:t>决策及实施合理，缓解了企业生产经营过程中的资金压力，推动项目进一步升级规模。促进了仁和区产业结构优化升级，推动了全区经济优质高效发展。提供了就业岗位246个，通过展会宣传，展现攀枝花优秀的对外开放形象。绩效自评报告详见附件。</w:t>
      </w:r>
    </w:p>
    <w:p w14:paraId="72A6BB98">
      <w:pPr>
        <w:spacing w:line="600" w:lineRule="exact"/>
        <w:ind w:firstLine="640"/>
        <w:rPr>
          <w:rFonts w:hint="default" w:ascii="Times New Roman" w:hAnsi="Times New Roman" w:eastAsia="方正仿宋_GBK" w:cs="Times New Roman"/>
          <w:kern w:val="2"/>
          <w:sz w:val="32"/>
          <w:szCs w:val="32"/>
          <w:lang w:val="en-US" w:eastAsia="zh-CN" w:bidi="ar-SA"/>
        </w:rPr>
      </w:pPr>
    </w:p>
    <w:p w14:paraId="7BAF9303">
      <w:pPr>
        <w:pStyle w:val="21"/>
        <w:rPr>
          <w:rFonts w:eastAsia="仿宋_GB2312" w:cs="仿宋_GB2312"/>
          <w:sz w:val="32"/>
          <w:szCs w:val="32"/>
          <w:highlight w:val="yellow"/>
        </w:rPr>
      </w:pPr>
    </w:p>
    <w:p w14:paraId="1DD62C4A">
      <w:pPr>
        <w:pStyle w:val="22"/>
        <w:rPr>
          <w:rFonts w:eastAsia="仿宋_GB2312" w:cs="仿宋_GB2312"/>
          <w:sz w:val="32"/>
          <w:szCs w:val="32"/>
          <w:highlight w:val="yellow"/>
        </w:rPr>
      </w:pPr>
    </w:p>
    <w:p w14:paraId="75D84E75">
      <w:pPr>
        <w:rPr>
          <w:rFonts w:eastAsia="仿宋_GB2312" w:cs="仿宋_GB2312"/>
          <w:sz w:val="32"/>
          <w:szCs w:val="32"/>
          <w:highlight w:val="yellow"/>
        </w:rPr>
      </w:pPr>
    </w:p>
    <w:p w14:paraId="5A624B59">
      <w:pPr>
        <w:pStyle w:val="21"/>
        <w:rPr>
          <w:rFonts w:eastAsia="仿宋_GB2312" w:cs="仿宋_GB2312"/>
          <w:sz w:val="32"/>
          <w:szCs w:val="32"/>
          <w:highlight w:val="yellow"/>
        </w:rPr>
      </w:pPr>
    </w:p>
    <w:p w14:paraId="1675F875">
      <w:pPr>
        <w:pStyle w:val="22"/>
        <w:rPr>
          <w:rFonts w:eastAsia="仿宋_GB2312" w:cs="仿宋_GB2312"/>
          <w:sz w:val="32"/>
          <w:szCs w:val="32"/>
          <w:highlight w:val="yellow"/>
        </w:rPr>
      </w:pPr>
    </w:p>
    <w:p w14:paraId="07DE1334">
      <w:pPr>
        <w:rPr>
          <w:rFonts w:eastAsia="仿宋_GB2312" w:cs="仿宋_GB2312"/>
          <w:sz w:val="32"/>
          <w:szCs w:val="32"/>
          <w:highlight w:val="yellow"/>
        </w:rPr>
      </w:pPr>
    </w:p>
    <w:p w14:paraId="71069A06">
      <w:pPr>
        <w:pStyle w:val="21"/>
        <w:rPr>
          <w:rFonts w:eastAsia="仿宋_GB2312" w:cs="仿宋_GB2312"/>
          <w:sz w:val="32"/>
          <w:szCs w:val="32"/>
          <w:highlight w:val="yellow"/>
        </w:rPr>
      </w:pPr>
    </w:p>
    <w:p w14:paraId="34C0E0C4">
      <w:pPr>
        <w:pStyle w:val="22"/>
        <w:rPr>
          <w:rFonts w:eastAsia="仿宋_GB2312" w:cs="仿宋_GB2312"/>
          <w:sz w:val="32"/>
          <w:szCs w:val="32"/>
          <w:highlight w:val="yellow"/>
        </w:rPr>
      </w:pPr>
    </w:p>
    <w:p w14:paraId="2D4B0B7B">
      <w:pPr>
        <w:rPr>
          <w:rFonts w:eastAsia="仿宋_GB2312" w:cs="仿宋_GB2312"/>
          <w:sz w:val="32"/>
          <w:szCs w:val="32"/>
          <w:highlight w:val="yellow"/>
        </w:rPr>
      </w:pPr>
    </w:p>
    <w:p w14:paraId="074FA0F1">
      <w:pPr>
        <w:pStyle w:val="21"/>
        <w:rPr>
          <w:rFonts w:eastAsia="仿宋_GB2312" w:cs="仿宋_GB2312"/>
          <w:sz w:val="32"/>
          <w:szCs w:val="32"/>
          <w:highlight w:val="yellow"/>
        </w:rPr>
      </w:pPr>
    </w:p>
    <w:p w14:paraId="435F21F3">
      <w:pPr>
        <w:pStyle w:val="22"/>
        <w:rPr>
          <w:rFonts w:eastAsia="仿宋_GB2312" w:cs="仿宋_GB2312"/>
          <w:sz w:val="32"/>
          <w:szCs w:val="32"/>
          <w:highlight w:val="yellow"/>
        </w:rPr>
      </w:pPr>
    </w:p>
    <w:p w14:paraId="3A729A93"/>
    <w:p w14:paraId="1C6116F7">
      <w:pPr>
        <w:pStyle w:val="21"/>
        <w:rPr>
          <w:rFonts w:eastAsia="仿宋_GB2312" w:cs="仿宋_GB2312"/>
          <w:sz w:val="32"/>
          <w:szCs w:val="32"/>
          <w:highlight w:val="yellow"/>
        </w:rPr>
      </w:pPr>
    </w:p>
    <w:p w14:paraId="57B9AEE9">
      <w:pPr>
        <w:pStyle w:val="22"/>
        <w:rPr>
          <w:rFonts w:eastAsia="仿宋_GB2312" w:cs="仿宋_GB2312"/>
          <w:sz w:val="32"/>
          <w:szCs w:val="32"/>
          <w:highlight w:val="yellow"/>
        </w:rPr>
      </w:pPr>
    </w:p>
    <w:p w14:paraId="0731B69E">
      <w:pPr>
        <w:rPr>
          <w:rFonts w:eastAsia="仿宋_GB2312" w:cs="仿宋_GB2312"/>
          <w:sz w:val="32"/>
          <w:szCs w:val="32"/>
          <w:highlight w:val="yellow"/>
        </w:rPr>
      </w:pPr>
    </w:p>
    <w:p w14:paraId="58292C96">
      <w:pPr>
        <w:pStyle w:val="21"/>
      </w:pPr>
    </w:p>
    <w:p w14:paraId="0C5B3500">
      <w:pPr>
        <w:spacing w:line="600" w:lineRule="exact"/>
        <w:jc w:val="center"/>
        <w:outlineLvl w:val="0"/>
        <w:rPr>
          <w:rFonts w:eastAsia="黑体"/>
          <w:sz w:val="44"/>
          <w:szCs w:val="44"/>
          <w:highlight w:val="none"/>
        </w:rPr>
      </w:pPr>
      <w:bookmarkStart w:id="84" w:name="_Toc15377225"/>
      <w:bookmarkStart w:id="85" w:name="_Toc11785"/>
      <w:bookmarkStart w:id="86" w:name="_Toc15396613"/>
      <w:bookmarkStart w:id="87" w:name="_Toc32618"/>
      <w:r>
        <w:rPr>
          <w:rFonts w:hint="eastAsia" w:eastAsia="黑体"/>
          <w:sz w:val="44"/>
          <w:szCs w:val="44"/>
          <w:highlight w:val="none"/>
        </w:rPr>
        <w:t>第三部分  名词解释</w:t>
      </w:r>
      <w:bookmarkEnd w:id="84"/>
      <w:bookmarkEnd w:id="85"/>
      <w:bookmarkEnd w:id="86"/>
      <w:bookmarkEnd w:id="87"/>
    </w:p>
    <w:p w14:paraId="11E37E10">
      <w:pPr>
        <w:pageBreakBefore w:val="0"/>
        <w:kinsoku/>
        <w:wordWrap/>
        <w:overflowPunct/>
        <w:topLinePunct w:val="0"/>
        <w:bidi w:val="0"/>
        <w:spacing w:line="240" w:lineRule="auto"/>
        <w:jc w:val="both"/>
        <w:textAlignment w:val="auto"/>
        <w:rPr>
          <w:rFonts w:ascii="宋体"/>
          <w:b/>
          <w:color w:val="auto"/>
          <w:sz w:val="44"/>
          <w:szCs w:val="44"/>
          <w:highlight w:val="none"/>
        </w:rPr>
      </w:pPr>
      <w:bookmarkStart w:id="88" w:name="_Toc15377226"/>
    </w:p>
    <w:p w14:paraId="3EE9EBFD">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1.财政拨款收入：</w:t>
      </w:r>
      <w:r>
        <w:rPr>
          <w:rFonts w:hint="default" w:ascii="Times New Roman" w:hAnsi="Times New Roman" w:eastAsia="方正仿宋_GBK" w:cs="Times New Roman"/>
          <w:kern w:val="2"/>
          <w:sz w:val="32"/>
          <w:szCs w:val="32"/>
          <w:lang w:val="zh-CN" w:eastAsia="zh-CN" w:bidi="ar-SA"/>
        </w:rPr>
        <w:t>指单位从同级财政部门取得的财政预算资金。</w:t>
      </w:r>
    </w:p>
    <w:p w14:paraId="1DA46254">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2.事业收入：</w:t>
      </w:r>
      <w:r>
        <w:rPr>
          <w:rFonts w:hint="default" w:ascii="Times New Roman" w:hAnsi="Times New Roman" w:eastAsia="方正仿宋_GBK" w:cs="Times New Roman"/>
          <w:kern w:val="2"/>
          <w:sz w:val="32"/>
          <w:szCs w:val="32"/>
          <w:lang w:val="zh-CN" w:eastAsia="zh-CN" w:bidi="ar-SA"/>
        </w:rPr>
        <w:t>指事业单位开展专业业务活动及辅助活动取得的收入。</w:t>
      </w:r>
    </w:p>
    <w:p w14:paraId="268635D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3.经营收入：</w:t>
      </w:r>
      <w:r>
        <w:rPr>
          <w:rFonts w:hint="default" w:ascii="Times New Roman" w:hAnsi="Times New Roman" w:eastAsia="方正仿宋_GBK" w:cs="Times New Roman"/>
          <w:kern w:val="2"/>
          <w:sz w:val="32"/>
          <w:szCs w:val="32"/>
          <w:lang w:val="zh-CN" w:eastAsia="zh-CN" w:bidi="ar-SA"/>
        </w:rPr>
        <w:t>指事业单位在专业业务活动及其辅助活动之外开展非独立核算经营活动取得的收入。</w:t>
      </w:r>
    </w:p>
    <w:p w14:paraId="3E9BF678">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4.其他收入：</w:t>
      </w:r>
      <w:r>
        <w:rPr>
          <w:rFonts w:hint="default" w:ascii="Times New Roman" w:hAnsi="Times New Roman" w:eastAsia="方正仿宋_GBK" w:cs="Times New Roman"/>
          <w:kern w:val="2"/>
          <w:sz w:val="32"/>
          <w:szCs w:val="32"/>
          <w:lang w:val="zh-CN" w:eastAsia="zh-CN" w:bidi="ar-SA"/>
        </w:rPr>
        <w:t>指单位取得的除上述收入以外的各项收入。</w:t>
      </w:r>
    </w:p>
    <w:p w14:paraId="025A2F62">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5.使用非财政拨款结余（含专用结余）：</w:t>
      </w:r>
      <w:r>
        <w:rPr>
          <w:rFonts w:hint="default" w:ascii="Times New Roman" w:hAnsi="Times New Roman" w:eastAsia="方正仿宋_GBK" w:cs="Times New Roman"/>
          <w:kern w:val="2"/>
          <w:sz w:val="32"/>
          <w:szCs w:val="32"/>
          <w:lang w:val="zh-CN" w:eastAsia="zh-CN" w:bidi="ar-SA"/>
        </w:rPr>
        <w:t>指事业单位使用以前年度积累的非财政拨款结余弥补当年收支差额的金额。</w:t>
      </w:r>
    </w:p>
    <w:p w14:paraId="1DF805CD">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6.年初结转和结余：</w:t>
      </w:r>
      <w:r>
        <w:rPr>
          <w:rFonts w:hint="default" w:ascii="Times New Roman" w:hAnsi="Times New Roman" w:eastAsia="方正仿宋_GBK" w:cs="Times New Roman"/>
          <w:kern w:val="2"/>
          <w:sz w:val="32"/>
          <w:szCs w:val="32"/>
          <w:lang w:val="zh-CN" w:eastAsia="zh-CN" w:bidi="ar-SA"/>
        </w:rPr>
        <w:t>指以前年度尚未完成、结转到本年按有关规定继续使用的资金。</w:t>
      </w:r>
    </w:p>
    <w:p w14:paraId="59CCC06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7.结余分配：</w:t>
      </w:r>
      <w:r>
        <w:rPr>
          <w:rFonts w:hint="default" w:ascii="Times New Roman" w:hAnsi="Times New Roman" w:eastAsia="方正仿宋_GBK" w:cs="Times New Roman"/>
          <w:kern w:val="2"/>
          <w:sz w:val="32"/>
          <w:szCs w:val="32"/>
          <w:lang w:val="zh-CN" w:eastAsia="zh-CN" w:bidi="ar-SA"/>
        </w:rPr>
        <w:t>指事业单位按照会计制度规定缴纳的所得税、提取的专用结余以及转入非财政拨款结余的金额等。</w:t>
      </w:r>
    </w:p>
    <w:p w14:paraId="64AA8C3F">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8</w:t>
      </w:r>
      <w:r>
        <w:rPr>
          <w:rFonts w:hint="default" w:ascii="Times New Roman" w:hAnsi="Times New Roman" w:eastAsia="方正仿宋_GBK" w:cs="Times New Roman"/>
          <w:b/>
          <w:bCs/>
          <w:kern w:val="2"/>
          <w:sz w:val="32"/>
          <w:szCs w:val="32"/>
          <w:lang w:val="en-US" w:eastAsia="zh-CN" w:bidi="ar-SA"/>
        </w:rPr>
        <w:t>.</w:t>
      </w:r>
      <w:r>
        <w:rPr>
          <w:rFonts w:hint="default" w:ascii="Times New Roman" w:hAnsi="Times New Roman" w:eastAsia="方正仿宋_GBK" w:cs="Times New Roman"/>
          <w:b/>
          <w:bCs/>
          <w:kern w:val="2"/>
          <w:sz w:val="32"/>
          <w:szCs w:val="32"/>
          <w:lang w:val="zh-CN" w:eastAsia="zh-CN" w:bidi="ar-SA"/>
        </w:rPr>
        <w:t>年末结转和结余：</w:t>
      </w:r>
      <w:r>
        <w:rPr>
          <w:rFonts w:hint="default" w:ascii="Times New Roman" w:hAnsi="Times New Roman" w:eastAsia="方正仿宋_GBK" w:cs="Times New Roman"/>
          <w:kern w:val="2"/>
          <w:sz w:val="32"/>
          <w:szCs w:val="32"/>
          <w:lang w:val="zh-CN" w:eastAsia="zh-CN" w:bidi="ar-SA"/>
        </w:rPr>
        <w:t>指单位按有关规定结转到下年或以后年度继续使用的资金。</w:t>
      </w:r>
    </w:p>
    <w:p w14:paraId="5943D282">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9.</w:t>
      </w:r>
      <w:r>
        <w:rPr>
          <w:rFonts w:hint="default" w:ascii="Times New Roman" w:hAnsi="Times New Roman" w:eastAsia="方正仿宋_GBK" w:cs="Times New Roman"/>
          <w:b/>
          <w:bCs/>
          <w:kern w:val="2"/>
          <w:sz w:val="32"/>
          <w:szCs w:val="32"/>
          <w:lang w:val="en-US" w:eastAsia="zh-CN" w:bidi="ar-SA"/>
        </w:rPr>
        <w:t>一般公共服务（类）政府办公厅（室）及相关机构事务（款）行政运行（项）</w:t>
      </w:r>
      <w:r>
        <w:rPr>
          <w:rFonts w:hint="eastAsia" w:ascii="Times New Roman" w:hAnsi="Times New Roman" w:eastAsia="方正仿宋_GBK" w:cs="Times New Roman"/>
          <w:b/>
          <w:bCs/>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en-US" w:eastAsia="zh-CN" w:bidi="ar-SA"/>
        </w:rPr>
        <w:t>行政单位（包括实行公务员管理的事业单位）的基本支出</w:t>
      </w:r>
      <w:r>
        <w:rPr>
          <w:rFonts w:hint="default" w:ascii="Times New Roman" w:hAnsi="Times New Roman" w:eastAsia="方正仿宋_GBK" w:cs="Times New Roman"/>
          <w:kern w:val="2"/>
          <w:sz w:val="32"/>
          <w:szCs w:val="32"/>
          <w:lang w:val="zh-CN" w:eastAsia="zh-CN" w:bidi="ar-SA"/>
        </w:rPr>
        <w:t>。</w:t>
      </w:r>
    </w:p>
    <w:p w14:paraId="7F3ED4CC">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10.</w:t>
      </w:r>
      <w:r>
        <w:rPr>
          <w:rFonts w:hint="default" w:ascii="Times New Roman" w:hAnsi="Times New Roman" w:eastAsia="方正仿宋_GBK" w:cs="Times New Roman"/>
          <w:b/>
          <w:bCs/>
          <w:kern w:val="2"/>
          <w:sz w:val="32"/>
          <w:szCs w:val="32"/>
          <w:lang w:val="en-US" w:eastAsia="zh-CN" w:bidi="ar-SA"/>
        </w:rPr>
        <w:t>一般公共服务支出（类）商贸事务（款）行政运行（项）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行政单位（包括实行公务员管理的事业单位）的基本支出。</w:t>
      </w:r>
    </w:p>
    <w:p w14:paraId="78371AC7">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11.</w:t>
      </w:r>
      <w:r>
        <w:rPr>
          <w:rFonts w:hint="default" w:ascii="Times New Roman" w:hAnsi="Times New Roman" w:eastAsia="方正仿宋_GBK" w:cs="Times New Roman"/>
          <w:b/>
          <w:bCs/>
          <w:kern w:val="2"/>
          <w:sz w:val="32"/>
          <w:szCs w:val="32"/>
          <w:lang w:val="zh-CN" w:eastAsia="zh-CN" w:bidi="ar-SA"/>
        </w:rPr>
        <w:t>一般公共服务支出（类）</w:t>
      </w:r>
      <w:r>
        <w:rPr>
          <w:rFonts w:hint="eastAsia" w:ascii="Times New Roman" w:hAnsi="Times New Roman" w:eastAsia="方正仿宋_GBK" w:cs="Times New Roman"/>
          <w:b/>
          <w:bCs/>
          <w:kern w:val="2"/>
          <w:sz w:val="32"/>
          <w:szCs w:val="32"/>
          <w:lang w:val="zh-CN" w:eastAsia="zh-CN" w:bidi="ar-SA"/>
        </w:rPr>
        <w:t>商贸事务</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zh-CN" w:eastAsia="zh-CN" w:bidi="ar-SA"/>
        </w:rPr>
        <w:t>招商引资</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用于招商引资、优化经济环境等</w:t>
      </w:r>
      <w:r>
        <w:rPr>
          <w:rFonts w:hint="eastAsia" w:ascii="Times New Roman" w:hAnsi="Times New Roman" w:eastAsia="方正仿宋_GBK" w:cs="Times New Roman"/>
          <w:kern w:val="2"/>
          <w:sz w:val="32"/>
          <w:szCs w:val="32"/>
          <w:lang w:val="en-US" w:eastAsia="zh-CN" w:bidi="ar-SA"/>
        </w:rPr>
        <w:t>方面</w:t>
      </w:r>
      <w:r>
        <w:rPr>
          <w:rFonts w:hint="eastAsia" w:ascii="Times New Roman" w:hAnsi="Times New Roman" w:eastAsia="方正仿宋_GBK" w:cs="Times New Roman"/>
          <w:kern w:val="2"/>
          <w:sz w:val="32"/>
          <w:szCs w:val="32"/>
          <w:lang w:val="zh-CN" w:eastAsia="zh-CN" w:bidi="ar-SA"/>
        </w:rPr>
        <w:t>的支出。</w:t>
      </w:r>
    </w:p>
    <w:p w14:paraId="2C59352F">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12.</w:t>
      </w:r>
      <w:r>
        <w:rPr>
          <w:rFonts w:hint="default" w:ascii="Times New Roman" w:hAnsi="Times New Roman" w:eastAsia="方正仿宋_GBK" w:cs="Times New Roman"/>
          <w:b/>
          <w:bCs/>
          <w:kern w:val="2"/>
          <w:sz w:val="32"/>
          <w:szCs w:val="32"/>
          <w:lang w:val="zh-CN" w:eastAsia="zh-CN" w:bidi="ar-SA"/>
        </w:rPr>
        <w:t>一般公共服务支出（类）</w:t>
      </w:r>
      <w:r>
        <w:rPr>
          <w:rFonts w:hint="eastAsia" w:ascii="Times New Roman" w:hAnsi="Times New Roman" w:eastAsia="方正仿宋_GBK" w:cs="Times New Roman"/>
          <w:b/>
          <w:bCs/>
          <w:kern w:val="2"/>
          <w:sz w:val="32"/>
          <w:szCs w:val="32"/>
          <w:lang w:val="zh-CN" w:eastAsia="zh-CN" w:bidi="ar-SA"/>
        </w:rPr>
        <w:t>商贸事务</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zh-CN" w:eastAsia="zh-CN" w:bidi="ar-SA"/>
        </w:rPr>
        <w:t>事业运行</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指事业单位的基本支出，不包括行政单位（包括实行公务员管理的事业单位）后勤服务中心、医务室等附属事业单位。</w:t>
      </w:r>
    </w:p>
    <w:p w14:paraId="7748EEDA">
      <w:pPr>
        <w:pStyle w:val="32"/>
        <w:spacing w:line="600" w:lineRule="exact"/>
        <w:ind w:firstLine="640"/>
        <w:jc w:val="both"/>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13.</w:t>
      </w:r>
      <w:r>
        <w:rPr>
          <w:rFonts w:hint="default" w:ascii="Times New Roman" w:hAnsi="Times New Roman" w:eastAsia="方正仿宋_GBK" w:cs="Times New Roman"/>
          <w:b/>
          <w:bCs/>
          <w:kern w:val="2"/>
          <w:sz w:val="32"/>
          <w:szCs w:val="32"/>
          <w:lang w:val="zh-CN" w:eastAsia="zh-CN" w:bidi="ar-SA"/>
        </w:rPr>
        <w:t>社会保障和就业（类）</w:t>
      </w:r>
      <w:r>
        <w:rPr>
          <w:rFonts w:hint="eastAsia" w:ascii="Times New Roman" w:hAnsi="Times New Roman" w:eastAsia="方正仿宋_GBK" w:cs="Times New Roman"/>
          <w:b/>
          <w:bCs/>
          <w:kern w:val="2"/>
          <w:sz w:val="32"/>
          <w:szCs w:val="32"/>
          <w:lang w:val="en-US" w:eastAsia="zh-CN" w:bidi="ar-SA"/>
        </w:rPr>
        <w:t>行政事业单位养老支出</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机关事业单位基本养老保险缴费支出</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指机关事业单位实施养老保险制度由单位缴纳的基本养老保险费支出。</w:t>
      </w:r>
    </w:p>
    <w:p w14:paraId="34985C55">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14.</w:t>
      </w:r>
      <w:r>
        <w:rPr>
          <w:rFonts w:hint="default" w:ascii="Times New Roman" w:hAnsi="Times New Roman" w:eastAsia="方正仿宋_GBK" w:cs="Times New Roman"/>
          <w:b/>
          <w:bCs/>
          <w:kern w:val="2"/>
          <w:sz w:val="32"/>
          <w:szCs w:val="32"/>
          <w:lang w:val="zh-CN" w:eastAsia="zh-CN" w:bidi="ar-SA"/>
        </w:rPr>
        <w:t>社会保障和就业（类）</w:t>
      </w:r>
      <w:r>
        <w:rPr>
          <w:rFonts w:hint="eastAsia" w:ascii="Times New Roman" w:hAnsi="Times New Roman" w:eastAsia="方正仿宋_GBK" w:cs="Times New Roman"/>
          <w:b/>
          <w:bCs/>
          <w:kern w:val="2"/>
          <w:sz w:val="32"/>
          <w:szCs w:val="32"/>
          <w:lang w:val="en-US" w:eastAsia="zh-CN" w:bidi="ar-SA"/>
        </w:rPr>
        <w:t>行政事业单位养老支出</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机关事业单位职业年金缴费支出</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机关事业单位实施养老保险制度由单位</w:t>
      </w:r>
      <w:r>
        <w:rPr>
          <w:rFonts w:hint="eastAsia" w:ascii="Times New Roman" w:hAnsi="Times New Roman" w:eastAsia="方正仿宋_GBK" w:cs="Times New Roman"/>
          <w:kern w:val="2"/>
          <w:sz w:val="32"/>
          <w:szCs w:val="32"/>
          <w:lang w:val="en-US" w:eastAsia="zh-CN" w:bidi="ar-SA"/>
        </w:rPr>
        <w:t>实际</w:t>
      </w:r>
      <w:r>
        <w:rPr>
          <w:rFonts w:hint="eastAsia" w:ascii="Times New Roman" w:hAnsi="Times New Roman" w:eastAsia="方正仿宋_GBK" w:cs="Times New Roman"/>
          <w:kern w:val="2"/>
          <w:sz w:val="32"/>
          <w:szCs w:val="32"/>
          <w:lang w:val="zh-CN" w:eastAsia="zh-CN" w:bidi="ar-SA"/>
        </w:rPr>
        <w:t>缴纳的</w:t>
      </w:r>
      <w:r>
        <w:rPr>
          <w:rFonts w:hint="eastAsia" w:ascii="Times New Roman" w:hAnsi="Times New Roman" w:eastAsia="方正仿宋_GBK" w:cs="Times New Roman"/>
          <w:kern w:val="2"/>
          <w:sz w:val="32"/>
          <w:szCs w:val="32"/>
          <w:lang w:val="en-US" w:eastAsia="zh-CN" w:bidi="ar-SA"/>
        </w:rPr>
        <w:t>职业年金</w:t>
      </w:r>
      <w:r>
        <w:rPr>
          <w:rFonts w:hint="eastAsia" w:ascii="Times New Roman" w:hAnsi="Times New Roman" w:eastAsia="方正仿宋_GBK" w:cs="Times New Roman"/>
          <w:kern w:val="2"/>
          <w:sz w:val="32"/>
          <w:szCs w:val="32"/>
          <w:lang w:val="zh-CN" w:eastAsia="zh-CN" w:bidi="ar-SA"/>
        </w:rPr>
        <w:t>支出。</w:t>
      </w:r>
    </w:p>
    <w:p w14:paraId="7A7BB73E">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15.</w:t>
      </w:r>
      <w:r>
        <w:rPr>
          <w:rFonts w:hint="default" w:ascii="Times New Roman" w:hAnsi="Times New Roman" w:eastAsia="方正仿宋_GBK" w:cs="Times New Roman"/>
          <w:b/>
          <w:bCs/>
          <w:kern w:val="2"/>
          <w:sz w:val="32"/>
          <w:szCs w:val="32"/>
          <w:lang w:val="zh-CN"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行政单位医疗</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指财政部门安排的行政单位（包括实行公务员管理的事业单位）基本医疗保险缴费经费，未参加医疗保险的行政单位的公费医疗经费，按国家规定享受离休人员、红军老战士待遇人员的医疗经费。</w:t>
      </w:r>
    </w:p>
    <w:p w14:paraId="0571B2E3">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16.</w:t>
      </w:r>
      <w:r>
        <w:rPr>
          <w:rFonts w:hint="default" w:ascii="Times New Roman" w:hAnsi="Times New Roman" w:eastAsia="方正仿宋_GBK" w:cs="Times New Roman"/>
          <w:b/>
          <w:bCs/>
          <w:kern w:val="2"/>
          <w:sz w:val="32"/>
          <w:szCs w:val="32"/>
          <w:lang w:val="zh-CN"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zh-CN" w:eastAsia="zh-CN" w:bidi="ar-SA"/>
        </w:rPr>
        <w:t>（款）</w:t>
      </w:r>
      <w:r>
        <w:rPr>
          <w:rFonts w:hint="eastAsia" w:ascii="Times New Roman" w:hAnsi="Times New Roman" w:eastAsia="方正仿宋_GBK" w:cs="Times New Roman"/>
          <w:b/>
          <w:bCs/>
          <w:kern w:val="2"/>
          <w:sz w:val="32"/>
          <w:szCs w:val="32"/>
          <w:lang w:val="en-US" w:eastAsia="zh-CN" w:bidi="ar-SA"/>
        </w:rPr>
        <w:t>事业单位医疗</w:t>
      </w:r>
      <w:r>
        <w:rPr>
          <w:rFonts w:hint="default" w:ascii="Times New Roman" w:hAnsi="Times New Roman" w:eastAsia="方正仿宋_GBK" w:cs="Times New Roman"/>
          <w:b/>
          <w:bCs/>
          <w:kern w:val="2"/>
          <w:sz w:val="32"/>
          <w:szCs w:val="32"/>
          <w:lang w:val="zh-CN" w:eastAsia="zh-CN" w:bidi="ar-SA"/>
        </w:rPr>
        <w:t>（项）</w:t>
      </w: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kern w:val="2"/>
          <w:sz w:val="32"/>
          <w:szCs w:val="32"/>
          <w:lang w:val="zh-CN" w:eastAsia="zh-CN" w:bidi="ar-SA"/>
        </w:rPr>
        <w:t>指财政部门安排的事业单位基本医疗保险缴费经费，未参加医疗保险的事业单位的公费医疗经费，按国家规定享受离休人员待遇的医疗经费。</w:t>
      </w:r>
    </w:p>
    <w:p w14:paraId="3C538621">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17.</w:t>
      </w:r>
      <w:r>
        <w:rPr>
          <w:rFonts w:hint="default" w:ascii="Times New Roman" w:hAnsi="Times New Roman" w:eastAsia="方正仿宋_GBK" w:cs="Times New Roman"/>
          <w:b/>
          <w:bCs/>
          <w:kern w:val="2"/>
          <w:sz w:val="32"/>
          <w:szCs w:val="32"/>
          <w:lang w:val="en-US" w:eastAsia="zh-CN" w:bidi="ar-SA"/>
        </w:rPr>
        <w:t>卫生健康（类）</w:t>
      </w:r>
      <w:r>
        <w:rPr>
          <w:rFonts w:hint="eastAsia" w:ascii="Times New Roman" w:hAnsi="Times New Roman" w:eastAsia="方正仿宋_GBK" w:cs="Times New Roman"/>
          <w:b/>
          <w:bCs/>
          <w:kern w:val="2"/>
          <w:sz w:val="32"/>
          <w:szCs w:val="32"/>
          <w:lang w:val="en-US" w:eastAsia="zh-CN" w:bidi="ar-SA"/>
        </w:rPr>
        <w:t>行政事业单位医疗</w:t>
      </w:r>
      <w:r>
        <w:rPr>
          <w:rFonts w:hint="default" w:ascii="Times New Roman" w:hAnsi="Times New Roman" w:eastAsia="方正仿宋_GBK" w:cs="Times New Roman"/>
          <w:b/>
          <w:bCs/>
          <w:kern w:val="2"/>
          <w:sz w:val="32"/>
          <w:szCs w:val="32"/>
          <w:lang w:val="en-US" w:eastAsia="zh-CN" w:bidi="ar-SA"/>
        </w:rPr>
        <w:t>（款）</w:t>
      </w:r>
      <w:r>
        <w:rPr>
          <w:rFonts w:hint="eastAsia" w:ascii="Times New Roman" w:hAnsi="Times New Roman" w:eastAsia="方正仿宋_GBK" w:cs="Times New Roman"/>
          <w:b/>
          <w:bCs/>
          <w:kern w:val="2"/>
          <w:sz w:val="32"/>
          <w:szCs w:val="32"/>
          <w:lang w:val="en-US" w:eastAsia="zh-CN" w:bidi="ar-SA"/>
        </w:rPr>
        <w:t>公务员医疗补助</w:t>
      </w:r>
      <w:r>
        <w:rPr>
          <w:rFonts w:hint="default" w:ascii="Times New Roman" w:hAnsi="Times New Roman" w:eastAsia="方正仿宋_GBK" w:cs="Times New Roman"/>
          <w:b/>
          <w:bCs/>
          <w:kern w:val="2"/>
          <w:sz w:val="32"/>
          <w:szCs w:val="32"/>
          <w:lang w:val="en-US" w:eastAsia="zh-CN" w:bidi="ar-SA"/>
        </w:rPr>
        <w:t>（项）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指</w:t>
      </w:r>
      <w:r>
        <w:rPr>
          <w:rFonts w:hint="eastAsia" w:ascii="Times New Roman" w:hAnsi="Times New Roman" w:eastAsia="方正仿宋_GBK" w:cs="Times New Roman"/>
          <w:kern w:val="2"/>
          <w:sz w:val="32"/>
          <w:szCs w:val="32"/>
          <w:lang w:val="zh-CN" w:eastAsia="zh-CN" w:bidi="ar-SA"/>
        </w:rPr>
        <w:t>财政部门安排的公务员医疗补助经费。</w:t>
      </w:r>
    </w:p>
    <w:p w14:paraId="5E31BABD">
      <w:pPr>
        <w:pStyle w:val="32"/>
        <w:spacing w:line="600" w:lineRule="exact"/>
        <w:ind w:firstLine="640"/>
        <w:jc w:val="both"/>
        <w:outlineLvl w:val="9"/>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18.</w:t>
      </w:r>
      <w:r>
        <w:rPr>
          <w:rFonts w:hint="default" w:ascii="Times New Roman" w:hAnsi="Times New Roman" w:eastAsia="方正仿宋_GBK" w:cs="Times New Roman"/>
          <w:b/>
          <w:bCs/>
          <w:kern w:val="2"/>
          <w:sz w:val="32"/>
          <w:szCs w:val="32"/>
          <w:lang w:val="en-US" w:eastAsia="zh-CN" w:bidi="ar-SA"/>
        </w:rPr>
        <w:t>住房保障支出（类）住房</w:t>
      </w:r>
      <w:r>
        <w:rPr>
          <w:rFonts w:hint="eastAsia" w:ascii="Times New Roman" w:hAnsi="Times New Roman" w:eastAsia="方正仿宋_GBK" w:cs="Times New Roman"/>
          <w:b/>
          <w:bCs/>
          <w:kern w:val="2"/>
          <w:sz w:val="32"/>
          <w:szCs w:val="32"/>
          <w:lang w:val="en-US" w:eastAsia="zh-CN" w:bidi="ar-SA"/>
        </w:rPr>
        <w:t>改革</w:t>
      </w:r>
      <w:r>
        <w:rPr>
          <w:rFonts w:hint="default" w:ascii="Times New Roman" w:hAnsi="Times New Roman" w:eastAsia="方正仿宋_GBK" w:cs="Times New Roman"/>
          <w:b/>
          <w:bCs/>
          <w:kern w:val="2"/>
          <w:sz w:val="32"/>
          <w:szCs w:val="32"/>
          <w:lang w:val="en-US" w:eastAsia="zh-CN" w:bidi="ar-SA"/>
        </w:rPr>
        <w:t>支出（款）住房公积金（项）</w:t>
      </w:r>
      <w:r>
        <w:rPr>
          <w:rFonts w:hint="eastAsia" w:ascii="Times New Roman" w:hAnsi="Times New Roman" w:eastAsia="方正仿宋_GBK" w:cs="Times New Roman"/>
          <w:b/>
          <w:bCs/>
          <w:kern w:val="2"/>
          <w:sz w:val="32"/>
          <w:szCs w:val="32"/>
          <w:lang w:val="en-US" w:eastAsia="zh-CN" w:bidi="ar-SA"/>
        </w:rPr>
        <w:t>：</w:t>
      </w:r>
      <w:r>
        <w:rPr>
          <w:rFonts w:hint="eastAsia" w:ascii="Times New Roman" w:hAnsi="Times New Roman" w:eastAsia="方正仿宋_GBK" w:cs="Times New Roman"/>
          <w:kern w:val="2"/>
          <w:sz w:val="32"/>
          <w:szCs w:val="32"/>
          <w:lang w:val="zh-CN" w:eastAsia="zh-CN" w:bidi="ar-SA"/>
        </w:rPr>
        <w:t>指行政事业单位按人力资源和社会保障部、财政部规定的基本工资和津贴补贴以及规定比例为职工缴纳的住房公积金。</w:t>
      </w:r>
    </w:p>
    <w:p w14:paraId="66BA4500">
      <w:pPr>
        <w:pStyle w:val="32"/>
        <w:spacing w:line="600" w:lineRule="exact"/>
        <w:ind w:firstLine="640"/>
        <w:jc w:val="both"/>
        <w:outlineLvl w:val="9"/>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19.城乡社区支出（类）国有土地使用权出让收入安排的支出（款）土地开发支出（项）：</w:t>
      </w:r>
      <w:r>
        <w:rPr>
          <w:rFonts w:hint="eastAsia" w:ascii="Times New Roman" w:hAnsi="Times New Roman" w:eastAsia="方正仿宋_GBK" w:cs="Times New Roman"/>
          <w:kern w:val="2"/>
          <w:sz w:val="32"/>
          <w:szCs w:val="32"/>
          <w:lang w:val="en-US" w:eastAsia="zh-CN" w:bidi="ar-SA"/>
        </w:rPr>
        <w:t>指地方政府用于前期土地开发性支出以及与前期土地开发相关的费用等支出。</w:t>
      </w:r>
    </w:p>
    <w:p w14:paraId="5839EED9">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20</w:t>
      </w:r>
      <w:r>
        <w:rPr>
          <w:rFonts w:hint="default" w:ascii="Times New Roman" w:hAnsi="Times New Roman" w:eastAsia="方正仿宋_GBK" w:cs="Times New Roman"/>
          <w:b/>
          <w:bCs/>
          <w:kern w:val="2"/>
          <w:sz w:val="32"/>
          <w:szCs w:val="32"/>
          <w:lang w:val="zh-CN" w:eastAsia="zh-CN" w:bidi="ar-SA"/>
        </w:rPr>
        <w:t>.基本支出：</w:t>
      </w:r>
      <w:r>
        <w:rPr>
          <w:rFonts w:hint="default" w:ascii="Times New Roman" w:hAnsi="Times New Roman" w:eastAsia="方正仿宋_GBK" w:cs="Times New Roman"/>
          <w:kern w:val="2"/>
          <w:sz w:val="32"/>
          <w:szCs w:val="32"/>
          <w:lang w:val="zh-CN" w:eastAsia="zh-CN" w:bidi="ar-SA"/>
        </w:rPr>
        <w:t>指为保障机构正常运转、完成日常工作任务而发生的人员支出和公用支出。</w:t>
      </w:r>
    </w:p>
    <w:p w14:paraId="79B21520">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21</w:t>
      </w:r>
      <w:r>
        <w:rPr>
          <w:rFonts w:hint="default" w:ascii="Times New Roman" w:hAnsi="Times New Roman" w:eastAsia="方正仿宋_GBK" w:cs="Times New Roman"/>
          <w:b/>
          <w:bCs/>
          <w:kern w:val="2"/>
          <w:sz w:val="32"/>
          <w:szCs w:val="32"/>
          <w:lang w:val="zh-CN" w:eastAsia="zh-CN" w:bidi="ar-SA"/>
        </w:rPr>
        <w:t>.项目支出：</w:t>
      </w:r>
      <w:r>
        <w:rPr>
          <w:rFonts w:hint="default" w:ascii="Times New Roman" w:hAnsi="Times New Roman" w:eastAsia="方正仿宋_GBK" w:cs="Times New Roman"/>
          <w:kern w:val="2"/>
          <w:sz w:val="32"/>
          <w:szCs w:val="32"/>
          <w:lang w:val="zh-CN" w:eastAsia="zh-CN" w:bidi="ar-SA"/>
        </w:rPr>
        <w:t>指在基本支出之外为完成特定行政任务和事业发展目标所发生的支出。</w:t>
      </w:r>
    </w:p>
    <w:p w14:paraId="09DC05AA">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w:t>
      </w:r>
      <w:r>
        <w:rPr>
          <w:rFonts w:hint="eastAsia" w:ascii="Times New Roman" w:hAnsi="Times New Roman" w:eastAsia="方正仿宋_GBK" w:cs="Times New Roman"/>
          <w:b/>
          <w:bCs/>
          <w:kern w:val="2"/>
          <w:sz w:val="32"/>
          <w:szCs w:val="32"/>
          <w:lang w:val="en-US" w:eastAsia="zh-CN" w:bidi="ar-SA"/>
        </w:rPr>
        <w:t>2</w:t>
      </w:r>
      <w:r>
        <w:rPr>
          <w:rFonts w:hint="default" w:ascii="Times New Roman" w:hAnsi="Times New Roman" w:eastAsia="方正仿宋_GBK" w:cs="Times New Roman"/>
          <w:b/>
          <w:bCs/>
          <w:kern w:val="2"/>
          <w:sz w:val="32"/>
          <w:szCs w:val="32"/>
          <w:lang w:val="zh-CN" w:eastAsia="zh-CN" w:bidi="ar-SA"/>
        </w:rPr>
        <w:t>.经营支出：</w:t>
      </w:r>
      <w:r>
        <w:rPr>
          <w:rFonts w:hint="default" w:ascii="Times New Roman" w:hAnsi="Times New Roman" w:eastAsia="方正仿宋_GBK" w:cs="Times New Roman"/>
          <w:kern w:val="2"/>
          <w:sz w:val="32"/>
          <w:szCs w:val="32"/>
          <w:lang w:val="zh-CN" w:eastAsia="zh-CN" w:bidi="ar-SA"/>
        </w:rPr>
        <w:t>指事业单位在专业业务活动及其辅助活动之外开展非独立核算经营活动发生的支出。</w:t>
      </w:r>
    </w:p>
    <w:p w14:paraId="7A553058">
      <w:pPr>
        <w:pStyle w:val="32"/>
        <w:spacing w:line="600" w:lineRule="exact"/>
        <w:ind w:firstLine="640"/>
        <w:jc w:val="both"/>
        <w:outlineLvl w:val="9"/>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23</w:t>
      </w:r>
      <w:r>
        <w:rPr>
          <w:rFonts w:hint="default" w:ascii="Times New Roman" w:hAnsi="Times New Roman" w:eastAsia="方正仿宋_GBK" w:cs="Times New Roman"/>
          <w:b/>
          <w:bCs/>
          <w:kern w:val="2"/>
          <w:sz w:val="32"/>
          <w:szCs w:val="32"/>
          <w:lang w:val="zh-CN" w:eastAsia="zh-CN" w:bidi="ar-SA"/>
        </w:rPr>
        <w:t>.“三公”经费：</w:t>
      </w:r>
      <w:r>
        <w:rPr>
          <w:rFonts w:hint="default" w:ascii="Times New Roman" w:hAnsi="Times New Roman" w:eastAsia="方正仿宋_GBK" w:cs="Times New Roman"/>
          <w:kern w:val="2"/>
          <w:sz w:val="32"/>
          <w:szCs w:val="32"/>
          <w:lang w:val="zh-CN" w:eastAsia="zh-CN" w:bidi="ar-SA"/>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419CF29">
      <w:pPr>
        <w:spacing w:line="600" w:lineRule="exact"/>
        <w:ind w:firstLine="643" w:firstLineChars="200"/>
        <w:jc w:val="left"/>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b/>
          <w:bCs/>
          <w:kern w:val="2"/>
          <w:sz w:val="32"/>
          <w:szCs w:val="32"/>
          <w:lang w:val="en-US" w:eastAsia="zh-CN" w:bidi="ar-SA"/>
        </w:rPr>
        <w:t>24</w:t>
      </w:r>
      <w:r>
        <w:rPr>
          <w:rFonts w:hint="default" w:ascii="Times New Roman" w:hAnsi="Times New Roman" w:eastAsia="方正仿宋_GBK" w:cs="Times New Roman"/>
          <w:b/>
          <w:bCs/>
          <w:kern w:val="2"/>
          <w:sz w:val="32"/>
          <w:szCs w:val="32"/>
          <w:lang w:val="zh-CN" w:eastAsia="zh-CN" w:bidi="ar-SA"/>
        </w:rPr>
        <w:t>.机关运行经费：</w:t>
      </w:r>
      <w:r>
        <w:rPr>
          <w:rFonts w:hint="default" w:ascii="Times New Roman" w:hAnsi="Times New Roman" w:eastAsia="方正仿宋_GBK" w:cs="Times New Roman"/>
          <w:kern w:val="2"/>
          <w:sz w:val="32"/>
          <w:szCs w:val="32"/>
          <w:lang w:val="zh-CN" w:eastAsia="zh-CN" w:bidi="ar-SA"/>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eastAsia="仿宋_GB2312" w:cs="仿宋_GB2312"/>
          <w:sz w:val="32"/>
          <w:szCs w:val="32"/>
          <w:highlight w:val="yellow"/>
        </w:rPr>
        <w:br w:type="page"/>
      </w:r>
      <w:bookmarkStart w:id="89" w:name="_Toc15396614"/>
      <w:r>
        <w:rPr>
          <w:rFonts w:hint="eastAsia" w:ascii="Times New Roman" w:hAnsi="Times New Roman" w:eastAsia="黑体" w:cs="Times New Roman"/>
          <w:sz w:val="44"/>
          <w:szCs w:val="44"/>
          <w:highlight w:val="none"/>
        </w:rPr>
        <w:t>第四部分  附件</w:t>
      </w:r>
      <w:bookmarkEnd w:id="89"/>
    </w:p>
    <w:p w14:paraId="3D70AB75">
      <w:pPr>
        <w:keepNext w:val="0"/>
        <w:keepLines w:val="0"/>
        <w:pageBreakBefore w:val="0"/>
        <w:widowControl/>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附件1</w:t>
      </w:r>
    </w:p>
    <w:p w14:paraId="5F83CB25">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p>
    <w:p w14:paraId="7AAB6D19">
      <w:pPr>
        <w:widowControl/>
        <w:spacing w:line="580" w:lineRule="exact"/>
        <w:contextualSpacing/>
        <w:jc w:val="center"/>
        <w:rPr>
          <w:rFonts w:hint="default" w:ascii="Times New Roman" w:hAnsi="Times New Roman" w:eastAsia="方正小标宋_GBK" w:cs="Times New Roman"/>
          <w:b w:val="0"/>
          <w:bCs/>
          <w:sz w:val="44"/>
          <w:szCs w:val="44"/>
          <w:shd w:val="clear" w:color="auto" w:fill="FFFFFF"/>
          <w:lang w:val="en-US" w:eastAsia="zh-CN"/>
        </w:rPr>
      </w:pPr>
      <w:r>
        <w:rPr>
          <w:rFonts w:hint="default" w:ascii="Times New Roman" w:hAnsi="Times New Roman" w:eastAsia="方正小标宋_GBK" w:cs="Times New Roman"/>
          <w:b w:val="0"/>
          <w:bCs/>
          <w:sz w:val="44"/>
          <w:szCs w:val="44"/>
          <w:shd w:val="clear" w:color="auto" w:fill="FFFFFF"/>
          <w:lang w:val="en-US" w:eastAsia="zh-CN"/>
        </w:rPr>
        <w:t>攀枝花市仁和区经济合作局</w:t>
      </w:r>
    </w:p>
    <w:p w14:paraId="5763CEDB">
      <w:pPr>
        <w:widowControl/>
        <w:spacing w:line="578" w:lineRule="exact"/>
        <w:contextualSpacing/>
        <w:jc w:val="center"/>
        <w:rPr>
          <w:rFonts w:hint="default" w:ascii="Times New Roman" w:hAnsi="Times New Roman" w:eastAsia="方正小标宋_GBK" w:cs="Times New Roman"/>
          <w:b w:val="0"/>
          <w:bCs/>
          <w:sz w:val="44"/>
          <w:szCs w:val="44"/>
          <w:shd w:val="clear" w:color="auto" w:fill="FFFFFF"/>
        </w:rPr>
      </w:pPr>
      <w:r>
        <w:rPr>
          <w:rFonts w:hint="default" w:ascii="Times New Roman" w:hAnsi="Times New Roman" w:eastAsia="方正小标宋_GBK" w:cs="Times New Roman"/>
          <w:b w:val="0"/>
          <w:bCs/>
          <w:sz w:val="44"/>
          <w:szCs w:val="44"/>
          <w:shd w:val="clear" w:color="auto" w:fill="FFFFFF"/>
        </w:rPr>
        <w:t>202</w:t>
      </w:r>
      <w:r>
        <w:rPr>
          <w:rFonts w:hint="eastAsia" w:eastAsia="方正小标宋_GBK" w:cs="Times New Roman"/>
          <w:b w:val="0"/>
          <w:bCs/>
          <w:sz w:val="44"/>
          <w:szCs w:val="44"/>
          <w:shd w:val="clear" w:color="auto" w:fill="FFFFFF"/>
          <w:lang w:val="en-US" w:eastAsia="zh-CN"/>
        </w:rPr>
        <w:t>5</w:t>
      </w:r>
      <w:r>
        <w:rPr>
          <w:rFonts w:hint="default" w:ascii="Times New Roman" w:hAnsi="Times New Roman" w:eastAsia="方正小标宋_GBK" w:cs="Times New Roman"/>
          <w:b w:val="0"/>
          <w:bCs/>
          <w:sz w:val="44"/>
          <w:szCs w:val="44"/>
          <w:shd w:val="clear" w:color="auto" w:fill="FFFFFF"/>
        </w:rPr>
        <w:t>年部门整体支出绩效评价报告</w:t>
      </w:r>
    </w:p>
    <w:p w14:paraId="29FE2FD8">
      <w:pPr>
        <w:widowControl/>
        <w:spacing w:line="578" w:lineRule="exact"/>
        <w:contextualSpacing/>
        <w:jc w:val="center"/>
        <w:rPr>
          <w:rFonts w:eastAsia="仿宋_GB2312"/>
          <w:sz w:val="32"/>
          <w:szCs w:val="32"/>
          <w:highlight w:val="none"/>
          <w:shd w:val="clear" w:color="auto" w:fill="FFFFFF"/>
        </w:rPr>
      </w:pPr>
      <w:r>
        <w:rPr>
          <w:rFonts w:eastAsia="仿宋_GB2312"/>
          <w:sz w:val="32"/>
          <w:szCs w:val="32"/>
          <w:highlight w:val="none"/>
          <w:shd w:val="clear" w:color="auto" w:fill="FFFFFF"/>
        </w:rPr>
        <w:t>（报告范围包括机关和下属单位）</w:t>
      </w:r>
    </w:p>
    <w:p w14:paraId="079C05CD">
      <w:pPr>
        <w:widowControl/>
        <w:adjustRightInd w:val="0"/>
        <w:snapToGrid w:val="0"/>
        <w:spacing w:line="578" w:lineRule="exact"/>
        <w:ind w:firstLine="480" w:firstLineChars="200"/>
        <w:contextualSpacing/>
        <w:jc w:val="left"/>
        <w:rPr>
          <w:rFonts w:eastAsia="黑体"/>
          <w:color w:val="000000"/>
          <w:kern w:val="0"/>
          <w:sz w:val="24"/>
          <w:szCs w:val="32"/>
          <w:highlight w:val="yellow"/>
          <w:shd w:val="clear" w:color="auto" w:fill="FFFFFF"/>
        </w:rPr>
      </w:pPr>
    </w:p>
    <w:p w14:paraId="77F28FED">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zh-CN" w:eastAsia="zh-CN" w:bidi="ar-SA"/>
        </w:rPr>
      </w:pPr>
      <w:bookmarkStart w:id="90" w:name="_Toc16102"/>
      <w:bookmarkStart w:id="91" w:name="_Toc9717"/>
      <w:r>
        <w:rPr>
          <w:rFonts w:hint="default" w:ascii="Times New Roman" w:hAnsi="Times New Roman" w:eastAsia="方正黑体_GBK" w:cs="Times New Roman"/>
          <w:b w:val="0"/>
          <w:bCs w:val="0"/>
          <w:kern w:val="2"/>
          <w:sz w:val="32"/>
          <w:szCs w:val="32"/>
          <w:lang w:val="en-US" w:eastAsia="zh-CN" w:bidi="ar-SA"/>
        </w:rPr>
        <w:t>一、</w:t>
      </w:r>
      <w:r>
        <w:rPr>
          <w:rFonts w:hint="default" w:ascii="Times New Roman" w:hAnsi="Times New Roman" w:eastAsia="方正黑体_GBK" w:cs="Times New Roman"/>
          <w:b w:val="0"/>
          <w:bCs w:val="0"/>
          <w:kern w:val="2"/>
          <w:sz w:val="32"/>
          <w:szCs w:val="32"/>
          <w:lang w:val="zh-CN" w:eastAsia="zh-CN" w:bidi="ar-SA"/>
        </w:rPr>
        <w:t>部门概况</w:t>
      </w:r>
      <w:bookmarkEnd w:id="90"/>
      <w:bookmarkEnd w:id="91"/>
    </w:p>
    <w:p w14:paraId="05B1C905">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（一）机构组成。</w:t>
      </w:r>
    </w:p>
    <w:p w14:paraId="4952C795">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en-US" w:eastAsia="zh-CN" w:bidi="ar-SA"/>
        </w:rPr>
        <w:t>仁和区经济合作局内设办公室及业务股，代管的区投资促进中心，为仁和区人民政府直属的公益一类事业单位，机构规格为</w:t>
      </w:r>
      <w:r>
        <w:rPr>
          <w:rFonts w:hint="eastAsia" w:ascii="Times New Roman" w:hAnsi="Times New Roman" w:eastAsia="方正仿宋_GBK" w:cs="Times New Roman"/>
          <w:kern w:val="2"/>
          <w:sz w:val="32"/>
          <w:szCs w:val="32"/>
          <w:lang w:val="en-US" w:eastAsia="zh-CN" w:bidi="ar-SA"/>
        </w:rPr>
        <w:t>副</w:t>
      </w:r>
      <w:r>
        <w:rPr>
          <w:rFonts w:hint="default" w:ascii="Times New Roman" w:hAnsi="Times New Roman" w:eastAsia="方正仿宋_GBK" w:cs="Times New Roman"/>
          <w:kern w:val="2"/>
          <w:sz w:val="32"/>
          <w:szCs w:val="32"/>
          <w:lang w:val="en-US" w:eastAsia="zh-CN" w:bidi="ar-SA"/>
        </w:rPr>
        <w:t>科级。</w:t>
      </w:r>
    </w:p>
    <w:p w14:paraId="3EAA4E9D">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（二）机构职能。</w:t>
      </w:r>
    </w:p>
    <w:p w14:paraId="27DD9DD6">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1.负责推进投资促进等有关领域的经济合作（以下简称经济合作）。参与起草有关经济合作的规范性文件。参与拟订全区经济合作发展规划、年度计划并组织实施。</w:t>
      </w:r>
    </w:p>
    <w:p w14:paraId="6E18489B">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统筹、协调、指导全区投资促进工作。起草有关投资促进的规范性文件。拟订全区投资促进政策、投资促进发展规划和年度计划并组织实施。牵头落实区委、区政府投资促进工作部署。负责全区投资环境推介工作。统筹组织区级重大投资促进活动。牵头全区重大招商引资项目的促进和落实。推进投资促进和管理服务网络体系建设。</w:t>
      </w:r>
    </w:p>
    <w:p w14:paraId="4791AFD6">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3.统筹协调全区外商投资促进和管理服务工作。参与拟订外商投资政策和改革方案并组织实施。统计分析全区外商投资情况。依法监督外商投资企业执行有关法律法规规章、合同章程的情况并协调解决有关问题。</w:t>
      </w:r>
    </w:p>
    <w:p w14:paraId="0DF7F899">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4.参与推进我区与国（境）内外相关区域合作。牵头组织我区与国（境）内外相关区域经济合作活动的有关具体工作。</w:t>
      </w:r>
    </w:p>
    <w:p w14:paraId="6867A928">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5.牵头推动我区与港澳台地区经济合作有关工作。</w:t>
      </w:r>
    </w:p>
    <w:p w14:paraId="7327978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6.推动全区博览发展促进工作。参与拟订全区会展业发展规划和相关政策。承担区委、区政府交办的会展投资促进活动。</w:t>
      </w:r>
    </w:p>
    <w:p w14:paraId="63C809BB">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7.完成区委和区政府交办的其他任务。</w:t>
      </w:r>
    </w:p>
    <w:p w14:paraId="36F377A3">
      <w:pPr>
        <w:pStyle w:val="5"/>
        <w:spacing w:beforeLines="-2147483648"/>
        <w:ind w:firstLine="643" w:firstLineChars="200"/>
        <w:jc w:val="both"/>
        <w:outlineLvl w:val="9"/>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楷体_GBK" w:cs="Times New Roman"/>
          <w:b/>
          <w:kern w:val="2"/>
          <w:sz w:val="32"/>
          <w:szCs w:val="32"/>
          <w:lang w:val="zh-CN" w:eastAsia="zh-CN"/>
        </w:rPr>
        <w:t>（三）</w:t>
      </w:r>
      <w:r>
        <w:rPr>
          <w:rFonts w:hint="default" w:ascii="Times New Roman" w:hAnsi="Times New Roman" w:eastAsia="方正楷体_GBK" w:cs="Times New Roman"/>
          <w:b/>
          <w:kern w:val="2"/>
          <w:sz w:val="32"/>
          <w:szCs w:val="32"/>
          <w:lang w:val="zh-CN" w:eastAsia="zh-CN" w:bidi="ar-SA"/>
        </w:rPr>
        <w:t>人员概况。</w:t>
      </w:r>
    </w:p>
    <w:p w14:paraId="66333EEC">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区经济合作局行政编制4人，事业编制</w:t>
      </w:r>
      <w:r>
        <w:rPr>
          <w:rFonts w:hint="default"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kern w:val="2"/>
          <w:sz w:val="32"/>
          <w:szCs w:val="32"/>
          <w:lang w:val="en-US" w:eastAsia="zh-CN" w:bidi="ar-SA"/>
        </w:rPr>
        <w:t>4</w:t>
      </w:r>
      <w:r>
        <w:rPr>
          <w:rFonts w:hint="default" w:ascii="Times New Roman" w:hAnsi="Times New Roman" w:eastAsia="方正仿宋_GBK" w:cs="Times New Roman"/>
          <w:kern w:val="2"/>
          <w:sz w:val="32"/>
          <w:szCs w:val="32"/>
          <w:lang w:val="zh-CN" w:eastAsia="zh-CN" w:bidi="ar-SA"/>
        </w:rPr>
        <w:t>人。</w:t>
      </w:r>
      <w:r>
        <w:rPr>
          <w:rFonts w:hint="default" w:ascii="Times New Roman" w:hAnsi="Times New Roman" w:eastAsia="方正仿宋_GBK" w:cs="Times New Roman"/>
          <w:kern w:val="2"/>
          <w:sz w:val="32"/>
          <w:szCs w:val="32"/>
          <w:lang w:val="en-US" w:eastAsia="zh-CN" w:bidi="ar-SA"/>
        </w:rPr>
        <w:t>截</w:t>
      </w:r>
      <w:r>
        <w:rPr>
          <w:rFonts w:hint="eastAsia" w:eastAsia="方正仿宋_GBK" w:cs="Times New Roman"/>
          <w:kern w:val="2"/>
          <w:sz w:val="32"/>
          <w:szCs w:val="32"/>
          <w:lang w:val="en-US" w:eastAsia="zh-CN" w:bidi="ar-SA"/>
        </w:rPr>
        <w:t>至</w:t>
      </w:r>
      <w:bookmarkStart w:id="114" w:name="_GoBack"/>
      <w:bookmarkEnd w:id="114"/>
      <w:r>
        <w:rPr>
          <w:rFonts w:hint="default"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年</w:t>
      </w:r>
      <w:r>
        <w:rPr>
          <w:rFonts w:hint="default" w:ascii="Times New Roman" w:hAnsi="Times New Roman" w:eastAsia="方正仿宋_GBK" w:cs="Times New Roman"/>
          <w:kern w:val="2"/>
          <w:sz w:val="32"/>
          <w:szCs w:val="32"/>
          <w:lang w:val="en-US" w:eastAsia="zh-CN" w:bidi="ar-SA"/>
        </w:rPr>
        <w:t>底</w:t>
      </w:r>
      <w:r>
        <w:rPr>
          <w:rFonts w:hint="default" w:ascii="Times New Roman" w:hAnsi="Times New Roman" w:eastAsia="方正仿宋_GBK" w:cs="Times New Roman"/>
          <w:kern w:val="2"/>
          <w:sz w:val="32"/>
          <w:szCs w:val="32"/>
          <w:lang w:val="zh-CN" w:eastAsia="zh-CN" w:bidi="ar-SA"/>
        </w:rPr>
        <w:t>，实际在编</w:t>
      </w:r>
      <w:r>
        <w:rPr>
          <w:rFonts w:hint="eastAsia" w:ascii="Times New Roman" w:hAnsi="Times New Roman" w:eastAsia="方正仿宋_GBK" w:cs="Times New Roman"/>
          <w:kern w:val="2"/>
          <w:sz w:val="32"/>
          <w:szCs w:val="32"/>
          <w:lang w:val="en-US" w:eastAsia="zh-CN" w:bidi="ar-SA"/>
        </w:rPr>
        <w:t>16</w:t>
      </w:r>
      <w:r>
        <w:rPr>
          <w:rFonts w:hint="default" w:ascii="Times New Roman" w:hAnsi="Times New Roman" w:eastAsia="方正仿宋_GBK" w:cs="Times New Roman"/>
          <w:kern w:val="2"/>
          <w:sz w:val="32"/>
          <w:szCs w:val="32"/>
          <w:lang w:val="zh-CN" w:eastAsia="zh-CN" w:bidi="ar-SA"/>
        </w:rPr>
        <w:t>人，</w:t>
      </w:r>
      <w:r>
        <w:rPr>
          <w:rFonts w:hint="default" w:ascii="Times New Roman" w:hAnsi="Times New Roman" w:eastAsia="方正仿宋_GBK" w:cs="Times New Roman"/>
          <w:kern w:val="2"/>
          <w:sz w:val="32"/>
          <w:szCs w:val="32"/>
          <w:lang w:val="en-US" w:eastAsia="zh-CN" w:bidi="ar-SA"/>
        </w:rPr>
        <w:t>其中：</w:t>
      </w:r>
      <w:r>
        <w:rPr>
          <w:rFonts w:hint="default" w:ascii="Times New Roman" w:hAnsi="Times New Roman" w:eastAsia="方正仿宋_GBK" w:cs="Times New Roman"/>
          <w:kern w:val="2"/>
          <w:sz w:val="32"/>
          <w:szCs w:val="32"/>
          <w:lang w:val="zh-CN" w:eastAsia="zh-CN" w:bidi="ar-SA"/>
        </w:rPr>
        <w:t>行政编制</w:t>
      </w:r>
      <w:r>
        <w:rPr>
          <w:rFonts w:hint="eastAsia" w:ascii="Times New Roman" w:hAnsi="Times New Roman" w:eastAsia="方正仿宋_GBK" w:cs="Times New Roman"/>
          <w:kern w:val="2"/>
          <w:sz w:val="32"/>
          <w:szCs w:val="32"/>
          <w:lang w:val="en-US" w:eastAsia="zh-CN" w:bidi="ar-SA"/>
        </w:rPr>
        <w:t>3</w:t>
      </w:r>
      <w:r>
        <w:rPr>
          <w:rFonts w:hint="default" w:ascii="Times New Roman" w:hAnsi="Times New Roman" w:eastAsia="方正仿宋_GBK" w:cs="Times New Roman"/>
          <w:kern w:val="2"/>
          <w:sz w:val="32"/>
          <w:szCs w:val="32"/>
          <w:lang w:val="zh-CN" w:eastAsia="zh-CN" w:bidi="ar-SA"/>
        </w:rPr>
        <w:t>人，事业编制</w:t>
      </w:r>
      <w:r>
        <w:rPr>
          <w:rFonts w:hint="eastAsia" w:ascii="Times New Roman" w:hAnsi="Times New Roman" w:eastAsia="方正仿宋_GBK" w:cs="Times New Roman"/>
          <w:kern w:val="2"/>
          <w:sz w:val="32"/>
          <w:szCs w:val="32"/>
          <w:lang w:val="en-US" w:eastAsia="zh-CN" w:bidi="ar-SA"/>
        </w:rPr>
        <w:t>13</w:t>
      </w:r>
      <w:r>
        <w:rPr>
          <w:rFonts w:hint="default" w:ascii="Times New Roman" w:hAnsi="Times New Roman" w:eastAsia="方正仿宋_GBK" w:cs="Times New Roman"/>
          <w:kern w:val="2"/>
          <w:sz w:val="32"/>
          <w:szCs w:val="32"/>
          <w:lang w:val="zh-CN" w:eastAsia="zh-CN" w:bidi="ar-SA"/>
        </w:rPr>
        <w:t>人。</w:t>
      </w:r>
    </w:p>
    <w:p w14:paraId="433C687F">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en-US" w:eastAsia="zh-CN" w:bidi="ar-SA"/>
        </w:rPr>
      </w:pPr>
      <w:bookmarkStart w:id="92" w:name="_Toc18819"/>
      <w:bookmarkStart w:id="93" w:name="_Toc3980"/>
      <w:r>
        <w:rPr>
          <w:rFonts w:hint="default" w:ascii="Times New Roman" w:hAnsi="Times New Roman" w:eastAsia="方正黑体_GBK" w:cs="Times New Roman"/>
          <w:b w:val="0"/>
          <w:bCs w:val="0"/>
          <w:kern w:val="2"/>
          <w:sz w:val="32"/>
          <w:szCs w:val="32"/>
          <w:lang w:val="en-US" w:eastAsia="zh-CN" w:bidi="ar-SA"/>
        </w:rPr>
        <w:t>二、部门财政资金收支情况</w:t>
      </w:r>
      <w:bookmarkEnd w:id="92"/>
      <w:bookmarkEnd w:id="93"/>
    </w:p>
    <w:p w14:paraId="56F04B66">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（一）部门财政资金收入情况。</w:t>
      </w:r>
    </w:p>
    <w:p w14:paraId="6BE2D2B8">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en-US" w:eastAsia="zh-CN" w:bidi="ar-SA"/>
        </w:rPr>
        <w:t>年，</w:t>
      </w:r>
      <w:r>
        <w:rPr>
          <w:rFonts w:hint="eastAsia" w:ascii="Times New Roman" w:hAnsi="Times New Roman" w:eastAsia="方正仿宋_GBK" w:cs="Times New Roman"/>
          <w:kern w:val="2"/>
          <w:sz w:val="32"/>
          <w:szCs w:val="32"/>
          <w:lang w:val="en-US" w:eastAsia="zh-CN" w:bidi="ar-SA"/>
        </w:rPr>
        <w:t>区经合局年初预算</w:t>
      </w:r>
      <w:r>
        <w:rPr>
          <w:rFonts w:hint="default" w:ascii="Times New Roman" w:hAnsi="Times New Roman" w:eastAsia="方正仿宋_GBK" w:cs="Times New Roman"/>
          <w:kern w:val="2"/>
          <w:sz w:val="32"/>
          <w:szCs w:val="32"/>
          <w:lang w:val="en-US" w:eastAsia="zh-CN" w:bidi="ar-SA"/>
        </w:rPr>
        <w:t>财政资金收入</w:t>
      </w:r>
      <w:r>
        <w:rPr>
          <w:rFonts w:hint="eastAsia" w:ascii="Times New Roman" w:hAnsi="Times New Roman" w:eastAsia="方正仿宋_GBK" w:cs="Times New Roman"/>
          <w:kern w:val="2"/>
          <w:sz w:val="32"/>
          <w:szCs w:val="32"/>
          <w:lang w:val="en-US" w:eastAsia="zh-CN" w:bidi="ar-SA"/>
        </w:rPr>
        <w:t>329.35万元，决算收入为2248.22</w:t>
      </w:r>
      <w:r>
        <w:rPr>
          <w:rFonts w:hint="default" w:ascii="Times New Roman" w:hAnsi="Times New Roman" w:eastAsia="方正仿宋_GBK" w:cs="Times New Roman"/>
          <w:kern w:val="2"/>
          <w:sz w:val="32"/>
          <w:szCs w:val="32"/>
          <w:lang w:val="en-US" w:eastAsia="zh-CN" w:bidi="ar-SA"/>
        </w:rPr>
        <w:t>万元，其中，一般公共预算财政拨款收入</w:t>
      </w:r>
      <w:r>
        <w:rPr>
          <w:rFonts w:hint="eastAsia" w:ascii="Times New Roman" w:hAnsi="Times New Roman" w:eastAsia="方正仿宋_GBK" w:cs="Times New Roman"/>
          <w:kern w:val="2"/>
          <w:sz w:val="32"/>
          <w:szCs w:val="32"/>
          <w:lang w:val="en-US" w:eastAsia="zh-CN" w:bidi="ar-SA"/>
        </w:rPr>
        <w:t>2057.9</w:t>
      </w:r>
      <w:r>
        <w:rPr>
          <w:rFonts w:hint="default" w:ascii="Times New Roman" w:hAnsi="Times New Roman" w:eastAsia="方正仿宋_GBK" w:cs="Times New Roman"/>
          <w:kern w:val="2"/>
          <w:sz w:val="32"/>
          <w:szCs w:val="32"/>
          <w:lang w:val="en-US" w:eastAsia="zh-CN" w:bidi="ar-SA"/>
        </w:rPr>
        <w:t>万元，政府性基金预算财政拨款收入</w:t>
      </w:r>
      <w:r>
        <w:rPr>
          <w:rFonts w:hint="eastAsia" w:ascii="Times New Roman" w:hAnsi="Times New Roman" w:eastAsia="方正仿宋_GBK" w:cs="Times New Roman"/>
          <w:kern w:val="2"/>
          <w:sz w:val="32"/>
          <w:szCs w:val="32"/>
          <w:lang w:val="en-US" w:eastAsia="zh-CN" w:bidi="ar-SA"/>
        </w:rPr>
        <w:t>190.32</w:t>
      </w:r>
      <w:r>
        <w:rPr>
          <w:rFonts w:hint="default" w:ascii="Times New Roman" w:hAnsi="Times New Roman" w:eastAsia="方正仿宋_GBK" w:cs="Times New Roman"/>
          <w:kern w:val="2"/>
          <w:sz w:val="32"/>
          <w:szCs w:val="32"/>
          <w:lang w:val="en-US" w:eastAsia="zh-CN" w:bidi="ar-SA"/>
        </w:rPr>
        <w:t>万元。</w:t>
      </w:r>
    </w:p>
    <w:p w14:paraId="21D775EB">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（二）部门财政资金支出情况。</w:t>
      </w:r>
    </w:p>
    <w:p w14:paraId="3AABE7AE">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en-US" w:eastAsia="zh-CN" w:bidi="ar-SA"/>
        </w:rPr>
        <w:t>年，</w:t>
      </w:r>
      <w:r>
        <w:rPr>
          <w:rFonts w:hint="eastAsia" w:ascii="Times New Roman" w:hAnsi="Times New Roman" w:eastAsia="方正仿宋_GBK" w:cs="Times New Roman"/>
          <w:kern w:val="2"/>
          <w:sz w:val="32"/>
          <w:szCs w:val="32"/>
          <w:lang w:val="en-US" w:eastAsia="zh-CN" w:bidi="ar-SA"/>
        </w:rPr>
        <w:t>区经合局年初预算</w:t>
      </w:r>
      <w:r>
        <w:rPr>
          <w:rFonts w:hint="default" w:ascii="Times New Roman" w:hAnsi="Times New Roman" w:eastAsia="方正仿宋_GBK" w:cs="Times New Roman"/>
          <w:kern w:val="2"/>
          <w:sz w:val="32"/>
          <w:szCs w:val="32"/>
          <w:lang w:val="en-US" w:eastAsia="zh-CN" w:bidi="ar-SA"/>
        </w:rPr>
        <w:t>财政资金支出</w:t>
      </w:r>
      <w:r>
        <w:rPr>
          <w:rFonts w:hint="eastAsia" w:ascii="Times New Roman" w:hAnsi="Times New Roman" w:eastAsia="方正仿宋_GBK" w:cs="Times New Roman"/>
          <w:kern w:val="2"/>
          <w:sz w:val="32"/>
          <w:szCs w:val="32"/>
          <w:lang w:val="en-US" w:eastAsia="zh-CN" w:bidi="ar-SA"/>
        </w:rPr>
        <w:t>329.35万元，决算支出为1356.73</w:t>
      </w:r>
      <w:r>
        <w:rPr>
          <w:rFonts w:hint="default" w:ascii="Times New Roman" w:hAnsi="Times New Roman" w:eastAsia="方正仿宋_GBK" w:cs="Times New Roman"/>
          <w:kern w:val="2"/>
          <w:sz w:val="32"/>
          <w:szCs w:val="32"/>
          <w:lang w:val="en-US" w:eastAsia="zh-CN" w:bidi="ar-SA"/>
        </w:rPr>
        <w:t>万元，其中，基本支出</w:t>
      </w:r>
      <w:r>
        <w:rPr>
          <w:rFonts w:hint="eastAsia" w:ascii="Times New Roman" w:hAnsi="Times New Roman" w:eastAsia="方正仿宋_GBK" w:cs="Times New Roman"/>
          <w:kern w:val="2"/>
          <w:sz w:val="32"/>
          <w:szCs w:val="32"/>
          <w:lang w:val="en-US" w:eastAsia="zh-CN" w:bidi="ar-SA"/>
        </w:rPr>
        <w:t>298.44</w:t>
      </w:r>
      <w:r>
        <w:rPr>
          <w:rFonts w:hint="default" w:ascii="Times New Roman" w:hAnsi="Times New Roman" w:eastAsia="方正仿宋_GBK" w:cs="Times New Roman"/>
          <w:kern w:val="2"/>
          <w:sz w:val="32"/>
          <w:szCs w:val="32"/>
          <w:lang w:val="en-US" w:eastAsia="zh-CN" w:bidi="ar-SA"/>
        </w:rPr>
        <w:t>万元（人员经费支出</w:t>
      </w:r>
      <w:r>
        <w:rPr>
          <w:rFonts w:hint="eastAsia" w:ascii="Times New Roman" w:hAnsi="Times New Roman" w:eastAsia="方正仿宋_GBK" w:cs="Times New Roman"/>
          <w:kern w:val="2"/>
          <w:sz w:val="32"/>
          <w:szCs w:val="32"/>
          <w:lang w:val="en-US" w:eastAsia="zh-CN" w:bidi="ar-SA"/>
        </w:rPr>
        <w:t>281.3</w:t>
      </w:r>
      <w:r>
        <w:rPr>
          <w:rFonts w:hint="default" w:ascii="Times New Roman" w:hAnsi="Times New Roman" w:eastAsia="方正仿宋_GBK" w:cs="Times New Roman"/>
          <w:kern w:val="2"/>
          <w:sz w:val="32"/>
          <w:szCs w:val="32"/>
          <w:lang w:val="en-US" w:eastAsia="zh-CN" w:bidi="ar-SA"/>
        </w:rPr>
        <w:t>万元；公用经费支出</w:t>
      </w:r>
      <w:r>
        <w:rPr>
          <w:rFonts w:hint="eastAsia" w:ascii="Times New Roman" w:hAnsi="Times New Roman" w:eastAsia="方正仿宋_GBK" w:cs="Times New Roman"/>
          <w:kern w:val="2"/>
          <w:sz w:val="32"/>
          <w:szCs w:val="32"/>
          <w:lang w:val="en-US" w:eastAsia="zh-CN" w:bidi="ar-SA"/>
        </w:rPr>
        <w:t>17.14万元），项目支出1949.78万元。</w:t>
      </w:r>
    </w:p>
    <w:p w14:paraId="3E2DC724">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eastAsia" w:ascii="Times New Roman" w:hAnsi="Times New Roman" w:eastAsia="方正楷体_GBK" w:cs="Times New Roman"/>
          <w:b/>
          <w:kern w:val="2"/>
          <w:sz w:val="32"/>
          <w:szCs w:val="32"/>
          <w:lang w:val="zh-CN" w:eastAsia="zh-CN"/>
        </w:rPr>
        <w:t>（</w:t>
      </w:r>
      <w:r>
        <w:rPr>
          <w:rFonts w:hint="eastAsia" w:ascii="Times New Roman" w:hAnsi="Times New Roman" w:eastAsia="方正楷体_GBK" w:cs="Times New Roman"/>
          <w:b/>
          <w:kern w:val="2"/>
          <w:sz w:val="32"/>
          <w:szCs w:val="32"/>
          <w:lang w:val="en-US" w:eastAsia="zh-CN"/>
        </w:rPr>
        <w:t>三</w:t>
      </w:r>
      <w:r>
        <w:rPr>
          <w:rFonts w:hint="eastAsia" w:ascii="Times New Roman" w:hAnsi="Times New Roman" w:eastAsia="方正楷体_GBK" w:cs="Times New Roman"/>
          <w:b/>
          <w:kern w:val="2"/>
          <w:sz w:val="32"/>
          <w:szCs w:val="32"/>
          <w:lang w:val="zh-CN" w:eastAsia="zh-CN"/>
        </w:rPr>
        <w:t>）</w:t>
      </w:r>
      <w:r>
        <w:rPr>
          <w:rFonts w:hint="default" w:ascii="Times New Roman" w:hAnsi="Times New Roman" w:eastAsia="方正楷体_GBK" w:cs="Times New Roman"/>
          <w:b/>
          <w:kern w:val="2"/>
          <w:sz w:val="32"/>
          <w:szCs w:val="32"/>
          <w:lang w:val="zh-CN" w:eastAsia="zh-CN"/>
        </w:rPr>
        <w:t>结余分配和结转结余情况。</w:t>
      </w:r>
    </w:p>
    <w:p w14:paraId="11E40D57">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en-US" w:eastAsia="zh-CN" w:bidi="ar-SA"/>
        </w:rPr>
      </w:pPr>
      <w:r>
        <w:rPr>
          <w:rFonts w:hint="default" w:ascii="Times New Roman" w:hAnsi="Times New Roman" w:eastAsia="方正仿宋_GBK" w:cs="Times New Roman"/>
          <w:kern w:val="2"/>
          <w:sz w:val="32"/>
          <w:szCs w:val="32"/>
          <w:lang w:val="en-US" w:eastAsia="zh-CN" w:bidi="ar-SA"/>
        </w:rPr>
        <w:t>202</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en-US" w:eastAsia="zh-CN" w:bidi="ar-SA"/>
        </w:rPr>
        <w:t>年，</w:t>
      </w:r>
      <w:r>
        <w:rPr>
          <w:rFonts w:hint="eastAsia" w:ascii="Times New Roman" w:hAnsi="Times New Roman" w:eastAsia="方正仿宋_GBK" w:cs="Times New Roman"/>
          <w:kern w:val="2"/>
          <w:sz w:val="32"/>
          <w:szCs w:val="32"/>
          <w:lang w:val="en-US" w:eastAsia="zh-CN" w:bidi="ar-SA"/>
        </w:rPr>
        <w:t>区经合局</w:t>
      </w:r>
      <w:r>
        <w:rPr>
          <w:rFonts w:hint="default" w:ascii="Times New Roman" w:hAnsi="Times New Roman" w:eastAsia="方正仿宋_GBK" w:cs="Times New Roman"/>
          <w:kern w:val="2"/>
          <w:sz w:val="32"/>
          <w:szCs w:val="32"/>
          <w:lang w:val="en-US" w:eastAsia="zh-CN" w:bidi="ar-SA"/>
        </w:rPr>
        <w:t>本年</w:t>
      </w:r>
      <w:r>
        <w:rPr>
          <w:rFonts w:hint="eastAsia" w:ascii="Times New Roman" w:hAnsi="Times New Roman" w:eastAsia="方正仿宋_GBK" w:cs="Times New Roman"/>
          <w:kern w:val="2"/>
          <w:sz w:val="32"/>
          <w:szCs w:val="32"/>
          <w:lang w:val="en-US" w:eastAsia="zh-CN" w:bidi="ar-SA"/>
        </w:rPr>
        <w:t>无</w:t>
      </w:r>
      <w:r>
        <w:rPr>
          <w:rFonts w:hint="default" w:ascii="Times New Roman" w:hAnsi="Times New Roman" w:eastAsia="方正仿宋_GBK" w:cs="Times New Roman"/>
          <w:kern w:val="2"/>
          <w:sz w:val="32"/>
          <w:szCs w:val="32"/>
          <w:lang w:val="en-US" w:eastAsia="zh-CN" w:bidi="ar-SA"/>
        </w:rPr>
        <w:t>结转和结余</w:t>
      </w:r>
      <w:r>
        <w:rPr>
          <w:rFonts w:hint="eastAsia" w:ascii="Times New Roman" w:hAnsi="Times New Roman" w:eastAsia="方正仿宋_GBK" w:cs="Times New Roman"/>
          <w:kern w:val="2"/>
          <w:sz w:val="32"/>
          <w:szCs w:val="32"/>
          <w:lang w:val="en-US" w:eastAsia="zh-CN" w:bidi="ar-SA"/>
        </w:rPr>
        <w:t>。</w:t>
      </w:r>
    </w:p>
    <w:p w14:paraId="4D44383D">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en-US" w:eastAsia="zh-CN" w:bidi="ar-SA"/>
        </w:rPr>
      </w:pPr>
      <w:bookmarkStart w:id="94" w:name="_Toc8124"/>
      <w:bookmarkStart w:id="95" w:name="_Toc12886"/>
      <w:r>
        <w:rPr>
          <w:rFonts w:hint="eastAsia" w:ascii="Times New Roman" w:hAnsi="Times New Roman" w:eastAsia="方正黑体_GBK" w:cs="Times New Roman"/>
          <w:b w:val="0"/>
          <w:bCs w:val="0"/>
          <w:kern w:val="2"/>
          <w:sz w:val="32"/>
          <w:szCs w:val="32"/>
          <w:lang w:val="en-US" w:eastAsia="zh-CN" w:bidi="ar-SA"/>
        </w:rPr>
        <w:t>三、</w:t>
      </w:r>
      <w:r>
        <w:rPr>
          <w:rFonts w:hint="default" w:ascii="Times New Roman" w:hAnsi="Times New Roman" w:eastAsia="方正黑体_GBK" w:cs="Times New Roman"/>
          <w:b w:val="0"/>
          <w:bCs w:val="0"/>
          <w:kern w:val="2"/>
          <w:sz w:val="32"/>
          <w:szCs w:val="32"/>
          <w:lang w:val="en-US" w:eastAsia="zh-CN" w:bidi="ar-SA"/>
        </w:rPr>
        <w:t>部门整体预算绩效管理情况</w:t>
      </w:r>
      <w:bookmarkEnd w:id="94"/>
      <w:bookmarkEnd w:id="95"/>
    </w:p>
    <w:p w14:paraId="5411DF76">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eastAsia" w:ascii="Times New Roman" w:hAnsi="Times New Roman" w:eastAsia="方正楷体_GBK" w:cs="Times New Roman"/>
          <w:b/>
          <w:kern w:val="2"/>
          <w:sz w:val="32"/>
          <w:szCs w:val="32"/>
          <w:lang w:val="zh-CN" w:eastAsia="zh-CN"/>
        </w:rPr>
        <w:t>（一）</w:t>
      </w:r>
      <w:r>
        <w:rPr>
          <w:rFonts w:hint="default" w:ascii="Times New Roman" w:hAnsi="Times New Roman" w:eastAsia="方正楷体_GBK" w:cs="Times New Roman"/>
          <w:b/>
          <w:kern w:val="2"/>
          <w:sz w:val="32"/>
          <w:szCs w:val="32"/>
          <w:lang w:val="zh-CN" w:eastAsia="zh-CN"/>
        </w:rPr>
        <w:t>部门预算总体绩效分析。</w:t>
      </w:r>
    </w:p>
    <w:p w14:paraId="4A695358">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1.</w:t>
      </w:r>
      <w:r>
        <w:rPr>
          <w:rFonts w:hint="eastAsia" w:ascii="Times New Roman" w:hAnsi="Times New Roman" w:eastAsia="方正仿宋_GBK" w:cs="Times New Roman"/>
          <w:b/>
          <w:bCs/>
          <w:kern w:val="2"/>
          <w:sz w:val="32"/>
          <w:szCs w:val="32"/>
          <w:lang w:val="zh-CN" w:eastAsia="zh-CN" w:bidi="ar-SA"/>
        </w:rPr>
        <w:t>履职效能。</w:t>
      </w:r>
      <w:r>
        <w:rPr>
          <w:rFonts w:hint="eastAsia" w:ascii="Times New Roman" w:hAnsi="Times New Roman" w:eastAsia="方正仿宋_GBK" w:cs="Times New Roman"/>
          <w:kern w:val="2"/>
          <w:sz w:val="32"/>
          <w:szCs w:val="32"/>
          <w:lang w:val="en-US" w:eastAsia="zh-CN" w:bidi="ar-SA"/>
        </w:rPr>
        <w:t>2025年</w:t>
      </w:r>
      <w:r>
        <w:rPr>
          <w:rFonts w:hint="default" w:ascii="Times New Roman" w:hAnsi="Times New Roman" w:eastAsia="方正仿宋_GBK" w:cs="Times New Roman"/>
          <w:kern w:val="2"/>
          <w:sz w:val="32"/>
          <w:szCs w:val="32"/>
          <w:lang w:val="en-US" w:eastAsia="zh-CN" w:bidi="ar-SA"/>
        </w:rPr>
        <w:t>区经济合作局聚焦“建圈强链”工作要求，围绕钒钛钢铁铸造、光电信息、清洁能源、新型材料、阳光康养、现代商贸物流、现代特色农业、未来产业等8个重点产业生态圈，梳理了产业带动性强、产业链关联度高的企业。同时积极与重点产业链主企业沟通对接，精准梳理链主企业上下游供应商及客户，形成仁和区招商引资目标企业库，已梳理目标企业294家。</w:t>
      </w:r>
      <w:r>
        <w:rPr>
          <w:rFonts w:hint="eastAsia" w:ascii="Times New Roman" w:hAnsi="Times New Roman" w:eastAsia="方正仿宋_GBK" w:cs="Times New Roman"/>
          <w:kern w:val="2"/>
          <w:sz w:val="32"/>
          <w:szCs w:val="32"/>
          <w:lang w:val="en-US" w:eastAsia="zh-CN" w:bidi="ar-SA"/>
        </w:rPr>
        <w:t>并</w:t>
      </w:r>
      <w:r>
        <w:rPr>
          <w:rFonts w:hint="default" w:ascii="Times New Roman" w:hAnsi="Times New Roman" w:eastAsia="方正仿宋_GBK" w:cs="Times New Roman"/>
          <w:kern w:val="2"/>
          <w:sz w:val="32"/>
          <w:szCs w:val="32"/>
          <w:lang w:val="en-US" w:eastAsia="zh-CN" w:bidi="ar-SA"/>
        </w:rPr>
        <w:t>围绕钒钛钢铁铸造、光电信息、清洁能源等重点产业生态圈有针对性地更新制定2025年招商引资投资指南。同时，积极包装储备项目，围绕8个重点产业生态圈包装项目72个，并借助招商活动、行业商协会等平台向外推介，全力推动包装项目落地转化。聚焦光电信息产业链延链补链，签约引进投资5亿元的东莞机智印制电路板生产项目</w:t>
      </w:r>
      <w:r>
        <w:rPr>
          <w:rFonts w:hint="eastAsia" w:ascii="Times New Roman" w:hAnsi="Times New Roman" w:eastAsia="方正仿宋_GBK" w:cs="Times New Roman"/>
          <w:kern w:val="2"/>
          <w:sz w:val="32"/>
          <w:szCs w:val="32"/>
          <w:lang w:val="en-US" w:eastAsia="zh-CN" w:bidi="ar-SA"/>
        </w:rPr>
        <w:t>、超维电子印制电路板生产项目，</w:t>
      </w:r>
      <w:r>
        <w:rPr>
          <w:rFonts w:hint="default" w:ascii="Times New Roman" w:hAnsi="Times New Roman" w:eastAsia="方正仿宋_GBK" w:cs="Times New Roman"/>
          <w:kern w:val="2"/>
          <w:sz w:val="32"/>
          <w:szCs w:val="32"/>
          <w:lang w:val="en-US" w:eastAsia="zh-CN" w:bidi="ar-SA"/>
        </w:rPr>
        <w:t>项目落地后可有效提升电子工业配套污水处理设施利用率，进一步提升我区印制电路板产业规模和集群效益，促进我区对印制电路板上游覆铜板生产、下游智能终端制造等项目招引。投资1亿元的深圳景晖印制电路板智能装备生产项目</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项目落地后可与仁和区印制电路板生产企业形成产业上游配套，提高印制电路板设备保障能力，促进我区对印制电路板生产企业的招引。同时，着眼钒钛铸造产业园建设，与上海宜新签订了深化合作战略协议，计划围绕钒钛磁铁矿综合开发利用、钒钛特色铸造产业集群、新材料产业、营盘山钒钛磁铁矿开发等领域开展深度战略合作，实现“钒钛磁铁矿资源开采</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洗选</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冶炼</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深加工”的产业生态闭环。</w:t>
      </w:r>
      <w:r>
        <w:rPr>
          <w:rFonts w:hint="eastAsia" w:ascii="Times New Roman" w:hAnsi="Times New Roman" w:eastAsia="方正仿宋_GBK" w:cs="Times New Roman"/>
          <w:kern w:val="2"/>
          <w:sz w:val="32"/>
          <w:szCs w:val="32"/>
          <w:lang w:val="zh-CN" w:eastAsia="zh-CN" w:bidi="ar-SA"/>
        </w:rPr>
        <w:t>2025年1-12月完成引进产业项目新增实际投资54.6亿元，完成全年任务的101.11%。2025年1-12月完成省外引进产业项目新增实际投资40.71亿元，完成全年任务的101.76%。</w:t>
      </w:r>
    </w:p>
    <w:p w14:paraId="5496F792">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2.预算管理。</w:t>
      </w:r>
      <w:r>
        <w:rPr>
          <w:rFonts w:hint="eastAsia"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我局科学、合理编制预算、严格预算执行，实施预算绩效管理，预算资金统筹安排，防止无计划支出，基本支出坚持节约的原则，严格执行规定的开支范围及开支标准，专项支出按照计划或预算批准的项目和用途使用，保障单位正常运转。年终完整准确及时编制决算，真实反映单位财务状况。</w:t>
      </w:r>
    </w:p>
    <w:p w14:paraId="6D10E286">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3.财务管理。</w:t>
      </w:r>
      <w:r>
        <w:rPr>
          <w:rFonts w:hint="eastAsia" w:ascii="Times New Roman" w:hAnsi="Times New Roman" w:eastAsia="方正仿宋_GBK" w:cs="Times New Roman"/>
          <w:kern w:val="2"/>
          <w:sz w:val="32"/>
          <w:szCs w:val="32"/>
          <w:lang w:val="en-US" w:eastAsia="zh-CN" w:bidi="ar-SA"/>
        </w:rPr>
        <w:t>我局</w:t>
      </w:r>
      <w:r>
        <w:rPr>
          <w:rFonts w:hint="eastAsia" w:ascii="Times New Roman" w:hAnsi="Times New Roman" w:eastAsia="方正仿宋_GBK" w:cs="Times New Roman"/>
          <w:kern w:val="2"/>
          <w:sz w:val="32"/>
          <w:szCs w:val="32"/>
          <w:lang w:val="zh-CN" w:eastAsia="zh-CN" w:bidi="ar-SA"/>
        </w:rPr>
        <w:t>已建立较为完善的财务管理制度，涵盖预算管理、资金审批、费用报销、资产管理等各个方面，制度内容符合国家法律法规和财经纪律要求。财务岗位设置合理，明确了各岗位的职责和权限，形成了相互制约、相互监督的机制。资金使用严格按照预算安排和相关财务制度执行，审批流程完备。</w:t>
      </w:r>
    </w:p>
    <w:p w14:paraId="3784AB05">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4.资产管理。</w:t>
      </w:r>
      <w:r>
        <w:rPr>
          <w:rFonts w:hint="eastAsia" w:ascii="Times New Roman" w:hAnsi="Times New Roman" w:eastAsia="方正仿宋_GBK" w:cs="Times New Roman"/>
          <w:kern w:val="2"/>
          <w:sz w:val="32"/>
          <w:szCs w:val="32"/>
          <w:lang w:val="zh-CN" w:eastAsia="zh-CN" w:bidi="ar-SA"/>
        </w:rPr>
        <w:t>我</w:t>
      </w:r>
      <w:r>
        <w:rPr>
          <w:rFonts w:hint="eastAsia" w:ascii="Times New Roman" w:hAnsi="Times New Roman" w:eastAsia="方正仿宋_GBK" w:cs="Times New Roman"/>
          <w:kern w:val="2"/>
          <w:sz w:val="32"/>
          <w:szCs w:val="32"/>
          <w:lang w:val="en-US" w:eastAsia="zh-CN" w:bidi="ar-SA"/>
        </w:rPr>
        <w:t>局</w:t>
      </w:r>
      <w:r>
        <w:rPr>
          <w:rFonts w:hint="eastAsia"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年末固定资产原值为</w:t>
      </w:r>
      <w:r>
        <w:rPr>
          <w:rFonts w:hint="eastAsia" w:ascii="Times New Roman" w:hAnsi="Times New Roman" w:eastAsia="方正仿宋_GBK" w:cs="Times New Roman"/>
          <w:kern w:val="2"/>
          <w:sz w:val="32"/>
          <w:szCs w:val="32"/>
          <w:lang w:val="en-US" w:eastAsia="zh-CN" w:bidi="ar-SA"/>
        </w:rPr>
        <w:t>48.78</w:t>
      </w:r>
      <w:r>
        <w:rPr>
          <w:rFonts w:hint="eastAsia" w:ascii="Times New Roman" w:hAnsi="Times New Roman" w:eastAsia="方正仿宋_GBK" w:cs="Times New Roman"/>
          <w:kern w:val="2"/>
          <w:sz w:val="32"/>
          <w:szCs w:val="32"/>
          <w:lang w:val="zh-CN" w:eastAsia="zh-CN" w:bidi="ar-SA"/>
        </w:rPr>
        <w:t>万元，其中：设备</w:t>
      </w:r>
      <w:r>
        <w:rPr>
          <w:rFonts w:hint="eastAsia" w:ascii="Times New Roman" w:hAnsi="Times New Roman" w:eastAsia="方正仿宋_GBK" w:cs="Times New Roman"/>
          <w:kern w:val="2"/>
          <w:sz w:val="32"/>
          <w:szCs w:val="32"/>
          <w:lang w:val="en-US" w:eastAsia="zh-CN" w:bidi="ar-SA"/>
        </w:rPr>
        <w:t>37.08</w:t>
      </w:r>
      <w:r>
        <w:rPr>
          <w:rFonts w:hint="eastAsia" w:ascii="Times New Roman" w:hAnsi="Times New Roman" w:eastAsia="方正仿宋_GBK" w:cs="Times New Roman"/>
          <w:kern w:val="2"/>
          <w:sz w:val="32"/>
          <w:szCs w:val="32"/>
          <w:lang w:val="zh-CN" w:eastAsia="zh-CN" w:bidi="ar-SA"/>
        </w:rPr>
        <w:t>万元，占固定资产原值的</w:t>
      </w:r>
      <w:r>
        <w:rPr>
          <w:rFonts w:hint="eastAsia" w:ascii="Times New Roman" w:hAnsi="Times New Roman" w:eastAsia="方正仿宋_GBK" w:cs="Times New Roman"/>
          <w:kern w:val="2"/>
          <w:sz w:val="32"/>
          <w:szCs w:val="32"/>
          <w:lang w:val="en-US" w:eastAsia="zh-CN" w:bidi="ar-SA"/>
        </w:rPr>
        <w:t>76</w:t>
      </w:r>
      <w:r>
        <w:rPr>
          <w:rFonts w:hint="eastAsia" w:ascii="Times New Roman" w:hAnsi="Times New Roman" w:eastAsia="方正仿宋_GBK" w:cs="Times New Roman"/>
          <w:kern w:val="2"/>
          <w:sz w:val="32"/>
          <w:szCs w:val="32"/>
          <w:lang w:val="zh-CN" w:eastAsia="zh-CN" w:bidi="ar-SA"/>
        </w:rPr>
        <w:t>%，家具和用具</w:t>
      </w:r>
      <w:r>
        <w:rPr>
          <w:rFonts w:hint="eastAsia" w:ascii="Times New Roman" w:hAnsi="Times New Roman" w:eastAsia="方正仿宋_GBK" w:cs="Times New Roman"/>
          <w:kern w:val="2"/>
          <w:sz w:val="32"/>
          <w:szCs w:val="32"/>
          <w:lang w:val="en-US" w:eastAsia="zh-CN" w:bidi="ar-SA"/>
        </w:rPr>
        <w:t>11.69</w:t>
      </w:r>
      <w:r>
        <w:rPr>
          <w:rFonts w:hint="eastAsia" w:ascii="Times New Roman" w:hAnsi="Times New Roman" w:eastAsia="方正仿宋_GBK" w:cs="Times New Roman"/>
          <w:kern w:val="2"/>
          <w:sz w:val="32"/>
          <w:szCs w:val="32"/>
          <w:lang w:val="zh-CN" w:eastAsia="zh-CN" w:bidi="ar-SA"/>
        </w:rPr>
        <w:t>万元，占固定资产原值的</w:t>
      </w:r>
      <w:r>
        <w:rPr>
          <w:rFonts w:hint="eastAsia" w:ascii="Times New Roman" w:hAnsi="Times New Roman" w:eastAsia="方正仿宋_GBK" w:cs="Times New Roman"/>
          <w:kern w:val="2"/>
          <w:sz w:val="32"/>
          <w:szCs w:val="32"/>
          <w:lang w:val="en-US" w:eastAsia="zh-CN" w:bidi="ar-SA"/>
        </w:rPr>
        <w:t>23</w:t>
      </w:r>
      <w:r>
        <w:rPr>
          <w:rFonts w:hint="eastAsia" w:ascii="Times New Roman" w:hAnsi="Times New Roman" w:eastAsia="方正仿宋_GBK" w:cs="Times New Roman"/>
          <w:kern w:val="2"/>
          <w:sz w:val="32"/>
          <w:szCs w:val="32"/>
          <w:lang w:val="zh-CN" w:eastAsia="zh-CN" w:bidi="ar-SA"/>
        </w:rPr>
        <w:t>%。无形资产原值为</w:t>
      </w:r>
      <w:r>
        <w:rPr>
          <w:rFonts w:hint="eastAsia" w:ascii="Times New Roman" w:hAnsi="Times New Roman" w:eastAsia="方正仿宋_GBK" w:cs="Times New Roman"/>
          <w:kern w:val="2"/>
          <w:sz w:val="32"/>
          <w:szCs w:val="32"/>
          <w:lang w:val="en-US" w:eastAsia="zh-CN" w:bidi="ar-SA"/>
        </w:rPr>
        <w:t>900</w:t>
      </w:r>
      <w:r>
        <w:rPr>
          <w:rFonts w:hint="eastAsia" w:ascii="Times New Roman" w:hAnsi="Times New Roman" w:eastAsia="方正仿宋_GBK" w:cs="Times New Roman"/>
          <w:kern w:val="2"/>
          <w:sz w:val="32"/>
          <w:szCs w:val="32"/>
          <w:lang w:val="zh-CN" w:eastAsia="zh-CN" w:bidi="ar-SA"/>
        </w:rPr>
        <w:t>元，占固定资产原值的</w:t>
      </w:r>
      <w:r>
        <w:rPr>
          <w:rFonts w:hint="eastAsia" w:ascii="Times New Roman" w:hAnsi="Times New Roman" w:eastAsia="方正仿宋_GBK" w:cs="Times New Roman"/>
          <w:kern w:val="2"/>
          <w:sz w:val="32"/>
          <w:szCs w:val="32"/>
          <w:lang w:val="en-US" w:eastAsia="zh-CN" w:bidi="ar-SA"/>
        </w:rPr>
        <w:t>0.1%</w:t>
      </w:r>
      <w:r>
        <w:rPr>
          <w:rFonts w:hint="eastAsia" w:ascii="Times New Roman" w:hAnsi="Times New Roman" w:eastAsia="方正仿宋_GBK" w:cs="Times New Roman"/>
          <w:kern w:val="2"/>
          <w:sz w:val="32"/>
          <w:szCs w:val="32"/>
          <w:lang w:val="zh-CN" w:eastAsia="zh-CN" w:bidi="ar-SA"/>
        </w:rPr>
        <w:t>。我单位202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年末固定资产净值总量为</w:t>
      </w:r>
      <w:r>
        <w:rPr>
          <w:rFonts w:hint="eastAsia" w:ascii="Times New Roman" w:hAnsi="Times New Roman" w:eastAsia="方正仿宋_GBK" w:cs="Times New Roman"/>
          <w:kern w:val="2"/>
          <w:sz w:val="32"/>
          <w:szCs w:val="32"/>
          <w:lang w:val="en-US" w:eastAsia="zh-CN" w:bidi="ar-SA"/>
        </w:rPr>
        <w:t>12.74</w:t>
      </w:r>
      <w:r>
        <w:rPr>
          <w:rFonts w:hint="eastAsia" w:ascii="Times New Roman" w:hAnsi="Times New Roman" w:eastAsia="方正仿宋_GBK" w:cs="Times New Roman"/>
          <w:kern w:val="2"/>
          <w:sz w:val="32"/>
          <w:szCs w:val="32"/>
          <w:lang w:val="zh-CN" w:eastAsia="zh-CN" w:bidi="ar-SA"/>
        </w:rPr>
        <w:t>万元，其中：设备</w:t>
      </w:r>
      <w:r>
        <w:rPr>
          <w:rFonts w:hint="eastAsia" w:ascii="Times New Roman" w:hAnsi="Times New Roman" w:eastAsia="方正仿宋_GBK" w:cs="Times New Roman"/>
          <w:kern w:val="2"/>
          <w:sz w:val="32"/>
          <w:szCs w:val="32"/>
          <w:lang w:val="en-US" w:eastAsia="zh-CN" w:bidi="ar-SA"/>
        </w:rPr>
        <w:t>9.65</w:t>
      </w:r>
      <w:r>
        <w:rPr>
          <w:rFonts w:hint="eastAsia" w:ascii="Times New Roman" w:hAnsi="Times New Roman" w:eastAsia="方正仿宋_GBK" w:cs="Times New Roman"/>
          <w:kern w:val="2"/>
          <w:sz w:val="32"/>
          <w:szCs w:val="32"/>
          <w:lang w:val="zh-CN" w:eastAsia="zh-CN" w:bidi="ar-SA"/>
        </w:rPr>
        <w:t>万元，占固定资产净值总量的</w:t>
      </w:r>
      <w:r>
        <w:rPr>
          <w:rFonts w:hint="eastAsia" w:ascii="Times New Roman" w:hAnsi="Times New Roman" w:eastAsia="方正仿宋_GBK" w:cs="Times New Roman"/>
          <w:kern w:val="2"/>
          <w:sz w:val="32"/>
          <w:szCs w:val="32"/>
          <w:lang w:val="en-US" w:eastAsia="zh-CN" w:bidi="ar-SA"/>
        </w:rPr>
        <w:t>76</w:t>
      </w:r>
      <w:r>
        <w:rPr>
          <w:rFonts w:hint="eastAsia" w:ascii="Times New Roman" w:hAnsi="Times New Roman" w:eastAsia="方正仿宋_GBK" w:cs="Times New Roman"/>
          <w:kern w:val="2"/>
          <w:sz w:val="32"/>
          <w:szCs w:val="32"/>
          <w:lang w:val="zh-CN" w:eastAsia="zh-CN" w:bidi="ar-SA"/>
        </w:rPr>
        <w:t>%，家具和用具3.</w:t>
      </w:r>
      <w:r>
        <w:rPr>
          <w:rFonts w:hint="eastAsia" w:ascii="Times New Roman" w:hAnsi="Times New Roman" w:eastAsia="方正仿宋_GBK" w:cs="Times New Roman"/>
          <w:kern w:val="2"/>
          <w:sz w:val="32"/>
          <w:szCs w:val="32"/>
          <w:lang w:val="en-US" w:eastAsia="zh-CN" w:bidi="ar-SA"/>
        </w:rPr>
        <w:t>09</w:t>
      </w:r>
      <w:r>
        <w:rPr>
          <w:rFonts w:hint="eastAsia" w:ascii="Times New Roman" w:hAnsi="Times New Roman" w:eastAsia="方正仿宋_GBK" w:cs="Times New Roman"/>
          <w:kern w:val="2"/>
          <w:sz w:val="32"/>
          <w:szCs w:val="32"/>
          <w:lang w:val="zh-CN" w:eastAsia="zh-CN" w:bidi="ar-SA"/>
        </w:rPr>
        <w:t>万元，占固定资产净值总量的</w:t>
      </w:r>
      <w:r>
        <w:rPr>
          <w:rFonts w:hint="eastAsia" w:ascii="Times New Roman" w:hAnsi="Times New Roman" w:eastAsia="方正仿宋_GBK" w:cs="Times New Roman"/>
          <w:kern w:val="2"/>
          <w:sz w:val="32"/>
          <w:szCs w:val="32"/>
          <w:lang w:val="en-US" w:eastAsia="zh-CN" w:bidi="ar-SA"/>
        </w:rPr>
        <w:t>24</w:t>
      </w:r>
      <w:r>
        <w:rPr>
          <w:rFonts w:hint="eastAsia" w:ascii="Times New Roman" w:hAnsi="Times New Roman" w:eastAsia="方正仿宋_GBK" w:cs="Times New Roman"/>
          <w:kern w:val="2"/>
          <w:sz w:val="32"/>
          <w:szCs w:val="32"/>
          <w:lang w:val="zh-CN" w:eastAsia="zh-CN" w:bidi="ar-SA"/>
        </w:rPr>
        <w:t>%。无形资产净值为</w:t>
      </w:r>
      <w:r>
        <w:rPr>
          <w:rFonts w:hint="eastAsia" w:ascii="Times New Roman" w:hAnsi="Times New Roman" w:eastAsia="方正仿宋_GBK" w:cs="Times New Roman"/>
          <w:kern w:val="2"/>
          <w:sz w:val="32"/>
          <w:szCs w:val="32"/>
          <w:lang w:val="en-US" w:eastAsia="zh-CN" w:bidi="ar-SA"/>
        </w:rPr>
        <w:t>0</w:t>
      </w:r>
      <w:r>
        <w:rPr>
          <w:rFonts w:hint="eastAsia" w:ascii="Times New Roman" w:hAnsi="Times New Roman" w:eastAsia="方正仿宋_GBK" w:cs="Times New Roman"/>
          <w:kern w:val="2"/>
          <w:sz w:val="32"/>
          <w:szCs w:val="32"/>
          <w:lang w:val="zh-CN" w:eastAsia="zh-CN" w:bidi="ar-SA"/>
        </w:rPr>
        <w:t>元，占固定资产原值的</w:t>
      </w:r>
      <w:r>
        <w:rPr>
          <w:rFonts w:hint="eastAsia" w:ascii="Times New Roman" w:hAnsi="Times New Roman" w:eastAsia="方正仿宋_GBK" w:cs="Times New Roman"/>
          <w:kern w:val="2"/>
          <w:sz w:val="32"/>
          <w:szCs w:val="32"/>
          <w:lang w:val="en-US" w:eastAsia="zh-CN" w:bidi="ar-SA"/>
        </w:rPr>
        <w:t>0%</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2025年我局</w:t>
      </w:r>
      <w:r>
        <w:rPr>
          <w:rFonts w:hint="eastAsia" w:ascii="Times New Roman" w:hAnsi="Times New Roman" w:eastAsia="方正仿宋_GBK" w:cs="Times New Roman"/>
          <w:kern w:val="2"/>
          <w:sz w:val="32"/>
          <w:szCs w:val="32"/>
          <w:lang w:val="zh-CN" w:eastAsia="zh-CN" w:bidi="ar-SA"/>
        </w:rPr>
        <w:t>定期清查了本单位的</w:t>
      </w:r>
      <w:r>
        <w:rPr>
          <w:rFonts w:hint="eastAsia" w:ascii="Times New Roman" w:hAnsi="Times New Roman" w:eastAsia="方正仿宋_GBK" w:cs="Times New Roman"/>
          <w:kern w:val="2"/>
          <w:sz w:val="32"/>
          <w:szCs w:val="32"/>
          <w:lang w:val="en-US" w:eastAsia="zh-CN" w:bidi="ar-SA"/>
        </w:rPr>
        <w:t>固定</w:t>
      </w:r>
      <w:r>
        <w:rPr>
          <w:rFonts w:hint="eastAsia" w:ascii="Times New Roman" w:hAnsi="Times New Roman" w:eastAsia="方正仿宋_GBK" w:cs="Times New Roman"/>
          <w:kern w:val="2"/>
          <w:sz w:val="32"/>
          <w:szCs w:val="32"/>
          <w:lang w:val="zh-CN" w:eastAsia="zh-CN" w:bidi="ar-SA"/>
        </w:rPr>
        <w:t>资产，利用率有所提高，</w:t>
      </w:r>
      <w:r>
        <w:rPr>
          <w:rFonts w:hint="eastAsia" w:ascii="Times New Roman" w:hAnsi="Times New Roman" w:eastAsia="方正仿宋_GBK" w:cs="Times New Roman"/>
          <w:kern w:val="2"/>
          <w:sz w:val="32"/>
          <w:szCs w:val="32"/>
          <w:lang w:val="en-US" w:eastAsia="zh-CN" w:bidi="ar-SA"/>
        </w:rPr>
        <w:t>但还暂未对需要报废的资产进行报废处置</w:t>
      </w:r>
      <w:r>
        <w:rPr>
          <w:rFonts w:hint="eastAsia" w:ascii="Times New Roman" w:hAnsi="Times New Roman" w:eastAsia="方正仿宋_GBK" w:cs="Times New Roman"/>
          <w:kern w:val="2"/>
          <w:sz w:val="32"/>
          <w:szCs w:val="32"/>
          <w:lang w:val="zh-CN" w:eastAsia="zh-CN" w:bidi="ar-SA"/>
        </w:rPr>
        <w:t>。</w:t>
      </w:r>
    </w:p>
    <w:p w14:paraId="7B13855C">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5.采购管理。</w:t>
      </w:r>
      <w:r>
        <w:rPr>
          <w:rFonts w:hint="eastAsia" w:ascii="Times New Roman" w:hAnsi="Times New Roman" w:eastAsia="方正仿宋_GBK" w:cs="Times New Roman"/>
          <w:kern w:val="2"/>
          <w:sz w:val="32"/>
          <w:szCs w:val="32"/>
          <w:lang w:val="en-US" w:eastAsia="zh-CN" w:bidi="ar-SA"/>
        </w:rPr>
        <w:t>2025年我单位按照采购程序通过一体化采购平台采购了三台笔记本电脑用于招商引资工作，5288元一台，共计15864元。采购程序合规，过程公开，双方按照合同规定进行交付和验收，并及时将三台采购电脑新增到资产管理中进行管理。</w:t>
      </w:r>
    </w:p>
    <w:p w14:paraId="7124644D">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部门预算项目绩效分析</w:t>
      </w:r>
      <w:r>
        <w:rPr>
          <w:rFonts w:hint="eastAsia"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2025年</w:t>
      </w:r>
      <w:r>
        <w:rPr>
          <w:rFonts w:hint="default" w:ascii="Times New Roman" w:hAnsi="Times New Roman" w:eastAsia="方正仿宋_GBK" w:cs="Times New Roman"/>
          <w:kern w:val="2"/>
          <w:sz w:val="32"/>
          <w:szCs w:val="32"/>
          <w:lang w:val="zh-CN" w:eastAsia="zh-CN" w:bidi="ar-SA"/>
        </w:rPr>
        <w:t>常年项目</w:t>
      </w:r>
      <w:r>
        <w:rPr>
          <w:rFonts w:hint="eastAsia" w:ascii="Times New Roman" w:hAnsi="Times New Roman" w:eastAsia="方正仿宋_GBK" w:cs="Times New Roman"/>
          <w:kern w:val="2"/>
          <w:sz w:val="32"/>
          <w:szCs w:val="32"/>
          <w:lang w:val="en-US" w:eastAsia="zh-CN" w:bidi="ar-SA"/>
        </w:rPr>
        <w:t>1</w:t>
      </w:r>
      <w:r>
        <w:rPr>
          <w:rFonts w:hint="default" w:ascii="Times New Roman" w:hAnsi="Times New Roman" w:eastAsia="方正仿宋_GBK" w:cs="Times New Roman"/>
          <w:kern w:val="2"/>
          <w:sz w:val="32"/>
          <w:szCs w:val="32"/>
          <w:lang w:val="zh-CN" w:eastAsia="zh-CN" w:bidi="ar-SA"/>
        </w:rPr>
        <w:t>个，涉及预算总金额</w:t>
      </w:r>
      <w:r>
        <w:rPr>
          <w:rFonts w:hint="eastAsia" w:ascii="Times New Roman" w:hAnsi="Times New Roman" w:eastAsia="方正仿宋_GBK" w:cs="Times New Roman"/>
          <w:kern w:val="2"/>
          <w:sz w:val="32"/>
          <w:szCs w:val="32"/>
          <w:lang w:val="en-US" w:eastAsia="zh-CN" w:bidi="ar-SA"/>
        </w:rPr>
        <w:t>91.36</w:t>
      </w:r>
      <w:r>
        <w:rPr>
          <w:rFonts w:hint="default" w:ascii="Times New Roman" w:hAnsi="Times New Roman" w:eastAsia="方正仿宋_GBK" w:cs="Times New Roman"/>
          <w:kern w:val="2"/>
          <w:sz w:val="32"/>
          <w:szCs w:val="32"/>
          <w:lang w:val="zh-CN" w:eastAsia="zh-CN" w:bidi="ar-SA"/>
        </w:rPr>
        <w:t>万元，1</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12月预算执行总体进度为</w:t>
      </w:r>
      <w:r>
        <w:rPr>
          <w:rFonts w:hint="eastAsia" w:ascii="Times New Roman" w:hAnsi="Times New Roman"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zh-CN" w:eastAsia="zh-CN" w:bidi="ar-SA"/>
        </w:rPr>
        <w:t>%，其中：预算结余率大于10%的项目共计</w:t>
      </w:r>
      <w:r>
        <w:rPr>
          <w:rFonts w:hint="eastAsia" w:ascii="Times New Roman" w:hAnsi="Times New Roman"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zh-CN" w:eastAsia="zh-CN" w:bidi="ar-SA"/>
        </w:rPr>
        <w:t>个。</w:t>
      </w:r>
    </w:p>
    <w:p w14:paraId="3DBB28B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阶段（</w:t>
      </w:r>
      <w:r>
        <w:rPr>
          <w:rFonts w:hint="eastAsia" w:ascii="Times New Roman" w:hAnsi="Times New Roman" w:eastAsia="方正仿宋_GBK" w:cs="Times New Roman"/>
          <w:kern w:val="2"/>
          <w:sz w:val="32"/>
          <w:szCs w:val="32"/>
          <w:lang w:val="zh-CN" w:eastAsia="zh-CN" w:bidi="ar-SA"/>
        </w:rPr>
        <w:t>含</w:t>
      </w:r>
      <w:r>
        <w:rPr>
          <w:rFonts w:hint="default" w:ascii="Times New Roman" w:hAnsi="Times New Roman" w:eastAsia="方正仿宋_GBK" w:cs="Times New Roman"/>
          <w:kern w:val="2"/>
          <w:sz w:val="32"/>
          <w:szCs w:val="32"/>
          <w:lang w:val="zh-CN" w:eastAsia="zh-CN" w:bidi="ar-SA"/>
        </w:rPr>
        <w:t>一次性）项目绩效分析</w:t>
      </w:r>
      <w:r>
        <w:rPr>
          <w:rFonts w:hint="eastAsia"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该类项目总数</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zh-CN" w:eastAsia="zh-CN" w:bidi="ar-SA"/>
        </w:rPr>
        <w:t>个，涉及预算总金额</w:t>
      </w:r>
      <w:r>
        <w:rPr>
          <w:rFonts w:hint="eastAsia" w:ascii="Times New Roman" w:hAnsi="Times New Roman" w:eastAsia="方正仿宋_GBK" w:cs="Times New Roman"/>
          <w:kern w:val="2"/>
          <w:sz w:val="32"/>
          <w:szCs w:val="32"/>
          <w:lang w:val="en-US" w:eastAsia="zh-CN" w:bidi="ar-SA"/>
        </w:rPr>
        <w:t>1858.42</w:t>
      </w:r>
      <w:r>
        <w:rPr>
          <w:rFonts w:hint="default" w:ascii="Times New Roman" w:hAnsi="Times New Roman" w:eastAsia="方正仿宋_GBK" w:cs="Times New Roman"/>
          <w:kern w:val="2"/>
          <w:sz w:val="32"/>
          <w:szCs w:val="32"/>
          <w:lang w:val="zh-CN" w:eastAsia="zh-CN" w:bidi="ar-SA"/>
        </w:rPr>
        <w:t>万元，1</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12月预算执行总体进度为</w:t>
      </w:r>
      <w:r>
        <w:rPr>
          <w:rFonts w:hint="eastAsia" w:ascii="Times New Roman" w:hAnsi="Times New Roman" w:eastAsia="方正仿宋_GBK" w:cs="Times New Roman"/>
          <w:kern w:val="2"/>
          <w:sz w:val="32"/>
          <w:szCs w:val="32"/>
          <w:lang w:val="en-US" w:eastAsia="zh-CN" w:bidi="ar-SA"/>
        </w:rPr>
        <w:t>100</w:t>
      </w:r>
      <w:r>
        <w:rPr>
          <w:rFonts w:hint="default" w:ascii="Times New Roman" w:hAnsi="Times New Roman" w:eastAsia="方正仿宋_GBK" w:cs="Times New Roman"/>
          <w:kern w:val="2"/>
          <w:sz w:val="32"/>
          <w:szCs w:val="32"/>
          <w:lang w:val="zh-CN" w:eastAsia="zh-CN" w:bidi="ar-SA"/>
        </w:rPr>
        <w:t>%，其中：预算结余率大于10%的项目共计</w:t>
      </w:r>
      <w:r>
        <w:rPr>
          <w:rFonts w:hint="eastAsia" w:ascii="Times New Roman" w:hAnsi="Times New Roman" w:eastAsia="方正仿宋_GBK" w:cs="Times New Roman"/>
          <w:kern w:val="2"/>
          <w:sz w:val="32"/>
          <w:szCs w:val="32"/>
          <w:lang w:val="en-US" w:eastAsia="zh-CN" w:bidi="ar-SA"/>
        </w:rPr>
        <w:t>0</w:t>
      </w:r>
      <w:r>
        <w:rPr>
          <w:rFonts w:hint="default" w:ascii="Times New Roman" w:hAnsi="Times New Roman" w:eastAsia="方正仿宋_GBK" w:cs="Times New Roman"/>
          <w:kern w:val="2"/>
          <w:sz w:val="32"/>
          <w:szCs w:val="32"/>
          <w:lang w:val="zh-CN" w:eastAsia="zh-CN" w:bidi="ar-SA"/>
        </w:rPr>
        <w:t>个。</w:t>
      </w:r>
    </w:p>
    <w:p w14:paraId="1F482ED1">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default" w:ascii="Times New Roman" w:hAnsi="Times New Roman" w:eastAsia="方正仿宋_GBK" w:cs="Times New Roman"/>
          <w:b/>
          <w:bCs/>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1.项目决策。</w:t>
      </w:r>
    </w:p>
    <w:p w14:paraId="33C84875">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en-US" w:eastAsia="zh-CN" w:bidi="ar-SA"/>
        </w:rPr>
        <w:t>区经合局</w:t>
      </w:r>
      <w:r>
        <w:rPr>
          <w:rFonts w:hint="eastAsia" w:ascii="Times New Roman" w:hAnsi="Times New Roman" w:eastAsia="方正仿宋_GBK" w:cs="Times New Roman"/>
          <w:kern w:val="2"/>
          <w:sz w:val="32"/>
          <w:szCs w:val="32"/>
          <w:lang w:val="zh-CN" w:eastAsia="zh-CN" w:bidi="ar-SA"/>
        </w:rPr>
        <w:t>指定相关</w:t>
      </w:r>
      <w:r>
        <w:rPr>
          <w:rFonts w:hint="eastAsia" w:ascii="Times New Roman" w:hAnsi="Times New Roman" w:eastAsia="方正仿宋_GBK" w:cs="Times New Roman"/>
          <w:kern w:val="2"/>
          <w:sz w:val="32"/>
          <w:szCs w:val="32"/>
          <w:lang w:val="en-US" w:eastAsia="zh-CN" w:bidi="ar-SA"/>
        </w:rPr>
        <w:t>业务</w:t>
      </w:r>
      <w:r>
        <w:rPr>
          <w:rFonts w:hint="eastAsia" w:ascii="Times New Roman" w:hAnsi="Times New Roman" w:eastAsia="方正仿宋_GBK" w:cs="Times New Roman"/>
          <w:kern w:val="2"/>
          <w:sz w:val="32"/>
          <w:szCs w:val="32"/>
          <w:lang w:val="zh-CN" w:eastAsia="zh-CN" w:bidi="ar-SA"/>
        </w:rPr>
        <w:t>股室编写新增项目项目实施方案，并收集整理项目立项依据等相关资料，做好预算项目的前期论证工作、项目事前绩效评估，项目支出绩效目标申报表填报规范完整、指标尽量做到量化细化，三级指标设置清晰明了，项目按规定时限在一体化系统进行项目入库，并上传项目申报表。</w:t>
      </w:r>
    </w:p>
    <w:p w14:paraId="14FFF0AD">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default" w:ascii="Times New Roman" w:hAnsi="Times New Roman" w:eastAsia="方正仿宋_GBK" w:cs="Times New Roman"/>
          <w:b/>
          <w:bCs/>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2.项目执行。</w:t>
      </w:r>
    </w:p>
    <w:p w14:paraId="371F564B">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en-US" w:eastAsia="zh-CN" w:bidi="ar-SA"/>
        </w:rPr>
        <w:t>区级专项</w:t>
      </w:r>
      <w:r>
        <w:rPr>
          <w:rFonts w:hint="eastAsia" w:ascii="Times New Roman" w:hAnsi="Times New Roman" w:eastAsia="方正仿宋_GBK" w:cs="Times New Roman"/>
          <w:kern w:val="2"/>
          <w:sz w:val="32"/>
          <w:szCs w:val="32"/>
          <w:lang w:val="zh-CN" w:eastAsia="zh-CN" w:bidi="ar-SA"/>
        </w:rPr>
        <w:t>项目</w:t>
      </w:r>
      <w:r>
        <w:rPr>
          <w:rFonts w:hint="eastAsia" w:eastAsia="方正仿宋_GBK" w:cs="Times New Roman"/>
          <w:kern w:val="2"/>
          <w:sz w:val="32"/>
          <w:szCs w:val="32"/>
          <w:lang w:val="en-US" w:eastAsia="zh-CN" w:bidi="ar-SA"/>
        </w:rPr>
        <w:t>6</w:t>
      </w:r>
      <w:r>
        <w:rPr>
          <w:rFonts w:hint="eastAsia" w:ascii="Times New Roman" w:hAnsi="Times New Roman" w:eastAsia="方正仿宋_GBK" w:cs="Times New Roman"/>
          <w:kern w:val="2"/>
          <w:sz w:val="32"/>
          <w:szCs w:val="32"/>
          <w:lang w:val="zh-CN" w:eastAsia="zh-CN" w:bidi="ar-SA"/>
        </w:rPr>
        <w:t>个，</w:t>
      </w:r>
      <w:r>
        <w:rPr>
          <w:rFonts w:hint="eastAsia" w:ascii="Times New Roman" w:hAnsi="Times New Roman" w:eastAsia="方正仿宋_GBK" w:cs="Times New Roman"/>
          <w:kern w:val="2"/>
          <w:sz w:val="32"/>
          <w:szCs w:val="32"/>
          <w:lang w:val="en-US" w:eastAsia="zh-CN" w:bidi="ar-SA"/>
        </w:rPr>
        <w:t>分别为：恒森绿色科技Mini</w:t>
      </w:r>
      <w:r>
        <w:rPr>
          <w:rFonts w:hint="eastAsia" w:eastAsia="方正仿宋_GBK" w:cs="Times New Roman"/>
          <w:kern w:val="2"/>
          <w:sz w:val="32"/>
          <w:szCs w:val="32"/>
          <w:lang w:val="en-US" w:eastAsia="zh-CN" w:bidi="ar-SA"/>
        </w:rPr>
        <w:t xml:space="preserve"> </w:t>
      </w:r>
      <w:r>
        <w:rPr>
          <w:rFonts w:hint="eastAsia" w:ascii="Times New Roman" w:hAnsi="Times New Roman" w:eastAsia="方正仿宋_GBK" w:cs="Times New Roman"/>
          <w:kern w:val="2"/>
          <w:sz w:val="32"/>
          <w:szCs w:val="32"/>
          <w:lang w:val="en-US" w:eastAsia="zh-CN" w:bidi="ar-SA"/>
        </w:rPr>
        <w:t>LED智能灯带生产项目厂房装修补贴、PCB线路板产业集群项目3#厂房装修补贴、宜新集团富邦钒钛钢铁新材料综合利用项目2023年度经济贡献奖补资金、PCB线路板产业集群项目设备补贴</w:t>
      </w:r>
      <w:r>
        <w:rPr>
          <w:rFonts w:hint="eastAsia" w:eastAsia="方正仿宋_GBK" w:cs="Times New Roman"/>
          <w:kern w:val="2"/>
          <w:sz w:val="32"/>
          <w:szCs w:val="32"/>
          <w:lang w:val="en-US" w:eastAsia="zh-CN" w:bidi="ar-SA"/>
        </w:rPr>
        <w:t>（前四项共计1686.42万元）</w:t>
      </w:r>
      <w:r>
        <w:rPr>
          <w:rFonts w:hint="eastAsia" w:ascii="Times New Roman" w:hAnsi="Times New Roman" w:eastAsia="方正仿宋_GBK" w:cs="Times New Roman"/>
          <w:kern w:val="2"/>
          <w:sz w:val="32"/>
          <w:szCs w:val="32"/>
          <w:lang w:val="en-US" w:eastAsia="zh-CN" w:bidi="ar-SA"/>
        </w:rPr>
        <w:t>、招商引资激励奖补资金172万元、2025年招商引资工作经费91.36万元。</w:t>
      </w:r>
    </w:p>
    <w:p w14:paraId="6A991DFE">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b/>
          <w:bCs/>
          <w:kern w:val="2"/>
          <w:sz w:val="32"/>
          <w:szCs w:val="32"/>
          <w:lang w:val="en-US" w:eastAsia="zh-CN" w:bidi="ar-SA"/>
        </w:rPr>
        <w:t>1</w:t>
      </w:r>
      <w:r>
        <w:rPr>
          <w:rFonts w:hint="eastAsia" w:ascii="Times New Roman" w:hAnsi="Times New Roman" w:eastAsia="方正仿宋_GBK" w:cs="Times New Roman"/>
          <w:b/>
          <w:bCs/>
          <w:kern w:val="2"/>
          <w:sz w:val="32"/>
          <w:szCs w:val="32"/>
          <w:lang w:val="zh-CN" w:eastAsia="zh-CN" w:bidi="ar-SA"/>
        </w:rPr>
        <w:t>）效益指标完成情况分析。</w:t>
      </w:r>
    </w:p>
    <w:p w14:paraId="1179F0F3">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社会效益指标：通过项目的实施，确保资金使用效率，保障各项工作顺利开展。</w:t>
      </w:r>
    </w:p>
    <w:p w14:paraId="5AC3C39C">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b/>
          <w:bCs/>
          <w:kern w:val="2"/>
          <w:sz w:val="32"/>
          <w:szCs w:val="32"/>
          <w:lang w:val="en-US" w:eastAsia="zh-CN" w:bidi="ar-SA"/>
        </w:rPr>
        <w:t>2</w:t>
      </w:r>
      <w:r>
        <w:rPr>
          <w:rFonts w:hint="eastAsia" w:ascii="Times New Roman" w:hAnsi="Times New Roman" w:eastAsia="方正仿宋_GBK" w:cs="Times New Roman"/>
          <w:b/>
          <w:bCs/>
          <w:kern w:val="2"/>
          <w:sz w:val="32"/>
          <w:szCs w:val="32"/>
          <w:lang w:val="zh-CN" w:eastAsia="zh-CN" w:bidi="ar-SA"/>
        </w:rPr>
        <w:t>）满意度指标完成情况分析。</w:t>
      </w:r>
    </w:p>
    <w:p w14:paraId="24EDD60D">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满意度指标：服务对象满意度≥95%。</w:t>
      </w:r>
    </w:p>
    <w:p w14:paraId="37595EEE">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截</w:t>
      </w:r>
      <w:r>
        <w:rPr>
          <w:rFonts w:hint="eastAsia" w:eastAsia="方正仿宋_GBK" w:cs="Times New Roman"/>
          <w:kern w:val="2"/>
          <w:sz w:val="32"/>
          <w:szCs w:val="32"/>
          <w:lang w:val="en-US" w:eastAsia="zh-CN" w:bidi="ar-SA"/>
        </w:rPr>
        <w:t>至</w:t>
      </w:r>
      <w:r>
        <w:rPr>
          <w:rFonts w:hint="eastAsia" w:ascii="Times New Roman" w:hAnsi="Times New Roman" w:eastAsia="方正仿宋_GBK" w:cs="Times New Roman"/>
          <w:kern w:val="2"/>
          <w:sz w:val="32"/>
          <w:szCs w:val="32"/>
          <w:lang w:val="en-US" w:eastAsia="zh-CN" w:bidi="ar-SA"/>
        </w:rPr>
        <w:t>2025年底，区经合局人员经费、公用经费及项目经费均按要求及时支付，无</w:t>
      </w:r>
      <w:r>
        <w:rPr>
          <w:rFonts w:hint="default" w:ascii="Times New Roman" w:hAnsi="Times New Roman" w:eastAsia="方正仿宋_GBK" w:cs="Times New Roman"/>
          <w:kern w:val="2"/>
          <w:sz w:val="32"/>
          <w:szCs w:val="32"/>
          <w:lang w:val="zh-CN" w:eastAsia="zh-CN" w:bidi="ar-SA"/>
        </w:rPr>
        <w:t>违规记录等情况。</w:t>
      </w:r>
    </w:p>
    <w:p w14:paraId="40621D24">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eastAsia" w:ascii="Times New Roman" w:hAnsi="Times New Roman" w:eastAsia="方正仿宋_GBK" w:cs="Times New Roman"/>
          <w:b/>
          <w:bCs/>
          <w:kern w:val="2"/>
          <w:sz w:val="32"/>
          <w:szCs w:val="32"/>
          <w:lang w:val="zh-CN" w:eastAsia="zh-CN" w:bidi="ar-SA"/>
        </w:rPr>
      </w:pPr>
      <w:r>
        <w:rPr>
          <w:rFonts w:hint="default" w:ascii="Times New Roman" w:hAnsi="Times New Roman" w:eastAsia="方正仿宋_GBK" w:cs="Times New Roman"/>
          <w:b/>
          <w:bCs/>
          <w:kern w:val="2"/>
          <w:sz w:val="32"/>
          <w:szCs w:val="32"/>
          <w:lang w:val="zh-CN" w:eastAsia="zh-CN" w:bidi="ar-SA"/>
        </w:rPr>
        <w:t>3.目标实现。</w:t>
      </w:r>
    </w:p>
    <w:p w14:paraId="3E969DDF">
      <w:pPr>
        <w:spacing w:line="600" w:lineRule="exact"/>
        <w:ind w:firstLine="803" w:firstLineChars="250"/>
        <w:jc w:val="both"/>
        <w:outlineLvl w:val="9"/>
        <w:rPr>
          <w:rFonts w:hint="eastAsia"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zh-CN" w:eastAsia="zh-CN" w:bidi="ar-SA"/>
        </w:rPr>
        <w:t>（</w:t>
      </w:r>
      <w:r>
        <w:rPr>
          <w:rFonts w:hint="eastAsia" w:ascii="Times New Roman" w:hAnsi="Times New Roman" w:eastAsia="方正仿宋_GBK" w:cs="Times New Roman"/>
          <w:b/>
          <w:bCs/>
          <w:kern w:val="2"/>
          <w:sz w:val="32"/>
          <w:szCs w:val="32"/>
          <w:lang w:val="en-US" w:eastAsia="zh-CN" w:bidi="ar-SA"/>
        </w:rPr>
        <w:t>1</w:t>
      </w:r>
      <w:r>
        <w:rPr>
          <w:rFonts w:hint="eastAsia" w:ascii="Times New Roman" w:hAnsi="Times New Roman" w:eastAsia="方正仿宋_GBK" w:cs="Times New Roman"/>
          <w:b/>
          <w:bCs/>
          <w:kern w:val="2"/>
          <w:sz w:val="32"/>
          <w:szCs w:val="32"/>
          <w:lang w:val="zh-CN" w:eastAsia="zh-CN" w:bidi="ar-SA"/>
        </w:rPr>
        <w:t>）人员类预算绩效目标完成情况。</w:t>
      </w:r>
    </w:p>
    <w:p w14:paraId="3B78729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数量指标：行政人员</w:t>
      </w:r>
      <w:r>
        <w:rPr>
          <w:rFonts w:hint="eastAsia" w:ascii="Times New Roman" w:hAnsi="Times New Roman" w:eastAsia="方正仿宋_GBK" w:cs="Times New Roman"/>
          <w:kern w:val="2"/>
          <w:sz w:val="32"/>
          <w:szCs w:val="32"/>
          <w:lang w:val="en-US" w:eastAsia="zh-CN" w:bidi="ar-SA"/>
        </w:rPr>
        <w:t>3</w:t>
      </w:r>
      <w:r>
        <w:rPr>
          <w:rFonts w:hint="eastAsia" w:ascii="Times New Roman" w:hAnsi="Times New Roman" w:eastAsia="方正仿宋_GBK" w:cs="Times New Roman"/>
          <w:kern w:val="2"/>
          <w:sz w:val="32"/>
          <w:szCs w:val="32"/>
          <w:lang w:val="zh-CN" w:eastAsia="zh-CN" w:bidi="ar-SA"/>
        </w:rPr>
        <w:t>人、事业</w:t>
      </w:r>
      <w:r>
        <w:rPr>
          <w:rFonts w:hint="eastAsia" w:ascii="Times New Roman" w:hAnsi="Times New Roman" w:eastAsia="方正仿宋_GBK" w:cs="Times New Roman"/>
          <w:kern w:val="2"/>
          <w:sz w:val="32"/>
          <w:szCs w:val="32"/>
          <w:lang w:val="en-US" w:eastAsia="zh-CN" w:bidi="ar-SA"/>
        </w:rPr>
        <w:t>13</w:t>
      </w:r>
      <w:r>
        <w:rPr>
          <w:rFonts w:hint="eastAsia" w:ascii="Times New Roman" w:hAnsi="Times New Roman" w:eastAsia="方正仿宋_GBK" w:cs="Times New Roman"/>
          <w:kern w:val="2"/>
          <w:sz w:val="32"/>
          <w:szCs w:val="32"/>
          <w:lang w:val="zh-CN" w:eastAsia="zh-CN" w:bidi="ar-SA"/>
        </w:rPr>
        <w:t>人，</w:t>
      </w:r>
      <w:r>
        <w:rPr>
          <w:rFonts w:hint="default" w:ascii="Times New Roman" w:hAnsi="Times New Roman" w:eastAsia="方正仿宋_GBK" w:cs="Times New Roman"/>
          <w:kern w:val="2"/>
          <w:sz w:val="32"/>
          <w:szCs w:val="32"/>
          <w:lang w:val="en-US" w:eastAsia="zh-CN" w:bidi="ar-SA"/>
        </w:rPr>
        <w:t>人员经费</w:t>
      </w:r>
      <w:r>
        <w:rPr>
          <w:rFonts w:hint="eastAsia" w:ascii="Times New Roman" w:hAnsi="Times New Roman" w:eastAsia="方正仿宋_GBK" w:cs="Times New Roman"/>
          <w:kern w:val="2"/>
          <w:sz w:val="32"/>
          <w:szCs w:val="32"/>
          <w:lang w:val="en-US" w:eastAsia="zh-CN" w:bidi="ar-SA"/>
        </w:rPr>
        <w:t>230.63</w:t>
      </w:r>
      <w:r>
        <w:rPr>
          <w:rFonts w:hint="default" w:ascii="Times New Roman" w:hAnsi="Times New Roman" w:eastAsia="方正仿宋_GBK" w:cs="Times New Roman"/>
          <w:kern w:val="2"/>
          <w:sz w:val="32"/>
          <w:szCs w:val="32"/>
          <w:lang w:val="en-US" w:eastAsia="zh-CN" w:bidi="ar-SA"/>
        </w:rPr>
        <w:t>万元</w:t>
      </w: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公用经费</w:t>
      </w:r>
      <w:r>
        <w:rPr>
          <w:rFonts w:hint="eastAsia" w:ascii="Times New Roman" w:hAnsi="Times New Roman" w:eastAsia="方正仿宋_GBK" w:cs="Times New Roman"/>
          <w:kern w:val="2"/>
          <w:sz w:val="32"/>
          <w:szCs w:val="32"/>
          <w:lang w:val="en-US" w:eastAsia="zh-CN" w:bidi="ar-SA"/>
        </w:rPr>
        <w:t>18.71万元，项目经费80万元。</w:t>
      </w:r>
    </w:p>
    <w:p w14:paraId="575A0346">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质量指标：人员经费保障率100%、公用经费保障率100%、项目经费保障率100%。全年按质按量完成各项任务指标。</w:t>
      </w:r>
    </w:p>
    <w:p w14:paraId="19DE6D5B">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时效指标：202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年1月1日-202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年12月31日。</w:t>
      </w:r>
    </w:p>
    <w:p w14:paraId="3E9B67AD">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成本指标：完成</w:t>
      </w:r>
      <w:r>
        <w:rPr>
          <w:rFonts w:hint="eastAsia" w:ascii="Times New Roman" w:hAnsi="Times New Roman" w:eastAsia="方正仿宋_GBK" w:cs="Times New Roman"/>
          <w:kern w:val="2"/>
          <w:sz w:val="32"/>
          <w:szCs w:val="32"/>
          <w:lang w:val="en-US" w:eastAsia="zh-CN" w:bidi="ar-SA"/>
        </w:rPr>
        <w:t>人员</w:t>
      </w:r>
      <w:r>
        <w:rPr>
          <w:rFonts w:hint="eastAsia" w:ascii="Times New Roman" w:hAnsi="Times New Roman" w:eastAsia="方正仿宋_GBK" w:cs="Times New Roman"/>
          <w:kern w:val="2"/>
          <w:sz w:val="32"/>
          <w:szCs w:val="32"/>
          <w:lang w:val="zh-CN" w:eastAsia="zh-CN" w:bidi="ar-SA"/>
        </w:rPr>
        <w:t>经费</w:t>
      </w:r>
      <w:r>
        <w:rPr>
          <w:rFonts w:hint="eastAsia" w:ascii="Times New Roman" w:hAnsi="Times New Roman" w:eastAsia="方正仿宋_GBK" w:cs="Times New Roman"/>
          <w:kern w:val="2"/>
          <w:sz w:val="32"/>
          <w:szCs w:val="32"/>
          <w:lang w:val="en-US" w:eastAsia="zh-CN" w:bidi="ar-SA"/>
        </w:rPr>
        <w:t>281.3</w:t>
      </w:r>
      <w:r>
        <w:rPr>
          <w:rFonts w:hint="eastAsia" w:ascii="Times New Roman" w:hAnsi="Times New Roman" w:eastAsia="方正仿宋_GBK" w:cs="Times New Roman"/>
          <w:kern w:val="2"/>
          <w:sz w:val="32"/>
          <w:szCs w:val="32"/>
          <w:lang w:val="zh-CN" w:eastAsia="zh-CN" w:bidi="ar-SA"/>
        </w:rPr>
        <w:t>万元，完成率</w:t>
      </w:r>
      <w:r>
        <w:rPr>
          <w:rFonts w:hint="eastAsia" w:ascii="Times New Roman" w:hAnsi="Times New Roman" w:eastAsia="方正仿宋_GBK" w:cs="Times New Roman"/>
          <w:kern w:val="2"/>
          <w:sz w:val="32"/>
          <w:szCs w:val="32"/>
          <w:lang w:val="en-US" w:eastAsia="zh-CN" w:bidi="ar-SA"/>
        </w:rPr>
        <w:t>100</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完成公用经费17.14万元，完成率91.6%；完成</w:t>
      </w:r>
      <w:r>
        <w:rPr>
          <w:rFonts w:hint="eastAsia" w:ascii="Times New Roman" w:hAnsi="Times New Roman" w:eastAsia="方正仿宋_GBK" w:cs="Times New Roman"/>
          <w:kern w:val="2"/>
          <w:sz w:val="32"/>
          <w:szCs w:val="32"/>
          <w:lang w:val="zh-CN" w:eastAsia="zh-CN" w:bidi="ar-SA"/>
        </w:rPr>
        <w:t>项目经费</w:t>
      </w:r>
      <w:r>
        <w:rPr>
          <w:rFonts w:hint="eastAsia" w:ascii="Times New Roman" w:hAnsi="Times New Roman" w:eastAsia="方正仿宋_GBK" w:cs="Times New Roman"/>
          <w:kern w:val="2"/>
          <w:sz w:val="32"/>
          <w:szCs w:val="32"/>
          <w:lang w:val="en-US" w:eastAsia="zh-CN" w:bidi="ar-SA"/>
        </w:rPr>
        <w:t>1949.78</w:t>
      </w:r>
      <w:r>
        <w:rPr>
          <w:rFonts w:hint="eastAsia" w:ascii="Times New Roman" w:hAnsi="Times New Roman" w:eastAsia="方正仿宋_GBK" w:cs="Times New Roman"/>
          <w:kern w:val="2"/>
          <w:sz w:val="32"/>
          <w:szCs w:val="32"/>
          <w:lang w:val="zh-CN" w:eastAsia="zh-CN" w:bidi="ar-SA"/>
        </w:rPr>
        <w:t>万元，完成率</w:t>
      </w:r>
      <w:r>
        <w:rPr>
          <w:rFonts w:hint="eastAsia" w:ascii="Times New Roman" w:hAnsi="Times New Roman" w:eastAsia="方正仿宋_GBK" w:cs="Times New Roman"/>
          <w:kern w:val="2"/>
          <w:sz w:val="32"/>
          <w:szCs w:val="32"/>
          <w:lang w:val="en-US" w:eastAsia="zh-CN" w:bidi="ar-SA"/>
        </w:rPr>
        <w:t>100</w:t>
      </w:r>
      <w:r>
        <w:rPr>
          <w:rFonts w:hint="eastAsia" w:ascii="Times New Roman" w:hAnsi="Times New Roman" w:eastAsia="方正仿宋_GBK" w:cs="Times New Roman"/>
          <w:kern w:val="2"/>
          <w:sz w:val="32"/>
          <w:szCs w:val="32"/>
          <w:lang w:val="zh-CN" w:eastAsia="zh-CN" w:bidi="ar-SA"/>
        </w:rPr>
        <w:t>%。</w:t>
      </w:r>
    </w:p>
    <w:p w14:paraId="49DF399E">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zh-CN" w:eastAsia="zh-CN" w:bidi="ar-SA"/>
        </w:rPr>
        <w:t>社会效益指标：通过项目的实施，确保资金使用效率，保障各项工作顺利开展。</w:t>
      </w:r>
    </w:p>
    <w:p w14:paraId="48DA8BAC">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满意度指标：服务对象满意度≥95%。</w:t>
      </w:r>
    </w:p>
    <w:p w14:paraId="0F5DE976">
      <w:pPr>
        <w:keepNext w:val="0"/>
        <w:keepLines w:val="0"/>
        <w:pageBreakBefore w:val="0"/>
        <w:widowControl/>
        <w:kinsoku/>
        <w:wordWrap/>
        <w:overflowPunct/>
        <w:topLinePunct w:val="0"/>
        <w:autoSpaceDE/>
        <w:autoSpaceDN/>
        <w:bidi w:val="0"/>
        <w:adjustRightInd/>
        <w:snapToGrid/>
        <w:spacing w:line="560" w:lineRule="exact"/>
        <w:ind w:firstLine="643" w:firstLineChars="200"/>
        <w:contextualSpacing/>
        <w:jc w:val="left"/>
        <w:textAlignment w:val="auto"/>
        <w:rPr>
          <w:rFonts w:hint="default" w:ascii="Times New Roman" w:hAnsi="Times New Roman" w:eastAsia="方正仿宋_GBK" w:cs="Times New Roman"/>
          <w:b/>
          <w:bCs/>
          <w:kern w:val="2"/>
          <w:sz w:val="32"/>
          <w:szCs w:val="32"/>
          <w:lang w:val="zh-CN" w:eastAsia="zh-CN" w:bidi="ar-SA"/>
        </w:rPr>
      </w:pPr>
      <w:r>
        <w:rPr>
          <w:rFonts w:hint="eastAsia" w:ascii="Times New Roman" w:hAnsi="Times New Roman" w:eastAsia="方正仿宋_GBK" w:cs="Times New Roman"/>
          <w:b/>
          <w:bCs/>
          <w:kern w:val="2"/>
          <w:sz w:val="32"/>
          <w:szCs w:val="32"/>
          <w:lang w:val="en-US" w:eastAsia="zh-CN" w:bidi="ar-SA"/>
        </w:rPr>
        <w:t>2.</w:t>
      </w:r>
      <w:r>
        <w:rPr>
          <w:rFonts w:hint="eastAsia" w:ascii="Times New Roman" w:hAnsi="Times New Roman" w:eastAsia="方正仿宋_GBK" w:cs="Times New Roman"/>
          <w:b/>
          <w:bCs/>
          <w:kern w:val="2"/>
          <w:sz w:val="32"/>
          <w:szCs w:val="32"/>
          <w:lang w:val="zh-CN" w:eastAsia="zh-CN" w:bidi="ar-SA"/>
        </w:rPr>
        <w:t>公用经费类预算绩效目标完成情况。</w:t>
      </w:r>
    </w:p>
    <w:p w14:paraId="002CD9C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数量指标：公用经费配备标准，区级公用经费配备标准总额和定额部分。完成率100%。</w:t>
      </w:r>
    </w:p>
    <w:p w14:paraId="4E809726">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质量指标：公用经费保障率100%。完成率100%。</w:t>
      </w:r>
    </w:p>
    <w:p w14:paraId="18CA99A7">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时效指标：202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年1月1日-202</w:t>
      </w:r>
      <w:r>
        <w:rPr>
          <w:rFonts w:hint="eastAsia" w:ascii="Times New Roman" w:hAnsi="Times New Roman" w:eastAsia="方正仿宋_GBK" w:cs="Times New Roman"/>
          <w:kern w:val="2"/>
          <w:sz w:val="32"/>
          <w:szCs w:val="32"/>
          <w:lang w:val="en-US" w:eastAsia="zh-CN" w:bidi="ar-SA"/>
        </w:rPr>
        <w:t>5</w:t>
      </w:r>
      <w:r>
        <w:rPr>
          <w:rFonts w:hint="eastAsia" w:ascii="Times New Roman" w:hAnsi="Times New Roman" w:eastAsia="方正仿宋_GBK" w:cs="Times New Roman"/>
          <w:kern w:val="2"/>
          <w:sz w:val="32"/>
          <w:szCs w:val="32"/>
          <w:lang w:val="zh-CN" w:eastAsia="zh-CN" w:bidi="ar-SA"/>
        </w:rPr>
        <w:t>年12月31日。完成率100%。</w:t>
      </w:r>
    </w:p>
    <w:p w14:paraId="299F0ABE">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成本指标：公用经费按部门预算编列口径编制的公用经费总额和定额部分，小计</w:t>
      </w:r>
      <w:r>
        <w:rPr>
          <w:rFonts w:hint="eastAsia" w:ascii="Times New Roman" w:hAnsi="Times New Roman" w:eastAsia="方正仿宋_GBK" w:cs="Times New Roman"/>
          <w:kern w:val="2"/>
          <w:sz w:val="32"/>
          <w:szCs w:val="32"/>
          <w:lang w:val="en-US" w:eastAsia="zh-CN" w:bidi="ar-SA"/>
        </w:rPr>
        <w:t>18.71</w:t>
      </w:r>
      <w:r>
        <w:rPr>
          <w:rFonts w:hint="eastAsia" w:ascii="Times New Roman" w:hAnsi="Times New Roman" w:eastAsia="方正仿宋_GBK" w:cs="Times New Roman"/>
          <w:kern w:val="2"/>
          <w:sz w:val="32"/>
          <w:szCs w:val="32"/>
          <w:lang w:val="zh-CN" w:eastAsia="zh-CN" w:bidi="ar-SA"/>
        </w:rPr>
        <w:t>万元，实际支付</w:t>
      </w:r>
      <w:r>
        <w:rPr>
          <w:rFonts w:hint="eastAsia" w:ascii="Times New Roman" w:hAnsi="Times New Roman" w:eastAsia="方正仿宋_GBK" w:cs="Times New Roman"/>
          <w:kern w:val="2"/>
          <w:sz w:val="32"/>
          <w:szCs w:val="32"/>
          <w:lang w:val="en-US" w:eastAsia="zh-CN" w:bidi="ar-SA"/>
        </w:rPr>
        <w:t>17.14</w:t>
      </w:r>
      <w:r>
        <w:rPr>
          <w:rFonts w:hint="eastAsia" w:ascii="Times New Roman" w:hAnsi="Times New Roman" w:eastAsia="方正仿宋_GBK" w:cs="Times New Roman"/>
          <w:kern w:val="2"/>
          <w:sz w:val="32"/>
          <w:szCs w:val="32"/>
          <w:lang w:val="zh-CN" w:eastAsia="zh-CN" w:bidi="ar-SA"/>
        </w:rPr>
        <w:t>万元，完成率</w:t>
      </w:r>
      <w:r>
        <w:rPr>
          <w:rFonts w:hint="eastAsia" w:ascii="Times New Roman" w:hAnsi="Times New Roman" w:eastAsia="方正仿宋_GBK" w:cs="Times New Roman"/>
          <w:kern w:val="2"/>
          <w:sz w:val="32"/>
          <w:szCs w:val="32"/>
          <w:lang w:val="en-US" w:eastAsia="zh-CN" w:bidi="ar-SA"/>
        </w:rPr>
        <w:t>91.6%</w:t>
      </w:r>
      <w:r>
        <w:rPr>
          <w:rFonts w:hint="eastAsia" w:ascii="Times New Roman" w:hAnsi="Times New Roman" w:eastAsia="方正仿宋_GBK" w:cs="Times New Roman"/>
          <w:kern w:val="2"/>
          <w:sz w:val="32"/>
          <w:szCs w:val="32"/>
          <w:lang w:val="zh-CN" w:eastAsia="zh-CN" w:bidi="ar-SA"/>
        </w:rPr>
        <w:t>。</w:t>
      </w:r>
    </w:p>
    <w:p w14:paraId="68D9B780">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社会效益指标：提高预算编制质量，严格执行预算，保障单位日常运转。完成率100%。</w:t>
      </w:r>
    </w:p>
    <w:p w14:paraId="6BC45ACA">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eastAsia"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zh-CN" w:eastAsia="zh-CN" w:bidi="ar-SA"/>
        </w:rPr>
        <w:t>满意度指标：在职人员满意度达90%以上。完全达到预期指标，完成率100%。</w:t>
      </w:r>
    </w:p>
    <w:p w14:paraId="7D55E983">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eastAsia" w:ascii="Times New Roman" w:hAnsi="Times New Roman" w:eastAsia="方正楷体_GBK" w:cs="Times New Roman"/>
          <w:b/>
          <w:kern w:val="2"/>
          <w:sz w:val="32"/>
          <w:szCs w:val="32"/>
          <w:lang w:val="zh-CN" w:eastAsia="zh-CN"/>
        </w:rPr>
        <w:t>（三）</w:t>
      </w:r>
      <w:r>
        <w:rPr>
          <w:rFonts w:hint="default" w:ascii="Times New Roman" w:hAnsi="Times New Roman" w:eastAsia="方正楷体_GBK" w:cs="Times New Roman"/>
          <w:b/>
          <w:kern w:val="2"/>
          <w:sz w:val="32"/>
          <w:szCs w:val="32"/>
          <w:lang w:val="zh-CN" w:eastAsia="zh-CN"/>
        </w:rPr>
        <w:t>绩效结果应用情况。</w:t>
      </w:r>
    </w:p>
    <w:p w14:paraId="267A6CC3">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区经合局</w:t>
      </w:r>
      <w:r>
        <w:rPr>
          <w:rFonts w:hint="eastAsia" w:ascii="Times New Roman" w:hAnsi="Times New Roman" w:eastAsia="方正仿宋_GBK" w:cs="Times New Roman"/>
          <w:kern w:val="2"/>
          <w:sz w:val="32"/>
          <w:szCs w:val="32"/>
          <w:lang w:val="zh-CN" w:eastAsia="zh-CN" w:bidi="ar-SA"/>
        </w:rPr>
        <w:t>严格按照财政资金的使用用途和目的，做到资金管理制度健全，款项支付规范，专款专用，最大限度地发挥了财政资金的使用效率，较好地执行了年初预算各项资金计划；</w:t>
      </w:r>
      <w:r>
        <w:rPr>
          <w:rFonts w:hint="eastAsia" w:ascii="Times New Roman" w:hAnsi="Times New Roman" w:eastAsia="方正仿宋_GBK" w:cs="Times New Roman"/>
          <w:kern w:val="2"/>
          <w:sz w:val="32"/>
          <w:szCs w:val="32"/>
          <w:lang w:val="en-US" w:eastAsia="zh-CN" w:bidi="ar-SA"/>
        </w:rPr>
        <w:t>账务</w:t>
      </w:r>
      <w:r>
        <w:rPr>
          <w:rFonts w:hint="eastAsia" w:ascii="Times New Roman" w:hAnsi="Times New Roman" w:eastAsia="方正仿宋_GBK" w:cs="Times New Roman"/>
          <w:kern w:val="2"/>
          <w:sz w:val="32"/>
          <w:szCs w:val="32"/>
          <w:lang w:val="zh-CN" w:eastAsia="zh-CN" w:bidi="ar-SA"/>
        </w:rPr>
        <w:t>核算及时规范，保障了机关正常运转；积极履职，强化管理，较好</w:t>
      </w:r>
      <w:r>
        <w:rPr>
          <w:rFonts w:hint="eastAsia" w:ascii="Times New Roman" w:hAnsi="Times New Roman" w:eastAsia="方正仿宋_GBK" w:cs="Times New Roman"/>
          <w:kern w:val="2"/>
          <w:sz w:val="32"/>
          <w:szCs w:val="32"/>
          <w:lang w:val="en-US" w:eastAsia="zh-CN" w:bidi="ar-SA"/>
        </w:rPr>
        <w:t>地</w:t>
      </w:r>
      <w:r>
        <w:rPr>
          <w:rFonts w:hint="eastAsia" w:ascii="Times New Roman" w:hAnsi="Times New Roman" w:eastAsia="方正仿宋_GBK" w:cs="Times New Roman"/>
          <w:kern w:val="2"/>
          <w:sz w:val="32"/>
          <w:szCs w:val="32"/>
          <w:lang w:val="zh-CN" w:eastAsia="zh-CN" w:bidi="ar-SA"/>
        </w:rPr>
        <w:t>完成了年度工作目标。</w:t>
      </w:r>
      <w:r>
        <w:rPr>
          <w:rFonts w:hint="default" w:ascii="Times New Roman" w:hAnsi="Times New Roman" w:eastAsia="方正仿宋_GBK" w:cs="Times New Roman"/>
          <w:kern w:val="2"/>
          <w:sz w:val="32"/>
          <w:szCs w:val="32"/>
          <w:lang w:val="zh-CN" w:eastAsia="zh-CN" w:bidi="ar-SA"/>
        </w:rPr>
        <w:t>我局按要求及时向</w:t>
      </w:r>
      <w:r>
        <w:rPr>
          <w:rFonts w:hint="eastAsia" w:ascii="Times New Roman" w:hAnsi="Times New Roman" w:eastAsia="方正仿宋_GBK" w:cs="Times New Roman"/>
          <w:kern w:val="2"/>
          <w:sz w:val="32"/>
          <w:szCs w:val="32"/>
          <w:lang w:val="en-US" w:eastAsia="zh-CN" w:bidi="ar-SA"/>
        </w:rPr>
        <w:t>区财政局</w:t>
      </w:r>
      <w:r>
        <w:rPr>
          <w:rFonts w:hint="default" w:ascii="Times New Roman" w:hAnsi="Times New Roman" w:eastAsia="方正仿宋_GBK" w:cs="Times New Roman"/>
          <w:kern w:val="2"/>
          <w:sz w:val="32"/>
          <w:szCs w:val="32"/>
          <w:lang w:val="zh-CN" w:eastAsia="zh-CN" w:bidi="ar-SA"/>
        </w:rPr>
        <w:t>反馈结果应用情况</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接受监督检查和考核，并按规定进行20</w:t>
      </w:r>
      <w:r>
        <w:rPr>
          <w:rFonts w:hint="eastAsia" w:ascii="Times New Roman" w:hAnsi="Times New Roman" w:eastAsia="方正仿宋_GBK" w:cs="Times New Roman"/>
          <w:kern w:val="2"/>
          <w:sz w:val="32"/>
          <w:szCs w:val="32"/>
          <w:lang w:val="en-US" w:eastAsia="zh-CN" w:bidi="ar-SA"/>
        </w:rPr>
        <w:t>25</w:t>
      </w:r>
      <w:r>
        <w:rPr>
          <w:rFonts w:hint="default" w:ascii="Times New Roman" w:hAnsi="Times New Roman" w:eastAsia="方正仿宋_GBK" w:cs="Times New Roman"/>
          <w:kern w:val="2"/>
          <w:sz w:val="32"/>
          <w:szCs w:val="32"/>
          <w:lang w:val="zh-CN" w:eastAsia="zh-CN" w:bidi="ar-SA"/>
        </w:rPr>
        <w:t>年绩效自评表和绩效自评报告的公开公示。</w:t>
      </w:r>
    </w:p>
    <w:p w14:paraId="50514DEB">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eastAsia" w:ascii="Times New Roman" w:hAnsi="Times New Roman" w:eastAsia="方正楷体_GBK" w:cs="Times New Roman"/>
          <w:b/>
          <w:kern w:val="2"/>
          <w:sz w:val="32"/>
          <w:szCs w:val="32"/>
          <w:lang w:val="zh-CN" w:eastAsia="zh-CN"/>
        </w:rPr>
        <w:t>（</w:t>
      </w:r>
      <w:r>
        <w:rPr>
          <w:rFonts w:hint="eastAsia" w:ascii="Times New Roman" w:hAnsi="Times New Roman" w:eastAsia="方正楷体_GBK" w:cs="Times New Roman"/>
          <w:b/>
          <w:kern w:val="2"/>
          <w:sz w:val="32"/>
          <w:szCs w:val="32"/>
          <w:lang w:val="en-US" w:eastAsia="zh-CN"/>
        </w:rPr>
        <w:t>四</w:t>
      </w:r>
      <w:r>
        <w:rPr>
          <w:rFonts w:hint="eastAsia" w:ascii="Times New Roman" w:hAnsi="Times New Roman" w:eastAsia="方正楷体_GBK" w:cs="Times New Roman"/>
          <w:b/>
          <w:kern w:val="2"/>
          <w:sz w:val="32"/>
          <w:szCs w:val="32"/>
          <w:lang w:val="zh-CN" w:eastAsia="zh-CN"/>
        </w:rPr>
        <w:t>）</w:t>
      </w:r>
      <w:r>
        <w:rPr>
          <w:rFonts w:hint="default" w:ascii="Times New Roman" w:hAnsi="Times New Roman" w:eastAsia="方正楷体_GBK" w:cs="Times New Roman"/>
          <w:b/>
          <w:kern w:val="2"/>
          <w:sz w:val="32"/>
          <w:szCs w:val="32"/>
          <w:lang w:val="zh-CN" w:eastAsia="zh-CN"/>
        </w:rPr>
        <w:t>自评质量</w:t>
      </w:r>
      <w:r>
        <w:rPr>
          <w:rFonts w:hint="eastAsia" w:ascii="Times New Roman" w:hAnsi="Times New Roman" w:eastAsia="方正楷体_GBK" w:cs="Times New Roman"/>
          <w:b/>
          <w:kern w:val="2"/>
          <w:sz w:val="32"/>
          <w:szCs w:val="32"/>
          <w:lang w:val="zh-CN" w:eastAsia="zh-CN"/>
        </w:rPr>
        <w:t>。</w:t>
      </w:r>
    </w:p>
    <w:p w14:paraId="288B9B4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区经合局</w:t>
      </w:r>
      <w:r>
        <w:rPr>
          <w:rFonts w:hint="default" w:ascii="Times New Roman" w:hAnsi="Times New Roman" w:eastAsia="方正仿宋_GBK" w:cs="Times New Roman"/>
          <w:kern w:val="2"/>
          <w:sz w:val="32"/>
          <w:szCs w:val="32"/>
          <w:lang w:val="zh-CN" w:eastAsia="zh-CN" w:bidi="ar-SA"/>
        </w:rPr>
        <w:t>按区级部门整体支出绩效评价指标进行</w:t>
      </w:r>
      <w:r>
        <w:rPr>
          <w:rFonts w:hint="eastAsia" w:ascii="Times New Roman" w:hAnsi="Times New Roman" w:eastAsia="方正仿宋_GBK" w:cs="Times New Roman"/>
          <w:kern w:val="2"/>
          <w:sz w:val="32"/>
          <w:szCs w:val="32"/>
          <w:lang w:val="zh-CN" w:eastAsia="zh-CN" w:bidi="ar-SA"/>
        </w:rPr>
        <w:t>了</w:t>
      </w:r>
      <w:r>
        <w:rPr>
          <w:rFonts w:hint="eastAsia" w:ascii="Times New Roman" w:hAnsi="Times New Roman" w:eastAsia="方正仿宋_GBK" w:cs="Times New Roman"/>
          <w:kern w:val="2"/>
          <w:sz w:val="32"/>
          <w:szCs w:val="32"/>
          <w:lang w:val="en-US" w:eastAsia="zh-CN" w:bidi="ar-SA"/>
        </w:rPr>
        <w:t>认真自评工作，并</w:t>
      </w:r>
      <w:r>
        <w:rPr>
          <w:rFonts w:hint="eastAsia" w:ascii="Times New Roman" w:hAnsi="Times New Roman" w:eastAsia="方正仿宋_GBK" w:cs="Times New Roman"/>
          <w:kern w:val="2"/>
          <w:sz w:val="32"/>
          <w:szCs w:val="32"/>
          <w:lang w:val="zh-CN" w:eastAsia="zh-CN" w:bidi="ar-SA"/>
        </w:rPr>
        <w:t>对50万元（含）以上的特定目标类部门预算项目绩效目标完成情况进行自评，实现专项项目自评全覆盖，并细化财务部门和业务部门对项目自评的责任分工，做到客观、真实反映专项项目财政资金绩效情况，</w:t>
      </w:r>
      <w:r>
        <w:rPr>
          <w:rFonts w:hint="eastAsia" w:ascii="Times New Roman" w:hAnsi="Times New Roman" w:eastAsia="方正仿宋_GBK" w:cs="Times New Roman"/>
          <w:kern w:val="2"/>
          <w:sz w:val="32"/>
          <w:szCs w:val="32"/>
          <w:lang w:val="en-US" w:eastAsia="zh-CN" w:bidi="ar-SA"/>
        </w:rPr>
        <w:t>保证了自评准确率。</w:t>
      </w:r>
    </w:p>
    <w:p w14:paraId="6DA53A1F">
      <w:pPr>
        <w:pStyle w:val="3"/>
        <w:pageBreakBefore w:val="0"/>
        <w:kinsoku/>
        <w:wordWrap/>
        <w:overflowPunct/>
        <w:topLinePunct w:val="0"/>
        <w:autoSpaceDE/>
        <w:autoSpaceDN/>
        <w:bidi w:val="0"/>
        <w:spacing w:before="0" w:after="0" w:line="240" w:lineRule="auto"/>
        <w:ind w:left="0" w:firstLine="640" w:firstLineChars="200"/>
        <w:jc w:val="both"/>
        <w:textAlignment w:val="auto"/>
        <w:outlineLvl w:val="1"/>
        <w:rPr>
          <w:rFonts w:hint="default" w:ascii="Times New Roman" w:hAnsi="Times New Roman" w:eastAsia="方正黑体_GBK" w:cs="Times New Roman"/>
          <w:b w:val="0"/>
          <w:bCs w:val="0"/>
          <w:kern w:val="2"/>
          <w:sz w:val="32"/>
          <w:szCs w:val="32"/>
          <w:lang w:val="zh-CN" w:eastAsia="zh-CN" w:bidi="ar-SA"/>
        </w:rPr>
      </w:pPr>
      <w:bookmarkStart w:id="96" w:name="_Toc1815"/>
      <w:bookmarkStart w:id="97" w:name="_Toc6962"/>
      <w:r>
        <w:rPr>
          <w:rFonts w:hint="default" w:ascii="Times New Roman" w:hAnsi="Times New Roman" w:eastAsia="方正黑体_GBK" w:cs="Times New Roman"/>
          <w:b w:val="0"/>
          <w:bCs w:val="0"/>
          <w:kern w:val="2"/>
          <w:sz w:val="32"/>
          <w:szCs w:val="32"/>
          <w:lang w:val="zh-CN" w:eastAsia="zh-CN" w:bidi="ar-SA"/>
        </w:rPr>
        <w:t>四、评价结论及建议</w:t>
      </w:r>
      <w:bookmarkEnd w:id="96"/>
      <w:bookmarkEnd w:id="97"/>
    </w:p>
    <w:p w14:paraId="56025D80">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（一）评价结论。</w:t>
      </w:r>
    </w:p>
    <w:p w14:paraId="31042557">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eastAsia" w:ascii="Times New Roman" w:hAnsi="Times New Roman" w:eastAsia="方正仿宋_GBK" w:cs="Times New Roman"/>
          <w:kern w:val="2"/>
          <w:sz w:val="32"/>
          <w:szCs w:val="32"/>
          <w:lang w:val="en-US" w:eastAsia="zh-CN" w:bidi="ar-SA"/>
        </w:rPr>
        <w:t>区经合局</w:t>
      </w:r>
      <w:r>
        <w:rPr>
          <w:rFonts w:hint="default" w:ascii="Times New Roman" w:hAnsi="Times New Roman" w:eastAsia="方正仿宋_GBK" w:cs="Times New Roman"/>
          <w:kern w:val="2"/>
          <w:sz w:val="32"/>
          <w:szCs w:val="32"/>
          <w:lang w:val="zh-CN" w:eastAsia="zh-CN" w:bidi="ar-SA"/>
        </w:rPr>
        <w:t>按要求对</w:t>
      </w:r>
      <w:r>
        <w:rPr>
          <w:rFonts w:hint="eastAsia" w:ascii="Times New Roman" w:hAnsi="Times New Roman" w:eastAsia="方正仿宋_GBK" w:cs="Times New Roman"/>
          <w:kern w:val="2"/>
          <w:sz w:val="32"/>
          <w:szCs w:val="32"/>
          <w:lang w:val="en-US" w:eastAsia="zh-CN" w:bidi="ar-SA"/>
        </w:rPr>
        <w:t>2025</w:t>
      </w:r>
      <w:r>
        <w:rPr>
          <w:rFonts w:hint="default" w:ascii="Times New Roman" w:hAnsi="Times New Roman" w:eastAsia="方正仿宋_GBK" w:cs="Times New Roman"/>
          <w:kern w:val="2"/>
          <w:sz w:val="32"/>
          <w:szCs w:val="32"/>
          <w:lang w:val="zh-CN" w:eastAsia="zh-CN" w:bidi="ar-SA"/>
        </w:rPr>
        <w:t>年部门预算整体绩效评价进行自评，从评价情况看</w:t>
      </w:r>
      <w:r>
        <w:rPr>
          <w:rFonts w:hint="eastAsia" w:ascii="Times New Roman" w:hAnsi="Times New Roman" w:eastAsia="方正仿宋_GBK" w:cs="Times New Roman"/>
          <w:kern w:val="2"/>
          <w:sz w:val="32"/>
          <w:szCs w:val="32"/>
          <w:lang w:val="zh-CN" w:eastAsia="zh-CN" w:bidi="ar-SA"/>
        </w:rPr>
        <w:t>，</w:t>
      </w:r>
      <w:r>
        <w:rPr>
          <w:rFonts w:hint="eastAsia" w:ascii="Times New Roman" w:hAnsi="Times New Roman" w:eastAsia="方正仿宋_GBK" w:cs="Times New Roman"/>
          <w:kern w:val="2"/>
          <w:sz w:val="32"/>
          <w:szCs w:val="32"/>
          <w:lang w:val="en-US" w:eastAsia="zh-CN" w:bidi="ar-SA"/>
        </w:rPr>
        <w:t>2024</w:t>
      </w:r>
      <w:r>
        <w:rPr>
          <w:rFonts w:hint="default" w:ascii="Times New Roman" w:hAnsi="Times New Roman" w:eastAsia="方正仿宋_GBK" w:cs="Times New Roman"/>
          <w:kern w:val="2"/>
          <w:sz w:val="32"/>
          <w:szCs w:val="32"/>
          <w:lang w:val="zh-CN" w:eastAsia="zh-CN" w:bidi="ar-SA"/>
        </w:rPr>
        <w:t>年</w:t>
      </w:r>
      <w:r>
        <w:rPr>
          <w:rFonts w:hint="eastAsia" w:ascii="Times New Roman" w:hAnsi="Times New Roman" w:eastAsia="方正仿宋_GBK" w:cs="Times New Roman"/>
          <w:kern w:val="2"/>
          <w:sz w:val="32"/>
          <w:szCs w:val="32"/>
          <w:lang w:val="zh-CN" w:eastAsia="zh-CN" w:bidi="ar-SA"/>
        </w:rPr>
        <w:t>，</w:t>
      </w:r>
      <w:r>
        <w:rPr>
          <w:rFonts w:hint="default" w:ascii="Times New Roman" w:hAnsi="Times New Roman" w:eastAsia="方正仿宋_GBK" w:cs="Times New Roman"/>
          <w:kern w:val="2"/>
          <w:sz w:val="32"/>
          <w:szCs w:val="32"/>
          <w:lang w:val="zh-CN" w:eastAsia="zh-CN" w:bidi="ar-SA"/>
        </w:rPr>
        <w:t>我</w:t>
      </w:r>
      <w:r>
        <w:rPr>
          <w:rFonts w:hint="eastAsia" w:ascii="Times New Roman" w:hAnsi="Times New Roman" w:eastAsia="方正仿宋_GBK" w:cs="Times New Roman"/>
          <w:kern w:val="2"/>
          <w:sz w:val="32"/>
          <w:szCs w:val="32"/>
          <w:lang w:val="en-US" w:eastAsia="zh-CN" w:bidi="ar-SA"/>
        </w:rPr>
        <w:t>局</w:t>
      </w:r>
      <w:r>
        <w:rPr>
          <w:rFonts w:hint="default" w:ascii="Times New Roman" w:hAnsi="Times New Roman" w:eastAsia="方正仿宋_GBK" w:cs="Times New Roman"/>
          <w:kern w:val="2"/>
          <w:sz w:val="32"/>
          <w:szCs w:val="32"/>
          <w:lang w:val="zh-CN" w:eastAsia="zh-CN" w:bidi="ar-SA"/>
        </w:rPr>
        <w:t>部门整体支出绩效评价自查自评结果</w:t>
      </w:r>
      <w:r>
        <w:rPr>
          <w:rFonts w:hint="eastAsia" w:ascii="Times New Roman" w:hAnsi="Times New Roman" w:eastAsia="方正仿宋_GBK" w:cs="Times New Roman"/>
          <w:kern w:val="2"/>
          <w:sz w:val="32"/>
          <w:szCs w:val="32"/>
          <w:lang w:val="en-US" w:eastAsia="zh-CN" w:bidi="ar-SA"/>
        </w:rPr>
        <w:t>为95分</w:t>
      </w:r>
      <w:r>
        <w:rPr>
          <w:rFonts w:hint="default" w:ascii="Times New Roman" w:hAnsi="Times New Roman" w:eastAsia="方正仿宋_GBK" w:cs="Times New Roman"/>
          <w:kern w:val="2"/>
          <w:sz w:val="32"/>
          <w:szCs w:val="32"/>
          <w:lang w:val="zh-CN" w:eastAsia="zh-CN" w:bidi="ar-SA"/>
        </w:rPr>
        <w:t>良好，全年基本支出保证了部门的正常运行和日常工作的正常开展，项目支出保障了重点工作的开展，绩效目标得到较好实现，绩效管理水平不断提高，绩效指标体系逐渐丰富和完善</w:t>
      </w:r>
      <w:r>
        <w:rPr>
          <w:rFonts w:hint="eastAsia" w:ascii="Times New Roman" w:hAnsi="Times New Roman" w:eastAsia="方正仿宋_GBK" w:cs="Times New Roman"/>
          <w:kern w:val="2"/>
          <w:sz w:val="32"/>
          <w:szCs w:val="32"/>
          <w:lang w:val="zh-CN" w:eastAsia="zh-CN" w:bidi="ar-SA"/>
        </w:rPr>
        <w:t>。</w:t>
      </w:r>
    </w:p>
    <w:p w14:paraId="65DBCFAE">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default" w:ascii="Times New Roman" w:hAnsi="Times New Roman" w:eastAsia="方正楷体_GBK" w:cs="Times New Roman"/>
          <w:b/>
          <w:kern w:val="2"/>
          <w:sz w:val="32"/>
          <w:szCs w:val="32"/>
          <w:lang w:val="zh-CN" w:eastAsia="zh-CN"/>
        </w:rPr>
        <w:t>（二）存在问题。</w:t>
      </w:r>
    </w:p>
    <w:p w14:paraId="1E845850">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xml:space="preserve">     无</w:t>
      </w:r>
    </w:p>
    <w:p w14:paraId="4BC6023C">
      <w:pPr>
        <w:pStyle w:val="5"/>
        <w:spacing w:beforeLines="-2147483648"/>
        <w:ind w:firstLine="643" w:firstLineChars="200"/>
        <w:jc w:val="both"/>
        <w:outlineLvl w:val="9"/>
        <w:rPr>
          <w:rFonts w:hint="default" w:ascii="Times New Roman" w:hAnsi="Times New Roman" w:eastAsia="方正楷体_GBK" w:cs="Times New Roman"/>
          <w:b/>
          <w:kern w:val="2"/>
          <w:sz w:val="32"/>
          <w:szCs w:val="32"/>
          <w:lang w:val="zh-CN" w:eastAsia="zh-CN"/>
        </w:rPr>
      </w:pPr>
      <w:r>
        <w:rPr>
          <w:rFonts w:hint="eastAsia" w:ascii="Times New Roman" w:hAnsi="Times New Roman" w:eastAsia="方正楷体_GBK" w:cs="Times New Roman"/>
          <w:b/>
          <w:kern w:val="2"/>
          <w:sz w:val="32"/>
          <w:szCs w:val="32"/>
          <w:lang w:val="zh-CN" w:eastAsia="zh-CN"/>
        </w:rPr>
        <w:t>（</w:t>
      </w:r>
      <w:r>
        <w:rPr>
          <w:rFonts w:hint="eastAsia" w:ascii="Times New Roman" w:hAnsi="Times New Roman" w:eastAsia="方正楷体_GBK" w:cs="Times New Roman"/>
          <w:b/>
          <w:kern w:val="2"/>
          <w:sz w:val="32"/>
          <w:szCs w:val="32"/>
          <w:lang w:val="en-US" w:eastAsia="zh-CN"/>
        </w:rPr>
        <w:t>三</w:t>
      </w:r>
      <w:r>
        <w:rPr>
          <w:rFonts w:hint="eastAsia" w:ascii="Times New Roman" w:hAnsi="Times New Roman" w:eastAsia="方正楷体_GBK" w:cs="Times New Roman"/>
          <w:b/>
          <w:kern w:val="2"/>
          <w:sz w:val="32"/>
          <w:szCs w:val="32"/>
          <w:lang w:val="zh-CN" w:eastAsia="zh-CN"/>
        </w:rPr>
        <w:t>）</w:t>
      </w:r>
      <w:r>
        <w:rPr>
          <w:rFonts w:hint="default" w:ascii="Times New Roman" w:hAnsi="Times New Roman" w:eastAsia="方正楷体_GBK" w:cs="Times New Roman"/>
          <w:b/>
          <w:kern w:val="2"/>
          <w:sz w:val="32"/>
          <w:szCs w:val="32"/>
          <w:lang w:val="zh-CN" w:eastAsia="zh-CN"/>
        </w:rPr>
        <w:t>改进建议。</w:t>
      </w:r>
    </w:p>
    <w:p w14:paraId="7ED70F55">
      <w:pPr>
        <w:keepNext w:val="0"/>
        <w:keepLines w:val="0"/>
        <w:pageBreakBefore w:val="0"/>
        <w:widowControl/>
        <w:numPr>
          <w:ilvl w:val="0"/>
          <w:numId w:val="0"/>
        </w:numPr>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xml:space="preserve">         无</w:t>
      </w:r>
    </w:p>
    <w:p w14:paraId="0A9E3D8D">
      <w:pPr>
        <w:keepNext w:val="0"/>
        <w:keepLines w:val="0"/>
        <w:pageBreakBefore w:val="0"/>
        <w:widowControl/>
        <w:numPr>
          <w:ilvl w:val="0"/>
          <w:numId w:val="0"/>
        </w:numPr>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方正仿宋_GBK" w:cs="Times New Roman"/>
          <w:kern w:val="2"/>
          <w:sz w:val="32"/>
          <w:szCs w:val="32"/>
          <w:lang w:val="en-US" w:eastAsia="zh-CN" w:bidi="ar-SA"/>
        </w:rPr>
      </w:pPr>
    </w:p>
    <w:p w14:paraId="0AAE77F0">
      <w:pPr>
        <w:keepNext w:val="0"/>
        <w:keepLines w:val="0"/>
        <w:pageBreakBefore w:val="0"/>
        <w:widowControl/>
        <w:numPr>
          <w:ilvl w:val="0"/>
          <w:numId w:val="0"/>
        </w:numPr>
        <w:kinsoku/>
        <w:wordWrap/>
        <w:overflowPunct/>
        <w:topLinePunct w:val="0"/>
        <w:autoSpaceDE/>
        <w:autoSpaceDN/>
        <w:bidi w:val="0"/>
        <w:adjustRightInd/>
        <w:snapToGrid/>
        <w:spacing w:line="560" w:lineRule="exact"/>
        <w:contextualSpacing/>
        <w:jc w:val="left"/>
        <w:textAlignment w:val="auto"/>
        <w:rPr>
          <w:rFonts w:hint="eastAsia" w:ascii="Times New Roman" w:hAnsi="Times New Roman" w:eastAsia="方正仿宋_GBK" w:cs="Times New Roman"/>
          <w:kern w:val="2"/>
          <w:sz w:val="32"/>
          <w:szCs w:val="32"/>
          <w:lang w:val="en-US" w:eastAsia="zh-CN" w:bidi="ar-SA"/>
        </w:rPr>
      </w:pPr>
    </w:p>
    <w:p w14:paraId="592BCD74">
      <w:pPr>
        <w:widowControl/>
        <w:spacing w:line="600" w:lineRule="exact"/>
        <w:jc w:val="center"/>
        <w:textAlignment w:val="center"/>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附件：1.</w:t>
      </w:r>
      <w:r>
        <w:rPr>
          <w:rFonts w:hint="default" w:ascii="Times New Roman" w:hAnsi="Times New Roman" w:eastAsia="方正仿宋_GBK" w:cs="Times New Roman"/>
          <w:kern w:val="2"/>
          <w:sz w:val="32"/>
          <w:szCs w:val="32"/>
          <w:lang w:val="en-US" w:eastAsia="zh-CN" w:bidi="ar-SA"/>
        </w:rPr>
        <w:t>202</w:t>
      </w:r>
      <w:r>
        <w:rPr>
          <w:rFonts w:hint="eastAsia" w:ascii="Times New Roman" w:hAnsi="Times New Roman" w:eastAsia="方正仿宋_GBK" w:cs="Times New Roman"/>
          <w:kern w:val="2"/>
          <w:sz w:val="32"/>
          <w:szCs w:val="32"/>
          <w:lang w:val="en-US" w:eastAsia="zh-CN" w:bidi="ar-SA"/>
        </w:rPr>
        <w:t>5</w:t>
      </w:r>
      <w:r>
        <w:rPr>
          <w:rFonts w:hint="default" w:ascii="Times New Roman" w:hAnsi="Times New Roman" w:eastAsia="方正仿宋_GBK" w:cs="Times New Roman"/>
          <w:kern w:val="2"/>
          <w:sz w:val="32"/>
          <w:szCs w:val="32"/>
          <w:lang w:val="en-US" w:eastAsia="zh-CN" w:bidi="ar-SA"/>
        </w:rPr>
        <w:t>年</w:t>
      </w:r>
      <w:r>
        <w:rPr>
          <w:rFonts w:hint="eastAsia" w:ascii="Times New Roman" w:hAnsi="Times New Roman" w:eastAsia="方正仿宋_GBK" w:cs="Times New Roman"/>
          <w:kern w:val="2"/>
          <w:sz w:val="32"/>
          <w:szCs w:val="32"/>
          <w:lang w:val="en-US" w:eastAsia="zh-CN" w:bidi="ar-SA"/>
        </w:rPr>
        <w:t>部门预算绩效自评打分表</w:t>
      </w:r>
    </w:p>
    <w:p w14:paraId="2A663A1D">
      <w:pPr>
        <w:widowControl/>
        <w:numPr>
          <w:ilvl w:val="0"/>
          <w:numId w:val="0"/>
        </w:numPr>
        <w:adjustRightInd w:val="0"/>
        <w:snapToGrid w:val="0"/>
        <w:spacing w:line="580" w:lineRule="exact"/>
        <w:contextualSpacing/>
        <w:jc w:val="left"/>
        <w:rPr>
          <w:rFonts w:hint="eastAsia"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kern w:val="2"/>
          <w:sz w:val="32"/>
          <w:szCs w:val="32"/>
          <w:lang w:val="en-US" w:eastAsia="zh-CN" w:bidi="ar-SA"/>
        </w:rPr>
        <w:t xml:space="preserve">              2.2025年部门整体绩效目标完成情况自评表        </w:t>
      </w:r>
    </w:p>
    <w:p w14:paraId="10E68DD0">
      <w:pPr>
        <w:widowControl/>
        <w:numPr>
          <w:ilvl w:val="0"/>
          <w:numId w:val="0"/>
        </w:numPr>
        <w:adjustRightInd w:val="0"/>
        <w:snapToGrid w:val="0"/>
        <w:spacing w:line="580" w:lineRule="exact"/>
        <w:contextualSpacing/>
        <w:jc w:val="left"/>
        <w:rPr>
          <w:rFonts w:hint="eastAsia"/>
          <w:color w:val="0070C0"/>
          <w:kern w:val="0"/>
          <w:szCs w:val="32"/>
          <w:shd w:val="clear" w:color="auto" w:fill="FFFFFF"/>
          <w:lang w:val="en-US" w:eastAsia="zh-CN"/>
        </w:rPr>
      </w:pPr>
      <w:r>
        <w:rPr>
          <w:rFonts w:hint="eastAsia" w:ascii="Times New Roman" w:hAnsi="Times New Roman" w:eastAsia="方正仿宋_GBK" w:cs="Times New Roman"/>
          <w:kern w:val="2"/>
          <w:sz w:val="32"/>
          <w:szCs w:val="32"/>
          <w:lang w:val="en-US" w:eastAsia="zh-CN" w:bidi="ar-SA"/>
        </w:rPr>
        <w:t xml:space="preserve">                   </w:t>
      </w:r>
    </w:p>
    <w:p w14:paraId="6CA44E88">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附表</w:t>
      </w:r>
      <w:r>
        <w:rPr>
          <w:rFonts w:hint="eastAsia" w:ascii="Times New Roman" w:hAnsi="Times New Roman" w:eastAsia="方正仿宋_GBK" w:cs="Times New Roman"/>
          <w:kern w:val="2"/>
          <w:sz w:val="32"/>
          <w:szCs w:val="32"/>
          <w:lang w:val="zh-CN" w:eastAsia="zh-CN" w:bidi="ar-SA"/>
        </w:rPr>
        <w:t>1</w:t>
      </w:r>
    </w:p>
    <w:p w14:paraId="54C505B8">
      <w:pPr>
        <w:widowControl/>
        <w:spacing w:line="600" w:lineRule="exact"/>
        <w:jc w:val="center"/>
        <w:textAlignment w:val="center"/>
        <w:rPr>
          <w:rFonts w:eastAsia="方正小标宋简体"/>
          <w:color w:val="auto"/>
          <w:kern w:val="0"/>
          <w:sz w:val="44"/>
          <w:szCs w:val="44"/>
          <w:lang w:bidi="ar"/>
        </w:rPr>
      </w:pPr>
      <w:r>
        <w:rPr>
          <w:rFonts w:hint="eastAsia" w:eastAsia="方正小标宋简体"/>
          <w:color w:val="auto"/>
          <w:kern w:val="0"/>
          <w:sz w:val="44"/>
          <w:szCs w:val="44"/>
          <w:lang w:bidi="ar"/>
        </w:rPr>
        <w:t>部门预算绩效自评打分表</w:t>
      </w:r>
    </w:p>
    <w:tbl>
      <w:tblPr>
        <w:tblStyle w:val="17"/>
        <w:tblW w:w="10819" w:type="dxa"/>
        <w:jc w:val="center"/>
        <w:tblLayout w:type="fixed"/>
        <w:tblCellMar>
          <w:top w:w="0" w:type="dxa"/>
          <w:left w:w="108" w:type="dxa"/>
          <w:bottom w:w="0" w:type="dxa"/>
          <w:right w:w="108" w:type="dxa"/>
        </w:tblCellMar>
      </w:tblPr>
      <w:tblGrid>
        <w:gridCol w:w="1004"/>
        <w:gridCol w:w="1296"/>
        <w:gridCol w:w="1831"/>
        <w:gridCol w:w="603"/>
        <w:gridCol w:w="5241"/>
        <w:gridCol w:w="500"/>
        <w:gridCol w:w="344"/>
      </w:tblGrid>
      <w:tr w14:paraId="69C3F3FD">
        <w:tblPrEx>
          <w:tblCellMar>
            <w:top w:w="0" w:type="dxa"/>
            <w:left w:w="108" w:type="dxa"/>
            <w:bottom w:w="0" w:type="dxa"/>
            <w:right w:w="108" w:type="dxa"/>
          </w:tblCellMar>
        </w:tblPrEx>
        <w:trPr>
          <w:trHeight w:val="23" w:hRule="atLeast"/>
          <w:jc w:val="center"/>
        </w:trPr>
        <w:tc>
          <w:tcPr>
            <w:tcW w:w="4734" w:type="dxa"/>
            <w:gridSpan w:val="4"/>
            <w:tcBorders>
              <w:top w:val="single" w:color="000000" w:sz="4" w:space="0"/>
              <w:left w:val="single" w:color="000000" w:sz="4" w:space="0"/>
              <w:bottom w:val="single" w:color="000000" w:sz="4" w:space="0"/>
              <w:right w:val="single" w:color="000000" w:sz="4" w:space="0"/>
            </w:tcBorders>
            <w:noWrap w:val="0"/>
            <w:vAlign w:val="center"/>
          </w:tcPr>
          <w:p w14:paraId="30611327">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绩效评价指标指标分值</w:t>
            </w:r>
          </w:p>
        </w:tc>
        <w:tc>
          <w:tcPr>
            <w:tcW w:w="5241" w:type="dxa"/>
            <w:vMerge w:val="restart"/>
            <w:tcBorders>
              <w:top w:val="single" w:color="000000" w:sz="4" w:space="0"/>
              <w:left w:val="single" w:color="000000" w:sz="4" w:space="0"/>
              <w:bottom w:val="single" w:color="000000" w:sz="4" w:space="0"/>
              <w:right w:val="single" w:color="000000" w:sz="4" w:space="0"/>
            </w:tcBorders>
            <w:noWrap w:val="0"/>
            <w:vAlign w:val="center"/>
          </w:tcPr>
          <w:p w14:paraId="756C96A2">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指标解释</w:t>
            </w:r>
          </w:p>
        </w:tc>
        <w:tc>
          <w:tcPr>
            <w:tcW w:w="500" w:type="dxa"/>
            <w:vMerge w:val="restart"/>
            <w:tcBorders>
              <w:top w:val="single" w:color="000000" w:sz="4" w:space="0"/>
              <w:left w:val="single" w:color="000000" w:sz="4" w:space="0"/>
              <w:right w:val="single" w:color="000000" w:sz="4" w:space="0"/>
            </w:tcBorders>
            <w:noWrap w:val="0"/>
            <w:vAlign w:val="center"/>
          </w:tcPr>
          <w:p w14:paraId="14314819">
            <w:pPr>
              <w:widowControl/>
              <w:spacing w:line="240" w:lineRule="exact"/>
              <w:jc w:val="center"/>
              <w:textAlignment w:val="center"/>
              <w:rPr>
                <w:rFonts w:ascii="黑体" w:hAnsi="宋体" w:eastAsia="黑体" w:cs="黑体"/>
                <w:color w:val="auto"/>
                <w:kern w:val="0"/>
                <w:sz w:val="24"/>
                <w:lang w:bidi="ar"/>
              </w:rPr>
            </w:pPr>
            <w:r>
              <w:rPr>
                <w:rFonts w:hint="eastAsia" w:ascii="黑体" w:hAnsi="宋体" w:eastAsia="黑体" w:cs="黑体"/>
                <w:color w:val="auto"/>
                <w:kern w:val="0"/>
                <w:sz w:val="24"/>
                <w:lang w:bidi="ar"/>
              </w:rPr>
              <w:t>自评得分</w:t>
            </w:r>
          </w:p>
        </w:tc>
        <w:tc>
          <w:tcPr>
            <w:tcW w:w="344" w:type="dxa"/>
            <w:vMerge w:val="restart"/>
            <w:tcBorders>
              <w:top w:val="single" w:color="000000" w:sz="4" w:space="0"/>
              <w:left w:val="single" w:color="000000" w:sz="4" w:space="0"/>
              <w:right w:val="single" w:color="000000" w:sz="4" w:space="0"/>
            </w:tcBorders>
            <w:noWrap w:val="0"/>
            <w:vAlign w:val="center"/>
          </w:tcPr>
          <w:p w14:paraId="424BEB90">
            <w:pPr>
              <w:widowControl/>
              <w:spacing w:line="240" w:lineRule="exact"/>
              <w:jc w:val="center"/>
              <w:textAlignment w:val="center"/>
              <w:rPr>
                <w:rFonts w:ascii="黑体" w:hAnsi="宋体" w:eastAsia="黑体" w:cs="黑体"/>
                <w:color w:val="auto"/>
                <w:kern w:val="0"/>
                <w:sz w:val="24"/>
                <w:lang w:bidi="ar"/>
              </w:rPr>
            </w:pPr>
            <w:r>
              <w:rPr>
                <w:rFonts w:hint="eastAsia" w:ascii="黑体" w:hAnsi="宋体" w:eastAsia="黑体" w:cs="黑体"/>
                <w:color w:val="auto"/>
                <w:kern w:val="0"/>
                <w:sz w:val="24"/>
                <w:lang w:bidi="ar"/>
              </w:rPr>
              <w:t>备注</w:t>
            </w:r>
          </w:p>
        </w:tc>
      </w:tr>
      <w:tr w14:paraId="2C01021D">
        <w:tblPrEx>
          <w:tblCellMar>
            <w:top w:w="0" w:type="dxa"/>
            <w:left w:w="108" w:type="dxa"/>
            <w:bottom w:w="0" w:type="dxa"/>
            <w:right w:w="108" w:type="dxa"/>
          </w:tblCellMar>
        </w:tblPrEx>
        <w:trPr>
          <w:trHeight w:val="23" w:hRule="atLeast"/>
          <w:jc w:val="center"/>
        </w:trPr>
        <w:tc>
          <w:tcPr>
            <w:tcW w:w="1004" w:type="dxa"/>
            <w:tcBorders>
              <w:top w:val="single" w:color="000000" w:sz="4" w:space="0"/>
              <w:left w:val="single" w:color="000000" w:sz="4" w:space="0"/>
              <w:bottom w:val="single" w:color="000000" w:sz="4" w:space="0"/>
              <w:right w:val="nil"/>
            </w:tcBorders>
            <w:noWrap w:val="0"/>
            <w:vAlign w:val="center"/>
          </w:tcPr>
          <w:p w14:paraId="2C1F63A7">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一级指标</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14:paraId="3F1BE0D7">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二级指标</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55781F14">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三级指标</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89CB7B4">
            <w:pPr>
              <w:widowControl/>
              <w:spacing w:line="240" w:lineRule="exact"/>
              <w:jc w:val="center"/>
              <w:textAlignment w:val="center"/>
              <w:rPr>
                <w:rFonts w:ascii="黑体" w:hAnsi="宋体" w:eastAsia="黑体" w:cs="黑体"/>
                <w:color w:val="auto"/>
                <w:sz w:val="24"/>
              </w:rPr>
            </w:pPr>
            <w:r>
              <w:rPr>
                <w:rFonts w:hint="eastAsia" w:ascii="黑体" w:hAnsi="宋体" w:eastAsia="黑体" w:cs="黑体"/>
                <w:color w:val="auto"/>
                <w:kern w:val="0"/>
                <w:sz w:val="24"/>
                <w:lang w:bidi="ar"/>
              </w:rPr>
              <w:t>指标</w:t>
            </w:r>
            <w:r>
              <w:rPr>
                <w:rFonts w:hint="eastAsia" w:ascii="黑体" w:hAnsi="宋体" w:eastAsia="黑体" w:cs="黑体"/>
                <w:color w:val="auto"/>
                <w:kern w:val="0"/>
                <w:sz w:val="24"/>
                <w:lang w:bidi="ar"/>
              </w:rPr>
              <w:br w:type="textWrapping"/>
            </w:r>
            <w:r>
              <w:rPr>
                <w:rFonts w:hint="eastAsia" w:ascii="黑体" w:hAnsi="宋体" w:eastAsia="黑体" w:cs="黑体"/>
                <w:color w:val="auto"/>
                <w:kern w:val="0"/>
                <w:sz w:val="24"/>
                <w:lang w:bidi="ar"/>
              </w:rPr>
              <w:t>分值</w:t>
            </w:r>
          </w:p>
        </w:tc>
        <w:tc>
          <w:tcPr>
            <w:tcW w:w="524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4F9F76">
            <w:pPr>
              <w:widowControl/>
              <w:spacing w:line="240" w:lineRule="exact"/>
              <w:jc w:val="center"/>
              <w:rPr>
                <w:rFonts w:ascii="黑体" w:hAnsi="宋体" w:eastAsia="黑体" w:cs="黑体"/>
                <w:color w:val="auto"/>
                <w:sz w:val="24"/>
              </w:rPr>
            </w:pPr>
          </w:p>
        </w:tc>
        <w:tc>
          <w:tcPr>
            <w:tcW w:w="500" w:type="dxa"/>
            <w:vMerge w:val="continue"/>
            <w:tcBorders>
              <w:left w:val="single" w:color="000000" w:sz="4" w:space="0"/>
              <w:bottom w:val="single" w:color="000000" w:sz="4" w:space="0"/>
              <w:right w:val="single" w:color="000000" w:sz="4" w:space="0"/>
            </w:tcBorders>
            <w:noWrap w:val="0"/>
            <w:vAlign w:val="center"/>
          </w:tcPr>
          <w:p w14:paraId="695860D9">
            <w:pPr>
              <w:widowControl/>
              <w:spacing w:line="240" w:lineRule="exact"/>
              <w:jc w:val="center"/>
              <w:rPr>
                <w:rFonts w:ascii="黑体" w:hAnsi="宋体" w:eastAsia="黑体" w:cs="黑体"/>
                <w:color w:val="auto"/>
                <w:sz w:val="24"/>
              </w:rPr>
            </w:pPr>
          </w:p>
        </w:tc>
        <w:tc>
          <w:tcPr>
            <w:tcW w:w="344" w:type="dxa"/>
            <w:vMerge w:val="continue"/>
            <w:tcBorders>
              <w:left w:val="single" w:color="000000" w:sz="4" w:space="0"/>
              <w:bottom w:val="single" w:color="000000" w:sz="4" w:space="0"/>
              <w:right w:val="single" w:color="000000" w:sz="4" w:space="0"/>
            </w:tcBorders>
            <w:noWrap w:val="0"/>
            <w:vAlign w:val="center"/>
          </w:tcPr>
          <w:p w14:paraId="172799E0">
            <w:pPr>
              <w:widowControl/>
              <w:spacing w:line="240" w:lineRule="exact"/>
              <w:jc w:val="center"/>
              <w:rPr>
                <w:rFonts w:ascii="黑体" w:hAnsi="宋体" w:eastAsia="黑体" w:cs="黑体"/>
                <w:color w:val="auto"/>
                <w:sz w:val="24"/>
              </w:rPr>
            </w:pPr>
          </w:p>
        </w:tc>
      </w:tr>
      <w:tr w14:paraId="667DE607">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0A05F225">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总体绩效</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（65分）</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14:paraId="7DCBE621">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履职效能</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（15分）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69EE1F15">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XX履职效果</w:t>
            </w:r>
          </w:p>
        </w:tc>
        <w:tc>
          <w:tcPr>
            <w:tcW w:w="603" w:type="dxa"/>
            <w:tcBorders>
              <w:top w:val="nil"/>
              <w:left w:val="single" w:color="000000" w:sz="4" w:space="0"/>
              <w:bottom w:val="single" w:color="000000" w:sz="4" w:space="0"/>
              <w:right w:val="single" w:color="000000" w:sz="4" w:space="0"/>
            </w:tcBorders>
            <w:noWrap w:val="0"/>
            <w:vAlign w:val="center"/>
          </w:tcPr>
          <w:p w14:paraId="1AB6E7C8">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15</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5956C854">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部门整体绩效目标中选定3-5个核心职能目标，反映该项职能目标完成效果情况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424306F">
            <w:pPr>
              <w:widowControl/>
              <w:spacing w:line="240" w:lineRule="exact"/>
              <w:jc w:val="left"/>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15</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43DA9C3F">
            <w:pPr>
              <w:widowControl/>
              <w:spacing w:line="240" w:lineRule="exact"/>
              <w:jc w:val="left"/>
              <w:textAlignment w:val="center"/>
              <w:rPr>
                <w:rFonts w:ascii="宋体" w:hAnsi="宋体" w:eastAsia="宋体" w:cs="宋体"/>
                <w:color w:val="auto"/>
                <w:kern w:val="0"/>
                <w:sz w:val="24"/>
                <w:lang w:bidi="ar"/>
              </w:rPr>
            </w:pPr>
          </w:p>
        </w:tc>
      </w:tr>
      <w:tr w14:paraId="2FC1EE6E">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4A8E5">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single" w:color="000000" w:sz="4" w:space="0"/>
              <w:right w:val="single" w:color="000000" w:sz="4" w:space="0"/>
            </w:tcBorders>
            <w:noWrap w:val="0"/>
            <w:vAlign w:val="center"/>
          </w:tcPr>
          <w:p w14:paraId="26F1F77D">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预算管理</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（25分）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655F6B7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预算编制质量</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AD6C690">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8</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D5708D1">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部门是否严格按要求编制年初部门预算，年初预算编制的科学性和准确性</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2A798AF">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8</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0E9AF170">
            <w:pPr>
              <w:widowControl/>
              <w:spacing w:line="240" w:lineRule="exact"/>
              <w:jc w:val="left"/>
              <w:textAlignment w:val="center"/>
              <w:rPr>
                <w:rFonts w:ascii="宋体" w:hAnsi="宋体" w:eastAsia="宋体" w:cs="宋体"/>
                <w:color w:val="auto"/>
                <w:kern w:val="0"/>
                <w:sz w:val="24"/>
                <w:lang w:bidi="ar"/>
              </w:rPr>
            </w:pPr>
          </w:p>
        </w:tc>
      </w:tr>
      <w:tr w14:paraId="7F861BE1">
        <w:tblPrEx>
          <w:tblCellMar>
            <w:top w:w="0" w:type="dxa"/>
            <w:left w:w="108" w:type="dxa"/>
            <w:bottom w:w="0" w:type="dxa"/>
            <w:right w:w="108" w:type="dxa"/>
          </w:tblCellMar>
        </w:tblPrEx>
        <w:trPr>
          <w:trHeight w:val="27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DE83E">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02EA31">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301CE68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单位收入统筹</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64186CE">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428E80CB">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部门统筹自有收入程度</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2F76A5A5">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03E637C5">
            <w:pPr>
              <w:widowControl/>
              <w:spacing w:line="240" w:lineRule="exact"/>
              <w:jc w:val="left"/>
              <w:textAlignment w:val="center"/>
              <w:rPr>
                <w:rFonts w:ascii="宋体" w:hAnsi="宋体" w:eastAsia="宋体" w:cs="宋体"/>
                <w:color w:val="auto"/>
                <w:kern w:val="0"/>
                <w:sz w:val="24"/>
                <w:lang w:bidi="ar"/>
              </w:rPr>
            </w:pPr>
          </w:p>
        </w:tc>
      </w:tr>
      <w:tr w14:paraId="0801584B">
        <w:tblPrEx>
          <w:tblCellMar>
            <w:top w:w="0" w:type="dxa"/>
            <w:left w:w="108" w:type="dxa"/>
            <w:bottom w:w="0" w:type="dxa"/>
            <w:right w:w="108" w:type="dxa"/>
          </w:tblCellMar>
        </w:tblPrEx>
        <w:trPr>
          <w:trHeight w:val="316"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2629AB">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6A7FE6">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74A1D620">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支出执行进度</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892C8CF">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6</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E490675">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部门1至6月、1至10月预算执行情况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F0D8731">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6</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336AC85E">
            <w:pPr>
              <w:widowControl/>
              <w:spacing w:line="240" w:lineRule="exact"/>
              <w:jc w:val="left"/>
              <w:textAlignment w:val="center"/>
              <w:rPr>
                <w:rFonts w:ascii="宋体" w:hAnsi="宋体" w:eastAsia="宋体" w:cs="宋体"/>
                <w:color w:val="auto"/>
                <w:kern w:val="0"/>
                <w:sz w:val="24"/>
                <w:lang w:bidi="ar"/>
              </w:rPr>
            </w:pPr>
          </w:p>
        </w:tc>
      </w:tr>
      <w:tr w14:paraId="08E7F46D">
        <w:tblPrEx>
          <w:tblCellMar>
            <w:top w:w="0" w:type="dxa"/>
            <w:left w:w="108" w:type="dxa"/>
            <w:bottom w:w="0" w:type="dxa"/>
            <w:right w:w="108" w:type="dxa"/>
          </w:tblCellMar>
        </w:tblPrEx>
        <w:trPr>
          <w:trHeight w:val="27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16B9C8">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97C090">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6DB12610">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预算年终结余</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D48AE7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5F507D0">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部门整体年终预算结余情况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9CC6B08">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2FE52486">
            <w:pPr>
              <w:widowControl/>
              <w:spacing w:line="240" w:lineRule="exact"/>
              <w:jc w:val="left"/>
              <w:textAlignment w:val="center"/>
              <w:rPr>
                <w:rFonts w:ascii="宋体" w:hAnsi="宋体" w:eastAsia="宋体" w:cs="宋体"/>
                <w:color w:val="auto"/>
                <w:kern w:val="0"/>
                <w:sz w:val="24"/>
                <w:lang w:bidi="ar"/>
              </w:rPr>
            </w:pPr>
          </w:p>
        </w:tc>
      </w:tr>
      <w:tr w14:paraId="5B0341E4">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813D6">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F10E44">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190E9C53">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严控一般性支出</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1CBA848">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5</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CAE9C74">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部门严控“三公”经费、会议、培训、差旅、办节办展、办公设备购置、信息网络及软件购置更新、课题经费等8项一般性支出情况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68C8102">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5</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5C62B710">
            <w:pPr>
              <w:widowControl/>
              <w:spacing w:line="240" w:lineRule="exact"/>
              <w:jc w:val="left"/>
              <w:textAlignment w:val="center"/>
              <w:rPr>
                <w:rFonts w:ascii="宋体" w:hAnsi="宋体" w:eastAsia="宋体" w:cs="宋体"/>
                <w:color w:val="auto"/>
                <w:kern w:val="0"/>
                <w:sz w:val="24"/>
                <w:lang w:bidi="ar"/>
              </w:rPr>
            </w:pPr>
          </w:p>
        </w:tc>
      </w:tr>
      <w:tr w14:paraId="3F5A7FAA">
        <w:tblPrEx>
          <w:tblCellMar>
            <w:top w:w="0" w:type="dxa"/>
            <w:left w:w="108" w:type="dxa"/>
            <w:bottom w:w="0" w:type="dxa"/>
            <w:right w:w="108" w:type="dxa"/>
          </w:tblCellMar>
        </w:tblPrEx>
        <w:trPr>
          <w:trHeight w:val="294"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FF9152">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single" w:color="000000" w:sz="4" w:space="0"/>
              <w:right w:val="single" w:color="000000" w:sz="4" w:space="0"/>
            </w:tcBorders>
            <w:noWrap w:val="0"/>
            <w:vAlign w:val="center"/>
          </w:tcPr>
          <w:p w14:paraId="0147AC95">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财务管理</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（10分）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1D2FFCD4">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财务管理制度</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BF3A345">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59E78F9F">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部门财务管理制度建立情况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D6E4B5A">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119AA2A2">
            <w:pPr>
              <w:widowControl/>
              <w:spacing w:line="240" w:lineRule="exact"/>
              <w:jc w:val="left"/>
              <w:textAlignment w:val="center"/>
              <w:rPr>
                <w:rFonts w:ascii="宋体" w:hAnsi="宋体" w:eastAsia="宋体" w:cs="宋体"/>
                <w:color w:val="auto"/>
                <w:kern w:val="0"/>
                <w:sz w:val="24"/>
                <w:lang w:bidi="ar"/>
              </w:rPr>
            </w:pPr>
          </w:p>
        </w:tc>
      </w:tr>
      <w:tr w14:paraId="1749FFF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A6133">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0B90B">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575FA4EA">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财务岗位设置</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15814F65">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2</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3B93EBA9">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部门财务岗位设置是否符合相关财务管理制度要求</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577D7CAA">
            <w:pPr>
              <w:widowControl/>
              <w:spacing w:line="240" w:lineRule="exact"/>
              <w:jc w:val="left"/>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02DA0861">
            <w:pPr>
              <w:widowControl/>
              <w:spacing w:line="240" w:lineRule="exact"/>
              <w:jc w:val="left"/>
              <w:textAlignment w:val="center"/>
              <w:rPr>
                <w:rFonts w:ascii="宋体" w:hAnsi="宋体" w:eastAsia="宋体" w:cs="宋体"/>
                <w:color w:val="auto"/>
                <w:kern w:val="0"/>
                <w:sz w:val="24"/>
                <w:lang w:bidi="ar"/>
              </w:rPr>
            </w:pPr>
          </w:p>
        </w:tc>
      </w:tr>
      <w:tr w14:paraId="0745E73B">
        <w:tblPrEx>
          <w:tblCellMar>
            <w:top w:w="0" w:type="dxa"/>
            <w:left w:w="108" w:type="dxa"/>
            <w:bottom w:w="0" w:type="dxa"/>
            <w:right w:w="108" w:type="dxa"/>
          </w:tblCellMar>
        </w:tblPrEx>
        <w:trPr>
          <w:trHeight w:val="31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BCA416">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631A78">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1DBA32D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资金使用规范</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17463C1">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D44DB2A">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部门资金使用是否符合相关财务管理制度规定</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7F72EA5">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59A42CC3">
            <w:pPr>
              <w:widowControl/>
              <w:spacing w:line="240" w:lineRule="exact"/>
              <w:jc w:val="left"/>
              <w:textAlignment w:val="center"/>
              <w:rPr>
                <w:rFonts w:ascii="宋体" w:hAnsi="宋体" w:eastAsia="宋体" w:cs="宋体"/>
                <w:color w:val="auto"/>
                <w:kern w:val="0"/>
                <w:sz w:val="24"/>
                <w:lang w:bidi="ar"/>
              </w:rPr>
            </w:pPr>
          </w:p>
        </w:tc>
      </w:tr>
      <w:tr w14:paraId="7BBC83B5">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D14867">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single" w:color="000000" w:sz="4" w:space="0"/>
              <w:right w:val="single" w:color="000000" w:sz="4" w:space="0"/>
            </w:tcBorders>
            <w:noWrap w:val="0"/>
            <w:vAlign w:val="center"/>
          </w:tcPr>
          <w:p w14:paraId="7200638B">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资产管理</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（9分）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2F3694D4">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人均资产变化率</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27916BB">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0CD5613A">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部门人均资产变化情况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7C7CB7D">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6A0BF454">
            <w:pPr>
              <w:widowControl/>
              <w:spacing w:line="240" w:lineRule="exact"/>
              <w:jc w:val="left"/>
              <w:textAlignment w:val="center"/>
              <w:rPr>
                <w:rFonts w:ascii="宋体" w:hAnsi="宋体" w:eastAsia="宋体" w:cs="宋体"/>
                <w:color w:val="auto"/>
                <w:kern w:val="0"/>
                <w:sz w:val="24"/>
                <w:lang w:bidi="ar"/>
              </w:rPr>
            </w:pPr>
          </w:p>
        </w:tc>
      </w:tr>
      <w:tr w14:paraId="6AAAD7EE">
        <w:tblPrEx>
          <w:tblCellMar>
            <w:top w:w="0" w:type="dxa"/>
            <w:left w:w="108" w:type="dxa"/>
            <w:bottom w:w="0" w:type="dxa"/>
            <w:right w:w="108" w:type="dxa"/>
          </w:tblCellMar>
        </w:tblPrEx>
        <w:trPr>
          <w:trHeight w:val="337"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6D9F0">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916197">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70212E96">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资产利用率</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193C132">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CDFB8A0">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部门资产超最低使用年限情况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DB7A347">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2D3737BF">
            <w:pPr>
              <w:widowControl/>
              <w:spacing w:line="240" w:lineRule="exact"/>
              <w:jc w:val="left"/>
              <w:textAlignment w:val="center"/>
              <w:rPr>
                <w:rFonts w:ascii="宋体" w:hAnsi="宋体" w:eastAsia="宋体" w:cs="宋体"/>
                <w:color w:val="auto"/>
                <w:kern w:val="0"/>
                <w:sz w:val="24"/>
                <w:lang w:bidi="ar"/>
              </w:rPr>
            </w:pPr>
          </w:p>
        </w:tc>
      </w:tr>
      <w:tr w14:paraId="0A57009D">
        <w:tblPrEx>
          <w:tblCellMar>
            <w:top w:w="0" w:type="dxa"/>
            <w:left w:w="108" w:type="dxa"/>
            <w:bottom w:w="0" w:type="dxa"/>
            <w:right w:w="108" w:type="dxa"/>
          </w:tblCellMar>
        </w:tblPrEx>
        <w:trPr>
          <w:trHeight w:val="556"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44763E63">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总体绩效</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（65分）</w:t>
            </w:r>
          </w:p>
        </w:tc>
        <w:tc>
          <w:tcPr>
            <w:tcW w:w="1296" w:type="dxa"/>
            <w:tcBorders>
              <w:top w:val="single" w:color="000000" w:sz="4" w:space="0"/>
              <w:left w:val="single" w:color="000000" w:sz="4" w:space="0"/>
              <w:bottom w:val="single" w:color="000000" w:sz="4" w:space="0"/>
              <w:right w:val="single" w:color="000000" w:sz="4" w:space="0"/>
            </w:tcBorders>
            <w:noWrap w:val="0"/>
            <w:vAlign w:val="center"/>
          </w:tcPr>
          <w:p w14:paraId="2FF69798">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资产管理</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（9分）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5B34A9E7">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资产盘活率</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88481B4">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36C78E49">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部门闲置一年以上的资产盘活情况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5FBCD78">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15AD6418">
            <w:pPr>
              <w:widowControl/>
              <w:spacing w:line="240" w:lineRule="exact"/>
              <w:jc w:val="left"/>
              <w:textAlignment w:val="center"/>
              <w:rPr>
                <w:rFonts w:ascii="宋体" w:hAnsi="宋体" w:eastAsia="宋体" w:cs="宋体"/>
                <w:color w:val="auto"/>
                <w:kern w:val="0"/>
                <w:sz w:val="24"/>
                <w:lang w:bidi="ar"/>
              </w:rPr>
            </w:pPr>
          </w:p>
        </w:tc>
      </w:tr>
      <w:tr w14:paraId="7AB41FFA">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3ADC5">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single" w:color="000000" w:sz="4" w:space="0"/>
              <w:right w:val="single" w:color="000000" w:sz="4" w:space="0"/>
            </w:tcBorders>
            <w:noWrap w:val="0"/>
            <w:vAlign w:val="center"/>
          </w:tcPr>
          <w:p w14:paraId="51E909D2">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采购管理</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（6分）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23187128">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支持中小企业发展</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0234B908">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060FB239">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部门是否严格执行政府采购促进中小企业发展相关管理办法</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7E9CFC5E">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4B32B007">
            <w:pPr>
              <w:widowControl/>
              <w:spacing w:line="240" w:lineRule="exact"/>
              <w:jc w:val="left"/>
              <w:textAlignment w:val="center"/>
              <w:rPr>
                <w:rFonts w:ascii="宋体" w:hAnsi="宋体" w:eastAsia="宋体" w:cs="宋体"/>
                <w:color w:val="auto"/>
                <w:kern w:val="0"/>
                <w:sz w:val="24"/>
                <w:lang w:bidi="ar"/>
              </w:rPr>
            </w:pPr>
          </w:p>
        </w:tc>
      </w:tr>
      <w:tr w14:paraId="5382429C">
        <w:tblPrEx>
          <w:tblCellMar>
            <w:top w:w="0" w:type="dxa"/>
            <w:left w:w="108" w:type="dxa"/>
            <w:bottom w:w="0" w:type="dxa"/>
            <w:right w:w="108" w:type="dxa"/>
          </w:tblCellMar>
        </w:tblPrEx>
        <w:trPr>
          <w:trHeight w:val="294"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8A477">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5EDF6E">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3274BBB4">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采购执行率</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3C712A9F">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6E6F78D1">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部门政府采购项目资金支付比例情况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DF4F56F">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1F258AF8">
            <w:pPr>
              <w:widowControl/>
              <w:spacing w:line="240" w:lineRule="exact"/>
              <w:jc w:val="left"/>
              <w:textAlignment w:val="center"/>
              <w:rPr>
                <w:rFonts w:ascii="宋体" w:hAnsi="宋体" w:eastAsia="宋体" w:cs="宋体"/>
                <w:color w:val="auto"/>
                <w:kern w:val="0"/>
                <w:sz w:val="24"/>
                <w:lang w:bidi="ar"/>
              </w:rPr>
            </w:pPr>
          </w:p>
        </w:tc>
      </w:tr>
      <w:tr w14:paraId="028F46EE">
        <w:tblPrEx>
          <w:tblCellMar>
            <w:top w:w="0" w:type="dxa"/>
            <w:left w:w="108" w:type="dxa"/>
            <w:bottom w:w="0" w:type="dxa"/>
            <w:right w:w="108" w:type="dxa"/>
          </w:tblCellMar>
        </w:tblPrEx>
        <w:trPr>
          <w:trHeight w:val="23" w:hRule="atLeast"/>
          <w:jc w:val="center"/>
        </w:trPr>
        <w:tc>
          <w:tcPr>
            <w:tcW w:w="1004" w:type="dxa"/>
            <w:vMerge w:val="restart"/>
            <w:tcBorders>
              <w:top w:val="single" w:color="000000" w:sz="4" w:space="0"/>
              <w:left w:val="single" w:color="000000" w:sz="4" w:space="0"/>
              <w:bottom w:val="single" w:color="000000" w:sz="4" w:space="0"/>
              <w:right w:val="single" w:color="000000" w:sz="4" w:space="0"/>
            </w:tcBorders>
            <w:noWrap w:val="0"/>
            <w:vAlign w:val="center"/>
          </w:tcPr>
          <w:p w14:paraId="5B5B2A24">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项目绩效</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（35分）</w:t>
            </w:r>
          </w:p>
        </w:tc>
        <w:tc>
          <w:tcPr>
            <w:tcW w:w="1296" w:type="dxa"/>
            <w:vMerge w:val="restart"/>
            <w:tcBorders>
              <w:top w:val="single" w:color="000000" w:sz="4" w:space="0"/>
              <w:left w:val="single" w:color="000000" w:sz="4" w:space="0"/>
              <w:bottom w:val="nil"/>
              <w:right w:val="single" w:color="000000" w:sz="4" w:space="0"/>
            </w:tcBorders>
            <w:noWrap w:val="0"/>
            <w:vAlign w:val="center"/>
          </w:tcPr>
          <w:p w14:paraId="2A544CB0">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项目决策</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（12分）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242EB512">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决策程序</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181C9E1">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3E629FE3">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部门预算项目设立是否按规定履行评估论证、申报程序</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C1346CF">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6DD1183E">
            <w:pPr>
              <w:widowControl/>
              <w:spacing w:line="240" w:lineRule="exact"/>
              <w:jc w:val="left"/>
              <w:textAlignment w:val="center"/>
              <w:rPr>
                <w:rFonts w:ascii="宋体" w:hAnsi="宋体" w:eastAsia="宋体" w:cs="宋体"/>
                <w:color w:val="auto"/>
                <w:kern w:val="0"/>
                <w:sz w:val="24"/>
                <w:lang w:bidi="ar"/>
              </w:rPr>
            </w:pPr>
          </w:p>
        </w:tc>
      </w:tr>
      <w:tr w14:paraId="63444841">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BD0FA">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nil"/>
              <w:right w:val="single" w:color="000000" w:sz="4" w:space="0"/>
            </w:tcBorders>
            <w:noWrap w:val="0"/>
            <w:vAlign w:val="center"/>
          </w:tcPr>
          <w:p w14:paraId="366E3A67">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7C5D2E1C">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目标设置</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5D0FD630">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58314304">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部门预算项目绩效目标与计划期内的任务量、预算安排的资金量匹配情况，绩效目标设置是否科学合理、规范完整、量化细化、预算匹配</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279C340">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72D792A1">
            <w:pPr>
              <w:widowControl/>
              <w:spacing w:line="240" w:lineRule="exact"/>
              <w:jc w:val="left"/>
              <w:textAlignment w:val="center"/>
              <w:rPr>
                <w:rFonts w:ascii="宋体" w:hAnsi="宋体" w:eastAsia="宋体" w:cs="宋体"/>
                <w:color w:val="auto"/>
                <w:kern w:val="0"/>
                <w:sz w:val="24"/>
                <w:lang w:bidi="ar"/>
              </w:rPr>
            </w:pPr>
          </w:p>
        </w:tc>
      </w:tr>
      <w:tr w14:paraId="6311358D">
        <w:tblPrEx>
          <w:tblCellMar>
            <w:top w:w="0" w:type="dxa"/>
            <w:left w:w="108" w:type="dxa"/>
            <w:bottom w:w="0" w:type="dxa"/>
            <w:right w:w="108" w:type="dxa"/>
          </w:tblCellMar>
        </w:tblPrEx>
        <w:trPr>
          <w:trHeight w:val="347"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C4CB74">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nil"/>
              <w:right w:val="single" w:color="000000" w:sz="4" w:space="0"/>
            </w:tcBorders>
            <w:noWrap w:val="0"/>
            <w:vAlign w:val="center"/>
          </w:tcPr>
          <w:p w14:paraId="50C56C44">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1FCCA3DF">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项目入库</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CFFDC3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37592455">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部门预算项目是否在规定时间完成项目入库</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1C6DAFE">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1AB9DB95">
            <w:pPr>
              <w:widowControl/>
              <w:spacing w:line="240" w:lineRule="exact"/>
              <w:jc w:val="left"/>
              <w:textAlignment w:val="center"/>
              <w:rPr>
                <w:rFonts w:ascii="宋体" w:hAnsi="宋体" w:eastAsia="宋体" w:cs="宋体"/>
                <w:color w:val="auto"/>
                <w:kern w:val="0"/>
                <w:sz w:val="24"/>
                <w:lang w:bidi="ar"/>
              </w:rPr>
            </w:pPr>
          </w:p>
        </w:tc>
      </w:tr>
      <w:tr w14:paraId="3C90ED9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0B4FE">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nil"/>
              <w:right w:val="single" w:color="000000" w:sz="4" w:space="0"/>
            </w:tcBorders>
            <w:noWrap w:val="0"/>
            <w:vAlign w:val="center"/>
          </w:tcPr>
          <w:p w14:paraId="2E2151BE">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项目执行</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（12分）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5971B25F">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执行同向</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4638562">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0470F688">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部门预算项目实际列支内容是否与绩效目标设置方向相符</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6D1F3BB">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716DEC7B">
            <w:pPr>
              <w:widowControl/>
              <w:spacing w:line="240" w:lineRule="exact"/>
              <w:jc w:val="left"/>
              <w:textAlignment w:val="center"/>
              <w:rPr>
                <w:rFonts w:ascii="宋体" w:hAnsi="宋体" w:eastAsia="宋体" w:cs="宋体"/>
                <w:color w:val="auto"/>
                <w:kern w:val="0"/>
                <w:sz w:val="24"/>
                <w:lang w:bidi="ar"/>
              </w:rPr>
            </w:pPr>
          </w:p>
        </w:tc>
      </w:tr>
      <w:tr w14:paraId="14176468">
        <w:tblPrEx>
          <w:tblCellMar>
            <w:top w:w="0" w:type="dxa"/>
            <w:left w:w="108" w:type="dxa"/>
            <w:bottom w:w="0" w:type="dxa"/>
            <w:right w:w="108" w:type="dxa"/>
          </w:tblCellMar>
        </w:tblPrEx>
        <w:trPr>
          <w:trHeight w:val="32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D72F8">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nil"/>
              <w:right w:val="single" w:color="000000" w:sz="4" w:space="0"/>
            </w:tcBorders>
            <w:noWrap w:val="0"/>
            <w:vAlign w:val="center"/>
          </w:tcPr>
          <w:p w14:paraId="2CAB7F53">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nil"/>
              <w:right w:val="single" w:color="000000" w:sz="4" w:space="0"/>
            </w:tcBorders>
            <w:noWrap w:val="0"/>
            <w:vAlign w:val="center"/>
          </w:tcPr>
          <w:p w14:paraId="06EE2DC1">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项目调整</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E818A03">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15092F39">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部门预算项目是否采取对应调整措施</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0B7F340E">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41C7A44B">
            <w:pPr>
              <w:widowControl/>
              <w:spacing w:line="240" w:lineRule="exact"/>
              <w:jc w:val="left"/>
              <w:textAlignment w:val="center"/>
              <w:rPr>
                <w:rFonts w:ascii="宋体" w:hAnsi="宋体" w:eastAsia="宋体" w:cs="宋体"/>
                <w:color w:val="auto"/>
                <w:kern w:val="0"/>
                <w:sz w:val="24"/>
                <w:lang w:bidi="ar"/>
              </w:rPr>
            </w:pPr>
          </w:p>
        </w:tc>
      </w:tr>
      <w:tr w14:paraId="1010D80E">
        <w:tblPrEx>
          <w:tblCellMar>
            <w:top w:w="0" w:type="dxa"/>
            <w:left w:w="108" w:type="dxa"/>
            <w:bottom w:w="0" w:type="dxa"/>
            <w:right w:w="108" w:type="dxa"/>
          </w:tblCellMar>
        </w:tblPrEx>
        <w:trPr>
          <w:trHeight w:val="347"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68F270">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nil"/>
              <w:right w:val="single" w:color="000000" w:sz="4" w:space="0"/>
            </w:tcBorders>
            <w:noWrap w:val="0"/>
            <w:vAlign w:val="center"/>
          </w:tcPr>
          <w:p w14:paraId="071C2F35">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3BA8AB91">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执行结果</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2C047626">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339BA46A">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部门预算项目预算执行情况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0DBB8D4">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7EEF525D">
            <w:pPr>
              <w:widowControl/>
              <w:spacing w:line="240" w:lineRule="exact"/>
              <w:jc w:val="left"/>
              <w:textAlignment w:val="center"/>
              <w:rPr>
                <w:rFonts w:ascii="宋体" w:hAnsi="宋体" w:eastAsia="宋体" w:cs="宋体"/>
                <w:color w:val="auto"/>
                <w:kern w:val="0"/>
                <w:sz w:val="24"/>
                <w:lang w:bidi="ar"/>
              </w:rPr>
            </w:pPr>
          </w:p>
        </w:tc>
      </w:tr>
      <w:tr w14:paraId="6429A088">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D680E0">
            <w:pPr>
              <w:widowControl/>
              <w:spacing w:line="240" w:lineRule="exact"/>
              <w:jc w:val="center"/>
              <w:rPr>
                <w:rFonts w:ascii="宋体" w:hAnsi="宋体" w:eastAsia="宋体" w:cs="宋体"/>
                <w:b/>
                <w:color w:val="auto"/>
                <w:sz w:val="24"/>
              </w:rPr>
            </w:pPr>
          </w:p>
        </w:tc>
        <w:tc>
          <w:tcPr>
            <w:tcW w:w="1296" w:type="dxa"/>
            <w:vMerge w:val="restart"/>
            <w:tcBorders>
              <w:top w:val="single" w:color="000000" w:sz="4" w:space="0"/>
              <w:left w:val="single" w:color="000000" w:sz="4" w:space="0"/>
              <w:bottom w:val="single" w:color="000000" w:sz="4" w:space="0"/>
              <w:right w:val="single" w:color="000000" w:sz="4" w:space="0"/>
            </w:tcBorders>
            <w:noWrap w:val="0"/>
            <w:vAlign w:val="center"/>
          </w:tcPr>
          <w:p w14:paraId="1B0907F8">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目标实现</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（11分）</w:t>
            </w: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23E8E92B">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目标完成</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A5E18FA">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0093A273">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部门预算项目绩效目标数量指标完成情况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360571D">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001D0C7D">
            <w:pPr>
              <w:widowControl/>
              <w:spacing w:line="240" w:lineRule="exact"/>
              <w:jc w:val="left"/>
              <w:textAlignment w:val="center"/>
              <w:rPr>
                <w:rFonts w:ascii="宋体" w:hAnsi="宋体" w:eastAsia="宋体" w:cs="宋体"/>
                <w:color w:val="auto"/>
                <w:kern w:val="0"/>
                <w:sz w:val="24"/>
                <w:lang w:bidi="ar"/>
              </w:rPr>
            </w:pPr>
          </w:p>
        </w:tc>
      </w:tr>
      <w:tr w14:paraId="6BC47480">
        <w:tblPrEx>
          <w:tblCellMar>
            <w:top w:w="0" w:type="dxa"/>
            <w:left w:w="108" w:type="dxa"/>
            <w:bottom w:w="0" w:type="dxa"/>
            <w:right w:w="108" w:type="dxa"/>
          </w:tblCellMar>
        </w:tblPrEx>
        <w:trPr>
          <w:trHeight w:val="23"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4B8E5A">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5B7B73">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794C5074">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目标偏离</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0D92099">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4</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755F8B3F">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部门预算项目绩效目标数量指标实现程度与预期目标的偏离情况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1FD5EC54">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67A717B0">
            <w:pPr>
              <w:widowControl/>
              <w:spacing w:line="240" w:lineRule="exact"/>
              <w:jc w:val="left"/>
              <w:textAlignment w:val="center"/>
              <w:rPr>
                <w:rFonts w:ascii="宋体" w:hAnsi="宋体" w:eastAsia="宋体" w:cs="宋体"/>
                <w:color w:val="auto"/>
                <w:kern w:val="0"/>
                <w:sz w:val="24"/>
                <w:lang w:bidi="ar"/>
              </w:rPr>
            </w:pPr>
          </w:p>
        </w:tc>
      </w:tr>
      <w:tr w14:paraId="0277D7A5">
        <w:tblPrEx>
          <w:tblCellMar>
            <w:top w:w="0" w:type="dxa"/>
            <w:left w:w="108" w:type="dxa"/>
            <w:bottom w:w="0" w:type="dxa"/>
            <w:right w:w="108" w:type="dxa"/>
          </w:tblCellMar>
        </w:tblPrEx>
        <w:trPr>
          <w:trHeight w:val="315" w:hRule="atLeast"/>
          <w:jc w:val="center"/>
        </w:trPr>
        <w:tc>
          <w:tcPr>
            <w:tcW w:w="100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7E284">
            <w:pPr>
              <w:widowControl/>
              <w:spacing w:line="240" w:lineRule="exact"/>
              <w:jc w:val="center"/>
              <w:rPr>
                <w:rFonts w:ascii="宋体" w:hAnsi="宋体" w:eastAsia="宋体" w:cs="宋体"/>
                <w:b/>
                <w:color w:val="auto"/>
                <w:sz w:val="24"/>
              </w:rPr>
            </w:pPr>
          </w:p>
        </w:tc>
        <w:tc>
          <w:tcPr>
            <w:tcW w:w="129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1DD07">
            <w:pPr>
              <w:widowControl/>
              <w:spacing w:line="240" w:lineRule="exact"/>
              <w:jc w:val="center"/>
              <w:rPr>
                <w:rFonts w:ascii="宋体" w:hAnsi="宋体" w:eastAsia="宋体" w:cs="宋体"/>
                <w:b/>
                <w:color w:val="auto"/>
                <w:sz w:val="24"/>
              </w:rPr>
            </w:pPr>
          </w:p>
        </w:tc>
        <w:tc>
          <w:tcPr>
            <w:tcW w:w="1831" w:type="dxa"/>
            <w:tcBorders>
              <w:top w:val="single" w:color="000000" w:sz="4" w:space="0"/>
              <w:left w:val="single" w:color="000000" w:sz="4" w:space="0"/>
              <w:bottom w:val="single" w:color="000000" w:sz="4" w:space="0"/>
              <w:right w:val="single" w:color="000000" w:sz="4" w:space="0"/>
            </w:tcBorders>
            <w:noWrap w:val="0"/>
            <w:vAlign w:val="center"/>
          </w:tcPr>
          <w:p w14:paraId="3359A09D">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实现效果</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650191D5">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3</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4EE13115">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部门预算项目绩效目标效益指标实施效果</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3AD5B4D0">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7CB4E873">
            <w:pPr>
              <w:widowControl/>
              <w:spacing w:line="240" w:lineRule="exact"/>
              <w:jc w:val="left"/>
              <w:textAlignment w:val="center"/>
              <w:rPr>
                <w:rFonts w:ascii="宋体" w:hAnsi="宋体" w:eastAsia="宋体" w:cs="宋体"/>
                <w:color w:val="auto"/>
                <w:kern w:val="0"/>
                <w:sz w:val="24"/>
                <w:lang w:bidi="ar"/>
              </w:rPr>
            </w:pPr>
          </w:p>
        </w:tc>
      </w:tr>
      <w:tr w14:paraId="3EB40FDD">
        <w:tblPrEx>
          <w:tblCellMar>
            <w:top w:w="0" w:type="dxa"/>
            <w:left w:w="108" w:type="dxa"/>
            <w:bottom w:w="0" w:type="dxa"/>
            <w:right w:w="108" w:type="dxa"/>
          </w:tblCellMar>
        </w:tblPrEx>
        <w:trPr>
          <w:trHeight w:val="493"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5FD079D0">
            <w:pPr>
              <w:widowControl/>
              <w:spacing w:line="240" w:lineRule="exact"/>
              <w:jc w:val="center"/>
              <w:textAlignment w:val="center"/>
              <w:rPr>
                <w:rFonts w:ascii="宋体" w:hAnsi="宋体" w:eastAsia="宋体" w:cs="宋体"/>
                <w:b/>
                <w:color w:val="auto"/>
                <w:sz w:val="24"/>
              </w:rPr>
            </w:pPr>
            <w:r>
              <w:rPr>
                <w:rFonts w:hint="eastAsia" w:ascii="宋体" w:hAnsi="宋体" w:eastAsia="宋体" w:cs="宋体"/>
                <w:b/>
                <w:color w:val="auto"/>
                <w:kern w:val="0"/>
                <w:sz w:val="24"/>
                <w:lang w:bidi="ar"/>
              </w:rPr>
              <w:t>扣分项</w:t>
            </w:r>
            <w:r>
              <w:rPr>
                <w:rFonts w:hint="eastAsia" w:ascii="宋体" w:hAnsi="宋体" w:eastAsia="宋体" w:cs="宋体"/>
                <w:b/>
                <w:color w:val="auto"/>
                <w:kern w:val="0"/>
                <w:sz w:val="24"/>
                <w:lang w:bidi="ar"/>
              </w:rPr>
              <w:br w:type="textWrapping"/>
            </w:r>
            <w:r>
              <w:rPr>
                <w:rFonts w:hint="eastAsia" w:ascii="宋体" w:hAnsi="宋体" w:eastAsia="宋体" w:cs="宋体"/>
                <w:b/>
                <w:color w:val="auto"/>
                <w:kern w:val="0"/>
                <w:sz w:val="24"/>
                <w:lang w:bidi="ar"/>
              </w:rPr>
              <w:t>（10分）</w:t>
            </w: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65C1A896">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被评价部门配合度</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4BAB4F2C">
            <w:pPr>
              <w:widowControl/>
              <w:spacing w:line="240" w:lineRule="exact"/>
              <w:jc w:val="center"/>
              <w:textAlignment w:val="center"/>
              <w:rPr>
                <w:rFonts w:ascii="宋体" w:hAnsi="宋体" w:eastAsia="宋体" w:cs="宋体"/>
                <w:color w:val="auto"/>
                <w:sz w:val="24"/>
              </w:rPr>
            </w:pPr>
            <w:r>
              <w:rPr>
                <w:rFonts w:hint="eastAsia" w:ascii="宋体" w:hAnsi="宋体" w:eastAsia="宋体" w:cs="宋体"/>
                <w:color w:val="auto"/>
                <w:kern w:val="0"/>
                <w:sz w:val="24"/>
                <w:lang w:bidi="ar"/>
              </w:rPr>
              <w:t>-</w:t>
            </w: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28D69050">
            <w:pPr>
              <w:widowControl/>
              <w:spacing w:line="240" w:lineRule="exact"/>
              <w:jc w:val="left"/>
              <w:textAlignment w:val="center"/>
              <w:rPr>
                <w:rFonts w:ascii="宋体" w:hAnsi="宋体" w:eastAsia="宋体" w:cs="宋体"/>
                <w:color w:val="auto"/>
                <w:sz w:val="24"/>
              </w:rPr>
            </w:pPr>
            <w:r>
              <w:rPr>
                <w:rFonts w:hint="eastAsia" w:ascii="宋体" w:hAnsi="宋体" w:eastAsia="宋体" w:cs="宋体"/>
                <w:color w:val="auto"/>
                <w:kern w:val="0"/>
                <w:sz w:val="24"/>
                <w:lang w:bidi="ar"/>
              </w:rPr>
              <w:t>被评价对象工作配合情况</w:t>
            </w: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65FFD0DA">
            <w:pPr>
              <w:widowControl/>
              <w:spacing w:line="240" w:lineRule="exact"/>
              <w:jc w:val="left"/>
              <w:textAlignment w:val="center"/>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0</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3689545E">
            <w:pPr>
              <w:widowControl/>
              <w:spacing w:line="240" w:lineRule="exact"/>
              <w:jc w:val="left"/>
              <w:textAlignment w:val="center"/>
              <w:rPr>
                <w:rFonts w:ascii="宋体" w:hAnsi="宋体" w:eastAsia="宋体" w:cs="宋体"/>
                <w:color w:val="auto"/>
                <w:kern w:val="0"/>
                <w:sz w:val="24"/>
                <w:lang w:bidi="ar"/>
              </w:rPr>
            </w:pPr>
          </w:p>
        </w:tc>
      </w:tr>
      <w:tr w14:paraId="58725E1B">
        <w:tblPrEx>
          <w:tblCellMar>
            <w:top w:w="0" w:type="dxa"/>
            <w:left w:w="108" w:type="dxa"/>
            <w:bottom w:w="0" w:type="dxa"/>
            <w:right w:w="108" w:type="dxa"/>
          </w:tblCellMar>
        </w:tblPrEx>
        <w:trPr>
          <w:trHeight w:val="347" w:hRule="atLeast"/>
          <w:jc w:val="center"/>
        </w:trPr>
        <w:tc>
          <w:tcPr>
            <w:tcW w:w="1004" w:type="dxa"/>
            <w:tcBorders>
              <w:top w:val="single" w:color="000000" w:sz="4" w:space="0"/>
              <w:left w:val="single" w:color="000000" w:sz="4" w:space="0"/>
              <w:bottom w:val="single" w:color="000000" w:sz="4" w:space="0"/>
              <w:right w:val="single" w:color="000000" w:sz="4" w:space="0"/>
            </w:tcBorders>
            <w:noWrap w:val="0"/>
            <w:vAlign w:val="center"/>
          </w:tcPr>
          <w:p w14:paraId="5A889E72">
            <w:pPr>
              <w:widowControl/>
              <w:spacing w:line="240" w:lineRule="exact"/>
              <w:jc w:val="center"/>
              <w:textAlignment w:val="center"/>
              <w:rPr>
                <w:rFonts w:hint="eastAsia" w:ascii="宋体" w:hAnsi="宋体" w:eastAsia="宋体" w:cs="宋体"/>
                <w:b/>
                <w:color w:val="auto"/>
                <w:kern w:val="0"/>
                <w:sz w:val="24"/>
                <w:lang w:bidi="ar"/>
              </w:rPr>
            </w:pPr>
          </w:p>
        </w:tc>
        <w:tc>
          <w:tcPr>
            <w:tcW w:w="3127" w:type="dxa"/>
            <w:gridSpan w:val="2"/>
            <w:tcBorders>
              <w:top w:val="single" w:color="000000" w:sz="4" w:space="0"/>
              <w:left w:val="single" w:color="000000" w:sz="4" w:space="0"/>
              <w:bottom w:val="single" w:color="000000" w:sz="4" w:space="0"/>
              <w:right w:val="single" w:color="000000" w:sz="4" w:space="0"/>
            </w:tcBorders>
            <w:noWrap w:val="0"/>
            <w:vAlign w:val="center"/>
          </w:tcPr>
          <w:p w14:paraId="2E8057F9">
            <w:pPr>
              <w:widowControl/>
              <w:tabs>
                <w:tab w:val="left" w:pos="879"/>
              </w:tabs>
              <w:spacing w:line="240" w:lineRule="exact"/>
              <w:jc w:val="left"/>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eastAsia="zh-CN" w:bidi="ar"/>
              </w:rPr>
              <w:tab/>
            </w:r>
            <w:r>
              <w:rPr>
                <w:rFonts w:hint="eastAsia" w:ascii="宋体" w:hAnsi="宋体" w:eastAsia="宋体" w:cs="宋体"/>
                <w:color w:val="auto"/>
                <w:kern w:val="0"/>
                <w:sz w:val="24"/>
                <w:lang w:val="en-US" w:eastAsia="zh-CN" w:bidi="ar"/>
              </w:rPr>
              <w:t>合计</w:t>
            </w:r>
          </w:p>
        </w:tc>
        <w:tc>
          <w:tcPr>
            <w:tcW w:w="603" w:type="dxa"/>
            <w:tcBorders>
              <w:top w:val="single" w:color="000000" w:sz="4" w:space="0"/>
              <w:left w:val="single" w:color="000000" w:sz="4" w:space="0"/>
              <w:bottom w:val="single" w:color="000000" w:sz="4" w:space="0"/>
              <w:right w:val="single" w:color="000000" w:sz="4" w:space="0"/>
            </w:tcBorders>
            <w:noWrap w:val="0"/>
            <w:vAlign w:val="center"/>
          </w:tcPr>
          <w:p w14:paraId="711332C7">
            <w:pPr>
              <w:widowControl/>
              <w:spacing w:line="240" w:lineRule="exact"/>
              <w:jc w:val="center"/>
              <w:textAlignment w:val="center"/>
              <w:rPr>
                <w:rFonts w:hint="eastAsia" w:ascii="宋体" w:hAnsi="宋体" w:eastAsia="宋体" w:cs="宋体"/>
                <w:color w:val="auto"/>
                <w:kern w:val="0"/>
                <w:sz w:val="24"/>
                <w:lang w:bidi="ar"/>
              </w:rPr>
            </w:pPr>
          </w:p>
        </w:tc>
        <w:tc>
          <w:tcPr>
            <w:tcW w:w="5241" w:type="dxa"/>
            <w:tcBorders>
              <w:top w:val="single" w:color="000000" w:sz="4" w:space="0"/>
              <w:left w:val="single" w:color="000000" w:sz="4" w:space="0"/>
              <w:bottom w:val="single" w:color="000000" w:sz="4" w:space="0"/>
              <w:right w:val="single" w:color="000000" w:sz="4" w:space="0"/>
            </w:tcBorders>
            <w:noWrap w:val="0"/>
            <w:vAlign w:val="center"/>
          </w:tcPr>
          <w:p w14:paraId="08E13AFB">
            <w:pPr>
              <w:widowControl/>
              <w:spacing w:line="240" w:lineRule="exact"/>
              <w:jc w:val="left"/>
              <w:textAlignment w:val="center"/>
              <w:rPr>
                <w:rFonts w:hint="eastAsia" w:ascii="宋体" w:hAnsi="宋体" w:eastAsia="宋体" w:cs="宋体"/>
                <w:color w:val="auto"/>
                <w:kern w:val="0"/>
                <w:sz w:val="24"/>
                <w:lang w:bidi="ar"/>
              </w:rPr>
            </w:pPr>
          </w:p>
        </w:tc>
        <w:tc>
          <w:tcPr>
            <w:tcW w:w="500" w:type="dxa"/>
            <w:tcBorders>
              <w:top w:val="single" w:color="000000" w:sz="4" w:space="0"/>
              <w:left w:val="single" w:color="000000" w:sz="4" w:space="0"/>
              <w:bottom w:val="single" w:color="000000" w:sz="4" w:space="0"/>
              <w:right w:val="single" w:color="000000" w:sz="4" w:space="0"/>
            </w:tcBorders>
            <w:noWrap w:val="0"/>
            <w:vAlign w:val="center"/>
          </w:tcPr>
          <w:p w14:paraId="43753110">
            <w:pPr>
              <w:widowControl/>
              <w:spacing w:line="240" w:lineRule="exact"/>
              <w:jc w:val="left"/>
              <w:textAlignment w:val="center"/>
              <w:rPr>
                <w:rFonts w:hint="default"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95</w:t>
            </w:r>
          </w:p>
        </w:tc>
        <w:tc>
          <w:tcPr>
            <w:tcW w:w="344" w:type="dxa"/>
            <w:tcBorders>
              <w:top w:val="single" w:color="000000" w:sz="4" w:space="0"/>
              <w:left w:val="single" w:color="000000" w:sz="4" w:space="0"/>
              <w:bottom w:val="single" w:color="000000" w:sz="4" w:space="0"/>
              <w:right w:val="single" w:color="000000" w:sz="4" w:space="0"/>
            </w:tcBorders>
            <w:noWrap w:val="0"/>
            <w:vAlign w:val="center"/>
          </w:tcPr>
          <w:p w14:paraId="4E8AB31A">
            <w:pPr>
              <w:widowControl/>
              <w:spacing w:line="240" w:lineRule="exact"/>
              <w:jc w:val="left"/>
              <w:textAlignment w:val="center"/>
              <w:rPr>
                <w:rFonts w:ascii="宋体" w:hAnsi="宋体" w:eastAsia="宋体" w:cs="宋体"/>
                <w:color w:val="auto"/>
                <w:kern w:val="0"/>
                <w:sz w:val="24"/>
                <w:lang w:bidi="ar"/>
              </w:rPr>
            </w:pPr>
          </w:p>
        </w:tc>
      </w:tr>
    </w:tbl>
    <w:p w14:paraId="09951830">
      <w:pPr>
        <w:spacing w:line="578" w:lineRule="exact"/>
        <w:jc w:val="left"/>
        <w:rPr>
          <w:rFonts w:eastAsia="黑体"/>
          <w:color w:val="0070C0"/>
        </w:rPr>
      </w:pPr>
    </w:p>
    <w:p w14:paraId="11BF990F">
      <w:pPr>
        <w:keepNext w:val="0"/>
        <w:keepLines w:val="0"/>
        <w:pageBreakBefore w:val="0"/>
        <w:widowControl/>
        <w:kinsoku/>
        <w:wordWrap/>
        <w:overflowPunct/>
        <w:topLinePunct w:val="0"/>
        <w:autoSpaceDE/>
        <w:autoSpaceDN/>
        <w:bidi w:val="0"/>
        <w:adjustRightInd/>
        <w:snapToGrid/>
        <w:spacing w:line="560" w:lineRule="exact"/>
        <w:ind w:firstLine="640" w:firstLineChars="200"/>
        <w:contextualSpacing/>
        <w:jc w:val="left"/>
        <w:textAlignment w:val="auto"/>
        <w:rPr>
          <w:rFonts w:hint="default" w:ascii="Times New Roman" w:hAnsi="Times New Roman" w:eastAsia="方正仿宋_GBK" w:cs="Times New Roman"/>
          <w:kern w:val="2"/>
          <w:sz w:val="32"/>
          <w:szCs w:val="32"/>
          <w:lang w:val="zh-CN" w:eastAsia="zh-CN" w:bidi="ar-SA"/>
        </w:rPr>
      </w:pPr>
      <w:r>
        <w:rPr>
          <w:rFonts w:hint="default" w:ascii="Times New Roman" w:hAnsi="Times New Roman" w:eastAsia="方正仿宋_GBK" w:cs="Times New Roman"/>
          <w:kern w:val="2"/>
          <w:sz w:val="32"/>
          <w:szCs w:val="32"/>
          <w:lang w:val="zh-CN" w:eastAsia="zh-CN" w:bidi="ar-SA"/>
        </w:rPr>
        <w:t>附表</w:t>
      </w:r>
      <w:r>
        <w:rPr>
          <w:rFonts w:hint="eastAsia" w:ascii="Times New Roman" w:hAnsi="Times New Roman" w:eastAsia="方正仿宋_GBK" w:cs="Times New Roman"/>
          <w:kern w:val="2"/>
          <w:sz w:val="32"/>
          <w:szCs w:val="32"/>
          <w:lang w:val="zh-CN" w:eastAsia="zh-CN" w:bidi="ar-SA"/>
        </w:rPr>
        <w:t>2</w:t>
      </w:r>
    </w:p>
    <w:tbl>
      <w:tblPr>
        <w:tblStyle w:val="17"/>
        <w:tblW w:w="10560" w:type="dxa"/>
        <w:jc w:val="center"/>
        <w:tblLayout w:type="fixed"/>
        <w:tblCellMar>
          <w:top w:w="15" w:type="dxa"/>
          <w:left w:w="15" w:type="dxa"/>
          <w:bottom w:w="15" w:type="dxa"/>
          <w:right w:w="15" w:type="dxa"/>
        </w:tblCellMar>
      </w:tblPr>
      <w:tblGrid>
        <w:gridCol w:w="1308"/>
        <w:gridCol w:w="1347"/>
        <w:gridCol w:w="1273"/>
        <w:gridCol w:w="1100"/>
        <w:gridCol w:w="1145"/>
        <w:gridCol w:w="1289"/>
        <w:gridCol w:w="1058"/>
        <w:gridCol w:w="2040"/>
      </w:tblGrid>
      <w:tr w14:paraId="29BCC34A">
        <w:trPr>
          <w:trHeight w:val="762" w:hRule="exact"/>
          <w:jc w:val="center"/>
        </w:trPr>
        <w:tc>
          <w:tcPr>
            <w:tcW w:w="10560" w:type="dxa"/>
            <w:gridSpan w:val="8"/>
            <w:noWrap w:val="0"/>
            <w:vAlign w:val="center"/>
          </w:tcPr>
          <w:p w14:paraId="7E1D1BCF">
            <w:pPr>
              <w:widowControl/>
              <w:spacing w:line="600" w:lineRule="exact"/>
              <w:jc w:val="center"/>
              <w:textAlignment w:val="center"/>
              <w:rPr>
                <w:rFonts w:eastAsia="黑体"/>
                <w:color w:val="auto"/>
                <w:sz w:val="28"/>
                <w:szCs w:val="28"/>
              </w:rPr>
            </w:pPr>
            <w:r>
              <w:rPr>
                <w:rFonts w:eastAsia="方正小标宋简体"/>
                <w:color w:val="auto"/>
                <w:kern w:val="0"/>
                <w:sz w:val="44"/>
                <w:szCs w:val="44"/>
                <w:lang w:bidi="ar"/>
              </w:rPr>
              <w:t>部门整体绩效目标完成情况自评表</w:t>
            </w:r>
          </w:p>
        </w:tc>
      </w:tr>
      <w:tr w14:paraId="15109D42">
        <w:tblPrEx>
          <w:tblCellMar>
            <w:top w:w="15" w:type="dxa"/>
            <w:left w:w="15" w:type="dxa"/>
            <w:bottom w:w="15" w:type="dxa"/>
            <w:right w:w="15" w:type="dxa"/>
          </w:tblCellMar>
        </w:tblPrEx>
        <w:trPr>
          <w:trHeight w:val="23" w:hRule="atLeast"/>
          <w:jc w:val="center"/>
        </w:trPr>
        <w:tc>
          <w:tcPr>
            <w:tcW w:w="10560" w:type="dxa"/>
            <w:gridSpan w:val="8"/>
            <w:noWrap w:val="0"/>
            <w:vAlign w:val="center"/>
          </w:tcPr>
          <w:p w14:paraId="7BBFF36B">
            <w:pPr>
              <w:widowControl/>
              <w:spacing w:line="300" w:lineRule="exact"/>
              <w:jc w:val="center"/>
              <w:textAlignment w:val="center"/>
              <w:rPr>
                <w:rFonts w:eastAsia="宋体"/>
                <w:color w:val="auto"/>
                <w:sz w:val="28"/>
                <w:szCs w:val="28"/>
              </w:rPr>
            </w:pPr>
            <w:r>
              <w:rPr>
                <w:rFonts w:eastAsia="宋体"/>
                <w:color w:val="auto"/>
                <w:kern w:val="0"/>
                <w:sz w:val="28"/>
                <w:szCs w:val="28"/>
                <w:lang w:bidi="ar"/>
              </w:rPr>
              <w:t>（202</w:t>
            </w:r>
            <w:r>
              <w:rPr>
                <w:rFonts w:hint="eastAsia" w:eastAsia="宋体"/>
                <w:color w:val="auto"/>
                <w:kern w:val="0"/>
                <w:sz w:val="28"/>
                <w:szCs w:val="28"/>
                <w:lang w:val="en-US" w:eastAsia="zh-CN" w:bidi="ar"/>
              </w:rPr>
              <w:t>5</w:t>
            </w:r>
            <w:r>
              <w:rPr>
                <w:rFonts w:eastAsia="宋体"/>
                <w:color w:val="auto"/>
                <w:kern w:val="0"/>
                <w:sz w:val="28"/>
                <w:szCs w:val="28"/>
                <w:lang w:bidi="ar"/>
              </w:rPr>
              <w:t>年度）</w:t>
            </w:r>
          </w:p>
        </w:tc>
      </w:tr>
      <w:tr w14:paraId="20A42E53">
        <w:tblPrEx>
          <w:tblCellMar>
            <w:top w:w="15" w:type="dxa"/>
            <w:left w:w="15" w:type="dxa"/>
            <w:bottom w:w="15" w:type="dxa"/>
            <w:right w:w="15" w:type="dxa"/>
          </w:tblCellMar>
        </w:tblPrEx>
        <w:trPr>
          <w:trHeight w:val="23" w:hRule="atLeast"/>
          <w:jc w:val="center"/>
        </w:trPr>
        <w:tc>
          <w:tcPr>
            <w:tcW w:w="10560" w:type="dxa"/>
            <w:gridSpan w:val="8"/>
            <w:tcBorders>
              <w:bottom w:val="single" w:color="000000" w:sz="4" w:space="0"/>
            </w:tcBorders>
            <w:noWrap w:val="0"/>
            <w:vAlign w:val="center"/>
          </w:tcPr>
          <w:p w14:paraId="5A8159AB">
            <w:pPr>
              <w:widowControl/>
              <w:spacing w:line="300" w:lineRule="exact"/>
              <w:jc w:val="right"/>
              <w:textAlignment w:val="center"/>
              <w:rPr>
                <w:rFonts w:eastAsia="宋体"/>
                <w:color w:val="auto"/>
                <w:sz w:val="21"/>
                <w:szCs w:val="21"/>
              </w:rPr>
            </w:pPr>
            <w:r>
              <w:rPr>
                <w:rFonts w:eastAsia="宋体"/>
                <w:color w:val="auto"/>
                <w:kern w:val="0"/>
                <w:sz w:val="21"/>
                <w:szCs w:val="21"/>
                <w:lang w:bidi="ar"/>
              </w:rPr>
              <w:t>单位：万元</w:t>
            </w:r>
          </w:p>
        </w:tc>
      </w:tr>
      <w:tr w14:paraId="4AD6F843">
        <w:tblPrEx>
          <w:tblCellMar>
            <w:top w:w="15" w:type="dxa"/>
            <w:left w:w="15" w:type="dxa"/>
            <w:bottom w:w="15" w:type="dxa"/>
            <w:right w:w="15" w:type="dxa"/>
          </w:tblCellMar>
        </w:tblPrEx>
        <w:trPr>
          <w:trHeight w:val="23" w:hRule="atLeast"/>
          <w:jc w:val="center"/>
        </w:trPr>
        <w:tc>
          <w:tcPr>
            <w:tcW w:w="3928" w:type="dxa"/>
            <w:gridSpan w:val="3"/>
            <w:tcBorders>
              <w:top w:val="single" w:color="000000" w:sz="4" w:space="0"/>
              <w:left w:val="single" w:color="000000" w:sz="4" w:space="0"/>
              <w:bottom w:val="single" w:color="000000" w:sz="4" w:space="0"/>
              <w:right w:val="single" w:color="000000" w:sz="4" w:space="0"/>
            </w:tcBorders>
            <w:noWrap w:val="0"/>
            <w:vAlign w:val="center"/>
          </w:tcPr>
          <w:p w14:paraId="12AEF3C9">
            <w:pPr>
              <w:widowControl/>
              <w:spacing w:line="300" w:lineRule="exact"/>
              <w:jc w:val="center"/>
              <w:textAlignment w:val="center"/>
              <w:rPr>
                <w:rFonts w:eastAsia="宋体"/>
                <w:color w:val="auto"/>
                <w:sz w:val="24"/>
              </w:rPr>
            </w:pPr>
            <w:r>
              <w:rPr>
                <w:rFonts w:eastAsia="宋体"/>
                <w:color w:val="auto"/>
                <w:kern w:val="0"/>
                <w:sz w:val="24"/>
                <w:lang w:bidi="ar"/>
              </w:rPr>
              <w:t>部门名称</w:t>
            </w:r>
          </w:p>
        </w:tc>
        <w:tc>
          <w:tcPr>
            <w:tcW w:w="6632" w:type="dxa"/>
            <w:gridSpan w:val="5"/>
            <w:tcBorders>
              <w:top w:val="single" w:color="000000" w:sz="4" w:space="0"/>
              <w:left w:val="single" w:color="000000" w:sz="4" w:space="0"/>
              <w:bottom w:val="single" w:color="000000" w:sz="4" w:space="0"/>
              <w:right w:val="single" w:color="000000" w:sz="4" w:space="0"/>
            </w:tcBorders>
            <w:noWrap w:val="0"/>
            <w:vAlign w:val="center"/>
          </w:tcPr>
          <w:p w14:paraId="68CA690F">
            <w:pPr>
              <w:widowControl/>
              <w:spacing w:line="300" w:lineRule="exact"/>
              <w:jc w:val="center"/>
              <w:textAlignment w:val="center"/>
              <w:rPr>
                <w:rFonts w:hint="default" w:eastAsia="宋体"/>
                <w:color w:val="auto"/>
                <w:sz w:val="24"/>
                <w:lang w:val="en-US" w:eastAsia="zh-CN"/>
              </w:rPr>
            </w:pPr>
            <w:r>
              <w:rPr>
                <w:rFonts w:hint="eastAsia" w:eastAsia="宋体"/>
                <w:color w:val="auto"/>
                <w:kern w:val="0"/>
                <w:sz w:val="24"/>
                <w:lang w:val="en-US" w:eastAsia="zh-CN" w:bidi="ar"/>
              </w:rPr>
              <w:t>攀枝花市仁和区经济合作局</w:t>
            </w:r>
          </w:p>
        </w:tc>
      </w:tr>
      <w:tr w14:paraId="14551C16">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1C95B63C">
            <w:pPr>
              <w:widowControl/>
              <w:spacing w:line="300" w:lineRule="exact"/>
              <w:jc w:val="center"/>
              <w:textAlignment w:val="center"/>
              <w:rPr>
                <w:rFonts w:eastAsia="宋体"/>
                <w:color w:val="auto"/>
                <w:sz w:val="24"/>
              </w:rPr>
            </w:pPr>
            <w:r>
              <w:rPr>
                <w:rFonts w:eastAsia="宋体"/>
                <w:color w:val="auto"/>
                <w:kern w:val="0"/>
                <w:sz w:val="24"/>
                <w:lang w:bidi="ar"/>
              </w:rPr>
              <w:t>年度部门整体支出预算</w:t>
            </w: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53DDB756">
            <w:pPr>
              <w:widowControl/>
              <w:spacing w:line="300" w:lineRule="exact"/>
              <w:jc w:val="center"/>
              <w:textAlignment w:val="center"/>
              <w:rPr>
                <w:rFonts w:eastAsia="宋体"/>
                <w:color w:val="auto"/>
                <w:sz w:val="24"/>
              </w:rPr>
            </w:pPr>
            <w:r>
              <w:rPr>
                <w:rFonts w:eastAsia="宋体"/>
                <w:color w:val="auto"/>
                <w:kern w:val="0"/>
                <w:sz w:val="24"/>
                <w:lang w:bidi="ar"/>
              </w:rPr>
              <w:t>资金总额</w:t>
            </w:r>
          </w:p>
        </w:tc>
        <w:tc>
          <w:tcPr>
            <w:tcW w:w="2245" w:type="dxa"/>
            <w:gridSpan w:val="2"/>
            <w:tcBorders>
              <w:top w:val="single" w:color="000000" w:sz="4" w:space="0"/>
              <w:left w:val="single" w:color="000000" w:sz="4" w:space="0"/>
              <w:bottom w:val="single" w:color="000000" w:sz="4" w:space="0"/>
              <w:right w:val="single" w:color="000000" w:sz="4" w:space="0"/>
            </w:tcBorders>
            <w:noWrap w:val="0"/>
            <w:vAlign w:val="center"/>
          </w:tcPr>
          <w:p w14:paraId="5347C93D">
            <w:pPr>
              <w:widowControl/>
              <w:spacing w:line="300" w:lineRule="exact"/>
              <w:jc w:val="center"/>
              <w:textAlignment w:val="center"/>
              <w:rPr>
                <w:rFonts w:eastAsia="宋体"/>
                <w:color w:val="auto"/>
                <w:sz w:val="24"/>
              </w:rPr>
            </w:pPr>
            <w:r>
              <w:rPr>
                <w:rFonts w:eastAsia="宋体"/>
                <w:color w:val="auto"/>
                <w:kern w:val="0"/>
                <w:sz w:val="24"/>
                <w:lang w:bidi="ar"/>
              </w:rPr>
              <w:t>财政拨款</w:t>
            </w:r>
          </w:p>
        </w:tc>
        <w:tc>
          <w:tcPr>
            <w:tcW w:w="4387" w:type="dxa"/>
            <w:gridSpan w:val="3"/>
            <w:tcBorders>
              <w:top w:val="single" w:color="000000" w:sz="4" w:space="0"/>
              <w:left w:val="single" w:color="000000" w:sz="4" w:space="0"/>
              <w:bottom w:val="single" w:color="000000" w:sz="4" w:space="0"/>
              <w:right w:val="single" w:color="000000" w:sz="4" w:space="0"/>
            </w:tcBorders>
            <w:noWrap w:val="0"/>
            <w:vAlign w:val="center"/>
          </w:tcPr>
          <w:p w14:paraId="34D303D8">
            <w:pPr>
              <w:widowControl/>
              <w:spacing w:line="300" w:lineRule="exact"/>
              <w:jc w:val="center"/>
              <w:textAlignment w:val="center"/>
              <w:rPr>
                <w:rFonts w:eastAsia="宋体"/>
                <w:color w:val="auto"/>
                <w:sz w:val="24"/>
              </w:rPr>
            </w:pPr>
            <w:r>
              <w:rPr>
                <w:rFonts w:eastAsia="宋体"/>
                <w:color w:val="auto"/>
                <w:kern w:val="0"/>
                <w:sz w:val="24"/>
                <w:lang w:bidi="ar"/>
              </w:rPr>
              <w:t>其他资金</w:t>
            </w:r>
          </w:p>
        </w:tc>
      </w:tr>
      <w:tr w14:paraId="3D17F04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9110B">
            <w:pPr>
              <w:widowControl/>
              <w:spacing w:line="300" w:lineRule="exact"/>
              <w:jc w:val="center"/>
              <w:rPr>
                <w:rFonts w:eastAsia="宋体"/>
                <w:color w:val="auto"/>
                <w:sz w:val="24"/>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5EB26160">
            <w:pPr>
              <w:widowControl/>
              <w:spacing w:line="300" w:lineRule="exact"/>
              <w:jc w:val="center"/>
              <w:textAlignment w:val="center"/>
              <w:rPr>
                <w:rFonts w:hint="default" w:eastAsia="宋体"/>
                <w:color w:val="auto"/>
                <w:kern w:val="0"/>
                <w:sz w:val="24"/>
                <w:lang w:val="en-US" w:eastAsia="zh-CN" w:bidi="ar"/>
              </w:rPr>
            </w:pPr>
            <w:r>
              <w:rPr>
                <w:rFonts w:hint="eastAsia" w:eastAsia="宋体"/>
                <w:color w:val="auto"/>
                <w:kern w:val="0"/>
                <w:sz w:val="24"/>
                <w:lang w:val="en-US" w:eastAsia="zh-CN" w:bidi="ar"/>
              </w:rPr>
              <w:t>2248.22</w:t>
            </w:r>
          </w:p>
        </w:tc>
        <w:tc>
          <w:tcPr>
            <w:tcW w:w="2245" w:type="dxa"/>
            <w:gridSpan w:val="2"/>
            <w:tcBorders>
              <w:top w:val="single" w:color="000000" w:sz="4" w:space="0"/>
              <w:left w:val="single" w:color="000000" w:sz="4" w:space="0"/>
              <w:bottom w:val="single" w:color="000000" w:sz="4" w:space="0"/>
              <w:right w:val="single" w:color="000000" w:sz="4" w:space="0"/>
            </w:tcBorders>
            <w:noWrap w:val="0"/>
            <w:vAlign w:val="center"/>
          </w:tcPr>
          <w:p w14:paraId="5CF79682">
            <w:pPr>
              <w:widowControl/>
              <w:spacing w:line="300" w:lineRule="exact"/>
              <w:jc w:val="center"/>
              <w:textAlignment w:val="center"/>
              <w:rPr>
                <w:rFonts w:hint="default" w:eastAsia="宋体"/>
                <w:color w:val="auto"/>
                <w:kern w:val="0"/>
                <w:sz w:val="24"/>
                <w:lang w:val="en-US" w:eastAsia="zh-CN" w:bidi="ar"/>
              </w:rPr>
            </w:pPr>
            <w:r>
              <w:rPr>
                <w:rFonts w:hint="eastAsia" w:eastAsia="宋体"/>
                <w:color w:val="auto"/>
                <w:kern w:val="0"/>
                <w:sz w:val="24"/>
                <w:lang w:val="en-US" w:eastAsia="zh-CN" w:bidi="ar"/>
              </w:rPr>
              <w:t>2248.22</w:t>
            </w:r>
          </w:p>
        </w:tc>
        <w:tc>
          <w:tcPr>
            <w:tcW w:w="4387" w:type="dxa"/>
            <w:gridSpan w:val="3"/>
            <w:tcBorders>
              <w:top w:val="single" w:color="000000" w:sz="4" w:space="0"/>
              <w:left w:val="single" w:color="000000" w:sz="4" w:space="0"/>
              <w:bottom w:val="single" w:color="000000" w:sz="4" w:space="0"/>
              <w:right w:val="single" w:color="000000" w:sz="4" w:space="0"/>
            </w:tcBorders>
            <w:noWrap w:val="0"/>
            <w:vAlign w:val="center"/>
          </w:tcPr>
          <w:p w14:paraId="316FEC59">
            <w:pPr>
              <w:widowControl/>
              <w:spacing w:line="300" w:lineRule="exact"/>
              <w:jc w:val="center"/>
              <w:textAlignment w:val="center"/>
              <w:rPr>
                <w:rFonts w:hint="eastAsia" w:eastAsia="宋体"/>
                <w:color w:val="auto"/>
                <w:sz w:val="24"/>
                <w:lang w:eastAsia="zh-CN"/>
              </w:rPr>
            </w:pPr>
            <w:r>
              <w:rPr>
                <w:rFonts w:hint="eastAsia" w:eastAsia="宋体"/>
                <w:color w:val="auto"/>
                <w:kern w:val="0"/>
                <w:sz w:val="24"/>
                <w:lang w:val="en-US" w:eastAsia="zh-CN" w:bidi="ar"/>
              </w:rPr>
              <w:t>0</w:t>
            </w:r>
          </w:p>
        </w:tc>
      </w:tr>
      <w:tr w14:paraId="4F90A6E1">
        <w:tblPrEx>
          <w:tblCellMar>
            <w:top w:w="15" w:type="dxa"/>
            <w:left w:w="15" w:type="dxa"/>
            <w:bottom w:w="15" w:type="dxa"/>
            <w:right w:w="15" w:type="dxa"/>
          </w:tblCellMar>
        </w:tblPrEx>
        <w:trPr>
          <w:trHeight w:val="23" w:hRule="atLeast"/>
          <w:jc w:val="center"/>
        </w:trPr>
        <w:tc>
          <w:tcPr>
            <w:tcW w:w="1308" w:type="dxa"/>
            <w:tcBorders>
              <w:top w:val="single" w:color="000000" w:sz="4" w:space="0"/>
              <w:left w:val="single" w:color="000000" w:sz="4" w:space="0"/>
              <w:bottom w:val="single" w:color="000000" w:sz="4" w:space="0"/>
              <w:right w:val="single" w:color="000000" w:sz="4" w:space="0"/>
            </w:tcBorders>
            <w:noWrap w:val="0"/>
            <w:vAlign w:val="center"/>
          </w:tcPr>
          <w:p w14:paraId="7719E2E9">
            <w:pPr>
              <w:widowControl/>
              <w:spacing w:line="300" w:lineRule="exact"/>
              <w:jc w:val="center"/>
              <w:textAlignment w:val="center"/>
              <w:rPr>
                <w:rFonts w:eastAsia="宋体"/>
                <w:color w:val="auto"/>
                <w:kern w:val="0"/>
                <w:sz w:val="24"/>
                <w:lang w:bidi="ar"/>
              </w:rPr>
            </w:pPr>
            <w:r>
              <w:rPr>
                <w:rFonts w:eastAsia="宋体"/>
                <w:color w:val="auto"/>
                <w:kern w:val="0"/>
                <w:sz w:val="24"/>
                <w:lang w:bidi="ar"/>
              </w:rPr>
              <w:t>年度总体</w:t>
            </w:r>
          </w:p>
          <w:p w14:paraId="35436EA3">
            <w:pPr>
              <w:widowControl/>
              <w:spacing w:line="300" w:lineRule="exact"/>
              <w:jc w:val="center"/>
              <w:textAlignment w:val="center"/>
              <w:rPr>
                <w:rFonts w:eastAsia="宋体"/>
                <w:color w:val="auto"/>
                <w:sz w:val="24"/>
              </w:rPr>
            </w:pPr>
            <w:r>
              <w:rPr>
                <w:rFonts w:eastAsia="宋体"/>
                <w:color w:val="auto"/>
                <w:kern w:val="0"/>
                <w:sz w:val="24"/>
                <w:lang w:bidi="ar"/>
              </w:rPr>
              <w:t>目标</w:t>
            </w:r>
          </w:p>
        </w:tc>
        <w:tc>
          <w:tcPr>
            <w:tcW w:w="9252" w:type="dxa"/>
            <w:gridSpan w:val="7"/>
            <w:tcBorders>
              <w:top w:val="single" w:color="000000" w:sz="4" w:space="0"/>
              <w:left w:val="single" w:color="000000" w:sz="4" w:space="0"/>
              <w:bottom w:val="single" w:color="000000" w:sz="4" w:space="0"/>
              <w:right w:val="single" w:color="000000" w:sz="4" w:space="0"/>
            </w:tcBorders>
            <w:noWrap w:val="0"/>
            <w:vAlign w:val="center"/>
          </w:tcPr>
          <w:p w14:paraId="77F9D521">
            <w:pPr>
              <w:widowControl/>
              <w:spacing w:line="300" w:lineRule="exact"/>
              <w:jc w:val="left"/>
              <w:textAlignment w:val="center"/>
              <w:rPr>
                <w:rFonts w:hint="eastAsia" w:eastAsia="宋体"/>
                <w:color w:val="auto"/>
                <w:sz w:val="24"/>
                <w:lang w:val="en-US" w:eastAsia="zh-CN"/>
              </w:rPr>
            </w:pPr>
            <w:r>
              <w:rPr>
                <w:rFonts w:hint="eastAsia" w:eastAsia="宋体"/>
                <w:color w:val="auto"/>
                <w:sz w:val="24"/>
              </w:rPr>
              <w:t>目标1：保障我单位在职人员的工资发放及机构的正常运转；目标2：全力确保完成各项经济指标任务；目标3：</w:t>
            </w:r>
            <w:r>
              <w:rPr>
                <w:rFonts w:hint="eastAsia" w:eastAsia="宋体"/>
                <w:color w:val="auto"/>
                <w:kern w:val="0"/>
                <w:sz w:val="24"/>
                <w:lang w:bidi="ar"/>
              </w:rPr>
              <w:t>围绕补链、强链、扩链目标，坚持招大、引强、选优并举，不断创新招商方式，促进招商机制进一步完善，营商环境更加优化，项目招引质效明显提升。</w:t>
            </w:r>
            <w:r>
              <w:rPr>
                <w:rFonts w:hint="eastAsia" w:eastAsia="宋体"/>
                <w:color w:val="auto"/>
                <w:sz w:val="24"/>
              </w:rPr>
              <w:t>加快项目招引，推进项目建设，助推产业发展。</w:t>
            </w:r>
          </w:p>
        </w:tc>
      </w:tr>
      <w:tr w14:paraId="35E7A613">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0BC1B38D">
            <w:pPr>
              <w:widowControl/>
              <w:spacing w:line="300" w:lineRule="exact"/>
              <w:jc w:val="center"/>
              <w:textAlignment w:val="center"/>
              <w:rPr>
                <w:rFonts w:eastAsia="宋体"/>
                <w:color w:val="auto"/>
                <w:kern w:val="0"/>
                <w:sz w:val="24"/>
                <w:lang w:bidi="ar"/>
              </w:rPr>
            </w:pPr>
            <w:r>
              <w:rPr>
                <w:rFonts w:eastAsia="宋体"/>
                <w:color w:val="auto"/>
                <w:kern w:val="0"/>
                <w:sz w:val="24"/>
                <w:lang w:bidi="ar"/>
              </w:rPr>
              <w:t>年度主要</w:t>
            </w:r>
          </w:p>
          <w:p w14:paraId="24C373B2">
            <w:pPr>
              <w:widowControl/>
              <w:spacing w:line="300" w:lineRule="exact"/>
              <w:jc w:val="center"/>
              <w:textAlignment w:val="center"/>
              <w:rPr>
                <w:rFonts w:eastAsia="宋体"/>
                <w:color w:val="auto"/>
                <w:sz w:val="24"/>
              </w:rPr>
            </w:pPr>
            <w:r>
              <w:rPr>
                <w:rFonts w:eastAsia="宋体"/>
                <w:color w:val="auto"/>
                <w:kern w:val="0"/>
                <w:sz w:val="24"/>
                <w:lang w:bidi="ar"/>
              </w:rPr>
              <w:t>任务</w:t>
            </w: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1BE438EC">
            <w:pPr>
              <w:widowControl/>
              <w:spacing w:line="300" w:lineRule="exact"/>
              <w:jc w:val="center"/>
              <w:textAlignment w:val="center"/>
              <w:rPr>
                <w:rFonts w:eastAsia="宋体"/>
                <w:color w:val="auto"/>
                <w:sz w:val="24"/>
              </w:rPr>
            </w:pPr>
            <w:r>
              <w:rPr>
                <w:rFonts w:eastAsia="宋体"/>
                <w:color w:val="auto"/>
                <w:kern w:val="0"/>
                <w:sz w:val="24"/>
                <w:lang w:bidi="ar"/>
              </w:rPr>
              <w:t>任务名称</w:t>
            </w:r>
          </w:p>
        </w:tc>
        <w:tc>
          <w:tcPr>
            <w:tcW w:w="6632" w:type="dxa"/>
            <w:gridSpan w:val="5"/>
            <w:tcBorders>
              <w:top w:val="single" w:color="000000" w:sz="4" w:space="0"/>
              <w:left w:val="single" w:color="000000" w:sz="4" w:space="0"/>
              <w:bottom w:val="single" w:color="000000" w:sz="4" w:space="0"/>
              <w:right w:val="single" w:color="000000" w:sz="4" w:space="0"/>
            </w:tcBorders>
            <w:noWrap w:val="0"/>
            <w:vAlign w:val="center"/>
          </w:tcPr>
          <w:p w14:paraId="66A68565">
            <w:pPr>
              <w:widowControl/>
              <w:spacing w:line="300" w:lineRule="exact"/>
              <w:jc w:val="center"/>
              <w:textAlignment w:val="center"/>
              <w:rPr>
                <w:rFonts w:hint="default" w:eastAsia="宋体"/>
                <w:color w:val="auto"/>
                <w:sz w:val="24"/>
                <w:lang w:val="en-US" w:eastAsia="zh-CN"/>
              </w:rPr>
            </w:pPr>
            <w:r>
              <w:rPr>
                <w:rFonts w:hint="eastAsia" w:eastAsia="宋体"/>
                <w:color w:val="auto"/>
                <w:sz w:val="24"/>
                <w:lang w:val="en-US" w:eastAsia="zh-CN"/>
              </w:rPr>
              <w:t>完成情况</w:t>
            </w:r>
          </w:p>
        </w:tc>
      </w:tr>
      <w:tr w14:paraId="723AD90F">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18066B">
            <w:pPr>
              <w:widowControl/>
              <w:spacing w:line="300" w:lineRule="exact"/>
              <w:jc w:val="center"/>
              <w:rPr>
                <w:rFonts w:eastAsia="宋体"/>
                <w:color w:val="auto"/>
                <w:sz w:val="24"/>
              </w:rPr>
            </w:pPr>
          </w:p>
        </w:tc>
        <w:tc>
          <w:tcPr>
            <w:tcW w:w="2620" w:type="dxa"/>
            <w:gridSpan w:val="2"/>
            <w:tcBorders>
              <w:top w:val="single" w:color="000000" w:sz="4" w:space="0"/>
              <w:left w:val="single" w:color="000000" w:sz="4" w:space="0"/>
              <w:bottom w:val="single" w:color="000000" w:sz="4" w:space="0"/>
              <w:right w:val="single" w:color="000000" w:sz="4" w:space="0"/>
            </w:tcBorders>
            <w:noWrap w:val="0"/>
            <w:vAlign w:val="center"/>
          </w:tcPr>
          <w:p w14:paraId="2F72BBBB">
            <w:pPr>
              <w:widowControl/>
              <w:spacing w:line="300" w:lineRule="exact"/>
              <w:jc w:val="center"/>
              <w:textAlignment w:val="center"/>
              <w:rPr>
                <w:rFonts w:hint="eastAsia" w:eastAsia="宋体"/>
                <w:color w:val="auto"/>
                <w:sz w:val="24"/>
                <w:lang w:eastAsia="zh-CN"/>
              </w:rPr>
            </w:pPr>
            <w:r>
              <w:rPr>
                <w:rFonts w:hint="eastAsia" w:eastAsia="宋体"/>
                <w:color w:val="auto"/>
                <w:kern w:val="0"/>
                <w:sz w:val="24"/>
                <w:lang w:val="en-US" w:eastAsia="zh-CN" w:bidi="ar"/>
              </w:rPr>
              <w:t>招商引资</w:t>
            </w:r>
          </w:p>
        </w:tc>
        <w:tc>
          <w:tcPr>
            <w:tcW w:w="6632" w:type="dxa"/>
            <w:gridSpan w:val="5"/>
            <w:tcBorders>
              <w:top w:val="single" w:color="000000" w:sz="4" w:space="0"/>
              <w:left w:val="single" w:color="000000" w:sz="4" w:space="0"/>
              <w:bottom w:val="single" w:color="000000" w:sz="4" w:space="0"/>
              <w:right w:val="single" w:color="000000" w:sz="4" w:space="0"/>
            </w:tcBorders>
            <w:noWrap w:val="0"/>
            <w:vAlign w:val="center"/>
          </w:tcPr>
          <w:p w14:paraId="4141EAEC">
            <w:pPr>
              <w:widowControl/>
              <w:spacing w:line="300" w:lineRule="exact"/>
              <w:ind w:firstLine="480" w:firstLineChars="200"/>
              <w:jc w:val="left"/>
              <w:textAlignment w:val="center"/>
              <w:rPr>
                <w:rFonts w:hint="default" w:ascii="Times New Roman" w:hAnsi="Times New Roman" w:eastAsia="宋体" w:cs="Times New Roman"/>
                <w:color w:val="auto"/>
                <w:kern w:val="0"/>
                <w:sz w:val="24"/>
                <w:lang w:val="en-US" w:eastAsia="zh-CN" w:bidi="ar"/>
              </w:rPr>
            </w:pPr>
            <w:r>
              <w:rPr>
                <w:rFonts w:hint="default" w:ascii="Times New Roman" w:hAnsi="Times New Roman" w:eastAsia="宋体" w:cs="Times New Roman"/>
                <w:color w:val="auto"/>
                <w:kern w:val="0"/>
                <w:sz w:val="24"/>
                <w:lang w:val="en-US" w:eastAsia="zh-CN" w:bidi="ar"/>
              </w:rPr>
              <w:t>精准梳理链主企业上下游供应商及客户，形成仁和区招商引资目标企业库，已梳理目标企业294家。同时，积极包装储备项目，围绕8个重点产业生态圈包装项目72个，并借助招商活动、行业商协会等平台向外推介，全力推动包装项目落地转化。聚焦光电信息产业链延链补链，引进5亿元及以上项目</w:t>
            </w:r>
            <w:r>
              <w:rPr>
                <w:rFonts w:hint="eastAsia" w:ascii="Times New Roman" w:hAnsi="Times New Roman" w:eastAsia="宋体" w:cs="Times New Roman"/>
                <w:color w:val="auto"/>
                <w:kern w:val="0"/>
                <w:sz w:val="24"/>
                <w:lang w:val="en-US" w:eastAsia="zh-CN" w:bidi="ar"/>
              </w:rPr>
              <w:t>2</w:t>
            </w:r>
            <w:r>
              <w:rPr>
                <w:rFonts w:hint="default" w:ascii="Times New Roman" w:hAnsi="Times New Roman" w:eastAsia="宋体" w:cs="Times New Roman"/>
                <w:color w:val="auto"/>
                <w:kern w:val="0"/>
                <w:sz w:val="24"/>
                <w:lang w:val="en-US" w:eastAsia="zh-CN" w:bidi="ar"/>
              </w:rPr>
              <w:t>个</w:t>
            </w:r>
            <w:r>
              <w:rPr>
                <w:rFonts w:hint="eastAsia" w:ascii="Times New Roman" w:hAnsi="Times New Roman" w:eastAsia="宋体" w:cs="Times New Roman"/>
                <w:color w:val="auto"/>
                <w:kern w:val="0"/>
                <w:sz w:val="24"/>
                <w:lang w:val="en-US" w:eastAsia="zh-CN" w:bidi="ar"/>
              </w:rPr>
              <w:t>，一亿元项目1个</w:t>
            </w:r>
            <w:r>
              <w:rPr>
                <w:rFonts w:hint="default" w:ascii="Times New Roman" w:hAnsi="Times New Roman" w:eastAsia="宋体" w:cs="Times New Roman"/>
                <w:color w:val="auto"/>
                <w:kern w:val="0"/>
                <w:sz w:val="24"/>
                <w:lang w:val="en-US" w:eastAsia="zh-CN" w:bidi="ar"/>
              </w:rPr>
              <w:t>；</w:t>
            </w:r>
            <w:r>
              <w:rPr>
                <w:rFonts w:hint="eastAsia" w:ascii="Times New Roman" w:hAnsi="Times New Roman" w:eastAsia="宋体" w:cs="Times New Roman"/>
                <w:color w:val="auto"/>
                <w:kern w:val="0"/>
                <w:sz w:val="24"/>
                <w:lang w:val="en-US" w:eastAsia="zh-CN" w:bidi="ar"/>
              </w:rPr>
              <w:t>主要领导带队赴外招商42次，对接超120家企业。</w:t>
            </w:r>
            <w:r>
              <w:rPr>
                <w:rFonts w:hint="default" w:ascii="Times New Roman" w:hAnsi="Times New Roman" w:eastAsia="宋体" w:cs="Times New Roman"/>
                <w:color w:val="auto"/>
                <w:kern w:val="0"/>
                <w:sz w:val="24"/>
                <w:lang w:val="en-US" w:eastAsia="zh-CN" w:bidi="ar"/>
              </w:rPr>
              <w:t>组织开展投产系列活动</w:t>
            </w:r>
            <w:r>
              <w:rPr>
                <w:rFonts w:hint="eastAsia" w:ascii="Times New Roman" w:hAnsi="Times New Roman" w:eastAsia="宋体" w:cs="Times New Roman"/>
                <w:color w:val="auto"/>
                <w:kern w:val="0"/>
                <w:sz w:val="24"/>
                <w:lang w:val="en-US" w:eastAsia="zh-CN" w:bidi="ar"/>
              </w:rPr>
              <w:t>1次。202</w:t>
            </w:r>
            <w:r>
              <w:rPr>
                <w:rFonts w:hint="eastAsia" w:eastAsia="宋体" w:cs="Times New Roman"/>
                <w:color w:val="auto"/>
                <w:kern w:val="0"/>
                <w:sz w:val="24"/>
                <w:lang w:val="en-US" w:eastAsia="zh-CN" w:bidi="ar"/>
              </w:rPr>
              <w:t>5</w:t>
            </w:r>
            <w:r>
              <w:rPr>
                <w:rFonts w:hint="eastAsia" w:ascii="Times New Roman" w:hAnsi="Times New Roman" w:eastAsia="宋体" w:cs="Times New Roman"/>
                <w:color w:val="auto"/>
                <w:kern w:val="0"/>
                <w:sz w:val="24"/>
                <w:lang w:val="en-US" w:eastAsia="zh-CN" w:bidi="ar"/>
              </w:rPr>
              <w:t>年</w:t>
            </w:r>
            <w:r>
              <w:rPr>
                <w:rFonts w:hint="default" w:ascii="Times New Roman" w:hAnsi="Times New Roman" w:eastAsia="宋体" w:cs="Times New Roman"/>
                <w:color w:val="auto"/>
                <w:kern w:val="0"/>
                <w:sz w:val="24"/>
                <w:lang w:val="en-US" w:eastAsia="zh-CN" w:bidi="ar"/>
              </w:rPr>
              <w:t>引进产业项目新增实际投资54.6亿元，完成全年任务的101.11%。省外引进产业项目新增实际投资40.71亿元，完成全年任务的101.76%。</w:t>
            </w:r>
          </w:p>
          <w:p w14:paraId="1910695A">
            <w:pPr>
              <w:widowControl/>
              <w:spacing w:line="300" w:lineRule="exact"/>
              <w:jc w:val="left"/>
              <w:textAlignment w:val="center"/>
              <w:rPr>
                <w:rFonts w:eastAsia="宋体"/>
                <w:color w:val="auto"/>
                <w:sz w:val="24"/>
              </w:rPr>
            </w:pPr>
          </w:p>
        </w:tc>
      </w:tr>
      <w:tr w14:paraId="6E8120C2">
        <w:tblPrEx>
          <w:tblCellMar>
            <w:top w:w="15" w:type="dxa"/>
            <w:left w:w="15" w:type="dxa"/>
            <w:bottom w:w="15" w:type="dxa"/>
            <w:right w:w="15" w:type="dxa"/>
          </w:tblCellMar>
        </w:tblPrEx>
        <w:trPr>
          <w:trHeight w:val="23" w:hRule="atLeast"/>
          <w:jc w:val="center"/>
        </w:trPr>
        <w:tc>
          <w:tcPr>
            <w:tcW w:w="1308" w:type="dxa"/>
            <w:vMerge w:val="restart"/>
            <w:tcBorders>
              <w:top w:val="single" w:color="000000" w:sz="4" w:space="0"/>
              <w:left w:val="single" w:color="000000" w:sz="4" w:space="0"/>
              <w:bottom w:val="single" w:color="000000" w:sz="4" w:space="0"/>
              <w:right w:val="single" w:color="000000" w:sz="4" w:space="0"/>
            </w:tcBorders>
            <w:noWrap w:val="0"/>
            <w:vAlign w:val="center"/>
          </w:tcPr>
          <w:p w14:paraId="31D0B148">
            <w:pPr>
              <w:widowControl/>
              <w:spacing w:line="300" w:lineRule="exact"/>
              <w:jc w:val="center"/>
              <w:textAlignment w:val="center"/>
              <w:rPr>
                <w:rFonts w:eastAsia="宋体"/>
                <w:color w:val="auto"/>
                <w:kern w:val="0"/>
                <w:sz w:val="24"/>
                <w:lang w:bidi="ar"/>
              </w:rPr>
            </w:pPr>
            <w:r>
              <w:rPr>
                <w:rFonts w:eastAsia="宋体"/>
                <w:color w:val="auto"/>
                <w:kern w:val="0"/>
                <w:sz w:val="24"/>
                <w:lang w:bidi="ar"/>
              </w:rPr>
              <w:t>年度绩效</w:t>
            </w:r>
          </w:p>
          <w:p w14:paraId="405CCFC0">
            <w:pPr>
              <w:widowControl/>
              <w:spacing w:line="300" w:lineRule="exact"/>
              <w:jc w:val="center"/>
              <w:textAlignment w:val="center"/>
              <w:rPr>
                <w:rFonts w:eastAsia="宋体"/>
                <w:color w:val="auto"/>
                <w:sz w:val="24"/>
              </w:rPr>
            </w:pPr>
            <w:r>
              <w:rPr>
                <w:rFonts w:eastAsia="宋体"/>
                <w:color w:val="auto"/>
                <w:kern w:val="0"/>
                <w:sz w:val="24"/>
                <w:lang w:bidi="ar"/>
              </w:rPr>
              <w:t>指标</w:t>
            </w:r>
          </w:p>
        </w:tc>
        <w:tc>
          <w:tcPr>
            <w:tcW w:w="1347" w:type="dxa"/>
            <w:tcBorders>
              <w:top w:val="single" w:color="000000" w:sz="4" w:space="0"/>
              <w:left w:val="single" w:color="000000" w:sz="4" w:space="0"/>
              <w:bottom w:val="single" w:color="000000" w:sz="4" w:space="0"/>
              <w:right w:val="single" w:color="000000" w:sz="4" w:space="0"/>
            </w:tcBorders>
            <w:noWrap w:val="0"/>
            <w:vAlign w:val="center"/>
          </w:tcPr>
          <w:p w14:paraId="76ED2A54">
            <w:pPr>
              <w:widowControl/>
              <w:spacing w:line="300" w:lineRule="exact"/>
              <w:jc w:val="center"/>
              <w:textAlignment w:val="center"/>
              <w:rPr>
                <w:rFonts w:eastAsia="宋体"/>
                <w:color w:val="auto"/>
                <w:sz w:val="24"/>
              </w:rPr>
            </w:pPr>
            <w:r>
              <w:rPr>
                <w:rFonts w:eastAsia="宋体"/>
                <w:color w:val="auto"/>
                <w:kern w:val="0"/>
                <w:sz w:val="24"/>
                <w:lang w:bidi="ar"/>
              </w:rPr>
              <w:t>一级指标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D0F5AD8">
            <w:pPr>
              <w:widowControl/>
              <w:spacing w:line="300" w:lineRule="exact"/>
              <w:jc w:val="center"/>
              <w:textAlignment w:val="center"/>
              <w:rPr>
                <w:rFonts w:eastAsia="宋体"/>
                <w:color w:val="auto"/>
                <w:sz w:val="24"/>
              </w:rPr>
            </w:pPr>
            <w:r>
              <w:rPr>
                <w:rFonts w:eastAsia="宋体"/>
                <w:color w:val="auto"/>
                <w:kern w:val="0"/>
                <w:sz w:val="24"/>
                <w:lang w:bidi="ar"/>
              </w:rPr>
              <w:t>二级指标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4B17A3A">
            <w:pPr>
              <w:widowControl/>
              <w:spacing w:line="300" w:lineRule="exact"/>
              <w:jc w:val="center"/>
              <w:textAlignment w:val="center"/>
              <w:rPr>
                <w:rFonts w:eastAsia="宋体"/>
                <w:color w:val="auto"/>
                <w:sz w:val="24"/>
              </w:rPr>
            </w:pPr>
            <w:r>
              <w:rPr>
                <w:rFonts w:eastAsia="宋体"/>
                <w:color w:val="auto"/>
                <w:kern w:val="0"/>
                <w:sz w:val="24"/>
                <w:lang w:bidi="ar"/>
              </w:rPr>
              <w:t>三级指标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6CC8A65">
            <w:pPr>
              <w:widowControl/>
              <w:spacing w:line="300" w:lineRule="exact"/>
              <w:jc w:val="center"/>
              <w:textAlignment w:val="center"/>
              <w:rPr>
                <w:rFonts w:eastAsia="宋体"/>
                <w:color w:val="auto"/>
                <w:kern w:val="0"/>
                <w:sz w:val="24"/>
                <w:lang w:bidi="ar"/>
              </w:rPr>
            </w:pPr>
            <w:r>
              <w:rPr>
                <w:rFonts w:eastAsia="宋体"/>
                <w:color w:val="auto"/>
                <w:kern w:val="0"/>
                <w:sz w:val="24"/>
                <w:lang w:bidi="ar"/>
              </w:rPr>
              <w:t>绩效指标</w:t>
            </w:r>
          </w:p>
          <w:p w14:paraId="56435DAB">
            <w:pPr>
              <w:widowControl/>
              <w:spacing w:line="300" w:lineRule="exact"/>
              <w:jc w:val="center"/>
              <w:textAlignment w:val="center"/>
              <w:rPr>
                <w:rFonts w:eastAsia="宋体"/>
                <w:color w:val="auto"/>
                <w:sz w:val="24"/>
              </w:rPr>
            </w:pPr>
            <w:r>
              <w:rPr>
                <w:rFonts w:eastAsia="宋体"/>
                <w:color w:val="auto"/>
                <w:kern w:val="0"/>
                <w:sz w:val="24"/>
                <w:lang w:bidi="ar"/>
              </w:rPr>
              <w:t>性质</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021345AF">
            <w:pPr>
              <w:widowControl/>
              <w:spacing w:line="300" w:lineRule="exact"/>
              <w:jc w:val="center"/>
              <w:textAlignment w:val="center"/>
              <w:rPr>
                <w:rFonts w:eastAsia="宋体"/>
                <w:color w:val="auto"/>
                <w:sz w:val="24"/>
              </w:rPr>
            </w:pPr>
            <w:r>
              <w:rPr>
                <w:rFonts w:eastAsia="宋体"/>
                <w:color w:val="auto"/>
                <w:kern w:val="0"/>
                <w:sz w:val="24"/>
                <w:lang w:bidi="ar"/>
              </w:rPr>
              <w:t>绩效指标值</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29337045">
            <w:pPr>
              <w:widowControl/>
              <w:spacing w:line="300" w:lineRule="exact"/>
              <w:jc w:val="center"/>
              <w:textAlignment w:val="center"/>
              <w:rPr>
                <w:rFonts w:eastAsia="宋体"/>
                <w:color w:val="auto"/>
                <w:sz w:val="24"/>
              </w:rPr>
            </w:pPr>
            <w:r>
              <w:rPr>
                <w:rFonts w:eastAsia="宋体"/>
                <w:color w:val="auto"/>
                <w:kern w:val="0"/>
                <w:sz w:val="24"/>
                <w:lang w:bidi="ar"/>
              </w:rPr>
              <w:t>绩效度量单位</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7C800922">
            <w:pPr>
              <w:widowControl/>
              <w:spacing w:line="300" w:lineRule="exact"/>
              <w:jc w:val="center"/>
              <w:textAlignment w:val="center"/>
              <w:rPr>
                <w:rFonts w:eastAsia="宋体"/>
                <w:color w:val="auto"/>
                <w:kern w:val="0"/>
                <w:sz w:val="24"/>
                <w:lang w:bidi="ar"/>
              </w:rPr>
            </w:pPr>
            <w:r>
              <w:rPr>
                <w:rFonts w:eastAsia="宋体"/>
                <w:color w:val="auto"/>
                <w:kern w:val="0"/>
                <w:sz w:val="24"/>
                <w:lang w:bidi="ar"/>
              </w:rPr>
              <w:t>实际完成</w:t>
            </w:r>
          </w:p>
          <w:p w14:paraId="104BCDAC">
            <w:pPr>
              <w:widowControl/>
              <w:spacing w:line="300" w:lineRule="exact"/>
              <w:jc w:val="center"/>
              <w:textAlignment w:val="center"/>
              <w:rPr>
                <w:rFonts w:eastAsia="宋体"/>
                <w:color w:val="auto"/>
                <w:sz w:val="24"/>
              </w:rPr>
            </w:pPr>
            <w:r>
              <w:rPr>
                <w:rFonts w:eastAsia="宋体"/>
                <w:color w:val="auto"/>
                <w:kern w:val="0"/>
                <w:sz w:val="24"/>
                <w:lang w:bidi="ar"/>
              </w:rPr>
              <w:t>指标值</w:t>
            </w:r>
          </w:p>
        </w:tc>
      </w:tr>
      <w:tr w14:paraId="1820FD8C">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6AC97D">
            <w:pPr>
              <w:widowControl/>
              <w:spacing w:line="300" w:lineRule="exact"/>
              <w:jc w:val="center"/>
              <w:rPr>
                <w:rFonts w:eastAsia="宋体"/>
                <w:color w:val="auto"/>
                <w:sz w:val="24"/>
              </w:rPr>
            </w:pPr>
          </w:p>
        </w:tc>
        <w:tc>
          <w:tcPr>
            <w:tcW w:w="1347"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579AB">
            <w:pPr>
              <w:widowControl/>
              <w:spacing w:line="300" w:lineRule="exact"/>
              <w:jc w:val="center"/>
              <w:textAlignment w:val="center"/>
              <w:rPr>
                <w:rFonts w:eastAsia="宋体"/>
                <w:color w:val="auto"/>
                <w:sz w:val="24"/>
              </w:rPr>
            </w:pPr>
            <w:r>
              <w:rPr>
                <w:rFonts w:eastAsia="宋体"/>
                <w:color w:val="auto"/>
                <w:kern w:val="0"/>
                <w:sz w:val="24"/>
                <w:lang w:bidi="ar"/>
              </w:rPr>
              <w:t>产出指标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3F862EAC">
            <w:pPr>
              <w:widowControl/>
              <w:spacing w:line="300" w:lineRule="exact"/>
              <w:jc w:val="center"/>
              <w:textAlignment w:val="center"/>
              <w:rPr>
                <w:rFonts w:eastAsia="宋体"/>
                <w:color w:val="auto"/>
                <w:sz w:val="24"/>
              </w:rPr>
            </w:pPr>
            <w:r>
              <w:rPr>
                <w:rFonts w:eastAsia="宋体"/>
                <w:color w:val="auto"/>
                <w:kern w:val="0"/>
                <w:sz w:val="24"/>
                <w:lang w:bidi="ar"/>
              </w:rPr>
              <w:t>数量指标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DD81767">
            <w:pPr>
              <w:widowControl/>
              <w:spacing w:line="300" w:lineRule="exact"/>
              <w:jc w:val="center"/>
              <w:textAlignment w:val="center"/>
              <w:rPr>
                <w:rFonts w:hint="default" w:eastAsia="宋体"/>
                <w:color w:val="auto"/>
                <w:sz w:val="24"/>
                <w:lang w:val="en-US" w:eastAsia="zh-CN"/>
              </w:rPr>
            </w:pPr>
            <w:r>
              <w:rPr>
                <w:rFonts w:hint="eastAsia" w:eastAsia="宋体"/>
                <w:color w:val="auto"/>
                <w:kern w:val="0"/>
                <w:sz w:val="24"/>
                <w:lang w:val="en-US" w:eastAsia="zh-CN" w:bidi="ar"/>
              </w:rPr>
              <w:t>招商引资到位资金</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960625">
            <w:pPr>
              <w:widowControl/>
              <w:spacing w:line="300" w:lineRule="exact"/>
              <w:jc w:val="center"/>
              <w:textAlignment w:val="center"/>
              <w:rPr>
                <w:rFonts w:eastAsia="宋体"/>
                <w:color w:val="auto"/>
                <w:sz w:val="24"/>
              </w:rPr>
            </w:pPr>
            <w:r>
              <w:rPr>
                <w:rFonts w:hint="default" w:ascii="Arial" w:hAnsi="Arial" w:eastAsia="宋体" w:cs="Arial"/>
                <w:color w:val="auto"/>
                <w:kern w:val="0"/>
                <w:sz w:val="24"/>
                <w:lang w:bidi="ar"/>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4E7E1ACC">
            <w:pPr>
              <w:widowControl/>
              <w:spacing w:line="300" w:lineRule="exact"/>
              <w:jc w:val="center"/>
              <w:textAlignment w:val="center"/>
              <w:rPr>
                <w:rFonts w:hint="default" w:eastAsia="宋体"/>
                <w:color w:val="auto"/>
                <w:sz w:val="24"/>
                <w:lang w:val="en-US" w:eastAsia="zh-CN"/>
              </w:rPr>
            </w:pPr>
            <w:r>
              <w:rPr>
                <w:rFonts w:hint="eastAsia" w:eastAsia="宋体"/>
                <w:color w:val="auto"/>
                <w:kern w:val="0"/>
                <w:sz w:val="24"/>
                <w:lang w:val="en-US" w:eastAsia="zh-CN" w:bidi="ar"/>
              </w:rPr>
              <w:t>66</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074D4FCA">
            <w:pPr>
              <w:widowControl/>
              <w:spacing w:line="300" w:lineRule="exact"/>
              <w:jc w:val="center"/>
              <w:textAlignment w:val="center"/>
              <w:rPr>
                <w:rFonts w:hint="eastAsia" w:eastAsia="宋体"/>
                <w:color w:val="auto"/>
                <w:sz w:val="24"/>
                <w:lang w:eastAsia="zh-CN"/>
              </w:rPr>
            </w:pPr>
            <w:r>
              <w:rPr>
                <w:rFonts w:hint="eastAsia" w:eastAsia="宋体"/>
                <w:color w:val="auto"/>
                <w:kern w:val="0"/>
                <w:sz w:val="24"/>
                <w:lang w:val="en-US" w:eastAsia="zh-CN" w:bidi="ar"/>
              </w:rPr>
              <w:t>年</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7DF13D68">
            <w:pPr>
              <w:widowControl/>
              <w:spacing w:line="300" w:lineRule="exact"/>
              <w:jc w:val="center"/>
              <w:textAlignment w:val="center"/>
              <w:rPr>
                <w:rFonts w:hint="default" w:eastAsia="宋体"/>
                <w:color w:val="auto"/>
                <w:sz w:val="24"/>
                <w:lang w:val="en-US" w:eastAsia="zh-CN"/>
              </w:rPr>
            </w:pPr>
            <w:r>
              <w:rPr>
                <w:rFonts w:hint="eastAsia" w:eastAsia="宋体"/>
                <w:color w:val="auto"/>
                <w:sz w:val="24"/>
                <w:lang w:val="en-US" w:eastAsia="zh-CN"/>
              </w:rPr>
              <w:t>100%</w:t>
            </w:r>
          </w:p>
        </w:tc>
      </w:tr>
      <w:tr w14:paraId="7C9F5F3B">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76E8E2">
            <w:pPr>
              <w:widowControl/>
              <w:spacing w:line="300" w:lineRule="exact"/>
              <w:jc w:val="center"/>
              <w:rPr>
                <w:rFonts w:eastAsia="宋体"/>
                <w:color w:val="auto"/>
                <w:sz w:val="24"/>
              </w:rPr>
            </w:pPr>
          </w:p>
        </w:tc>
        <w:tc>
          <w:tcPr>
            <w:tcW w:w="13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B2AF3">
            <w:pPr>
              <w:widowControl/>
              <w:spacing w:line="300" w:lineRule="exact"/>
              <w:jc w:val="center"/>
              <w:rPr>
                <w:rFonts w:eastAsia="宋体"/>
                <w:color w:val="auto"/>
                <w:sz w:val="24"/>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4C096D5C">
            <w:pPr>
              <w:widowControl/>
              <w:spacing w:line="300" w:lineRule="exact"/>
              <w:jc w:val="center"/>
              <w:textAlignment w:val="center"/>
              <w:rPr>
                <w:rFonts w:eastAsia="宋体"/>
                <w:color w:val="auto"/>
                <w:sz w:val="24"/>
              </w:rPr>
            </w:pPr>
            <w:r>
              <w:rPr>
                <w:rFonts w:eastAsia="宋体"/>
                <w:color w:val="auto"/>
                <w:kern w:val="0"/>
                <w:sz w:val="24"/>
                <w:lang w:bidi="ar"/>
              </w:rPr>
              <w:t>质量指标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09C3C2FA">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经费保障率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4EE6E1F">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6BA686A0">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100</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367FC2D7">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7CD3D562">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100%</w:t>
            </w:r>
          </w:p>
        </w:tc>
      </w:tr>
      <w:tr w14:paraId="699B8B5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C4199F">
            <w:pPr>
              <w:widowControl/>
              <w:spacing w:line="300" w:lineRule="exact"/>
              <w:jc w:val="center"/>
              <w:rPr>
                <w:rFonts w:eastAsia="宋体"/>
                <w:color w:val="auto"/>
                <w:sz w:val="24"/>
              </w:rPr>
            </w:pPr>
          </w:p>
        </w:tc>
        <w:tc>
          <w:tcPr>
            <w:tcW w:w="13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3FF340">
            <w:pPr>
              <w:widowControl/>
              <w:spacing w:line="300" w:lineRule="exact"/>
              <w:jc w:val="center"/>
              <w:rPr>
                <w:rFonts w:eastAsia="宋体"/>
                <w:color w:val="auto"/>
                <w:sz w:val="24"/>
              </w:rPr>
            </w:pP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5CB36EC">
            <w:pPr>
              <w:widowControl/>
              <w:spacing w:line="300" w:lineRule="exact"/>
              <w:jc w:val="center"/>
              <w:textAlignment w:val="center"/>
              <w:rPr>
                <w:rFonts w:eastAsia="宋体"/>
                <w:color w:val="auto"/>
                <w:sz w:val="24"/>
              </w:rPr>
            </w:pPr>
            <w:r>
              <w:rPr>
                <w:rFonts w:eastAsia="宋体"/>
                <w:color w:val="auto"/>
                <w:kern w:val="0"/>
                <w:sz w:val="24"/>
                <w:lang w:bidi="ar"/>
              </w:rPr>
              <w:t>时效指标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7ABD3F4B">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招商任务完成时间</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D40DA97">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576C7D89">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1</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7F664B03">
            <w:pPr>
              <w:widowControl/>
              <w:spacing w:line="300" w:lineRule="exact"/>
              <w:jc w:val="center"/>
              <w:rPr>
                <w:rFonts w:hint="eastAsia" w:eastAsia="宋体"/>
                <w:color w:val="auto"/>
                <w:sz w:val="24"/>
                <w:lang w:eastAsia="zh-CN"/>
              </w:rPr>
            </w:pPr>
            <w:r>
              <w:rPr>
                <w:rFonts w:hint="eastAsia" w:eastAsia="宋体"/>
                <w:color w:val="auto"/>
                <w:sz w:val="24"/>
                <w:lang w:eastAsia="zh-CN"/>
              </w:rPr>
              <w:t>年</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1004BA39">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100%</w:t>
            </w:r>
          </w:p>
        </w:tc>
      </w:tr>
      <w:tr w14:paraId="16A22D0D">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6D3372">
            <w:pPr>
              <w:widowControl/>
              <w:spacing w:line="300" w:lineRule="exact"/>
              <w:jc w:val="center"/>
              <w:rPr>
                <w:rFonts w:eastAsia="宋体"/>
                <w:color w:val="auto"/>
                <w:sz w:val="24"/>
              </w:rPr>
            </w:pPr>
          </w:p>
        </w:tc>
        <w:tc>
          <w:tcPr>
            <w:tcW w:w="1347" w:type="dxa"/>
            <w:vMerge w:val="restart"/>
            <w:tcBorders>
              <w:top w:val="single" w:color="000000" w:sz="4" w:space="0"/>
              <w:left w:val="single" w:color="000000" w:sz="4" w:space="0"/>
              <w:bottom w:val="single" w:color="000000" w:sz="4" w:space="0"/>
              <w:right w:val="single" w:color="000000" w:sz="4" w:space="0"/>
            </w:tcBorders>
            <w:noWrap w:val="0"/>
            <w:vAlign w:val="center"/>
          </w:tcPr>
          <w:p w14:paraId="347EDE19">
            <w:pPr>
              <w:widowControl/>
              <w:spacing w:line="300" w:lineRule="exact"/>
              <w:jc w:val="center"/>
              <w:textAlignment w:val="center"/>
              <w:rPr>
                <w:rFonts w:eastAsia="宋体"/>
                <w:color w:val="auto"/>
                <w:sz w:val="24"/>
              </w:rPr>
            </w:pPr>
            <w:r>
              <w:rPr>
                <w:rFonts w:eastAsia="宋体"/>
                <w:color w:val="auto"/>
                <w:kern w:val="0"/>
                <w:sz w:val="24"/>
                <w:lang w:bidi="ar"/>
              </w:rPr>
              <w:t>效益指标</w:t>
            </w:r>
          </w:p>
        </w:tc>
        <w:tc>
          <w:tcPr>
            <w:tcW w:w="1273" w:type="dxa"/>
            <w:vMerge w:val="restart"/>
            <w:tcBorders>
              <w:top w:val="single" w:color="000000" w:sz="4" w:space="0"/>
              <w:left w:val="single" w:color="000000" w:sz="4" w:space="0"/>
              <w:right w:val="single" w:color="000000" w:sz="4" w:space="0"/>
            </w:tcBorders>
            <w:noWrap w:val="0"/>
            <w:vAlign w:val="center"/>
          </w:tcPr>
          <w:p w14:paraId="5F461588">
            <w:pPr>
              <w:widowControl/>
              <w:spacing w:line="300" w:lineRule="exact"/>
              <w:jc w:val="center"/>
              <w:textAlignment w:val="center"/>
              <w:rPr>
                <w:rFonts w:eastAsia="宋体"/>
                <w:color w:val="auto"/>
                <w:kern w:val="0"/>
                <w:sz w:val="24"/>
                <w:lang w:bidi="ar"/>
              </w:rPr>
            </w:pPr>
            <w:r>
              <w:rPr>
                <w:rFonts w:eastAsia="宋体"/>
                <w:color w:val="auto"/>
                <w:kern w:val="0"/>
                <w:sz w:val="24"/>
                <w:lang w:bidi="ar"/>
              </w:rPr>
              <w:t>社会效益</w:t>
            </w:r>
          </w:p>
          <w:p w14:paraId="228BC6E7">
            <w:pPr>
              <w:widowControl/>
              <w:spacing w:line="300" w:lineRule="exact"/>
              <w:jc w:val="center"/>
              <w:textAlignment w:val="center"/>
              <w:rPr>
                <w:rFonts w:eastAsia="宋体"/>
                <w:color w:val="auto"/>
                <w:sz w:val="24"/>
              </w:rPr>
            </w:pPr>
            <w:r>
              <w:rPr>
                <w:rFonts w:eastAsia="宋体"/>
                <w:color w:val="auto"/>
                <w:kern w:val="0"/>
                <w:sz w:val="24"/>
                <w:lang w:bidi="ar"/>
              </w:rPr>
              <w:t>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351F7AD">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提供就业岗位</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05BA12A">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1939A66C">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增加群众收入</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5EC64E77">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671BE06B">
            <w:pPr>
              <w:widowControl/>
              <w:spacing w:line="300" w:lineRule="exact"/>
              <w:jc w:val="center"/>
              <w:rPr>
                <w:rFonts w:eastAsia="宋体"/>
                <w:color w:val="auto"/>
                <w:sz w:val="24"/>
              </w:rPr>
            </w:pPr>
            <w:r>
              <w:rPr>
                <w:rFonts w:hint="eastAsia" w:eastAsia="宋体"/>
                <w:color w:val="auto"/>
                <w:sz w:val="24"/>
                <w:lang w:val="en-US" w:eastAsia="zh-CN"/>
              </w:rPr>
              <w:t>100%</w:t>
            </w:r>
          </w:p>
        </w:tc>
      </w:tr>
      <w:tr w14:paraId="6D7F5B79">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479FA8">
            <w:pPr>
              <w:widowControl/>
              <w:spacing w:line="300" w:lineRule="exact"/>
              <w:jc w:val="center"/>
              <w:rPr>
                <w:rFonts w:eastAsia="宋体"/>
                <w:color w:val="auto"/>
                <w:sz w:val="24"/>
              </w:rPr>
            </w:pPr>
          </w:p>
        </w:tc>
        <w:tc>
          <w:tcPr>
            <w:tcW w:w="13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50DEB">
            <w:pPr>
              <w:widowControl/>
              <w:spacing w:line="300" w:lineRule="exact"/>
              <w:jc w:val="center"/>
              <w:rPr>
                <w:rFonts w:eastAsia="宋体"/>
                <w:color w:val="auto"/>
                <w:sz w:val="24"/>
              </w:rPr>
            </w:pPr>
          </w:p>
        </w:tc>
        <w:tc>
          <w:tcPr>
            <w:tcW w:w="1273" w:type="dxa"/>
            <w:vMerge w:val="continue"/>
            <w:tcBorders>
              <w:top w:val="single" w:color="000000" w:sz="4" w:space="0"/>
              <w:left w:val="single" w:color="000000" w:sz="4" w:space="0"/>
              <w:right w:val="single" w:color="000000" w:sz="4" w:space="0"/>
            </w:tcBorders>
            <w:noWrap w:val="0"/>
            <w:vAlign w:val="center"/>
          </w:tcPr>
          <w:p w14:paraId="5CA46E00">
            <w:pPr>
              <w:widowControl/>
              <w:spacing w:line="300" w:lineRule="exact"/>
              <w:jc w:val="center"/>
              <w:rPr>
                <w:rFonts w:eastAsia="宋体"/>
                <w:color w:val="auto"/>
                <w:sz w:val="24"/>
              </w:rPr>
            </w:pP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4ED09EED">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增加政府税收收入</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CE0D346">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定性</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1FE90078">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推动全区经济优质高效发展</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52C4D425">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4E7703AD">
            <w:pPr>
              <w:widowControl/>
              <w:spacing w:line="300" w:lineRule="exact"/>
              <w:jc w:val="center"/>
              <w:rPr>
                <w:rFonts w:eastAsia="宋体"/>
                <w:color w:val="auto"/>
                <w:sz w:val="24"/>
              </w:rPr>
            </w:pPr>
            <w:r>
              <w:rPr>
                <w:rFonts w:hint="eastAsia" w:eastAsia="宋体"/>
                <w:color w:val="auto"/>
                <w:sz w:val="24"/>
                <w:lang w:val="en-US" w:eastAsia="zh-CN"/>
              </w:rPr>
              <w:t>100%</w:t>
            </w:r>
          </w:p>
        </w:tc>
      </w:tr>
      <w:tr w14:paraId="468380BC">
        <w:tblPrEx>
          <w:tblCellMar>
            <w:top w:w="15" w:type="dxa"/>
            <w:left w:w="15" w:type="dxa"/>
            <w:bottom w:w="15" w:type="dxa"/>
            <w:right w:w="15" w:type="dxa"/>
          </w:tblCellMar>
        </w:tblPrEx>
        <w:trPr>
          <w:trHeight w:val="23" w:hRule="atLeast"/>
          <w:jc w:val="center"/>
        </w:trPr>
        <w:tc>
          <w:tcPr>
            <w:tcW w:w="130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A209C5">
            <w:pPr>
              <w:widowControl/>
              <w:spacing w:line="300" w:lineRule="exact"/>
              <w:jc w:val="center"/>
              <w:rPr>
                <w:rFonts w:eastAsia="宋体"/>
                <w:color w:val="auto"/>
                <w:sz w:val="24"/>
              </w:rPr>
            </w:pPr>
          </w:p>
        </w:tc>
        <w:tc>
          <w:tcPr>
            <w:tcW w:w="1347" w:type="dxa"/>
            <w:tcBorders>
              <w:top w:val="single" w:color="000000" w:sz="4" w:space="0"/>
              <w:left w:val="single" w:color="000000" w:sz="4" w:space="0"/>
              <w:bottom w:val="single" w:color="000000" w:sz="4" w:space="0"/>
              <w:right w:val="single" w:color="000000" w:sz="4" w:space="0"/>
            </w:tcBorders>
            <w:noWrap w:val="0"/>
            <w:vAlign w:val="center"/>
          </w:tcPr>
          <w:p w14:paraId="5C5E81A1">
            <w:pPr>
              <w:widowControl/>
              <w:spacing w:line="300" w:lineRule="exact"/>
              <w:jc w:val="center"/>
              <w:textAlignment w:val="center"/>
              <w:rPr>
                <w:rFonts w:eastAsia="宋体"/>
                <w:color w:val="auto"/>
                <w:sz w:val="24"/>
              </w:rPr>
            </w:pPr>
            <w:r>
              <w:rPr>
                <w:rFonts w:eastAsia="宋体"/>
                <w:color w:val="auto"/>
                <w:kern w:val="0"/>
                <w:sz w:val="24"/>
                <w:lang w:bidi="ar"/>
              </w:rPr>
              <w:t>满意度指标</w:t>
            </w:r>
          </w:p>
        </w:tc>
        <w:tc>
          <w:tcPr>
            <w:tcW w:w="1273" w:type="dxa"/>
            <w:tcBorders>
              <w:top w:val="single" w:color="000000" w:sz="4" w:space="0"/>
              <w:left w:val="single" w:color="000000" w:sz="4" w:space="0"/>
              <w:bottom w:val="single" w:color="000000" w:sz="4" w:space="0"/>
              <w:right w:val="single" w:color="000000" w:sz="4" w:space="0"/>
            </w:tcBorders>
            <w:noWrap w:val="0"/>
            <w:vAlign w:val="center"/>
          </w:tcPr>
          <w:p w14:paraId="71AEB98B">
            <w:pPr>
              <w:widowControl/>
              <w:spacing w:line="300" w:lineRule="exact"/>
              <w:jc w:val="center"/>
              <w:textAlignment w:val="center"/>
              <w:rPr>
                <w:rFonts w:eastAsia="宋体"/>
                <w:color w:val="auto"/>
                <w:sz w:val="24"/>
              </w:rPr>
            </w:pPr>
            <w:r>
              <w:rPr>
                <w:rFonts w:eastAsia="宋体"/>
                <w:color w:val="auto"/>
                <w:kern w:val="0"/>
                <w:sz w:val="24"/>
                <w:lang w:bidi="ar"/>
              </w:rPr>
              <w:t>满意度指标</w:t>
            </w:r>
          </w:p>
        </w:tc>
        <w:tc>
          <w:tcPr>
            <w:tcW w:w="1100" w:type="dxa"/>
            <w:tcBorders>
              <w:top w:val="single" w:color="000000" w:sz="4" w:space="0"/>
              <w:left w:val="single" w:color="000000" w:sz="4" w:space="0"/>
              <w:bottom w:val="single" w:color="000000" w:sz="4" w:space="0"/>
              <w:right w:val="single" w:color="000000" w:sz="4" w:space="0"/>
            </w:tcBorders>
            <w:noWrap w:val="0"/>
            <w:vAlign w:val="center"/>
          </w:tcPr>
          <w:p w14:paraId="28BB88F0">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服务对象满意度</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C97C76A">
            <w:pPr>
              <w:widowControl/>
              <w:spacing w:line="300" w:lineRule="exact"/>
              <w:jc w:val="center"/>
              <w:rPr>
                <w:rFonts w:eastAsia="宋体"/>
                <w:color w:val="auto"/>
                <w:sz w:val="24"/>
              </w:rPr>
            </w:pPr>
            <w:r>
              <w:rPr>
                <w:rFonts w:hint="default" w:ascii="Arial" w:hAnsi="Arial" w:eastAsia="宋体" w:cs="Arial"/>
                <w:color w:val="auto"/>
                <w:sz w:val="24"/>
              </w:rPr>
              <w:t>≥</w:t>
            </w:r>
          </w:p>
        </w:tc>
        <w:tc>
          <w:tcPr>
            <w:tcW w:w="1289" w:type="dxa"/>
            <w:tcBorders>
              <w:top w:val="single" w:color="000000" w:sz="4" w:space="0"/>
              <w:left w:val="single" w:color="000000" w:sz="4" w:space="0"/>
              <w:bottom w:val="single" w:color="000000" w:sz="4" w:space="0"/>
              <w:right w:val="single" w:color="000000" w:sz="4" w:space="0"/>
            </w:tcBorders>
            <w:noWrap w:val="0"/>
            <w:vAlign w:val="center"/>
          </w:tcPr>
          <w:p w14:paraId="34AAE138">
            <w:pPr>
              <w:widowControl/>
              <w:spacing w:line="300" w:lineRule="exact"/>
              <w:jc w:val="center"/>
              <w:rPr>
                <w:rFonts w:hint="default" w:eastAsia="宋体"/>
                <w:color w:val="auto"/>
                <w:sz w:val="24"/>
                <w:lang w:val="en-US" w:eastAsia="zh-CN"/>
              </w:rPr>
            </w:pPr>
            <w:r>
              <w:rPr>
                <w:rFonts w:hint="eastAsia" w:eastAsia="宋体"/>
                <w:color w:val="auto"/>
                <w:sz w:val="24"/>
                <w:lang w:val="en-US" w:eastAsia="zh-CN"/>
              </w:rPr>
              <w:t>90</w:t>
            </w:r>
          </w:p>
        </w:tc>
        <w:tc>
          <w:tcPr>
            <w:tcW w:w="1058" w:type="dxa"/>
            <w:tcBorders>
              <w:top w:val="single" w:color="000000" w:sz="4" w:space="0"/>
              <w:left w:val="single" w:color="000000" w:sz="4" w:space="0"/>
              <w:bottom w:val="single" w:color="000000" w:sz="4" w:space="0"/>
              <w:right w:val="single" w:color="000000" w:sz="4" w:space="0"/>
            </w:tcBorders>
            <w:noWrap w:val="0"/>
            <w:vAlign w:val="center"/>
          </w:tcPr>
          <w:p w14:paraId="02034E24">
            <w:pPr>
              <w:widowControl/>
              <w:spacing w:line="300" w:lineRule="exact"/>
              <w:jc w:val="center"/>
              <w:rPr>
                <w:rFonts w:hint="eastAsia" w:eastAsia="宋体"/>
                <w:color w:val="auto"/>
                <w:sz w:val="24"/>
                <w:lang w:val="en-US" w:eastAsia="zh-CN"/>
              </w:rPr>
            </w:pPr>
            <w:r>
              <w:rPr>
                <w:rFonts w:hint="eastAsia" w:eastAsia="宋体"/>
                <w:color w:val="auto"/>
                <w:sz w:val="24"/>
                <w:lang w:val="en-US" w:eastAsia="zh-CN"/>
              </w:rPr>
              <w:t>%</w:t>
            </w:r>
          </w:p>
        </w:tc>
        <w:tc>
          <w:tcPr>
            <w:tcW w:w="2040" w:type="dxa"/>
            <w:tcBorders>
              <w:top w:val="single" w:color="000000" w:sz="4" w:space="0"/>
              <w:left w:val="single" w:color="000000" w:sz="4" w:space="0"/>
              <w:bottom w:val="single" w:color="000000" w:sz="4" w:space="0"/>
              <w:right w:val="single" w:color="000000" w:sz="4" w:space="0"/>
            </w:tcBorders>
            <w:noWrap w:val="0"/>
            <w:vAlign w:val="center"/>
          </w:tcPr>
          <w:p w14:paraId="08A9515C">
            <w:pPr>
              <w:widowControl/>
              <w:spacing w:line="300" w:lineRule="exact"/>
              <w:jc w:val="center"/>
              <w:rPr>
                <w:rFonts w:eastAsia="宋体"/>
                <w:color w:val="auto"/>
                <w:sz w:val="24"/>
              </w:rPr>
            </w:pPr>
            <w:r>
              <w:rPr>
                <w:rFonts w:hint="eastAsia" w:eastAsia="宋体"/>
                <w:color w:val="auto"/>
                <w:sz w:val="24"/>
                <w:lang w:val="en-US" w:eastAsia="zh-CN"/>
              </w:rPr>
              <w:t>100%</w:t>
            </w:r>
          </w:p>
        </w:tc>
      </w:tr>
    </w:tbl>
    <w:p w14:paraId="22CEEF93">
      <w:pPr>
        <w:pStyle w:val="7"/>
        <w:spacing w:line="560" w:lineRule="exact"/>
        <w:ind w:left="0" w:leftChars="0" w:firstLine="0" w:firstLineChars="0"/>
        <w:rPr>
          <w:rFonts w:ascii="Times New Roman"/>
          <w:sz w:val="32"/>
          <w:highlight w:val="yellow"/>
          <w:lang w:val="zh-CN"/>
        </w:rPr>
      </w:pPr>
    </w:p>
    <w:p w14:paraId="48473908">
      <w:pPr>
        <w:pStyle w:val="5"/>
        <w:spacing w:before="93"/>
        <w:rPr>
          <w:rFonts w:ascii="Times New Roman" w:cs="宋体"/>
          <w:color w:val="FF0000"/>
          <w:sz w:val="32"/>
          <w:szCs w:val="32"/>
          <w:highlight w:val="yellow"/>
          <w:shd w:val="clear" w:color="auto" w:fill="FFFFFF"/>
          <w:lang w:val="zh-CN"/>
        </w:rPr>
      </w:pPr>
    </w:p>
    <w:p w14:paraId="69684994">
      <w:pPr>
        <w:spacing w:line="600" w:lineRule="exact"/>
        <w:jc w:val="center"/>
        <w:outlineLvl w:val="0"/>
        <w:rPr>
          <w:rFonts w:hint="eastAsia" w:ascii="Times New Roman" w:hAnsi="Times New Roman" w:eastAsia="黑体" w:cs="Times New Roman"/>
          <w:sz w:val="44"/>
          <w:szCs w:val="44"/>
          <w:highlight w:val="none"/>
        </w:rPr>
      </w:pPr>
      <w:r>
        <w:rPr>
          <w:rFonts w:hint="eastAsia" w:eastAsia="黑体" w:cs="黑体"/>
          <w:kern w:val="0"/>
          <w:sz w:val="32"/>
          <w:szCs w:val="32"/>
          <w:highlight w:val="yellow"/>
          <w:shd w:val="clear" w:color="auto" w:fill="FFFFFF"/>
          <w:lang w:val="zh-CN"/>
        </w:rPr>
        <w:br w:type="page"/>
      </w:r>
      <w:bookmarkStart w:id="98" w:name="_Toc15396618"/>
      <w:bookmarkStart w:id="99" w:name="_Toc15817"/>
      <w:bookmarkStart w:id="100" w:name="_Toc21940"/>
      <w:r>
        <w:rPr>
          <w:rFonts w:hint="eastAsia" w:ascii="Times New Roman" w:hAnsi="Times New Roman" w:eastAsia="黑体" w:cs="Times New Roman"/>
          <w:sz w:val="44"/>
          <w:szCs w:val="44"/>
          <w:highlight w:val="none"/>
        </w:rPr>
        <w:t>第五部分 附表</w:t>
      </w:r>
      <w:bookmarkEnd w:id="88"/>
      <w:bookmarkEnd w:id="98"/>
      <w:bookmarkEnd w:id="99"/>
      <w:bookmarkEnd w:id="100"/>
      <w:bookmarkStart w:id="101" w:name="_Toc15396619"/>
    </w:p>
    <w:p w14:paraId="1C074732">
      <w:pPr>
        <w:pStyle w:val="14"/>
        <w:adjustRightInd w:val="0"/>
        <w:snapToGrid w:val="0"/>
        <w:spacing w:line="560" w:lineRule="exact"/>
        <w:jc w:val="left"/>
        <w:rPr>
          <w:rFonts w:eastAsia="仿宋_GB2312" w:cs="仿宋_GB2312"/>
          <w:sz w:val="32"/>
          <w:szCs w:val="32"/>
          <w:highlight w:val="none"/>
        </w:rPr>
      </w:pPr>
    </w:p>
    <w:p w14:paraId="15DAF7DA">
      <w:pPr>
        <w:pStyle w:val="14"/>
        <w:adjustRightInd w:val="0"/>
        <w:snapToGrid w:val="0"/>
        <w:spacing w:line="560" w:lineRule="exact"/>
        <w:jc w:val="left"/>
        <w:rPr>
          <w:rFonts w:eastAsia="仿宋_GB2312" w:cs="仿宋_GB2312"/>
          <w:sz w:val="32"/>
          <w:szCs w:val="32"/>
          <w:highlight w:val="none"/>
        </w:rPr>
      </w:pPr>
      <w:r>
        <w:rPr>
          <w:rFonts w:hint="eastAsia" w:eastAsia="仿宋_GB2312" w:cs="仿宋_GB2312"/>
          <w:sz w:val="32"/>
          <w:szCs w:val="32"/>
          <w:highlight w:val="none"/>
        </w:rPr>
        <w:t>一、收入支出决算总表</w:t>
      </w:r>
      <w:bookmarkEnd w:id="101"/>
    </w:p>
    <w:p w14:paraId="6B1ECA93">
      <w:pPr>
        <w:pStyle w:val="14"/>
        <w:adjustRightInd w:val="0"/>
        <w:snapToGrid w:val="0"/>
        <w:spacing w:line="560" w:lineRule="exact"/>
        <w:jc w:val="left"/>
        <w:rPr>
          <w:rFonts w:eastAsia="仿宋_GB2312" w:cs="仿宋_GB2312"/>
          <w:sz w:val="32"/>
          <w:szCs w:val="32"/>
          <w:highlight w:val="none"/>
        </w:rPr>
      </w:pPr>
      <w:bookmarkStart w:id="102" w:name="_Toc15396620"/>
      <w:r>
        <w:rPr>
          <w:rFonts w:hint="eastAsia" w:eastAsia="仿宋_GB2312" w:cs="仿宋_GB2312"/>
          <w:sz w:val="32"/>
          <w:szCs w:val="32"/>
          <w:highlight w:val="none"/>
        </w:rPr>
        <w:t>二、收入决算表</w:t>
      </w:r>
      <w:bookmarkEnd w:id="102"/>
    </w:p>
    <w:p w14:paraId="5AE1773A">
      <w:pPr>
        <w:pStyle w:val="14"/>
        <w:adjustRightInd w:val="0"/>
        <w:snapToGrid w:val="0"/>
        <w:spacing w:line="560" w:lineRule="exact"/>
        <w:jc w:val="left"/>
        <w:rPr>
          <w:rFonts w:eastAsia="仿宋_GB2312" w:cs="仿宋_GB2312"/>
          <w:sz w:val="32"/>
          <w:szCs w:val="32"/>
          <w:highlight w:val="none"/>
        </w:rPr>
      </w:pPr>
      <w:bookmarkStart w:id="103" w:name="_Toc15396621"/>
      <w:r>
        <w:rPr>
          <w:rFonts w:hint="eastAsia" w:eastAsia="仿宋_GB2312" w:cs="仿宋_GB2312"/>
          <w:sz w:val="32"/>
          <w:szCs w:val="32"/>
          <w:highlight w:val="none"/>
        </w:rPr>
        <w:t>三、支出决算表</w:t>
      </w:r>
      <w:bookmarkEnd w:id="103"/>
    </w:p>
    <w:p w14:paraId="2183C45F">
      <w:pPr>
        <w:pStyle w:val="14"/>
        <w:adjustRightInd w:val="0"/>
        <w:snapToGrid w:val="0"/>
        <w:spacing w:line="560" w:lineRule="exact"/>
        <w:jc w:val="left"/>
        <w:rPr>
          <w:rFonts w:eastAsia="仿宋_GB2312" w:cs="仿宋_GB2312"/>
          <w:sz w:val="32"/>
          <w:szCs w:val="32"/>
          <w:highlight w:val="none"/>
        </w:rPr>
      </w:pPr>
      <w:bookmarkStart w:id="104" w:name="_Toc15396622"/>
      <w:r>
        <w:rPr>
          <w:rFonts w:hint="eastAsia" w:eastAsia="仿宋_GB2312" w:cs="仿宋_GB2312"/>
          <w:sz w:val="32"/>
          <w:szCs w:val="32"/>
          <w:highlight w:val="none"/>
        </w:rPr>
        <w:t>四、财政拨款收入支出决算总表</w:t>
      </w:r>
      <w:bookmarkEnd w:id="104"/>
    </w:p>
    <w:p w14:paraId="27AE26C3">
      <w:pPr>
        <w:pStyle w:val="14"/>
        <w:adjustRightInd w:val="0"/>
        <w:snapToGrid w:val="0"/>
        <w:spacing w:line="560" w:lineRule="exact"/>
        <w:jc w:val="left"/>
        <w:rPr>
          <w:rFonts w:eastAsia="仿宋_GB2312" w:cs="仿宋_GB2312"/>
          <w:sz w:val="32"/>
          <w:szCs w:val="32"/>
          <w:highlight w:val="none"/>
        </w:rPr>
      </w:pPr>
      <w:bookmarkStart w:id="105" w:name="_Toc15396623"/>
      <w:r>
        <w:rPr>
          <w:rFonts w:hint="eastAsia" w:eastAsia="仿宋_GB2312" w:cs="仿宋_GB2312"/>
          <w:sz w:val="32"/>
          <w:szCs w:val="32"/>
          <w:highlight w:val="none"/>
        </w:rPr>
        <w:t>五、财政拨款支出决算明细表</w:t>
      </w:r>
      <w:bookmarkEnd w:id="105"/>
      <w:bookmarkStart w:id="106" w:name="_Toc15396624"/>
    </w:p>
    <w:p w14:paraId="6F5C7443">
      <w:pPr>
        <w:pStyle w:val="14"/>
        <w:adjustRightInd w:val="0"/>
        <w:snapToGrid w:val="0"/>
        <w:spacing w:line="560" w:lineRule="exact"/>
        <w:jc w:val="left"/>
        <w:rPr>
          <w:rFonts w:eastAsia="仿宋_GB2312" w:cs="仿宋_GB2312"/>
          <w:sz w:val="32"/>
          <w:szCs w:val="32"/>
          <w:highlight w:val="none"/>
        </w:rPr>
      </w:pPr>
      <w:r>
        <w:rPr>
          <w:rFonts w:hint="eastAsia" w:eastAsia="仿宋_GB2312" w:cs="仿宋_GB2312"/>
          <w:sz w:val="32"/>
          <w:szCs w:val="32"/>
          <w:highlight w:val="none"/>
        </w:rPr>
        <w:t>六、一般公共预算财政拨款支出决算表</w:t>
      </w:r>
      <w:bookmarkEnd w:id="106"/>
    </w:p>
    <w:p w14:paraId="7CDB4AB5">
      <w:pPr>
        <w:pStyle w:val="14"/>
        <w:adjustRightInd w:val="0"/>
        <w:snapToGrid w:val="0"/>
        <w:spacing w:line="560" w:lineRule="exact"/>
        <w:jc w:val="left"/>
        <w:rPr>
          <w:rFonts w:eastAsia="仿宋_GB2312" w:cs="仿宋_GB2312"/>
          <w:sz w:val="32"/>
          <w:szCs w:val="32"/>
          <w:highlight w:val="none"/>
        </w:rPr>
      </w:pPr>
      <w:bookmarkStart w:id="107" w:name="_Toc15396625"/>
      <w:r>
        <w:rPr>
          <w:rFonts w:hint="eastAsia" w:eastAsia="仿宋_GB2312" w:cs="仿宋_GB2312"/>
          <w:sz w:val="32"/>
          <w:szCs w:val="32"/>
          <w:highlight w:val="none"/>
        </w:rPr>
        <w:t>七、一般公共预算财政拨款支出决算明细表</w:t>
      </w:r>
      <w:bookmarkEnd w:id="107"/>
    </w:p>
    <w:p w14:paraId="117BA02C">
      <w:pPr>
        <w:pStyle w:val="14"/>
        <w:adjustRightInd w:val="0"/>
        <w:snapToGrid w:val="0"/>
        <w:spacing w:line="560" w:lineRule="exact"/>
        <w:jc w:val="left"/>
        <w:rPr>
          <w:rFonts w:eastAsia="仿宋_GB2312" w:cs="仿宋_GB2312"/>
          <w:sz w:val="32"/>
          <w:szCs w:val="32"/>
          <w:highlight w:val="none"/>
        </w:rPr>
      </w:pPr>
      <w:bookmarkStart w:id="108" w:name="_Toc15396626"/>
      <w:r>
        <w:rPr>
          <w:rFonts w:hint="eastAsia" w:eastAsia="仿宋_GB2312" w:cs="仿宋_GB2312"/>
          <w:sz w:val="32"/>
          <w:szCs w:val="32"/>
          <w:highlight w:val="none"/>
        </w:rPr>
        <w:t>八、一般公共预算财政拨款基本支出决算表</w:t>
      </w:r>
      <w:bookmarkEnd w:id="108"/>
    </w:p>
    <w:p w14:paraId="0EE54BDD">
      <w:pPr>
        <w:pStyle w:val="14"/>
        <w:adjustRightInd w:val="0"/>
        <w:snapToGrid w:val="0"/>
        <w:spacing w:line="560" w:lineRule="exact"/>
        <w:jc w:val="left"/>
        <w:rPr>
          <w:rFonts w:eastAsia="仿宋_GB2312" w:cs="仿宋_GB2312"/>
          <w:sz w:val="32"/>
          <w:szCs w:val="32"/>
          <w:highlight w:val="none"/>
        </w:rPr>
      </w:pPr>
      <w:bookmarkStart w:id="109" w:name="_Toc15396627"/>
      <w:r>
        <w:rPr>
          <w:rFonts w:hint="eastAsia" w:eastAsia="仿宋_GB2312" w:cs="仿宋_GB2312"/>
          <w:sz w:val="32"/>
          <w:szCs w:val="32"/>
          <w:highlight w:val="none"/>
        </w:rPr>
        <w:t>九、一般公共预算财政拨款项目支出决算表</w:t>
      </w:r>
      <w:bookmarkEnd w:id="109"/>
    </w:p>
    <w:p w14:paraId="7FD14928">
      <w:pPr>
        <w:pStyle w:val="14"/>
        <w:adjustRightInd w:val="0"/>
        <w:snapToGrid w:val="0"/>
        <w:spacing w:line="560" w:lineRule="exact"/>
        <w:jc w:val="left"/>
        <w:rPr>
          <w:rFonts w:eastAsia="仿宋_GB2312" w:cs="仿宋_GB2312"/>
          <w:sz w:val="32"/>
          <w:szCs w:val="32"/>
          <w:highlight w:val="none"/>
        </w:rPr>
      </w:pPr>
      <w:bookmarkStart w:id="110" w:name="_Toc15396628"/>
      <w:r>
        <w:rPr>
          <w:rFonts w:hint="eastAsia" w:eastAsia="仿宋_GB2312" w:cs="仿宋_GB2312"/>
          <w:sz w:val="32"/>
          <w:szCs w:val="32"/>
          <w:highlight w:val="none"/>
        </w:rPr>
        <w:t>十、</w:t>
      </w:r>
      <w:bookmarkEnd w:id="110"/>
      <w:r>
        <w:rPr>
          <w:rFonts w:hint="eastAsia" w:eastAsia="仿宋_GB2312" w:cs="仿宋_GB2312"/>
          <w:sz w:val="32"/>
          <w:szCs w:val="32"/>
          <w:highlight w:val="none"/>
        </w:rPr>
        <w:t>政府性基金预算财政拨款收入支出决算表</w:t>
      </w:r>
    </w:p>
    <w:p w14:paraId="17F72C92">
      <w:pPr>
        <w:pStyle w:val="14"/>
        <w:adjustRightInd w:val="0"/>
        <w:snapToGrid w:val="0"/>
        <w:spacing w:line="560" w:lineRule="exact"/>
        <w:jc w:val="left"/>
        <w:rPr>
          <w:rFonts w:eastAsia="仿宋_GB2312" w:cs="仿宋_GB2312"/>
          <w:sz w:val="32"/>
          <w:szCs w:val="32"/>
          <w:highlight w:val="none"/>
        </w:rPr>
      </w:pPr>
      <w:bookmarkStart w:id="111" w:name="_Toc15396629"/>
      <w:r>
        <w:rPr>
          <w:rFonts w:hint="eastAsia" w:eastAsia="仿宋_GB2312" w:cs="仿宋_GB2312"/>
          <w:sz w:val="32"/>
          <w:szCs w:val="32"/>
          <w:highlight w:val="none"/>
        </w:rPr>
        <w:t>十一、</w:t>
      </w:r>
      <w:bookmarkEnd w:id="111"/>
      <w:r>
        <w:rPr>
          <w:rFonts w:hint="eastAsia" w:eastAsia="仿宋_GB2312" w:cs="仿宋_GB2312"/>
          <w:sz w:val="32"/>
          <w:szCs w:val="32"/>
          <w:highlight w:val="none"/>
        </w:rPr>
        <w:t>国有资本经营预算财政拨款收入支出决算表</w:t>
      </w:r>
    </w:p>
    <w:p w14:paraId="58273072">
      <w:pPr>
        <w:pStyle w:val="14"/>
        <w:adjustRightInd w:val="0"/>
        <w:snapToGrid w:val="0"/>
        <w:spacing w:line="560" w:lineRule="exact"/>
        <w:jc w:val="left"/>
        <w:rPr>
          <w:rFonts w:eastAsia="仿宋_GB2312" w:cs="仿宋_GB2312"/>
          <w:sz w:val="32"/>
          <w:szCs w:val="32"/>
          <w:highlight w:val="none"/>
        </w:rPr>
      </w:pPr>
      <w:bookmarkStart w:id="112" w:name="_Toc15396630"/>
      <w:r>
        <w:rPr>
          <w:rFonts w:hint="eastAsia" w:eastAsia="仿宋_GB2312" w:cs="仿宋_GB2312"/>
          <w:sz w:val="32"/>
          <w:szCs w:val="32"/>
          <w:highlight w:val="none"/>
        </w:rPr>
        <w:t>十二、</w:t>
      </w:r>
      <w:bookmarkEnd w:id="112"/>
      <w:r>
        <w:rPr>
          <w:rFonts w:hint="eastAsia" w:eastAsia="仿宋_GB2312" w:cs="仿宋_GB2312"/>
          <w:sz w:val="32"/>
          <w:szCs w:val="32"/>
          <w:highlight w:val="none"/>
        </w:rPr>
        <w:t>国有资本经营预算财政拨款支出决算表</w:t>
      </w:r>
    </w:p>
    <w:p w14:paraId="789B83C5">
      <w:pPr>
        <w:pStyle w:val="14"/>
        <w:adjustRightInd w:val="0"/>
        <w:snapToGrid w:val="0"/>
        <w:spacing w:line="560" w:lineRule="exact"/>
        <w:jc w:val="left"/>
        <w:rPr>
          <w:rFonts w:eastAsia="仿宋_GB2312" w:cs="仿宋_GB2312"/>
          <w:sz w:val="32"/>
          <w:szCs w:val="32"/>
          <w:highlight w:val="none"/>
        </w:rPr>
      </w:pPr>
      <w:bookmarkStart w:id="113" w:name="_Toc15396631"/>
      <w:r>
        <w:rPr>
          <w:rFonts w:hint="eastAsia" w:eastAsia="仿宋_GB2312" w:cs="仿宋_GB2312"/>
          <w:sz w:val="32"/>
          <w:szCs w:val="32"/>
          <w:highlight w:val="none"/>
        </w:rPr>
        <w:t>十三、</w:t>
      </w:r>
      <w:bookmarkEnd w:id="113"/>
      <w:r>
        <w:rPr>
          <w:rFonts w:hint="eastAsia" w:eastAsia="仿宋_GB2312" w:cs="仿宋_GB2312"/>
          <w:sz w:val="32"/>
          <w:szCs w:val="32"/>
          <w:highlight w:val="none"/>
        </w:rPr>
        <w:t>财政拨款“三公”经费支出决算表</w:t>
      </w:r>
    </w:p>
    <w:p w14:paraId="49FA6D51">
      <w:pPr>
        <w:rPr>
          <w:highlight w:val="yellow"/>
        </w:rPr>
      </w:pPr>
    </w:p>
    <w:sectPr>
      <w:footerReference r:id="rId6"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B7552">
    <w:pPr>
      <w:pStyle w:val="10"/>
      <w:jc w:val="center"/>
    </w:pPr>
  </w:p>
  <w:p w14:paraId="3A30AB7D">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6CDAC">
    <w:pPr>
      <w:pStyle w:val="10"/>
      <w:jc w:val="center"/>
    </w:pPr>
  </w:p>
  <w:p w14:paraId="6075FBB9">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D10BD">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C0B1AE">
                          <w:pPr>
                            <w:pStyle w:val="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CC0B1AE">
                    <w:pPr>
                      <w:pStyle w:val="1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- 1 -</w:t>
                    </w:r>
                    <w:r>
                      <w:rPr>
                        <w:rFonts w:hint="eastAsia" w:ascii="仿宋_GB2312" w:hAnsi="仿宋_GB2312" w:eastAsia="仿宋_GB2312" w:cs="仿宋_GB2312"/>
                        <w:sz w:val="28"/>
                        <w:szCs w:val="28"/>
                      </w:rPr>
                      <w:fldChar w:fldCharType="end"/>
                    </w:r>
                  </w:p>
                </w:txbxContent>
              </v:textbox>
            </v:shape>
          </w:pict>
        </mc:Fallback>
      </mc:AlternateContent>
    </w:r>
  </w:p>
  <w:p w14:paraId="4EB9EEB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86BAE">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E4322D"/>
    <w:rsid w:val="02317B1B"/>
    <w:rsid w:val="02FEBE30"/>
    <w:rsid w:val="03A87AC5"/>
    <w:rsid w:val="03F60FF6"/>
    <w:rsid w:val="061E35DE"/>
    <w:rsid w:val="066E0107"/>
    <w:rsid w:val="07996F6E"/>
    <w:rsid w:val="07DFD8BA"/>
    <w:rsid w:val="08DB07E4"/>
    <w:rsid w:val="09867E8F"/>
    <w:rsid w:val="0A2032A3"/>
    <w:rsid w:val="0C6C4794"/>
    <w:rsid w:val="0CA8290A"/>
    <w:rsid w:val="0D35B1ED"/>
    <w:rsid w:val="0DE07E2B"/>
    <w:rsid w:val="0E4A4418"/>
    <w:rsid w:val="0F98263C"/>
    <w:rsid w:val="101860EC"/>
    <w:rsid w:val="1064034C"/>
    <w:rsid w:val="10C055FF"/>
    <w:rsid w:val="11772AA4"/>
    <w:rsid w:val="118107EC"/>
    <w:rsid w:val="13D50BC4"/>
    <w:rsid w:val="14022904"/>
    <w:rsid w:val="14123C2A"/>
    <w:rsid w:val="15205444"/>
    <w:rsid w:val="152F2A07"/>
    <w:rsid w:val="165E0673"/>
    <w:rsid w:val="16A06A0A"/>
    <w:rsid w:val="16BB723D"/>
    <w:rsid w:val="186504BB"/>
    <w:rsid w:val="1938089F"/>
    <w:rsid w:val="19A445FC"/>
    <w:rsid w:val="1B7D550C"/>
    <w:rsid w:val="1BE8440E"/>
    <w:rsid w:val="1D155CEE"/>
    <w:rsid w:val="1E740ACF"/>
    <w:rsid w:val="1FF35744"/>
    <w:rsid w:val="1FF6BC77"/>
    <w:rsid w:val="21706BB4"/>
    <w:rsid w:val="21962A9E"/>
    <w:rsid w:val="21AE7C77"/>
    <w:rsid w:val="21DA1AFF"/>
    <w:rsid w:val="22BC3C41"/>
    <w:rsid w:val="23860B96"/>
    <w:rsid w:val="240371BF"/>
    <w:rsid w:val="25C63A8F"/>
    <w:rsid w:val="260F557C"/>
    <w:rsid w:val="281408E2"/>
    <w:rsid w:val="29FD04D3"/>
    <w:rsid w:val="2BFF7BC6"/>
    <w:rsid w:val="2C8A61B5"/>
    <w:rsid w:val="2D2E01CF"/>
    <w:rsid w:val="2DF04E50"/>
    <w:rsid w:val="2E9545B0"/>
    <w:rsid w:val="2F040D46"/>
    <w:rsid w:val="2FAE5751"/>
    <w:rsid w:val="2FB1A395"/>
    <w:rsid w:val="2FD9A7D8"/>
    <w:rsid w:val="317A79CB"/>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480985"/>
    <w:rsid w:val="3B7EF35A"/>
    <w:rsid w:val="3B9FDB6C"/>
    <w:rsid w:val="3BF5BC2F"/>
    <w:rsid w:val="3CEBA265"/>
    <w:rsid w:val="3D98207C"/>
    <w:rsid w:val="3D9B0D99"/>
    <w:rsid w:val="3DEE7CF3"/>
    <w:rsid w:val="3DF02244"/>
    <w:rsid w:val="3E6013F6"/>
    <w:rsid w:val="3E78745D"/>
    <w:rsid w:val="3FF4CAE0"/>
    <w:rsid w:val="3FF7B227"/>
    <w:rsid w:val="40AA028F"/>
    <w:rsid w:val="40E54C45"/>
    <w:rsid w:val="41920C85"/>
    <w:rsid w:val="42BF231A"/>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35DB6"/>
    <w:rsid w:val="4EAB630A"/>
    <w:rsid w:val="4ECE2238"/>
    <w:rsid w:val="4F833267"/>
    <w:rsid w:val="4FE9BD67"/>
    <w:rsid w:val="4FFB052F"/>
    <w:rsid w:val="53083A92"/>
    <w:rsid w:val="537E6D0A"/>
    <w:rsid w:val="53AF27A2"/>
    <w:rsid w:val="53F74C96"/>
    <w:rsid w:val="56E47B74"/>
    <w:rsid w:val="57BD3DD4"/>
    <w:rsid w:val="59755173"/>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7C96BF6"/>
    <w:rsid w:val="681C4F0D"/>
    <w:rsid w:val="69046D0F"/>
    <w:rsid w:val="698D0931"/>
    <w:rsid w:val="6A993CED"/>
    <w:rsid w:val="6B053271"/>
    <w:rsid w:val="6BC45D6D"/>
    <w:rsid w:val="6BCE6674"/>
    <w:rsid w:val="6C4A05C8"/>
    <w:rsid w:val="6C8742B8"/>
    <w:rsid w:val="6C8A170F"/>
    <w:rsid w:val="6CB54609"/>
    <w:rsid w:val="6DBF5E93"/>
    <w:rsid w:val="6DFF077E"/>
    <w:rsid w:val="6E7E3605"/>
    <w:rsid w:val="6E7FDCC7"/>
    <w:rsid w:val="6E82467D"/>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1A71C1"/>
    <w:rsid w:val="7A5E7D4D"/>
    <w:rsid w:val="7A894339"/>
    <w:rsid w:val="7AFF7572"/>
    <w:rsid w:val="7B6C7DFB"/>
    <w:rsid w:val="7BBFBED0"/>
    <w:rsid w:val="7BC3E394"/>
    <w:rsid w:val="7C1F3737"/>
    <w:rsid w:val="7CBFC87B"/>
    <w:rsid w:val="7CFE0F48"/>
    <w:rsid w:val="7D7EC23E"/>
    <w:rsid w:val="7D916348"/>
    <w:rsid w:val="7D971782"/>
    <w:rsid w:val="7E8ADEBF"/>
    <w:rsid w:val="7EEF11D3"/>
    <w:rsid w:val="7F0971A6"/>
    <w:rsid w:val="7F3B6AC4"/>
    <w:rsid w:val="7F3F679B"/>
    <w:rsid w:val="7F4FC4EF"/>
    <w:rsid w:val="7F5E4D54"/>
    <w:rsid w:val="7F6E0135"/>
    <w:rsid w:val="7F7348F6"/>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7"/>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30"/>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40"/>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6"/>
    <w:semiHidden/>
    <w:unhideWhenUsed/>
    <w:qFormat/>
    <w:uiPriority w:val="99"/>
    <w:rPr>
      <w:sz w:val="18"/>
      <w:szCs w:val="18"/>
    </w:rPr>
  </w:style>
  <w:style w:type="paragraph" w:styleId="10">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6">
    <w:name w:val="Title"/>
    <w:basedOn w:val="1"/>
    <w:next w:val="1"/>
    <w:qFormat/>
    <w:uiPriority w:val="0"/>
    <w:pPr>
      <w:spacing w:before="240" w:after="240" w:line="360" w:lineRule="auto"/>
      <w:jc w:val="center"/>
      <w:outlineLvl w:val="0"/>
    </w:pPr>
    <w:rPr>
      <w:rFonts w:ascii="Arial" w:hAnsi="Arial"/>
      <w:b/>
      <w:sz w:val="32"/>
    </w:r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footnote text1"/>
    <w:basedOn w:val="1"/>
    <w:next w:val="22"/>
    <w:qFormat/>
    <w:uiPriority w:val="0"/>
    <w:pPr>
      <w:snapToGrid w:val="0"/>
      <w:jc w:val="left"/>
    </w:pPr>
    <w:rPr>
      <w:sz w:val="18"/>
      <w:szCs w:val="18"/>
    </w:rPr>
  </w:style>
  <w:style w:type="paragraph" w:customStyle="1" w:styleId="22">
    <w:name w:val="Body Text First Indent 21"/>
    <w:basedOn w:val="23"/>
    <w:next w:val="1"/>
    <w:qFormat/>
    <w:uiPriority w:val="0"/>
    <w:pPr>
      <w:ind w:firstLine="420" w:firstLineChars="200"/>
    </w:pPr>
    <w:rPr>
      <w:rFonts w:ascii="仿宋_GB2312"/>
      <w:kern w:val="2"/>
      <w:sz w:val="21"/>
      <w:szCs w:val="32"/>
    </w:rPr>
  </w:style>
  <w:style w:type="paragraph" w:customStyle="1" w:styleId="23">
    <w:name w:val="Body Text Indent1"/>
    <w:basedOn w:val="1"/>
    <w:next w:val="22"/>
    <w:qFormat/>
    <w:uiPriority w:val="0"/>
    <w:pPr>
      <w:spacing w:after="120" w:afterLines="0"/>
      <w:ind w:left="200" w:leftChars="200"/>
    </w:pPr>
    <w:rPr>
      <w:rFonts w:ascii="仿宋_GB2312"/>
      <w:szCs w:val="32"/>
    </w:rPr>
  </w:style>
  <w:style w:type="paragraph" w:customStyle="1" w:styleId="24">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5">
    <w:name w:val="Header Char"/>
    <w:basedOn w:val="18"/>
    <w:semiHidden/>
    <w:qFormat/>
    <w:uiPriority w:val="99"/>
    <w:rPr>
      <w:rFonts w:ascii="Times New Roman" w:hAnsi="Times New Roman"/>
      <w:sz w:val="18"/>
      <w:szCs w:val="18"/>
    </w:rPr>
  </w:style>
  <w:style w:type="character" w:customStyle="1" w:styleId="26">
    <w:name w:val="页眉 Char"/>
    <w:link w:val="11"/>
    <w:semiHidden/>
    <w:qFormat/>
    <w:locked/>
    <w:uiPriority w:val="99"/>
    <w:rPr>
      <w:sz w:val="18"/>
    </w:rPr>
  </w:style>
  <w:style w:type="character" w:customStyle="1" w:styleId="27">
    <w:name w:val="Footer Char"/>
    <w:basedOn w:val="18"/>
    <w:semiHidden/>
    <w:qFormat/>
    <w:uiPriority w:val="99"/>
    <w:rPr>
      <w:rFonts w:ascii="Times New Roman" w:hAnsi="Times New Roman"/>
      <w:sz w:val="18"/>
      <w:szCs w:val="18"/>
    </w:rPr>
  </w:style>
  <w:style w:type="character" w:customStyle="1" w:styleId="28">
    <w:name w:val="页脚 Char"/>
    <w:link w:val="10"/>
    <w:qFormat/>
    <w:locked/>
    <w:uiPriority w:val="99"/>
    <w:rPr>
      <w:sz w:val="18"/>
    </w:rPr>
  </w:style>
  <w:style w:type="character" w:customStyle="1" w:styleId="29">
    <w:name w:val="Body Text Char"/>
    <w:basedOn w:val="18"/>
    <w:semiHidden/>
    <w:qFormat/>
    <w:uiPriority w:val="99"/>
    <w:rPr>
      <w:rFonts w:ascii="Times New Roman" w:hAnsi="Times New Roman"/>
      <w:szCs w:val="24"/>
    </w:rPr>
  </w:style>
  <w:style w:type="character" w:customStyle="1" w:styleId="30">
    <w:name w:val="正文文本 Char"/>
    <w:link w:val="5"/>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18"/>
    <w:link w:val="2"/>
    <w:qFormat/>
    <w:uiPriority w:val="9"/>
    <w:rPr>
      <w:rFonts w:ascii="Times New Roman" w:hAnsi="Times New Roman"/>
      <w:b/>
      <w:bCs/>
      <w:kern w:val="44"/>
      <w:sz w:val="44"/>
      <w:szCs w:val="44"/>
    </w:rPr>
  </w:style>
  <w:style w:type="character" w:customStyle="1" w:styleId="34">
    <w:name w:val="标题 2 Char"/>
    <w:basedOn w:val="18"/>
    <w:link w:val="3"/>
    <w:qFormat/>
    <w:uiPriority w:val="9"/>
    <w:rPr>
      <w:rFonts w:asciiTheme="majorHAnsi" w:hAnsiTheme="majorHAnsi" w:eastAsiaTheme="majorEastAsia" w:cstheme="majorBidi"/>
      <w:b/>
      <w:bCs/>
      <w:kern w:val="2"/>
      <w:sz w:val="32"/>
      <w:szCs w:val="32"/>
    </w:rPr>
  </w:style>
  <w:style w:type="paragraph" w:customStyle="1" w:styleId="35">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Char"/>
    <w:basedOn w:val="18"/>
    <w:link w:val="9"/>
    <w:semiHidden/>
    <w:qFormat/>
    <w:uiPriority w:val="99"/>
    <w:rPr>
      <w:rFonts w:ascii="Times New Roman" w:hAnsi="Times New Roman"/>
      <w:kern w:val="2"/>
      <w:sz w:val="18"/>
      <w:szCs w:val="18"/>
    </w:rPr>
  </w:style>
  <w:style w:type="character" w:customStyle="1" w:styleId="37">
    <w:name w:val="标题 3 Char"/>
    <w:basedOn w:val="18"/>
    <w:link w:val="4"/>
    <w:qFormat/>
    <w:uiPriority w:val="9"/>
    <w:rPr>
      <w:rFonts w:ascii="Times New Roman" w:hAnsi="Times New Roman"/>
      <w:b/>
      <w:bCs/>
      <w:kern w:val="2"/>
      <w:sz w:val="32"/>
      <w:szCs w:val="32"/>
    </w:rPr>
  </w:style>
  <w:style w:type="paragraph" w:customStyle="1" w:styleId="38">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9">
    <w:name w:val="四号正文"/>
    <w:basedOn w:val="1"/>
    <w:qFormat/>
    <w:uiPriority w:val="0"/>
    <w:pPr>
      <w:spacing w:line="360" w:lineRule="auto"/>
    </w:pPr>
    <w:rPr>
      <w:rFonts w:ascii="??" w:hAnsi="??"/>
      <w:color w:val="000000"/>
      <w:kern w:val="0"/>
      <w:sz w:val="28"/>
      <w:szCs w:val="21"/>
      <w:lang w:val="zh-CN"/>
    </w:rPr>
  </w:style>
  <w:style w:type="character" w:customStyle="1" w:styleId="40">
    <w:name w:val="正文首行缩进 2 Char"/>
    <w:basedOn w:val="18"/>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AppData\Roaming\kingsoft\office6\backup\&#20844;&#24320;&#20915;&#31639;&#27604;&#23545;&#34920;.xls.B5001C37BD37D4C989464A7A04514B09.20260907180105000.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10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收、支决算总计变动情况图</a:t>
            </a:r>
            <a:endParaRPr sz="110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[公开决算比对表.xls.B5001C37BD37D4C989464A7A04514B09.20260907180105000.et]Sheet1!$B$5</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[公开决算比对表.xls.B5001C37BD37D4C989464A7A04514B09.20260907180105000.et]Sheet1!$C$4:$D$4</c:f>
              <c:strCache>
                <c:ptCount val="2"/>
                <c:pt idx="0">
                  <c:v>收入</c:v>
                </c:pt>
                <c:pt idx="1">
                  <c:v>支出</c:v>
                </c:pt>
              </c:strCache>
            </c:strRef>
          </c:cat>
          <c:val>
            <c:numRef>
              <c:f>[公开决算比对表.xls.B5001C37BD37D4C989464A7A04514B09.20260907180105000.et]Sheet1!$C$5:$D$5</c:f>
              <c:numCache>
                <c:formatCode>#,##0.00</c:formatCode>
                <c:ptCount val="2"/>
                <c:pt idx="0">
                  <c:v>1356.74</c:v>
                </c:pt>
                <c:pt idx="1">
                  <c:v>1356.74</c:v>
                </c:pt>
              </c:numCache>
            </c:numRef>
          </c:val>
        </c:ser>
        <c:ser>
          <c:idx val="1"/>
          <c:order val="1"/>
          <c:tx>
            <c:strRef>
              <c:f>[公开决算比对表.xls.B5001C37BD37D4C989464A7A04514B09.20260907180105000.et]Sheet1!$B$6</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[公开决算比对表.xls.B5001C37BD37D4C989464A7A04514B09.20260907180105000.et]Sheet1!$C$4:$D$4</c:f>
              <c:strCache>
                <c:ptCount val="2"/>
                <c:pt idx="0">
                  <c:v>收入</c:v>
                </c:pt>
                <c:pt idx="1">
                  <c:v>支出</c:v>
                </c:pt>
              </c:strCache>
            </c:strRef>
          </c:cat>
          <c:val>
            <c:numRef>
              <c:f>[公开决算比对表.xls.B5001C37BD37D4C989464A7A04514B09.20260907180105000.et]Sheet1!$C$6:$D$6</c:f>
              <c:numCache>
                <c:formatCode>General</c:formatCode>
                <c:ptCount val="2"/>
                <c:pt idx="0">
                  <c:v>2248.22</c:v>
                </c:pt>
                <c:pt idx="1">
                  <c:v>2248.22</c:v>
                </c:pt>
              </c:numCache>
            </c:numRef>
          </c:val>
        </c:ser>
        <c:dLbls>
          <c:showLegendKey val="0"/>
          <c:showVal val="0"/>
          <c:showCatName val="0"/>
          <c:showSerName val="0"/>
          <c:showPercent val="0"/>
          <c:showBubbleSize val="0"/>
        </c:dLbls>
        <c:gapWidth val="150"/>
        <c:overlap val="0"/>
        <c:axId val="942627008"/>
        <c:axId val="482601653"/>
      </c:barChart>
      <c:catAx>
        <c:axId val="942627008"/>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482601653"/>
        <c:crosses val="autoZero"/>
        <c:auto val="1"/>
        <c:lblAlgn val="ctr"/>
        <c:lblOffset val="100"/>
        <c:noMultiLvlLbl val="0"/>
      </c:catAx>
      <c:valAx>
        <c:axId val="482601653"/>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83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942627008"/>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415"/>
          <c:y val="0.1315"/>
          <c:w val="0.1657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3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d37abcc0-dc6e-4214-b9cf-fb0cb9ca154f}"/>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83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2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收入决算结构图</a:t>
            </a:r>
            <a:endParaRPr sz="102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manualLayout>
          <c:x val="-0.37775"/>
          <c:y val="0"/>
        </c:manualLayout>
      </c:layout>
      <c:overlay val="0"/>
      <c:spPr>
        <a:noFill/>
        <a:ln w="3175">
          <a:noFill/>
        </a:ln>
      </c:spPr>
    </c:title>
    <c:autoTitleDeleted val="0"/>
    <c:plotArea>
      <c:layout>
        <c:manualLayout>
          <c:layoutTarget val="inner"/>
          <c:xMode val="edge"/>
          <c:yMode val="edge"/>
          <c:x val="0.47"/>
          <c:y val="0.19675"/>
          <c:w val="0.3605"/>
          <c:h val="0.706"/>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Pt>
            <c:idx val="3"/>
            <c:bubble3D val="0"/>
            <c:explosion val="0"/>
            <c:spPr>
              <a:solidFill>
                <a:srgbClr val="CCFFFF">
                  <a:alpha val="100000"/>
                </a:srgbClr>
              </a:solidFill>
              <a:ln w="12700">
                <a:solidFill>
                  <a:srgbClr val="000000">
                    <a:alpha val="100000"/>
                  </a:srgbClr>
                </a:solidFill>
                <a:prstDash val="solid"/>
              </a:ln>
            </c:spPr>
          </c:dPt>
          <c:dLbls>
            <c:dLbl>
              <c:idx val="0"/>
              <c:layout>
                <c:manualLayout>
                  <c:x val="0.110202384252842"/>
                  <c:y val="-0.0634752710923036"/>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0831716107568617"/>
                  <c:y val="-0.075376884422110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0812309398392"/>
                  <c:y val="-0.083311293308648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10812309398392"/>
                  <c:y val="-0.0238032266596139"/>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[公开决算比对表.xls.B5001C37BD37D4C989464A7A04514B09.20260907180105000.et]Sheet1!$H$4:$K$4</c:f>
              <c:strCache>
                <c:ptCount val="4"/>
                <c:pt idx="0">
                  <c:v>一般公共预算财政拨款收入</c:v>
                </c:pt>
                <c:pt idx="1">
                  <c:v>政府性基金预算财政拨款收入</c:v>
                </c:pt>
                <c:pt idx="2">
                  <c:v>国有资本经营预算财政拨款</c:v>
                </c:pt>
                <c:pt idx="3">
                  <c:v>其他收入</c:v>
                </c:pt>
              </c:strCache>
            </c:strRef>
          </c:cat>
          <c:val>
            <c:numRef>
              <c:f>[公开决算比对表.xls.B5001C37BD37D4C989464A7A04514B09.20260907180105000.et]Sheet1!$H$5:$K$5</c:f>
              <c:numCache>
                <c:formatCode>General</c:formatCode>
                <c:ptCount val="4"/>
                <c:pt idx="0">
                  <c:v>2057.9</c:v>
                </c:pt>
                <c:pt idx="1">
                  <c:v>190.32</c:v>
                </c:pt>
                <c:pt idx="2">
                  <c:v>0</c:v>
                </c:pt>
                <c:pt idx="3">
                  <c:v>0</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ayout>
        <c:manualLayout>
          <c:xMode val="edge"/>
          <c:yMode val="edge"/>
          <c:x val="0.0300186443027447"/>
          <c:y val="0.19593493784713"/>
          <c:w val="0.31475"/>
          <c:h val="0.221"/>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7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fa3e9a3-591a-4c35-9c83-0b5538b80dac}"/>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7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0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支出决算结构图</a:t>
            </a:r>
            <a:endParaRPr sz="90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12700">
                <a:solidFill>
                  <a:srgbClr val="000000">
                    <a:alpha val="100000"/>
                  </a:srgbClr>
                </a:solidFill>
                <a:prstDash val="solid"/>
              </a:ln>
            </c:spPr>
          </c:dPt>
          <c:dLbls>
            <c:dLbl>
              <c:idx val="0"/>
              <c:layout>
                <c:manualLayout>
                  <c:x val="0.0144449030127941"/>
                  <c:y val="-0.00448028673835125"/>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06355757325629"/>
                  <c:y val="0"/>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[公开决算比对表.xls.B5001C37BD37D4C989464A7A04514B09.20260907180105000.et]Sheet1!$N$4:$O$4</c:f>
              <c:strCache>
                <c:ptCount val="2"/>
                <c:pt idx="0">
                  <c:v>基本支出</c:v>
                </c:pt>
                <c:pt idx="1">
                  <c:v>项目支出</c:v>
                </c:pt>
              </c:strCache>
            </c:strRef>
          </c:cat>
          <c:val>
            <c:numRef>
              <c:f>[公开决算比对表.xls.B5001C37BD37D4C989464A7A04514B09.20260907180105000.et]Sheet1!$N$5:$O$5</c:f>
              <c:numCache>
                <c:formatCode>General</c:formatCode>
                <c:ptCount val="2"/>
                <c:pt idx="0">
                  <c:v>298.44</c:v>
                </c:pt>
                <c:pt idx="1">
                  <c:v>1949.78</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b"/>
      <c:layout>
        <c:manualLayout>
          <c:xMode val="edge"/>
          <c:yMode val="edge"/>
          <c:x val="0.389"/>
          <c:y val="0.914"/>
          <c:w val="0.221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68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16402573-50a5-48a8-a5db-152544aebd85}"/>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8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15"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财政拨款收、支决算总计变动情况</a:t>
            </a:r>
            <a:endParaRPr sz="1015"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0"/>
          <c:order val="0"/>
          <c:tx>
            <c:strRef>
              <c:f>[公开决算比对表.xls.B5001C37BD37D4C989464A7A04514B09.20260907180105000.et]Sheet1!$B$28</c:f>
              <c:strCache>
                <c:ptCount val="1"/>
                <c:pt idx="0">
                  <c:v>2024</c:v>
                </c:pt>
              </c:strCache>
            </c:strRef>
          </c:tx>
          <c:spPr>
            <a:solidFill>
              <a:srgbClr val="9999FF">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[公开决算比对表.xls.B5001C37BD37D4C989464A7A04514B09.20260907180105000.et]Sheet1!$C$27:$D$27</c:f>
              <c:strCache>
                <c:ptCount val="2"/>
                <c:pt idx="0">
                  <c:v>收入</c:v>
                </c:pt>
                <c:pt idx="1">
                  <c:v>支出</c:v>
                </c:pt>
              </c:strCache>
            </c:strRef>
          </c:cat>
          <c:val>
            <c:numRef>
              <c:f>[公开决算比对表.xls.B5001C37BD37D4C989464A7A04514B09.20260907180105000.et]Sheet1!$C$28:$D$28</c:f>
              <c:numCache>
                <c:formatCode>#,##0.00</c:formatCode>
                <c:ptCount val="2"/>
                <c:pt idx="0">
                  <c:v>1356.74</c:v>
                </c:pt>
                <c:pt idx="1">
                  <c:v>1356.74</c:v>
                </c:pt>
              </c:numCache>
            </c:numRef>
          </c:val>
        </c:ser>
        <c:ser>
          <c:idx val="1"/>
          <c:order val="1"/>
          <c:tx>
            <c:strRef>
              <c:f>[公开决算比对表.xls.B5001C37BD37D4C989464A7A04514B09.20260907180105000.et]Sheet1!$B$29</c:f>
              <c:strCache>
                <c:ptCount val="1"/>
                <c:pt idx="0">
                  <c:v>2025</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[公开决算比对表.xls.B5001C37BD37D4C989464A7A04514B09.20260907180105000.et]Sheet1!$C$27:$D$27</c:f>
              <c:strCache>
                <c:ptCount val="2"/>
                <c:pt idx="0">
                  <c:v>收入</c:v>
                </c:pt>
                <c:pt idx="1">
                  <c:v>支出</c:v>
                </c:pt>
              </c:strCache>
            </c:strRef>
          </c:cat>
          <c:val>
            <c:numRef>
              <c:f>[公开决算比对表.xls.B5001C37BD37D4C989464A7A04514B09.20260907180105000.et]Sheet1!$C$29:$D$29</c:f>
              <c:numCache>
                <c:formatCode>General</c:formatCode>
                <c:ptCount val="2"/>
                <c:pt idx="0">
                  <c:v>2248.22</c:v>
                </c:pt>
                <c:pt idx="1">
                  <c:v>2248.22</c:v>
                </c:pt>
              </c:numCache>
            </c:numRef>
          </c:val>
        </c:ser>
        <c:dLbls>
          <c:showLegendKey val="0"/>
          <c:showVal val="0"/>
          <c:showCatName val="0"/>
          <c:showSerName val="0"/>
          <c:showPercent val="0"/>
          <c:showBubbleSize val="0"/>
        </c:dLbls>
        <c:gapWidth val="150"/>
        <c:overlap val="0"/>
        <c:axId val="563670450"/>
        <c:axId val="966074485"/>
      </c:barChart>
      <c:catAx>
        <c:axId val="563670450"/>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966074485"/>
        <c:crosses val="autoZero"/>
        <c:auto val="1"/>
        <c:lblAlgn val="ctr"/>
        <c:lblOffset val="100"/>
        <c:noMultiLvlLbl val="0"/>
      </c:catAx>
      <c:valAx>
        <c:axId val="966074485"/>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563670450"/>
        <c:crosses val="autoZero"/>
        <c:crossBetween val="between"/>
      </c:valAx>
      <c:spPr>
        <a:solidFill>
          <a:srgbClr val="C0C0C0">
            <a:alpha val="100000"/>
          </a:srgbClr>
        </a:solidFill>
        <a:ln w="3175">
          <a:solidFill>
            <a:srgbClr val="808080">
              <a:alpha val="100000"/>
            </a:srgbClr>
          </a:solidFill>
          <a:prstDash val="solid"/>
        </a:ln>
      </c:spPr>
    </c:plotArea>
    <c:legend>
      <c:legendPos val="t"/>
      <c:layout>
        <c:manualLayout>
          <c:xMode val="edge"/>
          <c:yMode val="edge"/>
          <c:x val="0.45"/>
          <c:y val="0.133"/>
          <c:w val="0.14225"/>
          <c:h val="0.0602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4b786a5-3819-491c-ba9f-8d3d53e30e74}"/>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760" b="1"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一般公共预算财政拨款支出决算变动情况</a:t>
            </a:r>
            <a:endParaRPr sz="760" b="1" i="0" u="none"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barChart>
        <c:barDir val="col"/>
        <c:grouping val="clustered"/>
        <c:varyColors val="0"/>
        <c:ser>
          <c:idx val="1"/>
          <c:order val="0"/>
          <c:tx>
            <c:strRef>
              <c:f>"一般公共预算财政拨款支出决算变动情况"</c:f>
              <c:strCache>
                <c:ptCount val="1"/>
                <c:pt idx="0">
                  <c:v>一般公共预算财政拨款支出决算变动情况</c:v>
                </c:pt>
              </c:strCache>
            </c:strRef>
          </c:tx>
          <c:spPr>
            <a:solidFill>
              <a:srgbClr val="993366">
                <a:alpha val="100000"/>
              </a:srgbClr>
            </a:solidFill>
            <a:ln w="12700">
              <a:solidFill>
                <a:srgbClr val="000000">
                  <a:alpha val="100000"/>
                </a:srgbClr>
              </a:solidFill>
              <a:prstDash val="solid"/>
            </a:ln>
          </c:spPr>
          <c:invertIfNegative val="0"/>
          <c:dLbls>
            <c:dLbl>
              <c:idx val="0"/>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w="3175">
                <a:noFill/>
              </a:ln>
              <a:effectLst/>
            </c:spPr>
            <c:txPr>
              <a:bodyPr rot="0" spcFirstLastPara="0" vertOverflow="ellipsis" vert="horz" wrap="square" lIns="38100" tIns="19050" rIns="38100" bIns="19050"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[公开决算比对表.xls.B5001C37BD37D4C989464A7A04514B09.20260907180105000.et]Sheet1!$H$27:$I$27</c:f>
              <c:numCache>
                <c:formatCode>General</c:formatCode>
                <c:ptCount val="2"/>
                <c:pt idx="0">
                  <c:v>2024</c:v>
                </c:pt>
                <c:pt idx="1">
                  <c:v>2025</c:v>
                </c:pt>
              </c:numCache>
            </c:numRef>
          </c:cat>
          <c:val>
            <c:numRef>
              <c:f>[公开决算比对表.xls.B5001C37BD37D4C989464A7A04514B09.20260907180105000.et]Sheet1!$H$28:$I$28</c:f>
              <c:numCache>
                <c:formatCode>#,##0.00</c:formatCode>
                <c:ptCount val="2"/>
                <c:pt idx="0">
                  <c:v>1068.68</c:v>
                </c:pt>
                <c:pt idx="1" c:formatCode="General">
                  <c:v>2057.9</c:v>
                </c:pt>
              </c:numCache>
            </c:numRef>
          </c:val>
        </c:ser>
        <c:dLbls>
          <c:showLegendKey val="0"/>
          <c:showVal val="0"/>
          <c:showCatName val="0"/>
          <c:showSerName val="0"/>
          <c:showPercent val="0"/>
          <c:showBubbleSize val="0"/>
        </c:dLbls>
        <c:gapWidth val="150"/>
        <c:overlap val="0"/>
        <c:axId val="752678330"/>
        <c:axId val="87417952"/>
      </c:barChart>
      <c:catAx>
        <c:axId val="752678330"/>
        <c:scaling>
          <c:orientation val="minMax"/>
        </c:scaling>
        <c:delete val="0"/>
        <c:axPos val="b"/>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crossAx val="87417952"/>
        <c:crosses val="autoZero"/>
        <c:auto val="1"/>
        <c:lblAlgn val="ctr"/>
        <c:lblOffset val="100"/>
        <c:noMultiLvlLbl val="0"/>
      </c:catAx>
      <c:valAx>
        <c:axId val="87417952"/>
        <c:scaling>
          <c:orientation val="minMax"/>
        </c:scaling>
        <c:delete val="0"/>
        <c:axPos val="l"/>
        <c:majorGridlines>
          <c:spPr>
            <a:ln w="3175" cap="flat" cmpd="sng" algn="ctr">
              <a:solidFill>
                <a:srgbClr val="000000">
                  <a:alpha val="100000"/>
                </a:srgbClr>
              </a:solidFill>
              <a:prstDash val="solid"/>
              <a:round/>
            </a:ln>
          </c:spPr>
        </c:majorGridlines>
        <c:numFmt formatCode="#,##0.00" sourceLinked="1"/>
        <c:majorTickMark val="in"/>
        <c:minorTickMark val="none"/>
        <c:tickLblPos val="nextTo"/>
        <c:spPr>
          <a:ln w="3175" cap="flat" cmpd="sng" algn="ctr">
            <a:solidFill>
              <a:srgbClr val="000000">
                <a:alpha val="100000"/>
              </a:srgbClr>
            </a:solidFill>
            <a:prstDash val="solid"/>
            <a:round/>
          </a:ln>
        </c:spPr>
        <c:txPr>
          <a:bodyPr rot="-60000000" spcFirstLastPara="0" vertOverflow="ellipsis" vert="horz" wrap="square" anchor="ctr" anchorCtr="1"/>
          <a:lstStyle/>
          <a:p>
            <a:pPr>
              <a:defRPr lang="zh-CN" sz="76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752678330"/>
        <c:crosses val="autoZero"/>
        <c:crossBetween val="between"/>
      </c:valAx>
      <c:spPr>
        <a:solidFill>
          <a:srgbClr val="C0C0C0">
            <a:alpha val="100000"/>
          </a:srgbClr>
        </a:solidFill>
        <a:ln w="3175">
          <a:solidFill>
            <a:srgbClr val="808080">
              <a:alpha val="100000"/>
            </a:srgbClr>
          </a:solidFill>
          <a:prstDash val="solid"/>
        </a:ln>
      </c:spPr>
    </c:plotArea>
    <c:legend>
      <c:legendPos val="b"/>
      <c:layout>
        <c:manualLayout>
          <c:xMode val="edge"/>
          <c:yMode val="edge"/>
          <c:x val="0.297553749622014"/>
          <c:y val="0.916"/>
          <c:w val="0.46975"/>
          <c:h val="0.066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760" b="0" i="0"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2d0e52dd-c0b8-4cce-9918-6596ae3eba47}"/>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76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20" b="1"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r>
              <a:t>一般公共预算财政拨款支出决算情况</a:t>
            </a:r>
            <a:endParaRPr sz="1420" b="1" i="0" u="sng" strike="noStrike" baseline="0">
              <a:solidFill>
                <a:srgbClr val="000000">
                  <a:alpha val="100000"/>
                </a:srgbClr>
              </a:solidFill>
              <a:latin typeface="宋体" panose="02010600030101010101" charset="-122"/>
              <a:ea typeface="宋体" panose="02010600030101010101" charset="-122"/>
              <a:cs typeface="宋体" panose="02010600030101010101" charset="-122"/>
            </a:endParaRPr>
          </a:p>
        </c:rich>
      </c:tx>
      <c:layout/>
      <c:overlay val="0"/>
      <c:spPr>
        <a:noFill/>
        <a:ln w="3175">
          <a:noFill/>
        </a:ln>
      </c:spPr>
    </c:title>
    <c:autoTitleDeleted val="0"/>
    <c:plotArea>
      <c:layout>
        <c:manualLayout>
          <c:layoutTarget val="inner"/>
          <c:xMode val="edge"/>
          <c:yMode val="edge"/>
          <c:x val="0.24375"/>
          <c:y val="0.29"/>
          <c:w val="0.28825"/>
          <c:h val="0.51525"/>
        </c:manualLayout>
      </c:layout>
      <c:pieChart>
        <c:varyColors val="1"/>
        <c:ser>
          <c:idx val="0"/>
          <c:order val="0"/>
          <c:spPr>
            <a:solidFill>
              <a:srgbClr val="9999FF">
                <a:alpha val="100000"/>
              </a:srgbClr>
            </a:solidFill>
            <a:ln w="12700">
              <a:solidFill>
                <a:srgbClr val="000000">
                  <a:alpha val="100000"/>
                </a:srgbClr>
              </a:solidFill>
              <a:prstDash val="solid"/>
            </a:ln>
          </c:spPr>
          <c:explosion val="0"/>
          <c:dPt>
            <c:idx val="0"/>
            <c:bubble3D val="0"/>
            <c:explosion val="0"/>
            <c:spPr>
              <a:solidFill>
                <a:schemeClr val="accent1">
                  <a:lumMod val="20000"/>
                  <a:lumOff val="80000"/>
                </a:schemeClr>
              </a:solidFill>
              <a:ln w="12700">
                <a:solidFill>
                  <a:srgbClr val="000000">
                    <a:alpha val="100000"/>
                  </a:srgbClr>
                </a:solidFill>
                <a:prstDash val="solid"/>
              </a:ln>
            </c:spPr>
          </c:dPt>
          <c:dPt>
            <c:idx val="1"/>
            <c:bubble3D val="0"/>
            <c:explosion val="0"/>
            <c:spPr>
              <a:solidFill>
                <a:srgbClr val="993366">
                  <a:alpha val="100000"/>
                </a:srgbClr>
              </a:solidFill>
              <a:ln w="19050">
                <a:solidFill>
                  <a:srgbClr val="000000">
                    <a:alpha val="100000"/>
                  </a:srgbClr>
                </a:solidFill>
                <a:prstDash val="solid"/>
              </a:ln>
            </c:spPr>
          </c:dPt>
          <c:dPt>
            <c:idx val="2"/>
            <c:bubble3D val="0"/>
            <c:explosion val="0"/>
            <c:spPr>
              <a:solidFill>
                <a:srgbClr val="FFFFCC">
                  <a:alpha val="100000"/>
                </a:srgbClr>
              </a:solidFill>
              <a:ln w="19050">
                <a:solidFill>
                  <a:srgbClr val="000000">
                    <a:alpha val="100000"/>
                  </a:srgbClr>
                </a:solidFill>
                <a:prstDash val="solid"/>
              </a:ln>
            </c:spPr>
          </c:dPt>
          <c:dPt>
            <c:idx val="3"/>
            <c:bubble3D val="0"/>
            <c:explosion val="0"/>
            <c:spPr>
              <a:solidFill>
                <a:srgbClr val="CCFFFF">
                  <a:alpha val="100000"/>
                </a:srgbClr>
              </a:solidFill>
              <a:ln w="19050">
                <a:solidFill>
                  <a:srgbClr val="000000">
                    <a:alpha val="100000"/>
                  </a:srgbClr>
                </a:solidFill>
                <a:prstDash val="solid"/>
              </a:ln>
            </c:spPr>
          </c:dPt>
          <c:dPt>
            <c:idx val="4"/>
            <c:bubble3D val="0"/>
            <c:spPr>
              <a:solidFill>
                <a:schemeClr val="accent2">
                  <a:lumMod val="20000"/>
                  <a:lumOff val="80000"/>
                </a:schemeClr>
              </a:solidFill>
              <a:ln w="12700">
                <a:solidFill>
                  <a:srgbClr val="000000">
                    <a:alpha val="100000"/>
                  </a:srgbClr>
                </a:solidFill>
                <a:prstDash val="solid"/>
              </a:ln>
            </c:spPr>
          </c:dPt>
          <c:dPt>
            <c:idx val="5"/>
            <c:bubble3D val="0"/>
            <c:spPr>
              <a:solidFill>
                <a:srgbClr val="9999FF">
                  <a:alpha val="100000"/>
                </a:srgbClr>
              </a:solidFill>
              <a:ln w="12700">
                <a:solidFill>
                  <a:srgbClr val="000000">
                    <a:alpha val="100000"/>
                  </a:srgbClr>
                </a:solidFill>
                <a:prstDash val="solid"/>
              </a:ln>
            </c:spPr>
          </c:dPt>
          <c:dLbls>
            <c:dLbl>
              <c:idx val="0"/>
              <c:layout>
                <c:manualLayout>
                  <c:x val="0.0396733227225904"/>
                  <c:y val="-0.02105720443427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281732739842006"/>
                  <c:y val="0.0202983616059132"/>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0259093585099254"/>
                  <c:y val="-0.0561356220113987"/>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493402141573555"/>
                  <c:y val="-0.0405021145808574"/>
                </c:manualLayout>
              </c:layout>
              <c:numFmt formatCode="0%" sourceLinked="0"/>
              <c:spPr>
                <a:noFill/>
                <a:ln w="3175">
                  <a:noFill/>
                </a:ln>
                <a:effectLst/>
              </c:spPr>
              <c:txPr>
                <a:bodyPr rot="0" spcFirstLastPara="0" vertOverflow="ellipsis" vert="horz" wrap="square" lIns="38100" tIns="19050" rIns="38100" bIns="19050" anchor="ctr" anchorCtr="1"/>
                <a:lstStyle/>
                <a:p>
                  <a:pPr>
                    <a:defRPr lang="zh-CN" sz="75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manualLayout>
                  <c:x val="-0.0217643644805572"/>
                  <c:y val="-0.042328042328042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manualLayout>
                  <c:x val="0.111079244566088"/>
                  <c:y val="-0.0114937111858159"/>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 sourceLinked="0"/>
            <c:spPr>
              <a:noFill/>
              <a:ln w="3175">
                <a:noFill/>
              </a:ln>
              <a:effectLst/>
            </c:spPr>
            <c:txPr>
              <a:bodyPr rot="0" spcFirstLastPara="0" vertOverflow="ellipsis" vert="horz" wrap="square" lIns="38100" tIns="19050" rIns="38100" bIns="19050" anchor="ctr" anchorCtr="1"/>
              <a:lstStyle/>
              <a:p>
                <a:pPr>
                  <a:defRPr lang="zh-CN" sz="1065" b="0" i="0" u="sng"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000000">
                          <a:alpha val="100000"/>
                        </a:srgbClr>
                      </a:solidFill>
                      <a:prstDash val="solid"/>
                      <a:round/>
                    </a:ln>
                  </c:spPr>
                </c15:leaderLines>
              </c:ext>
            </c:extLst>
          </c:dLbls>
          <c:cat>
            <c:strRef>
              <c:f>[公开决算比对表.xls.B5001C37BD37D4C989464A7A04514B09.20260907180105000.et]Sheet1!$M$26:$R$26</c:f>
              <c:strCache>
                <c:ptCount val="6"/>
                <c:pt idx="0">
                  <c:v>一般公共服务支出</c:v>
                </c:pt>
                <c:pt idx="1">
                  <c:v>社会保障和就业支出</c:v>
                </c:pt>
                <c:pt idx="2">
                  <c:v>卫生健康支出</c:v>
                </c:pt>
                <c:pt idx="3">
                  <c:v>农林水支出</c:v>
                </c:pt>
                <c:pt idx="4">
                  <c:v>商业服务业等支出</c:v>
                </c:pt>
                <c:pt idx="5">
                  <c:v>住房保障支出</c:v>
                </c:pt>
              </c:strCache>
            </c:strRef>
          </c:cat>
          <c:val>
            <c:numRef>
              <c:f>[公开决算比对表.xls.B5001C37BD37D4C989464A7A04514B09.20260907180105000.et]Sheet1!$M$27:$R$27</c:f>
              <c:numCache>
                <c:formatCode>#,##0.00</c:formatCode>
                <c:ptCount val="6"/>
                <c:pt idx="0">
                  <c:v>1652.67</c:v>
                </c:pt>
                <c:pt idx="1" c:formatCode="General">
                  <c:v>33.25</c:v>
                </c:pt>
                <c:pt idx="2" c:formatCode="General">
                  <c:v>15.49</c:v>
                </c:pt>
                <c:pt idx="3" c:formatCode="General">
                  <c:v>315.36</c:v>
                </c:pt>
                <c:pt idx="4" c:formatCode="General">
                  <c:v>20</c:v>
                </c:pt>
                <c:pt idx="5" c:formatCode="General">
                  <c:v>21.12</c:v>
                </c:pt>
              </c:numCache>
            </c:numRef>
          </c:val>
        </c:ser>
        <c:dLbls>
          <c:showLegendKey val="0"/>
          <c:showVal val="0"/>
          <c:showCatName val="0"/>
          <c:showSerName val="0"/>
          <c:showPercent val="0"/>
          <c:showBubbleSize val="0"/>
          <c:showLeaderLines val="1"/>
        </c:dLbls>
        <c:firstSliceAng val="0"/>
      </c:pieChart>
      <c:spPr>
        <a:noFill/>
        <a:ln w="3175">
          <a:noFill/>
        </a:ln>
      </c:spPr>
    </c:plotArea>
    <c:legend>
      <c:legendPos val="r"/>
      <c:legendEntry>
        <c:idx val="0"/>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3"/>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709295437881524"/>
          <c:y val="0.474968110160486"/>
          <c:w val="0.2715"/>
          <c:h val="0.44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900" b="0" i="0" u="sng"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9ef506d9-f57e-4f20-9774-f4db0b2828cf}"/>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1065" b="0" i="0" u="sng"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000" b="0" i="1"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r>
              <a:rPr sz="1000" i="0" u="none" strike="noStrike" cap="none" normalizeH="0">
                <a:solidFill>
                  <a:srgbClr val="000000">
                    <a:alpha val="100000"/>
                  </a:srgbClr>
                </a:solidFill>
                <a:uFill>
                  <a:solidFill>
                    <a:srgbClr val="000000">
                      <a:alpha val="100000"/>
                    </a:srgbClr>
                  </a:solidFill>
                </a:uFill>
                <a:latin typeface="宋体" panose="02010600030101010101" charset="-122"/>
              </a:rPr>
              <a:t>“三公”经费财政拨款支出结构</a:t>
            </a:r>
            <a:endParaRPr sz="1000" b="0" i="0" u="none" strike="noStrike" cap="none"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endParaRPr>
          </a:p>
        </c:rich>
      </c:tx>
      <c:layout>
        <c:manualLayout>
          <c:x val="-0.23125"/>
          <c:y val="-0.0105"/>
        </c:manualLayout>
      </c:layout>
      <c:overlay val="0"/>
      <c:spPr>
        <a:noFill/>
        <a:ln w="3175">
          <a:noFill/>
        </a:ln>
      </c:spPr>
    </c:title>
    <c:autoTitleDeleted val="0"/>
    <c:plotArea>
      <c:layout>
        <c:manualLayout>
          <c:layoutTarget val="inner"/>
          <c:xMode val="edge"/>
          <c:yMode val="edge"/>
          <c:x val="0.31975"/>
          <c:y val="0.2935"/>
          <c:w val="0.26575"/>
          <c:h val="0.55975"/>
        </c:manualLayout>
      </c:layout>
      <c:pieChart>
        <c:varyColors val="1"/>
        <c:ser>
          <c:idx val="0"/>
          <c:order val="0"/>
          <c:tx>
            <c:strRef>
              <c:f>"“三公”经费财政拨款支出结构"</c:f>
              <c:strCache>
                <c:ptCount val="1"/>
                <c:pt idx="0">
                  <c:v>“三公”经费财政拨款支出结构</c:v>
                </c:pt>
              </c:strCache>
            </c:strRef>
          </c:tx>
          <c:spPr>
            <a:solidFill>
              <a:srgbClr val="9999FF">
                <a:alpha val="100000"/>
              </a:srgbClr>
            </a:solidFill>
            <a:ln w="12700">
              <a:solidFill>
                <a:srgbClr val="000000">
                  <a:alpha val="100000"/>
                </a:srgbClr>
              </a:solidFill>
              <a:prstDash val="solid"/>
            </a:ln>
          </c:spPr>
          <c:explosion val="0"/>
          <c:dPt>
            <c:idx val="0"/>
            <c:bubble3D val="0"/>
            <c:explosion val="0"/>
            <c:spPr>
              <a:solidFill>
                <a:srgbClr val="9999FF">
                  <a:alpha val="100000"/>
                </a:srgbClr>
              </a:solidFill>
              <a:ln w="12700">
                <a:solidFill>
                  <a:srgbClr val="000000">
                    <a:alpha val="100000"/>
                  </a:srgbClr>
                </a:solidFill>
                <a:prstDash val="solid"/>
              </a:ln>
            </c:spPr>
          </c:dPt>
          <c:dPt>
            <c:idx val="1"/>
            <c:bubble3D val="0"/>
            <c:explosion val="0"/>
            <c:spPr>
              <a:solidFill>
                <a:srgbClr val="993366">
                  <a:alpha val="100000"/>
                </a:srgbClr>
              </a:solidFill>
              <a:ln w="3175">
                <a:solidFill>
                  <a:srgbClr val="000000">
                    <a:alpha val="100000"/>
                  </a:srgbClr>
                </a:solidFill>
                <a:prstDash val="solid"/>
              </a:ln>
            </c:spPr>
          </c:dPt>
          <c:dPt>
            <c:idx val="2"/>
            <c:bubble3D val="0"/>
            <c:explosion val="0"/>
            <c:spPr>
              <a:solidFill>
                <a:srgbClr val="FFFFCC">
                  <a:alpha val="100000"/>
                </a:srgbClr>
              </a:solidFill>
              <a:ln w="12700">
                <a:solidFill>
                  <a:srgbClr val="000000">
                    <a:alpha val="100000"/>
                  </a:srgbClr>
                </a:solidFill>
                <a:prstDash val="solid"/>
              </a:ln>
            </c:spPr>
          </c:dPt>
          <c:dLbls>
            <c:dLbl>
              <c:idx val="0"/>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1"/>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dLbl>
              <c:idx val="2"/>
              <c:layout/>
              <c:numFmt formatCode="0%" sourceLinked="0"/>
              <c:spPr>
                <a:noFill/>
                <a:ln w="3175">
                  <a:noFill/>
                </a:ln>
                <a:effectLst/>
              </c:spPr>
              <c:txPr>
                <a:bodyPr rot="0" spcFirstLastPara="0" vertOverflow="ellipsis" vert="horz" wrap="square" lIns="38100" tIns="19050" rIns="38100" bIns="19050" anchor="ctr" anchorCtr="1"/>
                <a:lstStyle/>
                <a:p>
                  <a:pPr>
                    <a:defRPr lang="zh-CN" sz="530"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extLst>
                <c:ext xmlns:c15="http://schemas.microsoft.com/office/drawing/2012/chart" uri="{CE6537A1-D6FC-4f65-9D91-7224C49458BB}"/>
              </c:extLst>
            </c:dLbl>
            <c:numFmt formatCode="0%" sourceLinked="0"/>
            <c:spPr>
              <a:noFill/>
              <a:ln w="3175">
                <a:noFill/>
              </a:ln>
              <a:effectLst/>
            </c:spPr>
            <c:txPr>
              <a:bodyPr rot="0" spcFirstLastPara="0" vertOverflow="ellipsis" vert="horz" wrap="square" lIns="38100" tIns="19050" rIns="38100" bIns="19050" anchor="ctr" anchorCtr="1"/>
              <a:lstStyle/>
              <a:p>
                <a:pPr>
                  <a:defRPr lang="zh-CN" sz="695" b="0" i="1" u="none" strike="noStrike" kern="1200" baseline="0">
                    <a:solidFill>
                      <a:srgbClr val="000000">
                        <a:alpha val="100000"/>
                      </a:srgbClr>
                    </a:solidFill>
                    <a:latin typeface="宋体" panose="02010600030101010101" charset="-122"/>
                    <a:ea typeface="宋体" panose="02010600030101010101" charset="-122"/>
                    <a:cs typeface="宋体" panose="02010600030101010101" charset="-122"/>
                  </a:defRPr>
                </a:pPr>
              </a:p>
            </c:txPr>
            <c:dLblPos val="outEnd"/>
            <c:showLegendKey val="1"/>
            <c:showVal val="1"/>
            <c:showCatName val="0"/>
            <c:showSerName val="0"/>
            <c:showPercent val="1"/>
            <c:showBubbleSize val="0"/>
            <c:showLeaderLines val="0"/>
            <c:extLst>
              <c:ext xmlns:c15="http://schemas.microsoft.com/office/drawing/2012/chart" uri="{CE6537A1-D6FC-4f65-9D91-7224C49458BB}">
                <c15:layout/>
                <c15:showLeaderLines val="0"/>
                <c15:leaderLines/>
              </c:ext>
            </c:extLst>
          </c:dLbls>
          <c:cat>
            <c:strRef>
              <c:f>[公开决算比对表.xls.B5001C37BD37D4C989464A7A04514B09.20260907180105000.et]Sheet1!$B$49:$D$49</c:f>
              <c:strCache>
                <c:ptCount val="3"/>
                <c:pt idx="0">
                  <c:v>因公出国（境）费支出决算</c:v>
                </c:pt>
                <c:pt idx="1">
                  <c:v>公务用车购置及运行维护费支出决算</c:v>
                </c:pt>
                <c:pt idx="2">
                  <c:v>公务接待费支出决算</c:v>
                </c:pt>
              </c:strCache>
            </c:strRef>
          </c:cat>
          <c:val>
            <c:numRef>
              <c:f>[公开决算比对表.xls.B5001C37BD37D4C989464A7A04514B09.20260907180105000.et]Sheet1!$B$50:$D$50</c:f>
              <c:numCache>
                <c:formatCode>General</c:formatCode>
                <c:ptCount val="3"/>
                <c:pt idx="0">
                  <c:v>0</c:v>
                </c:pt>
                <c:pt idx="1">
                  <c:v>0</c:v>
                </c:pt>
                <c:pt idx="2">
                  <c:v>39.24</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1"/>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egendEntry>
        <c:idx val="2"/>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Entry>
      <c:layout>
        <c:manualLayout>
          <c:xMode val="edge"/>
          <c:yMode val="edge"/>
          <c:x val="0.673"/>
          <c:y val="0.3825"/>
          <c:w val="0.31175"/>
          <c:h val="0.30875"/>
        </c:manualLayout>
      </c:layout>
      <c:overlay val="0"/>
      <c:spPr>
        <a:solidFill>
          <a:srgbClr val="FFFFFF">
            <a:alpha val="100000"/>
          </a:srgbClr>
        </a:solidFill>
        <a:ln w="3175">
          <a:solidFill>
            <a:srgbClr val="000000">
              <a:alpha val="100000"/>
            </a:srgbClr>
          </a:solidFill>
          <a:prstDash val="solid"/>
        </a:ln>
      </c:spPr>
      <c:txPr>
        <a:bodyPr rot="0" spcFirstLastPara="0" vertOverflow="ellipsis" vert="horz" wrap="square" anchor="ctr" anchorCtr="1"/>
        <a:lstStyle/>
        <a:p>
          <a:pPr>
            <a:defRPr lang="zh-CN" sz="800" b="0" i="0" u="none" strike="noStrike" kern="1200" cap="none" spc="0" normalizeH="0" baseline="0">
              <a:solidFill>
                <a:srgbClr val="000000">
                  <a:alpha val="100000"/>
                </a:srgbClr>
              </a:solidFill>
              <a:uFill>
                <a:solidFill>
                  <a:srgbClr val="000000">
                    <a:alpha val="100000"/>
                  </a:srgbClr>
                </a:solidFill>
              </a:u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baf5c3d5-1233-49c9-8aa9-303efd526dff}"/>
      </c:ext>
    </c:extLst>
  </c:chart>
  <c:spPr>
    <a:solidFill>
      <a:srgbClr val="FFFFFF">
        <a:alpha val="100000"/>
      </a:srgbClr>
    </a:solidFill>
    <a:ln w="3175" cap="flat" cmpd="sng" algn="ctr">
      <a:solidFill>
        <a:srgbClr val="000000">
          <a:alpha val="100000"/>
        </a:srgbClr>
      </a:solidFill>
      <a:prstDash val="solid"/>
      <a:round/>
    </a:ln>
  </c:spPr>
  <c:txPr>
    <a:bodyPr rot="0" wrap="square" anchor="ctr" anchorCtr="1"/>
    <a:lstStyle/>
    <a:p>
      <a:pPr>
        <a:defRPr lang="zh-CN" sz="695" b="0" i="1"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33</Pages>
  <Words>545</Words>
  <Characters>575</Characters>
  <Lines>63</Lines>
  <Paragraphs>17</Paragraphs>
  <TotalTime>14</TotalTime>
  <ScaleCrop>false</ScaleCrop>
  <LinksUpToDate>false</LinksUpToDate>
  <CharactersWithSpaces>673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李永翔</cp:lastModifiedBy>
  <cp:lastPrinted>2026-08-27T00:27:00Z</cp:lastPrinted>
  <dcterms:modified xsi:type="dcterms:W3CDTF">2026-10-09T08:46:41Z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0835443EE3EF4E86BA13360084B837D5</vt:lpwstr>
  </property>
  <property fmtid="{D5CDD505-2E9C-101B-9397-08002B2CF9AE}" pid="4" name="KSOTemplateDocerSaveRecord">
    <vt:lpwstr>eyJoZGlkIjoiNTBlZWFlZGZkMjk0MTE0NTYxZmM0MzM5MWNkNDNjZmYiLCJ1c2VySWQiOiIxMTI5NjQwNzY3In0=</vt:lpwstr>
  </property>
</Properties>
</file>