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EF666">
      <w:pPr>
        <w:pStyle w:val="8"/>
        <w:rPr>
          <w:rFonts w:hint="eastAsia" w:ascii="黑体" w:hAnsi="黑体" w:eastAsia="黑体" w:cs="黑体"/>
          <w:color w:val="auto"/>
          <w:kern w:val="2"/>
          <w:sz w:val="32"/>
          <w:szCs w:val="32"/>
          <w:highlight w:val="none"/>
          <w:lang w:val="en-US" w:eastAsia="zh-CN" w:bidi="ar-SA"/>
        </w:rPr>
      </w:pPr>
      <w:bookmarkStart w:id="0" w:name="_Toc15377193"/>
      <w:bookmarkStart w:id="1" w:name="_Toc15396597"/>
      <w:bookmarkStart w:id="2" w:name="_Toc15378441"/>
      <w:bookmarkStart w:id="3" w:name="_Toc15396475"/>
      <w:bookmarkStart w:id="4" w:name="_Toc15377425"/>
      <w:bookmarkStart w:id="5" w:name="_Toc15306267"/>
    </w:p>
    <w:p w14:paraId="3ECEB742">
      <w:pPr>
        <w:pStyle w:val="8"/>
        <w:rPr>
          <w:rFonts w:hint="eastAsia" w:ascii="Times New Roman" w:hAnsi="Times New Roman" w:eastAsia="方正小标宋简体" w:cs="Times New Roman"/>
          <w:color w:val="auto"/>
          <w:kern w:val="2"/>
          <w:sz w:val="72"/>
          <w:szCs w:val="72"/>
          <w:highlight w:val="none"/>
          <w:lang w:val="en-US" w:eastAsia="zh-CN" w:bidi="ar-SA"/>
        </w:rPr>
      </w:pPr>
    </w:p>
    <w:p w14:paraId="23CD0CAD">
      <w:pPr>
        <w:pStyle w:val="8"/>
        <w:rPr>
          <w:rFonts w:hint="eastAsia" w:ascii="Times New Roman" w:hAnsi="Times New Roman" w:eastAsia="方正小标宋简体" w:cs="Times New Roman"/>
          <w:color w:val="auto"/>
          <w:kern w:val="2"/>
          <w:sz w:val="72"/>
          <w:szCs w:val="72"/>
          <w:highlight w:val="none"/>
          <w:lang w:val="en-US" w:eastAsia="zh-CN" w:bidi="ar-SA"/>
        </w:rPr>
      </w:pPr>
    </w:p>
    <w:p w14:paraId="698D4554">
      <w:pPr>
        <w:pStyle w:val="8"/>
        <w:rPr>
          <w:rFonts w:hint="eastAsia" w:ascii="Times New Roman" w:hAnsi="Times New Roman" w:eastAsia="方正小标宋简体" w:cs="Times New Roman"/>
          <w:color w:val="auto"/>
          <w:kern w:val="2"/>
          <w:sz w:val="72"/>
          <w:szCs w:val="72"/>
          <w:highlight w:val="none"/>
          <w:lang w:val="en-US" w:eastAsia="zh-CN" w:bidi="ar-SA"/>
        </w:rPr>
      </w:pPr>
    </w:p>
    <w:bookmarkEnd w:id="0"/>
    <w:bookmarkEnd w:id="1"/>
    <w:bookmarkEnd w:id="2"/>
    <w:bookmarkEnd w:id="3"/>
    <w:bookmarkEnd w:id="4"/>
    <w:p w14:paraId="397AD568">
      <w:pPr>
        <w:pStyle w:val="8"/>
        <w:jc w:val="center"/>
        <w:rPr>
          <w:rFonts w:hint="eastAsia" w:ascii="Times New Roman" w:eastAsia="方正小标宋简体" w:cs="Times New Roman"/>
          <w:color w:val="auto"/>
          <w:kern w:val="2"/>
          <w:sz w:val="44"/>
          <w:szCs w:val="44"/>
          <w:highlight w:val="none"/>
          <w:lang w:val="en-US" w:eastAsia="zh-CN" w:bidi="ar-SA"/>
        </w:rPr>
      </w:pPr>
      <w:bookmarkStart w:id="6" w:name="_Toc15377194"/>
      <w:bookmarkStart w:id="7" w:name="_Toc15396598"/>
      <w:bookmarkStart w:id="8" w:name="_Toc15378442"/>
      <w:bookmarkStart w:id="9" w:name="_Toc15377426"/>
      <w:bookmarkStart w:id="10" w:name="_Toc15396476"/>
      <w:r>
        <w:rPr>
          <w:rFonts w:hint="eastAsia" w:ascii="Times New Roman" w:eastAsia="方正小标宋简体" w:cs="Times New Roman"/>
          <w:color w:val="auto"/>
          <w:kern w:val="2"/>
          <w:sz w:val="44"/>
          <w:szCs w:val="44"/>
          <w:highlight w:val="none"/>
          <w:lang w:val="en-US" w:eastAsia="zh-CN" w:bidi="ar-SA"/>
        </w:rPr>
        <w:t>2025年度攀枝花市仁和区</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行政审批局</w:t>
      </w:r>
    </w:p>
    <w:p w14:paraId="1C562D93">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w:t>
      </w:r>
    </w:p>
    <w:p w14:paraId="71015810">
      <w:pPr>
        <w:widowControl/>
        <w:jc w:val="center"/>
        <w:rPr>
          <w:rFonts w:hint="eastAsia" w:ascii="Times New Roman" w:hAnsi="Times New Roman" w:eastAsia="黑体"/>
          <w:color w:val="auto"/>
          <w:sz w:val="48"/>
          <w:szCs w:val="48"/>
          <w:highlight w:val="none"/>
        </w:rPr>
      </w:pPr>
    </w:p>
    <w:p w14:paraId="1552BD67">
      <w:pPr>
        <w:widowControl/>
        <w:jc w:val="center"/>
        <w:rPr>
          <w:rFonts w:hint="eastAsia" w:ascii="Times New Roman" w:hAnsi="Times New Roman" w:eastAsia="黑体"/>
          <w:color w:val="auto"/>
          <w:sz w:val="48"/>
          <w:szCs w:val="48"/>
          <w:highlight w:val="none"/>
        </w:rPr>
      </w:pPr>
    </w:p>
    <w:p w14:paraId="3CD61844">
      <w:pPr>
        <w:widowControl/>
        <w:jc w:val="center"/>
        <w:rPr>
          <w:rFonts w:hint="eastAsia" w:ascii="Times New Roman" w:hAnsi="Times New Roman" w:eastAsia="黑体"/>
          <w:color w:val="auto"/>
          <w:sz w:val="48"/>
          <w:szCs w:val="48"/>
          <w:highlight w:val="none"/>
        </w:rPr>
      </w:pPr>
    </w:p>
    <w:p w14:paraId="67164259">
      <w:pPr>
        <w:widowControl/>
        <w:jc w:val="center"/>
        <w:rPr>
          <w:rFonts w:hint="eastAsia" w:ascii="Times New Roman" w:hAnsi="Times New Roman" w:eastAsia="黑体"/>
          <w:color w:val="auto"/>
          <w:sz w:val="48"/>
          <w:szCs w:val="48"/>
          <w:highlight w:val="none"/>
        </w:rPr>
      </w:pPr>
    </w:p>
    <w:p w14:paraId="7EB5EE81">
      <w:pPr>
        <w:widowControl/>
        <w:jc w:val="center"/>
        <w:rPr>
          <w:rFonts w:hint="eastAsia" w:ascii="Times New Roman" w:hAnsi="Times New Roman" w:eastAsia="黑体"/>
          <w:color w:val="auto"/>
          <w:sz w:val="48"/>
          <w:szCs w:val="48"/>
          <w:highlight w:val="none"/>
        </w:rPr>
      </w:pPr>
    </w:p>
    <w:p w14:paraId="455B20E6">
      <w:pPr>
        <w:widowControl/>
        <w:jc w:val="center"/>
        <w:rPr>
          <w:rFonts w:hint="eastAsia" w:ascii="Times New Roman" w:hAnsi="Times New Roman" w:eastAsia="黑体"/>
          <w:color w:val="auto"/>
          <w:sz w:val="48"/>
          <w:szCs w:val="48"/>
          <w:highlight w:val="none"/>
        </w:rPr>
      </w:pPr>
    </w:p>
    <w:p w14:paraId="20CFE38E">
      <w:pPr>
        <w:widowControl/>
        <w:jc w:val="center"/>
        <w:rPr>
          <w:rFonts w:hint="eastAsia" w:ascii="Times New Roman" w:hAnsi="Times New Roman" w:eastAsia="黑体"/>
          <w:color w:val="auto"/>
          <w:sz w:val="48"/>
          <w:szCs w:val="48"/>
          <w:highlight w:val="none"/>
        </w:rPr>
      </w:pPr>
    </w:p>
    <w:p w14:paraId="514DC8C5">
      <w:pPr>
        <w:widowControl/>
        <w:jc w:val="center"/>
        <w:rPr>
          <w:rFonts w:hint="eastAsia" w:ascii="Times New Roman" w:hAnsi="Times New Roman" w:eastAsia="黑体"/>
          <w:color w:val="auto"/>
          <w:sz w:val="48"/>
          <w:szCs w:val="48"/>
          <w:highlight w:val="none"/>
        </w:rPr>
      </w:pPr>
    </w:p>
    <w:p w14:paraId="7FA9A382">
      <w:pPr>
        <w:widowControl/>
        <w:jc w:val="center"/>
        <w:rPr>
          <w:rFonts w:hint="eastAsia" w:ascii="Times New Roman" w:hAnsi="Times New Roman" w:eastAsia="黑体"/>
          <w:color w:val="auto"/>
          <w:sz w:val="48"/>
          <w:szCs w:val="48"/>
          <w:highlight w:val="none"/>
        </w:rPr>
      </w:pPr>
    </w:p>
    <w:p w14:paraId="6D97DB97">
      <w:pPr>
        <w:widowControl/>
        <w:jc w:val="center"/>
        <w:rPr>
          <w:rFonts w:hint="eastAsia" w:ascii="Times New Roman" w:hAnsi="Times New Roman" w:eastAsia="黑体"/>
          <w:color w:val="auto"/>
          <w:sz w:val="48"/>
          <w:szCs w:val="48"/>
          <w:highlight w:val="none"/>
        </w:rPr>
      </w:pPr>
    </w:p>
    <w:p w14:paraId="33FEDF93">
      <w:pPr>
        <w:widowControl/>
        <w:jc w:val="center"/>
        <w:rPr>
          <w:rFonts w:hint="eastAsia" w:ascii="Times New Roman" w:hAnsi="Times New Roman" w:eastAsia="黑体"/>
          <w:color w:val="auto"/>
          <w:sz w:val="48"/>
          <w:szCs w:val="48"/>
          <w:highlight w:val="none"/>
        </w:rPr>
      </w:pPr>
    </w:p>
    <w:p w14:paraId="6D5A3757">
      <w:pPr>
        <w:widowControl/>
        <w:jc w:val="center"/>
        <w:rPr>
          <w:rFonts w:hint="eastAsia" w:ascii="Times New Roman" w:hAnsi="Times New Roman" w:eastAsia="黑体"/>
          <w:color w:val="auto"/>
          <w:sz w:val="48"/>
          <w:szCs w:val="48"/>
          <w:highlight w:val="none"/>
        </w:rPr>
      </w:pPr>
    </w:p>
    <w:p w14:paraId="6881BD9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1D72180">
      <w:pPr>
        <w:widowControl/>
        <w:jc w:val="center"/>
        <w:rPr>
          <w:rFonts w:ascii="Times New Roman" w:hAnsi="Times New Roman" w:eastAsia="黑体" w:cstheme="minorBidi"/>
          <w:color w:val="auto"/>
          <w:sz w:val="28"/>
          <w:szCs w:val="28"/>
          <w:highlight w:val="none"/>
        </w:rPr>
      </w:pPr>
    </w:p>
    <w:p w14:paraId="4A2AA52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21</w:t>
      </w:r>
      <w:r>
        <w:rPr>
          <w:rFonts w:hint="eastAsia" w:ascii="Times New Roman" w:hAnsi="Times New Roman" w:eastAsia="仿宋_GB2312" w:cs="仿宋_GB2312"/>
          <w:color w:val="auto"/>
          <w:sz w:val="32"/>
          <w:szCs w:val="32"/>
          <w:highlight w:val="none"/>
        </w:rPr>
        <w:t>日</w:t>
      </w:r>
    </w:p>
    <w:p w14:paraId="04086CE6">
      <w:pPr>
        <w:rPr>
          <w:rFonts w:ascii="Times New Roman" w:hAnsi="Times New Roman"/>
          <w:color w:val="auto"/>
          <w:highlight w:val="none"/>
        </w:rPr>
      </w:pPr>
    </w:p>
    <w:p w14:paraId="3F2665F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14:paraId="795A72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71F02C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......................................................................2</w:t>
      </w:r>
    </w:p>
    <w:p w14:paraId="4899A58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...................................3</w:t>
      </w:r>
    </w:p>
    <w:p w14:paraId="6DF5123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......................................3</w:t>
      </w:r>
    </w:p>
    <w:p w14:paraId="0DF078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.......................................................3</w:t>
      </w:r>
    </w:p>
    <w:p w14:paraId="4FE124B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......................................................4</w:t>
      </w:r>
    </w:p>
    <w:p w14:paraId="1D617CB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1B46978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..............5</w:t>
      </w:r>
    </w:p>
    <w:p w14:paraId="2C056F5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.......8</w:t>
      </w:r>
    </w:p>
    <w:p w14:paraId="65E4137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..............9</w:t>
      </w:r>
    </w:p>
    <w:p w14:paraId="0A82A6F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.........................11</w:t>
      </w:r>
    </w:p>
    <w:p w14:paraId="2E8856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.....................11</w:t>
      </w:r>
    </w:p>
    <w:p w14:paraId="234F54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.........................................11</w:t>
      </w:r>
    </w:p>
    <w:p w14:paraId="5D9F90E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.................................................................13</w:t>
      </w:r>
    </w:p>
    <w:p w14:paraId="33BE4DA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.........................................................................16</w:t>
      </w:r>
    </w:p>
    <w:p w14:paraId="4BEB359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.........................................................................26</w:t>
      </w:r>
    </w:p>
    <w:p w14:paraId="18DA239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...................................................26</w:t>
      </w:r>
    </w:p>
    <w:p w14:paraId="004F4C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...............................................................26</w:t>
      </w:r>
    </w:p>
    <w:p w14:paraId="60A8A6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...............................................................26</w:t>
      </w:r>
    </w:p>
    <w:p w14:paraId="630426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....................................26</w:t>
      </w:r>
    </w:p>
    <w:p w14:paraId="00D63E1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........................................26</w:t>
      </w:r>
    </w:p>
    <w:p w14:paraId="7768AA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........................26</w:t>
      </w:r>
    </w:p>
    <w:p w14:paraId="4FBB9E2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................26</w:t>
      </w:r>
    </w:p>
    <w:p w14:paraId="7660AA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.........26</w:t>
      </w:r>
    </w:p>
    <w:p w14:paraId="63C004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................26</w:t>
      </w:r>
    </w:p>
    <w:p w14:paraId="5A42D0E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.............26</w:t>
      </w:r>
    </w:p>
    <w:p w14:paraId="311A0C5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.....26</w:t>
      </w:r>
    </w:p>
    <w:p w14:paraId="7FBD597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.............26</w:t>
      </w:r>
    </w:p>
    <w:p w14:paraId="15D182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....................26</w:t>
      </w:r>
    </w:p>
    <w:p w14:paraId="1E6D895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2D39A64D">
      <w:pPr>
        <w:pStyle w:val="5"/>
        <w:jc w:val="center"/>
        <w:rPr>
          <w:rFonts w:hint="eastAsia" w:eastAsia="仿宋_GB2312" w:cs="仿宋_GB2312"/>
          <w:b/>
          <w:bCs/>
          <w:color w:val="auto"/>
          <w:sz w:val="32"/>
          <w:szCs w:val="32"/>
          <w:highlight w:val="none"/>
          <w:lang w:val="en-US" w:eastAsia="zh-CN"/>
        </w:rPr>
      </w:pPr>
      <w:bookmarkStart w:id="12" w:name="_Toc15377196"/>
      <w:bookmarkStart w:id="13" w:name="_Toc15396599"/>
      <w:r>
        <w:rPr>
          <w:rFonts w:hint="eastAsia" w:eastAsia="仿宋_GB2312" w:cs="仿宋_GB2312"/>
          <w:b/>
          <w:bCs/>
          <w:color w:val="auto"/>
          <w:sz w:val="32"/>
          <w:szCs w:val="32"/>
          <w:highlight w:val="none"/>
          <w:lang w:val="en-US" w:eastAsia="zh-CN"/>
        </w:rPr>
        <w:t xml:space="preserve"> </w:t>
      </w:r>
    </w:p>
    <w:p w14:paraId="50FE0BFE">
      <w:pPr>
        <w:pStyle w:val="5"/>
        <w:jc w:val="center"/>
        <w:rPr>
          <w:rFonts w:hint="eastAsia" w:eastAsia="仿宋_GB2312" w:cs="仿宋_GB2312"/>
          <w:b/>
          <w:bCs/>
          <w:color w:val="auto"/>
          <w:sz w:val="32"/>
          <w:szCs w:val="32"/>
          <w:highlight w:val="none"/>
          <w:lang w:val="en-US" w:eastAsia="zh-CN"/>
        </w:rPr>
      </w:pPr>
    </w:p>
    <w:p w14:paraId="4530F2ED">
      <w:pPr>
        <w:pStyle w:val="5"/>
        <w:jc w:val="center"/>
        <w:rPr>
          <w:rFonts w:hint="eastAsia" w:eastAsia="仿宋_GB2312" w:cs="仿宋_GB2312"/>
          <w:b/>
          <w:bCs/>
          <w:color w:val="auto"/>
          <w:sz w:val="32"/>
          <w:szCs w:val="32"/>
          <w:highlight w:val="none"/>
          <w:lang w:val="en-US" w:eastAsia="zh-CN"/>
        </w:rPr>
      </w:pPr>
    </w:p>
    <w:p w14:paraId="57778088">
      <w:pPr>
        <w:pStyle w:val="5"/>
        <w:jc w:val="both"/>
        <w:rPr>
          <w:rFonts w:hint="eastAsia" w:eastAsia="仿宋_GB2312" w:cs="仿宋_GB2312"/>
          <w:b/>
          <w:bCs/>
          <w:color w:val="auto"/>
          <w:sz w:val="32"/>
          <w:szCs w:val="32"/>
          <w:highlight w:val="none"/>
          <w:lang w:val="en-US" w:eastAsia="zh-CN"/>
        </w:rPr>
      </w:pPr>
    </w:p>
    <w:p w14:paraId="64B85C7E">
      <w:pPr>
        <w:rPr>
          <w:rFonts w:hint="eastAsia" w:eastAsia="仿宋_GB2312" w:cs="仿宋_GB2312"/>
          <w:b/>
          <w:bCs/>
          <w:color w:val="auto"/>
          <w:sz w:val="32"/>
          <w:szCs w:val="32"/>
          <w:highlight w:val="none"/>
          <w:lang w:val="en-US" w:eastAsia="zh-CN"/>
        </w:rPr>
      </w:pPr>
    </w:p>
    <w:p w14:paraId="05465BB5">
      <w:pPr>
        <w:pStyle w:val="2"/>
        <w:rPr>
          <w:rFonts w:hint="eastAsia" w:eastAsia="仿宋_GB2312" w:cs="仿宋_GB2312"/>
          <w:b/>
          <w:bCs/>
          <w:color w:val="auto"/>
          <w:sz w:val="32"/>
          <w:szCs w:val="32"/>
          <w:highlight w:val="none"/>
          <w:lang w:val="en-US" w:eastAsia="zh-CN"/>
        </w:rPr>
      </w:pPr>
    </w:p>
    <w:p w14:paraId="59844BCE">
      <w:pPr>
        <w:pStyle w:val="3"/>
        <w:rPr>
          <w:rFonts w:hint="eastAsia"/>
          <w:lang w:val="en-US" w:eastAsia="zh-CN"/>
        </w:rPr>
      </w:pPr>
    </w:p>
    <w:p w14:paraId="2BF524EE">
      <w:pPr>
        <w:pStyle w:val="5"/>
        <w:jc w:val="center"/>
        <w:rPr>
          <w:rFonts w:hint="eastAsia" w:ascii="Times New Roman" w:hAnsi="Times New Roman" w:eastAsia="方正小标宋简体" w:cs="方正小标宋简体"/>
          <w:b w:val="0"/>
          <w:color w:val="auto"/>
          <w:highlight w:val="none"/>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4CC4A683">
      <w:pPr>
        <w:pStyle w:val="5"/>
        <w:jc w:val="center"/>
        <w:rPr>
          <w:rStyle w:val="32"/>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12"/>
      <w:bookmarkEnd w:id="13"/>
    </w:p>
    <w:p w14:paraId="669A69C7">
      <w:pPr>
        <w:widowControl/>
        <w:jc w:val="left"/>
        <w:rPr>
          <w:rFonts w:ascii="Times New Roman" w:hAnsi="Times New Roman" w:eastAsia="黑体"/>
          <w:color w:val="auto"/>
          <w:sz w:val="32"/>
          <w:szCs w:val="32"/>
          <w:highlight w:val="none"/>
        </w:rPr>
      </w:pPr>
    </w:p>
    <w:p w14:paraId="5E1753CE">
      <w:pPr>
        <w:pStyle w:val="6"/>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6D5ABD09">
      <w:pPr>
        <w:pStyle w:val="8"/>
        <w:numPr>
          <w:ilvl w:val="0"/>
          <w:numId w:val="2"/>
        </w:numPr>
        <w:adjustRightInd w:val="0"/>
        <w:snapToGrid w:val="0"/>
        <w:spacing w:line="560" w:lineRule="exact"/>
        <w:ind w:firstLine="640" w:firstLineChars="200"/>
        <w:rPr>
          <w:rStyle w:val="33"/>
          <w:rFonts w:ascii="Times New Roman" w:hAnsi="Times New Roman"/>
          <w:b w:val="0"/>
          <w:bCs w:val="0"/>
          <w:color w:val="auto"/>
          <w:highlight w:val="none"/>
        </w:rPr>
      </w:pPr>
      <w:r>
        <w:rPr>
          <w:rFonts w:hint="eastAsia" w:ascii="仿宋_GB2312" w:eastAsia="仿宋_GB2312"/>
          <w:color w:val="000000"/>
          <w:sz w:val="32"/>
          <w:szCs w:val="32"/>
        </w:rPr>
        <w:t>组织拟订全区行政审批制度改革及政务服务发展规划、政策和措施并组织、指导实施。</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2.负责政务服务管理工作。指导、协调并推进全区政务服务体系建设。指导、协调和监督区级部门（单位）开展政务服务工作。指导、监督政务服务网络信息平台建设和运行工作。对乡镇（街道）政务服务工作进行业务指导。</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3.负责指导、协调、监督并推进全区深化行政审批制度改革工作。</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4.负责指导、协调并承担区本级政府集中采购工作。</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5.负责指导、协调、监督、考核、管理进驻部门（单位）的政务服务工作，审核进驻政务服务事项。</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6.按照省、市要求，指导推进相对集中行政许可</w:t>
      </w:r>
      <w:bookmarkStart w:id="68" w:name="_GoBack"/>
      <w:bookmarkEnd w:id="68"/>
      <w:r>
        <w:rPr>
          <w:rFonts w:hint="eastAsia" w:ascii="仿宋_GB2312" w:eastAsia="仿宋_GB2312"/>
          <w:color w:val="000000"/>
          <w:sz w:val="32"/>
          <w:szCs w:val="32"/>
        </w:rPr>
        <w:t>权改革。</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7.负责职责范围的安全生产和职业健康、生态环境保护、审批服务便民化等工作。</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8.完成区委、区政府交办的其他任务。</w:t>
      </w:r>
      <w:r>
        <w:rPr>
          <w:rFonts w:hint="eastAsia" w:ascii="仿宋_GB2312" w:eastAsia="仿宋_GB2312"/>
          <w:color w:val="000000"/>
          <w:sz w:val="32"/>
          <w:szCs w:val="32"/>
        </w:rPr>
        <w:br w:type="textWrapping"/>
      </w:r>
      <w:r>
        <w:rPr>
          <w:rFonts w:hint="eastAsia"/>
          <w:color w:val="000000"/>
          <w:sz w:val="32"/>
          <w:szCs w:val="32"/>
          <w:lang w:val="en-US" w:eastAsia="zh-CN"/>
        </w:rPr>
        <w:t xml:space="preserve">    </w:t>
      </w:r>
      <w:r>
        <w:rPr>
          <w:rFonts w:hint="eastAsia" w:ascii="仿宋_GB2312" w:eastAsia="仿宋_GB2312"/>
          <w:color w:val="000000"/>
          <w:sz w:val="32"/>
          <w:szCs w:val="32"/>
        </w:rPr>
        <w:t>9.职能转变。坚持以人民为中心的发展思想，以方便企业和群众办事为目标，努力提高政务服务质量和效率。规范行政审批行为，督促落实审批事项事中事后监管措施。加快推进审批服务便民化相关举措，持续开展减政便民行动，积极推进政务服务“一网、一门、一次”改革。</w:t>
      </w:r>
      <w:bookmarkStart w:id="14" w:name="_Toc15377200"/>
      <w:bookmarkStart w:id="15" w:name="_Toc15396601"/>
    </w:p>
    <w:p w14:paraId="71805BAC">
      <w:pPr>
        <w:pStyle w:val="8"/>
        <w:numPr>
          <w:ilvl w:val="0"/>
          <w:numId w:val="0"/>
        </w:numPr>
        <w:adjustRightInd w:val="0"/>
        <w:snapToGrid w:val="0"/>
        <w:spacing w:line="560" w:lineRule="exact"/>
        <w:ind w:firstLine="600" w:firstLineChars="200"/>
        <w:rPr>
          <w:rStyle w:val="33"/>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14"/>
      <w:bookmarkEnd w:id="15"/>
    </w:p>
    <w:p w14:paraId="3B03345D">
      <w:pPr>
        <w:keepNext w:val="0"/>
        <w:keepLines w:val="0"/>
        <w:pageBreakBefore w:val="0"/>
        <w:widowControl w:val="0"/>
        <w:kinsoku/>
        <w:wordWrap/>
        <w:overflowPunct/>
        <w:topLinePunct w:val="0"/>
        <w:autoSpaceDE/>
        <w:autoSpaceDN/>
        <w:bidi w:val="0"/>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攀枝花市仁和区行政审批局</w:t>
      </w:r>
      <w:r>
        <w:rPr>
          <w:rFonts w:hint="eastAsia" w:ascii="Times New Roman" w:hAnsi="Times New Roman" w:eastAsia="仿宋_GB2312" w:cs="仿宋_GB2312"/>
          <w:color w:val="auto"/>
          <w:sz w:val="32"/>
          <w:szCs w:val="32"/>
          <w:highlight w:val="none"/>
        </w:rPr>
        <w:t>属</w:t>
      </w:r>
      <w:r>
        <w:rPr>
          <w:rFonts w:hint="eastAsia" w:eastAsia="仿宋_GB2312" w:cs="仿宋_GB2312"/>
          <w:color w:val="auto"/>
          <w:sz w:val="32"/>
          <w:szCs w:val="32"/>
          <w:highlight w:val="none"/>
          <w:lang w:eastAsia="zh-CN"/>
        </w:rPr>
        <w:t>于一</w:t>
      </w:r>
      <w:r>
        <w:rPr>
          <w:rFonts w:hint="eastAsia" w:ascii="Times New Roman" w:hAnsi="Times New Roman" w:eastAsia="仿宋_GB2312" w:cs="仿宋_GB2312"/>
          <w:color w:val="auto"/>
          <w:sz w:val="32"/>
          <w:szCs w:val="32"/>
          <w:highlight w:val="none"/>
        </w:rPr>
        <w:t>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eastAsia="zh-CN"/>
        </w:rPr>
        <w:t>下属二级预算单位</w:t>
      </w:r>
      <w:r>
        <w:rPr>
          <w:rFonts w:hint="eastAsia" w:eastAsia="仿宋_GB2312" w:cs="仿宋_GB2312"/>
          <w:color w:val="auto"/>
          <w:sz w:val="32"/>
          <w:szCs w:val="32"/>
          <w:highlight w:val="none"/>
          <w:lang w:val="en-US" w:eastAsia="zh-CN"/>
        </w:rPr>
        <w:t>1个，</w:t>
      </w:r>
      <w:r>
        <w:rPr>
          <w:rFonts w:hint="eastAsia" w:ascii="Times New Roman" w:hAnsi="Times New Roman" w:eastAsia="仿宋_GB2312" w:cs="仿宋_GB2312"/>
          <w:color w:val="auto"/>
          <w:sz w:val="32"/>
          <w:szCs w:val="32"/>
          <w:highlight w:val="none"/>
        </w:rPr>
        <w:t>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523E2FA1">
      <w:pPr>
        <w:pStyle w:val="8"/>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攀枝花市仁和区行政审批局</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592DA24A">
      <w:pPr>
        <w:widowControl/>
        <w:ind w:firstLine="640" w:firstLineChars="200"/>
        <w:jc w:val="left"/>
        <w:rPr>
          <w:rFonts w:ascii="Times New Roman" w:hAnsi="Times New Roman" w:eastAsia="仿宋"/>
          <w:color w:val="auto"/>
          <w:kern w:val="0"/>
          <w:sz w:val="32"/>
          <w:szCs w:val="32"/>
          <w:highlight w:val="none"/>
        </w:rPr>
      </w:pPr>
      <w:r>
        <w:rPr>
          <w:rFonts w:hint="eastAsia" w:cs="仿宋_GB2312"/>
          <w:color w:val="auto"/>
          <w:sz w:val="32"/>
          <w:szCs w:val="32"/>
          <w:highlight w:val="none"/>
          <w:lang w:val="en-US" w:eastAsia="zh-CN"/>
        </w:rPr>
        <w:t>1.</w:t>
      </w:r>
      <w:r>
        <w:rPr>
          <w:rFonts w:hint="eastAsia" w:ascii="Times New Roman" w:cs="仿宋_GB2312"/>
          <w:color w:val="auto"/>
          <w:sz w:val="32"/>
          <w:szCs w:val="32"/>
          <w:highlight w:val="none"/>
          <w:lang w:eastAsia="zh-CN"/>
        </w:rPr>
        <w:t>攀枝花市仁和区政府采购中心</w:t>
      </w:r>
      <w:r>
        <w:rPr>
          <w:rFonts w:ascii="Times New Roman" w:hAnsi="Times New Roman" w:eastAsia="仿宋"/>
          <w:color w:val="auto"/>
          <w:sz w:val="32"/>
          <w:szCs w:val="32"/>
          <w:highlight w:val="none"/>
        </w:rPr>
        <w:br w:type="page"/>
      </w:r>
    </w:p>
    <w:p w14:paraId="2DFC8F70">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712F57EE">
      <w:pPr>
        <w:rPr>
          <w:rFonts w:ascii="Times New Roman" w:hAnsi="Times New Roman"/>
          <w:color w:val="auto"/>
          <w:highlight w:val="none"/>
        </w:rPr>
      </w:pPr>
    </w:p>
    <w:p w14:paraId="4ED2255D">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000000" w:themeColor="text1"/>
          <w:highlight w:val="none"/>
          <w14:textFill>
            <w14:solidFill>
              <w14:schemeClr w14:val="tx1"/>
            </w14:solidFill>
          </w14:textFill>
        </w:rPr>
      </w:pPr>
      <w:bookmarkStart w:id="18" w:name="_Toc15377205"/>
      <w:bookmarkStart w:id="19" w:name="_Toc15396603"/>
      <w:r>
        <w:rPr>
          <w:rFonts w:hint="eastAsia" w:ascii="Times New Roman" w:hAnsi="Times New Roman" w:eastAsia="黑体"/>
          <w:color w:val="000000" w:themeColor="text1"/>
          <w:sz w:val="32"/>
          <w:szCs w:val="32"/>
          <w:highlight w:val="none"/>
          <w:lang w:eastAsia="zh-CN"/>
          <w14:textFill>
            <w14:solidFill>
              <w14:schemeClr w14:val="tx1"/>
            </w14:solidFill>
          </w14:textFill>
        </w:rPr>
        <w:t>一、</w:t>
      </w:r>
      <w:r>
        <w:rPr>
          <w:rFonts w:hint="eastAsia" w:ascii="Times New Roman" w:hAnsi="Times New Roman" w:eastAsia="黑体"/>
          <w:color w:val="000000" w:themeColor="text1"/>
          <w:sz w:val="32"/>
          <w:szCs w:val="32"/>
          <w:highlight w:val="none"/>
          <w14:textFill>
            <w14:solidFill>
              <w14:schemeClr w14:val="tx1"/>
            </w14:solidFill>
          </w14:textFill>
        </w:rPr>
        <w:t>收</w:t>
      </w:r>
      <w:r>
        <w:rPr>
          <w:rStyle w:val="33"/>
          <w:rFonts w:hint="eastAsia" w:ascii="Times New Roman" w:hAnsi="Times New Roman" w:eastAsia="黑体"/>
          <w:b w:val="0"/>
          <w:color w:val="000000" w:themeColor="text1"/>
          <w:highlight w:val="none"/>
          <w14:textFill>
            <w14:solidFill>
              <w14:schemeClr w14:val="tx1"/>
            </w14:solidFill>
          </w14:textFill>
        </w:rPr>
        <w:t>入支出决算总体情况说明</w:t>
      </w:r>
      <w:bookmarkEnd w:id="18"/>
      <w:bookmarkEnd w:id="19"/>
    </w:p>
    <w:p w14:paraId="4C80EEA6">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pPr>
      <w:r>
        <w:rPr>
          <w:rFonts w:hint="eastAsia" w:eastAsia="仿宋_GB2312" w:cs="仿宋_GB2312"/>
          <w:color w:val="000000" w:themeColor="text1"/>
          <w:sz w:val="32"/>
          <w:szCs w:val="32"/>
          <w:highlight w:val="none"/>
          <w:lang w:eastAsia="zh-CN"/>
          <w14:textFill>
            <w14:solidFill>
              <w14:schemeClr w14:val="tx1"/>
            </w14:solidFill>
          </w14:textFill>
        </w:rPr>
        <w:t>2025年度</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总计</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均为</w:t>
      </w:r>
      <w:r>
        <w:rPr>
          <w:rFonts w:hint="eastAsia" w:ascii="仿宋_GB2312" w:hAnsi="仿宋_GB2312" w:eastAsia="仿宋_GB2312" w:cs="仿宋_GB2312"/>
          <w:color w:val="000000" w:themeColor="text1"/>
          <w:sz w:val="32"/>
          <w:szCs w:val="32"/>
          <w:highlight w:val="none"/>
          <w14:textFill>
            <w14:solidFill>
              <w14:schemeClr w14:val="tx1"/>
            </w14:solidFill>
          </w14:textFill>
        </w:rPr>
        <w:t>460.16</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万元。与</w:t>
      </w:r>
      <w:r>
        <w:rPr>
          <w:rFonts w:hint="eastAsia" w:eastAsia="仿宋_GB2312" w:cs="仿宋_GB2312"/>
          <w:color w:val="000000" w:themeColor="text1"/>
          <w:sz w:val="32"/>
          <w:szCs w:val="32"/>
          <w:highlight w:val="none"/>
          <w:lang w:eastAsia="zh-CN"/>
          <w14:textFill>
            <w14:solidFill>
              <w14:schemeClr w14:val="tx1"/>
            </w14:solidFill>
          </w14:textFill>
        </w:rPr>
        <w:t>上</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年</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度</w:t>
      </w:r>
      <w:r>
        <w:rPr>
          <w:rFonts w:hint="eastAsia" w:ascii="Times New Roman" w:hAnsi="Times New Roman" w:eastAsia="仿宋_GB2312" w:cs="仿宋_GB2312"/>
          <w:color w:val="000000" w:themeColor="text1"/>
          <w:sz w:val="32"/>
          <w:szCs w:val="32"/>
          <w:highlight w:val="none"/>
          <w14:textFill>
            <w14:solidFill>
              <w14:schemeClr w14:val="tx1"/>
            </w14:solidFill>
          </w14:textFill>
        </w:rPr>
        <w:t>相比，</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总计各增加102.40万元，增长28.6%。主要变动原因是本年度项目收入</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增加</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2BF4F5D4">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（图1：</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收入</w:t>
      </w:r>
      <w:r>
        <w:rPr>
          <w:rFonts w:hint="eastAsia" w:ascii="Times New Roman" w:hAnsi="Times New Roman"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决算总计变动情况图）（柱状图）</w:t>
      </w:r>
    </w:p>
    <w:p w14:paraId="7F9E1666">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000000" w:themeColor="text1"/>
          <w:sz w:val="32"/>
          <w:szCs w:val="32"/>
          <w:highlight w:val="none"/>
          <w14:textFill>
            <w14:solidFill>
              <w14:schemeClr w14:val="tx1"/>
            </w14:solidFill>
          </w14:textFill>
        </w:rPr>
      </w:pPr>
    </w:p>
    <w:p w14:paraId="1B9382B0">
      <w:pP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747895" cy="2577465"/>
            <wp:effectExtent l="4445" t="4445" r="10160" b="8890"/>
            <wp:docPr id="177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9B3B3DD">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000000" w:themeColor="text1"/>
          <w:sz w:val="32"/>
          <w:szCs w:val="32"/>
          <w:highlight w:val="none"/>
          <w:lang w:eastAsia="zh-CN"/>
          <w14:textFill>
            <w14:solidFill>
              <w14:schemeClr w14:val="tx1"/>
            </w14:solidFill>
          </w14:textFill>
        </w:rPr>
      </w:pPr>
      <w:bookmarkStart w:id="20" w:name="_Toc15396604"/>
      <w:bookmarkStart w:id="21" w:name="_Toc15377206"/>
    </w:p>
    <w:p w14:paraId="02DE23E1">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000000" w:themeColor="text1"/>
          <w:sz w:val="32"/>
          <w:szCs w:val="32"/>
          <w:highlight w:val="none"/>
          <w:lang w:eastAsia="zh-CN"/>
          <w14:textFill>
            <w14:solidFill>
              <w14:schemeClr w14:val="tx1"/>
            </w14:solidFill>
          </w14:textFill>
        </w:rPr>
      </w:pPr>
      <w:r>
        <w:rPr>
          <w:rFonts w:hint="eastAsia" w:ascii="Times New Roman" w:hAnsi="Times New Roman" w:eastAsia="黑体"/>
          <w:color w:val="000000" w:themeColor="text1"/>
          <w:sz w:val="32"/>
          <w:szCs w:val="32"/>
          <w:highlight w:val="none"/>
          <w:lang w:eastAsia="zh-CN"/>
          <w14:textFill>
            <w14:solidFill>
              <w14:schemeClr w14:val="tx1"/>
            </w14:solidFill>
          </w14:textFill>
        </w:rPr>
        <w:t>二、收入决算情况说明</w:t>
      </w:r>
      <w:bookmarkEnd w:id="20"/>
      <w:bookmarkEnd w:id="21"/>
    </w:p>
    <w:p w14:paraId="23B9562D">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000000" w:themeColor="text1"/>
          <w:sz w:val="32"/>
          <w:szCs w:val="32"/>
          <w:highlight w:val="none"/>
          <w:lang w:eastAsia="zh-CN"/>
          <w14:textFill>
            <w14:solidFill>
              <w14:schemeClr w14:val="tx1"/>
            </w14:solidFill>
          </w14:textFill>
        </w:rPr>
      </w:pPr>
      <w:r>
        <w:rPr>
          <w:rFonts w:hint="eastAsia" w:eastAsia="仿宋_GB2312" w:cs="仿宋_GB2312"/>
          <w:color w:val="000000" w:themeColor="text1"/>
          <w:sz w:val="32"/>
          <w:szCs w:val="32"/>
          <w:highlight w:val="none"/>
          <w:lang w:eastAsia="zh-CN"/>
          <w14:textFill>
            <w14:solidFill>
              <w14:schemeClr w14:val="tx1"/>
            </w14:solidFill>
          </w14:textFill>
        </w:rPr>
        <w:t>2025年度</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本年收入合计</w:t>
      </w:r>
      <w:r>
        <w:rPr>
          <w:rFonts w:hint="eastAsia" w:ascii="仿宋_GB2312" w:hAnsi="仿宋_GB2312" w:eastAsia="仿宋_GB2312" w:cs="仿宋_GB2312"/>
          <w:color w:val="000000" w:themeColor="text1"/>
          <w:sz w:val="32"/>
          <w:szCs w:val="32"/>
          <w:highlight w:val="none"/>
          <w14:textFill>
            <w14:solidFill>
              <w14:schemeClr w14:val="tx1"/>
            </w14:solidFill>
          </w14:textFill>
        </w:rPr>
        <w:t>460.16</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万元，其中：一般公共预算财政拨款收入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458.78</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99.7</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%；政府性基金预算财政拨款收入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1.38</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%；国有资本经营预算财政拨款收入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%；上级补助收入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%；事业收入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%；经营收入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%；附属单位上缴收入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%；其他收入</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3AC896D2">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（图2：收入决算结构图）（饼状图）</w:t>
      </w:r>
    </w:p>
    <w:p w14:paraId="3A3DBFD1">
      <w:pPr>
        <w:ind w:firstLine="525" w:firstLineChars="250"/>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583430" cy="2400935"/>
            <wp:effectExtent l="4445" t="4445" r="22225" b="13970"/>
            <wp:docPr id="177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6683C96">
      <w:pPr>
        <w:rPr>
          <w:rFonts w:hint="eastAsia"/>
          <w:color w:val="000000" w:themeColor="text1"/>
          <w:highlight w:val="none"/>
          <w:lang w:eastAsia="zh-CN"/>
          <w14:textFill>
            <w14:solidFill>
              <w14:schemeClr w14:val="tx1"/>
            </w14:solidFill>
          </w14:textFill>
        </w:rPr>
      </w:pPr>
    </w:p>
    <w:p w14:paraId="3C76C037">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000000" w:themeColor="text1"/>
          <w:highlight w:val="none"/>
          <w14:textFill>
            <w14:solidFill>
              <w14:schemeClr w14:val="tx1"/>
            </w14:solidFill>
          </w14:textFill>
        </w:rPr>
      </w:pPr>
      <w:bookmarkStart w:id="22" w:name="_Toc15396605"/>
      <w:bookmarkStart w:id="23" w:name="_Toc15377207"/>
      <w:r>
        <w:rPr>
          <w:rFonts w:hint="eastAsia" w:ascii="Times New Roman" w:hAnsi="Times New Roman" w:eastAsia="黑体"/>
          <w:color w:val="000000" w:themeColor="text1"/>
          <w:sz w:val="32"/>
          <w:szCs w:val="32"/>
          <w:highlight w:val="none"/>
          <w:lang w:eastAsia="zh-CN"/>
          <w14:textFill>
            <w14:solidFill>
              <w14:schemeClr w14:val="tx1"/>
            </w14:solidFill>
          </w14:textFill>
        </w:rPr>
        <w:t>三、</w:t>
      </w:r>
      <w:r>
        <w:rPr>
          <w:rFonts w:hint="eastAsia" w:ascii="Times New Roman" w:hAnsi="Times New Roman" w:eastAsia="黑体"/>
          <w:color w:val="000000" w:themeColor="text1"/>
          <w:sz w:val="32"/>
          <w:szCs w:val="32"/>
          <w:highlight w:val="none"/>
          <w14:textFill>
            <w14:solidFill>
              <w14:schemeClr w14:val="tx1"/>
            </w14:solidFill>
          </w14:textFill>
        </w:rPr>
        <w:t>支</w:t>
      </w:r>
      <w:r>
        <w:rPr>
          <w:rStyle w:val="33"/>
          <w:rFonts w:hint="eastAsia" w:ascii="Times New Roman" w:hAnsi="Times New Roman" w:eastAsia="黑体"/>
          <w:b w:val="0"/>
          <w:color w:val="000000" w:themeColor="text1"/>
          <w:highlight w:val="none"/>
          <w14:textFill>
            <w14:solidFill>
              <w14:schemeClr w14:val="tx1"/>
            </w14:solidFill>
          </w14:textFill>
        </w:rPr>
        <w:t>出决算情况说明</w:t>
      </w:r>
      <w:bookmarkEnd w:id="22"/>
      <w:bookmarkEnd w:id="23"/>
    </w:p>
    <w:p w14:paraId="23540F53">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000000" w:themeColor="text1"/>
          <w:sz w:val="32"/>
          <w:szCs w:val="32"/>
          <w:highlight w:val="none"/>
          <w:lang w:eastAsia="zh-CN"/>
          <w14:textFill>
            <w14:solidFill>
              <w14:schemeClr w14:val="tx1"/>
            </w14:solidFill>
          </w14:textFill>
        </w:rPr>
      </w:pPr>
      <w:r>
        <w:rPr>
          <w:rFonts w:hint="eastAsia" w:eastAsia="仿宋_GB2312" w:cs="仿宋_GB2312"/>
          <w:color w:val="000000" w:themeColor="text1"/>
          <w:sz w:val="32"/>
          <w:szCs w:val="32"/>
          <w:highlight w:val="none"/>
          <w:lang w:eastAsia="zh-CN"/>
          <w14:textFill>
            <w14:solidFill>
              <w14:schemeClr w14:val="tx1"/>
            </w14:solidFill>
          </w14:textFill>
        </w:rPr>
        <w:t>2025年度</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本年支出合计</w:t>
      </w:r>
      <w:r>
        <w:rPr>
          <w:rFonts w:hint="eastAsia" w:ascii="仿宋_GB2312" w:hAnsi="仿宋_GB2312" w:eastAsia="仿宋_GB2312" w:cs="仿宋_GB2312"/>
          <w:color w:val="000000" w:themeColor="text1"/>
          <w:sz w:val="32"/>
          <w:szCs w:val="32"/>
          <w:highlight w:val="none"/>
          <w14:textFill>
            <w14:solidFill>
              <w14:schemeClr w14:val="tx1"/>
            </w14:solidFill>
          </w14:textFill>
        </w:rPr>
        <w:t>460.16</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万元，其中：基本支出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346.96</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75.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%；项目支出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113.2</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24.6</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%；上缴上级支出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%；经营支出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%；对附属单位补助支出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万元，占</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65734777">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（图3：支出决算结构图）（饼状图）</w:t>
      </w:r>
    </w:p>
    <w:p w14:paraId="08BF1820">
      <w:pPr>
        <w:ind w:firstLine="525" w:firstLineChars="250"/>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618355" cy="2125980"/>
            <wp:effectExtent l="4445" t="5080" r="6350" b="21590"/>
            <wp:docPr id="177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59CFCF7">
      <w:pPr>
        <w:spacing w:line="600" w:lineRule="exact"/>
        <w:ind w:firstLine="640" w:firstLineChars="200"/>
        <w:outlineLvl w:val="1"/>
        <w:rPr>
          <w:rStyle w:val="33"/>
          <w:rFonts w:ascii="Times New Roman" w:hAnsi="Times New Roman" w:eastAsia="黑体"/>
          <w:b w:val="0"/>
          <w:color w:val="000000" w:themeColor="text1"/>
          <w:highlight w:val="none"/>
          <w14:textFill>
            <w14:solidFill>
              <w14:schemeClr w14:val="tx1"/>
            </w14:solidFill>
          </w14:textFill>
        </w:rPr>
      </w:pPr>
      <w:bookmarkStart w:id="24" w:name="_Toc15377208"/>
      <w:bookmarkStart w:id="25" w:name="_Toc15396606"/>
      <w:r>
        <w:rPr>
          <w:rFonts w:hint="eastAsia" w:ascii="Times New Roman" w:hAnsi="Times New Roman" w:eastAsia="黑体"/>
          <w:color w:val="000000" w:themeColor="text1"/>
          <w:sz w:val="32"/>
          <w:szCs w:val="32"/>
          <w:highlight w:val="none"/>
          <w14:textFill>
            <w14:solidFill>
              <w14:schemeClr w14:val="tx1"/>
            </w14:solidFill>
          </w14:textFill>
        </w:rPr>
        <w:t>四、财</w:t>
      </w:r>
      <w:r>
        <w:rPr>
          <w:rStyle w:val="33"/>
          <w:rFonts w:hint="eastAsia" w:ascii="Times New Roman" w:hAnsi="Times New Roman" w:eastAsia="黑体"/>
          <w:b w:val="0"/>
          <w:color w:val="000000" w:themeColor="text1"/>
          <w:highlight w:val="none"/>
          <w14:textFill>
            <w14:solidFill>
              <w14:schemeClr w14:val="tx1"/>
            </w14:solidFill>
          </w14:textFill>
        </w:rPr>
        <w:t>政拨款收入支出决算总体情况说明</w:t>
      </w:r>
      <w:bookmarkEnd w:id="24"/>
      <w:bookmarkEnd w:id="25"/>
    </w:p>
    <w:p w14:paraId="11033282">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财政拨款收入、支出总计均为</w:t>
      </w:r>
      <w:r>
        <w:rPr>
          <w:rFonts w:hint="eastAsia" w:ascii="仿宋_GB2312" w:hAnsi="仿宋_GB2312" w:eastAsia="仿宋_GB2312" w:cs="仿宋_GB2312"/>
          <w:color w:val="000000" w:themeColor="text1"/>
          <w:sz w:val="32"/>
          <w:szCs w:val="32"/>
          <w:highlight w:val="none"/>
          <w14:textFill>
            <w14:solidFill>
              <w14:schemeClr w14:val="tx1"/>
            </w14:solidFill>
          </w14:textFill>
        </w:rPr>
        <w:t>460.16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万元。与</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年度相比，财政拨款收入、支出总计各增加</w:t>
      </w:r>
      <w:r>
        <w:rPr>
          <w:rFonts w:hint="eastAsia" w:ascii="Times New Roman" w:hAnsi="Times New Roman" w:eastAsia="仿宋_GB2312" w:cs="仿宋_GB2312"/>
          <w:color w:val="000000" w:themeColor="text1"/>
          <w:sz w:val="32"/>
          <w:szCs w:val="32"/>
          <w:highlight w:val="none"/>
          <w14:textFill>
            <w14:solidFill>
              <w14:schemeClr w14:val="tx1"/>
            </w14:solidFill>
          </w14:textFill>
        </w:rPr>
        <w:t>102.40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万元，增长</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28.6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%。主要变动原因是</w:t>
      </w:r>
      <w:r>
        <w:rPr>
          <w:rFonts w:hint="eastAsia" w:ascii="Times New Roman" w:hAnsi="Times New Roman" w:eastAsia="仿宋_GB2312" w:cs="仿宋_GB2312"/>
          <w:color w:val="000000" w:themeColor="text1"/>
          <w:sz w:val="32"/>
          <w:szCs w:val="32"/>
          <w:highlight w:val="none"/>
          <w14:textFill>
            <w14:solidFill>
              <w14:schemeClr w14:val="tx1"/>
            </w14:solidFill>
          </w14:textFill>
        </w:rPr>
        <w:t>本年度项目收入</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支出</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增加</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w:t>
      </w:r>
    </w:p>
    <w:p w14:paraId="6DABE68A">
      <w:pPr>
        <w:spacing w:line="600" w:lineRule="exact"/>
        <w:ind w:firstLine="640" w:firstLineChars="20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（图4：财政拨款收、支决算总计变动情况）（柱状图）</w:t>
      </w:r>
    </w:p>
    <w:p w14:paraId="79D0F5D0">
      <w:pPr>
        <w:jc w:val="cente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086985" cy="2809240"/>
            <wp:effectExtent l="4445" t="4445" r="13970" b="5715"/>
            <wp:docPr id="177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9D09CE">
      <w:pPr>
        <w:rPr>
          <w:rFonts w:hint="eastAsia"/>
          <w:color w:val="000000" w:themeColor="text1"/>
          <w:highlight w:val="none"/>
          <w:lang w:val="en-US" w:eastAsia="zh-CN"/>
          <w14:textFill>
            <w14:solidFill>
              <w14:schemeClr w14:val="tx1"/>
            </w14:solidFill>
          </w14:textFill>
        </w:rPr>
      </w:pPr>
    </w:p>
    <w:p w14:paraId="7D69D44C">
      <w:pPr>
        <w:spacing w:line="600" w:lineRule="exact"/>
        <w:ind w:firstLine="640" w:firstLineChars="200"/>
        <w:outlineLvl w:val="1"/>
        <w:rPr>
          <w:rStyle w:val="33"/>
          <w:rFonts w:ascii="Times New Roman" w:hAnsi="Times New Roman" w:eastAsia="黑体"/>
          <w:b w:val="0"/>
          <w:color w:val="000000" w:themeColor="text1"/>
          <w:highlight w:val="none"/>
          <w14:textFill>
            <w14:solidFill>
              <w14:schemeClr w14:val="tx1"/>
            </w14:solidFill>
          </w14:textFill>
        </w:rPr>
      </w:pPr>
      <w:bookmarkStart w:id="26" w:name="_Toc15377209"/>
      <w:bookmarkStart w:id="27" w:name="_Toc15396607"/>
      <w:r>
        <w:rPr>
          <w:rFonts w:hint="eastAsia" w:ascii="Times New Roman" w:hAnsi="Times New Roman" w:eastAsia="黑体"/>
          <w:color w:val="000000" w:themeColor="text1"/>
          <w:sz w:val="32"/>
          <w:szCs w:val="32"/>
          <w:highlight w:val="none"/>
          <w14:textFill>
            <w14:solidFill>
              <w14:schemeClr w14:val="tx1"/>
            </w14:solidFill>
          </w14:textFill>
        </w:rPr>
        <w:t>五、</w:t>
      </w:r>
      <w:r>
        <w:rPr>
          <w:rFonts w:hint="eastAsia" w:ascii="Times New Roman" w:hAnsi="Times New Roman" w:eastAsia="黑体"/>
          <w:b/>
          <w:color w:val="000000" w:themeColor="text1"/>
          <w:sz w:val="32"/>
          <w:szCs w:val="32"/>
          <w:highlight w:val="none"/>
          <w14:textFill>
            <w14:solidFill>
              <w14:schemeClr w14:val="tx1"/>
            </w14:solidFill>
          </w14:textFill>
        </w:rPr>
        <w:t>一</w:t>
      </w:r>
      <w:r>
        <w:rPr>
          <w:rStyle w:val="33"/>
          <w:rFonts w:hint="eastAsia" w:ascii="Times New Roman" w:hAnsi="Times New Roman" w:eastAsia="黑体"/>
          <w:b w:val="0"/>
          <w:color w:val="000000" w:themeColor="text1"/>
          <w:highlight w:val="none"/>
          <w14:textFill>
            <w14:solidFill>
              <w14:schemeClr w14:val="tx1"/>
            </w14:solidFill>
          </w14:textFill>
        </w:rPr>
        <w:t>般公共预算财政拨款支出决算情况说明</w:t>
      </w:r>
      <w:bookmarkEnd w:id="26"/>
      <w:bookmarkEnd w:id="27"/>
    </w:p>
    <w:p w14:paraId="7B3F9790">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28" w:name="_Toc15377210"/>
      <w:r>
        <w:rPr>
          <w:rFonts w:hint="eastAsia" w:ascii="Times New Roman" w:hAnsi="Times New Roman" w:eastAsia="楷体_GB2312" w:cs="楷体_GB2312"/>
          <w:b/>
          <w:color w:val="000000" w:themeColor="text1"/>
          <w:sz w:val="32"/>
          <w:szCs w:val="32"/>
          <w:highlight w:val="none"/>
          <w14:textFill>
            <w14:solidFill>
              <w14:schemeClr w14:val="tx1"/>
            </w14:solidFill>
          </w14:textFill>
        </w:rPr>
        <w:t>（一）一般公共预算财政拨款支出决算总体情况</w:t>
      </w:r>
      <w:bookmarkEnd w:id="28"/>
    </w:p>
    <w:p w14:paraId="5D578540">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一般公共预算财政拨款支出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458.78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万元，占本年支出合计的</w:t>
      </w:r>
      <w:r>
        <w:rPr>
          <w:rFonts w:hint="eastAsia" w:ascii="仿宋_GB2312" w:hAnsi="仿宋_GB2312" w:eastAsia="仿宋_GB2312" w:cs="仿宋_GB2312"/>
          <w:color w:val="000000" w:themeColor="text1"/>
          <w:sz w:val="32"/>
          <w:szCs w:val="32"/>
          <w:highlight w:val="none"/>
          <w14:textFill>
            <w14:solidFill>
              <w14:schemeClr w14:val="tx1"/>
            </w14:solidFill>
          </w14:textFill>
        </w:rPr>
        <w:t>99.7</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%。与</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年度相比，一般公共预算财政拨款支出增加101.02万元，增长28.2%。主要变动原因是本年度项目支出增加。</w:t>
      </w:r>
    </w:p>
    <w:p w14:paraId="442C1B91">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（图5：一般公共预算财政拨款支出决算变动情况）（柱状图）</w:t>
      </w:r>
    </w:p>
    <w:p w14:paraId="10D1B1C1">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p>
    <w:p w14:paraId="01634C5F">
      <w:pP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p>
    <w:p w14:paraId="04752865">
      <w:pPr>
        <w:jc w:val="center"/>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202430" cy="2362200"/>
            <wp:effectExtent l="4445" t="4445" r="22225" b="14605"/>
            <wp:docPr id="177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F4E8A7">
      <w:pPr>
        <w:rPr>
          <w:rFonts w:hint="eastAsia"/>
          <w:color w:val="000000" w:themeColor="text1"/>
          <w:highlight w:val="none"/>
          <w:lang w:val="en-US" w:eastAsia="zh-CN"/>
          <w14:textFill>
            <w14:solidFill>
              <w14:schemeClr w14:val="tx1"/>
            </w14:solidFill>
          </w14:textFill>
        </w:rPr>
      </w:pPr>
    </w:p>
    <w:p w14:paraId="3F9667F0">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29" w:name="_Toc15377211"/>
      <w:r>
        <w:rPr>
          <w:rFonts w:hint="eastAsia" w:ascii="Times New Roman" w:hAnsi="Times New Roman" w:eastAsia="楷体_GB2312" w:cs="楷体_GB2312"/>
          <w:b/>
          <w:color w:val="000000" w:themeColor="text1"/>
          <w:sz w:val="32"/>
          <w:szCs w:val="32"/>
          <w:highlight w:val="none"/>
          <w14:textFill>
            <w14:solidFill>
              <w14:schemeClr w14:val="tx1"/>
            </w14:solidFill>
          </w14:textFill>
        </w:rPr>
        <w:t>（二）一般公共预算财政拨款支出决算结构情况</w:t>
      </w:r>
      <w:bookmarkEnd w:id="29"/>
    </w:p>
    <w:p w14:paraId="641A5D4C">
      <w:pPr>
        <w:spacing w:line="600" w:lineRule="exact"/>
        <w:ind w:firstLine="640"/>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一般公共预算财政拨款支出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458.78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万元，主要用于以下方面</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一般公共服务支出381.51万元，占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83.2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%；教育支出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%；科学技术支出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%；文化旅游体育与传媒支出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%；社会保障和就业支出36.54万元，占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%；卫生健康支出17.2万元，占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3.7</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%；住房保障支出23.54万元，占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5.1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2321A796">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（图6：一般公共预算财政拨款支出决算结构）（饼状图）</w:t>
      </w:r>
    </w:p>
    <w:p w14:paraId="66B1CBE9">
      <w:pPr>
        <w:ind w:left="0" w:leftChars="0" w:firstLine="0" w:firstLineChars="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268595" cy="2887345"/>
            <wp:effectExtent l="4445" t="4445" r="22860" b="22860"/>
            <wp:docPr id="177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E614B2">
      <w:pPr>
        <w:rPr>
          <w:rFonts w:hint="eastAsia"/>
          <w:color w:val="000000" w:themeColor="text1"/>
          <w:highlight w:val="none"/>
          <w:lang w:val="en-US" w:eastAsia="zh-CN"/>
          <w14:textFill>
            <w14:solidFill>
              <w14:schemeClr w14:val="tx1"/>
            </w14:solidFill>
          </w14:textFill>
        </w:rPr>
      </w:pPr>
    </w:p>
    <w:p w14:paraId="041CA3D4">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30" w:name="_Toc15377212"/>
      <w:r>
        <w:rPr>
          <w:rFonts w:hint="eastAsia" w:ascii="Times New Roman" w:hAnsi="Times New Roman" w:eastAsia="楷体_GB2312" w:cs="楷体_GB2312"/>
          <w:b/>
          <w:color w:val="000000" w:themeColor="text1"/>
          <w:sz w:val="32"/>
          <w:szCs w:val="32"/>
          <w:highlight w:val="none"/>
          <w14:textFill>
            <w14:solidFill>
              <w14:schemeClr w14:val="tx1"/>
            </w14:solidFill>
          </w14:textFill>
        </w:rPr>
        <w:t>（三）一般公共预算财政拨款支出决算具体情况</w:t>
      </w:r>
      <w:bookmarkEnd w:id="30"/>
    </w:p>
    <w:p w14:paraId="19B5B4CF">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bookmarkStart w:id="31" w:name="_Toc15377213"/>
      <w:bookmarkStart w:id="32" w:name="_Toc15377444"/>
      <w:bookmarkStart w:id="33" w:name="_Toc15378460"/>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一般公共预算支出决算数为</w:t>
      </w:r>
      <w:r>
        <w:rPr>
          <w:rFonts w:hint="eastAsia" w:ascii="仿宋_GB2312" w:hAnsi="仿宋_GB2312" w:eastAsia="仿宋_GB2312" w:cs="仿宋_GB2312"/>
          <w:color w:val="000000" w:themeColor="text1"/>
          <w:sz w:val="32"/>
          <w:szCs w:val="32"/>
          <w:highlight w:val="none"/>
          <w14:textFill>
            <w14:solidFill>
              <w14:schemeClr w14:val="tx1"/>
            </w14:solidFill>
          </w14:textFill>
        </w:rPr>
        <w:t>458.78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%。其中：</w:t>
      </w:r>
      <w:bookmarkEnd w:id="31"/>
      <w:bookmarkEnd w:id="32"/>
      <w:bookmarkEnd w:id="33"/>
    </w:p>
    <w:p w14:paraId="5399C7EE">
      <w:pPr>
        <w:numPr>
          <w:ilvl w:val="0"/>
          <w:numId w:val="0"/>
        </w:numPr>
        <w:spacing w:line="600" w:lineRule="exact"/>
        <w:ind w:firstLine="640" w:firstLineChars="200"/>
        <w:rPr>
          <w:rFonts w:hint="eastAsia"/>
          <w:color w:val="000000" w:themeColor="text1"/>
          <w:highlight w:val="none"/>
          <w:lang w:val="en-US" w:eastAsia="zh-CN"/>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一般公共服务（类）政府办公厅（室）及相关机构事务（款）行政运行（项）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支出决算为201.84万元，完成预算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76C0C02F">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2</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一般公共服务（类）政府办公厅（室）及相关机构事务（款）事业运行（项）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支出决算为67.85万元，完成预算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1EDC12E3">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3.</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一般公共服务（类）政府办公厅（室）及相关机构事务（款）其他政府办公厅（室）及相关机构事务支出（项）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支出决算为111.82万元，完成预算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7632AC9A">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4</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.社会保障和就业（类）行政事业单位养老支出（款）机关事业单位基本养老保险缴费支出（项）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支出决算为28.75万元，完成预算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18C4CA1B">
      <w:pPr>
        <w:spacing w:line="600" w:lineRule="exact"/>
        <w:ind w:firstLine="640"/>
        <w:rPr>
          <w:rFonts w:hint="eastAsia"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.社会保障和就业（类）行政事业单位养老支出（款）机关事业单位职业年金缴费支出（项）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支出决算为7.79万元，完成预算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30FD2FCC">
      <w:pPr>
        <w:ind w:firstLine="640" w:firstLineChars="200"/>
        <w:rPr>
          <w:rFonts w:hint="eastAsia"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6.卫生健康（类）行政事业单位医疗（款）行政单位医疗（项）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支出决算为11.06万元，完成预算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5B557027">
      <w:pPr>
        <w:ind w:firstLine="640" w:firstLineChars="200"/>
        <w:rPr>
          <w:rFonts w:hint="eastAsia"/>
          <w:color w:val="000000" w:themeColor="text1"/>
          <w:highlight w:val="none"/>
          <w:lang w:val="en-US" w:eastAsia="zh-CN"/>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7</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.卫生健康（类）行政事业单位医疗（款）事业单位医疗（项）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支出决算为4.08万元，完成预算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6E86998F">
      <w:pPr>
        <w:ind w:left="0" w:leftChars="0" w:firstLine="640" w:firstLineChars="200"/>
        <w:rPr>
          <w:rFonts w:hint="eastAsia"/>
          <w:color w:val="000000" w:themeColor="text1"/>
          <w:highlight w:val="none"/>
          <w:lang w:val="en-US" w:eastAsia="zh-CN"/>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.卫生健康（类）行政事业单位医疗（款）公务员医疗补助（项）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支出决算为2.05万元，完成预算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3E3545BC">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.社会保障和就业（类）住房改革支出（款）住房公积金（项）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支出决算为23.54万元，完成预算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%，决算数等于预算数</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4C626FA2">
      <w:pPr>
        <w:tabs>
          <w:tab w:val="right" w:pos="8306"/>
        </w:tabs>
        <w:spacing w:line="600" w:lineRule="exact"/>
        <w:ind w:firstLine="640"/>
        <w:outlineLvl w:val="1"/>
        <w:rPr>
          <w:rStyle w:val="33"/>
          <w:rFonts w:ascii="Times New Roman" w:hAnsi="Times New Roman"/>
          <w:color w:val="000000" w:themeColor="text1"/>
          <w:highlight w:val="none"/>
          <w14:textFill>
            <w14:solidFill>
              <w14:schemeClr w14:val="tx1"/>
            </w14:solidFill>
          </w14:textFill>
        </w:rPr>
      </w:pPr>
      <w:bookmarkStart w:id="34" w:name="_Toc15377214"/>
      <w:bookmarkStart w:id="35" w:name="_Toc15396608"/>
      <w:r>
        <w:rPr>
          <w:rFonts w:hint="eastAsia" w:ascii="Times New Roman" w:hAnsi="Times New Roman" w:eastAsia="黑体"/>
          <w:color w:val="000000" w:themeColor="text1"/>
          <w:sz w:val="32"/>
          <w:szCs w:val="32"/>
          <w:highlight w:val="none"/>
          <w14:textFill>
            <w14:solidFill>
              <w14:schemeClr w14:val="tx1"/>
            </w14:solidFill>
          </w14:textFill>
        </w:rPr>
        <w:t>六</w:t>
      </w:r>
      <w:r>
        <w:rPr>
          <w:rFonts w:hint="eastAsia" w:ascii="Times New Roman" w:hAnsi="Times New Roman" w:eastAsia="黑体"/>
          <w:b/>
          <w:color w:val="000000" w:themeColor="text1"/>
          <w:sz w:val="32"/>
          <w:szCs w:val="32"/>
          <w:highlight w:val="none"/>
          <w14:textFill>
            <w14:solidFill>
              <w14:schemeClr w14:val="tx1"/>
            </w14:solidFill>
          </w14:textFill>
        </w:rPr>
        <w:t>、一</w:t>
      </w:r>
      <w:r>
        <w:rPr>
          <w:rStyle w:val="33"/>
          <w:rFonts w:hint="eastAsia" w:ascii="Times New Roman" w:hAnsi="Times New Roman" w:eastAsia="黑体"/>
          <w:b w:val="0"/>
          <w:color w:val="000000" w:themeColor="text1"/>
          <w:highlight w:val="none"/>
          <w14:textFill>
            <w14:solidFill>
              <w14:schemeClr w14:val="tx1"/>
            </w14:solidFill>
          </w14:textFill>
        </w:rPr>
        <w:t>般公共预算财政拨款基本支出决算情况说明</w:t>
      </w:r>
      <w:bookmarkEnd w:id="34"/>
      <w:bookmarkEnd w:id="35"/>
      <w:r>
        <w:rPr>
          <w:rStyle w:val="33"/>
          <w:rFonts w:ascii="Times New Roman" w:hAnsi="Times New Roman" w:eastAsia="黑体"/>
          <w:b w:val="0"/>
          <w:color w:val="000000" w:themeColor="text1"/>
          <w:highlight w:val="none"/>
          <w14:textFill>
            <w14:solidFill>
              <w14:schemeClr w14:val="tx1"/>
            </w14:solidFill>
          </w14:textFill>
        </w:rPr>
        <w:tab/>
      </w:r>
    </w:p>
    <w:p w14:paraId="245E9B2B">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一般公共预算财政拨款基本支出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346.96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万元，其中：人员经费</w:t>
      </w:r>
      <w:r>
        <w:rPr>
          <w:rFonts w:hint="eastAsia" w:ascii="仿宋_GB2312" w:hAnsi="仿宋_GB2312" w:eastAsia="仿宋_GB2312" w:cs="仿宋_GB2312"/>
          <w:color w:val="000000" w:themeColor="text1"/>
          <w:sz w:val="32"/>
          <w:szCs w:val="32"/>
          <w:highlight w:val="none"/>
          <w14:textFill>
            <w14:solidFill>
              <w14:schemeClr w14:val="tx1"/>
            </w14:solidFill>
          </w14:textFill>
        </w:rPr>
        <w:t>316.68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万元，主要包括：基本工资、津贴补贴、奖金、绩效工资、机关事业单位基本养老保险缴费、职业年金缴费、职工基本医疗保险缴费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、公务员医疗补助缴费、</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其他社会保障缴费、住房公积金、医疗费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其他工资福利支出、对个人和家庭的补助</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、生活补助、医疗费补助</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br w:type="textWrapping"/>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　　公用经费</w:t>
      </w:r>
      <w:r>
        <w:rPr>
          <w:rFonts w:hint="eastAsia" w:ascii="仿宋_GB2312" w:hAnsi="仿宋_GB2312" w:eastAsia="仿宋_GB2312" w:cs="仿宋_GB2312"/>
          <w:color w:val="000000" w:themeColor="text1"/>
          <w:sz w:val="32"/>
          <w:szCs w:val="32"/>
          <w:highlight w:val="none"/>
          <w14:textFill>
            <w14:solidFill>
              <w14:schemeClr w14:val="tx1"/>
            </w14:solidFill>
          </w14:textFill>
        </w:rPr>
        <w:t>30.28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万元，主要包括：办公费、邮电费、差旅费、培训费、公务接待费、工会经费、其他交通费、其他商品和服务支出。</w:t>
      </w:r>
    </w:p>
    <w:p w14:paraId="41B71F83">
      <w:pPr>
        <w:spacing w:line="600" w:lineRule="exact"/>
        <w:ind w:firstLine="640"/>
        <w:outlineLvl w:val="1"/>
        <w:rPr>
          <w:rStyle w:val="33"/>
          <w:rFonts w:ascii="Times New Roman" w:hAnsi="Times New Roman" w:eastAsia="黑体"/>
          <w:b w:val="0"/>
          <w:color w:val="000000" w:themeColor="text1"/>
          <w:highlight w:val="none"/>
          <w14:textFill>
            <w14:solidFill>
              <w14:schemeClr w14:val="tx1"/>
            </w14:solidFill>
          </w14:textFill>
        </w:rPr>
      </w:pPr>
      <w:bookmarkStart w:id="36" w:name="_Toc15377215"/>
      <w:bookmarkStart w:id="37" w:name="_Toc15396609"/>
      <w:r>
        <w:rPr>
          <w:rFonts w:hint="eastAsia" w:ascii="Times New Roman" w:hAnsi="Times New Roman" w:eastAsia="黑体"/>
          <w:color w:val="000000" w:themeColor="text1"/>
          <w:sz w:val="32"/>
          <w:szCs w:val="32"/>
          <w:highlight w:val="none"/>
          <w14:textFill>
            <w14:solidFill>
              <w14:schemeClr w14:val="tx1"/>
            </w14:solidFill>
          </w14:textFill>
        </w:rPr>
        <w:t>七、</w:t>
      </w:r>
      <w:r>
        <w:rPr>
          <w:rStyle w:val="33"/>
          <w:rFonts w:hint="eastAsia" w:ascii="Times New Roman" w:hAnsi="Times New Roman" w:eastAsia="黑体"/>
          <w:b w:val="0"/>
          <w:color w:val="000000" w:themeColor="text1"/>
          <w:highlight w:val="none"/>
          <w14:textFill>
            <w14:solidFill>
              <w14:schemeClr w14:val="tx1"/>
            </w14:solidFill>
          </w14:textFill>
        </w:rPr>
        <w:t>财政拨款</w:t>
      </w:r>
      <w:r>
        <w:rPr>
          <w:rStyle w:val="33"/>
          <w:rFonts w:hint="eastAsia" w:ascii="Times New Roman" w:hAnsi="Times New Roman" w:eastAsia="黑体"/>
          <w:color w:val="000000" w:themeColor="text1"/>
          <w:highlight w:val="none"/>
          <w14:textFill>
            <w14:solidFill>
              <w14:schemeClr w14:val="tx1"/>
            </w14:solidFill>
          </w14:textFill>
        </w:rPr>
        <w:t>“</w:t>
      </w:r>
      <w:r>
        <w:rPr>
          <w:rStyle w:val="33"/>
          <w:rFonts w:hint="eastAsia" w:ascii="Times New Roman" w:hAnsi="Times New Roman" w:eastAsia="黑体"/>
          <w:b w:val="0"/>
          <w:color w:val="000000" w:themeColor="text1"/>
          <w:highlight w:val="none"/>
          <w14:textFill>
            <w14:solidFill>
              <w14:schemeClr w14:val="tx1"/>
            </w14:solidFill>
          </w14:textFill>
        </w:rPr>
        <w:t>三公”经费支出决算情况说明</w:t>
      </w:r>
      <w:bookmarkEnd w:id="36"/>
      <w:bookmarkEnd w:id="37"/>
    </w:p>
    <w:p w14:paraId="26C39F90">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38" w:name="_Toc15377216"/>
      <w:r>
        <w:rPr>
          <w:rFonts w:hint="eastAsia" w:ascii="Times New Roman" w:hAnsi="Times New Roman" w:eastAsia="楷体_GB2312" w:cs="楷体_GB2312"/>
          <w:b/>
          <w:color w:val="000000" w:themeColor="text1"/>
          <w:sz w:val="32"/>
          <w:szCs w:val="32"/>
          <w:highlight w:val="none"/>
          <w14:textFill>
            <w14:solidFill>
              <w14:schemeClr w14:val="tx1"/>
            </w14:solidFill>
          </w14:textFill>
        </w:rPr>
        <w:t>（一）财政拨款“三公”经费支出决算总体情况说明</w:t>
      </w:r>
      <w:bookmarkEnd w:id="38"/>
    </w:p>
    <w:p w14:paraId="562C5E53">
      <w:pPr>
        <w:spacing w:line="600" w:lineRule="exact"/>
        <w:ind w:firstLine="640"/>
        <w:rPr>
          <w:rFonts w:hint="eastAsia" w:ascii="Times New Roman" w:hAnsi="Times New Roman" w:eastAsia="楷体_GB2312" w:cs="楷体_GB2312"/>
          <w:b/>
          <w:color w:val="000000" w:themeColor="text1"/>
          <w:sz w:val="32"/>
          <w:szCs w:val="32"/>
          <w:highlight w:val="none"/>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财政拨款“三公”经费支出决算为</w:t>
      </w:r>
      <w:r>
        <w:rPr>
          <w:rFonts w:hint="eastAsia" w:ascii="仿宋_GB2312" w:hAnsi="仿宋_GB2312" w:eastAsia="仿宋_GB2312" w:cs="仿宋_GB2312"/>
          <w:color w:val="000000" w:themeColor="text1"/>
          <w:sz w:val="32"/>
          <w:szCs w:val="32"/>
          <w:highlight w:val="none"/>
          <w14:textFill>
            <w14:solidFill>
              <w14:schemeClr w14:val="tx1"/>
            </w14:solidFill>
          </w14:textFill>
        </w:rPr>
        <w:t>0.16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万元，完成预算</w:t>
      </w:r>
      <w:r>
        <w:rPr>
          <w:rFonts w:hint="eastAsia" w:ascii="仿宋_GB2312" w:hAnsi="仿宋_GB2312" w:eastAsia="仿宋_GB2312" w:cs="仿宋_GB2312"/>
          <w:color w:val="000000" w:themeColor="text1"/>
          <w:sz w:val="32"/>
          <w:szCs w:val="32"/>
          <w:highlight w:val="none"/>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%，较上年度减少</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万元，下降</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39.1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%。决算数与预算数持平</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bookmarkStart w:id="39" w:name="_Toc15377217"/>
    </w:p>
    <w:p w14:paraId="75F4B456">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r>
        <w:rPr>
          <w:rFonts w:hint="eastAsia" w:ascii="Times New Roman" w:hAnsi="Times New Roman" w:eastAsia="楷体_GB2312" w:cs="楷体_GB2312"/>
          <w:b/>
          <w:color w:val="000000" w:themeColor="text1"/>
          <w:sz w:val="32"/>
          <w:szCs w:val="32"/>
          <w:highlight w:val="none"/>
          <w14:textFill>
            <w14:solidFill>
              <w14:schemeClr w14:val="tx1"/>
            </w14:solidFill>
          </w14:textFill>
        </w:rPr>
        <w:t>（二）财政拨款“三公”经费支出决算具体情况说明</w:t>
      </w:r>
      <w:bookmarkEnd w:id="39"/>
    </w:p>
    <w:p w14:paraId="5475931B">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财政拨款“三公”经费支出决算中，因公出国（境）费支出决算</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%；公务用车购置及运行维护费支出决算</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%；公务接待费支出决算</w:t>
      </w:r>
      <w:r>
        <w:rPr>
          <w:rFonts w:hint="eastAsia" w:ascii="仿宋_GB2312" w:hAnsi="仿宋_GB2312" w:eastAsia="仿宋_GB2312" w:cs="仿宋_GB2312"/>
          <w:color w:val="000000" w:themeColor="text1"/>
          <w:sz w:val="32"/>
          <w:szCs w:val="32"/>
          <w:highlight w:val="none"/>
          <w14:textFill>
            <w14:solidFill>
              <w14:schemeClr w14:val="tx1"/>
            </w14:solidFill>
          </w14:textFill>
        </w:rPr>
        <w:t>0.16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%。具体情况如下：</w:t>
      </w:r>
    </w:p>
    <w:p w14:paraId="1EFC5C18">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（图7：财政拨款“三公”经费支出结构）（饼状图）</w:t>
      </w:r>
    </w:p>
    <w:p w14:paraId="620A2283">
      <w:pP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p>
    <w:p w14:paraId="6C31765E">
      <w:pPr>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508500" cy="2426335"/>
            <wp:effectExtent l="4445" t="4445" r="20955" b="7620"/>
            <wp:docPr id="198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5B8DAA5">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1.因公出国（境）经费支出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万元，完成预算</w:t>
      </w:r>
      <w:r>
        <w:rPr>
          <w:rFonts w:hint="eastAsia" w:eastAsia="仿宋_GB2312" w:cs="仿宋_GB2312"/>
          <w:b/>
          <w:bCs/>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全年安排因公出国（境）团组</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次，出国（境）</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人。因公出国（境）支出决算比</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增加/减少</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万元，增长/下降</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14:paraId="20D03DF9">
      <w:pPr>
        <w:spacing w:line="600" w:lineRule="exact"/>
        <w:ind w:firstLine="643" w:firstLineChars="20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2.公务用车购置及运行维护费支出</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万元</w:t>
      </w:r>
      <w:r>
        <w:rPr>
          <w:rFonts w:hint="eastAsia" w:eastAsia="仿宋_GB2312" w:cs="仿宋_GB2312"/>
          <w:b/>
          <w:bCs/>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完成预算</w:t>
      </w:r>
      <w:r>
        <w:rPr>
          <w:rFonts w:hint="eastAsia" w:eastAsia="仿宋_GB2312" w:cs="仿宋_GB2312"/>
          <w:b/>
          <w:bCs/>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公务用车购置及运行维护费支出决算比</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增加/减少</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万元，增长/下降</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14:paraId="1E6A71B7">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其中：公务用车购置支出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万元。全年按规定更新购置公务用车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辆，其中：轿车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辆、金额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万元，越野车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辆、金额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万元，载客汽车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辆、金额</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万元。截至202</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年12月31日，单位共有公务用车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辆，其中：轿车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辆、越野车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辆、载客汽车</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w:t>
      </w:r>
    </w:p>
    <w:p w14:paraId="4786C424">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公务用车运行维护费支出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w:t>
      </w:r>
    </w:p>
    <w:p w14:paraId="269ECF01">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3.公务接待费支出</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0.16</w:t>
      </w: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万元，完成预算</w:t>
      </w:r>
      <w:r>
        <w:rPr>
          <w:rFonts w:hint="eastAsia" w:eastAsia="仿宋_GB2312" w:cs="仿宋_GB2312"/>
          <w:b/>
          <w:bCs/>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b/>
          <w:bCs/>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公务接待费支出决算比</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年度减少</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万元，下降</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39.1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%。主要原因是本年度例行节约减少不必要的开支。其中：国内公务接待支出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0.16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万元，主要用于</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公务接待。（</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执行公务、开展业务活动开支的交通费、住宿费、用餐费等</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。国内公务接待</w:t>
      </w:r>
      <w:r>
        <w:rPr>
          <w:rFonts w:hint="eastAsia" w:ascii="仿宋_GB2312" w:hAnsi="仿宋_GB2312" w:eastAsia="仿宋_GB2312" w:cs="仿宋_GB2312"/>
          <w:color w:val="000000" w:themeColor="text1"/>
          <w:sz w:val="32"/>
          <w:szCs w:val="32"/>
          <w:highlight w:val="none"/>
          <w14:textFill>
            <w14:solidFill>
              <w14:schemeClr w14:val="tx1"/>
            </w14:solidFill>
          </w14:textFill>
        </w:rPr>
        <w:t>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批次，</w:t>
      </w:r>
      <w:r>
        <w:rPr>
          <w:rFonts w:hint="eastAsia" w:ascii="仿宋_GB2312" w:hAnsi="仿宋_GB2312" w:eastAsia="仿宋_GB2312" w:cs="仿宋_GB2312"/>
          <w:color w:val="000000" w:themeColor="text1"/>
          <w:sz w:val="32"/>
          <w:szCs w:val="32"/>
          <w:highlight w:val="none"/>
          <w14:textFill>
            <w14:solidFill>
              <w14:schemeClr w14:val="tx1"/>
            </w14:solidFill>
          </w14:textFill>
        </w:rPr>
        <w:t>13</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人次（不包括陪同人员），共计支出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0.16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万元，具体内容包括：支付米易县行政审批局到仁和考察学习接待费。</w:t>
      </w:r>
    </w:p>
    <w:p w14:paraId="4050D618">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外事接待支出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万元。外事接待</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批次，</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人次（不包括陪同人员），共计支出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w:t>
      </w:r>
      <w:bookmarkStart w:id="40" w:name="_Toc15377218"/>
      <w:bookmarkStart w:id="41" w:name="_Toc15396610"/>
    </w:p>
    <w:p w14:paraId="6B61129E">
      <w:pPr>
        <w:spacing w:line="600" w:lineRule="exact"/>
        <w:ind w:firstLine="640"/>
        <w:outlineLvl w:val="1"/>
        <w:rPr>
          <w:rStyle w:val="33"/>
          <w:rFonts w:ascii="Times New Roman" w:hAnsi="Times New Roman" w:eastAsia="黑体"/>
          <w:color w:val="000000" w:themeColor="text1"/>
          <w:highlight w:val="none"/>
          <w14:textFill>
            <w14:solidFill>
              <w14:schemeClr w14:val="tx1"/>
            </w14:solidFill>
          </w14:textFill>
        </w:rPr>
      </w:pPr>
      <w:r>
        <w:rPr>
          <w:rFonts w:hint="eastAsia" w:ascii="Times New Roman" w:hAnsi="Times New Roman" w:eastAsia="黑体"/>
          <w:color w:val="000000" w:themeColor="text1"/>
          <w:sz w:val="32"/>
          <w:szCs w:val="32"/>
          <w:highlight w:val="none"/>
          <w14:textFill>
            <w14:solidFill>
              <w14:schemeClr w14:val="tx1"/>
            </w14:solidFill>
          </w14:textFill>
        </w:rPr>
        <w:t>八、</w:t>
      </w:r>
      <w:r>
        <w:rPr>
          <w:rStyle w:val="33"/>
          <w:rFonts w:hint="eastAsia" w:ascii="Times New Roman" w:hAnsi="Times New Roman" w:eastAsia="黑体"/>
          <w:b w:val="0"/>
          <w:color w:val="000000" w:themeColor="text1"/>
          <w:highlight w:val="none"/>
          <w14:textFill>
            <w14:solidFill>
              <w14:schemeClr w14:val="tx1"/>
            </w14:solidFill>
          </w14:textFill>
        </w:rPr>
        <w:t>政府性基金预算支出决算情况说明</w:t>
      </w:r>
      <w:bookmarkEnd w:id="40"/>
      <w:bookmarkEnd w:id="41"/>
    </w:p>
    <w:p w14:paraId="3815CDBB">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政府性基金预算财政拨款支出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1.38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万元，占本年支出合计的</w:t>
      </w:r>
      <w:r>
        <w:rPr>
          <w:rFonts w:hint="eastAsia" w:ascii="仿宋_GB2312" w:hAnsi="仿宋_GB2312" w:eastAsia="仿宋_GB2312" w:cs="仿宋_GB2312"/>
          <w:color w:val="000000" w:themeColor="text1"/>
          <w:sz w:val="32"/>
          <w:szCs w:val="32"/>
          <w:highlight w:val="none"/>
          <w14:textFill>
            <w14:solidFill>
              <w14:schemeClr w14:val="tx1"/>
            </w14:solidFill>
          </w14:textFill>
        </w:rPr>
        <w:t>0.29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%。与</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年度相比，政府性基金预算财政拨款支出增加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1.38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万元，增长</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%。主要变动原因是本年度项目经费增加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p>
    <w:p w14:paraId="7B2FE224">
      <w:pPr>
        <w:numPr>
          <w:ilvl w:val="0"/>
          <w:numId w:val="0"/>
        </w:numPr>
        <w:spacing w:line="600" w:lineRule="exact"/>
        <w:ind w:left="630" w:leftChars="0"/>
        <w:outlineLvl w:val="1"/>
        <w:rPr>
          <w:rStyle w:val="33"/>
          <w:rFonts w:ascii="Times New Roman" w:hAnsi="Times New Roman" w:eastAsia="黑体"/>
          <w:b w:val="0"/>
          <w:color w:val="000000" w:themeColor="text1"/>
          <w:highlight w:val="none"/>
          <w14:textFill>
            <w14:solidFill>
              <w14:schemeClr w14:val="tx1"/>
            </w14:solidFill>
          </w14:textFill>
        </w:rPr>
      </w:pPr>
      <w:bookmarkStart w:id="42" w:name="_Toc15377219"/>
      <w:bookmarkStart w:id="43" w:name="_Toc15396611"/>
      <w:r>
        <w:rPr>
          <w:rStyle w:val="33"/>
          <w:rFonts w:hint="eastAsia" w:ascii="Times New Roman" w:hAnsi="Times New Roman" w:eastAsia="黑体"/>
          <w:b w:val="0"/>
          <w:color w:val="000000" w:themeColor="text1"/>
          <w:highlight w:val="none"/>
          <w:lang w:eastAsia="zh-CN"/>
          <w14:textFill>
            <w14:solidFill>
              <w14:schemeClr w14:val="tx1"/>
            </w14:solidFill>
          </w14:textFill>
        </w:rPr>
        <w:t>九、</w:t>
      </w:r>
      <w:r>
        <w:rPr>
          <w:rStyle w:val="33"/>
          <w:rFonts w:hint="eastAsia" w:ascii="Times New Roman" w:hAnsi="Times New Roman" w:eastAsia="黑体"/>
          <w:b w:val="0"/>
          <w:color w:val="000000" w:themeColor="text1"/>
          <w:highlight w:val="none"/>
          <w14:textFill>
            <w14:solidFill>
              <w14:schemeClr w14:val="tx1"/>
            </w14:solidFill>
          </w14:textFill>
        </w:rPr>
        <w:t>国有资本经营预算支出决算情况说明</w:t>
      </w:r>
      <w:bookmarkEnd w:id="42"/>
      <w:bookmarkEnd w:id="43"/>
    </w:p>
    <w:p w14:paraId="3BF7760D">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国有资本经营预算财政拨款支出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万元，占本年支出合计的</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%。与</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年度相比，国有资本经营预算财政拨款支出增加/减少</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万元，增长/下降</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14:paraId="1BCF3D28">
      <w:pPr>
        <w:numPr>
          <w:ilvl w:val="0"/>
          <w:numId w:val="0"/>
        </w:numPr>
        <w:spacing w:line="600" w:lineRule="exact"/>
        <w:ind w:left="630" w:leftChars="0"/>
        <w:outlineLvl w:val="1"/>
        <w:rPr>
          <w:rStyle w:val="33"/>
          <w:rFonts w:hint="eastAsia" w:ascii="Times New Roman" w:hAnsi="Times New Roman" w:eastAsia="黑体"/>
          <w:b w:val="0"/>
          <w:color w:val="000000" w:themeColor="text1"/>
          <w:highlight w:val="none"/>
          <w14:textFill>
            <w14:solidFill>
              <w14:schemeClr w14:val="tx1"/>
            </w14:solidFill>
          </w14:textFill>
        </w:rPr>
      </w:pPr>
      <w:bookmarkStart w:id="44" w:name="_Toc15396612"/>
      <w:bookmarkStart w:id="45" w:name="_Toc15377221"/>
      <w:r>
        <w:rPr>
          <w:rStyle w:val="33"/>
          <w:rFonts w:hint="eastAsia" w:ascii="Times New Roman" w:hAnsi="Times New Roman" w:eastAsia="黑体"/>
          <w:b w:val="0"/>
          <w:color w:val="000000" w:themeColor="text1"/>
          <w:highlight w:val="none"/>
          <w:lang w:eastAsia="zh-CN"/>
          <w14:textFill>
            <w14:solidFill>
              <w14:schemeClr w14:val="tx1"/>
            </w14:solidFill>
          </w14:textFill>
        </w:rPr>
        <w:t>十、</w:t>
      </w:r>
      <w:r>
        <w:rPr>
          <w:rStyle w:val="33"/>
          <w:rFonts w:hint="eastAsia" w:ascii="Times New Roman" w:hAnsi="Times New Roman" w:eastAsia="黑体"/>
          <w:b w:val="0"/>
          <w:color w:val="000000" w:themeColor="text1"/>
          <w:highlight w:val="none"/>
          <w14:textFill>
            <w14:solidFill>
              <w14:schemeClr w14:val="tx1"/>
            </w14:solidFill>
          </w14:textFill>
        </w:rPr>
        <w:t>其他重要事项的情况说明</w:t>
      </w:r>
      <w:bookmarkEnd w:id="44"/>
      <w:bookmarkEnd w:id="45"/>
    </w:p>
    <w:p w14:paraId="74561C84">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46" w:name="_Toc15377222"/>
      <w:r>
        <w:rPr>
          <w:rFonts w:hint="eastAsia" w:ascii="Times New Roman" w:hAnsi="Times New Roman" w:eastAsia="楷体_GB2312" w:cs="楷体_GB2312"/>
          <w:b/>
          <w:color w:val="000000" w:themeColor="text1"/>
          <w:sz w:val="32"/>
          <w:szCs w:val="32"/>
          <w:highlight w:val="none"/>
          <w14:textFill>
            <w14:solidFill>
              <w14:schemeClr w14:val="tx1"/>
            </w14:solidFill>
          </w14:textFill>
        </w:rPr>
        <w:t>（一）机关运行经费支出情况</w:t>
      </w:r>
      <w:bookmarkEnd w:id="46"/>
    </w:p>
    <w:p w14:paraId="41B16070">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攀枝花市仁和区行政审批局</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机关运行经费支出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30.28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万元，比</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上</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年度增加24.22万元，增长399.8%。主要原因是本年度机关运行经费增加</w:t>
      </w:r>
      <w:r>
        <w:rPr>
          <w:rFonts w:hint="eastAsia" w:eastAsia="仿宋_GB2312" w:cs="仿宋_GB2312"/>
          <w:b/>
          <w:bCs/>
          <w:color w:val="000000" w:themeColor="text1"/>
          <w:kern w:val="2"/>
          <w:sz w:val="32"/>
          <w:szCs w:val="32"/>
          <w:highlight w:val="none"/>
          <w:lang w:val="en-US" w:eastAsia="zh-CN" w:bidi="ar-SA"/>
          <w14:textFill>
            <w14:solidFill>
              <w14:schemeClr w14:val="tx1"/>
            </w14:solidFill>
          </w14:textFill>
        </w:rPr>
        <w:t>。</w:t>
      </w:r>
    </w:p>
    <w:p w14:paraId="0755CDCC">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47" w:name="_Toc15377223"/>
      <w:r>
        <w:rPr>
          <w:rFonts w:hint="eastAsia" w:ascii="Times New Roman" w:hAnsi="Times New Roman" w:eastAsia="楷体_GB2312" w:cs="楷体_GB2312"/>
          <w:b/>
          <w:color w:val="000000" w:themeColor="text1"/>
          <w:sz w:val="32"/>
          <w:szCs w:val="32"/>
          <w:highlight w:val="none"/>
          <w14:textFill>
            <w14:solidFill>
              <w14:schemeClr w14:val="tx1"/>
            </w14:solidFill>
          </w14:textFill>
        </w:rPr>
        <w:t>（二）政府采购支出情况</w:t>
      </w:r>
      <w:bookmarkEnd w:id="47"/>
    </w:p>
    <w:p w14:paraId="5654515F">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2025年度</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攀枝花市仁和区行政审批局</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政府采购支出总额</w:t>
      </w:r>
      <w:r>
        <w:rPr>
          <w:rFonts w:hint="eastAsia" w:ascii="仿宋_GB2312" w:hAnsi="仿宋_GB2312" w:eastAsia="仿宋_GB2312" w:cs="仿宋_GB2312"/>
          <w:color w:val="000000" w:themeColor="text1"/>
          <w:sz w:val="32"/>
          <w:szCs w:val="32"/>
          <w:highlight w:val="none"/>
          <w14:textFill>
            <w14:solidFill>
              <w14:schemeClr w14:val="tx1"/>
            </w14:solidFill>
          </w14:textFill>
        </w:rPr>
        <w:t>5.02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万元，其中：政府采购货物支出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5.02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万元、政府采购工程支出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万元、政府采购服务支出</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万元。主要用于</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保障单位日常运转，满足业务工作需要</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。授予中小企业合同金额</w:t>
      </w:r>
      <w:r>
        <w:rPr>
          <w:rFonts w:hint="eastAsia" w:ascii="仿宋_GB2312" w:hAnsi="仿宋_GB2312" w:eastAsia="仿宋_GB2312" w:cs="仿宋_GB2312"/>
          <w:color w:val="000000" w:themeColor="text1"/>
          <w:sz w:val="32"/>
          <w:szCs w:val="32"/>
          <w:highlight w:val="none"/>
          <w14:textFill>
            <w14:solidFill>
              <w14:schemeClr w14:val="tx1"/>
            </w14:solidFill>
          </w14:textFill>
        </w:rPr>
        <w:t>5.02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万元，占政府采购支出总额的</w:t>
      </w:r>
      <w:r>
        <w:rPr>
          <w:rFonts w:hint="eastAsia" w:ascii="仿宋_GB2312" w:hAnsi="仿宋_GB2312" w:eastAsia="仿宋_GB2312" w:cs="仿宋_GB2312"/>
          <w:color w:val="000000" w:themeColor="text1"/>
          <w:sz w:val="32"/>
          <w:szCs w:val="32"/>
          <w:highlight w:val="none"/>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%，其中：授予小微企业合同金额</w:t>
      </w:r>
      <w:r>
        <w:rPr>
          <w:rFonts w:hint="eastAsia" w:ascii="仿宋_GB2312" w:hAnsi="仿宋_GB2312" w:eastAsia="仿宋_GB2312" w:cs="仿宋_GB2312"/>
          <w:color w:val="000000" w:themeColor="text1"/>
          <w:sz w:val="32"/>
          <w:szCs w:val="32"/>
          <w:highlight w:val="none"/>
          <w14:textFill>
            <w14:solidFill>
              <w14:schemeClr w14:val="tx1"/>
            </w14:solidFill>
          </w14:textFill>
        </w:rPr>
        <w:t>5.02</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万元，占政府采购支出总额的</w:t>
      </w:r>
      <w:r>
        <w:rPr>
          <w:rFonts w:hint="eastAsia" w:ascii="仿宋_GB2312" w:hAnsi="仿宋_GB2312" w:eastAsia="仿宋_GB2312" w:cs="仿宋_GB2312"/>
          <w:color w:val="000000" w:themeColor="text1"/>
          <w:sz w:val="32"/>
          <w:szCs w:val="32"/>
          <w:highlight w:val="none"/>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14:paraId="1C7512B6">
      <w:pPr>
        <w:spacing w:line="600" w:lineRule="exact"/>
        <w:ind w:firstLine="643" w:firstLineChars="200"/>
        <w:outlineLvl w:val="2"/>
        <w:rPr>
          <w:rFonts w:hint="eastAsia" w:ascii="Times New Roman" w:hAnsi="Times New Roman" w:eastAsia="楷体_GB2312" w:cs="楷体_GB2312"/>
          <w:b/>
          <w:color w:val="000000" w:themeColor="text1"/>
          <w:sz w:val="32"/>
          <w:szCs w:val="32"/>
          <w:highlight w:val="none"/>
          <w14:textFill>
            <w14:solidFill>
              <w14:schemeClr w14:val="tx1"/>
            </w14:solidFill>
          </w14:textFill>
        </w:rPr>
      </w:pPr>
      <w:bookmarkStart w:id="48" w:name="_Toc15377224"/>
      <w:r>
        <w:rPr>
          <w:rFonts w:hint="eastAsia" w:ascii="Times New Roman" w:hAnsi="Times New Roman" w:eastAsia="楷体_GB2312" w:cs="楷体_GB2312"/>
          <w:b/>
          <w:color w:val="000000" w:themeColor="text1"/>
          <w:sz w:val="32"/>
          <w:szCs w:val="32"/>
          <w:highlight w:val="none"/>
          <w14:textFill>
            <w14:solidFill>
              <w14:schemeClr w14:val="tx1"/>
            </w14:solidFill>
          </w14:textFill>
        </w:rPr>
        <w:t>（三）国有资产占有使用情况</w:t>
      </w:r>
      <w:bookmarkEnd w:id="48"/>
    </w:p>
    <w:p w14:paraId="27F5B619">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截至202</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年12月31日，</w:t>
      </w:r>
      <w:r>
        <w:rPr>
          <w:rFonts w:hint="eastAsia" w:ascii="仿宋_GB2312" w:hAnsi="仿宋_GB2312" w:eastAsia="仿宋_GB2312" w:cs="仿宋_GB2312"/>
          <w:color w:val="000000" w:themeColor="text1"/>
          <w:sz w:val="32"/>
          <w:szCs w:val="32"/>
          <w:highlight w:val="none"/>
          <w14:textFill>
            <w14:solidFill>
              <w14:schemeClr w14:val="tx1"/>
            </w14:solidFill>
          </w14:textFill>
        </w:rPr>
        <w:t>攀枝花市仁和区行政审批局</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共有车辆</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辆，其中：副部（省）级及以上领导用车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辆、主要</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负责人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辆、机要通信用车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辆、应急保障用车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辆、执法执勤用车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辆、特种专业技术用车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辆、离退休干部服务用车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辆、其他用车</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辆</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单价100万元</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（含）</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以上设备（不含车辆）</w:t>
      </w:r>
      <w:r>
        <w:rPr>
          <w:rFonts w:hint="eastAsia" w:ascii="仿宋_GB2312" w:hAnsi="仿宋_GB2312" w:eastAsia="仿宋_GB2312" w:cs="仿宋_GB2312"/>
          <w:color w:val="000000" w:themeColor="text1"/>
          <w:sz w:val="32"/>
          <w:szCs w:val="32"/>
          <w:highlight w:val="none"/>
          <w14:textFill>
            <w14:solidFill>
              <w14:schemeClr w14:val="tx1"/>
            </w14:solidFill>
          </w14:textFill>
        </w:rPr>
        <w:t>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台（套）。</w:t>
      </w:r>
    </w:p>
    <w:p w14:paraId="52251CF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87422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预算编制阶段，组织对政务中心业务专项经费项目、政府采购业务经费项目、房屋租赁费项目、基层便民服务体系“三化”建设工作经费、电子化升级维护经费项目等7个项目开展了预算事前绩效评估，对7个项目编制了绩效目标，预算执行过程中，选取7个项目按照相关文件规定所有项目均开展绩效监控。</w:t>
      </w:r>
      <w:r>
        <w:rPr>
          <w:rFonts w:hint="eastAsia" w:eastAsia="仿宋_GB2312" w:cs="仿宋_GB2312"/>
          <w:color w:val="auto"/>
          <w:kern w:val="2"/>
          <w:sz w:val="32"/>
          <w:szCs w:val="32"/>
          <w:highlight w:val="none"/>
          <w:lang w:val="en-US" w:eastAsia="zh-CN" w:bidi="ar-SA"/>
        </w:rPr>
        <w:t>年终执行完毕后，本部门整体开展绩效自评，</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分，形成</w:t>
      </w:r>
      <w:r>
        <w:rPr>
          <w:rFonts w:hint="eastAsia" w:eastAsia="仿宋_GB2312" w:cs="仿宋_GB2312"/>
          <w:color w:val="auto"/>
          <w:kern w:val="2"/>
          <w:sz w:val="32"/>
          <w:szCs w:val="32"/>
          <w:highlight w:val="none"/>
          <w:lang w:val="en-US" w:eastAsia="zh-CN" w:bidi="ar-SA"/>
        </w:rPr>
        <w:t>攀枝花市仁和区行政审批局</w:t>
      </w:r>
      <w:r>
        <w:rPr>
          <w:rFonts w:hint="eastAsia" w:ascii="Times New Roman" w:hAnsi="Times New Roman" w:eastAsia="仿宋_GB2312" w:cs="仿宋_GB2312"/>
          <w:color w:val="auto"/>
          <w:kern w:val="2"/>
          <w:sz w:val="32"/>
          <w:szCs w:val="32"/>
          <w:highlight w:val="none"/>
          <w:lang w:val="en-US" w:eastAsia="zh-CN" w:bidi="ar-SA"/>
        </w:rPr>
        <w:t>部门预算绩效自评报告</w:t>
      </w:r>
      <w:r>
        <w:rPr>
          <w:rFonts w:hint="eastAsia" w:eastAsia="仿宋_GB2312" w:cs="仿宋_GB2312"/>
          <w:color w:val="auto"/>
          <w:kern w:val="2"/>
          <w:sz w:val="32"/>
          <w:szCs w:val="32"/>
          <w:highlight w:val="none"/>
          <w:lang w:val="en-US" w:eastAsia="zh-CN" w:bidi="ar-SA"/>
        </w:rPr>
        <w:t>及</w:t>
      </w:r>
      <w:r>
        <w:rPr>
          <w:rFonts w:hint="eastAsia" w:ascii="Times New Roman" w:hAnsi="Times New Roman" w:eastAsia="仿宋_GB2312" w:cs="仿宋_GB2312"/>
          <w:color w:val="auto"/>
          <w:kern w:val="2"/>
          <w:sz w:val="32"/>
          <w:szCs w:val="32"/>
          <w:highlight w:val="none"/>
          <w:lang w:val="en-US" w:eastAsia="zh-CN" w:bidi="ar-SA"/>
        </w:rPr>
        <w:t>专项预算项目绩效自评报告</w:t>
      </w:r>
      <w:r>
        <w:rPr>
          <w:rFonts w:hint="eastAsia" w:eastAsia="仿宋_GB2312" w:cs="仿宋_GB2312"/>
          <w:color w:val="auto"/>
          <w:kern w:val="2"/>
          <w:sz w:val="32"/>
          <w:szCs w:val="32"/>
          <w:highlight w:val="none"/>
          <w:lang w:val="en-US" w:eastAsia="zh-CN" w:bidi="ar-SA"/>
        </w:rPr>
        <w:t>见附件（第四部分）。</w:t>
      </w:r>
    </w:p>
    <w:p w14:paraId="4899D9DC">
      <w:pPr>
        <w:pStyle w:val="3"/>
        <w:rPr>
          <w:rFonts w:hint="eastAsia" w:ascii="Times New Roman" w:hAnsi="Times New Roman" w:eastAsia="仿宋_GB2312" w:cs="仿宋_GB2312"/>
          <w:color w:val="auto"/>
          <w:kern w:val="2"/>
          <w:sz w:val="32"/>
          <w:szCs w:val="32"/>
          <w:highlight w:val="none"/>
          <w:lang w:val="en-US" w:eastAsia="zh-CN" w:bidi="ar-SA"/>
        </w:rPr>
      </w:pPr>
    </w:p>
    <w:p w14:paraId="075600F2">
      <w:pPr>
        <w:pStyle w:val="3"/>
        <w:rPr>
          <w:rFonts w:hint="eastAsia" w:ascii="Times New Roman" w:hAnsi="Times New Roman" w:eastAsia="仿宋_GB2312" w:cs="仿宋_GB2312"/>
          <w:color w:val="auto"/>
          <w:kern w:val="2"/>
          <w:sz w:val="32"/>
          <w:szCs w:val="32"/>
          <w:highlight w:val="none"/>
          <w:lang w:val="en-US" w:eastAsia="zh-CN" w:bidi="ar-SA"/>
        </w:rPr>
      </w:pPr>
    </w:p>
    <w:p w14:paraId="29C8C9B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23C91E36">
      <w:pPr>
        <w:spacing w:line="600" w:lineRule="exact"/>
        <w:jc w:val="left"/>
        <w:rPr>
          <w:rFonts w:ascii="Times New Roman" w:hAnsi="Times New Roman"/>
          <w:b/>
          <w:color w:val="auto"/>
          <w:sz w:val="44"/>
          <w:szCs w:val="44"/>
          <w:highlight w:val="none"/>
        </w:rPr>
      </w:pPr>
    </w:p>
    <w:p w14:paraId="64A55656">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1.财政拨款收入：指单位从同级财政部门取得的财政预算资金。</w:t>
      </w:r>
    </w:p>
    <w:p w14:paraId="79EE3410">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2.事业收入：指事业单位开展专业业务活动及辅助活动取得的收入。</w:t>
      </w:r>
    </w:p>
    <w:p w14:paraId="6EBDA52B">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3</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 xml:space="preserve">.其他收入：指单位取得的除上述收入以外的各项收入。 </w:t>
      </w:r>
    </w:p>
    <w:p w14:paraId="40DC294D">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4</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 xml:space="preserve">.使用非财政拨款结余（含专用结余）：指事业单位使用以前年度积累的非财政拨款结余弥补当年收支差额的金额。 </w:t>
      </w:r>
    </w:p>
    <w:p w14:paraId="48FB94BC">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 xml:space="preserve">.年初结转和结余：指以前年度尚未完成、结转到本年按有关规定继续使用的资金。 </w:t>
      </w:r>
    </w:p>
    <w:p w14:paraId="2F17858F">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6</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.结余分配：指事业单位按照会计制度规定缴纳的所得税、提取的专用结余以及转入非财政拨款结余的金额等。</w:t>
      </w:r>
    </w:p>
    <w:p w14:paraId="0F381F8F">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7</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.年末结转和结余：指单位按有关规定结转到下年或以后年度继续使用的资金。</w:t>
      </w:r>
    </w:p>
    <w:p w14:paraId="50032D9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.一般公共服务（类）</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政府办公厅（室）及相关机构</w:t>
      </w:r>
      <w:r>
        <w:rPr>
          <w:rFonts w:hint="eastAsia" w:eastAsia="仿宋_GB2312" w:cs="仿宋_GB2312"/>
          <w:color w:val="auto"/>
          <w:kern w:val="2"/>
          <w:sz w:val="32"/>
          <w:szCs w:val="32"/>
          <w:highlight w:val="none"/>
          <w:lang w:val="en-US" w:eastAsia="zh-CN" w:bidi="ar-SA"/>
        </w:rPr>
        <w:t>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反映行政单位（包括实行公务员管理的事业单位）的基本支出。</w:t>
      </w:r>
    </w:p>
    <w:p w14:paraId="7BC25D28">
      <w:pPr>
        <w:pStyle w:val="30"/>
        <w:spacing w:line="560" w:lineRule="exact"/>
        <w:ind w:firstLine="640" w:firstLineChars="200"/>
        <w:rPr>
          <w:rFonts w:hint="eastAsia" w:ascii="仿宋_GB2312" w:eastAsia="仿宋_GB2312"/>
          <w:color w:val="000000" w:themeColor="text1"/>
          <w:sz w:val="32"/>
          <w:szCs w:val="32"/>
          <w:highlight w:val="none"/>
          <w14:textFill>
            <w14:solidFill>
              <w14:schemeClr w14:val="tx1"/>
            </w14:solidFill>
          </w14:textFill>
        </w:rPr>
      </w:pPr>
      <w:bookmarkStart w:id="51" w:name="_Toc15377226"/>
      <w:r>
        <w:rPr>
          <w:rFonts w:hint="eastAsia" w:ascii="仿宋_GB2312" w:eastAsia="仿宋_GB2312"/>
          <w:color w:val="000000" w:themeColor="text1"/>
          <w:sz w:val="32"/>
          <w:szCs w:val="32"/>
          <w:highlight w:val="none"/>
          <w:lang w:val="en-US" w:eastAsia="zh-CN"/>
          <w14:textFill>
            <w14:solidFill>
              <w14:schemeClr w14:val="tx1"/>
            </w14:solidFill>
          </w14:textFill>
        </w:rPr>
        <w:t>9</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一般公共服务支出（类）政府办公厅（室）及相关机构事务（款）事业运行（项）</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指事业单位的基本支出，不包括行政单位（包括实行公务管理的事业单位）后勤服务中心、医务室等附属事业单位。</w:t>
      </w:r>
    </w:p>
    <w:p w14:paraId="7CF414C8">
      <w:pPr>
        <w:pStyle w:val="30"/>
        <w:spacing w:line="560" w:lineRule="exact"/>
        <w:ind w:firstLine="640" w:firstLineChars="20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10</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一般公共服务支出（类）政府办公厅（室）及相关机构事务（款）其他政府办公厅（室）及相关机构事务支出（项）</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指除上述项目以外的其他政府办公厅（室）及相关机构事务支出。</w:t>
      </w:r>
    </w:p>
    <w:p w14:paraId="459EB210">
      <w:pPr>
        <w:pStyle w:val="30"/>
        <w:spacing w:line="560" w:lineRule="exact"/>
        <w:ind w:firstLine="640" w:firstLineChars="20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1</w:t>
      </w:r>
      <w:r>
        <w:rPr>
          <w:rFonts w:hint="eastAsia" w:ascii="仿宋_GB2312" w:eastAsia="仿宋_GB2312"/>
          <w:color w:val="000000" w:themeColor="text1"/>
          <w:sz w:val="32"/>
          <w:szCs w:val="32"/>
          <w:highlight w:val="none"/>
          <w:lang w:val="en-US" w:eastAsia="zh-CN"/>
          <w14:textFill>
            <w14:solidFill>
              <w14:schemeClr w14:val="tx1"/>
            </w14:solidFill>
          </w14:textFill>
        </w:rPr>
        <w:t>1</w:t>
      </w:r>
      <w:r>
        <w:rPr>
          <w:rFonts w:hint="eastAsia" w:ascii="仿宋_GB2312" w:eastAsia="仿宋_GB2312"/>
          <w:color w:val="000000" w:themeColor="text1"/>
          <w:sz w:val="32"/>
          <w:szCs w:val="32"/>
          <w:highlight w:val="none"/>
          <w14:textFill>
            <w14:solidFill>
              <w14:schemeClr w14:val="tx1"/>
            </w14:solidFill>
          </w14:textFill>
        </w:rPr>
        <w:t>.</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社会保障和就业支出（类）行政事业单位养老支出（款）机关事业单位基本养老保险缴费支出（项）</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指机关事业单位实施养老保险制度由单位缴纳的基本养老保险费支出。</w:t>
      </w:r>
    </w:p>
    <w:p w14:paraId="74298EF1">
      <w:pPr>
        <w:pStyle w:val="30"/>
        <w:spacing w:line="560" w:lineRule="exact"/>
        <w:ind w:firstLine="640" w:firstLineChars="200"/>
        <w:rPr>
          <w:rFonts w:hint="eastAsia" w:ascii="仿宋_GB2312" w:hAnsi="Cambria" w:eastAsia="仿宋_GB2312"/>
          <w:color w:val="000000" w:themeColor="text1"/>
          <w:sz w:val="32"/>
          <w:szCs w:val="24"/>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1</w:t>
      </w:r>
      <w:r>
        <w:rPr>
          <w:rFonts w:hint="eastAsia" w:ascii="仿宋_GB2312" w:eastAsia="仿宋_GB2312"/>
          <w:color w:val="000000" w:themeColor="text1"/>
          <w:sz w:val="32"/>
          <w:szCs w:val="32"/>
          <w:highlight w:val="none"/>
          <w:lang w:val="en-US" w:eastAsia="zh-CN"/>
          <w14:textFill>
            <w14:solidFill>
              <w14:schemeClr w14:val="tx1"/>
            </w14:solidFill>
          </w14:textFill>
        </w:rPr>
        <w:t>2</w:t>
      </w:r>
      <w:r>
        <w:rPr>
          <w:rFonts w:hint="eastAsia" w:ascii="仿宋_GB2312" w:eastAsia="仿宋_GB2312"/>
          <w:color w:val="000000" w:themeColor="text1"/>
          <w:sz w:val="32"/>
          <w:szCs w:val="32"/>
          <w:highlight w:val="none"/>
          <w14:textFill>
            <w14:solidFill>
              <w14:schemeClr w14:val="tx1"/>
            </w14:solidFill>
          </w14:textFill>
        </w:rPr>
        <w:t>.</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社会保障和就业支出（类）行政事业单位养老支出（款）机关事业单位职业年金缴费支出（项）</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指机关事业单位实施养老保险制度由单位缴纳的职业年金的支出。</w:t>
      </w:r>
    </w:p>
    <w:p w14:paraId="672816BE">
      <w:pPr>
        <w:pStyle w:val="30"/>
        <w:spacing w:line="560" w:lineRule="exact"/>
        <w:ind w:firstLine="640" w:firstLineChars="200"/>
        <w:rPr>
          <w:rFonts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1</w:t>
      </w:r>
      <w:r>
        <w:rPr>
          <w:rFonts w:hint="eastAsia" w:ascii="仿宋_GB2312" w:eastAsia="仿宋_GB2312"/>
          <w:color w:val="000000" w:themeColor="text1"/>
          <w:sz w:val="32"/>
          <w:szCs w:val="32"/>
          <w:highlight w:val="none"/>
          <w:lang w:val="en-US" w:eastAsia="zh-CN"/>
          <w14:textFill>
            <w14:solidFill>
              <w14:schemeClr w14:val="tx1"/>
            </w14:solidFill>
          </w14:textFill>
        </w:rPr>
        <w:t>3</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卫生健康支出（类）行政事业单位医疗（款）行政单位医疗（项）</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lang w:val="en" w:eastAsia="zh-CN"/>
          <w14:textFill>
            <w14:solidFill>
              <w14:schemeClr w14:val="tx1"/>
            </w14:solidFill>
          </w14:textFill>
        </w:rPr>
        <w:t>指机关事业单位实施职工基本医疗保险制度由单位缴纳的基本医疗保险费支出。</w:t>
      </w:r>
    </w:p>
    <w:p w14:paraId="200B67F4">
      <w:pPr>
        <w:pStyle w:val="30"/>
        <w:spacing w:line="560" w:lineRule="exact"/>
        <w:ind w:firstLine="640" w:firstLineChars="200"/>
        <w:rPr>
          <w:rFonts w:hint="eastAsia" w:ascii="仿宋_GB2312" w:eastAsia="仿宋_GB2312"/>
          <w:color w:val="000000" w:themeColor="text1"/>
          <w:sz w:val="32"/>
          <w:szCs w:val="32"/>
          <w:highlight w:val="none"/>
          <w:lang w:val="en" w:eastAsia="zh-CN"/>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1</w:t>
      </w:r>
      <w:r>
        <w:rPr>
          <w:rFonts w:hint="eastAsia" w:ascii="仿宋_GB2312" w:eastAsia="仿宋_GB2312"/>
          <w:color w:val="000000" w:themeColor="text1"/>
          <w:sz w:val="32"/>
          <w:szCs w:val="32"/>
          <w:highlight w:val="none"/>
          <w:lang w:val="en-US" w:eastAsia="zh-CN"/>
          <w14:textFill>
            <w14:solidFill>
              <w14:schemeClr w14:val="tx1"/>
            </w14:solidFill>
          </w14:textFill>
        </w:rPr>
        <w:t>4</w:t>
      </w:r>
      <w:r>
        <w:rPr>
          <w:rFonts w:ascii="仿宋_GB2312"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卫生健康支出（类）行政事业单位医疗（款）公务员医疗补助（项）</w:t>
      </w:r>
      <w:r>
        <w:rPr>
          <w:rFonts w:ascii="仿宋_GB2312" w:eastAsia="仿宋_GB2312"/>
          <w:color w:val="000000" w:themeColor="text1"/>
          <w:sz w:val="32"/>
          <w:szCs w:val="32"/>
          <w:highlight w:val="none"/>
          <w14:textFill>
            <w14:solidFill>
              <w14:schemeClr w14:val="tx1"/>
            </w14:solidFill>
          </w14:textFill>
        </w:rPr>
        <w:t xml:space="preserve">: </w:t>
      </w:r>
      <w:r>
        <w:rPr>
          <w:rFonts w:hint="eastAsia" w:ascii="仿宋_GB2312" w:eastAsia="仿宋_GB2312"/>
          <w:color w:val="000000" w:themeColor="text1"/>
          <w:sz w:val="32"/>
          <w:szCs w:val="32"/>
          <w:highlight w:val="none"/>
          <w14:textFill>
            <w14:solidFill>
              <w14:schemeClr w14:val="tx1"/>
            </w14:solidFill>
          </w14:textFill>
        </w:rPr>
        <w:t>指</w:t>
      </w:r>
      <w:r>
        <w:rPr>
          <w:rFonts w:hint="eastAsia" w:ascii="仿宋_GB2312" w:eastAsia="仿宋_GB2312"/>
          <w:color w:val="000000" w:themeColor="text1"/>
          <w:sz w:val="32"/>
          <w:szCs w:val="32"/>
          <w:highlight w:val="none"/>
          <w:lang w:val="en" w:eastAsia="zh-CN"/>
          <w14:textFill>
            <w14:solidFill>
              <w14:schemeClr w14:val="tx1"/>
            </w14:solidFill>
          </w14:textFill>
        </w:rPr>
        <w:t>由单位缴纳的公务员医疗补助费支出。</w:t>
      </w:r>
    </w:p>
    <w:p w14:paraId="74C1002C">
      <w:pPr>
        <w:pStyle w:val="30"/>
        <w:spacing w:line="560" w:lineRule="exact"/>
        <w:ind w:firstLine="640" w:firstLineChars="20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1</w:t>
      </w:r>
      <w:r>
        <w:rPr>
          <w:rFonts w:hint="eastAsia" w:ascii="仿宋_GB2312" w:eastAsia="仿宋_GB2312"/>
          <w:color w:val="000000" w:themeColor="text1"/>
          <w:sz w:val="32"/>
          <w:szCs w:val="32"/>
          <w:highlight w:val="none"/>
          <w:lang w:val="en-US" w:eastAsia="zh-CN"/>
          <w14:textFill>
            <w14:solidFill>
              <w14:schemeClr w14:val="tx1"/>
            </w14:solidFill>
          </w14:textFill>
        </w:rPr>
        <w:t>5</w:t>
      </w:r>
      <w:r>
        <w:rPr>
          <w:rFonts w:ascii="仿宋_GB2312"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 xml:space="preserve"> 住房保障支出（类）住房改革支出（款）住房公积金（项）</w:t>
      </w:r>
      <w:r>
        <w:rPr>
          <w:rFonts w:ascii="仿宋_GB2312"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指机关事业单位</w:t>
      </w:r>
      <w:r>
        <w:rPr>
          <w:rFonts w:hint="eastAsia" w:ascii="仿宋_GB2312" w:eastAsia="仿宋_GB2312"/>
          <w:color w:val="000000" w:themeColor="text1"/>
          <w:sz w:val="32"/>
          <w:szCs w:val="32"/>
          <w:highlight w:val="none"/>
          <w:lang w:eastAsia="zh-CN"/>
          <w14:textFill>
            <w14:solidFill>
              <w14:schemeClr w14:val="tx1"/>
            </w14:solidFill>
          </w14:textFill>
        </w:rPr>
        <w:t>按照住房公积金管理条例的规定</w:t>
      </w:r>
      <w:r>
        <w:rPr>
          <w:rFonts w:hint="eastAsia" w:ascii="仿宋_GB2312" w:eastAsia="仿宋_GB2312"/>
          <w:color w:val="000000" w:themeColor="text1"/>
          <w:sz w:val="32"/>
          <w:szCs w:val="32"/>
          <w:highlight w:val="none"/>
          <w14:textFill>
            <w14:solidFill>
              <w14:schemeClr w14:val="tx1"/>
            </w14:solidFill>
          </w14:textFill>
        </w:rPr>
        <w:t>由单位缴纳的</w:t>
      </w:r>
      <w:r>
        <w:rPr>
          <w:rFonts w:hint="eastAsia" w:ascii="仿宋_GB2312" w:eastAsia="仿宋_GB2312"/>
          <w:color w:val="000000" w:themeColor="text1"/>
          <w:sz w:val="32"/>
          <w:szCs w:val="32"/>
          <w:highlight w:val="none"/>
          <w:lang w:eastAsia="zh-CN"/>
          <w14:textFill>
            <w14:solidFill>
              <w14:schemeClr w14:val="tx1"/>
            </w14:solidFill>
          </w14:textFill>
        </w:rPr>
        <w:t>住房公积金</w:t>
      </w:r>
      <w:r>
        <w:rPr>
          <w:rFonts w:hint="eastAsia" w:ascii="仿宋_GB2312" w:eastAsia="仿宋_GB2312"/>
          <w:color w:val="000000" w:themeColor="text1"/>
          <w:sz w:val="32"/>
          <w:szCs w:val="32"/>
          <w:highlight w:val="none"/>
          <w14:textFill>
            <w14:solidFill>
              <w14:schemeClr w14:val="tx1"/>
            </w14:solidFill>
          </w14:textFill>
        </w:rPr>
        <w:t>费</w:t>
      </w:r>
      <w:r>
        <w:rPr>
          <w:rFonts w:hint="eastAsia" w:ascii="仿宋_GB2312" w:eastAsia="仿宋_GB2312"/>
          <w:color w:val="000000" w:themeColor="text1"/>
          <w:sz w:val="32"/>
          <w:szCs w:val="32"/>
          <w:highlight w:val="none"/>
          <w:lang w:eastAsia="zh-CN"/>
          <w14:textFill>
            <w14:solidFill>
              <w14:schemeClr w14:val="tx1"/>
            </w14:solidFill>
          </w14:textFill>
        </w:rPr>
        <w:t>用</w:t>
      </w:r>
      <w:r>
        <w:rPr>
          <w:rFonts w:hint="eastAsia" w:ascii="仿宋_GB2312" w:eastAsia="仿宋_GB2312"/>
          <w:color w:val="000000" w:themeColor="text1"/>
          <w:sz w:val="32"/>
          <w:szCs w:val="32"/>
          <w:highlight w:val="none"/>
          <w14:textFill>
            <w14:solidFill>
              <w14:schemeClr w14:val="tx1"/>
            </w14:solidFill>
          </w14:textFill>
        </w:rPr>
        <w:t>支出。</w:t>
      </w:r>
    </w:p>
    <w:p w14:paraId="24620E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24A1EC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442625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4EFB1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ABA6684">
      <w:pPr>
        <w:pStyle w:val="2"/>
        <w:rPr>
          <w:rFonts w:hint="eastAsia" w:ascii="Times New Roman" w:hAnsi="Times New Roman" w:eastAsia="仿宋_GB2312" w:cs="仿宋_GB2312"/>
          <w:color w:val="auto"/>
          <w:kern w:val="2"/>
          <w:sz w:val="32"/>
          <w:szCs w:val="32"/>
          <w:highlight w:val="none"/>
          <w:lang w:val="en-US" w:eastAsia="zh-CN" w:bidi="ar-SA"/>
        </w:rPr>
      </w:pPr>
    </w:p>
    <w:p w14:paraId="2BDBB68F">
      <w:pPr>
        <w:pStyle w:val="3"/>
        <w:rPr>
          <w:rFonts w:hint="eastAsia" w:ascii="Times New Roman" w:hAnsi="Times New Roman" w:eastAsia="仿宋_GB2312" w:cs="仿宋_GB2312"/>
          <w:color w:val="auto"/>
          <w:kern w:val="2"/>
          <w:sz w:val="32"/>
          <w:szCs w:val="32"/>
          <w:highlight w:val="none"/>
          <w:lang w:val="en-US" w:eastAsia="zh-CN" w:bidi="ar-SA"/>
        </w:rPr>
      </w:pPr>
    </w:p>
    <w:p w14:paraId="0589EF23">
      <w:pPr>
        <w:pStyle w:val="3"/>
        <w:rPr>
          <w:rFonts w:hint="eastAsia" w:ascii="Times New Roman" w:hAnsi="Times New Roman" w:eastAsia="仿宋_GB2312" w:cs="仿宋_GB2312"/>
          <w:color w:val="auto"/>
          <w:kern w:val="2"/>
          <w:sz w:val="32"/>
          <w:szCs w:val="32"/>
          <w:highlight w:val="none"/>
          <w:lang w:val="en-US" w:eastAsia="zh-CN" w:bidi="ar-SA"/>
        </w:rPr>
      </w:pPr>
    </w:p>
    <w:p w14:paraId="754C4CAF">
      <w:pPr>
        <w:pStyle w:val="3"/>
        <w:rPr>
          <w:rFonts w:hint="eastAsia" w:ascii="Times New Roman" w:hAnsi="Times New Roman" w:eastAsia="仿宋_GB2312" w:cs="仿宋_GB2312"/>
          <w:color w:val="auto"/>
          <w:kern w:val="2"/>
          <w:sz w:val="32"/>
          <w:szCs w:val="32"/>
          <w:highlight w:val="none"/>
          <w:lang w:val="en-US" w:eastAsia="zh-CN" w:bidi="ar-SA"/>
        </w:rPr>
      </w:pPr>
    </w:p>
    <w:p w14:paraId="551A2CF2">
      <w:pPr>
        <w:pStyle w:val="3"/>
        <w:rPr>
          <w:rFonts w:hint="eastAsia" w:ascii="Times New Roman" w:hAnsi="Times New Roman" w:eastAsia="仿宋_GB2312" w:cs="仿宋_GB2312"/>
          <w:color w:val="auto"/>
          <w:kern w:val="2"/>
          <w:sz w:val="32"/>
          <w:szCs w:val="32"/>
          <w:highlight w:val="none"/>
          <w:lang w:val="en-US" w:eastAsia="zh-CN" w:bidi="ar-SA"/>
        </w:rPr>
      </w:pPr>
    </w:p>
    <w:p w14:paraId="58F0D6AF">
      <w:pPr>
        <w:pStyle w:val="3"/>
        <w:rPr>
          <w:rFonts w:hint="eastAsia" w:ascii="Times New Roman" w:hAnsi="Times New Roman" w:eastAsia="仿宋_GB2312" w:cs="仿宋_GB2312"/>
          <w:color w:val="auto"/>
          <w:kern w:val="2"/>
          <w:sz w:val="32"/>
          <w:szCs w:val="32"/>
          <w:highlight w:val="none"/>
          <w:lang w:val="en-US" w:eastAsia="zh-CN" w:bidi="ar-SA"/>
        </w:rPr>
      </w:pPr>
    </w:p>
    <w:p w14:paraId="14B8FAA4">
      <w:pPr>
        <w:pStyle w:val="3"/>
        <w:rPr>
          <w:rFonts w:hint="eastAsia" w:ascii="Times New Roman" w:hAnsi="Times New Roman" w:eastAsia="仿宋_GB2312" w:cs="仿宋_GB2312"/>
          <w:color w:val="auto"/>
          <w:kern w:val="2"/>
          <w:sz w:val="32"/>
          <w:szCs w:val="32"/>
          <w:highlight w:val="none"/>
          <w:lang w:val="en-US" w:eastAsia="zh-CN" w:bidi="ar-SA"/>
        </w:rPr>
      </w:pPr>
    </w:p>
    <w:p w14:paraId="42AA57D8">
      <w:pPr>
        <w:pStyle w:val="3"/>
        <w:rPr>
          <w:rFonts w:hint="eastAsia" w:ascii="Times New Roman" w:hAnsi="Times New Roman" w:eastAsia="仿宋_GB2312" w:cs="仿宋_GB2312"/>
          <w:color w:val="auto"/>
          <w:kern w:val="2"/>
          <w:sz w:val="32"/>
          <w:szCs w:val="32"/>
          <w:highlight w:val="none"/>
          <w:lang w:val="en-US" w:eastAsia="zh-CN" w:bidi="ar-SA"/>
        </w:rPr>
      </w:pPr>
    </w:p>
    <w:p w14:paraId="1479252E">
      <w:pPr>
        <w:spacing w:line="600" w:lineRule="exact"/>
        <w:jc w:val="center"/>
        <w:rPr>
          <w:rStyle w:val="32"/>
          <w:rFonts w:hint="eastAsia" w:ascii="Times New Roman" w:hAnsi="Times New Roman" w:eastAsia="黑体"/>
          <w:b w:val="0"/>
          <w:color w:val="auto"/>
          <w:highlight w:val="none"/>
          <w:lang w:eastAsia="zh-CN"/>
        </w:rPr>
      </w:pP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27B21B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rPr>
      </w:pPr>
    </w:p>
    <w:p w14:paraId="2E1E7ABE">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25434F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14C429A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eastAsia" w:eastAsia="方正小标宋简体" w:cs="Times New Roman"/>
          <w:b w:val="0"/>
          <w:bCs/>
          <w:sz w:val="44"/>
          <w:szCs w:val="44"/>
          <w:highlight w:val="none"/>
          <w:shd w:val="clear" w:color="auto" w:fill="FFFFFF"/>
          <w:lang w:eastAsia="zh-CN"/>
        </w:rPr>
        <w:t>攀枝花市仁和区行政审批局</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1CAC35D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135C8CD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8D1142D">
      <w:pPr>
        <w:widowControl/>
        <w:adjustRightInd w:val="0"/>
        <w:snapToGrid w:val="0"/>
        <w:spacing w:line="578" w:lineRule="exact"/>
        <w:ind w:firstLine="643" w:firstLineChars="200"/>
        <w:contextualSpacing/>
        <w:jc w:val="left"/>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olor w:val="000000" w:themeColor="text1"/>
          <w:sz w:val="32"/>
          <w:szCs w:val="32"/>
          <w:lang w:eastAsia="zh-CN"/>
          <w14:textFill>
            <w14:solidFill>
              <w14:schemeClr w14:val="tx1"/>
            </w14:solidFill>
          </w14:textFill>
        </w:rPr>
        <w:t>攀枝花市仁和区行政审批局内设办公室及政务服务管理股，下设一个事业单位攀枝花市仁和区政府采购中心。</w:t>
      </w:r>
    </w:p>
    <w:p w14:paraId="42E116CF">
      <w:pPr>
        <w:widowControl/>
        <w:adjustRightInd w:val="0"/>
        <w:snapToGrid w:val="0"/>
        <w:spacing w:line="578" w:lineRule="exact"/>
        <w:ind w:firstLine="643" w:firstLineChars="200"/>
        <w:contextualSpacing/>
        <w:jc w:val="left"/>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681BC0B4">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1.组织拟订全区行政审批制度改革及政务服务发展规划、措施并组织、指导实施。</w:t>
      </w:r>
    </w:p>
    <w:p w14:paraId="17B9656B">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2.负责政务服务管理工作。指导、协调并推进全区政务服务体系建设。指导、协调和监督区级部门（单位）开展政务服务工作。指导、监督政务服务网络信息平台建设和运行工作。对乡镇（街道）政务服务工作进行业务指导。</w:t>
      </w:r>
    </w:p>
    <w:p w14:paraId="30FB9848">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3.负责指导、协调、监督并推进全区深化行政审批制度改革工作。</w:t>
      </w:r>
    </w:p>
    <w:p w14:paraId="72905DD9">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4.负责指导、协调并承担区本级政府集中采购工作。</w:t>
      </w:r>
    </w:p>
    <w:p w14:paraId="3B9507DD">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5.负责指导、协调、监督、考核、管理进驻部门（单位）的政务服务工作，审核进驻政务服务事项。</w:t>
      </w:r>
    </w:p>
    <w:p w14:paraId="68530469">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6.按照省、市要求，指导推进相对集中行政许可权改革。</w:t>
      </w:r>
    </w:p>
    <w:p w14:paraId="0C009054">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7.负责职责范围的安全生产和职业健康、生态环境保护、审批服务便民化等工作。</w:t>
      </w:r>
    </w:p>
    <w:p w14:paraId="14D9DBC1">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8.完成区委、区政府交办的其他任务。</w:t>
      </w:r>
    </w:p>
    <w:p w14:paraId="0EA954C3">
      <w:pPr>
        <w:widowControl/>
        <w:adjustRightInd w:val="0"/>
        <w:snapToGrid w:val="0"/>
        <w:spacing w:line="578" w:lineRule="exact"/>
        <w:ind w:firstLine="640" w:firstLineChars="200"/>
        <w:contextualSpacing/>
        <w:jc w:val="left"/>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仿宋_GB2312" w:cs="Times New Roman"/>
          <w:sz w:val="32"/>
          <w:szCs w:val="32"/>
          <w:lang w:val="zh-CN" w:eastAsia="zh-CN"/>
        </w:rPr>
        <w:t>9.职能转变，坚持以人民为中心的发展思想，以方便企业和群众办事为目标，努力提高政务服务质量和效率。规范行政审批行为，督促落实审批事项事中事后监管措施。加快推进审批服务便民化相关举措，持续开展减证便民行动，积极推进政务服务“一网、一门、一次”改革。</w:t>
      </w:r>
    </w:p>
    <w:p w14:paraId="1B7225E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年末，年末实有人数</w:t>
      </w:r>
      <w:r>
        <w:rPr>
          <w:rFonts w:hint="eastAsia" w:eastAsia="仿宋_GB2312" w:cs="Times New Roman"/>
          <w:sz w:val="32"/>
          <w:szCs w:val="32"/>
          <w:lang w:val="en-US" w:eastAsia="zh-CN"/>
        </w:rPr>
        <w:t>18人。</w:t>
      </w:r>
      <w:r>
        <w:rPr>
          <w:rFonts w:hint="eastAsia" w:ascii="仿宋_GB2312" w:eastAsia="仿宋_GB2312"/>
          <w:color w:val="000000"/>
          <w:sz w:val="32"/>
          <w:szCs w:val="32"/>
        </w:rPr>
        <w:t>实有公务员</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人</w:t>
      </w:r>
      <w:r>
        <w:rPr>
          <w:rFonts w:hint="eastAsia" w:ascii="仿宋_GB2312" w:eastAsia="仿宋_GB2312"/>
          <w:color w:val="000000"/>
          <w:sz w:val="32"/>
          <w:szCs w:val="32"/>
          <w:lang w:eastAsia="zh-CN"/>
        </w:rPr>
        <w:t>，机关工勤</w:t>
      </w:r>
      <w:r>
        <w:rPr>
          <w:rFonts w:hint="eastAsia" w:ascii="仿宋_GB2312" w:eastAsia="仿宋_GB2312"/>
          <w:color w:val="000000"/>
          <w:sz w:val="32"/>
          <w:szCs w:val="32"/>
          <w:lang w:val="en-US" w:eastAsia="zh-CN"/>
        </w:rPr>
        <w:t>1人，</w:t>
      </w:r>
      <w:r>
        <w:rPr>
          <w:rFonts w:hint="eastAsia" w:ascii="仿宋_GB2312" w:eastAsia="仿宋_GB2312"/>
          <w:color w:val="000000"/>
          <w:sz w:val="32"/>
          <w:szCs w:val="32"/>
        </w:rPr>
        <w:t>事业人员</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人</w:t>
      </w:r>
      <w:r>
        <w:rPr>
          <w:rFonts w:hint="eastAsia" w:ascii="仿宋_GB2312" w:eastAsia="仿宋_GB2312"/>
          <w:color w:val="000000"/>
          <w:sz w:val="32"/>
          <w:szCs w:val="32"/>
          <w:lang w:eastAsia="zh-CN"/>
        </w:rPr>
        <w:t>，劳务派遣人员</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人</w:t>
      </w:r>
      <w:r>
        <w:rPr>
          <w:rFonts w:hint="eastAsia" w:ascii="仿宋_GB2312" w:eastAsia="仿宋_GB2312"/>
          <w:color w:val="000000"/>
          <w:sz w:val="32"/>
          <w:szCs w:val="32"/>
          <w:lang w:eastAsia="zh-CN"/>
        </w:rPr>
        <w:t>，退休人员</w:t>
      </w:r>
      <w:r>
        <w:rPr>
          <w:rFonts w:hint="eastAsia" w:ascii="仿宋_GB2312" w:eastAsia="仿宋_GB2312"/>
          <w:color w:val="000000"/>
          <w:sz w:val="32"/>
          <w:szCs w:val="32"/>
          <w:lang w:val="en-US" w:eastAsia="zh-CN"/>
        </w:rPr>
        <w:t>1人</w:t>
      </w:r>
      <w:r>
        <w:rPr>
          <w:rFonts w:hint="eastAsia" w:ascii="仿宋_GB2312" w:eastAsia="仿宋_GB2312"/>
          <w:color w:val="000000"/>
          <w:sz w:val="32"/>
          <w:szCs w:val="32"/>
          <w:lang w:eastAsia="zh-CN"/>
        </w:rPr>
        <w:t>。</w:t>
      </w:r>
    </w:p>
    <w:p w14:paraId="59D3732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7D70ADE">
      <w:pPr>
        <w:snapToGrid w:val="0"/>
        <w:spacing w:line="560" w:lineRule="exact"/>
        <w:ind w:firstLine="720"/>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sz w:val="32"/>
          <w:szCs w:val="24"/>
          <w:lang w:eastAsia="zh-CN"/>
        </w:rPr>
        <w:t>攀枝花市</w:t>
      </w:r>
      <w:r>
        <w:rPr>
          <w:rFonts w:hint="eastAsia" w:ascii="仿宋_GB2312" w:hAnsi="仿宋_GB2312" w:eastAsia="仿宋_GB2312"/>
          <w:sz w:val="32"/>
          <w:szCs w:val="24"/>
        </w:rPr>
        <w:t>仁和区行政审批局</w:t>
      </w:r>
      <w:r>
        <w:rPr>
          <w:rFonts w:hint="eastAsia" w:ascii="仿宋_GB2312" w:hAnsi="仿宋_GB2312" w:eastAsia="仿宋_GB2312"/>
          <w:sz w:val="32"/>
          <w:szCs w:val="24"/>
          <w:lang w:val="en-US" w:eastAsia="zh-CN"/>
        </w:rPr>
        <w:t>2</w:t>
      </w:r>
      <w:r>
        <w:rPr>
          <w:rFonts w:hint="eastAsia" w:ascii="仿宋_GB2312" w:hAnsi="仿宋_GB2312" w:eastAsia="仿宋_GB2312"/>
          <w:sz w:val="32"/>
          <w:szCs w:val="24"/>
        </w:rPr>
        <w:t>02</w:t>
      </w:r>
      <w:r>
        <w:rPr>
          <w:rFonts w:hint="eastAsia" w:ascii="仿宋_GB2312" w:hAnsi="仿宋_GB2312" w:eastAsia="仿宋_GB2312"/>
          <w:sz w:val="32"/>
          <w:szCs w:val="24"/>
          <w:lang w:val="en-US" w:eastAsia="zh-CN"/>
        </w:rPr>
        <w:t>5</w:t>
      </w:r>
      <w:r>
        <w:rPr>
          <w:rFonts w:hint="eastAsia" w:ascii="仿宋_GB2312" w:hAnsi="仿宋_GB2312" w:eastAsia="仿宋_GB2312"/>
          <w:sz w:val="32"/>
          <w:szCs w:val="24"/>
        </w:rPr>
        <w:t>年度部门预算资金</w:t>
      </w:r>
      <w:r>
        <w:rPr>
          <w:rFonts w:hint="eastAsia" w:ascii="仿宋_GB2312" w:hAnsi="仿宋_GB2312" w:eastAsia="仿宋_GB2312"/>
          <w:color w:val="000000" w:themeColor="text1"/>
          <w:sz w:val="32"/>
          <w:szCs w:val="24"/>
          <w:lang w:val="en-US" w:eastAsia="zh-CN"/>
          <w14:textFill>
            <w14:solidFill>
              <w14:schemeClr w14:val="tx1"/>
            </w14:solidFill>
          </w14:textFill>
        </w:rPr>
        <w:t>561.34</w:t>
      </w:r>
      <w:r>
        <w:rPr>
          <w:rFonts w:hint="eastAsia" w:ascii="仿宋_GB2312" w:hAnsi="仿宋_GB2312" w:eastAsia="仿宋_GB2312"/>
          <w:sz w:val="32"/>
          <w:szCs w:val="24"/>
        </w:rPr>
        <w:t>万元，</w:t>
      </w:r>
      <w:r>
        <w:rPr>
          <w:rFonts w:hint="eastAsia" w:ascii="仿宋_GB2312" w:hAnsi="仿宋_GB2312" w:eastAsia="仿宋_GB2312"/>
          <w:sz w:val="32"/>
          <w:szCs w:val="24"/>
          <w:lang w:eastAsia="zh-CN"/>
        </w:rPr>
        <w:t>决算报表收入</w:t>
      </w:r>
      <w:r>
        <w:rPr>
          <w:rFonts w:hint="eastAsia" w:ascii="仿宋_GB2312" w:hAnsi="仿宋_GB2312" w:eastAsia="仿宋_GB2312"/>
          <w:sz w:val="32"/>
          <w:szCs w:val="24"/>
          <w:lang w:val="en-US" w:eastAsia="zh-CN"/>
        </w:rPr>
        <w:t>460.16万元。</w:t>
      </w:r>
    </w:p>
    <w:p w14:paraId="46A69181">
      <w:pPr>
        <w:snapToGrid w:val="0"/>
        <w:spacing w:line="560" w:lineRule="exact"/>
        <w:ind w:firstLine="720"/>
        <w:rPr>
          <w:rFonts w:ascii="Times New Roman" w:hAnsi="Times New Roman" w:eastAsia="楷体_GB2312"/>
          <w:b/>
          <w:bCs/>
          <w:color w:val="000000" w:themeColor="text1"/>
          <w:kern w:val="0"/>
          <w:szCs w:val="32"/>
          <w:shd w:val="clear" w:color="auto" w:fill="FFFFFF"/>
          <w14:textFill>
            <w14:solidFill>
              <w14:schemeClr w14:val="tx1"/>
            </w14:solidFill>
          </w14:textFill>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sz w:val="32"/>
          <w:szCs w:val="24"/>
          <w:lang w:eastAsia="zh-CN"/>
        </w:rPr>
        <w:t>攀枝花市</w:t>
      </w:r>
      <w:r>
        <w:rPr>
          <w:rFonts w:hint="eastAsia" w:ascii="仿宋_GB2312" w:hAnsi="仿宋_GB2312" w:eastAsia="仿宋_GB2312"/>
          <w:sz w:val="32"/>
          <w:szCs w:val="24"/>
        </w:rPr>
        <w:t>仁和区行政审批局</w:t>
      </w:r>
      <w:r>
        <w:rPr>
          <w:rFonts w:hint="eastAsia" w:ascii="仿宋_GB2312" w:hAnsi="仿宋_GB2312" w:eastAsia="仿宋_GB2312"/>
          <w:sz w:val="32"/>
          <w:szCs w:val="24"/>
          <w:lang w:val="en-US" w:eastAsia="zh-CN"/>
        </w:rPr>
        <w:t>2</w:t>
      </w:r>
      <w:r>
        <w:rPr>
          <w:rFonts w:hint="eastAsia" w:ascii="仿宋_GB2312" w:hAnsi="仿宋_GB2312" w:eastAsia="仿宋_GB2312"/>
          <w:sz w:val="32"/>
          <w:szCs w:val="24"/>
        </w:rPr>
        <w:t>02</w:t>
      </w:r>
      <w:r>
        <w:rPr>
          <w:rFonts w:hint="eastAsia" w:ascii="仿宋_GB2312" w:hAnsi="仿宋_GB2312" w:eastAsia="仿宋_GB2312"/>
          <w:sz w:val="32"/>
          <w:szCs w:val="24"/>
          <w:lang w:val="en-US" w:eastAsia="zh-CN"/>
        </w:rPr>
        <w:t>5</w:t>
      </w:r>
      <w:r>
        <w:rPr>
          <w:rFonts w:hint="eastAsia" w:ascii="仿宋_GB2312" w:hAnsi="仿宋_GB2312" w:eastAsia="仿宋_GB2312"/>
          <w:sz w:val="32"/>
          <w:szCs w:val="24"/>
        </w:rPr>
        <w:t>年度部门预算</w:t>
      </w:r>
      <w:r>
        <w:rPr>
          <w:rFonts w:hint="eastAsia" w:ascii="仿宋_GB2312" w:hAnsi="仿宋_GB2312" w:eastAsia="仿宋_GB2312"/>
          <w:sz w:val="32"/>
          <w:szCs w:val="24"/>
          <w:lang w:eastAsia="zh-CN"/>
        </w:rPr>
        <w:t>支出</w:t>
      </w:r>
      <w:r>
        <w:rPr>
          <w:rFonts w:hint="eastAsia" w:ascii="仿宋_GB2312" w:hAnsi="仿宋_GB2312" w:eastAsia="仿宋_GB2312"/>
          <w:color w:val="000000" w:themeColor="text1"/>
          <w:sz w:val="32"/>
          <w:szCs w:val="24"/>
          <w:lang w:val="en-US" w:eastAsia="zh-CN"/>
          <w14:textFill>
            <w14:solidFill>
              <w14:schemeClr w14:val="tx1"/>
            </w14:solidFill>
          </w14:textFill>
        </w:rPr>
        <w:t>561.34</w:t>
      </w:r>
      <w:r>
        <w:rPr>
          <w:rFonts w:hint="eastAsia" w:ascii="仿宋_GB2312" w:hAnsi="仿宋_GB2312" w:eastAsia="仿宋_GB2312"/>
          <w:sz w:val="32"/>
          <w:szCs w:val="24"/>
        </w:rPr>
        <w:t>万元，</w:t>
      </w:r>
      <w:r>
        <w:rPr>
          <w:rFonts w:hint="eastAsia" w:ascii="仿宋_GB2312" w:hAnsi="仿宋_GB2312" w:eastAsia="仿宋_GB2312"/>
          <w:sz w:val="32"/>
          <w:szCs w:val="24"/>
          <w:lang w:eastAsia="zh-CN"/>
        </w:rPr>
        <w:t>决算报表支出</w:t>
      </w:r>
      <w:r>
        <w:rPr>
          <w:rFonts w:hint="eastAsia" w:ascii="仿宋_GB2312" w:hAnsi="仿宋_GB2312" w:eastAsia="仿宋_GB2312"/>
          <w:sz w:val="32"/>
          <w:szCs w:val="24"/>
          <w:lang w:val="en-US" w:eastAsia="zh-CN"/>
        </w:rPr>
        <w:t>460.16万元。</w:t>
      </w:r>
    </w:p>
    <w:p w14:paraId="62D7D19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sz w:val="32"/>
          <w:szCs w:val="24"/>
          <w:lang w:eastAsia="zh-CN"/>
        </w:rPr>
        <w:t>攀枝花市</w:t>
      </w:r>
      <w:r>
        <w:rPr>
          <w:rFonts w:hint="eastAsia" w:ascii="仿宋_GB2312" w:hAnsi="仿宋_GB2312" w:eastAsia="仿宋_GB2312"/>
          <w:sz w:val="32"/>
          <w:szCs w:val="24"/>
        </w:rPr>
        <w:t>仁和区行政审批局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为0万元</w:t>
      </w:r>
      <w:r>
        <w:rPr>
          <w:rFonts w:hint="default" w:ascii="Times New Roman" w:hAnsi="Times New Roman" w:eastAsia="仿宋_GB2312" w:cs="Times New Roman"/>
          <w:sz w:val="32"/>
          <w:szCs w:val="32"/>
          <w:lang w:val="en-US" w:eastAsia="zh-CN"/>
        </w:rPr>
        <w:t>。</w:t>
      </w:r>
    </w:p>
    <w:p w14:paraId="00C2D5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559E6C4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方正仿宋_GBK" w:cs="Times New Roman"/>
          <w:sz w:val="32"/>
          <w:szCs w:val="32"/>
          <w:lang w:eastAsia="zh-CN"/>
        </w:rPr>
        <w:t>攀</w:t>
      </w:r>
      <w:r>
        <w:rPr>
          <w:rFonts w:hint="default" w:ascii="Times New Roman" w:hAnsi="Times New Roman" w:eastAsia="仿宋_GB2312" w:cs="仿宋_GB2312"/>
          <w:color w:val="auto"/>
          <w:kern w:val="2"/>
          <w:sz w:val="32"/>
          <w:szCs w:val="32"/>
          <w:highlight w:val="none"/>
          <w:lang w:val="zh-CN" w:eastAsia="zh-CN" w:bidi="ar-SA"/>
        </w:rPr>
        <w:t>枝花市仁和区行政审批局202</w:t>
      </w:r>
      <w:r>
        <w:rPr>
          <w:rFonts w:hint="default"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年度严格按照薪酬规定，按月按时发放工资，人员支出达到100%，所涉及的</w:t>
      </w:r>
      <w:r>
        <w:rPr>
          <w:rFonts w:hint="default" w:ascii="Times New Roman" w:hAnsi="Times New Roman" w:eastAsia="仿宋_GB2312" w:cs="仿宋_GB2312"/>
          <w:color w:val="auto"/>
          <w:kern w:val="2"/>
          <w:sz w:val="32"/>
          <w:szCs w:val="32"/>
          <w:highlight w:val="none"/>
          <w:lang w:val="en-US" w:eastAsia="zh-CN" w:bidi="ar-SA"/>
        </w:rPr>
        <w:t>5个项目除电子化升级维护经费项目因财政资金困难未支付外其余4个项目</w:t>
      </w:r>
      <w:r>
        <w:rPr>
          <w:rFonts w:hint="default" w:ascii="Times New Roman" w:hAnsi="Times New Roman" w:eastAsia="仿宋_GB2312" w:cs="仿宋_GB2312"/>
          <w:color w:val="auto"/>
          <w:kern w:val="2"/>
          <w:sz w:val="32"/>
          <w:szCs w:val="32"/>
          <w:highlight w:val="none"/>
          <w:lang w:val="zh-CN" w:eastAsia="zh-CN" w:bidi="ar-SA"/>
        </w:rPr>
        <w:t>由于财政支付进度缓慢，出现超期支出，但未出现超额支付。</w:t>
      </w:r>
    </w:p>
    <w:p w14:paraId="0C419C4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default" w:ascii="Times New Roman" w:hAnsi="Times New Roman" w:eastAsia="仿宋_GB2312" w:cs="仿宋_GB2312"/>
          <w:color w:val="auto"/>
          <w:kern w:val="2"/>
          <w:sz w:val="32"/>
          <w:szCs w:val="32"/>
          <w:highlight w:val="none"/>
          <w:lang w:val="en-US" w:eastAsia="zh-CN" w:bidi="ar-SA"/>
        </w:rPr>
        <w:t>区行政审批局通过各项指标的完成，确保单位正常运转和各项目标任务的圆满完成。一是保障日常办公正常运行，完成政务服务相关工作。二是持续深化推进“放管服”改革，确保各项改革举措在我区落地落实，全面推进政务服务标准化规范化便利化建设，进一步优化政务服务环境，持续狠抓“一网通办”提升网上政务服务水平，保证实体政务大厅正常运转，优化软硬件设施，提高服务质量，提升办事效率，增强企业和群众满意度，为全区经济社会高质量发展提供优质高效的政务服务。三是加快乡镇（街道）便民服务中心、村（社区）便民服务站规范化建设，推动更多企业和群众高频政务服务事项“掌上办”“指尖办”，提升线上办事能力。四是认真组织各项政府采购活动，规范政府采购行为，推动交易全程电子化，实现政府采购数字化转型，提高政府采购服务效能，促进政府采购工作发展</w:t>
      </w:r>
      <w:r>
        <w:rPr>
          <w:rFonts w:hint="eastAsia" w:ascii="Times New Roman" w:hAnsi="Times New Roman" w:eastAsia="仿宋_GB2312" w:cs="仿宋_GB2312"/>
          <w:color w:val="auto"/>
          <w:kern w:val="2"/>
          <w:sz w:val="32"/>
          <w:szCs w:val="32"/>
          <w:highlight w:val="none"/>
          <w:lang w:val="en-US" w:eastAsia="zh-CN" w:bidi="ar-SA"/>
        </w:rPr>
        <w:t>。</w:t>
      </w:r>
    </w:p>
    <w:p w14:paraId="38CA93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严格按照财政部门的要求，科学编制年度预算，确保预算的合理性和可执行性。因财政资金调度困难，本年预算资金执行进度滞后，年终整体预算无结转结余。部门严控“三公”经费、会议、培训、差旅、办公设备购置等一般性支出，推动预算与绩效挂钩，确保资金使用效益最大化。</w:t>
      </w:r>
    </w:p>
    <w:p w14:paraId="425DB57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。本单位建立健全财务管理制度，并按相关要求进行落实。财务岗位设置合理，明确职责权限，部门资金使用符合财务管理制度规定。</w:t>
      </w:r>
    </w:p>
    <w:p w14:paraId="0B07FF2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。加强固定资产管理，盘活固定资产，资产利用率达100%。规范资产采购和处置流程，进一步推进资产信息化管理，提高资产管理的效率和准确性。</w:t>
      </w:r>
    </w:p>
    <w:p w14:paraId="1AF7677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严格落实预算管理一体化工作要求，将政府采购预算与部门年度整体预算、资产配置预算深度衔接，做到应编尽编、精准细化，明确采购项目、采购品类、资金额度、实施时限，杜绝无预算采购、超预算采购、随意采购等问题，从源头保障采购工作合规有序。本年度部门政府采购年初预算6.74万元，实际完成采购支出5.</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zh-CN" w:eastAsia="zh-CN" w:bidi="ar-SA"/>
        </w:rPr>
        <w:t>万元，预算执行率7</w:t>
      </w:r>
      <w:r>
        <w:rPr>
          <w:rFonts w:hint="eastAsia" w:eastAsia="仿宋_GB2312" w:cs="仿宋_GB2312"/>
          <w:color w:val="auto"/>
          <w:kern w:val="2"/>
          <w:sz w:val="32"/>
          <w:szCs w:val="32"/>
          <w:highlight w:val="none"/>
          <w:lang w:val="en-US" w:eastAsia="zh-CN" w:bidi="ar-SA"/>
        </w:rPr>
        <w:t>4.48</w:t>
      </w:r>
      <w:r>
        <w:rPr>
          <w:rFonts w:hint="eastAsia" w:ascii="Times New Roman" w:hAnsi="Times New Roman" w:eastAsia="仿宋_GB2312" w:cs="仿宋_GB2312"/>
          <w:color w:val="auto"/>
          <w:kern w:val="2"/>
          <w:sz w:val="32"/>
          <w:szCs w:val="32"/>
          <w:highlight w:val="none"/>
          <w:lang w:val="zh-CN" w:eastAsia="zh-CN" w:bidi="ar-SA"/>
        </w:rPr>
        <w:t>%，各类采购项目均按法定程序落地实施，未发生违规采购、投诉举报等问题。</w:t>
      </w:r>
    </w:p>
    <w:p w14:paraId="1854A80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仿宋_GB2312"/>
          <w:color w:val="auto"/>
          <w:kern w:val="2"/>
          <w:sz w:val="32"/>
          <w:szCs w:val="32"/>
          <w:highlight w:val="none"/>
          <w:lang w:val="zh-CN" w:eastAsia="zh-CN" w:bidi="ar-SA"/>
        </w:rPr>
        <w:t>全年绩效目标完成情况达到</w:t>
      </w:r>
      <w:r>
        <w:rPr>
          <w:rFonts w:hint="default" w:ascii="Times New Roman" w:hAnsi="Times New Roman" w:eastAsia="仿宋_GB2312" w:cs="仿宋_GB2312"/>
          <w:color w:val="auto"/>
          <w:kern w:val="2"/>
          <w:sz w:val="32"/>
          <w:szCs w:val="32"/>
          <w:highlight w:val="none"/>
          <w:lang w:val="en-US" w:eastAsia="zh-CN" w:bidi="ar-SA"/>
        </w:rPr>
        <w:t>42.9</w:t>
      </w:r>
      <w:r>
        <w:rPr>
          <w:rFonts w:hint="default" w:ascii="Times New Roman" w:hAnsi="Times New Roman" w:eastAsia="仿宋_GB2312" w:cs="仿宋_GB2312"/>
          <w:color w:val="auto"/>
          <w:kern w:val="2"/>
          <w:sz w:val="32"/>
          <w:szCs w:val="32"/>
          <w:highlight w:val="none"/>
          <w:lang w:val="zh-CN" w:eastAsia="zh-CN" w:bidi="ar-SA"/>
        </w:rPr>
        <w:t>%，其中：政务中心业务专项经费项目</w:t>
      </w:r>
      <w:r>
        <w:rPr>
          <w:rFonts w:hint="default" w:ascii="Times New Roman" w:hAnsi="Times New Roman" w:eastAsia="仿宋_GB2312" w:cs="仿宋_GB2312"/>
          <w:color w:val="auto"/>
          <w:kern w:val="2"/>
          <w:sz w:val="32"/>
          <w:szCs w:val="32"/>
          <w:highlight w:val="none"/>
          <w:lang w:val="en-US" w:eastAsia="zh-CN" w:bidi="ar-SA"/>
        </w:rPr>
        <w:t>72.14</w:t>
      </w:r>
      <w:r>
        <w:rPr>
          <w:rFonts w:hint="default" w:ascii="Times New Roman" w:hAnsi="Times New Roman" w:eastAsia="仿宋_GB2312" w:cs="仿宋_GB2312"/>
          <w:color w:val="auto"/>
          <w:kern w:val="2"/>
          <w:sz w:val="32"/>
          <w:szCs w:val="32"/>
          <w:highlight w:val="none"/>
          <w:lang w:val="zh-CN" w:eastAsia="zh-CN" w:bidi="ar-SA"/>
        </w:rPr>
        <w:t>万元，占总经费</w:t>
      </w:r>
      <w:r>
        <w:rPr>
          <w:rFonts w:hint="default" w:ascii="Times New Roman" w:hAnsi="Times New Roman" w:eastAsia="仿宋_GB2312" w:cs="仿宋_GB2312"/>
          <w:color w:val="auto"/>
          <w:kern w:val="2"/>
          <w:sz w:val="32"/>
          <w:szCs w:val="32"/>
          <w:highlight w:val="none"/>
          <w:lang w:val="en-US" w:eastAsia="zh-CN" w:bidi="ar-SA"/>
        </w:rPr>
        <w:t>27.35</w:t>
      </w:r>
      <w:r>
        <w:rPr>
          <w:rFonts w:hint="default" w:ascii="Times New Roman" w:hAnsi="Times New Roman" w:eastAsia="仿宋_GB2312" w:cs="仿宋_GB2312"/>
          <w:color w:val="auto"/>
          <w:kern w:val="2"/>
          <w:sz w:val="32"/>
          <w:szCs w:val="32"/>
          <w:highlight w:val="none"/>
          <w:lang w:val="zh-CN" w:eastAsia="zh-CN" w:bidi="ar-SA"/>
        </w:rPr>
        <w:t>%；政府采购业务经费项目</w:t>
      </w:r>
      <w:r>
        <w:rPr>
          <w:rFonts w:hint="default" w:ascii="Times New Roman" w:hAnsi="Times New Roman" w:eastAsia="仿宋_GB2312" w:cs="仿宋_GB2312"/>
          <w:color w:val="auto"/>
          <w:kern w:val="2"/>
          <w:sz w:val="32"/>
          <w:szCs w:val="32"/>
          <w:highlight w:val="none"/>
          <w:lang w:val="en-US" w:eastAsia="zh-CN" w:bidi="ar-SA"/>
        </w:rPr>
        <w:t>5.3</w:t>
      </w:r>
      <w:r>
        <w:rPr>
          <w:rFonts w:hint="default" w:ascii="Times New Roman" w:hAnsi="Times New Roman" w:eastAsia="仿宋_GB2312" w:cs="仿宋_GB2312"/>
          <w:color w:val="auto"/>
          <w:kern w:val="2"/>
          <w:sz w:val="32"/>
          <w:szCs w:val="32"/>
          <w:highlight w:val="none"/>
          <w:lang w:val="zh-CN" w:eastAsia="zh-CN" w:bidi="ar-SA"/>
        </w:rPr>
        <w:t>万元，占总经费</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%；房屋租赁费项目</w:t>
      </w:r>
      <w:r>
        <w:rPr>
          <w:rFonts w:hint="default" w:ascii="Times New Roman" w:hAnsi="Times New Roman" w:eastAsia="仿宋_GB2312" w:cs="仿宋_GB2312"/>
          <w:color w:val="auto"/>
          <w:kern w:val="2"/>
          <w:sz w:val="32"/>
          <w:szCs w:val="32"/>
          <w:highlight w:val="none"/>
          <w:lang w:val="en-US" w:eastAsia="zh-CN" w:bidi="ar-SA"/>
        </w:rPr>
        <w:t>21.77，</w:t>
      </w:r>
      <w:r>
        <w:rPr>
          <w:rFonts w:hint="default" w:ascii="Times New Roman" w:hAnsi="Times New Roman" w:eastAsia="仿宋_GB2312" w:cs="仿宋_GB2312"/>
          <w:color w:val="auto"/>
          <w:kern w:val="2"/>
          <w:sz w:val="32"/>
          <w:szCs w:val="32"/>
          <w:highlight w:val="none"/>
          <w:lang w:val="zh-CN" w:eastAsia="zh-CN" w:bidi="ar-SA"/>
        </w:rPr>
        <w:t>占总经费</w:t>
      </w:r>
      <w:r>
        <w:rPr>
          <w:rFonts w:hint="default" w:ascii="Times New Roman" w:hAnsi="Times New Roman" w:eastAsia="仿宋_GB2312" w:cs="仿宋_GB2312"/>
          <w:color w:val="auto"/>
          <w:kern w:val="2"/>
          <w:sz w:val="32"/>
          <w:szCs w:val="32"/>
          <w:highlight w:val="none"/>
          <w:lang w:val="en-US" w:eastAsia="zh-CN" w:bidi="ar-SA"/>
        </w:rPr>
        <w:t>8.25</w:t>
      </w: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基层便民服务体系“三化”建设工作经费13.99万元，</w:t>
      </w:r>
      <w:r>
        <w:rPr>
          <w:rFonts w:hint="default" w:ascii="Times New Roman" w:hAnsi="Times New Roman" w:eastAsia="仿宋_GB2312" w:cs="仿宋_GB2312"/>
          <w:color w:val="auto"/>
          <w:kern w:val="2"/>
          <w:sz w:val="32"/>
          <w:szCs w:val="32"/>
          <w:highlight w:val="none"/>
          <w:lang w:val="zh-CN" w:eastAsia="zh-CN" w:bidi="ar-SA"/>
        </w:rPr>
        <w:t>占总经费</w:t>
      </w:r>
      <w:r>
        <w:rPr>
          <w:rFonts w:hint="default" w:ascii="Times New Roman" w:hAnsi="Times New Roman" w:eastAsia="仿宋_GB2312" w:cs="仿宋_GB2312"/>
          <w:color w:val="auto"/>
          <w:kern w:val="2"/>
          <w:sz w:val="32"/>
          <w:szCs w:val="32"/>
          <w:highlight w:val="none"/>
          <w:lang w:val="en-US" w:eastAsia="zh-CN" w:bidi="ar-SA"/>
        </w:rPr>
        <w:t>5.3</w:t>
      </w:r>
      <w:r>
        <w:rPr>
          <w:rFonts w:hint="default"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电子化升级维护经费项目因财政资金困难，未支付</w:t>
      </w:r>
      <w:r>
        <w:rPr>
          <w:rFonts w:hint="default" w:ascii="Times New Roman" w:hAnsi="Times New Roman" w:eastAsia="仿宋_GB2312" w:cs="仿宋_GB2312"/>
          <w:color w:val="auto"/>
          <w:kern w:val="2"/>
          <w:sz w:val="32"/>
          <w:szCs w:val="32"/>
          <w:highlight w:val="none"/>
          <w:lang w:val="zh-CN" w:eastAsia="zh-CN" w:bidi="ar-SA"/>
        </w:rPr>
        <w:t>。</w:t>
      </w:r>
    </w:p>
    <w:p w14:paraId="17FB243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方正仿宋_GBK" w:cs="Times New Roman"/>
          <w:sz w:val="32"/>
          <w:szCs w:val="32"/>
          <w:lang w:val="zh-CN"/>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方正仿宋_GBK" w:cs="Times New Roman"/>
          <w:sz w:val="32"/>
          <w:szCs w:val="32"/>
          <w:lang w:val="zh-CN"/>
        </w:rPr>
        <w:t>该类项目总数</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zh-CN"/>
        </w:rPr>
        <w:t>个，涉及预算总金额</w:t>
      </w:r>
      <w:r>
        <w:rPr>
          <w:rFonts w:hint="default" w:ascii="Times New Roman" w:hAnsi="Times New Roman" w:eastAsia="方正仿宋_GBK" w:cs="Times New Roman"/>
          <w:sz w:val="32"/>
          <w:szCs w:val="32"/>
          <w:lang w:val="en-US" w:eastAsia="zh-CN"/>
        </w:rPr>
        <w:t>255.75</w:t>
      </w:r>
      <w:r>
        <w:rPr>
          <w:rFonts w:hint="default" w:ascii="Times New Roman" w:hAnsi="Times New Roman" w:eastAsia="方正仿宋_GBK" w:cs="Times New Roman"/>
          <w:sz w:val="32"/>
          <w:szCs w:val="32"/>
          <w:lang w:val="zh-CN"/>
        </w:rPr>
        <w:t>万元，1—1</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zh-CN"/>
        </w:rPr>
        <w:t>月预算执行总体进度为</w:t>
      </w:r>
      <w:r>
        <w:rPr>
          <w:rFonts w:hint="default" w:ascii="Times New Roman" w:hAnsi="Times New Roman" w:eastAsia="方正仿宋_GBK" w:cs="Times New Roman"/>
          <w:sz w:val="32"/>
          <w:szCs w:val="32"/>
          <w:lang w:val="en-US" w:eastAsia="zh-CN"/>
        </w:rPr>
        <w:t>44.26</w:t>
      </w:r>
      <w:r>
        <w:rPr>
          <w:rFonts w:hint="default" w:ascii="Times New Roman" w:hAnsi="Times New Roman" w:eastAsia="方正仿宋_GBK" w:cs="Times New Roman"/>
          <w:sz w:val="32"/>
          <w:szCs w:val="32"/>
          <w:lang w:val="zh-CN"/>
        </w:rPr>
        <w:t>%，其中：预算结余率大于</w:t>
      </w:r>
      <w:r>
        <w:rPr>
          <w:rFonts w:hint="default" w:ascii="Times New Roman" w:hAnsi="Times New Roman" w:eastAsia="方正仿宋_GBK" w:cs="Times New Roman"/>
          <w:sz w:val="32"/>
          <w:szCs w:val="32"/>
        </w:rPr>
        <w:t>10%</w:t>
      </w:r>
      <w:r>
        <w:rPr>
          <w:rFonts w:hint="default" w:ascii="Times New Roman" w:hAnsi="Times New Roman" w:eastAsia="方正仿宋_GBK" w:cs="Times New Roman"/>
          <w:sz w:val="32"/>
          <w:szCs w:val="32"/>
          <w:lang w:val="zh-CN"/>
        </w:rPr>
        <w:t>的项目共计</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zh-CN"/>
        </w:rPr>
        <w:t>个。</w:t>
      </w:r>
    </w:p>
    <w:p w14:paraId="2DABC37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项目绩效分析。该类项目总数3 个，涉及预算总金额9.74万元，1—12月预算执行总体进度为14.17 %，其中：政务中心业务专项经费及电子化升级维护经费项目因财政资金困难，未支付。</w:t>
      </w:r>
    </w:p>
    <w:p w14:paraId="11B08EB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项目决策。2025年部门预算项目绩效目标与计划期内的任务量、预算安排的资金量相匹配，绩效目标设置科学合理、规范完整、量化细化，并在规定时间内完成项目入库。</w:t>
      </w:r>
    </w:p>
    <w:p w14:paraId="13EBDD3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025年部门预算项目实际列支内容与绩效目标设置方向相符。因财政资金调度困难，部门预算执行进度滞后。</w:t>
      </w:r>
    </w:p>
    <w:p w14:paraId="234E5F6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目标实现。2025年部门预算项目绩效目标数量指标均已完成，已达到预期目标。</w:t>
      </w:r>
    </w:p>
    <w:p w14:paraId="1480690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仿宋_GB2312"/>
          <w:color w:val="auto"/>
          <w:kern w:val="2"/>
          <w:sz w:val="32"/>
          <w:szCs w:val="32"/>
          <w:highlight w:val="none"/>
          <w:lang w:val="en-US" w:eastAsia="zh-CN" w:bidi="ar-SA"/>
        </w:rPr>
        <w:t>仁和区行政审批局高度重视预算绩效评价工作，进一步加强项目管理、资金使用、监管等各方面工作，使财政预算资金达到预期的绩效；并及时整理、汇总、分析、反馈绩效自评结果，将其作为改进预算管理和以后年度预算安排的重要依据。2025年度预算资金按规定用途使用，不存在违规支出、截留挪用等情况。2025年度预算根据区财政的要求在仁和区政府门户网站上进行公开公示</w:t>
      </w:r>
      <w:r>
        <w:rPr>
          <w:rFonts w:hint="eastAsia" w:ascii="Times New Roman" w:hAnsi="Times New Roman" w:eastAsia="仿宋_GB2312" w:cs="仿宋_GB2312"/>
          <w:color w:val="auto"/>
          <w:kern w:val="2"/>
          <w:sz w:val="32"/>
          <w:szCs w:val="32"/>
          <w:highlight w:val="none"/>
          <w:lang w:val="zh-CN" w:eastAsia="zh-CN" w:bidi="ar-SA"/>
        </w:rPr>
        <w:t>。</w:t>
      </w:r>
    </w:p>
    <w:p w14:paraId="43EC2F3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3E0AE3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Times New Roman" w:hAnsi="Times New Roman" w:eastAsia="仿宋_GB2312" w:cs="仿宋_GB2312"/>
          <w:color w:val="auto"/>
          <w:kern w:val="2"/>
          <w:sz w:val="32"/>
          <w:szCs w:val="32"/>
          <w:highlight w:val="none"/>
          <w:lang w:val="zh-CN" w:eastAsia="zh-CN" w:bidi="ar-SA"/>
        </w:rPr>
        <w:t>自评得分96分。遵守预算法以及财经纪律，严格按照预算下达目标执行，不存在超预算支出情况</w:t>
      </w:r>
      <w:r>
        <w:rPr>
          <w:rFonts w:hint="eastAsia" w:ascii="Times New Roman" w:hAnsi="Times New Roman" w:eastAsia="仿宋_GB2312" w:cs="仿宋_GB2312"/>
          <w:color w:val="auto"/>
          <w:kern w:val="2"/>
          <w:sz w:val="32"/>
          <w:szCs w:val="32"/>
          <w:highlight w:val="none"/>
          <w:lang w:val="en-US" w:eastAsia="zh-CN" w:bidi="ar-SA"/>
        </w:rPr>
        <w:t>。</w:t>
      </w:r>
    </w:p>
    <w:p w14:paraId="1B831FE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仿宋_GB2312"/>
          <w:color w:val="auto"/>
          <w:kern w:val="2"/>
          <w:sz w:val="32"/>
          <w:szCs w:val="32"/>
          <w:highlight w:val="none"/>
          <w:lang w:val="zh-CN" w:eastAsia="zh-CN" w:bidi="ar-SA"/>
        </w:rPr>
        <w:t>一是</w:t>
      </w:r>
      <w:r>
        <w:rPr>
          <w:rFonts w:hint="default" w:ascii="Times New Roman" w:hAnsi="Times New Roman" w:eastAsia="仿宋_GB2312" w:cs="仿宋_GB2312"/>
          <w:color w:val="auto"/>
          <w:kern w:val="2"/>
          <w:sz w:val="32"/>
          <w:szCs w:val="32"/>
          <w:highlight w:val="none"/>
          <w:lang w:val="zh-CN" w:eastAsia="zh-CN" w:bidi="ar-SA"/>
        </w:rPr>
        <w:t>人员编制财务人员只有1名（未设立会计岗位），预算绩效管理无专职人员，由财务人员兼顾，缺乏专业性。</w:t>
      </w:r>
      <w:r>
        <w:rPr>
          <w:rFonts w:hint="eastAsia" w:eastAsia="仿宋_GB2312" w:cs="仿宋_GB2312"/>
          <w:color w:val="auto"/>
          <w:kern w:val="2"/>
          <w:sz w:val="32"/>
          <w:szCs w:val="32"/>
          <w:highlight w:val="none"/>
          <w:lang w:val="zh-CN" w:eastAsia="zh-CN" w:bidi="ar-SA"/>
        </w:rPr>
        <w:t>二是</w:t>
      </w:r>
      <w:r>
        <w:rPr>
          <w:rFonts w:hint="default" w:ascii="Times New Roman" w:hAnsi="Times New Roman" w:eastAsia="仿宋_GB2312" w:cs="仿宋_GB2312"/>
          <w:color w:val="auto"/>
          <w:kern w:val="2"/>
          <w:sz w:val="32"/>
          <w:szCs w:val="32"/>
          <w:highlight w:val="none"/>
          <w:lang w:val="zh-CN" w:eastAsia="zh-CN" w:bidi="ar-SA"/>
        </w:rPr>
        <w:t>单位对部门支出整体绩效评价部分指标无法量化，整体绩效评价指标细化不足。</w:t>
      </w:r>
      <w:r>
        <w:rPr>
          <w:rFonts w:hint="eastAsia" w:eastAsia="仿宋_GB2312" w:cs="仿宋_GB2312"/>
          <w:color w:val="auto"/>
          <w:kern w:val="2"/>
          <w:sz w:val="32"/>
          <w:szCs w:val="32"/>
          <w:highlight w:val="none"/>
          <w:lang w:val="zh-CN" w:eastAsia="zh-CN" w:bidi="ar-SA"/>
        </w:rPr>
        <w:t>三是</w:t>
      </w:r>
      <w:r>
        <w:rPr>
          <w:rFonts w:hint="default" w:ascii="Times New Roman" w:hAnsi="Times New Roman" w:eastAsia="仿宋_GB2312" w:cs="仿宋_GB2312"/>
          <w:color w:val="auto"/>
          <w:kern w:val="2"/>
          <w:sz w:val="32"/>
          <w:szCs w:val="32"/>
          <w:highlight w:val="none"/>
          <w:lang w:val="zh-CN" w:eastAsia="zh-CN" w:bidi="ar-SA"/>
        </w:rPr>
        <w:t>受财政资金困难影响，资金支付进度有滞后情况。</w:t>
      </w:r>
    </w:p>
    <w:p w14:paraId="424F2A0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e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3" w:name="_Hlk110546638"/>
      <w:r>
        <w:rPr>
          <w:rFonts w:hint="eastAsia" w:eastAsia="方正仿宋_GBK" w:cs="Times New Roman"/>
          <w:sz w:val="32"/>
          <w:szCs w:val="32"/>
          <w:lang w:val="en-US" w:eastAsia="zh-CN"/>
        </w:rPr>
        <w:t>一是</w:t>
      </w:r>
      <w:r>
        <w:rPr>
          <w:rFonts w:hint="default" w:ascii="Times New Roman" w:hAnsi="Times New Roman" w:eastAsia="仿宋_GB2312" w:cs="仿宋_GB2312"/>
          <w:color w:val="auto"/>
          <w:kern w:val="2"/>
          <w:sz w:val="32"/>
          <w:szCs w:val="32"/>
          <w:highlight w:val="none"/>
          <w:lang w:val="zh-CN" w:eastAsia="zh-CN" w:bidi="ar-SA"/>
        </w:rPr>
        <w:t>针对经费开支仔细认真梳理，加强与财政等相关部门在支付进度方面的沟通协调，做到该支付的及时支付。</w:t>
      </w:r>
      <w:r>
        <w:rPr>
          <w:rFonts w:hint="eastAsia" w:eastAsia="仿宋_GB2312" w:cs="仿宋_GB2312"/>
          <w:color w:val="auto"/>
          <w:kern w:val="2"/>
          <w:sz w:val="32"/>
          <w:szCs w:val="32"/>
          <w:highlight w:val="none"/>
          <w:lang w:val="zh-CN" w:eastAsia="zh-CN" w:bidi="ar-SA"/>
        </w:rPr>
        <w:t>二是</w:t>
      </w:r>
      <w:r>
        <w:rPr>
          <w:rFonts w:hint="default" w:ascii="Times New Roman" w:hAnsi="Times New Roman" w:eastAsia="仿宋_GB2312" w:cs="仿宋_GB2312"/>
          <w:color w:val="auto"/>
          <w:kern w:val="2"/>
          <w:sz w:val="32"/>
          <w:szCs w:val="32"/>
          <w:highlight w:val="none"/>
          <w:lang w:val="zh-CN" w:eastAsia="zh-CN" w:bidi="ar-SA"/>
        </w:rPr>
        <w:t>检查项目进展情况，加速推进项目实施工作。</w:t>
      </w:r>
      <w:r>
        <w:rPr>
          <w:rFonts w:hint="eastAsia" w:eastAsia="仿宋_GB2312" w:cs="仿宋_GB2312"/>
          <w:color w:val="auto"/>
          <w:kern w:val="2"/>
          <w:sz w:val="32"/>
          <w:szCs w:val="32"/>
          <w:highlight w:val="none"/>
          <w:lang w:val="zh-CN" w:eastAsia="zh-CN" w:bidi="ar-SA"/>
        </w:rPr>
        <w:t>三是</w:t>
      </w:r>
      <w:r>
        <w:rPr>
          <w:rFonts w:hint="default" w:ascii="Times New Roman" w:hAnsi="Times New Roman" w:eastAsia="仿宋_GB2312" w:cs="仿宋_GB2312"/>
          <w:color w:val="auto"/>
          <w:kern w:val="2"/>
          <w:sz w:val="32"/>
          <w:szCs w:val="32"/>
          <w:highlight w:val="none"/>
          <w:lang w:val="en-US" w:eastAsia="zh-CN" w:bidi="ar-SA"/>
        </w:rPr>
        <w:t>强化过程管理，建立预算执行动态监控机制，定期开展绩效跟踪</w:t>
      </w:r>
      <w:r>
        <w:rPr>
          <w:rFonts w:hint="eastAsia" w:eastAsia="仿宋_GB2312" w:cs="仿宋_GB2312"/>
          <w:color w:val="auto"/>
          <w:kern w:val="2"/>
          <w:sz w:val="32"/>
          <w:szCs w:val="32"/>
          <w:highlight w:val="none"/>
          <w:lang w:val="en-US" w:eastAsia="zh-CN" w:bidi="ar-SA"/>
        </w:rPr>
        <w:t>。四是</w:t>
      </w:r>
      <w:r>
        <w:rPr>
          <w:rFonts w:hint="default" w:ascii="Times New Roman" w:hAnsi="Times New Roman" w:eastAsia="仿宋_GB2312" w:cs="仿宋_GB2312"/>
          <w:color w:val="auto"/>
          <w:kern w:val="2"/>
          <w:sz w:val="32"/>
          <w:szCs w:val="32"/>
          <w:highlight w:val="none"/>
          <w:lang w:val="en-US" w:eastAsia="zh-CN" w:bidi="ar-SA"/>
        </w:rPr>
        <w:t>完善绩效指标体系，即结合业务特点，细化量化指标，增强可操作性</w:t>
      </w:r>
      <w:r>
        <w:rPr>
          <w:rFonts w:hint="eastAsia" w:eastAsia="仿宋_GB2312" w:cs="仿宋_GB2312"/>
          <w:color w:val="auto"/>
          <w:kern w:val="2"/>
          <w:sz w:val="32"/>
          <w:szCs w:val="32"/>
          <w:highlight w:val="none"/>
          <w:lang w:val="en-US" w:eastAsia="zh-CN" w:bidi="ar-SA"/>
        </w:rPr>
        <w:t>。</w:t>
      </w:r>
    </w:p>
    <w:p w14:paraId="7F96E9D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53"/>
    <w:p w14:paraId="6AC47E64">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489127C0">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44CDC573">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732A6637">
      <w:pPr>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70647183">
      <w:pPr>
        <w:pStyle w:val="8"/>
        <w:rPr>
          <w:rFonts w:hint="eastAsia" w:ascii="Times New Roman" w:hAnsi="Times New Roman" w:cs="宋体"/>
          <w:color w:val="FF0000"/>
          <w:kern w:val="0"/>
          <w:sz w:val="32"/>
          <w:szCs w:val="32"/>
          <w:highlight w:val="yellow"/>
          <w:shd w:val="clear" w:color="auto" w:fill="FFFFFF"/>
          <w:lang w:val="zh-CN"/>
        </w:rPr>
      </w:pPr>
    </w:p>
    <w:p w14:paraId="63D23DEE">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70678207">
      <w:pPr>
        <w:pStyle w:val="39"/>
        <w:spacing w:before="93" w:beforeLines="0"/>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37BDB100">
      <w:pPr>
        <w:pStyle w:val="38"/>
        <w:spacing w:line="578" w:lineRule="exact"/>
        <w:jc w:val="center"/>
        <w:rPr>
          <w:rFonts w:ascii="Times New Roman" w:hAnsi="Times New Roman" w:eastAsia="方正小标宋简体" w:cs="方正小标宋简体"/>
          <w:color w:val="auto"/>
          <w:kern w:val="2"/>
          <w:sz w:val="44"/>
          <w:szCs w:val="44"/>
          <w:lang w:val="en-US"/>
        </w:rPr>
      </w:pPr>
    </w:p>
    <w:p w14:paraId="56D68079">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14:paraId="04A8A497">
      <w:pPr>
        <w:pStyle w:val="3"/>
        <w:jc w:val="center"/>
        <w:rPr>
          <w:lang w:val="zh-CN"/>
        </w:rPr>
      </w:pPr>
      <w:r>
        <w:rPr>
          <w:rFonts w:hint="eastAsia" w:ascii="Times New Roman" w:hAnsi="Times New Roman" w:eastAsia="仿宋_GB2312"/>
          <w:color w:val="auto"/>
          <w:kern w:val="2"/>
          <w:sz w:val="32"/>
          <w:szCs w:val="32"/>
        </w:rPr>
        <w:t>（政务中心业务专项经费）</w:t>
      </w:r>
    </w:p>
    <w:p w14:paraId="4A733E20">
      <w:pPr>
        <w:spacing w:line="600" w:lineRule="exact"/>
        <w:ind w:firstLine="640"/>
        <w:jc w:val="center"/>
        <w:rPr>
          <w:sz w:val="32"/>
          <w:szCs w:val="32"/>
          <w:lang w:val="zh-CN"/>
        </w:rPr>
      </w:pPr>
    </w:p>
    <w:p w14:paraId="2FEDC016">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6A834B39">
      <w:pPr>
        <w:adjustRightInd w:val="0"/>
        <w:snapToGrid w:val="0"/>
        <w:spacing w:line="600" w:lineRule="exact"/>
        <w:ind w:firstLine="720"/>
        <w:rPr>
          <w:rFonts w:eastAsia="仿宋_GB2312"/>
          <w:sz w:val="32"/>
          <w:szCs w:val="32"/>
          <w:lang w:val="zh-CN"/>
        </w:rPr>
      </w:pPr>
      <w:r>
        <w:rPr>
          <w:rFonts w:eastAsia="楷体_GB2312"/>
          <w:b/>
          <w:sz w:val="32"/>
          <w:szCs w:val="32"/>
          <w:lang w:val="zh-CN"/>
        </w:rPr>
        <w:t>（一）项目基本情况。</w:t>
      </w:r>
      <w:r>
        <w:rPr>
          <w:rFonts w:hint="default" w:ascii="Times New Roman" w:hAnsi="Times New Roman" w:eastAsia="方正仿宋_GBK" w:cs="Times New Roman"/>
          <w:sz w:val="32"/>
          <w:szCs w:val="32"/>
          <w:lang w:val="en-US" w:eastAsia="zh-CN"/>
        </w:rPr>
        <w:t>此项目为支付政府采购资金，因科目选择错误，进行支出调剂</w:t>
      </w:r>
      <w:r>
        <w:rPr>
          <w:rFonts w:eastAsia="仿宋_GB2312"/>
          <w:sz w:val="32"/>
          <w:szCs w:val="32"/>
          <w:lang w:val="zh-CN"/>
        </w:rPr>
        <w:t>。</w:t>
      </w:r>
    </w:p>
    <w:p w14:paraId="06C968A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eastAsia="仿宋_GB2312"/>
          <w:sz w:val="32"/>
          <w:szCs w:val="32"/>
          <w:lang w:val="zh-CN"/>
        </w:rPr>
      </w:pPr>
      <w:r>
        <w:rPr>
          <w:rFonts w:eastAsia="楷体_GB2312"/>
          <w:b/>
          <w:sz w:val="32"/>
          <w:szCs w:val="32"/>
          <w:lang w:val="zh-CN"/>
        </w:rPr>
        <w:t>（二）项目绩效目标。</w:t>
      </w:r>
      <w:r>
        <w:rPr>
          <w:rFonts w:hint="default" w:ascii="Times New Roman" w:hAnsi="Times New Roman" w:eastAsia="方正仿宋_GBK" w:cs="Times New Roman"/>
          <w:sz w:val="32"/>
          <w:szCs w:val="32"/>
          <w:lang w:val="en-US" w:eastAsia="zh-CN"/>
        </w:rPr>
        <w:t>支付采购办公设备资金0.36万元，</w:t>
      </w:r>
      <w:r>
        <w:rPr>
          <w:rFonts w:hint="default" w:ascii="Times New Roman" w:hAnsi="Times New Roman" w:eastAsia="方正仿宋_GBK" w:cs="Times New Roman"/>
          <w:sz w:val="32"/>
          <w:szCs w:val="32"/>
        </w:rPr>
        <w:t>保障资金执行到位。</w:t>
      </w:r>
    </w:p>
    <w:p w14:paraId="7E039FE2">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42A526F2">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w:t>
      </w:r>
      <w:r>
        <w:rPr>
          <w:rFonts w:hint="eastAsia" w:eastAsia="仿宋_GB2312"/>
          <w:sz w:val="32"/>
          <w:szCs w:val="32"/>
          <w:lang w:val="zh-CN"/>
        </w:rPr>
        <w:t>工作严格按照财政绩效评价相关要求组织实施</w:t>
      </w:r>
      <w:r>
        <w:rPr>
          <w:rFonts w:eastAsia="仿宋_GB2312"/>
          <w:sz w:val="32"/>
          <w:szCs w:val="32"/>
          <w:lang w:val="zh-CN"/>
        </w:rPr>
        <w:t>。</w:t>
      </w:r>
    </w:p>
    <w:p w14:paraId="22B6015F">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2D91A371">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68A7F630">
      <w:pPr>
        <w:adjustRightInd w:val="0"/>
        <w:snapToGrid w:val="0"/>
        <w:spacing w:line="600" w:lineRule="exact"/>
        <w:ind w:firstLine="720"/>
        <w:rPr>
          <w:rFonts w:eastAsia="仿宋_GB2312"/>
          <w:sz w:val="32"/>
          <w:szCs w:val="32"/>
          <w:lang w:val="zh-CN"/>
        </w:rPr>
      </w:pPr>
      <w:r>
        <w:rPr>
          <w:rFonts w:hint="default" w:eastAsia="仿宋_GB2312"/>
          <w:sz w:val="32"/>
          <w:szCs w:val="32"/>
          <w:lang w:val="zh-CN"/>
        </w:rPr>
        <w:t>202</w:t>
      </w:r>
      <w:r>
        <w:rPr>
          <w:rFonts w:hint="default" w:eastAsia="仿宋_GB2312"/>
          <w:sz w:val="32"/>
          <w:szCs w:val="32"/>
          <w:lang w:val="zh-CN" w:eastAsia="zh-CN"/>
        </w:rPr>
        <w:t>5</w:t>
      </w:r>
      <w:r>
        <w:rPr>
          <w:rFonts w:hint="default" w:eastAsia="仿宋_GB2312"/>
          <w:sz w:val="32"/>
          <w:szCs w:val="32"/>
          <w:lang w:val="zh-CN"/>
        </w:rPr>
        <w:t>年，按照项目资金</w:t>
      </w:r>
      <w:r>
        <w:rPr>
          <w:rFonts w:hint="default" w:eastAsia="仿宋_GB2312"/>
          <w:sz w:val="32"/>
          <w:szCs w:val="32"/>
          <w:lang w:val="zh-CN" w:eastAsia="zh-CN"/>
        </w:rPr>
        <w:t>支付要求，进行支出调剂，经</w:t>
      </w:r>
      <w:r>
        <w:rPr>
          <w:rFonts w:hint="default" w:eastAsia="仿宋_GB2312"/>
          <w:sz w:val="32"/>
          <w:szCs w:val="32"/>
          <w:lang w:val="zh-CN"/>
        </w:rPr>
        <w:t>区财政局同意并</w:t>
      </w:r>
      <w:r>
        <w:rPr>
          <w:rFonts w:hint="default" w:eastAsia="仿宋_GB2312"/>
          <w:sz w:val="32"/>
          <w:szCs w:val="32"/>
          <w:lang w:val="zh-CN" w:eastAsia="zh-CN"/>
        </w:rPr>
        <w:t>作支出调剂</w:t>
      </w:r>
      <w:r>
        <w:rPr>
          <w:rFonts w:hint="default" w:eastAsia="仿宋_GB2312"/>
          <w:sz w:val="32"/>
          <w:szCs w:val="32"/>
          <w:lang w:val="zh-CN"/>
        </w:rPr>
        <w:t>。</w:t>
      </w:r>
    </w:p>
    <w:p w14:paraId="4CDC57CB">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6BC5D0B4">
      <w:pPr>
        <w:adjustRightInd w:val="0"/>
        <w:snapToGrid w:val="0"/>
        <w:spacing w:line="600" w:lineRule="exact"/>
        <w:ind w:firstLine="720"/>
        <w:rPr>
          <w:rFonts w:hint="default" w:eastAsia="仿宋_GB2312"/>
          <w:sz w:val="32"/>
          <w:szCs w:val="32"/>
          <w:lang w:val="zh-CN" w:eastAsia="zh-CN"/>
        </w:rPr>
      </w:pPr>
      <w:r>
        <w:rPr>
          <w:rFonts w:hint="default" w:eastAsia="仿宋_GB2312"/>
          <w:sz w:val="32"/>
          <w:szCs w:val="32"/>
          <w:lang w:val="zh-CN"/>
        </w:rPr>
        <w:t>项目资金共计</w:t>
      </w:r>
      <w:r>
        <w:rPr>
          <w:rFonts w:hint="default" w:eastAsia="仿宋_GB2312"/>
          <w:sz w:val="32"/>
          <w:szCs w:val="32"/>
          <w:lang w:val="zh-CN" w:eastAsia="zh-CN"/>
        </w:rPr>
        <w:t>0.36万</w:t>
      </w:r>
      <w:r>
        <w:rPr>
          <w:rFonts w:hint="default" w:eastAsia="仿宋_GB2312"/>
          <w:sz w:val="32"/>
          <w:szCs w:val="32"/>
          <w:lang w:val="zh-CN"/>
        </w:rPr>
        <w:t>元</w:t>
      </w:r>
      <w:r>
        <w:rPr>
          <w:rFonts w:hint="default" w:eastAsia="仿宋_GB2312"/>
          <w:sz w:val="32"/>
          <w:szCs w:val="32"/>
          <w:lang w:val="zh-CN" w:eastAsia="zh-CN"/>
        </w:rPr>
        <w:t>。2025年因财政资金困难，未支付。</w:t>
      </w:r>
    </w:p>
    <w:p w14:paraId="624C8A48">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3629D4DB">
      <w:pPr>
        <w:adjustRightInd w:val="0"/>
        <w:snapToGrid w:val="0"/>
        <w:spacing w:line="600" w:lineRule="exact"/>
        <w:ind w:firstLine="720"/>
        <w:rPr>
          <w:rFonts w:hint="default" w:eastAsia="仿宋_GB2312"/>
          <w:sz w:val="32"/>
          <w:szCs w:val="32"/>
          <w:lang w:val="zh-CN" w:eastAsia="zh-CN"/>
        </w:rPr>
      </w:pPr>
      <w:r>
        <w:rPr>
          <w:rFonts w:hint="default" w:eastAsia="仿宋_GB2312"/>
          <w:sz w:val="32"/>
          <w:szCs w:val="32"/>
          <w:lang w:val="zh-CN" w:eastAsia="zh-CN"/>
        </w:rPr>
        <w:t>攀枝花市仁和区行政审批局管理制度健全，严格执行财务管理制度，账务处理及时，会计核算规范。</w:t>
      </w:r>
    </w:p>
    <w:p w14:paraId="660346E9">
      <w:pPr>
        <w:adjustRightInd w:val="0"/>
        <w:snapToGrid w:val="0"/>
        <w:spacing w:line="600" w:lineRule="exact"/>
        <w:ind w:firstLine="720"/>
        <w:rPr>
          <w:rFonts w:eastAsia="黑体"/>
          <w:sz w:val="32"/>
          <w:szCs w:val="32"/>
        </w:rPr>
      </w:pPr>
      <w:r>
        <w:rPr>
          <w:rFonts w:eastAsia="黑体"/>
          <w:sz w:val="32"/>
          <w:szCs w:val="32"/>
        </w:rPr>
        <w:t>三、项目实施及管理情况</w:t>
      </w:r>
    </w:p>
    <w:p w14:paraId="1C183841">
      <w:pPr>
        <w:adjustRightInd w:val="0"/>
        <w:snapToGrid w:val="0"/>
        <w:spacing w:line="600" w:lineRule="exact"/>
        <w:ind w:firstLine="720"/>
        <w:rPr>
          <w:rFonts w:eastAsia="仿宋_GB2312"/>
          <w:sz w:val="32"/>
          <w:szCs w:val="32"/>
          <w:lang w:val="zh-CN"/>
        </w:rPr>
      </w:pPr>
      <w:r>
        <w:rPr>
          <w:rFonts w:hint="default" w:eastAsia="仿宋_GB2312"/>
          <w:sz w:val="32"/>
          <w:szCs w:val="32"/>
          <w:lang w:val="zh-CN"/>
        </w:rPr>
        <w:t>项目由仁和区</w:t>
      </w:r>
      <w:r>
        <w:rPr>
          <w:rFonts w:hint="default" w:eastAsia="仿宋_GB2312"/>
          <w:sz w:val="32"/>
          <w:szCs w:val="32"/>
          <w:lang w:val="zh-CN" w:eastAsia="zh-CN"/>
        </w:rPr>
        <w:t>行政审批</w:t>
      </w:r>
      <w:r>
        <w:rPr>
          <w:rFonts w:hint="default" w:eastAsia="仿宋_GB2312"/>
          <w:sz w:val="32"/>
          <w:szCs w:val="32"/>
          <w:lang w:val="zh-CN"/>
        </w:rPr>
        <w:t>局负责，由</w:t>
      </w:r>
      <w:r>
        <w:rPr>
          <w:rFonts w:hint="default" w:eastAsia="仿宋_GB2312"/>
          <w:sz w:val="32"/>
          <w:szCs w:val="32"/>
          <w:lang w:val="zh-CN" w:eastAsia="zh-CN"/>
        </w:rPr>
        <w:t>局办公室</w:t>
      </w:r>
      <w:r>
        <w:rPr>
          <w:rFonts w:hint="default" w:eastAsia="仿宋_GB2312"/>
          <w:sz w:val="32"/>
          <w:szCs w:val="32"/>
          <w:lang w:val="zh-CN"/>
        </w:rPr>
        <w:t>负责实施。制定项目计划，严格按照计划开展工作，严格管理项目资金，确保项目资金使用合理、合规、合法，并按照相关法律法规及项目管理制度推进相关工作。</w:t>
      </w:r>
    </w:p>
    <w:p w14:paraId="78CC3B1F">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54DD964F">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r>
        <w:rPr>
          <w:rFonts w:hint="default" w:eastAsia="仿宋_GB2312"/>
          <w:sz w:val="32"/>
          <w:szCs w:val="32"/>
          <w:lang w:val="zh-CN" w:eastAsia="zh-CN"/>
        </w:rPr>
        <w:t>本年度办公设备采购严格遵循单位采购管理制度，采购数量与实际办公需求匹配，保证工作正常运转，该项目于2025年9完成。</w:t>
      </w:r>
    </w:p>
    <w:p w14:paraId="1746BEC9">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0B294672">
      <w:pPr>
        <w:adjustRightInd w:val="0"/>
        <w:snapToGrid w:val="0"/>
        <w:spacing w:line="600" w:lineRule="exact"/>
        <w:ind w:firstLine="720"/>
        <w:rPr>
          <w:rFonts w:hint="default" w:eastAsia="仿宋_GB2312"/>
          <w:sz w:val="32"/>
          <w:szCs w:val="32"/>
          <w:lang w:val="zh-CN"/>
        </w:rPr>
      </w:pPr>
      <w:r>
        <w:rPr>
          <w:rFonts w:hint="default" w:eastAsia="仿宋_GB2312"/>
          <w:sz w:val="32"/>
          <w:szCs w:val="32"/>
          <w:lang w:val="zh-CN" w:eastAsia="zh-CN"/>
        </w:rPr>
        <w:t>社会效益：为全体职工责提供了良好的办公条件，有效提高办公效率</w:t>
      </w:r>
      <w:r>
        <w:rPr>
          <w:rFonts w:hint="default" w:eastAsia="仿宋_GB2312"/>
          <w:sz w:val="32"/>
          <w:szCs w:val="32"/>
          <w:lang w:val="zh-CN"/>
        </w:rPr>
        <w:t>。</w:t>
      </w:r>
    </w:p>
    <w:p w14:paraId="6D2795D3">
      <w:pPr>
        <w:adjustRightInd w:val="0"/>
        <w:snapToGrid w:val="0"/>
        <w:spacing w:line="600" w:lineRule="exact"/>
        <w:ind w:firstLine="720"/>
        <w:rPr>
          <w:rFonts w:hint="default" w:eastAsia="仿宋_GB2312"/>
          <w:sz w:val="32"/>
          <w:szCs w:val="32"/>
          <w:lang w:val="zh-CN" w:eastAsia="zh-CN"/>
        </w:rPr>
      </w:pPr>
      <w:r>
        <w:rPr>
          <w:rFonts w:hint="default" w:eastAsia="仿宋_GB2312"/>
          <w:sz w:val="32"/>
          <w:szCs w:val="32"/>
          <w:lang w:val="zh-CN"/>
        </w:rPr>
        <w:t>满意度指标：</w:t>
      </w:r>
      <w:r>
        <w:rPr>
          <w:rFonts w:hint="default" w:eastAsia="仿宋_GB2312"/>
          <w:sz w:val="32"/>
          <w:szCs w:val="32"/>
          <w:lang w:val="zh-CN" w:eastAsia="zh-CN"/>
        </w:rPr>
        <w:t>办公设备提供及时，质量和品类符合办公，得到全体职工认可，职工</w:t>
      </w:r>
      <w:r>
        <w:rPr>
          <w:rFonts w:hint="default" w:eastAsia="仿宋_GB2312"/>
          <w:sz w:val="32"/>
          <w:szCs w:val="32"/>
          <w:lang w:val="zh-CN"/>
        </w:rPr>
        <w:t>满意度≥90%</w:t>
      </w:r>
      <w:r>
        <w:rPr>
          <w:rFonts w:hint="default" w:eastAsia="仿宋_GB2312"/>
          <w:sz w:val="32"/>
          <w:szCs w:val="32"/>
          <w:lang w:val="zh-CN" w:eastAsia="zh-CN"/>
        </w:rPr>
        <w:t>。</w:t>
      </w:r>
    </w:p>
    <w:p w14:paraId="63367C17">
      <w:pPr>
        <w:adjustRightInd w:val="0"/>
        <w:snapToGrid w:val="0"/>
        <w:spacing w:line="600" w:lineRule="exact"/>
        <w:ind w:firstLine="720"/>
        <w:rPr>
          <w:rFonts w:eastAsia="黑体"/>
          <w:sz w:val="32"/>
          <w:szCs w:val="32"/>
        </w:rPr>
      </w:pPr>
      <w:r>
        <w:rPr>
          <w:rFonts w:eastAsia="黑体"/>
          <w:sz w:val="32"/>
          <w:szCs w:val="32"/>
        </w:rPr>
        <w:t>五、评价结论及建议</w:t>
      </w:r>
    </w:p>
    <w:p w14:paraId="108E3728">
      <w:pPr>
        <w:adjustRightInd w:val="0"/>
        <w:snapToGrid w:val="0"/>
        <w:spacing w:line="600" w:lineRule="exact"/>
        <w:ind w:firstLine="720"/>
        <w:rPr>
          <w:rFonts w:eastAsia="仿宋_GB2312"/>
          <w:sz w:val="32"/>
          <w:szCs w:val="32"/>
          <w:bdr w:val="single" w:color="auto" w:sz="4" w:space="0"/>
          <w:lang w:val="zh-CN"/>
        </w:rPr>
      </w:pPr>
      <w:r>
        <w:rPr>
          <w:rFonts w:eastAsia="楷体_GB2312"/>
          <w:b/>
          <w:sz w:val="32"/>
          <w:szCs w:val="32"/>
          <w:lang w:val="zh-CN"/>
        </w:rPr>
        <w:t>（一）评价结论。</w:t>
      </w:r>
      <w:r>
        <w:rPr>
          <w:rFonts w:hint="default" w:eastAsia="仿宋_GB2312"/>
          <w:sz w:val="32"/>
          <w:szCs w:val="32"/>
          <w:lang w:val="zh-CN" w:eastAsia="zh-CN"/>
        </w:rPr>
        <w:t>本年度办公设备采购项目整体执行规范，流程合规，物满足各股室日常办公使用需求，资金使用节约高效。</w:t>
      </w:r>
      <w:r>
        <w:rPr>
          <w:rFonts w:eastAsia="仿宋_GB2312"/>
          <w:sz w:val="32"/>
          <w:szCs w:val="32"/>
          <w:lang w:val="zh-CN"/>
        </w:rPr>
        <w:t>。</w:t>
      </w:r>
    </w:p>
    <w:p w14:paraId="657394F5">
      <w:pPr>
        <w:adjustRightInd w:val="0"/>
        <w:snapToGrid w:val="0"/>
        <w:spacing w:line="600" w:lineRule="exact"/>
        <w:ind w:firstLine="720"/>
        <w:rPr>
          <w:rFonts w:eastAsia="仿宋_GB2312"/>
          <w:sz w:val="32"/>
          <w:szCs w:val="32"/>
          <w:lang w:val="zh-CN"/>
        </w:rPr>
      </w:pPr>
      <w:r>
        <w:rPr>
          <w:rFonts w:eastAsia="楷体_GB2312"/>
          <w:b/>
          <w:sz w:val="32"/>
          <w:szCs w:val="32"/>
          <w:lang w:val="zh-CN"/>
        </w:rPr>
        <w:t>（二）存在的问题。</w:t>
      </w:r>
      <w:r>
        <w:rPr>
          <w:rFonts w:hint="default" w:ascii="Times New Roman" w:hAnsi="Times New Roman" w:eastAsia="方正仿宋_GBK" w:cs="Times New Roman"/>
          <w:sz w:val="32"/>
          <w:szCs w:val="32"/>
          <w:lang w:eastAsia="zh-CN"/>
        </w:rPr>
        <w:t>资金支付进度缓慢</w:t>
      </w:r>
      <w:r>
        <w:rPr>
          <w:rFonts w:eastAsia="仿宋_GB2312"/>
          <w:sz w:val="32"/>
          <w:szCs w:val="32"/>
          <w:lang w:val="zh-CN"/>
        </w:rPr>
        <w:t>。</w:t>
      </w:r>
      <w:r>
        <w:rPr>
          <w:rFonts w:eastAsia="仿宋_GB2312"/>
          <w:sz w:val="32"/>
          <w:szCs w:val="32"/>
          <w:lang w:val="zh-CN"/>
        </w:rPr>
        <w:tab/>
      </w:r>
    </w:p>
    <w:p w14:paraId="4A6D4D48">
      <w:pPr>
        <w:adjustRightInd w:val="0"/>
        <w:snapToGrid w:val="0"/>
        <w:spacing w:line="600" w:lineRule="exact"/>
        <w:ind w:firstLine="720"/>
        <w:rPr>
          <w:rFonts w:eastAsia="仿宋_GB2312"/>
          <w:sz w:val="32"/>
          <w:szCs w:val="32"/>
          <w:lang w:val="zh-CN"/>
        </w:rPr>
      </w:pPr>
      <w:r>
        <w:rPr>
          <w:rFonts w:eastAsia="楷体_GB2312"/>
          <w:b/>
          <w:sz w:val="32"/>
          <w:szCs w:val="32"/>
          <w:lang w:val="zh-CN"/>
        </w:rPr>
        <w:t>（三）相关建议。</w:t>
      </w:r>
      <w:r>
        <w:rPr>
          <w:rFonts w:hint="default" w:ascii="Times New Roman" w:hAnsi="Times New Roman" w:eastAsia="方正仿宋_GBK" w:cs="Times New Roman"/>
          <w:sz w:val="32"/>
          <w:szCs w:val="32"/>
          <w:lang w:eastAsia="zh-CN"/>
        </w:rPr>
        <w:t>加快资金支付进度</w:t>
      </w:r>
      <w:r>
        <w:rPr>
          <w:rFonts w:eastAsia="仿宋_GB2312"/>
          <w:sz w:val="32"/>
          <w:szCs w:val="32"/>
          <w:lang w:val="zh-CN"/>
        </w:rPr>
        <w:t>。</w:t>
      </w:r>
    </w:p>
    <w:p w14:paraId="67EA6405">
      <w:pPr>
        <w:pStyle w:val="39"/>
        <w:spacing w:before="93" w:beforeLines="0"/>
        <w:rPr>
          <w:rFonts w:hint="eastAsia" w:ascii="Times New Roman" w:eastAsia="黑体" w:cs="黑体"/>
          <w:sz w:val="32"/>
          <w:szCs w:val="32"/>
          <w:shd w:val="clear" w:color="auto" w:fill="FFFFFF"/>
          <w:lang w:val="zh-CN"/>
        </w:rPr>
      </w:pPr>
    </w:p>
    <w:p w14:paraId="73F580F8">
      <w:pPr>
        <w:pStyle w:val="39"/>
        <w:spacing w:before="93" w:beforeLines="0"/>
        <w:rPr>
          <w:rFonts w:hint="eastAsia" w:ascii="Times New Roman" w:eastAsia="黑体" w:cs="黑体"/>
          <w:sz w:val="32"/>
          <w:szCs w:val="32"/>
          <w:shd w:val="clear" w:color="auto" w:fill="FFFFFF"/>
          <w:lang w:val="zh-CN"/>
        </w:rPr>
      </w:pPr>
    </w:p>
    <w:p w14:paraId="775B0907">
      <w:pPr>
        <w:pStyle w:val="39"/>
        <w:spacing w:before="93" w:beforeLines="0"/>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404D353A">
      <w:pPr>
        <w:pStyle w:val="38"/>
        <w:spacing w:line="578" w:lineRule="exact"/>
        <w:jc w:val="center"/>
        <w:rPr>
          <w:rFonts w:ascii="Times New Roman" w:hAnsi="Times New Roman" w:eastAsia="方正小标宋简体" w:cs="方正小标宋简体"/>
          <w:color w:val="auto"/>
          <w:kern w:val="2"/>
          <w:sz w:val="44"/>
          <w:szCs w:val="44"/>
          <w:lang w:val="en-US"/>
        </w:rPr>
      </w:pPr>
    </w:p>
    <w:p w14:paraId="30BC6795">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14:paraId="68292567">
      <w:pPr>
        <w:pStyle w:val="3"/>
        <w:ind w:firstLine="960" w:firstLineChars="300"/>
        <w:jc w:val="both"/>
        <w:rPr>
          <w:lang w:val="zh-CN"/>
        </w:rPr>
      </w:pPr>
      <w:r>
        <w:rPr>
          <w:rFonts w:hint="eastAsia" w:ascii="Times New Roman" w:hAnsi="Times New Roman" w:eastAsia="仿宋_GB2312"/>
          <w:color w:val="auto"/>
          <w:kern w:val="2"/>
          <w:sz w:val="32"/>
          <w:szCs w:val="32"/>
        </w:rPr>
        <w:t>（</w:t>
      </w:r>
      <w:r>
        <w:rPr>
          <w:rFonts w:hint="eastAsia" w:ascii="方正仿宋_GBK" w:hAnsi="方正仿宋_GBK" w:eastAsia="方正仿宋_GBK" w:cs="方正仿宋_GBK"/>
          <w:color w:val="auto"/>
          <w:kern w:val="2"/>
          <w:sz w:val="32"/>
          <w:szCs w:val="32"/>
        </w:rPr>
        <w:t>清偿拖欠企业账款化债专项债资金</w:t>
      </w:r>
      <w:r>
        <w:rPr>
          <w:rFonts w:hint="eastAsia" w:ascii="Times New Roman" w:hAnsi="Times New Roman" w:eastAsia="仿宋_GB2312"/>
          <w:color w:val="auto"/>
          <w:kern w:val="2"/>
          <w:sz w:val="32"/>
          <w:szCs w:val="32"/>
        </w:rPr>
        <w:t>）</w:t>
      </w:r>
    </w:p>
    <w:p w14:paraId="35E3F299">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231C2B94">
      <w:pPr>
        <w:adjustRightInd w:val="0"/>
        <w:snapToGrid w:val="0"/>
        <w:spacing w:line="600" w:lineRule="exact"/>
        <w:ind w:firstLine="720"/>
        <w:rPr>
          <w:rFonts w:eastAsia="仿宋_GB2312"/>
          <w:sz w:val="32"/>
          <w:szCs w:val="32"/>
          <w:lang w:val="zh-CN"/>
        </w:rPr>
      </w:pPr>
      <w:r>
        <w:rPr>
          <w:rFonts w:eastAsia="楷体_GB2312"/>
          <w:b/>
          <w:sz w:val="32"/>
          <w:szCs w:val="32"/>
          <w:lang w:val="zh-CN"/>
        </w:rPr>
        <w:t>（一）项目基本情况。</w:t>
      </w:r>
      <w:r>
        <w:rPr>
          <w:rFonts w:hint="default" w:eastAsia="仿宋_GB2312"/>
          <w:sz w:val="32"/>
          <w:szCs w:val="32"/>
          <w:lang w:val="zh-CN" w:eastAsia="zh-CN"/>
        </w:rPr>
        <w:t>对政务服务大厅天花板照明灯线路更换，办公区域办公设备线路、插座检修更换，配电室配电设备检修，消除安全隐患。</w:t>
      </w:r>
    </w:p>
    <w:p w14:paraId="037F7496">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eastAsia="仿宋_GB2312"/>
          <w:sz w:val="32"/>
          <w:szCs w:val="32"/>
          <w:lang w:val="zh-CN" w:eastAsia="zh-CN"/>
        </w:rPr>
      </w:pPr>
      <w:r>
        <w:rPr>
          <w:rFonts w:eastAsia="楷体_GB2312"/>
          <w:b/>
          <w:sz w:val="32"/>
          <w:szCs w:val="32"/>
          <w:lang w:val="zh-CN"/>
        </w:rPr>
        <w:t>（二）项目绩效目标。</w:t>
      </w:r>
      <w:r>
        <w:rPr>
          <w:rFonts w:hint="default" w:ascii="Times New Roman" w:hAnsi="Times New Roman" w:eastAsia="方正仿宋_GBK" w:cs="Times New Roman"/>
          <w:sz w:val="32"/>
          <w:szCs w:val="32"/>
          <w:lang w:val="en-US" w:eastAsia="zh-CN"/>
        </w:rPr>
        <w:t>支清偿拖欠企业账款1.38万元，保障资金执行到位</w:t>
      </w:r>
      <w:r>
        <w:rPr>
          <w:rFonts w:hint="default" w:eastAsia="仿宋_GB2312"/>
          <w:sz w:val="32"/>
          <w:szCs w:val="32"/>
          <w:lang w:val="zh-CN" w:eastAsia="zh-CN"/>
        </w:rPr>
        <w:t>。</w:t>
      </w:r>
    </w:p>
    <w:p w14:paraId="5BED29F8">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77740016">
      <w:pPr>
        <w:adjustRightInd w:val="0"/>
        <w:snapToGrid w:val="0"/>
        <w:spacing w:line="600" w:lineRule="exact"/>
        <w:ind w:firstLine="720"/>
        <w:rPr>
          <w:rFonts w:eastAsia="仿宋_GB2312"/>
          <w:sz w:val="32"/>
          <w:szCs w:val="32"/>
          <w:lang w:val="zh-CN"/>
        </w:rPr>
      </w:pPr>
      <w:r>
        <w:rPr>
          <w:rFonts w:eastAsia="仿宋_GB2312"/>
          <w:sz w:val="32"/>
          <w:szCs w:val="32"/>
          <w:lang w:val="zh-CN"/>
        </w:rPr>
        <w:t>项目绩效自评</w:t>
      </w:r>
      <w:r>
        <w:rPr>
          <w:rFonts w:hint="eastAsia" w:eastAsia="仿宋_GB2312"/>
          <w:sz w:val="32"/>
          <w:szCs w:val="32"/>
          <w:lang w:val="zh-CN"/>
        </w:rPr>
        <w:t>工作严格按照财政绩效评价相关要求组织实施</w:t>
      </w:r>
      <w:r>
        <w:rPr>
          <w:rFonts w:eastAsia="仿宋_GB2312"/>
          <w:sz w:val="32"/>
          <w:szCs w:val="32"/>
          <w:lang w:val="zh-CN"/>
        </w:rPr>
        <w:t>。</w:t>
      </w:r>
    </w:p>
    <w:p w14:paraId="106E2737">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53146F9C">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693F28C9">
      <w:pPr>
        <w:adjustRightInd w:val="0"/>
        <w:snapToGrid w:val="0"/>
        <w:spacing w:line="600" w:lineRule="exact"/>
        <w:ind w:firstLine="720"/>
        <w:rPr>
          <w:rFonts w:eastAsia="仿宋_GB2312"/>
          <w:sz w:val="32"/>
          <w:szCs w:val="32"/>
          <w:lang w:val="zh-CN"/>
        </w:rPr>
      </w:pPr>
      <w:r>
        <w:rPr>
          <w:rFonts w:hint="default" w:eastAsia="仿宋_GB2312"/>
          <w:sz w:val="32"/>
          <w:szCs w:val="32"/>
          <w:lang w:val="zh-CN"/>
        </w:rPr>
        <w:t>202</w:t>
      </w:r>
      <w:r>
        <w:rPr>
          <w:rFonts w:hint="default" w:eastAsia="仿宋_GB2312"/>
          <w:sz w:val="32"/>
          <w:szCs w:val="32"/>
          <w:lang w:val="zh-CN" w:eastAsia="zh-CN"/>
        </w:rPr>
        <w:t>5</w:t>
      </w:r>
      <w:r>
        <w:rPr>
          <w:rFonts w:hint="default" w:eastAsia="仿宋_GB2312"/>
          <w:sz w:val="32"/>
          <w:szCs w:val="32"/>
          <w:lang w:val="zh-CN"/>
        </w:rPr>
        <w:t>年，按照项目立项依据及资金申报依据申报项目预算，区财政局同意立项并下达项目经费。</w:t>
      </w:r>
    </w:p>
    <w:p w14:paraId="2CA65385">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2CDF668D">
      <w:pPr>
        <w:adjustRightInd w:val="0"/>
        <w:snapToGrid w:val="0"/>
        <w:spacing w:line="600" w:lineRule="exact"/>
        <w:ind w:firstLine="720"/>
        <w:rPr>
          <w:rFonts w:eastAsia="仿宋_GB2312"/>
          <w:sz w:val="32"/>
          <w:szCs w:val="32"/>
          <w:lang w:val="zh-CN"/>
        </w:rPr>
      </w:pPr>
      <w:r>
        <w:rPr>
          <w:rFonts w:eastAsia="楷体_GB2312"/>
          <w:sz w:val="32"/>
          <w:szCs w:val="32"/>
          <w:lang w:val="zh-CN"/>
        </w:rPr>
        <w:t>1．资金计划。</w:t>
      </w:r>
      <w:r>
        <w:rPr>
          <w:rFonts w:hint="default" w:eastAsia="楷体_GB2312"/>
          <w:sz w:val="32"/>
          <w:szCs w:val="32"/>
          <w:lang w:val="zh-CN" w:eastAsia="zh-CN"/>
        </w:rPr>
        <w:t>区级资金1.38万元</w:t>
      </w:r>
      <w:r>
        <w:rPr>
          <w:rFonts w:eastAsia="仿宋_GB2312"/>
          <w:sz w:val="32"/>
          <w:szCs w:val="32"/>
          <w:lang w:val="zh-CN"/>
        </w:rPr>
        <w:t>。</w:t>
      </w:r>
    </w:p>
    <w:p w14:paraId="642FA069">
      <w:pPr>
        <w:adjustRightInd w:val="0"/>
        <w:snapToGrid w:val="0"/>
        <w:spacing w:line="600" w:lineRule="exact"/>
        <w:ind w:firstLine="720"/>
        <w:rPr>
          <w:rFonts w:eastAsia="仿宋_GB2312"/>
          <w:sz w:val="32"/>
          <w:szCs w:val="32"/>
          <w:lang w:val="zh-CN"/>
        </w:rPr>
      </w:pPr>
      <w:r>
        <w:rPr>
          <w:rFonts w:eastAsia="楷体_GB2312"/>
          <w:sz w:val="32"/>
          <w:szCs w:val="32"/>
          <w:lang w:val="zh-CN"/>
        </w:rPr>
        <w:t>2．资金到位。</w:t>
      </w:r>
      <w:r>
        <w:rPr>
          <w:rFonts w:hint="default" w:eastAsia="楷体_GB2312"/>
          <w:sz w:val="32"/>
          <w:szCs w:val="32"/>
          <w:lang w:val="zh-CN" w:eastAsia="zh-CN"/>
        </w:rPr>
        <w:t>预算资金1.38万元，实际到位资金1.38万元，资金到位率100%</w:t>
      </w:r>
      <w:r>
        <w:rPr>
          <w:rFonts w:eastAsia="仿宋_GB2312"/>
          <w:sz w:val="32"/>
          <w:szCs w:val="32"/>
          <w:lang w:val="zh-CN"/>
        </w:rPr>
        <w:t>。</w:t>
      </w:r>
    </w:p>
    <w:p w14:paraId="2F96AD41">
      <w:pPr>
        <w:adjustRightInd w:val="0"/>
        <w:snapToGrid w:val="0"/>
        <w:spacing w:line="600" w:lineRule="exact"/>
        <w:ind w:firstLine="720"/>
        <w:rPr>
          <w:rFonts w:eastAsia="仿宋_GB2312"/>
          <w:sz w:val="32"/>
          <w:szCs w:val="32"/>
          <w:lang w:val="zh-CN"/>
        </w:rPr>
      </w:pPr>
      <w:r>
        <w:rPr>
          <w:rFonts w:eastAsia="楷体_GB2312"/>
          <w:sz w:val="32"/>
          <w:szCs w:val="32"/>
          <w:lang w:val="zh-CN"/>
        </w:rPr>
        <w:t>3．资金使用。</w:t>
      </w:r>
      <w:r>
        <w:rPr>
          <w:rFonts w:hint="default" w:eastAsia="楷体_GB2312"/>
          <w:sz w:val="32"/>
          <w:szCs w:val="32"/>
          <w:lang w:val="zh-CN"/>
        </w:rPr>
        <w:t>项目资金于202</w:t>
      </w:r>
      <w:r>
        <w:rPr>
          <w:rFonts w:hint="default" w:eastAsia="楷体_GB2312"/>
          <w:sz w:val="32"/>
          <w:szCs w:val="32"/>
          <w:lang w:val="zh-CN" w:eastAsia="zh-CN"/>
        </w:rPr>
        <w:t>5</w:t>
      </w:r>
      <w:r>
        <w:rPr>
          <w:rFonts w:hint="default" w:eastAsia="楷体_GB2312"/>
          <w:sz w:val="32"/>
          <w:szCs w:val="32"/>
          <w:lang w:val="zh-CN"/>
        </w:rPr>
        <w:t>年</w:t>
      </w:r>
      <w:r>
        <w:rPr>
          <w:rFonts w:hint="default" w:eastAsia="楷体_GB2312"/>
          <w:sz w:val="32"/>
          <w:szCs w:val="32"/>
          <w:lang w:val="zh-CN" w:eastAsia="zh-CN"/>
        </w:rPr>
        <w:t>9</w:t>
      </w:r>
      <w:r>
        <w:rPr>
          <w:rFonts w:hint="default" w:eastAsia="楷体_GB2312"/>
          <w:sz w:val="32"/>
          <w:szCs w:val="32"/>
          <w:lang w:val="zh-CN"/>
        </w:rPr>
        <w:t>月</w:t>
      </w:r>
      <w:r>
        <w:rPr>
          <w:rFonts w:hint="default" w:eastAsia="楷体_GB2312"/>
          <w:sz w:val="32"/>
          <w:szCs w:val="32"/>
          <w:lang w:val="zh-CN" w:eastAsia="zh-CN"/>
        </w:rPr>
        <w:t>已</w:t>
      </w:r>
      <w:r>
        <w:rPr>
          <w:rFonts w:hint="default" w:eastAsia="楷体_GB2312"/>
          <w:sz w:val="32"/>
          <w:szCs w:val="32"/>
          <w:lang w:val="zh-CN"/>
        </w:rPr>
        <w:t>支付</w:t>
      </w:r>
      <w:r>
        <w:rPr>
          <w:rFonts w:hint="default" w:eastAsia="楷体_GB2312"/>
          <w:sz w:val="32"/>
          <w:szCs w:val="32"/>
          <w:lang w:val="zh-CN" w:eastAsia="zh-CN"/>
        </w:rPr>
        <w:t>1.38万元</w:t>
      </w:r>
      <w:r>
        <w:rPr>
          <w:rFonts w:hint="default" w:eastAsia="楷体_GB2312"/>
          <w:sz w:val="32"/>
          <w:szCs w:val="32"/>
          <w:lang w:val="zh-CN"/>
        </w:rPr>
        <w:t>，完成预算数</w:t>
      </w:r>
      <w:r>
        <w:rPr>
          <w:rFonts w:hint="default" w:eastAsia="楷体_GB2312"/>
          <w:sz w:val="32"/>
          <w:szCs w:val="32"/>
          <w:lang w:val="zh-CN" w:eastAsia="zh-CN"/>
        </w:rPr>
        <w:t>100</w:t>
      </w:r>
      <w:r>
        <w:rPr>
          <w:rFonts w:hint="default" w:eastAsia="楷体_GB2312"/>
          <w:sz w:val="32"/>
          <w:szCs w:val="32"/>
          <w:lang w:val="zh-CN"/>
        </w:rPr>
        <w:t>%</w:t>
      </w:r>
      <w:r>
        <w:rPr>
          <w:rFonts w:eastAsia="仿宋_GB2312"/>
          <w:sz w:val="32"/>
          <w:szCs w:val="32"/>
          <w:lang w:val="zh-CN"/>
        </w:rPr>
        <w:t>。</w:t>
      </w:r>
    </w:p>
    <w:p w14:paraId="6CFF63DC">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7E4906FE">
      <w:pPr>
        <w:adjustRightInd w:val="0"/>
        <w:snapToGrid w:val="0"/>
        <w:spacing w:line="600" w:lineRule="exact"/>
        <w:ind w:firstLine="720"/>
        <w:rPr>
          <w:rFonts w:hint="default" w:eastAsia="仿宋_GB2312"/>
          <w:sz w:val="32"/>
          <w:szCs w:val="32"/>
          <w:lang w:val="zh-CN" w:eastAsia="zh-CN"/>
        </w:rPr>
      </w:pPr>
      <w:r>
        <w:rPr>
          <w:rFonts w:hint="default" w:eastAsia="仿宋_GB2312"/>
          <w:sz w:val="32"/>
          <w:szCs w:val="32"/>
          <w:lang w:val="zh-CN" w:eastAsia="zh-CN"/>
        </w:rPr>
        <w:t>攀枝花市仁和区行政审批局管理制度健全，严格执行财务管理制度，账务处理及时，会计核算规范。</w:t>
      </w:r>
    </w:p>
    <w:p w14:paraId="4CF7D61A">
      <w:pPr>
        <w:adjustRightInd w:val="0"/>
        <w:snapToGrid w:val="0"/>
        <w:spacing w:line="600" w:lineRule="exact"/>
        <w:ind w:firstLine="720"/>
        <w:rPr>
          <w:rFonts w:eastAsia="黑体"/>
          <w:sz w:val="32"/>
          <w:szCs w:val="32"/>
        </w:rPr>
      </w:pPr>
      <w:r>
        <w:rPr>
          <w:rFonts w:eastAsia="黑体"/>
          <w:sz w:val="32"/>
          <w:szCs w:val="32"/>
        </w:rPr>
        <w:t>三、项目实施及管理情况</w:t>
      </w:r>
    </w:p>
    <w:p w14:paraId="7E808A95">
      <w:pPr>
        <w:adjustRightInd w:val="0"/>
        <w:snapToGrid w:val="0"/>
        <w:spacing w:line="600" w:lineRule="exact"/>
        <w:ind w:firstLine="720"/>
        <w:rPr>
          <w:rFonts w:eastAsia="仿宋_GB2312"/>
          <w:sz w:val="32"/>
          <w:szCs w:val="32"/>
          <w:lang w:val="zh-CN"/>
        </w:rPr>
      </w:pPr>
      <w:r>
        <w:rPr>
          <w:rFonts w:hint="default" w:eastAsia="仿宋_GB2312"/>
          <w:sz w:val="32"/>
          <w:szCs w:val="32"/>
          <w:lang w:val="zh-CN"/>
        </w:rPr>
        <w:t>项目由仁和区</w:t>
      </w:r>
      <w:r>
        <w:rPr>
          <w:rFonts w:hint="default" w:eastAsia="仿宋_GB2312"/>
          <w:sz w:val="32"/>
          <w:szCs w:val="32"/>
          <w:lang w:val="zh-CN" w:eastAsia="zh-CN"/>
        </w:rPr>
        <w:t>行政审批局</w:t>
      </w:r>
      <w:r>
        <w:rPr>
          <w:rFonts w:hint="default" w:eastAsia="仿宋_GB2312"/>
          <w:sz w:val="32"/>
          <w:szCs w:val="32"/>
          <w:lang w:val="zh-CN"/>
        </w:rPr>
        <w:t>负责，由</w:t>
      </w:r>
      <w:r>
        <w:rPr>
          <w:rFonts w:hint="default" w:eastAsia="仿宋_GB2312"/>
          <w:sz w:val="32"/>
          <w:szCs w:val="32"/>
          <w:lang w:val="zh-CN" w:eastAsia="zh-CN"/>
        </w:rPr>
        <w:t>政务服务管理股</w:t>
      </w:r>
      <w:r>
        <w:rPr>
          <w:rFonts w:hint="default" w:eastAsia="仿宋_GB2312"/>
          <w:sz w:val="32"/>
          <w:szCs w:val="32"/>
          <w:lang w:val="zh-CN"/>
        </w:rPr>
        <w:t>负责实施。制定项目计划，严格按照计划开展工作，严格管理项目资金，确保项目资金使用合理、合规、合法，保障资金安全性。</w:t>
      </w:r>
    </w:p>
    <w:p w14:paraId="3B8D3B96">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023E2394">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r>
        <w:rPr>
          <w:rFonts w:hint="default" w:eastAsia="仿宋_GB2312"/>
          <w:sz w:val="32"/>
          <w:szCs w:val="32"/>
          <w:lang w:val="zh-CN" w:eastAsia="zh-CN"/>
        </w:rPr>
        <w:t>该项目于2023年5月按照施工合同已完成对政务服务大厅天花板照明灯线路更换，办公区域办公设备线路、插座检修更换，配电室配电设备检修。</w:t>
      </w:r>
    </w:p>
    <w:p w14:paraId="7F15CF91">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2B5465F8">
      <w:pPr>
        <w:adjustRightInd w:val="0"/>
        <w:snapToGrid w:val="0"/>
        <w:spacing w:line="600" w:lineRule="exact"/>
        <w:ind w:firstLine="720"/>
        <w:rPr>
          <w:rFonts w:hint="default" w:eastAsia="仿宋_GB2312"/>
          <w:sz w:val="32"/>
          <w:szCs w:val="32"/>
          <w:lang w:val="zh-CN" w:eastAsia="zh-CN"/>
        </w:rPr>
      </w:pPr>
      <w:r>
        <w:rPr>
          <w:rFonts w:hint="default" w:eastAsia="仿宋_GB2312"/>
          <w:sz w:val="32"/>
          <w:szCs w:val="32"/>
          <w:lang w:val="zh-CN" w:eastAsia="zh-CN"/>
        </w:rPr>
        <w:t>社会效益：提供了良好的安全场所。</w:t>
      </w:r>
    </w:p>
    <w:p w14:paraId="3FFB0C1A">
      <w:pPr>
        <w:adjustRightInd w:val="0"/>
        <w:snapToGrid w:val="0"/>
        <w:spacing w:line="600" w:lineRule="exact"/>
        <w:ind w:firstLine="720"/>
        <w:rPr>
          <w:rFonts w:hint="default" w:eastAsia="仿宋_GB2312"/>
          <w:sz w:val="32"/>
          <w:szCs w:val="32"/>
          <w:lang w:val="zh-CN" w:eastAsia="zh-CN"/>
        </w:rPr>
      </w:pPr>
      <w:r>
        <w:rPr>
          <w:rFonts w:hint="default" w:eastAsia="仿宋_GB2312"/>
          <w:sz w:val="32"/>
          <w:szCs w:val="32"/>
          <w:lang w:val="zh-CN" w:eastAsia="zh-CN"/>
        </w:rPr>
        <w:t>满意度指标：群众满意度≥90%。</w:t>
      </w:r>
    </w:p>
    <w:p w14:paraId="2B909495">
      <w:pPr>
        <w:adjustRightInd w:val="0"/>
        <w:snapToGrid w:val="0"/>
        <w:spacing w:line="600" w:lineRule="exact"/>
        <w:ind w:firstLine="720"/>
        <w:rPr>
          <w:rFonts w:eastAsia="黑体"/>
          <w:sz w:val="32"/>
          <w:szCs w:val="32"/>
        </w:rPr>
      </w:pPr>
      <w:r>
        <w:rPr>
          <w:rFonts w:eastAsia="黑体"/>
          <w:sz w:val="32"/>
          <w:szCs w:val="32"/>
        </w:rPr>
        <w:t>五、评价结论及建议</w:t>
      </w:r>
    </w:p>
    <w:p w14:paraId="12176C06">
      <w:pPr>
        <w:adjustRightInd w:val="0"/>
        <w:snapToGrid w:val="0"/>
        <w:spacing w:line="600" w:lineRule="exact"/>
        <w:ind w:firstLine="720"/>
        <w:rPr>
          <w:rFonts w:eastAsia="仿宋_GB2312"/>
          <w:sz w:val="32"/>
          <w:szCs w:val="32"/>
          <w:bdr w:val="single" w:color="auto" w:sz="4" w:space="0"/>
          <w:lang w:val="zh-CN"/>
        </w:rPr>
      </w:pPr>
      <w:r>
        <w:rPr>
          <w:rFonts w:eastAsia="楷体_GB2312"/>
          <w:b/>
          <w:sz w:val="32"/>
          <w:szCs w:val="32"/>
          <w:lang w:val="zh-CN"/>
        </w:rPr>
        <w:t>（一）评价结论。</w:t>
      </w:r>
      <w:r>
        <w:rPr>
          <w:rFonts w:hint="default" w:eastAsia="仿宋_GB2312"/>
          <w:sz w:val="32"/>
          <w:szCs w:val="32"/>
          <w:lang w:val="zh-CN" w:eastAsia="zh-CN"/>
        </w:rPr>
        <w:t>全体职工及办事群众提供了良好的安全场所，提升了群众满意度。</w:t>
      </w:r>
      <w:r>
        <w:rPr>
          <w:rFonts w:eastAsia="仿宋_GB2312"/>
          <w:sz w:val="32"/>
          <w:szCs w:val="32"/>
          <w:lang w:val="zh-CN"/>
        </w:rPr>
        <w:t>。</w:t>
      </w:r>
    </w:p>
    <w:p w14:paraId="0AB29BE8">
      <w:pPr>
        <w:adjustRightInd w:val="0"/>
        <w:snapToGrid w:val="0"/>
        <w:spacing w:line="600" w:lineRule="exact"/>
        <w:ind w:firstLine="720"/>
        <w:rPr>
          <w:rFonts w:eastAsia="仿宋_GB2312"/>
          <w:sz w:val="32"/>
          <w:szCs w:val="32"/>
          <w:lang w:val="zh-CN"/>
        </w:rPr>
      </w:pPr>
      <w:r>
        <w:rPr>
          <w:rFonts w:eastAsia="楷体_GB2312"/>
          <w:b/>
          <w:sz w:val="32"/>
          <w:szCs w:val="32"/>
          <w:lang w:val="zh-CN"/>
        </w:rPr>
        <w:t>（二）存在的问题。</w:t>
      </w:r>
      <w:r>
        <w:rPr>
          <w:rFonts w:hint="eastAsia" w:eastAsia="方正仿宋_GBK" w:cs="Times New Roman"/>
          <w:sz w:val="32"/>
          <w:szCs w:val="32"/>
          <w:lang w:eastAsia="zh-CN"/>
        </w:rPr>
        <w:t>无</w:t>
      </w:r>
      <w:r>
        <w:rPr>
          <w:rFonts w:eastAsia="仿宋_GB2312"/>
          <w:sz w:val="32"/>
          <w:szCs w:val="32"/>
          <w:lang w:val="zh-CN"/>
        </w:rPr>
        <w:t>。</w:t>
      </w:r>
      <w:r>
        <w:rPr>
          <w:rFonts w:eastAsia="仿宋_GB2312"/>
          <w:sz w:val="32"/>
          <w:szCs w:val="32"/>
          <w:lang w:val="zh-CN"/>
        </w:rPr>
        <w:tab/>
      </w:r>
    </w:p>
    <w:p w14:paraId="12105F92">
      <w:pPr>
        <w:adjustRightInd w:val="0"/>
        <w:snapToGrid w:val="0"/>
        <w:spacing w:line="600" w:lineRule="exact"/>
        <w:ind w:firstLine="720"/>
        <w:rPr>
          <w:rFonts w:eastAsia="仿宋_GB2312"/>
          <w:sz w:val="32"/>
          <w:szCs w:val="32"/>
          <w:lang w:val="zh-CN"/>
        </w:rPr>
      </w:pPr>
      <w:r>
        <w:rPr>
          <w:rFonts w:eastAsia="楷体_GB2312"/>
          <w:b/>
          <w:sz w:val="32"/>
          <w:szCs w:val="32"/>
          <w:lang w:val="zh-CN"/>
        </w:rPr>
        <w:t>（三）相关建议。</w:t>
      </w:r>
      <w:r>
        <w:rPr>
          <w:rFonts w:hint="eastAsia" w:eastAsia="方正仿宋_GBK" w:cs="Times New Roman"/>
          <w:sz w:val="32"/>
          <w:szCs w:val="32"/>
          <w:lang w:eastAsia="zh-CN"/>
        </w:rPr>
        <w:t>无</w:t>
      </w:r>
      <w:r>
        <w:rPr>
          <w:rFonts w:eastAsia="仿宋_GB2312"/>
          <w:sz w:val="32"/>
          <w:szCs w:val="32"/>
          <w:lang w:val="zh-CN"/>
        </w:rPr>
        <w:t>。</w:t>
      </w:r>
    </w:p>
    <w:p w14:paraId="531598B6">
      <w:pPr>
        <w:adjustRightInd w:val="0"/>
        <w:snapToGrid w:val="0"/>
        <w:spacing w:line="600" w:lineRule="exact"/>
        <w:ind w:firstLine="720"/>
        <w:rPr>
          <w:rFonts w:eastAsia="仿宋_GB2312"/>
          <w:sz w:val="32"/>
          <w:szCs w:val="32"/>
          <w:lang w:val="zh-CN"/>
        </w:rPr>
      </w:pPr>
    </w:p>
    <w:p w14:paraId="46A624E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0FAE8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DDB20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8DA55CD">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 附表</w:t>
      </w:r>
      <w:bookmarkEnd w:id="51"/>
      <w:bookmarkEnd w:id="54"/>
      <w:bookmarkStart w:id="55" w:name="_Toc15396619"/>
    </w:p>
    <w:p w14:paraId="23DC5DB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B4CB0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069292F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1029C8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259D4A1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17E620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446AC5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62B56B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044AB1B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6917282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3BBF45B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678BCDA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455D4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6B03E80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3FA40ED2">
      <w:pPr>
        <w:rPr>
          <w:rFonts w:hint="eastAsia" w:ascii="Times New Roman" w:hAnsi="Times New Roman"/>
          <w:lang w:eastAsia="zh-CN"/>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A5010">
    <w:pPr>
      <w:pStyle w:val="11"/>
      <w:jc w:val="center"/>
    </w:pPr>
  </w:p>
  <w:p w14:paraId="6AF4421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59716">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48F39">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2BC48F39">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046C4C6A">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CFAF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74F4E7"/>
    <w:multiLevelType w:val="singleLevel"/>
    <w:tmpl w:val="EB74F4E7"/>
    <w:lvl w:ilvl="0" w:tentative="0">
      <w:start w:val="1"/>
      <w:numFmt w:val="decimal"/>
      <w:lvlText w:val="%1."/>
      <w:lvlJc w:val="left"/>
      <w:pPr>
        <w:tabs>
          <w:tab w:val="left" w:pos="312"/>
        </w:tabs>
      </w:pPr>
    </w:lvl>
  </w:abstractNum>
  <w:abstractNum w:abstractNumId="1">
    <w:nsid w:val="FB755E15"/>
    <w:multiLevelType w:val="singleLevel"/>
    <w:tmpl w:val="FB755E1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732CFC"/>
    <w:rsid w:val="08DB07E4"/>
    <w:rsid w:val="09867E8F"/>
    <w:rsid w:val="0A2032A3"/>
    <w:rsid w:val="0C6C4794"/>
    <w:rsid w:val="0CA8290A"/>
    <w:rsid w:val="0CD03431"/>
    <w:rsid w:val="0D35B1ED"/>
    <w:rsid w:val="0DE07E2B"/>
    <w:rsid w:val="0E723657"/>
    <w:rsid w:val="0F98263C"/>
    <w:rsid w:val="0FBF4757"/>
    <w:rsid w:val="101860EC"/>
    <w:rsid w:val="10C055FF"/>
    <w:rsid w:val="11772AA4"/>
    <w:rsid w:val="118107EC"/>
    <w:rsid w:val="119C411A"/>
    <w:rsid w:val="13957196"/>
    <w:rsid w:val="13D50BC4"/>
    <w:rsid w:val="14022904"/>
    <w:rsid w:val="152F2A07"/>
    <w:rsid w:val="155F1411"/>
    <w:rsid w:val="165E0673"/>
    <w:rsid w:val="16BB723D"/>
    <w:rsid w:val="16F13FCB"/>
    <w:rsid w:val="186504BB"/>
    <w:rsid w:val="18B03270"/>
    <w:rsid w:val="191E3E2B"/>
    <w:rsid w:val="1938089F"/>
    <w:rsid w:val="19A445FC"/>
    <w:rsid w:val="1B7D550C"/>
    <w:rsid w:val="1BE8440E"/>
    <w:rsid w:val="1CAF25AF"/>
    <w:rsid w:val="1D155CEE"/>
    <w:rsid w:val="1DE178F3"/>
    <w:rsid w:val="1E740ACF"/>
    <w:rsid w:val="1E7736F8"/>
    <w:rsid w:val="1FF35744"/>
    <w:rsid w:val="1FF6BC77"/>
    <w:rsid w:val="21962A9E"/>
    <w:rsid w:val="21AE7C77"/>
    <w:rsid w:val="22BC3C41"/>
    <w:rsid w:val="23860B96"/>
    <w:rsid w:val="239D48E1"/>
    <w:rsid w:val="240371BF"/>
    <w:rsid w:val="260F557C"/>
    <w:rsid w:val="266516BE"/>
    <w:rsid w:val="27090F20"/>
    <w:rsid w:val="281408E2"/>
    <w:rsid w:val="29FD04D3"/>
    <w:rsid w:val="2B0D29B9"/>
    <w:rsid w:val="2B845454"/>
    <w:rsid w:val="2BFF7BC6"/>
    <w:rsid w:val="2C8A61B5"/>
    <w:rsid w:val="2D2E01CF"/>
    <w:rsid w:val="2DF04E50"/>
    <w:rsid w:val="2E9545B0"/>
    <w:rsid w:val="2F040D46"/>
    <w:rsid w:val="2FAE5751"/>
    <w:rsid w:val="2FB1A395"/>
    <w:rsid w:val="2FD9A7D8"/>
    <w:rsid w:val="2FDD0B08"/>
    <w:rsid w:val="319D3C14"/>
    <w:rsid w:val="319F7F4E"/>
    <w:rsid w:val="321B2544"/>
    <w:rsid w:val="323B0C00"/>
    <w:rsid w:val="3304709D"/>
    <w:rsid w:val="34281836"/>
    <w:rsid w:val="349D6851"/>
    <w:rsid w:val="35BA6CAF"/>
    <w:rsid w:val="35D37231"/>
    <w:rsid w:val="364D14C1"/>
    <w:rsid w:val="36AA5135"/>
    <w:rsid w:val="36BE0DA7"/>
    <w:rsid w:val="376B6AA6"/>
    <w:rsid w:val="376D39B2"/>
    <w:rsid w:val="37E16F03"/>
    <w:rsid w:val="37F53A3B"/>
    <w:rsid w:val="389B6C89"/>
    <w:rsid w:val="38B350A5"/>
    <w:rsid w:val="38D469F0"/>
    <w:rsid w:val="390B0FED"/>
    <w:rsid w:val="39627CCD"/>
    <w:rsid w:val="397BAF1F"/>
    <w:rsid w:val="3A2362FA"/>
    <w:rsid w:val="3A482388"/>
    <w:rsid w:val="3AB79AF3"/>
    <w:rsid w:val="3B2E730A"/>
    <w:rsid w:val="3B7EF35A"/>
    <w:rsid w:val="3B9FDB6C"/>
    <w:rsid w:val="3BF5BC2F"/>
    <w:rsid w:val="3BF6177A"/>
    <w:rsid w:val="3CEBA265"/>
    <w:rsid w:val="3CFD295D"/>
    <w:rsid w:val="3D077468"/>
    <w:rsid w:val="3D98207C"/>
    <w:rsid w:val="3D9B0D99"/>
    <w:rsid w:val="3DEE7CF3"/>
    <w:rsid w:val="3DF02244"/>
    <w:rsid w:val="3E2C3FD3"/>
    <w:rsid w:val="3E78745D"/>
    <w:rsid w:val="3EE21596"/>
    <w:rsid w:val="3FF4CAE0"/>
    <w:rsid w:val="3FF7B227"/>
    <w:rsid w:val="40E54C45"/>
    <w:rsid w:val="41313393"/>
    <w:rsid w:val="415D5920"/>
    <w:rsid w:val="4308587C"/>
    <w:rsid w:val="43A407DF"/>
    <w:rsid w:val="441D2782"/>
    <w:rsid w:val="44515BEA"/>
    <w:rsid w:val="44E268DA"/>
    <w:rsid w:val="453F7E5B"/>
    <w:rsid w:val="465A420D"/>
    <w:rsid w:val="47A74E5E"/>
    <w:rsid w:val="486A6C7A"/>
    <w:rsid w:val="49176D9B"/>
    <w:rsid w:val="494006BD"/>
    <w:rsid w:val="4A627F82"/>
    <w:rsid w:val="4B0E749A"/>
    <w:rsid w:val="4B4F25DA"/>
    <w:rsid w:val="4BDA0CFB"/>
    <w:rsid w:val="4BE068DB"/>
    <w:rsid w:val="4D3A3E3A"/>
    <w:rsid w:val="4D3C0CCC"/>
    <w:rsid w:val="4D577224"/>
    <w:rsid w:val="4DBF1CEB"/>
    <w:rsid w:val="4DF06742"/>
    <w:rsid w:val="4EAB630A"/>
    <w:rsid w:val="4ECE2238"/>
    <w:rsid w:val="4F5E1F29"/>
    <w:rsid w:val="4F833267"/>
    <w:rsid w:val="4FE9BD67"/>
    <w:rsid w:val="4FFB052F"/>
    <w:rsid w:val="50B027A3"/>
    <w:rsid w:val="51735001"/>
    <w:rsid w:val="53083A92"/>
    <w:rsid w:val="537E6D0A"/>
    <w:rsid w:val="53AF27A2"/>
    <w:rsid w:val="53F74C96"/>
    <w:rsid w:val="545D1A62"/>
    <w:rsid w:val="56E47B74"/>
    <w:rsid w:val="57BD3DD4"/>
    <w:rsid w:val="57C46422"/>
    <w:rsid w:val="583E7533"/>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7BD13AB"/>
    <w:rsid w:val="681C4F0D"/>
    <w:rsid w:val="69046D0F"/>
    <w:rsid w:val="69405B71"/>
    <w:rsid w:val="698D0931"/>
    <w:rsid w:val="6A993CED"/>
    <w:rsid w:val="6B053271"/>
    <w:rsid w:val="6B6B23EC"/>
    <w:rsid w:val="6BA17CB4"/>
    <w:rsid w:val="6BCE6674"/>
    <w:rsid w:val="6C4A05C8"/>
    <w:rsid w:val="6C8742B8"/>
    <w:rsid w:val="6C8A170F"/>
    <w:rsid w:val="6CB54609"/>
    <w:rsid w:val="6D2757B9"/>
    <w:rsid w:val="6DBF5E93"/>
    <w:rsid w:val="6DFF077E"/>
    <w:rsid w:val="6E280C86"/>
    <w:rsid w:val="6E7E3605"/>
    <w:rsid w:val="6E7FDCC7"/>
    <w:rsid w:val="6ED6A62E"/>
    <w:rsid w:val="6EE00B15"/>
    <w:rsid w:val="6F544B20"/>
    <w:rsid w:val="6F6FB3EB"/>
    <w:rsid w:val="6F784160"/>
    <w:rsid w:val="6F8731EA"/>
    <w:rsid w:val="6F9D747C"/>
    <w:rsid w:val="6FCE6052"/>
    <w:rsid w:val="6FD57C00"/>
    <w:rsid w:val="6FEFFFD8"/>
    <w:rsid w:val="6FF5CC65"/>
    <w:rsid w:val="6FFB47EC"/>
    <w:rsid w:val="6FFF034A"/>
    <w:rsid w:val="70496804"/>
    <w:rsid w:val="707B7F24"/>
    <w:rsid w:val="712A28F1"/>
    <w:rsid w:val="715C0E4B"/>
    <w:rsid w:val="72233669"/>
    <w:rsid w:val="72734D90"/>
    <w:rsid w:val="72EF37ED"/>
    <w:rsid w:val="7332FE48"/>
    <w:rsid w:val="73AB61DA"/>
    <w:rsid w:val="73AD73D5"/>
    <w:rsid w:val="73B6EB34"/>
    <w:rsid w:val="73FA497D"/>
    <w:rsid w:val="744731E5"/>
    <w:rsid w:val="74527205"/>
    <w:rsid w:val="74BBD01D"/>
    <w:rsid w:val="74ED5379"/>
    <w:rsid w:val="74FC2395"/>
    <w:rsid w:val="74FF384E"/>
    <w:rsid w:val="75DEEEC2"/>
    <w:rsid w:val="76E3355F"/>
    <w:rsid w:val="76FF5125"/>
    <w:rsid w:val="776F6FFA"/>
    <w:rsid w:val="778769C8"/>
    <w:rsid w:val="77DC22F5"/>
    <w:rsid w:val="78406E53"/>
    <w:rsid w:val="79086DAD"/>
    <w:rsid w:val="79974F09"/>
    <w:rsid w:val="79D7FD79"/>
    <w:rsid w:val="79EE5BA4"/>
    <w:rsid w:val="7A1158E2"/>
    <w:rsid w:val="7A6736A3"/>
    <w:rsid w:val="7A894339"/>
    <w:rsid w:val="7AFF7572"/>
    <w:rsid w:val="7B6C7DFB"/>
    <w:rsid w:val="7BBFBED0"/>
    <w:rsid w:val="7BC3E394"/>
    <w:rsid w:val="7C1F3737"/>
    <w:rsid w:val="7CBFC87B"/>
    <w:rsid w:val="7CFE0F48"/>
    <w:rsid w:val="7D7EC23E"/>
    <w:rsid w:val="7D916348"/>
    <w:rsid w:val="7E8ADEBF"/>
    <w:rsid w:val="7EEF11D3"/>
    <w:rsid w:val="7EFE1B5F"/>
    <w:rsid w:val="7F0971A6"/>
    <w:rsid w:val="7F0A104A"/>
    <w:rsid w:val="7F3F679B"/>
    <w:rsid w:val="7F4FC4EF"/>
    <w:rsid w:val="7F5E4D54"/>
    <w:rsid w:val="7F6E0135"/>
    <w:rsid w:val="7F739CB4"/>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BFFFD5F1"/>
    <w:rsid w:val="C5B65A1C"/>
    <w:rsid w:val="CF6F873C"/>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967ABBE"/>
    <w:rsid w:val="FA5F1E70"/>
    <w:rsid w:val="FA5FDB97"/>
    <w:rsid w:val="FB7F486A"/>
    <w:rsid w:val="FBFF5B2E"/>
    <w:rsid w:val="FD7FFE2B"/>
    <w:rsid w:val="FDEE196B"/>
    <w:rsid w:val="FDFE6575"/>
    <w:rsid w:val="FEDFDDC2"/>
    <w:rsid w:val="FEED32F6"/>
    <w:rsid w:val="FEF781DD"/>
    <w:rsid w:val="FF3F7E3F"/>
    <w:rsid w:val="FF56C402"/>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9"/>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5"/>
    <w:semiHidden/>
    <w:unhideWhenUsed/>
    <w:qFormat/>
    <w:uiPriority w:val="99"/>
    <w:rPr>
      <w:sz w:val="18"/>
      <w:szCs w:val="18"/>
    </w:rPr>
  </w:style>
  <w:style w:type="paragraph" w:styleId="11">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footnote text1"/>
    <w:basedOn w:val="1"/>
    <w:next w:val="21"/>
    <w:qFormat/>
    <w:uiPriority w:val="0"/>
    <w:pPr>
      <w:snapToGrid w:val="0"/>
      <w:jc w:val="left"/>
    </w:pPr>
    <w:rPr>
      <w:sz w:val="18"/>
      <w:szCs w:val="18"/>
    </w:rPr>
  </w:style>
  <w:style w:type="paragraph" w:customStyle="1" w:styleId="21">
    <w:name w:val="Body Text First Indent 21"/>
    <w:basedOn w:val="22"/>
    <w:next w:val="1"/>
    <w:qFormat/>
    <w:uiPriority w:val="0"/>
    <w:pPr>
      <w:ind w:firstLine="420" w:firstLineChars="200"/>
    </w:pPr>
    <w:rPr>
      <w:rFonts w:ascii="仿宋_GB2312"/>
      <w:kern w:val="2"/>
      <w:sz w:val="21"/>
      <w:szCs w:val="32"/>
    </w:rPr>
  </w:style>
  <w:style w:type="paragraph" w:customStyle="1" w:styleId="22">
    <w:name w:val="Body Text Indent1"/>
    <w:basedOn w:val="1"/>
    <w:next w:val="21"/>
    <w:qFormat/>
    <w:uiPriority w:val="0"/>
    <w:pPr>
      <w:spacing w:after="120" w:afterLines="0"/>
      <w:ind w:left="200" w:leftChars="200"/>
    </w:pPr>
    <w:rPr>
      <w:rFonts w:ascii="仿宋_GB2312"/>
      <w:szCs w:val="32"/>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17"/>
    <w:semiHidden/>
    <w:qFormat/>
    <w:uiPriority w:val="99"/>
    <w:rPr>
      <w:rFonts w:ascii="Times New Roman" w:hAnsi="Times New Roman"/>
      <w:sz w:val="18"/>
      <w:szCs w:val="18"/>
    </w:rPr>
  </w:style>
  <w:style w:type="character" w:customStyle="1" w:styleId="25">
    <w:name w:val="页眉 Char"/>
    <w:link w:val="12"/>
    <w:semiHidden/>
    <w:qFormat/>
    <w:locked/>
    <w:uiPriority w:val="99"/>
    <w:rPr>
      <w:sz w:val="18"/>
    </w:rPr>
  </w:style>
  <w:style w:type="character" w:customStyle="1" w:styleId="26">
    <w:name w:val="Footer Char"/>
    <w:basedOn w:val="17"/>
    <w:semiHidden/>
    <w:qFormat/>
    <w:uiPriority w:val="99"/>
    <w:rPr>
      <w:rFonts w:ascii="Times New Roman" w:hAnsi="Times New Roman"/>
      <w:sz w:val="18"/>
      <w:szCs w:val="18"/>
    </w:rPr>
  </w:style>
  <w:style w:type="character" w:customStyle="1" w:styleId="27">
    <w:name w:val="页脚 Char"/>
    <w:link w:val="11"/>
    <w:qFormat/>
    <w:locked/>
    <w:uiPriority w:val="99"/>
    <w:rPr>
      <w:sz w:val="18"/>
    </w:rPr>
  </w:style>
  <w:style w:type="character" w:customStyle="1" w:styleId="28">
    <w:name w:val="Body Text Char"/>
    <w:basedOn w:val="17"/>
    <w:semiHidden/>
    <w:qFormat/>
    <w:uiPriority w:val="99"/>
    <w:rPr>
      <w:rFonts w:ascii="Times New Roman" w:hAnsi="Times New Roman"/>
      <w:szCs w:val="24"/>
    </w:rPr>
  </w:style>
  <w:style w:type="character" w:customStyle="1" w:styleId="29">
    <w:name w:val="正文文本 Char"/>
    <w:link w:val="8"/>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17"/>
    <w:link w:val="5"/>
    <w:qFormat/>
    <w:uiPriority w:val="9"/>
    <w:rPr>
      <w:rFonts w:ascii="Times New Roman" w:hAnsi="Times New Roman"/>
      <w:b/>
      <w:bCs/>
      <w:kern w:val="44"/>
      <w:sz w:val="44"/>
      <w:szCs w:val="44"/>
    </w:rPr>
  </w:style>
  <w:style w:type="character" w:customStyle="1" w:styleId="33">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17"/>
    <w:link w:val="10"/>
    <w:semiHidden/>
    <w:qFormat/>
    <w:uiPriority w:val="99"/>
    <w:rPr>
      <w:rFonts w:ascii="Times New Roman" w:hAnsi="Times New Roman"/>
      <w:kern w:val="2"/>
      <w:sz w:val="18"/>
      <w:szCs w:val="18"/>
    </w:rPr>
  </w:style>
  <w:style w:type="character" w:customStyle="1" w:styleId="36">
    <w:name w:val="标题 3 Char"/>
    <w:basedOn w:val="17"/>
    <w:link w:val="7"/>
    <w:qFormat/>
    <w:uiPriority w:val="9"/>
    <w:rPr>
      <w:rFonts w:ascii="Times New Roman" w:hAnsi="Times New Roman"/>
      <w:b/>
      <w:bCs/>
      <w:kern w:val="2"/>
      <w:sz w:val="32"/>
      <w:szCs w:val="32"/>
    </w:rPr>
  </w:style>
  <w:style w:type="paragraph" w:customStyle="1" w:styleId="37">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Body Text"/>
    <w:basedOn w:val="1"/>
    <w:qFormat/>
    <w:uiPriority w:val="0"/>
    <w:pPr>
      <w:spacing w:before="93" w:beforeLines="30"/>
    </w:pPr>
    <w:rPr>
      <w:rFonts w:ascii="仿宋_GB2312" w:hAnsi="Times New Roman" w:eastAsia="仿宋_GB2312"/>
      <w:sz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收、支决算总计变动情况图</a:t>
            </a:r>
            <a:endParaRPr sz="110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[公开决算比对表.xls]Sheet1!$B$5</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[公开决算比对表.xls]Sheet1!$C$4:$D$4</c:f>
              <c:strCache>
                <c:ptCount val="2"/>
                <c:pt idx="0">
                  <c:v>收入</c:v>
                </c:pt>
                <c:pt idx="1">
                  <c:v>支出</c:v>
                </c:pt>
              </c:strCache>
            </c:strRef>
          </c:cat>
          <c:val>
            <c:numRef>
              <c:f>[公开决算比对表.xls]Sheet1!$C$5:$D$5</c:f>
              <c:numCache>
                <c:formatCode>#,##0.00</c:formatCode>
                <c:ptCount val="2"/>
                <c:pt idx="0">
                  <c:v>357.76</c:v>
                </c:pt>
                <c:pt idx="1">
                  <c:v>357.76</c:v>
                </c:pt>
              </c:numCache>
            </c:numRef>
          </c:val>
        </c:ser>
        <c:ser>
          <c:idx val="1"/>
          <c:order val="1"/>
          <c:tx>
            <c:strRef>
              <c:f>[公开决算比对表.xls]Sheet1!$B$6</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[公开决算比对表.xls]Sheet1!$C$4:$D$4</c:f>
              <c:strCache>
                <c:ptCount val="2"/>
                <c:pt idx="0">
                  <c:v>收入</c:v>
                </c:pt>
                <c:pt idx="1">
                  <c:v>支出</c:v>
                </c:pt>
              </c:strCache>
            </c:strRef>
          </c:cat>
          <c:val>
            <c:numRef>
              <c:f>[公开决算比对表.xls]Sheet1!$C$6:$D$6</c:f>
              <c:numCache>
                <c:formatCode>General</c:formatCode>
                <c:ptCount val="2"/>
                <c:pt idx="0">
                  <c:v>460.16</c:v>
                </c:pt>
                <c:pt idx="1">
                  <c:v>460.16</c:v>
                </c:pt>
              </c:numCache>
            </c:numRef>
          </c:val>
        </c:ser>
        <c:dLbls>
          <c:showLegendKey val="0"/>
          <c:showVal val="0"/>
          <c:showCatName val="0"/>
          <c:showSerName val="0"/>
          <c:showPercent val="0"/>
          <c:showBubbleSize val="0"/>
        </c:dLbls>
        <c:gapWidth val="150"/>
        <c:overlap val="0"/>
        <c:axId val="817903560"/>
        <c:axId val="759767227"/>
      </c:barChart>
      <c:catAx>
        <c:axId val="817903560"/>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59767227"/>
        <c:crosses val="autoZero"/>
        <c:auto val="1"/>
        <c:lblAlgn val="ctr"/>
        <c:lblOffset val="100"/>
        <c:noMultiLvlLbl val="0"/>
      </c:catAx>
      <c:valAx>
        <c:axId val="759767227"/>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17903560"/>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415"/>
          <c:y val="0.1315"/>
          <c:w val="0.1657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8abe6a42-907f-4046-b5a7-27dc57c5069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收入决算结构图</a:t>
            </a:r>
            <a:endParaRPr sz="102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 val="-0.37775"/>
          <c:y val="0"/>
        </c:manualLayout>
      </c:layout>
      <c:overlay val="0"/>
      <c:spPr>
        <a:noFill/>
        <a:ln w="3175">
          <a:noFill/>
        </a:ln>
      </c:spPr>
    </c:title>
    <c:autoTitleDeleted val="0"/>
    <c:plotArea>
      <c:layout>
        <c:manualLayout>
          <c:layoutTarget val="inner"/>
          <c:xMode val="edge"/>
          <c:yMode val="edge"/>
          <c:x val="0.47"/>
          <c:y val="0.19675"/>
          <c:w val="0.3605"/>
          <c:h val="0.70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Lbls>
            <c:dLbl>
              <c:idx val="0"/>
              <c:layout>
                <c:manualLayout>
                  <c:x val="0.0727751594122539"/>
                  <c:y val="-0.015868817773075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95065151095093"/>
                  <c:y val="-0.0039672044432689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0.083311293308648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0.023803226659613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[公开决算比对表.xls]Sheet1!$H$4:$K$4</c:f>
              <c:strCache>
                <c:ptCount val="4"/>
                <c:pt idx="0">
                  <c:v>一般公共预算财政拨款收入</c:v>
                </c:pt>
                <c:pt idx="1">
                  <c:v>政府性基金预算财政拨款收入</c:v>
                </c:pt>
                <c:pt idx="2">
                  <c:v>国有资本经营预算财政拨款</c:v>
                </c:pt>
                <c:pt idx="3">
                  <c:v>其他收入</c:v>
                </c:pt>
              </c:strCache>
            </c:strRef>
          </c:cat>
          <c:val>
            <c:numRef>
              <c:f>[公开决算比对表.xls]Sheet1!$H$5:$K$5</c:f>
              <c:numCache>
                <c:formatCode>General</c:formatCode>
                <c:ptCount val="4"/>
                <c:pt idx="0">
                  <c:v>458.78</c:v>
                </c:pt>
                <c:pt idx="1">
                  <c:v>1.38</c:v>
                </c:pt>
                <c:pt idx="2">
                  <c:v>0</c:v>
                </c:pt>
                <c:pt idx="3">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0300186443027447"/>
          <c:y val="0.19593493784713"/>
          <c:w val="0.31475"/>
          <c:h val="0.22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f9c872c-f83c-4fe6-9b74-40a7ca3dc0d0}"/>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7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支出决算结构图</a:t>
            </a:r>
            <a:endParaRPr sz="9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[公开决算比对表.xls]Sheet1!$N$4:$O$4</c:f>
              <c:strCache>
                <c:ptCount val="2"/>
                <c:pt idx="0">
                  <c:v>基本支出</c:v>
                </c:pt>
                <c:pt idx="1">
                  <c:v>项目支出</c:v>
                </c:pt>
              </c:strCache>
            </c:strRef>
          </c:cat>
          <c:val>
            <c:numRef>
              <c:f>[公开决算比对表.xls]Sheet1!$N$5:$O$5</c:f>
              <c:numCache>
                <c:formatCode>General</c:formatCode>
                <c:ptCount val="2"/>
                <c:pt idx="0">
                  <c:v>346.96</c:v>
                </c:pt>
                <c:pt idx="1">
                  <c:v>113.2</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b"/>
      <c:layout>
        <c:manualLayout>
          <c:xMode val="edge"/>
          <c:yMode val="edge"/>
          <c:x val="0.389"/>
          <c:y val="0.914"/>
          <c:w val="0.221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296a6fb-1ad4-4d22-a20a-79c04f70aca7}"/>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1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财政拨款收、支决算总计变动情况</a:t>
            </a:r>
            <a:endParaRPr sz="101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[公开决算比对表.xls]Sheet1!$B$28</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[公开决算比对表.xls]Sheet1!$C$27:$D$27</c:f>
              <c:strCache>
                <c:ptCount val="2"/>
                <c:pt idx="0">
                  <c:v>收入</c:v>
                </c:pt>
                <c:pt idx="1">
                  <c:v>支出</c:v>
                </c:pt>
              </c:strCache>
            </c:strRef>
          </c:cat>
          <c:val>
            <c:numRef>
              <c:f>[公开决算比对表.xls]Sheet1!$C$28:$D$28</c:f>
              <c:numCache>
                <c:formatCode>#,##0.00</c:formatCode>
                <c:ptCount val="2"/>
                <c:pt idx="0">
                  <c:v>357.76</c:v>
                </c:pt>
                <c:pt idx="1">
                  <c:v>357.76</c:v>
                </c:pt>
              </c:numCache>
            </c:numRef>
          </c:val>
        </c:ser>
        <c:ser>
          <c:idx val="1"/>
          <c:order val="1"/>
          <c:tx>
            <c:strRef>
              <c:f>[公开决算比对表.xls]Sheet1!$B$29</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[公开决算比对表.xls]Sheet1!$C$27:$D$27</c:f>
              <c:strCache>
                <c:ptCount val="2"/>
                <c:pt idx="0">
                  <c:v>收入</c:v>
                </c:pt>
                <c:pt idx="1">
                  <c:v>支出</c:v>
                </c:pt>
              </c:strCache>
            </c:strRef>
          </c:cat>
          <c:val>
            <c:numRef>
              <c:f>[公开决算比对表.xls]Sheet1!$C$29:$D$29</c:f>
              <c:numCache>
                <c:formatCode>General</c:formatCode>
                <c:ptCount val="2"/>
                <c:pt idx="0">
                  <c:v>460.16</c:v>
                </c:pt>
                <c:pt idx="1">
                  <c:v>460.16</c:v>
                </c:pt>
              </c:numCache>
            </c:numRef>
          </c:val>
        </c:ser>
        <c:dLbls>
          <c:showLegendKey val="0"/>
          <c:showVal val="0"/>
          <c:showCatName val="0"/>
          <c:showSerName val="0"/>
          <c:showPercent val="0"/>
          <c:showBubbleSize val="0"/>
        </c:dLbls>
        <c:gapWidth val="150"/>
        <c:overlap val="0"/>
        <c:axId val="555577371"/>
        <c:axId val="966053620"/>
      </c:barChart>
      <c:catAx>
        <c:axId val="555577371"/>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966053620"/>
        <c:crosses val="autoZero"/>
        <c:auto val="1"/>
        <c:lblAlgn val="ctr"/>
        <c:lblOffset val="100"/>
        <c:noMultiLvlLbl val="0"/>
      </c:catAx>
      <c:valAx>
        <c:axId val="966053620"/>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555577371"/>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5"/>
          <c:y val="0.133"/>
          <c:w val="0.1422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52310c8d-5958-498e-9669-bc025c9c27a8}"/>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76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一般公共预算财政拨款支出决算变动情况</a:t>
            </a:r>
            <a:endParaRPr sz="76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[公开决算比对表.xls]Sheet1!$H$27:$I$27</c:f>
              <c:numCache>
                <c:formatCode>General</c:formatCode>
                <c:ptCount val="2"/>
                <c:pt idx="0">
                  <c:v>2024</c:v>
                </c:pt>
                <c:pt idx="1">
                  <c:v>2025</c:v>
                </c:pt>
              </c:numCache>
            </c:numRef>
          </c:cat>
          <c:val>
            <c:numRef>
              <c:f>[公开决算比对表.xls]Sheet1!$H$28:$I$28</c:f>
              <c:numCache>
                <c:formatCode>#,##0.00</c:formatCode>
                <c:ptCount val="2"/>
                <c:pt idx="0">
                  <c:v>357.76</c:v>
                </c:pt>
                <c:pt idx="1" c:formatCode="General">
                  <c:v>458.78</c:v>
                </c:pt>
              </c:numCache>
            </c:numRef>
          </c:val>
        </c:ser>
        <c:dLbls>
          <c:showLegendKey val="0"/>
          <c:showVal val="0"/>
          <c:showCatName val="0"/>
          <c:showSerName val="0"/>
          <c:showPercent val="0"/>
          <c:showBubbleSize val="0"/>
        </c:dLbls>
        <c:gapWidth val="150"/>
        <c:overlap val="0"/>
        <c:axId val="118269107"/>
        <c:axId val="259252756"/>
      </c:barChart>
      <c:catAx>
        <c:axId val="118269107"/>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59252756"/>
        <c:crosses val="autoZero"/>
        <c:auto val="1"/>
        <c:lblAlgn val="ctr"/>
        <c:lblOffset val="100"/>
        <c:noMultiLvlLbl val="0"/>
      </c:catAx>
      <c:valAx>
        <c:axId val="259252756"/>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18269107"/>
        <c:crosses val="autoZero"/>
        <c:crossBetween val="between"/>
      </c:valAx>
      <c:spPr>
        <a:solidFill>
          <a:srgbClr val="C0C0C0">
            <a:alpha val="100000"/>
          </a:srgbClr>
        </a:solidFill>
        <a:ln w="3175">
          <a:solidFill>
            <a:srgbClr val="808080">
              <a:alpha val="100000"/>
            </a:srgbClr>
          </a:solidFill>
          <a:prstDash val="solid"/>
        </a:ln>
      </c:spPr>
    </c:plotArea>
    <c:legend>
      <c:legendPos val="b"/>
      <c:layout>
        <c:manualLayout>
          <c:xMode val="edge"/>
          <c:yMode val="edge"/>
          <c:x val="0.297553749622014"/>
          <c:y val="0.916"/>
          <c:w val="0.469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14e8688f-93bf-40be-b17b-5720bfcd98b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0" b="1"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一般公共预算财政拨款支出决算情况</a:t>
            </a:r>
            <a:endParaRPr sz="1420" b="1" i="0" u="sng"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24375"/>
          <c:y val="0.29"/>
          <c:w val="0.28825"/>
          <c:h val="0.5152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chemeClr val="accent1">
                  <a:lumMod val="20000"/>
                  <a:lumOff val="80000"/>
                </a:schemeClr>
              </a:solidFill>
              <a:ln w="12700">
                <a:solidFill>
                  <a:srgbClr val="000000">
                    <a:alpha val="100000"/>
                  </a:srgbClr>
                </a:solidFill>
                <a:prstDash val="solid"/>
              </a:ln>
            </c:spPr>
          </c:dPt>
          <c:dPt>
            <c:idx val="1"/>
            <c:bubble3D val="0"/>
            <c:explosion val="0"/>
            <c:spPr>
              <a:solidFill>
                <a:srgbClr val="993366">
                  <a:alpha val="100000"/>
                </a:srgbClr>
              </a:solidFill>
              <a:ln w="19050">
                <a:solidFill>
                  <a:srgbClr val="000000">
                    <a:alpha val="100000"/>
                  </a:srgbClr>
                </a:solidFill>
                <a:prstDash val="solid"/>
              </a:ln>
            </c:spPr>
          </c:dPt>
          <c:dPt>
            <c:idx val="2"/>
            <c:bubble3D val="0"/>
            <c:explosion val="0"/>
            <c:spPr>
              <a:solidFill>
                <a:srgbClr val="FFFFCC">
                  <a:alpha val="100000"/>
                </a:srgbClr>
              </a:solidFill>
              <a:ln w="19050">
                <a:solidFill>
                  <a:srgbClr val="000000">
                    <a:alpha val="100000"/>
                  </a:srgbClr>
                </a:solidFill>
                <a:prstDash val="solid"/>
              </a:ln>
            </c:spPr>
          </c:dPt>
          <c:dPt>
            <c:idx val="3"/>
            <c:bubble3D val="0"/>
            <c:explosion val="0"/>
            <c:spPr>
              <a:solidFill>
                <a:srgbClr val="CCFFFF">
                  <a:alpha val="100000"/>
                </a:srgbClr>
              </a:solidFill>
              <a:ln w="19050">
                <a:solidFill>
                  <a:srgbClr val="000000">
                    <a:alpha val="100000"/>
                  </a:srgbClr>
                </a:solidFill>
                <a:prstDash val="solid"/>
              </a:ln>
            </c:spPr>
          </c:dPt>
          <c:dLbls>
            <c:dLbl>
              <c:idx val="0"/>
              <c:layout>
                <c:manualLayout>
                  <c:x val="0.088621047046726"/>
                  <c:y val="-0.134813818190886"/>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0239858642187855"/>
                  <c:y val="0.0214427873159866"/>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133875024182627"/>
                      <c:h val="0.0497354497354497"/>
                    </c:manualLayout>
                  </c15:layout>
                </c:ext>
              </c:extLst>
            </c:dLbl>
            <c:dLbl>
              <c:idx val="2"/>
              <c:layout>
                <c:manualLayout>
                  <c:x val="-0.0145194518584572"/>
                  <c:y val="-0.016000431997167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0891855291158831"/>
                      <c:h val="0.072663139329806"/>
                    </c:manualLayout>
                  </c15:layout>
                </c:ext>
              </c:extLst>
            </c:dLbl>
            <c:dLbl>
              <c:idx val="3"/>
              <c:layout>
                <c:manualLayout>
                  <c:x val="0.0333643708687618"/>
                  <c:y val="-0.0457931198718627"/>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134745598761849"/>
                      <c:h val="0.0656084656084656"/>
                    </c:manualLayout>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[公开决算比对表.xls]Sheet1!$M$26:$P$26</c:f>
              <c:strCache>
                <c:ptCount val="4"/>
                <c:pt idx="0">
                  <c:v>一般公共服务支出</c:v>
                </c:pt>
                <c:pt idx="1">
                  <c:v>社会保障和就业支出</c:v>
                </c:pt>
                <c:pt idx="2">
                  <c:v>卫生健康支出</c:v>
                </c:pt>
                <c:pt idx="3">
                  <c:v>住房保障支出</c:v>
                </c:pt>
              </c:strCache>
            </c:strRef>
          </c:cat>
          <c:val>
            <c:numRef>
              <c:f>[公开决算比对表.xls]Sheet1!$M$27:$P$27</c:f>
              <c:numCache>
                <c:formatCode>#,##0.00</c:formatCode>
                <c:ptCount val="4"/>
                <c:pt idx="0">
                  <c:v>381.51</c:v>
                </c:pt>
                <c:pt idx="1" c:formatCode="General">
                  <c:v>36.54</c:v>
                </c:pt>
                <c:pt idx="2" c:formatCode="General">
                  <c:v>17.2</c:v>
                </c:pt>
                <c:pt idx="3" c:formatCode="General">
                  <c:v>23.54</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696236819193189"/>
          <c:y val="0.517296152488528"/>
          <c:w val="0.2715"/>
          <c:h val="0.44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106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00136e67-2301-4915-9ce2-f0ec8c246e8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065" b="0" i="0" u="sng"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1"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r>
              <a:rPr sz="1000" i="0" u="none" strike="noStrike" cap="none" normalizeH="0">
                <a:solidFill>
                  <a:srgbClr val="000000">
                    <a:alpha val="100000"/>
                  </a:srgbClr>
                </a:solidFill>
                <a:uFill>
                  <a:solidFill>
                    <a:srgbClr val="000000">
                      <a:alpha val="100000"/>
                    </a:srgbClr>
                  </a:solidFill>
                </a:uFill>
                <a:latin typeface="宋体" panose="02010600030101010101" charset="-122"/>
              </a:rPr>
              <a:t>“三公”经费财政拨款支出结构</a:t>
            </a:r>
            <a:endParaRPr sz="1000" b="0" i="0" u="none" strike="noStrike"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endParaRPr>
          </a:p>
        </c:rich>
      </c:tx>
      <c:layout>
        <c:manualLayout>
          <c:x val="-0.23125"/>
          <c:y val="-0.0105"/>
        </c:manualLayout>
      </c:layout>
      <c:overlay val="0"/>
      <c:spPr>
        <a:noFill/>
        <a:ln w="3175">
          <a:noFill/>
        </a:ln>
      </c:spPr>
    </c:title>
    <c:autoTitleDeleted val="0"/>
    <c:plotArea>
      <c:layout>
        <c:manualLayout>
          <c:layoutTarget val="inner"/>
          <c:xMode val="edge"/>
          <c:yMode val="edge"/>
          <c:x val="0.31975"/>
          <c:y val="0.2935"/>
          <c:w val="0.26575"/>
          <c:h val="0.55975"/>
        </c:manualLayout>
      </c:layout>
      <c:pieChart>
        <c:varyColors val="1"/>
        <c:ser>
          <c:idx val="0"/>
          <c:order val="0"/>
          <c:tx>
            <c:strRef>
              <c:f>"“三公”经费财政拨款支出结构"</c:f>
              <c:strCache>
                <c:ptCount val="1"/>
                <c:pt idx="0">
                  <c:v>“三公”经费财政拨款支出结构</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3175">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95"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[公开决算比对表.xls]Sheet1!$B$49:$D$49</c:f>
              <c:strCache>
                <c:ptCount val="3"/>
                <c:pt idx="0">
                  <c:v>因公出国（境）费支出决算</c:v>
                </c:pt>
                <c:pt idx="1">
                  <c:v>公务用车购置及运行维护费支出决算</c:v>
                </c:pt>
                <c:pt idx="2">
                  <c:v>公务接待费支出决算</c:v>
                </c:pt>
              </c:strCache>
            </c:strRef>
          </c:cat>
          <c:val>
            <c:numRef>
              <c:f>[公开决算比对表.xls]Sheet1!$B$50:$D$50</c:f>
              <c:numCache>
                <c:formatCode>General</c:formatCode>
                <c:ptCount val="3"/>
                <c:pt idx="0">
                  <c:v>0</c:v>
                </c:pt>
                <c:pt idx="1">
                  <c:v>0</c:v>
                </c:pt>
                <c:pt idx="2">
                  <c:v>0.16</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egendEntry>
        <c:idx val="0"/>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673"/>
          <c:y val="0.3825"/>
          <c:w val="0.31175"/>
          <c:h val="0.30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03c3467-b9f8-47d9-9137-624f2330c862}"/>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95"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9606</Words>
  <Characters>10233</Characters>
  <Lines>61</Lines>
  <Paragraphs>17</Paragraphs>
  <TotalTime>0</TotalTime>
  <ScaleCrop>false</ScaleCrop>
  <LinksUpToDate>false</LinksUpToDate>
  <CharactersWithSpaces>10305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李炣锐</cp:lastModifiedBy>
  <cp:lastPrinted>2026-08-05T09:27:00Z</cp:lastPrinted>
  <dcterms:modified xsi:type="dcterms:W3CDTF">2026-09-21T07:15:10Z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eyJoZGlkIjoiZjg3ZjEzMmIzMGY2NWNlYWI5NmQ4MjFkNDVhMjQ1NGQiLCJ1c2VySWQiOiIxNjUwNzU3NzcyIn0=</vt:lpwstr>
  </property>
</Properties>
</file>