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AAD2B">
      <w:pPr>
        <w:pStyle w:val="8"/>
        <w:spacing w:before="93" w:line="580" w:lineRule="atLeast"/>
        <w:rPr>
          <w:rFonts w:hint="eastAsia" w:ascii="方正小标宋_GBK" w:hAnsi="方正小标宋_GBK" w:eastAsia="方正小标宋_GBK" w:cs="方正小标宋_GBK"/>
          <w:kern w:val="2"/>
          <w:sz w:val="72"/>
          <w:szCs w:val="72"/>
        </w:rPr>
      </w:pPr>
      <w:bookmarkStart w:id="0" w:name="_Toc15378441"/>
      <w:bookmarkStart w:id="1" w:name="_Toc15306267"/>
      <w:bookmarkStart w:id="2" w:name="_Toc15377425"/>
      <w:bookmarkStart w:id="3" w:name="_Toc15396475"/>
      <w:bookmarkStart w:id="4" w:name="_Toc15377193"/>
      <w:bookmarkStart w:id="5" w:name="_Toc15396597"/>
    </w:p>
    <w:p w14:paraId="6F61175A">
      <w:pPr>
        <w:pStyle w:val="8"/>
        <w:spacing w:before="93" w:line="580" w:lineRule="atLeast"/>
        <w:rPr>
          <w:rFonts w:ascii="Times New Roman" w:eastAsia="方正仿宋_GBK"/>
          <w:kern w:val="2"/>
          <w:sz w:val="32"/>
          <w:szCs w:val="32"/>
        </w:rPr>
      </w:pPr>
    </w:p>
    <w:p w14:paraId="250645FD">
      <w:pPr>
        <w:pStyle w:val="8"/>
        <w:spacing w:before="93" w:line="580" w:lineRule="atLeast"/>
        <w:rPr>
          <w:rFonts w:ascii="Times New Roman" w:eastAsia="方正仿宋_GBK"/>
          <w:kern w:val="2"/>
          <w:sz w:val="32"/>
          <w:szCs w:val="32"/>
        </w:rPr>
      </w:pPr>
    </w:p>
    <w:p w14:paraId="6A29D61D">
      <w:pPr>
        <w:pStyle w:val="8"/>
        <w:spacing w:before="93" w:line="580" w:lineRule="atLeast"/>
        <w:jc w:val="center"/>
        <w:rPr>
          <w:rFonts w:hint="eastAsia" w:ascii="方正小标宋_GBK" w:eastAsia="方正小标宋_GBK" w:cs="Times New Roman"/>
          <w:b/>
          <w:bCs w:val="0"/>
          <w:kern w:val="2"/>
          <w:sz w:val="72"/>
          <w:szCs w:val="72"/>
          <w:lang w:val="en-US" w:eastAsia="zh-CN"/>
        </w:rPr>
      </w:pPr>
      <w:r>
        <w:rPr>
          <w:rFonts w:hint="eastAsia" w:ascii="方正小标宋_GBK" w:eastAsia="方正小标宋_GBK" w:cs="Times New Roman"/>
          <w:b/>
          <w:bCs w:val="0"/>
          <w:kern w:val="2"/>
          <w:sz w:val="72"/>
          <w:szCs w:val="72"/>
          <w:lang w:val="en-US" w:eastAsia="zh-CN"/>
        </w:rPr>
        <w:t>2025年度</w:t>
      </w:r>
    </w:p>
    <w:p w14:paraId="3965A5CB">
      <w:pPr>
        <w:pStyle w:val="8"/>
        <w:spacing w:before="93" w:line="580" w:lineRule="atLeast"/>
        <w:jc w:val="center"/>
        <w:rPr>
          <w:rFonts w:hint="default" w:ascii="方正小标宋_GBK" w:hAnsi="Times New Roman" w:eastAsia="方正小标宋_GBK" w:cs="Times New Roman"/>
          <w:b/>
          <w:bCs w:val="0"/>
          <w:kern w:val="2"/>
          <w:sz w:val="72"/>
          <w:szCs w:val="72"/>
          <w:lang w:val="en-US" w:eastAsia="zh-CN"/>
        </w:rPr>
      </w:pPr>
      <w:r>
        <w:rPr>
          <w:rFonts w:hint="eastAsia" w:ascii="方正小标宋_GBK" w:eastAsia="方正小标宋_GBK" w:cs="Times New Roman"/>
          <w:b/>
          <w:bCs w:val="0"/>
          <w:kern w:val="2"/>
          <w:sz w:val="72"/>
          <w:szCs w:val="72"/>
          <w:lang w:val="en-US" w:eastAsia="zh-CN"/>
        </w:rPr>
        <w:t>攀枝花市仁和区医疗保障局部门决算编制说明</w:t>
      </w:r>
    </w:p>
    <w:p w14:paraId="02A434BC">
      <w:pPr>
        <w:pStyle w:val="8"/>
        <w:spacing w:before="93" w:line="580" w:lineRule="atLeast"/>
        <w:jc w:val="center"/>
        <w:rPr>
          <w:rFonts w:ascii="Times New Roman" w:eastAsia="方正仿宋_GBK"/>
          <w:kern w:val="2"/>
          <w:sz w:val="32"/>
          <w:szCs w:val="32"/>
        </w:rPr>
      </w:pPr>
    </w:p>
    <w:p w14:paraId="10B82580">
      <w:pPr>
        <w:spacing w:line="580" w:lineRule="atLeast"/>
        <w:jc w:val="center"/>
        <w:outlineLvl w:val="0"/>
        <w:rPr>
          <w:rFonts w:eastAsia="方正仿宋_GBK"/>
          <w:sz w:val="32"/>
          <w:szCs w:val="32"/>
        </w:rPr>
      </w:pPr>
    </w:p>
    <w:p w14:paraId="63344F34">
      <w:pPr>
        <w:widowControl/>
        <w:jc w:val="center"/>
        <w:rPr>
          <w:rFonts w:eastAsia="黑体"/>
          <w:sz w:val="48"/>
          <w:szCs w:val="48"/>
        </w:rPr>
      </w:pPr>
    </w:p>
    <w:p w14:paraId="4D67429D">
      <w:pPr>
        <w:widowControl/>
        <w:jc w:val="center"/>
        <w:rPr>
          <w:rFonts w:eastAsia="黑体"/>
          <w:sz w:val="48"/>
          <w:szCs w:val="48"/>
        </w:rPr>
      </w:pPr>
    </w:p>
    <w:p w14:paraId="1AB3364B">
      <w:pPr>
        <w:widowControl/>
        <w:jc w:val="center"/>
        <w:rPr>
          <w:rFonts w:eastAsia="黑体"/>
          <w:sz w:val="48"/>
          <w:szCs w:val="48"/>
        </w:rPr>
      </w:pPr>
    </w:p>
    <w:p w14:paraId="44B66F56">
      <w:pPr>
        <w:widowControl/>
        <w:jc w:val="center"/>
        <w:rPr>
          <w:rFonts w:eastAsia="黑体"/>
          <w:sz w:val="48"/>
          <w:szCs w:val="48"/>
        </w:rPr>
      </w:pPr>
    </w:p>
    <w:p w14:paraId="16B19061">
      <w:pPr>
        <w:widowControl/>
        <w:jc w:val="center"/>
        <w:rPr>
          <w:rFonts w:eastAsia="黑体"/>
          <w:sz w:val="48"/>
          <w:szCs w:val="48"/>
        </w:rPr>
      </w:pPr>
    </w:p>
    <w:p w14:paraId="78C349DD">
      <w:pPr>
        <w:pStyle w:val="2"/>
      </w:pPr>
    </w:p>
    <w:p w14:paraId="17B23412">
      <w:pPr>
        <w:pStyle w:val="3"/>
        <w:ind w:left="420"/>
      </w:pPr>
    </w:p>
    <w:p w14:paraId="4FDDD0CD">
      <w:r>
        <w:rPr>
          <w:rFonts w:hint="eastAsia" w:eastAsia="黑体"/>
          <w:sz w:val="48"/>
          <w:szCs w:val="48"/>
        </w:rPr>
        <w:pict>
          <v:rect id="矩形 8" o:spid="_x0000_s2050" o:spt="1" style="position:absolute;left:0pt;margin-left:355pt;margin-top:40.15pt;height:55.2pt;width:116.4pt;z-index:251659264;v-text-anchor:middle;mso-width-relative:page;mso-height-relative:page;" fillcolor="#FFFFFF" filled="t" stroked="f" coordsize="21600,21600" o:gfxdata="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HXbkDV&#10;AAAACgEAAA8AAAAAAAAAAQAgAAAAIgAAAGRycy9kb3ducmV2LnhtbFBLAQIUABQAAAAIAIdO4kBq&#10;G7uVXAIAALQEAAAOAAAAAAAAAAEAIAAAACQBAABkcnMvZTJvRG9jLnhtbFBLBQYAAAAABgAGAFkB&#10;AADyBQAAAAA=&#10;">
            <v:path/>
            <v:fill on="t" focussize="0,0"/>
            <v:stroke on="f" weight="2pt"/>
            <v:imagedata o:title=""/>
            <o:lock v:ext="edit" aspectratio="f"/>
          </v:rect>
        </w:pict>
      </w:r>
    </w:p>
    <w:p w14:paraId="099B9528">
      <w:pPr>
        <w:pStyle w:val="8"/>
        <w:spacing w:before="93"/>
        <w:jc w:val="center"/>
        <w:rPr>
          <w:rFonts w:ascii="Times New Roman" w:eastAsia="方正小标宋简体"/>
          <w:kern w:val="2"/>
          <w:sz w:val="44"/>
          <w:szCs w:val="44"/>
        </w:rPr>
      </w:pPr>
      <w:bookmarkStart w:id="6" w:name="_Toc15396476"/>
      <w:bookmarkStart w:id="7" w:name="_Toc15396598"/>
      <w:bookmarkStart w:id="8" w:name="_Toc15377426"/>
      <w:bookmarkStart w:id="9" w:name="_Toc15378442"/>
      <w:bookmarkStart w:id="10" w:name="_Toc15377194"/>
    </w:p>
    <w:p w14:paraId="181BE1D0">
      <w:pPr>
        <w:pStyle w:val="8"/>
        <w:spacing w:before="93"/>
        <w:jc w:val="center"/>
        <w:rPr>
          <w:rFonts w:ascii="Times New Roman" w:eastAsia="方正小标宋简体"/>
          <w:kern w:val="2"/>
          <w:sz w:val="44"/>
          <w:szCs w:val="44"/>
        </w:rPr>
      </w:pPr>
    </w:p>
    <w:p w14:paraId="214BD42F">
      <w:pPr>
        <w:pStyle w:val="8"/>
        <w:spacing w:before="93"/>
        <w:jc w:val="both"/>
        <w:rPr>
          <w:rFonts w:ascii="Times New Roman" w:eastAsia="方正小标宋简体"/>
          <w:kern w:val="2"/>
          <w:sz w:val="44"/>
          <w:szCs w:val="44"/>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p w14:paraId="619F080B">
      <w:pPr>
        <w:pStyle w:val="8"/>
        <w:spacing w:before="93"/>
        <w:jc w:val="both"/>
        <w:rPr>
          <w:rFonts w:ascii="Times New Roman" w:eastAsia="方正小标宋简体"/>
          <w:kern w:val="2"/>
          <w:sz w:val="44"/>
          <w:szCs w:val="44"/>
        </w:rPr>
      </w:pPr>
    </w:p>
    <w:p w14:paraId="5E60645E">
      <w:pPr>
        <w:pStyle w:val="8"/>
        <w:spacing w:before="93"/>
        <w:jc w:val="center"/>
        <w:rPr>
          <w:rFonts w:ascii="Times New Roman" w:eastAsia="方正小标宋简体"/>
          <w:kern w:val="2"/>
          <w:sz w:val="44"/>
          <w:szCs w:val="44"/>
        </w:rPr>
      </w:pPr>
    </w:p>
    <w:p w14:paraId="59C697E7">
      <w:pPr>
        <w:pStyle w:val="8"/>
        <w:spacing w:before="93"/>
        <w:jc w:val="center"/>
        <w:rPr>
          <w:rFonts w:ascii="Times New Roman" w:eastAsia="方正小标宋简体"/>
          <w:kern w:val="2"/>
          <w:sz w:val="44"/>
          <w:szCs w:val="44"/>
        </w:rPr>
      </w:pPr>
    </w:p>
    <w:p w14:paraId="6EE877B4">
      <w:pPr>
        <w:pStyle w:val="8"/>
        <w:spacing w:before="93"/>
        <w:jc w:val="center"/>
        <w:rPr>
          <w:rFonts w:ascii="Times New Roman" w:eastAsia="方正小标宋简体"/>
          <w:kern w:val="2"/>
          <w:sz w:val="44"/>
          <w:szCs w:val="44"/>
        </w:rPr>
      </w:pPr>
    </w:p>
    <w:p w14:paraId="7DB5497B">
      <w:pPr>
        <w:pStyle w:val="8"/>
        <w:spacing w:before="93"/>
        <w:jc w:val="center"/>
        <w:rPr>
          <w:rFonts w:ascii="Times New Roman" w:eastAsia="方正小标宋简体"/>
          <w:kern w:val="2"/>
          <w:sz w:val="44"/>
          <w:szCs w:val="44"/>
        </w:rPr>
      </w:pPr>
    </w:p>
    <w:p w14:paraId="4F11FAD3">
      <w:pPr>
        <w:pStyle w:val="8"/>
        <w:spacing w:before="93"/>
        <w:jc w:val="center"/>
        <w:rPr>
          <w:rFonts w:ascii="Times New Roman" w:eastAsia="方正小标宋简体"/>
          <w:kern w:val="2"/>
          <w:sz w:val="44"/>
          <w:szCs w:val="44"/>
        </w:rPr>
      </w:pPr>
    </w:p>
    <w:p w14:paraId="4789107D">
      <w:pPr>
        <w:pStyle w:val="8"/>
        <w:spacing w:before="93"/>
        <w:jc w:val="center"/>
        <w:rPr>
          <w:rFonts w:hint="eastAsia" w:ascii="方正小标宋简体" w:hAnsi="方正小标宋简体" w:eastAsia="方正小标宋简体" w:cs="方正小标宋简体"/>
          <w:kern w:val="2"/>
          <w:sz w:val="48"/>
          <w:szCs w:val="48"/>
          <w:lang w:val="en-US" w:eastAsia="zh-CN"/>
        </w:rPr>
      </w:pPr>
      <w:r>
        <w:rPr>
          <w:rFonts w:hint="eastAsia" w:ascii="方正小标宋简体" w:hAnsi="方正小标宋简体" w:eastAsia="方正小标宋简体" w:cs="方正小标宋简体"/>
          <w:kern w:val="2"/>
          <w:sz w:val="48"/>
          <w:szCs w:val="48"/>
        </w:rPr>
        <w:t>2025年度</w:t>
      </w:r>
      <w:bookmarkStart w:id="11" w:name="_Toc15306268"/>
      <w:r>
        <w:rPr>
          <w:rFonts w:hint="eastAsia" w:ascii="方正小标宋简体" w:hAnsi="方正小标宋简体" w:eastAsia="方正小标宋简体" w:cs="方正小标宋简体"/>
          <w:kern w:val="2"/>
          <w:sz w:val="48"/>
          <w:szCs w:val="48"/>
        </w:rPr>
        <w:t>攀枝花市</w:t>
      </w:r>
      <w:r>
        <w:rPr>
          <w:rFonts w:hint="eastAsia" w:ascii="方正小标宋简体" w:hAnsi="方正小标宋简体" w:eastAsia="方正小标宋简体" w:cs="方正小标宋简体"/>
          <w:kern w:val="2"/>
          <w:sz w:val="48"/>
          <w:szCs w:val="48"/>
          <w:lang w:val="en-US" w:eastAsia="zh-CN"/>
        </w:rPr>
        <w:t>仁和区医疗保障局</w:t>
      </w:r>
    </w:p>
    <w:p w14:paraId="58204BFA">
      <w:pPr>
        <w:pStyle w:val="8"/>
        <w:spacing w:before="93"/>
        <w:jc w:val="center"/>
        <w:rPr>
          <w:rFonts w:hint="eastAsia" w:ascii="方正小标宋简体" w:hAnsi="方正小标宋简体" w:eastAsia="方正小标宋简体" w:cs="方正小标宋简体"/>
          <w:kern w:val="2"/>
          <w:sz w:val="48"/>
          <w:szCs w:val="48"/>
        </w:rPr>
      </w:pPr>
      <w:r>
        <w:rPr>
          <w:rFonts w:hint="eastAsia" w:ascii="方正小标宋简体" w:hAnsi="方正小标宋简体" w:eastAsia="方正小标宋简体" w:cs="方正小标宋简体"/>
          <w:kern w:val="2"/>
          <w:sz w:val="48"/>
          <w:szCs w:val="48"/>
        </w:rPr>
        <w:t>部门决算</w:t>
      </w:r>
      <w:bookmarkEnd w:id="6"/>
      <w:bookmarkEnd w:id="7"/>
      <w:bookmarkEnd w:id="8"/>
      <w:bookmarkEnd w:id="9"/>
      <w:bookmarkEnd w:id="10"/>
      <w:bookmarkEnd w:id="11"/>
    </w:p>
    <w:p w14:paraId="5453B09B">
      <w:pPr>
        <w:widowControl/>
        <w:jc w:val="center"/>
        <w:rPr>
          <w:rFonts w:eastAsia="黑体"/>
          <w:sz w:val="48"/>
          <w:szCs w:val="48"/>
        </w:rPr>
      </w:pPr>
    </w:p>
    <w:p w14:paraId="4FF1454F">
      <w:pPr>
        <w:widowControl/>
        <w:jc w:val="center"/>
        <w:rPr>
          <w:rFonts w:eastAsia="黑体"/>
          <w:sz w:val="48"/>
          <w:szCs w:val="48"/>
        </w:rPr>
      </w:pPr>
    </w:p>
    <w:p w14:paraId="58ACB4C9">
      <w:pPr>
        <w:widowControl/>
        <w:jc w:val="center"/>
        <w:rPr>
          <w:rFonts w:eastAsia="黑体"/>
          <w:sz w:val="48"/>
          <w:szCs w:val="48"/>
        </w:rPr>
      </w:pPr>
    </w:p>
    <w:p w14:paraId="5F6E310D">
      <w:pPr>
        <w:widowControl/>
        <w:jc w:val="center"/>
        <w:rPr>
          <w:rFonts w:eastAsia="黑体"/>
          <w:sz w:val="48"/>
          <w:szCs w:val="48"/>
        </w:rPr>
      </w:pPr>
    </w:p>
    <w:p w14:paraId="405BBE87">
      <w:pPr>
        <w:widowControl/>
        <w:jc w:val="center"/>
        <w:rPr>
          <w:rFonts w:eastAsia="黑体"/>
          <w:sz w:val="48"/>
          <w:szCs w:val="48"/>
        </w:rPr>
      </w:pPr>
    </w:p>
    <w:p w14:paraId="5E69797A">
      <w:pPr>
        <w:widowControl/>
        <w:jc w:val="center"/>
        <w:rPr>
          <w:rFonts w:eastAsia="黑体"/>
          <w:sz w:val="48"/>
          <w:szCs w:val="48"/>
        </w:rPr>
      </w:pPr>
    </w:p>
    <w:p w14:paraId="7B53A7B7">
      <w:pPr>
        <w:widowControl/>
        <w:jc w:val="center"/>
        <w:rPr>
          <w:rFonts w:eastAsia="黑体"/>
          <w:sz w:val="48"/>
          <w:szCs w:val="48"/>
        </w:rPr>
      </w:pPr>
    </w:p>
    <w:p w14:paraId="15742C8C">
      <w:pPr>
        <w:widowControl/>
        <w:jc w:val="center"/>
        <w:rPr>
          <w:rFonts w:eastAsia="黑体"/>
          <w:sz w:val="48"/>
          <w:szCs w:val="48"/>
        </w:rPr>
      </w:pPr>
    </w:p>
    <w:p w14:paraId="257DFB92">
      <w:pPr>
        <w:widowControl/>
        <w:jc w:val="center"/>
        <w:rPr>
          <w:rFonts w:eastAsia="黑体"/>
          <w:sz w:val="48"/>
          <w:szCs w:val="48"/>
        </w:rPr>
      </w:pPr>
    </w:p>
    <w:p w14:paraId="177D1A96">
      <w:pPr>
        <w:widowControl/>
        <w:jc w:val="center"/>
        <w:rPr>
          <w:rFonts w:eastAsia="黑体"/>
          <w:sz w:val="48"/>
          <w:szCs w:val="48"/>
        </w:rPr>
      </w:pPr>
    </w:p>
    <w:p w14:paraId="5D0831D6">
      <w:pPr>
        <w:widowControl/>
        <w:jc w:val="center"/>
        <w:rPr>
          <w:rFonts w:eastAsia="黑体"/>
          <w:sz w:val="48"/>
          <w:szCs w:val="48"/>
        </w:rPr>
      </w:pPr>
    </w:p>
    <w:p w14:paraId="565CA743">
      <w:pPr>
        <w:widowControl/>
        <w:jc w:val="center"/>
        <w:rPr>
          <w:rFonts w:eastAsia="黑体"/>
          <w:sz w:val="48"/>
          <w:szCs w:val="48"/>
        </w:rPr>
      </w:pPr>
    </w:p>
    <w:p w14:paraId="5058E23D">
      <w:pPr>
        <w:widowControl/>
        <w:jc w:val="center"/>
        <w:rPr>
          <w:rFonts w:hint="default" w:eastAsia="黑体"/>
          <w:sz w:val="48"/>
          <w:szCs w:val="48"/>
          <w:lang w:val="en-US"/>
        </w:rPr>
        <w:sectPr>
          <w:footerReference r:id="rId7" w:type="default"/>
          <w:pgSz w:w="11906" w:h="16838"/>
          <w:pgMar w:top="1440" w:right="1800" w:bottom="1440" w:left="1800" w:header="851" w:footer="992" w:gutter="0"/>
          <w:pgNumType w:fmt="decimal" w:start="1"/>
          <w:cols w:space="425" w:num="1"/>
          <w:docGrid w:type="lines" w:linePitch="312" w:charSpace="0"/>
        </w:sectPr>
      </w:pPr>
      <w:r>
        <w:rPr>
          <w:rFonts w:hint="eastAsia" w:eastAsia="黑体"/>
          <w:sz w:val="48"/>
          <w:szCs w:val="48"/>
        </w:rPr>
        <w:pict>
          <v:rect id="矩形 12" o:spid="_x0000_s2051" o:spt="1" style="position:absolute;left:0pt;margin-left:-47pt;margin-top:43.9pt;height:55.2pt;width:116.4pt;z-index:251661312;v-text-anchor:middle;mso-width-relative:page;mso-height-relative:page;" fillcolor="#FFFFFF" filled="t" stroked="f" coordsize="21600,21600" o:gfxdata="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tPHIg&#10;1QAAAAoBAAAPAAAAAAAAAAEAIAAAACIAAABkcnMvZG93bnJldi54bWxQSwECFAAUAAAACACHTuJA&#10;p9sitF0CAAC2BAAADgAAAAAAAAABACAAAAAkAQAAZHJzL2Uyb0RvYy54bWxQSwUGAAAAAAYABgBZ&#10;AQAA8wUAAAAA&#10;">
            <v:path/>
            <v:fill on="t" focussize="0,0"/>
            <v:stroke on="f" weight="2pt"/>
            <v:imagedata o:title=""/>
            <o:lock v:ext="edit" aspectratio="f"/>
          </v:rect>
        </w:pict>
      </w:r>
      <w:bookmarkEnd w:id="0"/>
      <w:bookmarkEnd w:id="1"/>
      <w:bookmarkEnd w:id="2"/>
      <w:bookmarkEnd w:id="3"/>
      <w:bookmarkEnd w:id="4"/>
      <w:bookmarkEnd w:id="5"/>
    </w:p>
    <w:p w14:paraId="7EC2FD49">
      <w:pPr>
        <w:widowControl/>
        <w:ind w:firstLine="3360" w:firstLineChars="700"/>
        <w:jc w:val="both"/>
        <w:rPr>
          <w:rFonts w:eastAsia="黑体"/>
          <w:sz w:val="48"/>
          <w:szCs w:val="48"/>
        </w:rPr>
      </w:pPr>
      <w:r>
        <w:rPr>
          <w:rFonts w:hint="eastAsia" w:eastAsia="黑体"/>
          <w:sz w:val="48"/>
          <w:szCs w:val="48"/>
        </w:rPr>
        <w:t>目</w:t>
      </w:r>
      <w:r>
        <w:rPr>
          <w:rFonts w:hint="eastAsia" w:eastAsia="黑体"/>
          <w:sz w:val="48"/>
          <w:szCs w:val="48"/>
          <w:lang w:val="en-US" w:eastAsia="zh-CN"/>
        </w:rPr>
        <w:t xml:space="preserve">  </w:t>
      </w:r>
      <w:r>
        <w:rPr>
          <w:rFonts w:hint="eastAsia" w:eastAsia="黑体"/>
          <w:sz w:val="48"/>
          <w:szCs w:val="48"/>
        </w:rPr>
        <w:t>录</w:t>
      </w:r>
    </w:p>
    <w:p w14:paraId="75C54A8B">
      <w:pPr>
        <w:widowControl/>
        <w:jc w:val="center"/>
        <w:rPr>
          <w:rFonts w:eastAsia="黑体" w:cstheme="minorBidi"/>
          <w:sz w:val="28"/>
          <w:szCs w:val="28"/>
        </w:rPr>
      </w:pPr>
    </w:p>
    <w:p w14:paraId="3DA45D6A">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月 </w:t>
      </w:r>
      <w:r>
        <w:rPr>
          <w:rFonts w:hint="eastAsia" w:ascii="Times New Roman" w:hAnsi="Times New Roman" w:eastAsia="仿宋_GB2312" w:cs="仿宋_GB2312"/>
          <w:sz w:val="32"/>
          <w:szCs w:val="32"/>
          <w:lang w:val="en-US" w:eastAsia="zh-CN"/>
        </w:rPr>
        <w:t>21</w:t>
      </w:r>
      <w:r>
        <w:rPr>
          <w:rFonts w:hint="eastAsia" w:ascii="Times New Roman" w:hAnsi="Times New Roman" w:eastAsia="仿宋_GB2312" w:cs="仿宋_GB2312"/>
          <w:sz w:val="32"/>
          <w:szCs w:val="32"/>
        </w:rPr>
        <w:t>日</w:t>
      </w:r>
      <w:bookmarkStart w:id="86" w:name="_GoBack"/>
      <w:bookmarkEnd w:id="86"/>
    </w:p>
    <w:p w14:paraId="1018A135"/>
    <w:p w14:paraId="17292257">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3D6A6FE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一、部门职责</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3</w:t>
      </w:r>
    </w:p>
    <w:p w14:paraId="0656D2AB">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5</w:t>
      </w:r>
    </w:p>
    <w:p w14:paraId="3A05D423">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55917D21">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6</w:t>
      </w:r>
    </w:p>
    <w:p w14:paraId="2B8A09C8">
      <w:pPr>
        <w:pStyle w:val="14"/>
        <w:adjustRightInd w:val="0"/>
        <w:snapToGrid w:val="0"/>
        <w:spacing w:line="560" w:lineRule="exact"/>
        <w:ind w:left="0" w:leftChars="0" w:firstLine="640" w:firstLineChars="200"/>
        <w:jc w:val="left"/>
        <w:rPr>
          <w:rFonts w:hint="default" w:cs="Times New Roman"/>
          <w:color w:val="auto"/>
          <w:kern w:val="2"/>
          <w:sz w:val="24"/>
          <w:szCs w:val="24"/>
          <w:highlight w:val="none"/>
          <w:lang w:val="en-US" w:eastAsia="zh-CN" w:bidi="ar-SA"/>
        </w:rPr>
      </w:pPr>
      <w:r>
        <w:rPr>
          <w:rFonts w:hint="eastAsia" w:eastAsia="仿宋_GB2312" w:cs="仿宋_GB2312"/>
          <w:sz w:val="32"/>
          <w:szCs w:val="32"/>
        </w:rPr>
        <w:t>二、收入决算情况说明</w:t>
      </w:r>
      <w:r>
        <w:rPr>
          <w:rFonts w:hint="eastAsia" w:eastAsia="仿宋_GB2312" w:cs="仿宋_GB2312"/>
          <w:sz w:val="32"/>
          <w:szCs w:val="32"/>
          <w:lang w:val="en-US" w:eastAsia="zh-CN"/>
        </w:rPr>
        <w:t>...................................................</w:t>
      </w:r>
      <w:r>
        <w:rPr>
          <w:rFonts w:hint="eastAsia" w:cs="Times New Roman"/>
          <w:color w:val="auto"/>
          <w:kern w:val="2"/>
          <w:sz w:val="24"/>
          <w:szCs w:val="24"/>
          <w:highlight w:val="none"/>
          <w:lang w:val="en-US" w:eastAsia="zh-CN" w:bidi="ar-SA"/>
        </w:rPr>
        <w:t>6</w:t>
      </w:r>
    </w:p>
    <w:p w14:paraId="6FD32DA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 ....</w:t>
      </w:r>
      <w:r>
        <w:rPr>
          <w:rFonts w:hint="eastAsia" w:cs="Times New Roman"/>
          <w:color w:val="auto"/>
          <w:kern w:val="2"/>
          <w:sz w:val="24"/>
          <w:szCs w:val="24"/>
          <w:highlight w:val="none"/>
          <w:lang w:val="en-US" w:eastAsia="zh-CN" w:bidi="ar-SA"/>
        </w:rPr>
        <w:t>7</w:t>
      </w:r>
    </w:p>
    <w:p w14:paraId="5EBED595">
      <w:pPr>
        <w:pStyle w:val="14"/>
        <w:adjustRightInd w:val="0"/>
        <w:snapToGrid w:val="0"/>
        <w:spacing w:line="560" w:lineRule="exact"/>
        <w:ind w:left="0" w:leftChars="0" w:firstLine="640" w:firstLineChars="200"/>
        <w:jc w:val="left"/>
        <w:rPr>
          <w:rFonts w:hint="default" w:eastAsia="仿宋_GB2312" w:cs="仿宋_GB2312"/>
          <w:sz w:val="24"/>
          <w:szCs w:val="24"/>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7</w:t>
      </w:r>
    </w:p>
    <w:p w14:paraId="7EAC65E8">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.8</w:t>
      </w:r>
    </w:p>
    <w:p w14:paraId="06960B8A">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12</w:t>
      </w:r>
    </w:p>
    <w:p w14:paraId="69BC713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12</w:t>
      </w:r>
    </w:p>
    <w:p w14:paraId="3998486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14</w:t>
      </w:r>
    </w:p>
    <w:p w14:paraId="38236D2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14</w:t>
      </w:r>
    </w:p>
    <w:p w14:paraId="3E927157">
      <w:pPr>
        <w:pStyle w:val="14"/>
        <w:adjustRightInd w:val="0"/>
        <w:snapToGrid w:val="0"/>
        <w:spacing w:line="560" w:lineRule="exact"/>
        <w:ind w:left="0" w:leftChars="0" w:firstLine="640" w:firstLineChars="200"/>
        <w:jc w:val="left"/>
        <w:rPr>
          <w:rFonts w:hint="default" w:eastAsia="仿宋_GB2312" w:cs="仿宋_GB2312"/>
          <w:sz w:val="24"/>
          <w:szCs w:val="24"/>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w:t>
      </w:r>
      <w:r>
        <w:rPr>
          <w:rFonts w:hint="eastAsia" w:eastAsia="仿宋_GB2312" w:cs="仿宋_GB2312"/>
          <w:sz w:val="24"/>
          <w:szCs w:val="24"/>
          <w:lang w:val="en-US" w:eastAsia="zh-CN"/>
        </w:rPr>
        <w:t>14</w:t>
      </w:r>
    </w:p>
    <w:p w14:paraId="22078064">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w:t>
      </w:r>
      <w:r>
        <w:rPr>
          <w:rFonts w:hint="eastAsia" w:ascii="Times New Roman" w:hAnsi="Times New Roman" w:eastAsia="仿宋_GB2312" w:cs="仿宋_GB2312"/>
          <w:kern w:val="2"/>
          <w:sz w:val="24"/>
          <w:szCs w:val="24"/>
          <w:lang w:val="en-US" w:eastAsia="zh-CN" w:bidi="ar-SA"/>
        </w:rPr>
        <w:t>.17</w:t>
      </w:r>
    </w:p>
    <w:p w14:paraId="38BAAC1D">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w:t>
      </w:r>
      <w:r>
        <w:rPr>
          <w:rFonts w:hint="eastAsia" w:ascii="Times New Roman" w:hAnsi="Times New Roman" w:eastAsia="仿宋_GB2312" w:cs="仿宋_GB2312"/>
          <w:kern w:val="2"/>
          <w:sz w:val="24"/>
          <w:szCs w:val="24"/>
          <w:lang w:val="en-US" w:eastAsia="zh-CN" w:bidi="ar-SA"/>
        </w:rPr>
        <w:t>21</w:t>
      </w:r>
    </w:p>
    <w:p w14:paraId="4209CB8F">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4BB22535">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4461967D">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4FABBBC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6EC7436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4507C250">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五、财政拨款支出决算明细表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0C8D297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55986615">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七、一般公共预算财政拨款支出决算明细表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75B10703">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八、一般公共预算财政拨款基本支出决算明细表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0B9FF9D2">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九、一般公共预算财政拨款项目支出决算表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09334047">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十、政府性基金预算财政拨款收入支出决算表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3522FEE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十一、国有资本经营预算财政拨款收入支出决算表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74608BFA">
      <w:pPr>
        <w:pStyle w:val="14"/>
        <w:adjustRightInd w:val="0"/>
        <w:snapToGrid w:val="0"/>
        <w:spacing w:line="560" w:lineRule="exact"/>
        <w:ind w:left="0" w:leftChars="0" w:firstLine="640" w:firstLineChars="200"/>
        <w:jc w:val="left"/>
        <w:rPr>
          <w:rFonts w:hint="default" w:ascii="Times New Roman" w:hAnsi="Times New Roman" w:eastAsia="仿宋_GB2312" w:cs="仿宋_GB2312"/>
          <w:kern w:val="2"/>
          <w:sz w:val="24"/>
          <w:szCs w:val="24"/>
          <w:lang w:val="en-US" w:eastAsia="zh-CN" w:bidi="ar-SA"/>
        </w:rPr>
      </w:pPr>
      <w:r>
        <w:rPr>
          <w:rFonts w:hint="eastAsia" w:eastAsia="仿宋_GB2312" w:cs="仿宋_GB2312"/>
          <w:sz w:val="32"/>
          <w:szCs w:val="32"/>
        </w:rPr>
        <w:t>十二、国有资本经营预算财政拨款支出决算表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66B852D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十三、财政拨款“三公”经费支出决算表</w:t>
      </w:r>
      <w:r>
        <w:rPr>
          <w:rFonts w:hint="eastAsia" w:eastAsia="仿宋_GB2312" w:cs="仿宋_GB2312"/>
          <w:sz w:val="32"/>
          <w:szCs w:val="32"/>
          <w:lang w:val="en-US" w:eastAsia="zh-CN"/>
        </w:rPr>
        <w:t>...................</w:t>
      </w:r>
      <w:r>
        <w:rPr>
          <w:rFonts w:hint="eastAsia" w:ascii="Times New Roman" w:hAnsi="Times New Roman" w:eastAsia="仿宋_GB2312" w:cs="仿宋_GB2312"/>
          <w:kern w:val="2"/>
          <w:sz w:val="24"/>
          <w:szCs w:val="24"/>
          <w:lang w:val="en-US" w:eastAsia="zh-CN" w:bidi="ar-SA"/>
        </w:rPr>
        <w:t>40</w:t>
      </w:r>
    </w:p>
    <w:p w14:paraId="65A3EF4B">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bCs/>
          <w:sz w:val="32"/>
          <w:szCs w:val="32"/>
          <w:lang w:val="en-US" w:eastAsia="zh-CN"/>
        </w:rPr>
        <w:t>.</w:t>
      </w:r>
      <w:r>
        <w:rPr>
          <w:rFonts w:hint="eastAsia" w:eastAsia="仿宋_GB2312" w:cs="仿宋_GB2312"/>
          <w:b/>
          <w:sz w:val="32"/>
          <w:szCs w:val="32"/>
        </w:rPr>
        <w:br w:type="page"/>
      </w:r>
    </w:p>
    <w:p w14:paraId="69C218DA">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4B3E254A">
      <w:pPr>
        <w:pStyle w:val="6"/>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64D838E4">
      <w:pPr>
        <w:ind w:firstLine="630" w:firstLineChars="300"/>
        <w:rPr>
          <w:rFonts w:ascii="仿宋" w:hAnsi="仿宋" w:eastAsia="仿宋" w:cs="仿宋"/>
          <w:sz w:val="32"/>
          <w:szCs w:val="32"/>
        </w:rPr>
      </w:pPr>
      <w:r>
        <w:rPr>
          <w:rFonts w:hint="eastAsia"/>
          <w:lang w:val="en-US" w:eastAsia="zh-CN"/>
        </w:rPr>
        <w:t xml:space="preserve"> </w:t>
      </w:r>
      <w:r>
        <w:rPr>
          <w:rFonts w:hint="eastAsia" w:ascii="仿宋" w:hAnsi="仿宋" w:eastAsia="仿宋" w:cs="仿宋"/>
          <w:sz w:val="32"/>
          <w:szCs w:val="32"/>
        </w:rPr>
        <w:t>1.贯彻执行医疗保险、生育保险、医疗救助等医疗保障的各项法律、法规、规章。参与拟订医疗保障事业发展规划、政策和标准，并组织实施和监督检查。</w:t>
      </w:r>
    </w:p>
    <w:p w14:paraId="7E626EDC">
      <w:pPr>
        <w:ind w:firstLine="800"/>
        <w:rPr>
          <w:rFonts w:ascii="仿宋" w:hAnsi="仿宋" w:eastAsia="仿宋" w:cs="仿宋"/>
          <w:sz w:val="32"/>
          <w:szCs w:val="32"/>
        </w:rPr>
      </w:pPr>
      <w:r>
        <w:rPr>
          <w:rFonts w:hint="eastAsia" w:ascii="仿宋" w:hAnsi="仿宋" w:eastAsia="仿宋" w:cs="仿宋"/>
          <w:sz w:val="32"/>
          <w:szCs w:val="32"/>
        </w:rPr>
        <w:t>2.组织拟订并实施医疗保障基（资）金监督管理制度，建立健全医疗保障基（资）金安全防控机制，监督强化全区医疗保障基（资）金运行管理。</w:t>
      </w:r>
    </w:p>
    <w:p w14:paraId="4F9AB076">
      <w:pPr>
        <w:ind w:firstLine="800"/>
        <w:rPr>
          <w:rFonts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color w:val="auto"/>
          <w:sz w:val="32"/>
          <w:szCs w:val="32"/>
          <w:lang w:val="en-US" w:eastAsia="zh-CN"/>
        </w:rPr>
        <w:t>参与</w:t>
      </w:r>
      <w:r>
        <w:rPr>
          <w:rFonts w:hint="eastAsia" w:ascii="仿宋" w:hAnsi="仿宋" w:eastAsia="仿宋" w:cs="仿宋"/>
          <w:color w:val="auto"/>
          <w:sz w:val="32"/>
          <w:szCs w:val="32"/>
        </w:rPr>
        <w:t>拟</w:t>
      </w:r>
      <w:r>
        <w:rPr>
          <w:rFonts w:hint="eastAsia" w:ascii="仿宋" w:hAnsi="仿宋" w:eastAsia="仿宋" w:cs="仿宋"/>
          <w:sz w:val="32"/>
          <w:szCs w:val="32"/>
        </w:rPr>
        <w:t>订并组织实施医疗保障筹资和待遇政策，落实医疗保障筹资标准动态调整机制，统筹城乡医疗保障待遇标准，建立健全与筹资水平相适应的待遇调整机制。组织实施长期护理保险制度改革方案。组织实施医疗救助。</w:t>
      </w:r>
    </w:p>
    <w:p w14:paraId="57B6AB9A">
      <w:pPr>
        <w:ind w:firstLine="800"/>
        <w:rPr>
          <w:rFonts w:ascii="仿宋" w:hAnsi="仿宋" w:eastAsia="仿宋" w:cs="仿宋"/>
          <w:sz w:val="32"/>
          <w:szCs w:val="32"/>
        </w:rPr>
      </w:pPr>
      <w:r>
        <w:rPr>
          <w:rFonts w:hint="eastAsia" w:ascii="仿宋" w:hAnsi="仿宋" w:eastAsia="仿宋" w:cs="仿宋"/>
          <w:sz w:val="32"/>
          <w:szCs w:val="32"/>
        </w:rPr>
        <w:t>4.组织实施全省、全市统一的药品、医用耗材、医疗服务项目、医疗服务设施等医疗保障目录和支付标准，根据授权在医疗保障目录准入谈判规则下进行目录增补和支付标准的调整。</w:t>
      </w:r>
    </w:p>
    <w:p w14:paraId="68CC3609">
      <w:pPr>
        <w:ind w:firstLine="800"/>
        <w:rPr>
          <w:rFonts w:ascii="仿宋" w:hAnsi="仿宋" w:eastAsia="仿宋" w:cs="仿宋"/>
          <w:sz w:val="32"/>
          <w:szCs w:val="32"/>
        </w:rPr>
      </w:pPr>
      <w:r>
        <w:rPr>
          <w:rFonts w:hint="eastAsia" w:ascii="仿宋" w:hAnsi="仿宋" w:eastAsia="仿宋" w:cs="仿宋"/>
          <w:sz w:val="32"/>
          <w:szCs w:val="32"/>
        </w:rPr>
        <w:t>5.参与拟订并组织实施全市城乡统一的药品、医用耗材价格和医疗服务项目、医疗服务设施收费等政策，建立医保支付医药服务价格合理确定和动态调整机制，推动建立市场主导的社会医药服务价格形成机制，建立价格信息监测和信息发布制度。</w:t>
      </w:r>
    </w:p>
    <w:p w14:paraId="68E8915E">
      <w:pPr>
        <w:ind w:firstLine="800"/>
        <w:rPr>
          <w:rFonts w:ascii="仿宋" w:hAnsi="仿宋" w:eastAsia="仿宋" w:cs="仿宋"/>
          <w:sz w:val="32"/>
          <w:szCs w:val="32"/>
        </w:rPr>
      </w:pPr>
      <w:r>
        <w:rPr>
          <w:rFonts w:hint="eastAsia" w:ascii="仿宋" w:hAnsi="仿宋" w:eastAsia="仿宋" w:cs="仿宋"/>
          <w:sz w:val="32"/>
          <w:szCs w:val="32"/>
        </w:rPr>
        <w:t>6.贯彻执行全省药品、医用耗材的招标采购政策并监督实施，根据省、市统一安排部署，参与全省药品、医用耗材招标采购平台建设，承担并完成相关工作任务。</w:t>
      </w:r>
    </w:p>
    <w:p w14:paraId="76F24F52">
      <w:pPr>
        <w:ind w:firstLine="800"/>
        <w:rPr>
          <w:rFonts w:ascii="仿宋" w:hAnsi="仿宋" w:eastAsia="仿宋" w:cs="仿宋"/>
          <w:sz w:val="32"/>
          <w:szCs w:val="32"/>
        </w:rPr>
      </w:pPr>
      <w:r>
        <w:rPr>
          <w:rFonts w:hint="eastAsia" w:ascii="仿宋" w:hAnsi="仿宋" w:eastAsia="仿宋" w:cs="仿宋"/>
          <w:sz w:val="32"/>
          <w:szCs w:val="32"/>
        </w:rPr>
        <w:t>7.推进医疗保障基金支付方式改革，组织拟订全区定点医药机构服务协议和基金支付管理办法并组织实施。承担全区医疗保障定点机构管理，建立健全医疗保障信用评价体系和信息披露制度，监督管理纳入医疗保障范围内的医疗服务行为和医疗费用，依法查处医疗保障领域违法违规行为。</w:t>
      </w:r>
    </w:p>
    <w:p w14:paraId="2C8709C0">
      <w:pPr>
        <w:ind w:firstLine="800"/>
        <w:rPr>
          <w:rFonts w:ascii="仿宋" w:hAnsi="仿宋" w:eastAsia="仿宋" w:cs="仿宋"/>
          <w:sz w:val="32"/>
          <w:szCs w:val="32"/>
        </w:rPr>
      </w:pPr>
      <w:r>
        <w:rPr>
          <w:rFonts w:hint="eastAsia" w:ascii="仿宋" w:hAnsi="仿宋" w:eastAsia="仿宋" w:cs="仿宋"/>
          <w:sz w:val="32"/>
          <w:szCs w:val="32"/>
        </w:rPr>
        <w:t>8.负责全区医疗保障业务经办管理和公共服务体系建设。组织实施异地就医管理规定和费用结算政策。执行医疗保障关系转移接续规定。指导和监督管理全区医保经办服务工作。开展医疗保障领域对外合作交流。</w:t>
      </w:r>
    </w:p>
    <w:p w14:paraId="0562A9E7">
      <w:pPr>
        <w:ind w:firstLine="800"/>
        <w:rPr>
          <w:rFonts w:ascii="仿宋" w:hAnsi="仿宋" w:eastAsia="仿宋" w:cs="仿宋"/>
          <w:sz w:val="32"/>
          <w:szCs w:val="32"/>
        </w:rPr>
      </w:pPr>
      <w:r>
        <w:rPr>
          <w:rFonts w:hint="eastAsia" w:ascii="仿宋" w:hAnsi="仿宋" w:eastAsia="仿宋" w:cs="仿宋"/>
          <w:sz w:val="32"/>
          <w:szCs w:val="32"/>
        </w:rPr>
        <w:t>9.组织拟订全区医疗保障信息化规划并参与全市医疗保障信息化建设。组织开展医疗保障大数据管理和应用。</w:t>
      </w:r>
    </w:p>
    <w:p w14:paraId="7E3F6934">
      <w:pPr>
        <w:ind w:firstLine="800"/>
        <w:rPr>
          <w:rFonts w:ascii="仿宋" w:hAnsi="仿宋" w:eastAsia="仿宋" w:cs="仿宋"/>
          <w:sz w:val="32"/>
          <w:szCs w:val="32"/>
        </w:rPr>
      </w:pPr>
      <w:r>
        <w:rPr>
          <w:rFonts w:hint="eastAsia" w:ascii="仿宋" w:hAnsi="仿宋" w:eastAsia="仿宋" w:cs="仿宋"/>
          <w:sz w:val="32"/>
          <w:szCs w:val="32"/>
        </w:rPr>
        <w:t>10.拟订并组织实施区本级离休干部、六级以上革命伤残军人的医疗保障政策和副县级及以上干部、高级知识分子的医疗照顾政策。</w:t>
      </w:r>
    </w:p>
    <w:p w14:paraId="05B2836C">
      <w:pPr>
        <w:ind w:firstLine="800"/>
        <w:rPr>
          <w:rFonts w:ascii="仿宋" w:hAnsi="仿宋" w:eastAsia="仿宋" w:cs="仿宋"/>
          <w:sz w:val="32"/>
          <w:szCs w:val="32"/>
        </w:rPr>
      </w:pPr>
      <w:r>
        <w:rPr>
          <w:rFonts w:hint="eastAsia" w:ascii="仿宋" w:hAnsi="仿宋" w:eastAsia="仿宋" w:cs="仿宋"/>
          <w:sz w:val="32"/>
          <w:szCs w:val="32"/>
        </w:rPr>
        <w:t>11.负责职责范围内的安全生产和职业健康、生态环境保护、审批服务便民化等工作。按省、市的要求和指导，推进相对集中行政许可权改革。</w:t>
      </w:r>
    </w:p>
    <w:p w14:paraId="71D02531">
      <w:pPr>
        <w:ind w:firstLine="800"/>
        <w:rPr>
          <w:rFonts w:ascii="仿宋" w:hAnsi="仿宋" w:eastAsia="仿宋" w:cs="仿宋"/>
          <w:sz w:val="32"/>
          <w:szCs w:val="32"/>
        </w:rPr>
      </w:pPr>
      <w:r>
        <w:rPr>
          <w:rFonts w:hint="eastAsia" w:ascii="仿宋" w:hAnsi="仿宋" w:eastAsia="仿宋" w:cs="仿宋"/>
          <w:sz w:val="32"/>
          <w:szCs w:val="32"/>
        </w:rPr>
        <w:t>12.指导各乡镇（街道）医疗保障相关政策实施和工作落实。</w:t>
      </w:r>
    </w:p>
    <w:p w14:paraId="19C1B3C9">
      <w:pPr>
        <w:ind w:firstLine="800"/>
        <w:rPr>
          <w:rFonts w:ascii="仿宋" w:hAnsi="仿宋" w:eastAsia="仿宋" w:cs="仿宋"/>
          <w:sz w:val="32"/>
          <w:szCs w:val="32"/>
        </w:rPr>
      </w:pPr>
      <w:r>
        <w:rPr>
          <w:rFonts w:hint="eastAsia" w:ascii="仿宋" w:hAnsi="仿宋" w:eastAsia="仿宋" w:cs="仿宋"/>
          <w:sz w:val="32"/>
          <w:szCs w:val="32"/>
        </w:rPr>
        <w:t>13.完成区委、区政府交办的其他任务。</w:t>
      </w:r>
    </w:p>
    <w:p w14:paraId="4CFCCB2F">
      <w:pPr>
        <w:ind w:firstLine="800"/>
        <w:rPr>
          <w:rFonts w:ascii="仿宋" w:hAnsi="仿宋" w:eastAsia="仿宋" w:cs="仿宋"/>
          <w:sz w:val="32"/>
          <w:szCs w:val="32"/>
        </w:rPr>
      </w:pPr>
      <w:r>
        <w:rPr>
          <w:rFonts w:hint="eastAsia" w:ascii="仿宋" w:hAnsi="仿宋" w:eastAsia="仿宋" w:cs="仿宋"/>
          <w:sz w:val="32"/>
          <w:szCs w:val="32"/>
        </w:rPr>
        <w:t>14.职能转变。完善统一的城乡居民基本医疗保险和大病保险制度，不断提高医疗保障水平，建立健全覆盖全民、城乡统筹的多层次医疗保障体系，确保医疗保障资金合理使用、安全可控，推进医疗、医保、医药“三医联动”改革，更好地保障人民群众就医需求、减轻医药费用负担。</w:t>
      </w:r>
    </w:p>
    <w:p w14:paraId="7457E5C7">
      <w:pPr>
        <w:ind w:firstLine="800"/>
        <w:rPr>
          <w:rFonts w:ascii="仿宋" w:hAnsi="仿宋" w:eastAsia="仿宋" w:cs="仿宋"/>
          <w:sz w:val="32"/>
          <w:szCs w:val="32"/>
        </w:rPr>
      </w:pPr>
      <w:r>
        <w:rPr>
          <w:rFonts w:hint="eastAsia" w:ascii="仿宋" w:hAnsi="仿宋" w:eastAsia="仿宋" w:cs="仿宋"/>
          <w:sz w:val="32"/>
          <w:szCs w:val="32"/>
        </w:rPr>
        <w:t>15.有关职责分工。</w:t>
      </w:r>
    </w:p>
    <w:p w14:paraId="55EBF6D8">
      <w:pPr>
        <w:ind w:firstLine="800"/>
        <w:rPr>
          <w:rFonts w:ascii="仿宋" w:hAnsi="仿宋" w:eastAsia="仿宋" w:cs="仿宋"/>
          <w:sz w:val="32"/>
          <w:szCs w:val="32"/>
        </w:rPr>
      </w:pPr>
      <w:r>
        <w:rPr>
          <w:rFonts w:hint="eastAsia" w:ascii="仿宋" w:hAnsi="仿宋" w:eastAsia="仿宋" w:cs="仿宋"/>
          <w:sz w:val="32"/>
          <w:szCs w:val="32"/>
        </w:rPr>
        <w:t>(1)与区卫生健康局的有关职责分工。两部门在医疗、医保、医药等方面加强制度、政策衔接，建立沟通</w:t>
      </w:r>
      <w:r>
        <w:rPr>
          <w:rFonts w:hint="eastAsia" w:ascii="仿宋" w:hAnsi="仿宋" w:eastAsia="仿宋" w:cs="仿宋"/>
          <w:sz w:val="32"/>
          <w:szCs w:val="32"/>
          <w:lang w:val="en-US" w:eastAsia="zh-CN"/>
        </w:rPr>
        <w:t>协</w:t>
      </w:r>
      <w:r>
        <w:rPr>
          <w:rFonts w:hint="eastAsia" w:ascii="仿宋" w:hAnsi="仿宋" w:eastAsia="仿宋" w:cs="仿宋"/>
          <w:sz w:val="32"/>
          <w:szCs w:val="32"/>
        </w:rPr>
        <w:t>商机制，协同推进改革，提高医疗资源使用效率和医疗保障水平。</w:t>
      </w:r>
    </w:p>
    <w:p w14:paraId="22EA7094">
      <w:pPr>
        <w:ind w:firstLine="800"/>
      </w:pPr>
      <w:r>
        <w:rPr>
          <w:rFonts w:hint="eastAsia" w:ascii="仿宋" w:hAnsi="仿宋" w:eastAsia="仿宋" w:cs="仿宋"/>
          <w:sz w:val="32"/>
          <w:szCs w:val="32"/>
        </w:rPr>
        <w:t>（2）与国家税务总局攀枝花市仁和区税务局有关职责分工。两部门在医疗、生育、长期护理保险基金征缴工作等方面加强协调，建立沟通机制，共同做好社会保险费税务征缴的相关工作。</w:t>
      </w:r>
    </w:p>
    <w:p w14:paraId="0FDFC726">
      <w:pPr>
        <w:pStyle w:val="14"/>
        <w:adjustRightInd w:val="0"/>
        <w:snapToGrid w:val="0"/>
        <w:spacing w:line="560" w:lineRule="exact"/>
        <w:ind w:left="0" w:leftChars="0" w:firstLine="640" w:firstLineChars="200"/>
        <w:jc w:val="left"/>
        <w:rPr>
          <w:rFonts w:hint="eastAsia" w:ascii="方正公文黑体" w:hAnsi="方正公文黑体" w:eastAsia="方正公文黑体" w:cs="方正公文黑体"/>
          <w:sz w:val="32"/>
          <w:szCs w:val="32"/>
        </w:rPr>
      </w:pPr>
      <w:r>
        <w:rPr>
          <w:rFonts w:hint="eastAsia" w:ascii="方正公文黑体" w:hAnsi="方正公文黑体" w:eastAsia="方正公文黑体" w:cs="方正公文黑体"/>
          <w:sz w:val="32"/>
          <w:szCs w:val="32"/>
        </w:rPr>
        <w:t>二、机构设置</w:t>
      </w:r>
    </w:p>
    <w:p w14:paraId="4C50BEEF">
      <w:pPr>
        <w:ind w:firstLine="800"/>
        <w:rPr>
          <w:color w:val="auto"/>
        </w:rPr>
      </w:pPr>
      <w:r>
        <w:rPr>
          <w:rFonts w:hint="eastAsia" w:ascii="仿宋" w:hAnsi="仿宋" w:eastAsia="仿宋" w:cs="仿宋"/>
          <w:color w:val="auto"/>
          <w:sz w:val="32"/>
          <w:szCs w:val="32"/>
        </w:rPr>
        <w:t>攀</w:t>
      </w:r>
      <w:r>
        <w:rPr>
          <w:rFonts w:ascii="仿宋" w:hAnsi="仿宋" w:eastAsia="仿宋" w:cs="仿宋"/>
          <w:color w:val="auto"/>
          <w:sz w:val="32"/>
          <w:szCs w:val="32"/>
        </w:rPr>
        <w:t>枝花市仁和区医疗保障局下设</w:t>
      </w:r>
      <w:r>
        <w:rPr>
          <w:rFonts w:hint="eastAsia" w:ascii="仿宋" w:hAnsi="仿宋" w:eastAsia="仿宋" w:cs="仿宋"/>
          <w:color w:val="auto"/>
          <w:sz w:val="32"/>
          <w:szCs w:val="32"/>
        </w:rPr>
        <w:t>1个</w:t>
      </w:r>
      <w:r>
        <w:rPr>
          <w:rFonts w:hint="eastAsia" w:ascii="仿宋" w:hAnsi="仿宋" w:eastAsia="仿宋" w:cs="仿宋"/>
          <w:color w:val="auto"/>
          <w:sz w:val="32"/>
          <w:szCs w:val="32"/>
          <w:lang w:val="en-US" w:eastAsia="zh-CN"/>
        </w:rPr>
        <w:t>股</w:t>
      </w:r>
      <w:r>
        <w:rPr>
          <w:rFonts w:hint="eastAsia" w:ascii="仿宋" w:hAnsi="仿宋" w:eastAsia="仿宋" w:cs="仿宋"/>
          <w:color w:val="auto"/>
          <w:sz w:val="32"/>
          <w:szCs w:val="32"/>
        </w:rPr>
        <w:t>室</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综合股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和1个</w:t>
      </w:r>
      <w:r>
        <w:rPr>
          <w:rFonts w:hint="eastAsia" w:ascii="仿宋" w:hAnsi="仿宋" w:eastAsia="仿宋" w:cs="仿宋"/>
          <w:color w:val="auto"/>
          <w:sz w:val="32"/>
          <w:szCs w:val="32"/>
        </w:rPr>
        <w:t>独立编制的参照公务员管理的事业单位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仁和区医疗保障事务中心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。攀枝花市仁和区医疗保障局属一级预算单位，财务统一管理，无单独核算的二级单位。</w:t>
      </w:r>
    </w:p>
    <w:p w14:paraId="4103E402">
      <w:pPr>
        <w:widowControl/>
        <w:jc w:val="left"/>
        <w:rPr>
          <w:rFonts w:hint="default" w:eastAsia="仿宋"/>
          <w:kern w:val="0"/>
          <w:sz w:val="32"/>
          <w:szCs w:val="32"/>
          <w:lang w:val="en-US" w:eastAsia="zh-CN"/>
        </w:rPr>
      </w:pPr>
      <w:r>
        <w:rPr>
          <w:rFonts w:hint="eastAsia" w:eastAsia="仿宋"/>
          <w:kern w:val="0"/>
          <w:sz w:val="32"/>
          <w:szCs w:val="32"/>
          <w:lang w:val="en-US" w:eastAsia="zh-CN"/>
        </w:rPr>
        <w:t xml:space="preserve">   </w:t>
      </w:r>
    </w:p>
    <w:p w14:paraId="4D3D9E3F">
      <w:pPr>
        <w:pStyle w:val="5"/>
        <w:ind w:firstLine="440" w:firstLineChars="100"/>
        <w:jc w:val="both"/>
        <w:rPr>
          <w:rFonts w:hint="eastAsia" w:eastAsia="方正小标宋简体"/>
          <w:lang w:val="en-US" w:eastAsia="zh-CN"/>
        </w:rPr>
      </w:pPr>
      <w:bookmarkStart w:id="14" w:name="_Toc15396602"/>
      <w:bookmarkStart w:id="15" w:name="_Toc15377204"/>
      <w:r>
        <w:rPr>
          <w:rFonts w:hint="eastAsia" w:eastAsia="方正小标宋简体" w:cs="方正小标宋简体"/>
          <w:b w:val="0"/>
        </w:rPr>
        <w:t>第二部分  2025年度部门决算情况说</w:t>
      </w:r>
      <w:bookmarkEnd w:id="14"/>
      <w:bookmarkEnd w:id="15"/>
      <w:r>
        <w:rPr>
          <w:rFonts w:hint="eastAsia" w:eastAsia="方正小标宋简体" w:cs="方正小标宋简体"/>
          <w:b w:val="0"/>
          <w:lang w:val="en-US" w:eastAsia="zh-CN"/>
        </w:rPr>
        <w:t>明</w:t>
      </w:r>
    </w:p>
    <w:p w14:paraId="11B61B71">
      <w:pPr>
        <w:pStyle w:val="27"/>
        <w:spacing w:line="600" w:lineRule="exact"/>
        <w:outlineLvl w:val="1"/>
        <w:rPr>
          <w:rStyle w:val="29"/>
          <w:rFonts w:ascii="Times New Roman" w:hAnsi="Times New Roman" w:eastAsia="黑体"/>
          <w:b w:val="0"/>
        </w:rPr>
      </w:pPr>
      <w:bookmarkStart w:id="16" w:name="_Toc15377205"/>
      <w:bookmarkStart w:id="17"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6"/>
      <w:bookmarkEnd w:id="17"/>
    </w:p>
    <w:p w14:paraId="5484D06B">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2025年度收入、支出总计均为</w:t>
      </w:r>
      <w:r>
        <w:rPr>
          <w:rFonts w:hint="eastAsia" w:ascii="仿宋_GB2312" w:hAnsi="仿宋_GB2312" w:eastAsia="仿宋_GB2312" w:cs="仿宋_GB2312"/>
          <w:sz w:val="32"/>
          <w:szCs w:val="32"/>
          <w:highlight w:val="none"/>
        </w:rPr>
        <w:t>530.95</w:t>
      </w:r>
      <w:r>
        <w:rPr>
          <w:rFonts w:hint="eastAsia" w:eastAsia="仿宋_GB2312" w:cs="仿宋_GB2312"/>
          <w:sz w:val="32"/>
          <w:szCs w:val="32"/>
          <w:highlight w:val="none"/>
        </w:rPr>
        <w:t>万元。与上年度相比，收入、支出总计各增加188.56万元，增长55.1%。主要变动原因是本年度人员、公用经费增多，项目经费增多。</w:t>
      </w:r>
    </w:p>
    <w:p w14:paraId="6EE10FA2">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（图1：收入、支出决算总计变动情况图）（柱状图）</w:t>
      </w:r>
    </w:p>
    <w:p w14:paraId="5CDF2D8F">
      <w:pPr>
        <w:ind w:firstLine="640" w:firstLineChars="200"/>
        <w:rPr>
          <w:rFonts w:eastAsia="仿宋_GB2312" w:cs="仿宋_GB2312"/>
          <w:sz w:val="32"/>
          <w:szCs w:val="32"/>
          <w:highlight w:val="yellow"/>
        </w:rPr>
      </w:pPr>
      <w:r>
        <w:rPr>
          <w:rFonts w:eastAsia="仿宋_GB2312" w:cs="仿宋_GB2312"/>
          <w:sz w:val="32"/>
          <w:szCs w:val="32"/>
        </w:rPr>
        <w:drawing>
          <wp:inline distT="0" distB="0" distL="0" distR="0">
            <wp:extent cx="4743450" cy="2581275"/>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B75050">
      <w:pPr>
        <w:pStyle w:val="27"/>
        <w:spacing w:line="600" w:lineRule="exact"/>
        <w:ind w:firstLine="640"/>
        <w:outlineLvl w:val="1"/>
        <w:rPr>
          <w:rFonts w:eastAsia="黑体"/>
          <w:sz w:val="32"/>
          <w:szCs w:val="32"/>
          <w:highlight w:val="none"/>
        </w:rPr>
      </w:pPr>
      <w:bookmarkStart w:id="18" w:name="_Toc15377206"/>
      <w:bookmarkStart w:id="19" w:name="_Toc15396604"/>
      <w:r>
        <w:rPr>
          <w:rFonts w:hint="eastAsia" w:eastAsia="黑体"/>
          <w:sz w:val="32"/>
          <w:szCs w:val="32"/>
          <w:highlight w:val="none"/>
        </w:rPr>
        <w:t>二、收入决算情况说明</w:t>
      </w:r>
      <w:bookmarkEnd w:id="18"/>
      <w:bookmarkEnd w:id="19"/>
    </w:p>
    <w:p w14:paraId="6F40CD79">
      <w:pPr>
        <w:pStyle w:val="27"/>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2025年度本年收入合计</w:t>
      </w:r>
      <w:r>
        <w:rPr>
          <w:rFonts w:hint="eastAsia" w:ascii="仿宋_GB2312" w:hAnsi="仿宋_GB2312" w:eastAsia="仿宋_GB2312" w:cs="仿宋_GB2312"/>
          <w:sz w:val="32"/>
          <w:szCs w:val="32"/>
          <w:highlight w:val="none"/>
        </w:rPr>
        <w:t>530.95</w:t>
      </w:r>
      <w:r>
        <w:rPr>
          <w:rFonts w:hint="eastAsia"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rPr>
        <w:t>507.95</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95.7</w:t>
      </w:r>
      <w:r>
        <w:rPr>
          <w:rFonts w:hint="eastAsia" w:eastAsia="仿宋_GB2312" w:cs="仿宋_GB2312"/>
          <w:sz w:val="32"/>
          <w:szCs w:val="32"/>
          <w:highlight w:val="none"/>
        </w:rPr>
        <w:t>%；政府性基金预算财政拨款收入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%；国有资本经营预算财政拨款收入</w:t>
      </w:r>
      <w:r>
        <w:rPr>
          <w:rFonts w:hint="eastAsia" w:ascii="仿宋_GB2312" w:hAnsi="仿宋_GB2312" w:eastAsia="仿宋_GB2312" w:cs="仿宋_GB2312"/>
          <w:sz w:val="32"/>
          <w:szCs w:val="32"/>
          <w:highlight w:val="none"/>
        </w:rPr>
        <w:t>23</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4.3</w:t>
      </w:r>
      <w:r>
        <w:rPr>
          <w:rFonts w:hint="eastAsia" w:eastAsia="仿宋_GB2312" w:cs="仿宋_GB2312"/>
          <w:sz w:val="32"/>
          <w:szCs w:val="32"/>
          <w:highlight w:val="none"/>
        </w:rPr>
        <w:t>%；上级补助收入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%；事业收入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%；附属单位上缴收入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%；其他收入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36DD701A">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（图2：收入决算结构图）（饼状图）</w:t>
      </w:r>
    </w:p>
    <w:p w14:paraId="256D1513">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81525" cy="2400300"/>
            <wp:effectExtent l="19050" t="0" r="9525"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8CC54B">
      <w:pPr>
        <w:pStyle w:val="27"/>
        <w:spacing w:line="600" w:lineRule="exact"/>
        <w:ind w:firstLine="640"/>
        <w:outlineLvl w:val="1"/>
        <w:rPr>
          <w:rStyle w:val="29"/>
          <w:rFonts w:ascii="Times New Roman" w:hAnsi="Times New Roman" w:eastAsia="黑体"/>
          <w:b w:val="0"/>
          <w:highlight w:val="none"/>
        </w:rPr>
      </w:pPr>
      <w:bookmarkStart w:id="20" w:name="_Toc15396605"/>
      <w:bookmarkStart w:id="21" w:name="_Toc15377207"/>
      <w:r>
        <w:rPr>
          <w:rFonts w:hint="eastAsia" w:eastAsia="黑体"/>
          <w:sz w:val="32"/>
          <w:szCs w:val="32"/>
          <w:highlight w:val="none"/>
        </w:rPr>
        <w:t>三、支</w:t>
      </w:r>
      <w:r>
        <w:rPr>
          <w:rStyle w:val="29"/>
          <w:rFonts w:hint="eastAsia" w:ascii="Times New Roman" w:hAnsi="Times New Roman" w:eastAsia="黑体"/>
          <w:b w:val="0"/>
          <w:highlight w:val="none"/>
        </w:rPr>
        <w:t>出决算情况说明</w:t>
      </w:r>
      <w:bookmarkEnd w:id="20"/>
      <w:bookmarkEnd w:id="21"/>
    </w:p>
    <w:p w14:paraId="295D2DE3">
      <w:pPr>
        <w:pStyle w:val="27"/>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2025年度本年支出合计</w:t>
      </w:r>
      <w:r>
        <w:rPr>
          <w:rFonts w:hint="eastAsia" w:ascii="仿宋_GB2312" w:hAnsi="仿宋_GB2312" w:eastAsia="仿宋_GB2312" w:cs="仿宋_GB2312"/>
          <w:sz w:val="32"/>
          <w:szCs w:val="32"/>
          <w:highlight w:val="none"/>
        </w:rPr>
        <w:t>530.95</w:t>
      </w:r>
      <w:r>
        <w:rPr>
          <w:rFonts w:hint="eastAsia" w:eastAsia="仿宋_GB2312" w:cs="仿宋_GB2312"/>
          <w:sz w:val="32"/>
          <w:szCs w:val="32"/>
          <w:highlight w:val="none"/>
        </w:rPr>
        <w:t>万元，其中：基本支出</w:t>
      </w:r>
      <w:r>
        <w:rPr>
          <w:rFonts w:hint="eastAsia" w:ascii="仿宋_GB2312" w:hAnsi="仿宋_GB2312" w:eastAsia="仿宋_GB2312" w:cs="仿宋_GB2312"/>
          <w:sz w:val="32"/>
          <w:szCs w:val="32"/>
          <w:highlight w:val="none"/>
        </w:rPr>
        <w:t>333.25</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62.8</w:t>
      </w:r>
      <w:r>
        <w:rPr>
          <w:rFonts w:hint="eastAsia" w:eastAsia="仿宋_GB2312" w:cs="仿宋_GB2312"/>
          <w:sz w:val="32"/>
          <w:szCs w:val="32"/>
          <w:highlight w:val="none"/>
        </w:rPr>
        <w:t>%；项目支出</w:t>
      </w:r>
      <w:r>
        <w:rPr>
          <w:rFonts w:hint="eastAsia" w:ascii="仿宋_GB2312" w:hAnsi="仿宋_GB2312" w:eastAsia="仿宋_GB2312" w:cs="仿宋_GB2312"/>
          <w:sz w:val="32"/>
          <w:szCs w:val="32"/>
          <w:highlight w:val="none"/>
        </w:rPr>
        <w:t>197.7</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37.2</w:t>
      </w:r>
      <w:r>
        <w:rPr>
          <w:rFonts w:hint="eastAsia" w:eastAsia="仿宋_GB2312" w:cs="仿宋_GB2312"/>
          <w:sz w:val="32"/>
          <w:szCs w:val="32"/>
          <w:highlight w:val="none"/>
        </w:rPr>
        <w:t>%；上缴上级支出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%；对附属单位补助支出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71B2E45D">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（图3：支出决算结构图）（饼状图）</w:t>
      </w:r>
    </w:p>
    <w:p w14:paraId="03AB7554">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05325" cy="2124075"/>
            <wp:effectExtent l="19050" t="0" r="952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7A7C68">
      <w:pPr>
        <w:spacing w:line="600" w:lineRule="exact"/>
        <w:ind w:firstLine="640" w:firstLineChars="200"/>
        <w:outlineLvl w:val="1"/>
        <w:rPr>
          <w:rStyle w:val="29"/>
          <w:rFonts w:ascii="Times New Roman" w:hAnsi="Times New Roman" w:eastAsia="黑体"/>
          <w:b w:val="0"/>
          <w:highlight w:val="none"/>
        </w:rPr>
      </w:pPr>
      <w:bookmarkStart w:id="22" w:name="_Toc15396606"/>
      <w:bookmarkStart w:id="23" w:name="_Toc15377208"/>
      <w:r>
        <w:rPr>
          <w:rFonts w:hint="eastAsia" w:eastAsia="黑体"/>
          <w:sz w:val="32"/>
          <w:szCs w:val="32"/>
          <w:highlight w:val="none"/>
        </w:rPr>
        <w:t>四、财</w:t>
      </w:r>
      <w:r>
        <w:rPr>
          <w:rStyle w:val="29"/>
          <w:rFonts w:hint="eastAsia" w:ascii="Times New Roman" w:hAnsi="Times New Roman" w:eastAsia="黑体"/>
          <w:b w:val="0"/>
          <w:highlight w:val="none"/>
        </w:rPr>
        <w:t>政拨款收入支出决算总体情况说明</w:t>
      </w:r>
      <w:bookmarkEnd w:id="22"/>
      <w:bookmarkEnd w:id="23"/>
    </w:p>
    <w:p w14:paraId="4598123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2025年度财政拨款收入、支出总计均为</w:t>
      </w:r>
      <w:r>
        <w:rPr>
          <w:rFonts w:hint="eastAsia" w:ascii="仿宋_GB2312" w:hAnsi="仿宋_GB2312" w:eastAsia="仿宋_GB2312" w:cs="仿宋_GB2312"/>
          <w:sz w:val="32"/>
          <w:szCs w:val="32"/>
          <w:highlight w:val="none"/>
        </w:rPr>
        <w:t>530.95</w:t>
      </w:r>
      <w:r>
        <w:rPr>
          <w:rFonts w:hint="eastAsia" w:eastAsia="仿宋_GB2312" w:cs="仿宋_GB2312"/>
          <w:sz w:val="32"/>
          <w:szCs w:val="32"/>
          <w:highlight w:val="none"/>
        </w:rPr>
        <w:t>万元。与上年度相比，财政拨款收入、支出总计各增加188.56万元，增长55.1%。主要变动原因是本年度人员、公用经费增多，项目经费增多。（图4：财政拨款收、支决算总计变动情况）（柱状图）</w:t>
      </w:r>
    </w:p>
    <w:p w14:paraId="1A9E8128">
      <w:pPr>
        <w:spacing w:line="600" w:lineRule="exact"/>
        <w:ind w:firstLine="640"/>
        <w:rPr>
          <w:rFonts w:eastAsia="仿宋_GB2312" w:cs="仿宋_GB2312"/>
          <w:sz w:val="32"/>
          <w:szCs w:val="32"/>
          <w:highlight w:val="yellow"/>
        </w:rPr>
      </w:pPr>
    </w:p>
    <w:p w14:paraId="1356E9BB">
      <w:pPr>
        <w:pStyle w:val="2"/>
        <w:rPr>
          <w:highlight w:val="yellow"/>
        </w:rPr>
      </w:pPr>
    </w:p>
    <w:p w14:paraId="49A012C9">
      <w:pPr>
        <w:pStyle w:val="3"/>
        <w:ind w:left="420"/>
        <w:rPr>
          <w:highlight w:val="yellow"/>
        </w:rPr>
      </w:pPr>
      <w:r>
        <w:drawing>
          <wp:inline distT="0" distB="0" distL="0" distR="0">
            <wp:extent cx="5038725" cy="2371725"/>
            <wp:effectExtent l="19050" t="0" r="952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7956054">
      <w:pPr>
        <w:spacing w:line="600" w:lineRule="exact"/>
        <w:ind w:firstLine="640" w:firstLineChars="200"/>
        <w:outlineLvl w:val="1"/>
        <w:rPr>
          <w:rStyle w:val="29"/>
          <w:rFonts w:ascii="Times New Roman" w:hAnsi="Times New Roman" w:eastAsia="黑体"/>
          <w:b w:val="0"/>
          <w:highlight w:val="none"/>
        </w:rPr>
      </w:pPr>
      <w:bookmarkStart w:id="24" w:name="_Toc15396607"/>
      <w:bookmarkStart w:id="25" w:name="_Toc15377209"/>
      <w:r>
        <w:rPr>
          <w:rFonts w:hint="eastAsia" w:eastAsia="黑体"/>
          <w:sz w:val="32"/>
          <w:szCs w:val="32"/>
          <w:highlight w:val="none"/>
        </w:rPr>
        <w:t>五、</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般公共预算财政拨款支出决算情况说明</w:t>
      </w:r>
      <w:bookmarkEnd w:id="24"/>
      <w:bookmarkEnd w:id="25"/>
    </w:p>
    <w:p w14:paraId="19595E0C">
      <w:pPr>
        <w:spacing w:line="600" w:lineRule="exact"/>
        <w:ind w:firstLine="643" w:firstLineChars="200"/>
        <w:outlineLvl w:val="2"/>
        <w:rPr>
          <w:rFonts w:eastAsia="楷体_GB2312" w:cs="楷体_GB2312"/>
          <w:b/>
          <w:sz w:val="32"/>
          <w:szCs w:val="32"/>
          <w:highlight w:val="none"/>
        </w:rPr>
      </w:pPr>
      <w:bookmarkStart w:id="26" w:name="_Toc15377210"/>
      <w:r>
        <w:rPr>
          <w:rFonts w:hint="eastAsia" w:eastAsia="楷体_GB2312" w:cs="楷体_GB2312"/>
          <w:b/>
          <w:sz w:val="32"/>
          <w:szCs w:val="32"/>
          <w:highlight w:val="none"/>
        </w:rPr>
        <w:t>（一）一般公共预算财政拨款支出决算总体情况</w:t>
      </w:r>
      <w:bookmarkEnd w:id="26"/>
    </w:p>
    <w:p w14:paraId="384E9362">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507.95</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95.7</w:t>
      </w:r>
      <w:r>
        <w:rPr>
          <w:rFonts w:hint="eastAsia" w:eastAsia="仿宋_GB2312" w:cs="仿宋_GB2312"/>
          <w:sz w:val="32"/>
          <w:szCs w:val="32"/>
          <w:highlight w:val="none"/>
        </w:rPr>
        <w:t>%。与上年度相比，一般公共预算财政拨款支出增加165.56万元，增长48.4%。主要变动原因是本年度人员、公用经费增多，项目经费增多。</w:t>
      </w:r>
    </w:p>
    <w:p w14:paraId="5E84FE7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（图5：一般公共预算财政拨款支出决算变动情况）（柱状图）</w:t>
      </w:r>
    </w:p>
    <w:p w14:paraId="249F05CB">
      <w:pPr>
        <w:spacing w:line="600" w:lineRule="exact"/>
        <w:ind w:firstLine="640"/>
        <w:rPr>
          <w:rFonts w:eastAsia="仿宋_GB2312" w:cs="仿宋_GB2312"/>
          <w:sz w:val="32"/>
          <w:szCs w:val="32"/>
          <w:highlight w:val="yellow"/>
        </w:rPr>
      </w:pPr>
    </w:p>
    <w:p w14:paraId="72DF0FC8">
      <w:pPr>
        <w:pStyle w:val="2"/>
        <w:rPr>
          <w:highlight w:val="yellow"/>
        </w:rPr>
      </w:pPr>
      <w:r>
        <w:drawing>
          <wp:inline distT="0" distB="0" distL="0" distR="0">
            <wp:extent cx="4200525" cy="2362200"/>
            <wp:effectExtent l="19050" t="0" r="9525"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31F45F">
      <w:pPr>
        <w:spacing w:line="600" w:lineRule="exact"/>
        <w:ind w:firstLine="643" w:firstLineChars="200"/>
        <w:outlineLvl w:val="2"/>
        <w:rPr>
          <w:rFonts w:eastAsia="楷体_GB2312" w:cs="楷体_GB2312"/>
          <w:b/>
          <w:sz w:val="32"/>
          <w:szCs w:val="32"/>
          <w:highlight w:val="none"/>
        </w:rPr>
      </w:pPr>
      <w:bookmarkStart w:id="27" w:name="_Toc15377211"/>
      <w:r>
        <w:rPr>
          <w:rFonts w:hint="eastAsia" w:eastAsia="楷体_GB2312" w:cs="楷体_GB2312"/>
          <w:b/>
          <w:sz w:val="32"/>
          <w:szCs w:val="32"/>
          <w:highlight w:val="none"/>
        </w:rPr>
        <w:t>（二）一般公共预算财政拨款支出决算结构情况</w:t>
      </w:r>
      <w:bookmarkEnd w:id="27"/>
    </w:p>
    <w:p w14:paraId="168E9800">
      <w:pPr>
        <w:spacing w:line="600" w:lineRule="exact"/>
        <w:ind w:firstLine="640"/>
        <w:rPr>
          <w:rFonts w:eastAsia="仿宋_GB2312" w:cs="仿宋_GB2312"/>
          <w:b/>
          <w:bCs/>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507.95</w:t>
      </w:r>
      <w:r>
        <w:rPr>
          <w:rFonts w:hint="eastAsia" w:eastAsia="仿宋_GB2312" w:cs="仿宋_GB2312"/>
          <w:sz w:val="32"/>
          <w:szCs w:val="32"/>
          <w:highlight w:val="none"/>
        </w:rPr>
        <w:t>万元，主要用于以下方面：一般公共服务支出0万元，占0%；教育支出0万元，占0%；科学技术支出0万元，占0%；文化旅游体育与传媒支出0万元，占0%；社会保障和就业支出55.15万元，占10.9%；卫生健康支出432.19万元，占4.1%；住房保障支出20.61万元，占85%。</w:t>
      </w:r>
    </w:p>
    <w:p w14:paraId="6FDB2B2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（图6：一般公共预算财政拨款支出决算结构）（饼状图）</w:t>
      </w:r>
    </w:p>
    <w:p w14:paraId="47ABFA57">
      <w:pPr>
        <w:spacing w:line="600" w:lineRule="exact"/>
        <w:ind w:firstLine="640"/>
        <w:rPr>
          <w:rFonts w:eastAsia="仿宋_GB2312" w:cs="仿宋_GB2312"/>
          <w:sz w:val="32"/>
          <w:szCs w:val="32"/>
          <w:highlight w:val="yellow"/>
        </w:rPr>
      </w:pPr>
    </w:p>
    <w:p w14:paraId="17AAFF10">
      <w:pPr>
        <w:pStyle w:val="2"/>
        <w:rPr>
          <w:highlight w:val="yellow"/>
        </w:rPr>
      </w:pPr>
      <w:r>
        <w:drawing>
          <wp:inline distT="0" distB="0" distL="0" distR="0">
            <wp:extent cx="5274310" cy="3252470"/>
            <wp:effectExtent l="19050" t="0" r="21590" b="5059"/>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A586E92">
      <w:pPr>
        <w:spacing w:line="600" w:lineRule="exact"/>
        <w:ind w:firstLine="643" w:firstLineChars="200"/>
        <w:outlineLvl w:val="2"/>
        <w:rPr>
          <w:rFonts w:eastAsia="楷体_GB2312" w:cs="楷体_GB2312"/>
          <w:b/>
          <w:sz w:val="32"/>
          <w:szCs w:val="32"/>
          <w:highlight w:val="none"/>
        </w:rPr>
      </w:pPr>
      <w:bookmarkStart w:id="28" w:name="_Toc15377212"/>
      <w:r>
        <w:rPr>
          <w:rFonts w:hint="eastAsia" w:eastAsia="楷体_GB2312" w:cs="楷体_GB2312"/>
          <w:b/>
          <w:sz w:val="32"/>
          <w:szCs w:val="32"/>
          <w:highlight w:val="none"/>
        </w:rPr>
        <w:t>（三）一般公共预算财政拨款支出决算具体情况</w:t>
      </w:r>
      <w:bookmarkEnd w:id="28"/>
    </w:p>
    <w:p w14:paraId="2491DE34">
      <w:pPr>
        <w:spacing w:line="600" w:lineRule="exact"/>
        <w:ind w:firstLine="640"/>
        <w:rPr>
          <w:rFonts w:eastAsia="仿宋_GB2312" w:cs="仿宋_GB2312"/>
          <w:sz w:val="32"/>
          <w:szCs w:val="32"/>
          <w:highlight w:val="none"/>
        </w:rPr>
      </w:pPr>
      <w:bookmarkStart w:id="29" w:name="_Toc15377444"/>
      <w:bookmarkStart w:id="30" w:name="_Toc15377213"/>
      <w:bookmarkStart w:id="31" w:name="_Toc15378460"/>
      <w:r>
        <w:rPr>
          <w:rFonts w:hint="eastAsia" w:eastAsia="仿宋_GB2312" w:cs="仿宋_GB2312"/>
          <w:sz w:val="32"/>
          <w:szCs w:val="32"/>
          <w:highlight w:val="none"/>
        </w:rPr>
        <w:t>2025年度一般公共预算支出决算数为</w:t>
      </w:r>
      <w:r>
        <w:rPr>
          <w:rFonts w:hint="eastAsia" w:ascii="仿宋_GB2312" w:hAnsi="仿宋_GB2312" w:eastAsia="仿宋_GB2312" w:cs="仿宋_GB2312"/>
          <w:sz w:val="32"/>
          <w:szCs w:val="32"/>
          <w:highlight w:val="none"/>
        </w:rPr>
        <w:t>507.95</w:t>
      </w:r>
      <w:r>
        <w:rPr>
          <w:rFonts w:hint="eastAsia" w:eastAsia="仿宋_GB2312" w:cs="仿宋_GB2312"/>
          <w:sz w:val="32"/>
          <w:szCs w:val="32"/>
          <w:highlight w:val="none"/>
        </w:rPr>
        <w:t>，完成预算100%。其中：</w:t>
      </w:r>
      <w:bookmarkEnd w:id="29"/>
      <w:bookmarkEnd w:id="30"/>
      <w:bookmarkEnd w:id="31"/>
    </w:p>
    <w:p w14:paraId="5F82C78C">
      <w:pPr>
        <w:spacing w:line="600" w:lineRule="exact"/>
        <w:ind w:firstLine="640"/>
        <w:rPr>
          <w:rFonts w:eastAsia="仿宋_GB2312" w:cs="仿宋_GB2312"/>
          <w:sz w:val="32"/>
          <w:szCs w:val="32"/>
          <w:highlight w:val="none"/>
        </w:rPr>
      </w:pPr>
      <w:r>
        <w:rPr>
          <w:rFonts w:eastAsia="仿宋_GB2312" w:cs="仿宋_GB2312"/>
          <w:sz w:val="32"/>
          <w:szCs w:val="32"/>
          <w:highlight w:val="none"/>
        </w:rPr>
        <w:t xml:space="preserve">1. </w:t>
      </w:r>
      <w:r>
        <w:rPr>
          <w:rFonts w:hint="eastAsia" w:eastAsia="仿宋_GB2312" w:cs="仿宋_GB2312"/>
          <w:sz w:val="32"/>
          <w:szCs w:val="32"/>
          <w:highlight w:val="none"/>
        </w:rPr>
        <w:t>社会保障和就业支出（类）行政事业单位养老支出（款）行政单位离退休（项）</w:t>
      </w:r>
      <w:r>
        <w:rPr>
          <w:rFonts w:eastAsia="仿宋_GB2312" w:cs="仿宋_GB2312"/>
          <w:sz w:val="32"/>
          <w:szCs w:val="32"/>
          <w:highlight w:val="none"/>
        </w:rPr>
        <w:t xml:space="preserve">: </w:t>
      </w:r>
      <w:r>
        <w:rPr>
          <w:rFonts w:hint="eastAsia" w:eastAsia="仿宋_GB2312" w:cs="仿宋_GB2312"/>
          <w:sz w:val="32"/>
          <w:szCs w:val="32"/>
          <w:highlight w:val="none"/>
        </w:rPr>
        <w:t>支出决算为4.78万元，完成预算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7E29C3CE">
      <w:pPr>
        <w:spacing w:line="600" w:lineRule="exact"/>
        <w:ind w:firstLine="640"/>
        <w:rPr>
          <w:rFonts w:eastAsia="仿宋_GB2312" w:cs="仿宋_GB2312"/>
          <w:sz w:val="32"/>
          <w:szCs w:val="32"/>
          <w:highlight w:val="none"/>
        </w:rPr>
      </w:pPr>
      <w:r>
        <w:rPr>
          <w:rFonts w:eastAsia="仿宋_GB2312" w:cs="仿宋_GB2312"/>
          <w:sz w:val="32"/>
          <w:szCs w:val="32"/>
          <w:highlight w:val="none"/>
        </w:rPr>
        <w:t xml:space="preserve">2. </w:t>
      </w:r>
      <w:r>
        <w:rPr>
          <w:rFonts w:hint="eastAsia" w:eastAsia="仿宋_GB2312" w:cs="仿宋_GB2312"/>
          <w:sz w:val="32"/>
          <w:szCs w:val="32"/>
          <w:highlight w:val="none"/>
        </w:rPr>
        <w:t>社会保障和就业支出（类）行政事业单位养老支出（款）机关事业单位基本养老保险缴费支出（项）</w:t>
      </w:r>
      <w:r>
        <w:rPr>
          <w:rFonts w:eastAsia="仿宋_GB2312" w:cs="仿宋_GB2312"/>
          <w:sz w:val="32"/>
          <w:szCs w:val="32"/>
          <w:highlight w:val="none"/>
        </w:rPr>
        <w:t xml:space="preserve">: </w:t>
      </w:r>
      <w:r>
        <w:rPr>
          <w:rFonts w:hint="eastAsia" w:eastAsia="仿宋_GB2312" w:cs="仿宋_GB2312"/>
          <w:sz w:val="32"/>
          <w:szCs w:val="32"/>
          <w:highlight w:val="none"/>
        </w:rPr>
        <w:t>支出决算为24.71万元，完成预算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771F0A3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3</w:t>
      </w:r>
      <w:r>
        <w:rPr>
          <w:rFonts w:eastAsia="仿宋_GB2312" w:cs="仿宋_GB2312"/>
          <w:sz w:val="32"/>
          <w:szCs w:val="32"/>
          <w:highlight w:val="none"/>
        </w:rPr>
        <w:t>.</w:t>
      </w:r>
      <w:r>
        <w:rPr>
          <w:rFonts w:hint="eastAsia" w:eastAsia="仿宋_GB2312" w:cs="仿宋_GB2312"/>
          <w:sz w:val="32"/>
          <w:szCs w:val="32"/>
          <w:highlight w:val="none"/>
        </w:rPr>
        <w:t xml:space="preserve"> 社会保障和就业支出（类）行政事业单位养老支出（款）机关事业单位职业年金缴费支出（项）</w:t>
      </w:r>
      <w:r>
        <w:rPr>
          <w:rFonts w:eastAsia="仿宋_GB2312" w:cs="仿宋_GB2312"/>
          <w:sz w:val="32"/>
          <w:szCs w:val="32"/>
          <w:highlight w:val="none"/>
        </w:rPr>
        <w:t xml:space="preserve">: </w:t>
      </w:r>
      <w:r>
        <w:rPr>
          <w:rFonts w:hint="eastAsia" w:eastAsia="仿宋_GB2312" w:cs="仿宋_GB2312"/>
          <w:sz w:val="32"/>
          <w:szCs w:val="32"/>
          <w:highlight w:val="none"/>
        </w:rPr>
        <w:t>支出决算为25.66万元，完成预算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5386B95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4</w:t>
      </w:r>
      <w:r>
        <w:rPr>
          <w:rFonts w:eastAsia="仿宋_GB2312" w:cs="仿宋_GB2312"/>
          <w:sz w:val="32"/>
          <w:szCs w:val="32"/>
          <w:highlight w:val="none"/>
        </w:rPr>
        <w:t xml:space="preserve">. </w:t>
      </w:r>
      <w:r>
        <w:rPr>
          <w:rFonts w:hint="eastAsia" w:eastAsia="仿宋_GB2312" w:cs="仿宋_GB2312"/>
          <w:sz w:val="32"/>
          <w:szCs w:val="32"/>
          <w:highlight w:val="none"/>
        </w:rPr>
        <w:t>卫生健康支出（类）行政事业单位医疗（款）行政单位医疗（项）</w:t>
      </w:r>
      <w:r>
        <w:rPr>
          <w:rFonts w:eastAsia="仿宋_GB2312" w:cs="仿宋_GB2312"/>
          <w:sz w:val="32"/>
          <w:szCs w:val="32"/>
          <w:highlight w:val="none"/>
        </w:rPr>
        <w:t xml:space="preserve">: </w:t>
      </w:r>
      <w:r>
        <w:rPr>
          <w:rFonts w:hint="eastAsia" w:eastAsia="仿宋_GB2312" w:cs="仿宋_GB2312"/>
          <w:sz w:val="32"/>
          <w:szCs w:val="32"/>
          <w:highlight w:val="none"/>
        </w:rPr>
        <w:t>支出决算为11.62万元，完成预算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2CBA143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5</w:t>
      </w:r>
      <w:r>
        <w:rPr>
          <w:rFonts w:eastAsia="仿宋_GB2312" w:cs="仿宋_GB2312"/>
          <w:sz w:val="32"/>
          <w:szCs w:val="32"/>
          <w:highlight w:val="none"/>
        </w:rPr>
        <w:t xml:space="preserve">. </w:t>
      </w:r>
      <w:r>
        <w:rPr>
          <w:rFonts w:hint="eastAsia" w:eastAsia="仿宋_GB2312" w:cs="仿宋_GB2312"/>
          <w:sz w:val="32"/>
          <w:szCs w:val="32"/>
          <w:highlight w:val="none"/>
        </w:rPr>
        <w:t>卫生健康支出（类）行政事业单位医疗（款）事业单位医疗（项）</w:t>
      </w:r>
      <w:r>
        <w:rPr>
          <w:rFonts w:eastAsia="仿宋_GB2312" w:cs="仿宋_GB2312"/>
          <w:sz w:val="32"/>
          <w:szCs w:val="32"/>
          <w:highlight w:val="none"/>
        </w:rPr>
        <w:t>:</w:t>
      </w:r>
      <w:r>
        <w:rPr>
          <w:rFonts w:hint="eastAsia" w:eastAsia="仿宋_GB2312" w:cs="仿宋_GB2312"/>
          <w:sz w:val="32"/>
          <w:szCs w:val="32"/>
          <w:highlight w:val="none"/>
        </w:rPr>
        <w:t>支出决算为1.64万元，完成预算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26B3103">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6</w:t>
      </w:r>
      <w:r>
        <w:rPr>
          <w:rFonts w:eastAsia="仿宋_GB2312" w:cs="仿宋_GB2312"/>
          <w:sz w:val="32"/>
          <w:szCs w:val="32"/>
          <w:highlight w:val="none"/>
        </w:rPr>
        <w:t xml:space="preserve">. </w:t>
      </w:r>
      <w:r>
        <w:rPr>
          <w:rFonts w:hint="eastAsia" w:eastAsia="仿宋_GB2312" w:cs="仿宋_GB2312"/>
          <w:sz w:val="32"/>
          <w:szCs w:val="32"/>
          <w:highlight w:val="none"/>
        </w:rPr>
        <w:t>卫生健康支出（类）行政事业单位医疗（款）公务员医疗补助（项）</w:t>
      </w:r>
      <w:r>
        <w:rPr>
          <w:rFonts w:eastAsia="仿宋_GB2312" w:cs="仿宋_GB2312"/>
          <w:sz w:val="32"/>
          <w:szCs w:val="32"/>
          <w:highlight w:val="none"/>
        </w:rPr>
        <w:t>:</w:t>
      </w:r>
      <w:r>
        <w:rPr>
          <w:rFonts w:hint="eastAsia" w:eastAsia="仿宋_GB2312" w:cs="仿宋_GB2312"/>
          <w:sz w:val="32"/>
          <w:szCs w:val="32"/>
          <w:highlight w:val="none"/>
        </w:rPr>
        <w:t>支出决算为2.24万元，完成预算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2EFF9C3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7</w:t>
      </w:r>
      <w:r>
        <w:rPr>
          <w:rFonts w:eastAsia="仿宋_GB2312" w:cs="仿宋_GB2312"/>
          <w:sz w:val="32"/>
          <w:szCs w:val="32"/>
          <w:highlight w:val="none"/>
        </w:rPr>
        <w:t>.</w:t>
      </w:r>
      <w:r>
        <w:rPr>
          <w:rFonts w:hint="eastAsia" w:eastAsia="仿宋_GB2312" w:cs="仿宋_GB2312"/>
          <w:sz w:val="32"/>
          <w:szCs w:val="32"/>
          <w:highlight w:val="none"/>
        </w:rPr>
        <w:t xml:space="preserve"> 卫生健康支出（类）医疗救助（款）城乡医疗救助（项）</w:t>
      </w:r>
      <w:r>
        <w:rPr>
          <w:rFonts w:eastAsia="仿宋_GB2312" w:cs="仿宋_GB2312"/>
          <w:sz w:val="32"/>
          <w:szCs w:val="32"/>
          <w:highlight w:val="none"/>
        </w:rPr>
        <w:t>:</w:t>
      </w:r>
      <w:r>
        <w:rPr>
          <w:rFonts w:hint="eastAsia" w:eastAsia="仿宋_GB2312" w:cs="仿宋_GB2312"/>
          <w:sz w:val="32"/>
          <w:szCs w:val="32"/>
          <w:highlight w:val="none"/>
        </w:rPr>
        <w:t>支出决算为117.01万元，完成预算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7919F5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8.卫生健康支出（类）医疗保障管理事务（款）行政运行（项）</w:t>
      </w:r>
      <w:r>
        <w:rPr>
          <w:rFonts w:eastAsia="仿宋_GB2312" w:cs="仿宋_GB2312"/>
          <w:sz w:val="32"/>
          <w:szCs w:val="32"/>
          <w:highlight w:val="none"/>
        </w:rPr>
        <w:t>:</w:t>
      </w:r>
      <w:r>
        <w:rPr>
          <w:rFonts w:hint="eastAsia" w:eastAsia="仿宋_GB2312" w:cs="仿宋_GB2312"/>
          <w:sz w:val="32"/>
          <w:szCs w:val="32"/>
          <w:highlight w:val="none"/>
        </w:rPr>
        <w:t>支出决算为218.12万元，完成预算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1525521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9</w:t>
      </w:r>
      <w:r>
        <w:rPr>
          <w:rFonts w:eastAsia="仿宋_GB2312" w:cs="仿宋_GB2312"/>
          <w:sz w:val="32"/>
          <w:szCs w:val="32"/>
          <w:highlight w:val="none"/>
        </w:rPr>
        <w:t>.</w:t>
      </w:r>
      <w:r>
        <w:rPr>
          <w:rFonts w:hint="eastAsia" w:eastAsia="仿宋_GB2312" w:cs="仿宋_GB2312"/>
          <w:sz w:val="32"/>
          <w:szCs w:val="32"/>
          <w:highlight w:val="none"/>
        </w:rPr>
        <w:t>卫生健康支出（类）医疗保障管理事务（款）事业运行（项）</w:t>
      </w:r>
      <w:r>
        <w:rPr>
          <w:rFonts w:eastAsia="仿宋_GB2312" w:cs="仿宋_GB2312"/>
          <w:sz w:val="32"/>
          <w:szCs w:val="32"/>
          <w:highlight w:val="none"/>
        </w:rPr>
        <w:t>:</w:t>
      </w:r>
      <w:r>
        <w:rPr>
          <w:rFonts w:hint="eastAsia" w:eastAsia="仿宋_GB2312" w:cs="仿宋_GB2312"/>
          <w:sz w:val="32"/>
          <w:szCs w:val="32"/>
          <w:highlight w:val="none"/>
        </w:rPr>
        <w:t>支出决算为23.86万元，完成预算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2FD390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10</w:t>
      </w:r>
      <w:r>
        <w:rPr>
          <w:rFonts w:eastAsia="仿宋_GB2312" w:cs="仿宋_GB2312"/>
          <w:sz w:val="32"/>
          <w:szCs w:val="32"/>
          <w:highlight w:val="none"/>
        </w:rPr>
        <w:t>.</w:t>
      </w:r>
      <w:r>
        <w:rPr>
          <w:rFonts w:hint="eastAsia" w:eastAsia="仿宋_GB2312" w:cs="仿宋_GB2312"/>
          <w:sz w:val="32"/>
          <w:szCs w:val="32"/>
          <w:highlight w:val="none"/>
        </w:rPr>
        <w:t>卫生健康支出（类）医疗保障管理事务（款）其他医疗保障管理事务支出（项）</w:t>
      </w:r>
      <w:r>
        <w:rPr>
          <w:rFonts w:eastAsia="仿宋_GB2312" w:cs="仿宋_GB2312"/>
          <w:sz w:val="32"/>
          <w:szCs w:val="32"/>
          <w:highlight w:val="none"/>
        </w:rPr>
        <w:t>:</w:t>
      </w:r>
      <w:r>
        <w:rPr>
          <w:rFonts w:hint="eastAsia" w:eastAsia="仿宋_GB2312" w:cs="仿宋_GB2312"/>
          <w:sz w:val="32"/>
          <w:szCs w:val="32"/>
          <w:highlight w:val="none"/>
        </w:rPr>
        <w:t>支出决算为57.68万元，完成预算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10DBEEE1">
      <w:pPr>
        <w:spacing w:line="600" w:lineRule="exact"/>
        <w:ind w:firstLine="640"/>
        <w:rPr>
          <w:rFonts w:eastAsia="仿宋_GB2312" w:cs="仿宋_GB2312"/>
          <w:sz w:val="32"/>
          <w:szCs w:val="32"/>
          <w:highlight w:val="none"/>
        </w:rPr>
      </w:pPr>
      <w:r>
        <w:rPr>
          <w:rFonts w:eastAsia="仿宋_GB2312" w:cs="仿宋_GB2312"/>
          <w:sz w:val="32"/>
          <w:szCs w:val="32"/>
          <w:highlight w:val="none"/>
        </w:rPr>
        <w:t>1</w:t>
      </w:r>
      <w:r>
        <w:rPr>
          <w:rFonts w:hint="eastAsia" w:eastAsia="仿宋_GB2312" w:cs="仿宋_GB2312"/>
          <w:sz w:val="32"/>
          <w:szCs w:val="32"/>
          <w:highlight w:val="none"/>
        </w:rPr>
        <w:t>1</w:t>
      </w:r>
      <w:r>
        <w:rPr>
          <w:rFonts w:eastAsia="仿宋_GB2312" w:cs="仿宋_GB2312"/>
          <w:sz w:val="32"/>
          <w:szCs w:val="32"/>
          <w:highlight w:val="none"/>
        </w:rPr>
        <w:t xml:space="preserve">. </w:t>
      </w:r>
      <w:r>
        <w:rPr>
          <w:rFonts w:hint="eastAsia" w:eastAsia="仿宋_GB2312" w:cs="仿宋_GB2312"/>
          <w:sz w:val="32"/>
          <w:szCs w:val="32"/>
          <w:highlight w:val="none"/>
        </w:rPr>
        <w:t>住房保障支出（类）住房改革支出（款）住房公积金（项）</w:t>
      </w:r>
      <w:r>
        <w:rPr>
          <w:rFonts w:eastAsia="仿宋_GB2312" w:cs="仿宋_GB2312"/>
          <w:sz w:val="32"/>
          <w:szCs w:val="32"/>
          <w:highlight w:val="none"/>
        </w:rPr>
        <w:t>:</w:t>
      </w:r>
      <w:r>
        <w:rPr>
          <w:rFonts w:hint="eastAsia" w:eastAsia="仿宋_GB2312" w:cs="仿宋_GB2312"/>
          <w:sz w:val="32"/>
          <w:szCs w:val="32"/>
          <w:highlight w:val="none"/>
        </w:rPr>
        <w:t>支出决算为20.61万元，完成预算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F635D17">
      <w:pPr>
        <w:tabs>
          <w:tab w:val="right" w:pos="8306"/>
        </w:tabs>
        <w:spacing w:line="600" w:lineRule="exact"/>
        <w:ind w:firstLine="640"/>
        <w:outlineLvl w:val="1"/>
        <w:rPr>
          <w:rFonts w:hint="eastAsia" w:eastAsia="黑体"/>
          <w:sz w:val="32"/>
          <w:szCs w:val="32"/>
          <w:highlight w:val="none"/>
        </w:rPr>
      </w:pPr>
      <w:bookmarkStart w:id="32" w:name="_Toc15377214"/>
      <w:bookmarkStart w:id="33" w:name="_Toc15396608"/>
    </w:p>
    <w:p w14:paraId="31AD8411">
      <w:pPr>
        <w:tabs>
          <w:tab w:val="right" w:pos="8306"/>
        </w:tabs>
        <w:spacing w:line="600" w:lineRule="exact"/>
        <w:ind w:firstLine="640"/>
        <w:outlineLvl w:val="1"/>
        <w:rPr>
          <w:rStyle w:val="29"/>
          <w:rFonts w:ascii="Times New Roman" w:hAnsi="Times New Roman"/>
          <w:highlight w:val="none"/>
        </w:rPr>
      </w:pPr>
      <w:r>
        <w:rPr>
          <w:rFonts w:hint="eastAsia" w:eastAsia="黑体"/>
          <w:sz w:val="32"/>
          <w:szCs w:val="32"/>
          <w:highlight w:val="none"/>
        </w:rPr>
        <w:t>六</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般公共预算财政拨款基本支出决算情况说明</w:t>
      </w:r>
      <w:bookmarkEnd w:id="32"/>
      <w:bookmarkEnd w:id="33"/>
      <w:r>
        <w:rPr>
          <w:rStyle w:val="29"/>
          <w:rFonts w:ascii="Times New Roman" w:hAnsi="Times New Roman" w:eastAsia="黑体"/>
          <w:b w:val="0"/>
          <w:highlight w:val="none"/>
        </w:rPr>
        <w:tab/>
      </w:r>
    </w:p>
    <w:p w14:paraId="0F44B16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2025年度一般公共预算财政拨款基本支出</w:t>
      </w:r>
      <w:r>
        <w:rPr>
          <w:rFonts w:hint="eastAsia" w:ascii="仿宋_GB2312" w:hAnsi="仿宋_GB2312" w:eastAsia="仿宋_GB2312" w:cs="仿宋_GB2312"/>
          <w:sz w:val="32"/>
          <w:szCs w:val="32"/>
          <w:highlight w:val="none"/>
        </w:rPr>
        <w:t>333.25</w:t>
      </w:r>
      <w:r>
        <w:rPr>
          <w:rFonts w:hint="eastAsia" w:eastAsia="仿宋_GB2312" w:cs="仿宋_GB2312"/>
          <w:sz w:val="32"/>
          <w:szCs w:val="32"/>
          <w:highlight w:val="none"/>
        </w:rPr>
        <w:t>万元，其中：</w:t>
      </w:r>
    </w:p>
    <w:p w14:paraId="6813A8E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人员经费</w:t>
      </w:r>
      <w:r>
        <w:rPr>
          <w:rFonts w:hint="eastAsia" w:ascii="仿宋_GB2312" w:hAnsi="仿宋_GB2312" w:eastAsia="仿宋_GB2312" w:cs="仿宋_GB2312"/>
          <w:sz w:val="32"/>
          <w:szCs w:val="32"/>
          <w:highlight w:val="none"/>
        </w:rPr>
        <w:t>305.36</w:t>
      </w:r>
      <w:r>
        <w:rPr>
          <w:rFonts w:hint="eastAsia" w:eastAsia="仿宋_GB2312" w:cs="仿宋_GB2312"/>
          <w:sz w:val="32"/>
          <w:szCs w:val="32"/>
          <w:highlight w:val="none"/>
        </w:rPr>
        <w:t>万元，主要包括：基本工资、津贴补贴、奖金、绩效工资、机关事业单位基本养老保险缴费、职业年金缴费、其他社会保障缴费、其他工资福利支出、生活补助、医疗费补助、住房公积金等。</w:t>
      </w:r>
      <w:r>
        <w:rPr>
          <w:rFonts w:hint="eastAsia" w:eastAsia="仿宋_GB2312" w:cs="仿宋_GB2312"/>
          <w:sz w:val="32"/>
          <w:szCs w:val="32"/>
          <w:highlight w:val="none"/>
        </w:rPr>
        <w:br w:type="textWrapping"/>
      </w:r>
      <w:r>
        <w:rPr>
          <w:rFonts w:hint="eastAsia" w:eastAsia="仿宋_GB2312" w:cs="仿宋_GB2312"/>
          <w:sz w:val="32"/>
          <w:szCs w:val="32"/>
          <w:highlight w:val="none"/>
        </w:rPr>
        <w:t>　　公用经费</w:t>
      </w:r>
      <w:r>
        <w:rPr>
          <w:rFonts w:hint="eastAsia" w:ascii="仿宋_GB2312" w:hAnsi="仿宋_GB2312" w:eastAsia="仿宋_GB2312" w:cs="仿宋_GB2312"/>
          <w:sz w:val="32"/>
          <w:szCs w:val="32"/>
          <w:highlight w:val="none"/>
        </w:rPr>
        <w:t>27.89</w:t>
      </w:r>
      <w:r>
        <w:rPr>
          <w:rFonts w:hint="eastAsia" w:eastAsia="仿宋_GB2312" w:cs="仿宋_GB2312"/>
          <w:sz w:val="32"/>
          <w:szCs w:val="32"/>
          <w:highlight w:val="none"/>
        </w:rPr>
        <w:t>万元，主要包括：办公费、邮电费、差旅费、培训费、公务接待费、工会经费、福利费、其他交通费、其他商品和服务支出等。</w:t>
      </w:r>
    </w:p>
    <w:p w14:paraId="08C3BD00">
      <w:pPr>
        <w:spacing w:line="600" w:lineRule="exact"/>
        <w:ind w:firstLine="640"/>
        <w:outlineLvl w:val="1"/>
        <w:rPr>
          <w:rStyle w:val="29"/>
          <w:rFonts w:ascii="Times New Roman" w:hAnsi="Times New Roman" w:eastAsia="黑体"/>
          <w:b w:val="0"/>
          <w:highlight w:val="none"/>
        </w:rPr>
      </w:pPr>
      <w:bookmarkStart w:id="34" w:name="_Toc15396609"/>
      <w:bookmarkStart w:id="35" w:name="_Toc15377215"/>
      <w:r>
        <w:rPr>
          <w:rFonts w:hint="eastAsia" w:eastAsia="黑体"/>
          <w:sz w:val="32"/>
          <w:szCs w:val="32"/>
          <w:highlight w:val="none"/>
        </w:rPr>
        <w:t>七、</w:t>
      </w:r>
      <w:r>
        <w:rPr>
          <w:rStyle w:val="29"/>
          <w:rFonts w:hint="eastAsia" w:ascii="Times New Roman" w:hAnsi="Times New Roman" w:eastAsia="黑体"/>
          <w:b w:val="0"/>
          <w:highlight w:val="none"/>
        </w:rPr>
        <w:t>财政拨款</w:t>
      </w:r>
      <w:r>
        <w:rPr>
          <w:rStyle w:val="29"/>
          <w:rFonts w:hint="eastAsia" w:ascii="Times New Roman" w:hAnsi="Times New Roman" w:eastAsia="黑体"/>
          <w:highlight w:val="none"/>
        </w:rPr>
        <w:t>“</w:t>
      </w:r>
      <w:r>
        <w:rPr>
          <w:rStyle w:val="29"/>
          <w:rFonts w:hint="eastAsia" w:ascii="Times New Roman" w:hAnsi="Times New Roman" w:eastAsia="黑体"/>
          <w:b w:val="0"/>
          <w:highlight w:val="none"/>
        </w:rPr>
        <w:t>三公”经费支出决算情况说明</w:t>
      </w:r>
      <w:bookmarkEnd w:id="34"/>
      <w:bookmarkEnd w:id="35"/>
    </w:p>
    <w:p w14:paraId="18A1B31A">
      <w:pPr>
        <w:spacing w:line="600" w:lineRule="exact"/>
        <w:ind w:firstLine="643" w:firstLineChars="200"/>
        <w:outlineLvl w:val="2"/>
        <w:rPr>
          <w:rFonts w:eastAsia="楷体_GB2312" w:cs="楷体_GB2312"/>
          <w:b/>
          <w:sz w:val="32"/>
          <w:szCs w:val="32"/>
          <w:highlight w:val="none"/>
        </w:rPr>
      </w:pPr>
      <w:bookmarkStart w:id="36" w:name="_Toc15377216"/>
      <w:r>
        <w:rPr>
          <w:rFonts w:hint="eastAsia" w:eastAsia="楷体_GB2312" w:cs="楷体_GB2312"/>
          <w:b/>
          <w:sz w:val="32"/>
          <w:szCs w:val="32"/>
          <w:highlight w:val="none"/>
        </w:rPr>
        <w:t>（一）财政拨款“三公”经费支出决算总体情况说明</w:t>
      </w:r>
      <w:bookmarkEnd w:id="36"/>
    </w:p>
    <w:p w14:paraId="6F29E2B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2025年度财政拨款“三公”经费支出决算为</w:t>
      </w:r>
      <w:r>
        <w:rPr>
          <w:rFonts w:hint="eastAsia" w:ascii="仿宋_GB2312" w:hAnsi="仿宋_GB2312" w:eastAsia="仿宋_GB2312" w:cs="仿宋_GB2312"/>
          <w:sz w:val="32"/>
          <w:szCs w:val="32"/>
          <w:highlight w:val="none"/>
        </w:rPr>
        <w:t>0.18</w:t>
      </w:r>
      <w:r>
        <w:rPr>
          <w:rFonts w:hint="eastAsia" w:eastAsia="仿宋_GB2312" w:cs="仿宋_GB2312"/>
          <w:sz w:val="32"/>
          <w:szCs w:val="32"/>
          <w:highlight w:val="none"/>
        </w:rPr>
        <w:t>万元，完成预算</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%，较上年度减少0.09万元，下降33.4%。决算数与预算数持平。</w:t>
      </w:r>
    </w:p>
    <w:p w14:paraId="00117FCA">
      <w:pPr>
        <w:spacing w:line="600" w:lineRule="exact"/>
        <w:ind w:firstLine="643" w:firstLineChars="200"/>
        <w:outlineLvl w:val="2"/>
        <w:rPr>
          <w:rFonts w:eastAsia="楷体_GB2312" w:cs="楷体_GB2312"/>
          <w:b/>
          <w:sz w:val="32"/>
          <w:szCs w:val="32"/>
          <w:highlight w:val="none"/>
        </w:rPr>
      </w:pPr>
      <w:bookmarkStart w:id="37" w:name="_Toc15377217"/>
      <w:r>
        <w:rPr>
          <w:rFonts w:hint="eastAsia" w:eastAsia="楷体_GB2312" w:cs="楷体_GB2312"/>
          <w:b/>
          <w:sz w:val="32"/>
          <w:szCs w:val="32"/>
          <w:highlight w:val="none"/>
        </w:rPr>
        <w:t>（二）财政拨款“三公”经费支出决算具体情况说明</w:t>
      </w:r>
      <w:bookmarkEnd w:id="37"/>
    </w:p>
    <w:p w14:paraId="74930BF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2025年度财政拨款“三公”经费支出决算中，因公出国（境）费支出决算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万元，占0%；公务用车购置及运行维护费支出决算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万元，占0%；公务接待费支出决算</w:t>
      </w:r>
      <w:r>
        <w:rPr>
          <w:rFonts w:hint="eastAsia" w:ascii="仿宋_GB2312" w:hAnsi="仿宋_GB2312" w:eastAsia="仿宋_GB2312" w:cs="仿宋_GB2312"/>
          <w:sz w:val="32"/>
          <w:szCs w:val="32"/>
          <w:highlight w:val="none"/>
        </w:rPr>
        <w:t>0.18</w:t>
      </w:r>
      <w:r>
        <w:rPr>
          <w:rFonts w:hint="eastAsia" w:eastAsia="仿宋_GB2312" w:cs="仿宋_GB2312"/>
          <w:sz w:val="32"/>
          <w:szCs w:val="32"/>
          <w:highlight w:val="none"/>
        </w:rPr>
        <w:t>万元，占100%。具体情况如下：</w:t>
      </w:r>
    </w:p>
    <w:p w14:paraId="3FBFE11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（图7：财政拨款“三公”经费支出结构）（饼状图）</w:t>
      </w:r>
    </w:p>
    <w:p w14:paraId="15B0E9C0">
      <w:pPr>
        <w:pStyle w:val="2"/>
        <w:rPr>
          <w:highlight w:val="yellow"/>
        </w:rPr>
      </w:pPr>
      <w:r>
        <w:drawing>
          <wp:inline distT="0" distB="0" distL="0" distR="0">
            <wp:extent cx="4429125" cy="2171700"/>
            <wp:effectExtent l="19050" t="0" r="9525"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7F48CD">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1.因公出国（境）经费支出</w:t>
      </w:r>
      <w:r>
        <w:rPr>
          <w:rFonts w:hint="eastAsia" w:ascii="仿宋_GB2312" w:hAnsi="仿宋_GB2312" w:eastAsia="仿宋_GB2312" w:cs="仿宋_GB2312"/>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全年安排因公出国（境）团组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次，出国（境）</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人。因公出国（境）支出决算比上年度增加/减少0万元，增长/下降0%。</w:t>
      </w:r>
    </w:p>
    <w:p w14:paraId="2279A85E">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2.公务用车购置及运行维护费支出</w:t>
      </w:r>
      <w:r>
        <w:rPr>
          <w:rFonts w:hint="eastAsia" w:ascii="仿宋_GB2312" w:hAnsi="仿宋_GB2312" w:eastAsia="仿宋_GB2312" w:cs="仿宋_GB2312"/>
          <w:b/>
          <w:bCs/>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公务用车购置及运行维护费支出决算比上年度增加/减少0万元，增长/下降0%。</w:t>
      </w:r>
    </w:p>
    <w:p w14:paraId="3B31700B">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其中：公务用车购置支出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万元。全年按规定更新购置公务用车0辆，其中：轿车0辆、金额0万元，越野车0辆、金额0万元，载客汽车0辆、金额0万元。截至2025年12月31日，单位共有公务用车0辆，其中：轿车0辆、越野车0辆、载客汽车0辆。</w:t>
      </w:r>
    </w:p>
    <w:p w14:paraId="0E5E483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公务用车运行维护费支出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w:t>
      </w:r>
    </w:p>
    <w:p w14:paraId="3D444240">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3.公务接待费支出</w:t>
      </w:r>
      <w:r>
        <w:rPr>
          <w:rFonts w:hint="eastAsia" w:ascii="仿宋_GB2312" w:hAnsi="仿宋_GB2312" w:eastAsia="仿宋_GB2312" w:cs="仿宋_GB2312"/>
          <w:b/>
          <w:bCs/>
          <w:sz w:val="32"/>
          <w:szCs w:val="32"/>
          <w:highlight w:val="none"/>
        </w:rPr>
        <w:t>0.18</w:t>
      </w:r>
      <w:r>
        <w:rPr>
          <w:rFonts w:hint="eastAsia" w:eastAsia="仿宋_GB2312" w:cs="仿宋_GB2312"/>
          <w:b/>
          <w:bCs/>
          <w:sz w:val="32"/>
          <w:szCs w:val="32"/>
          <w:highlight w:val="none"/>
        </w:rPr>
        <w:t>万元，完成预算100%。</w:t>
      </w:r>
      <w:r>
        <w:rPr>
          <w:rFonts w:hint="eastAsia" w:eastAsia="仿宋_GB2312" w:cs="仿宋_GB2312"/>
          <w:sz w:val="32"/>
          <w:szCs w:val="32"/>
          <w:highlight w:val="none"/>
        </w:rPr>
        <w:t>公务接待费支出决算比上年度减少0.09万元，下降33.4%。主要原因是本年度例行节约减少不必要开支。其中：</w:t>
      </w:r>
    </w:p>
    <w:p w14:paraId="7698CED4">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国内公务接待支出</w:t>
      </w:r>
      <w:r>
        <w:rPr>
          <w:rFonts w:hint="eastAsia" w:ascii="仿宋_GB2312" w:hAnsi="仿宋_GB2312" w:eastAsia="仿宋_GB2312" w:cs="仿宋_GB2312"/>
          <w:sz w:val="32"/>
          <w:szCs w:val="32"/>
          <w:highlight w:val="none"/>
        </w:rPr>
        <w:t>0.18</w:t>
      </w:r>
      <w:r>
        <w:rPr>
          <w:rFonts w:hint="eastAsia" w:eastAsia="仿宋_GB2312" w:cs="仿宋_GB2312"/>
          <w:sz w:val="32"/>
          <w:szCs w:val="32"/>
          <w:highlight w:val="none"/>
        </w:rPr>
        <w:t>万元，主要用于执行公务、开展业务活动开支的用餐费等。国内公务接待</w:t>
      </w:r>
      <w:r>
        <w:rPr>
          <w:rFonts w:hint="eastAsia" w:ascii="仿宋_GB2312" w:hAnsi="仿宋_GB2312" w:eastAsia="仿宋_GB2312" w:cs="仿宋_GB2312"/>
          <w:sz w:val="32"/>
          <w:szCs w:val="32"/>
          <w:highlight w:val="none"/>
        </w:rPr>
        <w:t>2</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14</w:t>
      </w:r>
      <w:r>
        <w:rPr>
          <w:rFonts w:hint="eastAsia" w:eastAsia="仿宋_GB2312" w:cs="仿宋_GB2312"/>
          <w:sz w:val="32"/>
          <w:szCs w:val="32"/>
          <w:highlight w:val="none"/>
        </w:rPr>
        <w:t>人次（不包括陪同人员），共计支出0.18万元，具体内容包括：公务类型的接待餐费。</w:t>
      </w:r>
    </w:p>
    <w:p w14:paraId="3FFDD0C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外事接待支出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万元。外事接待</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人次（不包括陪同人员），共计支出0万元。</w:t>
      </w:r>
      <w:bookmarkStart w:id="38" w:name="_Toc15377218"/>
      <w:bookmarkStart w:id="39" w:name="_Toc15396610"/>
    </w:p>
    <w:p w14:paraId="1C55FA12">
      <w:pPr>
        <w:spacing w:line="600" w:lineRule="exact"/>
        <w:ind w:firstLine="640"/>
        <w:outlineLvl w:val="1"/>
        <w:rPr>
          <w:rStyle w:val="29"/>
          <w:rFonts w:ascii="Times New Roman" w:hAnsi="Times New Roman" w:eastAsia="黑体"/>
          <w:highlight w:val="none"/>
        </w:rPr>
      </w:pPr>
      <w:r>
        <w:rPr>
          <w:rFonts w:hint="eastAsia" w:eastAsia="黑体"/>
          <w:sz w:val="32"/>
          <w:szCs w:val="32"/>
          <w:highlight w:val="none"/>
        </w:rPr>
        <w:t>八、</w:t>
      </w:r>
      <w:r>
        <w:rPr>
          <w:rStyle w:val="29"/>
          <w:rFonts w:hint="eastAsia" w:ascii="Times New Roman" w:hAnsi="Times New Roman" w:eastAsia="黑体"/>
          <w:b w:val="0"/>
          <w:highlight w:val="none"/>
        </w:rPr>
        <w:t>政府性基金预算支出决算情况说明</w:t>
      </w:r>
      <w:bookmarkEnd w:id="38"/>
      <w:bookmarkEnd w:id="39"/>
    </w:p>
    <w:p w14:paraId="2123D5E2">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2025年度政府性基金预算财政拨款支出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%。与上年度相比，政府性基金预算财政拨款支出增加/减少*0万元，增长/下降0%。</w:t>
      </w:r>
    </w:p>
    <w:p w14:paraId="12E8A026">
      <w:pPr>
        <w:spacing w:line="600" w:lineRule="exact"/>
        <w:ind w:left="630"/>
        <w:outlineLvl w:val="1"/>
        <w:rPr>
          <w:rStyle w:val="29"/>
          <w:rFonts w:ascii="Times New Roman" w:hAnsi="Times New Roman" w:eastAsia="黑体"/>
          <w:b w:val="0"/>
          <w:highlight w:val="none"/>
        </w:rPr>
      </w:pPr>
      <w:bookmarkStart w:id="40" w:name="_Toc15377219"/>
      <w:bookmarkStart w:id="41" w:name="_Toc15396611"/>
      <w:r>
        <w:rPr>
          <w:rStyle w:val="29"/>
          <w:rFonts w:hint="eastAsia" w:ascii="Times New Roman" w:hAnsi="Times New Roman" w:eastAsia="黑体"/>
          <w:b w:val="0"/>
          <w:highlight w:val="none"/>
        </w:rPr>
        <w:t>九、国有资本经营预算支出决算情况说明</w:t>
      </w:r>
      <w:bookmarkEnd w:id="40"/>
      <w:bookmarkEnd w:id="41"/>
    </w:p>
    <w:p w14:paraId="2297ECEB">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2025年度国有资本经营预算财政拨款支出</w:t>
      </w:r>
      <w:r>
        <w:rPr>
          <w:rFonts w:hint="eastAsia" w:ascii="仿宋_GB2312" w:hAnsi="仿宋_GB2312" w:eastAsia="仿宋_GB2312" w:cs="仿宋_GB2312"/>
          <w:sz w:val="32"/>
          <w:szCs w:val="32"/>
          <w:highlight w:val="none"/>
        </w:rPr>
        <w:t>23</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4.33</w:t>
      </w:r>
      <w:r>
        <w:rPr>
          <w:rFonts w:hint="eastAsia" w:eastAsia="仿宋_GB2312" w:cs="仿宋_GB2312"/>
          <w:sz w:val="32"/>
          <w:szCs w:val="32"/>
          <w:highlight w:val="none"/>
        </w:rPr>
        <w:t>%。与上年度相比，国有资本经营预算财政拨款支出减少23万元，增长100%。主要变动原因是国有资本经营预算财政拨款支出增多。</w:t>
      </w:r>
    </w:p>
    <w:p w14:paraId="12F2ACF2">
      <w:pPr>
        <w:spacing w:line="600" w:lineRule="exact"/>
        <w:ind w:left="630"/>
        <w:outlineLvl w:val="1"/>
        <w:rPr>
          <w:rStyle w:val="29"/>
          <w:rFonts w:ascii="Times New Roman" w:hAnsi="Times New Roman" w:eastAsia="黑体"/>
          <w:b w:val="0"/>
          <w:highlight w:val="none"/>
        </w:rPr>
      </w:pPr>
      <w:bookmarkStart w:id="42" w:name="_Toc15377221"/>
      <w:bookmarkStart w:id="43" w:name="_Toc15396612"/>
      <w:r>
        <w:rPr>
          <w:rStyle w:val="29"/>
          <w:rFonts w:hint="eastAsia" w:ascii="Times New Roman" w:hAnsi="Times New Roman" w:eastAsia="黑体"/>
          <w:b w:val="0"/>
          <w:highlight w:val="none"/>
        </w:rPr>
        <w:t>十、其他重要事项的情况说明</w:t>
      </w:r>
      <w:bookmarkEnd w:id="42"/>
      <w:bookmarkEnd w:id="43"/>
    </w:p>
    <w:p w14:paraId="777C5219">
      <w:pPr>
        <w:spacing w:line="600" w:lineRule="exact"/>
        <w:ind w:firstLine="643" w:firstLineChars="200"/>
        <w:outlineLvl w:val="2"/>
        <w:rPr>
          <w:rFonts w:eastAsia="楷体_GB2312" w:cs="楷体_GB2312"/>
          <w:b/>
          <w:sz w:val="32"/>
          <w:szCs w:val="32"/>
          <w:highlight w:val="none"/>
        </w:rPr>
      </w:pPr>
      <w:bookmarkStart w:id="44" w:name="_Toc15377222"/>
      <w:r>
        <w:rPr>
          <w:rFonts w:hint="eastAsia" w:eastAsia="楷体_GB2312" w:cs="楷体_GB2312"/>
          <w:b/>
          <w:sz w:val="32"/>
          <w:szCs w:val="32"/>
          <w:highlight w:val="none"/>
        </w:rPr>
        <w:t>（一）机关运行经费支出情况</w:t>
      </w:r>
      <w:bookmarkEnd w:id="44"/>
    </w:p>
    <w:p w14:paraId="24B93D45">
      <w:pPr>
        <w:spacing w:line="600" w:lineRule="exact"/>
        <w:ind w:firstLine="640"/>
        <w:rPr>
          <w:rFonts w:hint="eastAsia" w:eastAsia="楷体_GB2312" w:cs="楷体_GB2312"/>
          <w:b/>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攀枝花市仁和区医疗保障局</w:t>
      </w:r>
      <w:r>
        <w:rPr>
          <w:rFonts w:hint="eastAsia" w:eastAsia="仿宋_GB2312" w:cs="仿宋_GB2312"/>
          <w:sz w:val="32"/>
          <w:szCs w:val="32"/>
          <w:highlight w:val="none"/>
        </w:rPr>
        <w:t>机关运行经费支出</w:t>
      </w:r>
      <w:r>
        <w:rPr>
          <w:rFonts w:hint="eastAsia" w:ascii="仿宋_GB2312" w:hAnsi="仿宋_GB2312" w:eastAsia="仿宋_GB2312" w:cs="仿宋_GB2312"/>
          <w:sz w:val="32"/>
          <w:szCs w:val="32"/>
          <w:highlight w:val="none"/>
        </w:rPr>
        <w:t>27.89</w:t>
      </w:r>
      <w:r>
        <w:rPr>
          <w:rFonts w:hint="eastAsia" w:eastAsia="仿宋_GB2312" w:cs="仿宋_GB2312"/>
          <w:sz w:val="32"/>
          <w:szCs w:val="32"/>
          <w:highlight w:val="none"/>
        </w:rPr>
        <w:t>万元，比上年度增加20.39万元，增长271.6%。主要原因是本年度日常公用经费增多。</w:t>
      </w:r>
      <w:bookmarkStart w:id="45" w:name="_Toc15377223"/>
    </w:p>
    <w:p w14:paraId="09966403">
      <w:pPr>
        <w:spacing w:line="600" w:lineRule="exact"/>
        <w:ind w:firstLine="643" w:firstLineChars="200"/>
        <w:outlineLvl w:val="2"/>
        <w:rPr>
          <w:rFonts w:eastAsia="楷体_GB2312" w:cs="楷体_GB2312"/>
          <w:b/>
          <w:sz w:val="32"/>
          <w:szCs w:val="32"/>
          <w:highlight w:val="none"/>
        </w:rPr>
      </w:pPr>
      <w:r>
        <w:rPr>
          <w:rFonts w:hint="eastAsia" w:eastAsia="楷体_GB2312" w:cs="楷体_GB2312"/>
          <w:b/>
          <w:sz w:val="32"/>
          <w:szCs w:val="32"/>
          <w:highlight w:val="none"/>
        </w:rPr>
        <w:t>（二）政府采购支出情况</w:t>
      </w:r>
      <w:bookmarkEnd w:id="45"/>
    </w:p>
    <w:p w14:paraId="3B6C0F4A">
      <w:pPr>
        <w:spacing w:line="600" w:lineRule="exact"/>
        <w:ind w:firstLine="640"/>
        <w:rPr>
          <w:rFonts w:eastAsia="仿宋_GB2312" w:cs="仿宋_GB2312"/>
          <w:sz w:val="32"/>
          <w:szCs w:val="32"/>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攀枝花市仁和区医疗保障局</w:t>
      </w:r>
      <w:r>
        <w:rPr>
          <w:rFonts w:hint="eastAsia" w:eastAsia="仿宋_GB2312" w:cs="仿宋_GB2312"/>
          <w:sz w:val="32"/>
          <w:szCs w:val="32"/>
          <w:highlight w:val="none"/>
        </w:rPr>
        <w:t>政府采购支出总额</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万元，其中：政府采购货物支出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万元、政府采购工程支出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万元、政府采购服务支出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万元。主授予中小企业合同金额</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585AB54F">
      <w:pPr>
        <w:spacing w:line="600" w:lineRule="exact"/>
        <w:ind w:firstLine="643" w:firstLineChars="200"/>
        <w:outlineLvl w:val="2"/>
        <w:rPr>
          <w:rFonts w:eastAsia="楷体_GB2312" w:cs="楷体_GB2312"/>
          <w:b/>
          <w:sz w:val="32"/>
          <w:szCs w:val="32"/>
        </w:rPr>
      </w:pPr>
      <w:bookmarkStart w:id="46" w:name="_Toc15377224"/>
      <w:r>
        <w:rPr>
          <w:rFonts w:hint="eastAsia" w:eastAsia="楷体_GB2312" w:cs="楷体_GB2312"/>
          <w:b/>
          <w:sz w:val="32"/>
          <w:szCs w:val="32"/>
        </w:rPr>
        <w:t>（三）国有资产占有使用情况</w:t>
      </w:r>
      <w:bookmarkEnd w:id="46"/>
    </w:p>
    <w:p w14:paraId="12C034F4">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攀枝花市仁和区医疗保障局</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辆，其他用车主要是用于……。单价100万元（含）以上设备（不含车辆）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4AC2A3F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4F54A360">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年度预算编制阶段，组织对城乡医疗救助经费</w:t>
      </w:r>
      <w:r>
        <w:rPr>
          <w:rFonts w:hint="eastAsia" w:ascii="仿宋_GB2312" w:hAnsi="仿宋_GB2312" w:eastAsia="仿宋_GB2312" w:cs="仿宋_GB2312"/>
          <w:color w:val="auto"/>
          <w:sz w:val="32"/>
          <w:szCs w:val="32"/>
          <w:highlight w:val="none"/>
          <w:lang w:eastAsia="zh-CN"/>
        </w:rPr>
        <w:t>、县级以上离休干部、二等乙级革命伤残军人等人员医疗费</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个项目开展绩效监控。</w:t>
      </w:r>
    </w:p>
    <w:p w14:paraId="436F3A89">
      <w:pPr>
        <w:spacing w:line="600" w:lineRule="exact"/>
        <w:ind w:firstLine="640"/>
        <w:rPr>
          <w:rFonts w:eastAsia="仿宋_GB2312" w:cs="仿宋_GB2312"/>
          <w:sz w:val="32"/>
          <w:szCs w:val="32"/>
        </w:rPr>
      </w:pPr>
      <w:r>
        <w:rPr>
          <w:rFonts w:hint="eastAsia" w:ascii="仿宋_GB2312" w:hAnsi="仿宋_GB2312" w:eastAsia="仿宋_GB2312" w:cs="仿宋_GB2312"/>
          <w:color w:val="auto"/>
          <w:sz w:val="32"/>
          <w:szCs w:val="32"/>
          <w:highlight w:val="none"/>
        </w:rPr>
        <w:t>组织对202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highlight w:val="none"/>
          <w:lang w:val="en-US" w:eastAsia="zh-CN"/>
        </w:rPr>
        <w:t>攀枝花市仁和区医疗保障局</w:t>
      </w:r>
      <w:r>
        <w:rPr>
          <w:rFonts w:hint="eastAsia" w:ascii="仿宋_GB2312" w:hAnsi="仿宋_GB2312" w:eastAsia="仿宋_GB2312" w:cs="仿宋_GB2312"/>
          <w:color w:val="auto"/>
          <w:sz w:val="32"/>
          <w:szCs w:val="32"/>
          <w:highlight w:val="none"/>
        </w:rPr>
        <w:t>部门整体（含部门预算项目）绩效自评报告、城乡医疗救助经费</w:t>
      </w:r>
      <w:r>
        <w:rPr>
          <w:rFonts w:hint="eastAsia" w:ascii="仿宋_GB2312" w:hAnsi="仿宋_GB2312" w:eastAsia="仿宋_GB2312" w:cs="仿宋_GB2312"/>
          <w:color w:val="auto"/>
          <w:sz w:val="32"/>
          <w:szCs w:val="32"/>
          <w:highlight w:val="none"/>
          <w:lang w:eastAsia="zh-CN"/>
        </w:rPr>
        <w:t>、县级以上离休干部、二等乙级革命伤残军人等人员医疗费</w:t>
      </w:r>
      <w:r>
        <w:rPr>
          <w:rFonts w:hint="eastAsia" w:ascii="仿宋_GB2312" w:hAnsi="仿宋_GB2312" w:eastAsia="仿宋_GB2312" w:cs="仿宋_GB2312"/>
          <w:color w:val="auto"/>
          <w:sz w:val="32"/>
          <w:szCs w:val="32"/>
          <w:highlight w:val="none"/>
        </w:rPr>
        <w:t>等专项预算项目绩效自评报告，其中，</w:t>
      </w:r>
      <w:r>
        <w:rPr>
          <w:rFonts w:hint="eastAsia" w:ascii="仿宋_GB2312" w:hAnsi="仿宋_GB2312" w:eastAsia="仿宋_GB2312" w:cs="仿宋_GB2312"/>
          <w:color w:val="auto"/>
          <w:sz w:val="32"/>
          <w:szCs w:val="32"/>
          <w:highlight w:val="none"/>
          <w:lang w:val="en-US" w:eastAsia="zh-CN"/>
        </w:rPr>
        <w:t>攀枝花市仁和区医疗保障局</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96</w:t>
      </w:r>
      <w:r>
        <w:rPr>
          <w:rFonts w:hint="eastAsia" w:ascii="仿宋_GB2312" w:hAnsi="仿宋_GB2312" w:eastAsia="仿宋_GB2312" w:cs="仿宋_GB2312"/>
          <w:color w:val="auto"/>
          <w:sz w:val="32"/>
          <w:szCs w:val="32"/>
          <w:highlight w:val="none"/>
        </w:rPr>
        <w:t>分，绩效自评综述：整体上完成了年初设定的绩效目标，保障了部门的正常运转。城乡医疗救助专项预算项目绩效自评得分为</w:t>
      </w:r>
      <w:r>
        <w:rPr>
          <w:rFonts w:hint="eastAsia" w:ascii="仿宋_GB2312" w:hAnsi="仿宋_GB2312" w:eastAsia="仿宋_GB2312" w:cs="仿宋_GB2312"/>
          <w:color w:val="auto"/>
          <w:sz w:val="32"/>
          <w:szCs w:val="32"/>
          <w:highlight w:val="none"/>
          <w:lang w:val="en-US" w:eastAsia="zh-CN"/>
        </w:rPr>
        <w:t>96</w:t>
      </w:r>
      <w:r>
        <w:rPr>
          <w:rFonts w:hint="eastAsia" w:ascii="仿宋_GB2312" w:hAnsi="仿宋_GB2312" w:eastAsia="仿宋_GB2312" w:cs="仿宋_GB2312"/>
          <w:color w:val="auto"/>
          <w:sz w:val="32"/>
          <w:szCs w:val="32"/>
          <w:highlight w:val="none"/>
        </w:rPr>
        <w:t>分，绩效自评综述：</w:t>
      </w:r>
      <w:r>
        <w:rPr>
          <w:rFonts w:hint="eastAsia" w:ascii="仿宋_GB2312" w:hAnsi="仿宋_GB2312" w:eastAsia="仿宋_GB2312" w:cs="仿宋_GB2312"/>
          <w:color w:val="auto"/>
          <w:sz w:val="32"/>
          <w:szCs w:val="32"/>
          <w:highlight w:val="none"/>
          <w:lang w:val="en-US" w:eastAsia="zh-CN"/>
        </w:rPr>
        <w:t>合理使用项目资金，通过医疗救助政策进一步减轻民政救助对象医疗负担。县级以上</w:t>
      </w:r>
      <w:r>
        <w:rPr>
          <w:rFonts w:hint="eastAsia" w:ascii="仿宋_GB2312" w:hAnsi="仿宋_GB2312" w:eastAsia="仿宋_GB2312" w:cs="仿宋_GB2312"/>
          <w:color w:val="auto"/>
          <w:sz w:val="32"/>
          <w:szCs w:val="32"/>
          <w:highlight w:val="none"/>
          <w:lang w:eastAsia="zh-CN"/>
        </w:rPr>
        <w:t>离休干部、二等乙级革命伤残军人等人员医疗费</w:t>
      </w:r>
      <w:r>
        <w:rPr>
          <w:rFonts w:hint="eastAsia" w:ascii="仿宋_GB2312" w:hAnsi="仿宋_GB2312" w:eastAsia="仿宋_GB2312" w:cs="仿宋_GB2312"/>
          <w:color w:val="auto"/>
          <w:sz w:val="32"/>
          <w:szCs w:val="32"/>
          <w:highlight w:val="none"/>
          <w:lang w:val="en-US" w:eastAsia="zh-CN"/>
        </w:rPr>
        <w:t>专项预算项目绩效自评得分96，绩效自评综述：按实际产生费用拨付医疗费补助，</w:t>
      </w:r>
      <w:r>
        <w:rPr>
          <w:rFonts w:hint="eastAsia" w:ascii="仿宋_GB2312" w:hAnsi="仿宋_GB2312" w:eastAsia="仿宋_GB2312" w:cs="仿宋_GB2312"/>
          <w:color w:val="auto"/>
          <w:sz w:val="32"/>
          <w:szCs w:val="32"/>
          <w:highlight w:val="none"/>
        </w:rPr>
        <w:t>保证医疗补助到位，进一步关心和照顾建国初期参加革命工作的退休干部。</w:t>
      </w:r>
    </w:p>
    <w:p w14:paraId="3508AEA3">
      <w:pPr>
        <w:spacing w:line="600" w:lineRule="exact"/>
        <w:jc w:val="center"/>
        <w:outlineLvl w:val="0"/>
        <w:rPr>
          <w:rFonts w:hint="eastAsia" w:eastAsia="黑体"/>
          <w:sz w:val="44"/>
          <w:szCs w:val="44"/>
        </w:rPr>
      </w:pPr>
      <w:bookmarkStart w:id="47" w:name="_Toc15396613"/>
      <w:bookmarkStart w:id="48" w:name="_Toc15377225"/>
    </w:p>
    <w:p w14:paraId="3E27F80F">
      <w:pPr>
        <w:spacing w:line="600" w:lineRule="exact"/>
        <w:jc w:val="center"/>
        <w:outlineLvl w:val="0"/>
        <w:rPr>
          <w:rFonts w:hint="eastAsia" w:eastAsia="黑体"/>
          <w:sz w:val="44"/>
          <w:szCs w:val="44"/>
        </w:rPr>
      </w:pPr>
    </w:p>
    <w:p w14:paraId="0D1D1EDE">
      <w:pPr>
        <w:spacing w:line="600" w:lineRule="exact"/>
        <w:jc w:val="center"/>
        <w:outlineLvl w:val="0"/>
        <w:rPr>
          <w:rFonts w:hint="eastAsia" w:eastAsia="黑体"/>
          <w:sz w:val="44"/>
          <w:szCs w:val="44"/>
        </w:rPr>
      </w:pPr>
    </w:p>
    <w:p w14:paraId="128422E3">
      <w:pPr>
        <w:spacing w:line="600" w:lineRule="exact"/>
        <w:jc w:val="center"/>
        <w:outlineLvl w:val="0"/>
        <w:rPr>
          <w:rFonts w:hint="eastAsia" w:eastAsia="黑体"/>
          <w:sz w:val="44"/>
          <w:szCs w:val="44"/>
        </w:rPr>
      </w:pPr>
    </w:p>
    <w:p w14:paraId="468E4EAD">
      <w:pPr>
        <w:spacing w:line="600" w:lineRule="exact"/>
        <w:jc w:val="center"/>
        <w:outlineLvl w:val="0"/>
        <w:rPr>
          <w:rFonts w:hint="eastAsia" w:eastAsia="黑体"/>
          <w:sz w:val="44"/>
          <w:szCs w:val="44"/>
        </w:rPr>
      </w:pPr>
    </w:p>
    <w:p w14:paraId="5FAD982E">
      <w:pPr>
        <w:spacing w:line="600" w:lineRule="exact"/>
        <w:jc w:val="center"/>
        <w:outlineLvl w:val="0"/>
        <w:rPr>
          <w:rFonts w:hint="eastAsia" w:eastAsia="黑体"/>
          <w:sz w:val="44"/>
          <w:szCs w:val="44"/>
        </w:rPr>
      </w:pPr>
    </w:p>
    <w:p w14:paraId="126336DE">
      <w:pPr>
        <w:spacing w:line="600" w:lineRule="exact"/>
        <w:jc w:val="center"/>
        <w:outlineLvl w:val="0"/>
        <w:rPr>
          <w:rFonts w:hint="eastAsia" w:eastAsia="黑体"/>
          <w:sz w:val="44"/>
          <w:szCs w:val="44"/>
        </w:rPr>
      </w:pPr>
    </w:p>
    <w:p w14:paraId="50C82613">
      <w:pPr>
        <w:spacing w:line="600" w:lineRule="exact"/>
        <w:jc w:val="center"/>
        <w:outlineLvl w:val="0"/>
        <w:rPr>
          <w:rFonts w:hint="eastAsia" w:eastAsia="黑体"/>
          <w:sz w:val="44"/>
          <w:szCs w:val="44"/>
        </w:rPr>
      </w:pPr>
    </w:p>
    <w:p w14:paraId="7CF016FA">
      <w:pPr>
        <w:spacing w:line="600" w:lineRule="exact"/>
        <w:jc w:val="center"/>
        <w:outlineLvl w:val="0"/>
        <w:rPr>
          <w:rFonts w:hint="eastAsia" w:eastAsia="黑体"/>
          <w:sz w:val="44"/>
          <w:szCs w:val="44"/>
        </w:rPr>
      </w:pPr>
    </w:p>
    <w:p w14:paraId="0B3CE9D8">
      <w:pPr>
        <w:spacing w:line="600" w:lineRule="exact"/>
        <w:jc w:val="center"/>
        <w:outlineLvl w:val="0"/>
        <w:rPr>
          <w:rFonts w:hint="eastAsia" w:eastAsia="黑体"/>
          <w:sz w:val="44"/>
          <w:szCs w:val="44"/>
        </w:rPr>
      </w:pPr>
    </w:p>
    <w:p w14:paraId="40E37A39">
      <w:pPr>
        <w:spacing w:line="600" w:lineRule="exact"/>
        <w:jc w:val="center"/>
        <w:outlineLvl w:val="0"/>
        <w:rPr>
          <w:rFonts w:hint="eastAsia" w:eastAsia="黑体"/>
          <w:sz w:val="44"/>
          <w:szCs w:val="44"/>
        </w:rPr>
      </w:pPr>
    </w:p>
    <w:p w14:paraId="77C09D1E">
      <w:pPr>
        <w:spacing w:line="600" w:lineRule="exact"/>
        <w:jc w:val="center"/>
        <w:outlineLvl w:val="0"/>
        <w:rPr>
          <w:rFonts w:hint="eastAsia" w:eastAsia="黑体"/>
          <w:sz w:val="44"/>
          <w:szCs w:val="44"/>
        </w:rPr>
      </w:pPr>
    </w:p>
    <w:p w14:paraId="12A98920">
      <w:pPr>
        <w:spacing w:line="600" w:lineRule="exact"/>
        <w:jc w:val="center"/>
        <w:outlineLvl w:val="0"/>
        <w:rPr>
          <w:rFonts w:hint="eastAsia" w:eastAsia="黑体"/>
          <w:sz w:val="44"/>
          <w:szCs w:val="44"/>
        </w:rPr>
      </w:pPr>
    </w:p>
    <w:p w14:paraId="4BF704A1">
      <w:pPr>
        <w:spacing w:line="600" w:lineRule="exact"/>
        <w:jc w:val="center"/>
        <w:outlineLvl w:val="0"/>
        <w:rPr>
          <w:rFonts w:hint="eastAsia" w:eastAsia="黑体"/>
          <w:sz w:val="44"/>
          <w:szCs w:val="44"/>
        </w:rPr>
      </w:pPr>
    </w:p>
    <w:p w14:paraId="02E5B73A">
      <w:pPr>
        <w:spacing w:line="600" w:lineRule="exact"/>
        <w:jc w:val="center"/>
        <w:outlineLvl w:val="0"/>
        <w:rPr>
          <w:rFonts w:hint="eastAsia" w:eastAsia="黑体"/>
          <w:sz w:val="44"/>
          <w:szCs w:val="44"/>
        </w:rPr>
      </w:pPr>
    </w:p>
    <w:p w14:paraId="4BBF38D7">
      <w:pPr>
        <w:spacing w:line="600" w:lineRule="exact"/>
        <w:jc w:val="both"/>
        <w:outlineLvl w:val="0"/>
        <w:rPr>
          <w:rFonts w:hint="eastAsia" w:eastAsia="黑体"/>
          <w:sz w:val="44"/>
          <w:szCs w:val="44"/>
        </w:rPr>
      </w:pPr>
    </w:p>
    <w:p w14:paraId="710ACB9C">
      <w:pPr>
        <w:spacing w:line="600" w:lineRule="exact"/>
        <w:jc w:val="center"/>
        <w:outlineLvl w:val="0"/>
        <w:rPr>
          <w:rFonts w:hint="eastAsia" w:eastAsia="黑体"/>
          <w:sz w:val="44"/>
          <w:szCs w:val="44"/>
        </w:rPr>
      </w:pPr>
    </w:p>
    <w:p w14:paraId="638872C3">
      <w:pPr>
        <w:spacing w:line="600" w:lineRule="exact"/>
        <w:jc w:val="center"/>
        <w:outlineLvl w:val="0"/>
        <w:rPr>
          <w:b/>
          <w:sz w:val="44"/>
          <w:szCs w:val="44"/>
        </w:rPr>
      </w:pPr>
      <w:r>
        <w:rPr>
          <w:rFonts w:hint="eastAsia" w:eastAsia="黑体"/>
          <w:sz w:val="44"/>
          <w:szCs w:val="44"/>
        </w:rPr>
        <w:t>第三部分  名词解释</w:t>
      </w:r>
      <w:bookmarkEnd w:id="47"/>
      <w:bookmarkEnd w:id="48"/>
    </w:p>
    <w:p w14:paraId="228EEE21">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FC1E07E">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52CEA1FD">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325CC499">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7047FF1F">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5176C46F">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1C4CF5B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53E27B49">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6B63F2FB">
      <w:pPr>
        <w:pStyle w:val="26"/>
        <w:spacing w:line="560" w:lineRule="exact"/>
        <w:ind w:firstLine="640"/>
        <w:rPr>
          <w:rFonts w:eastAsia="仿宋_GB2312" w:cs="仿宋_GB2312"/>
          <w:color w:val="auto"/>
          <w:sz w:val="32"/>
          <w:szCs w:val="32"/>
          <w:highlight w:val="yellow"/>
        </w:rPr>
      </w:pPr>
      <w:r>
        <w:rPr>
          <w:rFonts w:hint="eastAsia" w:ascii="仿宋_GB2312" w:hAnsi="仿宋_GB2312" w:eastAsia="仿宋_GB2312"/>
          <w:color w:val="auto"/>
          <w:sz w:val="32"/>
          <w:szCs w:val="32"/>
          <w:lang w:val="en-US" w:eastAsia="zh-CN"/>
        </w:rPr>
        <w:t>9.</w:t>
      </w:r>
      <w:r>
        <w:rPr>
          <w:rFonts w:hint="eastAsia" w:ascii="仿宋_GB2312" w:hAnsi="仿宋_GB2312" w:eastAsia="仿宋_GB2312"/>
          <w:color w:val="auto"/>
          <w:sz w:val="32"/>
          <w:szCs w:val="32"/>
        </w:rPr>
        <w:t>社会保障和就业（类）行政事业单位养老支出（款） 行政单位离退休（项）：指行政单位包括实行公务员管理的事业单位）开支的离退休支出。</w:t>
      </w:r>
    </w:p>
    <w:p w14:paraId="0AEA5380">
      <w:pPr>
        <w:spacing w:line="600" w:lineRule="exact"/>
        <w:ind w:firstLine="640"/>
        <w:rPr>
          <w:rFonts w:eastAsia="仿宋_GB2312" w:cs="仿宋_GB2312"/>
          <w:color w:val="auto"/>
          <w:sz w:val="32"/>
          <w:szCs w:val="32"/>
          <w:highlight w:val="yellow"/>
        </w:rPr>
      </w:pPr>
      <w:r>
        <w:rPr>
          <w:rFonts w:hint="eastAsia" w:ascii="仿宋_GB2312" w:hAnsi="仿宋_GB2312" w:eastAsia="仿宋_GB2312"/>
          <w:color w:val="auto"/>
          <w:sz w:val="32"/>
          <w:szCs w:val="32"/>
          <w:lang w:val="en-US" w:eastAsia="zh-CN"/>
        </w:rPr>
        <w:t>10.</w:t>
      </w:r>
      <w:r>
        <w:rPr>
          <w:rFonts w:hint="eastAsia" w:ascii="仿宋_GB2312" w:hAnsi="仿宋_GB2312" w:eastAsia="仿宋_GB2312"/>
          <w:color w:val="auto"/>
          <w:sz w:val="32"/>
          <w:szCs w:val="32"/>
        </w:rPr>
        <w:t>社会保障和就业（类）行政事业单位养老支出（款） 机关事业单位基本养老保险缴费支出（项）：指机关事业单位实施养老保险制度由单位缴纳的基本养老保险费支出。</w:t>
      </w:r>
    </w:p>
    <w:p w14:paraId="39473778">
      <w:pPr>
        <w:spacing w:line="600" w:lineRule="exact"/>
        <w:ind w:firstLine="640"/>
        <w:rPr>
          <w:rFonts w:eastAsia="仿宋_GB2312" w:cs="仿宋_GB2312"/>
          <w:color w:val="auto"/>
          <w:sz w:val="32"/>
          <w:szCs w:val="32"/>
          <w:highlight w:val="yellow"/>
        </w:rPr>
      </w:pPr>
      <w:r>
        <w:rPr>
          <w:rFonts w:hint="eastAsia" w:ascii="仿宋_GB2312" w:hAnsi="仿宋_GB2312" w:eastAsia="仿宋_GB2312"/>
          <w:color w:val="auto"/>
          <w:sz w:val="32"/>
          <w:szCs w:val="32"/>
          <w:lang w:val="en-US" w:eastAsia="zh-CN"/>
        </w:rPr>
        <w:t>11.</w:t>
      </w:r>
      <w:r>
        <w:rPr>
          <w:rFonts w:hint="eastAsia" w:ascii="仿宋_GB2312" w:hAnsi="仿宋_GB2312" w:eastAsia="仿宋_GB2312"/>
          <w:color w:val="auto"/>
          <w:sz w:val="32"/>
          <w:szCs w:val="32"/>
        </w:rPr>
        <w:t>社会保障和就业（类）行政事业单位养老支出（款） 机关事业单位职业年金缴费支出（项）：指机关事业单位实施养老保险制度由单位缴纳的职业年金的支出。</w:t>
      </w:r>
    </w:p>
    <w:p w14:paraId="0E33FFF3">
      <w:pPr>
        <w:pStyle w:val="26"/>
        <w:spacing w:line="560" w:lineRule="exact"/>
        <w:ind w:firstLine="640"/>
        <w:rPr>
          <w:rFonts w:eastAsia="仿宋_GB2312" w:cs="仿宋_GB2312"/>
          <w:color w:val="auto"/>
          <w:sz w:val="32"/>
          <w:szCs w:val="32"/>
          <w:highlight w:val="yellow"/>
        </w:rPr>
      </w:pPr>
      <w:r>
        <w:rPr>
          <w:rFonts w:hint="eastAsia" w:ascii="仿宋_GB2312" w:hAnsi="仿宋_GB2312" w:eastAsia="仿宋_GB2312"/>
          <w:color w:val="auto"/>
          <w:sz w:val="32"/>
          <w:szCs w:val="32"/>
          <w:lang w:val="en-US" w:eastAsia="zh-CN"/>
        </w:rPr>
        <w:t>12.</w:t>
      </w:r>
      <w:r>
        <w:rPr>
          <w:rFonts w:hint="eastAsia" w:ascii="仿宋_GB2312" w:hAnsi="仿宋_GB2312" w:eastAsia="仿宋_GB2312"/>
          <w:color w:val="auto"/>
          <w:sz w:val="32"/>
          <w:szCs w:val="32"/>
        </w:rPr>
        <w:t>卫生健康支出（类）行政事业单位医疗（款）行政单位医疗（项）:指财政部门安排行政单位用于缴纳单位基本医疗保险支出。</w:t>
      </w:r>
    </w:p>
    <w:p w14:paraId="7500647C">
      <w:pPr>
        <w:pStyle w:val="26"/>
        <w:spacing w:line="560" w:lineRule="exact"/>
        <w:ind w:firstLine="640"/>
      </w:pPr>
      <w:r>
        <w:rPr>
          <w:rFonts w:hint="eastAsia" w:ascii="仿宋_GB2312" w:hAnsi="仿宋_GB2312" w:eastAsia="仿宋_GB2312"/>
          <w:color w:val="auto"/>
          <w:sz w:val="32"/>
          <w:szCs w:val="32"/>
          <w:lang w:val="en-US" w:eastAsia="zh-CN"/>
        </w:rPr>
        <w:t>13.</w:t>
      </w:r>
      <w:r>
        <w:rPr>
          <w:rFonts w:hint="eastAsia" w:ascii="仿宋_GB2312" w:hAnsi="仿宋_GB2312" w:eastAsia="仿宋_GB2312"/>
          <w:color w:val="auto"/>
          <w:sz w:val="32"/>
          <w:szCs w:val="32"/>
        </w:rPr>
        <w:t>卫</w:t>
      </w:r>
      <w:r>
        <w:rPr>
          <w:rFonts w:hint="eastAsia" w:ascii="仿宋_GB2312" w:hAnsi="仿宋_GB2312" w:eastAsia="仿宋_GB2312"/>
          <w:sz w:val="32"/>
          <w:szCs w:val="32"/>
        </w:rPr>
        <w:t>生健康支出（类）行政事业单位医疗（款）事业单位医疗（项）：指财政部门安排的事业单位用于缴纳单位基本医疗保险支出。</w:t>
      </w:r>
    </w:p>
    <w:p w14:paraId="299EB715">
      <w:pPr>
        <w:spacing w:line="600" w:lineRule="exact"/>
        <w:ind w:firstLine="640"/>
        <w:rPr>
          <w:rFonts w:eastAsia="仿宋_GB2312" w:cs="仿宋_GB2312"/>
          <w:color w:val="FF0000"/>
          <w:sz w:val="32"/>
          <w:szCs w:val="32"/>
          <w:highlight w:val="yellow"/>
        </w:rPr>
      </w:pPr>
    </w:p>
    <w:p w14:paraId="1EC14DA4">
      <w:pPr>
        <w:spacing w:line="600" w:lineRule="exact"/>
        <w:ind w:firstLine="640"/>
        <w:rPr>
          <w:rFonts w:eastAsia="仿宋_GB2312" w:cs="仿宋_GB2312"/>
          <w:color w:val="FF0000"/>
          <w:sz w:val="32"/>
          <w:szCs w:val="32"/>
          <w:highlight w:val="yellow"/>
        </w:rPr>
      </w:pPr>
      <w:r>
        <w:rPr>
          <w:rFonts w:hint="eastAsia" w:ascii="仿宋_GB2312" w:hAnsi="仿宋_GB2312" w:eastAsia="仿宋_GB2312"/>
          <w:sz w:val="32"/>
          <w:szCs w:val="32"/>
          <w:lang w:val="en-US" w:eastAsia="zh-CN"/>
        </w:rPr>
        <w:t>14.</w:t>
      </w:r>
      <w:r>
        <w:rPr>
          <w:rFonts w:hint="eastAsia" w:ascii="仿宋_GB2312" w:hAnsi="仿宋_GB2312" w:eastAsia="仿宋_GB2312"/>
          <w:sz w:val="32"/>
          <w:szCs w:val="32"/>
        </w:rPr>
        <w:t>卫生健康支出（类）行政事业单位医疗（款） 公务员医疗补助（项）：指财政部门安排的用于集中缴纳公务员医疗补助支出。</w:t>
      </w:r>
    </w:p>
    <w:p w14:paraId="54A9F9A5">
      <w:pPr>
        <w:shd w:val="clear"/>
        <w:spacing w:line="600" w:lineRule="exact"/>
        <w:ind w:firstLine="640"/>
        <w:rPr>
          <w:rFonts w:eastAsia="仿宋_GB2312" w:cs="仿宋_GB2312"/>
          <w:color w:val="auto"/>
          <w:sz w:val="32"/>
          <w:szCs w:val="32"/>
          <w:highlight w:val="none"/>
          <w:shd w:val="clear" w:color="auto" w:fill="auto"/>
        </w:rPr>
      </w:pPr>
      <w:r>
        <w:rPr>
          <w:rFonts w:hint="eastAsia" w:eastAsia="仿宋_GB2312" w:cs="仿宋_GB2312"/>
          <w:color w:val="auto"/>
          <w:sz w:val="32"/>
          <w:szCs w:val="32"/>
          <w:highlight w:val="none"/>
          <w:shd w:val="clear" w:color="auto" w:fill="auto"/>
        </w:rPr>
        <w:t>15</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 xml:space="preserve"> 卫生健康支出（类）医疗救助（款）城乡医疗救助（项）</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 xml:space="preserve"> 指财政用于对城乡困难群众参加基本医疗保险给予资助，以及对其难以负担的医疗费用给予补助的支出。简单说，就是政府为那些看不起病的困难群众提供的医疗救助资金。</w:t>
      </w:r>
    </w:p>
    <w:p w14:paraId="69A014CC">
      <w:pPr>
        <w:shd w:val="clear"/>
        <w:spacing w:line="600" w:lineRule="exact"/>
        <w:ind w:firstLine="640"/>
        <w:rPr>
          <w:rFonts w:eastAsia="仿宋_GB2312" w:cs="仿宋_GB2312"/>
          <w:color w:val="auto"/>
          <w:sz w:val="32"/>
          <w:szCs w:val="32"/>
          <w:highlight w:val="none"/>
          <w:shd w:val="clear" w:color="auto" w:fill="auto"/>
        </w:rPr>
      </w:pPr>
      <w:r>
        <w:rPr>
          <w:rFonts w:hint="eastAsia" w:eastAsia="仿宋_GB2312" w:cs="仿宋_GB2312"/>
          <w:color w:val="auto"/>
          <w:sz w:val="32"/>
          <w:szCs w:val="32"/>
          <w:highlight w:val="none"/>
          <w:shd w:val="clear" w:color="auto" w:fill="auto"/>
        </w:rPr>
        <w:t>16.卫生健康支出（类）医疗保障管理事务（款）行政运行（项）</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 xml:space="preserve"> 指医疗保障行政部门（如医疗保障局）的基本支出。具体来说，就是用于保障医疗保障局机关正常运转、完成日常工作任务所发生的人员经费和公用经费支出，比如工资福利、办公费、差旅费、会议费等。从功能分类来看，它属于"卫生健康支出"大类下的"医疗保障管理事务"款级科目，专门用于医疗保障行政部门的运行保障</w:t>
      </w:r>
    </w:p>
    <w:p w14:paraId="1CBFB207">
      <w:pPr>
        <w:shd w:val="clear"/>
        <w:spacing w:line="600" w:lineRule="exact"/>
        <w:ind w:firstLine="640"/>
        <w:rPr>
          <w:rFonts w:eastAsia="仿宋_GB2312" w:cs="仿宋_GB2312"/>
          <w:color w:val="auto"/>
          <w:sz w:val="32"/>
          <w:szCs w:val="32"/>
          <w:highlight w:val="none"/>
          <w:shd w:val="clear" w:color="auto" w:fill="auto"/>
        </w:rPr>
      </w:pPr>
      <w:r>
        <w:rPr>
          <w:rFonts w:hint="eastAsia" w:eastAsia="仿宋_GB2312" w:cs="仿宋_GB2312"/>
          <w:color w:val="auto"/>
          <w:sz w:val="32"/>
          <w:szCs w:val="32"/>
          <w:highlight w:val="none"/>
          <w:shd w:val="clear" w:color="auto" w:fill="auto"/>
        </w:rPr>
        <w:t>17</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卫生健康支出（类）医疗保障管理事务（款）事业运行（项）</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 xml:space="preserve"> 指用于保障医疗保障事业管理中心等事业单位正常运转、完成日常工作任务所发生的人员经费和公用经费支出，比如工资福利、办公费、差旅费等。与"行政运行"的区别在于，"事业运行"对应的是事业单位（如医保中心），而"行政运行"对应的是行政单位（如医保局机关）。从功能分类来看，它属于"卫生健康支出"大类下的"医疗保障管理事务"款级科目。</w:t>
      </w:r>
    </w:p>
    <w:p w14:paraId="785D3DEB">
      <w:pPr>
        <w:shd w:val="clear"/>
        <w:spacing w:line="600" w:lineRule="exact"/>
        <w:ind w:firstLine="640"/>
        <w:rPr>
          <w:rFonts w:eastAsia="仿宋_GB2312" w:cs="仿宋_GB2312"/>
          <w:color w:val="auto"/>
          <w:sz w:val="32"/>
          <w:szCs w:val="32"/>
          <w:highlight w:val="none"/>
          <w:shd w:val="clear" w:color="auto" w:fill="auto"/>
        </w:rPr>
      </w:pPr>
      <w:r>
        <w:rPr>
          <w:rFonts w:hint="eastAsia" w:eastAsia="仿宋_GB2312" w:cs="仿宋_GB2312"/>
          <w:color w:val="auto"/>
          <w:sz w:val="32"/>
          <w:szCs w:val="32"/>
          <w:highlight w:val="none"/>
          <w:shd w:val="clear" w:color="auto" w:fill="auto"/>
        </w:rPr>
        <w:t>18</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卫生健康支出（类）医疗保障管理事务（款）其他医疗保障管理事务支出（项）</w:t>
      </w:r>
      <w:r>
        <w:rPr>
          <w:rFonts w:eastAsia="仿宋_GB2312" w:cs="仿宋_GB2312"/>
          <w:color w:val="auto"/>
          <w:sz w:val="32"/>
          <w:szCs w:val="32"/>
          <w:highlight w:val="none"/>
          <w:shd w:val="clear" w:color="auto" w:fill="auto"/>
        </w:rPr>
        <w:t>:</w:t>
      </w:r>
      <w:r>
        <w:rPr>
          <w:rFonts w:hint="eastAsia" w:eastAsia="仿宋_GB2312" w:cs="仿宋_GB2312"/>
          <w:color w:val="auto"/>
          <w:sz w:val="32"/>
          <w:szCs w:val="32"/>
          <w:highlight w:val="none"/>
          <w:shd w:val="clear" w:color="auto" w:fill="auto"/>
        </w:rPr>
        <w:t xml:space="preserve"> 指医疗保障管理事务中除行政运行、事业运行等之外的其他支出。具体来说，就是用于医疗保障局及其下属事业单位在开展医疗保障管理工作中，不属于基本支出（人员经费和公用经费）的项目支出，比如信息化建设、专项监管、政策研究、异地就医结算平台建设等专项业务支出。从功能分类来看，它属于"卫生健康支出"大类下的"医疗保障管理事务"款级科目，是一个兜底性的项级科目，用于核算未单独设置项级科目的其他医疗保障管理事务支出。</w:t>
      </w:r>
    </w:p>
    <w:p w14:paraId="570D998B">
      <w:pPr>
        <w:spacing w:line="600" w:lineRule="exact"/>
        <w:ind w:firstLine="640"/>
        <w:rPr>
          <w:rFonts w:eastAsia="仿宋_GB2312" w:cs="仿宋_GB2312"/>
          <w:color w:val="FF0000"/>
          <w:sz w:val="32"/>
          <w:szCs w:val="32"/>
        </w:rPr>
      </w:pPr>
      <w:r>
        <w:rPr>
          <w:rFonts w:hint="eastAsia" w:ascii="仿宋_GB2312" w:hAnsi="仿宋_GB2312" w:eastAsia="仿宋_GB2312"/>
          <w:sz w:val="32"/>
          <w:szCs w:val="32"/>
          <w:lang w:val="en-US" w:eastAsia="zh-CN"/>
        </w:rPr>
        <w:t>19.</w:t>
      </w:r>
      <w:r>
        <w:rPr>
          <w:rFonts w:hint="eastAsia" w:ascii="仿宋_GB2312" w:hAnsi="仿宋_GB2312" w:eastAsia="仿宋_GB2312"/>
          <w:sz w:val="32"/>
          <w:szCs w:val="32"/>
        </w:rPr>
        <w:t>住房保障支出（类）住房改革支出（款）住房公积金（项）：指按人力资源和社会保障部、财政部规定的基本工资和津贴补贴以及规定比例为职工缴纳的住房公积金。</w:t>
      </w:r>
    </w:p>
    <w:p w14:paraId="098A421F">
      <w:pPr>
        <w:spacing w:line="600" w:lineRule="exact"/>
        <w:ind w:firstLine="640"/>
        <w:rPr>
          <w:rFonts w:eastAsia="仿宋_GB2312" w:cs="仿宋_GB2312"/>
          <w:sz w:val="32"/>
          <w:szCs w:val="32"/>
        </w:rPr>
      </w:pPr>
      <w:r>
        <w:rPr>
          <w:rFonts w:hint="eastAsia" w:eastAsia="仿宋_GB2312" w:cs="仿宋_GB2312"/>
          <w:sz w:val="32"/>
          <w:szCs w:val="32"/>
        </w:rPr>
        <w:t>20.基本支出：指为保障机构正常运转、完成日常工作任务而发生的人员支出和公用支出。</w:t>
      </w:r>
    </w:p>
    <w:p w14:paraId="5261CE62">
      <w:pPr>
        <w:spacing w:line="600" w:lineRule="exact"/>
        <w:ind w:firstLine="640"/>
        <w:rPr>
          <w:rFonts w:eastAsia="仿宋_GB2312" w:cs="仿宋_GB2312"/>
          <w:sz w:val="32"/>
          <w:szCs w:val="32"/>
        </w:rPr>
      </w:pPr>
      <w:r>
        <w:rPr>
          <w:rFonts w:hint="eastAsia" w:eastAsia="仿宋_GB2312" w:cs="仿宋_GB2312"/>
          <w:sz w:val="32"/>
          <w:szCs w:val="32"/>
        </w:rPr>
        <w:t xml:space="preserve">21.项目支出：指在基本支出之外为完成特定行政任务和事业发展目标所发生的支出。 </w:t>
      </w:r>
    </w:p>
    <w:p w14:paraId="3BCDC93D">
      <w:pPr>
        <w:spacing w:line="600" w:lineRule="exact"/>
        <w:ind w:firstLine="640"/>
        <w:rPr>
          <w:rFonts w:eastAsia="仿宋_GB2312" w:cs="仿宋_GB2312"/>
          <w:sz w:val="32"/>
          <w:szCs w:val="32"/>
        </w:rPr>
      </w:pPr>
      <w:r>
        <w:rPr>
          <w:rFonts w:hint="eastAsia" w:eastAsia="仿宋_GB2312" w:cs="仿宋_GB2312"/>
          <w:sz w:val="32"/>
          <w:szCs w:val="32"/>
        </w:rPr>
        <w:t>22.经营支出：指事业单位在专业业务活动及其辅助活动之外开展非独立核算经营活动发生的支出。</w:t>
      </w:r>
    </w:p>
    <w:p w14:paraId="3C36E3A1">
      <w:pPr>
        <w:spacing w:line="600" w:lineRule="exact"/>
        <w:ind w:firstLine="640"/>
        <w:rPr>
          <w:rFonts w:eastAsia="仿宋_GB2312" w:cs="仿宋_GB2312"/>
          <w:sz w:val="32"/>
          <w:szCs w:val="32"/>
        </w:rPr>
      </w:pPr>
      <w:r>
        <w:rPr>
          <w:rFonts w:hint="eastAsia" w:eastAsia="仿宋_GB2312" w:cs="仿宋_GB2312"/>
          <w:sz w:val="32"/>
          <w:szCs w:val="32"/>
        </w:rPr>
        <w:t>23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904544D">
      <w:pPr>
        <w:spacing w:line="600" w:lineRule="exact"/>
        <w:ind w:firstLine="640"/>
        <w:rPr>
          <w:rFonts w:eastAsia="仿宋_GB2312" w:cs="仿宋_GB2312"/>
          <w:sz w:val="32"/>
          <w:szCs w:val="32"/>
        </w:rPr>
      </w:pPr>
      <w:r>
        <w:rPr>
          <w:rFonts w:hint="eastAsia" w:eastAsia="仿宋_GB2312" w:cs="仿宋_GB2312"/>
          <w:sz w:val="32"/>
          <w:szCs w:val="32"/>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74ECFF">
      <w:pPr>
        <w:pStyle w:val="13"/>
        <w:numPr>
          <w:ilvl w:val="0"/>
          <w:numId w:val="0"/>
        </w:numPr>
        <w:adjustRightInd w:val="0"/>
        <w:snapToGrid w:val="0"/>
        <w:spacing w:before="0" w:line="560" w:lineRule="exact"/>
        <w:jc w:val="center"/>
        <w:rPr>
          <w:rFonts w:hint="eastAsia" w:eastAsia="黑体"/>
          <w:sz w:val="44"/>
          <w:szCs w:val="44"/>
        </w:rPr>
      </w:pPr>
      <w:bookmarkStart w:id="49" w:name="_Toc15377226"/>
      <w:r>
        <w:rPr>
          <w:rFonts w:hint="eastAsia" w:eastAsia="仿宋_GB2312" w:cs="仿宋_GB2312"/>
          <w:sz w:val="32"/>
          <w:szCs w:val="32"/>
        </w:rPr>
        <w:br w:type="page"/>
      </w:r>
      <w:bookmarkStart w:id="50" w:name="_Toc15396614"/>
      <w:r>
        <w:rPr>
          <w:rFonts w:hint="eastAsia" w:eastAsia="黑体"/>
          <w:sz w:val="44"/>
          <w:szCs w:val="44"/>
        </w:rPr>
        <w:t>第四部分  附件</w:t>
      </w:r>
      <w:bookmarkEnd w:id="50"/>
    </w:p>
    <w:p w14:paraId="579304F4">
      <w:pPr>
        <w:pStyle w:val="13"/>
        <w:numPr>
          <w:ilvl w:val="0"/>
          <w:numId w:val="0"/>
        </w:numPr>
        <w:adjustRightInd w:val="0"/>
        <w:snapToGrid w:val="0"/>
        <w:spacing w:before="0" w:line="56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highlight w:val="none"/>
          <w:shd w:val="clear" w:color="auto" w:fill="FFFFFF"/>
        </w:rPr>
        <w:t>20</w:t>
      </w:r>
      <w:r>
        <w:rPr>
          <w:rFonts w:hint="eastAsia" w:ascii="方正小标宋_GBK" w:hAnsi="方正小标宋_GBK" w:eastAsia="方正小标宋_GBK" w:cs="方正小标宋_GBK"/>
          <w:b w:val="0"/>
          <w:bCs w:val="0"/>
          <w:color w:val="auto"/>
          <w:sz w:val="44"/>
          <w:szCs w:val="44"/>
          <w:highlight w:val="none"/>
          <w:shd w:val="clear" w:color="auto" w:fill="FFFFFF"/>
          <w:lang w:val="en-US" w:eastAsia="zh-CN"/>
        </w:rPr>
        <w:t>25</w:t>
      </w:r>
      <w:r>
        <w:rPr>
          <w:rFonts w:hint="eastAsia" w:ascii="方正小标宋_GBK" w:hAnsi="方正小标宋_GBK" w:eastAsia="方正小标宋_GBK" w:cs="方正小标宋_GBK"/>
          <w:b w:val="0"/>
          <w:bCs w:val="0"/>
          <w:color w:val="auto"/>
          <w:sz w:val="44"/>
          <w:szCs w:val="44"/>
          <w:highlight w:val="none"/>
          <w:shd w:val="clear" w:color="auto" w:fill="FFFFFF"/>
        </w:rPr>
        <w:t>年</w:t>
      </w:r>
      <w:r>
        <w:rPr>
          <w:rFonts w:hint="eastAsia" w:ascii="方正小标宋_GBK" w:hAnsi="方正小标宋_GBK" w:eastAsia="方正小标宋_GBK" w:cs="方正小标宋_GBK"/>
          <w:b w:val="0"/>
          <w:bCs w:val="0"/>
          <w:color w:val="auto"/>
          <w:sz w:val="44"/>
          <w:szCs w:val="44"/>
          <w:highlight w:val="none"/>
          <w:shd w:val="clear" w:color="auto" w:fill="FFFFFF"/>
          <w:lang w:val="en-US" w:eastAsia="zh-CN"/>
        </w:rPr>
        <w:t>攀枝花市仁和区医疗保障局</w:t>
      </w:r>
      <w:r>
        <w:rPr>
          <w:rFonts w:hint="eastAsia" w:ascii="方正小标宋_GBK" w:hAnsi="方正小标宋_GBK" w:eastAsia="方正小标宋_GBK" w:cs="方正小标宋_GBK"/>
          <w:b w:val="0"/>
          <w:bCs w:val="0"/>
          <w:color w:val="auto"/>
          <w:sz w:val="44"/>
          <w:szCs w:val="44"/>
          <w:highlight w:val="none"/>
          <w:shd w:val="clear" w:color="auto" w:fill="FFFFFF"/>
        </w:rPr>
        <w:t>部门整体绩效评价报告</w:t>
      </w:r>
    </w:p>
    <w:p w14:paraId="3204D903">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lang w:val="zh-CN"/>
        </w:rPr>
        <w:t>部门（单位）基本情况</w:t>
      </w:r>
    </w:p>
    <w:p w14:paraId="08BEFD2A">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机构组成。</w:t>
      </w:r>
    </w:p>
    <w:p w14:paraId="7F003C35">
      <w:pPr>
        <w:ind w:firstLine="630" w:firstLineChars="300"/>
        <w:rPr>
          <w:rFonts w:hint="default" w:ascii="仿宋" w:hAnsi="仿宋" w:eastAsia="仿宋" w:cs="仿宋"/>
          <w:color w:val="auto"/>
          <w:sz w:val="32"/>
          <w:szCs w:val="32"/>
          <w:lang w:val="en-US" w:eastAsia="zh-CN"/>
        </w:rPr>
      </w:pPr>
      <w:r>
        <w:rPr>
          <w:rFonts w:hint="eastAsia"/>
          <w:lang w:val="en-US" w:eastAsia="zh-CN"/>
        </w:rPr>
        <w:t xml:space="preserve"> </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攀枝花市仁和区医疗保障局属行政单位，</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下设1个股室（综合股）和1个</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参照公务员法管理的事业单位1个（仁和区医疗保障事务中</w:t>
      </w:r>
      <w:r>
        <w:rPr>
          <w:rFonts w:hint="eastAsia" w:ascii="仿宋" w:hAnsi="仿宋" w:eastAsia="仿宋" w:cs="仿宋"/>
          <w:color w:val="auto"/>
          <w:sz w:val="32"/>
          <w:szCs w:val="32"/>
          <w:lang w:val="zh-CN"/>
        </w:rPr>
        <w:t>心）。</w:t>
      </w:r>
    </w:p>
    <w:p w14:paraId="01128CBB">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机构职能</w:t>
      </w:r>
    </w:p>
    <w:p w14:paraId="596B8BB9">
      <w:pPr>
        <w:ind w:firstLine="960" w:firstLineChars="300"/>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1.机构职能</w:t>
      </w:r>
    </w:p>
    <w:p w14:paraId="2B2BFD80">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（1）贯彻执行医疗保险、生育保险、医疗救助等医疗保障的各项法律、法规、规章。参与拟订医疗保障事业发展规划、政策和标准，并组织实施和监督检查。</w:t>
      </w:r>
    </w:p>
    <w:p w14:paraId="5F452082">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（2）组织拟订并实施医疗保障基（资）金监督管理制度，建立健全医疗保障基（资）金安全防控机制，监督强化全区医疗保障基（资）金运行管理。</w:t>
      </w:r>
    </w:p>
    <w:p w14:paraId="65817536">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参与拟订并组织实施医疗保障筹资和待遇政策，落实医疗保障筹资标准动态调整机制，统筹城乡医疗保障待遇标准，建立健全与筹资水平相适应的待遇调整机制。组织实施长期护理保险制度改革方案。组织实施医疗救助。</w:t>
      </w:r>
    </w:p>
    <w:p w14:paraId="5A7D1601">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（4）组织实施全省、全市统一的药品、医用耗材、医疗服务项目、医疗服务设施等医疗保障目录和支付标准，根据授权在医疗保障目录准入谈判规则下进行目录增补和支付标准的调整。</w:t>
      </w:r>
    </w:p>
    <w:p w14:paraId="74DBBC64">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5）参与拟订并组织实施全市城乡统一的药品、医用耗材价格和医疗服务项目、医疗服务设施收费等政策，建立医保支付医药服务价格合理确定和动态调整机制，推动建立市场主导的社会医药服务价格形成机制，建立价格信息监测和信息发布制度。</w:t>
      </w:r>
    </w:p>
    <w:p w14:paraId="3DF176BB">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（6）贯彻执行全省药品、医用耗材的招标采购政策并监督实施，根据省、市统一安排部署，参与全省药品、医用耗材招标采购平台建设，承担并完成相关工作任务。</w:t>
      </w:r>
    </w:p>
    <w:p w14:paraId="5A020DFD">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7）推进医疗保障基金支付方式改革，组织拟订全区定点医药机构服务协议和基金支付管理办法并组织实施。承担全区医疗保障定点机构管理，建立健全医疗保障信用评价体系和信息披露制度，监督管理纳入医疗保障范围内的医疗服务行为和医疗费用，依法查处医疗保障领域违法违规行为。</w:t>
      </w:r>
    </w:p>
    <w:p w14:paraId="0A8C4173">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8）负责全区医疗保障业务经办管理和公共服务体系建设。组织实施异地就医管理规定和费用结算政策。执行医疗保障关系转移接续规定。指导和监督管理全区医保经办服务工作。开展医疗保障领域对外合作交流。</w:t>
      </w:r>
    </w:p>
    <w:p w14:paraId="3F944A6D">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（9）组织拟订全区医疗保障信息化规划并参与全市医疗保障信息化建设。组织开展医疗保障大数据管理和应用。</w:t>
      </w:r>
    </w:p>
    <w:p w14:paraId="32BF6317">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（10）拟订并组织实施区本级离休干部、六级以上革命伤残军人的医疗保障政策和副县级及以上干部、高级知识分子的医疗照顾政策。</w:t>
      </w:r>
    </w:p>
    <w:p w14:paraId="13F6AE07">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（11）负责职责范围内的安全生产和职业健康、生态环境保护、审批服务便民化等工作。按省、市的要求和指导，推进相对集中行政许可权改革。</w:t>
      </w:r>
    </w:p>
    <w:p w14:paraId="4766886A">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（12）指导各乡镇（街道）医疗保障相关政策实施和工作落实。</w:t>
      </w:r>
    </w:p>
    <w:p w14:paraId="3D8FF20C">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（13）完成区委、区政府交办的其他任务。</w:t>
      </w:r>
    </w:p>
    <w:p w14:paraId="39299128">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14）职能转变。完善统一的城乡居民基本医疗保险和大病保险制度，不断提高医疗保障水平，建立健全覆盖全民、城乡统筹的多层次医疗保障体系，确保医疗保障资金合理使用、安全可控，推进医疗、医保、医药“三医联动”改革，更好地保障人民群众就医需求、减轻医药费用负担。</w:t>
      </w:r>
    </w:p>
    <w:p w14:paraId="16C6659B">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（15）有关职责分工。</w:t>
      </w:r>
    </w:p>
    <w:p w14:paraId="3A4B2467">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与区卫生健康局的有关职责分工。两部门在医疗、医保、医药等方面加强制度、政策衔接，建立沟通协商机制，协同推进改革，提高医疗资源使用效率和医疗保障水平。</w:t>
      </w:r>
    </w:p>
    <w:p w14:paraId="0E99A993">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与国家税务总局攀枝花市仁和区税务局有关职责分工。两部门在医疗、生育、长期护理保险基金征缴工作等方面加强协调，建立沟通机制，共同做好社会保险费税务征缴的相关工作。</w:t>
      </w:r>
    </w:p>
    <w:p w14:paraId="6E93BC65">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p>
    <w:p w14:paraId="5A928BB6">
      <w:pPr>
        <w:ind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p>
    <w:p w14:paraId="0F4C7B5C">
      <w:pPr>
        <w:numPr>
          <w:ilvl w:val="0"/>
          <w:numId w:val="3"/>
        </w:numPr>
        <w:ind w:left="0" w:leftChars="0" w:firstLine="643" w:firstLineChars="200"/>
        <w:rPr>
          <w:rFonts w:hint="eastAsia" w:ascii="楷体_GB2312" w:hAnsi="楷体_GB2312" w:eastAsia="楷体_GB2312" w:cs="楷体_GB2312"/>
          <w:b/>
          <w:bCs/>
          <w:color w:val="auto"/>
          <w:kern w:val="0"/>
          <w:sz w:val="32"/>
          <w:szCs w:val="32"/>
          <w:highlight w:val="none"/>
          <w:shd w:val="clear" w:color="auto" w:fill="FFFFFF"/>
          <w:lang w:val="en-US"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rPr>
        <w:t>人员概况。</w:t>
      </w:r>
    </w:p>
    <w:p w14:paraId="4669BBAA">
      <w:pPr>
        <w:spacing w:line="560" w:lineRule="exact"/>
        <w:ind w:firstLine="640" w:firstLineChars="200"/>
        <w:jc w:val="left"/>
        <w:rPr>
          <w:rFonts w:hint="eastAsia" w:eastAsia="仿宋_GB2312"/>
          <w:bCs/>
          <w:sz w:val="32"/>
          <w:szCs w:val="32"/>
        </w:rPr>
      </w:pPr>
      <w:r>
        <w:rPr>
          <w:rFonts w:hint="eastAsia" w:eastAsia="仿宋_GB2312"/>
          <w:bCs/>
          <w:sz w:val="32"/>
          <w:szCs w:val="32"/>
        </w:rPr>
        <w:t>攀枝花市仁和区医疗保障局</w:t>
      </w:r>
      <w:r>
        <w:rPr>
          <w:rFonts w:hint="eastAsia" w:eastAsia="仿宋_GB2312"/>
          <w:bCs/>
          <w:sz w:val="32"/>
          <w:szCs w:val="32"/>
          <w:lang w:val="en-US" w:eastAsia="zh-CN"/>
        </w:rPr>
        <w:t>截止2025年年末：</w:t>
      </w:r>
      <w:r>
        <w:rPr>
          <w:rFonts w:hint="eastAsia" w:eastAsia="仿宋_GB2312"/>
          <w:bCs/>
          <w:sz w:val="32"/>
          <w:szCs w:val="32"/>
        </w:rPr>
        <w:t>行政编制</w:t>
      </w:r>
      <w:r>
        <w:rPr>
          <w:rFonts w:hint="eastAsia" w:eastAsia="仿宋_GB2312"/>
          <w:bCs/>
          <w:color w:val="auto"/>
          <w:sz w:val="32"/>
          <w:szCs w:val="32"/>
          <w:lang w:val="en-US" w:eastAsia="zh-CN"/>
        </w:rPr>
        <w:t>3</w:t>
      </w:r>
      <w:r>
        <w:rPr>
          <w:rFonts w:hint="eastAsia" w:eastAsia="仿宋_GB2312"/>
          <w:bCs/>
          <w:sz w:val="32"/>
          <w:szCs w:val="32"/>
        </w:rPr>
        <w:t>个，局长1名，</w:t>
      </w:r>
      <w:r>
        <w:rPr>
          <w:rFonts w:hint="eastAsia" w:eastAsia="仿宋_GB2312"/>
          <w:bCs/>
          <w:color w:val="auto"/>
          <w:sz w:val="32"/>
          <w:szCs w:val="32"/>
        </w:rPr>
        <w:t>副局长</w:t>
      </w:r>
      <w:r>
        <w:rPr>
          <w:rFonts w:hint="eastAsia" w:eastAsia="仿宋_GB2312"/>
          <w:bCs/>
          <w:color w:val="auto"/>
          <w:sz w:val="32"/>
          <w:szCs w:val="32"/>
          <w:lang w:val="en-US" w:eastAsia="zh-CN"/>
        </w:rPr>
        <w:t>1</w:t>
      </w:r>
      <w:r>
        <w:rPr>
          <w:rFonts w:hint="eastAsia" w:eastAsia="仿宋_GB2312"/>
          <w:bCs/>
          <w:color w:val="auto"/>
          <w:sz w:val="32"/>
          <w:szCs w:val="32"/>
        </w:rPr>
        <w:t>名，</w:t>
      </w:r>
      <w:r>
        <w:rPr>
          <w:rFonts w:hint="eastAsia" w:eastAsia="仿宋_GB2312"/>
          <w:bCs/>
          <w:sz w:val="32"/>
          <w:szCs w:val="32"/>
        </w:rPr>
        <w:t>内设综合股。下属参照公务员法管理的事业单位参公编制1</w:t>
      </w:r>
      <w:r>
        <w:rPr>
          <w:rFonts w:eastAsia="仿宋_GB2312"/>
          <w:bCs/>
          <w:sz w:val="32"/>
          <w:szCs w:val="32"/>
        </w:rPr>
        <w:t>4</w:t>
      </w:r>
      <w:r>
        <w:rPr>
          <w:rFonts w:hint="eastAsia" w:eastAsia="仿宋_GB2312"/>
          <w:bCs/>
          <w:sz w:val="32"/>
          <w:szCs w:val="32"/>
        </w:rPr>
        <w:t>个，其中参公编制1</w:t>
      </w:r>
      <w:r>
        <w:rPr>
          <w:rFonts w:hint="eastAsia" w:eastAsia="仿宋_GB2312"/>
          <w:bCs/>
          <w:sz w:val="32"/>
          <w:szCs w:val="32"/>
          <w:lang w:val="en-US" w:eastAsia="zh-CN"/>
        </w:rPr>
        <w:t>0</w:t>
      </w:r>
      <w:r>
        <w:rPr>
          <w:rFonts w:hint="eastAsia" w:eastAsia="仿宋_GB2312"/>
          <w:bCs/>
          <w:sz w:val="32"/>
          <w:szCs w:val="32"/>
        </w:rPr>
        <w:t>人，事业编制1人，编内聘用1人，购买劳务4人，实有在职人数</w:t>
      </w:r>
      <w:r>
        <w:rPr>
          <w:rFonts w:eastAsia="仿宋_GB2312"/>
          <w:bCs/>
          <w:sz w:val="32"/>
          <w:szCs w:val="32"/>
        </w:rPr>
        <w:t>1</w:t>
      </w:r>
      <w:r>
        <w:rPr>
          <w:rFonts w:hint="eastAsia" w:eastAsia="仿宋_GB2312"/>
          <w:bCs/>
          <w:sz w:val="32"/>
          <w:szCs w:val="32"/>
          <w:lang w:val="en-US" w:eastAsia="zh-CN"/>
        </w:rPr>
        <w:t>4</w:t>
      </w:r>
      <w:r>
        <w:rPr>
          <w:rFonts w:hint="eastAsia" w:eastAsia="仿宋_GB2312"/>
          <w:bCs/>
          <w:sz w:val="32"/>
          <w:szCs w:val="32"/>
        </w:rPr>
        <w:t>人，退休人员</w:t>
      </w:r>
      <w:r>
        <w:rPr>
          <w:rFonts w:hint="eastAsia" w:eastAsia="仿宋_GB2312"/>
          <w:bCs/>
          <w:sz w:val="32"/>
          <w:szCs w:val="32"/>
          <w:lang w:val="en-US" w:eastAsia="zh-CN"/>
        </w:rPr>
        <w:t>5</w:t>
      </w:r>
      <w:r>
        <w:rPr>
          <w:rFonts w:hint="eastAsia" w:eastAsia="仿宋_GB2312"/>
          <w:bCs/>
          <w:sz w:val="32"/>
          <w:szCs w:val="32"/>
        </w:rPr>
        <w:t>人。无公用车辆。</w:t>
      </w:r>
    </w:p>
    <w:p w14:paraId="53F2D96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w:t>
      </w:r>
      <w:r>
        <w:rPr>
          <w:rFonts w:hint="eastAsia" w:ascii="黑体" w:hAnsi="宋体" w:eastAsia="黑体" w:cs="宋体"/>
          <w:color w:val="auto"/>
          <w:kern w:val="0"/>
          <w:sz w:val="32"/>
          <w:szCs w:val="32"/>
          <w:highlight w:val="none"/>
          <w:shd w:val="clear" w:color="auto" w:fill="FFFFFF"/>
          <w:lang w:eastAsia="zh-CN"/>
        </w:rPr>
        <w:t>部门</w:t>
      </w:r>
      <w:r>
        <w:rPr>
          <w:rFonts w:hint="eastAsia" w:ascii="黑体" w:hAnsi="宋体" w:eastAsia="黑体" w:cs="宋体"/>
          <w:color w:val="auto"/>
          <w:kern w:val="0"/>
          <w:sz w:val="32"/>
          <w:szCs w:val="32"/>
          <w:highlight w:val="none"/>
          <w:shd w:val="clear" w:color="auto" w:fill="FFFFFF"/>
        </w:rPr>
        <w:t>资金收支情况</w:t>
      </w:r>
    </w:p>
    <w:p w14:paraId="13E3D96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（一）收</w:t>
      </w:r>
      <w:r>
        <w:rPr>
          <w:rFonts w:hint="eastAsia" w:ascii="楷体_GB2312" w:hAnsi="楷体_GB2312" w:eastAsia="楷体_GB2312" w:cs="楷体_GB2312"/>
          <w:b/>
          <w:bCs/>
          <w:color w:val="auto"/>
          <w:kern w:val="0"/>
          <w:sz w:val="32"/>
          <w:szCs w:val="32"/>
          <w:highlight w:val="none"/>
          <w:shd w:val="clear" w:color="auto" w:fill="FFFFFF"/>
          <w:lang w:val="en-US" w:eastAsia="zh-CN"/>
        </w:rPr>
        <w:t>入</w:t>
      </w:r>
      <w:r>
        <w:rPr>
          <w:rFonts w:hint="eastAsia" w:ascii="楷体_GB2312" w:hAnsi="楷体_GB2312" w:eastAsia="楷体_GB2312" w:cs="楷体_GB2312"/>
          <w:b/>
          <w:bCs/>
          <w:color w:val="auto"/>
          <w:kern w:val="0"/>
          <w:sz w:val="32"/>
          <w:szCs w:val="32"/>
          <w:highlight w:val="none"/>
          <w:shd w:val="clear" w:color="auto" w:fill="FFFFFF"/>
          <w:lang w:val="zh-CN"/>
        </w:rPr>
        <w:t>情况。</w:t>
      </w:r>
    </w:p>
    <w:p w14:paraId="6D9C890C">
      <w:pPr>
        <w:pStyle w:val="3"/>
        <w:rPr>
          <w:rFonts w:hint="eastAsia" w:ascii="仿宋" w:hAnsi="仿宋" w:eastAsia="仿宋"/>
          <w:color w:val="auto"/>
          <w:sz w:val="32"/>
          <w:szCs w:val="32"/>
          <w:lang w:eastAsia="zh-CN"/>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年度本年收入合计</w:t>
      </w:r>
      <w:r>
        <w:rPr>
          <w:rFonts w:hint="eastAsia" w:ascii="仿宋" w:hAnsi="仿宋" w:eastAsia="仿宋"/>
          <w:color w:val="auto"/>
          <w:sz w:val="32"/>
          <w:szCs w:val="32"/>
          <w:lang w:val="en-US" w:eastAsia="zh-CN"/>
        </w:rPr>
        <w:t>530.95</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507.95</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95.7</w:t>
      </w:r>
      <w:r>
        <w:rPr>
          <w:rFonts w:ascii="仿宋" w:hAnsi="仿宋" w:eastAsia="仿宋"/>
          <w:color w:val="auto"/>
          <w:sz w:val="32"/>
          <w:szCs w:val="32"/>
        </w:rPr>
        <w:t>%</w:t>
      </w:r>
      <w:r>
        <w:rPr>
          <w:rFonts w:hint="eastAsia" w:ascii="仿宋" w:hAnsi="仿宋" w:eastAsia="仿宋"/>
          <w:color w:val="auto"/>
          <w:sz w:val="32"/>
          <w:szCs w:val="32"/>
        </w:rPr>
        <w:t>；政府性基金预算财政拨款收入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；国有资本经营预算财政拨款收入</w:t>
      </w:r>
      <w:r>
        <w:rPr>
          <w:rFonts w:hint="eastAsia" w:ascii="仿宋" w:hAnsi="仿宋" w:eastAsia="仿宋"/>
          <w:color w:val="auto"/>
          <w:sz w:val="32"/>
          <w:szCs w:val="32"/>
          <w:lang w:val="en-US" w:eastAsia="zh-CN"/>
        </w:rPr>
        <w:t>23</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4.3</w:t>
      </w:r>
      <w:r>
        <w:rPr>
          <w:rFonts w:ascii="仿宋" w:hAnsi="仿宋" w:eastAsia="仿宋"/>
          <w:color w:val="auto"/>
          <w:sz w:val="32"/>
          <w:szCs w:val="32"/>
        </w:rPr>
        <w:t>%</w:t>
      </w:r>
      <w:r>
        <w:rPr>
          <w:rFonts w:hint="eastAsia" w:ascii="仿宋" w:hAnsi="仿宋" w:eastAsia="仿宋"/>
          <w:color w:val="auto"/>
          <w:sz w:val="32"/>
          <w:szCs w:val="32"/>
          <w:lang w:eastAsia="zh-CN"/>
        </w:rPr>
        <w:t>。</w:t>
      </w:r>
    </w:p>
    <w:p w14:paraId="5953BC9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w:t>
      </w:r>
      <w:r>
        <w:rPr>
          <w:rFonts w:hint="eastAsia" w:ascii="楷体_GB2312" w:hAnsi="楷体_GB2312" w:eastAsia="楷体_GB2312" w:cs="楷体_GB2312"/>
          <w:b/>
          <w:bCs/>
          <w:color w:val="auto"/>
          <w:kern w:val="0"/>
          <w:sz w:val="32"/>
          <w:szCs w:val="32"/>
          <w:highlight w:val="none"/>
          <w:shd w:val="clear" w:color="auto" w:fill="FFFFFF"/>
          <w:lang w:val="en-US" w:eastAsia="zh-CN"/>
        </w:rPr>
        <w:t>二</w:t>
      </w:r>
      <w:r>
        <w:rPr>
          <w:rFonts w:hint="eastAsia" w:ascii="楷体_GB2312" w:hAnsi="楷体_GB2312" w:eastAsia="楷体_GB2312" w:cs="楷体_GB2312"/>
          <w:b/>
          <w:bCs/>
          <w:color w:val="auto"/>
          <w:kern w:val="0"/>
          <w:sz w:val="32"/>
          <w:szCs w:val="32"/>
          <w:highlight w:val="none"/>
          <w:shd w:val="clear" w:color="auto" w:fill="FFFFFF"/>
          <w:lang w:val="zh-CN"/>
        </w:rPr>
        <w:t>）</w:t>
      </w:r>
      <w:r>
        <w:rPr>
          <w:rFonts w:hint="eastAsia" w:ascii="楷体_GB2312" w:hAnsi="楷体_GB2312" w:eastAsia="楷体_GB2312" w:cs="楷体_GB2312"/>
          <w:b/>
          <w:bCs/>
          <w:color w:val="auto"/>
          <w:kern w:val="0"/>
          <w:sz w:val="32"/>
          <w:szCs w:val="32"/>
          <w:highlight w:val="none"/>
          <w:shd w:val="clear" w:color="auto" w:fill="FFFFFF"/>
          <w:lang w:val="en-US" w:eastAsia="zh-CN"/>
        </w:rPr>
        <w:t>支出</w:t>
      </w:r>
      <w:r>
        <w:rPr>
          <w:rFonts w:hint="eastAsia" w:ascii="楷体_GB2312" w:hAnsi="楷体_GB2312" w:eastAsia="楷体_GB2312" w:cs="楷体_GB2312"/>
          <w:b/>
          <w:bCs/>
          <w:color w:val="auto"/>
          <w:kern w:val="0"/>
          <w:sz w:val="32"/>
          <w:szCs w:val="32"/>
          <w:highlight w:val="none"/>
          <w:shd w:val="clear" w:color="auto" w:fill="FFFFFF"/>
          <w:lang w:val="zh-CN"/>
        </w:rPr>
        <w:t>情况。</w:t>
      </w:r>
    </w:p>
    <w:p w14:paraId="0AEBF7F8">
      <w:pPr>
        <w:spacing w:line="600" w:lineRule="exact"/>
        <w:ind w:firstLine="960" w:firstLineChars="300"/>
        <w:outlineLvl w:val="1"/>
        <w:rPr>
          <w:rFonts w:hint="eastAsia" w:ascii="仿宋" w:hAnsi="仿宋" w:eastAsia="仿宋"/>
          <w:color w:val="auto"/>
          <w:sz w:val="32"/>
          <w:szCs w:val="32"/>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年度本年支出合计</w:t>
      </w:r>
      <w:r>
        <w:rPr>
          <w:rFonts w:hint="eastAsia" w:ascii="仿宋" w:hAnsi="仿宋" w:eastAsia="仿宋"/>
          <w:color w:val="auto"/>
          <w:sz w:val="32"/>
          <w:szCs w:val="32"/>
          <w:lang w:val="en-US" w:eastAsia="zh-CN"/>
        </w:rPr>
        <w:t>530.95</w:t>
      </w:r>
      <w:r>
        <w:rPr>
          <w:rFonts w:hint="eastAsia" w:ascii="仿宋" w:hAnsi="仿宋" w:eastAsia="仿宋"/>
          <w:color w:val="auto"/>
          <w:sz w:val="32"/>
          <w:szCs w:val="32"/>
        </w:rPr>
        <w:t>万元，其中：基本支出</w:t>
      </w:r>
      <w:r>
        <w:rPr>
          <w:rFonts w:hint="eastAsia" w:ascii="仿宋" w:hAnsi="仿宋" w:eastAsia="仿宋"/>
          <w:color w:val="auto"/>
          <w:sz w:val="32"/>
          <w:szCs w:val="32"/>
          <w:lang w:val="en-US" w:eastAsia="zh-CN"/>
        </w:rPr>
        <w:t>333.25</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62.8</w:t>
      </w:r>
      <w:r>
        <w:rPr>
          <w:rFonts w:ascii="仿宋" w:hAnsi="仿宋" w:eastAsia="仿宋"/>
          <w:color w:val="auto"/>
          <w:sz w:val="32"/>
          <w:szCs w:val="32"/>
        </w:rPr>
        <w:t>%</w:t>
      </w:r>
      <w:r>
        <w:rPr>
          <w:rFonts w:hint="eastAsia" w:ascii="仿宋" w:hAnsi="仿宋" w:eastAsia="仿宋"/>
          <w:color w:val="auto"/>
          <w:sz w:val="32"/>
          <w:szCs w:val="32"/>
        </w:rPr>
        <w:t>；项目支出</w:t>
      </w:r>
      <w:r>
        <w:rPr>
          <w:rFonts w:hint="eastAsia" w:ascii="仿宋" w:hAnsi="仿宋" w:eastAsia="仿宋"/>
          <w:color w:val="auto"/>
          <w:sz w:val="32"/>
          <w:szCs w:val="32"/>
          <w:lang w:val="en-US" w:eastAsia="zh-CN"/>
        </w:rPr>
        <w:t>197.7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37.2</w:t>
      </w:r>
      <w:r>
        <w:rPr>
          <w:rFonts w:ascii="仿宋" w:hAnsi="仿宋" w:eastAsia="仿宋"/>
          <w:color w:val="auto"/>
          <w:sz w:val="32"/>
          <w:szCs w:val="32"/>
        </w:rPr>
        <w:t>%</w:t>
      </w:r>
      <w:r>
        <w:rPr>
          <w:rFonts w:hint="eastAsia" w:ascii="仿宋" w:hAnsi="仿宋" w:eastAsia="仿宋"/>
          <w:color w:val="auto"/>
          <w:sz w:val="32"/>
          <w:szCs w:val="32"/>
        </w:rPr>
        <w:t>；上缴上级支出</w:t>
      </w:r>
      <w:r>
        <w:rPr>
          <w:rFonts w:ascii="仿宋" w:hAnsi="仿宋" w:eastAsia="仿宋"/>
          <w:color w:val="auto"/>
          <w:sz w:val="32"/>
          <w:szCs w:val="32"/>
        </w:rPr>
        <w:t>0</w:t>
      </w:r>
      <w:r>
        <w:rPr>
          <w:rFonts w:hint="eastAsia" w:ascii="仿宋" w:hAnsi="仿宋" w:eastAsia="仿宋"/>
          <w:color w:val="auto"/>
          <w:sz w:val="32"/>
          <w:szCs w:val="32"/>
        </w:rPr>
        <w:t>万元，占</w:t>
      </w:r>
      <w:r>
        <w:rPr>
          <w:rFonts w:ascii="仿宋" w:hAnsi="仿宋" w:eastAsia="仿宋"/>
          <w:color w:val="auto"/>
          <w:sz w:val="32"/>
          <w:szCs w:val="32"/>
        </w:rPr>
        <w:t>0%</w:t>
      </w:r>
      <w:r>
        <w:rPr>
          <w:rFonts w:hint="eastAsia" w:ascii="仿宋" w:hAnsi="仿宋" w:eastAsia="仿宋"/>
          <w:color w:val="auto"/>
          <w:sz w:val="32"/>
          <w:szCs w:val="32"/>
        </w:rPr>
        <w:t>；经营支出</w:t>
      </w:r>
      <w:r>
        <w:rPr>
          <w:rFonts w:ascii="仿宋" w:hAnsi="仿宋" w:eastAsia="仿宋"/>
          <w:color w:val="auto"/>
          <w:sz w:val="32"/>
          <w:szCs w:val="32"/>
        </w:rPr>
        <w:t>0</w:t>
      </w:r>
      <w:r>
        <w:rPr>
          <w:rFonts w:hint="eastAsia" w:ascii="仿宋" w:hAnsi="仿宋" w:eastAsia="仿宋"/>
          <w:color w:val="auto"/>
          <w:sz w:val="32"/>
          <w:szCs w:val="32"/>
        </w:rPr>
        <w:t>万元，占</w:t>
      </w:r>
      <w:r>
        <w:rPr>
          <w:rFonts w:ascii="仿宋" w:hAnsi="仿宋" w:eastAsia="仿宋"/>
          <w:color w:val="auto"/>
          <w:sz w:val="32"/>
          <w:szCs w:val="32"/>
        </w:rPr>
        <w:t>0%</w:t>
      </w:r>
      <w:r>
        <w:rPr>
          <w:rFonts w:hint="eastAsia" w:ascii="仿宋" w:hAnsi="仿宋" w:eastAsia="仿宋"/>
          <w:color w:val="auto"/>
          <w:sz w:val="32"/>
          <w:szCs w:val="32"/>
        </w:rPr>
        <w:t>；对附属单位补助支出</w:t>
      </w:r>
      <w:r>
        <w:rPr>
          <w:rFonts w:ascii="仿宋" w:hAnsi="仿宋" w:eastAsia="仿宋"/>
          <w:color w:val="auto"/>
          <w:sz w:val="32"/>
          <w:szCs w:val="32"/>
        </w:rPr>
        <w:t>0</w:t>
      </w:r>
      <w:r>
        <w:rPr>
          <w:rFonts w:hint="eastAsia" w:ascii="仿宋" w:hAnsi="仿宋" w:eastAsia="仿宋"/>
          <w:color w:val="auto"/>
          <w:sz w:val="32"/>
          <w:szCs w:val="32"/>
        </w:rPr>
        <w:t>万元，占</w:t>
      </w:r>
      <w:r>
        <w:rPr>
          <w:rFonts w:ascii="仿宋" w:hAnsi="仿宋" w:eastAsia="仿宋"/>
          <w:color w:val="auto"/>
          <w:sz w:val="32"/>
          <w:szCs w:val="32"/>
        </w:rPr>
        <w:t>0%</w:t>
      </w:r>
      <w:r>
        <w:rPr>
          <w:rFonts w:hint="eastAsia" w:ascii="仿宋" w:hAnsi="仿宋" w:eastAsia="仿宋"/>
          <w:color w:val="auto"/>
          <w:sz w:val="32"/>
          <w:szCs w:val="32"/>
        </w:rPr>
        <w:t>。</w:t>
      </w:r>
    </w:p>
    <w:p w14:paraId="54FF21B1">
      <w:pPr>
        <w:spacing w:line="600" w:lineRule="exact"/>
        <w:ind w:firstLine="643" w:firstLineChars="200"/>
        <w:outlineLvl w:val="1"/>
        <w:rPr>
          <w:rFonts w:hint="default" w:ascii="仿宋" w:hAnsi="仿宋" w:eastAsia="仿宋"/>
          <w:color w:val="auto"/>
          <w:sz w:val="32"/>
          <w:szCs w:val="32"/>
          <w:lang w:val="en-US" w:eastAsia="zh-CN"/>
        </w:rPr>
      </w:pPr>
      <w:r>
        <w:rPr>
          <w:rFonts w:hint="eastAsia" w:ascii="楷体_GB2312" w:hAnsi="楷体_GB2312" w:eastAsia="楷体_GB2312" w:cs="楷体_GB2312"/>
          <w:b/>
          <w:bCs/>
          <w:color w:val="auto"/>
          <w:kern w:val="0"/>
          <w:sz w:val="32"/>
          <w:szCs w:val="32"/>
          <w:highlight w:val="none"/>
          <w:shd w:val="clear" w:color="auto" w:fill="FFFFFF"/>
          <w:lang w:val="zh-CN" w:eastAsia="zh-CN"/>
        </w:rPr>
        <w:t>（</w:t>
      </w:r>
      <w:r>
        <w:rPr>
          <w:rFonts w:hint="eastAsia" w:ascii="楷体_GB2312" w:hAnsi="楷体_GB2312" w:eastAsia="楷体_GB2312" w:cs="楷体_GB2312"/>
          <w:b/>
          <w:bCs/>
          <w:color w:val="auto"/>
          <w:kern w:val="0"/>
          <w:sz w:val="32"/>
          <w:szCs w:val="32"/>
          <w:highlight w:val="none"/>
          <w:shd w:val="clear" w:color="auto" w:fill="FFFFFF"/>
          <w:lang w:val="en-US" w:eastAsia="zh-CN"/>
        </w:rPr>
        <w:t>三）结余分配和结转结余情况。</w:t>
      </w:r>
    </w:p>
    <w:p w14:paraId="7D137735">
      <w:pPr>
        <w:pStyle w:val="8"/>
        <w:numPr>
          <w:ilvl w:val="0"/>
          <w:numId w:val="0"/>
        </w:numPr>
        <w:rPr>
          <w:rFonts w:hint="eastAsia" w:ascii="仿宋" w:hAnsi="仿宋" w:eastAsia="仿宋" w:cs="Times New Roman"/>
          <w:color w:val="auto"/>
          <w:kern w:val="2"/>
          <w:sz w:val="32"/>
          <w:szCs w:val="32"/>
          <w:lang w:val="zh-CN" w:eastAsia="zh-CN" w:bidi="ar-SA"/>
        </w:rPr>
      </w:pPr>
      <w:r>
        <w:rPr>
          <w:rFonts w:hint="eastAsia"/>
          <w:lang w:val="en-US" w:eastAsia="zh-CN"/>
        </w:rPr>
        <w:t xml:space="preserve"> </w:t>
      </w:r>
      <w:r>
        <w:rPr>
          <w:rFonts w:hint="eastAsia" w:ascii="仿宋" w:hAnsi="仿宋" w:eastAsia="仿宋" w:cs="Times New Roman"/>
          <w:color w:val="auto"/>
          <w:kern w:val="2"/>
          <w:sz w:val="32"/>
          <w:szCs w:val="32"/>
          <w:lang w:val="en-US" w:eastAsia="zh-CN" w:bidi="ar-SA"/>
        </w:rPr>
        <w:t xml:space="preserve"> 结转2024年资金0万元。</w:t>
      </w:r>
    </w:p>
    <w:p w14:paraId="60029AA2">
      <w:pPr>
        <w:widowControl/>
        <w:adjustRightInd w:val="0"/>
        <w:snapToGrid w:val="0"/>
        <w:spacing w:line="578" w:lineRule="exact"/>
        <w:ind w:firstLine="640" w:firstLineChars="200"/>
        <w:contextualSpacing/>
        <w:jc w:val="left"/>
        <w:rPr>
          <w:rFonts w:hint="eastAsia" w:ascii="仿宋" w:hAnsi="仿宋" w:eastAsia="仿宋" w:cs="Times New Roman"/>
          <w:color w:val="auto"/>
          <w:kern w:val="2"/>
          <w:sz w:val="32"/>
          <w:szCs w:val="32"/>
          <w:lang w:val="zh-CN" w:eastAsia="zh-CN" w:bidi="ar-SA"/>
        </w:rPr>
      </w:pPr>
      <w:r>
        <w:rPr>
          <w:rFonts w:hint="eastAsia" w:ascii="仿宋" w:hAnsi="仿宋" w:eastAsia="仿宋" w:cs="Times New Roman"/>
          <w:color w:val="auto"/>
          <w:kern w:val="2"/>
          <w:sz w:val="32"/>
          <w:szCs w:val="32"/>
          <w:lang w:val="zh-CN" w:eastAsia="zh-CN" w:bidi="ar-SA"/>
        </w:rPr>
        <w:t>三、部门预算绩效分析</w:t>
      </w:r>
    </w:p>
    <w:p w14:paraId="245494A5">
      <w:pPr>
        <w:adjustRightInd w:val="0"/>
        <w:snapToGrid w:val="0"/>
        <w:spacing w:line="578" w:lineRule="exact"/>
        <w:ind w:firstLine="643" w:firstLineChars="200"/>
        <w:contextualSpacing/>
        <w:jc w:val="left"/>
        <w:rPr>
          <w:rFonts w:ascii="Times New Roman" w:hAnsi="Times New Roman" w:eastAsia="楷体_GB2312"/>
          <w:b/>
          <w:bCs/>
          <w:color w:val="auto"/>
          <w:kern w:val="0"/>
          <w:sz w:val="32"/>
          <w:szCs w:val="32"/>
          <w:shd w:val="clear" w:color="auto" w:fill="FFFFFF"/>
          <w:lang w:val="zh-CN"/>
        </w:rPr>
      </w:pPr>
      <w:r>
        <w:rPr>
          <w:rFonts w:ascii="Times New Roman" w:hAnsi="Times New Roman" w:eastAsia="楷体_GB2312"/>
          <w:b/>
          <w:bCs/>
          <w:color w:val="auto"/>
          <w:kern w:val="0"/>
          <w:sz w:val="32"/>
          <w:szCs w:val="32"/>
          <w:shd w:val="clear" w:color="auto" w:fill="FFFFFF"/>
          <w:lang w:val="zh-CN"/>
        </w:rPr>
        <w:t>（一）</w:t>
      </w:r>
      <w:r>
        <w:rPr>
          <w:rFonts w:hint="eastAsia" w:ascii="Times New Roman" w:hAnsi="Times New Roman" w:eastAsia="楷体_GB2312"/>
          <w:b/>
          <w:bCs/>
          <w:color w:val="auto"/>
          <w:kern w:val="0"/>
          <w:sz w:val="32"/>
          <w:szCs w:val="32"/>
          <w:shd w:val="clear" w:color="auto" w:fill="FFFFFF"/>
          <w:lang w:val="zh-CN"/>
        </w:rPr>
        <w:t>部门预算</w:t>
      </w:r>
      <w:r>
        <w:rPr>
          <w:rFonts w:ascii="Times New Roman" w:hAnsi="Times New Roman" w:eastAsia="楷体_GB2312"/>
          <w:b/>
          <w:bCs/>
          <w:color w:val="auto"/>
          <w:kern w:val="0"/>
          <w:sz w:val="32"/>
          <w:szCs w:val="32"/>
          <w:shd w:val="clear" w:color="auto" w:fill="FFFFFF"/>
          <w:lang w:val="zh-CN"/>
        </w:rPr>
        <w:t>总体绩效分析。</w:t>
      </w:r>
    </w:p>
    <w:p w14:paraId="70E22A25">
      <w:pPr>
        <w:pStyle w:val="8"/>
        <w:keepNext w:val="0"/>
        <w:keepLines w:val="0"/>
        <w:pageBreakBefore w:val="0"/>
        <w:widowControl w:val="0"/>
        <w:kinsoku/>
        <w:wordWrap/>
        <w:overflowPunct/>
        <w:topLinePunct w:val="0"/>
        <w:autoSpaceDE/>
        <w:autoSpaceDN/>
        <w:bidi w:val="0"/>
        <w:adjustRightInd/>
        <w:snapToGrid/>
        <w:spacing w:before="130" w:line="560" w:lineRule="exact"/>
        <w:ind w:left="45" w:right="102" w:firstLine="607"/>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 xml:space="preserve">人员经费全年支出 </w:t>
      </w:r>
      <w:r>
        <w:rPr>
          <w:rFonts w:hint="eastAsia" w:hAnsi="仿宋_GB2312" w:cs="仿宋_GB2312"/>
          <w:b w:val="0"/>
          <w:bCs w:val="0"/>
          <w:color w:val="auto"/>
          <w:kern w:val="0"/>
          <w:sz w:val="32"/>
          <w:szCs w:val="32"/>
          <w:highlight w:val="none"/>
          <w:shd w:val="clear" w:color="auto" w:fill="FFFFFF"/>
          <w:lang w:val="en-US" w:eastAsia="zh-CN" w:bidi="ar-SA"/>
        </w:rPr>
        <w:t>305.36</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万元。用于保障</w:t>
      </w:r>
      <w:r>
        <w:rPr>
          <w:rFonts w:hint="eastAsia" w:hAnsi="仿宋_GB2312" w:cs="仿宋_GB2312"/>
          <w:b w:val="0"/>
          <w:bCs w:val="0"/>
          <w:color w:val="auto"/>
          <w:kern w:val="0"/>
          <w:sz w:val="32"/>
          <w:szCs w:val="32"/>
          <w:highlight w:val="none"/>
          <w:shd w:val="clear" w:color="auto" w:fill="FFFFFF"/>
          <w:lang w:val="en-US" w:eastAsia="zh-CN" w:bidi="ar-SA"/>
        </w:rPr>
        <w:t>单位</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正常运转人员支出，包括职工个人的工资、津贴补贴、奖金和其他各项补助、退休人员生活补助及医疗费等，人员类支出按定员定额编制预算，资金支出按进度执行，无违规记录，预算执行率100%，无结余。</w:t>
      </w:r>
    </w:p>
    <w:p w14:paraId="36A8C67D">
      <w:pPr>
        <w:pStyle w:val="8"/>
        <w:keepNext w:val="0"/>
        <w:keepLines w:val="0"/>
        <w:pageBreakBefore w:val="0"/>
        <w:widowControl w:val="0"/>
        <w:kinsoku/>
        <w:wordWrap/>
        <w:overflowPunct/>
        <w:topLinePunct w:val="0"/>
        <w:autoSpaceDE/>
        <w:autoSpaceDN/>
        <w:bidi w:val="0"/>
        <w:adjustRightInd/>
        <w:snapToGrid/>
        <w:spacing w:before="130" w:line="560" w:lineRule="exact"/>
        <w:ind w:left="45" w:right="102" w:firstLine="607"/>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公用经费全年支出</w:t>
      </w:r>
      <w:r>
        <w:rPr>
          <w:rFonts w:hint="eastAsia" w:hAnsi="仿宋_GB2312" w:cs="仿宋_GB2312"/>
          <w:b w:val="0"/>
          <w:bCs w:val="0"/>
          <w:color w:val="auto"/>
          <w:kern w:val="0"/>
          <w:sz w:val="32"/>
          <w:szCs w:val="32"/>
          <w:highlight w:val="none"/>
          <w:shd w:val="clear" w:color="auto" w:fill="FFFFFF"/>
          <w:lang w:val="en-US" w:eastAsia="zh-CN" w:bidi="ar-SA"/>
        </w:rPr>
        <w:t>27.89</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万元。用于保障正常运转的日常公用支出，包括办公费、邮电费、差旅费、维修（护）费、公务接待费、劳务费、福利费、其他商品和服务支出等。我</w:t>
      </w:r>
      <w:r>
        <w:rPr>
          <w:rFonts w:hint="eastAsia" w:hAnsi="仿宋_GB2312" w:cs="仿宋_GB2312"/>
          <w:b w:val="0"/>
          <w:bCs w:val="0"/>
          <w:color w:val="auto"/>
          <w:kern w:val="0"/>
          <w:sz w:val="32"/>
          <w:szCs w:val="32"/>
          <w:highlight w:val="none"/>
          <w:shd w:val="clear" w:color="auto" w:fill="FFFFFF"/>
          <w:lang w:val="en-US" w:eastAsia="zh-CN" w:bidi="ar-SA"/>
        </w:rPr>
        <w:t>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严格按照财政下达部门预算运转类批复使用资金，严格执行国库集中支付制度、公务卡结算，运转类支出均按照预算科目执行，无违规记录，预算执行率达 100%，无结余。</w:t>
      </w:r>
    </w:p>
    <w:p w14:paraId="1ABDE6FA">
      <w:pPr>
        <w:pStyle w:val="8"/>
        <w:keepNext w:val="0"/>
        <w:keepLines w:val="0"/>
        <w:pageBreakBefore w:val="0"/>
        <w:widowControl w:val="0"/>
        <w:kinsoku/>
        <w:wordWrap/>
        <w:overflowPunct/>
        <w:topLinePunct w:val="0"/>
        <w:autoSpaceDE/>
        <w:autoSpaceDN/>
        <w:bidi w:val="0"/>
        <w:adjustRightInd/>
        <w:snapToGrid/>
        <w:spacing w:before="130" w:line="560" w:lineRule="exact"/>
        <w:ind w:left="45" w:right="102" w:firstLine="607"/>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项目经费全年支出合计</w:t>
      </w:r>
      <w:r>
        <w:rPr>
          <w:rFonts w:hint="eastAsia" w:hAnsi="仿宋_GB2312" w:cs="仿宋_GB2312"/>
          <w:b w:val="0"/>
          <w:bCs w:val="0"/>
          <w:color w:val="auto"/>
          <w:kern w:val="0"/>
          <w:sz w:val="32"/>
          <w:szCs w:val="32"/>
          <w:highlight w:val="none"/>
          <w:shd w:val="clear" w:color="auto" w:fill="FFFFFF"/>
          <w:lang w:val="en-US" w:eastAsia="zh-CN" w:bidi="ar-SA"/>
        </w:rPr>
        <w:t>197.7</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万元。项目资金支付及时准确到位，完成年初预算目标。</w:t>
      </w:r>
      <w:r>
        <w:rPr>
          <w:rFonts w:hint="eastAsia" w:hAnsi="仿宋_GB2312" w:cs="仿宋_GB2312"/>
          <w:b w:val="0"/>
          <w:bCs w:val="0"/>
          <w:color w:val="auto"/>
          <w:kern w:val="0"/>
          <w:sz w:val="32"/>
          <w:szCs w:val="32"/>
          <w:highlight w:val="none"/>
          <w:shd w:val="clear" w:color="auto" w:fill="FFFFFF"/>
          <w:lang w:val="en-US" w:eastAsia="zh-CN" w:bidi="ar-SA"/>
        </w:rPr>
        <w:t>主要包括：城乡医疗救助：117.01万元，企业改革补助支出：23万元，其他医疗保障管理事务支出：57.69万元；</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项目预算</w:t>
      </w:r>
      <w:r>
        <w:rPr>
          <w:rFonts w:hint="eastAsia" w:hAnsi="仿宋_GB2312" w:cs="仿宋_GB2312"/>
          <w:b w:val="0"/>
          <w:bCs w:val="0"/>
          <w:color w:val="auto"/>
          <w:kern w:val="0"/>
          <w:sz w:val="32"/>
          <w:szCs w:val="32"/>
          <w:highlight w:val="none"/>
          <w:shd w:val="clear" w:color="auto" w:fill="FFFFFF"/>
          <w:lang w:val="en-US" w:eastAsia="zh-CN" w:bidi="ar-SA"/>
        </w:rPr>
        <w:t>执</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行率 100%，无结余。</w:t>
      </w:r>
    </w:p>
    <w:p w14:paraId="6B59BA21">
      <w:pPr>
        <w:pStyle w:val="8"/>
        <w:keepNext w:val="0"/>
        <w:keepLines w:val="0"/>
        <w:pageBreakBefore w:val="0"/>
        <w:widowControl w:val="0"/>
        <w:kinsoku/>
        <w:wordWrap/>
        <w:overflowPunct/>
        <w:topLinePunct w:val="0"/>
        <w:autoSpaceDE/>
        <w:autoSpaceDN/>
        <w:bidi w:val="0"/>
        <w:adjustRightInd/>
        <w:snapToGrid/>
        <w:spacing w:before="130" w:line="560" w:lineRule="exact"/>
        <w:ind w:left="45" w:right="102" w:firstLine="607"/>
        <w:textAlignment w:val="auto"/>
        <w:rPr>
          <w:rFonts w:hint="eastAsia" w:ascii="楷体_GB2312" w:hAnsi="楷体_GB2312" w:eastAsia="楷体_GB2312" w:cs="楷体_GB2312"/>
          <w:color w:val="auto"/>
          <w:kern w:val="0"/>
          <w:sz w:val="32"/>
          <w:szCs w:val="32"/>
          <w:shd w:val="clear" w:color="auto" w:fill="FFFFFF"/>
          <w:lang w:val="zh-CN"/>
        </w:rPr>
      </w:pPr>
      <w:r>
        <w:rPr>
          <w:rFonts w:hint="eastAsia" w:ascii="楷体_GB2312" w:hAnsi="楷体_GB2312" w:eastAsia="楷体_GB2312" w:cs="楷体_GB2312"/>
          <w:color w:val="auto"/>
          <w:kern w:val="0"/>
          <w:sz w:val="32"/>
          <w:szCs w:val="32"/>
          <w:shd w:val="clear" w:color="auto" w:fill="FFFFFF"/>
          <w:lang w:val="en-US" w:eastAsia="zh-CN"/>
        </w:rPr>
        <w:t>1、</w:t>
      </w:r>
      <w:r>
        <w:rPr>
          <w:rFonts w:hint="eastAsia" w:ascii="楷体_GB2312" w:hAnsi="楷体_GB2312" w:eastAsia="楷体_GB2312" w:cs="楷体_GB2312"/>
          <w:color w:val="auto"/>
          <w:kern w:val="0"/>
          <w:sz w:val="32"/>
          <w:szCs w:val="32"/>
          <w:shd w:val="clear" w:color="auto" w:fill="FFFFFF"/>
          <w:lang w:val="zh-CN"/>
        </w:rPr>
        <w:t>履职效能。</w:t>
      </w:r>
    </w:p>
    <w:p w14:paraId="11C2F3F4">
      <w:pPr>
        <w:pStyle w:val="8"/>
        <w:numPr>
          <w:ilvl w:val="0"/>
          <w:numId w:val="0"/>
        </w:numPr>
        <w:spacing w:before="93"/>
        <w:rPr>
          <w:rFonts w:hint="default" w:hAnsi="仿宋_GB2312" w:cs="仿宋_GB2312"/>
          <w:b w:val="0"/>
          <w:bCs w:val="0"/>
          <w:color w:val="auto"/>
          <w:kern w:val="0"/>
          <w:sz w:val="32"/>
          <w:szCs w:val="32"/>
          <w:highlight w:val="none"/>
          <w:shd w:val="clear" w:color="auto" w:fill="FFFFFF"/>
          <w:lang w:val="zh-CN" w:eastAsia="zh-CN" w:bidi="ar-SA"/>
        </w:rPr>
      </w:pPr>
      <w:r>
        <w:rPr>
          <w:rFonts w:hint="eastAsia" w:ascii="楷体_GB2312" w:hAnsi="楷体_GB2312" w:eastAsia="楷体_GB2312" w:cs="楷体_GB2312"/>
          <w:color w:val="auto"/>
          <w:kern w:val="0"/>
          <w:sz w:val="32"/>
          <w:szCs w:val="32"/>
          <w:shd w:val="clear" w:color="auto" w:fill="FFFFFF"/>
          <w:lang w:val="zh-CN"/>
        </w:rPr>
        <w:t>　</w:t>
      </w:r>
      <w:r>
        <w:rPr>
          <w:rFonts w:hint="eastAsia" w:ascii="楷体_GB2312" w:hAnsi="楷体_GB2312" w:eastAsia="楷体_GB2312" w:cs="楷体_GB2312"/>
          <w:color w:val="auto"/>
          <w:kern w:val="0"/>
          <w:sz w:val="32"/>
          <w:szCs w:val="32"/>
          <w:shd w:val="clear" w:color="auto" w:fill="FFFFFF"/>
          <w:lang w:val="en-US" w:eastAsia="zh-CN"/>
        </w:rPr>
        <w:t xml:space="preserve">  </w:t>
      </w:r>
      <w:r>
        <w:rPr>
          <w:rFonts w:hint="eastAsia" w:hAnsi="仿宋_GB2312" w:cs="仿宋_GB2312"/>
          <w:b w:val="0"/>
          <w:bCs w:val="0"/>
          <w:color w:val="auto"/>
          <w:kern w:val="0"/>
          <w:sz w:val="32"/>
          <w:szCs w:val="32"/>
          <w:highlight w:val="none"/>
          <w:shd w:val="clear" w:color="auto" w:fill="FFFFFF"/>
          <w:lang w:val="zh-CN" w:eastAsia="zh-CN" w:bidi="ar-SA"/>
        </w:rPr>
        <w:t>202</w:t>
      </w:r>
      <w:r>
        <w:rPr>
          <w:rFonts w:hint="eastAsia" w:hAnsi="仿宋_GB2312" w:cs="仿宋_GB2312"/>
          <w:b w:val="0"/>
          <w:bCs w:val="0"/>
          <w:color w:val="auto"/>
          <w:kern w:val="0"/>
          <w:sz w:val="32"/>
          <w:szCs w:val="32"/>
          <w:highlight w:val="none"/>
          <w:shd w:val="clear" w:color="auto" w:fill="FFFFFF"/>
          <w:lang w:val="en-US" w:eastAsia="zh-CN" w:bidi="ar-SA"/>
        </w:rPr>
        <w:t>5</w:t>
      </w:r>
      <w:r>
        <w:rPr>
          <w:rFonts w:hint="eastAsia" w:hAnsi="仿宋_GB2312" w:cs="仿宋_GB2312"/>
          <w:b w:val="0"/>
          <w:bCs w:val="0"/>
          <w:color w:val="auto"/>
          <w:kern w:val="0"/>
          <w:sz w:val="32"/>
          <w:szCs w:val="32"/>
          <w:highlight w:val="none"/>
          <w:shd w:val="clear" w:color="auto" w:fill="FFFFFF"/>
          <w:lang w:val="zh-CN" w:eastAsia="zh-CN" w:bidi="ar-SA"/>
        </w:rPr>
        <w:t>年</w:t>
      </w:r>
      <w:r>
        <w:rPr>
          <w:rFonts w:hint="default" w:hAnsi="仿宋_GB2312" w:cs="仿宋_GB2312"/>
          <w:b w:val="0"/>
          <w:bCs w:val="0"/>
          <w:color w:val="auto"/>
          <w:kern w:val="0"/>
          <w:sz w:val="32"/>
          <w:szCs w:val="32"/>
          <w:highlight w:val="none"/>
          <w:shd w:val="clear" w:color="auto" w:fill="FFFFFF"/>
          <w:lang w:val="zh-CN" w:eastAsia="zh-CN" w:bidi="ar-SA"/>
        </w:rPr>
        <w:t>我</w:t>
      </w:r>
      <w:r>
        <w:rPr>
          <w:rFonts w:hint="eastAsia" w:hAnsi="仿宋_GB2312" w:cs="仿宋_GB2312"/>
          <w:b w:val="0"/>
          <w:bCs w:val="0"/>
          <w:color w:val="auto"/>
          <w:kern w:val="0"/>
          <w:sz w:val="32"/>
          <w:szCs w:val="32"/>
          <w:highlight w:val="none"/>
          <w:shd w:val="clear" w:color="auto" w:fill="FFFFFF"/>
          <w:lang w:val="en-US" w:eastAsia="zh-CN" w:bidi="ar-SA"/>
        </w:rPr>
        <w:t>局</w:t>
      </w:r>
      <w:r>
        <w:rPr>
          <w:rFonts w:hint="eastAsia" w:hAnsi="仿宋_GB2312" w:cs="仿宋_GB2312"/>
          <w:b w:val="0"/>
          <w:bCs w:val="0"/>
          <w:color w:val="auto"/>
          <w:kern w:val="0"/>
          <w:sz w:val="32"/>
          <w:szCs w:val="32"/>
          <w:highlight w:val="none"/>
          <w:shd w:val="clear" w:color="auto" w:fill="FFFFFF"/>
          <w:lang w:val="zh-CN" w:eastAsia="zh-CN" w:bidi="ar-SA"/>
        </w:rPr>
        <w:t>顺利</w:t>
      </w:r>
      <w:r>
        <w:rPr>
          <w:rFonts w:hint="default" w:hAnsi="仿宋_GB2312" w:cs="仿宋_GB2312"/>
          <w:b w:val="0"/>
          <w:bCs w:val="0"/>
          <w:color w:val="auto"/>
          <w:kern w:val="0"/>
          <w:sz w:val="32"/>
          <w:szCs w:val="32"/>
          <w:highlight w:val="none"/>
          <w:shd w:val="clear" w:color="auto" w:fill="FFFFFF"/>
          <w:lang w:val="zh-CN" w:eastAsia="zh-CN" w:bidi="ar-SA"/>
        </w:rPr>
        <w:t>完了项目预算执行任务</w:t>
      </w:r>
      <w:r>
        <w:rPr>
          <w:rFonts w:hint="eastAsia" w:hAnsi="仿宋_GB2312" w:cs="仿宋_GB2312"/>
          <w:b w:val="0"/>
          <w:bCs w:val="0"/>
          <w:color w:val="auto"/>
          <w:kern w:val="0"/>
          <w:sz w:val="32"/>
          <w:szCs w:val="32"/>
          <w:highlight w:val="none"/>
          <w:shd w:val="clear" w:color="auto" w:fill="FFFFFF"/>
          <w:lang w:val="zh-CN" w:eastAsia="zh-CN" w:bidi="ar-SA"/>
        </w:rPr>
        <w:t>，</w:t>
      </w:r>
      <w:r>
        <w:rPr>
          <w:rFonts w:hint="default" w:hAnsi="仿宋_GB2312" w:cs="仿宋_GB2312"/>
          <w:b w:val="0"/>
          <w:bCs w:val="0"/>
          <w:color w:val="auto"/>
          <w:kern w:val="0"/>
          <w:sz w:val="32"/>
          <w:szCs w:val="32"/>
          <w:highlight w:val="none"/>
          <w:shd w:val="clear" w:color="auto" w:fill="FFFFFF"/>
          <w:lang w:val="zh-CN" w:eastAsia="zh-CN" w:bidi="ar-SA"/>
        </w:rPr>
        <w:t>通</w:t>
      </w:r>
      <w:r>
        <w:rPr>
          <w:rFonts w:hint="eastAsia" w:hAnsi="仿宋_GB2312" w:cs="仿宋_GB2312"/>
          <w:b w:val="0"/>
          <w:bCs w:val="0"/>
          <w:color w:val="auto"/>
          <w:kern w:val="0"/>
          <w:sz w:val="32"/>
          <w:szCs w:val="32"/>
          <w:highlight w:val="none"/>
          <w:shd w:val="clear" w:color="auto" w:fill="FFFFFF"/>
          <w:lang w:val="zh-CN" w:eastAsia="zh-CN" w:bidi="ar-SA"/>
        </w:rPr>
        <w:t>过</w:t>
      </w:r>
      <w:r>
        <w:rPr>
          <w:rFonts w:hint="default" w:hAnsi="仿宋_GB2312" w:cs="仿宋_GB2312"/>
          <w:b w:val="0"/>
          <w:bCs w:val="0"/>
          <w:color w:val="auto"/>
          <w:kern w:val="0"/>
          <w:sz w:val="32"/>
          <w:szCs w:val="32"/>
          <w:highlight w:val="none"/>
          <w:shd w:val="clear" w:color="auto" w:fill="FFFFFF"/>
          <w:lang w:val="zh-CN" w:eastAsia="zh-CN" w:bidi="ar-SA"/>
        </w:rPr>
        <w:t>各项指标的监</w:t>
      </w:r>
      <w:r>
        <w:rPr>
          <w:rFonts w:hint="eastAsia" w:hAnsi="仿宋_GB2312" w:cs="仿宋_GB2312"/>
          <w:b w:val="0"/>
          <w:bCs w:val="0"/>
          <w:color w:val="auto"/>
          <w:kern w:val="0"/>
          <w:sz w:val="32"/>
          <w:szCs w:val="32"/>
          <w:highlight w:val="none"/>
          <w:shd w:val="clear" w:color="auto" w:fill="FFFFFF"/>
          <w:lang w:val="zh-CN" w:eastAsia="zh-CN" w:bidi="ar-SA"/>
        </w:rPr>
        <w:t>测</w:t>
      </w:r>
      <w:r>
        <w:rPr>
          <w:rFonts w:hint="default" w:hAnsi="仿宋_GB2312" w:cs="仿宋_GB2312"/>
          <w:b w:val="0"/>
          <w:bCs w:val="0"/>
          <w:color w:val="auto"/>
          <w:kern w:val="0"/>
          <w:sz w:val="32"/>
          <w:szCs w:val="32"/>
          <w:highlight w:val="none"/>
          <w:shd w:val="clear" w:color="auto" w:fill="FFFFFF"/>
          <w:lang w:val="zh-CN" w:eastAsia="zh-CN" w:bidi="ar-SA"/>
        </w:rPr>
        <w:t>和分析</w:t>
      </w:r>
      <w:r>
        <w:rPr>
          <w:rFonts w:hint="eastAsia" w:hAnsi="仿宋_GB2312" w:cs="仿宋_GB2312"/>
          <w:b w:val="0"/>
          <w:bCs w:val="0"/>
          <w:color w:val="auto"/>
          <w:kern w:val="0"/>
          <w:sz w:val="32"/>
          <w:szCs w:val="32"/>
          <w:highlight w:val="none"/>
          <w:shd w:val="clear" w:color="auto" w:fill="FFFFFF"/>
          <w:lang w:val="zh-CN" w:eastAsia="zh-CN" w:bidi="ar-SA"/>
        </w:rPr>
        <w:t>，</w:t>
      </w:r>
      <w:r>
        <w:rPr>
          <w:rFonts w:hint="default" w:hAnsi="仿宋_GB2312" w:cs="仿宋_GB2312"/>
          <w:b w:val="0"/>
          <w:bCs w:val="0"/>
          <w:color w:val="auto"/>
          <w:kern w:val="0"/>
          <w:sz w:val="32"/>
          <w:szCs w:val="32"/>
          <w:highlight w:val="none"/>
          <w:shd w:val="clear" w:color="auto" w:fill="FFFFFF"/>
          <w:lang w:val="zh-CN" w:eastAsia="zh-CN" w:bidi="ar-SA"/>
        </w:rPr>
        <w:t>工作效率</w:t>
      </w:r>
      <w:r>
        <w:rPr>
          <w:rFonts w:hint="eastAsia" w:hAnsi="仿宋_GB2312" w:cs="仿宋_GB2312"/>
          <w:b w:val="0"/>
          <w:bCs w:val="0"/>
          <w:color w:val="auto"/>
          <w:kern w:val="0"/>
          <w:sz w:val="32"/>
          <w:szCs w:val="32"/>
          <w:highlight w:val="none"/>
          <w:shd w:val="clear" w:color="auto" w:fill="FFFFFF"/>
          <w:lang w:val="zh-CN" w:eastAsia="zh-CN" w:bidi="ar-SA"/>
        </w:rPr>
        <w:t>和工作质量得到</w:t>
      </w:r>
      <w:r>
        <w:rPr>
          <w:rFonts w:hint="default" w:hAnsi="仿宋_GB2312" w:cs="仿宋_GB2312"/>
          <w:b w:val="0"/>
          <w:bCs w:val="0"/>
          <w:color w:val="auto"/>
          <w:kern w:val="0"/>
          <w:sz w:val="32"/>
          <w:szCs w:val="32"/>
          <w:highlight w:val="none"/>
          <w:shd w:val="clear" w:color="auto" w:fill="FFFFFF"/>
          <w:lang w:val="zh-CN" w:eastAsia="zh-CN" w:bidi="ar-SA"/>
        </w:rPr>
        <w:t>了</w:t>
      </w:r>
      <w:r>
        <w:rPr>
          <w:rFonts w:hint="eastAsia" w:hAnsi="仿宋_GB2312" w:cs="仿宋_GB2312"/>
          <w:b w:val="0"/>
          <w:bCs w:val="0"/>
          <w:color w:val="auto"/>
          <w:kern w:val="0"/>
          <w:sz w:val="32"/>
          <w:szCs w:val="32"/>
          <w:highlight w:val="none"/>
          <w:shd w:val="clear" w:color="auto" w:fill="FFFFFF"/>
          <w:lang w:val="zh-CN" w:eastAsia="zh-CN" w:bidi="ar-SA"/>
        </w:rPr>
        <w:t>提</w:t>
      </w:r>
      <w:r>
        <w:rPr>
          <w:rFonts w:hint="default" w:hAnsi="仿宋_GB2312" w:cs="仿宋_GB2312"/>
          <w:b w:val="0"/>
          <w:bCs w:val="0"/>
          <w:color w:val="auto"/>
          <w:kern w:val="0"/>
          <w:sz w:val="32"/>
          <w:szCs w:val="32"/>
          <w:highlight w:val="none"/>
          <w:shd w:val="clear" w:color="auto" w:fill="FFFFFF"/>
          <w:lang w:val="zh-CN" w:eastAsia="zh-CN" w:bidi="ar-SA"/>
        </w:rPr>
        <w:t>高</w:t>
      </w:r>
      <w:r>
        <w:rPr>
          <w:rFonts w:hint="eastAsia" w:hAnsi="仿宋_GB2312" w:cs="仿宋_GB2312"/>
          <w:b w:val="0"/>
          <w:bCs w:val="0"/>
          <w:color w:val="auto"/>
          <w:kern w:val="0"/>
          <w:sz w:val="32"/>
          <w:szCs w:val="32"/>
          <w:highlight w:val="none"/>
          <w:shd w:val="clear" w:color="auto" w:fill="FFFFFF"/>
          <w:lang w:val="zh-CN" w:eastAsia="zh-CN" w:bidi="ar-SA"/>
        </w:rPr>
        <w:t>。一是在做好住院医疗救助工作的同时，按期做好城乡一次性门诊救助和资助民政救助对象参加城乡医疗保险工作</w:t>
      </w:r>
      <w:r>
        <w:rPr>
          <w:rFonts w:hint="eastAsia" w:hAnsi="仿宋_GB2312" w:cs="仿宋_GB2312"/>
          <w:b w:val="0"/>
          <w:bCs w:val="0"/>
          <w:color w:val="auto"/>
          <w:kern w:val="0"/>
          <w:sz w:val="32"/>
          <w:szCs w:val="32"/>
          <w:highlight w:val="none"/>
          <w:shd w:val="clear" w:color="auto" w:fill="FFFFFF"/>
          <w:lang w:val="en-US" w:eastAsia="zh-CN" w:bidi="ar-SA"/>
        </w:rPr>
        <w:t>；</w:t>
      </w:r>
      <w:r>
        <w:rPr>
          <w:rFonts w:hint="eastAsia" w:hAnsi="仿宋_GB2312" w:cs="仿宋_GB2312"/>
          <w:b w:val="0"/>
          <w:bCs w:val="0"/>
          <w:color w:val="auto"/>
          <w:kern w:val="0"/>
          <w:sz w:val="32"/>
          <w:szCs w:val="32"/>
          <w:highlight w:val="none"/>
          <w:shd w:val="clear" w:color="auto" w:fill="FFFFFF"/>
          <w:lang w:val="zh-CN" w:eastAsia="zh-CN" w:bidi="ar-SA"/>
        </w:rPr>
        <w:t>二是对20</w:t>
      </w:r>
      <w:r>
        <w:rPr>
          <w:rFonts w:hint="eastAsia" w:hAnsi="仿宋_GB2312" w:cs="仿宋_GB2312"/>
          <w:b w:val="0"/>
          <w:bCs w:val="0"/>
          <w:color w:val="auto"/>
          <w:kern w:val="0"/>
          <w:sz w:val="32"/>
          <w:szCs w:val="32"/>
          <w:highlight w:val="none"/>
          <w:shd w:val="clear" w:color="auto" w:fill="FFFFFF"/>
          <w:lang w:val="en-US" w:eastAsia="zh-CN" w:bidi="ar-SA"/>
        </w:rPr>
        <w:t>25</w:t>
      </w:r>
      <w:r>
        <w:rPr>
          <w:rFonts w:hint="eastAsia" w:hAnsi="仿宋_GB2312" w:cs="仿宋_GB2312"/>
          <w:b w:val="0"/>
          <w:bCs w:val="0"/>
          <w:color w:val="auto"/>
          <w:kern w:val="0"/>
          <w:sz w:val="32"/>
          <w:szCs w:val="32"/>
          <w:highlight w:val="none"/>
          <w:shd w:val="clear" w:color="auto" w:fill="FFFFFF"/>
          <w:lang w:val="zh-CN" w:eastAsia="zh-CN" w:bidi="ar-SA"/>
        </w:rPr>
        <w:t>年全区离休干部和二等乙级以上革命伤残军人、高级知识份子、县级干部等人按规定政策报销医疗待遇</w:t>
      </w:r>
      <w:r>
        <w:rPr>
          <w:rFonts w:hint="default" w:hAnsi="仿宋_GB2312" w:cs="仿宋_GB2312"/>
          <w:b w:val="0"/>
          <w:bCs w:val="0"/>
          <w:color w:val="auto"/>
          <w:kern w:val="0"/>
          <w:sz w:val="32"/>
          <w:szCs w:val="32"/>
          <w:highlight w:val="none"/>
          <w:shd w:val="clear" w:color="auto" w:fill="FFFFFF"/>
          <w:lang w:val="en-US" w:eastAsia="zh-CN" w:bidi="ar-SA"/>
        </w:rPr>
        <w:t>；</w:t>
      </w:r>
      <w:r>
        <w:rPr>
          <w:rFonts w:hint="eastAsia" w:hAnsi="仿宋_GB2312" w:cs="仿宋_GB2312"/>
          <w:b w:val="0"/>
          <w:bCs w:val="0"/>
          <w:color w:val="auto"/>
          <w:kern w:val="0"/>
          <w:sz w:val="32"/>
          <w:szCs w:val="32"/>
          <w:highlight w:val="none"/>
          <w:shd w:val="clear" w:color="auto" w:fill="FFFFFF"/>
          <w:lang w:val="zh-CN" w:eastAsia="zh-CN" w:bidi="ar-SA"/>
        </w:rPr>
        <w:t>四是加强队伍建设。</w:t>
      </w:r>
      <w:r>
        <w:rPr>
          <w:rFonts w:hint="default" w:hAnsi="仿宋_GB2312" w:cs="仿宋_GB2312"/>
          <w:b w:val="0"/>
          <w:bCs w:val="0"/>
          <w:color w:val="auto"/>
          <w:kern w:val="0"/>
          <w:sz w:val="32"/>
          <w:szCs w:val="32"/>
          <w:highlight w:val="none"/>
          <w:shd w:val="clear" w:color="auto" w:fill="FFFFFF"/>
          <w:lang w:val="zh-CN" w:eastAsia="zh-CN" w:bidi="ar-SA"/>
        </w:rPr>
        <w:t>部门整体履职绩效方面表现良好</w:t>
      </w:r>
      <w:r>
        <w:rPr>
          <w:rFonts w:hint="eastAsia" w:hAnsi="仿宋_GB2312" w:cs="仿宋_GB2312"/>
          <w:b w:val="0"/>
          <w:bCs w:val="0"/>
          <w:color w:val="auto"/>
          <w:kern w:val="0"/>
          <w:sz w:val="32"/>
          <w:szCs w:val="32"/>
          <w:highlight w:val="none"/>
          <w:shd w:val="clear" w:color="auto" w:fill="FFFFFF"/>
          <w:lang w:val="zh-CN" w:eastAsia="zh-CN" w:bidi="ar-SA"/>
        </w:rPr>
        <w:t>，</w:t>
      </w:r>
      <w:r>
        <w:rPr>
          <w:rFonts w:hint="default" w:hAnsi="仿宋_GB2312" w:cs="仿宋_GB2312"/>
          <w:b w:val="0"/>
          <w:bCs w:val="0"/>
          <w:color w:val="auto"/>
          <w:kern w:val="0"/>
          <w:sz w:val="32"/>
          <w:szCs w:val="32"/>
          <w:highlight w:val="none"/>
          <w:shd w:val="clear" w:color="auto" w:fill="FFFFFF"/>
          <w:lang w:val="zh-CN" w:eastAsia="zh-CN" w:bidi="ar-SA"/>
        </w:rPr>
        <w:t>确保预算资金使</w:t>
      </w:r>
      <w:r>
        <w:rPr>
          <w:rFonts w:hint="eastAsia" w:hAnsi="仿宋_GB2312" w:cs="仿宋_GB2312"/>
          <w:b w:val="0"/>
          <w:bCs w:val="0"/>
          <w:color w:val="auto"/>
          <w:kern w:val="0"/>
          <w:sz w:val="32"/>
          <w:szCs w:val="32"/>
          <w:highlight w:val="none"/>
          <w:shd w:val="clear" w:color="auto" w:fill="FFFFFF"/>
          <w:lang w:val="zh-CN" w:eastAsia="zh-CN" w:bidi="ar-SA"/>
        </w:rPr>
        <w:t>用的</w:t>
      </w:r>
      <w:r>
        <w:rPr>
          <w:rFonts w:hint="default" w:hAnsi="仿宋_GB2312" w:cs="仿宋_GB2312"/>
          <w:b w:val="0"/>
          <w:bCs w:val="0"/>
          <w:color w:val="auto"/>
          <w:kern w:val="0"/>
          <w:sz w:val="32"/>
          <w:szCs w:val="32"/>
          <w:highlight w:val="none"/>
          <w:shd w:val="clear" w:color="auto" w:fill="FFFFFF"/>
          <w:lang w:val="zh-CN" w:eastAsia="zh-CN" w:bidi="ar-SA"/>
        </w:rPr>
        <w:t>合规性和效益性</w:t>
      </w:r>
      <w:r>
        <w:rPr>
          <w:rFonts w:hint="eastAsia" w:hAnsi="仿宋_GB2312" w:cs="仿宋_GB2312"/>
          <w:b w:val="0"/>
          <w:bCs w:val="0"/>
          <w:color w:val="auto"/>
          <w:kern w:val="0"/>
          <w:sz w:val="32"/>
          <w:szCs w:val="32"/>
          <w:highlight w:val="none"/>
          <w:shd w:val="clear" w:color="auto" w:fill="FFFFFF"/>
          <w:lang w:val="zh-CN" w:eastAsia="zh-CN" w:bidi="ar-SA"/>
        </w:rPr>
        <w:t>。</w:t>
      </w:r>
    </w:p>
    <w:p w14:paraId="7651B873">
      <w:pPr>
        <w:numPr>
          <w:ilvl w:val="0"/>
          <w:numId w:val="0"/>
        </w:numPr>
        <w:adjustRightInd w:val="0"/>
        <w:snapToGrid w:val="0"/>
        <w:spacing w:line="578" w:lineRule="exact"/>
        <w:ind w:firstLine="640" w:firstLineChars="200"/>
        <w:contextualSpacing/>
        <w:jc w:val="left"/>
        <w:rPr>
          <w:rFonts w:hint="eastAsia" w:ascii="楷体_GB2312" w:hAnsi="楷体_GB2312" w:eastAsia="楷体_GB2312" w:cs="楷体_GB2312"/>
          <w:color w:val="auto"/>
          <w:kern w:val="0"/>
          <w:sz w:val="32"/>
          <w:szCs w:val="32"/>
          <w:shd w:val="clear" w:color="auto" w:fill="FFFFFF"/>
          <w:lang w:val="zh-CN"/>
        </w:rPr>
      </w:pPr>
      <w:r>
        <w:rPr>
          <w:rFonts w:hint="eastAsia" w:ascii="楷体_GB2312" w:hAnsi="楷体_GB2312" w:eastAsia="楷体_GB2312" w:cs="楷体_GB2312"/>
          <w:color w:val="auto"/>
          <w:kern w:val="0"/>
          <w:sz w:val="32"/>
          <w:szCs w:val="32"/>
          <w:shd w:val="clear" w:color="auto" w:fill="FFFFFF"/>
          <w:lang w:val="en-US" w:eastAsia="zh-CN"/>
        </w:rPr>
        <w:t>2、</w:t>
      </w:r>
      <w:r>
        <w:rPr>
          <w:rFonts w:ascii="楷体_GB2312" w:hAnsi="楷体_GB2312" w:eastAsia="楷体_GB2312" w:cs="楷体_GB2312"/>
          <w:color w:val="auto"/>
          <w:kern w:val="0"/>
          <w:sz w:val="32"/>
          <w:szCs w:val="32"/>
          <w:shd w:val="clear" w:color="auto" w:fill="FFFFFF"/>
          <w:lang w:val="zh-CN"/>
        </w:rPr>
        <w:t>预算管理</w:t>
      </w:r>
      <w:r>
        <w:rPr>
          <w:rFonts w:hint="eastAsia" w:ascii="楷体_GB2312" w:hAnsi="楷体_GB2312" w:eastAsia="楷体_GB2312" w:cs="楷体_GB2312"/>
          <w:color w:val="auto"/>
          <w:kern w:val="0"/>
          <w:sz w:val="32"/>
          <w:szCs w:val="32"/>
          <w:shd w:val="clear" w:color="auto" w:fill="FFFFFF"/>
          <w:lang w:val="zh-CN"/>
        </w:rPr>
        <w:t>。</w:t>
      </w:r>
    </w:p>
    <w:p w14:paraId="075A02D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bCs/>
          <w:color w:val="auto"/>
          <w:kern w:val="0"/>
          <w:sz w:val="33"/>
          <w:szCs w:val="33"/>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仁和区医疗保障局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 xml:space="preserve"> 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年预算编报依据充分、项目细化、绩效设置完整，与部门职责和年度工作重点相符，</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合理安排资金使用计划</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切实加强部门预算支出执行管理和监督工作，确保资金及时、足额到位，充分发挥财政资金的使用效益，确保各项工作高质量完成</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w:t>
      </w:r>
    </w:p>
    <w:p w14:paraId="16012738">
      <w:pPr>
        <w:numPr>
          <w:ilvl w:val="0"/>
          <w:numId w:val="0"/>
        </w:numPr>
        <w:adjustRightInd w:val="0"/>
        <w:snapToGrid w:val="0"/>
        <w:spacing w:line="578" w:lineRule="exact"/>
        <w:ind w:firstLine="640" w:firstLineChars="200"/>
        <w:contextualSpacing/>
        <w:jc w:val="left"/>
        <w:rPr>
          <w:rFonts w:hint="eastAsia" w:ascii="楷体_GB2312" w:hAnsi="楷体_GB2312" w:eastAsia="楷体_GB2312" w:cs="楷体_GB2312"/>
          <w:color w:val="auto"/>
          <w:kern w:val="0"/>
          <w:sz w:val="32"/>
          <w:szCs w:val="32"/>
          <w:shd w:val="clear" w:color="auto" w:fill="FFFFFF"/>
          <w:lang w:val="zh-CN"/>
        </w:rPr>
      </w:pPr>
      <w:r>
        <w:rPr>
          <w:rFonts w:hint="eastAsia" w:ascii="楷体_GB2312" w:hAnsi="楷体_GB2312" w:eastAsia="楷体_GB2312" w:cs="楷体_GB2312"/>
          <w:color w:val="auto"/>
          <w:kern w:val="0"/>
          <w:sz w:val="32"/>
          <w:szCs w:val="32"/>
          <w:shd w:val="clear" w:color="auto" w:fill="FFFFFF"/>
          <w:lang w:val="en-US" w:eastAsia="zh-CN"/>
        </w:rPr>
        <w:t>3、</w:t>
      </w:r>
      <w:r>
        <w:rPr>
          <w:rFonts w:ascii="楷体_GB2312" w:hAnsi="楷体_GB2312" w:eastAsia="楷体_GB2312" w:cs="楷体_GB2312"/>
          <w:color w:val="auto"/>
          <w:kern w:val="0"/>
          <w:sz w:val="32"/>
          <w:szCs w:val="32"/>
          <w:shd w:val="clear" w:color="auto" w:fill="FFFFFF"/>
          <w:lang w:val="zh-CN"/>
        </w:rPr>
        <w:t>财务管理</w:t>
      </w:r>
      <w:r>
        <w:rPr>
          <w:rFonts w:hint="eastAsia" w:ascii="楷体_GB2312" w:hAnsi="楷体_GB2312" w:eastAsia="楷体_GB2312" w:cs="楷体_GB2312"/>
          <w:color w:val="auto"/>
          <w:kern w:val="0"/>
          <w:sz w:val="32"/>
          <w:szCs w:val="32"/>
          <w:shd w:val="clear" w:color="auto" w:fill="FFFFFF"/>
          <w:lang w:val="zh-CN"/>
        </w:rPr>
        <w:t>。</w:t>
      </w:r>
    </w:p>
    <w:p w14:paraId="1477221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是制定出切合单位实际财务支出审批制度，不超标准和范围合理安排资金、</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资金管理使用的各个环节是严格按照资金管理办法的规定执行，没有存在虚报项目骗取专项资金的情况，没有存在截留、挤占、挪用专项资金的情况</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没有擅自调整预算</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；二</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是设立了专业财务人员，设立了会计和出纳岗位。</w:t>
      </w:r>
    </w:p>
    <w:p w14:paraId="3496D3D3">
      <w:pPr>
        <w:numPr>
          <w:ilvl w:val="0"/>
          <w:numId w:val="0"/>
        </w:numPr>
        <w:adjustRightInd w:val="0"/>
        <w:snapToGrid w:val="0"/>
        <w:spacing w:line="578" w:lineRule="exact"/>
        <w:ind w:firstLine="640" w:firstLineChars="200"/>
        <w:contextualSpacing/>
        <w:jc w:val="left"/>
        <w:rPr>
          <w:rFonts w:hint="eastAsia" w:ascii="楷体_GB2312" w:hAnsi="楷体_GB2312" w:eastAsia="楷体_GB2312" w:cs="楷体_GB2312"/>
          <w:color w:val="auto"/>
          <w:kern w:val="0"/>
          <w:sz w:val="32"/>
          <w:szCs w:val="32"/>
          <w:shd w:val="clear" w:color="auto" w:fill="FFFFFF"/>
          <w:lang w:val="zh-CN"/>
        </w:rPr>
      </w:pPr>
      <w:r>
        <w:rPr>
          <w:rFonts w:hint="eastAsia" w:ascii="楷体_GB2312" w:hAnsi="楷体_GB2312" w:eastAsia="楷体_GB2312" w:cs="楷体_GB2312"/>
          <w:color w:val="auto"/>
          <w:kern w:val="0"/>
          <w:sz w:val="32"/>
          <w:szCs w:val="32"/>
          <w:shd w:val="clear" w:color="auto" w:fill="FFFFFF"/>
          <w:lang w:val="en-US" w:eastAsia="zh-CN"/>
        </w:rPr>
        <w:t>4、</w:t>
      </w:r>
      <w:r>
        <w:rPr>
          <w:rFonts w:ascii="楷体_GB2312" w:hAnsi="楷体_GB2312" w:eastAsia="楷体_GB2312" w:cs="楷体_GB2312"/>
          <w:color w:val="auto"/>
          <w:kern w:val="0"/>
          <w:sz w:val="32"/>
          <w:szCs w:val="32"/>
          <w:shd w:val="clear" w:color="auto" w:fill="FFFFFF"/>
          <w:lang w:val="zh-CN"/>
        </w:rPr>
        <w:t>资产管理</w:t>
      </w:r>
      <w:r>
        <w:rPr>
          <w:rFonts w:hint="eastAsia" w:ascii="楷体_GB2312" w:hAnsi="楷体_GB2312" w:eastAsia="楷体_GB2312" w:cs="楷体_GB2312"/>
          <w:color w:val="auto"/>
          <w:kern w:val="0"/>
          <w:sz w:val="32"/>
          <w:szCs w:val="32"/>
          <w:shd w:val="clear" w:color="auto" w:fill="FFFFFF"/>
          <w:lang w:val="zh-CN"/>
        </w:rPr>
        <w:t>。</w:t>
      </w:r>
    </w:p>
    <w:p w14:paraId="5C8DFB6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建立完善《</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仁和区医疗保障局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资产管理制度》，加强国有资产日常管理工作，严格落实国有资产清查、登记、上报制度，建立固定资产台账，定期进行清查，及时更新国有资产管理系统，定期完成国有资产月报工作。及时通过固定资产明细账、固定资产卡片进行会计核算，确保固定资产账实相符、帐卡相符、帐证相符、帐帐相符。</w:t>
      </w:r>
    </w:p>
    <w:p w14:paraId="63C64172">
      <w:pPr>
        <w:numPr>
          <w:ilvl w:val="0"/>
          <w:numId w:val="0"/>
        </w:numPr>
        <w:adjustRightInd w:val="0"/>
        <w:snapToGrid w:val="0"/>
        <w:spacing w:line="578" w:lineRule="exact"/>
        <w:ind w:firstLine="640" w:firstLineChars="200"/>
        <w:contextualSpacing/>
        <w:jc w:val="left"/>
        <w:rPr>
          <w:rFonts w:hint="eastAsia" w:ascii="楷体_GB2312" w:hAnsi="楷体_GB2312" w:eastAsia="楷体_GB2312" w:cs="楷体_GB2312"/>
          <w:color w:val="auto"/>
          <w:kern w:val="0"/>
          <w:sz w:val="32"/>
          <w:szCs w:val="32"/>
          <w:shd w:val="clear" w:color="auto" w:fill="FFFFFF"/>
          <w:lang w:val="zh-CN"/>
        </w:rPr>
      </w:pPr>
      <w:r>
        <w:rPr>
          <w:rFonts w:hint="eastAsia" w:ascii="楷体_GB2312" w:hAnsi="楷体_GB2312" w:eastAsia="楷体_GB2312" w:cs="楷体_GB2312"/>
          <w:color w:val="auto"/>
          <w:kern w:val="0"/>
          <w:sz w:val="32"/>
          <w:szCs w:val="32"/>
          <w:shd w:val="clear" w:color="auto" w:fill="FFFFFF"/>
          <w:lang w:val="en-US" w:eastAsia="zh-CN"/>
        </w:rPr>
        <w:t>5、</w:t>
      </w:r>
      <w:r>
        <w:rPr>
          <w:rFonts w:ascii="楷体_GB2312" w:hAnsi="楷体_GB2312" w:eastAsia="楷体_GB2312" w:cs="楷体_GB2312"/>
          <w:color w:val="auto"/>
          <w:kern w:val="0"/>
          <w:sz w:val="32"/>
          <w:szCs w:val="32"/>
          <w:shd w:val="clear" w:color="auto" w:fill="FFFFFF"/>
          <w:lang w:val="zh-CN"/>
        </w:rPr>
        <w:t>采购管理</w:t>
      </w:r>
      <w:r>
        <w:rPr>
          <w:rFonts w:hint="eastAsia" w:ascii="楷体_GB2312" w:hAnsi="楷体_GB2312" w:eastAsia="楷体_GB2312" w:cs="楷体_GB2312"/>
          <w:color w:val="auto"/>
          <w:kern w:val="0"/>
          <w:sz w:val="32"/>
          <w:szCs w:val="32"/>
          <w:shd w:val="clear" w:color="auto" w:fill="FFFFFF"/>
          <w:lang w:val="zh-CN"/>
        </w:rPr>
        <w:t>。</w:t>
      </w:r>
    </w:p>
    <w:p w14:paraId="648E66E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建立了国有资产的采购、管理和核算内部控制体系，明确资产配置、使用、处置等程序和审核审批权限，</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2025年我局无资产采购项目。</w:t>
      </w:r>
    </w:p>
    <w:p w14:paraId="12528C2B">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51" w:name="_Toc16905"/>
      <w:bookmarkStart w:id="52" w:name="_Toc27087"/>
      <w:r>
        <w:rPr>
          <w:rFonts w:hint="default" w:ascii="Times New Roman" w:hAnsi="Times New Roman" w:eastAsia="楷体_GB2312" w:cs="Times New Roman"/>
          <w:b/>
          <w:bCs/>
          <w:color w:val="auto"/>
          <w:kern w:val="0"/>
          <w:sz w:val="32"/>
          <w:szCs w:val="32"/>
          <w:highlight w:val="none"/>
          <w:shd w:val="clear" w:color="auto" w:fill="FFFFFF"/>
          <w:lang w:val="zh-CN"/>
        </w:rPr>
        <w:t>部门预算项目绩效分析。</w:t>
      </w:r>
      <w:bookmarkEnd w:id="51"/>
      <w:bookmarkEnd w:id="52"/>
    </w:p>
    <w:p w14:paraId="15F4008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320" w:firstLineChars="1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根据预算绩效管理要求，</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攀枝花市仁和区2025年度</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预算编制阶段，组织对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工资性支出（行政）、仁和区医保局专项、</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等</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5个项目</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开展了预算事前绩效评估，对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个项目编制了绩效目标，</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预算总金额</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197.7</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万元，1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1</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2</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月预算执行总体进度为</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 xml:space="preserve"> </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%，其中：预算结余率大于</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10%</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的项目共计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0</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个。</w:t>
      </w:r>
    </w:p>
    <w:p w14:paraId="5C66A01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bookmarkStart w:id="53" w:name="_Toc31104"/>
      <w:bookmarkStart w:id="54" w:name="_Toc19854"/>
      <w:bookmarkStart w:id="55" w:name="_Toc9370"/>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项目决策。</w:t>
      </w:r>
      <w:bookmarkEnd w:id="53"/>
      <w:bookmarkEnd w:id="54"/>
      <w:bookmarkEnd w:id="55"/>
    </w:p>
    <w:p w14:paraId="283D89A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根据</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年度重点工作和目标任务合理编制年度预算项目</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，按照</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财政规定</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进行项目登记审批，入库编制项目绩效目标。</w:t>
      </w:r>
      <w:bookmarkStart w:id="56" w:name="_Toc886"/>
      <w:bookmarkStart w:id="57" w:name="_Toc11604"/>
      <w:bookmarkStart w:id="58" w:name="_Toc3018"/>
    </w:p>
    <w:p w14:paraId="6E7A43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2.项目执行</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w:t>
      </w:r>
      <w:bookmarkEnd w:id="56"/>
      <w:bookmarkEnd w:id="57"/>
      <w:bookmarkEnd w:id="58"/>
    </w:p>
    <w:p w14:paraId="62EDFB6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320" w:firstLineChars="1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2025年下达人员项目类：25个，公用经费类：7个，特定项类目：5个，设置的</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项目成本、时效、质量</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社会效益、经济效益、生态效益、可持续影响以及服务对象满意度等情况</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已全部</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完成</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，项目执行金额197.7万元，项目执行率达100%。</w:t>
      </w:r>
    </w:p>
    <w:p w14:paraId="55D57BD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bookmarkStart w:id="59" w:name="_Toc539"/>
      <w:bookmarkStart w:id="60" w:name="_Toc26994"/>
      <w:bookmarkStart w:id="61" w:name="_Toc6952"/>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3.</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目标实现。</w:t>
      </w:r>
      <w:bookmarkEnd w:id="59"/>
      <w:bookmarkEnd w:id="60"/>
      <w:bookmarkEnd w:id="61"/>
    </w:p>
    <w:p w14:paraId="1F0B06E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部门整体支出全年无超预算、无超标准支出，无违规违纪的问题，全年基本支出保证了部门正常运转，项目支出保障了重点工作顺利开展，力争考核达到优良等次。</w:t>
      </w:r>
    </w:p>
    <w:p w14:paraId="385917A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pPr>
      <w:bookmarkStart w:id="62" w:name="_Toc6580"/>
      <w:bookmarkStart w:id="63" w:name="_Toc15227"/>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重点领域绩效分析。</w:t>
      </w:r>
      <w:bookmarkEnd w:id="62"/>
      <w:bookmarkEnd w:id="63"/>
    </w:p>
    <w:p w14:paraId="627C03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无</w:t>
      </w:r>
      <w:bookmarkStart w:id="64" w:name="_Toc10427"/>
      <w:bookmarkStart w:id="65" w:name="_Toc10273"/>
    </w:p>
    <w:p w14:paraId="2912A73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321" w:firstLineChars="100"/>
        <w:contextualSpacing/>
        <w:jc w:val="left"/>
        <w:textAlignment w:val="auto"/>
        <w:outlineLvl w:val="9"/>
        <w:rPr>
          <w:rFonts w:hint="eastAsia" w:ascii="仿宋_GB2312" w:hAnsi="仿宋_GB2312" w:eastAsia="仿宋_GB2312" w:cs="仿宋_GB2312"/>
          <w:b/>
          <w:bCs/>
          <w:color w:val="auto"/>
          <w:kern w:val="0"/>
          <w:sz w:val="32"/>
          <w:szCs w:val="32"/>
          <w:highlight w:val="none"/>
          <w:shd w:val="clear" w:color="auto" w:fill="FFFFFF"/>
          <w:lang w:val="zh-CN" w:eastAsia="zh-CN" w:bidi="ar-SA"/>
        </w:rPr>
      </w:pPr>
      <w:r>
        <w:rPr>
          <w:rFonts w:hint="default" w:ascii="仿宋_GB2312" w:hAnsi="仿宋_GB2312" w:eastAsia="仿宋_GB2312" w:cs="仿宋_GB2312"/>
          <w:b/>
          <w:bCs/>
          <w:color w:val="auto"/>
          <w:kern w:val="0"/>
          <w:sz w:val="32"/>
          <w:szCs w:val="32"/>
          <w:highlight w:val="none"/>
          <w:shd w:val="clear" w:color="auto" w:fill="FFFFFF"/>
          <w:lang w:val="zh-CN" w:eastAsia="zh-CN" w:bidi="ar-SA"/>
        </w:rPr>
        <w:t>（</w:t>
      </w:r>
      <w:r>
        <w:rPr>
          <w:rFonts w:hint="eastAsia" w:ascii="仿宋_GB2312" w:hAnsi="仿宋_GB2312" w:eastAsia="仿宋_GB2312" w:cs="仿宋_GB2312"/>
          <w:b/>
          <w:bCs/>
          <w:color w:val="auto"/>
          <w:kern w:val="0"/>
          <w:sz w:val="32"/>
          <w:szCs w:val="32"/>
          <w:highlight w:val="none"/>
          <w:shd w:val="clear" w:color="auto" w:fill="FFFFFF"/>
          <w:lang w:val="en-US" w:eastAsia="zh-CN" w:bidi="ar-SA"/>
        </w:rPr>
        <w:t>三</w:t>
      </w:r>
      <w:r>
        <w:rPr>
          <w:rFonts w:hint="default" w:ascii="仿宋_GB2312" w:hAnsi="仿宋_GB2312" w:eastAsia="仿宋_GB2312" w:cs="仿宋_GB2312"/>
          <w:b/>
          <w:bCs/>
          <w:color w:val="auto"/>
          <w:kern w:val="0"/>
          <w:sz w:val="32"/>
          <w:szCs w:val="32"/>
          <w:highlight w:val="none"/>
          <w:shd w:val="clear" w:color="auto" w:fill="FFFFFF"/>
          <w:lang w:val="zh-CN" w:eastAsia="zh-CN" w:bidi="ar-SA"/>
        </w:rPr>
        <w:t>）绩效结果应用情况</w:t>
      </w:r>
      <w:r>
        <w:rPr>
          <w:rFonts w:hint="eastAsia" w:ascii="仿宋_GB2312" w:hAnsi="仿宋_GB2312" w:eastAsia="仿宋_GB2312" w:cs="仿宋_GB2312"/>
          <w:b/>
          <w:bCs/>
          <w:color w:val="auto"/>
          <w:kern w:val="0"/>
          <w:sz w:val="32"/>
          <w:szCs w:val="32"/>
          <w:highlight w:val="none"/>
          <w:shd w:val="clear" w:color="auto" w:fill="FFFFFF"/>
          <w:lang w:val="zh-CN" w:eastAsia="zh-CN" w:bidi="ar-SA"/>
        </w:rPr>
        <w:t>。</w:t>
      </w:r>
      <w:bookmarkEnd w:id="64"/>
      <w:bookmarkEnd w:id="65"/>
    </w:p>
    <w:p w14:paraId="1EE1FBF0">
      <w:pPr>
        <w:pStyle w:val="27"/>
        <w:ind w:firstLine="685"/>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年</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，攀枝花市仁和区医疗保障局</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编制了部门整体支出绩效目标，</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对其它运转类、特定类项目</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项目编制了事前绩效评估和绩效目标申报。预算执行过程中，开展了中期 1-8 月预算绩效事中监控情况自查，对绩效目标完成情况进行了全面评价和运行监控分析，年终执行完毕后，</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绩效结果应用如下：</w:t>
      </w:r>
    </w:p>
    <w:p w14:paraId="215B2391">
      <w:pPr>
        <w:pStyle w:val="27"/>
        <w:ind w:firstLine="685"/>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年我局纳入财政预算项目共</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项，项目经费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197.7</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万元，上年结转结余项目</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个，项目经费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1.62</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元，项目绩效完成情况如下：</w:t>
      </w:r>
    </w:p>
    <w:p w14:paraId="0B698C5A">
      <w:pPr>
        <w:pStyle w:val="27"/>
        <w:ind w:firstLine="685"/>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1.项目名称：县级以上离休干部、二等乙级革命伤残军人等人员医疗费全年预算数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40.00</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万元</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，实际支付数：34.97万元。</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该项目对全区离休干部和二等乙级以上革命伤残军人、高级知识分子、县级干部等人医疗费用报销，确保特殊人群享有相应的医疗服务。</w:t>
      </w:r>
    </w:p>
    <w:p w14:paraId="3E915B3E">
      <w:pPr>
        <w:pStyle w:val="27"/>
        <w:ind w:firstLine="685"/>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2.项目名称：建国初期参加革命工作老干部医疗补助经费项目全年预算数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0.40</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万元，</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实际支付数：0.40万元。</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该项目根据政策要求拨付建国初期参加革命工作老干部医疗补助经费，保证医疗补助到位，进一步关心和照顾建国初期参加革命工作的退休干部。按人均4000元/人/年的标准拨付老干部门诊费补助</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p>
    <w:p w14:paraId="7FD47AF4">
      <w:pPr>
        <w:pStyle w:val="27"/>
        <w:ind w:firstLine="685"/>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3</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.项目名称：202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年国有企业退休人员社会化管理补助资金项目全年预算数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万元，该项目资金预计12月前支付完毕。该项目用于开展国有企业退休人员社会化管理工作的人员费用</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p>
    <w:p w14:paraId="0B755076">
      <w:pPr>
        <w:pStyle w:val="27"/>
        <w:ind w:left="0" w:leftChars="0"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项目名称：医疗服务与能力提升中央资金该项目为追加资金，市财政局及市医保局下达中央资金：23.93万元，实际支付数：22.32万元。该项目用于有效提升综合监管、宣传引导、经办服务、信息化建设、人才队伍建设等医疗保障服务能力。</w:t>
      </w:r>
    </w:p>
    <w:p w14:paraId="717EAD50">
      <w:pPr>
        <w:pStyle w:val="27"/>
        <w:ind w:left="0" w:leftChars="0" w:firstLine="640"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5、项目名称：城乡医疗救助资金</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全年预算数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：120</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万元</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，实际支付：117.01万元。该项目通过医疗救助政策进一步减轻民政救助对象医疗负担，争取完成市区下达的民生工程目标任务。</w:t>
      </w:r>
    </w:p>
    <w:p w14:paraId="4E46B07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黑体" w:hAnsi="黑体" w:eastAsia="黑体" w:cs="黑体"/>
          <w:b w:val="0"/>
          <w:bCs w:val="0"/>
          <w:color w:val="auto"/>
          <w:kern w:val="0"/>
          <w:sz w:val="32"/>
          <w:szCs w:val="32"/>
          <w:highlight w:val="none"/>
          <w:shd w:val="clear" w:color="auto" w:fill="FFFFFF"/>
          <w:lang w:val="zh-CN" w:eastAsia="zh-CN" w:bidi="ar-SA"/>
        </w:rPr>
      </w:pPr>
      <w:r>
        <w:rPr>
          <w:rFonts w:hint="eastAsia" w:ascii="黑体" w:hAnsi="黑体" w:eastAsia="黑体" w:cs="黑体"/>
          <w:b w:val="0"/>
          <w:bCs w:val="0"/>
          <w:color w:val="auto"/>
          <w:kern w:val="0"/>
          <w:sz w:val="32"/>
          <w:szCs w:val="32"/>
          <w:highlight w:val="none"/>
          <w:shd w:val="clear" w:color="auto" w:fill="FFFFFF"/>
          <w:lang w:val="zh-CN" w:eastAsia="zh-CN" w:bidi="ar-SA"/>
        </w:rPr>
        <w:t>四、评价结论及建议</w:t>
      </w:r>
    </w:p>
    <w:p w14:paraId="182C100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b/>
          <w:bCs/>
          <w:color w:val="auto"/>
          <w:kern w:val="0"/>
          <w:sz w:val="32"/>
          <w:szCs w:val="32"/>
          <w:highlight w:val="none"/>
          <w:shd w:val="clear" w:color="auto" w:fill="FFFFFF"/>
          <w:lang w:val="zh-CN" w:eastAsia="zh-CN" w:bidi="ar-SA"/>
        </w:rPr>
      </w:pPr>
      <w:bookmarkStart w:id="66" w:name="_Toc2267"/>
      <w:bookmarkStart w:id="67" w:name="_Toc6170"/>
      <w:r>
        <w:rPr>
          <w:rFonts w:hint="default" w:ascii="仿宋_GB2312" w:hAnsi="仿宋_GB2312" w:eastAsia="仿宋_GB2312" w:cs="仿宋_GB2312"/>
          <w:b/>
          <w:bCs/>
          <w:color w:val="auto"/>
          <w:kern w:val="0"/>
          <w:sz w:val="32"/>
          <w:szCs w:val="32"/>
          <w:highlight w:val="none"/>
          <w:shd w:val="clear" w:color="auto" w:fill="FFFFFF"/>
          <w:lang w:val="zh-CN" w:eastAsia="zh-CN" w:bidi="ar-SA"/>
        </w:rPr>
        <w:t>（一）评价结论。</w:t>
      </w:r>
      <w:bookmarkEnd w:id="66"/>
      <w:bookmarkEnd w:id="67"/>
    </w:p>
    <w:p w14:paraId="2B3B823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攀枝花市仁和区医疗保障局</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严格按照预算编制口径合理编制单位预算，人员经费按照核定编制人数编制，公用经费按定额编制。人员经费、公用经费、项目经费都编制了部门预算项目绩效目标，</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项目执行率达100%，</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根据部门整体支出绩效评价指标体系，自评综合得分为 9</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6</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分，圆满完成了年初设定的绩效目标任务。</w:t>
      </w:r>
    </w:p>
    <w:p w14:paraId="07ECEAD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b/>
          <w:bCs/>
          <w:color w:val="auto"/>
          <w:kern w:val="0"/>
          <w:sz w:val="32"/>
          <w:szCs w:val="32"/>
          <w:highlight w:val="none"/>
          <w:shd w:val="clear" w:color="auto" w:fill="FFFFFF"/>
          <w:lang w:val="zh-CN" w:eastAsia="zh-CN" w:bidi="ar-SA"/>
        </w:rPr>
      </w:pPr>
      <w:bookmarkStart w:id="68" w:name="_Toc19423"/>
      <w:bookmarkStart w:id="69" w:name="_Toc21712"/>
      <w:r>
        <w:rPr>
          <w:rFonts w:hint="eastAsia" w:ascii="仿宋_GB2312" w:hAnsi="仿宋_GB2312" w:eastAsia="仿宋_GB2312" w:cs="仿宋_GB2312"/>
          <w:b/>
          <w:bCs/>
          <w:color w:val="auto"/>
          <w:kern w:val="0"/>
          <w:sz w:val="32"/>
          <w:szCs w:val="32"/>
          <w:highlight w:val="none"/>
          <w:shd w:val="clear" w:color="auto" w:fill="FFFFFF"/>
          <w:lang w:val="zh-CN" w:eastAsia="zh-CN" w:bidi="ar-SA"/>
        </w:rPr>
        <w:t>（</w:t>
      </w:r>
      <w:r>
        <w:rPr>
          <w:rFonts w:hint="eastAsia" w:ascii="仿宋_GB2312" w:hAnsi="仿宋_GB2312" w:eastAsia="仿宋_GB2312" w:cs="仿宋_GB2312"/>
          <w:b/>
          <w:bCs/>
          <w:color w:val="auto"/>
          <w:kern w:val="0"/>
          <w:sz w:val="32"/>
          <w:szCs w:val="32"/>
          <w:highlight w:val="none"/>
          <w:shd w:val="clear" w:color="auto" w:fill="FFFFFF"/>
          <w:lang w:val="en-US" w:eastAsia="zh-CN" w:bidi="ar-SA"/>
        </w:rPr>
        <w:t>二）</w:t>
      </w:r>
      <w:r>
        <w:rPr>
          <w:rFonts w:hint="default" w:ascii="仿宋_GB2312" w:hAnsi="仿宋_GB2312" w:eastAsia="仿宋_GB2312" w:cs="仿宋_GB2312"/>
          <w:b/>
          <w:bCs/>
          <w:color w:val="auto"/>
          <w:kern w:val="0"/>
          <w:sz w:val="32"/>
          <w:szCs w:val="32"/>
          <w:highlight w:val="none"/>
          <w:shd w:val="clear" w:color="auto" w:fill="FFFFFF"/>
          <w:lang w:val="zh-CN" w:eastAsia="zh-CN" w:bidi="ar-SA"/>
        </w:rPr>
        <w:t>存在问题。</w:t>
      </w:r>
      <w:bookmarkEnd w:id="68"/>
      <w:bookmarkEnd w:id="69"/>
    </w:p>
    <w:p w14:paraId="4604035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按照绩效评价指标体系自查，我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局</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还存在预算管理不够精 细，在预算管理过程中</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保证预算编制的合理与精细</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并加强与财政部门的沟通和协调，确保预算资金的及时下达和清算支付。</w:t>
      </w:r>
    </w:p>
    <w:p w14:paraId="3D21817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auto"/>
          <w:kern w:val="0"/>
          <w:sz w:val="32"/>
          <w:szCs w:val="32"/>
          <w:highlight w:val="none"/>
          <w:shd w:val="clear" w:color="auto" w:fill="FFFFFF"/>
          <w:lang w:val="en" w:eastAsia="zh-CN" w:bidi="ar-SA"/>
        </w:rPr>
      </w:pPr>
      <w:bookmarkStart w:id="70" w:name="_Toc29999"/>
      <w:bookmarkStart w:id="71" w:name="_Toc12328"/>
      <w:r>
        <w:rPr>
          <w:rFonts w:hint="default" w:ascii="仿宋_GB2312" w:hAnsi="仿宋_GB2312" w:eastAsia="仿宋_GB2312" w:cs="仿宋_GB2312"/>
          <w:b/>
          <w:bCs/>
          <w:color w:val="auto"/>
          <w:kern w:val="0"/>
          <w:sz w:val="32"/>
          <w:szCs w:val="32"/>
          <w:highlight w:val="none"/>
          <w:shd w:val="clear" w:color="auto" w:fill="FFFFFF"/>
          <w:lang w:val="zh-CN" w:eastAsia="zh-CN" w:bidi="ar-SA"/>
        </w:rPr>
        <w:t>（三）改进建议。</w:t>
      </w:r>
      <w:bookmarkEnd w:id="70"/>
      <w:bookmarkEnd w:id="71"/>
    </w:p>
    <w:p w14:paraId="44C7FE1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t>预算编制和预算管理还需进一步细化和加强，遵循先有预 算、后有支出的原则，严禁超预算和无预算安排支出，严格开支范围和标准，严格审核各项经费的支出，提高资金使用效率。</w:t>
      </w:r>
    </w:p>
    <w:p w14:paraId="3002EF36">
      <w:pPr>
        <w:widowControl/>
        <w:adjustRightInd w:val="0"/>
        <w:snapToGrid w:val="0"/>
        <w:spacing w:line="578" w:lineRule="exact"/>
        <w:ind w:firstLine="320" w:firstLineChars="100"/>
        <w:contextualSpacing/>
        <w:jc w:val="left"/>
        <w:rPr>
          <w:rFonts w:hint="eastAsia" w:ascii="Times New Roman" w:eastAsia="仿宋_GB2312"/>
          <w:color w:val="auto"/>
          <w:sz w:val="32"/>
          <w:lang w:val="zh-CN"/>
        </w:rPr>
      </w:pPr>
    </w:p>
    <w:p w14:paraId="5549BCF2">
      <w:pPr>
        <w:pStyle w:val="3"/>
        <w:spacing w:line="560" w:lineRule="exact"/>
        <w:ind w:left="0" w:leftChars="0" w:firstLine="640"/>
        <w:rPr>
          <w:rFonts w:ascii="Times New Roman" w:eastAsia="仿宋_GB2312"/>
          <w:color w:val="auto"/>
          <w:sz w:val="32"/>
          <w:lang w:val="zh-CN"/>
        </w:rPr>
      </w:pPr>
      <w:r>
        <w:rPr>
          <w:rFonts w:hint="eastAsia" w:ascii="Times New Roman" w:eastAsia="仿宋_GB2312"/>
          <w:color w:val="auto"/>
          <w:sz w:val="32"/>
          <w:lang w:val="zh-CN"/>
        </w:rPr>
        <w:t>附表：</w:t>
      </w:r>
      <w:r>
        <w:rPr>
          <w:rFonts w:hint="eastAsia" w:ascii="Times New Roman" w:eastAsia="仿宋_GB2312"/>
          <w:color w:val="auto"/>
          <w:sz w:val="32"/>
        </w:rPr>
        <w:t>部门预算项目支出绩效自评表（2025年度）</w:t>
      </w:r>
    </w:p>
    <w:p w14:paraId="4F49B7D6">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69E4780F">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6C6AABE5">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61A51B8C">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5C934A5E">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12D54A98">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335B4C0D">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3FBA6896">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7E8E5213">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117C514B">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4C433DBF">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5C1F03B3">
      <w:pPr>
        <w:pStyle w:val="34"/>
        <w:spacing w:line="578" w:lineRule="exact"/>
        <w:jc w:val="center"/>
        <w:rPr>
          <w:rFonts w:hint="eastAsia" w:ascii="Times New Roman" w:hAnsi="Times New Roman" w:eastAsia="方正小标宋简体" w:cs="方正小标宋简体"/>
          <w:color w:val="auto"/>
          <w:kern w:val="2"/>
          <w:sz w:val="44"/>
          <w:szCs w:val="44"/>
          <w:lang w:val="en-US"/>
        </w:rPr>
      </w:pPr>
    </w:p>
    <w:p w14:paraId="13384490">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6"/>
          <w:szCs w:val="36"/>
          <w:lang w:val="en-US"/>
        </w:rPr>
      </w:pPr>
    </w:p>
    <w:p w14:paraId="3888D004">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6"/>
          <w:szCs w:val="36"/>
          <w:lang w:val="en-US"/>
        </w:rPr>
      </w:pPr>
    </w:p>
    <w:p w14:paraId="71DCD6DB">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6"/>
          <w:szCs w:val="36"/>
          <w:lang w:val="en-US" w:eastAsia="zh-CN"/>
        </w:rPr>
      </w:pPr>
    </w:p>
    <w:p w14:paraId="34444FAB">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6"/>
          <w:szCs w:val="36"/>
          <w:lang w:val="en-US" w:eastAsia="zh-CN"/>
        </w:rPr>
      </w:pPr>
    </w:p>
    <w:p w14:paraId="5F959EF8">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2"/>
          <w:szCs w:val="32"/>
          <w:lang w:val="en-US" w:eastAsia="zh-CN"/>
        </w:rPr>
      </w:pPr>
    </w:p>
    <w:p w14:paraId="2E219AD5">
      <w:pPr>
        <w:pStyle w:val="34"/>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lang w:val="en-US" w:eastAsia="zh-CN"/>
        </w:rPr>
        <w:t xml:space="preserve">  </w:t>
      </w:r>
      <w:r>
        <w:rPr>
          <w:rFonts w:hint="eastAsia" w:ascii="方正小标宋简体" w:hAnsi="宋体" w:eastAsia="方正小标宋简体"/>
          <w:sz w:val="44"/>
          <w:szCs w:val="44"/>
          <w:lang w:val="en-US"/>
        </w:rPr>
        <w:t>202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lang w:val="en-US"/>
        </w:rPr>
        <w:t>年</w:t>
      </w:r>
      <w:r>
        <w:rPr>
          <w:rFonts w:hint="eastAsia" w:ascii="方正小标宋简体" w:hAnsi="宋体" w:eastAsia="方正小标宋简体"/>
          <w:sz w:val="44"/>
          <w:szCs w:val="44"/>
        </w:rPr>
        <w:t>专项预算项目支出绩效自评报告</w:t>
      </w:r>
    </w:p>
    <w:p w14:paraId="5625E967">
      <w:pPr>
        <w:pStyle w:val="34"/>
        <w:spacing w:line="560" w:lineRule="exact"/>
        <w:rPr>
          <w:rFonts w:ascii="宋体" w:hAnsi="宋体"/>
          <w:color w:val="auto"/>
          <w:kern w:val="2"/>
          <w:sz w:val="32"/>
          <w:szCs w:val="32"/>
        </w:rPr>
      </w:pPr>
      <w:r>
        <w:rPr>
          <w:rFonts w:hint="eastAsia" w:ascii="仿宋_GB2312" w:hAnsi="宋体" w:eastAsia="仿宋_GB2312"/>
          <w:color w:val="auto"/>
          <w:kern w:val="2"/>
          <w:sz w:val="32"/>
          <w:szCs w:val="32"/>
        </w:rPr>
        <w:t xml:space="preserve"> </w:t>
      </w:r>
      <w:r>
        <w:rPr>
          <w:rFonts w:ascii="仿宋_GB2312" w:hAnsi="宋体" w:eastAsia="仿宋_GB2312"/>
          <w:color w:val="auto"/>
          <w:kern w:val="2"/>
          <w:sz w:val="32"/>
          <w:szCs w:val="32"/>
        </w:rPr>
        <w:t>（</w:t>
      </w:r>
      <w:r>
        <w:rPr>
          <w:rFonts w:hint="eastAsia" w:ascii="方正小标宋_GBK" w:hAnsi="黑体" w:eastAsia="方正小标宋_GBK" w:cs="黑体"/>
          <w:sz w:val="36"/>
          <w:szCs w:val="36"/>
        </w:rPr>
        <w:t>县级以上离休干部、二等乙级革命伤残军人医疗费）</w:t>
      </w:r>
    </w:p>
    <w:p w14:paraId="735E61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一、</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项目概况</w:t>
      </w:r>
    </w:p>
    <w:p w14:paraId="7AA6FC4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按规定政策对2025年全区离休干部和二等乙级以上革命伤残军人、高级知识份子、县级干部等人报销医疗待遇。特殊群体年龄大，医疗费用高，可控因素低，保障离休干部等特殊人员医疗待遇不受影响。</w:t>
      </w:r>
    </w:p>
    <w:p w14:paraId="6CA1219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（一）项目资金申报及批复情况。</w:t>
      </w:r>
    </w:p>
    <w:p w14:paraId="7493A51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2025年年初，按照项目立项依据及资金申报依据申报项目预算，区财政局同意立项并下达项目经费。</w:t>
      </w:r>
    </w:p>
    <w:p w14:paraId="1412C3F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（二）项目绩效目标。</w:t>
      </w:r>
    </w:p>
    <w:p w14:paraId="0401748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及时按实际发生的门诊费、住院及床位费进行补助、报销，做好离休干部和二等乙级以上革命伤残军人、高级知识份子、县级干部等人医疗费用报销工作,确保特殊人群享有相应的医疗服务，保证专款专用。</w:t>
      </w:r>
    </w:p>
    <w:p w14:paraId="4EC1AB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（三）项目资金申报相符性。</w:t>
      </w:r>
    </w:p>
    <w:p w14:paraId="1ACC5BE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评价申报内容与实际相符，申报目标合理可行。</w:t>
      </w:r>
    </w:p>
    <w:p w14:paraId="2B0B863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二、项目实施及管理情况</w:t>
      </w:r>
    </w:p>
    <w:p w14:paraId="2CBD9D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（一）资金计划、到位及使用情况。</w:t>
      </w:r>
    </w:p>
    <w:p w14:paraId="42AF823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1．资金计划及到位。</w:t>
      </w:r>
    </w:p>
    <w:p w14:paraId="115247C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项目资金共计400000.00元，其中区级资金400000.00元。</w:t>
      </w:r>
    </w:p>
    <w:p w14:paraId="23CD42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2025年1月资金到位400000.00元，其中区级资金400000.00元。资金到位金额与资金计划一致，资金到位率100%，资金到位及时。</w:t>
      </w:r>
    </w:p>
    <w:p w14:paraId="5259DBA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2．资金使用。</w:t>
      </w:r>
    </w:p>
    <w:p w14:paraId="7B3E13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项目资金于2025年12月31日前支付349714.91元，完成预算数87.4%。资金均按照2025年特殊人群实际发生的相关费用支付，因此可控因素低。资金支付范围、支付标准、支付进度、支付依据合规合法、与预算相符。</w:t>
      </w:r>
    </w:p>
    <w:p w14:paraId="21091ED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（二）项目财务管理情况。</w:t>
      </w:r>
    </w:p>
    <w:p w14:paraId="6C99DE5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攀枝花市仁和区医疗保障局管理制度健全，严格执行财务管理制度，账务处理及时，会计核算规范。</w:t>
      </w:r>
    </w:p>
    <w:p w14:paraId="29784FD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（三）项目组织实施情况。</w:t>
      </w:r>
    </w:p>
    <w:p w14:paraId="5F4155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项目由仁和区医疗保障局负责，由仁和区医疗保障事务中心负责实施。制定项目计划，严格按照计划开展工作，严格管理项目资金，确保项目资金使用合理、合规、合法，保障资金安全性，不定期对项目资金开展情况、进度进行检查、跟进。并按照相关法律法规及项目管理制度推进相关工作。</w:t>
      </w:r>
    </w:p>
    <w:p w14:paraId="13292FE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三、项目绩效情况</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p>
    <w:p w14:paraId="732CCCE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（一）项目完成情况。</w:t>
      </w:r>
    </w:p>
    <w:p w14:paraId="7A160B1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2025年按政策规定，对符合要求的特殊人群11人进行了费用报销，共计349714.91元 ，完成预算数87.4%。项目资金未支付完的原因为需按实际产生费用进行支付。及时按实际发生费用做好了离休干部和二等乙级以上革命伤残军人、高级知识份子、县级干部等人医疗费用报销工作,确保特殊人群享有相应的医疗服务。该项目已于2025年12月31日前完成。</w:t>
      </w:r>
    </w:p>
    <w:p w14:paraId="4150F21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（二）项目效益情况。</w:t>
      </w:r>
    </w:p>
    <w:p w14:paraId="0ED160B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社会效益：保证了革命伤残军人等特殊人员按规定政策享受医疗待遇，维护了社会稳定。被服务对象满意度≥90%</w:t>
      </w:r>
    </w:p>
    <w:p w14:paraId="28CD2A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四、问题及建议</w:t>
      </w:r>
    </w:p>
    <w:p w14:paraId="0FEAEC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（一）存在的问题。</w:t>
      </w:r>
    </w:p>
    <w:p w14:paraId="7A2BE7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无</w:t>
      </w:r>
    </w:p>
    <w:p w14:paraId="4F0D452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（二）相关建议。</w:t>
      </w:r>
    </w:p>
    <w:p w14:paraId="65BC9F1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无</w:t>
      </w:r>
    </w:p>
    <w:p w14:paraId="32EF0CC5">
      <w:pPr>
        <w:pStyle w:val="34"/>
        <w:keepNext w:val="0"/>
        <w:keepLines w:val="0"/>
        <w:pageBreakBefore w:val="0"/>
        <w:widowControl w:val="0"/>
        <w:kinsoku/>
        <w:wordWrap/>
        <w:overflowPunct/>
        <w:topLinePunct w:val="0"/>
        <w:autoSpaceDE/>
        <w:autoSpaceDN/>
        <w:bidi w:val="0"/>
        <w:spacing w:line="578" w:lineRule="exact"/>
        <w:jc w:val="both"/>
        <w:textAlignment w:val="auto"/>
        <w:rPr>
          <w:rFonts w:hint="eastAsia" w:ascii="方正小标宋_GBK" w:hAnsi="方正小标宋_GBK" w:eastAsia="方正小标宋_GBK" w:cs="方正小标宋_GBK"/>
          <w:color w:val="auto"/>
          <w:kern w:val="2"/>
          <w:sz w:val="36"/>
          <w:szCs w:val="36"/>
          <w:lang w:val="en-US" w:eastAsia="zh-CN"/>
        </w:rPr>
      </w:pPr>
    </w:p>
    <w:p w14:paraId="602D68FF">
      <w:pPr>
        <w:spacing w:line="578" w:lineRule="exact"/>
        <w:ind w:firstLine="640"/>
        <w:rPr>
          <w:rFonts w:eastAsia="仿宋_GB2312" w:cs="仿宋_GB2312"/>
          <w:kern w:val="0"/>
          <w:sz w:val="32"/>
          <w:szCs w:val="32"/>
        </w:rPr>
      </w:pPr>
    </w:p>
    <w:p w14:paraId="668DBCB6">
      <w:pPr>
        <w:spacing w:line="578" w:lineRule="exact"/>
        <w:ind w:firstLine="640"/>
        <w:rPr>
          <w:rFonts w:eastAsia="仿宋_GB2312" w:cs="仿宋_GB2312"/>
          <w:kern w:val="0"/>
          <w:sz w:val="32"/>
          <w:szCs w:val="32"/>
        </w:rPr>
      </w:pPr>
    </w:p>
    <w:p w14:paraId="6CEBAF4B">
      <w:pPr>
        <w:keepNext w:val="0"/>
        <w:keepLines w:val="0"/>
        <w:pageBreakBefore w:val="0"/>
        <w:widowControl w:val="0"/>
        <w:kinsoku/>
        <w:wordWrap/>
        <w:overflowPunct/>
        <w:topLinePunct w:val="0"/>
        <w:autoSpaceDE/>
        <w:autoSpaceDN/>
        <w:bidi w:val="0"/>
        <w:spacing w:line="520" w:lineRule="exact"/>
        <w:textAlignment w:val="auto"/>
        <w:rPr>
          <w:rFonts w:ascii="方正小标宋简体" w:hAnsi="宋体" w:eastAsia="方正小标宋简体"/>
          <w:sz w:val="44"/>
          <w:szCs w:val="44"/>
        </w:rPr>
      </w:pPr>
      <w:bookmarkStart w:id="72" w:name="_Toc15396618"/>
      <w:r>
        <w:rPr>
          <w:rFonts w:hint="eastAsia" w:eastAsia="仿宋_GB2312" w:cs="仿宋_GB2312"/>
          <w:kern w:val="0"/>
          <w:sz w:val="32"/>
          <w:szCs w:val="32"/>
        </w:rPr>
        <w:br w:type="page"/>
      </w:r>
      <w:r>
        <w:rPr>
          <w:rFonts w:hint="eastAsia" w:eastAsia="仿宋_GB2312" w:cs="仿宋_GB2312"/>
          <w:kern w:val="0"/>
          <w:sz w:val="32"/>
          <w:szCs w:val="32"/>
          <w:lang w:val="en-US" w:eastAsia="zh-CN"/>
        </w:rPr>
        <w:t xml:space="preserve">  </w:t>
      </w:r>
      <w:r>
        <w:rPr>
          <w:rFonts w:hint="eastAsia" w:ascii="方正小标宋简体" w:hAnsi="宋体" w:eastAsia="方正小标宋简体"/>
          <w:sz w:val="44"/>
          <w:szCs w:val="44"/>
          <w:lang w:val="en-US"/>
        </w:rPr>
        <w:t>202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lang w:val="en-US"/>
        </w:rPr>
        <w:t>年</w:t>
      </w:r>
      <w:r>
        <w:rPr>
          <w:rFonts w:hint="eastAsia" w:ascii="方正小标宋简体" w:hAnsi="宋体" w:eastAsia="方正小标宋简体"/>
          <w:sz w:val="44"/>
          <w:szCs w:val="44"/>
        </w:rPr>
        <w:t>专项预算项目支出绩效自评报告</w:t>
      </w:r>
    </w:p>
    <w:p w14:paraId="085E3ED9">
      <w:pPr>
        <w:pStyle w:val="34"/>
        <w:keepNext w:val="0"/>
        <w:keepLines w:val="0"/>
        <w:pageBreakBefore w:val="0"/>
        <w:widowControl w:val="0"/>
        <w:kinsoku/>
        <w:wordWrap/>
        <w:overflowPunct/>
        <w:topLinePunct w:val="0"/>
        <w:autoSpaceDE/>
        <w:autoSpaceDN/>
        <w:bidi w:val="0"/>
        <w:spacing w:line="520" w:lineRule="exact"/>
        <w:jc w:val="center"/>
        <w:textAlignment w:val="auto"/>
        <w:rPr>
          <w:rFonts w:hint="eastAsia" w:ascii="方正小标宋简体" w:hAnsi="宋体" w:eastAsia="方正小标宋简体"/>
          <w:sz w:val="44"/>
          <w:szCs w:val="44"/>
        </w:rPr>
      </w:pPr>
      <w:r>
        <w:rPr>
          <w:rFonts w:hint="eastAsia" w:ascii="仿宋_GB2312" w:hAnsi="宋体" w:eastAsia="仿宋_GB2312"/>
          <w:color w:val="auto"/>
          <w:kern w:val="2"/>
          <w:sz w:val="32"/>
          <w:szCs w:val="32"/>
        </w:rPr>
        <w:t xml:space="preserve"> </w:t>
      </w:r>
      <w:r>
        <w:rPr>
          <w:rFonts w:hint="eastAsia" w:ascii="方正小标宋简体" w:hAnsi="宋体" w:eastAsia="方正小标宋简体"/>
          <w:sz w:val="44"/>
          <w:szCs w:val="44"/>
        </w:rPr>
        <w:t>（</w:t>
      </w:r>
      <w:r>
        <w:rPr>
          <w:rFonts w:hint="eastAsia" w:ascii="方正小标宋简体" w:hAnsi="宋体" w:eastAsia="方正小标宋简体"/>
          <w:sz w:val="36"/>
          <w:szCs w:val="36"/>
          <w:lang w:val="en-US" w:eastAsia="zh-CN"/>
        </w:rPr>
        <w:t>建国初期参加革命工作老干部医疗补助经费</w:t>
      </w:r>
      <w:r>
        <w:rPr>
          <w:rFonts w:hint="eastAsia" w:ascii="方正小标宋简体" w:hAnsi="宋体" w:eastAsia="方正小标宋简体"/>
          <w:sz w:val="44"/>
          <w:szCs w:val="44"/>
        </w:rPr>
        <w:t>）</w:t>
      </w:r>
    </w:p>
    <w:p w14:paraId="4E2CEBE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一、项目概况</w:t>
      </w:r>
    </w:p>
    <w:p w14:paraId="67385C6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按照相关政策做好</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对区级各单位1949年10月1日至1950年6月30日期间参加革命工作的部分退休干部给予适当医疗照顾。仁和区现有建国初期老干部</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人，为其提供住院、门诊及特殊困难补助。保证医疗补助到位，进一步关心和照顾建国初期参加革命工作的退休干部。</w:t>
      </w:r>
    </w:p>
    <w:p w14:paraId="62DE310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（一）项目资金申报及批复情况。</w:t>
      </w:r>
    </w:p>
    <w:p w14:paraId="577A090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年年初，按照项目立项依据及资金申报依据申报项目预算，区财政局同意立项并下达项目经费。</w:t>
      </w:r>
    </w:p>
    <w:p w14:paraId="2C9EA57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（二）项目绩效目标。</w:t>
      </w:r>
    </w:p>
    <w:p w14:paraId="332E642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按照相关政策做好建国初期参加革命工作老干部医疗补助经费的相关工作。 建国初期参加革命工作老干部1人，每人每年门诊费补助：0.4万元</w:t>
      </w:r>
    </w:p>
    <w:p w14:paraId="54EB623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（三）项目资金申报相符性。</w:t>
      </w:r>
    </w:p>
    <w:p w14:paraId="2E1E8749">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评价申报内容与实际相符，申报目标合理可行。</w:t>
      </w:r>
    </w:p>
    <w:p w14:paraId="588B39C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二、项目实施及管理情况</w:t>
      </w:r>
    </w:p>
    <w:p w14:paraId="420658A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（一）资金计划、到位及使用情况。</w:t>
      </w:r>
    </w:p>
    <w:p w14:paraId="7A10623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1．资金计划及到位。</w:t>
      </w:r>
    </w:p>
    <w:p w14:paraId="30D9060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.00元。</w:t>
      </w:r>
    </w:p>
    <w:p w14:paraId="382EAEE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月资金到位</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0.00元。资金到位金额与资金计划一致，资金到位率100%，资金到位及时。</w:t>
      </w:r>
    </w:p>
    <w:p w14:paraId="16520C3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2．资金使用。</w:t>
      </w:r>
    </w:p>
    <w:p w14:paraId="3D35596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年12月31日前支付</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0.00元，完成预算数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%。资金均按照202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年特殊人群实际发生的相关费用支付，因此可控因素低。资金支付范围、支付标准、支付进度、支付依据合规合法、与预算相符。</w:t>
      </w:r>
    </w:p>
    <w:p w14:paraId="3C661BE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（二）项目财务管理情况。</w:t>
      </w:r>
    </w:p>
    <w:p w14:paraId="48C3D2B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攀枝花市仁和区医疗保障局管理制度健全，严格执行财务管理制度，账务处理及时，会计核算规范。</w:t>
      </w:r>
    </w:p>
    <w:p w14:paraId="1C2D3C6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（三）项目组织实施情况。</w:t>
      </w:r>
    </w:p>
    <w:p w14:paraId="247B4D5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由仁和区医疗保障局负责，由仁和区医疗保障事务中心负责实施。制定项目计划，严格按照计划开展工作，严格管理项目资金，确保项目资金使用合理、合规、合法，保障资金安全性，不定期对项目资金开展情况、进度进行检查、跟进。并按照相关法律法规及项目管理制度推进相关工作。</w:t>
      </w:r>
    </w:p>
    <w:p w14:paraId="059BF15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三、项目绩效情况</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p>
    <w:p w14:paraId="3CE675D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（一）项目完成情况。</w:t>
      </w:r>
    </w:p>
    <w:p w14:paraId="6B759D4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年按政策规定，对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1名建国初期参加革命工作老干部支付门诊补助费用</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4000.00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元 ，完成预算数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%。项目资金未支付完的原因为需按实际产生费用进行支付。该项目已于202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年12月31日前完成。</w:t>
      </w:r>
    </w:p>
    <w:p w14:paraId="056DF30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（二）项目效益情况。</w:t>
      </w:r>
    </w:p>
    <w:p w14:paraId="785FC65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社会效益：关心照顾建国初期参加革命工作的退休干部。被服务对象满意度≥90%。</w:t>
      </w:r>
    </w:p>
    <w:p w14:paraId="3962139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四、问题及建议</w:t>
      </w:r>
    </w:p>
    <w:p w14:paraId="721CD89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（一）存在的问题。</w:t>
      </w:r>
    </w:p>
    <w:p w14:paraId="7DBCF86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38AF6A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（二）相关建议。</w:t>
      </w:r>
    </w:p>
    <w:p w14:paraId="1C8E70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1A7FB09B">
      <w:pPr>
        <w:pStyle w:val="34"/>
        <w:keepNext w:val="0"/>
        <w:keepLines w:val="0"/>
        <w:pageBreakBefore w:val="0"/>
        <w:widowControl w:val="0"/>
        <w:kinsoku/>
        <w:wordWrap/>
        <w:overflowPunct/>
        <w:topLinePunct w:val="0"/>
        <w:autoSpaceDE/>
        <w:autoSpaceDN/>
        <w:bidi w:val="0"/>
        <w:spacing w:line="480" w:lineRule="exact"/>
        <w:jc w:val="center"/>
        <w:textAlignment w:val="auto"/>
        <w:rPr>
          <w:rFonts w:ascii="方正小标宋简体" w:hAnsi="宋体" w:eastAsia="方正小标宋简体"/>
          <w:sz w:val="44"/>
          <w:szCs w:val="44"/>
        </w:rPr>
      </w:pPr>
      <w:r>
        <w:rPr>
          <w:rFonts w:hint="eastAsia" w:ascii="方正小标宋简体" w:hAnsi="宋体" w:eastAsia="方正小标宋简体"/>
          <w:sz w:val="44"/>
          <w:szCs w:val="44"/>
          <w:lang w:val="en-US" w:eastAsia="zh-CN"/>
        </w:rPr>
        <w:t>2</w:t>
      </w:r>
      <w:r>
        <w:rPr>
          <w:rFonts w:hint="eastAsia" w:ascii="方正小标宋简体" w:hAnsi="宋体" w:eastAsia="方正小标宋简体"/>
          <w:sz w:val="44"/>
          <w:szCs w:val="44"/>
          <w:lang w:val="en-US"/>
        </w:rPr>
        <w:t>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lang w:val="en-US"/>
        </w:rPr>
        <w:t>年</w:t>
      </w:r>
      <w:r>
        <w:rPr>
          <w:rFonts w:hint="eastAsia" w:ascii="方正小标宋简体" w:hAnsi="宋体" w:eastAsia="方正小标宋简体"/>
          <w:sz w:val="44"/>
          <w:szCs w:val="44"/>
        </w:rPr>
        <w:t>专项预算项目支出绩效自评报告</w:t>
      </w:r>
    </w:p>
    <w:p w14:paraId="76B2C0A9">
      <w:pPr>
        <w:pStyle w:val="34"/>
        <w:keepNext w:val="0"/>
        <w:keepLines w:val="0"/>
        <w:pageBreakBefore w:val="0"/>
        <w:widowControl w:val="0"/>
        <w:kinsoku/>
        <w:wordWrap/>
        <w:overflowPunct/>
        <w:topLinePunct w:val="0"/>
        <w:autoSpaceDE/>
        <w:autoSpaceDN/>
        <w:bidi w:val="0"/>
        <w:spacing w:line="480" w:lineRule="exact"/>
        <w:jc w:val="center"/>
        <w:textAlignment w:val="auto"/>
        <w:rPr>
          <w:rFonts w:hint="eastAsia" w:ascii="方正小标宋简体" w:hAnsi="宋体" w:eastAsia="方正小标宋简体"/>
          <w:sz w:val="44"/>
          <w:szCs w:val="44"/>
        </w:rPr>
      </w:pPr>
      <w:r>
        <w:rPr>
          <w:rFonts w:hint="eastAsia" w:ascii="仿宋_GB2312" w:hAnsi="宋体" w:eastAsia="仿宋_GB2312"/>
          <w:color w:val="auto"/>
          <w:kern w:val="2"/>
          <w:sz w:val="32"/>
          <w:szCs w:val="32"/>
        </w:rPr>
        <w:t xml:space="preserve"> </w:t>
      </w:r>
      <w:r>
        <w:rPr>
          <w:rFonts w:hint="eastAsia" w:ascii="方正小标宋简体" w:hAnsi="宋体" w:eastAsia="方正小标宋简体"/>
          <w:sz w:val="44"/>
          <w:szCs w:val="44"/>
        </w:rPr>
        <w:t>（</w:t>
      </w:r>
      <w:r>
        <w:rPr>
          <w:rFonts w:hint="eastAsia" w:ascii="方正小标宋简体" w:hAnsi="宋体" w:eastAsia="方正小标宋简体"/>
          <w:sz w:val="44"/>
          <w:szCs w:val="44"/>
          <w:lang w:val="en-US" w:eastAsia="zh-CN"/>
        </w:rPr>
        <w:t>国有企业退休人员社会化管理补助资金</w:t>
      </w:r>
      <w:r>
        <w:rPr>
          <w:rFonts w:hint="eastAsia" w:ascii="方正小标宋简体" w:hAnsi="宋体" w:eastAsia="方正小标宋简体"/>
          <w:sz w:val="44"/>
          <w:szCs w:val="44"/>
        </w:rPr>
        <w:t>）</w:t>
      </w:r>
    </w:p>
    <w:p w14:paraId="1AC31CA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一、项目概况</w:t>
      </w:r>
    </w:p>
    <w:p w14:paraId="2982AB3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按照相关政策做好国有企业退休人员移交乡镇和社区实行社会化管理的相关工作。 劳务派遣4名工作人员，工资标准3200元/月/人，保险1316.29元/月/人，公积金198元/月/人，年度绩效考核6000元/年/人 。</w:t>
      </w:r>
    </w:p>
    <w:p w14:paraId="4CA2270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（一）项目资金申报及批复情况。</w:t>
      </w:r>
    </w:p>
    <w:p w14:paraId="3DCC984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年年初，按照项目立项依据及资金申报依据申报项目预算，区财政局同意立项并下达项目经费。</w:t>
      </w:r>
    </w:p>
    <w:p w14:paraId="549CA9E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（二）项目绩效目标。</w:t>
      </w:r>
    </w:p>
    <w:p w14:paraId="3F1589C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按照相关政策做好国有企业退休人员移交乡镇和社区实行社会化管理的相关工作。 劳务派遣4名工作人员，工资标准3200元/月/人，保险1316.29元/月/人，公积金198元/月/人，年度绩效考核6000元/年/人 。</w:t>
      </w:r>
    </w:p>
    <w:p w14:paraId="1D02FC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（三）项目资金申报相符性。</w:t>
      </w:r>
    </w:p>
    <w:p w14:paraId="5041AE2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评价申报内容与实际相符，申报目标合理可行。</w:t>
      </w:r>
    </w:p>
    <w:p w14:paraId="564BA87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二、项目实施及管理情况</w:t>
      </w:r>
    </w:p>
    <w:p w14:paraId="5CA46A3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（一）资金计划、到位及使用情况。</w:t>
      </w:r>
    </w:p>
    <w:p w14:paraId="15B737B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1．资金计划及到位。</w:t>
      </w:r>
    </w:p>
    <w:p w14:paraId="0883614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230000.00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.00元。</w:t>
      </w:r>
    </w:p>
    <w:p w14:paraId="210AE16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月资金到位</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000.00元。资金到位金额与资金计划一致，资金到位率100%，资金到位及时。</w:t>
      </w:r>
    </w:p>
    <w:p w14:paraId="01011E3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2．资金使用。</w:t>
      </w:r>
    </w:p>
    <w:p w14:paraId="572AB52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年12月31日前支付</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000.00元，完成预算数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%。资金均按照202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年特殊人群实际发生的相关费用支付，因此可控因素低。资金支付范围、支付标准、支付进度、支付依据合规合法、与预算相符。</w:t>
      </w:r>
    </w:p>
    <w:p w14:paraId="68BE2E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（二）项目财务管理情况。</w:t>
      </w:r>
    </w:p>
    <w:p w14:paraId="241B8C7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攀枝花市仁和区医疗保障局管理制度健全，严格执行财务管理制度，账务处理及时，会计核算规范。</w:t>
      </w:r>
    </w:p>
    <w:p w14:paraId="67F4D11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（三）项目组织实施情况。</w:t>
      </w:r>
    </w:p>
    <w:p w14:paraId="412D223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由仁和区医疗保障局负责，由仁和区医疗保障事务中心负责实施。制定项目计划，严格按照计划开展工作，严格管理项目资金，确保项目资金使用合理、合规、合法，保障资金安全性，不定期对项目资金开展情况、进度进行检查、跟进。并按照相关法律法规及项目管理制度推进相关工作。</w:t>
      </w:r>
    </w:p>
    <w:p w14:paraId="2D0279D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三、项目绩效情况</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p>
    <w:p w14:paraId="49BB546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（一）项目完成情况。</w:t>
      </w:r>
    </w:p>
    <w:p w14:paraId="345BB0F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年按政策规定，对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4名劳务派遣工作人员支付劳务费用</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230000.00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元 ，完成预算数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%。项目资金未支付完的原因为需按实际产生费用进行支付。该项目已于202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年12月31日前完成。</w:t>
      </w:r>
    </w:p>
    <w:p w14:paraId="2E43EF4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（二）项目效益情况。</w:t>
      </w:r>
    </w:p>
    <w:p w14:paraId="2C69FA8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社会效益：</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保障退休人员合法权益，维护退休职工利益，维护社会和谐稳定。解决国有企业承担的社会责任，降低企业经营成本，保障退休人员各项权益</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。被服务对象满意度≥90%。</w:t>
      </w:r>
    </w:p>
    <w:p w14:paraId="49493B2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四、问题及建议</w:t>
      </w:r>
    </w:p>
    <w:p w14:paraId="335348F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（一）存在的问题。</w:t>
      </w:r>
    </w:p>
    <w:p w14:paraId="7B183AF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36A355F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（二）相关建议。</w:t>
      </w:r>
    </w:p>
    <w:p w14:paraId="5453B21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5CC97BD7">
      <w:pPr>
        <w:widowControl/>
        <w:jc w:val="center"/>
        <w:rPr>
          <w:rFonts w:hint="eastAsia" w:eastAsia="黑体"/>
          <w:sz w:val="44"/>
          <w:szCs w:val="44"/>
        </w:rPr>
      </w:pPr>
    </w:p>
    <w:p w14:paraId="51EBF462">
      <w:pPr>
        <w:widowControl/>
        <w:jc w:val="center"/>
        <w:rPr>
          <w:rFonts w:hint="eastAsia" w:eastAsia="黑体"/>
          <w:sz w:val="44"/>
          <w:szCs w:val="44"/>
        </w:rPr>
      </w:pPr>
    </w:p>
    <w:p w14:paraId="5920431E">
      <w:pPr>
        <w:pStyle w:val="34"/>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lang w:val="en-US"/>
        </w:rPr>
        <w:t>202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lang w:val="en-US"/>
        </w:rPr>
        <w:t>年</w:t>
      </w:r>
      <w:r>
        <w:rPr>
          <w:rFonts w:hint="eastAsia" w:ascii="方正小标宋简体" w:hAnsi="宋体" w:eastAsia="方正小标宋简体"/>
          <w:sz w:val="44"/>
          <w:szCs w:val="44"/>
        </w:rPr>
        <w:t>专项预算项目支出绩效自评报告</w:t>
      </w:r>
    </w:p>
    <w:p w14:paraId="119D7345">
      <w:pPr>
        <w:pStyle w:val="34"/>
        <w:spacing w:line="560" w:lineRule="exact"/>
        <w:ind w:firstLine="2560" w:firstLineChars="800"/>
        <w:rPr>
          <w:rFonts w:ascii="宋体" w:hAnsi="宋体"/>
          <w:color w:val="auto"/>
          <w:kern w:val="2"/>
          <w:sz w:val="32"/>
          <w:szCs w:val="32"/>
        </w:rPr>
      </w:pPr>
      <w:r>
        <w:rPr>
          <w:rFonts w:hint="eastAsia" w:ascii="仿宋_GB2312" w:hAnsi="宋体" w:eastAsia="仿宋_GB2312"/>
          <w:color w:val="auto"/>
          <w:kern w:val="2"/>
          <w:sz w:val="32"/>
          <w:szCs w:val="32"/>
        </w:rPr>
        <w:t xml:space="preserve"> </w:t>
      </w:r>
      <w:r>
        <w:rPr>
          <w:rFonts w:ascii="仿宋_GB2312" w:hAnsi="宋体" w:eastAsia="仿宋_GB2312"/>
          <w:color w:val="auto"/>
          <w:kern w:val="2"/>
          <w:sz w:val="32"/>
          <w:szCs w:val="32"/>
        </w:rPr>
        <w:t>（</w:t>
      </w:r>
      <w:r>
        <w:rPr>
          <w:rFonts w:hint="eastAsia" w:ascii="方正小标宋_GBK" w:hAnsi="黑体" w:eastAsia="方正小标宋_GBK" w:cs="黑体"/>
          <w:sz w:val="36"/>
          <w:szCs w:val="36"/>
        </w:rPr>
        <w:t>城乡医疗救助</w:t>
      </w:r>
      <w:r>
        <w:rPr>
          <w:rFonts w:hint="eastAsia" w:ascii="方正小标宋_GBK" w:hAnsi="黑体" w:eastAsia="方正小标宋_GBK" w:cs="黑体"/>
          <w:sz w:val="36"/>
          <w:szCs w:val="36"/>
          <w:lang w:val="en-US" w:eastAsia="zh-CN"/>
        </w:rPr>
        <w:t>资金</w:t>
      </w:r>
      <w:r>
        <w:rPr>
          <w:rFonts w:hint="eastAsia" w:ascii="方正小标宋_GBK" w:hAnsi="黑体" w:eastAsia="方正小标宋_GBK" w:cs="黑体"/>
          <w:sz w:val="36"/>
          <w:szCs w:val="36"/>
        </w:rPr>
        <w:t>）</w:t>
      </w:r>
    </w:p>
    <w:p w14:paraId="4FE82CF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一、项目概况</w:t>
      </w:r>
    </w:p>
    <w:p w14:paraId="114DA4C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对城乡特困供养人员、城乡低保、城乡低收入、脱贫户、防止返贫监测对象，以及区政府认定的其他社会救助对象门诊救助、住院救助、资助参保。</w:t>
      </w:r>
    </w:p>
    <w:p w14:paraId="65E3B67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（一）项目资金申报及批复情况。</w:t>
      </w:r>
    </w:p>
    <w:p w14:paraId="4C9AD7D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年年初，按照项目立项依据及资金申报依据申报项目预算，区财政局同意立项并下达项目经费。</w:t>
      </w:r>
    </w:p>
    <w:p w14:paraId="16ABF91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（二）项目绩效目标。</w:t>
      </w:r>
    </w:p>
    <w:p w14:paraId="638340E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依照政策规定，按照202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年特殊人群产生相关费用的时间点进行医疗费用补助、报销。保障资金执行到位。</w:t>
      </w:r>
    </w:p>
    <w:p w14:paraId="5E9E2A2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（三）项目资金申报相符性。</w:t>
      </w:r>
    </w:p>
    <w:p w14:paraId="6D2600B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评价申报内容与实际相符，申报目标合理可行。</w:t>
      </w:r>
    </w:p>
    <w:p w14:paraId="4DDE96C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二、项目实施及管理情况</w:t>
      </w:r>
    </w:p>
    <w:p w14:paraId="7245074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（一）资金计划、到位及使用情况。</w:t>
      </w:r>
    </w:p>
    <w:p w14:paraId="393CF4A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1．资金计划及到位。</w:t>
      </w:r>
    </w:p>
    <w:p w14:paraId="677372A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项目资金共计</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12</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00000.00元，其中区级资金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12</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00000.00元。</w:t>
      </w:r>
    </w:p>
    <w:p w14:paraId="174C820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月资金到位</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12</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00000.00元，其中区级资金</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00000.00元。资金到位金额与资金计划一致，资金到位率100%，资金到位及时。</w:t>
      </w:r>
    </w:p>
    <w:p w14:paraId="53403B9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p>
    <w:p w14:paraId="3A43FC8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2．资金使用。</w:t>
      </w:r>
    </w:p>
    <w:p w14:paraId="5973EE5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项目资金于202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年12月31日前支付</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12</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00000.00元，完成预算数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100</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w:t>
      </w:r>
    </w:p>
    <w:p w14:paraId="2017F1E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（二）项目财务管理情况。</w:t>
      </w:r>
    </w:p>
    <w:p w14:paraId="453D326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攀枝花市仁和区医疗保障局管理制度健全，严格执行财务管理制度，账务处理及时，会计核算规范。</w:t>
      </w:r>
    </w:p>
    <w:p w14:paraId="7BAEEB4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（三）项目组织实施情况。</w:t>
      </w:r>
    </w:p>
    <w:p w14:paraId="4FE0C33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项目由仁和区医疗保障局负责，由仁和区医疗保障事务中心负责实施。制定项目计划，严格按照计划开展工作，严格管理项目资金，确保项目资金使用合理、合规、合法，保障资金安全性，不定期对项目资金开展情况、进度进行检查、跟进。并按照相关法律法规及项目管理制度推进相关工作。</w:t>
      </w:r>
    </w:p>
    <w:p w14:paraId="3D43031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三、项目绩效情况</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ab/>
      </w:r>
    </w:p>
    <w:p w14:paraId="659AB31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（一）项目完成情况。</w:t>
      </w:r>
    </w:p>
    <w:p w14:paraId="707D39C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u w:val="none"/>
          <w:shd w:val="clear" w:color="auto" w:fill="FFFFFF"/>
          <w:lang w:val="zh-CN" w:eastAsia="zh-CN" w:bidi="ar-SA"/>
        </w:rPr>
        <w:t>截止</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年12月31日，该项目按照202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度特殊人群总人数及产生的实际费用，对城乡特困供养人员、城乡低保、城乡低收入、脱贫户、防止返贫监测对象，以及区政府认定的其他社会救助对象进行了门诊救助、住院救助、资助参保，因中央及省级资金充沛，优先使用了中央及省级资金，该项目于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年12月31日开展完毕。</w:t>
      </w:r>
    </w:p>
    <w:p w14:paraId="09E8DA1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（二）项目效益情况。</w:t>
      </w:r>
    </w:p>
    <w:p w14:paraId="20F43C4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社会效益：医疗救助对象覆盖范围达到100%，困难群众看病就医方便程度持续提高，健全完善社会救助体系。满意度指标：救助对象满意度≥90%。</w:t>
      </w:r>
    </w:p>
    <w:p w14:paraId="52316B7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四、问题及建议</w:t>
      </w:r>
    </w:p>
    <w:p w14:paraId="00A31AC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（一）存在的问题。</w:t>
      </w:r>
    </w:p>
    <w:p w14:paraId="396BF34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254BD7C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（二）相关建议。</w:t>
      </w:r>
    </w:p>
    <w:p w14:paraId="46BB940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contextualSpacing/>
        <w:jc w:val="left"/>
        <w:textAlignment w:val="auto"/>
        <w:outlineLvl w:val="9"/>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无</w:t>
      </w:r>
    </w:p>
    <w:p w14:paraId="4055BD57">
      <w:pPr>
        <w:widowControl/>
        <w:jc w:val="center"/>
        <w:rPr>
          <w:rFonts w:hint="eastAsia" w:eastAsia="黑体"/>
          <w:sz w:val="44"/>
          <w:szCs w:val="44"/>
        </w:rPr>
      </w:pPr>
    </w:p>
    <w:p w14:paraId="6B87E171">
      <w:pPr>
        <w:widowControl/>
        <w:jc w:val="center"/>
        <w:rPr>
          <w:rFonts w:hint="eastAsia" w:eastAsia="黑体"/>
          <w:sz w:val="44"/>
          <w:szCs w:val="44"/>
        </w:rPr>
      </w:pPr>
    </w:p>
    <w:p w14:paraId="0F08042D">
      <w:pPr>
        <w:widowControl/>
        <w:jc w:val="center"/>
        <w:rPr>
          <w:rFonts w:hint="eastAsia" w:eastAsia="黑体"/>
          <w:sz w:val="44"/>
          <w:szCs w:val="44"/>
        </w:rPr>
      </w:pPr>
    </w:p>
    <w:p w14:paraId="0B1AA41B">
      <w:pPr>
        <w:widowControl/>
        <w:jc w:val="both"/>
        <w:rPr>
          <w:rFonts w:hint="eastAsia" w:eastAsia="黑体"/>
          <w:sz w:val="44"/>
          <w:szCs w:val="44"/>
        </w:rPr>
      </w:pPr>
    </w:p>
    <w:p w14:paraId="23BB6BA6">
      <w:pPr>
        <w:widowControl/>
        <w:jc w:val="center"/>
        <w:rPr>
          <w:rFonts w:eastAsia="仿宋"/>
        </w:rPr>
      </w:pPr>
      <w:r>
        <w:rPr>
          <w:rFonts w:hint="eastAsia" w:eastAsia="黑体"/>
          <w:sz w:val="44"/>
          <w:szCs w:val="44"/>
        </w:rPr>
        <w:t>第</w:t>
      </w:r>
      <w:r>
        <w:rPr>
          <w:rStyle w:val="28"/>
          <w:rFonts w:hint="eastAsia" w:eastAsia="黑体"/>
          <w:b w:val="0"/>
        </w:rPr>
        <w:t>五部分 附表</w:t>
      </w:r>
      <w:bookmarkEnd w:id="49"/>
      <w:bookmarkEnd w:id="72"/>
      <w:bookmarkStart w:id="73" w:name="_Toc15396619"/>
    </w:p>
    <w:p w14:paraId="4851489E">
      <w:pPr>
        <w:pStyle w:val="14"/>
        <w:adjustRightInd w:val="0"/>
        <w:snapToGrid w:val="0"/>
        <w:spacing w:line="560" w:lineRule="exact"/>
        <w:jc w:val="left"/>
        <w:rPr>
          <w:rFonts w:eastAsia="仿宋_GB2312" w:cs="仿宋_GB2312"/>
          <w:sz w:val="32"/>
          <w:szCs w:val="32"/>
        </w:rPr>
      </w:pPr>
    </w:p>
    <w:p w14:paraId="732F4D93">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3"/>
    </w:p>
    <w:p w14:paraId="077556A2">
      <w:pPr>
        <w:pStyle w:val="14"/>
        <w:adjustRightInd w:val="0"/>
        <w:snapToGrid w:val="0"/>
        <w:spacing w:line="560" w:lineRule="exact"/>
        <w:jc w:val="left"/>
        <w:rPr>
          <w:rFonts w:eastAsia="仿宋_GB2312" w:cs="仿宋_GB2312"/>
          <w:sz w:val="32"/>
          <w:szCs w:val="32"/>
        </w:rPr>
      </w:pPr>
      <w:bookmarkStart w:id="74" w:name="_Toc15396620"/>
      <w:r>
        <w:rPr>
          <w:rFonts w:hint="eastAsia" w:eastAsia="仿宋_GB2312" w:cs="仿宋_GB2312"/>
          <w:sz w:val="32"/>
          <w:szCs w:val="32"/>
        </w:rPr>
        <w:t>二、收入决算表</w:t>
      </w:r>
      <w:bookmarkEnd w:id="74"/>
    </w:p>
    <w:p w14:paraId="15E5C779">
      <w:pPr>
        <w:pStyle w:val="14"/>
        <w:adjustRightInd w:val="0"/>
        <w:snapToGrid w:val="0"/>
        <w:spacing w:line="560" w:lineRule="exact"/>
        <w:jc w:val="left"/>
        <w:rPr>
          <w:rFonts w:eastAsia="仿宋_GB2312" w:cs="仿宋_GB2312"/>
          <w:sz w:val="32"/>
          <w:szCs w:val="32"/>
        </w:rPr>
      </w:pPr>
      <w:bookmarkStart w:id="75" w:name="_Toc15396621"/>
      <w:r>
        <w:rPr>
          <w:rFonts w:hint="eastAsia" w:eastAsia="仿宋_GB2312" w:cs="仿宋_GB2312"/>
          <w:sz w:val="32"/>
          <w:szCs w:val="32"/>
        </w:rPr>
        <w:t>三、支出决算表</w:t>
      </w:r>
      <w:bookmarkEnd w:id="75"/>
    </w:p>
    <w:p w14:paraId="1B059BFD">
      <w:pPr>
        <w:pStyle w:val="14"/>
        <w:adjustRightInd w:val="0"/>
        <w:snapToGrid w:val="0"/>
        <w:spacing w:line="560" w:lineRule="exact"/>
        <w:jc w:val="left"/>
        <w:rPr>
          <w:rFonts w:eastAsia="仿宋_GB2312" w:cs="仿宋_GB2312"/>
          <w:sz w:val="32"/>
          <w:szCs w:val="32"/>
        </w:rPr>
      </w:pPr>
      <w:bookmarkStart w:id="76" w:name="_Toc15396622"/>
      <w:r>
        <w:rPr>
          <w:rFonts w:hint="eastAsia" w:eastAsia="仿宋_GB2312" w:cs="仿宋_GB2312"/>
          <w:sz w:val="32"/>
          <w:szCs w:val="32"/>
        </w:rPr>
        <w:t>四、财政拨款收入支出决算总表</w:t>
      </w:r>
      <w:bookmarkEnd w:id="76"/>
    </w:p>
    <w:p w14:paraId="3E5DD989">
      <w:pPr>
        <w:pStyle w:val="14"/>
        <w:adjustRightInd w:val="0"/>
        <w:snapToGrid w:val="0"/>
        <w:spacing w:line="560" w:lineRule="exact"/>
        <w:jc w:val="left"/>
        <w:rPr>
          <w:rFonts w:eastAsia="仿宋_GB2312" w:cs="仿宋_GB2312"/>
          <w:sz w:val="32"/>
          <w:szCs w:val="32"/>
        </w:rPr>
      </w:pPr>
      <w:bookmarkStart w:id="77" w:name="_Toc15396623"/>
      <w:r>
        <w:rPr>
          <w:rFonts w:hint="eastAsia" w:eastAsia="仿宋_GB2312" w:cs="仿宋_GB2312"/>
          <w:sz w:val="32"/>
          <w:szCs w:val="32"/>
        </w:rPr>
        <w:t>五、财政拨款支出决算明细表</w:t>
      </w:r>
      <w:bookmarkEnd w:id="77"/>
      <w:bookmarkStart w:id="78" w:name="_Toc15396624"/>
    </w:p>
    <w:p w14:paraId="753577CD">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78"/>
    </w:p>
    <w:p w14:paraId="43F4A15A">
      <w:pPr>
        <w:pStyle w:val="14"/>
        <w:adjustRightInd w:val="0"/>
        <w:snapToGrid w:val="0"/>
        <w:spacing w:line="560" w:lineRule="exact"/>
        <w:jc w:val="left"/>
        <w:rPr>
          <w:rFonts w:eastAsia="仿宋_GB2312" w:cs="仿宋_GB2312"/>
          <w:sz w:val="32"/>
          <w:szCs w:val="32"/>
        </w:rPr>
      </w:pPr>
      <w:bookmarkStart w:id="79" w:name="_Toc15396625"/>
      <w:r>
        <w:rPr>
          <w:rFonts w:hint="eastAsia" w:eastAsia="仿宋_GB2312" w:cs="仿宋_GB2312"/>
          <w:sz w:val="32"/>
          <w:szCs w:val="32"/>
        </w:rPr>
        <w:t>七、一般公共预算财政拨款支出决算明细表</w:t>
      </w:r>
      <w:bookmarkEnd w:id="79"/>
    </w:p>
    <w:p w14:paraId="10853E15">
      <w:pPr>
        <w:pStyle w:val="14"/>
        <w:adjustRightInd w:val="0"/>
        <w:snapToGrid w:val="0"/>
        <w:spacing w:line="560" w:lineRule="exact"/>
        <w:jc w:val="left"/>
        <w:rPr>
          <w:rFonts w:eastAsia="仿宋_GB2312" w:cs="仿宋_GB2312"/>
          <w:sz w:val="32"/>
          <w:szCs w:val="32"/>
        </w:rPr>
      </w:pPr>
      <w:bookmarkStart w:id="80" w:name="_Toc15396626"/>
      <w:r>
        <w:rPr>
          <w:rFonts w:hint="eastAsia" w:eastAsia="仿宋_GB2312" w:cs="仿宋_GB2312"/>
          <w:sz w:val="32"/>
          <w:szCs w:val="32"/>
        </w:rPr>
        <w:t>八、一般公共预算财政拨款基本支出决算表</w:t>
      </w:r>
      <w:bookmarkEnd w:id="80"/>
    </w:p>
    <w:p w14:paraId="229DFD00">
      <w:pPr>
        <w:pStyle w:val="14"/>
        <w:adjustRightInd w:val="0"/>
        <w:snapToGrid w:val="0"/>
        <w:spacing w:line="560" w:lineRule="exact"/>
        <w:jc w:val="left"/>
        <w:rPr>
          <w:rFonts w:eastAsia="仿宋_GB2312" w:cs="仿宋_GB2312"/>
          <w:sz w:val="32"/>
          <w:szCs w:val="32"/>
        </w:rPr>
      </w:pPr>
      <w:bookmarkStart w:id="81" w:name="_Toc15396627"/>
      <w:r>
        <w:rPr>
          <w:rFonts w:hint="eastAsia" w:eastAsia="仿宋_GB2312" w:cs="仿宋_GB2312"/>
          <w:sz w:val="32"/>
          <w:szCs w:val="32"/>
        </w:rPr>
        <w:t>九、一般公共预算财政拨款项目支出决算表</w:t>
      </w:r>
      <w:bookmarkEnd w:id="81"/>
    </w:p>
    <w:p w14:paraId="48E79E4F">
      <w:pPr>
        <w:pStyle w:val="14"/>
        <w:adjustRightInd w:val="0"/>
        <w:snapToGrid w:val="0"/>
        <w:spacing w:line="560" w:lineRule="exact"/>
        <w:jc w:val="left"/>
        <w:rPr>
          <w:rFonts w:eastAsia="仿宋_GB2312" w:cs="仿宋_GB2312"/>
          <w:sz w:val="32"/>
          <w:szCs w:val="32"/>
        </w:rPr>
      </w:pPr>
      <w:bookmarkStart w:id="82" w:name="_Toc15396628"/>
      <w:r>
        <w:rPr>
          <w:rFonts w:hint="eastAsia" w:eastAsia="仿宋_GB2312" w:cs="仿宋_GB2312"/>
          <w:sz w:val="32"/>
          <w:szCs w:val="32"/>
        </w:rPr>
        <w:t>十、</w:t>
      </w:r>
      <w:bookmarkEnd w:id="82"/>
      <w:r>
        <w:rPr>
          <w:rFonts w:hint="eastAsia" w:eastAsia="仿宋_GB2312" w:cs="仿宋_GB2312"/>
          <w:sz w:val="32"/>
          <w:szCs w:val="32"/>
        </w:rPr>
        <w:t>政府性基金预算财政拨款收入支出决算表</w:t>
      </w:r>
    </w:p>
    <w:p w14:paraId="4F55DE42">
      <w:pPr>
        <w:pStyle w:val="14"/>
        <w:adjustRightInd w:val="0"/>
        <w:snapToGrid w:val="0"/>
        <w:spacing w:line="560" w:lineRule="exact"/>
        <w:jc w:val="left"/>
        <w:rPr>
          <w:rFonts w:eastAsia="仿宋_GB2312" w:cs="仿宋_GB2312"/>
          <w:sz w:val="32"/>
          <w:szCs w:val="32"/>
        </w:rPr>
      </w:pPr>
      <w:bookmarkStart w:id="83" w:name="_Toc15396629"/>
      <w:r>
        <w:rPr>
          <w:rFonts w:hint="eastAsia" w:eastAsia="仿宋_GB2312" w:cs="仿宋_GB2312"/>
          <w:sz w:val="32"/>
          <w:szCs w:val="32"/>
        </w:rPr>
        <w:t>十一、</w:t>
      </w:r>
      <w:bookmarkEnd w:id="83"/>
      <w:r>
        <w:rPr>
          <w:rFonts w:hint="eastAsia" w:eastAsia="仿宋_GB2312" w:cs="仿宋_GB2312"/>
          <w:sz w:val="32"/>
          <w:szCs w:val="32"/>
        </w:rPr>
        <w:t>国有资本经营预算财政拨款收入支出决算表</w:t>
      </w:r>
    </w:p>
    <w:p w14:paraId="6C83D778">
      <w:pPr>
        <w:pStyle w:val="14"/>
        <w:adjustRightInd w:val="0"/>
        <w:snapToGrid w:val="0"/>
        <w:spacing w:line="560" w:lineRule="exact"/>
        <w:jc w:val="left"/>
        <w:rPr>
          <w:rFonts w:eastAsia="仿宋_GB2312" w:cs="仿宋_GB2312"/>
          <w:sz w:val="32"/>
          <w:szCs w:val="32"/>
        </w:rPr>
      </w:pPr>
      <w:bookmarkStart w:id="84" w:name="_Toc15396630"/>
      <w:r>
        <w:rPr>
          <w:rFonts w:hint="eastAsia" w:eastAsia="仿宋_GB2312" w:cs="仿宋_GB2312"/>
          <w:sz w:val="32"/>
          <w:szCs w:val="32"/>
        </w:rPr>
        <w:t>十二、</w:t>
      </w:r>
      <w:bookmarkEnd w:id="84"/>
      <w:r>
        <w:rPr>
          <w:rFonts w:hint="eastAsia" w:eastAsia="仿宋_GB2312" w:cs="仿宋_GB2312"/>
          <w:sz w:val="32"/>
          <w:szCs w:val="32"/>
        </w:rPr>
        <w:t>国有资本经营预算财政拨款支出决算表</w:t>
      </w:r>
    </w:p>
    <w:p w14:paraId="7662CA86">
      <w:pPr>
        <w:pStyle w:val="14"/>
        <w:adjustRightInd w:val="0"/>
        <w:snapToGrid w:val="0"/>
        <w:spacing w:line="560" w:lineRule="exact"/>
        <w:jc w:val="left"/>
        <w:rPr>
          <w:rFonts w:eastAsia="仿宋_GB2312" w:cs="仿宋_GB2312"/>
          <w:sz w:val="32"/>
          <w:szCs w:val="32"/>
        </w:rPr>
      </w:pPr>
      <w:bookmarkStart w:id="85" w:name="_Toc15396631"/>
      <w:r>
        <w:rPr>
          <w:rFonts w:hint="eastAsia" w:eastAsia="仿宋_GB2312" w:cs="仿宋_GB2312"/>
          <w:sz w:val="32"/>
          <w:szCs w:val="32"/>
        </w:rPr>
        <w:t>十三、</w:t>
      </w:r>
      <w:bookmarkEnd w:id="85"/>
      <w:r>
        <w:rPr>
          <w:rFonts w:hint="eastAsia" w:eastAsia="仿宋_GB2312" w:cs="仿宋_GB2312"/>
          <w:sz w:val="32"/>
          <w:szCs w:val="32"/>
        </w:rPr>
        <w:t>财政拨款“三公”经费支出决算表</w:t>
      </w:r>
    </w:p>
    <w:p w14:paraId="2FABB928"/>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E7D6C6-09CE-425A-B757-9A75D1E2EE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E7585E2-4D85-4BD8-9756-2EC4BA7D2C5C}"/>
  </w:font>
  <w:font w:name="仿宋">
    <w:panose1 w:val="02010609060101010101"/>
    <w:charset w:val="86"/>
    <w:family w:val="modern"/>
    <w:pitch w:val="default"/>
    <w:sig w:usb0="800002BF" w:usb1="38CF7CFA" w:usb2="00000016" w:usb3="00000000" w:csb0="00040001" w:csb1="00000000"/>
    <w:embedRegular r:id="rId3" w:fontKey="{61AC6891-2007-4287-AE64-B14ED7A0FD2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2000000000000000000"/>
    <w:charset w:val="86"/>
    <w:family w:val="script"/>
    <w:pitch w:val="default"/>
    <w:sig w:usb0="A00002BF" w:usb1="38CF7CFA" w:usb2="00082016" w:usb3="00000000" w:csb0="00040001" w:csb1="00000000"/>
    <w:embedRegular r:id="rId4" w:fontKey="{A8C36D41-301E-4018-85B3-7A2C663541A7}"/>
  </w:font>
  <w:font w:name="方正仿宋_GBK">
    <w:panose1 w:val="03000509000000000000"/>
    <w:charset w:val="86"/>
    <w:family w:val="auto"/>
    <w:pitch w:val="default"/>
    <w:sig w:usb0="00000001" w:usb1="080E0000" w:usb2="00000000" w:usb3="00000000" w:csb0="00040000" w:csb1="00000000"/>
    <w:embedRegular r:id="rId5" w:fontKey="{2ECCD606-0DFA-44A9-A974-CE8F66924E21}"/>
  </w:font>
  <w:font w:name="方正小标宋简体">
    <w:panose1 w:val="02000000000000000000"/>
    <w:charset w:val="86"/>
    <w:family w:val="script"/>
    <w:pitch w:val="default"/>
    <w:sig w:usb0="00000001" w:usb1="08000000" w:usb2="00000000" w:usb3="00000000" w:csb0="00040000" w:csb1="00000000"/>
    <w:embedRegular r:id="rId6" w:fontKey="{C34F22A9-EE7A-4A10-9095-C13B1F7FF3C7}"/>
  </w:font>
  <w:font w:name="方正公文黑体">
    <w:panose1 w:val="02000500000000000000"/>
    <w:charset w:val="86"/>
    <w:family w:val="auto"/>
    <w:pitch w:val="default"/>
    <w:sig w:usb0="A00002BF" w:usb1="38CF7CFA" w:usb2="00000016" w:usb3="00000000" w:csb0="00040001" w:csb1="00000000"/>
    <w:embedRegular r:id="rId7" w:fontKey="{46BC07A1-44BA-48A7-B76B-5D3E66A9A303}"/>
  </w:font>
  <w:font w:name="楷体_GB2312">
    <w:panose1 w:val="02010609030101010101"/>
    <w:charset w:val="86"/>
    <w:family w:val="auto"/>
    <w:pitch w:val="default"/>
    <w:sig w:usb0="00000001" w:usb1="080E0000" w:usb2="00000000" w:usb3="00000000" w:csb0="00040000" w:csb1="00000000"/>
    <w:embedRegular r:id="rId8" w:fontKey="{E26BEB6C-9A67-4F10-9453-57F3C17A1B99}"/>
  </w:font>
  <w:font w:name="WPSEMBED1">
    <w:panose1 w:val="02010609030101010101"/>
    <w:charset w:val="86"/>
    <w:family w:val="auto"/>
    <w:pitch w:val="default"/>
    <w:sig w:usb0="00000001" w:usb1="080E0000" w:usb2="00000000" w:usb3="00000000" w:csb0="00040000" w:csb1="00000000"/>
  </w:font>
  <w:font w:name="WPSEMBED2">
    <w:panose1 w:val="02000500000000000000"/>
    <w:charset w:val="86"/>
    <w:family w:val="auto"/>
    <w:pitch w:val="default"/>
    <w:sig w:usb0="A00002BF" w:usb1="38CF7CFA" w:usb2="00000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3E459">
    <w:pPr>
      <w:pStyle w:val="11"/>
      <w:jc w:val="center"/>
    </w:pPr>
  </w:p>
  <w:p w14:paraId="3208982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E053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0E449">
    <w:pPr>
      <w:pStyle w:val="11"/>
      <w:jc w:val="center"/>
    </w:pPr>
  </w:p>
  <w:p w14:paraId="28B3D1E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E8AB0">
    <w:pPr>
      <w:pStyle w:val="11"/>
      <w:jc w:val="center"/>
    </w:pPr>
    <w:r>
      <w:rPr>
        <w:sz w:val="18"/>
      </w:rPr>
      <w:pict>
        <v:shape id="_x0000_s1030" o:spid="_x0000_s103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6435F0F">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w:r>
  </w:p>
  <w:p w14:paraId="04E67CE0">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9553E">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634C7BA8">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A75D7">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A18C0">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C6BDC0"/>
    <w:multiLevelType w:val="singleLevel"/>
    <w:tmpl w:val="8FC6BDC0"/>
    <w:lvl w:ilvl="0" w:tentative="0">
      <w:start w:val="2"/>
      <w:numFmt w:val="chineseCounting"/>
      <w:suff w:val="nothing"/>
      <w:lvlText w:val="（%1）"/>
      <w:lvlJc w:val="left"/>
      <w:rPr>
        <w:rFonts w:hint="eastAsia"/>
      </w:rPr>
    </w:lvl>
  </w:abstractNum>
  <w:abstractNum w:abstractNumId="1">
    <w:nsid w:val="C5998480"/>
    <w:multiLevelType w:val="singleLevel"/>
    <w:tmpl w:val="C5998480"/>
    <w:lvl w:ilvl="0" w:tentative="0">
      <w:start w:val="1"/>
      <w:numFmt w:val="chineseCounting"/>
      <w:suff w:val="nothing"/>
      <w:lvlText w:val="%1、"/>
      <w:lvlJc w:val="left"/>
      <w:rPr>
        <w:rFonts w:hint="eastAsia"/>
      </w:rPr>
    </w:lvl>
  </w:abstractNum>
  <w:abstractNum w:abstractNumId="2">
    <w:nsid w:val="FFF674BC"/>
    <w:multiLevelType w:val="singleLevel"/>
    <w:tmpl w:val="FFF674BC"/>
    <w:lvl w:ilvl="0" w:tentative="0">
      <w:start w:val="1"/>
      <w:numFmt w:val="chineseCounting"/>
      <w:suff w:val="nothing"/>
      <w:lvlText w:val="%1、"/>
      <w:lvlJc w:val="left"/>
      <w:rPr>
        <w:rFonts w:hint="eastAsia"/>
      </w:rPr>
    </w:lvl>
  </w:abstractNum>
  <w:abstractNum w:abstractNumId="3">
    <w:nsid w:val="3C288314"/>
    <w:multiLevelType w:val="singleLevel"/>
    <w:tmpl w:val="3C288314"/>
    <w:lvl w:ilvl="0" w:tentative="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83C4C"/>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B5C3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5AA8"/>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B36"/>
    <w:rsid w:val="00512FDA"/>
    <w:rsid w:val="00520DA0"/>
    <w:rsid w:val="00540B11"/>
    <w:rsid w:val="005664BB"/>
    <w:rsid w:val="00566FFA"/>
    <w:rsid w:val="0057481D"/>
    <w:rsid w:val="0058486E"/>
    <w:rsid w:val="00585B33"/>
    <w:rsid w:val="0059014D"/>
    <w:rsid w:val="00595D12"/>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2B22"/>
    <w:rsid w:val="00657BD7"/>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05A2"/>
    <w:rsid w:val="0075404D"/>
    <w:rsid w:val="0076182A"/>
    <w:rsid w:val="00767B7E"/>
    <w:rsid w:val="007770C3"/>
    <w:rsid w:val="00782687"/>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291"/>
    <w:rsid w:val="00813348"/>
    <w:rsid w:val="008253BB"/>
    <w:rsid w:val="0083706E"/>
    <w:rsid w:val="008408F6"/>
    <w:rsid w:val="008423A5"/>
    <w:rsid w:val="00850625"/>
    <w:rsid w:val="00853718"/>
    <w:rsid w:val="00855221"/>
    <w:rsid w:val="00860645"/>
    <w:rsid w:val="00871F71"/>
    <w:rsid w:val="00872FD8"/>
    <w:rsid w:val="008740D6"/>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187"/>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23B15"/>
    <w:rsid w:val="00B310B9"/>
    <w:rsid w:val="00B35F3F"/>
    <w:rsid w:val="00B36CBB"/>
    <w:rsid w:val="00B425E0"/>
    <w:rsid w:val="00B440AA"/>
    <w:rsid w:val="00B44B70"/>
    <w:rsid w:val="00B53C56"/>
    <w:rsid w:val="00B57DAF"/>
    <w:rsid w:val="00B77EA6"/>
    <w:rsid w:val="00B81598"/>
    <w:rsid w:val="00B841F1"/>
    <w:rsid w:val="00B944D6"/>
    <w:rsid w:val="00BB1122"/>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A3BE2"/>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74CF"/>
    <w:rsid w:val="00F602DF"/>
    <w:rsid w:val="00F754A1"/>
    <w:rsid w:val="00F81FD9"/>
    <w:rsid w:val="00F841AA"/>
    <w:rsid w:val="00F84A94"/>
    <w:rsid w:val="00F87E96"/>
    <w:rsid w:val="00F933C8"/>
    <w:rsid w:val="00FA23E8"/>
    <w:rsid w:val="00FD3CC1"/>
    <w:rsid w:val="00FF1E02"/>
    <w:rsid w:val="00FF30B4"/>
    <w:rsid w:val="015975B8"/>
    <w:rsid w:val="01A23516"/>
    <w:rsid w:val="02317B1B"/>
    <w:rsid w:val="02FEBE30"/>
    <w:rsid w:val="030D1367"/>
    <w:rsid w:val="046718CF"/>
    <w:rsid w:val="061E35DE"/>
    <w:rsid w:val="066E0107"/>
    <w:rsid w:val="07996F6E"/>
    <w:rsid w:val="07DFD8BA"/>
    <w:rsid w:val="08DB07E4"/>
    <w:rsid w:val="09867E8F"/>
    <w:rsid w:val="0A2032A3"/>
    <w:rsid w:val="0C6C4794"/>
    <w:rsid w:val="0CA8290A"/>
    <w:rsid w:val="0D35B1ED"/>
    <w:rsid w:val="0DE07E2B"/>
    <w:rsid w:val="0F98263C"/>
    <w:rsid w:val="101860EC"/>
    <w:rsid w:val="102E46E4"/>
    <w:rsid w:val="10C055FF"/>
    <w:rsid w:val="11772AA4"/>
    <w:rsid w:val="118107EC"/>
    <w:rsid w:val="13957196"/>
    <w:rsid w:val="13D50BC4"/>
    <w:rsid w:val="14022904"/>
    <w:rsid w:val="152F2A07"/>
    <w:rsid w:val="165E0673"/>
    <w:rsid w:val="16BB723D"/>
    <w:rsid w:val="16F13FCB"/>
    <w:rsid w:val="186504BB"/>
    <w:rsid w:val="1938089F"/>
    <w:rsid w:val="19A445FC"/>
    <w:rsid w:val="1AEF5997"/>
    <w:rsid w:val="1B7D550C"/>
    <w:rsid w:val="1BE8440E"/>
    <w:rsid w:val="1D155CEE"/>
    <w:rsid w:val="1DE178F3"/>
    <w:rsid w:val="1E740ACF"/>
    <w:rsid w:val="1FF35744"/>
    <w:rsid w:val="1FF6BC77"/>
    <w:rsid w:val="21000617"/>
    <w:rsid w:val="21962A9E"/>
    <w:rsid w:val="21AE7C77"/>
    <w:rsid w:val="21BE4D25"/>
    <w:rsid w:val="22BC3C41"/>
    <w:rsid w:val="236E15EB"/>
    <w:rsid w:val="23860B96"/>
    <w:rsid w:val="240371BF"/>
    <w:rsid w:val="258E5C58"/>
    <w:rsid w:val="260F557C"/>
    <w:rsid w:val="281408E2"/>
    <w:rsid w:val="29FD04D3"/>
    <w:rsid w:val="2BFF7BC6"/>
    <w:rsid w:val="2C8A61B5"/>
    <w:rsid w:val="2D2E01CF"/>
    <w:rsid w:val="2DD7466D"/>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6D34B40"/>
    <w:rsid w:val="376B6AA6"/>
    <w:rsid w:val="376D39B2"/>
    <w:rsid w:val="37E16F03"/>
    <w:rsid w:val="37F53A3B"/>
    <w:rsid w:val="389B6C89"/>
    <w:rsid w:val="38D469F0"/>
    <w:rsid w:val="39627CCD"/>
    <w:rsid w:val="397BAF1F"/>
    <w:rsid w:val="3AB79AF3"/>
    <w:rsid w:val="3B7EF35A"/>
    <w:rsid w:val="3B9FDB6C"/>
    <w:rsid w:val="3BF5BC2F"/>
    <w:rsid w:val="3CEBA265"/>
    <w:rsid w:val="3D4E71D1"/>
    <w:rsid w:val="3D98207C"/>
    <w:rsid w:val="3D9B0D99"/>
    <w:rsid w:val="3DEE7CF3"/>
    <w:rsid w:val="3DF02244"/>
    <w:rsid w:val="3E78745D"/>
    <w:rsid w:val="3F1E0B45"/>
    <w:rsid w:val="3FF4CAE0"/>
    <w:rsid w:val="3FF7B227"/>
    <w:rsid w:val="40E54C45"/>
    <w:rsid w:val="41313393"/>
    <w:rsid w:val="43A407DF"/>
    <w:rsid w:val="44515BEA"/>
    <w:rsid w:val="44E268DA"/>
    <w:rsid w:val="453F7E5B"/>
    <w:rsid w:val="486A6C7A"/>
    <w:rsid w:val="48EB5430"/>
    <w:rsid w:val="49176D9B"/>
    <w:rsid w:val="494006BD"/>
    <w:rsid w:val="4A627F82"/>
    <w:rsid w:val="4B055431"/>
    <w:rsid w:val="4B0E749A"/>
    <w:rsid w:val="4B4F25DA"/>
    <w:rsid w:val="4BDA0CFB"/>
    <w:rsid w:val="4BE068DB"/>
    <w:rsid w:val="4D3C0CCC"/>
    <w:rsid w:val="4D577224"/>
    <w:rsid w:val="4DBF1CEB"/>
    <w:rsid w:val="4DF9769B"/>
    <w:rsid w:val="4EAB630A"/>
    <w:rsid w:val="4ECE2238"/>
    <w:rsid w:val="4F833267"/>
    <w:rsid w:val="4FE9BD67"/>
    <w:rsid w:val="4FFB052F"/>
    <w:rsid w:val="53083A92"/>
    <w:rsid w:val="537E6D0A"/>
    <w:rsid w:val="53AF27A2"/>
    <w:rsid w:val="53F74C96"/>
    <w:rsid w:val="54CB0CB0"/>
    <w:rsid w:val="56E47B74"/>
    <w:rsid w:val="57BD3DD4"/>
    <w:rsid w:val="5AF92295"/>
    <w:rsid w:val="5BDD79E6"/>
    <w:rsid w:val="5BF561CA"/>
    <w:rsid w:val="5BFF5DFC"/>
    <w:rsid w:val="5CD71FC4"/>
    <w:rsid w:val="5D1F11B5"/>
    <w:rsid w:val="5DAE1B18"/>
    <w:rsid w:val="5DC43E1B"/>
    <w:rsid w:val="5DE7D9E5"/>
    <w:rsid w:val="5ECEC941"/>
    <w:rsid w:val="5F493CB7"/>
    <w:rsid w:val="5FBF9FF3"/>
    <w:rsid w:val="5FCD4E2C"/>
    <w:rsid w:val="5FD15F49"/>
    <w:rsid w:val="5FEF394A"/>
    <w:rsid w:val="5FF67715"/>
    <w:rsid w:val="62BF3928"/>
    <w:rsid w:val="6342476E"/>
    <w:rsid w:val="635E2E03"/>
    <w:rsid w:val="647F5392"/>
    <w:rsid w:val="664B1D71"/>
    <w:rsid w:val="67AA3209"/>
    <w:rsid w:val="681C4F0D"/>
    <w:rsid w:val="68464E48"/>
    <w:rsid w:val="69046D0F"/>
    <w:rsid w:val="698D0931"/>
    <w:rsid w:val="6A993CED"/>
    <w:rsid w:val="6AF16407"/>
    <w:rsid w:val="6B053271"/>
    <w:rsid w:val="6B203CDF"/>
    <w:rsid w:val="6BCE6674"/>
    <w:rsid w:val="6C4A05C8"/>
    <w:rsid w:val="6C8742B8"/>
    <w:rsid w:val="6C8A170F"/>
    <w:rsid w:val="6CB54609"/>
    <w:rsid w:val="6DBF5E93"/>
    <w:rsid w:val="6DFF077E"/>
    <w:rsid w:val="6E7E3605"/>
    <w:rsid w:val="6E7FDCC7"/>
    <w:rsid w:val="6ECC650D"/>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9582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2D693D"/>
    <w:rsid w:val="7B6C7DFB"/>
    <w:rsid w:val="7BBFBED0"/>
    <w:rsid w:val="7BC3E394"/>
    <w:rsid w:val="7C1F3737"/>
    <w:rsid w:val="7C6747CA"/>
    <w:rsid w:val="7CBFC87B"/>
    <w:rsid w:val="7CFE0F48"/>
    <w:rsid w:val="7D7EC23E"/>
    <w:rsid w:val="7D916348"/>
    <w:rsid w:val="7E0B305E"/>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0"/>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0"/>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正文文本1"/>
    <w:basedOn w:val="1"/>
    <w:qFormat/>
    <w:uiPriority w:val="0"/>
    <w:pPr>
      <w:spacing w:beforeLines="30"/>
    </w:pPr>
    <w:rPr>
      <w:rFonts w:ascii="仿宋_GB2312" w:eastAsia="仿宋_GB2312"/>
      <w:sz w:val="24"/>
    </w:rPr>
  </w:style>
  <w:style w:type="character" w:customStyle="1" w:styleId="36">
    <w:name w:val="正文首行缩进 2 Char"/>
    <w:basedOn w:val="16"/>
    <w:link w:val="37"/>
    <w:qFormat/>
    <w:uiPriority w:val="99"/>
    <w:rPr>
      <w:rFonts w:ascii="仿宋_GB2312"/>
      <w:kern w:val="2"/>
      <w:sz w:val="21"/>
      <w:szCs w:val="32"/>
    </w:rPr>
  </w:style>
  <w:style w:type="paragraph" w:customStyle="1" w:styleId="37">
    <w:name w:val="正文首行缩进 21"/>
    <w:basedOn w:val="1"/>
    <w:next w:val="1"/>
    <w:link w:val="36"/>
    <w:qFormat/>
    <w:uiPriority w:val="0"/>
    <w:pPr>
      <w:spacing w:after="120"/>
      <w:ind w:left="200" w:leftChars="200" w:firstLine="420" w:firstLineChars="200"/>
    </w:pPr>
    <w:rPr>
      <w:rFonts w:ascii="仿宋_GB2312"/>
      <w:szCs w:val="32"/>
    </w:rPr>
  </w:style>
  <w:style w:type="paragraph" w:customStyle="1" w:styleId="38">
    <w:name w:val="Body Text"/>
    <w:basedOn w:val="1"/>
    <w:qFormat/>
    <w:uiPriority w:val="0"/>
    <w:pPr>
      <w:spacing w:beforeLines="30"/>
    </w:pPr>
    <w:rPr>
      <w:rFonts w:ascii="仿宋_GB2312" w:eastAsia="仿宋_GB2312"/>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40335621"/>
          <c:y val="0.0369654531190981"/>
        </c:manualLayout>
      </c:layout>
      <c:overlay val="0"/>
      <c:spPr>
        <a:noFill/>
        <a:ln w="25400">
          <a:noFill/>
        </a:ln>
      </c:spPr>
    </c:title>
    <c:autoTitleDeleted val="0"/>
    <c:plotArea>
      <c:layout>
        <c:manualLayout>
          <c:layoutTarget val="inner"/>
          <c:xMode val="edge"/>
          <c:yMode val="edge"/>
          <c:x val="0.146550356937371"/>
          <c:y val="0.292027683234774"/>
          <c:w val="0.825098584948758"/>
          <c:h val="0.569269154660191"/>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342.39</c:v>
                </c:pt>
                <c:pt idx="1">
                  <c:v>342.39</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530.949999999999</c:v>
                </c:pt>
                <c:pt idx="1">
                  <c:v>530.949999999999</c:v>
                </c:pt>
              </c:numCache>
            </c:numRef>
          </c:val>
        </c:ser>
        <c:dLbls>
          <c:showLegendKey val="0"/>
          <c:showVal val="1"/>
          <c:showCatName val="0"/>
          <c:showSerName val="0"/>
          <c:showPercent val="0"/>
          <c:showBubbleSize val="0"/>
        </c:dLbls>
        <c:gapWidth val="150"/>
        <c:axId val="133155840"/>
        <c:axId val="133165824"/>
      </c:barChart>
      <c:catAx>
        <c:axId val="13315584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165824"/>
        <c:crosses val="autoZero"/>
        <c:auto val="1"/>
        <c:lblAlgn val="ctr"/>
        <c:lblOffset val="100"/>
        <c:tickLblSkip val="1"/>
        <c:noMultiLvlLbl val="0"/>
      </c:catAx>
      <c:valAx>
        <c:axId val="133165824"/>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155840"/>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821827995"/>
          <c:y val="0.147862199881842"/>
          <c:w val="0.166625768164522"/>
          <c:h val="0.070234670850645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6af7501-fb76-4a53-9c04-46ce16fae4f8}"/>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1218971849"/>
          <c:y val="0.0595263092113487"/>
        </c:manualLayout>
      </c:layout>
      <c:overlay val="0"/>
      <c:spPr>
        <a:noFill/>
        <a:ln w="25400">
          <a:noFill/>
        </a:ln>
      </c:spPr>
    </c:title>
    <c:autoTitleDeleted val="0"/>
    <c:plotArea>
      <c:layout>
        <c:manualLayout>
          <c:layoutTarget val="inner"/>
          <c:xMode val="edge"/>
          <c:yMode val="edge"/>
          <c:x val="0.468045698446221"/>
          <c:y val="0.214295091412221"/>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0471240471240471"/>
                  <c:y val="-0.07936507936507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4760914760915"/>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507.95</c:v>
                </c:pt>
                <c:pt idx="1">
                  <c:v>23</c:v>
                </c:pt>
                <c:pt idx="2">
                  <c:v>0</c:v>
                </c:pt>
                <c:pt idx="3">
                  <c:v>0</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012481215315861"/>
          <c:y val="0.420653251676874"/>
          <c:w val="0.307869977791239"/>
          <c:h val="0.25794775653043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179834ee-4511-4133-83a8-8446392fff82}"/>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7443946188"/>
        </c:manualLayout>
      </c:layout>
      <c:overlay val="0"/>
      <c:spPr>
        <a:noFill/>
        <a:ln w="25400">
          <a:noFill/>
        </a:ln>
      </c:spPr>
    </c:title>
    <c:autoTitleDeleted val="0"/>
    <c:plotArea>
      <c:layout>
        <c:manualLayout>
          <c:layoutTarget val="inner"/>
          <c:xMode val="edge"/>
          <c:yMode val="edge"/>
          <c:x val="0.41014799154334"/>
          <c:y val="0.322870662115206"/>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Sheet1!$N$4:$O$4</c:f>
              <c:strCache>
                <c:ptCount val="2"/>
                <c:pt idx="0">
                  <c:v>基本支出</c:v>
                </c:pt>
                <c:pt idx="1">
                  <c:v>项目支出</c:v>
                </c:pt>
              </c:strCache>
            </c:strRef>
          </c:cat>
          <c:val>
            <c:numRef>
              <c:f>Sheet1!$N$5:$O$5</c:f>
              <c:numCache>
                <c:formatCode>General</c:formatCode>
                <c:ptCount val="2"/>
                <c:pt idx="0">
                  <c:v>333.25</c:v>
                </c:pt>
                <c:pt idx="1">
                  <c:v>197.7</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b"/>
      <c:layout>
        <c:manualLayout>
          <c:xMode val="edge"/>
          <c:yMode val="edge"/>
          <c:x val="0.389006342494715"/>
          <c:y val="0.88789425985429"/>
          <c:w val="0.221987315010571"/>
          <c:h val="0.08071748878923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a38e1f22-cb69-4fd6-9708-f547511c0b4b}"/>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445311066"/>
          <c:y val="0.0401623291064521"/>
        </c:manualLayout>
      </c:layout>
      <c:overlay val="0"/>
      <c:spPr>
        <a:noFill/>
        <a:ln w="25400">
          <a:noFill/>
        </a:ln>
      </c:spPr>
    </c:title>
    <c:autoTitleDeleted val="0"/>
    <c:plotArea>
      <c:layout>
        <c:manualLayout>
          <c:layoutTarget val="inner"/>
          <c:xMode val="edge"/>
          <c:yMode val="edge"/>
          <c:x val="0.122937884830234"/>
          <c:y val="0.31326688513917"/>
          <c:w val="0.851108433440086"/>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342.39</c:v>
                </c:pt>
                <c:pt idx="1">
                  <c:v>342.39</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530.949999999999</c:v>
                </c:pt>
                <c:pt idx="1">
                  <c:v>530.949999999999</c:v>
                </c:pt>
              </c:numCache>
            </c:numRef>
          </c:val>
        </c:ser>
        <c:dLbls>
          <c:showLegendKey val="0"/>
          <c:showVal val="1"/>
          <c:showCatName val="0"/>
          <c:showSerName val="0"/>
          <c:showPercent val="0"/>
          <c:showBubbleSize val="0"/>
        </c:dLbls>
        <c:gapWidth val="150"/>
        <c:axId val="133745664"/>
        <c:axId val="134021888"/>
      </c:barChart>
      <c:catAx>
        <c:axId val="13374566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021888"/>
        <c:crosses val="autoZero"/>
        <c:auto val="1"/>
        <c:lblAlgn val="ctr"/>
        <c:lblOffset val="100"/>
        <c:tickLblSkip val="1"/>
        <c:noMultiLvlLbl val="0"/>
      </c:catAx>
      <c:valAx>
        <c:axId val="13402188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45664"/>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72119932"/>
          <c:y val="0.15663325216878"/>
          <c:w val="0.141851361207448"/>
          <c:h val="0.0763085939558762"/>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1da89502-aef9-4df8-bd09-adcdbe761803}"/>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87846758"/>
          <c:y val="0.0403242739818814"/>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342.39</c:v>
                </c:pt>
                <c:pt idx="1">
                  <c:v>507.95</c:v>
                </c:pt>
              </c:numCache>
            </c:numRef>
          </c:val>
        </c:ser>
        <c:dLbls>
          <c:showLegendKey val="0"/>
          <c:showVal val="1"/>
          <c:showCatName val="0"/>
          <c:showSerName val="0"/>
          <c:showPercent val="0"/>
          <c:showBubbleSize val="0"/>
        </c:dLbls>
        <c:gapWidth val="150"/>
        <c:axId val="134079232"/>
        <c:axId val="134080768"/>
      </c:barChart>
      <c:catAx>
        <c:axId val="13407923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080768"/>
        <c:crosses val="autoZero"/>
        <c:auto val="1"/>
        <c:lblAlgn val="ctr"/>
        <c:lblOffset val="100"/>
        <c:tickLblSkip val="1"/>
        <c:noMultiLvlLbl val="0"/>
      </c:catAx>
      <c:valAx>
        <c:axId val="13408076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079232"/>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079430548"/>
          <c:y val="0.895201083735501"/>
          <c:w val="0.453663292088489"/>
          <c:h val="0.076616289899246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13140e5-9a23-4798-832d-3f03a02a3399}"/>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0638977635782748"/>
          <c:y val="0.0427598493193532"/>
        </c:manualLayout>
      </c:layout>
      <c:overlay val="0"/>
    </c:title>
    <c:autoTitleDeleted val="0"/>
    <c:plotArea>
      <c:layout>
        <c:manualLayout>
          <c:layoutTarget val="inner"/>
          <c:xMode val="edge"/>
          <c:yMode val="edge"/>
          <c:x val="0.246006389776358"/>
          <c:y val="0.297376516627923"/>
          <c:w val="0.271565495207669"/>
          <c:h val="0.495627527713204"/>
        </c:manualLayout>
      </c:layout>
      <c:pieChart>
        <c:varyColors val="1"/>
        <c:ser>
          <c:idx val="0"/>
          <c:order val="0"/>
          <c:explosion val="0"/>
          <c:dPt>
            <c:idx val="0"/>
            <c:bubble3D val="0"/>
          </c:dPt>
          <c:dPt>
            <c:idx val="1"/>
            <c:bubble3D val="0"/>
          </c:dPt>
          <c:dPt>
            <c:idx val="2"/>
            <c:bubble3D val="0"/>
          </c:dPt>
          <c:dLbls>
            <c:dLbl>
              <c:idx val="0"/>
              <c:layout>
                <c:manualLayout>
                  <c:x val="-0.0319488817891374"/>
                  <c:y val="-0.0077745383867832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0114345131778656"/>
                  <c:y val="-0.042075250797731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0851970181043666"/>
                  <c:y val="-0.054422096201705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Sheet1!$N$26:$P$26</c:f>
              <c:strCache>
                <c:ptCount val="3"/>
                <c:pt idx="0">
                  <c:v>社会保障和就业支出</c:v>
                </c:pt>
                <c:pt idx="1">
                  <c:v>卫生健康支出</c:v>
                </c:pt>
                <c:pt idx="2">
                  <c:v>住房保障支出</c:v>
                </c:pt>
              </c:strCache>
            </c:strRef>
          </c:cat>
          <c:val>
            <c:numRef>
              <c:f>Sheet1!$N$27:$P$27</c:f>
              <c:numCache>
                <c:formatCode>General</c:formatCode>
                <c:ptCount val="3"/>
                <c:pt idx="0">
                  <c:v>55.15</c:v>
                </c:pt>
                <c:pt idx="1">
                  <c:v>432.19</c:v>
                </c:pt>
                <c:pt idx="2">
                  <c:v>20.61</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70447284345048"/>
          <c:y val="0.170068404661853"/>
          <c:w val="0.227868984428065"/>
          <c:h val="0.81372853004773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426955aa-1c4c-466d-a709-78f1eb2bd325}"/>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139502723"/>
          <c:y val="0.0351406732053231"/>
        </c:manualLayout>
      </c:layout>
      <c:overlay val="0"/>
      <c:spPr>
        <a:noFill/>
        <a:ln w="25400">
          <a:noFill/>
        </a:ln>
      </c:spPr>
    </c:title>
    <c:autoTitleDeleted val="0"/>
    <c:plotArea>
      <c:layout>
        <c:manualLayout>
          <c:layoutTarget val="inner"/>
          <c:xMode val="edge"/>
          <c:yMode val="edge"/>
          <c:x val="0.324738883659334"/>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0</c:v>
                </c:pt>
                <c:pt idx="2">
                  <c:v>0.18</c:v>
                </c:pt>
              </c:numCache>
            </c:numRef>
          </c:val>
        </c:ser>
        <c:dLbls>
          <c:showLegendKey val="1"/>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662381395873903"/>
          <c:y val="0.377763503246305"/>
          <c:w val="0.329040160302544"/>
          <c:h val="0.3601929364092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1b6ad10c-2787-4f7b-9781-c3e81d1fff2f}"/>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0" textRotate="1"/>
    <customShpInfo spid="_x0000_s1026"/>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42</Pages>
  <Words>15198</Words>
  <Characters>17242</Characters>
  <Lines>62</Lines>
  <Paragraphs>17</Paragraphs>
  <TotalTime>15</TotalTime>
  <ScaleCrop>false</ScaleCrop>
  <LinksUpToDate>false</LinksUpToDate>
  <CharactersWithSpaces>17333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马燕</cp:lastModifiedBy>
  <cp:lastPrinted>2026-09-15T01:45:00Z</cp:lastPrinted>
  <dcterms:modified xsi:type="dcterms:W3CDTF">2026-09-20T07:27:45Z</dcterms:modified>
  <dc:title>四川省***</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108297D1B9874644A8D566B5A945A6A2</vt:lpwstr>
  </property>
  <property fmtid="{D5CDD505-2E9C-101B-9397-08002B2CF9AE}" pid="4" name="KSOTemplateDocerSaveRecord">
    <vt:lpwstr>eyJoZGlkIjoiMGU0MWNhMjllZTY2MjQwY2FlYzk1MzkyODkxOWIwNDMiLCJ1c2VySWQiOiIxNjUxNjQ0NDA5In0=</vt:lpwstr>
  </property>
</Properties>
</file>