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3C189">
      <w:pPr>
        <w:rPr>
          <w:rFonts w:ascii="Times New Roman" w:hAnsi="Times New Roman"/>
        </w:rPr>
      </w:pPr>
      <w:bookmarkStart w:id="0" w:name="_Toc15396475"/>
      <w:bookmarkStart w:id="1" w:name="_Toc15396597"/>
      <w:bookmarkStart w:id="2" w:name="_Toc15378441"/>
      <w:bookmarkStart w:id="3" w:name="_Toc15377193"/>
      <w:bookmarkStart w:id="4" w:name="_Toc15306267"/>
      <w:bookmarkStart w:id="5" w:name="_Toc15377425"/>
    </w:p>
    <w:p w14:paraId="791EAB2E">
      <w:pPr>
        <w:pStyle w:val="2"/>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p>
    <w:p w14:paraId="064A1AB2">
      <w:pPr>
        <w:pStyle w:val="2"/>
        <w:spacing w:before="93"/>
        <w:jc w:val="center"/>
        <w:rPr>
          <w:rFonts w:hint="eastAsia" w:ascii="Times New Roman" w:eastAsia="方正小标宋简体"/>
          <w:kern w:val="2"/>
          <w:sz w:val="44"/>
          <w:szCs w:val="44"/>
          <w:lang w:val="en-US" w:eastAsia="zh-CN"/>
        </w:rPr>
      </w:pPr>
      <w:bookmarkStart w:id="6" w:name="_Toc15396598"/>
      <w:bookmarkStart w:id="7" w:name="_Toc15377426"/>
      <w:bookmarkStart w:id="8" w:name="_Toc15396476"/>
      <w:bookmarkStart w:id="9" w:name="_Toc15378442"/>
      <w:bookmarkStart w:id="10" w:name="_Toc15377194"/>
      <w:r>
        <w:rPr>
          <w:rFonts w:hint="eastAsia" w:ascii="Times New Roman" w:eastAsia="方正小标宋简体"/>
          <w:kern w:val="2"/>
          <w:sz w:val="44"/>
          <w:szCs w:val="44"/>
          <w:lang w:val="en-US" w:eastAsia="zh-CN"/>
        </w:rPr>
        <w:t>攀枝花市仁和区</w:t>
      </w:r>
      <w:bookmarkStart w:id="11" w:name="_Toc15306268"/>
      <w:r>
        <w:rPr>
          <w:rFonts w:hint="eastAsia" w:ascii="Times New Roman" w:eastAsia="方正小标宋简体"/>
          <w:kern w:val="2"/>
          <w:sz w:val="44"/>
          <w:szCs w:val="44"/>
          <w:lang w:val="en-US" w:eastAsia="zh-CN"/>
        </w:rPr>
        <w:t>综合行政执法局</w:t>
      </w:r>
    </w:p>
    <w:p w14:paraId="50DCFDA6">
      <w:pPr>
        <w:pStyle w:val="2"/>
        <w:spacing w:before="93"/>
        <w:jc w:val="center"/>
        <w:rPr>
          <w:rFonts w:hint="default" w:ascii="Times New Roman" w:eastAsia="方正小标宋简体"/>
          <w:kern w:val="2"/>
          <w:sz w:val="44"/>
          <w:szCs w:val="44"/>
          <w:lang w:val="en-US" w:eastAsia="zh-CN"/>
        </w:rPr>
      </w:pPr>
      <w:r>
        <w:rPr>
          <w:rFonts w:hint="eastAsia" w:ascii="Times New Roman" w:eastAsia="方正小标宋简体"/>
          <w:kern w:val="2"/>
          <w:sz w:val="44"/>
          <w:szCs w:val="44"/>
        </w:rPr>
        <w:t>部门决算</w:t>
      </w:r>
      <w:bookmarkEnd w:id="6"/>
      <w:bookmarkEnd w:id="7"/>
      <w:bookmarkEnd w:id="8"/>
      <w:bookmarkEnd w:id="9"/>
      <w:bookmarkEnd w:id="10"/>
      <w:bookmarkEnd w:id="11"/>
      <w:r>
        <w:rPr>
          <w:rFonts w:hint="eastAsia" w:ascii="Times New Roman" w:eastAsia="方正小标宋简体"/>
          <w:kern w:val="2"/>
          <w:sz w:val="44"/>
          <w:szCs w:val="44"/>
          <w:lang w:val="en-US" w:eastAsia="zh-CN"/>
        </w:rPr>
        <w:t>公开编制说明</w:t>
      </w:r>
    </w:p>
    <w:p w14:paraId="247CF139">
      <w:pPr>
        <w:rPr>
          <w:rFonts w:ascii="Times New Roman" w:hAnsi="Times New Roman"/>
        </w:rPr>
      </w:pPr>
    </w:p>
    <w:p w14:paraId="1D631303">
      <w:pPr>
        <w:rPr>
          <w:rFonts w:ascii="Times New Roman" w:hAnsi="Times New Roman"/>
        </w:rPr>
      </w:pPr>
    </w:p>
    <w:p w14:paraId="6F0275BF">
      <w:pPr>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14:paraId="2F1B3159">
      <w:pPr>
        <w:widowControl/>
        <w:jc w:val="center"/>
        <w:rPr>
          <w:rFonts w:eastAsia="黑体"/>
          <w:sz w:val="48"/>
          <w:szCs w:val="48"/>
        </w:rPr>
      </w:pPr>
      <w:r>
        <w:rPr>
          <w:rFonts w:hint="eastAsia" w:eastAsia="黑体"/>
          <w:sz w:val="48"/>
          <w:szCs w:val="48"/>
        </w:rPr>
        <w:t>目录</w:t>
      </w:r>
    </w:p>
    <w:p w14:paraId="35BA139B">
      <w:pPr>
        <w:widowControl/>
        <w:jc w:val="center"/>
        <w:rPr>
          <w:rFonts w:eastAsia="黑体" w:cstheme="minorBidi"/>
          <w:sz w:val="28"/>
          <w:szCs w:val="28"/>
        </w:rPr>
      </w:pPr>
    </w:p>
    <w:p w14:paraId="23668B27">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20</w:t>
      </w:r>
      <w:r>
        <w:rPr>
          <w:rFonts w:hint="eastAsia" w:ascii="Times New Roman" w:hAnsi="Times New Roman" w:eastAsia="仿宋_GB2312" w:cs="仿宋_GB2312"/>
          <w:sz w:val="32"/>
          <w:szCs w:val="32"/>
        </w:rPr>
        <w:t>日</w:t>
      </w:r>
    </w:p>
    <w:p w14:paraId="1D82A0AE"/>
    <w:p w14:paraId="00554D84">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1A75E5A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eastAsia="仿宋_GB2312" w:cs="仿宋_GB2312"/>
          <w:sz w:val="32"/>
          <w:szCs w:val="32"/>
        </w:rPr>
      </w:pPr>
      <w:r>
        <w:rPr>
          <w:rFonts w:hint="eastAsia" w:eastAsia="仿宋_GB2312" w:cs="仿宋_GB2312"/>
          <w:sz w:val="32"/>
          <w:szCs w:val="32"/>
        </w:rPr>
        <w:t>一、部门职责</w:t>
      </w:r>
      <w:r>
        <w:rPr>
          <w:rFonts w:hint="eastAsia" w:eastAsia="仿宋_GB2312" w:cs="仿宋_GB2312"/>
          <w:color w:val="auto"/>
          <w:sz w:val="32"/>
          <w:szCs w:val="32"/>
          <w:highlight w:val="none"/>
          <w:lang w:val="en-US" w:eastAsia="zh-CN"/>
        </w:rPr>
        <w:t>...................................................................1</w:t>
      </w:r>
    </w:p>
    <w:p w14:paraId="5EAA1E7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二、机构设置</w:t>
      </w:r>
      <w:r>
        <w:rPr>
          <w:rFonts w:hint="eastAsia" w:eastAsia="仿宋_GB2312" w:cs="仿宋_GB2312"/>
          <w:color w:val="auto"/>
          <w:sz w:val="32"/>
          <w:szCs w:val="32"/>
          <w:highlight w:val="none"/>
          <w:lang w:val="en-US" w:eastAsia="zh-CN"/>
        </w:rPr>
        <w:t>...................................................................3</w:t>
      </w:r>
    </w:p>
    <w:p w14:paraId="081E6250">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780DC43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一、收入支出决算总体情况说明</w:t>
      </w:r>
      <w:r>
        <w:rPr>
          <w:rFonts w:hint="eastAsia" w:eastAsia="仿宋_GB2312" w:cs="仿宋_GB2312"/>
          <w:color w:val="auto"/>
          <w:sz w:val="32"/>
          <w:szCs w:val="32"/>
          <w:highlight w:val="none"/>
          <w:lang w:val="en-US" w:eastAsia="zh-CN"/>
        </w:rPr>
        <w:t>...................................4</w:t>
      </w:r>
    </w:p>
    <w:p w14:paraId="36F0BF72">
      <w:pPr>
        <w:pStyle w:val="14"/>
        <w:adjustRightInd w:val="0"/>
        <w:snapToGrid w:val="0"/>
        <w:spacing w:line="560" w:lineRule="exact"/>
        <w:ind w:left="0" w:leftChars="0" w:firstLine="640" w:firstLineChars="200"/>
        <w:jc w:val="left"/>
        <w:rPr>
          <w:rFonts w:hint="default" w:eastAsia="仿宋_GB2312" w:cs="仿宋_GB2312"/>
          <w:color w:val="auto"/>
          <w:sz w:val="32"/>
          <w:szCs w:val="32"/>
          <w:highlight w:val="none"/>
          <w:lang w:val="en-US" w:eastAsia="zh-CN"/>
        </w:rPr>
      </w:pPr>
      <w:r>
        <w:rPr>
          <w:rFonts w:hint="eastAsia" w:eastAsia="仿宋_GB2312" w:cs="仿宋_GB2312"/>
          <w:sz w:val="32"/>
          <w:szCs w:val="32"/>
        </w:rPr>
        <w:t>二、收入决算情况说明</w:t>
      </w:r>
      <w:r>
        <w:rPr>
          <w:rFonts w:hint="eastAsia" w:eastAsia="仿宋_GB2312" w:cs="仿宋_GB2312"/>
          <w:color w:val="auto"/>
          <w:sz w:val="32"/>
          <w:szCs w:val="32"/>
          <w:highlight w:val="none"/>
          <w:lang w:val="en-US" w:eastAsia="zh-CN"/>
        </w:rPr>
        <w:t>...................................................4</w:t>
      </w:r>
    </w:p>
    <w:p w14:paraId="6DA28AE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三、支出决算情况说明</w:t>
      </w:r>
      <w:r>
        <w:rPr>
          <w:rFonts w:hint="eastAsia" w:eastAsia="仿宋_GB2312" w:cs="仿宋_GB2312"/>
          <w:color w:val="auto"/>
          <w:sz w:val="32"/>
          <w:szCs w:val="32"/>
          <w:highlight w:val="none"/>
          <w:lang w:val="en-US" w:eastAsia="zh-CN"/>
        </w:rPr>
        <w:t>...................................................5</w:t>
      </w:r>
    </w:p>
    <w:p w14:paraId="4FB37E3B">
      <w:pPr>
        <w:pStyle w:val="14"/>
        <w:adjustRightInd w:val="0"/>
        <w:snapToGrid w:val="0"/>
        <w:spacing w:line="560" w:lineRule="exact"/>
        <w:ind w:left="0" w:leftChars="0" w:firstLine="640" w:firstLineChars="200"/>
        <w:jc w:val="left"/>
        <w:rPr>
          <w:rFonts w:hint="default" w:eastAsia="仿宋_GB2312" w:cs="仿宋_GB2312"/>
          <w:color w:val="auto"/>
          <w:sz w:val="32"/>
          <w:szCs w:val="32"/>
          <w:highlight w:val="none"/>
          <w:lang w:val="en-US" w:eastAsia="zh-CN"/>
        </w:rPr>
      </w:pPr>
      <w:r>
        <w:rPr>
          <w:rFonts w:hint="eastAsia" w:eastAsia="仿宋_GB2312" w:cs="仿宋_GB2312"/>
          <w:sz w:val="32"/>
          <w:szCs w:val="32"/>
        </w:rPr>
        <w:t>四、财政拨款收入支出决算总体情况说明</w:t>
      </w:r>
      <w:r>
        <w:rPr>
          <w:rFonts w:hint="eastAsia" w:eastAsia="仿宋_GB2312" w:cs="仿宋_GB2312"/>
          <w:color w:val="auto"/>
          <w:sz w:val="32"/>
          <w:szCs w:val="32"/>
          <w:highlight w:val="none"/>
          <w:lang w:val="en-US" w:eastAsia="zh-CN"/>
        </w:rPr>
        <w:t>...................5</w:t>
      </w:r>
    </w:p>
    <w:p w14:paraId="0E72F8F0">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五、一般公共预算财政拨款支出决算情况说明</w:t>
      </w:r>
      <w:r>
        <w:rPr>
          <w:rFonts w:hint="eastAsia" w:eastAsia="仿宋_GB2312" w:cs="仿宋_GB2312"/>
          <w:color w:val="auto"/>
          <w:sz w:val="32"/>
          <w:szCs w:val="32"/>
          <w:highlight w:val="none"/>
          <w:lang w:val="en-US" w:eastAsia="zh-CN"/>
        </w:rPr>
        <w:t>...........6</w:t>
      </w:r>
    </w:p>
    <w:p w14:paraId="5E10059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eastAsia="仿宋_GB2312" w:cs="仿宋_GB2312"/>
          <w:color w:val="auto"/>
          <w:sz w:val="32"/>
          <w:szCs w:val="32"/>
          <w:highlight w:val="none"/>
          <w:lang w:val="en-US" w:eastAsia="zh-CN"/>
        </w:rPr>
        <w:t>...10</w:t>
      </w:r>
    </w:p>
    <w:p w14:paraId="1E8374E8">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eastAsia="仿宋_GB2312" w:cs="仿宋_GB2312"/>
          <w:color w:val="auto"/>
          <w:sz w:val="32"/>
          <w:szCs w:val="32"/>
          <w:highlight w:val="none"/>
          <w:lang w:val="en-US" w:eastAsia="zh-CN"/>
        </w:rPr>
        <w:t>...........11</w:t>
      </w:r>
    </w:p>
    <w:p w14:paraId="3C64893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eastAsia="仿宋_GB2312" w:cs="仿宋_GB2312"/>
          <w:color w:val="auto"/>
          <w:sz w:val="32"/>
          <w:szCs w:val="32"/>
          <w:highlight w:val="none"/>
          <w:lang w:val="en-US" w:eastAsia="zh-CN"/>
        </w:rPr>
        <w:t>.......................12</w:t>
      </w:r>
    </w:p>
    <w:p w14:paraId="5BC746A5">
      <w:pPr>
        <w:pStyle w:val="14"/>
        <w:adjustRightInd w:val="0"/>
        <w:snapToGrid w:val="0"/>
        <w:spacing w:line="560" w:lineRule="exact"/>
        <w:ind w:left="0" w:leftChars="0" w:firstLine="640" w:firstLineChars="200"/>
        <w:jc w:val="left"/>
        <w:rPr>
          <w:rFonts w:hint="default" w:eastAsia="仿宋_GB2312" w:cs="仿宋_GB2312"/>
          <w:color w:val="auto"/>
          <w:sz w:val="32"/>
          <w:szCs w:val="32"/>
          <w:highlight w:val="none"/>
          <w:lang w:val="en-US" w:eastAsia="zh-CN"/>
        </w:rPr>
      </w:pPr>
      <w:r>
        <w:rPr>
          <w:rFonts w:hint="eastAsia" w:eastAsia="仿宋_GB2312" w:cs="仿宋_GB2312"/>
          <w:sz w:val="32"/>
          <w:szCs w:val="32"/>
        </w:rPr>
        <w:t>九、国有资本经营预算支出决算情况说明</w:t>
      </w:r>
      <w:r>
        <w:rPr>
          <w:rFonts w:hint="eastAsia" w:eastAsia="仿宋_GB2312" w:cs="仿宋_GB2312"/>
          <w:color w:val="auto"/>
          <w:sz w:val="32"/>
          <w:szCs w:val="32"/>
          <w:highlight w:val="none"/>
          <w:lang w:val="en-US" w:eastAsia="zh-CN"/>
        </w:rPr>
        <w:t>...................13</w:t>
      </w:r>
    </w:p>
    <w:p w14:paraId="450C31FD">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十、其他重要事项的情况说明</w:t>
      </w:r>
      <w:r>
        <w:rPr>
          <w:rFonts w:hint="eastAsia" w:eastAsia="仿宋_GB2312" w:cs="仿宋_GB2312"/>
          <w:color w:val="auto"/>
          <w:sz w:val="32"/>
          <w:szCs w:val="32"/>
          <w:highlight w:val="none"/>
          <w:lang w:val="en-US" w:eastAsia="zh-CN"/>
        </w:rPr>
        <w:t>.......................................13</w:t>
      </w:r>
    </w:p>
    <w:p w14:paraId="2377E490">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ascii="Times New Roman" w:hAnsi="Times New Roman" w:eastAsia="黑体" w:cs="黑体"/>
          <w:color w:val="auto"/>
          <w:sz w:val="32"/>
          <w:szCs w:val="32"/>
          <w:highlight w:val="none"/>
          <w:lang w:val="en-US" w:eastAsia="zh-CN"/>
        </w:rPr>
        <w:t>.................................................................15</w:t>
      </w:r>
    </w:p>
    <w:p w14:paraId="20F9241E">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ascii="Times New Roman" w:hAnsi="Times New Roman" w:eastAsia="黑体" w:cs="黑体"/>
          <w:color w:val="auto"/>
          <w:sz w:val="32"/>
          <w:szCs w:val="32"/>
          <w:highlight w:val="none"/>
          <w:lang w:val="en-US" w:eastAsia="zh-CN"/>
        </w:rPr>
        <w:t>.........................................................................20</w:t>
      </w:r>
    </w:p>
    <w:p w14:paraId="78A0ED3A">
      <w:pPr>
        <w:pStyle w:val="12"/>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ascii="Times New Roman" w:hAnsi="Times New Roman" w:eastAsia="黑体" w:cs="黑体"/>
          <w:color w:val="auto"/>
          <w:sz w:val="32"/>
          <w:szCs w:val="32"/>
          <w:highlight w:val="none"/>
          <w:lang w:val="en-US" w:eastAsia="zh-CN"/>
        </w:rPr>
        <w:t>.........................................................................79</w:t>
      </w:r>
    </w:p>
    <w:p w14:paraId="3EE1056C">
      <w:pPr>
        <w:pStyle w:val="14"/>
        <w:adjustRightInd w:val="0"/>
        <w:snapToGrid w:val="0"/>
        <w:spacing w:line="560" w:lineRule="exact"/>
        <w:ind w:left="638" w:leftChars="304" w:firstLine="0" w:firstLineChars="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r>
        <w:rPr>
          <w:rFonts w:hint="eastAsia" w:eastAsia="仿宋_GB2312" w:cs="仿宋_GB2312"/>
          <w:sz w:val="32"/>
          <w:szCs w:val="32"/>
        </w:rPr>
        <w:t>二、收入决算表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49C4BE8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54841646">
      <w:pPr>
        <w:pStyle w:val="14"/>
        <w:adjustRightInd w:val="0"/>
        <w:snapToGrid w:val="0"/>
        <w:spacing w:line="560" w:lineRule="exact"/>
        <w:ind w:left="0" w:leftChars="0" w:firstLine="640" w:firstLineChars="200"/>
        <w:jc w:val="left"/>
        <w:rPr>
          <w:rFonts w:hint="eastAsia" w:eastAsia="仿宋_GB2312" w:cs="仿宋_GB2312"/>
          <w:sz w:val="32"/>
          <w:szCs w:val="32"/>
        </w:rPr>
        <w:sectPr>
          <w:footerReference r:id="rId9" w:type="first"/>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2C074BD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四、财政拨款收入支出决算总表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68148C59">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5C0E5291">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25BE0496">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6EEABE9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1340CC8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5EB33DC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2C65FC8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75C98AA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7CCA6C3F">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十三、财政拨款“三公”经费支出决算表</w:t>
      </w:r>
      <w:r>
        <w:rPr>
          <w:rFonts w:hint="eastAsia" w:ascii="Times New Roman" w:hAnsi="Times New Roman" w:eastAsia="黑体" w:cs="黑体"/>
          <w:color w:val="auto"/>
          <w:sz w:val="32"/>
          <w:szCs w:val="32"/>
          <w:highlight w:val="none"/>
          <w:lang w:val="en-US" w:eastAsia="zh-CN"/>
        </w:rPr>
        <w:t>...................</w:t>
      </w:r>
      <w:r>
        <w:rPr>
          <w:rFonts w:hint="eastAsia" w:eastAsia="黑体" w:cs="黑体"/>
          <w:color w:val="auto"/>
          <w:sz w:val="32"/>
          <w:szCs w:val="32"/>
          <w:highlight w:val="none"/>
          <w:lang w:val="en-US" w:eastAsia="zh-CN"/>
        </w:rPr>
        <w:t>79</w:t>
      </w:r>
    </w:p>
    <w:p w14:paraId="384214EF">
      <w:pPr>
        <w:pStyle w:val="3"/>
        <w:jc w:val="center"/>
        <w:rPr>
          <w:rFonts w:hint="eastAsia" w:eastAsia="方正小标宋简体" w:cs="方正小标宋简体"/>
          <w:b w:val="0"/>
        </w:rPr>
        <w:sectPr>
          <w:footerReference r:id="rId10" w:type="default"/>
          <w:pgSz w:w="11906" w:h="16838"/>
          <w:pgMar w:top="1440" w:right="1800" w:bottom="1440" w:left="1800" w:header="851" w:footer="992" w:gutter="0"/>
          <w:pgNumType w:fmt="decimal" w:start="1"/>
          <w:cols w:space="425" w:num="1"/>
          <w:docGrid w:type="lines" w:linePitch="312" w:charSpace="0"/>
        </w:sectPr>
      </w:pPr>
      <w:bookmarkStart w:id="12" w:name="_Toc15377196"/>
      <w:bookmarkStart w:id="13" w:name="_Toc15396599"/>
    </w:p>
    <w:p w14:paraId="7562A0BA">
      <w:pPr>
        <w:pStyle w:val="3"/>
        <w:jc w:val="center"/>
        <w:rPr>
          <w:rFonts w:eastAsia="黑体"/>
          <w:sz w:val="32"/>
          <w:szCs w:val="32"/>
        </w:rPr>
      </w:pPr>
      <w:r>
        <w:rPr>
          <w:rFonts w:hint="eastAsia" w:eastAsia="方正小标宋简体" w:cs="方正小标宋简体"/>
          <w:b w:val="0"/>
        </w:rPr>
        <w:t xml:space="preserve">第一部分  </w:t>
      </w:r>
      <w:r>
        <w:rPr>
          <w:rStyle w:val="29"/>
          <w:rFonts w:hint="eastAsia" w:eastAsia="方正小标宋简体" w:cs="方正小标宋简体"/>
          <w:b w:val="0"/>
          <w:bCs w:val="0"/>
        </w:rPr>
        <w:t>部门概况</w:t>
      </w:r>
      <w:bookmarkEnd w:id="12"/>
      <w:bookmarkEnd w:id="13"/>
    </w:p>
    <w:p w14:paraId="4B5FBF0A">
      <w:pPr>
        <w:pStyle w:val="4"/>
        <w:numPr>
          <w:ilvl w:val="0"/>
          <w:numId w:val="1"/>
        </w:numPr>
        <w:rPr>
          <w:rFonts w:hint="eastAsia" w:ascii="Times New Roman" w:hAnsi="Times New Roman" w:eastAsia="黑体"/>
          <w:b w:val="0"/>
          <w:color w:val="auto"/>
        </w:rPr>
      </w:pPr>
      <w:r>
        <w:rPr>
          <w:rFonts w:hint="eastAsia" w:ascii="Times New Roman" w:hAnsi="Times New Roman" w:eastAsia="黑体"/>
          <w:b w:val="0"/>
          <w:color w:val="auto"/>
        </w:rPr>
        <w:t>部门职责</w:t>
      </w:r>
      <w:bookmarkStart w:id="67" w:name="_GoBack"/>
      <w:bookmarkEnd w:id="67"/>
    </w:p>
    <w:p w14:paraId="181B476F">
      <w:pPr>
        <w:ind w:firstLine="640" w:firstLineChars="200"/>
        <w:rPr>
          <w:rFonts w:ascii="仿宋_GB2312" w:eastAsia="仿宋_GB2312"/>
          <w:color w:val="auto"/>
          <w:sz w:val="32"/>
          <w:szCs w:val="32"/>
        </w:rPr>
      </w:pPr>
      <w:r>
        <w:rPr>
          <w:rFonts w:ascii="仿宋_GB2312" w:eastAsia="仿宋_GB2312" w:cs="仿宋_GB2312"/>
          <w:color w:val="auto"/>
          <w:sz w:val="32"/>
          <w:szCs w:val="32"/>
        </w:rPr>
        <w:t>1</w:t>
      </w:r>
      <w:r>
        <w:rPr>
          <w:rFonts w:hint="eastAsia" w:ascii="仿宋_GB2312" w:eastAsia="仿宋_GB2312" w:cs="仿宋_GB2312"/>
          <w:color w:val="auto"/>
          <w:sz w:val="32"/>
          <w:szCs w:val="32"/>
        </w:rPr>
        <w:t>、负责拟订综合执法和城市管理的地方性规章草案。组织拟订全区综合执法和城市管理发展规划、实施计划、管理标准等规范性文件，会同相关部门拟订综合执法和城市管理工作目标，并组织实施。</w:t>
      </w:r>
    </w:p>
    <w:p w14:paraId="7489C6FD">
      <w:pPr>
        <w:ind w:firstLine="640" w:firstLineChars="200"/>
        <w:rPr>
          <w:rFonts w:ascii="仿宋_GB2312" w:eastAsia="仿宋_GB2312"/>
          <w:color w:val="auto"/>
          <w:sz w:val="32"/>
          <w:szCs w:val="32"/>
        </w:rPr>
      </w:pPr>
      <w:r>
        <w:rPr>
          <w:rFonts w:ascii="仿宋_GB2312" w:eastAsia="仿宋_GB2312" w:cs="仿宋_GB2312"/>
          <w:color w:val="auto"/>
          <w:sz w:val="32"/>
          <w:szCs w:val="32"/>
        </w:rPr>
        <w:t>2</w:t>
      </w:r>
      <w:r>
        <w:rPr>
          <w:rFonts w:hint="eastAsia" w:ascii="仿宋_GB2312" w:eastAsia="仿宋_GB2312" w:cs="仿宋_GB2312"/>
          <w:color w:val="auto"/>
          <w:sz w:val="32"/>
          <w:szCs w:val="32"/>
        </w:rPr>
        <w:t>、负责城市管理的行政执法工作。贯彻落实市容环境卫生管理、城市绿化管理、市政设施管理、公用事业管理等方面的法律、法规、规章。根据省、市、区部署和要求，推进综合行政执法、城管执法体制改革，改进城市管理工作。</w:t>
      </w:r>
    </w:p>
    <w:p w14:paraId="534D8D33">
      <w:pPr>
        <w:ind w:firstLine="640" w:firstLineChars="200"/>
        <w:rPr>
          <w:rFonts w:ascii="仿宋_GB2312" w:eastAsia="仿宋_GB2312"/>
          <w:color w:val="auto"/>
          <w:sz w:val="32"/>
          <w:szCs w:val="32"/>
        </w:rPr>
      </w:pPr>
      <w:r>
        <w:rPr>
          <w:rFonts w:ascii="仿宋_GB2312" w:eastAsia="仿宋_GB2312" w:cs="仿宋_GB2312"/>
          <w:color w:val="auto"/>
          <w:sz w:val="32"/>
          <w:szCs w:val="32"/>
        </w:rPr>
        <w:t>3</w:t>
      </w:r>
      <w:r>
        <w:rPr>
          <w:rFonts w:hint="eastAsia" w:ascii="仿宋_GB2312" w:eastAsia="仿宋_GB2312" w:cs="仿宋_GB2312"/>
          <w:color w:val="auto"/>
          <w:sz w:val="32"/>
          <w:szCs w:val="32"/>
        </w:rPr>
        <w:t>、负责城市市容环境卫生综合管理工作。依法对城市市容环境卫生实施监督检查和考核，负责环境卫生作业企业的行业管理；负责城市建成区户外广告和招牌的监督管理；负责主城区市容环境卫生监督执法工作，依法纠正和查处违法违章行为；负责辖区乡镇（街道）市容环境卫生工作的业务指导和监督。</w:t>
      </w:r>
    </w:p>
    <w:p w14:paraId="3FC4C864">
      <w:pPr>
        <w:ind w:firstLine="640" w:firstLineChars="200"/>
        <w:rPr>
          <w:rFonts w:ascii="仿宋_GB2312" w:eastAsia="仿宋_GB2312"/>
          <w:color w:val="auto"/>
          <w:sz w:val="32"/>
          <w:szCs w:val="32"/>
        </w:rPr>
      </w:pPr>
      <w:r>
        <w:rPr>
          <w:rFonts w:ascii="仿宋_GB2312" w:eastAsia="仿宋_GB2312" w:cs="仿宋_GB2312"/>
          <w:color w:val="auto"/>
          <w:sz w:val="32"/>
          <w:szCs w:val="32"/>
        </w:rPr>
        <w:t>4</w:t>
      </w:r>
      <w:r>
        <w:rPr>
          <w:rFonts w:hint="eastAsia" w:ascii="仿宋_GB2312" w:eastAsia="仿宋_GB2312" w:cs="仿宋_GB2312"/>
          <w:color w:val="auto"/>
          <w:sz w:val="32"/>
          <w:szCs w:val="32"/>
        </w:rPr>
        <w:t>、负责全区市政公用设施综合管理工作。拟订市政公用设施发展计划并组织实施。负责对全区城市道路、城市照明及其附属设施等市政基础设施行业指导及监督管理工作；参与临时占用城市道路的机动车、非机动车停车场（点）的规划定点工作，负责公共停车场的监督管理；负责事权内建成区城市雕塑的维护和管理工作。</w:t>
      </w:r>
    </w:p>
    <w:p w14:paraId="73D8D918">
      <w:pPr>
        <w:ind w:firstLine="640" w:firstLineChars="200"/>
        <w:rPr>
          <w:rFonts w:ascii="仿宋_GB2312" w:eastAsia="仿宋_GB2312"/>
          <w:color w:val="auto"/>
          <w:sz w:val="32"/>
          <w:szCs w:val="32"/>
        </w:rPr>
      </w:pPr>
      <w:r>
        <w:rPr>
          <w:rFonts w:ascii="仿宋_GB2312" w:eastAsia="仿宋_GB2312" w:cs="仿宋_GB2312"/>
          <w:color w:val="auto"/>
          <w:sz w:val="32"/>
          <w:szCs w:val="32"/>
        </w:rPr>
        <w:t>5</w:t>
      </w:r>
      <w:r>
        <w:rPr>
          <w:rFonts w:hint="eastAsia" w:ascii="仿宋_GB2312" w:eastAsia="仿宋_GB2312" w:cs="仿宋_GB2312"/>
          <w:color w:val="auto"/>
          <w:sz w:val="32"/>
          <w:szCs w:val="32"/>
        </w:rPr>
        <w:t>、负责全区城市绿化监督管理工作。负责城市建成区公共绿地的管理。负责城市规划区古树名木的保护管理工作。负责对权限内园林绿化企业的监督管理工作。</w:t>
      </w:r>
    </w:p>
    <w:p w14:paraId="57FB52BC">
      <w:pPr>
        <w:ind w:firstLine="640" w:firstLineChars="200"/>
        <w:rPr>
          <w:rFonts w:ascii="仿宋_GB2312" w:eastAsia="仿宋_GB2312"/>
          <w:color w:val="auto"/>
          <w:sz w:val="32"/>
          <w:szCs w:val="32"/>
        </w:rPr>
      </w:pPr>
      <w:r>
        <w:rPr>
          <w:rFonts w:ascii="仿宋_GB2312" w:eastAsia="仿宋_GB2312" w:cs="仿宋_GB2312"/>
          <w:color w:val="auto"/>
          <w:sz w:val="32"/>
          <w:szCs w:val="32"/>
        </w:rPr>
        <w:t>6</w:t>
      </w:r>
      <w:r>
        <w:rPr>
          <w:rFonts w:hint="eastAsia" w:ascii="仿宋_GB2312" w:eastAsia="仿宋_GB2312" w:cs="仿宋_GB2312"/>
          <w:color w:val="auto"/>
          <w:sz w:val="32"/>
          <w:szCs w:val="32"/>
        </w:rPr>
        <w:t>、负责燃气行业综合管理工作。</w:t>
      </w:r>
    </w:p>
    <w:p w14:paraId="181641F3">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7</w:t>
      </w:r>
      <w:r>
        <w:rPr>
          <w:rFonts w:hint="eastAsia" w:ascii="仿宋_GB2312" w:eastAsia="仿宋_GB2312" w:cs="仿宋_GB2312"/>
          <w:color w:val="auto"/>
          <w:sz w:val="32"/>
          <w:szCs w:val="32"/>
        </w:rPr>
        <w:t>、负责推进数字化城市管理和信息化建设，负责城市管理服务热线</w:t>
      </w:r>
      <w:r>
        <w:rPr>
          <w:rFonts w:ascii="仿宋_GB2312" w:eastAsia="仿宋_GB2312" w:cs="仿宋_GB2312"/>
          <w:color w:val="auto"/>
          <w:sz w:val="32"/>
          <w:szCs w:val="32"/>
        </w:rPr>
        <w:t>12319</w:t>
      </w:r>
      <w:r>
        <w:rPr>
          <w:rFonts w:hint="eastAsia" w:ascii="仿宋_GB2312" w:eastAsia="仿宋_GB2312" w:cs="仿宋_GB2312"/>
          <w:color w:val="auto"/>
          <w:sz w:val="32"/>
          <w:szCs w:val="32"/>
        </w:rPr>
        <w:t>的管理工作，受理和查处事权范围内城市管理的投诉、举报和来信来访。</w:t>
      </w:r>
    </w:p>
    <w:p w14:paraId="29B9E447">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8</w:t>
      </w:r>
      <w:r>
        <w:rPr>
          <w:rFonts w:hint="eastAsia" w:ascii="仿宋_GB2312" w:eastAsia="仿宋_GB2312" w:cs="仿宋_GB2312"/>
          <w:color w:val="auto"/>
          <w:sz w:val="32"/>
          <w:szCs w:val="32"/>
        </w:rPr>
        <w:t>、拟订城市管理工作经费的中长期计划和年度计划，会同有关部门对使用情况实施监督管理。</w:t>
      </w:r>
    </w:p>
    <w:p w14:paraId="6D1FFA87">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9</w:t>
      </w:r>
      <w:r>
        <w:rPr>
          <w:rFonts w:hint="eastAsia" w:ascii="仿宋_GB2312" w:eastAsia="仿宋_GB2312" w:cs="仿宋_GB2312"/>
          <w:color w:val="auto"/>
          <w:sz w:val="32"/>
          <w:szCs w:val="32"/>
        </w:rPr>
        <w:t>、参与城市新建、改扩建项目中涉及市容环境卫生、园林绿化、市政公用设施建设项目的规划、方案审查、综合验收等工作。</w:t>
      </w:r>
    </w:p>
    <w:p w14:paraId="5EDC9DC4">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10</w:t>
      </w:r>
      <w:r>
        <w:rPr>
          <w:rFonts w:hint="eastAsia" w:ascii="仿宋_GB2312" w:eastAsia="仿宋_GB2312" w:cs="仿宋_GB2312"/>
          <w:color w:val="auto"/>
          <w:sz w:val="32"/>
          <w:szCs w:val="32"/>
        </w:rPr>
        <w:t>、负责城区城市管理工作，指导乡镇（街道）的城市管理工作。</w:t>
      </w:r>
    </w:p>
    <w:p w14:paraId="74D3DEE4">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11</w:t>
      </w:r>
      <w:r>
        <w:rPr>
          <w:rFonts w:hint="eastAsia" w:ascii="仿宋_GB2312" w:eastAsia="仿宋_GB2312" w:cs="仿宋_GB2312"/>
          <w:color w:val="auto"/>
          <w:sz w:val="32"/>
          <w:szCs w:val="32"/>
        </w:rPr>
        <w:t>、依法依规履行职责范围内的职业健康、安全生产监管、生态环境保护、审批服务便民化等工作。按省市要求，指导推进综合行政执法工作和相对集中行政许可权改革。</w:t>
      </w:r>
    </w:p>
    <w:p w14:paraId="6F42B432">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12</w:t>
      </w:r>
      <w:r>
        <w:rPr>
          <w:rFonts w:hint="eastAsia" w:ascii="仿宋_GB2312" w:eastAsia="仿宋_GB2312" w:cs="仿宋_GB2312"/>
          <w:color w:val="auto"/>
          <w:sz w:val="32"/>
          <w:szCs w:val="32"/>
        </w:rPr>
        <w:t>、负责城区内非机动车的规范管理。</w:t>
      </w:r>
    </w:p>
    <w:p w14:paraId="063DA247">
      <w:pPr>
        <w:ind w:firstLine="640" w:firstLineChars="200"/>
        <w:jc w:val="left"/>
        <w:rPr>
          <w:rFonts w:ascii="仿宋_GB2312" w:eastAsia="仿宋_GB2312"/>
          <w:color w:val="auto"/>
          <w:sz w:val="32"/>
          <w:szCs w:val="32"/>
        </w:rPr>
      </w:pPr>
      <w:r>
        <w:rPr>
          <w:rFonts w:ascii="仿宋_GB2312" w:eastAsia="仿宋_GB2312" w:cs="仿宋_GB2312"/>
          <w:color w:val="auto"/>
          <w:sz w:val="32"/>
          <w:szCs w:val="32"/>
        </w:rPr>
        <w:t>13</w:t>
      </w:r>
      <w:r>
        <w:rPr>
          <w:rFonts w:hint="eastAsia" w:ascii="仿宋_GB2312" w:eastAsia="仿宋_GB2312" w:cs="仿宋_GB2312"/>
          <w:color w:val="auto"/>
          <w:sz w:val="32"/>
          <w:szCs w:val="32"/>
        </w:rPr>
        <w:t>、负责食品摊贩等监管执法工作。</w:t>
      </w:r>
    </w:p>
    <w:p w14:paraId="6F26F375">
      <w:pPr>
        <w:ind w:firstLine="640" w:firstLineChars="200"/>
        <w:rPr>
          <w:color w:val="auto"/>
        </w:rPr>
      </w:pPr>
      <w:r>
        <w:rPr>
          <w:rFonts w:ascii="仿宋_GB2312" w:eastAsia="仿宋_GB2312" w:cs="仿宋_GB2312"/>
          <w:color w:val="auto"/>
          <w:sz w:val="32"/>
          <w:szCs w:val="32"/>
        </w:rPr>
        <w:t>14</w:t>
      </w:r>
      <w:r>
        <w:rPr>
          <w:rFonts w:hint="eastAsia" w:ascii="仿宋_GB2312" w:eastAsia="仿宋_GB2312" w:cs="仿宋_GB2312"/>
          <w:color w:val="auto"/>
          <w:sz w:val="32"/>
          <w:szCs w:val="32"/>
        </w:rPr>
        <w:t>、完成区委、区政府交办的其他任务。</w:t>
      </w:r>
    </w:p>
    <w:p w14:paraId="38969735">
      <w:pPr>
        <w:pStyle w:val="4"/>
        <w:rPr>
          <w:rStyle w:val="30"/>
          <w:rFonts w:ascii="Times New Roman" w:hAnsi="Times New Roman"/>
          <w:b w:val="0"/>
          <w:bCs w:val="0"/>
          <w:color w:val="auto"/>
        </w:rPr>
      </w:pPr>
      <w:bookmarkStart w:id="14" w:name="_Toc15377200"/>
      <w:bookmarkStart w:id="15" w:name="_Toc15396601"/>
      <w:r>
        <w:rPr>
          <w:rFonts w:hint="eastAsia" w:ascii="Times New Roman" w:hAnsi="Times New Roman" w:eastAsia="黑体"/>
          <w:b w:val="0"/>
          <w:color w:val="auto"/>
        </w:rPr>
        <w:t>二、机</w:t>
      </w:r>
      <w:r>
        <w:rPr>
          <w:rStyle w:val="30"/>
          <w:rFonts w:hint="eastAsia" w:ascii="Times New Roman" w:hAnsi="Times New Roman" w:eastAsia="黑体"/>
          <w:b w:val="0"/>
          <w:bCs w:val="0"/>
          <w:color w:val="auto"/>
        </w:rPr>
        <w:t>构设置</w:t>
      </w:r>
      <w:bookmarkEnd w:id="14"/>
      <w:bookmarkEnd w:id="15"/>
    </w:p>
    <w:p w14:paraId="3A4FE142">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攀枝花市仁和区综合行政执法局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334A9BD4">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color w:val="auto"/>
          <w:sz w:val="32"/>
          <w:szCs w:val="32"/>
        </w:rPr>
        <w:t>攀枝花市仁和区综合行政执法局</w:t>
      </w:r>
      <w:r>
        <w:rPr>
          <w:rFonts w:hint="eastAsia" w:ascii="Times New Roman" w:hAnsi="Times New Roman" w:eastAsia="仿宋_GB2312" w:cs="仿宋_GB2312"/>
          <w:color w:val="auto"/>
          <w:sz w:val="32"/>
          <w:szCs w:val="32"/>
          <w:highlight w:val="none"/>
          <w:lang w:eastAsia="zh-CN"/>
        </w:rPr>
        <w:t>202</w:t>
      </w:r>
      <w:r>
        <w:rPr>
          <w:rFonts w:hint="eastAsia" w:ascii="Times New Roman" w:hAns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1195D9E1">
      <w:pPr>
        <w:ind w:firstLine="640" w:firstLineChars="200"/>
        <w:jc w:val="left"/>
        <w:rPr>
          <w:rFonts w:ascii="仿宋_GB2312" w:eastAsia="仿宋_GB2312"/>
          <w:color w:val="auto"/>
          <w:sz w:val="32"/>
          <w:szCs w:val="32"/>
        </w:rPr>
      </w:pPr>
      <w:r>
        <w:rPr>
          <w:rFonts w:hint="eastAsia" w:ascii="仿宋_GB2312" w:eastAsia="仿宋_GB2312" w:cs="仿宋_GB2312"/>
          <w:color w:val="auto"/>
          <w:sz w:val="32"/>
          <w:szCs w:val="32"/>
          <w:lang w:val="en-US" w:eastAsia="zh-CN"/>
        </w:rPr>
        <w:t>1、</w:t>
      </w:r>
      <w:r>
        <w:rPr>
          <w:rFonts w:hint="eastAsia" w:ascii="仿宋_GB2312" w:eastAsia="仿宋_GB2312" w:cs="仿宋_GB2312"/>
          <w:color w:val="auto"/>
          <w:sz w:val="32"/>
          <w:szCs w:val="32"/>
        </w:rPr>
        <w:t>攀枝花市仁和区城市管理综合服务中心</w:t>
      </w:r>
    </w:p>
    <w:p w14:paraId="4A08C1DA">
      <w:pPr>
        <w:ind w:firstLine="640" w:firstLineChars="200"/>
        <w:jc w:val="left"/>
        <w:rPr>
          <w:rFonts w:hint="eastAsia" w:ascii="仿宋_GB2312" w:eastAsia="仿宋_GB2312" w:cs="仿宋_GB2312"/>
          <w:color w:val="auto"/>
          <w:sz w:val="32"/>
          <w:szCs w:val="32"/>
          <w:lang w:val="en-US" w:eastAsia="zh-CN"/>
        </w:rPr>
      </w:pPr>
      <w:r>
        <w:rPr>
          <w:rFonts w:hint="eastAsia" w:ascii="仿宋_GB2312" w:eastAsia="仿宋_GB2312" w:cs="仿宋_GB2312"/>
          <w:color w:val="auto"/>
          <w:sz w:val="32"/>
          <w:szCs w:val="32"/>
          <w:lang w:val="en-US" w:eastAsia="zh-CN"/>
        </w:rPr>
        <w:t>2、</w:t>
      </w:r>
      <w:r>
        <w:rPr>
          <w:rFonts w:hint="eastAsia" w:ascii="仿宋_GB2312" w:eastAsia="仿宋_GB2312" w:cs="仿宋_GB2312"/>
          <w:color w:val="auto"/>
          <w:sz w:val="32"/>
          <w:szCs w:val="32"/>
        </w:rPr>
        <w:t>攀枝花市仁和区</w:t>
      </w:r>
      <w:r>
        <w:rPr>
          <w:rFonts w:hint="eastAsia" w:ascii="仿宋_GB2312" w:eastAsia="仿宋_GB2312" w:cs="仿宋_GB2312"/>
          <w:color w:val="auto"/>
          <w:sz w:val="32"/>
          <w:szCs w:val="32"/>
          <w:lang w:val="en-US" w:eastAsia="zh-CN"/>
        </w:rPr>
        <w:t>城市管理</w:t>
      </w:r>
      <w:r>
        <w:rPr>
          <w:rFonts w:hint="eastAsia" w:ascii="仿宋_GB2312" w:eastAsia="仿宋_GB2312" w:cs="仿宋_GB2312"/>
          <w:color w:val="auto"/>
          <w:sz w:val="32"/>
          <w:szCs w:val="32"/>
        </w:rPr>
        <w:t>综合</w:t>
      </w:r>
      <w:r>
        <w:rPr>
          <w:rFonts w:hint="eastAsia" w:ascii="仿宋_GB2312" w:eastAsia="仿宋_GB2312" w:cs="仿宋_GB2312"/>
          <w:color w:val="auto"/>
          <w:sz w:val="32"/>
          <w:szCs w:val="32"/>
          <w:lang w:val="en-US" w:eastAsia="zh-CN"/>
        </w:rPr>
        <w:t>行政</w:t>
      </w:r>
      <w:r>
        <w:rPr>
          <w:rFonts w:hint="eastAsia" w:ascii="仿宋_GB2312" w:eastAsia="仿宋_GB2312" w:cs="仿宋_GB2312"/>
          <w:color w:val="auto"/>
          <w:sz w:val="32"/>
          <w:szCs w:val="32"/>
        </w:rPr>
        <w:t>执法</w:t>
      </w:r>
      <w:r>
        <w:rPr>
          <w:rFonts w:hint="eastAsia" w:ascii="仿宋_GB2312" w:eastAsia="仿宋_GB2312" w:cs="仿宋_GB2312"/>
          <w:color w:val="auto"/>
          <w:sz w:val="32"/>
          <w:szCs w:val="32"/>
          <w:lang w:val="en-US" w:eastAsia="zh-CN"/>
        </w:rPr>
        <w:t>大队</w:t>
      </w:r>
    </w:p>
    <w:p w14:paraId="401E6EE0">
      <w:pPr>
        <w:ind w:firstLine="640" w:firstLineChars="200"/>
        <w:jc w:val="left"/>
        <w:rPr>
          <w:rFonts w:ascii="仿宋_GB2312" w:eastAsia="仿宋_GB2312"/>
          <w:color w:val="auto"/>
          <w:sz w:val="32"/>
          <w:szCs w:val="32"/>
        </w:rPr>
      </w:pPr>
      <w:r>
        <w:rPr>
          <w:rFonts w:hint="eastAsia" w:ascii="仿宋_GB2312" w:eastAsia="仿宋_GB2312" w:cs="仿宋_GB2312"/>
          <w:color w:val="auto"/>
          <w:sz w:val="32"/>
          <w:szCs w:val="32"/>
          <w:lang w:val="en-US" w:eastAsia="zh-CN"/>
        </w:rPr>
        <w:t>3、</w:t>
      </w:r>
      <w:r>
        <w:rPr>
          <w:rFonts w:hint="eastAsia" w:ascii="仿宋_GB2312" w:eastAsia="仿宋_GB2312" w:cs="仿宋_GB2312"/>
          <w:color w:val="auto"/>
          <w:sz w:val="32"/>
          <w:szCs w:val="32"/>
        </w:rPr>
        <w:t>攀枝花市仁和区综合执法服务中心</w:t>
      </w:r>
    </w:p>
    <w:p w14:paraId="751E0FB8">
      <w:pPr>
        <w:widowControl/>
        <w:jc w:val="left"/>
        <w:rPr>
          <w:rFonts w:eastAsia="仿宋"/>
          <w:color w:val="auto"/>
          <w:kern w:val="0"/>
          <w:sz w:val="32"/>
          <w:szCs w:val="32"/>
        </w:rPr>
      </w:pPr>
      <w:r>
        <w:rPr>
          <w:rFonts w:eastAsia="仿宋"/>
          <w:color w:val="auto"/>
          <w:sz w:val="32"/>
          <w:szCs w:val="32"/>
        </w:rPr>
        <w:br w:type="page"/>
      </w:r>
    </w:p>
    <w:p w14:paraId="4903142D">
      <w:pPr>
        <w:pStyle w:val="3"/>
        <w:jc w:val="center"/>
        <w:rPr>
          <w:rFonts w:eastAsia="方正小标宋简体" w:cs="方正小标宋简体"/>
          <w:b w:val="0"/>
        </w:rPr>
      </w:pPr>
      <w:bookmarkStart w:id="16" w:name="_Toc15396602"/>
      <w:bookmarkStart w:id="17" w:name="_Toc15377204"/>
      <w:r>
        <w:rPr>
          <w:rFonts w:hint="eastAsia" w:eastAsia="方正小标宋简体" w:cs="方正小标宋简体"/>
          <w:b w:val="0"/>
        </w:rPr>
        <w:t>第二部分  2025年度部门决算情况说明</w:t>
      </w:r>
      <w:bookmarkEnd w:id="16"/>
      <w:bookmarkEnd w:id="17"/>
    </w:p>
    <w:p w14:paraId="73571BA1"/>
    <w:p w14:paraId="430CA831">
      <w:pPr>
        <w:pStyle w:val="28"/>
        <w:spacing w:line="600" w:lineRule="exact"/>
        <w:ind w:firstLine="640"/>
        <w:outlineLvl w:val="1"/>
        <w:rPr>
          <w:rStyle w:val="30"/>
          <w:rFonts w:ascii="Times New Roman" w:hAnsi="Times New Roman" w:eastAsia="黑体"/>
          <w:b w:val="0"/>
          <w:color w:val="auto"/>
        </w:rPr>
      </w:pPr>
      <w:bookmarkStart w:id="18" w:name="_Toc15377205"/>
      <w:bookmarkStart w:id="19" w:name="_Toc15396603"/>
      <w:r>
        <w:rPr>
          <w:rFonts w:hint="eastAsia" w:eastAsia="黑体"/>
          <w:color w:val="auto"/>
          <w:sz w:val="32"/>
          <w:szCs w:val="32"/>
        </w:rPr>
        <w:t>一、收</w:t>
      </w:r>
      <w:r>
        <w:rPr>
          <w:rStyle w:val="30"/>
          <w:rFonts w:hint="eastAsia" w:ascii="Times New Roman" w:hAnsi="Times New Roman" w:eastAsia="黑体"/>
          <w:b w:val="0"/>
          <w:color w:val="auto"/>
        </w:rPr>
        <w:t>入支出决算总体情况说明</w:t>
      </w:r>
      <w:bookmarkEnd w:id="18"/>
      <w:bookmarkEnd w:id="19"/>
    </w:p>
    <w:p w14:paraId="1F1F8D1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lang w:eastAsia="zh-CN"/>
        </w:rPr>
      </w:pPr>
      <w:r>
        <w:rPr>
          <w:rFonts w:hint="eastAsia" w:eastAsia="仿宋_GB2312" w:cs="仿宋_GB2312"/>
          <w:color w:val="auto"/>
          <w:sz w:val="32"/>
          <w:szCs w:val="32"/>
        </w:rPr>
        <w:t>2025年度收入</w:t>
      </w:r>
      <w:r>
        <w:rPr>
          <w:rFonts w:hint="eastAsia" w:eastAsia="仿宋_GB2312" w:cs="仿宋_GB2312"/>
          <w:color w:val="auto"/>
          <w:sz w:val="32"/>
          <w:szCs w:val="32"/>
          <w:lang w:val="en-US" w:eastAsia="zh-CN"/>
        </w:rPr>
        <w:t>总计为11794.38万元</w:t>
      </w:r>
      <w:r>
        <w:rPr>
          <w:rFonts w:hint="eastAsia" w:eastAsia="仿宋_GB2312" w:cs="仿宋_GB2312"/>
          <w:color w:val="auto"/>
          <w:sz w:val="32"/>
          <w:szCs w:val="32"/>
        </w:rPr>
        <w:t>、支出总计为</w:t>
      </w:r>
      <w:r>
        <w:rPr>
          <w:rFonts w:hint="eastAsia" w:eastAsia="仿宋_GB2312" w:cs="仿宋_GB2312"/>
          <w:color w:val="auto"/>
          <w:sz w:val="32"/>
          <w:szCs w:val="32"/>
          <w:lang w:val="en-US" w:eastAsia="zh-CN"/>
        </w:rPr>
        <w:t>11827.32</w:t>
      </w:r>
      <w:r>
        <w:rPr>
          <w:rFonts w:hint="eastAsia" w:eastAsia="仿宋_GB2312" w:cs="仿宋_GB2312"/>
          <w:color w:val="auto"/>
          <w:sz w:val="32"/>
          <w:szCs w:val="32"/>
        </w:rPr>
        <w:t>万元。与上年度相比，收入</w:t>
      </w:r>
      <w:r>
        <w:rPr>
          <w:rFonts w:hint="eastAsia" w:eastAsia="仿宋_GB2312" w:cs="仿宋_GB2312"/>
          <w:color w:val="auto"/>
          <w:sz w:val="32"/>
          <w:szCs w:val="32"/>
          <w:lang w:val="en-US" w:eastAsia="zh-CN"/>
        </w:rPr>
        <w:t>总计增加6614.35万元，增长128%</w:t>
      </w:r>
      <w:r>
        <w:rPr>
          <w:rFonts w:hint="eastAsia" w:eastAsia="仿宋_GB2312" w:cs="仿宋_GB2312"/>
          <w:color w:val="auto"/>
          <w:sz w:val="32"/>
          <w:szCs w:val="32"/>
        </w:rPr>
        <w:t>、支出总计增加</w:t>
      </w:r>
      <w:r>
        <w:rPr>
          <w:rFonts w:hint="eastAsia" w:eastAsia="仿宋_GB2312" w:cs="仿宋_GB2312"/>
          <w:color w:val="auto"/>
          <w:sz w:val="32"/>
          <w:szCs w:val="32"/>
          <w:lang w:val="en-US" w:eastAsia="zh-CN"/>
        </w:rPr>
        <w:t>5721.32</w:t>
      </w:r>
      <w:r>
        <w:rPr>
          <w:rFonts w:hint="eastAsia" w:eastAsia="仿宋_GB2312" w:cs="仿宋_GB2312"/>
          <w:color w:val="auto"/>
          <w:sz w:val="32"/>
          <w:szCs w:val="32"/>
        </w:rPr>
        <w:t>万元，增长</w:t>
      </w:r>
      <w:r>
        <w:rPr>
          <w:rFonts w:hint="eastAsia" w:eastAsia="仿宋_GB2312" w:cs="仿宋_GB2312"/>
          <w:color w:val="auto"/>
          <w:sz w:val="32"/>
          <w:szCs w:val="32"/>
          <w:lang w:val="en-US" w:eastAsia="zh-CN"/>
        </w:rPr>
        <w:t>94</w:t>
      </w:r>
      <w:r>
        <w:rPr>
          <w:rFonts w:hint="eastAsia" w:eastAsia="仿宋_GB2312" w:cs="仿宋_GB2312"/>
          <w:color w:val="auto"/>
          <w:sz w:val="32"/>
          <w:szCs w:val="32"/>
        </w:rPr>
        <w:t>%。主要变动原因是</w:t>
      </w:r>
      <w:r>
        <w:rPr>
          <w:rFonts w:hint="eastAsia" w:eastAsia="仿宋_GB2312" w:cs="仿宋_GB2312"/>
          <w:color w:val="auto"/>
          <w:sz w:val="32"/>
          <w:szCs w:val="32"/>
          <w:highlight w:val="none"/>
          <w:lang w:val="en-US" w:eastAsia="zh-CN"/>
        </w:rPr>
        <w:t>财政加大项目资金的投入。</w:t>
      </w:r>
    </w:p>
    <w:p w14:paraId="507214BC">
      <w:pPr>
        <w:pStyle w:val="28"/>
        <w:spacing w:line="600" w:lineRule="exact"/>
        <w:ind w:firstLine="640"/>
        <w:outlineLvl w:val="1"/>
        <w:rPr>
          <w:rFonts w:eastAsia="黑体"/>
          <w:color w:val="auto"/>
          <w:sz w:val="32"/>
          <w:szCs w:val="32"/>
        </w:rPr>
      </w:pPr>
      <w:r>
        <w:rPr>
          <w:rFonts w:hint="eastAsia" w:eastAsia="仿宋_GB2312" w:cs="仿宋_GB2312"/>
          <w:color w:val="auto"/>
          <w:sz w:val="32"/>
          <w:szCs w:val="32"/>
          <w:lang w:eastAsia="zh-CN"/>
        </w:rPr>
        <w:drawing>
          <wp:anchor distT="0" distB="0" distL="114300" distR="114300" simplePos="0" relativeHeight="251659264" behindDoc="0" locked="0" layoutInCell="1" allowOverlap="1">
            <wp:simplePos x="0" y="0"/>
            <wp:positionH relativeFrom="column">
              <wp:posOffset>40005</wp:posOffset>
            </wp:positionH>
            <wp:positionV relativeFrom="paragraph">
              <wp:posOffset>248285</wp:posOffset>
            </wp:positionV>
            <wp:extent cx="5256530" cy="2988310"/>
            <wp:effectExtent l="5080" t="4445" r="1524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bookmarkStart w:id="20" w:name="_Toc15396604"/>
      <w:bookmarkStart w:id="21" w:name="_Toc15377206"/>
      <w:r>
        <w:rPr>
          <w:rFonts w:hint="eastAsia" w:eastAsia="黑体"/>
          <w:color w:val="auto"/>
          <w:sz w:val="32"/>
          <w:szCs w:val="32"/>
        </w:rPr>
        <w:t>二、收入决算情况说明</w:t>
      </w:r>
      <w:bookmarkEnd w:id="20"/>
      <w:bookmarkEnd w:id="21"/>
    </w:p>
    <w:p w14:paraId="0C3F1CDE">
      <w:pPr>
        <w:pStyle w:val="28"/>
        <w:spacing w:line="600" w:lineRule="exact"/>
        <w:ind w:firstLine="640"/>
        <w:outlineLvl w:val="1"/>
        <w:rPr>
          <w:rFonts w:hint="eastAsia" w:eastAsia="仿宋_GB2312" w:cs="仿宋_GB2312"/>
          <w:color w:val="auto"/>
          <w:sz w:val="32"/>
          <w:szCs w:val="32"/>
        </w:rPr>
      </w:pPr>
      <w:r>
        <w:rPr>
          <w:rFonts w:hint="eastAsia" w:eastAsia="仿宋_GB2312" w:cs="仿宋_GB2312"/>
          <w:color w:val="auto"/>
          <w:sz w:val="32"/>
          <w:szCs w:val="32"/>
        </w:rPr>
        <w:t>2025年度本年收入合计</w:t>
      </w:r>
      <w:r>
        <w:rPr>
          <w:rFonts w:hint="eastAsia" w:eastAsia="仿宋_GB2312" w:cs="仿宋_GB2312"/>
          <w:color w:val="auto"/>
          <w:sz w:val="32"/>
          <w:szCs w:val="32"/>
          <w:lang w:val="en-US" w:eastAsia="zh-CN"/>
        </w:rPr>
        <w:t>11794.38</w:t>
      </w:r>
      <w:r>
        <w:rPr>
          <w:rFonts w:hint="eastAsia" w:eastAsia="仿宋_GB2312" w:cs="仿宋_GB2312"/>
          <w:color w:val="auto"/>
          <w:sz w:val="32"/>
          <w:szCs w:val="32"/>
        </w:rPr>
        <w:t>万元，其中：一般公共预算财政拨款收入</w:t>
      </w:r>
      <w:r>
        <w:rPr>
          <w:rFonts w:hint="eastAsia" w:eastAsia="仿宋_GB2312" w:cs="仿宋_GB2312"/>
          <w:color w:val="auto"/>
          <w:sz w:val="32"/>
          <w:szCs w:val="32"/>
          <w:lang w:val="en-US" w:eastAsia="zh-CN"/>
        </w:rPr>
        <w:t>4239.95</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36</w:t>
      </w:r>
      <w:r>
        <w:rPr>
          <w:rFonts w:hint="eastAsia" w:eastAsia="仿宋_GB2312" w:cs="仿宋_GB2312"/>
          <w:color w:val="auto"/>
          <w:sz w:val="32"/>
          <w:szCs w:val="32"/>
        </w:rPr>
        <w:t>%；政府性基金预算财政拨款收入</w:t>
      </w:r>
      <w:r>
        <w:rPr>
          <w:rFonts w:hint="eastAsia" w:eastAsia="仿宋_GB2312" w:cs="仿宋_GB2312"/>
          <w:color w:val="auto"/>
          <w:sz w:val="32"/>
          <w:szCs w:val="32"/>
          <w:lang w:val="en-US" w:eastAsia="zh-CN"/>
        </w:rPr>
        <w:t>7554.43</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64</w:t>
      </w:r>
      <w:r>
        <w:rPr>
          <w:rFonts w:hint="eastAsia" w:eastAsia="仿宋_GB2312" w:cs="仿宋_GB2312"/>
          <w:color w:val="auto"/>
          <w:sz w:val="32"/>
          <w:szCs w:val="32"/>
        </w:rPr>
        <w:t>%。</w:t>
      </w:r>
    </w:p>
    <w:p w14:paraId="774ADE7A">
      <w:pPr>
        <w:pStyle w:val="28"/>
        <w:spacing w:line="600" w:lineRule="exact"/>
        <w:ind w:left="0" w:leftChars="0" w:firstLine="0" w:firstLineChars="0"/>
        <w:outlineLvl w:val="1"/>
        <w:rPr>
          <w:rStyle w:val="30"/>
          <w:rFonts w:ascii="Times New Roman" w:hAnsi="Times New Roman" w:eastAsia="黑体"/>
          <w:b w:val="0"/>
          <w:color w:val="auto"/>
        </w:rPr>
      </w:pPr>
      <w:r>
        <w:rPr>
          <w:rFonts w:hint="eastAsia" w:eastAsia="仿宋_GB2312" w:cs="仿宋_GB2312"/>
          <w:color w:val="FF0000"/>
          <w:sz w:val="32"/>
          <w:szCs w:val="32"/>
          <w:lang w:eastAsia="zh-CN"/>
        </w:rPr>
        <w:drawing>
          <wp:anchor distT="0" distB="0" distL="114300" distR="114300" simplePos="0" relativeHeight="251660288" behindDoc="0" locked="0" layoutInCell="1" allowOverlap="1">
            <wp:simplePos x="0" y="0"/>
            <wp:positionH relativeFrom="column">
              <wp:posOffset>-17145</wp:posOffset>
            </wp:positionH>
            <wp:positionV relativeFrom="paragraph">
              <wp:posOffset>318770</wp:posOffset>
            </wp:positionV>
            <wp:extent cx="5256530" cy="2988310"/>
            <wp:effectExtent l="5080" t="4445" r="15240" b="17145"/>
            <wp:wrapTopAndBottom/>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bookmarkStart w:id="22" w:name="_Toc15396605"/>
      <w:bookmarkStart w:id="23" w:name="_Toc15377207"/>
      <w:r>
        <w:rPr>
          <w:rFonts w:hint="eastAsia" w:eastAsia="仿宋_GB2312" w:cs="仿宋_GB2312"/>
          <w:color w:val="FF0000"/>
          <w:sz w:val="32"/>
          <w:szCs w:val="32"/>
          <w:lang w:val="en-US" w:eastAsia="zh-CN"/>
        </w:rPr>
        <w:t xml:space="preserve">  </w:t>
      </w:r>
      <w:r>
        <w:rPr>
          <w:rFonts w:hint="eastAsia" w:eastAsia="仿宋_GB2312" w:cs="仿宋_GB2312"/>
          <w:color w:val="auto"/>
          <w:sz w:val="32"/>
          <w:szCs w:val="32"/>
          <w:lang w:val="en-US" w:eastAsia="zh-CN"/>
        </w:rPr>
        <w:t xml:space="preserve">  </w:t>
      </w:r>
      <w:r>
        <w:rPr>
          <w:rFonts w:hint="eastAsia" w:eastAsia="黑体"/>
          <w:color w:val="auto"/>
          <w:sz w:val="32"/>
          <w:szCs w:val="32"/>
        </w:rPr>
        <w:t>三、支</w:t>
      </w:r>
      <w:r>
        <w:rPr>
          <w:rStyle w:val="30"/>
          <w:rFonts w:hint="eastAsia" w:ascii="Times New Roman" w:hAnsi="Times New Roman" w:eastAsia="黑体"/>
          <w:b w:val="0"/>
          <w:color w:val="auto"/>
        </w:rPr>
        <w:t>出决算情况说明</w:t>
      </w:r>
      <w:bookmarkEnd w:id="22"/>
      <w:bookmarkEnd w:id="23"/>
    </w:p>
    <w:p w14:paraId="75D00828">
      <w:pPr>
        <w:pStyle w:val="28"/>
        <w:spacing w:line="600" w:lineRule="exact"/>
        <w:ind w:firstLine="640"/>
        <w:outlineLvl w:val="1"/>
        <w:rPr>
          <w:rFonts w:hint="eastAsia" w:eastAsia="仿宋_GB2312" w:cs="仿宋_GB2312"/>
          <w:color w:val="auto"/>
          <w:sz w:val="32"/>
          <w:szCs w:val="32"/>
          <w:lang w:eastAsia="zh-CN"/>
        </w:rPr>
      </w:pPr>
      <w:r>
        <w:rPr>
          <w:rFonts w:hint="eastAsia" w:eastAsia="仿宋_GB2312" w:cs="仿宋_GB2312"/>
          <w:color w:val="auto"/>
          <w:sz w:val="32"/>
          <w:szCs w:val="32"/>
        </w:rPr>
        <w:t>2025年度本年支出合计</w:t>
      </w:r>
      <w:r>
        <w:rPr>
          <w:rFonts w:hint="eastAsia" w:eastAsia="仿宋_GB2312" w:cs="仿宋_GB2312"/>
          <w:color w:val="auto"/>
          <w:sz w:val="32"/>
          <w:szCs w:val="32"/>
          <w:lang w:val="en-US" w:eastAsia="zh-CN"/>
        </w:rPr>
        <w:t>11827.32</w:t>
      </w:r>
      <w:r>
        <w:rPr>
          <w:rFonts w:hint="eastAsia" w:eastAsia="仿宋_GB2312" w:cs="仿宋_GB2312"/>
          <w:color w:val="auto"/>
          <w:sz w:val="32"/>
          <w:szCs w:val="32"/>
        </w:rPr>
        <w:t>万元，其中：基本支出</w:t>
      </w:r>
      <w:r>
        <w:rPr>
          <w:rFonts w:hint="eastAsia" w:eastAsia="仿宋_GB2312" w:cs="仿宋_GB2312"/>
          <w:color w:val="auto"/>
          <w:sz w:val="32"/>
          <w:szCs w:val="32"/>
          <w:lang w:val="en-US" w:eastAsia="zh-CN"/>
        </w:rPr>
        <w:t>1726.32</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15</w:t>
      </w:r>
      <w:r>
        <w:rPr>
          <w:rFonts w:hint="eastAsia" w:eastAsia="仿宋_GB2312" w:cs="仿宋_GB2312"/>
          <w:color w:val="auto"/>
          <w:sz w:val="32"/>
          <w:szCs w:val="32"/>
        </w:rPr>
        <w:t>%；项目支出</w:t>
      </w:r>
      <w:r>
        <w:rPr>
          <w:rFonts w:hint="eastAsia" w:eastAsia="仿宋_GB2312" w:cs="仿宋_GB2312"/>
          <w:color w:val="auto"/>
          <w:sz w:val="32"/>
          <w:szCs w:val="32"/>
          <w:lang w:val="en-US" w:eastAsia="zh-CN"/>
        </w:rPr>
        <w:t>10101</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85</w:t>
      </w:r>
      <w:r>
        <w:rPr>
          <w:rFonts w:hint="eastAsia" w:eastAsia="仿宋_GB2312" w:cs="仿宋_GB2312"/>
          <w:color w:val="auto"/>
          <w:sz w:val="32"/>
          <w:szCs w:val="32"/>
        </w:rPr>
        <w:t>%</w:t>
      </w:r>
      <w:r>
        <w:rPr>
          <w:rFonts w:hint="eastAsia" w:eastAsia="仿宋_GB2312" w:cs="仿宋_GB2312"/>
          <w:color w:val="auto"/>
          <w:sz w:val="32"/>
          <w:szCs w:val="32"/>
          <w:lang w:eastAsia="zh-CN"/>
        </w:rPr>
        <w:t>。</w:t>
      </w:r>
    </w:p>
    <w:p w14:paraId="0AFAD204">
      <w:pPr>
        <w:pStyle w:val="28"/>
        <w:spacing w:line="600" w:lineRule="exact"/>
        <w:ind w:firstLine="640"/>
        <w:outlineLvl w:val="1"/>
        <w:rPr>
          <w:rStyle w:val="30"/>
          <w:rFonts w:ascii="Times New Roman" w:hAnsi="Times New Roman" w:eastAsia="黑体"/>
          <w:b w:val="0"/>
          <w:color w:val="auto"/>
        </w:rPr>
      </w:pPr>
      <w:r>
        <w:rPr>
          <w:rFonts w:hint="eastAsia" w:eastAsia="仿宋_GB2312" w:cs="仿宋_GB2312"/>
          <w:color w:val="auto"/>
          <w:sz w:val="32"/>
          <w:szCs w:val="32"/>
          <w:lang w:eastAsia="zh-CN"/>
        </w:rPr>
        <w:drawing>
          <wp:anchor distT="0" distB="0" distL="114300" distR="114300" simplePos="0" relativeHeight="251661312" behindDoc="0" locked="0" layoutInCell="1" allowOverlap="1">
            <wp:simplePos x="0" y="0"/>
            <wp:positionH relativeFrom="column">
              <wp:posOffset>20955</wp:posOffset>
            </wp:positionH>
            <wp:positionV relativeFrom="paragraph">
              <wp:posOffset>286385</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bookmarkStart w:id="24" w:name="_Toc15377208"/>
      <w:bookmarkStart w:id="25" w:name="_Toc15396606"/>
      <w:r>
        <w:rPr>
          <w:rFonts w:hint="eastAsia" w:eastAsia="黑体"/>
          <w:color w:val="auto"/>
          <w:sz w:val="32"/>
          <w:szCs w:val="32"/>
        </w:rPr>
        <w:t>四、财</w:t>
      </w:r>
      <w:r>
        <w:rPr>
          <w:rStyle w:val="30"/>
          <w:rFonts w:hint="eastAsia" w:ascii="Times New Roman" w:hAnsi="Times New Roman" w:eastAsia="黑体"/>
          <w:b w:val="0"/>
          <w:color w:val="auto"/>
        </w:rPr>
        <w:t>政拨款收入支出决算总体情况说明</w:t>
      </w:r>
      <w:bookmarkEnd w:id="24"/>
      <w:bookmarkEnd w:id="25"/>
    </w:p>
    <w:p w14:paraId="2C791F4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rPr>
        <w:t>2025年度财政拨款收入总计</w:t>
      </w:r>
      <w:r>
        <w:rPr>
          <w:rFonts w:hint="eastAsia" w:eastAsia="仿宋_GB2312" w:cs="仿宋_GB2312"/>
          <w:color w:val="auto"/>
          <w:sz w:val="32"/>
          <w:szCs w:val="32"/>
          <w:lang w:val="en-US" w:eastAsia="zh-CN"/>
        </w:rPr>
        <w:t>为11794.38万元</w:t>
      </w:r>
      <w:r>
        <w:rPr>
          <w:rFonts w:hint="eastAsia" w:eastAsia="仿宋_GB2312" w:cs="仿宋_GB2312"/>
          <w:color w:val="auto"/>
          <w:sz w:val="32"/>
          <w:szCs w:val="32"/>
        </w:rPr>
        <w:t>、支出总计为</w:t>
      </w:r>
      <w:r>
        <w:rPr>
          <w:rFonts w:hint="eastAsia" w:eastAsia="仿宋_GB2312" w:cs="仿宋_GB2312"/>
          <w:color w:val="auto"/>
          <w:sz w:val="32"/>
          <w:szCs w:val="32"/>
          <w:lang w:val="en-US" w:eastAsia="zh-CN"/>
        </w:rPr>
        <w:t>11827.32</w:t>
      </w:r>
      <w:r>
        <w:rPr>
          <w:rFonts w:hint="eastAsia" w:eastAsia="仿宋_GB2312" w:cs="仿宋_GB2312"/>
          <w:color w:val="auto"/>
          <w:sz w:val="32"/>
          <w:szCs w:val="32"/>
        </w:rPr>
        <w:t>万元。与上年度相比，财政拨款收入</w:t>
      </w:r>
      <w:r>
        <w:rPr>
          <w:rFonts w:hint="eastAsia" w:eastAsia="仿宋_GB2312" w:cs="仿宋_GB2312"/>
          <w:color w:val="auto"/>
          <w:sz w:val="32"/>
          <w:szCs w:val="32"/>
          <w:lang w:val="en-US" w:eastAsia="zh-CN"/>
        </w:rPr>
        <w:t>总计增加6614.35万元，增长128%</w:t>
      </w:r>
      <w:r>
        <w:rPr>
          <w:rFonts w:hint="eastAsia" w:eastAsia="仿宋_GB2312" w:cs="仿宋_GB2312"/>
          <w:color w:val="auto"/>
          <w:sz w:val="32"/>
          <w:szCs w:val="32"/>
        </w:rPr>
        <w:t>、财政拨款支出总计增加</w:t>
      </w:r>
      <w:r>
        <w:rPr>
          <w:rFonts w:hint="eastAsia" w:eastAsia="仿宋_GB2312" w:cs="仿宋_GB2312"/>
          <w:color w:val="auto"/>
          <w:sz w:val="32"/>
          <w:szCs w:val="32"/>
          <w:lang w:val="en-US" w:eastAsia="zh-CN"/>
        </w:rPr>
        <w:t>5721.32</w:t>
      </w:r>
      <w:r>
        <w:rPr>
          <w:rFonts w:hint="eastAsia" w:eastAsia="仿宋_GB2312" w:cs="仿宋_GB2312"/>
          <w:color w:val="auto"/>
          <w:sz w:val="32"/>
          <w:szCs w:val="32"/>
        </w:rPr>
        <w:t>万元，增长</w:t>
      </w:r>
      <w:r>
        <w:rPr>
          <w:rFonts w:hint="eastAsia" w:eastAsia="仿宋_GB2312" w:cs="仿宋_GB2312"/>
          <w:color w:val="auto"/>
          <w:sz w:val="32"/>
          <w:szCs w:val="32"/>
          <w:lang w:val="en-US" w:eastAsia="zh-CN"/>
        </w:rPr>
        <w:t>94</w:t>
      </w:r>
      <w:r>
        <w:rPr>
          <w:rFonts w:hint="eastAsia" w:eastAsia="仿宋_GB2312" w:cs="仿宋_GB2312"/>
          <w:color w:val="auto"/>
          <w:sz w:val="32"/>
          <w:szCs w:val="32"/>
        </w:rPr>
        <w:t>%。主要变动原因是</w:t>
      </w:r>
      <w:r>
        <w:rPr>
          <w:rFonts w:hint="eastAsia" w:eastAsia="仿宋_GB2312" w:cs="仿宋_GB2312"/>
          <w:color w:val="auto"/>
          <w:sz w:val="32"/>
          <w:szCs w:val="32"/>
          <w:highlight w:val="none"/>
          <w:lang w:val="en-US" w:eastAsia="zh-CN"/>
        </w:rPr>
        <w:t>财政加大项目资金的投入。</w:t>
      </w:r>
    </w:p>
    <w:p w14:paraId="689F6BD7">
      <w:pPr>
        <w:spacing w:line="600" w:lineRule="exact"/>
        <w:ind w:firstLine="640"/>
        <w:rPr>
          <w:rStyle w:val="30"/>
          <w:rFonts w:ascii="Times New Roman" w:hAnsi="Times New Roman" w:eastAsia="黑体"/>
          <w:b w:val="0"/>
          <w:color w:val="auto"/>
        </w:rPr>
      </w:pPr>
      <w:r>
        <w:rPr>
          <w:rFonts w:hint="eastAsia" w:eastAsia="仿宋_GB2312" w:cs="仿宋_GB2312"/>
          <w:color w:val="auto"/>
          <w:sz w:val="32"/>
          <w:szCs w:val="32"/>
          <w:lang w:eastAsia="zh-CN"/>
        </w:rPr>
        <w:drawing>
          <wp:anchor distT="0" distB="0" distL="114300" distR="114300" simplePos="0" relativeHeight="251662336" behindDoc="0" locked="0" layoutInCell="1" allowOverlap="1">
            <wp:simplePos x="0" y="0"/>
            <wp:positionH relativeFrom="column">
              <wp:posOffset>43180</wp:posOffset>
            </wp:positionH>
            <wp:positionV relativeFrom="paragraph">
              <wp:posOffset>308610</wp:posOffset>
            </wp:positionV>
            <wp:extent cx="5351145" cy="3206750"/>
            <wp:effectExtent l="4445" t="4445" r="16510" b="82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bookmarkStart w:id="26" w:name="_Toc15396607"/>
      <w:bookmarkStart w:id="27" w:name="_Toc15377209"/>
      <w:r>
        <w:rPr>
          <w:rFonts w:hint="eastAsia" w:eastAsia="黑体"/>
          <w:color w:val="auto"/>
          <w:sz w:val="32"/>
          <w:szCs w:val="32"/>
        </w:rPr>
        <w:t>五、</w:t>
      </w:r>
      <w:r>
        <w:rPr>
          <w:rFonts w:hint="eastAsia" w:eastAsia="黑体"/>
          <w:b/>
          <w:color w:val="auto"/>
          <w:sz w:val="32"/>
          <w:szCs w:val="32"/>
        </w:rPr>
        <w:t>一</w:t>
      </w:r>
      <w:r>
        <w:rPr>
          <w:rStyle w:val="30"/>
          <w:rFonts w:hint="eastAsia" w:ascii="Times New Roman" w:hAnsi="Times New Roman" w:eastAsia="黑体"/>
          <w:b w:val="0"/>
          <w:color w:val="auto"/>
        </w:rPr>
        <w:t>般公共预算财政拨款支出决算情况说明</w:t>
      </w:r>
      <w:bookmarkEnd w:id="26"/>
      <w:bookmarkEnd w:id="27"/>
    </w:p>
    <w:p w14:paraId="7E26BE33">
      <w:pPr>
        <w:spacing w:line="600" w:lineRule="exact"/>
        <w:ind w:firstLine="643" w:firstLineChars="200"/>
        <w:outlineLvl w:val="2"/>
        <w:rPr>
          <w:rFonts w:eastAsia="楷体_GB2312" w:cs="楷体_GB2312"/>
          <w:b/>
          <w:color w:val="auto"/>
          <w:sz w:val="32"/>
          <w:szCs w:val="32"/>
        </w:rPr>
      </w:pPr>
      <w:bookmarkStart w:id="28" w:name="_Toc15377210"/>
      <w:r>
        <w:rPr>
          <w:rFonts w:hint="eastAsia" w:eastAsia="楷体_GB2312" w:cs="楷体_GB2312"/>
          <w:b/>
          <w:color w:val="auto"/>
          <w:sz w:val="32"/>
          <w:szCs w:val="32"/>
        </w:rPr>
        <w:t>（一）一般公共预算财政拨款支出决算总体情况</w:t>
      </w:r>
      <w:bookmarkEnd w:id="28"/>
    </w:p>
    <w:p w14:paraId="722CD068">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sz w:val="32"/>
          <w:szCs w:val="32"/>
        </w:rPr>
        <w:t>2025年度一般公共预算财政拨款支出</w:t>
      </w:r>
      <w:r>
        <w:rPr>
          <w:rFonts w:hint="eastAsia" w:eastAsia="仿宋_GB2312" w:cs="仿宋_GB2312"/>
          <w:color w:val="auto"/>
          <w:sz w:val="32"/>
          <w:szCs w:val="32"/>
          <w:lang w:val="en-US" w:eastAsia="zh-CN"/>
        </w:rPr>
        <w:t>4272.89</w:t>
      </w:r>
      <w:r>
        <w:rPr>
          <w:rFonts w:hint="eastAsia" w:eastAsia="仿宋_GB2312" w:cs="仿宋_GB2312"/>
          <w:color w:val="auto"/>
          <w:sz w:val="32"/>
          <w:szCs w:val="32"/>
        </w:rPr>
        <w:t>万元，占本年支出合计的</w:t>
      </w:r>
      <w:r>
        <w:rPr>
          <w:rFonts w:hint="eastAsia" w:eastAsia="仿宋_GB2312" w:cs="仿宋_GB2312"/>
          <w:color w:val="auto"/>
          <w:sz w:val="32"/>
          <w:szCs w:val="32"/>
          <w:lang w:val="en-US" w:eastAsia="zh-CN"/>
        </w:rPr>
        <w:t>36</w:t>
      </w:r>
      <w:r>
        <w:rPr>
          <w:rFonts w:hint="eastAsia" w:eastAsia="仿宋_GB2312" w:cs="仿宋_GB2312"/>
          <w:color w:val="auto"/>
          <w:sz w:val="32"/>
          <w:szCs w:val="32"/>
        </w:rPr>
        <w:t>%。与上年度相比，一般公共预算财政拨款支出增加</w:t>
      </w:r>
      <w:r>
        <w:rPr>
          <w:rFonts w:hint="eastAsia" w:eastAsia="仿宋_GB2312" w:cs="仿宋_GB2312"/>
          <w:color w:val="auto"/>
          <w:sz w:val="32"/>
          <w:szCs w:val="32"/>
          <w:lang w:val="en-US" w:eastAsia="zh-CN"/>
        </w:rPr>
        <w:t>1519.50</w:t>
      </w:r>
      <w:r>
        <w:rPr>
          <w:rFonts w:hint="eastAsia" w:eastAsia="仿宋_GB2312" w:cs="仿宋_GB2312"/>
          <w:color w:val="auto"/>
          <w:sz w:val="32"/>
          <w:szCs w:val="32"/>
        </w:rPr>
        <w:t>万元，增长</w:t>
      </w:r>
      <w:r>
        <w:rPr>
          <w:rFonts w:hint="eastAsia" w:eastAsia="仿宋_GB2312" w:cs="仿宋_GB2312"/>
          <w:color w:val="auto"/>
          <w:sz w:val="32"/>
          <w:szCs w:val="32"/>
          <w:lang w:val="en-US" w:eastAsia="zh-CN"/>
        </w:rPr>
        <w:t>55</w:t>
      </w:r>
      <w:r>
        <w:rPr>
          <w:rFonts w:hint="eastAsia" w:eastAsia="仿宋_GB2312" w:cs="仿宋_GB2312"/>
          <w:color w:val="auto"/>
          <w:sz w:val="32"/>
          <w:szCs w:val="32"/>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财政加大项目资金的投入。</w:t>
      </w:r>
    </w:p>
    <w:p w14:paraId="4A044B69">
      <w:pPr>
        <w:spacing w:line="600" w:lineRule="exact"/>
        <w:ind w:firstLine="640" w:firstLineChars="200"/>
        <w:rPr>
          <w:rFonts w:eastAsia="楷体_GB2312" w:cs="楷体_GB2312"/>
          <w:b/>
          <w:sz w:val="32"/>
          <w:szCs w:val="32"/>
        </w:rPr>
      </w:pPr>
      <w:r>
        <w:rPr>
          <w:rFonts w:hint="eastAsia" w:eastAsia="仿宋_GB2312" w:cs="仿宋_GB2312"/>
          <w:sz w:val="32"/>
          <w:szCs w:val="32"/>
          <w:lang w:eastAsia="zh-CN"/>
        </w:rPr>
        <w:drawing>
          <wp:anchor distT="0" distB="0" distL="114300" distR="114300" simplePos="0" relativeHeight="251663360" behindDoc="0" locked="0" layoutInCell="1" allowOverlap="1">
            <wp:simplePos x="0" y="0"/>
            <wp:positionH relativeFrom="column">
              <wp:posOffset>20955</wp:posOffset>
            </wp:positionH>
            <wp:positionV relativeFrom="paragraph">
              <wp:posOffset>356870</wp:posOffset>
            </wp:positionV>
            <wp:extent cx="5408295" cy="3016885"/>
            <wp:effectExtent l="4445" t="4445" r="16510" b="7620"/>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bookmarkStart w:id="29" w:name="_Toc15377211"/>
      <w:r>
        <w:rPr>
          <w:rFonts w:hint="eastAsia" w:eastAsia="楷体_GB2312" w:cs="楷体_GB2312"/>
          <w:b/>
          <w:sz w:val="32"/>
          <w:szCs w:val="32"/>
        </w:rPr>
        <w:t>（二）一般公共预算财政拨款支出决算结构情况</w:t>
      </w:r>
      <w:bookmarkEnd w:id="29"/>
    </w:p>
    <w:p w14:paraId="7BAB378C">
      <w:pPr>
        <w:spacing w:line="600" w:lineRule="exact"/>
        <w:ind w:firstLine="640"/>
        <w:rPr>
          <w:rFonts w:hint="eastAsia" w:eastAsia="仿宋_GB2312" w:cs="仿宋_GB2312"/>
          <w:color w:val="auto"/>
          <w:sz w:val="32"/>
          <w:szCs w:val="32"/>
          <w:lang w:eastAsia="zh-CN"/>
        </w:rPr>
      </w:pPr>
      <w:r>
        <w:rPr>
          <w:rFonts w:hint="eastAsia" w:eastAsia="仿宋_GB2312" w:cs="仿宋_GB2312"/>
          <w:color w:val="auto"/>
          <w:sz w:val="32"/>
          <w:szCs w:val="32"/>
          <w:lang w:eastAsia="zh-CN"/>
        </w:rPr>
        <w:drawing>
          <wp:anchor distT="0" distB="0" distL="114300" distR="114300" simplePos="0" relativeHeight="251664384" behindDoc="0" locked="0" layoutInCell="1" allowOverlap="1">
            <wp:simplePos x="0" y="0"/>
            <wp:positionH relativeFrom="column">
              <wp:posOffset>-4445</wp:posOffset>
            </wp:positionH>
            <wp:positionV relativeFrom="paragraph">
              <wp:posOffset>1944370</wp:posOffset>
            </wp:positionV>
            <wp:extent cx="5332730" cy="3045460"/>
            <wp:effectExtent l="4445" t="4445" r="15875" b="1714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color w:val="auto"/>
          <w:sz w:val="32"/>
          <w:szCs w:val="32"/>
        </w:rPr>
        <w:t>2025年度一般公共预算财政拨款支出</w:t>
      </w:r>
      <w:r>
        <w:rPr>
          <w:rFonts w:hint="eastAsia" w:eastAsia="仿宋_GB2312" w:cs="仿宋_GB2312"/>
          <w:color w:val="auto"/>
          <w:sz w:val="32"/>
          <w:szCs w:val="32"/>
          <w:lang w:val="en-US" w:eastAsia="zh-CN"/>
        </w:rPr>
        <w:t>4272.89</w:t>
      </w:r>
      <w:r>
        <w:rPr>
          <w:rFonts w:hint="eastAsia" w:eastAsia="仿宋_GB2312" w:cs="仿宋_GB2312"/>
          <w:color w:val="auto"/>
          <w:sz w:val="32"/>
          <w:szCs w:val="32"/>
        </w:rPr>
        <w:t>万元，主要用于以下方面：一般公共服务支出</w:t>
      </w:r>
      <w:r>
        <w:rPr>
          <w:rFonts w:hint="eastAsia" w:eastAsia="仿宋_GB2312" w:cs="仿宋_GB2312"/>
          <w:color w:val="auto"/>
          <w:sz w:val="32"/>
          <w:szCs w:val="32"/>
          <w:lang w:val="en-US" w:eastAsia="zh-CN"/>
        </w:rPr>
        <w:t>8.82</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1</w:t>
      </w:r>
      <w:r>
        <w:rPr>
          <w:rFonts w:hint="eastAsia" w:eastAsia="仿宋_GB2312" w:cs="仿宋_GB2312"/>
          <w:color w:val="auto"/>
          <w:sz w:val="32"/>
          <w:szCs w:val="32"/>
        </w:rPr>
        <w:t>%；社会保障和就业支出</w:t>
      </w:r>
      <w:r>
        <w:rPr>
          <w:rFonts w:hint="eastAsia" w:eastAsia="仿宋_GB2312" w:cs="仿宋_GB2312"/>
          <w:color w:val="auto"/>
          <w:sz w:val="32"/>
          <w:szCs w:val="32"/>
          <w:lang w:val="en-US" w:eastAsia="zh-CN"/>
        </w:rPr>
        <w:t>263.16</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6</w:t>
      </w:r>
      <w:r>
        <w:rPr>
          <w:rFonts w:hint="eastAsia" w:eastAsia="仿宋_GB2312" w:cs="仿宋_GB2312"/>
          <w:color w:val="auto"/>
          <w:sz w:val="32"/>
          <w:szCs w:val="32"/>
        </w:rPr>
        <w:t>%；卫生健康支出</w:t>
      </w:r>
      <w:r>
        <w:rPr>
          <w:rFonts w:hint="eastAsia" w:eastAsia="仿宋_GB2312" w:cs="仿宋_GB2312"/>
          <w:color w:val="auto"/>
          <w:sz w:val="32"/>
          <w:szCs w:val="32"/>
          <w:lang w:val="en-US" w:eastAsia="zh-CN"/>
        </w:rPr>
        <w:t>74.44</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2</w:t>
      </w:r>
      <w:r>
        <w:rPr>
          <w:rFonts w:hint="eastAsia" w:eastAsia="仿宋_GB2312" w:cs="仿宋_GB2312"/>
          <w:color w:val="auto"/>
          <w:sz w:val="32"/>
          <w:szCs w:val="32"/>
        </w:rPr>
        <w:t>%；住房保障支出</w:t>
      </w:r>
      <w:r>
        <w:rPr>
          <w:rFonts w:hint="eastAsia" w:eastAsia="仿宋_GB2312" w:cs="仿宋_GB2312"/>
          <w:color w:val="auto"/>
          <w:sz w:val="32"/>
          <w:szCs w:val="32"/>
          <w:lang w:val="en-US" w:eastAsia="zh-CN"/>
        </w:rPr>
        <w:t>394.76</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9</w:t>
      </w:r>
      <w:r>
        <w:rPr>
          <w:rFonts w:hint="eastAsia" w:eastAsia="仿宋_GB2312" w:cs="仿宋_GB2312"/>
          <w:color w:val="auto"/>
          <w:sz w:val="32"/>
          <w:szCs w:val="32"/>
        </w:rPr>
        <w:t>%；城乡社区支出</w:t>
      </w:r>
      <w:r>
        <w:rPr>
          <w:rFonts w:hint="eastAsia" w:eastAsia="仿宋_GB2312" w:cs="仿宋_GB2312"/>
          <w:color w:val="auto"/>
          <w:sz w:val="32"/>
          <w:szCs w:val="32"/>
          <w:lang w:val="en-US" w:eastAsia="zh-CN"/>
        </w:rPr>
        <w:t>3028.77万元，</w:t>
      </w:r>
      <w:r>
        <w:rPr>
          <w:rFonts w:hint="eastAsia" w:eastAsia="仿宋_GB2312" w:cs="仿宋_GB2312"/>
          <w:color w:val="auto"/>
          <w:sz w:val="32"/>
          <w:szCs w:val="32"/>
        </w:rPr>
        <w:t>占</w:t>
      </w:r>
      <w:r>
        <w:rPr>
          <w:rFonts w:hint="eastAsia" w:eastAsia="仿宋_GB2312" w:cs="仿宋_GB2312"/>
          <w:color w:val="auto"/>
          <w:sz w:val="32"/>
          <w:szCs w:val="32"/>
          <w:lang w:val="en-US" w:eastAsia="zh-CN"/>
        </w:rPr>
        <w:t>71</w:t>
      </w:r>
      <w:r>
        <w:rPr>
          <w:rFonts w:hint="eastAsia" w:eastAsia="仿宋_GB2312" w:cs="仿宋_GB2312"/>
          <w:color w:val="auto"/>
          <w:sz w:val="32"/>
          <w:szCs w:val="32"/>
        </w:rPr>
        <w:t>%；</w:t>
      </w:r>
      <w:r>
        <w:rPr>
          <w:rFonts w:hint="eastAsia" w:eastAsia="仿宋_GB2312" w:cs="仿宋_GB2312"/>
          <w:color w:val="auto"/>
          <w:sz w:val="32"/>
          <w:szCs w:val="32"/>
          <w:lang w:val="en-US" w:eastAsia="zh-CN"/>
        </w:rPr>
        <w:t>农林水支出502.94万元，</w:t>
      </w:r>
      <w:r>
        <w:rPr>
          <w:rFonts w:hint="eastAsia" w:eastAsia="仿宋_GB2312" w:cs="仿宋_GB2312"/>
          <w:color w:val="auto"/>
          <w:sz w:val="32"/>
          <w:szCs w:val="32"/>
        </w:rPr>
        <w:t>占</w:t>
      </w:r>
      <w:r>
        <w:rPr>
          <w:rFonts w:hint="eastAsia" w:eastAsia="仿宋_GB2312" w:cs="仿宋_GB2312"/>
          <w:color w:val="auto"/>
          <w:sz w:val="32"/>
          <w:szCs w:val="32"/>
          <w:lang w:val="en-US" w:eastAsia="zh-CN"/>
        </w:rPr>
        <w:t>11</w:t>
      </w:r>
      <w:r>
        <w:rPr>
          <w:rFonts w:hint="eastAsia" w:eastAsia="仿宋_GB2312" w:cs="仿宋_GB2312"/>
          <w:color w:val="auto"/>
          <w:sz w:val="32"/>
          <w:szCs w:val="32"/>
        </w:rPr>
        <w:t>%</w:t>
      </w:r>
      <w:r>
        <w:rPr>
          <w:rFonts w:hint="eastAsia" w:eastAsia="仿宋_GB2312" w:cs="仿宋_GB2312"/>
          <w:color w:val="auto"/>
          <w:sz w:val="32"/>
          <w:szCs w:val="32"/>
          <w:lang w:eastAsia="zh-CN"/>
        </w:rPr>
        <w:t>。</w:t>
      </w:r>
    </w:p>
    <w:p w14:paraId="61C02C7C">
      <w:pPr>
        <w:spacing w:line="600" w:lineRule="exact"/>
        <w:ind w:firstLine="640"/>
        <w:rPr>
          <w:rFonts w:eastAsia="楷体_GB2312" w:cs="楷体_GB2312"/>
          <w:b/>
          <w:color w:val="auto"/>
          <w:sz w:val="32"/>
          <w:szCs w:val="32"/>
        </w:rPr>
      </w:pPr>
      <w:bookmarkStart w:id="30" w:name="_Toc15377212"/>
      <w:r>
        <w:rPr>
          <w:rFonts w:hint="eastAsia" w:eastAsia="楷体_GB2312" w:cs="楷体_GB2312"/>
          <w:b/>
          <w:color w:val="auto"/>
          <w:sz w:val="32"/>
          <w:szCs w:val="32"/>
        </w:rPr>
        <w:t>（三）一般公共预算财政拨款支出决算具体情况</w:t>
      </w:r>
      <w:bookmarkEnd w:id="30"/>
    </w:p>
    <w:p w14:paraId="478212AC">
      <w:pPr>
        <w:spacing w:line="600" w:lineRule="exact"/>
        <w:ind w:firstLine="640"/>
        <w:rPr>
          <w:rFonts w:eastAsia="仿宋_GB2312" w:cs="仿宋_GB2312"/>
          <w:color w:val="auto"/>
          <w:sz w:val="32"/>
          <w:szCs w:val="32"/>
        </w:rPr>
      </w:pPr>
      <w:bookmarkStart w:id="31" w:name="_Toc15377444"/>
      <w:bookmarkStart w:id="32" w:name="_Toc15378460"/>
      <w:bookmarkStart w:id="33" w:name="_Toc15377213"/>
      <w:r>
        <w:rPr>
          <w:rFonts w:hint="eastAsia" w:eastAsia="仿宋_GB2312" w:cs="仿宋_GB2312"/>
          <w:color w:val="auto"/>
          <w:sz w:val="32"/>
          <w:szCs w:val="32"/>
        </w:rPr>
        <w:t>2025年度一般公共预算支出决算数为</w:t>
      </w:r>
      <w:r>
        <w:rPr>
          <w:rFonts w:hint="eastAsia" w:eastAsia="仿宋_GB2312" w:cs="仿宋_GB2312"/>
          <w:color w:val="auto"/>
          <w:sz w:val="32"/>
          <w:szCs w:val="32"/>
          <w:lang w:val="en-US" w:eastAsia="zh-CN"/>
        </w:rPr>
        <w:t>4272.89</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%。其中：</w:t>
      </w:r>
      <w:bookmarkEnd w:id="31"/>
      <w:bookmarkEnd w:id="32"/>
      <w:bookmarkEnd w:id="33"/>
    </w:p>
    <w:p w14:paraId="7B176352">
      <w:pPr>
        <w:numPr>
          <w:ilvl w:val="0"/>
          <w:numId w:val="0"/>
        </w:numPr>
        <w:spacing w:line="600" w:lineRule="exact"/>
        <w:ind w:firstLine="640" w:firstLineChars="200"/>
        <w:rPr>
          <w:rFonts w:hint="eastAsia" w:eastAsia="仿宋_GB2312" w:cs="仿宋_GB2312"/>
          <w:color w:val="auto"/>
          <w:sz w:val="32"/>
          <w:szCs w:val="32"/>
          <w:lang w:eastAsia="zh-CN"/>
        </w:rPr>
      </w:pPr>
      <w:r>
        <w:rPr>
          <w:rFonts w:hint="eastAsia" w:eastAsia="仿宋_GB2312" w:cs="仿宋_GB2312"/>
          <w:color w:val="auto"/>
          <w:sz w:val="32"/>
          <w:szCs w:val="32"/>
          <w:lang w:val="en-US" w:eastAsia="zh-CN"/>
        </w:rPr>
        <w:t>1.</w:t>
      </w:r>
      <w:r>
        <w:rPr>
          <w:rFonts w:hint="eastAsia" w:eastAsia="仿宋_GB2312" w:cs="仿宋_GB2312"/>
          <w:color w:val="auto"/>
          <w:sz w:val="32"/>
          <w:szCs w:val="32"/>
        </w:rPr>
        <w:t>一般公共服务（类）宣传事务（款）其他宣传事务支出（项）：支出决算为</w:t>
      </w:r>
      <w:r>
        <w:rPr>
          <w:rFonts w:hint="eastAsia" w:eastAsia="仿宋_GB2312" w:cs="仿宋_GB2312"/>
          <w:color w:val="auto"/>
          <w:sz w:val="32"/>
          <w:szCs w:val="32"/>
          <w:lang w:val="en-US" w:eastAsia="zh-CN"/>
        </w:rPr>
        <w:t>8.82</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eastAsia="仿宋_GB2312" w:cs="仿宋_GB2312"/>
          <w:color w:val="auto"/>
          <w:sz w:val="32"/>
          <w:szCs w:val="32"/>
          <w:lang w:eastAsia="zh-CN"/>
        </w:rPr>
        <w:t>。</w:t>
      </w:r>
    </w:p>
    <w:p w14:paraId="280783D6">
      <w:pPr>
        <w:spacing w:line="600" w:lineRule="exact"/>
        <w:ind w:firstLine="640"/>
        <w:rPr>
          <w:rFonts w:hint="eastAsia" w:eastAsia="仿宋_GB2312" w:cs="仿宋_GB2312"/>
          <w:color w:val="auto"/>
          <w:sz w:val="32"/>
          <w:szCs w:val="32"/>
          <w:lang w:val="en-US" w:eastAsia="zh-CN"/>
        </w:rPr>
      </w:pPr>
      <w:r>
        <w:rPr>
          <w:rFonts w:hint="eastAsia" w:eastAsia="仿宋_GB2312" w:cs="仿宋_GB2312"/>
          <w:color w:val="auto"/>
          <w:sz w:val="32"/>
          <w:szCs w:val="32"/>
          <w:lang w:val="en-US" w:eastAsia="zh-CN"/>
        </w:rPr>
        <w:t>2</w:t>
      </w:r>
      <w:r>
        <w:rPr>
          <w:rFonts w:hint="eastAsia" w:eastAsia="仿宋_GB2312" w:cs="仿宋_GB2312"/>
          <w:color w:val="auto"/>
          <w:sz w:val="32"/>
          <w:szCs w:val="32"/>
        </w:rPr>
        <w:t>.</w:t>
      </w:r>
      <w:r>
        <w:rPr>
          <w:rFonts w:hint="eastAsia" w:ascii="仿宋_GB2312" w:eastAsia="仿宋_GB2312" w:cs="仿宋_GB2312"/>
          <w:color w:val="auto"/>
          <w:sz w:val="32"/>
          <w:szCs w:val="32"/>
          <w:lang w:val="zh-CN"/>
        </w:rPr>
        <w:t>社会保障和就业（类）行政事业单位养老支出（款）行政单位离退休（项）</w:t>
      </w:r>
      <w:r>
        <w:rPr>
          <w:rFonts w:hint="eastAsia" w:eastAsia="仿宋_GB2312" w:cs="仿宋_GB2312"/>
          <w:color w:val="auto"/>
          <w:sz w:val="32"/>
          <w:szCs w:val="32"/>
        </w:rPr>
        <w:t>：支出决算为</w:t>
      </w:r>
      <w:r>
        <w:rPr>
          <w:rFonts w:hint="eastAsia" w:eastAsia="仿宋_GB2312" w:cs="仿宋_GB2312"/>
          <w:color w:val="auto"/>
          <w:sz w:val="32"/>
          <w:szCs w:val="32"/>
          <w:lang w:val="en-US" w:eastAsia="zh-CN"/>
        </w:rPr>
        <w:t>87.32</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eastAsia="仿宋_GB2312" w:cs="仿宋_GB2312"/>
          <w:color w:val="auto"/>
          <w:sz w:val="32"/>
          <w:szCs w:val="32"/>
          <w:lang w:val="en-US" w:eastAsia="zh-CN"/>
        </w:rPr>
        <w:t>.</w:t>
      </w:r>
    </w:p>
    <w:p w14:paraId="69BBF799">
      <w:pPr>
        <w:ind w:firstLine="640" w:firstLineChars="200"/>
        <w:rPr>
          <w:rFonts w:hint="eastAsia" w:ascii="仿宋_GB2312" w:eastAsia="仿宋_GB2312" w:cs="仿宋_GB2312"/>
          <w:color w:val="auto"/>
          <w:sz w:val="32"/>
          <w:szCs w:val="32"/>
        </w:rPr>
      </w:pPr>
      <w:r>
        <w:rPr>
          <w:rFonts w:hint="eastAsia" w:eastAsia="仿宋_GB2312" w:cs="仿宋_GB2312"/>
          <w:color w:val="auto"/>
          <w:sz w:val="32"/>
          <w:szCs w:val="32"/>
          <w:lang w:val="en-US" w:eastAsia="zh-CN"/>
        </w:rPr>
        <w:t>3</w:t>
      </w:r>
      <w:r>
        <w:rPr>
          <w:rFonts w:hint="eastAsia" w:eastAsia="仿宋_GB2312" w:cs="仿宋_GB2312"/>
          <w:color w:val="auto"/>
          <w:sz w:val="32"/>
          <w:szCs w:val="32"/>
        </w:rPr>
        <w:t>.</w:t>
      </w:r>
      <w:r>
        <w:rPr>
          <w:rFonts w:hint="eastAsia" w:ascii="仿宋_GB2312" w:eastAsia="仿宋_GB2312" w:cs="仿宋_GB2312"/>
          <w:color w:val="auto"/>
          <w:sz w:val="32"/>
          <w:szCs w:val="32"/>
        </w:rPr>
        <w:t>社会保障和就业（类）行政事业单位养老支出（款）    机关事业单位基本养老保险缴费支出（项）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支出决算为</w:t>
      </w:r>
      <w:r>
        <w:rPr>
          <w:rFonts w:hint="eastAsia" w:ascii="仿宋_GB2312" w:eastAsia="仿宋_GB2312" w:cs="仿宋_GB2312"/>
          <w:color w:val="auto"/>
          <w:sz w:val="32"/>
          <w:szCs w:val="32"/>
          <w:lang w:val="en-US" w:eastAsia="zh-CN"/>
        </w:rPr>
        <w:t>119.41</w:t>
      </w:r>
      <w:r>
        <w:rPr>
          <w:rFonts w:hint="eastAsia" w:ascii="仿宋_GB2312" w:eastAsia="仿宋_GB2312" w:cs="仿宋_GB2312"/>
          <w:color w:val="auto"/>
          <w:sz w:val="32"/>
          <w:szCs w:val="32"/>
        </w:rPr>
        <w:t>万元，完成预算100%。</w:t>
      </w:r>
    </w:p>
    <w:p w14:paraId="46B67D85">
      <w:pPr>
        <w:ind w:firstLine="640" w:firstLineChars="200"/>
        <w:rPr>
          <w:rFonts w:hint="eastAsia" w:ascii="仿宋_GB2312" w:eastAsia="仿宋_GB2312" w:cs="仿宋_GB2312"/>
          <w:color w:val="auto"/>
          <w:sz w:val="32"/>
          <w:szCs w:val="32"/>
        </w:rPr>
      </w:pPr>
      <w:r>
        <w:rPr>
          <w:rFonts w:hint="eastAsia" w:ascii="仿宋_GB2312" w:eastAsia="仿宋_GB2312" w:cs="仿宋_GB2312"/>
          <w:color w:val="auto"/>
          <w:sz w:val="32"/>
          <w:szCs w:val="32"/>
          <w:lang w:val="en-US" w:eastAsia="zh-CN"/>
        </w:rPr>
        <w:t>4.</w:t>
      </w:r>
      <w:r>
        <w:rPr>
          <w:rFonts w:hint="eastAsia" w:ascii="仿宋_GB2312" w:eastAsia="仿宋_GB2312" w:cs="仿宋_GB2312"/>
          <w:color w:val="auto"/>
          <w:sz w:val="32"/>
          <w:szCs w:val="32"/>
        </w:rPr>
        <w:t>社会保障和就业（类）行政事业单位养老支出（款）机关事业单位职业年金缴费支出（项）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支出决算为</w:t>
      </w:r>
      <w:r>
        <w:rPr>
          <w:rFonts w:hint="eastAsia" w:ascii="仿宋_GB2312" w:eastAsia="仿宋_GB2312" w:cs="仿宋_GB2312"/>
          <w:color w:val="auto"/>
          <w:sz w:val="32"/>
          <w:szCs w:val="32"/>
          <w:lang w:val="en-US" w:eastAsia="zh-CN"/>
        </w:rPr>
        <w:t>51.18</w:t>
      </w:r>
      <w:r>
        <w:rPr>
          <w:rFonts w:hint="eastAsia" w:ascii="仿宋_GB2312" w:eastAsia="仿宋_GB2312" w:cs="仿宋_GB2312"/>
          <w:color w:val="auto"/>
          <w:sz w:val="32"/>
          <w:szCs w:val="32"/>
        </w:rPr>
        <w:t>万元，完成预算100%。</w:t>
      </w:r>
    </w:p>
    <w:p w14:paraId="49C3F18C">
      <w:pPr>
        <w:ind w:firstLine="640" w:firstLineChars="200"/>
        <w:rPr>
          <w:rFonts w:hint="eastAsia" w:ascii="仿宋_GB2312" w:eastAsia="仿宋_GB2312" w:cs="仿宋_GB2312"/>
          <w:color w:val="auto"/>
          <w:sz w:val="32"/>
          <w:szCs w:val="32"/>
        </w:rPr>
      </w:pPr>
      <w:r>
        <w:rPr>
          <w:rFonts w:hint="eastAsia" w:cs="仿宋_GB2312"/>
          <w:color w:val="auto"/>
          <w:sz w:val="32"/>
          <w:szCs w:val="32"/>
          <w:lang w:val="en-US" w:eastAsia="zh-CN"/>
        </w:rPr>
        <w:t>5.</w:t>
      </w:r>
      <w:r>
        <w:rPr>
          <w:rFonts w:hint="eastAsia" w:ascii="仿宋_GB2312" w:eastAsia="仿宋_GB2312" w:cs="仿宋_GB2312"/>
          <w:color w:val="auto"/>
          <w:sz w:val="32"/>
          <w:szCs w:val="32"/>
        </w:rPr>
        <w:t>社会保障和就业（类）</w:t>
      </w:r>
      <w:r>
        <w:rPr>
          <w:rFonts w:hint="eastAsia" w:ascii="仿宋_GB2312" w:eastAsia="仿宋_GB2312" w:cs="仿宋_GB2312"/>
          <w:color w:val="auto"/>
          <w:sz w:val="32"/>
          <w:szCs w:val="32"/>
          <w:lang w:val="en-US" w:eastAsia="zh-CN"/>
        </w:rPr>
        <w:t>抚恤</w:t>
      </w:r>
      <w:r>
        <w:rPr>
          <w:rFonts w:hint="eastAsia" w:cs="仿宋_GB2312"/>
          <w:color w:val="auto"/>
          <w:sz w:val="32"/>
          <w:szCs w:val="32"/>
          <w:lang w:val="en-US" w:eastAsia="zh-CN"/>
        </w:rPr>
        <w:t>（</w:t>
      </w:r>
      <w:r>
        <w:rPr>
          <w:rFonts w:hint="eastAsia" w:ascii="仿宋_GB2312" w:eastAsia="仿宋_GB2312" w:cs="仿宋_GB2312"/>
          <w:color w:val="auto"/>
          <w:sz w:val="32"/>
          <w:szCs w:val="32"/>
        </w:rPr>
        <w:t>款）</w:t>
      </w:r>
      <w:r>
        <w:rPr>
          <w:rFonts w:hint="eastAsia" w:ascii="仿宋_GB2312" w:eastAsia="仿宋_GB2312" w:cs="仿宋_GB2312"/>
          <w:color w:val="auto"/>
          <w:sz w:val="32"/>
          <w:szCs w:val="32"/>
          <w:lang w:val="en-US" w:eastAsia="zh-CN"/>
        </w:rPr>
        <w:t>死亡抚恤</w:t>
      </w:r>
      <w:r>
        <w:rPr>
          <w:rFonts w:hint="eastAsia" w:ascii="仿宋_GB2312" w:eastAsia="仿宋_GB2312" w:cs="仿宋_GB2312"/>
          <w:color w:val="auto"/>
          <w:sz w:val="32"/>
          <w:szCs w:val="32"/>
        </w:rPr>
        <w:t>（项）</w:t>
      </w:r>
      <w:r>
        <w:rPr>
          <w:rFonts w:hint="eastAsia" w:cs="仿宋_GB2312"/>
          <w:color w:val="auto"/>
          <w:sz w:val="32"/>
          <w:szCs w:val="32"/>
          <w:lang w:eastAsia="zh-CN"/>
        </w:rPr>
        <w:t>：</w:t>
      </w:r>
      <w:r>
        <w:rPr>
          <w:rFonts w:hint="eastAsia" w:ascii="仿宋_GB2312" w:eastAsia="仿宋_GB2312" w:cs="仿宋_GB2312"/>
          <w:color w:val="auto"/>
          <w:sz w:val="32"/>
          <w:szCs w:val="32"/>
        </w:rPr>
        <w:t>支出决算为</w:t>
      </w:r>
      <w:r>
        <w:rPr>
          <w:rFonts w:hint="eastAsia" w:ascii="仿宋_GB2312" w:eastAsia="仿宋_GB2312" w:cs="仿宋_GB2312"/>
          <w:color w:val="auto"/>
          <w:sz w:val="32"/>
          <w:szCs w:val="32"/>
          <w:lang w:val="en-US" w:eastAsia="zh-CN"/>
        </w:rPr>
        <w:t>5.25</w:t>
      </w:r>
      <w:r>
        <w:rPr>
          <w:rFonts w:hint="eastAsia" w:ascii="仿宋_GB2312" w:eastAsia="仿宋_GB2312" w:cs="仿宋_GB2312"/>
          <w:color w:val="auto"/>
          <w:sz w:val="32"/>
          <w:szCs w:val="32"/>
        </w:rPr>
        <w:t>万元，完成预算100%。</w:t>
      </w:r>
    </w:p>
    <w:p w14:paraId="61196270">
      <w:pPr>
        <w:spacing w:line="600" w:lineRule="exact"/>
        <w:ind w:firstLine="640" w:firstLineChars="200"/>
        <w:rPr>
          <w:rFonts w:hint="eastAsia" w:eastAsia="仿宋_GB2312" w:cs="仿宋_GB2312"/>
          <w:color w:val="auto"/>
          <w:sz w:val="32"/>
          <w:szCs w:val="32"/>
          <w:lang w:val="en-US" w:eastAsia="zh-CN"/>
        </w:rPr>
      </w:pPr>
      <w:r>
        <w:rPr>
          <w:rFonts w:hint="eastAsia" w:eastAsia="仿宋_GB2312" w:cs="仿宋_GB2312"/>
          <w:color w:val="auto"/>
          <w:sz w:val="32"/>
          <w:szCs w:val="32"/>
          <w:lang w:val="en-US" w:eastAsia="zh-CN"/>
        </w:rPr>
        <w:t>6.</w:t>
      </w:r>
      <w:r>
        <w:rPr>
          <w:rFonts w:hint="eastAsia" w:eastAsia="仿宋_GB2312" w:cs="仿宋_GB2312"/>
          <w:color w:val="auto"/>
          <w:sz w:val="32"/>
          <w:szCs w:val="32"/>
        </w:rPr>
        <w:t>卫生健康（类）行政事业单位医疗（款）行政单位医疗（项）：支出决算为</w:t>
      </w:r>
      <w:r>
        <w:rPr>
          <w:rFonts w:hint="eastAsia" w:eastAsia="仿宋_GB2312" w:cs="仿宋_GB2312"/>
          <w:color w:val="auto"/>
          <w:sz w:val="32"/>
          <w:szCs w:val="32"/>
          <w:lang w:val="en-US" w:eastAsia="zh-CN"/>
        </w:rPr>
        <w:t>55.83</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eastAsia="仿宋_GB2312" w:cs="仿宋_GB2312"/>
          <w:color w:val="auto"/>
          <w:sz w:val="32"/>
          <w:szCs w:val="32"/>
          <w:lang w:val="en-US" w:eastAsia="zh-CN"/>
        </w:rPr>
        <w:t>。</w:t>
      </w:r>
    </w:p>
    <w:p w14:paraId="17AB223B">
      <w:pPr>
        <w:spacing w:line="600" w:lineRule="exact"/>
        <w:ind w:firstLine="640" w:firstLineChars="200"/>
        <w:rPr>
          <w:rFonts w:hint="eastAsia" w:eastAsia="仿宋_GB2312" w:cs="仿宋_GB2312"/>
          <w:color w:val="auto"/>
          <w:sz w:val="32"/>
          <w:szCs w:val="32"/>
          <w:lang w:eastAsia="zh-CN"/>
        </w:rPr>
      </w:pPr>
      <w:r>
        <w:rPr>
          <w:rFonts w:hint="eastAsia" w:eastAsia="仿宋_GB2312" w:cs="仿宋_GB2312"/>
          <w:color w:val="auto"/>
          <w:sz w:val="32"/>
          <w:szCs w:val="32"/>
          <w:lang w:val="en-US" w:eastAsia="zh-CN"/>
        </w:rPr>
        <w:t>7.</w:t>
      </w:r>
      <w:r>
        <w:rPr>
          <w:rFonts w:hint="eastAsia" w:eastAsia="仿宋_GB2312" w:cs="仿宋_GB2312"/>
          <w:color w:val="auto"/>
          <w:sz w:val="32"/>
          <w:szCs w:val="32"/>
        </w:rPr>
        <w:t>卫生健康（类）行政事业单位医疗（款）事业单位医疗（项）：支出决算为</w:t>
      </w:r>
      <w:r>
        <w:rPr>
          <w:rFonts w:hint="eastAsia" w:eastAsia="仿宋_GB2312" w:cs="仿宋_GB2312"/>
          <w:color w:val="auto"/>
          <w:sz w:val="32"/>
          <w:szCs w:val="32"/>
          <w:lang w:val="en-US" w:eastAsia="zh-CN"/>
        </w:rPr>
        <w:t>5.37</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eastAsia="仿宋_GB2312" w:cs="仿宋_GB2312"/>
          <w:color w:val="auto"/>
          <w:sz w:val="32"/>
          <w:szCs w:val="32"/>
          <w:lang w:eastAsia="zh-CN"/>
        </w:rPr>
        <w:t>。</w:t>
      </w:r>
    </w:p>
    <w:p w14:paraId="654F48F1">
      <w:pPr>
        <w:spacing w:line="600" w:lineRule="exact"/>
        <w:ind w:firstLine="640" w:firstLineChars="200"/>
        <w:rPr>
          <w:rFonts w:hint="eastAsia" w:eastAsia="仿宋_GB2312" w:cs="仿宋_GB2312"/>
          <w:color w:val="auto"/>
          <w:sz w:val="32"/>
          <w:szCs w:val="32"/>
          <w:lang w:eastAsia="zh-CN"/>
        </w:rPr>
      </w:pPr>
      <w:r>
        <w:rPr>
          <w:rFonts w:hint="eastAsia" w:eastAsia="仿宋_GB2312" w:cs="仿宋_GB2312"/>
          <w:color w:val="auto"/>
          <w:sz w:val="32"/>
          <w:szCs w:val="32"/>
          <w:lang w:val="en-US" w:eastAsia="zh-CN"/>
        </w:rPr>
        <w:t>8.</w:t>
      </w:r>
      <w:r>
        <w:rPr>
          <w:rFonts w:hint="eastAsia" w:eastAsia="仿宋_GB2312" w:cs="仿宋_GB2312"/>
          <w:color w:val="auto"/>
          <w:sz w:val="32"/>
          <w:szCs w:val="32"/>
        </w:rPr>
        <w:t>卫生健康（类）行政事业单位医疗（款）公务员医疗补助（项）：支出决算为</w:t>
      </w:r>
      <w:r>
        <w:rPr>
          <w:rFonts w:hint="eastAsia" w:eastAsia="仿宋_GB2312" w:cs="仿宋_GB2312"/>
          <w:color w:val="auto"/>
          <w:sz w:val="32"/>
          <w:szCs w:val="32"/>
          <w:lang w:val="en-US" w:eastAsia="zh-CN"/>
        </w:rPr>
        <w:t>13.24</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eastAsia="仿宋_GB2312" w:cs="仿宋_GB2312"/>
          <w:color w:val="auto"/>
          <w:sz w:val="32"/>
          <w:szCs w:val="32"/>
          <w:lang w:eastAsia="zh-CN"/>
        </w:rPr>
        <w:t>。</w:t>
      </w:r>
    </w:p>
    <w:p w14:paraId="232C9F45">
      <w:pPr>
        <w:ind w:firstLine="640" w:firstLineChars="200"/>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lang w:val="en-US" w:eastAsia="zh-CN"/>
        </w:rPr>
        <w:t>9.</w:t>
      </w:r>
      <w:r>
        <w:rPr>
          <w:rFonts w:hint="eastAsia" w:ascii="仿宋_GB2312" w:eastAsia="仿宋_GB2312" w:cs="仿宋_GB2312"/>
          <w:color w:val="auto"/>
          <w:sz w:val="32"/>
          <w:szCs w:val="32"/>
          <w:highlight w:val="none"/>
        </w:rPr>
        <w:t>城乡社区支出（类）城乡社区管理事务（款）行政运行 （项）：支出决算为</w:t>
      </w:r>
      <w:r>
        <w:rPr>
          <w:rFonts w:hint="eastAsia" w:ascii="仿宋_GB2312" w:eastAsia="仿宋_GB2312" w:cs="仿宋_GB2312"/>
          <w:color w:val="auto"/>
          <w:sz w:val="32"/>
          <w:szCs w:val="32"/>
          <w:highlight w:val="none"/>
          <w:lang w:val="en-US" w:eastAsia="zh-CN"/>
        </w:rPr>
        <w:t>935.30</w:t>
      </w:r>
      <w:r>
        <w:rPr>
          <w:rFonts w:hint="eastAsia" w:ascii="仿宋_GB2312" w:eastAsia="仿宋_GB2312" w:cs="仿宋_GB2312"/>
          <w:color w:val="auto"/>
          <w:sz w:val="32"/>
          <w:szCs w:val="32"/>
          <w:highlight w:val="none"/>
        </w:rPr>
        <w:t>万元，完成预算100%。</w:t>
      </w:r>
    </w:p>
    <w:p w14:paraId="1911DB40">
      <w:pPr>
        <w:ind w:firstLine="640" w:firstLineChars="200"/>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lang w:val="en-US" w:eastAsia="zh-CN"/>
        </w:rPr>
        <w:t>10</w:t>
      </w:r>
      <w:r>
        <w:rPr>
          <w:rFonts w:hint="eastAsia" w:ascii="仿宋_GB2312" w:eastAsia="仿宋_GB2312" w:cs="仿宋_GB2312"/>
          <w:color w:val="auto"/>
          <w:sz w:val="32"/>
          <w:szCs w:val="32"/>
          <w:highlight w:val="none"/>
        </w:rPr>
        <w:t>.城乡社区支出（类）城乡社区管理事务（款）  其他城乡社区管理事务支出 （项）：支出决算为</w:t>
      </w:r>
      <w:r>
        <w:rPr>
          <w:rFonts w:hint="eastAsia" w:ascii="仿宋_GB2312" w:eastAsia="仿宋_GB2312" w:cs="仿宋_GB2312"/>
          <w:color w:val="auto"/>
          <w:sz w:val="32"/>
          <w:szCs w:val="32"/>
          <w:highlight w:val="none"/>
          <w:lang w:val="en-US" w:eastAsia="zh-CN"/>
        </w:rPr>
        <w:t>85.44</w:t>
      </w:r>
      <w:r>
        <w:rPr>
          <w:rFonts w:hint="eastAsia" w:ascii="仿宋_GB2312" w:eastAsia="仿宋_GB2312" w:cs="仿宋_GB2312"/>
          <w:color w:val="auto"/>
          <w:sz w:val="32"/>
          <w:szCs w:val="32"/>
          <w:highlight w:val="none"/>
        </w:rPr>
        <w:t>万元，完成预算100%。</w:t>
      </w:r>
    </w:p>
    <w:p w14:paraId="7B80A528">
      <w:pPr>
        <w:ind w:firstLine="640" w:firstLineChars="200"/>
        <w:rPr>
          <w:rFonts w:hint="eastAsia" w:ascii="仿宋_GB2312" w:eastAsia="仿宋_GB2312" w:cs="仿宋_GB2312"/>
          <w:color w:val="auto"/>
          <w:sz w:val="32"/>
          <w:szCs w:val="32"/>
          <w:highlight w:val="none"/>
        </w:rPr>
      </w:pPr>
      <w:r>
        <w:rPr>
          <w:rFonts w:hint="eastAsia" w:cs="仿宋_GB2312"/>
          <w:color w:val="auto"/>
          <w:sz w:val="32"/>
          <w:szCs w:val="32"/>
          <w:highlight w:val="none"/>
          <w:lang w:val="en-US" w:eastAsia="zh-CN"/>
        </w:rPr>
        <w:t>11.</w:t>
      </w:r>
      <w:r>
        <w:rPr>
          <w:rFonts w:hint="eastAsia" w:ascii="仿宋_GB2312" w:eastAsia="仿宋_GB2312" w:cs="仿宋_GB2312"/>
          <w:color w:val="auto"/>
          <w:sz w:val="32"/>
          <w:szCs w:val="32"/>
          <w:highlight w:val="none"/>
        </w:rPr>
        <w:t>城乡社区支出（类）城乡社区规划与管理（款）城乡社区规划与管理（项）</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rPr>
        <w:t>支出决算为</w:t>
      </w:r>
      <w:r>
        <w:rPr>
          <w:rFonts w:hint="eastAsia" w:ascii="仿宋_GB2312" w:eastAsia="仿宋_GB2312" w:cs="仿宋_GB2312"/>
          <w:color w:val="auto"/>
          <w:sz w:val="32"/>
          <w:szCs w:val="32"/>
          <w:highlight w:val="none"/>
          <w:lang w:val="en-US" w:eastAsia="zh-CN"/>
        </w:rPr>
        <w:t>8.80</w:t>
      </w:r>
      <w:r>
        <w:rPr>
          <w:rFonts w:hint="eastAsia" w:ascii="仿宋_GB2312" w:eastAsia="仿宋_GB2312" w:cs="仿宋_GB2312"/>
          <w:color w:val="auto"/>
          <w:sz w:val="32"/>
          <w:szCs w:val="32"/>
          <w:highlight w:val="none"/>
        </w:rPr>
        <w:t>万元，完成预算100%。</w:t>
      </w:r>
    </w:p>
    <w:p w14:paraId="5EF5DF75">
      <w:pPr>
        <w:ind w:firstLine="640" w:firstLineChars="200"/>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lang w:val="en-US" w:eastAsia="zh-CN"/>
        </w:rPr>
        <w:t>12.</w:t>
      </w:r>
      <w:r>
        <w:rPr>
          <w:rFonts w:hint="eastAsia" w:ascii="仿宋_GB2312" w:eastAsia="仿宋_GB2312" w:cs="仿宋_GB2312"/>
          <w:color w:val="auto"/>
          <w:sz w:val="32"/>
          <w:szCs w:val="32"/>
          <w:highlight w:val="none"/>
        </w:rPr>
        <w:t>城乡社区支出（类）城乡社区公共设施（款）  其他城乡社区</w:t>
      </w:r>
      <w:r>
        <w:rPr>
          <w:rFonts w:hint="eastAsia" w:ascii="仿宋_GB2312" w:eastAsia="仿宋_GB2312" w:cs="仿宋_GB2312"/>
          <w:color w:val="auto"/>
          <w:sz w:val="32"/>
          <w:szCs w:val="32"/>
          <w:highlight w:val="none"/>
          <w:lang w:val="zh-CN"/>
        </w:rPr>
        <w:t>公共设施</w:t>
      </w:r>
      <w:r>
        <w:rPr>
          <w:rFonts w:hint="eastAsia" w:ascii="仿宋_GB2312" w:eastAsia="仿宋_GB2312" w:cs="仿宋_GB2312"/>
          <w:color w:val="auto"/>
          <w:sz w:val="32"/>
          <w:szCs w:val="32"/>
          <w:highlight w:val="none"/>
        </w:rPr>
        <w:t>支出 （项）：支出决算为</w:t>
      </w:r>
      <w:r>
        <w:rPr>
          <w:rFonts w:hint="eastAsia" w:ascii="仿宋_GB2312" w:eastAsia="仿宋_GB2312" w:cs="仿宋_GB2312"/>
          <w:color w:val="auto"/>
          <w:sz w:val="32"/>
          <w:szCs w:val="32"/>
          <w:highlight w:val="none"/>
          <w:lang w:val="en-US" w:eastAsia="zh-CN"/>
        </w:rPr>
        <w:t>287.46</w:t>
      </w:r>
      <w:r>
        <w:rPr>
          <w:rFonts w:hint="eastAsia" w:ascii="仿宋_GB2312" w:eastAsia="仿宋_GB2312" w:cs="仿宋_GB2312"/>
          <w:color w:val="auto"/>
          <w:sz w:val="32"/>
          <w:szCs w:val="32"/>
          <w:highlight w:val="none"/>
        </w:rPr>
        <w:t>万元，完成预算100%。</w:t>
      </w:r>
    </w:p>
    <w:p w14:paraId="12790CE6">
      <w:pPr>
        <w:ind w:firstLine="640" w:firstLineChars="200"/>
        <w:rPr>
          <w:rFonts w:hint="eastAsia"/>
          <w:color w:val="auto"/>
          <w:highlight w:val="none"/>
        </w:rPr>
      </w:pPr>
      <w:r>
        <w:rPr>
          <w:rFonts w:hint="eastAsia" w:ascii="仿宋_GB2312" w:eastAsia="仿宋_GB2312" w:cs="仿宋_GB2312"/>
          <w:color w:val="auto"/>
          <w:sz w:val="32"/>
          <w:szCs w:val="32"/>
          <w:highlight w:val="none"/>
          <w:lang w:val="en-US" w:eastAsia="zh-CN"/>
        </w:rPr>
        <w:t>13.</w:t>
      </w:r>
      <w:r>
        <w:rPr>
          <w:rFonts w:hint="eastAsia" w:ascii="仿宋_GB2312" w:eastAsia="仿宋_GB2312" w:cs="仿宋_GB2312"/>
          <w:color w:val="auto"/>
          <w:sz w:val="32"/>
          <w:szCs w:val="32"/>
          <w:highlight w:val="none"/>
        </w:rPr>
        <w:t>城乡社区支出（类）城乡社区</w:t>
      </w:r>
      <w:r>
        <w:rPr>
          <w:rFonts w:hint="eastAsia" w:ascii="仿宋_GB2312" w:eastAsia="仿宋_GB2312" w:cs="仿宋_GB2312"/>
          <w:color w:val="auto"/>
          <w:sz w:val="32"/>
          <w:szCs w:val="32"/>
          <w:highlight w:val="none"/>
          <w:lang w:val="zh-CN"/>
        </w:rPr>
        <w:t>环境卫生</w:t>
      </w:r>
      <w:r>
        <w:rPr>
          <w:rFonts w:hint="eastAsia" w:ascii="仿宋_GB2312" w:eastAsia="仿宋_GB2312" w:cs="仿宋_GB2312"/>
          <w:color w:val="auto"/>
          <w:sz w:val="32"/>
          <w:szCs w:val="32"/>
          <w:highlight w:val="none"/>
        </w:rPr>
        <w:t>（款）城乡社区</w:t>
      </w:r>
      <w:r>
        <w:rPr>
          <w:rFonts w:hint="eastAsia" w:ascii="仿宋_GB2312" w:eastAsia="仿宋_GB2312" w:cs="仿宋_GB2312"/>
          <w:color w:val="auto"/>
          <w:sz w:val="32"/>
          <w:szCs w:val="32"/>
          <w:highlight w:val="none"/>
          <w:lang w:val="zh-CN"/>
        </w:rPr>
        <w:t>环境卫生</w:t>
      </w:r>
      <w:r>
        <w:rPr>
          <w:rFonts w:hint="eastAsia" w:ascii="仿宋_GB2312" w:eastAsia="仿宋_GB2312" w:cs="仿宋_GB2312"/>
          <w:color w:val="auto"/>
          <w:sz w:val="32"/>
          <w:szCs w:val="32"/>
          <w:highlight w:val="none"/>
        </w:rPr>
        <w:t>（项）：支出决算为</w:t>
      </w:r>
      <w:r>
        <w:rPr>
          <w:rFonts w:hint="eastAsia" w:ascii="仿宋_GB2312" w:eastAsia="仿宋_GB2312" w:cs="仿宋_GB2312"/>
          <w:color w:val="auto"/>
          <w:sz w:val="32"/>
          <w:szCs w:val="32"/>
          <w:highlight w:val="none"/>
          <w:lang w:val="en-US" w:eastAsia="zh-CN"/>
        </w:rPr>
        <w:t>1159.01</w:t>
      </w:r>
      <w:r>
        <w:rPr>
          <w:rFonts w:hint="eastAsia" w:ascii="仿宋_GB2312" w:eastAsia="仿宋_GB2312" w:cs="仿宋_GB2312"/>
          <w:color w:val="auto"/>
          <w:sz w:val="32"/>
          <w:szCs w:val="32"/>
          <w:highlight w:val="none"/>
        </w:rPr>
        <w:t>万元，完成预算100%。</w:t>
      </w:r>
    </w:p>
    <w:p w14:paraId="4E8D8271">
      <w:pPr>
        <w:pStyle w:val="2"/>
        <w:ind w:firstLine="640" w:firstLineChars="200"/>
        <w:rPr>
          <w:rFonts w:hint="eastAsia"/>
          <w:color w:val="auto"/>
          <w:highlight w:val="none"/>
        </w:rPr>
      </w:pPr>
      <w:r>
        <w:rPr>
          <w:rFonts w:hint="eastAsia" w:cs="仿宋_GB2312"/>
          <w:color w:val="auto"/>
          <w:sz w:val="32"/>
          <w:szCs w:val="32"/>
          <w:highlight w:val="none"/>
          <w:lang w:val="en-US" w:eastAsia="zh-CN"/>
        </w:rPr>
        <w:t>14.</w:t>
      </w:r>
      <w:r>
        <w:rPr>
          <w:rFonts w:hint="eastAsia" w:ascii="仿宋_GB2312" w:eastAsia="仿宋_GB2312" w:cs="仿宋_GB2312"/>
          <w:color w:val="auto"/>
          <w:sz w:val="32"/>
          <w:szCs w:val="32"/>
          <w:highlight w:val="none"/>
        </w:rPr>
        <w:t>城乡社区支出（类）</w:t>
      </w:r>
      <w:r>
        <w:rPr>
          <w:rFonts w:hint="eastAsia" w:ascii="仿宋_GB2312" w:eastAsia="仿宋_GB2312" w:cs="仿宋_GB2312"/>
          <w:color w:val="auto"/>
          <w:sz w:val="32"/>
          <w:szCs w:val="32"/>
          <w:highlight w:val="none"/>
          <w:lang w:val="en-US" w:eastAsia="zh-CN"/>
        </w:rPr>
        <w:t>其他</w:t>
      </w:r>
      <w:r>
        <w:rPr>
          <w:rFonts w:hint="eastAsia" w:ascii="仿宋_GB2312" w:eastAsia="仿宋_GB2312" w:cs="仿宋_GB2312"/>
          <w:color w:val="auto"/>
          <w:sz w:val="32"/>
          <w:szCs w:val="32"/>
          <w:highlight w:val="none"/>
        </w:rPr>
        <w:t>城乡社区</w:t>
      </w:r>
      <w:r>
        <w:rPr>
          <w:rFonts w:hint="eastAsia" w:ascii="仿宋_GB2312" w:eastAsia="仿宋_GB2312" w:cs="仿宋_GB2312"/>
          <w:color w:val="auto"/>
          <w:sz w:val="32"/>
          <w:szCs w:val="32"/>
          <w:highlight w:val="none"/>
          <w:lang w:val="en-US" w:eastAsia="zh-CN"/>
        </w:rPr>
        <w:t>支出</w:t>
      </w:r>
      <w:r>
        <w:rPr>
          <w:rFonts w:hint="eastAsia" w:ascii="仿宋_GB2312" w:eastAsia="仿宋_GB2312" w:cs="仿宋_GB2312"/>
          <w:color w:val="auto"/>
          <w:sz w:val="32"/>
          <w:szCs w:val="32"/>
          <w:highlight w:val="none"/>
        </w:rPr>
        <w:t>（款）</w:t>
      </w:r>
      <w:r>
        <w:rPr>
          <w:rFonts w:hint="eastAsia" w:ascii="仿宋_GB2312" w:eastAsia="仿宋_GB2312" w:cs="仿宋_GB2312"/>
          <w:color w:val="auto"/>
          <w:sz w:val="32"/>
          <w:szCs w:val="32"/>
          <w:highlight w:val="none"/>
          <w:lang w:val="en-US" w:eastAsia="zh-CN"/>
        </w:rPr>
        <w:t>其他</w:t>
      </w:r>
      <w:r>
        <w:rPr>
          <w:rFonts w:hint="eastAsia" w:ascii="仿宋_GB2312" w:eastAsia="仿宋_GB2312" w:cs="仿宋_GB2312"/>
          <w:color w:val="auto"/>
          <w:sz w:val="32"/>
          <w:szCs w:val="32"/>
          <w:highlight w:val="none"/>
        </w:rPr>
        <w:t>城乡社区</w:t>
      </w:r>
      <w:r>
        <w:rPr>
          <w:rFonts w:hint="eastAsia" w:ascii="仿宋_GB2312" w:eastAsia="仿宋_GB2312" w:cs="仿宋_GB2312"/>
          <w:color w:val="auto"/>
          <w:sz w:val="32"/>
          <w:szCs w:val="32"/>
          <w:highlight w:val="none"/>
          <w:lang w:val="en-US" w:eastAsia="zh-CN"/>
        </w:rPr>
        <w:t>支出</w:t>
      </w:r>
      <w:r>
        <w:rPr>
          <w:rFonts w:hint="eastAsia" w:ascii="仿宋_GB2312" w:eastAsia="仿宋_GB2312" w:cs="仿宋_GB2312"/>
          <w:color w:val="auto"/>
          <w:sz w:val="32"/>
          <w:szCs w:val="32"/>
          <w:highlight w:val="none"/>
        </w:rPr>
        <w:t>（项）：支出决算为</w:t>
      </w:r>
      <w:r>
        <w:rPr>
          <w:rFonts w:hint="eastAsia" w:cs="仿宋_GB2312"/>
          <w:color w:val="auto"/>
          <w:sz w:val="32"/>
          <w:szCs w:val="32"/>
          <w:highlight w:val="none"/>
          <w:lang w:val="en-US" w:eastAsia="zh-CN"/>
        </w:rPr>
        <w:t>552.76</w:t>
      </w:r>
      <w:r>
        <w:rPr>
          <w:rFonts w:hint="eastAsia" w:ascii="仿宋_GB2312" w:eastAsia="仿宋_GB2312" w:cs="仿宋_GB2312"/>
          <w:color w:val="auto"/>
          <w:sz w:val="32"/>
          <w:szCs w:val="32"/>
          <w:highlight w:val="none"/>
        </w:rPr>
        <w:t>万元，完成预算100%。</w:t>
      </w:r>
    </w:p>
    <w:p w14:paraId="67B514AE">
      <w:pPr>
        <w:ind w:firstLine="640" w:firstLineChars="200"/>
        <w:rPr>
          <w:rFonts w:ascii="仿宋_GB2312" w:eastAsia="仿宋_GB2312" w:cs="仿宋_GB2312"/>
          <w:color w:val="auto"/>
          <w:sz w:val="32"/>
          <w:szCs w:val="32"/>
          <w:lang w:val="zh-CN"/>
        </w:rPr>
      </w:pPr>
      <w:r>
        <w:rPr>
          <w:rFonts w:hint="eastAsia" w:ascii="仿宋_GB2312" w:eastAsia="仿宋_GB2312" w:cs="仿宋_GB2312"/>
          <w:color w:val="auto"/>
          <w:sz w:val="32"/>
          <w:szCs w:val="32"/>
          <w:lang w:val="zh-CN"/>
        </w:rPr>
        <w:t>1</w:t>
      </w:r>
      <w:r>
        <w:rPr>
          <w:rFonts w:hint="eastAsia" w:ascii="仿宋_GB2312" w:eastAsia="仿宋_GB2312" w:cs="仿宋_GB2312"/>
          <w:color w:val="auto"/>
          <w:sz w:val="32"/>
          <w:szCs w:val="32"/>
          <w:lang w:val="en-US" w:eastAsia="zh-CN"/>
        </w:rPr>
        <w:t>5</w:t>
      </w:r>
      <w:r>
        <w:rPr>
          <w:rFonts w:hint="eastAsia" w:ascii="仿宋_GB2312" w:eastAsia="仿宋_GB2312" w:cs="仿宋_GB2312"/>
          <w:color w:val="auto"/>
          <w:sz w:val="32"/>
          <w:szCs w:val="32"/>
          <w:lang w:val="zh-CN"/>
        </w:rPr>
        <w:t>.农林水支出（类）其他农林水支出（款）其他农林水支出（项）</w:t>
      </w:r>
      <w:r>
        <w:rPr>
          <w:rFonts w:ascii="仿宋_GB2312" w:eastAsia="仿宋_GB2312" w:cs="仿宋_GB2312"/>
          <w:color w:val="auto"/>
          <w:sz w:val="32"/>
          <w:szCs w:val="32"/>
          <w:lang w:val="zh-CN"/>
        </w:rPr>
        <w:t>:</w:t>
      </w:r>
      <w:r>
        <w:rPr>
          <w:rFonts w:hint="eastAsia" w:ascii="仿宋_GB2312" w:eastAsia="仿宋_GB2312" w:cs="仿宋_GB2312"/>
          <w:color w:val="auto"/>
          <w:sz w:val="32"/>
          <w:szCs w:val="32"/>
          <w:lang w:val="zh-CN"/>
        </w:rPr>
        <w:t>支出决算为</w:t>
      </w:r>
      <w:r>
        <w:rPr>
          <w:rFonts w:hint="eastAsia" w:ascii="仿宋_GB2312" w:eastAsia="仿宋_GB2312" w:cs="仿宋_GB2312"/>
          <w:color w:val="auto"/>
          <w:sz w:val="32"/>
          <w:szCs w:val="32"/>
          <w:lang w:val="en-US" w:eastAsia="zh-CN"/>
        </w:rPr>
        <w:t>502.94</w:t>
      </w:r>
      <w:r>
        <w:rPr>
          <w:rFonts w:hint="eastAsia" w:ascii="仿宋_GB2312" w:eastAsia="仿宋_GB2312" w:cs="仿宋_GB2312"/>
          <w:color w:val="auto"/>
          <w:sz w:val="32"/>
          <w:szCs w:val="32"/>
          <w:lang w:val="zh-CN"/>
        </w:rPr>
        <w:t>万元，完成预算100</w:t>
      </w:r>
      <w:r>
        <w:rPr>
          <w:rFonts w:ascii="仿宋_GB2312" w:eastAsia="仿宋_GB2312" w:cs="仿宋_GB2312"/>
          <w:color w:val="auto"/>
          <w:sz w:val="32"/>
          <w:szCs w:val="32"/>
          <w:lang w:val="zh-CN"/>
        </w:rPr>
        <w:t>%</w:t>
      </w:r>
      <w:r>
        <w:rPr>
          <w:rFonts w:hint="eastAsia" w:ascii="仿宋_GB2312" w:eastAsia="仿宋_GB2312" w:cs="仿宋_GB2312"/>
          <w:color w:val="auto"/>
          <w:sz w:val="32"/>
          <w:szCs w:val="32"/>
          <w:lang w:val="zh-CN"/>
        </w:rPr>
        <w:t>。</w:t>
      </w:r>
    </w:p>
    <w:p w14:paraId="48E60214">
      <w:pPr>
        <w:ind w:firstLine="640" w:firstLineChars="200"/>
        <w:rPr>
          <w:rFonts w:hint="eastAsia" w:ascii="仿宋_GB2312" w:eastAsia="仿宋_GB2312" w:cs="仿宋_GB2312"/>
          <w:color w:val="auto"/>
          <w:sz w:val="32"/>
          <w:szCs w:val="32"/>
        </w:rPr>
      </w:pPr>
      <w:r>
        <w:rPr>
          <w:rFonts w:hint="eastAsia" w:ascii="仿宋_GB2312" w:eastAsia="仿宋_GB2312" w:cs="仿宋_GB2312"/>
          <w:color w:val="auto"/>
          <w:sz w:val="32"/>
          <w:szCs w:val="32"/>
        </w:rPr>
        <w:t>1</w:t>
      </w:r>
      <w:r>
        <w:rPr>
          <w:rFonts w:hint="eastAsia" w:ascii="仿宋_GB2312" w:eastAsia="仿宋_GB2312" w:cs="仿宋_GB2312"/>
          <w:color w:val="auto"/>
          <w:sz w:val="32"/>
          <w:szCs w:val="32"/>
          <w:lang w:val="en-US" w:eastAsia="zh-CN"/>
        </w:rPr>
        <w:t>6</w:t>
      </w:r>
      <w:r>
        <w:rPr>
          <w:rFonts w:hint="eastAsia" w:ascii="仿宋_GB2312" w:eastAsia="仿宋_GB2312" w:cs="仿宋_GB2312"/>
          <w:color w:val="auto"/>
          <w:sz w:val="32"/>
          <w:szCs w:val="32"/>
        </w:rPr>
        <w:t>.住房保障支出（类）</w:t>
      </w:r>
      <w:r>
        <w:rPr>
          <w:rFonts w:hint="eastAsia" w:ascii="仿宋_GB2312" w:eastAsia="仿宋_GB2312" w:cs="仿宋_GB2312"/>
          <w:color w:val="auto"/>
          <w:sz w:val="32"/>
          <w:szCs w:val="32"/>
          <w:lang w:val="zh-CN"/>
        </w:rPr>
        <w:t>保障性安居工程支出</w:t>
      </w:r>
      <w:r>
        <w:rPr>
          <w:rFonts w:hint="eastAsia" w:ascii="仿宋_GB2312" w:eastAsia="仿宋_GB2312" w:cs="仿宋_GB2312"/>
          <w:color w:val="auto"/>
          <w:sz w:val="32"/>
          <w:szCs w:val="32"/>
        </w:rPr>
        <w:t>（款）</w:t>
      </w:r>
      <w:r>
        <w:rPr>
          <w:rFonts w:hint="eastAsia" w:ascii="仿宋_GB2312" w:eastAsia="仿宋_GB2312" w:cs="仿宋_GB2312"/>
          <w:color w:val="auto"/>
          <w:sz w:val="32"/>
          <w:szCs w:val="32"/>
          <w:lang w:val="zh-CN"/>
        </w:rPr>
        <w:t>其他保障性安居工程支出</w:t>
      </w:r>
      <w:r>
        <w:rPr>
          <w:rFonts w:hint="eastAsia" w:ascii="仿宋_GB2312" w:eastAsia="仿宋_GB2312" w:cs="仿宋_GB2312"/>
          <w:color w:val="auto"/>
          <w:sz w:val="32"/>
          <w:szCs w:val="32"/>
        </w:rPr>
        <w:t>（项）:支出决算为</w:t>
      </w:r>
      <w:r>
        <w:rPr>
          <w:rFonts w:hint="eastAsia" w:ascii="仿宋_GB2312" w:eastAsia="仿宋_GB2312" w:cs="仿宋_GB2312"/>
          <w:color w:val="auto"/>
          <w:sz w:val="32"/>
          <w:szCs w:val="32"/>
          <w:lang w:val="en-US" w:eastAsia="zh-CN"/>
        </w:rPr>
        <w:t>300</w:t>
      </w:r>
      <w:r>
        <w:rPr>
          <w:rFonts w:hint="eastAsia" w:ascii="仿宋_GB2312" w:eastAsia="仿宋_GB2312" w:cs="仿宋_GB2312"/>
          <w:color w:val="auto"/>
          <w:sz w:val="32"/>
          <w:szCs w:val="32"/>
        </w:rPr>
        <w:t>万元，完成预算100%。</w:t>
      </w:r>
    </w:p>
    <w:p w14:paraId="13232593">
      <w:pPr>
        <w:ind w:firstLine="640" w:firstLineChars="200"/>
        <w:rPr>
          <w:rFonts w:eastAsia="仿宋_GB2312" w:cs="仿宋_GB2312"/>
          <w:color w:val="auto"/>
          <w:sz w:val="32"/>
          <w:szCs w:val="32"/>
        </w:rPr>
      </w:pPr>
      <w:r>
        <w:rPr>
          <w:rFonts w:hint="eastAsia" w:ascii="仿宋_GB2312" w:eastAsia="仿宋_GB2312" w:cs="仿宋_GB2312"/>
          <w:color w:val="auto"/>
          <w:sz w:val="32"/>
          <w:szCs w:val="32"/>
        </w:rPr>
        <w:t>1</w:t>
      </w:r>
      <w:r>
        <w:rPr>
          <w:rFonts w:hint="eastAsia" w:ascii="仿宋_GB2312" w:eastAsia="仿宋_GB2312" w:cs="仿宋_GB2312"/>
          <w:color w:val="auto"/>
          <w:sz w:val="32"/>
          <w:szCs w:val="32"/>
          <w:lang w:val="en-US" w:eastAsia="zh-CN"/>
        </w:rPr>
        <w:t>7</w:t>
      </w:r>
      <w:r>
        <w:rPr>
          <w:rFonts w:hint="eastAsia" w:ascii="仿宋_GB2312" w:eastAsia="仿宋_GB2312" w:cs="仿宋_GB2312"/>
          <w:color w:val="auto"/>
          <w:sz w:val="32"/>
          <w:szCs w:val="32"/>
        </w:rPr>
        <w:t>.住房保障支出（类）住房改革支出（款）住房公积金（项）:支出决算为</w:t>
      </w:r>
      <w:r>
        <w:rPr>
          <w:rFonts w:hint="eastAsia" w:ascii="仿宋_GB2312" w:eastAsia="仿宋_GB2312" w:cs="仿宋_GB2312"/>
          <w:color w:val="auto"/>
          <w:sz w:val="32"/>
          <w:szCs w:val="32"/>
          <w:lang w:val="en-US" w:eastAsia="zh-CN"/>
        </w:rPr>
        <w:t>94.76</w:t>
      </w:r>
      <w:r>
        <w:rPr>
          <w:rFonts w:hint="eastAsia" w:ascii="仿宋_GB2312" w:eastAsia="仿宋_GB2312" w:cs="仿宋_GB2312"/>
          <w:color w:val="auto"/>
          <w:sz w:val="32"/>
          <w:szCs w:val="32"/>
        </w:rPr>
        <w:t>万元，完成预算100%</w:t>
      </w:r>
      <w:r>
        <w:rPr>
          <w:rStyle w:val="18"/>
          <w:rFonts w:hint="eastAsia" w:ascii="仿宋" w:hAnsi="仿宋" w:eastAsia="仿宋"/>
          <w:bCs/>
          <w:color w:val="auto"/>
          <w:sz w:val="32"/>
          <w:szCs w:val="32"/>
          <w:lang w:val="zh-CN"/>
        </w:rPr>
        <w:t>。</w:t>
      </w:r>
    </w:p>
    <w:p w14:paraId="7772C6E4">
      <w:pPr>
        <w:tabs>
          <w:tab w:val="right" w:pos="8306"/>
        </w:tabs>
        <w:spacing w:line="600" w:lineRule="exact"/>
        <w:ind w:firstLine="640"/>
        <w:outlineLvl w:val="1"/>
        <w:rPr>
          <w:rStyle w:val="30"/>
          <w:rFonts w:ascii="Times New Roman" w:hAnsi="Times New Roman"/>
          <w:color w:val="auto"/>
        </w:rPr>
      </w:pPr>
      <w:bookmarkStart w:id="34" w:name="_Toc15396608"/>
      <w:bookmarkStart w:id="35" w:name="_Toc15377214"/>
      <w:r>
        <w:rPr>
          <w:rFonts w:hint="eastAsia" w:eastAsia="黑体"/>
          <w:color w:val="auto"/>
          <w:sz w:val="32"/>
          <w:szCs w:val="32"/>
        </w:rPr>
        <w:t>六</w:t>
      </w:r>
      <w:r>
        <w:rPr>
          <w:rFonts w:hint="eastAsia" w:eastAsia="黑体"/>
          <w:b/>
          <w:color w:val="auto"/>
          <w:sz w:val="32"/>
          <w:szCs w:val="32"/>
        </w:rPr>
        <w:t>、一</w:t>
      </w:r>
      <w:r>
        <w:rPr>
          <w:rStyle w:val="30"/>
          <w:rFonts w:hint="eastAsia" w:ascii="Times New Roman" w:hAnsi="Times New Roman" w:eastAsia="黑体"/>
          <w:b w:val="0"/>
          <w:color w:val="auto"/>
        </w:rPr>
        <w:t>般公共预算财政拨款基本支出决算情况说明</w:t>
      </w:r>
      <w:bookmarkEnd w:id="34"/>
      <w:bookmarkEnd w:id="35"/>
      <w:r>
        <w:rPr>
          <w:rStyle w:val="30"/>
          <w:rFonts w:ascii="Times New Roman" w:hAnsi="Times New Roman" w:eastAsia="黑体"/>
          <w:b w:val="0"/>
          <w:color w:val="auto"/>
        </w:rPr>
        <w:tab/>
      </w:r>
    </w:p>
    <w:p w14:paraId="3C12892D">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2025年度一般公共预算财政拨款基本支出</w:t>
      </w:r>
      <w:r>
        <w:rPr>
          <w:rFonts w:hint="eastAsia" w:eastAsia="仿宋_GB2312" w:cs="仿宋_GB2312"/>
          <w:color w:val="auto"/>
          <w:sz w:val="32"/>
          <w:szCs w:val="32"/>
          <w:lang w:val="en-US" w:eastAsia="zh-CN"/>
        </w:rPr>
        <w:t>1726.32</w:t>
      </w:r>
      <w:r>
        <w:rPr>
          <w:rFonts w:hint="eastAsia" w:eastAsia="仿宋_GB2312" w:cs="仿宋_GB2312"/>
          <w:color w:val="auto"/>
          <w:sz w:val="32"/>
          <w:szCs w:val="32"/>
        </w:rPr>
        <w:t>万元，其中：</w:t>
      </w:r>
    </w:p>
    <w:p w14:paraId="6F5E54E8">
      <w:pPr>
        <w:spacing w:line="600" w:lineRule="exact"/>
        <w:ind w:firstLine="640"/>
        <w:rPr>
          <w:rFonts w:eastAsia="仿宋_GB2312" w:cs="仿宋_GB2312"/>
          <w:color w:val="auto"/>
          <w:sz w:val="32"/>
          <w:szCs w:val="32"/>
        </w:rPr>
      </w:pPr>
      <w:r>
        <w:rPr>
          <w:rFonts w:hint="eastAsia" w:eastAsia="仿宋_GB2312" w:cs="仿宋_GB2312"/>
          <w:color w:val="auto"/>
          <w:sz w:val="32"/>
          <w:szCs w:val="32"/>
        </w:rPr>
        <w:t>人员经费</w:t>
      </w:r>
      <w:r>
        <w:rPr>
          <w:rFonts w:hint="eastAsia" w:eastAsia="仿宋_GB2312" w:cs="仿宋_GB2312"/>
          <w:color w:val="auto"/>
          <w:sz w:val="32"/>
          <w:szCs w:val="32"/>
          <w:lang w:val="en-US" w:eastAsia="zh-CN"/>
        </w:rPr>
        <w:t>1623.20</w:t>
      </w:r>
      <w:r>
        <w:rPr>
          <w:rFonts w:hint="eastAsia" w:eastAsia="仿宋_GB2312" w:cs="仿宋_GB2312"/>
          <w:color w:val="auto"/>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color w:val="auto"/>
          <w:sz w:val="32"/>
          <w:szCs w:val="32"/>
        </w:rPr>
        <w:br w:type="textWrapping"/>
      </w:r>
      <w:r>
        <w:rPr>
          <w:rFonts w:hint="eastAsia" w:eastAsia="仿宋_GB2312" w:cs="仿宋_GB2312"/>
          <w:color w:val="auto"/>
          <w:sz w:val="32"/>
          <w:szCs w:val="32"/>
        </w:rPr>
        <w:t>　　公用经费</w:t>
      </w:r>
      <w:r>
        <w:rPr>
          <w:rFonts w:hint="eastAsia" w:eastAsia="仿宋_GB2312" w:cs="仿宋_GB2312"/>
          <w:color w:val="auto"/>
          <w:sz w:val="32"/>
          <w:szCs w:val="32"/>
          <w:lang w:val="en-US" w:eastAsia="zh-CN"/>
        </w:rPr>
        <w:t>103.12</w:t>
      </w:r>
      <w:r>
        <w:rPr>
          <w:rFonts w:hint="eastAsia" w:eastAsia="仿宋_GB2312" w:cs="仿宋_GB2312"/>
          <w:color w:val="auto"/>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78A75F1">
      <w:pPr>
        <w:spacing w:line="600" w:lineRule="exact"/>
        <w:ind w:firstLine="640"/>
        <w:outlineLvl w:val="1"/>
        <w:rPr>
          <w:rStyle w:val="30"/>
          <w:rFonts w:ascii="Times New Roman" w:hAnsi="Times New Roman" w:eastAsia="黑体"/>
          <w:b w:val="0"/>
          <w:color w:val="auto"/>
        </w:rPr>
      </w:pPr>
      <w:bookmarkStart w:id="36" w:name="_Toc15396609"/>
      <w:bookmarkStart w:id="37" w:name="_Toc15377215"/>
      <w:r>
        <w:rPr>
          <w:rFonts w:hint="eastAsia" w:eastAsia="黑体"/>
          <w:color w:val="auto"/>
          <w:sz w:val="32"/>
          <w:szCs w:val="32"/>
        </w:rPr>
        <w:t>七、</w:t>
      </w:r>
      <w:r>
        <w:rPr>
          <w:rStyle w:val="30"/>
          <w:rFonts w:hint="eastAsia" w:ascii="Times New Roman" w:hAnsi="Times New Roman" w:eastAsia="黑体"/>
          <w:b w:val="0"/>
          <w:color w:val="auto"/>
        </w:rPr>
        <w:t>财政拨款</w:t>
      </w:r>
      <w:r>
        <w:rPr>
          <w:rStyle w:val="30"/>
          <w:rFonts w:hint="eastAsia" w:ascii="Times New Roman" w:hAnsi="Times New Roman" w:eastAsia="黑体"/>
          <w:color w:val="auto"/>
        </w:rPr>
        <w:t>“</w:t>
      </w:r>
      <w:r>
        <w:rPr>
          <w:rStyle w:val="30"/>
          <w:rFonts w:hint="eastAsia" w:ascii="Times New Roman" w:hAnsi="Times New Roman" w:eastAsia="黑体"/>
          <w:b w:val="0"/>
          <w:color w:val="auto"/>
        </w:rPr>
        <w:t>三公”经费支出决算情况说明</w:t>
      </w:r>
      <w:bookmarkEnd w:id="36"/>
      <w:bookmarkEnd w:id="37"/>
    </w:p>
    <w:p w14:paraId="20F485C1">
      <w:pPr>
        <w:spacing w:line="600" w:lineRule="exact"/>
        <w:ind w:firstLine="643" w:firstLineChars="200"/>
        <w:outlineLvl w:val="2"/>
        <w:rPr>
          <w:rFonts w:eastAsia="楷体_GB2312" w:cs="楷体_GB2312"/>
          <w:b/>
          <w:color w:val="auto"/>
          <w:sz w:val="32"/>
          <w:szCs w:val="32"/>
        </w:rPr>
      </w:pPr>
      <w:bookmarkStart w:id="38" w:name="_Toc15377216"/>
      <w:r>
        <w:rPr>
          <w:rFonts w:hint="eastAsia" w:eastAsia="楷体_GB2312" w:cs="楷体_GB2312"/>
          <w:b/>
          <w:color w:val="auto"/>
          <w:sz w:val="32"/>
          <w:szCs w:val="32"/>
        </w:rPr>
        <w:t>（一）财政拨款“三公”经费支出决算总体情况说明</w:t>
      </w:r>
      <w:bookmarkEnd w:id="38"/>
    </w:p>
    <w:p w14:paraId="4FDFAB6C">
      <w:pPr>
        <w:spacing w:line="600" w:lineRule="exact"/>
        <w:ind w:firstLine="640"/>
        <w:rPr>
          <w:rFonts w:eastAsia="仿宋_GB2312" w:cs="仿宋_GB2312"/>
          <w:b/>
          <w:bCs/>
          <w:color w:val="auto"/>
          <w:sz w:val="32"/>
          <w:szCs w:val="32"/>
        </w:rPr>
      </w:pPr>
      <w:r>
        <w:rPr>
          <w:rFonts w:hint="eastAsia" w:eastAsia="仿宋_GB2312" w:cs="仿宋_GB2312"/>
          <w:color w:val="auto"/>
          <w:sz w:val="32"/>
          <w:szCs w:val="32"/>
        </w:rPr>
        <w:t>2025年度财政拨款“三公”经费支出决算为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万元，完成预算</w:t>
      </w:r>
      <w:r>
        <w:rPr>
          <w:rFonts w:hint="eastAsia" w:eastAsia="仿宋_GB2312" w:cs="仿宋_GB2312"/>
          <w:color w:val="auto"/>
          <w:sz w:val="32"/>
          <w:szCs w:val="32"/>
          <w:lang w:val="en-US" w:eastAsia="zh-CN"/>
        </w:rPr>
        <w:t>0</w:t>
      </w:r>
      <w:r>
        <w:rPr>
          <w:rFonts w:hint="eastAsia" w:eastAsia="仿宋_GB2312" w:cs="仿宋_GB2312"/>
          <w:color w:val="auto"/>
          <w:sz w:val="32"/>
          <w:szCs w:val="32"/>
        </w:rPr>
        <w:t>%，较上年度减少</w:t>
      </w:r>
      <w:r>
        <w:rPr>
          <w:rFonts w:hint="eastAsia" w:ascii="仿宋_GB2312" w:hAnsi="仿宋_GB2312" w:eastAsia="仿宋_GB2312" w:cs="仿宋_GB2312"/>
          <w:color w:val="auto"/>
          <w:kern w:val="2"/>
          <w:sz w:val="32"/>
          <w:szCs w:val="32"/>
          <w:highlight w:val="none"/>
          <w:lang w:val="en-US" w:eastAsia="zh-CN" w:bidi="ar-SA"/>
        </w:rPr>
        <w:t>公务接待费支出</w:t>
      </w:r>
      <w:r>
        <w:rPr>
          <w:rFonts w:hint="eastAsia" w:eastAsia="仿宋_GB2312" w:cs="仿宋_GB2312"/>
          <w:color w:val="auto"/>
          <w:sz w:val="32"/>
          <w:szCs w:val="32"/>
          <w:lang w:val="en-US" w:eastAsia="zh-CN"/>
        </w:rPr>
        <w:t>0.52</w:t>
      </w:r>
      <w:r>
        <w:rPr>
          <w:rFonts w:hint="eastAsia" w:eastAsia="仿宋_GB2312" w:cs="仿宋_GB2312"/>
          <w:color w:val="auto"/>
          <w:sz w:val="32"/>
          <w:szCs w:val="32"/>
        </w:rPr>
        <w:t>万元，下降</w:t>
      </w:r>
      <w:r>
        <w:rPr>
          <w:rFonts w:hint="eastAsia" w:eastAsia="仿宋_GB2312" w:cs="仿宋_GB2312"/>
          <w:color w:val="auto"/>
          <w:sz w:val="32"/>
          <w:szCs w:val="32"/>
          <w:lang w:val="en-US" w:eastAsia="zh-CN"/>
        </w:rPr>
        <w:t>100</w:t>
      </w:r>
      <w:r>
        <w:rPr>
          <w:rFonts w:hint="eastAsia" w:eastAsia="仿宋_GB2312" w:cs="仿宋_GB2312"/>
          <w:color w:val="auto"/>
          <w:sz w:val="32"/>
          <w:szCs w:val="32"/>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Cambria" w:eastAsia="仿宋_GB2312" w:cs="仿宋_GB2312"/>
          <w:color w:val="auto"/>
          <w:sz w:val="32"/>
          <w:szCs w:val="32"/>
          <w:lang w:val="zh-CN"/>
        </w:rPr>
        <w:t>我局公务接待</w:t>
      </w:r>
      <w:r>
        <w:rPr>
          <w:rFonts w:hint="eastAsia" w:ascii="仿宋_GB2312" w:hAnsi="Cambria" w:eastAsia="仿宋_GB2312" w:cs="仿宋_GB2312"/>
          <w:color w:val="auto"/>
          <w:sz w:val="32"/>
          <w:szCs w:val="32"/>
          <w:lang w:val="en-US" w:eastAsia="zh-CN"/>
        </w:rPr>
        <w:t>减少</w:t>
      </w:r>
      <w:r>
        <w:rPr>
          <w:rFonts w:hint="eastAsia" w:ascii="Times New Roman" w:hAnsi="Times New Roman" w:eastAsia="仿宋_GB2312" w:cs="仿宋_GB2312"/>
          <w:color w:val="auto"/>
          <w:kern w:val="2"/>
          <w:sz w:val="32"/>
          <w:szCs w:val="32"/>
          <w:highlight w:val="none"/>
          <w:lang w:val="en-US" w:eastAsia="zh-CN" w:bidi="ar-SA"/>
        </w:rPr>
        <w:t>。</w:t>
      </w:r>
    </w:p>
    <w:p w14:paraId="6D366639">
      <w:pPr>
        <w:spacing w:line="600" w:lineRule="exact"/>
        <w:ind w:firstLine="643" w:firstLineChars="200"/>
        <w:outlineLvl w:val="2"/>
        <w:rPr>
          <w:rFonts w:eastAsia="楷体_GB2312" w:cs="楷体_GB2312"/>
          <w:b/>
          <w:color w:val="auto"/>
          <w:sz w:val="32"/>
          <w:szCs w:val="32"/>
        </w:rPr>
      </w:pPr>
      <w:bookmarkStart w:id="39" w:name="_Toc15377217"/>
      <w:r>
        <w:rPr>
          <w:rFonts w:hint="eastAsia" w:eastAsia="楷体_GB2312" w:cs="楷体_GB2312"/>
          <w:b/>
          <w:color w:val="auto"/>
          <w:sz w:val="32"/>
          <w:szCs w:val="32"/>
        </w:rPr>
        <w:t>（二）财政拨款“三公”经费支出决算具体情况说明</w:t>
      </w:r>
      <w:bookmarkEnd w:id="39"/>
    </w:p>
    <w:p w14:paraId="4888C6A7">
      <w:pPr>
        <w:spacing w:line="600" w:lineRule="exact"/>
        <w:ind w:firstLine="640"/>
        <w:rPr>
          <w:rFonts w:hint="eastAsia" w:eastAsia="仿宋_GB2312" w:cs="仿宋_GB2312"/>
          <w:color w:val="auto"/>
          <w:sz w:val="32"/>
          <w:szCs w:val="32"/>
        </w:rPr>
      </w:pPr>
      <w:r>
        <w:rPr>
          <w:rFonts w:hint="eastAsia" w:eastAsia="仿宋_GB2312" w:cs="仿宋_GB2312"/>
          <w:color w:val="auto"/>
          <w:sz w:val="32"/>
          <w:szCs w:val="32"/>
        </w:rPr>
        <w:t>2025年度财政拨款“三公”经费支出决算中，因公出国（境）费支出决算</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0</w:t>
      </w:r>
      <w:r>
        <w:rPr>
          <w:rFonts w:hint="eastAsia" w:eastAsia="仿宋_GB2312" w:cs="仿宋_GB2312"/>
          <w:color w:val="auto"/>
          <w:sz w:val="32"/>
          <w:szCs w:val="32"/>
        </w:rPr>
        <w:t>%；公务用车购置及运行维护费支出决算</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0</w:t>
      </w:r>
      <w:r>
        <w:rPr>
          <w:rFonts w:hint="eastAsia" w:eastAsia="仿宋_GB2312" w:cs="仿宋_GB2312"/>
          <w:color w:val="auto"/>
          <w:sz w:val="32"/>
          <w:szCs w:val="32"/>
        </w:rPr>
        <w:t>%；公务接待费支出决算</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万元，占</w:t>
      </w:r>
      <w:r>
        <w:rPr>
          <w:rFonts w:hint="eastAsia" w:eastAsia="仿宋_GB2312" w:cs="仿宋_GB2312"/>
          <w:color w:val="auto"/>
          <w:sz w:val="32"/>
          <w:szCs w:val="32"/>
          <w:lang w:val="en-US" w:eastAsia="zh-CN"/>
        </w:rPr>
        <w:t>0</w:t>
      </w:r>
      <w:r>
        <w:rPr>
          <w:rFonts w:hint="eastAsia" w:eastAsia="仿宋_GB2312" w:cs="仿宋_GB2312"/>
          <w:color w:val="auto"/>
          <w:sz w:val="32"/>
          <w:szCs w:val="32"/>
        </w:rPr>
        <w:t>%。</w:t>
      </w:r>
    </w:p>
    <w:p w14:paraId="70BE5FE7">
      <w:pPr>
        <w:spacing w:line="600" w:lineRule="exact"/>
        <w:ind w:firstLine="640"/>
        <w:rPr>
          <w:rFonts w:eastAsia="仿宋_GB2312" w:cs="仿宋_GB2312"/>
          <w:color w:val="auto"/>
          <w:sz w:val="32"/>
          <w:szCs w:val="32"/>
        </w:rPr>
      </w:pPr>
      <w:r>
        <w:rPr>
          <w:rFonts w:hint="eastAsia" w:eastAsia="仿宋_GB2312" w:cs="仿宋_GB2312"/>
          <w:color w:val="auto"/>
          <w:sz w:val="32"/>
          <w:szCs w:val="32"/>
          <w:lang w:eastAsia="zh-CN"/>
        </w:rPr>
        <w:drawing>
          <wp:anchor distT="0" distB="0" distL="114300" distR="114300" simplePos="0" relativeHeight="251665408" behindDoc="0" locked="0" layoutInCell="1" allowOverlap="1">
            <wp:simplePos x="0" y="0"/>
            <wp:positionH relativeFrom="column">
              <wp:posOffset>68580</wp:posOffset>
            </wp:positionH>
            <wp:positionV relativeFrom="paragraph">
              <wp:posOffset>120650</wp:posOffset>
            </wp:positionV>
            <wp:extent cx="5256530" cy="2988310"/>
            <wp:effectExtent l="5080" t="4445" r="15240" b="17145"/>
            <wp:wrapTopAndBottom/>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anchor>
        </w:drawing>
      </w:r>
      <w:r>
        <w:rPr>
          <w:rFonts w:hint="eastAsia" w:eastAsia="仿宋_GB2312" w:cs="仿宋_GB2312"/>
          <w:b/>
          <w:bCs/>
          <w:color w:val="auto"/>
          <w:sz w:val="32"/>
          <w:szCs w:val="32"/>
        </w:rPr>
        <w:t>1.因公出国（境）经费支出</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万元，完成预算</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w:t>
      </w:r>
      <w:r>
        <w:rPr>
          <w:rFonts w:hint="eastAsia" w:eastAsia="仿宋_GB2312" w:cs="仿宋_GB2312"/>
          <w:color w:val="auto"/>
          <w:sz w:val="32"/>
          <w:szCs w:val="32"/>
        </w:rPr>
        <w:t>全年安排因公出国（境）团组</w:t>
      </w:r>
      <w:r>
        <w:rPr>
          <w:rFonts w:hint="eastAsia" w:eastAsia="仿宋_GB2312" w:cs="仿宋_GB2312"/>
          <w:color w:val="auto"/>
          <w:sz w:val="32"/>
          <w:szCs w:val="32"/>
          <w:lang w:val="en-US" w:eastAsia="zh-CN"/>
        </w:rPr>
        <w:t>0</w:t>
      </w:r>
      <w:r>
        <w:rPr>
          <w:rFonts w:hint="eastAsia" w:eastAsia="仿宋_GB2312" w:cs="仿宋_GB2312"/>
          <w:color w:val="auto"/>
          <w:sz w:val="32"/>
          <w:szCs w:val="32"/>
        </w:rPr>
        <w:t>次，出国（境）</w:t>
      </w:r>
      <w:r>
        <w:rPr>
          <w:rFonts w:hint="eastAsia" w:eastAsia="仿宋_GB2312" w:cs="仿宋_GB2312"/>
          <w:color w:val="auto"/>
          <w:sz w:val="32"/>
          <w:szCs w:val="32"/>
          <w:lang w:val="en-US" w:eastAsia="zh-CN"/>
        </w:rPr>
        <w:t>0</w:t>
      </w:r>
      <w:r>
        <w:rPr>
          <w:rFonts w:hint="eastAsia" w:eastAsia="仿宋_GB2312" w:cs="仿宋_GB2312"/>
          <w:color w:val="auto"/>
          <w:sz w:val="32"/>
          <w:szCs w:val="32"/>
        </w:rPr>
        <w:t>人。因公出国（境）支出决算比上年度增加/减少</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万元，增长/下降</w:t>
      </w:r>
      <w:r>
        <w:rPr>
          <w:rFonts w:hint="eastAsia" w:eastAsia="仿宋_GB2312" w:cs="仿宋_GB2312"/>
          <w:color w:val="auto"/>
          <w:sz w:val="32"/>
          <w:szCs w:val="32"/>
          <w:lang w:val="en-US" w:eastAsia="zh-CN"/>
        </w:rPr>
        <w:t>0</w:t>
      </w:r>
      <w:r>
        <w:rPr>
          <w:rFonts w:hint="eastAsia" w:eastAsia="仿宋_GB2312" w:cs="仿宋_GB2312"/>
          <w:color w:val="auto"/>
          <w:sz w:val="32"/>
          <w:szCs w:val="32"/>
        </w:rPr>
        <w:t>%。</w:t>
      </w:r>
    </w:p>
    <w:p w14:paraId="1ABF2F98">
      <w:pPr>
        <w:spacing w:line="600" w:lineRule="exact"/>
        <w:ind w:firstLine="643" w:firstLineChars="200"/>
        <w:rPr>
          <w:rFonts w:hint="eastAsia" w:eastAsia="仿宋_GB2312" w:cs="仿宋_GB2312"/>
          <w:b/>
          <w:bCs/>
          <w:color w:val="auto"/>
          <w:sz w:val="32"/>
          <w:szCs w:val="32"/>
          <w:lang w:val="en-US" w:eastAsia="zh-CN"/>
        </w:rPr>
      </w:pPr>
      <w:r>
        <w:rPr>
          <w:rFonts w:hint="eastAsia" w:eastAsia="仿宋_GB2312" w:cs="仿宋_GB2312"/>
          <w:b/>
          <w:bCs/>
          <w:color w:val="auto"/>
          <w:sz w:val="32"/>
          <w:szCs w:val="32"/>
        </w:rPr>
        <w:t>2.公务用车购置及运行维护费支出</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万元，完成预算</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w:t>
      </w:r>
      <w:r>
        <w:rPr>
          <w:rFonts w:hint="eastAsia" w:eastAsia="仿宋_GB2312" w:cs="仿宋_GB2312"/>
          <w:b/>
          <w:bCs/>
          <w:color w:val="auto"/>
          <w:sz w:val="32"/>
          <w:szCs w:val="32"/>
          <w:lang w:val="en-US" w:eastAsia="zh-CN"/>
        </w:rPr>
        <w:t xml:space="preserve"> </w:t>
      </w:r>
    </w:p>
    <w:p w14:paraId="49A078CC">
      <w:pPr>
        <w:spacing w:line="600" w:lineRule="exact"/>
        <w:ind w:firstLine="640" w:firstLineChars="200"/>
        <w:rPr>
          <w:rFonts w:hint="eastAsia" w:eastAsia="仿宋_GB2312" w:cs="仿宋_GB2312"/>
          <w:color w:val="auto"/>
          <w:sz w:val="32"/>
          <w:szCs w:val="32"/>
        </w:rPr>
      </w:pPr>
      <w:r>
        <w:rPr>
          <w:rFonts w:hint="eastAsia" w:eastAsia="仿宋_GB2312" w:cs="仿宋_GB2312"/>
          <w:color w:val="auto"/>
          <w:sz w:val="32"/>
          <w:szCs w:val="32"/>
        </w:rPr>
        <w:t>公务用车购置及运行维护费支出决算比上年度增加/减少</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万元，增长/下降</w:t>
      </w:r>
      <w:r>
        <w:rPr>
          <w:rFonts w:hint="eastAsia" w:eastAsia="仿宋_GB2312" w:cs="仿宋_GB2312"/>
          <w:color w:val="auto"/>
          <w:sz w:val="32"/>
          <w:szCs w:val="32"/>
          <w:lang w:val="en-US" w:eastAsia="zh-CN"/>
        </w:rPr>
        <w:t>0</w:t>
      </w:r>
      <w:r>
        <w:rPr>
          <w:rFonts w:hint="eastAsia" w:eastAsia="仿宋_GB2312" w:cs="仿宋_GB2312"/>
          <w:color w:val="auto"/>
          <w:sz w:val="32"/>
          <w:szCs w:val="32"/>
        </w:rPr>
        <w:t>%。</w:t>
      </w:r>
    </w:p>
    <w:p w14:paraId="08F918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sz w:val="32"/>
          <w:szCs w:val="32"/>
        </w:rPr>
        <w:t>其中：公务用车购置支出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万元。全年按规定更新购置公务用车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辆，其中：轿车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辆、金额</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万元，越野车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辆、金额</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万元，载客汽车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辆、金额</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w:t>
      </w:r>
      <w:r>
        <w:rPr>
          <w:rFonts w:hint="eastAsia" w:ascii="Times New Roman" w:hAnsi="Times New Roman" w:eastAsia="仿宋_GB2312" w:cs="仿宋_GB2312"/>
          <w:color w:val="auto"/>
          <w:kern w:val="2"/>
          <w:sz w:val="32"/>
          <w:szCs w:val="32"/>
          <w:highlight w:val="none"/>
          <w:lang w:val="en-US" w:eastAsia="zh-CN" w:bidi="ar-SA"/>
        </w:rPr>
        <w:t>。</w:t>
      </w:r>
    </w:p>
    <w:p w14:paraId="43BDD95B">
      <w:pPr>
        <w:spacing w:line="600" w:lineRule="exact"/>
        <w:ind w:firstLine="640"/>
        <w:rPr>
          <w:rFonts w:eastAsia="仿宋_GB2312" w:cs="仿宋_GB2312"/>
          <w:color w:val="auto"/>
          <w:sz w:val="32"/>
          <w:szCs w:val="32"/>
        </w:rPr>
      </w:pPr>
      <w:r>
        <w:rPr>
          <w:rFonts w:hint="eastAsia" w:eastAsia="仿宋_GB2312" w:cs="仿宋_GB2312"/>
          <w:color w:val="auto"/>
          <w:sz w:val="32"/>
          <w:szCs w:val="32"/>
        </w:rPr>
        <w:t>截至2025年12月31日，单位共有公务用车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辆，其中：轿车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辆、越野车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辆、载客汽车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w:t>
      </w:r>
    </w:p>
    <w:p w14:paraId="680EA25F">
      <w:pPr>
        <w:spacing w:line="600" w:lineRule="exact"/>
        <w:ind w:firstLine="640"/>
        <w:rPr>
          <w:rFonts w:eastAsia="仿宋_GB2312" w:cs="仿宋_GB2312"/>
          <w:color w:val="auto"/>
          <w:sz w:val="32"/>
          <w:szCs w:val="32"/>
        </w:rPr>
      </w:pPr>
      <w:r>
        <w:rPr>
          <w:rFonts w:hint="eastAsia" w:eastAsia="仿宋_GB2312" w:cs="仿宋_GB2312"/>
          <w:color w:val="auto"/>
          <w:sz w:val="32"/>
          <w:szCs w:val="32"/>
        </w:rPr>
        <w:t>公务用车运行维护费支出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万元。主要用于所需的公务用车燃料费、维修费、过路过桥费、保险费等支出。</w:t>
      </w:r>
    </w:p>
    <w:p w14:paraId="37C6DF48">
      <w:pPr>
        <w:spacing w:line="600" w:lineRule="exact"/>
        <w:ind w:firstLine="640"/>
        <w:rPr>
          <w:rFonts w:eastAsia="仿宋_GB2312" w:cs="仿宋_GB2312"/>
          <w:color w:val="auto"/>
          <w:sz w:val="32"/>
          <w:szCs w:val="32"/>
        </w:rPr>
      </w:pPr>
      <w:r>
        <w:rPr>
          <w:rFonts w:hint="eastAsia" w:eastAsia="仿宋_GB2312" w:cs="仿宋_GB2312"/>
          <w:b/>
          <w:bCs/>
          <w:color w:val="auto"/>
          <w:sz w:val="32"/>
          <w:szCs w:val="32"/>
        </w:rPr>
        <w:t>3.公务接待费支出</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万元，完成预算</w:t>
      </w:r>
      <w:r>
        <w:rPr>
          <w:rFonts w:hint="eastAsia" w:eastAsia="仿宋_GB2312" w:cs="仿宋_GB2312"/>
          <w:b/>
          <w:bCs/>
          <w:color w:val="auto"/>
          <w:sz w:val="32"/>
          <w:szCs w:val="32"/>
          <w:lang w:val="en-US" w:eastAsia="zh-CN"/>
        </w:rPr>
        <w:t>0</w:t>
      </w:r>
      <w:r>
        <w:rPr>
          <w:rFonts w:hint="eastAsia" w:eastAsia="仿宋_GB2312" w:cs="仿宋_GB2312"/>
          <w:b/>
          <w:bCs/>
          <w:color w:val="auto"/>
          <w:sz w:val="32"/>
          <w:szCs w:val="32"/>
        </w:rPr>
        <w:t>%。</w:t>
      </w:r>
      <w:r>
        <w:rPr>
          <w:rFonts w:hint="eastAsia" w:eastAsia="仿宋_GB2312" w:cs="仿宋_GB2312"/>
          <w:color w:val="auto"/>
          <w:sz w:val="32"/>
          <w:szCs w:val="32"/>
        </w:rPr>
        <w:t>公务接待费支出决算比上年度减少</w:t>
      </w:r>
      <w:r>
        <w:rPr>
          <w:rFonts w:hint="eastAsia" w:eastAsia="仿宋_GB2312" w:cs="仿宋_GB2312"/>
          <w:color w:val="auto"/>
          <w:sz w:val="32"/>
          <w:szCs w:val="32"/>
          <w:lang w:val="en-US" w:eastAsia="zh-CN"/>
        </w:rPr>
        <w:t>0.52</w:t>
      </w:r>
      <w:r>
        <w:rPr>
          <w:rFonts w:hint="eastAsia" w:eastAsia="仿宋_GB2312" w:cs="仿宋_GB2312"/>
          <w:color w:val="auto"/>
          <w:sz w:val="32"/>
          <w:szCs w:val="32"/>
        </w:rPr>
        <w:t>万元，下降</w:t>
      </w:r>
      <w:r>
        <w:rPr>
          <w:rFonts w:hint="eastAsia" w:eastAsia="仿宋_GB2312" w:cs="仿宋_GB2312"/>
          <w:color w:val="auto"/>
          <w:sz w:val="32"/>
          <w:szCs w:val="32"/>
          <w:lang w:val="en-US" w:eastAsia="zh-CN"/>
        </w:rPr>
        <w:t>100</w:t>
      </w:r>
      <w:r>
        <w:rPr>
          <w:rFonts w:hint="eastAsia" w:eastAsia="仿宋_GB2312" w:cs="仿宋_GB2312"/>
          <w:color w:val="auto"/>
          <w:sz w:val="32"/>
          <w:szCs w:val="32"/>
        </w:rPr>
        <w:t>%。主要原因是</w:t>
      </w:r>
      <w:r>
        <w:rPr>
          <w:rFonts w:hint="eastAsia" w:ascii="仿宋_GB2312" w:hAnsi="Cambria" w:eastAsia="仿宋_GB2312" w:cs="仿宋_GB2312"/>
          <w:color w:val="auto"/>
          <w:sz w:val="32"/>
          <w:szCs w:val="32"/>
          <w:lang w:val="zh-CN"/>
        </w:rPr>
        <w:t>我局公务接待</w:t>
      </w:r>
      <w:r>
        <w:rPr>
          <w:rFonts w:hint="eastAsia" w:ascii="仿宋_GB2312" w:hAnsi="Cambria" w:eastAsia="仿宋_GB2312" w:cs="仿宋_GB2312"/>
          <w:color w:val="auto"/>
          <w:sz w:val="32"/>
          <w:szCs w:val="32"/>
          <w:lang w:val="en-US" w:eastAsia="zh-CN"/>
        </w:rPr>
        <w:t>减少</w:t>
      </w:r>
      <w:r>
        <w:rPr>
          <w:rFonts w:hint="eastAsia" w:eastAsia="仿宋_GB2312" w:cs="仿宋_GB2312"/>
          <w:color w:val="auto"/>
          <w:sz w:val="32"/>
          <w:szCs w:val="32"/>
        </w:rPr>
        <w:t>。其中：</w:t>
      </w:r>
    </w:p>
    <w:p w14:paraId="20B03BEB">
      <w:pPr>
        <w:spacing w:line="600" w:lineRule="exact"/>
        <w:ind w:firstLine="640"/>
        <w:rPr>
          <w:rFonts w:eastAsia="仿宋_GB2312" w:cs="仿宋_GB2312"/>
          <w:color w:val="auto"/>
          <w:sz w:val="32"/>
          <w:szCs w:val="32"/>
        </w:rPr>
      </w:pPr>
      <w:r>
        <w:rPr>
          <w:rFonts w:hint="eastAsia" w:eastAsia="仿宋_GB2312" w:cs="仿宋_GB2312"/>
          <w:color w:val="auto"/>
          <w:sz w:val="32"/>
          <w:szCs w:val="32"/>
        </w:rPr>
        <w:t>国内公务接待支出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万元，主要用于执行公务、开展业务活动开支的交通费、住宿费、用餐费等。国内公务接待</w:t>
      </w:r>
      <w:r>
        <w:rPr>
          <w:rFonts w:hint="eastAsia" w:eastAsia="仿宋_GB2312" w:cs="仿宋_GB2312"/>
          <w:color w:val="auto"/>
          <w:sz w:val="32"/>
          <w:szCs w:val="32"/>
          <w:lang w:val="en-US" w:eastAsia="zh-CN"/>
        </w:rPr>
        <w:t>0</w:t>
      </w:r>
      <w:r>
        <w:rPr>
          <w:rFonts w:hint="eastAsia" w:eastAsia="仿宋_GB2312" w:cs="仿宋_GB2312"/>
          <w:color w:val="auto"/>
          <w:sz w:val="32"/>
          <w:szCs w:val="32"/>
        </w:rPr>
        <w:t>批次，</w:t>
      </w:r>
      <w:r>
        <w:rPr>
          <w:rFonts w:hint="eastAsia" w:eastAsia="仿宋_GB2312" w:cs="仿宋_GB2312"/>
          <w:color w:val="auto"/>
          <w:sz w:val="32"/>
          <w:szCs w:val="32"/>
          <w:lang w:val="en-US" w:eastAsia="zh-CN"/>
        </w:rPr>
        <w:t>0</w:t>
      </w:r>
      <w:r>
        <w:rPr>
          <w:rFonts w:hint="eastAsia" w:eastAsia="仿宋_GB2312" w:cs="仿宋_GB2312"/>
          <w:color w:val="auto"/>
          <w:sz w:val="32"/>
          <w:szCs w:val="32"/>
        </w:rPr>
        <w:t>人次（不包括陪同人员），共计支出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w:t>
      </w:r>
    </w:p>
    <w:p w14:paraId="402508C3">
      <w:pPr>
        <w:spacing w:line="600" w:lineRule="exact"/>
        <w:ind w:firstLine="640"/>
        <w:rPr>
          <w:rFonts w:eastAsia="仿宋_GB2312" w:cs="仿宋_GB2312"/>
          <w:color w:val="auto"/>
          <w:sz w:val="32"/>
          <w:szCs w:val="32"/>
        </w:rPr>
      </w:pPr>
      <w:r>
        <w:rPr>
          <w:rFonts w:hint="eastAsia" w:eastAsia="仿宋_GB2312" w:cs="仿宋_GB2312"/>
          <w:color w:val="auto"/>
          <w:sz w:val="32"/>
          <w:szCs w:val="32"/>
        </w:rPr>
        <w:t>外事接待支出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万元。外事接待</w:t>
      </w:r>
      <w:r>
        <w:rPr>
          <w:rFonts w:hint="eastAsia" w:eastAsia="仿宋_GB2312" w:cs="仿宋_GB2312"/>
          <w:color w:val="auto"/>
          <w:sz w:val="32"/>
          <w:szCs w:val="32"/>
          <w:lang w:val="en-US" w:eastAsia="zh-CN"/>
        </w:rPr>
        <w:t>0</w:t>
      </w:r>
      <w:r>
        <w:rPr>
          <w:rFonts w:hint="eastAsia" w:eastAsia="仿宋_GB2312" w:cs="仿宋_GB2312"/>
          <w:color w:val="auto"/>
          <w:sz w:val="32"/>
          <w:szCs w:val="32"/>
        </w:rPr>
        <w:t>批次，</w:t>
      </w:r>
      <w:r>
        <w:rPr>
          <w:rFonts w:hint="eastAsia" w:eastAsia="仿宋_GB2312" w:cs="仿宋_GB2312"/>
          <w:color w:val="auto"/>
          <w:sz w:val="32"/>
          <w:szCs w:val="32"/>
          <w:lang w:val="en-US" w:eastAsia="zh-CN"/>
        </w:rPr>
        <w:t>0</w:t>
      </w:r>
      <w:r>
        <w:rPr>
          <w:rFonts w:hint="eastAsia" w:eastAsia="仿宋_GB2312" w:cs="仿宋_GB2312"/>
          <w:color w:val="auto"/>
          <w:sz w:val="32"/>
          <w:szCs w:val="32"/>
        </w:rPr>
        <w:t>人次（不包括陪同人员），共计支出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w:t>
      </w:r>
      <w:bookmarkStart w:id="40" w:name="_Toc15396610"/>
      <w:bookmarkStart w:id="41" w:name="_Toc15377218"/>
    </w:p>
    <w:p w14:paraId="66C73C11">
      <w:pPr>
        <w:spacing w:line="600" w:lineRule="exact"/>
        <w:ind w:firstLine="640"/>
        <w:outlineLvl w:val="1"/>
        <w:rPr>
          <w:rStyle w:val="30"/>
          <w:rFonts w:ascii="Times New Roman" w:hAnsi="Times New Roman" w:eastAsia="黑体"/>
          <w:color w:val="auto"/>
        </w:rPr>
      </w:pPr>
      <w:r>
        <w:rPr>
          <w:rFonts w:hint="eastAsia" w:eastAsia="黑体"/>
          <w:color w:val="auto"/>
          <w:sz w:val="32"/>
          <w:szCs w:val="32"/>
        </w:rPr>
        <w:t>八、</w:t>
      </w:r>
      <w:r>
        <w:rPr>
          <w:rStyle w:val="30"/>
          <w:rFonts w:hint="eastAsia" w:ascii="Times New Roman" w:hAnsi="Times New Roman" w:eastAsia="黑体"/>
          <w:b w:val="0"/>
          <w:color w:val="auto"/>
        </w:rPr>
        <w:t>政府性基金预算支出决算情况说明</w:t>
      </w:r>
      <w:bookmarkEnd w:id="40"/>
      <w:bookmarkEnd w:id="41"/>
    </w:p>
    <w:p w14:paraId="2C110CF8">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2025年度政府性基金预算财政拨款支出</w:t>
      </w:r>
      <w:r>
        <w:rPr>
          <w:rFonts w:hint="eastAsia" w:eastAsia="仿宋_GB2312" w:cs="仿宋_GB2312"/>
          <w:color w:val="auto"/>
          <w:sz w:val="32"/>
          <w:szCs w:val="32"/>
          <w:lang w:val="en-US" w:eastAsia="zh-CN"/>
        </w:rPr>
        <w:t>7554.43</w:t>
      </w:r>
      <w:r>
        <w:rPr>
          <w:rFonts w:hint="eastAsia" w:eastAsia="仿宋_GB2312" w:cs="仿宋_GB2312"/>
          <w:color w:val="auto"/>
          <w:sz w:val="32"/>
          <w:szCs w:val="32"/>
        </w:rPr>
        <w:t>万元，占本年支出合计的</w:t>
      </w:r>
      <w:r>
        <w:rPr>
          <w:rFonts w:hint="eastAsia" w:eastAsia="仿宋_GB2312" w:cs="仿宋_GB2312"/>
          <w:color w:val="auto"/>
          <w:sz w:val="32"/>
          <w:szCs w:val="32"/>
          <w:lang w:val="en-US" w:eastAsia="zh-CN"/>
        </w:rPr>
        <w:t>64</w:t>
      </w:r>
      <w:r>
        <w:rPr>
          <w:rFonts w:hint="eastAsia" w:eastAsia="仿宋_GB2312" w:cs="仿宋_GB2312"/>
          <w:color w:val="auto"/>
          <w:sz w:val="32"/>
          <w:szCs w:val="32"/>
        </w:rPr>
        <w:t>%。与上年度相比，政府性基金预算财政拨款支出增加</w:t>
      </w:r>
      <w:r>
        <w:rPr>
          <w:rFonts w:hint="eastAsia" w:eastAsia="仿宋_GB2312" w:cs="仿宋_GB2312"/>
          <w:color w:val="auto"/>
          <w:sz w:val="32"/>
          <w:szCs w:val="32"/>
          <w:lang w:val="en-US" w:eastAsia="zh-CN"/>
        </w:rPr>
        <w:t>4201.82</w:t>
      </w:r>
      <w:r>
        <w:rPr>
          <w:rFonts w:hint="eastAsia" w:eastAsia="仿宋_GB2312" w:cs="仿宋_GB2312"/>
          <w:color w:val="auto"/>
          <w:sz w:val="32"/>
          <w:szCs w:val="32"/>
        </w:rPr>
        <w:t>万元，增长</w:t>
      </w:r>
      <w:r>
        <w:rPr>
          <w:rFonts w:hint="eastAsia" w:eastAsia="仿宋_GB2312" w:cs="仿宋_GB2312"/>
          <w:color w:val="auto"/>
          <w:sz w:val="32"/>
          <w:szCs w:val="32"/>
          <w:lang w:val="en-US" w:eastAsia="zh-CN"/>
        </w:rPr>
        <w:t>125</w:t>
      </w:r>
      <w:r>
        <w:rPr>
          <w:rFonts w:hint="eastAsia" w:eastAsia="仿宋_GB2312" w:cs="仿宋_GB2312"/>
          <w:color w:val="auto"/>
          <w:sz w:val="32"/>
          <w:szCs w:val="32"/>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财政加大项目资金的投入。</w:t>
      </w:r>
    </w:p>
    <w:p w14:paraId="69F7E327">
      <w:pPr>
        <w:spacing w:line="600" w:lineRule="exact"/>
        <w:ind w:left="630"/>
        <w:outlineLvl w:val="1"/>
        <w:rPr>
          <w:rStyle w:val="30"/>
          <w:rFonts w:ascii="Times New Roman" w:hAnsi="Times New Roman" w:eastAsia="黑体"/>
          <w:b w:val="0"/>
          <w:color w:val="auto"/>
        </w:rPr>
      </w:pPr>
      <w:bookmarkStart w:id="42" w:name="_Toc15377219"/>
      <w:bookmarkStart w:id="43" w:name="_Toc15396611"/>
      <w:r>
        <w:rPr>
          <w:rStyle w:val="30"/>
          <w:rFonts w:hint="eastAsia" w:ascii="Times New Roman" w:hAnsi="Times New Roman" w:eastAsia="黑体"/>
          <w:b w:val="0"/>
          <w:color w:val="auto"/>
        </w:rPr>
        <w:t>九、国有资本经营预算支出决算情况说明</w:t>
      </w:r>
      <w:bookmarkEnd w:id="42"/>
      <w:bookmarkEnd w:id="43"/>
    </w:p>
    <w:p w14:paraId="6A6F4282">
      <w:pPr>
        <w:spacing w:line="600" w:lineRule="exact"/>
        <w:ind w:firstLine="640"/>
        <w:rPr>
          <w:rFonts w:eastAsia="仿宋_GB2312" w:cs="仿宋_GB2312"/>
          <w:color w:val="auto"/>
          <w:sz w:val="32"/>
          <w:szCs w:val="32"/>
        </w:rPr>
      </w:pPr>
      <w:r>
        <w:rPr>
          <w:rFonts w:hint="eastAsia" w:eastAsia="仿宋_GB2312" w:cs="仿宋_GB2312"/>
          <w:color w:val="auto"/>
          <w:sz w:val="32"/>
          <w:szCs w:val="32"/>
        </w:rPr>
        <w:t>2025年度国有资本经营预算财政拨款支出</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万元，占本年支出合计的</w:t>
      </w:r>
      <w:r>
        <w:rPr>
          <w:rFonts w:hint="eastAsia" w:eastAsia="仿宋_GB2312" w:cs="仿宋_GB2312"/>
          <w:color w:val="auto"/>
          <w:sz w:val="32"/>
          <w:szCs w:val="32"/>
          <w:lang w:val="en-US" w:eastAsia="zh-CN"/>
        </w:rPr>
        <w:t>0</w:t>
      </w:r>
      <w:r>
        <w:rPr>
          <w:rFonts w:hint="eastAsia" w:eastAsia="仿宋_GB2312" w:cs="仿宋_GB2312"/>
          <w:color w:val="auto"/>
          <w:sz w:val="32"/>
          <w:szCs w:val="32"/>
        </w:rPr>
        <w:t>%。与上年度相比，国有资本经营预算财政拨款支出增加/减少</w:t>
      </w:r>
      <w:r>
        <w:rPr>
          <w:rFonts w:hint="eastAsia" w:eastAsia="仿宋_GB2312" w:cs="仿宋_GB2312"/>
          <w:color w:val="auto"/>
          <w:sz w:val="32"/>
          <w:szCs w:val="32"/>
          <w:lang w:val="en-US" w:eastAsia="zh-CN"/>
        </w:rPr>
        <w:t>0</w:t>
      </w:r>
      <w:r>
        <w:rPr>
          <w:rFonts w:hint="eastAsia" w:eastAsia="仿宋_GB2312" w:cs="仿宋_GB2312"/>
          <w:color w:val="auto"/>
          <w:sz w:val="32"/>
          <w:szCs w:val="32"/>
        </w:rPr>
        <w:t>万元，增长/下降</w:t>
      </w:r>
      <w:r>
        <w:rPr>
          <w:rFonts w:hint="eastAsia" w:eastAsia="仿宋_GB2312" w:cs="仿宋_GB2312"/>
          <w:color w:val="auto"/>
          <w:sz w:val="32"/>
          <w:szCs w:val="32"/>
          <w:lang w:val="en-US" w:eastAsia="zh-CN"/>
        </w:rPr>
        <w:t>0</w:t>
      </w:r>
      <w:r>
        <w:rPr>
          <w:rFonts w:hint="eastAsia" w:eastAsia="仿宋_GB2312" w:cs="仿宋_GB2312"/>
          <w:color w:val="auto"/>
          <w:sz w:val="32"/>
          <w:szCs w:val="32"/>
        </w:rPr>
        <w:t>%。</w:t>
      </w:r>
    </w:p>
    <w:p w14:paraId="1F934ABA">
      <w:pPr>
        <w:spacing w:line="600" w:lineRule="exact"/>
        <w:ind w:left="630"/>
        <w:outlineLvl w:val="1"/>
        <w:rPr>
          <w:rStyle w:val="30"/>
          <w:rFonts w:ascii="Times New Roman" w:hAnsi="Times New Roman" w:eastAsia="黑体"/>
          <w:b w:val="0"/>
          <w:color w:val="auto"/>
        </w:rPr>
      </w:pPr>
      <w:bookmarkStart w:id="44" w:name="_Toc15377221"/>
      <w:bookmarkStart w:id="45" w:name="_Toc15396612"/>
      <w:r>
        <w:rPr>
          <w:rStyle w:val="30"/>
          <w:rFonts w:hint="eastAsia" w:ascii="Times New Roman" w:hAnsi="Times New Roman" w:eastAsia="黑体"/>
          <w:b w:val="0"/>
          <w:color w:val="auto"/>
        </w:rPr>
        <w:t>十、其他重要事项的情况说明</w:t>
      </w:r>
      <w:bookmarkEnd w:id="44"/>
      <w:bookmarkEnd w:id="45"/>
    </w:p>
    <w:p w14:paraId="45B6B387">
      <w:pPr>
        <w:spacing w:line="600" w:lineRule="exact"/>
        <w:ind w:firstLine="643" w:firstLineChars="200"/>
        <w:outlineLvl w:val="2"/>
        <w:rPr>
          <w:rFonts w:eastAsia="楷体_GB2312" w:cs="楷体_GB2312"/>
          <w:b/>
          <w:color w:val="auto"/>
          <w:sz w:val="32"/>
          <w:szCs w:val="32"/>
        </w:rPr>
      </w:pPr>
      <w:bookmarkStart w:id="46" w:name="_Toc15377222"/>
      <w:r>
        <w:rPr>
          <w:rFonts w:hint="eastAsia" w:eastAsia="楷体_GB2312" w:cs="楷体_GB2312"/>
          <w:b/>
          <w:color w:val="auto"/>
          <w:sz w:val="32"/>
          <w:szCs w:val="32"/>
        </w:rPr>
        <w:t>（一）机关运行经费支出情况</w:t>
      </w:r>
      <w:bookmarkEnd w:id="46"/>
    </w:p>
    <w:p w14:paraId="145E64DB">
      <w:pPr>
        <w:spacing w:line="600" w:lineRule="exact"/>
        <w:ind w:firstLine="640" w:firstLineChars="200"/>
        <w:outlineLvl w:val="2"/>
        <w:rPr>
          <w:rFonts w:eastAsia="楷体_GB2312" w:cs="楷体_GB2312"/>
          <w:b/>
          <w:color w:val="auto"/>
          <w:sz w:val="32"/>
          <w:szCs w:val="32"/>
          <w:highlight w:val="none"/>
        </w:rPr>
      </w:pPr>
      <w:r>
        <w:rPr>
          <w:rFonts w:hint="eastAsia" w:eastAsia="仿宋_GB2312" w:cs="仿宋_GB2312"/>
          <w:color w:val="auto"/>
          <w:sz w:val="32"/>
          <w:szCs w:val="32"/>
        </w:rPr>
        <w:t>2025年度，</w:t>
      </w:r>
      <w:r>
        <w:rPr>
          <w:rFonts w:hint="eastAsia" w:ascii="仿宋_GB2312" w:hAnsi="仿宋_GB2312" w:eastAsia="仿宋_GB2312" w:cs="仿宋_GB2312"/>
          <w:color w:val="auto"/>
          <w:sz w:val="32"/>
          <w:szCs w:val="32"/>
        </w:rPr>
        <w:t>攀枝花市仁和区综合行政执法局</w:t>
      </w:r>
      <w:r>
        <w:rPr>
          <w:rFonts w:hint="eastAsia" w:eastAsia="仿宋_GB2312" w:cs="仿宋_GB2312"/>
          <w:color w:val="auto"/>
          <w:sz w:val="32"/>
          <w:szCs w:val="32"/>
        </w:rPr>
        <w:t>机关运行经费支出</w:t>
      </w:r>
      <w:r>
        <w:rPr>
          <w:rFonts w:hint="eastAsia" w:eastAsia="仿宋_GB2312" w:cs="仿宋_GB2312"/>
          <w:color w:val="auto"/>
          <w:sz w:val="32"/>
          <w:szCs w:val="32"/>
          <w:lang w:val="en-US" w:eastAsia="zh-CN"/>
        </w:rPr>
        <w:t>103.12</w:t>
      </w:r>
      <w:r>
        <w:rPr>
          <w:rFonts w:hint="eastAsia" w:eastAsia="仿宋_GB2312" w:cs="仿宋_GB2312"/>
          <w:color w:val="auto"/>
          <w:sz w:val="32"/>
          <w:szCs w:val="32"/>
        </w:rPr>
        <w:t>万元，比上年度增加</w:t>
      </w:r>
      <w:r>
        <w:rPr>
          <w:rFonts w:hint="eastAsia" w:eastAsia="仿宋_GB2312" w:cs="仿宋_GB2312"/>
          <w:color w:val="auto"/>
          <w:sz w:val="32"/>
          <w:szCs w:val="32"/>
          <w:lang w:val="en-US" w:eastAsia="zh-CN"/>
        </w:rPr>
        <w:t>45.56</w:t>
      </w:r>
      <w:r>
        <w:rPr>
          <w:rFonts w:hint="eastAsia" w:eastAsia="仿宋_GB2312" w:cs="仿宋_GB2312"/>
          <w:color w:val="auto"/>
          <w:sz w:val="32"/>
          <w:szCs w:val="32"/>
        </w:rPr>
        <w:t>万元，增长</w:t>
      </w:r>
      <w:r>
        <w:rPr>
          <w:rFonts w:hint="eastAsia" w:eastAsia="仿宋_GB2312" w:cs="仿宋_GB2312"/>
          <w:color w:val="auto"/>
          <w:sz w:val="32"/>
          <w:szCs w:val="32"/>
          <w:lang w:val="en-US" w:eastAsia="zh-CN"/>
        </w:rPr>
        <w:t>79</w:t>
      </w:r>
      <w:r>
        <w:rPr>
          <w:rFonts w:hint="eastAsia" w:eastAsia="仿宋_GB2312" w:cs="仿宋_GB2312"/>
          <w:color w:val="auto"/>
          <w:sz w:val="32"/>
          <w:szCs w:val="32"/>
        </w:rPr>
        <w:t>%（或与上年度决算数持平）。主要原因是</w:t>
      </w:r>
      <w:r>
        <w:rPr>
          <w:rFonts w:hint="eastAsia" w:eastAsia="仿宋_GB2312" w:cs="仿宋_GB2312"/>
          <w:color w:val="auto"/>
          <w:sz w:val="32"/>
          <w:szCs w:val="32"/>
          <w:lang w:val="en-US" w:eastAsia="zh-CN"/>
        </w:rPr>
        <w:t>财政支付机关运行经费。</w:t>
      </w:r>
      <w:bookmarkStart w:id="47" w:name="_Toc15377223"/>
      <w:r>
        <w:rPr>
          <w:rFonts w:hint="eastAsia" w:eastAsia="楷体_GB2312" w:cs="楷体_GB2312"/>
          <w:b/>
          <w:color w:val="auto"/>
          <w:sz w:val="32"/>
          <w:szCs w:val="32"/>
          <w:highlight w:val="none"/>
        </w:rPr>
        <w:t>（二）政府采购支出情况</w:t>
      </w:r>
      <w:bookmarkEnd w:id="47"/>
    </w:p>
    <w:p w14:paraId="165943A9">
      <w:pPr>
        <w:spacing w:line="600" w:lineRule="exact"/>
        <w:ind w:firstLine="640"/>
        <w:rPr>
          <w:rFonts w:eastAsia="仿宋_GB2312" w:cs="仿宋_GB2312"/>
          <w:color w:val="auto"/>
          <w:sz w:val="32"/>
          <w:szCs w:val="32"/>
          <w:highlight w:val="none"/>
        </w:rPr>
      </w:pPr>
      <w:r>
        <w:rPr>
          <w:rFonts w:hint="eastAsia" w:eastAsia="仿宋_GB2312" w:cs="仿宋_GB2312"/>
          <w:color w:val="auto"/>
          <w:sz w:val="32"/>
          <w:szCs w:val="32"/>
          <w:highlight w:val="none"/>
        </w:rPr>
        <w:t>2025年度，</w:t>
      </w:r>
      <w:r>
        <w:rPr>
          <w:rFonts w:hint="eastAsia" w:ascii="仿宋_GB2312" w:hAnsi="仿宋_GB2312" w:eastAsia="仿宋_GB2312" w:cs="仿宋_GB2312"/>
          <w:color w:val="auto"/>
          <w:sz w:val="32"/>
          <w:szCs w:val="32"/>
          <w:highlight w:val="none"/>
        </w:rPr>
        <w:t>攀枝花市仁和区综合行政执法局</w:t>
      </w:r>
      <w:r>
        <w:rPr>
          <w:rFonts w:hint="eastAsia" w:eastAsia="仿宋_GB2312" w:cs="仿宋_GB2312"/>
          <w:color w:val="auto"/>
          <w:sz w:val="32"/>
          <w:szCs w:val="32"/>
          <w:highlight w:val="none"/>
        </w:rPr>
        <w:t>政府采购支出总额</w:t>
      </w:r>
      <w:r>
        <w:rPr>
          <w:rFonts w:hint="eastAsia" w:eastAsia="仿宋_GB2312" w:cs="仿宋_GB2312"/>
          <w:color w:val="auto"/>
          <w:sz w:val="32"/>
          <w:szCs w:val="32"/>
          <w:highlight w:val="none"/>
          <w:lang w:val="en-US" w:eastAsia="zh-CN"/>
        </w:rPr>
        <w:t>501.66</w:t>
      </w:r>
      <w:r>
        <w:rPr>
          <w:rFonts w:hint="eastAsia" w:eastAsia="仿宋_GB2312" w:cs="仿宋_GB2312"/>
          <w:color w:val="auto"/>
          <w:sz w:val="32"/>
          <w:szCs w:val="32"/>
          <w:highlight w:val="none"/>
        </w:rPr>
        <w:t>万元，其中：政府采购货物支出</w:t>
      </w:r>
      <w:r>
        <w:rPr>
          <w:rFonts w:hint="eastAsia" w:eastAsia="仿宋_GB2312" w:cs="仿宋_GB2312"/>
          <w:color w:val="auto"/>
          <w:sz w:val="32"/>
          <w:szCs w:val="32"/>
          <w:highlight w:val="none"/>
          <w:lang w:val="en-US" w:eastAsia="zh-CN"/>
        </w:rPr>
        <w:t>78.88</w:t>
      </w:r>
      <w:r>
        <w:rPr>
          <w:rFonts w:hint="eastAsia" w:eastAsia="仿宋_GB2312" w:cs="仿宋_GB2312"/>
          <w:color w:val="auto"/>
          <w:sz w:val="32"/>
          <w:szCs w:val="32"/>
          <w:highlight w:val="none"/>
        </w:rPr>
        <w:t>万元、政府采购工程支出</w:t>
      </w:r>
      <w:r>
        <w:rPr>
          <w:rFonts w:hint="eastAsia" w:eastAsia="仿宋_GB2312" w:cs="仿宋_GB2312"/>
          <w:color w:val="auto"/>
          <w:sz w:val="32"/>
          <w:szCs w:val="32"/>
          <w:highlight w:val="none"/>
          <w:lang w:val="en-US" w:eastAsia="zh-CN"/>
        </w:rPr>
        <w:t>0</w:t>
      </w:r>
      <w:r>
        <w:rPr>
          <w:rFonts w:hint="eastAsia" w:eastAsia="仿宋_GB2312" w:cs="仿宋_GB2312"/>
          <w:color w:val="auto"/>
          <w:sz w:val="32"/>
          <w:szCs w:val="32"/>
          <w:highlight w:val="none"/>
        </w:rPr>
        <w:t>万元、政府采购服务支出</w:t>
      </w:r>
      <w:r>
        <w:rPr>
          <w:rFonts w:hint="eastAsia" w:eastAsia="仿宋_GB2312" w:cs="仿宋_GB2312"/>
          <w:color w:val="auto"/>
          <w:sz w:val="32"/>
          <w:szCs w:val="32"/>
          <w:highlight w:val="none"/>
          <w:lang w:val="en-US" w:eastAsia="zh-CN"/>
        </w:rPr>
        <w:t>422.78</w:t>
      </w:r>
      <w:r>
        <w:rPr>
          <w:rFonts w:hint="eastAsia" w:eastAsia="仿宋_GB2312" w:cs="仿宋_GB2312"/>
          <w:color w:val="auto"/>
          <w:sz w:val="32"/>
          <w:szCs w:val="32"/>
          <w:highlight w:val="none"/>
        </w:rPr>
        <w:t>万元。主要用于</w:t>
      </w:r>
      <w:r>
        <w:rPr>
          <w:rFonts w:hint="eastAsia" w:ascii="仿宋_GB2312" w:eastAsia="仿宋_GB2312"/>
          <w:color w:val="auto"/>
          <w:sz w:val="32"/>
          <w:szCs w:val="32"/>
          <w:highlight w:val="none"/>
        </w:rPr>
        <w:t>采购</w:t>
      </w:r>
      <w:r>
        <w:rPr>
          <w:rFonts w:hint="eastAsia" w:ascii="仿宋_GB2312" w:hAnsi="Cambria" w:eastAsia="仿宋_GB2312" w:cs="仿宋_GB2312"/>
          <w:color w:val="auto"/>
          <w:sz w:val="32"/>
          <w:szCs w:val="32"/>
          <w:highlight w:val="none"/>
          <w:lang w:val="zh-CN"/>
        </w:rPr>
        <w:t>春节氛围营造项目</w:t>
      </w:r>
      <w:r>
        <w:rPr>
          <w:rFonts w:hint="eastAsia" w:eastAsia="仿宋_GB2312" w:cs="仿宋_GB2312"/>
          <w:color w:val="auto"/>
          <w:sz w:val="32"/>
          <w:szCs w:val="32"/>
          <w:highlight w:val="none"/>
        </w:rPr>
        <w:t>。授予中小企业合同金额</w:t>
      </w:r>
      <w:r>
        <w:rPr>
          <w:rFonts w:hint="eastAsia" w:eastAsia="仿宋_GB2312" w:cs="仿宋_GB2312"/>
          <w:color w:val="auto"/>
          <w:sz w:val="32"/>
          <w:szCs w:val="32"/>
          <w:highlight w:val="none"/>
          <w:lang w:val="en-US" w:eastAsia="zh-CN"/>
        </w:rPr>
        <w:t>481.40</w:t>
      </w:r>
      <w:r>
        <w:rPr>
          <w:rFonts w:hint="eastAsia" w:eastAsia="仿宋_GB2312" w:cs="仿宋_GB2312"/>
          <w:color w:val="auto"/>
          <w:sz w:val="32"/>
          <w:szCs w:val="32"/>
          <w:highlight w:val="none"/>
        </w:rPr>
        <w:t>万元，占政府采购支出总额的</w:t>
      </w:r>
      <w:r>
        <w:rPr>
          <w:rFonts w:hint="eastAsia" w:eastAsia="仿宋_GB2312" w:cs="仿宋_GB2312"/>
          <w:color w:val="auto"/>
          <w:sz w:val="32"/>
          <w:szCs w:val="32"/>
          <w:highlight w:val="none"/>
          <w:lang w:val="en-US" w:eastAsia="zh-CN"/>
        </w:rPr>
        <w:t>96</w:t>
      </w:r>
      <w:r>
        <w:rPr>
          <w:rFonts w:hint="eastAsia" w:eastAsia="仿宋_GB2312" w:cs="仿宋_GB2312"/>
          <w:color w:val="auto"/>
          <w:sz w:val="32"/>
          <w:szCs w:val="32"/>
          <w:highlight w:val="none"/>
        </w:rPr>
        <w:t>%，其中：授予小微企业合同金额</w:t>
      </w:r>
      <w:r>
        <w:rPr>
          <w:rFonts w:hint="eastAsia" w:eastAsia="仿宋_GB2312" w:cs="仿宋_GB2312"/>
          <w:color w:val="auto"/>
          <w:sz w:val="32"/>
          <w:szCs w:val="32"/>
          <w:highlight w:val="none"/>
          <w:lang w:val="en-US" w:eastAsia="zh-CN"/>
        </w:rPr>
        <w:t>481.40</w:t>
      </w:r>
      <w:r>
        <w:rPr>
          <w:rFonts w:hint="eastAsia" w:eastAsia="仿宋_GB2312" w:cs="仿宋_GB2312"/>
          <w:color w:val="auto"/>
          <w:sz w:val="32"/>
          <w:szCs w:val="32"/>
          <w:highlight w:val="none"/>
        </w:rPr>
        <w:t>万元，占政府采购支出总额的</w:t>
      </w:r>
      <w:r>
        <w:rPr>
          <w:rFonts w:hint="eastAsia" w:eastAsia="仿宋_GB2312" w:cs="仿宋_GB2312"/>
          <w:color w:val="auto"/>
          <w:sz w:val="32"/>
          <w:szCs w:val="32"/>
          <w:highlight w:val="none"/>
          <w:lang w:val="en-US" w:eastAsia="zh-CN"/>
        </w:rPr>
        <w:t>96</w:t>
      </w:r>
      <w:r>
        <w:rPr>
          <w:rFonts w:hint="eastAsia" w:eastAsia="仿宋_GB2312" w:cs="仿宋_GB2312"/>
          <w:color w:val="auto"/>
          <w:sz w:val="32"/>
          <w:szCs w:val="32"/>
          <w:highlight w:val="none"/>
        </w:rPr>
        <w:t>%。</w:t>
      </w:r>
    </w:p>
    <w:p w14:paraId="1667483F">
      <w:pPr>
        <w:spacing w:line="600" w:lineRule="exact"/>
        <w:ind w:firstLine="643" w:firstLineChars="200"/>
        <w:outlineLvl w:val="2"/>
        <w:rPr>
          <w:rFonts w:eastAsia="楷体_GB2312" w:cs="楷体_GB2312"/>
          <w:b/>
          <w:color w:val="auto"/>
          <w:sz w:val="32"/>
          <w:szCs w:val="32"/>
        </w:rPr>
      </w:pPr>
      <w:bookmarkStart w:id="48" w:name="_Toc15377224"/>
      <w:r>
        <w:rPr>
          <w:rFonts w:hint="eastAsia" w:eastAsia="楷体_GB2312" w:cs="楷体_GB2312"/>
          <w:b/>
          <w:color w:val="auto"/>
          <w:sz w:val="32"/>
          <w:szCs w:val="32"/>
        </w:rPr>
        <w:t>（三）国有资产占有使用情况</w:t>
      </w:r>
      <w:bookmarkEnd w:id="48"/>
    </w:p>
    <w:p w14:paraId="2F22027E">
      <w:pPr>
        <w:spacing w:line="600" w:lineRule="exact"/>
        <w:ind w:firstLine="640"/>
        <w:rPr>
          <w:rFonts w:eastAsia="仿宋_GB2312" w:cs="仿宋_GB2312"/>
          <w:color w:val="auto"/>
          <w:sz w:val="32"/>
          <w:szCs w:val="32"/>
        </w:rPr>
      </w:pPr>
      <w:r>
        <w:rPr>
          <w:rFonts w:hint="eastAsia" w:eastAsia="仿宋_GB2312" w:cs="仿宋_GB2312"/>
          <w:color w:val="auto"/>
          <w:sz w:val="32"/>
          <w:szCs w:val="32"/>
        </w:rPr>
        <w:t>截至2025年12月31日，</w:t>
      </w:r>
      <w:r>
        <w:rPr>
          <w:rFonts w:hint="eastAsia" w:ascii="仿宋_GB2312" w:hAnsi="仿宋_GB2312" w:eastAsia="仿宋_GB2312" w:cs="仿宋_GB2312"/>
          <w:color w:val="auto"/>
          <w:sz w:val="32"/>
          <w:szCs w:val="32"/>
        </w:rPr>
        <w:t>攀枝花市仁和区综合行政执法局</w:t>
      </w:r>
      <w:r>
        <w:rPr>
          <w:rFonts w:hint="eastAsia" w:eastAsia="仿宋_GB2312" w:cs="仿宋_GB2312"/>
          <w:color w:val="auto"/>
          <w:sz w:val="32"/>
          <w:szCs w:val="32"/>
        </w:rPr>
        <w:t>共有车辆</w:t>
      </w:r>
      <w:r>
        <w:rPr>
          <w:rFonts w:hint="eastAsia" w:eastAsia="仿宋_GB2312" w:cs="仿宋_GB2312"/>
          <w:color w:val="auto"/>
          <w:sz w:val="32"/>
          <w:szCs w:val="32"/>
          <w:lang w:val="en-US" w:eastAsia="zh-CN"/>
        </w:rPr>
        <w:t>18</w:t>
      </w:r>
      <w:r>
        <w:rPr>
          <w:rFonts w:hint="eastAsia" w:eastAsia="仿宋_GB2312" w:cs="仿宋_GB2312"/>
          <w:color w:val="auto"/>
          <w:sz w:val="32"/>
          <w:szCs w:val="32"/>
        </w:rPr>
        <w:t>辆，其中：副部（省）级及以上领导用车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辆、主要负责人用车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辆、机要通信用车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辆、应急保障用车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辆、执法执勤用车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辆、特种专业技术用车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辆、离退休干部服务用车</w:t>
      </w:r>
      <w:r>
        <w:rPr>
          <w:rFonts w:hint="eastAsia" w:eastAsia="仿宋_GB2312" w:cs="仿宋_GB2312"/>
          <w:color w:val="auto"/>
          <w:sz w:val="32"/>
          <w:szCs w:val="32"/>
          <w:lang w:val="en-US" w:eastAsia="zh-CN"/>
        </w:rPr>
        <w:t>0</w:t>
      </w:r>
      <w:r>
        <w:rPr>
          <w:rFonts w:hint="eastAsia" w:eastAsia="仿宋_GB2312" w:cs="仿宋_GB2312"/>
          <w:color w:val="auto"/>
          <w:sz w:val="32"/>
          <w:szCs w:val="32"/>
        </w:rPr>
        <w:t>辆、其他用车</w:t>
      </w:r>
      <w:r>
        <w:rPr>
          <w:rFonts w:hint="eastAsia" w:eastAsia="仿宋_GB2312" w:cs="仿宋_GB2312"/>
          <w:color w:val="auto"/>
          <w:sz w:val="32"/>
          <w:szCs w:val="32"/>
          <w:lang w:val="en-US" w:eastAsia="zh-CN"/>
        </w:rPr>
        <w:t>18</w:t>
      </w:r>
      <w:r>
        <w:rPr>
          <w:rFonts w:hint="eastAsia" w:eastAsia="仿宋_GB2312" w:cs="仿宋_GB2312"/>
          <w:color w:val="auto"/>
          <w:sz w:val="32"/>
          <w:szCs w:val="32"/>
        </w:rPr>
        <w:t>辆，</w:t>
      </w:r>
      <w:r>
        <w:rPr>
          <w:rFonts w:hint="eastAsia" w:ascii="仿宋_GB2312" w:hAnsi="仿宋_GB2312" w:eastAsia="仿宋_GB2312" w:cs="仿宋_GB2312"/>
          <w:color w:val="auto"/>
          <w:kern w:val="2"/>
          <w:sz w:val="32"/>
          <w:szCs w:val="32"/>
          <w:highlight w:val="none"/>
          <w:lang w:val="en-US" w:eastAsia="zh-CN" w:bidi="ar-SA"/>
        </w:rPr>
        <w:t>其他用车主要是用于</w:t>
      </w:r>
      <w:r>
        <w:rPr>
          <w:rFonts w:hint="eastAsia" w:ascii="仿宋_GB2312" w:eastAsia="仿宋_GB2312" w:cs="仿宋_GB2312"/>
          <w:color w:val="auto"/>
          <w:sz w:val="32"/>
          <w:szCs w:val="32"/>
        </w:rPr>
        <w:t>城区洒水喷雾、单位职工巡查、下乡检查乡镇市容环境卫生等</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22FA8380">
      <w:pPr>
        <w:spacing w:line="600" w:lineRule="exact"/>
        <w:ind w:firstLine="643" w:firstLineChars="200"/>
        <w:outlineLvl w:val="2"/>
        <w:rPr>
          <w:rFonts w:eastAsia="楷体_GB2312" w:cs="楷体_GB2312"/>
          <w:b/>
          <w:color w:val="auto"/>
          <w:sz w:val="32"/>
          <w:szCs w:val="32"/>
        </w:rPr>
      </w:pPr>
      <w:r>
        <w:rPr>
          <w:rFonts w:hint="eastAsia" w:eastAsia="楷体_GB2312" w:cs="楷体_GB2312"/>
          <w:b/>
          <w:color w:val="auto"/>
          <w:sz w:val="32"/>
          <w:szCs w:val="32"/>
        </w:rPr>
        <w:t>（四）预算绩效管理情况</w:t>
      </w:r>
    </w:p>
    <w:p w14:paraId="57B78970">
      <w:pPr>
        <w:spacing w:line="600" w:lineRule="exact"/>
        <w:ind w:firstLine="640"/>
        <w:rPr>
          <w:rFonts w:eastAsia="仿宋_GB2312" w:cs="仿宋_GB2312"/>
          <w:color w:val="auto"/>
          <w:sz w:val="32"/>
          <w:szCs w:val="32"/>
        </w:rPr>
      </w:pPr>
      <w:r>
        <w:rPr>
          <w:rFonts w:hint="eastAsia" w:eastAsia="仿宋_GB2312" w:cs="仿宋_GB2312"/>
          <w:color w:val="auto"/>
          <w:sz w:val="32"/>
          <w:szCs w:val="32"/>
        </w:rPr>
        <w:t>根据预算绩效管理要求，</w:t>
      </w:r>
      <w:r>
        <w:rPr>
          <w:rFonts w:hint="eastAsia" w:ascii="仿宋_GB2312" w:hAnsi="仿宋_GB2312" w:eastAsia="仿宋_GB2312" w:cs="仿宋_GB2312"/>
          <w:color w:val="auto"/>
          <w:sz w:val="32"/>
          <w:szCs w:val="32"/>
        </w:rPr>
        <w:t>攀枝花市仁和区综合行政执法局</w:t>
      </w:r>
      <w:r>
        <w:rPr>
          <w:rFonts w:hint="eastAsia" w:eastAsia="仿宋_GB2312" w:cs="仿宋_GB2312"/>
          <w:color w:val="auto"/>
          <w:sz w:val="32"/>
          <w:szCs w:val="32"/>
        </w:rPr>
        <w:t>在2025年度，组织对</w:t>
      </w:r>
      <w:r>
        <w:rPr>
          <w:rFonts w:hint="eastAsia" w:ascii="Times New Roman" w:hAnsi="Times New Roman" w:eastAsia="仿宋_GB2312" w:cs="仿宋_GB2312"/>
          <w:color w:val="auto"/>
          <w:kern w:val="2"/>
          <w:sz w:val="32"/>
          <w:szCs w:val="32"/>
          <w:highlight w:val="none"/>
          <w:lang w:val="en-US" w:eastAsia="zh-CN" w:bidi="ar-SA"/>
        </w:rPr>
        <w:t>对</w:t>
      </w:r>
      <w:r>
        <w:rPr>
          <w:rFonts w:hint="eastAsia" w:ascii="仿宋_GB2312" w:hAnsi="宋体" w:eastAsia="仿宋_GB2312" w:cs="仿宋_GB2312"/>
          <w:color w:val="auto"/>
          <w:sz w:val="32"/>
          <w:szCs w:val="32"/>
          <w:highlight w:val="none"/>
        </w:rPr>
        <w:t>城市管理项目经费、春节氛围营造项目经费</w:t>
      </w:r>
      <w:r>
        <w:rPr>
          <w:rFonts w:hint="eastAsia" w:ascii="仿宋_GB2312" w:hAnsi="宋体"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仁和城区范围城市燃气管道老化更新改造项目</w:t>
      </w:r>
      <w:r>
        <w:rPr>
          <w:rFonts w:hint="eastAsia" w:eastAsia="仿宋_GB2312" w:cs="仿宋_GB2312"/>
          <w:color w:val="auto"/>
          <w:sz w:val="32"/>
          <w:szCs w:val="32"/>
        </w:rPr>
        <w:t>等</w:t>
      </w:r>
      <w:r>
        <w:rPr>
          <w:rFonts w:hint="eastAsia" w:eastAsia="仿宋_GB2312" w:cs="仿宋_GB2312"/>
          <w:color w:val="auto"/>
          <w:sz w:val="32"/>
          <w:szCs w:val="32"/>
          <w:lang w:val="en-US" w:eastAsia="zh-CN"/>
        </w:rPr>
        <w:t>13</w:t>
      </w:r>
      <w:r>
        <w:rPr>
          <w:rFonts w:hint="eastAsia" w:eastAsia="仿宋_GB2312" w:cs="仿宋_GB2312"/>
          <w:color w:val="auto"/>
          <w:sz w:val="32"/>
          <w:szCs w:val="32"/>
        </w:rPr>
        <w:t>个项目涉及金额</w:t>
      </w:r>
      <w:r>
        <w:rPr>
          <w:rFonts w:hint="eastAsia" w:eastAsia="仿宋_GB2312" w:cs="仿宋_GB2312"/>
          <w:color w:val="auto"/>
          <w:sz w:val="32"/>
          <w:szCs w:val="32"/>
          <w:lang w:val="en-US" w:eastAsia="zh-CN"/>
        </w:rPr>
        <w:t>10101</w:t>
      </w:r>
      <w:r>
        <w:rPr>
          <w:rFonts w:hint="eastAsia" w:eastAsia="仿宋_GB2312" w:cs="仿宋_GB2312"/>
          <w:color w:val="auto"/>
          <w:sz w:val="32"/>
          <w:szCs w:val="32"/>
        </w:rPr>
        <w:t>万元开展了事前绩效评估，对</w:t>
      </w:r>
      <w:r>
        <w:rPr>
          <w:rFonts w:hint="eastAsia" w:eastAsia="仿宋_GB2312" w:cs="仿宋_GB2312"/>
          <w:color w:val="auto"/>
          <w:sz w:val="32"/>
          <w:szCs w:val="32"/>
          <w:lang w:val="en-US" w:eastAsia="zh-CN"/>
        </w:rPr>
        <w:t>13</w:t>
      </w:r>
      <w:r>
        <w:rPr>
          <w:rFonts w:hint="eastAsia" w:eastAsia="仿宋_GB2312" w:cs="仿宋_GB2312"/>
          <w:color w:val="auto"/>
          <w:sz w:val="32"/>
          <w:szCs w:val="32"/>
        </w:rPr>
        <w:t>个项目编制了绩效目标，预算执行过程中，选取</w:t>
      </w:r>
      <w:r>
        <w:rPr>
          <w:rFonts w:hint="eastAsia" w:eastAsia="仿宋_GB2312" w:cs="仿宋_GB2312"/>
          <w:color w:val="auto"/>
          <w:sz w:val="32"/>
          <w:szCs w:val="32"/>
          <w:lang w:val="en-US" w:eastAsia="zh-CN"/>
        </w:rPr>
        <w:t>13</w:t>
      </w:r>
      <w:r>
        <w:rPr>
          <w:rFonts w:hint="eastAsia" w:eastAsia="仿宋_GB2312" w:cs="仿宋_GB2312"/>
          <w:color w:val="auto"/>
          <w:sz w:val="32"/>
          <w:szCs w:val="32"/>
        </w:rPr>
        <w:t>个项目开展绩效监控。</w:t>
      </w:r>
    </w:p>
    <w:p w14:paraId="451CB799">
      <w:pPr>
        <w:spacing w:line="600" w:lineRule="exact"/>
        <w:ind w:firstLine="640"/>
        <w:rPr>
          <w:rFonts w:eastAsia="仿宋_GB2312" w:cs="仿宋_GB2312"/>
          <w:color w:val="auto"/>
          <w:sz w:val="32"/>
          <w:szCs w:val="32"/>
        </w:rPr>
      </w:pPr>
      <w:r>
        <w:rPr>
          <w:rFonts w:hint="eastAsia" w:eastAsia="仿宋_GB2312" w:cs="仿宋_GB2312"/>
          <w:color w:val="auto"/>
          <w:sz w:val="32"/>
          <w:szCs w:val="32"/>
        </w:rPr>
        <w:t>组织对2025年度一般公共预算、政府性基金预算、国有资本经营预算、社会保险基金预算以及资本资产、债券资金等全面开展绩效自评，形成</w:t>
      </w:r>
      <w:r>
        <w:rPr>
          <w:rFonts w:hint="eastAsia" w:ascii="仿宋_GB2312" w:hAnsi="仿宋_GB2312" w:eastAsia="仿宋_GB2312" w:cs="仿宋_GB2312"/>
          <w:color w:val="auto"/>
          <w:sz w:val="32"/>
          <w:szCs w:val="32"/>
        </w:rPr>
        <w:t>攀枝花市仁和区综合行政执法局</w:t>
      </w:r>
      <w:r>
        <w:rPr>
          <w:rFonts w:hint="eastAsia" w:eastAsia="仿宋_GB2312" w:cs="仿宋_GB2312"/>
          <w:color w:val="auto"/>
          <w:sz w:val="32"/>
          <w:szCs w:val="32"/>
        </w:rPr>
        <w:t>部门预算（含部门预算项目）绩效自评报告（此项单位不涉及）、</w:t>
      </w:r>
      <w:r>
        <w:rPr>
          <w:rFonts w:hint="eastAsia" w:ascii="仿宋_GB2312" w:hAnsi="宋体" w:eastAsia="仿宋_GB2312" w:cs="仿宋_GB2312"/>
          <w:color w:val="auto"/>
          <w:sz w:val="32"/>
          <w:szCs w:val="32"/>
          <w:highlight w:val="none"/>
        </w:rPr>
        <w:t>城市管理项目经费、春节氛围营造项目经费</w:t>
      </w:r>
      <w:r>
        <w:rPr>
          <w:rFonts w:hint="eastAsia" w:ascii="仿宋_GB2312" w:hAnsi="宋体"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仁和城区范围城市燃气管道老化更新改造项目</w:t>
      </w:r>
      <w:r>
        <w:rPr>
          <w:rFonts w:hint="eastAsia" w:eastAsia="仿宋_GB2312" w:cs="仿宋_GB2312"/>
          <w:color w:val="auto"/>
          <w:sz w:val="32"/>
          <w:szCs w:val="32"/>
        </w:rPr>
        <w:t>等专项预算项目绩效自评报告，其中，</w:t>
      </w:r>
      <w:r>
        <w:rPr>
          <w:rFonts w:hint="eastAsia" w:ascii="仿宋_GB2312" w:hAnsi="仿宋_GB2312" w:eastAsia="仿宋_GB2312" w:cs="仿宋_GB2312"/>
          <w:color w:val="auto"/>
          <w:sz w:val="32"/>
          <w:szCs w:val="32"/>
        </w:rPr>
        <w:t>攀枝花市仁和区综合行政执法局</w:t>
      </w:r>
      <w:r>
        <w:rPr>
          <w:rFonts w:hint="eastAsia" w:eastAsia="仿宋_GB2312" w:cs="仿宋_GB2312"/>
          <w:color w:val="auto"/>
          <w:sz w:val="32"/>
          <w:szCs w:val="32"/>
        </w:rPr>
        <w:t>部门预算（含部门预算项目）绩效自评得分为</w:t>
      </w:r>
      <w:r>
        <w:rPr>
          <w:rFonts w:hint="eastAsia" w:eastAsia="仿宋_GB2312" w:cs="仿宋_GB2312"/>
          <w:color w:val="auto"/>
          <w:sz w:val="32"/>
          <w:szCs w:val="32"/>
          <w:lang w:val="en-US" w:eastAsia="zh-CN"/>
        </w:rPr>
        <w:t>85</w:t>
      </w:r>
      <w:r>
        <w:rPr>
          <w:rFonts w:hint="eastAsia" w:eastAsia="仿宋_GB2312" w:cs="仿宋_GB2312"/>
          <w:color w:val="auto"/>
          <w:sz w:val="32"/>
          <w:szCs w:val="32"/>
        </w:rPr>
        <w:t>分，绩效自评报告详见附件。</w:t>
      </w:r>
    </w:p>
    <w:p w14:paraId="5AC55EBC">
      <w:pPr>
        <w:spacing w:line="600" w:lineRule="exact"/>
        <w:jc w:val="center"/>
        <w:outlineLvl w:val="0"/>
        <w:rPr>
          <w:rFonts w:hint="eastAsia" w:eastAsia="黑体"/>
          <w:sz w:val="44"/>
          <w:szCs w:val="44"/>
        </w:rPr>
      </w:pPr>
      <w:bookmarkStart w:id="49" w:name="_Toc15377225"/>
      <w:bookmarkStart w:id="50" w:name="_Toc15396613"/>
    </w:p>
    <w:p w14:paraId="3D65F625">
      <w:pPr>
        <w:spacing w:line="600" w:lineRule="exact"/>
        <w:jc w:val="center"/>
        <w:outlineLvl w:val="0"/>
        <w:rPr>
          <w:rFonts w:hint="eastAsia" w:eastAsia="黑体"/>
          <w:sz w:val="44"/>
          <w:szCs w:val="44"/>
        </w:rPr>
      </w:pPr>
    </w:p>
    <w:p w14:paraId="53AA1131">
      <w:pPr>
        <w:spacing w:line="600" w:lineRule="exact"/>
        <w:jc w:val="center"/>
        <w:outlineLvl w:val="0"/>
        <w:rPr>
          <w:rFonts w:hint="eastAsia" w:eastAsia="黑体"/>
          <w:sz w:val="44"/>
          <w:szCs w:val="44"/>
        </w:rPr>
      </w:pPr>
    </w:p>
    <w:p w14:paraId="5B21B68A">
      <w:pPr>
        <w:pStyle w:val="2"/>
        <w:rPr>
          <w:rFonts w:hint="eastAsia" w:eastAsia="黑体"/>
          <w:sz w:val="44"/>
          <w:szCs w:val="44"/>
        </w:rPr>
      </w:pPr>
    </w:p>
    <w:p w14:paraId="4D41D422">
      <w:pPr>
        <w:pStyle w:val="2"/>
        <w:rPr>
          <w:rFonts w:hint="eastAsia" w:eastAsia="黑体"/>
          <w:sz w:val="44"/>
          <w:szCs w:val="44"/>
        </w:rPr>
      </w:pPr>
    </w:p>
    <w:p w14:paraId="63771209">
      <w:pPr>
        <w:pStyle w:val="2"/>
        <w:rPr>
          <w:rFonts w:hint="eastAsia" w:eastAsia="黑体"/>
          <w:sz w:val="44"/>
          <w:szCs w:val="44"/>
        </w:rPr>
      </w:pPr>
    </w:p>
    <w:p w14:paraId="5344BF4F">
      <w:pPr>
        <w:pStyle w:val="2"/>
        <w:rPr>
          <w:rFonts w:hint="eastAsia" w:eastAsia="黑体"/>
          <w:sz w:val="44"/>
          <w:szCs w:val="44"/>
        </w:rPr>
      </w:pPr>
    </w:p>
    <w:p w14:paraId="4258E878">
      <w:pPr>
        <w:pStyle w:val="2"/>
        <w:rPr>
          <w:rFonts w:hint="eastAsia" w:eastAsia="黑体"/>
          <w:sz w:val="44"/>
          <w:szCs w:val="44"/>
        </w:rPr>
      </w:pPr>
    </w:p>
    <w:p w14:paraId="68BEC2CE">
      <w:pPr>
        <w:pStyle w:val="2"/>
        <w:rPr>
          <w:rFonts w:hint="eastAsia" w:eastAsia="黑体"/>
          <w:sz w:val="44"/>
          <w:szCs w:val="44"/>
        </w:rPr>
      </w:pPr>
    </w:p>
    <w:p w14:paraId="31186164">
      <w:pPr>
        <w:pStyle w:val="2"/>
        <w:rPr>
          <w:rFonts w:hint="eastAsia" w:eastAsia="黑体"/>
          <w:sz w:val="44"/>
          <w:szCs w:val="44"/>
        </w:rPr>
      </w:pPr>
    </w:p>
    <w:p w14:paraId="1DDDFC6D">
      <w:pPr>
        <w:pStyle w:val="2"/>
        <w:rPr>
          <w:rFonts w:hint="eastAsia" w:eastAsia="黑体"/>
          <w:sz w:val="44"/>
          <w:szCs w:val="44"/>
        </w:rPr>
      </w:pPr>
    </w:p>
    <w:p w14:paraId="403F27D0">
      <w:pPr>
        <w:pStyle w:val="2"/>
        <w:rPr>
          <w:rFonts w:hint="eastAsia" w:eastAsia="黑体"/>
          <w:sz w:val="44"/>
          <w:szCs w:val="44"/>
        </w:rPr>
      </w:pPr>
    </w:p>
    <w:p w14:paraId="137DDCAB">
      <w:pPr>
        <w:pStyle w:val="2"/>
        <w:rPr>
          <w:rFonts w:hint="eastAsia"/>
        </w:rPr>
      </w:pPr>
    </w:p>
    <w:p w14:paraId="32D0936A">
      <w:pPr>
        <w:spacing w:line="600" w:lineRule="exact"/>
        <w:jc w:val="center"/>
        <w:outlineLvl w:val="0"/>
        <w:rPr>
          <w:rFonts w:eastAsia="黑体"/>
          <w:sz w:val="44"/>
          <w:szCs w:val="44"/>
        </w:rPr>
      </w:pPr>
      <w:r>
        <w:rPr>
          <w:rFonts w:hint="eastAsia" w:eastAsia="黑体"/>
          <w:sz w:val="44"/>
          <w:szCs w:val="44"/>
        </w:rPr>
        <w:t>第三部分  名词解释</w:t>
      </w:r>
      <w:bookmarkEnd w:id="49"/>
      <w:bookmarkEnd w:id="50"/>
    </w:p>
    <w:p w14:paraId="5D0B1C8C">
      <w:pPr>
        <w:spacing w:line="600" w:lineRule="exact"/>
        <w:jc w:val="left"/>
        <w:rPr>
          <w:b/>
          <w:sz w:val="44"/>
          <w:szCs w:val="44"/>
        </w:rPr>
      </w:pPr>
    </w:p>
    <w:p w14:paraId="540978EF">
      <w:pPr>
        <w:spacing w:line="600" w:lineRule="exact"/>
        <w:ind w:firstLine="640"/>
        <w:rPr>
          <w:rFonts w:eastAsia="仿宋_GB2312" w:cs="仿宋_GB2312"/>
          <w:color w:val="auto"/>
          <w:sz w:val="32"/>
          <w:szCs w:val="32"/>
        </w:rPr>
      </w:pPr>
      <w:r>
        <w:rPr>
          <w:rFonts w:hint="eastAsia" w:eastAsia="仿宋_GB2312" w:cs="仿宋_GB2312"/>
          <w:color w:val="auto"/>
          <w:sz w:val="32"/>
          <w:szCs w:val="32"/>
        </w:rPr>
        <w:t>1.财政拨款收入：指单位从同级财政部门取得的财政预算资金。</w:t>
      </w:r>
    </w:p>
    <w:p w14:paraId="59B3180C">
      <w:pPr>
        <w:spacing w:line="600" w:lineRule="exact"/>
        <w:ind w:firstLine="640"/>
        <w:rPr>
          <w:rFonts w:hint="eastAsia" w:eastAsia="仿宋_GB2312" w:cs="仿宋_GB2312"/>
          <w:color w:val="auto"/>
          <w:sz w:val="32"/>
          <w:szCs w:val="32"/>
        </w:rPr>
      </w:pPr>
      <w:r>
        <w:rPr>
          <w:rFonts w:hint="eastAsia" w:eastAsia="仿宋_GB2312" w:cs="仿宋_GB2312"/>
          <w:color w:val="auto"/>
          <w:sz w:val="32"/>
          <w:szCs w:val="32"/>
        </w:rPr>
        <w:t>2.事业收入：指事业单位开展专业业务活动及辅助活动取得的收入。</w:t>
      </w:r>
    </w:p>
    <w:p w14:paraId="755836EB">
      <w:pPr>
        <w:spacing w:line="600" w:lineRule="exact"/>
        <w:ind w:firstLine="640"/>
        <w:rPr>
          <w:rFonts w:hint="eastAsia" w:eastAsia="仿宋_GB2312" w:cs="仿宋_GB2312"/>
          <w:color w:val="auto"/>
          <w:sz w:val="32"/>
          <w:szCs w:val="32"/>
        </w:rPr>
      </w:pPr>
      <w:r>
        <w:rPr>
          <w:rFonts w:hint="eastAsia" w:eastAsia="仿宋_GB2312" w:cs="仿宋_GB2312"/>
          <w:color w:val="auto"/>
          <w:sz w:val="32"/>
          <w:szCs w:val="32"/>
        </w:rPr>
        <w:t>3.经营收入：指事业单位在专业业务活动及其辅助活动之外开展非独立核算经营活动取得的收入。</w:t>
      </w:r>
    </w:p>
    <w:p w14:paraId="33EA480C">
      <w:pPr>
        <w:spacing w:line="600" w:lineRule="exact"/>
        <w:ind w:left="638" w:leftChars="304" w:firstLine="0" w:firstLineChars="0"/>
        <w:rPr>
          <w:rFonts w:eastAsia="仿宋_GB2312" w:cs="仿宋_GB2312"/>
          <w:color w:val="auto"/>
          <w:sz w:val="32"/>
          <w:szCs w:val="32"/>
        </w:rPr>
      </w:pPr>
      <w:r>
        <w:rPr>
          <w:rFonts w:hint="eastAsia" w:eastAsia="仿宋_GB2312" w:cs="仿宋_GB2312"/>
          <w:color w:val="auto"/>
          <w:sz w:val="32"/>
          <w:szCs w:val="32"/>
        </w:rPr>
        <w:t xml:space="preserve">4.其他收入：指单位取得的除上述收入以外的各项收入。5.使用非财政拨款结余（含专用结余）：指事业单位使用以前年度积累的非财政拨款结余弥补当年收支差额的金额。 </w:t>
      </w:r>
    </w:p>
    <w:p w14:paraId="7E55DAA4">
      <w:pPr>
        <w:spacing w:line="600" w:lineRule="exact"/>
        <w:ind w:firstLine="640"/>
        <w:rPr>
          <w:rFonts w:eastAsia="仿宋_GB2312" w:cs="仿宋_GB2312"/>
          <w:color w:val="auto"/>
          <w:sz w:val="32"/>
          <w:szCs w:val="32"/>
        </w:rPr>
      </w:pPr>
      <w:r>
        <w:rPr>
          <w:rFonts w:hint="eastAsia" w:eastAsia="仿宋_GB2312" w:cs="仿宋_GB2312"/>
          <w:color w:val="auto"/>
          <w:sz w:val="32"/>
          <w:szCs w:val="32"/>
        </w:rPr>
        <w:t xml:space="preserve">6.年初结转和结余：指以前年度尚未完成、结转到本年按有关规定继续使用的资金。 </w:t>
      </w:r>
    </w:p>
    <w:p w14:paraId="1E061F1F">
      <w:pPr>
        <w:spacing w:line="600" w:lineRule="exact"/>
        <w:ind w:firstLine="640"/>
        <w:rPr>
          <w:rFonts w:eastAsia="仿宋_GB2312" w:cs="仿宋_GB2312"/>
          <w:color w:val="auto"/>
          <w:sz w:val="32"/>
          <w:szCs w:val="32"/>
        </w:rPr>
      </w:pPr>
      <w:r>
        <w:rPr>
          <w:rFonts w:hint="eastAsia" w:eastAsia="仿宋_GB2312" w:cs="仿宋_GB2312"/>
          <w:color w:val="auto"/>
          <w:sz w:val="32"/>
          <w:szCs w:val="32"/>
        </w:rPr>
        <w:t>7.结余分配：指事业单位按照会计制度规定缴纳的所得税、提取的专用结余以及转入非财政拨款结余的金额等。</w:t>
      </w:r>
    </w:p>
    <w:p w14:paraId="2F4FD9A2">
      <w:pPr>
        <w:spacing w:line="600" w:lineRule="exact"/>
        <w:ind w:firstLine="640"/>
        <w:rPr>
          <w:rFonts w:eastAsia="仿宋_GB2312" w:cs="仿宋_GB2312"/>
          <w:color w:val="auto"/>
          <w:sz w:val="32"/>
          <w:szCs w:val="32"/>
        </w:rPr>
      </w:pPr>
      <w:r>
        <w:rPr>
          <w:rFonts w:hint="eastAsia" w:eastAsia="仿宋_GB2312" w:cs="仿宋_GB2312"/>
          <w:color w:val="auto"/>
          <w:sz w:val="32"/>
          <w:szCs w:val="32"/>
        </w:rPr>
        <w:t>8.年末结转和结余：指单位按有关规定结转到下年或以后年度继续使用的资金。</w:t>
      </w:r>
    </w:p>
    <w:p w14:paraId="32267668">
      <w:pPr>
        <w:spacing w:line="600" w:lineRule="exact"/>
        <w:ind w:firstLine="640"/>
        <w:rPr>
          <w:rFonts w:hint="eastAsia" w:eastAsia="仿宋_GB2312" w:cs="仿宋_GB2312"/>
          <w:color w:val="auto"/>
          <w:sz w:val="32"/>
          <w:szCs w:val="32"/>
        </w:rPr>
      </w:pPr>
      <w:r>
        <w:rPr>
          <w:rFonts w:hint="eastAsia" w:eastAsia="仿宋_GB2312" w:cs="仿宋_GB2312"/>
          <w:color w:val="auto"/>
          <w:sz w:val="32"/>
          <w:szCs w:val="32"/>
        </w:rPr>
        <w:t>9.一般公共服务（类）宣传事务（款）其他宣传事务支出（项）：指创建全国文明城市专项补助资金</w:t>
      </w:r>
    </w:p>
    <w:p w14:paraId="38A3B2FF">
      <w:pPr>
        <w:ind w:firstLine="640" w:firstLineChars="200"/>
        <w:rPr>
          <w:rFonts w:ascii="仿宋_GB2312" w:eastAsia="仿宋_GB2312"/>
          <w:color w:val="auto"/>
          <w:sz w:val="32"/>
          <w:szCs w:val="32"/>
        </w:rPr>
      </w:pPr>
      <w:r>
        <w:rPr>
          <w:rFonts w:hint="eastAsia" w:ascii="仿宋_GB2312" w:eastAsia="仿宋_GB2312" w:cs="仿宋_GB2312"/>
          <w:color w:val="auto"/>
          <w:sz w:val="32"/>
          <w:szCs w:val="32"/>
          <w:lang w:val="en-US" w:eastAsia="zh-CN"/>
        </w:rPr>
        <w:t>10</w:t>
      </w:r>
      <w:r>
        <w:rPr>
          <w:rFonts w:hint="eastAsia" w:ascii="仿宋_GB2312" w:eastAsia="仿宋_GB2312" w:cs="仿宋_GB2312"/>
          <w:color w:val="auto"/>
          <w:sz w:val="32"/>
          <w:szCs w:val="32"/>
        </w:rPr>
        <w:t>.社会保障和就业（类）行政事业单位养老支出（款）行政单位离退休（项）：</w:t>
      </w:r>
      <w:r>
        <w:rPr>
          <w:rFonts w:hint="eastAsia" w:ascii="仿宋_GB2312" w:hAnsi="仿宋" w:eastAsia="仿宋_GB2312" w:cs="仿宋_GB2312"/>
          <w:color w:val="auto"/>
          <w:sz w:val="32"/>
          <w:szCs w:val="32"/>
        </w:rPr>
        <w:t>指反映未实行归口管理的行政单位（包括实行公务员管理的事业单位）开支的离退休支出</w:t>
      </w:r>
    </w:p>
    <w:p w14:paraId="7FCB29B0">
      <w:pPr>
        <w:spacing w:line="600" w:lineRule="exact"/>
        <w:ind w:firstLine="640" w:firstLineChars="200"/>
        <w:rPr>
          <w:rFonts w:ascii="仿宋_GB2312" w:hAnsi="仿宋" w:eastAsia="仿宋_GB2312"/>
          <w:color w:val="auto"/>
          <w:sz w:val="32"/>
          <w:szCs w:val="32"/>
        </w:rPr>
      </w:pPr>
      <w:r>
        <w:rPr>
          <w:rStyle w:val="18"/>
          <w:rFonts w:hint="eastAsia" w:ascii="仿宋_GB2312" w:hAnsi="仿宋" w:eastAsia="仿宋_GB2312" w:cs="仿宋_GB2312"/>
          <w:b w:val="0"/>
          <w:color w:val="auto"/>
          <w:sz w:val="32"/>
          <w:szCs w:val="32"/>
        </w:rPr>
        <w:t>1</w:t>
      </w:r>
      <w:r>
        <w:rPr>
          <w:rStyle w:val="18"/>
          <w:rFonts w:hint="eastAsia" w:ascii="仿宋_GB2312" w:hAnsi="仿宋" w:eastAsia="仿宋_GB2312" w:cs="仿宋_GB2312"/>
          <w:b w:val="0"/>
          <w:color w:val="auto"/>
          <w:sz w:val="32"/>
          <w:szCs w:val="32"/>
          <w:lang w:val="en-US" w:eastAsia="zh-CN"/>
        </w:rPr>
        <w:t>1</w:t>
      </w:r>
      <w:r>
        <w:rPr>
          <w:rFonts w:ascii="仿宋_GB2312" w:eastAsia="仿宋_GB2312" w:cs="仿宋_GB2312"/>
          <w:color w:val="auto"/>
          <w:sz w:val="32"/>
          <w:szCs w:val="32"/>
        </w:rPr>
        <w:t>.</w:t>
      </w:r>
      <w:r>
        <w:rPr>
          <w:rStyle w:val="18"/>
          <w:rFonts w:hint="eastAsia" w:ascii="仿宋_GB2312" w:hAnsi="仿宋" w:eastAsia="仿宋_GB2312" w:cs="仿宋_GB2312"/>
          <w:b w:val="0"/>
          <w:color w:val="auto"/>
          <w:sz w:val="32"/>
          <w:szCs w:val="32"/>
        </w:rPr>
        <w:t>社会保障和就业（类）行政事业单位养老支出（款）机关事业单位基本养老保险缴费支出（项）</w:t>
      </w:r>
      <w:r>
        <w:rPr>
          <w:rStyle w:val="18"/>
          <w:rFonts w:ascii="仿宋_GB2312" w:hAnsi="仿宋" w:eastAsia="仿宋_GB2312" w:cs="仿宋_GB2312"/>
          <w:b w:val="0"/>
          <w:color w:val="auto"/>
          <w:sz w:val="32"/>
          <w:szCs w:val="32"/>
        </w:rPr>
        <w:t>:</w:t>
      </w:r>
      <w:r>
        <w:rPr>
          <w:rFonts w:ascii="仿宋_GB2312" w:eastAsia="仿宋_GB2312" w:cs="仿宋_GB2312"/>
          <w:color w:val="auto"/>
          <w:sz w:val="32"/>
          <w:szCs w:val="32"/>
        </w:rPr>
        <w:t xml:space="preserve"> </w:t>
      </w:r>
      <w:r>
        <w:rPr>
          <w:rFonts w:hint="eastAsia" w:ascii="仿宋_GB2312" w:eastAsia="仿宋_GB2312" w:cs="仿宋_GB2312"/>
          <w:color w:val="auto"/>
          <w:sz w:val="32"/>
          <w:szCs w:val="32"/>
        </w:rPr>
        <w:t>指：</w:t>
      </w:r>
      <w:r>
        <w:rPr>
          <w:rFonts w:hint="eastAsia" w:ascii="仿宋_GB2312" w:hAnsi="仿宋" w:eastAsia="仿宋_GB2312" w:cs="仿宋_GB2312"/>
          <w:color w:val="auto"/>
          <w:sz w:val="32"/>
          <w:szCs w:val="32"/>
        </w:rPr>
        <w:t>反映机关事业单位实施养老保险制度由单位缴纳的基本养老保险费支出。</w:t>
      </w:r>
    </w:p>
    <w:p w14:paraId="21270E62">
      <w:pPr>
        <w:spacing w:line="600" w:lineRule="exact"/>
        <w:ind w:firstLine="640" w:firstLineChars="200"/>
        <w:rPr>
          <w:rFonts w:ascii="仿宋_GB2312" w:hAnsi="仿宋" w:eastAsia="仿宋_GB2312"/>
          <w:color w:val="auto"/>
          <w:sz w:val="32"/>
          <w:szCs w:val="32"/>
        </w:rPr>
      </w:pPr>
      <w:r>
        <w:rPr>
          <w:rStyle w:val="18"/>
          <w:rFonts w:ascii="仿宋_GB2312" w:hAnsi="仿宋" w:eastAsia="仿宋_GB2312" w:cs="仿宋_GB2312"/>
          <w:b w:val="0"/>
          <w:color w:val="auto"/>
          <w:sz w:val="32"/>
          <w:szCs w:val="32"/>
        </w:rPr>
        <w:t>1</w:t>
      </w:r>
      <w:r>
        <w:rPr>
          <w:rStyle w:val="18"/>
          <w:rFonts w:hint="eastAsia" w:ascii="仿宋_GB2312" w:hAnsi="仿宋" w:eastAsia="仿宋_GB2312" w:cs="仿宋_GB2312"/>
          <w:b w:val="0"/>
          <w:color w:val="auto"/>
          <w:sz w:val="32"/>
          <w:szCs w:val="32"/>
          <w:lang w:val="en-US" w:eastAsia="zh-CN"/>
        </w:rPr>
        <w:t>2</w:t>
      </w:r>
      <w:r>
        <w:rPr>
          <w:rFonts w:ascii="仿宋_GB2312" w:eastAsia="仿宋_GB2312" w:cs="仿宋_GB2312"/>
          <w:color w:val="auto"/>
          <w:sz w:val="32"/>
          <w:szCs w:val="32"/>
        </w:rPr>
        <w:t>.</w:t>
      </w:r>
      <w:r>
        <w:rPr>
          <w:rStyle w:val="18"/>
          <w:rFonts w:hint="eastAsia" w:ascii="仿宋_GB2312" w:hAnsi="仿宋" w:eastAsia="仿宋_GB2312" w:cs="仿宋_GB2312"/>
          <w:b w:val="0"/>
          <w:color w:val="auto"/>
          <w:sz w:val="32"/>
          <w:szCs w:val="32"/>
        </w:rPr>
        <w:t>社会保障和就业（类）行政事业单位养老支出（款）机关事业单位职业年金缴费支出（项）</w:t>
      </w:r>
      <w:r>
        <w:rPr>
          <w:rStyle w:val="18"/>
          <w:rFonts w:ascii="仿宋_GB2312" w:hAnsi="仿宋" w:eastAsia="仿宋_GB2312" w:cs="仿宋_GB2312"/>
          <w:b w:val="0"/>
          <w:color w:val="auto"/>
          <w:sz w:val="32"/>
          <w:szCs w:val="32"/>
        </w:rPr>
        <w:t xml:space="preserve">: </w:t>
      </w:r>
      <w:r>
        <w:rPr>
          <w:rFonts w:hint="eastAsia" w:ascii="仿宋_GB2312" w:eastAsia="仿宋_GB2312" w:cs="仿宋_GB2312"/>
          <w:color w:val="auto"/>
          <w:sz w:val="32"/>
          <w:szCs w:val="32"/>
        </w:rPr>
        <w:t>指：</w:t>
      </w:r>
      <w:r>
        <w:rPr>
          <w:rFonts w:hint="eastAsia" w:ascii="仿宋_GB2312" w:hAnsi="仿宋" w:eastAsia="仿宋_GB2312" w:cs="仿宋_GB2312"/>
          <w:color w:val="auto"/>
          <w:sz w:val="32"/>
          <w:szCs w:val="32"/>
        </w:rPr>
        <w:t>反映机关事业单位实施养老保险制度由单位缴纳的职业年金支出。</w:t>
      </w:r>
    </w:p>
    <w:p w14:paraId="3A90116E">
      <w:pPr>
        <w:spacing w:line="600" w:lineRule="exact"/>
        <w:ind w:firstLine="640"/>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val="en-US" w:eastAsia="zh-CN"/>
        </w:rPr>
        <w:t>13.</w:t>
      </w:r>
      <w:r>
        <w:rPr>
          <w:rFonts w:hint="eastAsia" w:ascii="仿宋_GB2312" w:eastAsia="仿宋_GB2312" w:cs="仿宋_GB2312"/>
          <w:color w:val="auto"/>
          <w:sz w:val="32"/>
          <w:szCs w:val="32"/>
        </w:rPr>
        <w:t>社会保障和就业（类）</w:t>
      </w:r>
      <w:r>
        <w:rPr>
          <w:rFonts w:hint="eastAsia" w:ascii="仿宋_GB2312" w:eastAsia="仿宋_GB2312" w:cs="仿宋_GB2312"/>
          <w:color w:val="auto"/>
          <w:sz w:val="32"/>
          <w:szCs w:val="32"/>
          <w:lang w:val="en-US" w:eastAsia="zh-CN"/>
        </w:rPr>
        <w:t>抚恤</w:t>
      </w:r>
      <w:r>
        <w:rPr>
          <w:rFonts w:hint="eastAsia" w:cs="仿宋_GB2312"/>
          <w:color w:val="auto"/>
          <w:sz w:val="32"/>
          <w:szCs w:val="32"/>
          <w:lang w:val="en-US" w:eastAsia="zh-CN"/>
        </w:rPr>
        <w:t>（</w:t>
      </w:r>
      <w:r>
        <w:rPr>
          <w:rFonts w:hint="eastAsia" w:ascii="仿宋_GB2312" w:eastAsia="仿宋_GB2312" w:cs="仿宋_GB2312"/>
          <w:color w:val="auto"/>
          <w:sz w:val="32"/>
          <w:szCs w:val="32"/>
        </w:rPr>
        <w:t>款）</w:t>
      </w:r>
      <w:r>
        <w:rPr>
          <w:rFonts w:hint="eastAsia" w:ascii="仿宋_GB2312" w:eastAsia="仿宋_GB2312" w:cs="仿宋_GB2312"/>
          <w:color w:val="auto"/>
          <w:sz w:val="32"/>
          <w:szCs w:val="32"/>
          <w:lang w:val="en-US" w:eastAsia="zh-CN"/>
        </w:rPr>
        <w:t>死亡抚恤</w:t>
      </w:r>
      <w:r>
        <w:rPr>
          <w:rFonts w:hint="eastAsia" w:ascii="仿宋_GB2312" w:eastAsia="仿宋_GB2312" w:cs="仿宋_GB2312"/>
          <w:color w:val="auto"/>
          <w:sz w:val="32"/>
          <w:szCs w:val="32"/>
        </w:rPr>
        <w:t>（项）</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en-US" w:eastAsia="zh-CN"/>
        </w:rPr>
        <w:t>指：支付机关单位职工</w:t>
      </w:r>
      <w:r>
        <w:rPr>
          <w:rFonts w:hint="eastAsia" w:ascii="仿宋_GB2312" w:eastAsia="仿宋_GB2312" w:cs="仿宋_GB2312"/>
          <w:color w:val="auto"/>
          <w:sz w:val="32"/>
          <w:szCs w:val="32"/>
        </w:rPr>
        <w:t>死亡丧葬费及一次性抚恤金</w:t>
      </w:r>
      <w:r>
        <w:rPr>
          <w:rFonts w:hint="eastAsia" w:ascii="仿宋_GB2312" w:eastAsia="仿宋_GB2312" w:cs="仿宋_GB2312"/>
          <w:color w:val="auto"/>
          <w:sz w:val="32"/>
          <w:szCs w:val="32"/>
          <w:lang w:eastAsia="zh-CN"/>
        </w:rPr>
        <w:t>。</w:t>
      </w:r>
    </w:p>
    <w:p w14:paraId="274DDE0B">
      <w:pPr>
        <w:spacing w:line="600" w:lineRule="exact"/>
        <w:ind w:firstLine="640" w:firstLineChars="200"/>
        <w:rPr>
          <w:rFonts w:ascii="仿宋_GB2312" w:hAnsi="仿宋" w:eastAsia="仿宋_GB2312"/>
          <w:color w:val="auto"/>
          <w:sz w:val="32"/>
          <w:szCs w:val="32"/>
        </w:rPr>
      </w:pPr>
      <w:r>
        <w:rPr>
          <w:rStyle w:val="18"/>
          <w:rFonts w:ascii="仿宋_GB2312" w:hAnsi="仿宋" w:eastAsia="仿宋_GB2312" w:cs="仿宋_GB2312"/>
          <w:b w:val="0"/>
          <w:color w:val="auto"/>
          <w:sz w:val="32"/>
          <w:szCs w:val="32"/>
        </w:rPr>
        <w:t>1</w:t>
      </w:r>
      <w:r>
        <w:rPr>
          <w:rStyle w:val="18"/>
          <w:rFonts w:hint="eastAsia" w:ascii="仿宋_GB2312" w:hAnsi="仿宋" w:eastAsia="仿宋_GB2312" w:cs="仿宋_GB2312"/>
          <w:b w:val="0"/>
          <w:color w:val="auto"/>
          <w:sz w:val="32"/>
          <w:szCs w:val="32"/>
          <w:lang w:val="en-US" w:eastAsia="zh-CN"/>
        </w:rPr>
        <w:t>4</w:t>
      </w:r>
      <w:r>
        <w:rPr>
          <w:rFonts w:ascii="仿宋_GB2312" w:eastAsia="仿宋_GB2312" w:cs="仿宋_GB2312"/>
          <w:color w:val="auto"/>
          <w:sz w:val="32"/>
          <w:szCs w:val="32"/>
        </w:rPr>
        <w:t>.</w:t>
      </w:r>
      <w:r>
        <w:rPr>
          <w:rFonts w:hint="eastAsia" w:ascii="仿宋_GB2312" w:hAnsi="仿宋" w:eastAsia="仿宋_GB2312" w:cs="仿宋_GB2312"/>
          <w:color w:val="auto"/>
          <w:sz w:val="32"/>
          <w:szCs w:val="32"/>
        </w:rPr>
        <w:t>卫生健康</w:t>
      </w:r>
      <w:r>
        <w:rPr>
          <w:rStyle w:val="18"/>
          <w:rFonts w:hint="eastAsia" w:ascii="仿宋_GB2312" w:hAnsi="仿宋" w:eastAsia="仿宋_GB2312" w:cs="仿宋_GB2312"/>
          <w:b w:val="0"/>
          <w:color w:val="auto"/>
          <w:sz w:val="32"/>
          <w:szCs w:val="32"/>
        </w:rPr>
        <w:t>（类）行政事业单位医疗（款）行政单位医疗（项）</w:t>
      </w:r>
      <w:r>
        <w:rPr>
          <w:rStyle w:val="18"/>
          <w:rFonts w:ascii="仿宋_GB2312" w:hAnsi="仿宋" w:eastAsia="仿宋_GB2312" w:cs="仿宋_GB2312"/>
          <w:b w:val="0"/>
          <w:color w:val="auto"/>
          <w:sz w:val="32"/>
          <w:szCs w:val="32"/>
        </w:rPr>
        <w:t>:</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指反映财政部门集中安排的行政单位基本医疗保险缴费经费</w:t>
      </w:r>
      <w:r>
        <w:rPr>
          <w:rStyle w:val="18"/>
          <w:rFonts w:hint="eastAsia" w:ascii="仿宋_GB2312" w:hAnsi="仿宋" w:eastAsia="仿宋_GB2312" w:cs="仿宋_GB2312"/>
          <w:b w:val="0"/>
          <w:color w:val="auto"/>
          <w:sz w:val="32"/>
          <w:szCs w:val="32"/>
        </w:rPr>
        <w:t>。</w:t>
      </w:r>
    </w:p>
    <w:p w14:paraId="6C91DB20">
      <w:pPr>
        <w:spacing w:line="600" w:lineRule="exact"/>
        <w:ind w:firstLine="640" w:firstLineChars="200"/>
        <w:rPr>
          <w:rFonts w:ascii="仿宋_GB2312" w:hAnsi="仿宋" w:eastAsia="仿宋_GB2312"/>
          <w:color w:val="auto"/>
          <w:sz w:val="32"/>
          <w:szCs w:val="32"/>
        </w:rPr>
      </w:pPr>
      <w:r>
        <w:rPr>
          <w:rStyle w:val="18"/>
          <w:rFonts w:ascii="仿宋_GB2312" w:hAnsi="仿宋" w:eastAsia="仿宋_GB2312" w:cs="仿宋_GB2312"/>
          <w:b w:val="0"/>
          <w:color w:val="auto"/>
          <w:sz w:val="32"/>
          <w:szCs w:val="32"/>
        </w:rPr>
        <w:t>1</w:t>
      </w:r>
      <w:r>
        <w:rPr>
          <w:rStyle w:val="18"/>
          <w:rFonts w:hint="eastAsia" w:ascii="仿宋_GB2312" w:hAnsi="仿宋" w:eastAsia="仿宋_GB2312" w:cs="仿宋_GB2312"/>
          <w:b w:val="0"/>
          <w:color w:val="auto"/>
          <w:sz w:val="32"/>
          <w:szCs w:val="32"/>
          <w:lang w:val="en-US" w:eastAsia="zh-CN"/>
        </w:rPr>
        <w:t>5</w:t>
      </w:r>
      <w:r>
        <w:rPr>
          <w:rFonts w:ascii="仿宋_GB2312" w:eastAsia="仿宋_GB2312" w:cs="仿宋_GB2312"/>
          <w:color w:val="auto"/>
          <w:sz w:val="32"/>
          <w:szCs w:val="32"/>
        </w:rPr>
        <w:t>.</w:t>
      </w:r>
      <w:r>
        <w:rPr>
          <w:rFonts w:hint="eastAsia" w:ascii="仿宋_GB2312" w:hAnsi="仿宋" w:eastAsia="仿宋_GB2312" w:cs="仿宋_GB2312"/>
          <w:color w:val="auto"/>
          <w:sz w:val="32"/>
          <w:szCs w:val="32"/>
        </w:rPr>
        <w:t>卫生健康</w:t>
      </w:r>
      <w:r>
        <w:rPr>
          <w:rStyle w:val="18"/>
          <w:rFonts w:hint="eastAsia" w:ascii="仿宋_GB2312" w:hAnsi="仿宋" w:eastAsia="仿宋_GB2312" w:cs="仿宋_GB2312"/>
          <w:b w:val="0"/>
          <w:color w:val="auto"/>
          <w:sz w:val="32"/>
          <w:szCs w:val="32"/>
        </w:rPr>
        <w:t>（类）行政事业单位医疗（款）事业单位医疗（项）</w:t>
      </w:r>
      <w:r>
        <w:rPr>
          <w:rStyle w:val="18"/>
          <w:rFonts w:ascii="仿宋_GB2312" w:hAnsi="仿宋" w:eastAsia="仿宋_GB2312" w:cs="仿宋_GB2312"/>
          <w:b w:val="0"/>
          <w:color w:val="auto"/>
          <w:sz w:val="32"/>
          <w:szCs w:val="32"/>
        </w:rPr>
        <w:t>:</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指反映财政部门集中安排的事业单位基本医疗保险缴费经费</w:t>
      </w:r>
      <w:r>
        <w:rPr>
          <w:rStyle w:val="18"/>
          <w:rFonts w:hint="eastAsia" w:ascii="仿宋_GB2312" w:hAnsi="仿宋" w:eastAsia="仿宋_GB2312" w:cs="仿宋_GB2312"/>
          <w:b w:val="0"/>
          <w:color w:val="auto"/>
          <w:sz w:val="32"/>
          <w:szCs w:val="32"/>
        </w:rPr>
        <w:t>。</w:t>
      </w:r>
    </w:p>
    <w:p w14:paraId="6CFF1821">
      <w:pPr>
        <w:spacing w:line="600" w:lineRule="exact"/>
        <w:ind w:firstLine="640" w:firstLineChars="200"/>
        <w:rPr>
          <w:rFonts w:hint="eastAsia" w:ascii="仿宋_GB2312" w:hAnsi="仿宋" w:eastAsia="仿宋_GB2312" w:cs="仿宋_GB2312"/>
          <w:color w:val="auto"/>
          <w:sz w:val="32"/>
          <w:szCs w:val="32"/>
        </w:rPr>
      </w:pPr>
      <w:r>
        <w:rPr>
          <w:rFonts w:ascii="仿宋_GB2312" w:hAnsi="仿宋" w:eastAsia="仿宋_GB2312" w:cs="仿宋_GB2312"/>
          <w:color w:val="auto"/>
          <w:sz w:val="32"/>
          <w:szCs w:val="32"/>
        </w:rPr>
        <w:t>1</w:t>
      </w:r>
      <w:r>
        <w:rPr>
          <w:rFonts w:hint="eastAsia" w:ascii="仿宋_GB2312" w:hAnsi="仿宋" w:eastAsia="仿宋_GB2312" w:cs="仿宋_GB2312"/>
          <w:color w:val="auto"/>
          <w:sz w:val="32"/>
          <w:szCs w:val="32"/>
          <w:lang w:val="en-US" w:eastAsia="zh-CN"/>
        </w:rPr>
        <w:t>6</w:t>
      </w:r>
      <w:r>
        <w:rPr>
          <w:rFonts w:ascii="仿宋_GB2312" w:eastAsia="仿宋_GB2312" w:cs="仿宋_GB2312"/>
          <w:color w:val="auto"/>
          <w:sz w:val="32"/>
          <w:szCs w:val="32"/>
        </w:rPr>
        <w:t>.</w:t>
      </w:r>
      <w:r>
        <w:rPr>
          <w:rFonts w:hint="eastAsia" w:ascii="仿宋_GB2312" w:hAnsi="仿宋" w:eastAsia="仿宋_GB2312" w:cs="仿宋_GB2312"/>
          <w:color w:val="auto"/>
          <w:sz w:val="32"/>
          <w:szCs w:val="32"/>
        </w:rPr>
        <w:t>卫生健康</w:t>
      </w:r>
      <w:r>
        <w:rPr>
          <w:rStyle w:val="18"/>
          <w:rFonts w:hint="eastAsia" w:ascii="仿宋_GB2312" w:hAnsi="仿宋" w:eastAsia="仿宋_GB2312" w:cs="仿宋_GB2312"/>
          <w:b w:val="0"/>
          <w:color w:val="auto"/>
          <w:sz w:val="32"/>
          <w:szCs w:val="32"/>
        </w:rPr>
        <w:t>（类）行政事业单位医疗（款）公务员医疗补助（项）</w:t>
      </w:r>
      <w:r>
        <w:rPr>
          <w:rStyle w:val="18"/>
          <w:rFonts w:ascii="仿宋_GB2312" w:hAnsi="仿宋" w:eastAsia="仿宋_GB2312" w:cs="仿宋_GB2312"/>
          <w:b w:val="0"/>
          <w:color w:val="auto"/>
          <w:sz w:val="32"/>
          <w:szCs w:val="32"/>
        </w:rPr>
        <w:t>:</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指反映财政部门集中安排的公务员医疗补助经费。</w:t>
      </w:r>
    </w:p>
    <w:p w14:paraId="07751D65">
      <w:pPr>
        <w:spacing w:line="600" w:lineRule="exact"/>
        <w:ind w:firstLine="640" w:firstLineChars="200"/>
        <w:rPr>
          <w:rStyle w:val="18"/>
          <w:rFonts w:ascii="仿宋_GB2312" w:hAnsi="仿宋" w:eastAsia="仿宋_GB2312"/>
          <w:b w:val="0"/>
          <w:color w:val="auto"/>
          <w:sz w:val="32"/>
          <w:szCs w:val="32"/>
        </w:rPr>
      </w:pPr>
      <w:r>
        <w:rPr>
          <w:rFonts w:ascii="仿宋_GB2312" w:hAnsi="仿宋" w:eastAsia="仿宋_GB2312" w:cs="仿宋_GB2312"/>
          <w:color w:val="auto"/>
          <w:sz w:val="32"/>
          <w:szCs w:val="32"/>
        </w:rPr>
        <w:t>1</w:t>
      </w:r>
      <w:r>
        <w:rPr>
          <w:rFonts w:hint="eastAsia" w:ascii="仿宋_GB2312" w:hAnsi="仿宋" w:eastAsia="仿宋_GB2312" w:cs="仿宋_GB2312"/>
          <w:color w:val="auto"/>
          <w:sz w:val="32"/>
          <w:szCs w:val="32"/>
          <w:lang w:val="en-US" w:eastAsia="zh-CN"/>
        </w:rPr>
        <w:t>7</w:t>
      </w:r>
      <w:r>
        <w:rPr>
          <w:rFonts w:ascii="仿宋_GB2312" w:eastAsia="仿宋_GB2312" w:cs="仿宋_GB2312"/>
          <w:color w:val="auto"/>
          <w:sz w:val="32"/>
          <w:szCs w:val="32"/>
        </w:rPr>
        <w:t>.</w:t>
      </w:r>
      <w:r>
        <w:rPr>
          <w:rFonts w:hint="eastAsia" w:ascii="仿宋_GB2312" w:hAnsi="仿宋" w:eastAsia="仿宋_GB2312" w:cs="仿宋_GB2312"/>
          <w:color w:val="auto"/>
          <w:sz w:val="32"/>
          <w:szCs w:val="32"/>
        </w:rPr>
        <w:t>城乡社区支出</w:t>
      </w:r>
      <w:r>
        <w:rPr>
          <w:rStyle w:val="18"/>
          <w:rFonts w:hint="eastAsia" w:ascii="仿宋_GB2312" w:hAnsi="仿宋" w:eastAsia="仿宋_GB2312" w:cs="仿宋_GB2312"/>
          <w:b w:val="0"/>
          <w:color w:val="auto"/>
          <w:sz w:val="32"/>
          <w:szCs w:val="32"/>
        </w:rPr>
        <w:t>（类）城乡社区管理实务（款）行政运行（项）</w:t>
      </w:r>
      <w:r>
        <w:rPr>
          <w:rStyle w:val="18"/>
          <w:rFonts w:ascii="仿宋_GB2312" w:hAnsi="仿宋" w:eastAsia="仿宋_GB2312" w:cs="仿宋_GB2312"/>
          <w:b w:val="0"/>
          <w:color w:val="auto"/>
          <w:sz w:val="32"/>
          <w:szCs w:val="32"/>
        </w:rPr>
        <w:t>:</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指反映行政单位（包括实行公务员管理的事业单位）的基本支出。</w:t>
      </w:r>
    </w:p>
    <w:p w14:paraId="2322AD90">
      <w:pPr>
        <w:spacing w:line="600" w:lineRule="exact"/>
        <w:ind w:firstLine="640" w:firstLineChars="200"/>
        <w:rPr>
          <w:rFonts w:ascii="仿宋_GB2312" w:eastAsia="仿宋_GB2312"/>
          <w:color w:val="auto"/>
          <w:sz w:val="32"/>
          <w:szCs w:val="32"/>
        </w:rPr>
      </w:pPr>
      <w:r>
        <w:rPr>
          <w:rFonts w:ascii="仿宋_GB2312" w:hAnsi="仿宋" w:eastAsia="仿宋_GB2312" w:cs="仿宋_GB2312"/>
          <w:color w:val="auto"/>
          <w:sz w:val="32"/>
          <w:szCs w:val="32"/>
        </w:rPr>
        <w:t>1</w:t>
      </w:r>
      <w:r>
        <w:rPr>
          <w:rFonts w:hint="eastAsia" w:ascii="仿宋_GB2312" w:hAnsi="仿宋" w:eastAsia="仿宋_GB2312" w:cs="仿宋_GB2312"/>
          <w:color w:val="auto"/>
          <w:sz w:val="32"/>
          <w:szCs w:val="32"/>
          <w:lang w:val="en-US" w:eastAsia="zh-CN"/>
        </w:rPr>
        <w:t>8</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城乡社区支出</w:t>
      </w:r>
      <w:r>
        <w:rPr>
          <w:rStyle w:val="18"/>
          <w:rFonts w:hint="eastAsia" w:ascii="仿宋_GB2312" w:hAnsi="仿宋" w:eastAsia="仿宋_GB2312" w:cs="仿宋_GB2312"/>
          <w:b w:val="0"/>
          <w:color w:val="auto"/>
          <w:sz w:val="32"/>
          <w:szCs w:val="32"/>
        </w:rPr>
        <w:t>（类）城乡社区管理事务（款）其他城乡社区管理事务支出（项）</w:t>
      </w:r>
      <w:r>
        <w:rPr>
          <w:rStyle w:val="18"/>
          <w:rFonts w:ascii="仿宋_GB2312" w:hAnsi="仿宋" w:eastAsia="仿宋_GB2312" w:cs="仿宋_GB2312"/>
          <w:b w:val="0"/>
          <w:color w:val="auto"/>
          <w:sz w:val="32"/>
          <w:szCs w:val="32"/>
        </w:rPr>
        <w:t>:</w:t>
      </w:r>
      <w:r>
        <w:rPr>
          <w:rFonts w:ascii="仿宋_GB2312" w:eastAsia="仿宋_GB2312" w:cs="仿宋_GB2312"/>
          <w:color w:val="auto"/>
          <w:sz w:val="32"/>
          <w:szCs w:val="32"/>
        </w:rPr>
        <w:t xml:space="preserve"> </w:t>
      </w:r>
      <w:r>
        <w:rPr>
          <w:rFonts w:hint="eastAsia" w:ascii="仿宋_GB2312" w:eastAsia="仿宋_GB2312" w:cs="仿宋_GB2312"/>
          <w:color w:val="auto"/>
          <w:sz w:val="32"/>
          <w:szCs w:val="32"/>
        </w:rPr>
        <w:t>仁和区综合执法服务中心运行经费。</w:t>
      </w:r>
    </w:p>
    <w:p w14:paraId="14E7797B">
      <w:pPr>
        <w:ind w:firstLine="640" w:firstLineChars="200"/>
        <w:rPr>
          <w:rFonts w:hint="eastAsia" w:ascii="仿宋_GB2312" w:eastAsia="仿宋_GB2312" w:cs="仿宋_GB2312"/>
          <w:color w:val="auto"/>
          <w:sz w:val="32"/>
          <w:szCs w:val="32"/>
          <w:highlight w:val="none"/>
          <w:lang w:eastAsia="zh-CN"/>
        </w:rPr>
      </w:pPr>
      <w:r>
        <w:rPr>
          <w:rFonts w:hint="eastAsia" w:ascii="仿宋_GB2312" w:eastAsia="仿宋_GB2312" w:cs="仿宋_GB2312"/>
          <w:color w:val="auto"/>
          <w:sz w:val="32"/>
          <w:szCs w:val="32"/>
          <w:highlight w:val="none"/>
          <w:lang w:val="en-US" w:eastAsia="zh-CN"/>
        </w:rPr>
        <w:t xml:space="preserve">19. </w:t>
      </w:r>
      <w:r>
        <w:rPr>
          <w:rFonts w:hint="eastAsia" w:ascii="仿宋_GB2312" w:eastAsia="仿宋_GB2312" w:cs="仿宋_GB2312"/>
          <w:color w:val="auto"/>
          <w:sz w:val="32"/>
          <w:szCs w:val="32"/>
          <w:highlight w:val="none"/>
        </w:rPr>
        <w:t>城乡社区支出（类）城乡社区规划与管理（款）城乡社区规划与管理（项）</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支付</w:t>
      </w:r>
      <w:r>
        <w:rPr>
          <w:rFonts w:hint="eastAsia" w:ascii="仿宋_GB2312" w:eastAsia="仿宋_GB2312" w:cs="仿宋_GB2312"/>
          <w:color w:val="auto"/>
          <w:sz w:val="32"/>
          <w:szCs w:val="32"/>
          <w:highlight w:val="none"/>
        </w:rPr>
        <w:t>瓶改管、瓶改电激励奖补资金</w:t>
      </w:r>
      <w:r>
        <w:rPr>
          <w:rFonts w:hint="eastAsia" w:ascii="仿宋_GB2312" w:eastAsia="仿宋_GB2312" w:cs="仿宋_GB2312"/>
          <w:color w:val="auto"/>
          <w:sz w:val="32"/>
          <w:szCs w:val="32"/>
          <w:highlight w:val="none"/>
          <w:lang w:eastAsia="zh-CN"/>
        </w:rPr>
        <w:t>。</w:t>
      </w:r>
    </w:p>
    <w:p w14:paraId="62EAE806">
      <w:pPr>
        <w:pStyle w:val="2"/>
        <w:ind w:firstLine="640" w:firstLineChars="200"/>
        <w:rPr>
          <w:rStyle w:val="18"/>
          <w:rFonts w:hint="eastAsia" w:ascii="仿宋_GB2312" w:hAnsi="仿宋" w:eastAsia="仿宋_GB2312" w:cs="仿宋_GB2312"/>
          <w:b w:val="0"/>
          <w:color w:val="auto"/>
          <w:sz w:val="32"/>
          <w:szCs w:val="32"/>
          <w:lang w:eastAsia="zh-CN"/>
        </w:rPr>
      </w:pPr>
      <w:r>
        <w:rPr>
          <w:rFonts w:hint="eastAsia" w:hAnsi="仿宋" w:cs="仿宋_GB2312"/>
          <w:color w:val="auto"/>
          <w:sz w:val="32"/>
          <w:szCs w:val="32"/>
          <w:lang w:val="en-US" w:eastAsia="zh-CN"/>
        </w:rPr>
        <w:t>20</w:t>
      </w:r>
      <w:r>
        <w:rPr>
          <w:rFonts w:ascii="仿宋_GB2312" w:hAnsi="仿宋" w:eastAsia="仿宋_GB2312" w:cs="仿宋_GB2312"/>
          <w:color w:val="auto"/>
          <w:sz w:val="32"/>
          <w:szCs w:val="32"/>
        </w:rPr>
        <w:t>.</w:t>
      </w:r>
      <w:r>
        <w:rPr>
          <w:rFonts w:hint="eastAsia" w:ascii="仿宋_GB2312" w:hAnsi="仿宋" w:eastAsia="仿宋_GB2312" w:cs="仿宋_GB2312"/>
          <w:color w:val="auto"/>
          <w:sz w:val="32"/>
          <w:szCs w:val="32"/>
        </w:rPr>
        <w:t>城乡社区支出</w:t>
      </w:r>
      <w:r>
        <w:rPr>
          <w:rStyle w:val="18"/>
          <w:rFonts w:hint="eastAsia" w:ascii="仿宋_GB2312" w:hAnsi="仿宋" w:eastAsia="仿宋_GB2312" w:cs="仿宋_GB2312"/>
          <w:b w:val="0"/>
          <w:color w:val="auto"/>
          <w:sz w:val="32"/>
          <w:szCs w:val="32"/>
        </w:rPr>
        <w:t>（类）城乡社区公共设施（款）其他城乡社区公共设施支出（项）</w:t>
      </w:r>
      <w:r>
        <w:rPr>
          <w:rStyle w:val="18"/>
          <w:rFonts w:hint="eastAsia" w:hAnsi="仿宋" w:cs="仿宋_GB2312"/>
          <w:b w:val="0"/>
          <w:color w:val="auto"/>
          <w:sz w:val="32"/>
          <w:szCs w:val="32"/>
          <w:lang w:eastAsia="zh-CN"/>
        </w:rPr>
        <w:t>：</w:t>
      </w:r>
      <w:r>
        <w:rPr>
          <w:rStyle w:val="18"/>
          <w:rFonts w:hint="eastAsia" w:ascii="仿宋_GB2312" w:hAnsi="仿宋" w:eastAsia="仿宋_GB2312" w:cs="仿宋_GB2312"/>
          <w:b w:val="0"/>
          <w:color w:val="auto"/>
          <w:sz w:val="32"/>
          <w:szCs w:val="32"/>
        </w:rPr>
        <w:t>新型城镇化债券项目资金</w:t>
      </w:r>
      <w:r>
        <w:rPr>
          <w:rStyle w:val="18"/>
          <w:rFonts w:hint="eastAsia" w:ascii="仿宋_GB2312" w:hAnsi="仿宋" w:eastAsia="仿宋_GB2312" w:cs="仿宋_GB2312"/>
          <w:b w:val="0"/>
          <w:color w:val="auto"/>
          <w:sz w:val="32"/>
          <w:szCs w:val="32"/>
          <w:lang w:eastAsia="zh-CN"/>
        </w:rPr>
        <w:t>、</w:t>
      </w:r>
      <w:r>
        <w:rPr>
          <w:rStyle w:val="18"/>
          <w:rFonts w:hint="eastAsia" w:ascii="仿宋_GB2312" w:hAnsi="仿宋" w:eastAsia="仿宋_GB2312" w:cs="仿宋_GB2312"/>
          <w:b w:val="0"/>
          <w:color w:val="auto"/>
          <w:sz w:val="32"/>
          <w:szCs w:val="32"/>
        </w:rPr>
        <w:t>原水供水取水权交易</w:t>
      </w:r>
      <w:r>
        <w:rPr>
          <w:rStyle w:val="18"/>
          <w:rFonts w:hint="eastAsia" w:ascii="仿宋_GB2312" w:hAnsi="仿宋" w:eastAsia="仿宋_GB2312" w:cs="仿宋_GB2312"/>
          <w:b w:val="0"/>
          <w:color w:val="auto"/>
          <w:sz w:val="32"/>
          <w:szCs w:val="32"/>
          <w:lang w:eastAsia="zh-CN"/>
        </w:rPr>
        <w:t>、</w:t>
      </w:r>
      <w:r>
        <w:rPr>
          <w:rStyle w:val="18"/>
          <w:rFonts w:hint="eastAsia" w:ascii="仿宋_GB2312" w:hAnsi="仿宋" w:eastAsia="仿宋_GB2312" w:cs="仿宋_GB2312"/>
          <w:b w:val="0"/>
          <w:color w:val="auto"/>
          <w:sz w:val="32"/>
          <w:szCs w:val="32"/>
        </w:rPr>
        <w:t>2024年燃气改造项目资金</w:t>
      </w:r>
      <w:r>
        <w:rPr>
          <w:rStyle w:val="18"/>
          <w:rFonts w:hint="eastAsia" w:hAnsi="仿宋" w:cs="仿宋_GB2312"/>
          <w:b w:val="0"/>
          <w:color w:val="auto"/>
          <w:sz w:val="32"/>
          <w:szCs w:val="32"/>
          <w:lang w:eastAsia="zh-CN"/>
        </w:rPr>
        <w:t>。</w:t>
      </w:r>
    </w:p>
    <w:p w14:paraId="7C7EF827">
      <w:pPr>
        <w:pStyle w:val="2"/>
        <w:ind w:firstLine="640" w:firstLineChars="200"/>
        <w:rPr>
          <w:rFonts w:hint="eastAsia" w:ascii="仿宋_GB2312" w:hAnsi="仿宋" w:eastAsia="仿宋_GB2312" w:cs="仿宋_GB2312"/>
          <w:color w:val="auto"/>
          <w:sz w:val="32"/>
          <w:szCs w:val="32"/>
          <w:lang w:eastAsia="zh-CN"/>
        </w:rPr>
      </w:pPr>
      <w:r>
        <w:rPr>
          <w:rFonts w:hint="eastAsia" w:hAnsi="仿宋" w:cs="仿宋_GB2312"/>
          <w:color w:val="auto"/>
          <w:sz w:val="32"/>
          <w:szCs w:val="32"/>
          <w:lang w:val="en-US" w:eastAsia="zh-CN"/>
        </w:rPr>
        <w:t>21.</w:t>
      </w:r>
      <w:r>
        <w:rPr>
          <w:rFonts w:hint="eastAsia" w:ascii="仿宋_GB2312" w:hAnsi="仿宋" w:eastAsia="仿宋_GB2312" w:cs="仿宋_GB2312"/>
          <w:color w:val="auto"/>
          <w:sz w:val="32"/>
          <w:szCs w:val="32"/>
        </w:rPr>
        <w:t>城乡社区支出</w:t>
      </w:r>
      <w:r>
        <w:rPr>
          <w:rStyle w:val="18"/>
          <w:rFonts w:hint="eastAsia" w:ascii="仿宋_GB2312" w:hAnsi="仿宋" w:eastAsia="仿宋_GB2312" w:cs="仿宋_GB2312"/>
          <w:b w:val="0"/>
          <w:color w:val="auto"/>
          <w:sz w:val="32"/>
          <w:szCs w:val="32"/>
        </w:rPr>
        <w:t>（类）城乡社区环境卫生（款）城乡社区环境卫生（项）</w:t>
      </w:r>
      <w:r>
        <w:rPr>
          <w:rStyle w:val="18"/>
          <w:rFonts w:ascii="仿宋_GB2312" w:hAnsi="仿宋" w:eastAsia="仿宋_GB2312" w:cs="仿宋_GB2312"/>
          <w:b w:val="0"/>
          <w:color w:val="auto"/>
          <w:sz w:val="32"/>
          <w:szCs w:val="32"/>
        </w:rPr>
        <w:t>:</w:t>
      </w:r>
      <w:r>
        <w:rPr>
          <w:rFonts w:hint="eastAsia" w:ascii="仿宋_GB2312" w:hAnsi="仿宋" w:eastAsia="仿宋_GB2312" w:cs="仿宋_GB2312"/>
          <w:color w:val="auto"/>
          <w:sz w:val="32"/>
          <w:szCs w:val="32"/>
        </w:rPr>
        <w:t>2025年城市管理项目经费</w:t>
      </w:r>
      <w:r>
        <w:rPr>
          <w:rFonts w:hint="eastAsia" w:hAnsi="仿宋" w:cs="仿宋_GB2312"/>
          <w:color w:val="auto"/>
          <w:sz w:val="32"/>
          <w:szCs w:val="32"/>
          <w:lang w:eastAsia="zh-CN"/>
        </w:rPr>
        <w:t>。</w:t>
      </w:r>
    </w:p>
    <w:p w14:paraId="2BFF3889">
      <w:pPr>
        <w:pStyle w:val="2"/>
        <w:ind w:firstLine="640" w:firstLineChars="200"/>
        <w:rPr>
          <w:rFonts w:hint="default" w:ascii="仿宋_GB2312" w:hAnsi="仿宋" w:eastAsia="仿宋_GB2312" w:cs="仿宋_GB2312"/>
          <w:color w:val="auto"/>
          <w:sz w:val="32"/>
          <w:szCs w:val="32"/>
          <w:lang w:val="en-US" w:eastAsia="zh-CN"/>
        </w:rPr>
      </w:pPr>
      <w:r>
        <w:rPr>
          <w:rFonts w:hint="eastAsia" w:hAnsi="仿宋" w:cs="仿宋_GB2312"/>
          <w:color w:val="auto"/>
          <w:sz w:val="32"/>
          <w:szCs w:val="32"/>
          <w:lang w:val="en-US" w:eastAsia="zh-CN"/>
        </w:rPr>
        <w:t>22.</w:t>
      </w:r>
      <w:r>
        <w:rPr>
          <w:rFonts w:hint="eastAsia" w:ascii="仿宋_GB2312" w:hAnsi="仿宋" w:eastAsia="仿宋_GB2312" w:cs="仿宋_GB2312"/>
          <w:color w:val="auto"/>
          <w:kern w:val="2"/>
          <w:sz w:val="32"/>
          <w:szCs w:val="32"/>
          <w:lang w:val="en-US" w:eastAsia="zh-CN" w:bidi="ar-SA"/>
        </w:rPr>
        <w:t>城乡社区支出（类）</w:t>
      </w:r>
      <w:r>
        <w:rPr>
          <w:rFonts w:ascii="仿宋_GB2312" w:hAnsi="仿宋" w:eastAsia="仿宋_GB2312" w:cs="仿宋_GB2312"/>
          <w:color w:val="auto"/>
          <w:kern w:val="2"/>
          <w:sz w:val="32"/>
          <w:szCs w:val="32"/>
          <w:lang w:val="en-US" w:eastAsia="zh-CN" w:bidi="ar-SA"/>
        </w:rPr>
        <w:t>国有土地使用权出让收入安排的支出</w:t>
      </w:r>
      <w:r>
        <w:rPr>
          <w:rFonts w:hint="eastAsia" w:hAnsi="仿宋" w:cs="仿宋_GB2312"/>
          <w:color w:val="auto"/>
          <w:kern w:val="2"/>
          <w:sz w:val="32"/>
          <w:szCs w:val="32"/>
          <w:lang w:val="en-US" w:eastAsia="zh-CN" w:bidi="ar-SA"/>
        </w:rPr>
        <w:t>（款）</w:t>
      </w:r>
      <w:r>
        <w:rPr>
          <w:rFonts w:ascii="仿宋_GB2312" w:hAnsi="仿宋" w:eastAsia="仿宋_GB2312" w:cs="仿宋_GB2312"/>
          <w:color w:val="auto"/>
          <w:kern w:val="2"/>
          <w:sz w:val="32"/>
          <w:szCs w:val="32"/>
          <w:lang w:val="en-US" w:eastAsia="zh-CN" w:bidi="ar-SA"/>
        </w:rPr>
        <w:t>土地开发支出</w:t>
      </w:r>
      <w:r>
        <w:rPr>
          <w:rFonts w:hint="eastAsia" w:ascii="仿宋_GB2312" w:hAnsi="仿宋" w:eastAsia="仿宋_GB2312" w:cs="仿宋_GB2312"/>
          <w:color w:val="auto"/>
          <w:kern w:val="2"/>
          <w:sz w:val="32"/>
          <w:szCs w:val="32"/>
          <w:lang w:val="en-US" w:eastAsia="zh-CN" w:bidi="ar-SA"/>
        </w:rPr>
        <w:t>（项）</w:t>
      </w:r>
      <w:r>
        <w:rPr>
          <w:rFonts w:hint="eastAsia" w:hAnsi="仿宋" w:cs="仿宋_GB2312"/>
          <w:color w:val="auto"/>
          <w:kern w:val="2"/>
          <w:sz w:val="32"/>
          <w:szCs w:val="32"/>
          <w:lang w:val="en-US" w:eastAsia="zh-CN" w:bidi="ar-SA"/>
        </w:rPr>
        <w:t>：</w:t>
      </w:r>
      <w:r>
        <w:rPr>
          <w:rFonts w:ascii="仿宋_GB2312" w:hAnsi="仿宋" w:eastAsia="仿宋_GB2312" w:cs="仿宋_GB2312"/>
          <w:color w:val="auto"/>
          <w:kern w:val="2"/>
          <w:sz w:val="32"/>
          <w:szCs w:val="32"/>
          <w:lang w:val="en-US" w:eastAsia="zh-CN" w:bidi="ar-SA"/>
        </w:rPr>
        <w:t>202</w:t>
      </w:r>
      <w:r>
        <w:rPr>
          <w:rFonts w:hint="eastAsia" w:hAnsi="仿宋" w:cs="仿宋_GB2312"/>
          <w:color w:val="auto"/>
          <w:kern w:val="2"/>
          <w:sz w:val="32"/>
          <w:szCs w:val="32"/>
          <w:lang w:val="en-US" w:eastAsia="zh-CN" w:bidi="ar-SA"/>
        </w:rPr>
        <w:t>5</w:t>
      </w:r>
      <w:r>
        <w:rPr>
          <w:rFonts w:ascii="仿宋_GB2312" w:hAnsi="仿宋" w:eastAsia="仿宋_GB2312" w:cs="仿宋_GB2312"/>
          <w:color w:val="auto"/>
          <w:kern w:val="2"/>
          <w:sz w:val="32"/>
          <w:szCs w:val="32"/>
          <w:lang w:val="en-US" w:eastAsia="zh-CN" w:bidi="ar-SA"/>
        </w:rPr>
        <w:t>年城市管理项目经费</w:t>
      </w:r>
      <w:r>
        <w:rPr>
          <w:rFonts w:hint="eastAsia" w:hAnsi="仿宋" w:cs="仿宋_GB2312"/>
          <w:color w:val="auto"/>
          <w:kern w:val="2"/>
          <w:sz w:val="32"/>
          <w:szCs w:val="32"/>
          <w:lang w:val="en-US" w:eastAsia="zh-CN" w:bidi="ar-SA"/>
        </w:rPr>
        <w:t>。</w:t>
      </w:r>
    </w:p>
    <w:p w14:paraId="4B4DC9D6">
      <w:pPr>
        <w:pStyle w:val="2"/>
        <w:ind w:firstLine="640" w:firstLineChars="200"/>
        <w:rPr>
          <w:rFonts w:hint="eastAsia" w:hAnsi="仿宋" w:cs="仿宋_GB2312"/>
          <w:color w:val="auto"/>
          <w:kern w:val="2"/>
          <w:sz w:val="32"/>
          <w:szCs w:val="32"/>
          <w:lang w:val="en-US" w:eastAsia="zh-CN" w:bidi="ar-SA"/>
        </w:rPr>
      </w:pPr>
      <w:r>
        <w:rPr>
          <w:rFonts w:hint="eastAsia" w:hAnsi="仿宋" w:cs="仿宋_GB2312"/>
          <w:color w:val="auto"/>
          <w:kern w:val="2"/>
          <w:sz w:val="32"/>
          <w:szCs w:val="32"/>
          <w:lang w:val="en-US" w:eastAsia="zh-CN" w:bidi="ar-SA"/>
        </w:rPr>
        <w:t>23.</w:t>
      </w:r>
      <w:r>
        <w:rPr>
          <w:rFonts w:hint="eastAsia" w:ascii="仿宋_GB2312" w:hAnsi="仿宋" w:eastAsia="仿宋_GB2312" w:cs="仿宋_GB2312"/>
          <w:color w:val="auto"/>
          <w:kern w:val="2"/>
          <w:sz w:val="32"/>
          <w:szCs w:val="32"/>
          <w:lang w:val="en-US" w:eastAsia="zh-CN" w:bidi="ar-SA"/>
        </w:rPr>
        <w:t>城乡社区支出（类）</w:t>
      </w:r>
      <w:r>
        <w:rPr>
          <w:rFonts w:ascii="仿宋_GB2312" w:hAnsi="仿宋" w:eastAsia="仿宋_GB2312" w:cs="仿宋_GB2312"/>
          <w:color w:val="auto"/>
          <w:kern w:val="2"/>
          <w:sz w:val="32"/>
          <w:szCs w:val="32"/>
          <w:lang w:val="en-US" w:eastAsia="zh-CN" w:bidi="ar-SA"/>
        </w:rPr>
        <w:t>国有土地使用权出让收入安排的支出</w:t>
      </w:r>
      <w:r>
        <w:rPr>
          <w:rFonts w:hint="eastAsia" w:hAnsi="仿宋" w:cs="仿宋_GB2312"/>
          <w:color w:val="auto"/>
          <w:kern w:val="2"/>
          <w:sz w:val="32"/>
          <w:szCs w:val="32"/>
          <w:lang w:val="en-US" w:eastAsia="zh-CN" w:bidi="ar-SA"/>
        </w:rPr>
        <w:t>（款）农业生产发展</w:t>
      </w:r>
      <w:r>
        <w:rPr>
          <w:rFonts w:ascii="仿宋_GB2312" w:hAnsi="仿宋" w:eastAsia="仿宋_GB2312" w:cs="仿宋_GB2312"/>
          <w:color w:val="auto"/>
          <w:kern w:val="2"/>
          <w:sz w:val="32"/>
          <w:szCs w:val="32"/>
          <w:lang w:val="en-US" w:eastAsia="zh-CN" w:bidi="ar-SA"/>
        </w:rPr>
        <w:t>支出</w:t>
      </w:r>
      <w:r>
        <w:rPr>
          <w:rFonts w:hint="eastAsia" w:ascii="仿宋_GB2312" w:hAnsi="仿宋" w:eastAsia="仿宋_GB2312" w:cs="仿宋_GB2312"/>
          <w:color w:val="auto"/>
          <w:kern w:val="2"/>
          <w:sz w:val="32"/>
          <w:szCs w:val="32"/>
          <w:lang w:val="en-US" w:eastAsia="zh-CN" w:bidi="ar-SA"/>
        </w:rPr>
        <w:t>（项）</w:t>
      </w:r>
      <w:r>
        <w:rPr>
          <w:rFonts w:hint="eastAsia" w:hAnsi="仿宋" w:cs="仿宋_GB2312"/>
          <w:color w:val="auto"/>
          <w:kern w:val="2"/>
          <w:sz w:val="32"/>
          <w:szCs w:val="32"/>
          <w:lang w:val="en-US" w:eastAsia="zh-CN" w:bidi="ar-SA"/>
        </w:rPr>
        <w:t>：仁和区城区生活垃圾分类设施建设项目、2023年城乡建设发展专项资金、新型城镇化债券项目资金、城市燃气管道老化更新改造项目。</w:t>
      </w:r>
    </w:p>
    <w:p w14:paraId="25CBFC5C">
      <w:pPr>
        <w:pStyle w:val="2"/>
        <w:ind w:firstLine="640" w:firstLineChars="200"/>
        <w:rPr>
          <w:rStyle w:val="18"/>
          <w:rFonts w:hint="eastAsia" w:ascii="仿宋_GB2312" w:hAnsi="仿宋" w:eastAsia="仿宋_GB2312" w:cs="仿宋_GB2312"/>
          <w:b w:val="0"/>
          <w:color w:val="auto"/>
          <w:sz w:val="32"/>
          <w:szCs w:val="32"/>
          <w:lang w:eastAsia="zh-CN"/>
        </w:rPr>
      </w:pPr>
      <w:r>
        <w:rPr>
          <w:rStyle w:val="18"/>
          <w:rFonts w:hint="eastAsia" w:hAnsi="仿宋" w:cs="仿宋_GB2312"/>
          <w:b w:val="0"/>
          <w:color w:val="auto"/>
          <w:sz w:val="32"/>
          <w:szCs w:val="32"/>
          <w:lang w:val="en-US" w:eastAsia="zh-CN"/>
        </w:rPr>
        <w:t>24.</w:t>
      </w:r>
      <w:r>
        <w:rPr>
          <w:rStyle w:val="18"/>
          <w:rFonts w:hint="eastAsia" w:ascii="仿宋_GB2312" w:hAnsi="仿宋" w:eastAsia="仿宋_GB2312" w:cs="仿宋_GB2312"/>
          <w:b w:val="0"/>
          <w:color w:val="auto"/>
          <w:sz w:val="32"/>
          <w:szCs w:val="32"/>
        </w:rPr>
        <w:t>城乡社区支出（类）</w:t>
      </w:r>
      <w:r>
        <w:rPr>
          <w:rStyle w:val="18"/>
          <w:rFonts w:hint="eastAsia" w:ascii="仿宋_GB2312" w:hAnsi="仿宋" w:eastAsia="仿宋_GB2312" w:cs="仿宋_GB2312"/>
          <w:b w:val="0"/>
          <w:color w:val="auto"/>
          <w:sz w:val="32"/>
          <w:szCs w:val="32"/>
          <w:lang w:val="en-US" w:eastAsia="zh-CN"/>
        </w:rPr>
        <w:t>其他</w:t>
      </w:r>
      <w:r>
        <w:rPr>
          <w:rStyle w:val="18"/>
          <w:rFonts w:hint="eastAsia" w:ascii="仿宋_GB2312" w:hAnsi="仿宋" w:eastAsia="仿宋_GB2312" w:cs="仿宋_GB2312"/>
          <w:b w:val="0"/>
          <w:color w:val="auto"/>
          <w:sz w:val="32"/>
          <w:szCs w:val="32"/>
        </w:rPr>
        <w:t>城乡社区支出（款）</w:t>
      </w:r>
      <w:r>
        <w:rPr>
          <w:rStyle w:val="18"/>
          <w:rFonts w:ascii="仿宋_GB2312" w:hAnsi="仿宋" w:eastAsia="仿宋_GB2312" w:cs="仿宋_GB2312"/>
          <w:b w:val="0"/>
          <w:color w:val="auto"/>
          <w:sz w:val="32"/>
          <w:szCs w:val="32"/>
        </w:rPr>
        <w:t xml:space="preserve"> </w:t>
      </w:r>
      <w:r>
        <w:rPr>
          <w:rStyle w:val="18"/>
          <w:rFonts w:hint="eastAsia" w:ascii="仿宋_GB2312" w:hAnsi="仿宋" w:eastAsia="仿宋_GB2312" w:cs="仿宋_GB2312"/>
          <w:b w:val="0"/>
          <w:color w:val="auto"/>
          <w:sz w:val="32"/>
          <w:szCs w:val="32"/>
          <w:lang w:val="en-US" w:eastAsia="zh-CN"/>
        </w:rPr>
        <w:t>其他</w:t>
      </w:r>
      <w:r>
        <w:rPr>
          <w:rStyle w:val="18"/>
          <w:rFonts w:hint="eastAsia" w:ascii="仿宋_GB2312" w:hAnsi="仿宋" w:eastAsia="仿宋_GB2312" w:cs="仿宋_GB2312"/>
          <w:b w:val="0"/>
          <w:color w:val="auto"/>
          <w:sz w:val="32"/>
          <w:szCs w:val="32"/>
        </w:rPr>
        <w:t>城乡社区支出（项）：城镇垃圾处置费代征手续费</w:t>
      </w:r>
      <w:r>
        <w:rPr>
          <w:rStyle w:val="18"/>
          <w:rFonts w:hint="eastAsia" w:ascii="仿宋_GB2312" w:hAnsi="仿宋" w:eastAsia="仿宋_GB2312" w:cs="仿宋_GB2312"/>
          <w:b w:val="0"/>
          <w:color w:val="auto"/>
          <w:sz w:val="32"/>
          <w:szCs w:val="32"/>
          <w:lang w:eastAsia="zh-CN"/>
        </w:rPr>
        <w:t>、</w:t>
      </w:r>
      <w:r>
        <w:rPr>
          <w:rStyle w:val="18"/>
          <w:rFonts w:hint="eastAsia" w:ascii="仿宋_GB2312" w:hAnsi="仿宋" w:eastAsia="仿宋_GB2312" w:cs="仿宋_GB2312"/>
          <w:b w:val="0"/>
          <w:color w:val="auto"/>
          <w:sz w:val="32"/>
          <w:szCs w:val="32"/>
        </w:rPr>
        <w:t>瓶改管、瓶改电激励奖补资金</w:t>
      </w:r>
      <w:r>
        <w:rPr>
          <w:rStyle w:val="18"/>
          <w:rFonts w:hint="eastAsia" w:ascii="仿宋_GB2312" w:hAnsi="仿宋" w:eastAsia="仿宋_GB2312" w:cs="仿宋_GB2312"/>
          <w:b w:val="0"/>
          <w:color w:val="auto"/>
          <w:sz w:val="32"/>
          <w:szCs w:val="32"/>
          <w:lang w:eastAsia="zh-CN"/>
        </w:rPr>
        <w:t>、</w:t>
      </w:r>
      <w:r>
        <w:rPr>
          <w:rStyle w:val="18"/>
          <w:rFonts w:hint="eastAsia" w:ascii="仿宋_GB2312" w:hAnsi="仿宋" w:eastAsia="仿宋_GB2312" w:cs="仿宋_GB2312"/>
          <w:b w:val="0"/>
          <w:color w:val="auto"/>
          <w:sz w:val="32"/>
          <w:szCs w:val="32"/>
        </w:rPr>
        <w:t>城市燃气管道老化更新改造项目</w:t>
      </w:r>
      <w:r>
        <w:rPr>
          <w:rStyle w:val="18"/>
          <w:rFonts w:hint="eastAsia" w:ascii="仿宋_GB2312" w:hAnsi="仿宋" w:eastAsia="仿宋_GB2312" w:cs="仿宋_GB2312"/>
          <w:b w:val="0"/>
          <w:color w:val="auto"/>
          <w:sz w:val="32"/>
          <w:szCs w:val="32"/>
          <w:lang w:eastAsia="zh-CN"/>
        </w:rPr>
        <w:t>。</w:t>
      </w:r>
    </w:p>
    <w:p w14:paraId="5893B3C5">
      <w:pPr>
        <w:pStyle w:val="2"/>
        <w:ind w:firstLine="640" w:firstLineChars="200"/>
        <w:rPr>
          <w:rFonts w:hint="eastAsia" w:ascii="仿宋_GB2312" w:hAnsi="仿宋" w:eastAsia="仿宋_GB2312" w:cs="仿宋_GB2312"/>
          <w:color w:val="auto"/>
          <w:sz w:val="32"/>
          <w:szCs w:val="32"/>
          <w:lang w:eastAsia="zh-CN"/>
        </w:rPr>
      </w:pPr>
      <w:r>
        <w:rPr>
          <w:rFonts w:hint="eastAsia" w:hAnsi="仿宋" w:cs="仿宋_GB2312"/>
          <w:color w:val="auto"/>
          <w:sz w:val="32"/>
          <w:szCs w:val="32"/>
          <w:lang w:val="en-US" w:eastAsia="zh-CN"/>
        </w:rPr>
        <w:t>25.</w:t>
      </w:r>
      <w:r>
        <w:rPr>
          <w:rFonts w:hint="eastAsia" w:ascii="仿宋_GB2312" w:hAnsi="仿宋" w:eastAsia="仿宋_GB2312" w:cs="仿宋_GB2312"/>
          <w:color w:val="auto"/>
          <w:sz w:val="32"/>
          <w:szCs w:val="32"/>
        </w:rPr>
        <w:t>农林水支出</w:t>
      </w:r>
      <w:r>
        <w:rPr>
          <w:rStyle w:val="18"/>
          <w:rFonts w:hint="eastAsia" w:ascii="仿宋_GB2312" w:hAnsi="仿宋" w:eastAsia="仿宋_GB2312" w:cs="仿宋_GB2312"/>
          <w:b w:val="0"/>
          <w:color w:val="auto"/>
          <w:sz w:val="32"/>
          <w:szCs w:val="32"/>
        </w:rPr>
        <w:t>（类）</w:t>
      </w:r>
      <w:r>
        <w:rPr>
          <w:rFonts w:hint="eastAsia" w:ascii="仿宋_GB2312" w:hAnsi="仿宋" w:eastAsia="仿宋_GB2312" w:cs="仿宋_GB2312"/>
          <w:color w:val="auto"/>
          <w:sz w:val="32"/>
          <w:szCs w:val="32"/>
        </w:rPr>
        <w:t>其他农林水支出（款）其他农林水支出（项）</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2025年春节氛围营造项目</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2025年城市管理项目经费</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清偿拖欠企业账款化债专项债资金</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城市燃气管道老化更新改造项目</w:t>
      </w:r>
      <w:r>
        <w:rPr>
          <w:rFonts w:hint="eastAsia" w:ascii="仿宋_GB2312" w:hAnsi="仿宋" w:eastAsia="仿宋_GB2312" w:cs="仿宋_GB2312"/>
          <w:color w:val="auto"/>
          <w:sz w:val="32"/>
          <w:szCs w:val="32"/>
          <w:lang w:eastAsia="zh-CN"/>
        </w:rPr>
        <w:t>。</w:t>
      </w:r>
    </w:p>
    <w:p w14:paraId="59AD2BA3">
      <w:pPr>
        <w:spacing w:line="600" w:lineRule="exact"/>
        <w:ind w:firstLine="640" w:firstLineChars="200"/>
        <w:rPr>
          <w:rFonts w:hint="eastAsia" w:ascii="仿宋_GB2312" w:hAnsi="仿宋" w:eastAsia="仿宋_GB2312" w:cs="仿宋_GB2312"/>
          <w:color w:val="auto"/>
          <w:sz w:val="32"/>
          <w:szCs w:val="32"/>
        </w:rPr>
      </w:pPr>
      <w:r>
        <w:rPr>
          <w:rFonts w:hint="eastAsia" w:ascii="仿宋_GB2312" w:hAnsi="仿宋" w:eastAsia="仿宋_GB2312" w:cs="仿宋_GB2312"/>
          <w:color w:val="auto"/>
          <w:sz w:val="32"/>
          <w:szCs w:val="32"/>
        </w:rPr>
        <w:t>2</w:t>
      </w:r>
      <w:r>
        <w:rPr>
          <w:rFonts w:hint="eastAsia" w:ascii="仿宋_GB2312" w:hAnsi="仿宋" w:eastAsia="仿宋_GB2312" w:cs="仿宋_GB2312"/>
          <w:color w:val="auto"/>
          <w:sz w:val="32"/>
          <w:szCs w:val="32"/>
          <w:lang w:val="en-US" w:eastAsia="zh-CN"/>
        </w:rPr>
        <w:t>6</w:t>
      </w:r>
      <w:r>
        <w:rPr>
          <w:rFonts w:hint="eastAsia" w:ascii="仿宋_GB2312" w:hAnsi="仿宋" w:eastAsia="仿宋_GB2312" w:cs="仿宋_GB2312"/>
          <w:color w:val="auto"/>
          <w:sz w:val="32"/>
          <w:szCs w:val="32"/>
        </w:rPr>
        <w:t>.</w:t>
      </w:r>
      <w:r>
        <w:rPr>
          <w:rFonts w:hint="eastAsia" w:ascii="仿宋_GB2312" w:hAnsi="仿宋" w:eastAsia="仿宋_GB2312" w:cs="仿宋_GB2312"/>
          <w:color w:val="auto"/>
          <w:sz w:val="32"/>
          <w:szCs w:val="32"/>
          <w:lang w:val="zh-CN"/>
        </w:rPr>
        <w:t>住房保障支出（类）</w:t>
      </w:r>
      <w:r>
        <w:rPr>
          <w:rFonts w:hint="eastAsia" w:ascii="仿宋_GB2312" w:hAnsi="仿宋" w:eastAsia="仿宋_GB2312" w:cs="仿宋_GB2312"/>
          <w:color w:val="auto"/>
          <w:sz w:val="32"/>
          <w:szCs w:val="32"/>
        </w:rPr>
        <w:t>保障性安居工程支出</w:t>
      </w:r>
      <w:r>
        <w:rPr>
          <w:rFonts w:hint="eastAsia" w:ascii="仿宋_GB2312" w:hAnsi="仿宋" w:eastAsia="仿宋_GB2312" w:cs="仿宋_GB2312"/>
          <w:color w:val="auto"/>
          <w:sz w:val="32"/>
          <w:szCs w:val="32"/>
          <w:lang w:val="zh-CN"/>
        </w:rPr>
        <w:t>（款）</w:t>
      </w:r>
      <w:r>
        <w:rPr>
          <w:rFonts w:hint="eastAsia" w:ascii="仿宋_GB2312" w:hAnsi="仿宋" w:eastAsia="仿宋_GB2312" w:cs="仿宋_GB2312"/>
          <w:color w:val="auto"/>
          <w:sz w:val="32"/>
          <w:szCs w:val="32"/>
        </w:rPr>
        <w:t>其他保障性安居工程支出</w:t>
      </w:r>
      <w:r>
        <w:rPr>
          <w:rFonts w:hint="eastAsia" w:ascii="仿宋_GB2312" w:hAnsi="仿宋" w:eastAsia="仿宋_GB2312" w:cs="仿宋_GB2312"/>
          <w:color w:val="auto"/>
          <w:sz w:val="32"/>
          <w:szCs w:val="32"/>
          <w:lang w:val="zh-CN"/>
        </w:rPr>
        <w:t>（项）：</w:t>
      </w:r>
      <w:r>
        <w:rPr>
          <w:rFonts w:hint="eastAsia" w:ascii="仿宋_GB2312" w:hAnsi="仿宋" w:eastAsia="仿宋_GB2312" w:cs="仿宋_GB2312"/>
          <w:color w:val="auto"/>
          <w:sz w:val="32"/>
          <w:szCs w:val="32"/>
        </w:rPr>
        <w:t>仁和城区范围城市燃气管道老化更新改造项目。</w:t>
      </w:r>
    </w:p>
    <w:p w14:paraId="7E3BE689">
      <w:pPr>
        <w:ind w:firstLine="640" w:firstLineChars="200"/>
        <w:rPr>
          <w:rFonts w:hint="eastAsia" w:ascii="仿宋_GB2312" w:hAnsi="仿宋" w:eastAsia="仿宋_GB2312" w:cs="仿宋_GB2312"/>
          <w:color w:val="auto"/>
          <w:sz w:val="32"/>
          <w:szCs w:val="32"/>
          <w:lang w:eastAsia="zh-CN"/>
        </w:rPr>
      </w:pPr>
      <w:r>
        <w:rPr>
          <w:rFonts w:hint="eastAsia" w:ascii="仿宋_GB2312" w:eastAsia="仿宋_GB2312" w:cs="仿宋_GB2312"/>
          <w:color w:val="auto"/>
          <w:sz w:val="32"/>
          <w:szCs w:val="32"/>
        </w:rPr>
        <w:t>2</w:t>
      </w:r>
      <w:r>
        <w:rPr>
          <w:rFonts w:hint="eastAsia" w:ascii="仿宋_GB2312" w:eastAsia="仿宋_GB2312" w:cs="仿宋_GB2312"/>
          <w:color w:val="auto"/>
          <w:sz w:val="32"/>
          <w:szCs w:val="32"/>
          <w:lang w:val="en-US" w:eastAsia="zh-CN"/>
        </w:rPr>
        <w:t>7</w:t>
      </w:r>
      <w:r>
        <w:rPr>
          <w:rFonts w:hint="eastAsia" w:ascii="仿宋_GB2312" w:eastAsia="仿宋_GB2312" w:cs="仿宋_GB2312"/>
          <w:color w:val="auto"/>
          <w:sz w:val="32"/>
          <w:szCs w:val="32"/>
        </w:rPr>
        <w:t>.</w:t>
      </w:r>
      <w:r>
        <w:rPr>
          <w:rFonts w:hint="eastAsia" w:ascii="仿宋_GB2312" w:hAnsi="仿宋" w:eastAsia="仿宋_GB2312" w:cs="仿宋_GB2312"/>
          <w:color w:val="auto"/>
          <w:sz w:val="32"/>
          <w:szCs w:val="32"/>
        </w:rPr>
        <w:t>住房保障支出</w:t>
      </w:r>
      <w:r>
        <w:rPr>
          <w:rStyle w:val="18"/>
          <w:rFonts w:hint="eastAsia" w:ascii="仿宋_GB2312" w:hAnsi="仿宋" w:eastAsia="仿宋_GB2312" w:cs="仿宋_GB2312"/>
          <w:b w:val="0"/>
          <w:color w:val="auto"/>
          <w:sz w:val="32"/>
          <w:szCs w:val="32"/>
        </w:rPr>
        <w:t>（类）住房改革支出（款）住房公积金（项）</w:t>
      </w:r>
      <w:r>
        <w:rPr>
          <w:rStyle w:val="18"/>
          <w:rFonts w:ascii="仿宋_GB2312" w:hAnsi="仿宋" w:eastAsia="仿宋_GB2312" w:cs="仿宋_GB2312"/>
          <w:b w:val="0"/>
          <w:color w:val="auto"/>
          <w:sz w:val="32"/>
          <w:szCs w:val="32"/>
        </w:rPr>
        <w:t>:</w:t>
      </w:r>
      <w:r>
        <w:rPr>
          <w:rFonts w:ascii="仿宋_GB2312" w:hAnsi="仿宋" w:eastAsia="仿宋_GB2312" w:cs="仿宋_GB2312"/>
          <w:color w:val="auto"/>
          <w:sz w:val="32"/>
          <w:szCs w:val="32"/>
        </w:rPr>
        <w:t xml:space="preserve"> </w:t>
      </w:r>
      <w:r>
        <w:rPr>
          <w:rFonts w:hint="eastAsia" w:ascii="仿宋_GB2312" w:hAnsi="仿宋" w:eastAsia="仿宋_GB2312" w:cs="仿宋_GB2312"/>
          <w:color w:val="auto"/>
          <w:sz w:val="32"/>
          <w:szCs w:val="32"/>
        </w:rPr>
        <w:t>指反映行政事业单位按人力资源和社会保障部、财政部规定的基本工资和津贴补贴以及规定比例为职工缴纳的住房公积金</w:t>
      </w:r>
      <w:r>
        <w:rPr>
          <w:rFonts w:hint="eastAsia" w:ascii="仿宋_GB2312" w:hAnsi="仿宋" w:eastAsia="仿宋_GB2312" w:cs="仿宋_GB2312"/>
          <w:color w:val="auto"/>
          <w:sz w:val="32"/>
          <w:szCs w:val="32"/>
          <w:lang w:eastAsia="zh-CN"/>
        </w:rPr>
        <w:t>。</w:t>
      </w:r>
    </w:p>
    <w:p w14:paraId="0BE48189">
      <w:pPr>
        <w:pStyle w:val="2"/>
        <w:ind w:firstLine="640" w:firstLineChars="200"/>
        <w:rPr>
          <w:rFonts w:hint="eastAsia" w:hAnsi="仿宋" w:cs="仿宋_GB2312"/>
          <w:color w:val="auto"/>
          <w:sz w:val="32"/>
          <w:szCs w:val="32"/>
          <w:lang w:eastAsia="zh-CN"/>
        </w:rPr>
      </w:pPr>
      <w:r>
        <w:rPr>
          <w:rFonts w:hint="eastAsia" w:hAnsi="仿宋" w:cs="仿宋_GB2312"/>
          <w:color w:val="auto"/>
          <w:sz w:val="32"/>
          <w:szCs w:val="32"/>
          <w:lang w:val="en-US" w:eastAsia="zh-CN"/>
        </w:rPr>
        <w:t>28.</w:t>
      </w:r>
      <w:r>
        <w:rPr>
          <w:rFonts w:hint="eastAsia" w:ascii="仿宋_GB2312" w:hAnsi="仿宋" w:eastAsia="仿宋_GB2312" w:cs="仿宋_GB2312"/>
          <w:color w:val="auto"/>
          <w:sz w:val="32"/>
          <w:szCs w:val="32"/>
        </w:rPr>
        <w:t>其他支出</w:t>
      </w:r>
      <w:r>
        <w:rPr>
          <w:rStyle w:val="18"/>
          <w:rFonts w:hint="eastAsia" w:ascii="仿宋_GB2312" w:hAnsi="仿宋" w:eastAsia="仿宋_GB2312" w:cs="仿宋_GB2312"/>
          <w:b w:val="0"/>
          <w:color w:val="auto"/>
          <w:sz w:val="32"/>
          <w:szCs w:val="32"/>
        </w:rPr>
        <w:t>（类）</w:t>
      </w:r>
      <w:r>
        <w:rPr>
          <w:rFonts w:hint="eastAsia" w:ascii="仿宋_GB2312" w:hAnsi="仿宋" w:eastAsia="仿宋_GB2312" w:cs="仿宋_GB2312"/>
          <w:color w:val="auto"/>
          <w:sz w:val="32"/>
          <w:szCs w:val="32"/>
        </w:rPr>
        <w:t>其他政府性基金及对应专项债务收入安排的支出（款）其他政府性基金债务收入安排的支出（项）</w:t>
      </w:r>
      <w:r>
        <w:rPr>
          <w:rFonts w:hint="eastAsia" w:ascii="仿宋_GB2312" w:hAnsi="仿宋" w:eastAsia="仿宋_GB2312" w:cs="仿宋_GB2312"/>
          <w:color w:val="auto"/>
          <w:sz w:val="32"/>
          <w:szCs w:val="32"/>
          <w:lang w:eastAsia="zh-CN"/>
        </w:rPr>
        <w:t>：</w:t>
      </w:r>
      <w:r>
        <w:rPr>
          <w:rFonts w:hint="eastAsia" w:ascii="仿宋_GB2312" w:hAnsi="仿宋" w:eastAsia="仿宋_GB2312" w:cs="仿宋_GB2312"/>
          <w:color w:val="auto"/>
          <w:sz w:val="32"/>
          <w:szCs w:val="32"/>
        </w:rPr>
        <w:t>清偿拖欠企业账款化债专项债资金</w:t>
      </w:r>
      <w:r>
        <w:rPr>
          <w:rFonts w:hint="eastAsia" w:hAnsi="仿宋" w:cs="仿宋_GB2312"/>
          <w:color w:val="auto"/>
          <w:sz w:val="32"/>
          <w:szCs w:val="32"/>
          <w:lang w:eastAsia="zh-CN"/>
        </w:rPr>
        <w:t>。</w:t>
      </w:r>
    </w:p>
    <w:p w14:paraId="310E6A51">
      <w:pPr>
        <w:pStyle w:val="2"/>
        <w:ind w:firstLine="640" w:firstLineChars="200"/>
        <w:rPr>
          <w:rFonts w:eastAsia="仿宋_GB2312" w:cs="仿宋_GB2312"/>
          <w:color w:val="auto"/>
          <w:sz w:val="32"/>
          <w:szCs w:val="32"/>
        </w:rPr>
      </w:pPr>
      <w:r>
        <w:rPr>
          <w:rFonts w:hint="eastAsia" w:eastAsia="仿宋_GB2312" w:cs="仿宋_GB2312"/>
          <w:color w:val="auto"/>
          <w:sz w:val="32"/>
          <w:szCs w:val="32"/>
        </w:rPr>
        <w:t>2</w:t>
      </w:r>
      <w:r>
        <w:rPr>
          <w:rFonts w:hint="eastAsia" w:cs="仿宋_GB2312"/>
          <w:color w:val="auto"/>
          <w:sz w:val="32"/>
          <w:szCs w:val="32"/>
          <w:lang w:val="en-US" w:eastAsia="zh-CN"/>
        </w:rPr>
        <w:t>9</w:t>
      </w:r>
      <w:r>
        <w:rPr>
          <w:rFonts w:hint="eastAsia" w:eastAsia="仿宋_GB2312" w:cs="仿宋_GB2312"/>
          <w:color w:val="auto"/>
          <w:sz w:val="32"/>
          <w:szCs w:val="32"/>
        </w:rPr>
        <w:t>.基本支出：指为保障机构正常运转、完成日常工作任务而发生的人员支出和公用支出。</w:t>
      </w:r>
    </w:p>
    <w:p w14:paraId="15310B10">
      <w:pPr>
        <w:spacing w:line="600" w:lineRule="exact"/>
        <w:ind w:firstLine="640"/>
        <w:rPr>
          <w:rFonts w:eastAsia="仿宋_GB2312" w:cs="仿宋_GB2312"/>
          <w:color w:val="auto"/>
          <w:sz w:val="32"/>
          <w:szCs w:val="32"/>
        </w:rPr>
      </w:pPr>
      <w:r>
        <w:rPr>
          <w:rFonts w:hint="eastAsia" w:eastAsia="仿宋_GB2312" w:cs="仿宋_GB2312"/>
          <w:color w:val="auto"/>
          <w:sz w:val="32"/>
          <w:szCs w:val="32"/>
          <w:lang w:val="en-US" w:eastAsia="zh-CN"/>
        </w:rPr>
        <w:t>30</w:t>
      </w:r>
      <w:r>
        <w:rPr>
          <w:rFonts w:hint="eastAsia" w:eastAsia="仿宋_GB2312" w:cs="仿宋_GB2312"/>
          <w:color w:val="auto"/>
          <w:sz w:val="32"/>
          <w:szCs w:val="32"/>
        </w:rPr>
        <w:t xml:space="preserve">.项目支出：指在基本支出之外为完成特定行政任务和事业发展目标所发生的支出。 </w:t>
      </w:r>
    </w:p>
    <w:p w14:paraId="77F91EAB">
      <w:pPr>
        <w:spacing w:line="600" w:lineRule="exact"/>
        <w:ind w:firstLine="640"/>
        <w:rPr>
          <w:rFonts w:eastAsia="仿宋_GB2312" w:cs="仿宋_GB2312"/>
          <w:color w:val="auto"/>
          <w:sz w:val="32"/>
          <w:szCs w:val="32"/>
        </w:rPr>
      </w:pPr>
      <w:r>
        <w:rPr>
          <w:rFonts w:hint="eastAsia" w:eastAsia="仿宋_GB2312" w:cs="仿宋_GB2312"/>
          <w:color w:val="auto"/>
          <w:sz w:val="32"/>
          <w:szCs w:val="32"/>
          <w:lang w:val="en-US" w:eastAsia="zh-CN"/>
        </w:rPr>
        <w:t>31</w:t>
      </w:r>
      <w:r>
        <w:rPr>
          <w:rFonts w:hint="eastAsia" w:eastAsia="仿宋_GB2312" w:cs="仿宋_GB2312"/>
          <w:color w:val="auto"/>
          <w:sz w:val="32"/>
          <w:szCs w:val="32"/>
        </w:rPr>
        <w:t>.经营支出：指事业单位在专业业务活动及其辅助活动之外开展非独立核算经营活动发生的支出。</w:t>
      </w:r>
    </w:p>
    <w:p w14:paraId="4AA77744">
      <w:pPr>
        <w:spacing w:line="600" w:lineRule="exact"/>
        <w:ind w:firstLine="640"/>
        <w:rPr>
          <w:rFonts w:eastAsia="仿宋_GB2312" w:cs="仿宋_GB2312"/>
          <w:color w:val="auto"/>
          <w:sz w:val="32"/>
          <w:szCs w:val="32"/>
        </w:rPr>
      </w:pPr>
      <w:r>
        <w:rPr>
          <w:rFonts w:hint="eastAsia" w:eastAsia="仿宋_GB2312" w:cs="仿宋_GB2312"/>
          <w:color w:val="auto"/>
          <w:sz w:val="32"/>
          <w:szCs w:val="32"/>
        </w:rPr>
        <w:t>3</w:t>
      </w:r>
      <w:r>
        <w:rPr>
          <w:rFonts w:hint="eastAsia" w:eastAsia="仿宋_GB2312" w:cs="仿宋_GB2312"/>
          <w:color w:val="auto"/>
          <w:sz w:val="32"/>
          <w:szCs w:val="32"/>
          <w:lang w:val="en-US" w:eastAsia="zh-CN"/>
        </w:rPr>
        <w:t>2</w:t>
      </w:r>
      <w:r>
        <w:rPr>
          <w:rFonts w:hint="eastAsia" w:eastAsia="仿宋_GB2312" w:cs="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304380">
      <w:pPr>
        <w:spacing w:line="600" w:lineRule="exact"/>
        <w:ind w:firstLine="640"/>
        <w:rPr>
          <w:rFonts w:eastAsia="仿宋_GB2312" w:cs="仿宋_GB2312"/>
          <w:color w:val="auto"/>
          <w:sz w:val="32"/>
          <w:szCs w:val="32"/>
        </w:rPr>
      </w:pPr>
      <w:r>
        <w:rPr>
          <w:rFonts w:hint="eastAsia" w:eastAsia="仿宋_GB2312" w:cs="仿宋_GB2312"/>
          <w:color w:val="auto"/>
          <w:sz w:val="32"/>
          <w:szCs w:val="32"/>
        </w:rPr>
        <w:t>3</w:t>
      </w:r>
      <w:r>
        <w:rPr>
          <w:rFonts w:hint="eastAsia" w:eastAsia="仿宋_GB2312" w:cs="仿宋_GB2312"/>
          <w:color w:val="auto"/>
          <w:sz w:val="32"/>
          <w:szCs w:val="32"/>
          <w:lang w:val="en-US" w:eastAsia="zh-CN"/>
        </w:rPr>
        <w:t>3</w:t>
      </w:r>
      <w:r>
        <w:rPr>
          <w:rFonts w:hint="eastAsia" w:eastAsia="仿宋_GB2312" w:cs="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761748">
      <w:pPr>
        <w:spacing w:line="600" w:lineRule="exact"/>
        <w:jc w:val="center"/>
        <w:rPr>
          <w:rFonts w:eastAsia="黑体" w:cs="黑体"/>
          <w:color w:val="FF0000"/>
          <w:sz w:val="32"/>
          <w:szCs w:val="32"/>
        </w:rPr>
      </w:pPr>
      <w:bookmarkStart w:id="51" w:name="_Toc15377226"/>
      <w:r>
        <w:rPr>
          <w:rFonts w:hint="eastAsia" w:eastAsia="仿宋_GB2312" w:cs="仿宋_GB2312"/>
          <w:sz w:val="32"/>
          <w:szCs w:val="32"/>
        </w:rPr>
        <w:br w:type="page"/>
      </w:r>
      <w:bookmarkStart w:id="52" w:name="_Toc15396614"/>
      <w:r>
        <w:rPr>
          <w:rFonts w:hint="eastAsia" w:eastAsia="黑体"/>
          <w:sz w:val="44"/>
          <w:szCs w:val="44"/>
        </w:rPr>
        <w:t>第四部分  附件</w:t>
      </w:r>
      <w:bookmarkEnd w:id="52"/>
    </w:p>
    <w:p w14:paraId="2980C494">
      <w:pPr>
        <w:pStyle w:val="13"/>
        <w:rPr>
          <w:color w:val="auto"/>
        </w:rPr>
      </w:pPr>
    </w:p>
    <w:p w14:paraId="15721C02">
      <w:pPr>
        <w:spacing w:line="572" w:lineRule="exact"/>
        <w:jc w:val="left"/>
        <w:outlineLvl w:val="0"/>
        <w:rPr>
          <w:rFonts w:eastAsia="黑体" w:cs="方正小标宋简体"/>
          <w:color w:val="auto"/>
          <w:sz w:val="44"/>
          <w:szCs w:val="44"/>
        </w:rPr>
      </w:pPr>
      <w:r>
        <w:rPr>
          <w:rFonts w:hint="eastAsia" w:eastAsia="黑体" w:cs="黑体"/>
          <w:color w:val="auto"/>
          <w:sz w:val="32"/>
          <w:szCs w:val="32"/>
        </w:rPr>
        <w:t>附件1</w:t>
      </w:r>
    </w:p>
    <w:p w14:paraId="59D42B43">
      <w:pPr>
        <w:widowControl/>
        <w:adjustRightInd w:val="0"/>
        <w:snapToGrid w:val="0"/>
        <w:spacing w:line="578" w:lineRule="exact"/>
        <w:ind w:firstLine="883" w:firstLineChars="200"/>
        <w:contextualSpacing/>
        <w:jc w:val="center"/>
        <w:rPr>
          <w:rFonts w:hint="eastAsia" w:ascii="宋体" w:hAnsi="宋体" w:eastAsia="宋体" w:cs="宋体"/>
          <w:b/>
          <w:color w:val="auto"/>
          <w:sz w:val="44"/>
          <w:szCs w:val="44"/>
          <w:shd w:val="clear" w:color="auto" w:fill="FFFFFF"/>
          <w:lang w:val="en-US" w:eastAsia="zh-CN"/>
        </w:rPr>
      </w:pPr>
      <w:r>
        <w:rPr>
          <w:rFonts w:hint="eastAsia" w:ascii="宋体" w:hAnsi="宋体" w:eastAsia="宋体" w:cs="宋体"/>
          <w:b/>
          <w:color w:val="auto"/>
          <w:sz w:val="44"/>
          <w:szCs w:val="44"/>
          <w:shd w:val="clear" w:color="auto" w:fill="FFFFFF"/>
          <w:lang w:val="en-US" w:eastAsia="zh-CN"/>
        </w:rPr>
        <w:t>攀枝花市仁和区综合行政执法局</w:t>
      </w:r>
    </w:p>
    <w:p w14:paraId="30D2EECB">
      <w:pPr>
        <w:widowControl/>
        <w:adjustRightInd w:val="0"/>
        <w:snapToGrid w:val="0"/>
        <w:spacing w:line="578" w:lineRule="exact"/>
        <w:ind w:firstLine="883" w:firstLineChars="200"/>
        <w:contextualSpacing/>
        <w:jc w:val="center"/>
        <w:rPr>
          <w:rFonts w:hint="eastAsia" w:ascii="宋体" w:hAnsi="宋体" w:eastAsia="宋体" w:cs="宋体"/>
          <w:b/>
          <w:color w:val="auto"/>
          <w:sz w:val="44"/>
          <w:szCs w:val="44"/>
          <w:shd w:val="clear" w:color="auto" w:fill="FFFFFF"/>
          <w:lang w:val="en-US" w:eastAsia="zh-CN"/>
        </w:rPr>
      </w:pPr>
      <w:r>
        <w:rPr>
          <w:rFonts w:hint="eastAsia" w:ascii="宋体" w:hAnsi="宋体" w:eastAsia="宋体" w:cs="宋体"/>
          <w:b/>
          <w:color w:val="auto"/>
          <w:sz w:val="44"/>
          <w:szCs w:val="44"/>
          <w:shd w:val="clear" w:color="auto" w:fill="FFFFFF"/>
          <w:lang w:val="en-US" w:eastAsia="zh-CN"/>
        </w:rPr>
        <w:t>2025年部门预算绩效自评报告</w:t>
      </w:r>
    </w:p>
    <w:p w14:paraId="21C0DEE6">
      <w:pPr>
        <w:pStyle w:val="20"/>
        <w:pageBreakBefore w:val="0"/>
        <w:kinsoku/>
        <w:wordWrap/>
        <w:overflowPunct/>
        <w:topLinePunct w:val="0"/>
        <w:autoSpaceDE/>
        <w:autoSpaceDN/>
        <w:bidi w:val="0"/>
        <w:spacing w:line="360" w:lineRule="auto"/>
        <w:textAlignment w:val="auto"/>
        <w:rPr>
          <w:rFonts w:hint="default" w:ascii="Times New Roman" w:hAnsi="Times New Roman" w:eastAsia="仿宋_GB2312" w:cs="仿宋_GB2312"/>
          <w:b w:val="0"/>
          <w:color w:val="auto"/>
          <w:kern w:val="2"/>
          <w:sz w:val="32"/>
          <w:szCs w:val="32"/>
          <w:lang w:val="en-US" w:eastAsia="zh-CN" w:bidi="ar-SA"/>
        </w:rPr>
      </w:pPr>
      <w:r>
        <w:rPr>
          <w:rFonts w:hint="eastAsia" w:eastAsia="宋体"/>
          <w:b/>
          <w:color w:val="auto"/>
          <w:sz w:val="44"/>
          <w:szCs w:val="44"/>
          <w:shd w:val="clear" w:color="auto" w:fill="FFFFFF"/>
          <w:lang w:val="en-US" w:eastAsia="zh-CN"/>
        </w:rPr>
        <w:t xml:space="preserve">   </w:t>
      </w:r>
      <w:r>
        <w:rPr>
          <w:rFonts w:hint="eastAsia" w:ascii="Times New Roman" w:hAnsi="Times New Roman" w:eastAsia="仿宋_GB2312" w:cs="仿宋_GB2312"/>
          <w:b w:val="0"/>
          <w:color w:val="auto"/>
          <w:kern w:val="2"/>
          <w:sz w:val="32"/>
          <w:szCs w:val="32"/>
          <w:lang w:val="en-US" w:eastAsia="zh-CN" w:bidi="ar-SA"/>
        </w:rPr>
        <w:t>根据《攀枝花市仁和区财政局关于开展区级预算绩效自评工作的通知》（攀仁财〔2026〕33号）文件要求，仁和区综合行政执法局对2025年部门支出进行绩效评价，为切实加强财政预算资金管理，强化绩效管理，提升资金使用效率，按照预算绩效管理相关工作要求，秉持实事求是、客观公正的原则，我单位认真开展了2025年度部门支出绩效评价工作，现将自评情况报告如下：</w:t>
      </w:r>
    </w:p>
    <w:p w14:paraId="059779B1">
      <w:pPr>
        <w:pageBreakBefore w:val="0"/>
        <w:widowControl/>
        <w:numPr>
          <w:ilvl w:val="0"/>
          <w:numId w:val="2"/>
        </w:numPr>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部门基本情况</w:t>
      </w:r>
    </w:p>
    <w:p w14:paraId="7EC98283">
      <w:pPr>
        <w:pageBreakBefore w:val="0"/>
        <w:widowControl/>
        <w:numPr>
          <w:ilvl w:val="0"/>
          <w:numId w:val="0"/>
        </w:numPr>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（一）机构组成。</w:t>
      </w:r>
    </w:p>
    <w:p w14:paraId="16014C1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攀枝花市仁和区综合行政执法局（简称区综合执法局）是攀 枝花市仁和区人民政府的工作部门，为正科级。挂攀枝花市仁和区城市管理局（简称区城管局）牌子。内设局办公室、业务股， 下设攀枝花市仁和区综合执法服务中心，属正科级事业单位。攀枝花市仁和区城市管理综合服务中心，属正科级参公管理单位。根据《中共攀枝花市仁和区委机构编制委员会关于攀枝花市仁和 区深化行政执法体制改革中涉及机构编制事项的通知》（攀仁编 〔2024〕</w:t>
      </w:r>
      <w:r>
        <w:rPr>
          <w:rFonts w:hint="default" w:ascii="Times New Roman" w:hAnsi="Times New Roman" w:eastAsia="仿宋_GB2312" w:cs="仿宋_GB2312"/>
          <w:b w:val="0"/>
          <w:color w:val="auto"/>
          <w:kern w:val="2"/>
          <w:sz w:val="32"/>
          <w:szCs w:val="32"/>
          <w:lang w:val="en-US" w:eastAsia="zh-CN" w:bidi="ar-SA"/>
        </w:rPr>
        <w:t xml:space="preserve">45 </w:t>
      </w:r>
      <w:r>
        <w:rPr>
          <w:rFonts w:hint="eastAsia" w:ascii="Times New Roman" w:hAnsi="Times New Roman" w:eastAsia="仿宋_GB2312" w:cs="仿宋_GB2312"/>
          <w:b w:val="0"/>
          <w:color w:val="auto"/>
          <w:kern w:val="2"/>
          <w:sz w:val="32"/>
          <w:szCs w:val="32"/>
          <w:lang w:val="en-US" w:eastAsia="zh-CN" w:bidi="ar-SA"/>
        </w:rPr>
        <w:t xml:space="preserve">号）原仁和区综合行政执法局内设机构执法大队调 整为区综合行政执法局下属事业单位区城市管理综合行政执法大队，属副科级参公管理单位。 </w:t>
      </w:r>
    </w:p>
    <w:p w14:paraId="09A1B418">
      <w:pPr>
        <w:keepNext w:val="0"/>
        <w:keepLines w:val="0"/>
        <w:pageBreakBefore w:val="0"/>
        <w:widowControl/>
        <w:numPr>
          <w:ilvl w:val="0"/>
          <w:numId w:val="0"/>
        </w:numPr>
        <w:suppressLineNumbers w:val="0"/>
        <w:kinsoku/>
        <w:wordWrap/>
        <w:overflowPunct/>
        <w:topLinePunct w:val="0"/>
        <w:autoSpaceDE/>
        <w:autoSpaceDN/>
        <w:bidi w:val="0"/>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w:t>
      </w:r>
      <w:r>
        <w:rPr>
          <w:rFonts w:hint="eastAsia" w:ascii="Times New Roman" w:hAnsi="Times New Roman" w:eastAsia="仿宋_GB2312" w:cs="仿宋_GB2312"/>
          <w:b w:val="0"/>
          <w:color w:val="auto"/>
          <w:kern w:val="2"/>
          <w:sz w:val="32"/>
          <w:szCs w:val="32"/>
          <w:lang w:val="en-US" w:eastAsia="zh-CN" w:bidi="ar-SA"/>
        </w:rPr>
        <w:t>二</w:t>
      </w:r>
      <w:r>
        <w:rPr>
          <w:rFonts w:hint="eastAsia" w:ascii="Times New Roman" w:hAnsi="Times New Roman" w:eastAsia="仿宋_GB2312" w:cs="仿宋_GB2312"/>
          <w:b w:val="0"/>
          <w:color w:val="auto"/>
          <w:kern w:val="2"/>
          <w:sz w:val="32"/>
          <w:szCs w:val="32"/>
          <w:lang w:val="zh-CN" w:eastAsia="zh-CN" w:bidi="ar-SA"/>
        </w:rPr>
        <w:t>）机构职能。</w:t>
      </w:r>
    </w:p>
    <w:p w14:paraId="153C691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1.负责拟订综合执法和城市管理的地方性规章草案。组织拟订全区综合执法和城市管理发展规划、实施计划、管理标准等规范性文件，会同相关部门拟订综合执法和城市管理工作目标，并组织实施。</w:t>
      </w:r>
    </w:p>
    <w:p w14:paraId="3509016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负责城市管理的行政执法工作。贯彻落实市容环境卫生管理、城市绿化管理、市政设施管理、公用事业管理等方面的法律、法规、规章。根据省、市、区部署和要求，推进综合行政执法、城管执法体制改革，改进城市管理工作。</w:t>
      </w:r>
    </w:p>
    <w:p w14:paraId="514309A2">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3.负责城市市容环境卫生综合管理工作。依法对城市市容环境卫生实施监督检查和考核，负责环境卫生作业企业的行业管理；负责城市建成区户外广告和招牌的监督管理；负责主城区市容环境卫生监督执法工作，依法纠正和查处违法违章行为；负责辖区乡镇（街道）市容环境卫生工作的业务指导和监督。</w:t>
      </w:r>
    </w:p>
    <w:p w14:paraId="2D59F10D">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4.负责全区市政公用设施综合管理工作。拟订市政公用设施发展计划并组织实施。负责对全区城市道路、城市照明及其附属设施等市政基础设施行业指导及监督管理工作；参与临时占用城市道路的机动车、非机动车停车场（点）的规划定点工作，负责公共停车场的监督管理；负责事权内建成区城市雕塑的维护和管理工作。</w:t>
      </w:r>
    </w:p>
    <w:p w14:paraId="6B56E05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5.负责全区城市绿化监督管理工作。负责城市建成区公共绿地的管理。负责城市规划区古树名木的保护管理工作。负责对权限内园林绿化企业的监督管理工作。</w:t>
      </w:r>
    </w:p>
    <w:p w14:paraId="6E55BE68">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6.负责燃气行业综合管理工作。</w:t>
      </w:r>
    </w:p>
    <w:p w14:paraId="7E7A9779">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7.负责推进数字化城市管理和信息化建设，负责城市管理服务热线12319的管理工作，受理和查处事权范围内城市管理的投诉、举报和来信来访。</w:t>
      </w:r>
    </w:p>
    <w:p w14:paraId="5A1BE31F">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8.拟订城市管理工作经费的中长期计划和年度计划，会同有关部门对使用情况实施监督管理。</w:t>
      </w:r>
    </w:p>
    <w:p w14:paraId="13C5BB61">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9.参与城市新建、改扩建项目中涉及市容环境卫生、园林绿化、市政公用设施建设项目的规划、方案审查、综合验收等工作。</w:t>
      </w:r>
    </w:p>
    <w:p w14:paraId="699308DB">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10.负责城区城市管理工作，指导乡镇（街道）的城市管理工作。</w:t>
      </w:r>
    </w:p>
    <w:p w14:paraId="31AF6FCD">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11.依法依规履行职责范围内的职业健康、安全生产监管、生态环境保护、审批服务便民化等工作。按省市要求，指导推进综合行政执法工作和相对集中行政许可权改革。</w:t>
      </w:r>
    </w:p>
    <w:p w14:paraId="34F63F2A">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12.负责城区内非机动车的规范管理。</w:t>
      </w:r>
    </w:p>
    <w:p w14:paraId="334E13F5">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13.负责食品摊贩等监管执法工作。</w:t>
      </w:r>
    </w:p>
    <w:p w14:paraId="3084A08C">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en-US" w:eastAsia="zh-CN" w:bidi="ar-SA"/>
        </w:rPr>
        <w:t xml:space="preserve">14.完成区委、区政府交办的其他任务 </w:t>
      </w:r>
    </w:p>
    <w:p w14:paraId="789561B7">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w:t>
      </w:r>
      <w:r>
        <w:rPr>
          <w:rFonts w:hint="eastAsia" w:ascii="Times New Roman" w:hAnsi="Times New Roman" w:eastAsia="仿宋_GB2312" w:cs="仿宋_GB2312"/>
          <w:b w:val="0"/>
          <w:color w:val="auto"/>
          <w:kern w:val="2"/>
          <w:sz w:val="32"/>
          <w:szCs w:val="32"/>
          <w:lang w:val="en-US" w:eastAsia="zh-CN" w:bidi="ar-SA"/>
        </w:rPr>
        <w:t>三</w:t>
      </w:r>
      <w:r>
        <w:rPr>
          <w:rFonts w:hint="eastAsia" w:ascii="Times New Roman" w:hAnsi="Times New Roman" w:eastAsia="仿宋_GB2312" w:cs="仿宋_GB2312"/>
          <w:b w:val="0"/>
          <w:color w:val="auto"/>
          <w:kern w:val="2"/>
          <w:sz w:val="32"/>
          <w:szCs w:val="32"/>
          <w:lang w:val="zh-CN" w:eastAsia="zh-CN" w:bidi="ar-SA"/>
        </w:rPr>
        <w:t>）人员概况。</w:t>
      </w:r>
    </w:p>
    <w:p w14:paraId="13C1C5A8">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 xml:space="preserve">仁和区综合行政执法局行政编制5名，城市管理服务中心、综合执法服务中心、执法大队共有正式编制 </w:t>
      </w:r>
      <w:r>
        <w:rPr>
          <w:rFonts w:hint="default" w:ascii="Times New Roman" w:hAnsi="Times New Roman" w:eastAsia="仿宋_GB2312" w:cs="仿宋_GB2312"/>
          <w:b w:val="0"/>
          <w:color w:val="auto"/>
          <w:kern w:val="2"/>
          <w:sz w:val="32"/>
          <w:szCs w:val="32"/>
          <w:lang w:val="en-US" w:eastAsia="zh-CN" w:bidi="ar-SA"/>
        </w:rPr>
        <w:t xml:space="preserve">80 </w:t>
      </w:r>
      <w:r>
        <w:rPr>
          <w:rFonts w:hint="eastAsia" w:ascii="Times New Roman" w:hAnsi="Times New Roman" w:eastAsia="仿宋_GB2312" w:cs="仿宋_GB2312"/>
          <w:b w:val="0"/>
          <w:color w:val="auto"/>
          <w:kern w:val="2"/>
          <w:sz w:val="32"/>
          <w:szCs w:val="32"/>
          <w:lang w:val="en-US" w:eastAsia="zh-CN" w:bidi="ar-SA"/>
        </w:rPr>
        <w:t>个。</w:t>
      </w:r>
      <w:r>
        <w:rPr>
          <w:rFonts w:hint="default" w:ascii="Times New Roman" w:hAnsi="Times New Roman" w:eastAsia="仿宋_GB2312" w:cs="仿宋_GB2312"/>
          <w:b w:val="0"/>
          <w:color w:val="auto"/>
          <w:kern w:val="2"/>
          <w:sz w:val="32"/>
          <w:szCs w:val="32"/>
          <w:lang w:val="en-US" w:eastAsia="zh-CN" w:bidi="ar-SA"/>
        </w:rPr>
        <w:t>202</w:t>
      </w:r>
      <w:r>
        <w:rPr>
          <w:rFonts w:hint="eastAsia" w:ascii="Times New Roman" w:hAnsi="Times New Roman" w:eastAsia="仿宋_GB2312" w:cs="仿宋_GB2312"/>
          <w:b w:val="0"/>
          <w:color w:val="auto"/>
          <w:kern w:val="2"/>
          <w:sz w:val="32"/>
          <w:szCs w:val="32"/>
          <w:lang w:val="en-US" w:eastAsia="zh-CN" w:bidi="ar-SA"/>
        </w:rPr>
        <w:t>5</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年仁和区综合行政执法局实有人员71人，其中：公务员 4</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名，参照公务员管理人员6</w:t>
      </w:r>
      <w:r>
        <w:rPr>
          <w:rFonts w:hint="default" w:ascii="Times New Roman" w:hAnsi="Times New Roman" w:eastAsia="仿宋_GB2312" w:cs="仿宋_GB2312"/>
          <w:b w:val="0"/>
          <w:color w:val="auto"/>
          <w:kern w:val="2"/>
          <w:sz w:val="32"/>
          <w:szCs w:val="32"/>
          <w:lang w:val="en-US" w:eastAsia="zh-CN" w:bidi="ar-SA"/>
        </w:rPr>
        <w:t xml:space="preserve">2 </w:t>
      </w:r>
      <w:r>
        <w:rPr>
          <w:rFonts w:hint="eastAsia" w:ascii="Times New Roman" w:hAnsi="Times New Roman" w:eastAsia="仿宋_GB2312" w:cs="仿宋_GB2312"/>
          <w:b w:val="0"/>
          <w:color w:val="auto"/>
          <w:kern w:val="2"/>
          <w:sz w:val="32"/>
          <w:szCs w:val="32"/>
          <w:lang w:val="en-US" w:eastAsia="zh-CN" w:bidi="ar-SA"/>
        </w:rPr>
        <w:t xml:space="preserve">名，事业人员 5名。退休职工 </w:t>
      </w:r>
      <w:r>
        <w:rPr>
          <w:rFonts w:hint="default" w:ascii="Times New Roman" w:hAnsi="Times New Roman" w:eastAsia="仿宋_GB2312" w:cs="仿宋_GB2312"/>
          <w:b w:val="0"/>
          <w:color w:val="auto"/>
          <w:kern w:val="2"/>
          <w:sz w:val="32"/>
          <w:szCs w:val="32"/>
          <w:lang w:val="en-US" w:eastAsia="zh-CN" w:bidi="ar-SA"/>
        </w:rPr>
        <w:t xml:space="preserve">43 </w:t>
      </w:r>
      <w:r>
        <w:rPr>
          <w:rFonts w:hint="eastAsia" w:ascii="Times New Roman" w:hAnsi="Times New Roman" w:eastAsia="仿宋_GB2312" w:cs="仿宋_GB2312"/>
          <w:b w:val="0"/>
          <w:color w:val="auto"/>
          <w:kern w:val="2"/>
          <w:sz w:val="32"/>
          <w:szCs w:val="32"/>
          <w:lang w:val="en-US" w:eastAsia="zh-CN" w:bidi="ar-SA"/>
        </w:rPr>
        <w:t>人，</w:t>
      </w:r>
      <w:r>
        <w:rPr>
          <w:rFonts w:hint="default" w:ascii="Times New Roman" w:hAnsi="Times New Roman" w:eastAsia="仿宋_GB2312" w:cs="仿宋_GB2312"/>
          <w:b w:val="0"/>
          <w:color w:val="auto"/>
          <w:kern w:val="2"/>
          <w:sz w:val="32"/>
          <w:szCs w:val="32"/>
          <w:lang w:val="en-US" w:eastAsia="zh-CN" w:bidi="ar-SA"/>
        </w:rPr>
        <w:t>202</w:t>
      </w:r>
      <w:r>
        <w:rPr>
          <w:rFonts w:hint="eastAsia" w:ascii="Times New Roman" w:hAnsi="Times New Roman" w:eastAsia="仿宋_GB2312" w:cs="仿宋_GB2312"/>
          <w:b w:val="0"/>
          <w:color w:val="auto"/>
          <w:kern w:val="2"/>
          <w:sz w:val="32"/>
          <w:szCs w:val="32"/>
          <w:lang w:val="en-US" w:eastAsia="zh-CN" w:bidi="ar-SA"/>
        </w:rPr>
        <w:t>5</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 xml:space="preserve">年新招考12人，退休0人，聘用人员 </w:t>
      </w:r>
      <w:r>
        <w:rPr>
          <w:rFonts w:hint="default" w:ascii="Times New Roman" w:hAnsi="Times New Roman" w:eastAsia="仿宋_GB2312" w:cs="仿宋_GB2312"/>
          <w:b w:val="0"/>
          <w:color w:val="auto"/>
          <w:kern w:val="2"/>
          <w:sz w:val="32"/>
          <w:szCs w:val="32"/>
          <w:lang w:val="en-US" w:eastAsia="zh-CN" w:bidi="ar-SA"/>
        </w:rPr>
        <w:t>5</w:t>
      </w:r>
      <w:r>
        <w:rPr>
          <w:rFonts w:hint="eastAsia" w:ascii="Times New Roman" w:hAnsi="Times New Roman" w:eastAsia="仿宋_GB2312" w:cs="仿宋_GB2312"/>
          <w:b w:val="0"/>
          <w:color w:val="auto"/>
          <w:kern w:val="2"/>
          <w:sz w:val="32"/>
          <w:szCs w:val="32"/>
          <w:lang w:val="en-US" w:eastAsia="zh-CN" w:bidi="ar-SA"/>
        </w:rPr>
        <w:t>2</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 xml:space="preserve">人。 </w:t>
      </w:r>
    </w:p>
    <w:p w14:paraId="143DBEEE">
      <w:pPr>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二、部门资金收支情况</w:t>
      </w:r>
    </w:p>
    <w:p w14:paraId="5BAF086A">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（一）收入情况。</w:t>
      </w:r>
    </w:p>
    <w:p w14:paraId="48EC66EF">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 xml:space="preserve">仁和区综合行政执法局 2025 年收入预算总额为 </w:t>
      </w:r>
      <w:r>
        <w:rPr>
          <w:rFonts w:hint="default" w:ascii="Times New Roman" w:hAnsi="Times New Roman" w:eastAsia="仿宋_GB2312" w:cs="仿宋_GB2312"/>
          <w:b w:val="0"/>
          <w:color w:val="auto"/>
          <w:kern w:val="2"/>
          <w:sz w:val="32"/>
          <w:szCs w:val="32"/>
          <w:lang w:val="en-US" w:eastAsia="zh-CN" w:bidi="ar-SA"/>
        </w:rPr>
        <w:t>7</w:t>
      </w:r>
      <w:r>
        <w:rPr>
          <w:rFonts w:hint="eastAsia" w:ascii="Times New Roman" w:hAnsi="Times New Roman" w:eastAsia="仿宋_GB2312" w:cs="仿宋_GB2312"/>
          <w:b w:val="0"/>
          <w:color w:val="auto"/>
          <w:kern w:val="2"/>
          <w:sz w:val="32"/>
          <w:szCs w:val="32"/>
          <w:lang w:val="en-US" w:eastAsia="zh-CN" w:bidi="ar-SA"/>
        </w:rPr>
        <w:t>554.13</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万元，其中：一般公共预算拨款收入 4554.13万元、政府性基金预算拨款收入3</w:t>
      </w:r>
      <w:r>
        <w:rPr>
          <w:rFonts w:hint="default" w:ascii="Times New Roman" w:hAnsi="Times New Roman" w:eastAsia="仿宋_GB2312" w:cs="仿宋_GB2312"/>
          <w:b w:val="0"/>
          <w:color w:val="auto"/>
          <w:kern w:val="2"/>
          <w:sz w:val="32"/>
          <w:szCs w:val="32"/>
          <w:lang w:val="en-US" w:eastAsia="zh-CN" w:bidi="ar-SA"/>
        </w:rPr>
        <w:t xml:space="preserve">000.00 </w:t>
      </w:r>
      <w:r>
        <w:rPr>
          <w:rFonts w:hint="eastAsia" w:ascii="Times New Roman" w:hAnsi="Times New Roman" w:eastAsia="仿宋_GB2312" w:cs="仿宋_GB2312"/>
          <w:b w:val="0"/>
          <w:color w:val="auto"/>
          <w:kern w:val="2"/>
          <w:sz w:val="32"/>
          <w:szCs w:val="32"/>
          <w:lang w:val="en-US" w:eastAsia="zh-CN" w:bidi="ar-SA"/>
        </w:rPr>
        <w:t>万元，</w:t>
      </w:r>
      <w:r>
        <w:rPr>
          <w:rFonts w:hint="default" w:ascii="Times New Roman" w:hAnsi="Times New Roman" w:eastAsia="仿宋_GB2312" w:cs="仿宋_GB2312"/>
          <w:b w:val="0"/>
          <w:color w:val="auto"/>
          <w:kern w:val="2"/>
          <w:sz w:val="32"/>
          <w:szCs w:val="32"/>
          <w:lang w:val="en-US" w:eastAsia="zh-CN" w:bidi="ar-SA"/>
        </w:rPr>
        <w:t>决算收入11794.38万元</w:t>
      </w:r>
      <w:r>
        <w:rPr>
          <w:rFonts w:hint="eastAsia" w:ascii="Times New Roman" w:hAnsi="Times New Roman" w:eastAsia="仿宋_GB2312" w:cs="仿宋_GB2312"/>
          <w:b w:val="0"/>
          <w:color w:val="auto"/>
          <w:kern w:val="2"/>
          <w:sz w:val="32"/>
          <w:szCs w:val="32"/>
          <w:lang w:val="en-US" w:eastAsia="zh-CN" w:bidi="ar-SA"/>
        </w:rPr>
        <w:t>，其中：一般公共预算拨款收入4239.95</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 xml:space="preserve">万元、政府性基金预算拨款收入7554.43万元。 </w:t>
      </w:r>
    </w:p>
    <w:p w14:paraId="604A1ECF">
      <w:pPr>
        <w:keepNext w:val="0"/>
        <w:keepLines w:val="0"/>
        <w:pageBreakBefore w:val="0"/>
        <w:widowControl/>
        <w:numPr>
          <w:ilvl w:val="0"/>
          <w:numId w:val="3"/>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支出情况。</w:t>
      </w:r>
    </w:p>
    <w:p w14:paraId="18226511">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仁和区综合行政执法局 2025年支出预算总额为 7554.13</w:t>
      </w:r>
      <w:r>
        <w:rPr>
          <w:rFonts w:hint="default" w:ascii="Times New Roman" w:hAnsi="Times New Roman" w:eastAsia="仿宋_GB2312" w:cs="仿宋_GB2312"/>
          <w:b w:val="0"/>
          <w:color w:val="auto"/>
          <w:kern w:val="2"/>
          <w:sz w:val="32"/>
          <w:szCs w:val="32"/>
          <w:lang w:val="en-US" w:eastAsia="zh-CN" w:bidi="ar-SA"/>
        </w:rPr>
        <w:t xml:space="preserve"> </w:t>
      </w:r>
      <w:r>
        <w:rPr>
          <w:rFonts w:hint="eastAsia" w:ascii="Times New Roman" w:hAnsi="Times New Roman" w:eastAsia="仿宋_GB2312" w:cs="仿宋_GB2312"/>
          <w:b w:val="0"/>
          <w:color w:val="auto"/>
          <w:kern w:val="2"/>
          <w:sz w:val="32"/>
          <w:szCs w:val="32"/>
          <w:lang w:val="en-US" w:eastAsia="zh-CN" w:bidi="ar-SA"/>
        </w:rPr>
        <w:t>万元，决算支出11827.32万元，财政拨款支出11827.32万元，其中：基本支出1726.32万元，项目支出10101.00万元。</w:t>
      </w:r>
    </w:p>
    <w:p w14:paraId="5D5D5364">
      <w:pPr>
        <w:keepNext w:val="0"/>
        <w:keepLines w:val="0"/>
        <w:pageBreakBefore w:val="0"/>
        <w:widowControl/>
        <w:numPr>
          <w:ilvl w:val="0"/>
          <w:numId w:val="3"/>
        </w:numPr>
        <w:suppressLineNumbers w:val="0"/>
        <w:kinsoku/>
        <w:wordWrap/>
        <w:overflowPunct/>
        <w:topLinePunct w:val="0"/>
        <w:autoSpaceDE/>
        <w:autoSpaceDN/>
        <w:bidi w:val="0"/>
        <w:spacing w:line="360" w:lineRule="auto"/>
        <w:ind w:left="0"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结余分配和结转结余情况。</w:t>
      </w:r>
    </w:p>
    <w:p w14:paraId="20583453">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仁和区综合行政执法局 2025年无结余分配和结转结余。</w:t>
      </w:r>
    </w:p>
    <w:p w14:paraId="5A471529">
      <w:pPr>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三、部门预算绩效分析</w:t>
      </w:r>
    </w:p>
    <w:p w14:paraId="39B52E6B">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（一）部门预算总体绩效分析。</w:t>
      </w:r>
    </w:p>
    <w:p w14:paraId="61A9536D">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 xml:space="preserve">仁和区综合行政执法局预算安排支出主要用于保障区综执局正常运转、完成日常工作任务以及本单位承担的全区城市管理工作。基本支出，是用于保障仁和区综合行政执法局正常运转的日常支出，包括基本工资、津贴补贴、离退休费、住房公积金和日常公用经费等。项目支出用于城管执法、环境卫生、市政基础设施、园林绿化、河道管理、数字化城管等工作支出。  </w:t>
      </w:r>
    </w:p>
    <w:p w14:paraId="0B617220">
      <w:pPr>
        <w:spacing w:line="560" w:lineRule="exact"/>
        <w:ind w:firstLine="640" w:firstLineChars="200"/>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w:t>
      </w:r>
      <w:r>
        <w:rPr>
          <w:rFonts w:hint="eastAsia" w:ascii="Times New Roman" w:hAnsi="Times New Roman" w:eastAsia="仿宋_GB2312" w:cs="仿宋_GB2312"/>
          <w:b w:val="0"/>
          <w:color w:val="auto"/>
          <w:kern w:val="2"/>
          <w:sz w:val="32"/>
          <w:szCs w:val="32"/>
          <w:lang w:val="zh-CN" w:eastAsia="zh-CN" w:bidi="ar-SA"/>
        </w:rPr>
        <w:t>履职效能。</w:t>
      </w:r>
      <w:r>
        <w:rPr>
          <w:rFonts w:hint="eastAsia" w:ascii="Times New Roman" w:hAnsi="Times New Roman" w:eastAsia="仿宋_GB2312" w:cs="仿宋_GB2312"/>
          <w:b w:val="0"/>
          <w:color w:val="auto"/>
          <w:kern w:val="2"/>
          <w:sz w:val="32"/>
          <w:szCs w:val="32"/>
          <w:lang w:val="en-US" w:eastAsia="zh-CN" w:bidi="ar-SA"/>
        </w:rPr>
        <w:t>本年度，我局紧紧围绕区委、区政府中心工作部署，严格对照部门年度整体绩效目标、工作职责及重点工作任务，全面履行市容环境整治、城管执法、环境卫生、市政基础设施、园林绿化、河道管理、数字化城管等城市管理工作，始终坚持规范执法、文明执法、公正执法，全力推进财政资金高效规范使用，狠抓各项工作落实，稳步提升执法监管效能、公共服务水平与社会治理能力，各项职能目标全部完成。</w:t>
      </w:r>
    </w:p>
    <w:p w14:paraId="161D9FDC">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w:t>
      </w:r>
      <w:r>
        <w:rPr>
          <w:rFonts w:hint="eastAsia" w:ascii="Times New Roman" w:hAnsi="Times New Roman" w:eastAsia="仿宋_GB2312" w:cs="仿宋_GB2312"/>
          <w:b w:val="0"/>
          <w:color w:val="auto"/>
          <w:kern w:val="2"/>
          <w:sz w:val="32"/>
          <w:szCs w:val="32"/>
          <w:lang w:val="zh-CN" w:eastAsia="zh-CN" w:bidi="ar-SA"/>
        </w:rPr>
        <w:t>预算管理。</w:t>
      </w:r>
      <w:r>
        <w:rPr>
          <w:rFonts w:hint="eastAsia" w:ascii="Times New Roman" w:hAnsi="Times New Roman" w:eastAsia="仿宋_GB2312" w:cs="仿宋_GB2312"/>
          <w:b w:val="0"/>
          <w:color w:val="auto"/>
          <w:kern w:val="2"/>
          <w:sz w:val="32"/>
          <w:szCs w:val="32"/>
          <w:lang w:val="en-US" w:eastAsia="zh-CN" w:bidi="ar-SA"/>
        </w:rPr>
        <w:t xml:space="preserve"> 区综执局的项目资金紧紧围绕实际工作进行开支，与预算相符，没有扩大开支和乱开支现象，资金管理也较规范，实行区财政统一制定的报账制度。做到了项目资金专款专用。</w:t>
      </w:r>
    </w:p>
    <w:p w14:paraId="3BE89E6E">
      <w:pPr>
        <w:keepNext w:val="0"/>
        <w:keepLines w:val="0"/>
        <w:pageBreakBefore w:val="0"/>
        <w:widowControl/>
        <w:numPr>
          <w:ilvl w:val="0"/>
          <w:numId w:val="0"/>
        </w:numPr>
        <w:suppressLineNumbers w:val="0"/>
        <w:kinsoku/>
        <w:wordWrap/>
        <w:overflowPunct/>
        <w:topLinePunct w:val="0"/>
        <w:autoSpaceDE/>
        <w:autoSpaceDN/>
        <w:bidi w:val="0"/>
        <w:spacing w:line="360" w:lineRule="auto"/>
        <w:ind w:leftChars="0" w:firstLine="640" w:firstLineChars="200"/>
        <w:jc w:val="left"/>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3.</w:t>
      </w:r>
      <w:r>
        <w:rPr>
          <w:rFonts w:hint="eastAsia" w:ascii="Times New Roman" w:hAnsi="Times New Roman" w:eastAsia="仿宋_GB2312" w:cs="仿宋_GB2312"/>
          <w:b w:val="0"/>
          <w:color w:val="auto"/>
          <w:kern w:val="2"/>
          <w:sz w:val="32"/>
          <w:szCs w:val="32"/>
          <w:lang w:val="zh-CN" w:eastAsia="zh-CN" w:bidi="ar-SA"/>
        </w:rPr>
        <w:t>财务管理。</w:t>
      </w:r>
      <w:r>
        <w:rPr>
          <w:rFonts w:hint="eastAsia" w:ascii="Times New Roman" w:hAnsi="Times New Roman" w:eastAsia="仿宋_GB2312" w:cs="仿宋_GB2312"/>
          <w:b w:val="0"/>
          <w:color w:val="auto"/>
          <w:kern w:val="2"/>
          <w:sz w:val="32"/>
          <w:szCs w:val="32"/>
          <w:lang w:val="en-US" w:eastAsia="zh-CN" w:bidi="ar-SA"/>
        </w:rPr>
        <w:t>我单位严格落实预算绩效管理要求，不断完善内部财务管理制度，健全内控管理机制，财务岗位分工明确，做到不相容岗位有效分离，在资金管理使用方面，严格执行财经法规及各项财务制度，资金拨付、审批、报销流程规范，专款专用，支出合理合规。</w:t>
      </w:r>
    </w:p>
    <w:p w14:paraId="13314F66">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4.</w:t>
      </w:r>
      <w:r>
        <w:rPr>
          <w:rFonts w:hint="eastAsia" w:ascii="Times New Roman" w:hAnsi="Times New Roman" w:eastAsia="仿宋_GB2312" w:cs="仿宋_GB2312"/>
          <w:b w:val="0"/>
          <w:color w:val="auto"/>
          <w:kern w:val="2"/>
          <w:sz w:val="32"/>
          <w:szCs w:val="32"/>
          <w:lang w:val="zh-CN" w:eastAsia="zh-CN" w:bidi="ar-SA"/>
        </w:rPr>
        <w:t>资产管理。</w:t>
      </w:r>
      <w:r>
        <w:rPr>
          <w:rFonts w:hint="eastAsia" w:ascii="Times New Roman" w:hAnsi="Times New Roman" w:eastAsia="仿宋_GB2312" w:cs="仿宋_GB2312"/>
          <w:b w:val="0"/>
          <w:color w:val="auto"/>
          <w:kern w:val="2"/>
          <w:sz w:val="32"/>
          <w:szCs w:val="32"/>
          <w:lang w:val="en-US" w:eastAsia="zh-CN" w:bidi="ar-SA"/>
        </w:rPr>
        <w:t>我单位严格规范资产管理，持续优化资产配置结构，从绩效指标完成情况来看，人均资产变化率控制合理，资产规模与人员配置匹配度较高，资产日常管护到位，使用调度科学，有效避免闲置浪费，实现国有资产高效集约利用，资产管理绩效整体良好。</w:t>
      </w:r>
    </w:p>
    <w:p w14:paraId="1033B5F4">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5.</w:t>
      </w:r>
      <w:r>
        <w:rPr>
          <w:rFonts w:hint="eastAsia" w:ascii="Times New Roman" w:hAnsi="Times New Roman" w:eastAsia="仿宋_GB2312" w:cs="仿宋_GB2312"/>
          <w:b w:val="0"/>
          <w:color w:val="auto"/>
          <w:kern w:val="2"/>
          <w:sz w:val="32"/>
          <w:szCs w:val="32"/>
          <w:lang w:val="zh-CN" w:eastAsia="zh-CN" w:bidi="ar-SA"/>
        </w:rPr>
        <w:t>采购管理。</w:t>
      </w:r>
      <w:r>
        <w:rPr>
          <w:rFonts w:hint="eastAsia" w:ascii="Times New Roman" w:hAnsi="Times New Roman" w:eastAsia="仿宋_GB2312" w:cs="仿宋_GB2312"/>
          <w:b w:val="0"/>
          <w:color w:val="auto"/>
          <w:kern w:val="2"/>
          <w:sz w:val="32"/>
          <w:szCs w:val="32"/>
          <w:lang w:val="en-US" w:eastAsia="zh-CN" w:bidi="ar-SA"/>
        </w:rPr>
        <w:t>我单位严格执行政府采购相关政策规定，积极落实扶持中小企业发展要求，对我单位车辆保险、维修等业务做到应采尽采，采购流程规范高效、程序合规，有效保障了部门履职物资及服务需求。</w:t>
      </w:r>
    </w:p>
    <w:p w14:paraId="471C4588">
      <w:pPr>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zh-CN" w:eastAsia="zh-CN" w:bidi="ar-SA"/>
        </w:rPr>
        <w:t>（二）部门预算项目绩效分析。</w:t>
      </w:r>
    </w:p>
    <w:p w14:paraId="26832641">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en-US" w:eastAsia="zh-CN" w:bidi="ar-SA"/>
        </w:rPr>
        <w:t>常年项目绩效分析。</w:t>
      </w:r>
      <w:r>
        <w:rPr>
          <w:rFonts w:hint="eastAsia" w:ascii="Times New Roman" w:hAnsi="Times New Roman" w:eastAsia="仿宋_GB2312" w:cs="仿宋_GB2312"/>
          <w:b w:val="0"/>
          <w:color w:val="auto"/>
          <w:kern w:val="2"/>
          <w:sz w:val="32"/>
          <w:szCs w:val="32"/>
          <w:lang w:val="zh-CN" w:eastAsia="zh-CN" w:bidi="ar-SA"/>
        </w:rPr>
        <w:t>该类项目总数</w:t>
      </w:r>
      <w:r>
        <w:rPr>
          <w:rFonts w:hint="eastAsia" w:ascii="Times New Roman" w:hAnsi="Times New Roman" w:eastAsia="仿宋_GB2312" w:cs="仿宋_GB2312"/>
          <w:b w:val="0"/>
          <w:color w:val="auto"/>
          <w:kern w:val="2"/>
          <w:sz w:val="32"/>
          <w:szCs w:val="32"/>
          <w:lang w:val="en-US" w:eastAsia="zh-CN" w:bidi="ar-SA"/>
        </w:rPr>
        <w:t xml:space="preserve"> 2</w:t>
      </w:r>
      <w:r>
        <w:rPr>
          <w:rFonts w:hint="eastAsia" w:ascii="Times New Roman" w:hAnsi="Times New Roman" w:eastAsia="仿宋_GB2312" w:cs="仿宋_GB2312"/>
          <w:b w:val="0"/>
          <w:color w:val="auto"/>
          <w:kern w:val="2"/>
          <w:sz w:val="32"/>
          <w:szCs w:val="32"/>
          <w:lang w:val="zh-CN" w:eastAsia="zh-CN" w:bidi="ar-SA"/>
        </w:rPr>
        <w:t>个，涉及预算总金额</w:t>
      </w:r>
      <w:r>
        <w:rPr>
          <w:rFonts w:hint="eastAsia" w:ascii="Times New Roman" w:hAnsi="Times New Roman" w:eastAsia="仿宋_GB2312" w:cs="仿宋_GB2312"/>
          <w:b w:val="0"/>
          <w:color w:val="auto"/>
          <w:kern w:val="2"/>
          <w:sz w:val="32"/>
          <w:szCs w:val="32"/>
          <w:lang w:val="en-US" w:eastAsia="zh-CN" w:bidi="ar-SA"/>
        </w:rPr>
        <w:t xml:space="preserve">   1806.84</w:t>
      </w:r>
      <w:r>
        <w:rPr>
          <w:rFonts w:hint="eastAsia" w:ascii="Times New Roman" w:hAnsi="Times New Roman" w:eastAsia="仿宋_GB2312" w:cs="仿宋_GB2312"/>
          <w:b w:val="0"/>
          <w:color w:val="auto"/>
          <w:kern w:val="2"/>
          <w:sz w:val="32"/>
          <w:szCs w:val="32"/>
          <w:lang w:val="zh-CN" w:eastAsia="zh-CN" w:bidi="ar-SA"/>
        </w:rPr>
        <w:t>万元，1—1</w:t>
      </w:r>
      <w:r>
        <w:rPr>
          <w:rFonts w:hint="eastAsia" w:ascii="Times New Roman" w:hAnsi="Times New Roman" w:eastAsia="仿宋_GB2312" w:cs="仿宋_GB2312"/>
          <w:b w:val="0"/>
          <w:color w:val="auto"/>
          <w:kern w:val="2"/>
          <w:sz w:val="32"/>
          <w:szCs w:val="32"/>
          <w:lang w:val="en-US" w:eastAsia="zh-CN" w:bidi="ar-SA"/>
        </w:rPr>
        <w:t>2</w:t>
      </w:r>
      <w:r>
        <w:rPr>
          <w:rFonts w:hint="eastAsia" w:ascii="Times New Roman" w:hAnsi="Times New Roman" w:eastAsia="仿宋_GB2312" w:cs="仿宋_GB2312"/>
          <w:b w:val="0"/>
          <w:color w:val="auto"/>
          <w:kern w:val="2"/>
          <w:sz w:val="32"/>
          <w:szCs w:val="32"/>
          <w:lang w:val="zh-CN" w:eastAsia="zh-CN" w:bidi="ar-SA"/>
        </w:rPr>
        <w:t>月预算执行总体进度为</w:t>
      </w:r>
      <w:r>
        <w:rPr>
          <w:rFonts w:hint="eastAsia" w:ascii="Times New Roman" w:hAnsi="Times New Roman" w:eastAsia="仿宋_GB2312" w:cs="仿宋_GB2312"/>
          <w:b w:val="0"/>
          <w:color w:val="auto"/>
          <w:kern w:val="2"/>
          <w:sz w:val="32"/>
          <w:szCs w:val="32"/>
          <w:lang w:val="en-US" w:eastAsia="zh-CN" w:bidi="ar-SA"/>
        </w:rPr>
        <w:t>100</w:t>
      </w:r>
      <w:r>
        <w:rPr>
          <w:rFonts w:hint="eastAsia" w:ascii="Times New Roman" w:hAnsi="Times New Roman" w:eastAsia="仿宋_GB2312" w:cs="仿宋_GB2312"/>
          <w:b w:val="0"/>
          <w:color w:val="auto"/>
          <w:kern w:val="2"/>
          <w:sz w:val="32"/>
          <w:szCs w:val="32"/>
          <w:lang w:val="zh-CN" w:eastAsia="zh-CN" w:bidi="ar-SA"/>
        </w:rPr>
        <w:t>%，其中：预算结余率大于</w:t>
      </w:r>
      <w:r>
        <w:rPr>
          <w:rFonts w:hint="eastAsia" w:ascii="Times New Roman" w:hAnsi="Times New Roman" w:eastAsia="仿宋_GB2312" w:cs="仿宋_GB2312"/>
          <w:b w:val="0"/>
          <w:color w:val="auto"/>
          <w:kern w:val="2"/>
          <w:sz w:val="32"/>
          <w:szCs w:val="32"/>
          <w:lang w:val="en-US" w:eastAsia="zh-CN" w:bidi="ar-SA"/>
        </w:rPr>
        <w:t>10%</w:t>
      </w:r>
      <w:r>
        <w:rPr>
          <w:rFonts w:hint="eastAsia" w:ascii="Times New Roman" w:hAnsi="Times New Roman" w:eastAsia="仿宋_GB2312" w:cs="仿宋_GB2312"/>
          <w:b w:val="0"/>
          <w:color w:val="auto"/>
          <w:kern w:val="2"/>
          <w:sz w:val="32"/>
          <w:szCs w:val="32"/>
          <w:lang w:val="zh-CN" w:eastAsia="zh-CN" w:bidi="ar-SA"/>
        </w:rPr>
        <w:t>的项目共计</w:t>
      </w:r>
      <w:r>
        <w:rPr>
          <w:rFonts w:hint="eastAsia" w:ascii="Times New Roman" w:hAnsi="Times New Roman" w:eastAsia="仿宋_GB2312" w:cs="仿宋_GB2312"/>
          <w:b w:val="0"/>
          <w:color w:val="auto"/>
          <w:kern w:val="2"/>
          <w:sz w:val="32"/>
          <w:szCs w:val="32"/>
          <w:lang w:val="en-US" w:eastAsia="zh-CN" w:bidi="ar-SA"/>
        </w:rPr>
        <w:t xml:space="preserve"> 0 </w:t>
      </w:r>
      <w:r>
        <w:rPr>
          <w:rFonts w:hint="eastAsia" w:ascii="Times New Roman" w:hAnsi="Times New Roman" w:eastAsia="仿宋_GB2312" w:cs="仿宋_GB2312"/>
          <w:b w:val="0"/>
          <w:color w:val="auto"/>
          <w:kern w:val="2"/>
          <w:sz w:val="32"/>
          <w:szCs w:val="32"/>
          <w:lang w:val="zh-CN" w:eastAsia="zh-CN" w:bidi="ar-SA"/>
        </w:rPr>
        <w:t>个。</w:t>
      </w:r>
    </w:p>
    <w:p w14:paraId="1BFA42CA">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en-US" w:eastAsia="zh-CN" w:bidi="ar-SA"/>
        </w:rPr>
        <w:t>阶段（含一次性）项目绩效分析。</w:t>
      </w:r>
      <w:r>
        <w:rPr>
          <w:rFonts w:hint="eastAsia" w:ascii="Times New Roman" w:hAnsi="Times New Roman" w:eastAsia="仿宋_GB2312" w:cs="仿宋_GB2312"/>
          <w:b w:val="0"/>
          <w:color w:val="auto"/>
          <w:kern w:val="2"/>
          <w:sz w:val="32"/>
          <w:szCs w:val="32"/>
          <w:lang w:val="zh-CN" w:eastAsia="zh-CN" w:bidi="ar-SA"/>
        </w:rPr>
        <w:t>该类项目总数</w:t>
      </w:r>
      <w:r>
        <w:rPr>
          <w:rFonts w:hint="eastAsia" w:ascii="Times New Roman" w:hAnsi="Times New Roman" w:eastAsia="仿宋_GB2312" w:cs="仿宋_GB2312"/>
          <w:b w:val="0"/>
          <w:color w:val="auto"/>
          <w:kern w:val="2"/>
          <w:sz w:val="32"/>
          <w:szCs w:val="32"/>
          <w:lang w:val="en-US" w:eastAsia="zh-CN" w:bidi="ar-SA"/>
        </w:rPr>
        <w:t xml:space="preserve"> 11</w:t>
      </w:r>
      <w:r>
        <w:rPr>
          <w:rFonts w:hint="eastAsia" w:ascii="Times New Roman" w:hAnsi="Times New Roman" w:eastAsia="仿宋_GB2312" w:cs="仿宋_GB2312"/>
          <w:b w:val="0"/>
          <w:color w:val="auto"/>
          <w:kern w:val="2"/>
          <w:sz w:val="32"/>
          <w:szCs w:val="32"/>
          <w:lang w:val="zh-CN" w:eastAsia="zh-CN" w:bidi="ar-SA"/>
        </w:rPr>
        <w:t>个，涉及预算总金额</w:t>
      </w:r>
      <w:r>
        <w:rPr>
          <w:rFonts w:hint="eastAsia" w:ascii="Times New Roman" w:hAnsi="Times New Roman" w:eastAsia="仿宋_GB2312" w:cs="仿宋_GB2312"/>
          <w:b w:val="0"/>
          <w:color w:val="auto"/>
          <w:kern w:val="2"/>
          <w:sz w:val="32"/>
          <w:szCs w:val="32"/>
          <w:lang w:val="en-US" w:eastAsia="zh-CN" w:bidi="ar-SA"/>
        </w:rPr>
        <w:t>8294.16</w:t>
      </w:r>
      <w:r>
        <w:rPr>
          <w:rFonts w:hint="eastAsia" w:ascii="Times New Roman" w:hAnsi="Times New Roman" w:eastAsia="仿宋_GB2312" w:cs="仿宋_GB2312"/>
          <w:b w:val="0"/>
          <w:color w:val="auto"/>
          <w:kern w:val="2"/>
          <w:sz w:val="32"/>
          <w:szCs w:val="32"/>
          <w:lang w:val="zh-CN" w:eastAsia="zh-CN" w:bidi="ar-SA"/>
        </w:rPr>
        <w:t>万元，1—1</w:t>
      </w:r>
      <w:r>
        <w:rPr>
          <w:rFonts w:hint="eastAsia" w:ascii="Times New Roman" w:hAnsi="Times New Roman" w:eastAsia="仿宋_GB2312" w:cs="仿宋_GB2312"/>
          <w:b w:val="0"/>
          <w:color w:val="auto"/>
          <w:kern w:val="2"/>
          <w:sz w:val="32"/>
          <w:szCs w:val="32"/>
          <w:lang w:val="en-US" w:eastAsia="zh-CN" w:bidi="ar-SA"/>
        </w:rPr>
        <w:t>2</w:t>
      </w:r>
      <w:r>
        <w:rPr>
          <w:rFonts w:hint="eastAsia" w:ascii="Times New Roman" w:hAnsi="Times New Roman" w:eastAsia="仿宋_GB2312" w:cs="仿宋_GB2312"/>
          <w:b w:val="0"/>
          <w:color w:val="auto"/>
          <w:kern w:val="2"/>
          <w:sz w:val="32"/>
          <w:szCs w:val="32"/>
          <w:lang w:val="zh-CN" w:eastAsia="zh-CN" w:bidi="ar-SA"/>
        </w:rPr>
        <w:t>月预算执行总体进度为</w:t>
      </w:r>
      <w:r>
        <w:rPr>
          <w:rFonts w:hint="eastAsia" w:ascii="Times New Roman" w:hAnsi="Times New Roman" w:eastAsia="仿宋_GB2312" w:cs="仿宋_GB2312"/>
          <w:b w:val="0"/>
          <w:color w:val="auto"/>
          <w:kern w:val="2"/>
          <w:sz w:val="32"/>
          <w:szCs w:val="32"/>
          <w:lang w:val="en-US" w:eastAsia="zh-CN" w:bidi="ar-SA"/>
        </w:rPr>
        <w:t>100</w:t>
      </w:r>
      <w:r>
        <w:rPr>
          <w:rFonts w:hint="eastAsia" w:ascii="Times New Roman" w:hAnsi="Times New Roman" w:eastAsia="仿宋_GB2312" w:cs="仿宋_GB2312"/>
          <w:b w:val="0"/>
          <w:color w:val="auto"/>
          <w:kern w:val="2"/>
          <w:sz w:val="32"/>
          <w:szCs w:val="32"/>
          <w:lang w:val="zh-CN" w:eastAsia="zh-CN" w:bidi="ar-SA"/>
        </w:rPr>
        <w:t>%，其中：预算结余率大于</w:t>
      </w:r>
      <w:r>
        <w:rPr>
          <w:rFonts w:hint="eastAsia" w:ascii="Times New Roman" w:hAnsi="Times New Roman" w:eastAsia="仿宋_GB2312" w:cs="仿宋_GB2312"/>
          <w:b w:val="0"/>
          <w:color w:val="auto"/>
          <w:kern w:val="2"/>
          <w:sz w:val="32"/>
          <w:szCs w:val="32"/>
          <w:lang w:val="en-US" w:eastAsia="zh-CN" w:bidi="ar-SA"/>
        </w:rPr>
        <w:t>10%</w:t>
      </w:r>
      <w:r>
        <w:rPr>
          <w:rFonts w:hint="eastAsia" w:ascii="Times New Roman" w:hAnsi="Times New Roman" w:eastAsia="仿宋_GB2312" w:cs="仿宋_GB2312"/>
          <w:b w:val="0"/>
          <w:color w:val="auto"/>
          <w:kern w:val="2"/>
          <w:sz w:val="32"/>
          <w:szCs w:val="32"/>
          <w:lang w:val="zh-CN" w:eastAsia="zh-CN" w:bidi="ar-SA"/>
        </w:rPr>
        <w:t>的项目共计</w:t>
      </w:r>
      <w:r>
        <w:rPr>
          <w:rFonts w:hint="eastAsia" w:ascii="Times New Roman" w:hAnsi="Times New Roman" w:eastAsia="仿宋_GB2312" w:cs="仿宋_GB2312"/>
          <w:b w:val="0"/>
          <w:color w:val="auto"/>
          <w:kern w:val="2"/>
          <w:sz w:val="32"/>
          <w:szCs w:val="32"/>
          <w:lang w:val="en-US" w:eastAsia="zh-CN" w:bidi="ar-SA"/>
        </w:rPr>
        <w:t>0</w:t>
      </w:r>
      <w:r>
        <w:rPr>
          <w:rFonts w:hint="eastAsia" w:ascii="Times New Roman" w:hAnsi="Times New Roman" w:eastAsia="仿宋_GB2312" w:cs="仿宋_GB2312"/>
          <w:b w:val="0"/>
          <w:color w:val="auto"/>
          <w:kern w:val="2"/>
          <w:sz w:val="32"/>
          <w:szCs w:val="32"/>
          <w:lang w:val="zh-CN" w:eastAsia="zh-CN" w:bidi="ar-SA"/>
        </w:rPr>
        <w:t>个。</w:t>
      </w:r>
    </w:p>
    <w:p w14:paraId="04F94BB3">
      <w:pPr>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w:t>
      </w:r>
      <w:r>
        <w:rPr>
          <w:rFonts w:hint="eastAsia" w:ascii="Times New Roman" w:hAnsi="Times New Roman" w:eastAsia="仿宋_GB2312" w:cs="仿宋_GB2312"/>
          <w:b w:val="0"/>
          <w:color w:val="auto"/>
          <w:kern w:val="2"/>
          <w:sz w:val="32"/>
          <w:szCs w:val="32"/>
          <w:lang w:val="zh-CN" w:eastAsia="zh-CN" w:bidi="ar-SA"/>
        </w:rPr>
        <w:t>项目决策。</w:t>
      </w:r>
      <w:r>
        <w:rPr>
          <w:rFonts w:hint="eastAsia" w:ascii="Times New Roman" w:hAnsi="Times New Roman" w:eastAsia="仿宋_GB2312" w:cs="仿宋_GB2312"/>
          <w:b w:val="0"/>
          <w:color w:val="auto"/>
          <w:kern w:val="2"/>
          <w:sz w:val="32"/>
          <w:szCs w:val="32"/>
          <w:lang w:val="en-US" w:eastAsia="zh-CN" w:bidi="ar-SA"/>
        </w:rPr>
        <w:t>我单位项目决策立足辖区内治理实际，程序规范、目标清晰，整体绩效达标，项目紧扣综合执法主责主业，执法效能、群众满意度稳步提升，资金使用合规，成本管控合理。</w:t>
      </w:r>
    </w:p>
    <w:p w14:paraId="7F38BA73">
      <w:pPr>
        <w:pageBreakBefore w:val="0"/>
        <w:numPr>
          <w:ilvl w:val="0"/>
          <w:numId w:val="0"/>
        </w:numPr>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2.项目执行。项目执行整体有序，资金拨付与项目推进节奏基本同向，经费支出规范，无挤占、挪用情况，资金使用严格遵照预算执行，支出进度与项目实施进度总体匹配，财务管控到位。</w:t>
      </w:r>
    </w:p>
    <w:p w14:paraId="07AAA917">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3.</w:t>
      </w:r>
      <w:r>
        <w:rPr>
          <w:rFonts w:hint="eastAsia" w:ascii="Times New Roman" w:hAnsi="Times New Roman" w:eastAsia="仿宋_GB2312" w:cs="仿宋_GB2312"/>
          <w:b w:val="0"/>
          <w:color w:val="auto"/>
          <w:kern w:val="2"/>
          <w:sz w:val="32"/>
          <w:szCs w:val="32"/>
          <w:lang w:val="zh-CN" w:eastAsia="zh-CN" w:bidi="ar-SA"/>
        </w:rPr>
        <w:t>目标实现。</w:t>
      </w:r>
      <w:r>
        <w:rPr>
          <w:rFonts w:hint="eastAsia" w:ascii="Times New Roman" w:hAnsi="Times New Roman" w:eastAsia="仿宋_GB2312" w:cs="仿宋_GB2312"/>
          <w:b w:val="0"/>
          <w:color w:val="auto"/>
          <w:kern w:val="2"/>
          <w:sz w:val="32"/>
          <w:szCs w:val="32"/>
          <w:lang w:val="en-US" w:eastAsia="zh-CN" w:bidi="ar-SA"/>
        </w:rPr>
        <w:t>项目总体完成既定工作目标，各项目任务均落地实施，城管执法、环境整治等工作成效显著，有效提升了综合执法能力，辖区治理水平明显改善，市容秩序、综合执法等领域治理效果突出，社会效益良好。</w:t>
      </w:r>
    </w:p>
    <w:p w14:paraId="1E29A362">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（三）绩效结果应用情况。</w:t>
      </w:r>
    </w:p>
    <w:p w14:paraId="6F9B6BDC">
      <w:pPr>
        <w:keepNext w:val="0"/>
        <w:keepLines w:val="0"/>
        <w:pageBreakBefore w:val="0"/>
        <w:widowControl/>
        <w:suppressLineNumbers w:val="0"/>
        <w:kinsoku/>
        <w:wordWrap/>
        <w:overflowPunct/>
        <w:topLinePunct w:val="0"/>
        <w:autoSpaceDE/>
        <w:autoSpaceDN/>
        <w:bidi w:val="0"/>
        <w:spacing w:line="360" w:lineRule="auto"/>
        <w:ind w:firstLine="640" w:firstLineChars="200"/>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 xml:space="preserve">我局通过绩效自评，发现项目实施过程中的漏洞，对项目实施起到督促的作用，在以后加强项目绩效目标申报管理，目标绩效申报表与预算管理一体化中的指标对应，发挥实际作用。我局的绩效自评报告、绩效自评打分表、部门预算项目支出绩效自评表在预算管理一体化系统中主动公开。 </w:t>
      </w:r>
    </w:p>
    <w:p w14:paraId="6954AE36">
      <w:pPr>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四、评价结论及建议</w:t>
      </w:r>
    </w:p>
    <w:p w14:paraId="1DC63C6D">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（一）评价结论。</w:t>
      </w:r>
    </w:p>
    <w:p w14:paraId="42F5BF11">
      <w:pPr>
        <w:pageBreakBefore w:val="0"/>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 xml:space="preserve">2025 年，在区委、区政府的正确领导下，我局主动担当作为、攻坚克难，有力有序组织开展重点项目建设和重点工作，圆满完成了城市管理及综合执法的各项工作任务。 </w:t>
      </w:r>
    </w:p>
    <w:p w14:paraId="6AA3EBCB">
      <w:pPr>
        <w:keepNext w:val="0"/>
        <w:keepLines w:val="0"/>
        <w:pageBreakBefore w:val="0"/>
        <w:widowControl w:val="0"/>
        <w:numPr>
          <w:ilvl w:val="0"/>
          <w:numId w:val="4"/>
        </w:numPr>
        <w:kinsoku/>
        <w:wordWrap/>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存在问题。</w:t>
      </w:r>
    </w:p>
    <w:p w14:paraId="7795BC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w:t>
      </w:r>
      <w:r>
        <w:rPr>
          <w:rFonts w:hint="default" w:ascii="Times New Roman" w:hAnsi="Times New Roman" w:eastAsia="仿宋_GB2312" w:cs="仿宋_GB2312"/>
          <w:b w:val="0"/>
          <w:color w:val="auto"/>
          <w:kern w:val="2"/>
          <w:sz w:val="32"/>
          <w:szCs w:val="32"/>
          <w:lang w:val="en-US" w:eastAsia="zh-CN" w:bidi="ar-SA"/>
        </w:rPr>
        <w:t>2025年河道蓄水</w:t>
      </w:r>
      <w:r>
        <w:rPr>
          <w:rFonts w:hint="default" w:ascii="Times New Roman" w:hAnsi="Times New Roman" w:eastAsia="仿宋_GB2312" w:cs="仿宋_GB2312"/>
          <w:b w:val="0"/>
          <w:color w:val="auto"/>
          <w:kern w:val="2"/>
          <w:sz w:val="32"/>
          <w:szCs w:val="32"/>
          <w:lang w:val="zh-CN" w:eastAsia="zh-CN" w:bidi="ar-SA"/>
        </w:rPr>
        <w:t>工作滞后。</w:t>
      </w:r>
      <w:r>
        <w:rPr>
          <w:rFonts w:hint="eastAsia" w:ascii="Times New Roman" w:hAnsi="Times New Roman" w:eastAsia="仿宋_GB2312" w:cs="仿宋_GB2312"/>
          <w:b w:val="0"/>
          <w:color w:val="auto"/>
          <w:kern w:val="2"/>
          <w:sz w:val="32"/>
          <w:szCs w:val="32"/>
          <w:lang w:val="en-US" w:eastAsia="zh-CN" w:bidi="ar-SA"/>
        </w:rPr>
        <w:t>清淤完成后对四期钢制坝和6-8号坝开展蓄水作业，</w:t>
      </w:r>
      <w:r>
        <w:rPr>
          <w:rFonts w:hint="default" w:ascii="Times New Roman" w:hAnsi="Times New Roman" w:eastAsia="仿宋_GB2312" w:cs="仿宋_GB2312"/>
          <w:b w:val="0"/>
          <w:color w:val="auto"/>
          <w:kern w:val="2"/>
          <w:sz w:val="32"/>
          <w:szCs w:val="32"/>
          <w:lang w:val="en-US" w:eastAsia="zh-CN" w:bidi="ar-SA"/>
        </w:rPr>
        <w:t>因区住建局正在实施的仁和城区大河两岸市政污水主管网改造项目地下管网部分尚未完成，</w:t>
      </w:r>
      <w:r>
        <w:rPr>
          <w:rFonts w:hint="eastAsia" w:ascii="Times New Roman" w:hAnsi="Times New Roman" w:eastAsia="仿宋_GB2312" w:cs="仿宋_GB2312"/>
          <w:b w:val="0"/>
          <w:color w:val="auto"/>
          <w:kern w:val="2"/>
          <w:sz w:val="32"/>
          <w:szCs w:val="32"/>
          <w:lang w:val="en-US" w:eastAsia="zh-CN" w:bidi="ar-SA"/>
        </w:rPr>
        <w:t>我局</w:t>
      </w:r>
      <w:r>
        <w:rPr>
          <w:rFonts w:hint="default" w:ascii="Times New Roman" w:hAnsi="Times New Roman" w:eastAsia="仿宋_GB2312" w:cs="仿宋_GB2312"/>
          <w:b w:val="0"/>
          <w:color w:val="auto"/>
          <w:kern w:val="2"/>
          <w:sz w:val="32"/>
          <w:szCs w:val="32"/>
          <w:lang w:val="en-US" w:eastAsia="zh-CN" w:bidi="ar-SA"/>
        </w:rPr>
        <w:t>暂无法</w:t>
      </w:r>
      <w:r>
        <w:rPr>
          <w:rFonts w:hint="eastAsia" w:ascii="Times New Roman" w:hAnsi="Times New Roman" w:eastAsia="仿宋_GB2312" w:cs="仿宋_GB2312"/>
          <w:b w:val="0"/>
          <w:color w:val="auto"/>
          <w:kern w:val="2"/>
          <w:sz w:val="32"/>
          <w:szCs w:val="32"/>
          <w:lang w:val="en-US" w:eastAsia="zh-CN" w:bidi="ar-SA"/>
        </w:rPr>
        <w:t>对三期钢制坝和1-5号坝</w:t>
      </w:r>
      <w:r>
        <w:rPr>
          <w:rFonts w:hint="default" w:ascii="Times New Roman" w:hAnsi="Times New Roman" w:eastAsia="仿宋_GB2312" w:cs="仿宋_GB2312"/>
          <w:b w:val="0"/>
          <w:color w:val="auto"/>
          <w:kern w:val="2"/>
          <w:sz w:val="32"/>
          <w:szCs w:val="32"/>
          <w:lang w:val="en-US" w:eastAsia="zh-CN" w:bidi="ar-SA"/>
        </w:rPr>
        <w:t>开展蓄水工作，影响河道景观效果</w:t>
      </w:r>
      <w:r>
        <w:rPr>
          <w:rFonts w:hint="eastAsia" w:ascii="Times New Roman" w:hAnsi="Times New Roman" w:eastAsia="仿宋_GB2312" w:cs="仿宋_GB2312"/>
          <w:b w:val="0"/>
          <w:color w:val="auto"/>
          <w:kern w:val="2"/>
          <w:sz w:val="32"/>
          <w:szCs w:val="32"/>
          <w:lang w:val="en-US" w:eastAsia="zh-CN" w:bidi="ar-SA"/>
        </w:rPr>
        <w:t>。</w:t>
      </w:r>
    </w:p>
    <w:p w14:paraId="078EEB9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2.信访投诉办理方面。</w:t>
      </w:r>
      <w:r>
        <w:rPr>
          <w:rFonts w:hint="default" w:ascii="Times New Roman" w:hAnsi="Times New Roman" w:eastAsia="仿宋_GB2312" w:cs="仿宋_GB2312"/>
          <w:b w:val="0"/>
          <w:color w:val="auto"/>
          <w:kern w:val="2"/>
          <w:sz w:val="32"/>
          <w:szCs w:val="32"/>
          <w:lang w:val="en-US" w:eastAsia="zh-CN" w:bidi="ar-SA"/>
        </w:rPr>
        <w:t>部门间协作方式有待进一步优化，在接到投诉件后，</w:t>
      </w:r>
      <w:r>
        <w:rPr>
          <w:rFonts w:hint="eastAsia" w:ascii="Times New Roman" w:hAnsi="Times New Roman" w:eastAsia="仿宋_GB2312" w:cs="仿宋_GB2312"/>
          <w:b w:val="0"/>
          <w:color w:val="auto"/>
          <w:kern w:val="2"/>
          <w:sz w:val="32"/>
          <w:szCs w:val="32"/>
          <w:lang w:val="en-US" w:eastAsia="zh-CN" w:bidi="ar-SA"/>
        </w:rPr>
        <w:t>部分部门仍</w:t>
      </w:r>
      <w:r>
        <w:rPr>
          <w:rFonts w:hint="default" w:ascii="Times New Roman" w:hAnsi="Times New Roman" w:eastAsia="仿宋_GB2312" w:cs="仿宋_GB2312"/>
          <w:b w:val="0"/>
          <w:color w:val="auto"/>
          <w:kern w:val="2"/>
          <w:sz w:val="32"/>
          <w:szCs w:val="32"/>
          <w:lang w:val="en-US" w:eastAsia="zh-CN" w:bidi="ar-SA"/>
        </w:rPr>
        <w:t>存在响应不够及时、职责落实不够到位的问题，一定程度上影响了办理进度和整体效率，导致群众诉求未能完全达到预期的解决效果。</w:t>
      </w:r>
    </w:p>
    <w:p w14:paraId="760AF2B7">
      <w:pPr>
        <w:pageBreakBefore w:val="0"/>
        <w:widowControl/>
        <w:kinsoku/>
        <w:wordWrap/>
        <w:overflowPunct/>
        <w:topLinePunct w:val="0"/>
        <w:autoSpaceDE/>
        <w:autoSpaceDN/>
        <w:bidi w:val="0"/>
        <w:adjustRightInd w:val="0"/>
        <w:snapToGrid w:val="0"/>
        <w:spacing w:line="360" w:lineRule="auto"/>
        <w:ind w:firstLine="640" w:firstLineChars="200"/>
        <w:contextualSpacing/>
        <w:jc w:val="left"/>
        <w:textAlignment w:val="auto"/>
        <w:rPr>
          <w:rFonts w:hint="eastAsia" w:ascii="Times New Roman" w:hAnsi="Times New Roman" w:eastAsia="仿宋_GB2312" w:cs="仿宋_GB2312"/>
          <w:b w:val="0"/>
          <w:color w:val="auto"/>
          <w:kern w:val="2"/>
          <w:sz w:val="32"/>
          <w:szCs w:val="32"/>
          <w:lang w:val="zh-CN" w:eastAsia="zh-CN" w:bidi="ar-SA"/>
        </w:rPr>
      </w:pPr>
      <w:r>
        <w:rPr>
          <w:rFonts w:hint="eastAsia" w:ascii="Times New Roman" w:hAnsi="Times New Roman" w:eastAsia="仿宋_GB2312" w:cs="仿宋_GB2312"/>
          <w:b w:val="0"/>
          <w:color w:val="auto"/>
          <w:kern w:val="2"/>
          <w:sz w:val="32"/>
          <w:szCs w:val="32"/>
          <w:lang w:val="zh-CN" w:eastAsia="zh-CN" w:bidi="ar-SA"/>
        </w:rPr>
        <w:t>（三）改进建议。</w:t>
      </w:r>
    </w:p>
    <w:p w14:paraId="79FFB18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1.加强与其他单位沟通对接，保障项目实施无缝衔接，做好城市精细化管理工作。强化城区市政设施维修维护，做好园林景观提档升级，加强对管护公司指导与考核，逐步提升精细化管理水平，营造宜居、美丽的人居环境。</w:t>
      </w:r>
    </w:p>
    <w:p w14:paraId="557B646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default"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健全跨部门协同联动机制，明晰各科室、各执法岗位权责，细化投诉案件受理、分流、处置、反馈全流程工作规范，明确各环节办理时限，强化投诉案件闭环管理，建立投诉事项限时办结、跟踪督办、提醒催办制度，压实工作责任，提升办理质效，强化部门协同履职意识，确保各部门高效衔接、快速响应。</w:t>
      </w:r>
    </w:p>
    <w:p w14:paraId="01CDC914">
      <w:pPr>
        <w:widowControl/>
        <w:adjustRightInd w:val="0"/>
        <w:snapToGrid w:val="0"/>
        <w:spacing w:line="578" w:lineRule="exact"/>
        <w:ind w:firstLine="640" w:firstLineChars="200"/>
        <w:contextualSpacing/>
        <w:jc w:val="left"/>
        <w:rPr>
          <w:rFonts w:hint="default" w:ascii="Times New Roman" w:hAnsi="Times New Roman" w:eastAsia="仿宋_GB2312" w:cs="仿宋_GB2312"/>
          <w:b w:val="0"/>
          <w:color w:val="auto"/>
          <w:kern w:val="2"/>
          <w:sz w:val="32"/>
          <w:szCs w:val="32"/>
          <w:lang w:val="en-US" w:eastAsia="zh-CN" w:bidi="ar-SA"/>
        </w:rPr>
      </w:pPr>
    </w:p>
    <w:p w14:paraId="089E2A4E">
      <w:pPr>
        <w:spacing w:line="578" w:lineRule="exact"/>
        <w:contextualSpacing/>
        <w:rPr>
          <w:rFonts w:hint="eastAsia" w:ascii="Times New Roman" w:hAnsi="Times New Roman" w:eastAsia="仿宋_GB2312" w:cs="仿宋_GB2312"/>
          <w:b w:val="0"/>
          <w:color w:val="auto"/>
          <w:kern w:val="2"/>
          <w:sz w:val="32"/>
          <w:szCs w:val="32"/>
          <w:lang w:val="en-US" w:eastAsia="zh-CN" w:bidi="ar-SA"/>
        </w:rPr>
      </w:pPr>
    </w:p>
    <w:p w14:paraId="0CA5C0CD">
      <w:pPr>
        <w:spacing w:line="578" w:lineRule="exact"/>
        <w:ind w:firstLine="640" w:firstLineChars="200"/>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附表：1.部门预算绩效自评打分表</w:t>
      </w:r>
    </w:p>
    <w:p w14:paraId="7ED65F5F">
      <w:pPr>
        <w:spacing w:line="578" w:lineRule="exact"/>
        <w:ind w:firstLine="1600" w:firstLineChars="500"/>
        <w:rPr>
          <w:rFonts w:hint="eastAsia" w:ascii="Times New Roman" w:hAnsi="Times New Roman" w:eastAsia="仿宋_GB2312" w:cs="仿宋_GB2312"/>
          <w:b w:val="0"/>
          <w:color w:val="auto"/>
          <w:kern w:val="2"/>
          <w:sz w:val="32"/>
          <w:szCs w:val="32"/>
          <w:lang w:val="en-US" w:eastAsia="zh-CN" w:bidi="ar-SA"/>
        </w:rPr>
      </w:pPr>
      <w:r>
        <w:rPr>
          <w:rFonts w:hint="eastAsia" w:ascii="Times New Roman" w:hAnsi="Times New Roman" w:eastAsia="仿宋_GB2312" w:cs="仿宋_GB2312"/>
          <w:b w:val="0"/>
          <w:color w:val="auto"/>
          <w:kern w:val="2"/>
          <w:sz w:val="32"/>
          <w:szCs w:val="32"/>
          <w:lang w:val="en-US" w:eastAsia="zh-CN" w:bidi="ar-SA"/>
        </w:rPr>
        <w:t>2.部门整体绩效目标完成情况自评表</w:t>
      </w:r>
    </w:p>
    <w:p w14:paraId="257F5841">
      <w:pPr>
        <w:spacing w:line="578" w:lineRule="exact"/>
        <w:jc w:val="left"/>
        <w:rPr>
          <w:rFonts w:eastAsia="黑体"/>
          <w:color w:val="auto"/>
        </w:rPr>
      </w:pPr>
      <w:r>
        <w:rPr>
          <w:color w:val="auto"/>
          <w:kern w:val="0"/>
          <w:szCs w:val="32"/>
          <w:shd w:val="clear" w:color="auto" w:fill="FFFFFF"/>
        </w:rPr>
        <w:br w:type="page"/>
      </w:r>
      <w:r>
        <w:rPr>
          <w:rFonts w:eastAsia="黑体"/>
          <w:color w:val="auto"/>
        </w:rPr>
        <w:t>附表</w:t>
      </w:r>
      <w:r>
        <w:rPr>
          <w:rFonts w:hint="eastAsia" w:eastAsia="黑体"/>
          <w:color w:val="auto"/>
        </w:rPr>
        <w:t>1</w:t>
      </w:r>
    </w:p>
    <w:p w14:paraId="5CFCDB9B">
      <w:pPr>
        <w:widowControl/>
        <w:spacing w:line="600" w:lineRule="exact"/>
        <w:jc w:val="center"/>
        <w:textAlignment w:val="center"/>
        <w:rPr>
          <w:rFonts w:eastAsia="方正小标宋简体"/>
          <w:color w:val="auto"/>
          <w:kern w:val="0"/>
          <w:sz w:val="44"/>
          <w:szCs w:val="44"/>
        </w:rPr>
      </w:pPr>
      <w:r>
        <w:rPr>
          <w:rFonts w:hint="eastAsia" w:eastAsia="方正小标宋简体"/>
          <w:color w:val="auto"/>
          <w:kern w:val="0"/>
          <w:sz w:val="44"/>
          <w:szCs w:val="44"/>
        </w:rPr>
        <w:t>部门预算绩效自评打分表</w:t>
      </w:r>
    </w:p>
    <w:tbl>
      <w:tblPr>
        <w:tblStyle w:val="16"/>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4"/>
        <w:gridCol w:w="1462"/>
        <w:gridCol w:w="1665"/>
        <w:gridCol w:w="720"/>
        <w:gridCol w:w="4734"/>
        <w:gridCol w:w="756"/>
        <w:gridCol w:w="478"/>
      </w:tblGrid>
      <w:tr w14:paraId="55E34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B000FB">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9B443">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7229684F">
            <w:pPr>
              <w:widowControl/>
              <w:spacing w:line="240" w:lineRule="exact"/>
              <w:jc w:val="center"/>
              <w:textAlignment w:val="center"/>
              <w:rPr>
                <w:rFonts w:ascii="黑体" w:eastAsia="黑体" w:cs="黑体"/>
                <w:color w:val="auto"/>
                <w:kern w:val="0"/>
                <w:sz w:val="24"/>
              </w:rPr>
            </w:pPr>
            <w:r>
              <w:rPr>
                <w:rFonts w:hint="eastAsia" w:ascii="黑体" w:eastAsia="黑体" w:cs="黑体"/>
                <w:color w:val="auto"/>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35CEC86D">
            <w:pPr>
              <w:widowControl/>
              <w:spacing w:line="240" w:lineRule="exact"/>
              <w:jc w:val="center"/>
              <w:textAlignment w:val="center"/>
              <w:rPr>
                <w:rFonts w:ascii="黑体" w:eastAsia="黑体" w:cs="黑体"/>
                <w:color w:val="auto"/>
                <w:kern w:val="0"/>
                <w:sz w:val="24"/>
              </w:rPr>
            </w:pPr>
            <w:r>
              <w:rPr>
                <w:rFonts w:hint="eastAsia" w:ascii="黑体" w:eastAsia="黑体" w:cs="黑体"/>
                <w:color w:val="auto"/>
                <w:kern w:val="0"/>
                <w:sz w:val="24"/>
              </w:rPr>
              <w:t>备注</w:t>
            </w:r>
          </w:p>
        </w:tc>
      </w:tr>
      <w:tr w14:paraId="19F1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61498E24">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一级指标</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33DF">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二级指标</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0BDE">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F7D4">
            <w:pPr>
              <w:widowControl/>
              <w:spacing w:line="240" w:lineRule="exact"/>
              <w:jc w:val="center"/>
              <w:textAlignment w:val="center"/>
              <w:rPr>
                <w:rFonts w:ascii="黑体" w:eastAsia="黑体" w:cs="黑体"/>
                <w:color w:val="auto"/>
                <w:sz w:val="24"/>
              </w:rPr>
            </w:pPr>
            <w:r>
              <w:rPr>
                <w:rFonts w:hint="eastAsia" w:ascii="黑体" w:eastAsia="黑体" w:cs="黑体"/>
                <w:color w:val="auto"/>
                <w:kern w:val="0"/>
                <w:sz w:val="24"/>
              </w:rPr>
              <w:t>指标</w:t>
            </w:r>
            <w:r>
              <w:rPr>
                <w:rFonts w:hint="eastAsia" w:ascii="黑体" w:eastAsia="黑体" w:cs="黑体"/>
                <w:color w:val="auto"/>
                <w:kern w:val="0"/>
                <w:sz w:val="24"/>
              </w:rPr>
              <w:br w:type="textWrapping"/>
            </w:r>
            <w:r>
              <w:rPr>
                <w:rFonts w:hint="eastAsia" w:ascii="黑体" w:eastAsia="黑体" w:cs="黑体"/>
                <w:color w:val="auto"/>
                <w:kern w:val="0"/>
                <w:sz w:val="24"/>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7BBB0">
            <w:pPr>
              <w:rPr>
                <w:color w:val="auto"/>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2BCC5D26">
            <w:pPr>
              <w:rPr>
                <w:color w:val="auto"/>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4E63154F">
            <w:pPr>
              <w:rPr>
                <w:color w:val="auto"/>
              </w:rPr>
            </w:pPr>
          </w:p>
        </w:tc>
      </w:tr>
      <w:tr w14:paraId="0E23F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468E2">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总体绩效</w:t>
            </w:r>
            <w:r>
              <w:rPr>
                <w:rFonts w:hint="eastAsia" w:ascii="宋体" w:eastAsia="宋体" w:cs="宋体"/>
                <w:b/>
                <w:color w:val="auto"/>
                <w:kern w:val="0"/>
                <w:sz w:val="24"/>
              </w:rPr>
              <w:br w:type="textWrapping"/>
            </w:r>
            <w:r>
              <w:rPr>
                <w:rFonts w:hint="eastAsia" w:ascii="宋体" w:eastAsia="宋体" w:cs="宋体"/>
                <w:b/>
                <w:color w:val="auto"/>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1C166">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履职效能</w:t>
            </w:r>
            <w:r>
              <w:rPr>
                <w:rFonts w:hint="eastAsia" w:ascii="宋体" w:eastAsia="宋体" w:cs="宋体"/>
                <w:b/>
                <w:color w:val="auto"/>
                <w:kern w:val="0"/>
                <w:sz w:val="24"/>
              </w:rPr>
              <w:br w:type="textWrapping"/>
            </w:r>
            <w:r>
              <w:rPr>
                <w:rFonts w:hint="eastAsia" w:ascii="宋体" w:eastAsia="宋体" w:cs="宋体"/>
                <w:b/>
                <w:color w:val="auto"/>
                <w:kern w:val="0"/>
                <w:sz w:val="24"/>
              </w:rPr>
              <w:t>（15分）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1DDA3">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履职效果</w:t>
            </w:r>
          </w:p>
        </w:tc>
        <w:tc>
          <w:tcPr>
            <w:tcW w:w="720" w:type="dxa"/>
            <w:tcBorders>
              <w:top w:val="nil"/>
              <w:left w:val="single" w:color="000000" w:sz="4" w:space="0"/>
              <w:bottom w:val="single" w:color="000000" w:sz="4" w:space="0"/>
              <w:right w:val="single" w:color="000000" w:sz="4" w:space="0"/>
            </w:tcBorders>
            <w:shd w:val="clear" w:color="auto" w:fill="auto"/>
            <w:vAlign w:val="center"/>
          </w:tcPr>
          <w:p w14:paraId="3CBFF6D0">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15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4CBC">
            <w:pPr>
              <w:widowControl/>
              <w:spacing w:line="240" w:lineRule="exact"/>
              <w:jc w:val="left"/>
              <w:textAlignment w:val="center"/>
              <w:rPr>
                <w:rFonts w:ascii="宋体" w:eastAsia="宋体" w:cs="宋体"/>
                <w:color w:val="auto"/>
                <w:sz w:val="24"/>
              </w:rPr>
            </w:pPr>
            <w:r>
              <w:rPr>
                <w:rFonts w:ascii="宋体" w:eastAsia="宋体" w:cs="宋体"/>
                <w:color w:val="auto"/>
                <w:sz w:val="24"/>
              </w:rPr>
              <w:t>部门整体绩效目标中选定3-5个核心职能目标，反映该项职能目标完成效果情况，请将履职效果改成核心职能目标。</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7E2C">
            <w:pPr>
              <w:widowControl/>
              <w:spacing w:line="240" w:lineRule="exact"/>
              <w:jc w:val="center"/>
              <w:textAlignment w:val="center"/>
              <w:rPr>
                <w:rFonts w:hint="default" w:ascii="宋体" w:eastAsia="宋体" w:cs="宋体"/>
                <w:color w:val="auto"/>
                <w:kern w:val="0"/>
                <w:sz w:val="24"/>
                <w:lang w:val="en-US" w:eastAsia="zh-CN"/>
              </w:rPr>
            </w:pPr>
            <w:r>
              <w:rPr>
                <w:rFonts w:hint="eastAsia" w:ascii="宋体" w:eastAsia="宋体" w:cs="宋体"/>
                <w:color w:val="auto"/>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B403">
            <w:pPr>
              <w:widowControl/>
              <w:spacing w:line="240" w:lineRule="exact"/>
              <w:jc w:val="left"/>
              <w:textAlignment w:val="center"/>
              <w:rPr>
                <w:rFonts w:ascii="宋体" w:eastAsia="宋体" w:cs="宋体"/>
                <w:color w:val="auto"/>
                <w:kern w:val="0"/>
                <w:sz w:val="24"/>
              </w:rPr>
            </w:pPr>
          </w:p>
        </w:tc>
      </w:tr>
      <w:tr w14:paraId="77073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E1A38">
            <w:pPr>
              <w:rPr>
                <w:color w:val="auto"/>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ED809">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预算管理</w:t>
            </w:r>
            <w:r>
              <w:rPr>
                <w:rFonts w:hint="eastAsia" w:ascii="宋体" w:eastAsia="宋体" w:cs="宋体"/>
                <w:b/>
                <w:color w:val="auto"/>
                <w:kern w:val="0"/>
                <w:sz w:val="24"/>
              </w:rPr>
              <w:br w:type="textWrapping"/>
            </w:r>
            <w:r>
              <w:rPr>
                <w:rFonts w:hint="eastAsia" w:ascii="宋体" w:eastAsia="宋体" w:cs="宋体"/>
                <w:b/>
                <w:color w:val="auto"/>
                <w:kern w:val="0"/>
                <w:sz w:val="24"/>
              </w:rPr>
              <w:t>（25分）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EBEF">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2E27">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7D84">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40EE">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727F">
            <w:pPr>
              <w:widowControl/>
              <w:spacing w:line="240" w:lineRule="exact"/>
              <w:jc w:val="left"/>
              <w:textAlignment w:val="center"/>
              <w:rPr>
                <w:rFonts w:ascii="宋体" w:eastAsia="宋体" w:cs="宋体"/>
                <w:color w:val="auto"/>
                <w:kern w:val="0"/>
                <w:sz w:val="24"/>
              </w:rPr>
            </w:pPr>
          </w:p>
        </w:tc>
      </w:tr>
      <w:tr w14:paraId="0C8AC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F9091">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46E75">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DDC10">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78B3">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C45E">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AD7C">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18D4">
            <w:pPr>
              <w:widowControl/>
              <w:spacing w:line="240" w:lineRule="exact"/>
              <w:jc w:val="left"/>
              <w:textAlignment w:val="center"/>
              <w:rPr>
                <w:rFonts w:ascii="宋体" w:eastAsia="宋体" w:cs="宋体"/>
                <w:color w:val="auto"/>
                <w:kern w:val="0"/>
                <w:sz w:val="24"/>
              </w:rPr>
            </w:pPr>
          </w:p>
        </w:tc>
      </w:tr>
      <w:tr w14:paraId="51F2E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88AFA">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6E2B6">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4CBE">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02C8">
            <w:pPr>
              <w:widowControl/>
              <w:spacing w:line="240" w:lineRule="exact"/>
              <w:jc w:val="center"/>
              <w:textAlignment w:val="center"/>
              <w:rPr>
                <w:rFonts w:ascii="宋体" w:eastAsia="宋体" w:cs="宋体"/>
                <w:color w:val="auto"/>
                <w:sz w:val="24"/>
              </w:rPr>
            </w:pPr>
            <w:r>
              <w:rPr>
                <w:rFonts w:ascii="宋体" w:eastAsia="宋体" w:cs="宋体"/>
                <w:color w:val="auto"/>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EBEE3">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FF0F">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C67B3">
            <w:pPr>
              <w:widowControl/>
              <w:spacing w:line="240" w:lineRule="exact"/>
              <w:jc w:val="left"/>
              <w:textAlignment w:val="center"/>
              <w:rPr>
                <w:rFonts w:ascii="宋体" w:eastAsia="宋体" w:cs="宋体"/>
                <w:color w:val="auto"/>
                <w:kern w:val="0"/>
                <w:sz w:val="24"/>
              </w:rPr>
            </w:pPr>
          </w:p>
        </w:tc>
      </w:tr>
      <w:tr w14:paraId="2A135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7FA06">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7F1B8">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99F2D">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C5AA">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1B7A">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E13EC">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BBAD">
            <w:pPr>
              <w:widowControl/>
              <w:spacing w:line="240" w:lineRule="exact"/>
              <w:jc w:val="left"/>
              <w:textAlignment w:val="center"/>
              <w:rPr>
                <w:rFonts w:ascii="宋体" w:eastAsia="宋体" w:cs="宋体"/>
                <w:color w:val="auto"/>
                <w:kern w:val="0"/>
                <w:sz w:val="24"/>
              </w:rPr>
            </w:pPr>
          </w:p>
        </w:tc>
      </w:tr>
      <w:tr w14:paraId="4874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F60D0">
            <w:pPr>
              <w:rPr>
                <w:color w:val="auto"/>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69B21">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财务管理</w:t>
            </w:r>
            <w:r>
              <w:rPr>
                <w:rFonts w:hint="eastAsia" w:ascii="宋体" w:eastAsia="宋体" w:cs="宋体"/>
                <w:b/>
                <w:color w:val="auto"/>
                <w:kern w:val="0"/>
                <w:sz w:val="24"/>
              </w:rPr>
              <w:br w:type="textWrapping"/>
            </w:r>
            <w:r>
              <w:rPr>
                <w:rFonts w:hint="eastAsia" w:ascii="宋体" w:eastAsia="宋体" w:cs="宋体"/>
                <w:b/>
                <w:color w:val="auto"/>
                <w:kern w:val="0"/>
                <w:sz w:val="24"/>
              </w:rPr>
              <w:t>（10分）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20CB">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D147">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EDBC">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A77A">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7EC2">
            <w:pPr>
              <w:widowControl/>
              <w:spacing w:line="240" w:lineRule="exact"/>
              <w:jc w:val="left"/>
              <w:textAlignment w:val="center"/>
              <w:rPr>
                <w:rFonts w:ascii="宋体" w:eastAsia="宋体" w:cs="宋体"/>
                <w:color w:val="auto"/>
                <w:kern w:val="0"/>
                <w:sz w:val="24"/>
              </w:rPr>
            </w:pPr>
          </w:p>
        </w:tc>
      </w:tr>
      <w:tr w14:paraId="470B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EF084">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A9F2C">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AAE4">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FD9D">
            <w:pPr>
              <w:widowControl/>
              <w:spacing w:line="240" w:lineRule="exact"/>
              <w:jc w:val="center"/>
              <w:textAlignment w:val="center"/>
              <w:rPr>
                <w:rFonts w:ascii="宋体" w:eastAsia="宋体" w:cs="宋体"/>
                <w:color w:val="auto"/>
                <w:sz w:val="24"/>
              </w:rPr>
            </w:pPr>
            <w:r>
              <w:rPr>
                <w:rFonts w:ascii="宋体" w:eastAsia="宋体" w:cs="宋体"/>
                <w:color w:val="auto"/>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B0FDF">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B1C3">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E3E7">
            <w:pPr>
              <w:widowControl/>
              <w:spacing w:line="240" w:lineRule="exact"/>
              <w:jc w:val="left"/>
              <w:textAlignment w:val="center"/>
              <w:rPr>
                <w:rFonts w:ascii="宋体" w:eastAsia="宋体" w:cs="宋体"/>
                <w:color w:val="auto"/>
                <w:kern w:val="0"/>
                <w:sz w:val="24"/>
              </w:rPr>
            </w:pPr>
          </w:p>
        </w:tc>
      </w:tr>
      <w:tr w14:paraId="309D5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82016">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3860A">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1D9BD">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292CA">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72EC">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0760">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7CD2">
            <w:pPr>
              <w:widowControl/>
              <w:spacing w:line="240" w:lineRule="exact"/>
              <w:jc w:val="left"/>
              <w:textAlignment w:val="center"/>
              <w:rPr>
                <w:rFonts w:ascii="宋体" w:eastAsia="宋体" w:cs="宋体"/>
                <w:color w:val="auto"/>
                <w:kern w:val="0"/>
                <w:sz w:val="24"/>
              </w:rPr>
            </w:pPr>
          </w:p>
        </w:tc>
      </w:tr>
      <w:tr w14:paraId="4D9A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02C04">
            <w:pPr>
              <w:rPr>
                <w:color w:val="auto"/>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EF8A4">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资产管理</w:t>
            </w:r>
            <w:r>
              <w:rPr>
                <w:rFonts w:hint="eastAsia" w:ascii="宋体" w:eastAsia="宋体" w:cs="宋体"/>
                <w:b/>
                <w:color w:val="auto"/>
                <w:kern w:val="0"/>
                <w:sz w:val="24"/>
              </w:rPr>
              <w:br w:type="textWrapping"/>
            </w:r>
            <w:r>
              <w:rPr>
                <w:rFonts w:hint="eastAsia" w:ascii="宋体" w:eastAsia="宋体" w:cs="宋体"/>
                <w:b/>
                <w:color w:val="auto"/>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D668B">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FEEE">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3D6F">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5811">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13B0">
            <w:pPr>
              <w:widowControl/>
              <w:spacing w:line="240" w:lineRule="exact"/>
              <w:jc w:val="left"/>
              <w:textAlignment w:val="center"/>
              <w:rPr>
                <w:rFonts w:ascii="宋体" w:eastAsia="宋体" w:cs="宋体"/>
                <w:color w:val="auto"/>
                <w:kern w:val="0"/>
                <w:sz w:val="24"/>
              </w:rPr>
            </w:pPr>
          </w:p>
        </w:tc>
      </w:tr>
      <w:tr w14:paraId="0A33D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E2DE">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F509F">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B801">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0053">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34D9">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8E86">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34DA">
            <w:pPr>
              <w:widowControl/>
              <w:spacing w:line="240" w:lineRule="exact"/>
              <w:jc w:val="left"/>
              <w:textAlignment w:val="center"/>
              <w:rPr>
                <w:rFonts w:ascii="宋体" w:eastAsia="宋体" w:cs="宋体"/>
                <w:color w:val="auto"/>
                <w:kern w:val="0"/>
                <w:sz w:val="24"/>
              </w:rPr>
            </w:pPr>
          </w:p>
        </w:tc>
      </w:tr>
      <w:tr w14:paraId="2C457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6DED3">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总体绩效</w:t>
            </w:r>
            <w:r>
              <w:rPr>
                <w:rFonts w:hint="eastAsia" w:ascii="宋体" w:eastAsia="宋体" w:cs="宋体"/>
                <w:b/>
                <w:color w:val="auto"/>
                <w:kern w:val="0"/>
                <w:sz w:val="24"/>
              </w:rPr>
              <w:br w:type="textWrapping"/>
            </w:r>
            <w:r>
              <w:rPr>
                <w:rFonts w:hint="eastAsia" w:ascii="宋体" w:eastAsia="宋体" w:cs="宋体"/>
                <w:b/>
                <w:color w:val="auto"/>
                <w:kern w:val="0"/>
                <w:sz w:val="24"/>
              </w:rPr>
              <w:t>（65分）</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D3D0">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资产管理</w:t>
            </w:r>
            <w:r>
              <w:rPr>
                <w:rFonts w:hint="eastAsia" w:ascii="宋体" w:eastAsia="宋体" w:cs="宋体"/>
                <w:b/>
                <w:color w:val="auto"/>
                <w:kern w:val="0"/>
                <w:sz w:val="24"/>
              </w:rPr>
              <w:br w:type="textWrapping"/>
            </w:r>
            <w:r>
              <w:rPr>
                <w:rFonts w:hint="eastAsia" w:ascii="宋体" w:eastAsia="宋体" w:cs="宋体"/>
                <w:b/>
                <w:color w:val="auto"/>
                <w:kern w:val="0"/>
                <w:sz w:val="24"/>
              </w:rPr>
              <w:t>（9分）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453F">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3D126">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0D0A3">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3D11">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0EB7">
            <w:pPr>
              <w:widowControl/>
              <w:spacing w:line="240" w:lineRule="exact"/>
              <w:jc w:val="left"/>
              <w:textAlignment w:val="center"/>
              <w:rPr>
                <w:rFonts w:ascii="宋体" w:eastAsia="宋体" w:cs="宋体"/>
                <w:color w:val="auto"/>
                <w:kern w:val="0"/>
                <w:sz w:val="24"/>
              </w:rPr>
            </w:pPr>
          </w:p>
        </w:tc>
      </w:tr>
      <w:tr w14:paraId="59B49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854F1">
            <w:pPr>
              <w:rPr>
                <w:color w:val="auto"/>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F90C0">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采购管理</w:t>
            </w:r>
            <w:r>
              <w:rPr>
                <w:rFonts w:hint="eastAsia" w:ascii="宋体" w:eastAsia="宋体" w:cs="宋体"/>
                <w:b/>
                <w:color w:val="auto"/>
                <w:kern w:val="0"/>
                <w:sz w:val="24"/>
              </w:rPr>
              <w:br w:type="textWrapping"/>
            </w:r>
            <w:r>
              <w:rPr>
                <w:rFonts w:hint="eastAsia" w:ascii="宋体" w:eastAsia="宋体" w:cs="宋体"/>
                <w:b/>
                <w:color w:val="auto"/>
                <w:kern w:val="0"/>
                <w:sz w:val="24"/>
              </w:rPr>
              <w:t>（6分）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F9976">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D570">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C466">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635B">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8C55">
            <w:pPr>
              <w:widowControl/>
              <w:spacing w:line="240" w:lineRule="exact"/>
              <w:jc w:val="left"/>
              <w:textAlignment w:val="center"/>
              <w:rPr>
                <w:rFonts w:ascii="宋体" w:eastAsia="宋体" w:cs="宋体"/>
                <w:color w:val="auto"/>
                <w:kern w:val="0"/>
                <w:sz w:val="24"/>
              </w:rPr>
            </w:pPr>
          </w:p>
        </w:tc>
      </w:tr>
      <w:tr w14:paraId="0B4FC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2B7A6">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0477B">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641BD">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F5D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6583">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FA3E3">
            <w:pPr>
              <w:widowControl/>
              <w:spacing w:line="240" w:lineRule="exact"/>
              <w:jc w:val="center"/>
              <w:textAlignment w:val="center"/>
              <w:rPr>
                <w:rFonts w:hint="default"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EF14">
            <w:pPr>
              <w:widowControl/>
              <w:spacing w:line="240" w:lineRule="exact"/>
              <w:jc w:val="left"/>
              <w:textAlignment w:val="center"/>
              <w:rPr>
                <w:rFonts w:ascii="宋体" w:eastAsia="宋体" w:cs="宋体"/>
                <w:color w:val="auto"/>
                <w:kern w:val="0"/>
                <w:sz w:val="24"/>
              </w:rPr>
            </w:pPr>
          </w:p>
        </w:tc>
      </w:tr>
      <w:tr w14:paraId="4A4A3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F6666">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项目绩效</w:t>
            </w:r>
            <w:r>
              <w:rPr>
                <w:rFonts w:hint="eastAsia" w:ascii="宋体" w:eastAsia="宋体" w:cs="宋体"/>
                <w:b/>
                <w:color w:val="auto"/>
                <w:kern w:val="0"/>
                <w:sz w:val="24"/>
              </w:rPr>
              <w:br w:type="textWrapping"/>
            </w:r>
            <w:r>
              <w:rPr>
                <w:rFonts w:hint="eastAsia" w:ascii="宋体" w:eastAsia="宋体" w:cs="宋体"/>
                <w:b/>
                <w:color w:val="auto"/>
                <w:kern w:val="0"/>
                <w:sz w:val="24"/>
              </w:rPr>
              <w:t>（35分）</w:t>
            </w: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4F80FC5F">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项目决策</w:t>
            </w:r>
            <w:r>
              <w:rPr>
                <w:rFonts w:hint="eastAsia" w:ascii="宋体" w:eastAsia="宋体" w:cs="宋体"/>
                <w:b/>
                <w:color w:val="auto"/>
                <w:kern w:val="0"/>
                <w:sz w:val="24"/>
              </w:rPr>
              <w:br w:type="textWrapping"/>
            </w:r>
            <w:r>
              <w:rPr>
                <w:rFonts w:hint="eastAsia" w:ascii="宋体" w:eastAsia="宋体" w:cs="宋体"/>
                <w:b/>
                <w:color w:val="auto"/>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E04C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ED7F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D2FB">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9688">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E4DA">
            <w:pPr>
              <w:widowControl/>
              <w:spacing w:line="240" w:lineRule="exact"/>
              <w:jc w:val="left"/>
              <w:textAlignment w:val="center"/>
              <w:rPr>
                <w:rFonts w:ascii="宋体" w:eastAsia="宋体" w:cs="宋体"/>
                <w:color w:val="auto"/>
                <w:kern w:val="0"/>
                <w:sz w:val="24"/>
              </w:rPr>
            </w:pPr>
          </w:p>
        </w:tc>
      </w:tr>
      <w:tr w14:paraId="11F0B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C91D3">
            <w:pPr>
              <w:rPr>
                <w:color w:val="auto"/>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2DD61F39">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5471">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DD1A9">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DB7D">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659B">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F73E">
            <w:pPr>
              <w:widowControl/>
              <w:spacing w:line="240" w:lineRule="exact"/>
              <w:jc w:val="left"/>
              <w:textAlignment w:val="center"/>
              <w:rPr>
                <w:rFonts w:ascii="宋体" w:eastAsia="宋体" w:cs="宋体"/>
                <w:color w:val="auto"/>
                <w:kern w:val="0"/>
                <w:sz w:val="24"/>
              </w:rPr>
            </w:pPr>
          </w:p>
        </w:tc>
      </w:tr>
      <w:tr w14:paraId="201EC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6A16D">
            <w:pPr>
              <w:rPr>
                <w:color w:val="auto"/>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46130DF">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251D">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681A">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1252">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4BD5">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5439">
            <w:pPr>
              <w:widowControl/>
              <w:spacing w:line="240" w:lineRule="exact"/>
              <w:jc w:val="left"/>
              <w:textAlignment w:val="center"/>
              <w:rPr>
                <w:rFonts w:ascii="宋体" w:eastAsia="宋体" w:cs="宋体"/>
                <w:color w:val="auto"/>
                <w:kern w:val="0"/>
                <w:sz w:val="24"/>
              </w:rPr>
            </w:pPr>
          </w:p>
        </w:tc>
      </w:tr>
      <w:tr w14:paraId="3305B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1E0E2">
            <w:pPr>
              <w:rPr>
                <w:color w:val="auto"/>
              </w:rPr>
            </w:pPr>
          </w:p>
        </w:tc>
        <w:tc>
          <w:tcPr>
            <w:tcW w:w="1462" w:type="dxa"/>
            <w:vMerge w:val="restart"/>
            <w:tcBorders>
              <w:top w:val="single" w:color="000000" w:sz="4" w:space="0"/>
              <w:left w:val="single" w:color="000000" w:sz="4" w:space="0"/>
              <w:bottom w:val="nil"/>
              <w:right w:val="single" w:color="000000" w:sz="4" w:space="0"/>
            </w:tcBorders>
            <w:shd w:val="clear" w:color="auto" w:fill="auto"/>
            <w:vAlign w:val="center"/>
          </w:tcPr>
          <w:p w14:paraId="4050549F">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项目执行</w:t>
            </w:r>
            <w:r>
              <w:rPr>
                <w:rFonts w:hint="eastAsia" w:ascii="宋体" w:eastAsia="宋体" w:cs="宋体"/>
                <w:b/>
                <w:color w:val="auto"/>
                <w:kern w:val="0"/>
                <w:sz w:val="24"/>
              </w:rPr>
              <w:br w:type="textWrapping"/>
            </w:r>
            <w:r>
              <w:rPr>
                <w:rFonts w:hint="eastAsia" w:ascii="宋体" w:eastAsia="宋体" w:cs="宋体"/>
                <w:b/>
                <w:color w:val="auto"/>
                <w:kern w:val="0"/>
                <w:sz w:val="24"/>
              </w:rPr>
              <w:t>（12分）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7A6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5A64">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894C">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C70F">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3EF6">
            <w:pPr>
              <w:widowControl/>
              <w:spacing w:line="240" w:lineRule="exact"/>
              <w:jc w:val="left"/>
              <w:textAlignment w:val="center"/>
              <w:rPr>
                <w:rFonts w:ascii="宋体" w:eastAsia="宋体" w:cs="宋体"/>
                <w:color w:val="auto"/>
                <w:kern w:val="0"/>
                <w:sz w:val="24"/>
              </w:rPr>
            </w:pPr>
          </w:p>
        </w:tc>
      </w:tr>
      <w:tr w14:paraId="229C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7C7E9">
            <w:pPr>
              <w:rPr>
                <w:color w:val="auto"/>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545161E6">
            <w:pPr>
              <w:rPr>
                <w:color w:val="auto"/>
              </w:rPr>
            </w:pPr>
          </w:p>
        </w:tc>
        <w:tc>
          <w:tcPr>
            <w:tcW w:w="1665" w:type="dxa"/>
            <w:tcBorders>
              <w:top w:val="single" w:color="000000" w:sz="4" w:space="0"/>
              <w:left w:val="single" w:color="000000" w:sz="4" w:space="0"/>
              <w:bottom w:val="nil"/>
              <w:right w:val="single" w:color="000000" w:sz="4" w:space="0"/>
            </w:tcBorders>
            <w:shd w:val="clear" w:color="auto" w:fill="auto"/>
            <w:vAlign w:val="center"/>
          </w:tcPr>
          <w:p w14:paraId="61A61801">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70A8A">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EB4">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9A81">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2BC60">
            <w:pPr>
              <w:widowControl/>
              <w:spacing w:line="240" w:lineRule="exact"/>
              <w:jc w:val="left"/>
              <w:textAlignment w:val="center"/>
              <w:rPr>
                <w:rFonts w:ascii="宋体" w:eastAsia="宋体" w:cs="宋体"/>
                <w:color w:val="auto"/>
                <w:kern w:val="0"/>
                <w:sz w:val="24"/>
              </w:rPr>
            </w:pPr>
          </w:p>
        </w:tc>
      </w:tr>
      <w:tr w14:paraId="61146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90678">
            <w:pPr>
              <w:rPr>
                <w:color w:val="auto"/>
              </w:rPr>
            </w:pPr>
          </w:p>
        </w:tc>
        <w:tc>
          <w:tcPr>
            <w:tcW w:w="1462" w:type="dxa"/>
            <w:vMerge w:val="continue"/>
            <w:tcBorders>
              <w:top w:val="single" w:color="000000" w:sz="4" w:space="0"/>
              <w:left w:val="single" w:color="000000" w:sz="4" w:space="0"/>
              <w:bottom w:val="nil"/>
              <w:right w:val="single" w:color="000000" w:sz="4" w:space="0"/>
            </w:tcBorders>
            <w:shd w:val="clear" w:color="auto" w:fill="auto"/>
            <w:vAlign w:val="center"/>
          </w:tcPr>
          <w:p w14:paraId="051F43EA">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F104">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42B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0EED">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3760">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B538">
            <w:pPr>
              <w:widowControl/>
              <w:spacing w:line="240" w:lineRule="exact"/>
              <w:jc w:val="left"/>
              <w:textAlignment w:val="center"/>
              <w:rPr>
                <w:rFonts w:ascii="宋体" w:eastAsia="宋体" w:cs="宋体"/>
                <w:color w:val="auto"/>
                <w:kern w:val="0"/>
                <w:sz w:val="24"/>
              </w:rPr>
            </w:pPr>
          </w:p>
        </w:tc>
      </w:tr>
      <w:tr w14:paraId="7D226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E7EB9">
            <w:pPr>
              <w:rPr>
                <w:color w:val="auto"/>
              </w:rPr>
            </w:pPr>
          </w:p>
        </w:tc>
        <w:tc>
          <w:tcPr>
            <w:tcW w:w="1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3DBB1F">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目标实现</w:t>
            </w:r>
            <w:r>
              <w:rPr>
                <w:rFonts w:hint="eastAsia" w:ascii="宋体" w:eastAsia="宋体" w:cs="宋体"/>
                <w:b/>
                <w:color w:val="auto"/>
                <w:kern w:val="0"/>
                <w:sz w:val="24"/>
              </w:rPr>
              <w:br w:type="textWrapping"/>
            </w:r>
            <w:r>
              <w:rPr>
                <w:rFonts w:hint="eastAsia" w:ascii="宋体" w:eastAsia="宋体" w:cs="宋体"/>
                <w:b/>
                <w:color w:val="auto"/>
                <w:kern w:val="0"/>
                <w:sz w:val="24"/>
              </w:rPr>
              <w:t>（11分）</w:t>
            </w: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C5A4">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16025">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9173">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44AC">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4EE8">
            <w:pPr>
              <w:widowControl/>
              <w:spacing w:line="240" w:lineRule="exact"/>
              <w:jc w:val="left"/>
              <w:textAlignment w:val="center"/>
              <w:rPr>
                <w:rFonts w:ascii="宋体" w:eastAsia="宋体" w:cs="宋体"/>
                <w:color w:val="auto"/>
                <w:kern w:val="0"/>
                <w:sz w:val="24"/>
              </w:rPr>
            </w:pPr>
          </w:p>
        </w:tc>
      </w:tr>
      <w:tr w14:paraId="6BB6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E80BD">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63722">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2C09">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B072">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4927A">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050D">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FF2A">
            <w:pPr>
              <w:widowControl/>
              <w:spacing w:line="240" w:lineRule="exact"/>
              <w:jc w:val="left"/>
              <w:textAlignment w:val="center"/>
              <w:rPr>
                <w:rFonts w:ascii="宋体" w:eastAsia="宋体" w:cs="宋体"/>
                <w:color w:val="auto"/>
                <w:kern w:val="0"/>
                <w:sz w:val="24"/>
              </w:rPr>
            </w:pPr>
          </w:p>
        </w:tc>
      </w:tr>
      <w:tr w14:paraId="6BC68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A31D6">
            <w:pPr>
              <w:rPr>
                <w:color w:val="auto"/>
              </w:rPr>
            </w:pPr>
          </w:p>
        </w:tc>
        <w:tc>
          <w:tcPr>
            <w:tcW w:w="1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2D864">
            <w:pPr>
              <w:rPr>
                <w:color w:val="auto"/>
              </w:rPr>
            </w:pPr>
          </w:p>
        </w:tc>
        <w:tc>
          <w:tcPr>
            <w:tcW w:w="16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9EFE1">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1D66">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89A9">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93B3">
            <w:pPr>
              <w:widowControl/>
              <w:spacing w:line="240" w:lineRule="exact"/>
              <w:jc w:val="center"/>
              <w:textAlignment w:val="center"/>
              <w:rPr>
                <w:rFonts w:hint="eastAsia" w:ascii="宋体" w:eastAsia="宋体" w:cs="宋体"/>
                <w:color w:val="auto"/>
                <w:kern w:val="0"/>
                <w:sz w:val="24"/>
                <w:lang w:val="en-US" w:eastAsia="zh-CN"/>
              </w:rPr>
            </w:pPr>
            <w:r>
              <w:rPr>
                <w:rFonts w:hint="eastAsia" w:ascii="宋体" w:eastAsia="宋体" w:cs="宋体"/>
                <w:color w:val="auto"/>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ACB6">
            <w:pPr>
              <w:widowControl/>
              <w:spacing w:line="240" w:lineRule="exact"/>
              <w:jc w:val="left"/>
              <w:textAlignment w:val="center"/>
              <w:rPr>
                <w:rFonts w:ascii="宋体" w:eastAsia="宋体" w:cs="宋体"/>
                <w:color w:val="auto"/>
                <w:kern w:val="0"/>
                <w:sz w:val="24"/>
              </w:rPr>
            </w:pPr>
          </w:p>
        </w:tc>
      </w:tr>
      <w:tr w14:paraId="179B1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B9FA">
            <w:pPr>
              <w:widowControl/>
              <w:spacing w:line="240" w:lineRule="exact"/>
              <w:jc w:val="center"/>
              <w:textAlignment w:val="center"/>
              <w:rPr>
                <w:rFonts w:ascii="宋体" w:eastAsia="宋体" w:cs="宋体"/>
                <w:b/>
                <w:color w:val="auto"/>
                <w:sz w:val="24"/>
              </w:rPr>
            </w:pPr>
            <w:r>
              <w:rPr>
                <w:rFonts w:hint="eastAsia" w:ascii="宋体" w:eastAsia="宋体" w:cs="宋体"/>
                <w:b/>
                <w:color w:val="auto"/>
                <w:kern w:val="0"/>
                <w:sz w:val="24"/>
              </w:rPr>
              <w:t>扣分项</w:t>
            </w:r>
            <w:r>
              <w:rPr>
                <w:rFonts w:hint="eastAsia" w:ascii="宋体" w:eastAsia="宋体" w:cs="宋体"/>
                <w:b/>
                <w:color w:val="auto"/>
                <w:kern w:val="0"/>
                <w:sz w:val="24"/>
              </w:rPr>
              <w:br w:type="textWrapping"/>
            </w:r>
            <w:r>
              <w:rPr>
                <w:rFonts w:hint="eastAsia" w:ascii="宋体" w:eastAsia="宋体" w:cs="宋体"/>
                <w:b/>
                <w:color w:val="auto"/>
                <w:kern w:val="0"/>
                <w:sz w:val="24"/>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8759A">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3EB8">
            <w:pPr>
              <w:widowControl/>
              <w:spacing w:line="240" w:lineRule="exact"/>
              <w:jc w:val="center"/>
              <w:textAlignment w:val="center"/>
              <w:rPr>
                <w:rFonts w:ascii="宋体" w:eastAsia="宋体" w:cs="宋体"/>
                <w:color w:val="auto"/>
                <w:sz w:val="24"/>
              </w:rPr>
            </w:pPr>
            <w:r>
              <w:rPr>
                <w:rFonts w:hint="eastAsia" w:ascii="宋体" w:eastAsia="宋体" w:cs="宋体"/>
                <w:color w:val="auto"/>
                <w:kern w:val="0"/>
                <w:sz w:val="24"/>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1D5">
            <w:pPr>
              <w:widowControl/>
              <w:spacing w:line="240" w:lineRule="exact"/>
              <w:jc w:val="left"/>
              <w:textAlignment w:val="center"/>
              <w:rPr>
                <w:rFonts w:ascii="宋体" w:eastAsia="宋体" w:cs="宋体"/>
                <w:color w:val="auto"/>
                <w:sz w:val="24"/>
              </w:rPr>
            </w:pPr>
            <w:r>
              <w:rPr>
                <w:rFonts w:hint="eastAsia" w:ascii="宋体" w:eastAsia="宋体" w:cs="宋体"/>
                <w:color w:val="auto"/>
                <w:kern w:val="0"/>
                <w:sz w:val="24"/>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E9F4">
            <w:pPr>
              <w:widowControl/>
              <w:spacing w:line="240" w:lineRule="exact"/>
              <w:jc w:val="center"/>
              <w:textAlignment w:val="center"/>
              <w:rPr>
                <w:rFonts w:ascii="宋体" w:eastAsia="宋体" w:cs="宋体"/>
                <w:color w:val="auto"/>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018B">
            <w:pPr>
              <w:widowControl/>
              <w:spacing w:line="240" w:lineRule="exact"/>
              <w:jc w:val="left"/>
              <w:textAlignment w:val="center"/>
              <w:rPr>
                <w:rFonts w:ascii="宋体" w:eastAsia="宋体" w:cs="宋体"/>
                <w:color w:val="auto"/>
                <w:kern w:val="0"/>
                <w:sz w:val="24"/>
              </w:rPr>
            </w:pPr>
          </w:p>
        </w:tc>
      </w:tr>
    </w:tbl>
    <w:p w14:paraId="02D0EF3B">
      <w:pPr>
        <w:pStyle w:val="20"/>
        <w:spacing w:line="20" w:lineRule="exact"/>
        <w:rPr>
          <w:color w:val="auto"/>
        </w:rPr>
      </w:pPr>
    </w:p>
    <w:p w14:paraId="308D0D6E">
      <w:pPr>
        <w:spacing w:line="578" w:lineRule="exact"/>
        <w:jc w:val="left"/>
        <w:rPr>
          <w:rFonts w:eastAsia="黑体"/>
          <w:color w:val="auto"/>
        </w:rPr>
      </w:pPr>
    </w:p>
    <w:p w14:paraId="79F33BB3">
      <w:pPr>
        <w:spacing w:line="578" w:lineRule="exact"/>
        <w:jc w:val="left"/>
        <w:rPr>
          <w:rFonts w:eastAsia="黑体"/>
          <w:color w:val="auto"/>
        </w:rPr>
      </w:pPr>
      <w:r>
        <w:rPr>
          <w:rFonts w:eastAsia="黑体"/>
          <w:color w:val="auto"/>
        </w:rPr>
        <w:t>附表</w:t>
      </w:r>
      <w:r>
        <w:rPr>
          <w:rFonts w:hint="eastAsia" w:eastAsia="黑体"/>
          <w:color w:val="auto"/>
        </w:rPr>
        <w:t>2</w:t>
      </w:r>
    </w:p>
    <w:tbl>
      <w:tblPr>
        <w:tblStyle w:val="16"/>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308"/>
        <w:gridCol w:w="1347"/>
        <w:gridCol w:w="1273"/>
        <w:gridCol w:w="1100"/>
        <w:gridCol w:w="1145"/>
        <w:gridCol w:w="1289"/>
        <w:gridCol w:w="1058"/>
        <w:gridCol w:w="2040"/>
      </w:tblGrid>
      <w:tr w14:paraId="6FE0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2" w:hRule="exact"/>
          <w:jc w:val="center"/>
        </w:trPr>
        <w:tc>
          <w:tcPr>
            <w:tcW w:w="10560" w:type="dxa"/>
            <w:gridSpan w:val="8"/>
            <w:shd w:val="clear" w:color="auto" w:fill="auto"/>
            <w:vAlign w:val="center"/>
          </w:tcPr>
          <w:p w14:paraId="6DE63406">
            <w:pPr>
              <w:widowControl/>
              <w:spacing w:line="600" w:lineRule="exact"/>
              <w:jc w:val="center"/>
              <w:textAlignment w:val="center"/>
              <w:rPr>
                <w:rFonts w:eastAsia="黑体"/>
                <w:color w:val="auto"/>
                <w:sz w:val="28"/>
                <w:szCs w:val="28"/>
              </w:rPr>
            </w:pPr>
            <w:r>
              <w:rPr>
                <w:rFonts w:eastAsia="方正小标宋简体"/>
                <w:color w:val="auto"/>
                <w:kern w:val="0"/>
                <w:sz w:val="44"/>
                <w:szCs w:val="44"/>
              </w:rPr>
              <w:t>部门整体绩效目标完成情况自评表</w:t>
            </w:r>
          </w:p>
        </w:tc>
      </w:tr>
      <w:tr w14:paraId="20771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shd w:val="clear" w:color="auto" w:fill="auto"/>
            <w:vAlign w:val="center"/>
          </w:tcPr>
          <w:p w14:paraId="42DB3807">
            <w:pPr>
              <w:widowControl/>
              <w:spacing w:line="300" w:lineRule="exact"/>
              <w:jc w:val="center"/>
              <w:textAlignment w:val="center"/>
              <w:rPr>
                <w:rFonts w:eastAsia="宋体"/>
                <w:color w:val="auto"/>
                <w:sz w:val="28"/>
                <w:szCs w:val="28"/>
              </w:rPr>
            </w:pPr>
            <w:r>
              <w:rPr>
                <w:rFonts w:eastAsia="宋体"/>
                <w:color w:val="auto"/>
                <w:kern w:val="0"/>
                <w:sz w:val="28"/>
                <w:szCs w:val="28"/>
              </w:rPr>
              <w:t>（2025年度）</w:t>
            </w:r>
          </w:p>
        </w:tc>
      </w:tr>
      <w:tr w14:paraId="1FD08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shd w:val="clear" w:color="auto" w:fill="auto"/>
            <w:vAlign w:val="center"/>
          </w:tcPr>
          <w:p w14:paraId="2054C11A">
            <w:pPr>
              <w:widowControl/>
              <w:spacing w:line="300" w:lineRule="exact"/>
              <w:jc w:val="right"/>
              <w:textAlignment w:val="center"/>
              <w:rPr>
                <w:rFonts w:eastAsia="宋体"/>
                <w:color w:val="auto"/>
                <w:sz w:val="21"/>
                <w:szCs w:val="21"/>
              </w:rPr>
            </w:pPr>
            <w:r>
              <w:rPr>
                <w:rFonts w:eastAsia="宋体"/>
                <w:color w:val="auto"/>
                <w:kern w:val="0"/>
                <w:sz w:val="21"/>
                <w:szCs w:val="21"/>
              </w:rPr>
              <w:t>单位：万元</w:t>
            </w:r>
          </w:p>
        </w:tc>
      </w:tr>
      <w:tr w14:paraId="10B72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548E3">
            <w:pPr>
              <w:widowControl/>
              <w:spacing w:line="300" w:lineRule="exact"/>
              <w:jc w:val="center"/>
              <w:textAlignment w:val="center"/>
              <w:rPr>
                <w:rFonts w:eastAsia="宋体"/>
                <w:color w:val="auto"/>
                <w:sz w:val="24"/>
              </w:rPr>
            </w:pPr>
            <w:r>
              <w:rPr>
                <w:rFonts w:eastAsia="宋体"/>
                <w:color w:val="auto"/>
                <w:kern w:val="0"/>
                <w:sz w:val="24"/>
              </w:rPr>
              <w:t>部门名称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E9F26">
            <w:pPr>
              <w:widowControl/>
              <w:spacing w:line="300" w:lineRule="exact"/>
              <w:jc w:val="center"/>
              <w:textAlignment w:val="center"/>
              <w:rPr>
                <w:rFonts w:hint="default" w:eastAsia="宋体"/>
                <w:color w:val="auto"/>
                <w:sz w:val="24"/>
                <w:lang w:val="en-US" w:eastAsia="zh-CN"/>
              </w:rPr>
            </w:pPr>
            <w:r>
              <w:rPr>
                <w:rFonts w:hint="eastAsia" w:eastAsia="宋体"/>
                <w:color w:val="auto"/>
                <w:sz w:val="24"/>
                <w:lang w:val="en-US" w:eastAsia="zh-CN"/>
              </w:rPr>
              <w:t>攀枝花市仁和区综合行政执法局</w:t>
            </w:r>
          </w:p>
        </w:tc>
      </w:tr>
      <w:tr w14:paraId="6EAAD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BC2B8">
            <w:pPr>
              <w:widowControl/>
              <w:spacing w:line="300" w:lineRule="exact"/>
              <w:jc w:val="center"/>
              <w:textAlignment w:val="center"/>
              <w:rPr>
                <w:rFonts w:eastAsia="宋体"/>
                <w:color w:val="auto"/>
                <w:sz w:val="24"/>
              </w:rPr>
            </w:pPr>
            <w:r>
              <w:rPr>
                <w:rFonts w:eastAsia="宋体"/>
                <w:color w:val="auto"/>
                <w:kern w:val="0"/>
                <w:sz w:val="24"/>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763BD">
            <w:pPr>
              <w:widowControl/>
              <w:spacing w:line="300" w:lineRule="exact"/>
              <w:jc w:val="center"/>
              <w:textAlignment w:val="center"/>
              <w:rPr>
                <w:rFonts w:eastAsia="宋体"/>
                <w:color w:val="auto"/>
                <w:sz w:val="24"/>
              </w:rPr>
            </w:pPr>
            <w:r>
              <w:rPr>
                <w:rFonts w:eastAsia="宋体"/>
                <w:color w:val="auto"/>
                <w:kern w:val="0"/>
                <w:sz w:val="24"/>
              </w:rPr>
              <w:t>资金总额</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E79EE">
            <w:pPr>
              <w:widowControl/>
              <w:spacing w:line="300" w:lineRule="exact"/>
              <w:jc w:val="center"/>
              <w:textAlignment w:val="center"/>
              <w:rPr>
                <w:rFonts w:eastAsia="宋体"/>
                <w:color w:val="auto"/>
                <w:sz w:val="24"/>
              </w:rPr>
            </w:pPr>
            <w:r>
              <w:rPr>
                <w:rFonts w:eastAsia="宋体"/>
                <w:color w:val="auto"/>
                <w:kern w:val="0"/>
                <w:sz w:val="24"/>
              </w:rPr>
              <w:t>财政拨款</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B8093E">
            <w:pPr>
              <w:widowControl/>
              <w:spacing w:line="300" w:lineRule="exact"/>
              <w:jc w:val="center"/>
              <w:textAlignment w:val="center"/>
              <w:rPr>
                <w:rFonts w:eastAsia="宋体"/>
                <w:color w:val="auto"/>
                <w:sz w:val="24"/>
              </w:rPr>
            </w:pPr>
            <w:r>
              <w:rPr>
                <w:rFonts w:eastAsia="宋体"/>
                <w:color w:val="auto"/>
                <w:kern w:val="0"/>
                <w:sz w:val="24"/>
              </w:rPr>
              <w:t>其他资金</w:t>
            </w:r>
          </w:p>
        </w:tc>
      </w:tr>
      <w:tr w14:paraId="53CF1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E8919">
            <w:pPr>
              <w:rPr>
                <w:color w:val="auto"/>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19E05">
            <w:pPr>
              <w:widowControl/>
              <w:spacing w:line="300" w:lineRule="exact"/>
              <w:jc w:val="center"/>
              <w:textAlignment w:val="center"/>
              <w:rPr>
                <w:rFonts w:eastAsia="宋体"/>
                <w:color w:val="auto"/>
                <w:sz w:val="24"/>
              </w:rPr>
            </w:pPr>
            <w:r>
              <w:rPr>
                <w:rFonts w:hint="eastAsia" w:cs="Times New Roman"/>
                <w:b w:val="0"/>
                <w:color w:val="auto"/>
                <w:kern w:val="2"/>
                <w:sz w:val="32"/>
                <w:szCs w:val="32"/>
                <w:lang w:val="en-US" w:eastAsia="zh-CN" w:bidi="ar-SA"/>
              </w:rPr>
              <w:t>11827.32</w:t>
            </w:r>
          </w:p>
        </w:tc>
        <w:tc>
          <w:tcPr>
            <w:tcW w:w="22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C723C">
            <w:pPr>
              <w:widowControl/>
              <w:spacing w:line="300" w:lineRule="exact"/>
              <w:jc w:val="center"/>
              <w:textAlignment w:val="center"/>
              <w:rPr>
                <w:rFonts w:eastAsia="宋体"/>
                <w:color w:val="auto"/>
                <w:sz w:val="24"/>
              </w:rPr>
            </w:pPr>
            <w:r>
              <w:rPr>
                <w:rFonts w:hint="eastAsia" w:cs="Times New Roman"/>
                <w:b w:val="0"/>
                <w:color w:val="auto"/>
                <w:kern w:val="2"/>
                <w:sz w:val="32"/>
                <w:szCs w:val="32"/>
                <w:lang w:val="en-US" w:eastAsia="zh-CN" w:bidi="ar-SA"/>
              </w:rPr>
              <w:t>11827.32</w:t>
            </w:r>
          </w:p>
        </w:tc>
        <w:tc>
          <w:tcPr>
            <w:tcW w:w="438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6C17C">
            <w:pPr>
              <w:widowControl/>
              <w:spacing w:line="300" w:lineRule="exact"/>
              <w:jc w:val="center"/>
              <w:textAlignment w:val="center"/>
              <w:rPr>
                <w:rFonts w:hint="eastAsia" w:eastAsia="宋体"/>
                <w:color w:val="auto"/>
                <w:sz w:val="24"/>
                <w:lang w:eastAsia="zh-CN"/>
              </w:rPr>
            </w:pPr>
            <w:r>
              <w:rPr>
                <w:rFonts w:hint="eastAsia" w:eastAsia="宋体"/>
                <w:color w:val="auto"/>
                <w:kern w:val="0"/>
                <w:sz w:val="24"/>
                <w:lang w:val="en-US" w:eastAsia="zh-CN"/>
              </w:rPr>
              <w:t>0</w:t>
            </w:r>
          </w:p>
        </w:tc>
      </w:tr>
      <w:tr w14:paraId="1616C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98E3">
            <w:pPr>
              <w:widowControl/>
              <w:spacing w:line="300" w:lineRule="exact"/>
              <w:jc w:val="center"/>
              <w:textAlignment w:val="center"/>
              <w:rPr>
                <w:rFonts w:eastAsia="宋体"/>
                <w:color w:val="auto"/>
                <w:kern w:val="0"/>
                <w:sz w:val="24"/>
              </w:rPr>
            </w:pPr>
            <w:r>
              <w:rPr>
                <w:rFonts w:eastAsia="宋体"/>
                <w:color w:val="auto"/>
                <w:kern w:val="0"/>
                <w:sz w:val="24"/>
              </w:rPr>
              <w:t>年度总体</w:t>
            </w:r>
          </w:p>
          <w:p w14:paraId="0B8268FF">
            <w:pPr>
              <w:widowControl/>
              <w:spacing w:line="300" w:lineRule="exact"/>
              <w:jc w:val="center"/>
              <w:textAlignment w:val="center"/>
              <w:rPr>
                <w:rFonts w:eastAsia="宋体"/>
                <w:color w:val="auto"/>
                <w:sz w:val="24"/>
              </w:rPr>
            </w:pPr>
            <w:r>
              <w:rPr>
                <w:rFonts w:eastAsia="宋体"/>
                <w:color w:val="auto"/>
                <w:kern w:val="0"/>
                <w:sz w:val="24"/>
              </w:rPr>
              <w:t>目标</w:t>
            </w:r>
          </w:p>
        </w:tc>
        <w:tc>
          <w:tcPr>
            <w:tcW w:w="925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7BADEA7">
            <w:pPr>
              <w:widowControl/>
              <w:spacing w:line="300" w:lineRule="exact"/>
              <w:jc w:val="left"/>
              <w:textAlignment w:val="center"/>
              <w:rPr>
                <w:rFonts w:eastAsia="宋体"/>
                <w:color w:val="auto"/>
                <w:sz w:val="24"/>
              </w:rPr>
            </w:pPr>
            <w:r>
              <w:rPr>
                <w:rFonts w:hint="eastAsia" w:eastAsia="宋体"/>
                <w:color w:val="auto"/>
                <w:kern w:val="0"/>
                <w:sz w:val="24"/>
              </w:rPr>
              <w:t>以保障城市管理高质量发展为主线，坚持“统筹兼顾、保障重点、注重绩效、厉行节约”的原则，科学合理安排年度资金预算。通过优化财政资源配置，强化预算执行和绩效管理，全面提升城市管理领域的公共服务能力和综合执法效能。保障市容环境整治、市政设施维护、园林绿化管养、垃圾收运处置等，确保城市运行安全有序、环境品质持续提升，争创一流业绩，争当标兵标杆；整合执法力量，规范执法行为，提高执法水平；以城市精细化管理为突破口，加强精细化、精准化管护，提升城市品质，切实解决人民群众“热”“难”点问题，满足人民日益增长的城市管理期待，提升居民居住幸福感、获得感。</w:t>
            </w:r>
          </w:p>
        </w:tc>
      </w:tr>
      <w:tr w14:paraId="5FB2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B73BF">
            <w:pPr>
              <w:widowControl/>
              <w:spacing w:line="300" w:lineRule="exact"/>
              <w:jc w:val="center"/>
              <w:textAlignment w:val="center"/>
              <w:rPr>
                <w:rFonts w:eastAsia="宋体"/>
                <w:color w:val="auto"/>
                <w:kern w:val="0"/>
                <w:sz w:val="24"/>
              </w:rPr>
            </w:pPr>
            <w:r>
              <w:rPr>
                <w:rFonts w:eastAsia="宋体"/>
                <w:color w:val="auto"/>
                <w:kern w:val="0"/>
                <w:sz w:val="24"/>
              </w:rPr>
              <w:t>年度主要</w:t>
            </w:r>
          </w:p>
          <w:p w14:paraId="5696BF3C">
            <w:pPr>
              <w:widowControl/>
              <w:spacing w:line="300" w:lineRule="exact"/>
              <w:jc w:val="center"/>
              <w:textAlignment w:val="center"/>
              <w:rPr>
                <w:rFonts w:eastAsia="宋体"/>
                <w:color w:val="auto"/>
                <w:sz w:val="24"/>
              </w:rPr>
            </w:pPr>
            <w:r>
              <w:rPr>
                <w:rFonts w:eastAsia="宋体"/>
                <w:color w:val="auto"/>
                <w:kern w:val="0"/>
                <w:sz w:val="24"/>
              </w:rPr>
              <w:t>任务</w:t>
            </w: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AFB6F">
            <w:pPr>
              <w:widowControl/>
              <w:spacing w:line="300" w:lineRule="exact"/>
              <w:jc w:val="center"/>
              <w:textAlignment w:val="center"/>
              <w:rPr>
                <w:rFonts w:eastAsia="宋体"/>
                <w:color w:val="auto"/>
                <w:sz w:val="24"/>
              </w:rPr>
            </w:pPr>
            <w:r>
              <w:rPr>
                <w:rFonts w:eastAsia="宋体"/>
                <w:color w:val="auto"/>
                <w:kern w:val="0"/>
                <w:sz w:val="24"/>
              </w:rPr>
              <w:t>任务名称</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324ADB">
            <w:pPr>
              <w:widowControl/>
              <w:spacing w:line="300" w:lineRule="exact"/>
              <w:jc w:val="center"/>
              <w:textAlignment w:val="center"/>
              <w:rPr>
                <w:rFonts w:eastAsia="宋体"/>
                <w:color w:val="auto"/>
                <w:sz w:val="24"/>
              </w:rPr>
            </w:pPr>
            <w:r>
              <w:rPr>
                <w:rFonts w:eastAsia="宋体"/>
                <w:color w:val="auto"/>
                <w:kern w:val="0"/>
                <w:sz w:val="24"/>
              </w:rPr>
              <w:t>主要内容</w:t>
            </w:r>
          </w:p>
        </w:tc>
      </w:tr>
      <w:tr w14:paraId="1BE28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0A54">
            <w:pPr>
              <w:rPr>
                <w:color w:val="auto"/>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77A0E">
            <w:pPr>
              <w:widowControl/>
              <w:spacing w:line="300" w:lineRule="exact"/>
              <w:jc w:val="left"/>
              <w:textAlignment w:val="center"/>
              <w:rPr>
                <w:rFonts w:hint="default" w:eastAsia="宋体"/>
                <w:color w:val="auto"/>
                <w:sz w:val="24"/>
                <w:lang w:val="en-US" w:eastAsia="zh-CN"/>
              </w:rPr>
            </w:pPr>
            <w:r>
              <w:rPr>
                <w:rFonts w:hint="eastAsia" w:eastAsia="宋体"/>
                <w:color w:val="auto"/>
                <w:kern w:val="0"/>
                <w:sz w:val="24"/>
                <w:lang w:val="en-US" w:eastAsia="zh-CN"/>
              </w:rPr>
              <w:t>人员经费</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5F1493">
            <w:pPr>
              <w:widowControl/>
              <w:spacing w:line="300" w:lineRule="exact"/>
              <w:jc w:val="left"/>
              <w:textAlignment w:val="center"/>
              <w:rPr>
                <w:rFonts w:hint="default" w:eastAsia="宋体"/>
                <w:color w:val="auto"/>
                <w:kern w:val="0"/>
                <w:sz w:val="24"/>
                <w:lang w:val="en-US"/>
              </w:rPr>
            </w:pPr>
            <w:r>
              <w:rPr>
                <w:rFonts w:hint="eastAsia" w:eastAsia="宋体"/>
                <w:color w:val="auto"/>
                <w:kern w:val="0"/>
                <w:sz w:val="24"/>
                <w:lang w:val="en-US" w:eastAsia="zh-CN"/>
              </w:rPr>
              <w:t>财政供养人员，公务员 4</w:t>
            </w:r>
            <w:r>
              <w:rPr>
                <w:rFonts w:hint="default" w:eastAsia="宋体"/>
                <w:color w:val="auto"/>
                <w:kern w:val="0"/>
                <w:sz w:val="24"/>
                <w:lang w:val="en-US" w:eastAsia="zh-CN"/>
              </w:rPr>
              <w:t xml:space="preserve"> </w:t>
            </w:r>
            <w:r>
              <w:rPr>
                <w:rFonts w:hint="eastAsia" w:eastAsia="宋体"/>
                <w:color w:val="auto"/>
                <w:kern w:val="0"/>
                <w:sz w:val="24"/>
                <w:lang w:val="en-US" w:eastAsia="zh-CN"/>
              </w:rPr>
              <w:t>名，参照公务员管理人员6</w:t>
            </w:r>
            <w:r>
              <w:rPr>
                <w:rFonts w:hint="default" w:eastAsia="宋体"/>
                <w:color w:val="auto"/>
                <w:kern w:val="0"/>
                <w:sz w:val="24"/>
                <w:lang w:val="en-US" w:eastAsia="zh-CN"/>
              </w:rPr>
              <w:t xml:space="preserve">2 </w:t>
            </w:r>
            <w:r>
              <w:rPr>
                <w:rFonts w:hint="eastAsia" w:eastAsia="宋体"/>
                <w:color w:val="auto"/>
                <w:kern w:val="0"/>
                <w:sz w:val="24"/>
                <w:lang w:val="en-US" w:eastAsia="zh-CN"/>
              </w:rPr>
              <w:t>名，事业人员 5名，合计71人。人员支出和公用经费支出保障2025年12月底全部完成</w:t>
            </w:r>
          </w:p>
          <w:p w14:paraId="70419983">
            <w:pPr>
              <w:widowControl/>
              <w:spacing w:line="300" w:lineRule="exact"/>
              <w:jc w:val="left"/>
              <w:textAlignment w:val="center"/>
              <w:rPr>
                <w:rFonts w:eastAsia="宋体"/>
                <w:color w:val="auto"/>
                <w:sz w:val="24"/>
              </w:rPr>
            </w:pPr>
          </w:p>
        </w:tc>
      </w:tr>
      <w:tr w14:paraId="57F97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7602">
            <w:pPr>
              <w:rPr>
                <w:color w:val="auto"/>
              </w:rPr>
            </w:pPr>
          </w:p>
        </w:tc>
        <w:tc>
          <w:tcPr>
            <w:tcW w:w="26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F700B">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项目经费</w:t>
            </w:r>
          </w:p>
        </w:tc>
        <w:tc>
          <w:tcPr>
            <w:tcW w:w="66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79397">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项目数量：常年项目2个，特定目标类项目11个，2025年12底全面完成</w:t>
            </w:r>
          </w:p>
        </w:tc>
      </w:tr>
      <w:tr w14:paraId="36F0C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201B9">
            <w:pPr>
              <w:widowControl/>
              <w:spacing w:line="300" w:lineRule="exact"/>
              <w:jc w:val="center"/>
              <w:textAlignment w:val="center"/>
              <w:rPr>
                <w:rFonts w:eastAsia="宋体"/>
                <w:color w:val="auto"/>
                <w:kern w:val="0"/>
                <w:sz w:val="24"/>
              </w:rPr>
            </w:pPr>
            <w:r>
              <w:rPr>
                <w:rFonts w:eastAsia="宋体"/>
                <w:color w:val="auto"/>
                <w:kern w:val="0"/>
                <w:sz w:val="24"/>
              </w:rPr>
              <w:t>年度绩效</w:t>
            </w:r>
          </w:p>
          <w:p w14:paraId="7D087A87">
            <w:pPr>
              <w:widowControl/>
              <w:spacing w:line="300" w:lineRule="exact"/>
              <w:jc w:val="center"/>
              <w:textAlignment w:val="center"/>
              <w:rPr>
                <w:rFonts w:eastAsia="宋体"/>
                <w:color w:val="auto"/>
                <w:sz w:val="24"/>
              </w:rPr>
            </w:pPr>
            <w:r>
              <w:rPr>
                <w:rFonts w:eastAsia="宋体"/>
                <w:color w:val="auto"/>
                <w:kern w:val="0"/>
                <w:sz w:val="24"/>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3172">
            <w:pPr>
              <w:widowControl/>
              <w:spacing w:line="300" w:lineRule="exact"/>
              <w:jc w:val="center"/>
              <w:textAlignment w:val="center"/>
              <w:rPr>
                <w:rFonts w:eastAsia="宋体"/>
                <w:color w:val="auto"/>
                <w:sz w:val="24"/>
              </w:rPr>
            </w:pPr>
            <w:r>
              <w:rPr>
                <w:rFonts w:eastAsia="宋体"/>
                <w:color w:val="auto"/>
                <w:kern w:val="0"/>
                <w:sz w:val="24"/>
              </w:rPr>
              <w:t>一级指标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6CE10">
            <w:pPr>
              <w:widowControl/>
              <w:spacing w:line="300" w:lineRule="exact"/>
              <w:jc w:val="center"/>
              <w:textAlignment w:val="center"/>
              <w:rPr>
                <w:rFonts w:eastAsia="宋体"/>
                <w:color w:val="auto"/>
                <w:sz w:val="24"/>
              </w:rPr>
            </w:pPr>
            <w:r>
              <w:rPr>
                <w:rFonts w:eastAsia="宋体"/>
                <w:color w:val="auto"/>
                <w:kern w:val="0"/>
                <w:sz w:val="24"/>
              </w:rPr>
              <w:t>二级指标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C010">
            <w:pPr>
              <w:widowControl/>
              <w:spacing w:line="300" w:lineRule="exact"/>
              <w:jc w:val="center"/>
              <w:textAlignment w:val="center"/>
              <w:rPr>
                <w:rFonts w:eastAsia="宋体"/>
                <w:color w:val="auto"/>
                <w:sz w:val="24"/>
              </w:rPr>
            </w:pPr>
            <w:r>
              <w:rPr>
                <w:rFonts w:eastAsia="宋体"/>
                <w:color w:val="auto"/>
                <w:kern w:val="0"/>
                <w:sz w:val="24"/>
              </w:rPr>
              <w:t>三级指标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37DF0">
            <w:pPr>
              <w:widowControl/>
              <w:spacing w:line="300" w:lineRule="exact"/>
              <w:jc w:val="center"/>
              <w:textAlignment w:val="center"/>
              <w:rPr>
                <w:rFonts w:eastAsia="宋体"/>
                <w:color w:val="auto"/>
                <w:kern w:val="0"/>
                <w:sz w:val="24"/>
              </w:rPr>
            </w:pPr>
            <w:r>
              <w:rPr>
                <w:rFonts w:eastAsia="宋体"/>
                <w:color w:val="auto"/>
                <w:kern w:val="0"/>
                <w:sz w:val="24"/>
              </w:rPr>
              <w:t>绩效指标</w:t>
            </w:r>
          </w:p>
          <w:p w14:paraId="342299B1">
            <w:pPr>
              <w:widowControl/>
              <w:spacing w:line="300" w:lineRule="exact"/>
              <w:jc w:val="center"/>
              <w:textAlignment w:val="center"/>
              <w:rPr>
                <w:rFonts w:eastAsia="宋体"/>
                <w:color w:val="auto"/>
                <w:sz w:val="24"/>
              </w:rPr>
            </w:pPr>
            <w:r>
              <w:rPr>
                <w:rFonts w:eastAsia="宋体"/>
                <w:color w:val="auto"/>
                <w:kern w:val="0"/>
                <w:sz w:val="24"/>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720C">
            <w:pPr>
              <w:widowControl/>
              <w:spacing w:line="300" w:lineRule="exact"/>
              <w:jc w:val="center"/>
              <w:textAlignment w:val="center"/>
              <w:rPr>
                <w:rFonts w:eastAsia="宋体"/>
                <w:color w:val="auto"/>
                <w:sz w:val="24"/>
              </w:rPr>
            </w:pPr>
            <w:r>
              <w:rPr>
                <w:rFonts w:eastAsia="宋体"/>
                <w:color w:val="auto"/>
                <w:kern w:val="0"/>
                <w:sz w:val="24"/>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E8F10">
            <w:pPr>
              <w:widowControl/>
              <w:spacing w:line="300" w:lineRule="exact"/>
              <w:jc w:val="center"/>
              <w:textAlignment w:val="center"/>
              <w:rPr>
                <w:rFonts w:eastAsia="宋体"/>
                <w:color w:val="auto"/>
                <w:sz w:val="24"/>
              </w:rPr>
            </w:pPr>
            <w:r>
              <w:rPr>
                <w:rFonts w:eastAsia="宋体"/>
                <w:color w:val="auto"/>
                <w:kern w:val="0"/>
                <w:sz w:val="24"/>
              </w:rPr>
              <w:t>绩效度量单位</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AA90">
            <w:pPr>
              <w:widowControl/>
              <w:spacing w:line="300" w:lineRule="exact"/>
              <w:jc w:val="center"/>
              <w:textAlignment w:val="center"/>
              <w:rPr>
                <w:rFonts w:eastAsia="宋体"/>
                <w:color w:val="auto"/>
                <w:kern w:val="0"/>
                <w:sz w:val="24"/>
              </w:rPr>
            </w:pPr>
            <w:r>
              <w:rPr>
                <w:rFonts w:eastAsia="宋体"/>
                <w:color w:val="auto"/>
                <w:kern w:val="0"/>
                <w:sz w:val="24"/>
              </w:rPr>
              <w:t>实际完成</w:t>
            </w:r>
          </w:p>
          <w:p w14:paraId="09398280">
            <w:pPr>
              <w:widowControl/>
              <w:spacing w:line="300" w:lineRule="exact"/>
              <w:jc w:val="center"/>
              <w:textAlignment w:val="center"/>
              <w:rPr>
                <w:rFonts w:eastAsia="宋体"/>
                <w:color w:val="auto"/>
                <w:sz w:val="24"/>
              </w:rPr>
            </w:pPr>
            <w:r>
              <w:rPr>
                <w:rFonts w:eastAsia="宋体"/>
                <w:color w:val="auto"/>
                <w:kern w:val="0"/>
                <w:sz w:val="24"/>
              </w:rPr>
              <w:t>指标值</w:t>
            </w:r>
          </w:p>
        </w:tc>
      </w:tr>
      <w:tr w14:paraId="28FD4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2F188">
            <w:pPr>
              <w:rPr>
                <w:color w:val="auto"/>
              </w:rPr>
            </w:p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6AF05">
            <w:pPr>
              <w:widowControl/>
              <w:spacing w:line="300" w:lineRule="exact"/>
              <w:jc w:val="center"/>
              <w:textAlignment w:val="center"/>
              <w:rPr>
                <w:rFonts w:eastAsia="宋体"/>
                <w:color w:val="auto"/>
                <w:sz w:val="24"/>
              </w:rPr>
            </w:pPr>
            <w:r>
              <w:rPr>
                <w:rFonts w:eastAsia="宋体"/>
                <w:color w:val="auto"/>
                <w:kern w:val="0"/>
                <w:sz w:val="24"/>
              </w:rPr>
              <w:t>产出指标</w:t>
            </w:r>
          </w:p>
        </w:tc>
        <w:tc>
          <w:tcPr>
            <w:tcW w:w="12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AC73F">
            <w:pPr>
              <w:widowControl/>
              <w:spacing w:line="300" w:lineRule="exact"/>
              <w:jc w:val="center"/>
              <w:textAlignment w:val="center"/>
              <w:rPr>
                <w:rFonts w:eastAsia="宋体"/>
                <w:color w:val="auto"/>
                <w:sz w:val="24"/>
              </w:rPr>
            </w:pPr>
            <w:r>
              <w:rPr>
                <w:rFonts w:eastAsia="宋体"/>
                <w:color w:val="auto"/>
                <w:kern w:val="0"/>
                <w:sz w:val="24"/>
              </w:rPr>
              <w:t>数量指标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3C7B5">
            <w:pPr>
              <w:widowControl/>
              <w:spacing w:line="300" w:lineRule="exact"/>
              <w:jc w:val="left"/>
              <w:textAlignment w:val="center"/>
              <w:rPr>
                <w:rFonts w:hint="default" w:eastAsia="宋体"/>
                <w:color w:val="auto"/>
                <w:sz w:val="24"/>
                <w:lang w:val="en-US" w:eastAsia="zh-CN"/>
              </w:rPr>
            </w:pPr>
            <w:r>
              <w:rPr>
                <w:rFonts w:hint="eastAsia" w:eastAsia="宋体"/>
                <w:color w:val="auto"/>
                <w:kern w:val="0"/>
                <w:sz w:val="24"/>
                <w:lang w:val="en-US" w:eastAsia="zh-CN"/>
              </w:rPr>
              <w:t>人员经费、公用经费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D275">
            <w:pPr>
              <w:widowControl/>
              <w:spacing w:line="300" w:lineRule="exact"/>
              <w:jc w:val="left"/>
              <w:textAlignment w:val="center"/>
              <w:rPr>
                <w:rFonts w:hint="default" w:eastAsia="宋体"/>
                <w:color w:val="auto"/>
                <w:sz w:val="24"/>
                <w:lang w:val="en-US" w:eastAsia="zh-CN"/>
              </w:rPr>
            </w:pPr>
            <w:r>
              <w:rPr>
                <w:rFonts w:hint="eastAsia" w:eastAsia="宋体"/>
                <w:color w:val="auto"/>
                <w:sz w:val="24"/>
                <w:lang w:val="en-US" w:eastAsia="zh-CN"/>
              </w:rPr>
              <w:t>大于或等于</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3CC9">
            <w:pPr>
              <w:widowControl/>
              <w:spacing w:line="300" w:lineRule="exact"/>
              <w:jc w:val="left"/>
              <w:textAlignment w:val="center"/>
              <w:rPr>
                <w:rFonts w:hint="default" w:eastAsia="宋体"/>
                <w:color w:val="auto"/>
                <w:sz w:val="24"/>
                <w:lang w:val="en-US" w:eastAsia="zh-CN"/>
              </w:rPr>
            </w:pPr>
            <w:r>
              <w:rPr>
                <w:rFonts w:hint="eastAsia" w:eastAsia="宋体"/>
                <w:color w:val="auto"/>
                <w:kern w:val="0"/>
                <w:sz w:val="24"/>
                <w:lang w:val="en-US" w:eastAsia="zh-CN"/>
              </w:rPr>
              <w:t>1726.32</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857C">
            <w:pPr>
              <w:widowControl/>
              <w:spacing w:line="300" w:lineRule="exact"/>
              <w:jc w:val="left"/>
              <w:textAlignment w:val="center"/>
              <w:rPr>
                <w:rFonts w:hint="eastAsia" w:eastAsia="宋体"/>
                <w:color w:val="auto"/>
                <w:sz w:val="24"/>
                <w:lang w:eastAsia="zh-CN"/>
              </w:rPr>
            </w:pPr>
            <w:r>
              <w:rPr>
                <w:rFonts w:hint="eastAsia" w:eastAsia="宋体"/>
                <w:color w:val="auto"/>
                <w:kern w:val="0"/>
                <w:sz w:val="24"/>
                <w:lang w:val="en-US" w:eastAsia="zh-CN"/>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0F47">
            <w:pPr>
              <w:widowControl/>
              <w:spacing w:line="300" w:lineRule="exact"/>
              <w:jc w:val="left"/>
              <w:textAlignment w:val="center"/>
              <w:rPr>
                <w:rFonts w:hint="default" w:eastAsia="宋体"/>
                <w:color w:val="auto"/>
                <w:kern w:val="0"/>
                <w:sz w:val="24"/>
                <w:lang w:val="en-US" w:eastAsia="zh-CN"/>
              </w:rPr>
            </w:pPr>
            <w:r>
              <w:rPr>
                <w:rFonts w:hint="eastAsia" w:eastAsia="宋体"/>
                <w:color w:val="auto"/>
                <w:kern w:val="0"/>
                <w:sz w:val="24"/>
                <w:lang w:val="en-US" w:eastAsia="zh-CN"/>
              </w:rPr>
              <w:t>人员经费支出1623.19万元，公用经费103.12万元。共计1726.32万元。</w:t>
            </w:r>
          </w:p>
        </w:tc>
      </w:tr>
      <w:tr w14:paraId="5445A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3E08C">
            <w:pPr>
              <w:rPr>
                <w:color w:val="auto"/>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7E48A">
            <w:pPr>
              <w:rPr>
                <w:color w:val="auto"/>
              </w:rPr>
            </w:pPr>
          </w:p>
        </w:tc>
        <w:tc>
          <w:tcPr>
            <w:tcW w:w="12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7E021">
            <w:pPr>
              <w:rPr>
                <w:color w:val="auto"/>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7600">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项目经费</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B4E4">
            <w:pPr>
              <w:widowControl/>
              <w:spacing w:line="300" w:lineRule="exact"/>
              <w:jc w:val="left"/>
              <w:rPr>
                <w:rFonts w:eastAsia="宋体"/>
                <w:color w:val="auto"/>
                <w:sz w:val="24"/>
              </w:rPr>
            </w:pPr>
            <w:r>
              <w:rPr>
                <w:rFonts w:hint="eastAsia" w:eastAsia="宋体"/>
                <w:color w:val="auto"/>
                <w:sz w:val="24"/>
                <w:lang w:val="en-US" w:eastAsia="zh-CN"/>
              </w:rPr>
              <w:t>大于或等于</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65A3D">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10101.00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3F51">
            <w:pPr>
              <w:widowControl/>
              <w:spacing w:line="300" w:lineRule="exact"/>
              <w:jc w:val="left"/>
              <w:rPr>
                <w:rFonts w:hint="eastAsia" w:eastAsia="宋体"/>
                <w:color w:val="auto"/>
                <w:sz w:val="24"/>
                <w:lang w:val="en-US" w:eastAsia="zh-CN"/>
              </w:rPr>
            </w:pPr>
            <w:r>
              <w:rPr>
                <w:rFonts w:hint="eastAsia" w:eastAsia="宋体"/>
                <w:color w:val="auto"/>
                <w:sz w:val="24"/>
                <w:lang w:val="en-US" w:eastAsia="zh-CN"/>
              </w:rPr>
              <w:t>万元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992A">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城市管理项目经费1766.84万元；2025年春节氛围营造项目40万元；新型城镇化债券项目资金75.34万元；创建全国文明城市专项补助资金8.82万元；仁和城区范围城市燃气管道老化更新改造项目1293万元；仁和区城区生活垃圾分类设施建设项目7.06万元；瓶改管、瓶改电激励奖补资金49.38万元；2023年城乡建设发展专项资金36.25万元；原水供水取水权交易16万元；城镇垃圾处置费代征手续费12.18万元；清偿拖欠企业账款化债专项债资金6796.13万元。</w:t>
            </w:r>
          </w:p>
        </w:tc>
      </w:tr>
      <w:tr w14:paraId="23392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72B6C">
            <w:pPr>
              <w:rPr>
                <w:color w:val="auto"/>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B8FE9">
            <w:pPr>
              <w:rPr>
                <w:color w:val="auto"/>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3941">
            <w:pPr>
              <w:widowControl/>
              <w:spacing w:line="300" w:lineRule="exact"/>
              <w:jc w:val="center"/>
              <w:textAlignment w:val="center"/>
              <w:rPr>
                <w:rFonts w:eastAsia="宋体"/>
                <w:color w:val="auto"/>
                <w:sz w:val="24"/>
              </w:rPr>
            </w:pPr>
            <w:r>
              <w:rPr>
                <w:rFonts w:eastAsia="宋体"/>
                <w:color w:val="auto"/>
                <w:kern w:val="0"/>
                <w:sz w:val="24"/>
              </w:rPr>
              <w:t>质量指标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3CD5">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项目完成率</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D9F5">
            <w:pPr>
              <w:widowControl/>
              <w:spacing w:line="300" w:lineRule="exact"/>
              <w:jc w:val="left"/>
              <w:rPr>
                <w:rFonts w:eastAsia="宋体"/>
                <w:color w:val="auto"/>
                <w:sz w:val="24"/>
              </w:rPr>
            </w:pPr>
            <w:r>
              <w:rPr>
                <w:rFonts w:hint="eastAsia" w:eastAsia="宋体"/>
                <w:color w:val="auto"/>
                <w:sz w:val="24"/>
                <w:lang w:val="en-US" w:eastAsia="zh-CN"/>
              </w:rPr>
              <w:t>大于或等于</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1CB2C">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FC9B">
            <w:pPr>
              <w:widowControl/>
              <w:spacing w:line="300" w:lineRule="exact"/>
              <w:jc w:val="left"/>
              <w:rPr>
                <w:rFonts w:hint="eastAsia" w:eastAsia="宋体"/>
                <w:color w:val="auto"/>
                <w:sz w:val="24"/>
                <w:lang w:val="en-US" w:eastAsia="zh-CN"/>
              </w:rPr>
            </w:pPr>
            <w:r>
              <w:rPr>
                <w:rFonts w:hint="eastAsia" w:eastAsia="宋体"/>
                <w:color w:val="auto"/>
                <w:sz w:val="24"/>
                <w:lang w:val="en-US" w:eastAsia="zh-CN"/>
              </w:rPr>
              <w:t>项</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7FD5">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实际完成率100%</w:t>
            </w:r>
          </w:p>
        </w:tc>
      </w:tr>
      <w:tr w14:paraId="77BF5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041F5">
            <w:pPr>
              <w:rPr>
                <w:color w:val="auto"/>
              </w:rPr>
            </w:p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C23CF">
            <w:pPr>
              <w:rPr>
                <w:color w:val="auto"/>
              </w:rPr>
            </w:pP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04C2">
            <w:pPr>
              <w:widowControl/>
              <w:spacing w:line="300" w:lineRule="exact"/>
              <w:jc w:val="center"/>
              <w:textAlignment w:val="center"/>
              <w:rPr>
                <w:rFonts w:eastAsia="宋体"/>
                <w:color w:val="auto"/>
                <w:sz w:val="24"/>
              </w:rPr>
            </w:pPr>
            <w:r>
              <w:rPr>
                <w:rFonts w:eastAsia="宋体"/>
                <w:color w:val="auto"/>
                <w:kern w:val="0"/>
                <w:sz w:val="24"/>
              </w:rPr>
              <w:t>时效指标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5447">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2025年12月底全面完成</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E4AD9">
            <w:pPr>
              <w:widowControl/>
              <w:spacing w:line="300" w:lineRule="exact"/>
              <w:jc w:val="left"/>
              <w:rPr>
                <w:rFonts w:eastAsia="宋体"/>
                <w:color w:val="auto"/>
                <w:sz w:val="24"/>
              </w:rPr>
            </w:pPr>
            <w:r>
              <w:rPr>
                <w:rFonts w:hint="eastAsia" w:eastAsia="宋体"/>
                <w:color w:val="auto"/>
                <w:sz w:val="24"/>
                <w:lang w:val="en-US" w:eastAsia="zh-CN"/>
              </w:rPr>
              <w:t>大于或等于</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BAE8F">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100</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5E48">
            <w:pPr>
              <w:widowControl/>
              <w:spacing w:line="300" w:lineRule="exact"/>
              <w:jc w:val="left"/>
              <w:rPr>
                <w:rFonts w:hint="eastAsia" w:eastAsia="宋体"/>
                <w:color w:val="auto"/>
                <w:sz w:val="24"/>
                <w:lang w:val="en-US" w:eastAsia="zh-CN"/>
              </w:rPr>
            </w:pPr>
            <w:r>
              <w:rPr>
                <w:rFonts w:hint="eastAsia" w:eastAsia="宋体"/>
                <w:color w:val="auto"/>
                <w:sz w:val="24"/>
                <w:lang w:val="en-US" w:eastAsia="zh-CN"/>
              </w:rPr>
              <w:t>项</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1FD82">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2025年12月底全面完成</w:t>
            </w:r>
          </w:p>
        </w:tc>
      </w:tr>
      <w:tr w14:paraId="6C86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46839">
            <w:pPr>
              <w:rPr>
                <w:color w:val="auto"/>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0EE9">
            <w:pPr>
              <w:widowControl/>
              <w:spacing w:line="300" w:lineRule="exact"/>
              <w:jc w:val="center"/>
              <w:textAlignment w:val="center"/>
              <w:rPr>
                <w:rFonts w:eastAsia="宋体"/>
                <w:color w:val="auto"/>
                <w:sz w:val="24"/>
              </w:rPr>
            </w:pPr>
            <w:r>
              <w:rPr>
                <w:rFonts w:eastAsia="宋体"/>
                <w:color w:val="auto"/>
                <w:kern w:val="0"/>
                <w:sz w:val="24"/>
              </w:rPr>
              <w:t>效益指标</w:t>
            </w:r>
          </w:p>
        </w:tc>
        <w:tc>
          <w:tcPr>
            <w:tcW w:w="1273" w:type="dxa"/>
            <w:tcBorders>
              <w:top w:val="single" w:color="000000" w:sz="4" w:space="0"/>
              <w:left w:val="single" w:color="000000" w:sz="4" w:space="0"/>
              <w:right w:val="single" w:color="000000" w:sz="4" w:space="0"/>
            </w:tcBorders>
            <w:shd w:val="clear" w:color="auto" w:fill="auto"/>
            <w:vAlign w:val="center"/>
          </w:tcPr>
          <w:p w14:paraId="19920544">
            <w:pPr>
              <w:widowControl/>
              <w:spacing w:line="300" w:lineRule="exact"/>
              <w:jc w:val="center"/>
              <w:textAlignment w:val="center"/>
              <w:rPr>
                <w:rFonts w:eastAsia="宋体"/>
                <w:color w:val="auto"/>
                <w:kern w:val="0"/>
                <w:sz w:val="24"/>
              </w:rPr>
            </w:pPr>
            <w:r>
              <w:rPr>
                <w:rFonts w:eastAsia="宋体"/>
                <w:color w:val="auto"/>
                <w:kern w:val="0"/>
                <w:sz w:val="24"/>
              </w:rPr>
              <w:t>社会效益</w:t>
            </w:r>
          </w:p>
          <w:p w14:paraId="4E6F6309">
            <w:pPr>
              <w:widowControl/>
              <w:spacing w:line="300" w:lineRule="exact"/>
              <w:jc w:val="center"/>
              <w:textAlignment w:val="center"/>
              <w:rPr>
                <w:rFonts w:eastAsia="宋体"/>
                <w:color w:val="auto"/>
                <w:sz w:val="24"/>
              </w:rPr>
            </w:pPr>
            <w:r>
              <w:rPr>
                <w:rFonts w:eastAsia="宋体"/>
                <w:color w:val="auto"/>
                <w:kern w:val="0"/>
                <w:sz w:val="24"/>
              </w:rPr>
              <w:t>指标</w:t>
            </w:r>
          </w:p>
        </w:tc>
        <w:tc>
          <w:tcPr>
            <w:tcW w:w="1100" w:type="dxa"/>
            <w:tcBorders>
              <w:top w:val="single" w:color="000000" w:sz="4" w:space="0"/>
              <w:left w:val="single" w:color="000000" w:sz="4" w:space="0"/>
              <w:right w:val="single" w:color="000000" w:sz="4" w:space="0"/>
            </w:tcBorders>
            <w:shd w:val="clear" w:color="auto" w:fill="auto"/>
            <w:vAlign w:val="center"/>
          </w:tcPr>
          <w:p w14:paraId="2731AD61">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城区环境卫生干净、整洁，市容秩序规范、有序，环卫设施完好，仁和城区垃圾无害化处理率达100%</w:t>
            </w:r>
          </w:p>
        </w:tc>
        <w:tc>
          <w:tcPr>
            <w:tcW w:w="1145" w:type="dxa"/>
            <w:tcBorders>
              <w:top w:val="single" w:color="000000" w:sz="4" w:space="0"/>
              <w:left w:val="single" w:color="000000" w:sz="4" w:space="0"/>
              <w:right w:val="single" w:color="000000" w:sz="4" w:space="0"/>
            </w:tcBorders>
            <w:shd w:val="clear" w:color="auto" w:fill="auto"/>
            <w:vAlign w:val="center"/>
          </w:tcPr>
          <w:p w14:paraId="3CE7D248">
            <w:pPr>
              <w:widowControl/>
              <w:spacing w:line="300" w:lineRule="exact"/>
              <w:jc w:val="left"/>
              <w:rPr>
                <w:rFonts w:eastAsia="宋体"/>
                <w:color w:val="auto"/>
                <w:sz w:val="24"/>
              </w:rPr>
            </w:pPr>
            <w:r>
              <w:rPr>
                <w:rFonts w:hint="eastAsia" w:eastAsia="宋体"/>
                <w:color w:val="auto"/>
                <w:sz w:val="24"/>
                <w:lang w:val="en-US" w:eastAsia="zh-CN"/>
              </w:rPr>
              <w:t>大于或等于</w:t>
            </w:r>
          </w:p>
        </w:tc>
        <w:tc>
          <w:tcPr>
            <w:tcW w:w="1289" w:type="dxa"/>
            <w:tcBorders>
              <w:top w:val="single" w:color="000000" w:sz="4" w:space="0"/>
              <w:left w:val="single" w:color="000000" w:sz="4" w:space="0"/>
              <w:right w:val="single" w:color="000000" w:sz="4" w:space="0"/>
            </w:tcBorders>
            <w:shd w:val="clear" w:color="auto" w:fill="auto"/>
            <w:vAlign w:val="center"/>
          </w:tcPr>
          <w:p w14:paraId="5FC14803">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100</w:t>
            </w:r>
          </w:p>
        </w:tc>
        <w:tc>
          <w:tcPr>
            <w:tcW w:w="1058" w:type="dxa"/>
            <w:tcBorders>
              <w:top w:val="single" w:color="000000" w:sz="4" w:space="0"/>
              <w:left w:val="single" w:color="000000" w:sz="4" w:space="0"/>
              <w:right w:val="single" w:color="000000" w:sz="4" w:space="0"/>
            </w:tcBorders>
            <w:shd w:val="clear" w:color="auto" w:fill="auto"/>
            <w:vAlign w:val="center"/>
          </w:tcPr>
          <w:p w14:paraId="1D237B94">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项</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63CE">
            <w:pPr>
              <w:widowControl/>
              <w:spacing w:line="300" w:lineRule="exact"/>
              <w:jc w:val="center"/>
              <w:rPr>
                <w:rFonts w:eastAsia="宋体"/>
                <w:color w:val="auto"/>
                <w:sz w:val="24"/>
              </w:rPr>
            </w:pPr>
            <w:r>
              <w:rPr>
                <w:rFonts w:hint="eastAsia" w:eastAsia="宋体"/>
                <w:color w:val="auto"/>
                <w:sz w:val="24"/>
                <w:lang w:val="en-US" w:eastAsia="zh-CN"/>
              </w:rPr>
              <w:t>城区环境卫生干净、整洁，市容秩序规范、有序，环卫设施完好，仁和城区垃圾无害化处理率达100%</w:t>
            </w:r>
          </w:p>
        </w:tc>
      </w:tr>
      <w:tr w14:paraId="50E31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4D81">
            <w:pPr>
              <w:rPr>
                <w:color w:val="auto"/>
              </w:rPr>
            </w:pP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21693">
            <w:pPr>
              <w:widowControl/>
              <w:spacing w:line="300" w:lineRule="exact"/>
              <w:jc w:val="center"/>
              <w:textAlignment w:val="center"/>
              <w:rPr>
                <w:rFonts w:eastAsia="宋体"/>
                <w:color w:val="auto"/>
                <w:sz w:val="24"/>
              </w:rPr>
            </w:pPr>
            <w:r>
              <w:rPr>
                <w:rFonts w:eastAsia="宋体"/>
                <w:color w:val="auto"/>
                <w:kern w:val="0"/>
                <w:sz w:val="24"/>
              </w:rPr>
              <w:t>满意度指标</w:t>
            </w:r>
          </w:p>
        </w:tc>
        <w:tc>
          <w:tcPr>
            <w:tcW w:w="12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26C97">
            <w:pPr>
              <w:widowControl/>
              <w:spacing w:line="300" w:lineRule="exact"/>
              <w:jc w:val="center"/>
              <w:textAlignment w:val="center"/>
              <w:rPr>
                <w:rFonts w:eastAsia="宋体"/>
                <w:color w:val="auto"/>
                <w:sz w:val="24"/>
              </w:rPr>
            </w:pPr>
            <w:r>
              <w:rPr>
                <w:rFonts w:eastAsia="宋体"/>
                <w:color w:val="auto"/>
                <w:kern w:val="0"/>
                <w:sz w:val="24"/>
              </w:rPr>
              <w:t>满意度指标</w:t>
            </w:r>
          </w:p>
        </w:tc>
        <w:tc>
          <w:tcPr>
            <w:tcW w:w="1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10BE">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市民满意度</w:t>
            </w:r>
          </w:p>
        </w:tc>
        <w:tc>
          <w:tcPr>
            <w:tcW w:w="1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80DF">
            <w:pPr>
              <w:widowControl/>
              <w:spacing w:line="300" w:lineRule="exact"/>
              <w:jc w:val="left"/>
              <w:rPr>
                <w:rFonts w:eastAsia="宋体"/>
                <w:color w:val="auto"/>
                <w:sz w:val="24"/>
              </w:rPr>
            </w:pPr>
            <w:r>
              <w:rPr>
                <w:rFonts w:hint="eastAsia" w:eastAsia="宋体"/>
                <w:color w:val="auto"/>
                <w:sz w:val="24"/>
                <w:lang w:val="en-US" w:eastAsia="zh-CN"/>
              </w:rPr>
              <w:t>大于或等于</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7145">
            <w:pPr>
              <w:widowControl/>
              <w:spacing w:line="300" w:lineRule="exact"/>
              <w:jc w:val="left"/>
              <w:rPr>
                <w:rFonts w:hint="default" w:eastAsia="宋体"/>
                <w:color w:val="auto"/>
                <w:sz w:val="24"/>
                <w:lang w:val="en-US" w:eastAsia="zh-CN"/>
              </w:rPr>
            </w:pPr>
            <w:r>
              <w:rPr>
                <w:rFonts w:hint="eastAsia" w:eastAsia="宋体"/>
                <w:color w:val="auto"/>
                <w:sz w:val="24"/>
                <w:lang w:val="en-US" w:eastAsia="zh-CN"/>
              </w:rPr>
              <w:t>85</w:t>
            </w:r>
          </w:p>
        </w:tc>
        <w:tc>
          <w:tcPr>
            <w:tcW w:w="1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74A7">
            <w:pPr>
              <w:widowControl/>
              <w:spacing w:line="300" w:lineRule="exact"/>
              <w:jc w:val="left"/>
              <w:rPr>
                <w:rFonts w:hint="eastAsia" w:eastAsia="宋体"/>
                <w:color w:val="auto"/>
                <w:sz w:val="24"/>
                <w:lang w:val="en-US" w:eastAsia="zh-CN"/>
              </w:rPr>
            </w:pPr>
            <w:r>
              <w:rPr>
                <w:rFonts w:hint="eastAsia" w:eastAsia="宋体"/>
                <w:color w:val="auto"/>
                <w:sz w:val="24"/>
                <w:lang w:val="en-US" w:eastAsia="zh-CN"/>
              </w:rPr>
              <w:t>人次</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CF17">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市民满意度达到85%</w:t>
            </w:r>
          </w:p>
        </w:tc>
      </w:tr>
    </w:tbl>
    <w:p w14:paraId="62EEB0A9">
      <w:pPr>
        <w:rPr>
          <w:color w:val="auto"/>
        </w:rPr>
      </w:pPr>
    </w:p>
    <w:p w14:paraId="57EA4F1C">
      <w:pPr>
        <w:widowControl/>
        <w:spacing w:line="578" w:lineRule="exact"/>
        <w:contextualSpacing/>
        <w:jc w:val="center"/>
        <w:rPr>
          <w:rFonts w:eastAsia="方正小标宋简体"/>
          <w:bCs/>
          <w:color w:val="auto"/>
          <w:sz w:val="44"/>
          <w:szCs w:val="44"/>
          <w:shd w:val="clear" w:color="auto" w:fill="FFFFFF"/>
        </w:rPr>
      </w:pPr>
    </w:p>
    <w:p w14:paraId="374AB9A2">
      <w:pPr>
        <w:pStyle w:val="2"/>
        <w:spacing w:before="93"/>
        <w:rPr>
          <w:rFonts w:hint="eastAsia" w:ascii="Times New Roman" w:eastAsia="黑体" w:cs="黑体"/>
          <w:color w:val="auto"/>
          <w:sz w:val="32"/>
          <w:szCs w:val="32"/>
          <w:shd w:val="clear" w:color="auto" w:fill="FFFFFF"/>
          <w:lang w:val="zh-CN"/>
        </w:rPr>
      </w:pPr>
    </w:p>
    <w:p w14:paraId="3BA517D2">
      <w:pPr>
        <w:pStyle w:val="2"/>
        <w:spacing w:before="93"/>
        <w:rPr>
          <w:rFonts w:hint="eastAsia" w:ascii="Times New Roman" w:eastAsia="黑体" w:cs="黑体"/>
          <w:color w:val="auto"/>
          <w:sz w:val="32"/>
          <w:szCs w:val="32"/>
          <w:shd w:val="clear" w:color="auto" w:fill="FFFFFF"/>
          <w:lang w:val="zh-CN"/>
        </w:rPr>
      </w:pPr>
    </w:p>
    <w:p w14:paraId="034DC3B3">
      <w:pPr>
        <w:pStyle w:val="2"/>
        <w:spacing w:before="93"/>
        <w:rPr>
          <w:rFonts w:hint="eastAsia" w:ascii="Times New Roman" w:eastAsia="黑体" w:cs="黑体"/>
          <w:color w:val="auto"/>
          <w:sz w:val="32"/>
          <w:szCs w:val="32"/>
          <w:shd w:val="clear" w:color="auto" w:fill="FFFFFF"/>
          <w:lang w:val="zh-CN"/>
        </w:rPr>
      </w:pPr>
    </w:p>
    <w:p w14:paraId="4414AAF4">
      <w:pPr>
        <w:pStyle w:val="2"/>
        <w:spacing w:before="93"/>
        <w:rPr>
          <w:rFonts w:hint="eastAsia" w:ascii="Times New Roman" w:eastAsia="黑体" w:cs="黑体"/>
          <w:color w:val="auto"/>
          <w:sz w:val="32"/>
          <w:szCs w:val="32"/>
          <w:shd w:val="clear" w:color="auto" w:fill="FFFFFF"/>
          <w:lang w:val="zh-CN"/>
        </w:rPr>
      </w:pPr>
    </w:p>
    <w:p w14:paraId="0D6287F3">
      <w:pPr>
        <w:pStyle w:val="2"/>
        <w:spacing w:before="93"/>
        <w:rPr>
          <w:rFonts w:hint="eastAsia" w:ascii="Times New Roman" w:eastAsia="黑体" w:cs="黑体"/>
          <w:color w:val="auto"/>
          <w:sz w:val="32"/>
          <w:szCs w:val="32"/>
          <w:shd w:val="clear" w:color="auto" w:fill="FFFFFF"/>
          <w:lang w:val="zh-CN"/>
        </w:rPr>
      </w:pPr>
    </w:p>
    <w:p w14:paraId="6C012B1F">
      <w:pPr>
        <w:pStyle w:val="2"/>
        <w:spacing w:before="93"/>
        <w:rPr>
          <w:rFonts w:ascii="Times New Roman" w:eastAsia="黑体" w:cs="黑体"/>
          <w:color w:val="auto"/>
          <w:sz w:val="32"/>
          <w:szCs w:val="32"/>
        </w:rPr>
      </w:pPr>
      <w:r>
        <w:rPr>
          <w:rFonts w:hint="eastAsia" w:ascii="Times New Roman" w:eastAsia="黑体" w:cs="黑体"/>
          <w:color w:val="auto"/>
          <w:sz w:val="32"/>
          <w:szCs w:val="32"/>
          <w:shd w:val="clear" w:color="auto" w:fill="FFFFFF"/>
          <w:lang w:val="zh-CN"/>
        </w:rPr>
        <w:t>附件</w:t>
      </w:r>
      <w:r>
        <w:rPr>
          <w:rFonts w:hint="eastAsia" w:ascii="Times New Roman" w:eastAsia="黑体" w:cs="黑体"/>
          <w:color w:val="auto"/>
          <w:sz w:val="32"/>
          <w:szCs w:val="32"/>
          <w:shd w:val="clear" w:color="auto" w:fill="FFFFFF"/>
        </w:rPr>
        <w:t>2</w:t>
      </w:r>
    </w:p>
    <w:p w14:paraId="56AEEB3A">
      <w:pPr>
        <w:pStyle w:val="35"/>
        <w:keepNext w:val="0"/>
        <w:keepLines w:val="0"/>
        <w:pageBreakBefore w:val="0"/>
        <w:kinsoku/>
        <w:wordWrap/>
        <w:overflowPunct/>
        <w:topLinePunct w:val="0"/>
        <w:autoSpaceDE/>
        <w:autoSpaceDN/>
        <w:bidi w:val="0"/>
        <w:spacing w:line="54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6AA46649">
      <w:pPr>
        <w:pStyle w:val="35"/>
        <w:keepNext w:val="0"/>
        <w:keepLines w:val="0"/>
        <w:pageBreakBefore w:val="0"/>
        <w:kinsoku/>
        <w:wordWrap/>
        <w:overflowPunct/>
        <w:topLinePunct w:val="0"/>
        <w:autoSpaceDE/>
        <w:autoSpaceDN/>
        <w:bidi w:val="0"/>
        <w:spacing w:line="54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03ECBFB1">
      <w:pPr>
        <w:pStyle w:val="35"/>
        <w:keepNext w:val="0"/>
        <w:keepLines w:val="0"/>
        <w:pageBreakBefore w:val="0"/>
        <w:kinsoku/>
        <w:wordWrap/>
        <w:overflowPunct/>
        <w:topLinePunct w:val="0"/>
        <w:autoSpaceDE/>
        <w:autoSpaceDN/>
        <w:bidi w:val="0"/>
        <w:spacing w:line="540" w:lineRule="exact"/>
        <w:ind w:firstLine="2240" w:firstLineChars="700"/>
        <w:jc w:val="both"/>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2025年城市管理项目经费</w:t>
      </w:r>
      <w:r>
        <w:rPr>
          <w:rFonts w:ascii="Times New Roman" w:hAnsi="Times New Roman" w:eastAsia="仿宋_GB2312"/>
          <w:color w:val="auto"/>
          <w:kern w:val="2"/>
          <w:sz w:val="32"/>
          <w:szCs w:val="32"/>
        </w:rPr>
        <w:t>）</w:t>
      </w:r>
    </w:p>
    <w:p w14:paraId="1EE072D6">
      <w:pPr>
        <w:pStyle w:val="35"/>
        <w:keepNext w:val="0"/>
        <w:keepLines w:val="0"/>
        <w:pageBreakBefore w:val="0"/>
        <w:kinsoku/>
        <w:wordWrap/>
        <w:overflowPunct/>
        <w:topLinePunct w:val="0"/>
        <w:autoSpaceDE/>
        <w:autoSpaceDN/>
        <w:bidi w:val="0"/>
        <w:spacing w:line="540" w:lineRule="exact"/>
        <w:ind w:firstLine="640"/>
        <w:jc w:val="center"/>
        <w:textAlignment w:val="auto"/>
        <w:rPr>
          <w:rFonts w:ascii="Times New Roman" w:hAnsi="Times New Roman"/>
          <w:color w:val="auto"/>
          <w:kern w:val="2"/>
          <w:sz w:val="32"/>
          <w:szCs w:val="32"/>
        </w:rPr>
      </w:pPr>
    </w:p>
    <w:p w14:paraId="5B7095D4">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561AAEBB">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（一）项目基本情况。</w:t>
      </w:r>
    </w:p>
    <w:p w14:paraId="7FED4302">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2025年城市管理项目经费</w:t>
      </w:r>
      <w:r>
        <w:rPr>
          <w:rFonts w:hint="eastAsia" w:cs="Times New Roman"/>
          <w:color w:val="auto"/>
          <w:kern w:val="2"/>
          <w:sz w:val="32"/>
          <w:szCs w:val="32"/>
          <w:lang w:val="en-US" w:eastAsia="zh-CN" w:bidi="ar-SA"/>
        </w:rPr>
        <w:t>主要用于全年</w:t>
      </w:r>
      <w:r>
        <w:rPr>
          <w:rFonts w:hint="eastAsia" w:ascii="Times New Roman" w:hAnsi="Times New Roman" w:eastAsia="仿宋_GB2312" w:cs="Times New Roman"/>
          <w:color w:val="auto"/>
          <w:kern w:val="2"/>
          <w:sz w:val="32"/>
          <w:szCs w:val="32"/>
          <w:lang w:val="zh-CN" w:eastAsia="zh-CN" w:bidi="ar-SA"/>
        </w:rPr>
        <w:t>环卫、绿化、市政一体化城市综合服务特许经营权出让项目费用，智慧化城管喊话系统平台维护费，城市啄木鸟补助费，特种车辆运行经费，违建项目拆除及测绘费、评估费等城市管理项目经费。</w:t>
      </w:r>
      <w:r>
        <w:rPr>
          <w:rFonts w:hint="eastAsia" w:ascii="Times New Roman" w:hAnsi="Times New Roman" w:eastAsia="仿宋_GB2312" w:cs="Times New Roman"/>
          <w:color w:val="auto"/>
          <w:kern w:val="2"/>
          <w:sz w:val="32"/>
          <w:szCs w:val="32"/>
          <w:lang w:val="en-US" w:eastAsia="zh-CN" w:bidi="ar-SA"/>
        </w:rPr>
        <w:t>保障持续优化城市人居环境，完善城市精细化管理体系，有效解决市容秩序混乱、环境卫生薄弱、市政设施破损、园林绿化管护不到位等城市治理突出问题，保障城市道路、环卫、绿化、市容执法等各项城市管理工作常态化、规范化开展，</w:t>
      </w:r>
      <w:r>
        <w:rPr>
          <w:rFonts w:hint="eastAsia" w:ascii="Times New Roman" w:hAnsi="Times New Roman" w:eastAsia="仿宋_GB2312" w:cs="Times New Roman"/>
          <w:color w:val="auto"/>
          <w:kern w:val="2"/>
          <w:sz w:val="32"/>
          <w:szCs w:val="32"/>
          <w:lang w:val="zh-CN" w:eastAsia="zh-CN" w:bidi="ar-SA"/>
        </w:rPr>
        <w:t>改善城区居民居住环境，提升城市品质。</w:t>
      </w:r>
    </w:p>
    <w:p w14:paraId="6350D89F">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eastAsia="zh-CN"/>
        </w:rPr>
      </w:pPr>
      <w:r>
        <w:rPr>
          <w:rFonts w:eastAsia="楷体_GB2312"/>
          <w:b/>
          <w:color w:val="auto"/>
          <w:sz w:val="32"/>
          <w:szCs w:val="32"/>
          <w:lang w:val="zh-CN" w:eastAsia="zh-CN"/>
        </w:rPr>
        <w:t>（二）项目绩效目标。</w:t>
      </w:r>
    </w:p>
    <w:p w14:paraId="71E1B05A">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以保障城市管理高质量发展为主线，坚持“统筹兼顾、保障重点、注重绩效、厉行节约”的原则，科学合理安排年度资金预算。通过优化财政资源配置，强化预算执行和绩效管理，全面提升城市管理领域的公共服务能力和综合执法效能。保障市容环境整治、市政设施维护、园林绿化管养、垃圾收运处置等，确保城市运行安全有序、环境品质持续提升，整合执法力量，规范执法行为，提高执法水平；以城市精细化管理为突破口，加强精细化、精准化管护，提升城市品质，切实解决人民群众“热”“难”点问题，满足人民日益增长的城市管理期待，提升居民居住幸福感、获得感。</w:t>
      </w:r>
    </w:p>
    <w:p w14:paraId="66938AE8">
      <w:pPr>
        <w:keepNext w:val="0"/>
        <w:keepLines w:val="0"/>
        <w:pageBreakBefore w:val="0"/>
        <w:kinsoku/>
        <w:wordWrap/>
        <w:overflowPunct/>
        <w:topLinePunct w:val="0"/>
        <w:autoSpaceDE/>
        <w:autoSpaceDN/>
        <w:bidi w:val="0"/>
        <w:adjustRightInd w:val="0"/>
        <w:snapToGrid w:val="0"/>
        <w:spacing w:line="540" w:lineRule="exact"/>
        <w:ind w:firstLine="643" w:firstLineChars="200"/>
        <w:jc w:val="left"/>
        <w:textAlignment w:val="auto"/>
        <w:rPr>
          <w:rFonts w:eastAsia="楷体_GB2312"/>
          <w:b/>
          <w:color w:val="auto"/>
          <w:sz w:val="32"/>
          <w:szCs w:val="32"/>
          <w:lang w:val="zh-CN"/>
        </w:rPr>
      </w:pPr>
      <w:r>
        <w:rPr>
          <w:rFonts w:hint="eastAsia" w:ascii="Times New Roman" w:hAnsi="Times New Roman" w:eastAsia="楷体_GB2312" w:cs="Times New Roman"/>
          <w:b/>
          <w:color w:val="auto"/>
          <w:sz w:val="32"/>
          <w:szCs w:val="32"/>
          <w:lang w:val="zh-CN" w:eastAsia="zh-CN"/>
        </w:rPr>
        <w:t>（</w:t>
      </w:r>
      <w:r>
        <w:rPr>
          <w:rFonts w:ascii="Times New Roman" w:hAnsi="Times New Roman" w:eastAsia="楷体_GB2312" w:cs="Times New Roman"/>
          <w:b/>
          <w:color w:val="auto"/>
          <w:sz w:val="32"/>
          <w:szCs w:val="32"/>
          <w:lang w:val="zh-CN"/>
        </w:rPr>
        <w:t>三</w:t>
      </w:r>
      <w:r>
        <w:rPr>
          <w:rFonts w:eastAsia="楷体_GB2312"/>
          <w:b/>
          <w:color w:val="auto"/>
          <w:sz w:val="32"/>
          <w:szCs w:val="32"/>
          <w:lang w:val="zh-CN"/>
        </w:rPr>
        <w:t>）项目自评步骤及方法。</w:t>
      </w:r>
    </w:p>
    <w:p w14:paraId="04C998BD">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2025年城市管理项目经费采用科室自评办法。</w:t>
      </w:r>
    </w:p>
    <w:p w14:paraId="2C2A2595">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黑体"/>
          <w:color w:val="auto"/>
          <w:sz w:val="32"/>
          <w:szCs w:val="32"/>
        </w:rPr>
      </w:pPr>
      <w:r>
        <w:rPr>
          <w:rFonts w:eastAsia="黑体"/>
          <w:color w:val="auto"/>
          <w:sz w:val="32"/>
          <w:szCs w:val="32"/>
        </w:rPr>
        <w:t>二、项目资金申报及使用情况</w:t>
      </w:r>
    </w:p>
    <w:p w14:paraId="5CA9D040">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eastAsia="zh-CN"/>
        </w:rPr>
      </w:pPr>
      <w:r>
        <w:rPr>
          <w:rFonts w:eastAsia="楷体_GB2312"/>
          <w:b/>
          <w:color w:val="auto"/>
          <w:sz w:val="32"/>
          <w:szCs w:val="32"/>
          <w:lang w:val="zh-CN" w:eastAsia="zh-CN"/>
        </w:rPr>
        <w:t>（一）项目资金申报及批复情况。</w:t>
      </w:r>
    </w:p>
    <w:p w14:paraId="201FE01A">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w:t>
      </w:r>
      <w:r>
        <w:rPr>
          <w:rFonts w:hint="eastAsia" w:ascii="Times New Roman" w:hAnsi="Times New Roman" w:eastAsia="仿宋_GB2312" w:cs="Times New Roman"/>
          <w:color w:val="auto"/>
          <w:kern w:val="2"/>
          <w:sz w:val="32"/>
          <w:szCs w:val="32"/>
          <w:lang w:val="en-US" w:eastAsia="zh-CN" w:bidi="ar-SA"/>
        </w:rPr>
        <w:t>年初预算</w:t>
      </w:r>
      <w:r>
        <w:rPr>
          <w:rFonts w:hint="eastAsia" w:ascii="Times New Roman" w:hAnsi="Times New Roman" w:eastAsia="仿宋_GB2312" w:cs="Times New Roman"/>
          <w:color w:val="auto"/>
          <w:kern w:val="2"/>
          <w:sz w:val="32"/>
          <w:szCs w:val="32"/>
          <w:lang w:val="zh-CN" w:eastAsia="zh-CN" w:bidi="ar-SA"/>
        </w:rPr>
        <w:t>下达，单位直接支付。</w:t>
      </w:r>
    </w:p>
    <w:p w14:paraId="667074EA">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w:t>
      </w:r>
      <w:r>
        <w:rPr>
          <w:rFonts w:eastAsia="楷体_GB2312"/>
          <w:b/>
          <w:color w:val="auto"/>
          <w:sz w:val="32"/>
          <w:szCs w:val="32"/>
          <w:lang w:val="zh-CN" w:eastAsia="zh-CN"/>
        </w:rPr>
        <w:t>资金计划、到位及使用情况。</w:t>
      </w:r>
    </w:p>
    <w:p w14:paraId="5E4A9AEF">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1766.84</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673C1AC8">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1766.84</w:t>
      </w:r>
      <w:r>
        <w:rPr>
          <w:rFonts w:hint="eastAsia" w:ascii="Times New Roman" w:hAnsi="Times New Roman" w:eastAsia="仿宋_GB2312" w:cs="Times New Roman"/>
          <w:color w:val="auto"/>
          <w:kern w:val="2"/>
          <w:sz w:val="32"/>
          <w:szCs w:val="32"/>
          <w:lang w:val="zh-CN" w:eastAsia="zh-CN" w:bidi="ar-SA"/>
        </w:rPr>
        <w:t>万元，到位率100%。</w:t>
      </w:r>
    </w:p>
    <w:p w14:paraId="1FF4827B">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1766.84</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42EA12CB">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3E369D3B">
      <w:pPr>
        <w:keepNext w:val="0"/>
        <w:keepLines w:val="0"/>
        <w:pageBreakBefore w:val="0"/>
        <w:kinsoku/>
        <w:wordWrap/>
        <w:overflowPunct/>
        <w:topLinePunct w:val="0"/>
        <w:autoSpaceDE/>
        <w:autoSpaceDN/>
        <w:bidi w:val="0"/>
        <w:adjustRightInd w:val="0"/>
        <w:snapToGrid w:val="0"/>
        <w:spacing w:line="54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项目资金严格执行财政资金管理规定，全部专项用于城市管理服务保障相关工作，支出真实合规、审批流程完整，账务核算清晰规范，做到专款专用，有效保障项目顺利实施。</w:t>
      </w:r>
    </w:p>
    <w:p w14:paraId="707C6FE9">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黑体"/>
          <w:color w:val="auto"/>
          <w:sz w:val="32"/>
          <w:szCs w:val="32"/>
        </w:rPr>
      </w:pPr>
      <w:r>
        <w:rPr>
          <w:rFonts w:eastAsia="黑体"/>
          <w:color w:val="auto"/>
          <w:sz w:val="32"/>
          <w:szCs w:val="32"/>
        </w:rPr>
        <w:t>三、项目实施及管理情况</w:t>
      </w:r>
    </w:p>
    <w:p w14:paraId="65442459">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4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该项目由我单位业务股室申报，经单位领导集体研究后，形成项目资金申请报告报区政府同意后，报财政部门审核，财政部门下达经费，并由我单位组织实施。</w:t>
      </w:r>
    </w:p>
    <w:p w14:paraId="0725E628">
      <w:pPr>
        <w:keepNext w:val="0"/>
        <w:keepLines w:val="0"/>
        <w:pageBreakBefore w:val="0"/>
        <w:kinsoku/>
        <w:wordWrap/>
        <w:overflowPunct/>
        <w:topLinePunct w:val="0"/>
        <w:autoSpaceDE/>
        <w:autoSpaceDN/>
        <w:bidi w:val="0"/>
        <w:adjustRightInd w:val="0"/>
        <w:snapToGrid w:val="0"/>
        <w:spacing w:line="540" w:lineRule="exact"/>
        <w:ind w:firstLine="720"/>
        <w:textAlignment w:val="auto"/>
        <w:rPr>
          <w:color w:val="auto"/>
          <w:sz w:val="32"/>
          <w:szCs w:val="32"/>
          <w:lang w:val="zh-CN"/>
        </w:rPr>
      </w:pPr>
      <w:r>
        <w:rPr>
          <w:rFonts w:eastAsia="黑体"/>
          <w:color w:val="auto"/>
          <w:sz w:val="32"/>
          <w:szCs w:val="32"/>
        </w:rPr>
        <w:t>四、项目绩效情况</w:t>
      </w:r>
      <w:r>
        <w:rPr>
          <w:color w:val="auto"/>
          <w:sz w:val="32"/>
          <w:szCs w:val="32"/>
          <w:lang w:val="zh-CN"/>
        </w:rPr>
        <w:tab/>
      </w:r>
    </w:p>
    <w:p w14:paraId="4272D497">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（一）项目完成情况。</w:t>
      </w:r>
    </w:p>
    <w:p w14:paraId="2259F457">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我单位严格按照年度工作计划及项目实施方案推进各项城市管理工作，建立常态化巡查、常态化整治、常态化管护工作机制，细化责任、明确标准、规范作业流程，全有序落实了年度城市管理各项工作任务，常态化开展辖区环境卫生保洁、市容秩序管控、市政设施维护及园林绿化管护工作，圆满完成年度既定各项工作任务，整体工作覆盖面完整、常态化工作落实到位，本年度严格按照城市管理行业规范及工作标准开展各项作业，环境卫生保洁质量、市容问题治理质量、市政设施养护质量、园林绿化管护质量均达到年度工作要求，日常工作标准化、规范化水平稳步提升，问题整改闭环落实到位。</w:t>
      </w:r>
    </w:p>
    <w:p w14:paraId="7A34320F">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（二）项目效益情况。</w:t>
      </w:r>
    </w:p>
    <w:p w14:paraId="4BCBD014">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常态化环境卫生保洁、市容乱象综合治理、市政绿化精细化管护，城区整体环境卫生面貌持续改善，市容环境整洁有序，公共设施运行状态良好，城市绿化景观持续提质，人居环境品质稳步提升；持续规范城市日常运行管理秩序，有效化解城市管理各类常见问题，保障群众正常生产生活秩序，持续巩固文明城市创建结果，提升城市整体治理水平和城市整体形象，为辖区社会经济发展提供良好的环境支撑，通过常态化、制度化开展城市管理各项工作，进一步健全完善城市精细化、常态化管理工作机制，夯实基层城市治理基础，推动城市管理工作长效化、规范化发展，为持续提升城市治理质效提供稳定支撑。</w:t>
      </w:r>
    </w:p>
    <w:p w14:paraId="77FDB635">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黑体"/>
          <w:color w:val="auto"/>
          <w:sz w:val="32"/>
          <w:szCs w:val="32"/>
        </w:rPr>
      </w:pPr>
      <w:r>
        <w:rPr>
          <w:rFonts w:eastAsia="黑体"/>
          <w:color w:val="auto"/>
          <w:sz w:val="32"/>
          <w:szCs w:val="32"/>
        </w:rPr>
        <w:t>五、评价结论及建议</w:t>
      </w:r>
    </w:p>
    <w:p w14:paraId="7014D63C">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（一）评价结论。</w:t>
      </w:r>
    </w:p>
    <w:p w14:paraId="7FEF6789">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全面完成了既定工作任务及绩效目标，项目实施全过程严格遵循财政预算管理及专项资金使用规定，经费支出真实合规、审批流程完整，未发生资金挤占、挪用、浪费等违规问题，项目的实施全面保障了辖区环境卫生常态化保洁、市容秩序常态化管控、市政设施常态化运维、园林绿化常态化管护及各类城市管理应急保障、专项整治工作有序开展，城市环境综合面貌持续向好，城市治理规范化、精细化水平稳步提升，有效保障了城市正常运行和群众宜居需求，社会效益、环境效益显著。</w:t>
      </w:r>
    </w:p>
    <w:p w14:paraId="39201DA6">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（二）存在的问题。</w:t>
      </w:r>
    </w:p>
    <w:p w14:paraId="525D3161">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由于服务外包公司承包费、生活垃圾和餐厨垃圾处置费、</w:t>
      </w:r>
      <w:r>
        <w:rPr>
          <w:rFonts w:hint="eastAsia" w:ascii="Times New Roman" w:hAnsi="Times New Roman" w:eastAsia="仿宋_GB2312" w:cs="Times New Roman"/>
          <w:color w:val="auto"/>
          <w:kern w:val="2"/>
          <w:sz w:val="32"/>
          <w:szCs w:val="32"/>
          <w:lang w:val="en-US" w:eastAsia="zh-CN" w:bidi="ar-SA"/>
        </w:rPr>
        <w:t>城市市政基础设施维修、维护费</w:t>
      </w:r>
      <w:r>
        <w:rPr>
          <w:rFonts w:hint="eastAsia" w:ascii="Times New Roman" w:hAnsi="Times New Roman" w:eastAsia="仿宋_GB2312" w:cs="Times New Roman"/>
          <w:color w:val="auto"/>
          <w:kern w:val="2"/>
          <w:sz w:val="32"/>
          <w:szCs w:val="32"/>
          <w:lang w:val="zh-CN" w:eastAsia="zh-CN" w:bidi="ar-SA"/>
        </w:rPr>
        <w:t>等专项经费支付进度滞后，造成工作推进难度大，工程进展缓慢。</w:t>
      </w:r>
      <w:r>
        <w:rPr>
          <w:rFonts w:hint="eastAsia" w:ascii="Times New Roman" w:hAnsi="Times New Roman" w:eastAsia="仿宋_GB2312" w:cs="Times New Roman"/>
          <w:color w:val="auto"/>
          <w:kern w:val="2"/>
          <w:sz w:val="32"/>
          <w:szCs w:val="32"/>
          <w:lang w:val="en-US" w:eastAsia="zh-CN" w:bidi="ar-SA"/>
        </w:rPr>
        <w:t xml:space="preserve">       </w:t>
      </w:r>
    </w:p>
    <w:p w14:paraId="435F479D">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eastAsia="楷体_GB2312"/>
          <w:b/>
          <w:color w:val="auto"/>
          <w:sz w:val="32"/>
          <w:szCs w:val="32"/>
          <w:lang w:val="zh-CN"/>
        </w:rPr>
      </w:pPr>
      <w:r>
        <w:rPr>
          <w:rFonts w:eastAsia="楷体_GB2312"/>
          <w:b/>
          <w:color w:val="auto"/>
          <w:sz w:val="32"/>
          <w:szCs w:val="32"/>
          <w:lang w:val="zh-CN"/>
        </w:rPr>
        <w:t>（三）相关建议。</w:t>
      </w:r>
    </w:p>
    <w:p w14:paraId="423787D6">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建议加大对城市管理经费的投入，加快资金支付进度。</w:t>
      </w:r>
    </w:p>
    <w:p w14:paraId="36512AD6">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p>
    <w:p w14:paraId="5D52B0A5">
      <w:pPr>
        <w:pStyle w:val="2"/>
        <w:keepNext w:val="0"/>
        <w:keepLines w:val="0"/>
        <w:pageBreakBefore w:val="0"/>
        <w:kinsoku/>
        <w:wordWrap/>
        <w:overflowPunct/>
        <w:topLinePunct w:val="0"/>
        <w:autoSpaceDE/>
        <w:autoSpaceDN/>
        <w:bidi w:val="0"/>
        <w:spacing w:line="540" w:lineRule="exact"/>
        <w:textAlignment w:val="auto"/>
        <w:rPr>
          <w:rFonts w:hint="eastAsia" w:eastAsia="仿宋_GB2312"/>
          <w:color w:val="auto"/>
          <w:lang w:eastAsia="zh-CN"/>
        </w:rPr>
      </w:pPr>
    </w:p>
    <w:p w14:paraId="592653BF">
      <w:pPr>
        <w:pStyle w:val="2"/>
        <w:keepNext w:val="0"/>
        <w:keepLines w:val="0"/>
        <w:pageBreakBefore w:val="0"/>
        <w:kinsoku/>
        <w:wordWrap/>
        <w:overflowPunct/>
        <w:topLinePunct w:val="0"/>
        <w:autoSpaceDE/>
        <w:autoSpaceDN/>
        <w:bidi w:val="0"/>
        <w:spacing w:line="540" w:lineRule="exact"/>
        <w:textAlignment w:val="auto"/>
        <w:rPr>
          <w:rFonts w:hint="eastAsia" w:eastAsia="仿宋_GB2312"/>
          <w:color w:val="auto"/>
          <w:lang w:eastAsia="zh-CN"/>
        </w:rPr>
      </w:pPr>
    </w:p>
    <w:p w14:paraId="05CF0AC5">
      <w:pPr>
        <w:keepNext w:val="0"/>
        <w:keepLines w:val="0"/>
        <w:pageBreakBefore w:val="0"/>
        <w:kinsoku/>
        <w:wordWrap/>
        <w:overflowPunct/>
        <w:topLinePunct w:val="0"/>
        <w:autoSpaceDE/>
        <w:autoSpaceDN/>
        <w:bidi w:val="0"/>
        <w:spacing w:line="540" w:lineRule="exact"/>
        <w:ind w:firstLine="3520" w:firstLineChars="1100"/>
        <w:jc w:val="left"/>
        <w:textAlignment w:val="auto"/>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0482CF72">
      <w:pPr>
        <w:pStyle w:val="2"/>
        <w:keepNext w:val="0"/>
        <w:keepLines w:val="0"/>
        <w:pageBreakBefore w:val="0"/>
        <w:kinsoku/>
        <w:wordWrap/>
        <w:overflowPunct/>
        <w:topLinePunct w:val="0"/>
        <w:autoSpaceDE/>
        <w:autoSpaceDN/>
        <w:bidi w:val="0"/>
        <w:spacing w:line="540" w:lineRule="exact"/>
        <w:ind w:firstLine="4480" w:firstLineChars="1400"/>
        <w:textAlignment w:val="auto"/>
        <w:rPr>
          <w:rFonts w:hint="eastAsia" w:eastAsia="仿宋_GB2312"/>
          <w:color w:val="auto"/>
          <w:lang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3FE2506D">
      <w:pPr>
        <w:pStyle w:val="35"/>
        <w:keepNext w:val="0"/>
        <w:keepLines w:val="0"/>
        <w:pageBreakBefore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p>
    <w:p w14:paraId="2B69219D">
      <w:pPr>
        <w:pStyle w:val="35"/>
        <w:keepNext w:val="0"/>
        <w:keepLines w:val="0"/>
        <w:pageBreakBefore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p>
    <w:p w14:paraId="2C364073">
      <w:pPr>
        <w:pStyle w:val="35"/>
        <w:keepNext w:val="0"/>
        <w:keepLines w:val="0"/>
        <w:pageBreakBefore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p>
    <w:p w14:paraId="3A8D04C6">
      <w:pPr>
        <w:pStyle w:val="35"/>
        <w:keepNext w:val="0"/>
        <w:keepLines w:val="0"/>
        <w:pageBreakBefore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p>
    <w:p w14:paraId="1E4219CE">
      <w:pPr>
        <w:pStyle w:val="35"/>
        <w:keepNext w:val="0"/>
        <w:keepLines w:val="0"/>
        <w:pageBreakBefore w:val="0"/>
        <w:kinsoku/>
        <w:wordWrap/>
        <w:overflowPunct/>
        <w:topLinePunct w:val="0"/>
        <w:autoSpaceDE/>
        <w:autoSpaceDN/>
        <w:bidi w:val="0"/>
        <w:spacing w:line="560" w:lineRule="exact"/>
        <w:jc w:val="both"/>
        <w:rPr>
          <w:rFonts w:hint="eastAsia" w:ascii="宋体" w:hAnsi="宋体" w:cs="宋体"/>
          <w:color w:val="auto"/>
          <w:kern w:val="2"/>
          <w:sz w:val="40"/>
          <w:szCs w:val="40"/>
          <w:lang w:val="en-US" w:eastAsia="zh-CN"/>
        </w:rPr>
      </w:pPr>
    </w:p>
    <w:p w14:paraId="2B106AD5">
      <w:pPr>
        <w:pStyle w:val="35"/>
        <w:keepNext w:val="0"/>
        <w:keepLines w:val="0"/>
        <w:pageBreakBefore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53D70DAC">
      <w:pPr>
        <w:pStyle w:val="35"/>
        <w:keepNext w:val="0"/>
        <w:keepLines w:val="0"/>
        <w:pageBreakBefore w:val="0"/>
        <w:kinsoku/>
        <w:wordWrap/>
        <w:overflowPunct/>
        <w:topLinePunct w:val="0"/>
        <w:autoSpaceDE/>
        <w:autoSpaceDN/>
        <w:bidi w:val="0"/>
        <w:spacing w:line="56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0166824D">
      <w:pPr>
        <w:pStyle w:val="35"/>
        <w:keepNext w:val="0"/>
        <w:keepLines w:val="0"/>
        <w:pageBreakBefore w:val="0"/>
        <w:kinsoku/>
        <w:wordWrap/>
        <w:overflowPunct/>
        <w:topLinePunct w:val="0"/>
        <w:autoSpaceDE/>
        <w:autoSpaceDN/>
        <w:bidi w:val="0"/>
        <w:spacing w:line="560" w:lineRule="exact"/>
        <w:ind w:firstLine="1920" w:firstLineChars="600"/>
        <w:jc w:val="both"/>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2023年城乡建设发展专项资金</w:t>
      </w:r>
      <w:r>
        <w:rPr>
          <w:rFonts w:ascii="Times New Roman" w:hAnsi="Times New Roman" w:eastAsia="仿宋_GB2312"/>
          <w:color w:val="auto"/>
          <w:kern w:val="2"/>
          <w:sz w:val="32"/>
          <w:szCs w:val="32"/>
        </w:rPr>
        <w:t>）</w:t>
      </w:r>
    </w:p>
    <w:p w14:paraId="73114EDF">
      <w:pPr>
        <w:pStyle w:val="35"/>
        <w:keepNext w:val="0"/>
        <w:keepLines w:val="0"/>
        <w:pageBreakBefore w:val="0"/>
        <w:kinsoku/>
        <w:wordWrap/>
        <w:overflowPunct/>
        <w:topLinePunct w:val="0"/>
        <w:autoSpaceDE/>
        <w:autoSpaceDN/>
        <w:bidi w:val="0"/>
        <w:spacing w:line="560" w:lineRule="exact"/>
        <w:ind w:firstLine="640"/>
        <w:jc w:val="center"/>
        <w:rPr>
          <w:rFonts w:ascii="Times New Roman" w:hAnsi="Times New Roman"/>
          <w:color w:val="auto"/>
          <w:kern w:val="2"/>
          <w:sz w:val="32"/>
          <w:szCs w:val="32"/>
        </w:rPr>
      </w:pPr>
    </w:p>
    <w:p w14:paraId="4CEA6A96">
      <w:pPr>
        <w:keepNext w:val="0"/>
        <w:keepLines w:val="0"/>
        <w:pageBreakBefore w:val="0"/>
        <w:kinsoku/>
        <w:wordWrap/>
        <w:overflowPunct/>
        <w:topLinePunct w:val="0"/>
        <w:autoSpaceDE/>
        <w:autoSpaceDN/>
        <w:bidi w:val="0"/>
        <w:adjustRightInd w:val="0"/>
        <w:snapToGrid w:val="0"/>
        <w:spacing w:line="56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369E1E24">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（一）项目基本情况。</w:t>
      </w:r>
    </w:p>
    <w:p w14:paraId="750B6AF1">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城乡建设发展专项项目资金主要用于持续推进城乡人居环境整治提升，补齐乡镇农村生活垃圾收运处置基础设施短板，解决乡镇垃圾收集设施不足、老旧破损、配置不均衡、收运体系不完善等问题，全面提升乡镇环境卫生治理能力，持续改善乡村人居环境面貌，夯实乡村振兴、城乡建设高质量发展基础，专项用于各乡镇垃圾处理设施购置更新工作。</w:t>
      </w:r>
    </w:p>
    <w:p w14:paraId="4ECE6F3C">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eastAsia="zh-CN"/>
        </w:rPr>
      </w:pPr>
      <w:r>
        <w:rPr>
          <w:rFonts w:eastAsia="楷体_GB2312"/>
          <w:b/>
          <w:color w:val="auto"/>
          <w:sz w:val="32"/>
          <w:szCs w:val="32"/>
          <w:lang w:val="zh-CN" w:eastAsia="zh-CN"/>
        </w:rPr>
        <w:t>（二）项目绩效目标。</w:t>
      </w:r>
    </w:p>
    <w:p w14:paraId="5C9AC56A">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使用城乡建设发展专项资金，为乡镇增补更新一批标准化垃圾处理设施，健全乡村生活垃圾收集处置硬件体系，补齐农村人居环境基础设施短板，全面提升乡镇生活垃圾收集、处置能力，持续优化城乡人居环境，巩固农村人居环境整治成果，助力城乡建设和乡村振兴工作高质量发展。</w:t>
      </w:r>
    </w:p>
    <w:p w14:paraId="35893462">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eastAsia="zh-CN"/>
        </w:rPr>
      </w:pPr>
      <w:r>
        <w:rPr>
          <w:rFonts w:eastAsia="楷体_GB2312"/>
          <w:b/>
          <w:color w:val="auto"/>
          <w:sz w:val="32"/>
          <w:szCs w:val="32"/>
          <w:lang w:val="zh-CN" w:eastAsia="zh-CN"/>
        </w:rPr>
        <w:t>（三）项目自评步骤及方法。</w:t>
      </w:r>
    </w:p>
    <w:p w14:paraId="146DEF0B">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城乡建设发展专项资金采用科室自评办法。</w:t>
      </w:r>
    </w:p>
    <w:p w14:paraId="40391FF7">
      <w:pPr>
        <w:keepNext w:val="0"/>
        <w:keepLines w:val="0"/>
        <w:pageBreakBefore w:val="0"/>
        <w:kinsoku/>
        <w:wordWrap/>
        <w:overflowPunct/>
        <w:topLinePunct w:val="0"/>
        <w:autoSpaceDE/>
        <w:autoSpaceDN/>
        <w:bidi w:val="0"/>
        <w:adjustRightInd w:val="0"/>
        <w:snapToGrid w:val="0"/>
        <w:spacing w:line="560" w:lineRule="exact"/>
        <w:ind w:firstLine="720"/>
        <w:rPr>
          <w:rFonts w:eastAsia="黑体"/>
          <w:color w:val="auto"/>
          <w:sz w:val="32"/>
          <w:szCs w:val="32"/>
        </w:rPr>
      </w:pPr>
      <w:r>
        <w:rPr>
          <w:rFonts w:eastAsia="黑体"/>
          <w:color w:val="auto"/>
          <w:sz w:val="32"/>
          <w:szCs w:val="32"/>
        </w:rPr>
        <w:t>二、项目资金申报及使用情况</w:t>
      </w:r>
    </w:p>
    <w:p w14:paraId="022FFE24">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eastAsia="zh-CN"/>
        </w:rPr>
      </w:pPr>
      <w:r>
        <w:rPr>
          <w:rFonts w:eastAsia="楷体_GB2312"/>
          <w:b/>
          <w:color w:val="auto"/>
          <w:sz w:val="32"/>
          <w:szCs w:val="32"/>
          <w:lang w:val="zh-CN" w:eastAsia="zh-CN"/>
        </w:rPr>
        <w:t>（一）项目资金申报及批复情况。</w:t>
      </w:r>
    </w:p>
    <w:p w14:paraId="41DDF35F">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w:t>
      </w:r>
      <w:r>
        <w:rPr>
          <w:rFonts w:hint="eastAsia" w:ascii="Times New Roman" w:hAnsi="Times New Roman" w:eastAsia="仿宋_GB2312" w:cs="Times New Roman"/>
          <w:color w:val="auto"/>
          <w:kern w:val="2"/>
          <w:sz w:val="32"/>
          <w:szCs w:val="32"/>
          <w:lang w:val="en-US" w:eastAsia="zh-CN" w:bidi="ar-SA"/>
        </w:rPr>
        <w:t>按照分配方案</w:t>
      </w:r>
      <w:r>
        <w:rPr>
          <w:rFonts w:hint="eastAsia" w:ascii="Times New Roman" w:hAnsi="Times New Roman" w:eastAsia="仿宋_GB2312" w:cs="Times New Roman"/>
          <w:color w:val="auto"/>
          <w:kern w:val="2"/>
          <w:sz w:val="32"/>
          <w:szCs w:val="32"/>
          <w:lang w:val="zh-CN" w:eastAsia="zh-CN" w:bidi="ar-SA"/>
        </w:rPr>
        <w:t>支付。</w:t>
      </w:r>
    </w:p>
    <w:p w14:paraId="6499CE12">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w:t>
      </w:r>
      <w:r>
        <w:rPr>
          <w:rFonts w:eastAsia="楷体_GB2312"/>
          <w:b/>
          <w:color w:val="auto"/>
          <w:sz w:val="32"/>
          <w:szCs w:val="32"/>
          <w:lang w:val="zh-CN" w:eastAsia="zh-CN"/>
        </w:rPr>
        <w:t>资金计划、到位及使用情况。</w:t>
      </w:r>
    </w:p>
    <w:p w14:paraId="3B0A5881">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36.25</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2190676A">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36.25</w:t>
      </w:r>
      <w:r>
        <w:rPr>
          <w:rFonts w:hint="eastAsia" w:ascii="Times New Roman" w:hAnsi="Times New Roman" w:eastAsia="仿宋_GB2312" w:cs="Times New Roman"/>
          <w:color w:val="auto"/>
          <w:kern w:val="2"/>
          <w:sz w:val="32"/>
          <w:szCs w:val="32"/>
          <w:lang w:val="zh-CN" w:eastAsia="zh-CN" w:bidi="ar-SA"/>
        </w:rPr>
        <w:t>万元，到位率100%。</w:t>
      </w:r>
    </w:p>
    <w:p w14:paraId="0E9EEBF3">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36.25</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4AC773AE">
      <w:pPr>
        <w:keepNext w:val="0"/>
        <w:keepLines w:val="0"/>
        <w:pageBreakBefore w:val="0"/>
        <w:kinsoku/>
        <w:wordWrap/>
        <w:overflowPunct/>
        <w:topLinePunct w:val="0"/>
        <w:autoSpaceDE/>
        <w:autoSpaceDN/>
        <w:bidi w:val="0"/>
        <w:adjustRightInd w:val="0"/>
        <w:snapToGrid w:val="0"/>
        <w:spacing w:line="56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01D658CB">
      <w:pPr>
        <w:keepNext w:val="0"/>
        <w:keepLines w:val="0"/>
        <w:pageBreakBefore w:val="0"/>
        <w:kinsoku/>
        <w:wordWrap/>
        <w:overflowPunct/>
        <w:topLinePunct w:val="0"/>
        <w:autoSpaceDE/>
        <w:autoSpaceDN/>
        <w:bidi w:val="0"/>
        <w:adjustRightInd w:val="0"/>
        <w:snapToGrid w:val="0"/>
        <w:spacing w:line="54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本项目严格按照专项资金管理办法及财务管理制度等相关要求完成</w:t>
      </w:r>
      <w:r>
        <w:rPr>
          <w:rFonts w:hint="eastAsia" w:ascii="Times New Roman" w:hAnsi="Times New Roman" w:eastAsia="仿宋_GB2312" w:cs="Times New Roman"/>
          <w:color w:val="auto"/>
          <w:kern w:val="2"/>
          <w:sz w:val="32"/>
          <w:szCs w:val="32"/>
          <w:lang w:val="en-US" w:eastAsia="zh-CN" w:bidi="ar-SA"/>
        </w:rPr>
        <w:t>资金拨付</w:t>
      </w:r>
      <w:r>
        <w:rPr>
          <w:rFonts w:hint="eastAsia" w:ascii="Times New Roman" w:hAnsi="Times New Roman" w:eastAsia="仿宋_GB2312" w:cs="Times New Roman"/>
          <w:color w:val="auto"/>
          <w:kern w:val="2"/>
          <w:sz w:val="32"/>
          <w:szCs w:val="32"/>
          <w:lang w:val="zh-CN" w:eastAsia="zh-CN" w:bidi="ar-SA"/>
        </w:rPr>
        <w:t>。</w:t>
      </w:r>
    </w:p>
    <w:p w14:paraId="46D5CDD9">
      <w:pPr>
        <w:keepNext w:val="0"/>
        <w:keepLines w:val="0"/>
        <w:pageBreakBefore w:val="0"/>
        <w:kinsoku/>
        <w:wordWrap/>
        <w:overflowPunct/>
        <w:topLinePunct w:val="0"/>
        <w:autoSpaceDE/>
        <w:autoSpaceDN/>
        <w:bidi w:val="0"/>
        <w:adjustRightInd w:val="0"/>
        <w:snapToGrid w:val="0"/>
        <w:spacing w:line="560" w:lineRule="exact"/>
        <w:ind w:firstLine="720"/>
        <w:rPr>
          <w:rFonts w:eastAsia="黑体"/>
          <w:color w:val="auto"/>
          <w:sz w:val="32"/>
          <w:szCs w:val="32"/>
        </w:rPr>
      </w:pPr>
      <w:r>
        <w:rPr>
          <w:rFonts w:eastAsia="黑体"/>
          <w:color w:val="auto"/>
          <w:sz w:val="32"/>
          <w:szCs w:val="32"/>
        </w:rPr>
        <w:t>三、项目实施及管理情况</w:t>
      </w:r>
    </w:p>
    <w:p w14:paraId="668A3888">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w:t>
      </w:r>
      <w:r>
        <w:rPr>
          <w:rFonts w:hint="eastAsia" w:ascii="Times New Roman" w:hAnsi="Times New Roman" w:eastAsia="仿宋_GB2312" w:cs="Times New Roman"/>
          <w:color w:val="auto"/>
          <w:kern w:val="2"/>
          <w:sz w:val="32"/>
          <w:szCs w:val="32"/>
          <w:lang w:val="en-US" w:eastAsia="zh-CN" w:bidi="ar-SA"/>
        </w:rPr>
        <w:t>各乡镇街办组织实施，在我单位实行报账制</w:t>
      </w:r>
      <w:r>
        <w:rPr>
          <w:rFonts w:hint="eastAsia" w:ascii="Times New Roman" w:hAnsi="Times New Roman" w:eastAsia="仿宋_GB2312" w:cs="Times New Roman"/>
          <w:color w:val="auto"/>
          <w:kern w:val="2"/>
          <w:sz w:val="32"/>
          <w:szCs w:val="32"/>
          <w:lang w:val="zh-CN" w:eastAsia="zh-CN" w:bidi="ar-SA"/>
        </w:rPr>
        <w:t>。</w:t>
      </w:r>
    </w:p>
    <w:p w14:paraId="5F7A0DA1">
      <w:pPr>
        <w:keepNext w:val="0"/>
        <w:keepLines w:val="0"/>
        <w:pageBreakBefore w:val="0"/>
        <w:kinsoku/>
        <w:wordWrap/>
        <w:overflowPunct/>
        <w:topLinePunct w:val="0"/>
        <w:autoSpaceDE/>
        <w:autoSpaceDN/>
        <w:bidi w:val="0"/>
        <w:adjustRightInd w:val="0"/>
        <w:snapToGrid w:val="0"/>
        <w:spacing w:line="560" w:lineRule="exact"/>
        <w:ind w:firstLine="720"/>
        <w:rPr>
          <w:color w:val="auto"/>
          <w:sz w:val="32"/>
          <w:szCs w:val="32"/>
          <w:lang w:val="zh-CN"/>
        </w:rPr>
      </w:pPr>
      <w:r>
        <w:rPr>
          <w:rFonts w:eastAsia="黑体"/>
          <w:color w:val="auto"/>
          <w:sz w:val="32"/>
          <w:szCs w:val="32"/>
        </w:rPr>
        <w:t>四、项目绩效情况</w:t>
      </w:r>
      <w:r>
        <w:rPr>
          <w:color w:val="auto"/>
          <w:sz w:val="32"/>
          <w:szCs w:val="32"/>
          <w:lang w:val="zh-CN"/>
        </w:rPr>
        <w:tab/>
      </w:r>
    </w:p>
    <w:p w14:paraId="4CF8EDD0">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（一）项目完成情况。</w:t>
      </w:r>
    </w:p>
    <w:p w14:paraId="6E5A9188">
      <w:pPr>
        <w:keepNext w:val="0"/>
        <w:keepLines w:val="0"/>
        <w:pageBreakBefore w:val="0"/>
        <w:kinsoku/>
        <w:wordWrap/>
        <w:overflowPunct/>
        <w:topLinePunct w:val="0"/>
        <w:autoSpaceDE/>
        <w:autoSpaceDN/>
        <w:bidi w:val="0"/>
        <w:adjustRightInd w:val="0"/>
        <w:snapToGrid w:val="0"/>
        <w:spacing w:line="56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已于202</w:t>
      </w: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zh-CN" w:eastAsia="zh-CN" w:bidi="ar-SA"/>
        </w:rPr>
        <w:t>年12月前</w:t>
      </w:r>
      <w:r>
        <w:rPr>
          <w:rFonts w:hint="eastAsia" w:ascii="Times New Roman" w:hAnsi="Times New Roman" w:eastAsia="仿宋_GB2312" w:cs="Times New Roman"/>
          <w:color w:val="auto"/>
          <w:kern w:val="2"/>
          <w:sz w:val="32"/>
          <w:szCs w:val="32"/>
          <w:lang w:val="en-US" w:eastAsia="zh-CN" w:bidi="ar-SA"/>
        </w:rPr>
        <w:t>根据资金分配方案，实行报账制，由各乡镇、街办完成生活垃圾收运处置设施采购工作。</w:t>
      </w:r>
    </w:p>
    <w:p w14:paraId="53C51111">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（二）项目效益情况。</w:t>
      </w:r>
    </w:p>
    <w:p w14:paraId="04FE6D87">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项目实施，增补了乡镇垃圾处理设施，有效补齐了村级环卫设施短板，完善了农村生活垃圾前端收集网络，大幅提升了乡镇垃圾常态化收集、规范化处置能力，极大改善了村组、道路沿线、集中居住区环境卫生面貌，有效减少垃圾堆积、随意丢弃等环境乱象，进一步提升城乡综合治理精细化水平，规范化垃圾收集设施全面投用后，实现了生活垃圾定点存放、集中收运、规范处置，有效降低生活垃圾无序堆放造成的土壤、水体、空气污染，持续优化农村生态人居环境，助推生态宜居乡村建设。</w:t>
      </w:r>
    </w:p>
    <w:p w14:paraId="7F367723">
      <w:pPr>
        <w:keepNext w:val="0"/>
        <w:keepLines w:val="0"/>
        <w:pageBreakBefore w:val="0"/>
        <w:kinsoku/>
        <w:wordWrap/>
        <w:overflowPunct/>
        <w:topLinePunct w:val="0"/>
        <w:autoSpaceDE/>
        <w:autoSpaceDN/>
        <w:bidi w:val="0"/>
        <w:adjustRightInd w:val="0"/>
        <w:snapToGrid w:val="0"/>
        <w:spacing w:line="560" w:lineRule="exact"/>
        <w:ind w:firstLine="720"/>
        <w:rPr>
          <w:rFonts w:eastAsia="黑体"/>
          <w:color w:val="auto"/>
          <w:sz w:val="32"/>
          <w:szCs w:val="32"/>
        </w:rPr>
      </w:pPr>
      <w:r>
        <w:rPr>
          <w:rFonts w:eastAsia="黑体"/>
          <w:color w:val="auto"/>
          <w:sz w:val="32"/>
          <w:szCs w:val="32"/>
        </w:rPr>
        <w:t>五、评价结论及建议</w:t>
      </w:r>
    </w:p>
    <w:p w14:paraId="20A83B56">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（一）评价结论。</w:t>
      </w:r>
    </w:p>
    <w:p w14:paraId="73C4936E">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度城乡建设发展专项资金项目资金使用合规、程序规范、实施到位，圆满完成了本年度各项绩效目标任务，社会效益、生态效益明显，有效补齐了乡镇环卫基础设施短板，切实提升了城乡人居环境治理水平，专项资金使用效益良好。</w:t>
      </w:r>
    </w:p>
    <w:p w14:paraId="518EC76F">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（二）存在的问题。</w:t>
      </w:r>
    </w:p>
    <w:p w14:paraId="24E706BA">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7A135595">
      <w:pPr>
        <w:keepNext w:val="0"/>
        <w:keepLines w:val="0"/>
        <w:pageBreakBefore w:val="0"/>
        <w:kinsoku/>
        <w:wordWrap/>
        <w:overflowPunct/>
        <w:topLinePunct w:val="0"/>
        <w:autoSpaceDE/>
        <w:autoSpaceDN/>
        <w:bidi w:val="0"/>
        <w:adjustRightInd w:val="0"/>
        <w:snapToGrid w:val="0"/>
        <w:spacing w:line="560" w:lineRule="exact"/>
        <w:ind w:firstLine="720"/>
        <w:rPr>
          <w:rFonts w:eastAsia="楷体_GB2312"/>
          <w:b/>
          <w:color w:val="auto"/>
          <w:sz w:val="32"/>
          <w:szCs w:val="32"/>
          <w:lang w:val="zh-CN"/>
        </w:rPr>
      </w:pPr>
      <w:r>
        <w:rPr>
          <w:rFonts w:eastAsia="楷体_GB2312"/>
          <w:b/>
          <w:color w:val="auto"/>
          <w:sz w:val="32"/>
          <w:szCs w:val="32"/>
          <w:lang w:val="zh-CN"/>
        </w:rPr>
        <w:t>（三）相关建议。</w:t>
      </w:r>
    </w:p>
    <w:p w14:paraId="2B3975A2">
      <w:pPr>
        <w:keepNext w:val="0"/>
        <w:keepLines w:val="0"/>
        <w:pageBreakBefore w:val="0"/>
        <w:kinsoku/>
        <w:wordWrap/>
        <w:overflowPunct/>
        <w:topLinePunct w:val="0"/>
        <w:autoSpaceDE/>
        <w:autoSpaceDN/>
        <w:bidi w:val="0"/>
        <w:spacing w:line="560" w:lineRule="exact"/>
        <w:ind w:firstLine="640" w:firstLineChars="200"/>
        <w:rPr>
          <w:rFonts w:hint="eastAsia"/>
          <w:color w:val="auto"/>
          <w:lang w:val="en-US" w:eastAsia="zh-CN"/>
        </w:rPr>
      </w:pPr>
      <w:r>
        <w:rPr>
          <w:rFonts w:hint="eastAsia" w:ascii="Times New Roman" w:hAnsi="Times New Roman" w:eastAsia="仿宋_GB2312" w:cs="Times New Roman"/>
          <w:color w:val="auto"/>
          <w:kern w:val="2"/>
          <w:sz w:val="32"/>
          <w:szCs w:val="32"/>
          <w:lang w:val="en-US" w:eastAsia="zh-CN" w:bidi="ar-SA"/>
        </w:rPr>
        <w:t>无</w:t>
      </w:r>
    </w:p>
    <w:p w14:paraId="12D9F76F">
      <w:pPr>
        <w:pStyle w:val="2"/>
        <w:keepNext w:val="0"/>
        <w:keepLines w:val="0"/>
        <w:pageBreakBefore w:val="0"/>
        <w:kinsoku/>
        <w:wordWrap/>
        <w:overflowPunct/>
        <w:topLinePunct w:val="0"/>
        <w:autoSpaceDE/>
        <w:autoSpaceDN/>
        <w:bidi w:val="0"/>
        <w:spacing w:line="560" w:lineRule="exact"/>
        <w:rPr>
          <w:rFonts w:hint="eastAsia"/>
          <w:color w:val="auto"/>
          <w:lang w:val="en-US" w:eastAsia="zh-CN"/>
        </w:rPr>
      </w:pPr>
    </w:p>
    <w:p w14:paraId="26468193">
      <w:pPr>
        <w:pStyle w:val="2"/>
        <w:keepNext w:val="0"/>
        <w:keepLines w:val="0"/>
        <w:pageBreakBefore w:val="0"/>
        <w:kinsoku/>
        <w:wordWrap/>
        <w:overflowPunct/>
        <w:topLinePunct w:val="0"/>
        <w:autoSpaceDE/>
        <w:autoSpaceDN/>
        <w:bidi w:val="0"/>
        <w:spacing w:line="560" w:lineRule="exact"/>
        <w:rPr>
          <w:rFonts w:hint="eastAsia"/>
          <w:color w:val="auto"/>
          <w:lang w:val="en-US" w:eastAsia="zh-CN"/>
        </w:rPr>
      </w:pPr>
    </w:p>
    <w:p w14:paraId="5E8CFA34">
      <w:pPr>
        <w:keepNext w:val="0"/>
        <w:keepLines w:val="0"/>
        <w:pageBreakBefore w:val="0"/>
        <w:kinsoku/>
        <w:wordWrap/>
        <w:overflowPunct/>
        <w:topLinePunct w:val="0"/>
        <w:autoSpaceDE/>
        <w:autoSpaceDN/>
        <w:bidi w:val="0"/>
        <w:spacing w:line="560"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7C9C0B20">
      <w:pPr>
        <w:pStyle w:val="2"/>
        <w:keepNext w:val="0"/>
        <w:keepLines w:val="0"/>
        <w:pageBreakBefore w:val="0"/>
        <w:kinsoku/>
        <w:wordWrap/>
        <w:overflowPunct/>
        <w:topLinePunct w:val="0"/>
        <w:autoSpaceDE/>
        <w:autoSpaceDN/>
        <w:bidi w:val="0"/>
        <w:spacing w:line="560" w:lineRule="exact"/>
        <w:ind w:firstLine="4800" w:firstLineChars="1500"/>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13683DE4">
      <w:pPr>
        <w:pStyle w:val="35"/>
        <w:spacing w:line="578" w:lineRule="exact"/>
        <w:jc w:val="center"/>
        <w:rPr>
          <w:rFonts w:ascii="Times New Roman" w:hAnsi="Times New Roman" w:eastAsia="方正小标宋简体" w:cs="方正小标宋简体"/>
          <w:color w:val="auto"/>
          <w:kern w:val="2"/>
          <w:sz w:val="44"/>
          <w:szCs w:val="44"/>
          <w:lang w:val="en-US"/>
        </w:rPr>
      </w:pPr>
    </w:p>
    <w:p w14:paraId="7CD42D5A">
      <w:pPr>
        <w:pStyle w:val="35"/>
        <w:spacing w:line="578" w:lineRule="exact"/>
        <w:jc w:val="center"/>
        <w:rPr>
          <w:rFonts w:ascii="Times New Roman" w:hAnsi="Times New Roman" w:eastAsia="方正小标宋简体" w:cs="方正小标宋简体"/>
          <w:color w:val="auto"/>
          <w:kern w:val="2"/>
          <w:sz w:val="44"/>
          <w:szCs w:val="44"/>
          <w:lang w:val="en-US"/>
        </w:rPr>
      </w:pPr>
    </w:p>
    <w:p w14:paraId="3961DF33">
      <w:pPr>
        <w:pStyle w:val="35"/>
        <w:spacing w:line="578" w:lineRule="exact"/>
        <w:jc w:val="center"/>
        <w:rPr>
          <w:rFonts w:ascii="Times New Roman" w:hAnsi="Times New Roman" w:eastAsia="方正小标宋简体" w:cs="方正小标宋简体"/>
          <w:color w:val="auto"/>
          <w:kern w:val="2"/>
          <w:sz w:val="44"/>
          <w:szCs w:val="44"/>
          <w:lang w:val="en-US"/>
        </w:rPr>
      </w:pPr>
    </w:p>
    <w:p w14:paraId="3AA0B340">
      <w:pPr>
        <w:pStyle w:val="35"/>
        <w:spacing w:line="578" w:lineRule="exact"/>
        <w:jc w:val="center"/>
        <w:rPr>
          <w:rFonts w:ascii="Times New Roman" w:hAnsi="Times New Roman" w:eastAsia="方正小标宋简体" w:cs="方正小标宋简体"/>
          <w:color w:val="auto"/>
          <w:kern w:val="2"/>
          <w:sz w:val="44"/>
          <w:szCs w:val="44"/>
          <w:lang w:val="en-US"/>
        </w:rPr>
      </w:pPr>
    </w:p>
    <w:p w14:paraId="6D2E2998">
      <w:pPr>
        <w:pStyle w:val="35"/>
        <w:spacing w:line="578" w:lineRule="exact"/>
        <w:jc w:val="center"/>
        <w:rPr>
          <w:rFonts w:ascii="Times New Roman" w:hAnsi="Times New Roman" w:eastAsia="方正小标宋简体" w:cs="方正小标宋简体"/>
          <w:color w:val="auto"/>
          <w:kern w:val="2"/>
          <w:sz w:val="44"/>
          <w:szCs w:val="44"/>
          <w:lang w:val="en-US"/>
        </w:rPr>
      </w:pPr>
    </w:p>
    <w:p w14:paraId="5AC323A2">
      <w:pPr>
        <w:pStyle w:val="35"/>
        <w:spacing w:line="578" w:lineRule="exact"/>
        <w:jc w:val="center"/>
        <w:rPr>
          <w:rFonts w:ascii="Times New Roman" w:hAnsi="Times New Roman" w:eastAsia="方正小标宋简体" w:cs="方正小标宋简体"/>
          <w:color w:val="auto"/>
          <w:kern w:val="2"/>
          <w:sz w:val="44"/>
          <w:szCs w:val="44"/>
          <w:lang w:val="en-US"/>
        </w:rPr>
      </w:pPr>
    </w:p>
    <w:p w14:paraId="6A92E010">
      <w:pPr>
        <w:pStyle w:val="35"/>
        <w:keepNext w:val="0"/>
        <w:keepLines w:val="0"/>
        <w:pageBreakBefore w:val="0"/>
        <w:kinsoku/>
        <w:wordWrap/>
        <w:overflowPunct/>
        <w:topLinePunct w:val="0"/>
        <w:bidi w:val="0"/>
        <w:spacing w:line="560" w:lineRule="exact"/>
        <w:jc w:val="both"/>
        <w:textAlignment w:val="auto"/>
        <w:rPr>
          <w:rFonts w:hint="eastAsia" w:ascii="宋体" w:hAnsi="宋体" w:cs="宋体"/>
          <w:color w:val="auto"/>
          <w:kern w:val="2"/>
          <w:sz w:val="40"/>
          <w:szCs w:val="40"/>
          <w:lang w:val="en-US" w:eastAsia="zh-CN"/>
        </w:rPr>
      </w:pPr>
    </w:p>
    <w:p w14:paraId="30623C4F">
      <w:pPr>
        <w:pStyle w:val="35"/>
        <w:keepNext w:val="0"/>
        <w:keepLines w:val="0"/>
        <w:pageBreakBefore w:val="0"/>
        <w:kinsoku/>
        <w:wordWrap/>
        <w:overflowPunct/>
        <w:topLinePunct w:val="0"/>
        <w:bidi w:val="0"/>
        <w:spacing w:line="560" w:lineRule="exact"/>
        <w:jc w:val="both"/>
        <w:textAlignment w:val="auto"/>
        <w:rPr>
          <w:rFonts w:hint="eastAsia" w:ascii="宋体" w:hAnsi="宋体" w:cs="宋体"/>
          <w:color w:val="auto"/>
          <w:kern w:val="2"/>
          <w:sz w:val="40"/>
          <w:szCs w:val="40"/>
          <w:lang w:val="en-US" w:eastAsia="zh-CN"/>
        </w:rPr>
      </w:pPr>
    </w:p>
    <w:p w14:paraId="62942D41">
      <w:pPr>
        <w:pStyle w:val="35"/>
        <w:keepNext w:val="0"/>
        <w:keepLines w:val="0"/>
        <w:pageBreakBefore w:val="0"/>
        <w:kinsoku/>
        <w:wordWrap/>
        <w:overflowPunct/>
        <w:topLinePunct w:val="0"/>
        <w:bidi w:val="0"/>
        <w:spacing w:line="56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56F2F8D8">
      <w:pPr>
        <w:pStyle w:val="35"/>
        <w:keepNext w:val="0"/>
        <w:keepLines w:val="0"/>
        <w:pageBreakBefore w:val="0"/>
        <w:kinsoku/>
        <w:wordWrap/>
        <w:overflowPunct/>
        <w:topLinePunct w:val="0"/>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75AF14BD">
      <w:pPr>
        <w:pStyle w:val="35"/>
        <w:keepNext w:val="0"/>
        <w:keepLines w:val="0"/>
        <w:pageBreakBefore w:val="0"/>
        <w:kinsoku/>
        <w:wordWrap/>
        <w:overflowPunct/>
        <w:topLinePunct w:val="0"/>
        <w:bidi w:val="0"/>
        <w:spacing w:line="560" w:lineRule="exact"/>
        <w:jc w:val="center"/>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olor w:val="auto"/>
          <w:kern w:val="2"/>
          <w:sz w:val="32"/>
          <w:szCs w:val="32"/>
          <w:lang w:val="en-US" w:eastAsia="zh-CN"/>
        </w:rPr>
        <w:t>2023年</w:t>
      </w:r>
      <w:r>
        <w:rPr>
          <w:rFonts w:hint="eastAsia" w:ascii="Times New Roman" w:hAnsi="Times New Roman" w:eastAsia="仿宋_GB2312" w:cs="Times New Roman"/>
          <w:color w:val="auto"/>
          <w:kern w:val="2"/>
          <w:sz w:val="32"/>
          <w:szCs w:val="32"/>
          <w:lang w:val="zh-CN" w:eastAsia="zh-CN" w:bidi="ar-SA"/>
        </w:rPr>
        <w:t>仁和城区范围城市燃气管道老化更新改造项目</w:t>
      </w:r>
      <w:r>
        <w:rPr>
          <w:rFonts w:ascii="Times New Roman" w:hAnsi="Times New Roman" w:eastAsia="仿宋_GB2312"/>
          <w:color w:val="auto"/>
          <w:kern w:val="2"/>
          <w:sz w:val="32"/>
          <w:szCs w:val="32"/>
        </w:rPr>
        <w:t>）</w:t>
      </w:r>
    </w:p>
    <w:p w14:paraId="7A0B568C">
      <w:pPr>
        <w:pStyle w:val="35"/>
        <w:keepNext w:val="0"/>
        <w:keepLines w:val="0"/>
        <w:pageBreakBefore w:val="0"/>
        <w:kinsoku/>
        <w:wordWrap/>
        <w:overflowPunct/>
        <w:topLinePunct w:val="0"/>
        <w:bidi w:val="0"/>
        <w:spacing w:line="560" w:lineRule="exact"/>
        <w:ind w:firstLine="640"/>
        <w:jc w:val="center"/>
        <w:textAlignment w:val="auto"/>
        <w:rPr>
          <w:rFonts w:ascii="Times New Roman" w:hAnsi="Times New Roman"/>
          <w:color w:val="auto"/>
          <w:kern w:val="2"/>
          <w:sz w:val="32"/>
          <w:szCs w:val="32"/>
        </w:rPr>
      </w:pPr>
    </w:p>
    <w:p w14:paraId="27A30B3E">
      <w:pPr>
        <w:keepNext w:val="0"/>
        <w:keepLines w:val="0"/>
        <w:pageBreakBefore w:val="0"/>
        <w:kinsoku/>
        <w:wordWrap/>
        <w:overflowPunct/>
        <w:topLinePunct w:val="0"/>
        <w:bidi w:val="0"/>
        <w:adjustRightInd w:val="0"/>
        <w:snapToGrid w:val="0"/>
        <w:spacing w:line="560" w:lineRule="exact"/>
        <w:ind w:firstLine="720"/>
        <w:textAlignment w:val="auto"/>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43350B1">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（一）项目基本情况。</w:t>
      </w:r>
    </w:p>
    <w:p w14:paraId="48691C5E">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仁和城区范围城市燃气管道老化更新改造项目</w:t>
      </w:r>
      <w:r>
        <w:rPr>
          <w:rFonts w:hint="eastAsia" w:ascii="Times New Roman" w:hAnsi="Times New Roman" w:eastAsia="仿宋_GB2312" w:cs="Times New Roman"/>
          <w:color w:val="auto"/>
          <w:kern w:val="2"/>
          <w:sz w:val="32"/>
          <w:szCs w:val="32"/>
          <w:lang w:val="en-US" w:eastAsia="zh-CN" w:bidi="ar-SA"/>
        </w:rPr>
        <w:t>资金主要用于</w:t>
      </w:r>
      <w:r>
        <w:rPr>
          <w:rFonts w:hint="eastAsia" w:ascii="Times New Roman" w:hAnsi="Times New Roman" w:eastAsia="仿宋_GB2312" w:cs="Times New Roman"/>
          <w:color w:val="auto"/>
          <w:kern w:val="2"/>
          <w:sz w:val="32"/>
          <w:szCs w:val="32"/>
          <w:lang w:val="zh-CN" w:eastAsia="zh-CN" w:bidi="ar-SA"/>
        </w:rPr>
        <w:t>仁和城区9个老旧小区的中、低压燃气管网、入户燃气管网及配套131座调压站等设施的改造更新，涉及居民5734户，其中中压燃气管道总长约20公里，低压燃气管道总长约35公里，入户燃气立管及支管总长约53公里。</w:t>
      </w:r>
    </w:p>
    <w:p w14:paraId="2EEFDC86">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eastAsia="zh-CN"/>
        </w:rPr>
      </w:pPr>
      <w:r>
        <w:rPr>
          <w:rFonts w:eastAsia="楷体_GB2312"/>
          <w:b/>
          <w:color w:val="auto"/>
          <w:sz w:val="32"/>
          <w:szCs w:val="32"/>
          <w:lang w:val="zh-CN" w:eastAsia="zh-CN"/>
        </w:rPr>
        <w:t>（二）项目绩效目标。</w:t>
      </w:r>
    </w:p>
    <w:p w14:paraId="41B5D3C7">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项目主要实施内容为辖区内老旧燃气管道排查、拆除、更新改造及配套设施升级，项目目标为彻底消除老旧燃气管道安全隐患，提升城市燃气供气保障能力，完善城市市政基础设施体系，保障群众生命财产安全，改善民生福祉，依据城市基础设施更新改造专项规划、安全生产专项整治工作要求，完成辖区内全部管道安全检测和更新改造任务。</w:t>
      </w:r>
    </w:p>
    <w:p w14:paraId="4FE9C419">
      <w:pPr>
        <w:keepNext w:val="0"/>
        <w:keepLines w:val="0"/>
        <w:pageBreakBefore w:val="0"/>
        <w:kinsoku/>
        <w:wordWrap/>
        <w:overflowPunct/>
        <w:topLinePunct w:val="0"/>
        <w:autoSpaceDE/>
        <w:autoSpaceDN/>
        <w:bidi w:val="0"/>
        <w:adjustRightInd w:val="0"/>
        <w:snapToGrid w:val="0"/>
        <w:spacing w:line="560" w:lineRule="exact"/>
        <w:ind w:firstLine="640" w:firstLineChars="20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申报内容与实际相符，申报目标合理可行。</w:t>
      </w:r>
    </w:p>
    <w:p w14:paraId="016FCD20">
      <w:pPr>
        <w:keepNext w:val="0"/>
        <w:keepLines w:val="0"/>
        <w:pageBreakBefore w:val="0"/>
        <w:numPr>
          <w:ilvl w:val="0"/>
          <w:numId w:val="4"/>
        </w:numPr>
        <w:kinsoku/>
        <w:wordWrap/>
        <w:overflowPunct/>
        <w:topLinePunct w:val="0"/>
        <w:bidi w:val="0"/>
        <w:adjustRightInd w:val="0"/>
        <w:snapToGrid w:val="0"/>
        <w:spacing w:line="560" w:lineRule="exact"/>
        <w:ind w:left="0" w:leftChars="0" w:firstLine="643" w:firstLineChars="200"/>
        <w:textAlignment w:val="auto"/>
        <w:rPr>
          <w:rFonts w:eastAsia="楷体_GB2312"/>
          <w:b/>
          <w:color w:val="auto"/>
          <w:sz w:val="32"/>
          <w:szCs w:val="32"/>
          <w:lang w:val="zh-CN" w:eastAsia="zh-CN"/>
        </w:rPr>
      </w:pPr>
      <w:r>
        <w:rPr>
          <w:rFonts w:eastAsia="楷体_GB2312"/>
          <w:b/>
          <w:color w:val="auto"/>
          <w:sz w:val="32"/>
          <w:szCs w:val="32"/>
          <w:lang w:val="zh-CN" w:eastAsia="zh-CN"/>
        </w:rPr>
        <w:t>项目自评步骤及方法。</w:t>
      </w:r>
    </w:p>
    <w:p w14:paraId="218CD12D">
      <w:pPr>
        <w:keepNext w:val="0"/>
        <w:keepLines w:val="0"/>
        <w:pageBreakBefore w:val="0"/>
        <w:kinsoku/>
        <w:wordWrap/>
        <w:overflowPunct/>
        <w:topLinePunct w:val="0"/>
        <w:autoSpaceDE/>
        <w:autoSpaceDN/>
        <w:bidi w:val="0"/>
        <w:adjustRightInd w:val="0"/>
        <w:snapToGrid w:val="0"/>
        <w:spacing w:line="56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仁和城区范围城市燃气管道老化更新改造项目</w:t>
      </w:r>
      <w:r>
        <w:rPr>
          <w:rFonts w:hint="eastAsia" w:ascii="Times New Roman" w:hAnsi="Times New Roman" w:eastAsia="仿宋_GB2312" w:cs="Times New Roman"/>
          <w:color w:val="auto"/>
          <w:kern w:val="2"/>
          <w:sz w:val="32"/>
          <w:szCs w:val="32"/>
          <w:lang w:val="en-US" w:eastAsia="zh-CN" w:bidi="ar-SA"/>
        </w:rPr>
        <w:t>资金采用科室自评办法。</w:t>
      </w:r>
    </w:p>
    <w:p w14:paraId="01CBBC1B">
      <w:pPr>
        <w:keepNext w:val="0"/>
        <w:keepLines w:val="0"/>
        <w:pageBreakBefore w:val="0"/>
        <w:kinsoku/>
        <w:wordWrap/>
        <w:overflowPunct/>
        <w:topLinePunct w:val="0"/>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二、项目资金申报及使用情况</w:t>
      </w:r>
    </w:p>
    <w:p w14:paraId="7AE14A2D">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（一）项目资金申报及批复情况。</w:t>
      </w:r>
    </w:p>
    <w:p w14:paraId="69A18B78">
      <w:pPr>
        <w:pStyle w:val="15"/>
        <w:keepNext w:val="0"/>
        <w:keepLines w:val="0"/>
        <w:pageBreakBefore w:val="0"/>
        <w:widowControl/>
        <w:shd w:val="clear" w:color="auto" w:fill="FFFFFF"/>
        <w:kinsoku/>
        <w:wordWrap/>
        <w:overflowPunct/>
        <w:topLinePunct w:val="0"/>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仁和城区范围内城市燃气管道等老化更新改造项目资金，由上级补助资金和区级配套资金两部分组成。其中，60%申请中央预算内资金，其余40%由区财政予以配套。</w:t>
      </w:r>
    </w:p>
    <w:p w14:paraId="5EFFE4F3">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hint="eastAsia" w:eastAsia="楷体_GB2312"/>
          <w:b/>
          <w:color w:val="auto"/>
          <w:sz w:val="32"/>
          <w:szCs w:val="32"/>
          <w:lang w:val="zh-CN"/>
        </w:rPr>
        <w:t>（</w:t>
      </w:r>
      <w:r>
        <w:rPr>
          <w:rFonts w:hint="eastAsia" w:eastAsia="楷体_GB2312"/>
          <w:b/>
          <w:color w:val="auto"/>
          <w:sz w:val="32"/>
          <w:szCs w:val="32"/>
          <w:lang w:val="en-US" w:eastAsia="zh-CN"/>
        </w:rPr>
        <w:t>二</w:t>
      </w:r>
      <w:r>
        <w:rPr>
          <w:rFonts w:hint="eastAsia" w:eastAsia="楷体_GB2312"/>
          <w:b/>
          <w:color w:val="auto"/>
          <w:sz w:val="32"/>
          <w:szCs w:val="32"/>
          <w:lang w:val="zh-CN"/>
        </w:rPr>
        <w:t>）</w:t>
      </w:r>
      <w:r>
        <w:rPr>
          <w:rFonts w:eastAsia="楷体_GB2312"/>
          <w:b/>
          <w:color w:val="auto"/>
          <w:sz w:val="32"/>
          <w:szCs w:val="32"/>
          <w:lang w:val="zh-CN"/>
        </w:rPr>
        <w:t>资金计划、到位及使用情况。</w:t>
      </w:r>
    </w:p>
    <w:p w14:paraId="4E9CA23C">
      <w:pPr>
        <w:keepNext w:val="0"/>
        <w:keepLines w:val="0"/>
        <w:pageBreakBefore w:val="0"/>
        <w:kinsoku/>
        <w:wordWrap/>
        <w:overflowPunct/>
        <w:topLinePunct w:val="0"/>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8878</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1EDB386A">
      <w:pPr>
        <w:keepNext w:val="0"/>
        <w:keepLines w:val="0"/>
        <w:pageBreakBefore w:val="0"/>
        <w:kinsoku/>
        <w:wordWrap/>
        <w:overflowPunct/>
        <w:topLinePunct w:val="0"/>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300</w:t>
      </w:r>
      <w:r>
        <w:rPr>
          <w:rFonts w:hint="eastAsia" w:ascii="Times New Roman" w:hAnsi="Times New Roman" w:eastAsia="仿宋_GB2312" w:cs="Times New Roman"/>
          <w:color w:val="auto"/>
          <w:kern w:val="2"/>
          <w:sz w:val="32"/>
          <w:szCs w:val="32"/>
          <w:lang w:val="zh-CN" w:eastAsia="zh-CN" w:bidi="ar-SA"/>
        </w:rPr>
        <w:t>万元，到位率</w:t>
      </w:r>
      <w:r>
        <w:rPr>
          <w:rFonts w:hint="eastAsia" w:ascii="Times New Roman" w:hAnsi="Times New Roman" w:eastAsia="仿宋_GB2312" w:cs="Times New Roman"/>
          <w:color w:val="auto"/>
          <w:kern w:val="2"/>
          <w:sz w:val="32"/>
          <w:szCs w:val="32"/>
          <w:lang w:val="en-US" w:eastAsia="zh-CN" w:bidi="ar-SA"/>
        </w:rPr>
        <w:t>3.38</w:t>
      </w:r>
      <w:r>
        <w:rPr>
          <w:rFonts w:hint="eastAsia" w:ascii="Times New Roman" w:hAnsi="Times New Roman" w:eastAsia="仿宋_GB2312" w:cs="Times New Roman"/>
          <w:color w:val="auto"/>
          <w:kern w:val="2"/>
          <w:sz w:val="32"/>
          <w:szCs w:val="32"/>
          <w:lang w:val="zh-CN" w:eastAsia="zh-CN" w:bidi="ar-SA"/>
        </w:rPr>
        <w:t>%。</w:t>
      </w:r>
    </w:p>
    <w:p w14:paraId="5521C5DD">
      <w:pPr>
        <w:keepNext w:val="0"/>
        <w:keepLines w:val="0"/>
        <w:pageBreakBefore w:val="0"/>
        <w:kinsoku/>
        <w:wordWrap/>
        <w:overflowPunct/>
        <w:topLinePunct w:val="0"/>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300</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03E64295">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（三）项目财务管理情况。</w:t>
      </w:r>
    </w:p>
    <w:p w14:paraId="5E1BAF42">
      <w:pPr>
        <w:keepNext w:val="0"/>
        <w:keepLines w:val="0"/>
        <w:pageBreakBefore w:val="0"/>
        <w:kinsoku/>
        <w:wordWrap/>
        <w:overflowPunct/>
        <w:topLinePunct w:val="0"/>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p>
    <w:p w14:paraId="34A0B51C">
      <w:pPr>
        <w:keepNext w:val="0"/>
        <w:keepLines w:val="0"/>
        <w:pageBreakBefore w:val="0"/>
        <w:kinsoku/>
        <w:wordWrap/>
        <w:overflowPunct/>
        <w:topLinePunct w:val="0"/>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三、项目实施及管理情况</w:t>
      </w:r>
    </w:p>
    <w:p w14:paraId="41F776E2">
      <w:pPr>
        <w:pStyle w:val="15"/>
        <w:keepNext w:val="0"/>
        <w:keepLines w:val="0"/>
        <w:pageBreakBefore w:val="0"/>
        <w:widowControl/>
        <w:shd w:val="clear" w:color="auto" w:fill="FFFFFF"/>
        <w:kinsoku/>
        <w:wordWrap/>
        <w:overflowPunct/>
        <w:topLinePunct w:val="0"/>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3E0696A1">
      <w:pPr>
        <w:keepNext w:val="0"/>
        <w:keepLines w:val="0"/>
        <w:pageBreakBefore w:val="0"/>
        <w:kinsoku/>
        <w:wordWrap/>
        <w:overflowPunct/>
        <w:topLinePunct w:val="0"/>
        <w:bidi w:val="0"/>
        <w:adjustRightInd w:val="0"/>
        <w:snapToGrid w:val="0"/>
        <w:spacing w:line="560" w:lineRule="exact"/>
        <w:ind w:firstLine="720"/>
        <w:textAlignment w:val="auto"/>
        <w:rPr>
          <w:color w:val="auto"/>
          <w:sz w:val="32"/>
          <w:szCs w:val="32"/>
          <w:lang w:val="zh-CN"/>
        </w:rPr>
      </w:pPr>
      <w:r>
        <w:rPr>
          <w:rFonts w:eastAsia="黑体"/>
          <w:color w:val="auto"/>
          <w:sz w:val="32"/>
          <w:szCs w:val="32"/>
        </w:rPr>
        <w:t>四、项目绩效情况</w:t>
      </w:r>
      <w:r>
        <w:rPr>
          <w:color w:val="auto"/>
          <w:sz w:val="32"/>
          <w:szCs w:val="32"/>
          <w:lang w:val="zh-CN"/>
        </w:rPr>
        <w:tab/>
      </w:r>
    </w:p>
    <w:p w14:paraId="19A1B9C4">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（一）项目完成情况。</w:t>
      </w:r>
    </w:p>
    <w:p w14:paraId="482703FD">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仁和城区范围城市燃气管道老化更新改造项目经费用于工程款、监理费用等工作支出，圆满完成了2023年燃气改造项目建设工作任务。</w:t>
      </w:r>
      <w:r>
        <w:rPr>
          <w:rFonts w:hint="eastAsia" w:ascii="Times New Roman" w:hAnsi="Times New Roman" w:eastAsia="仿宋_GB2312" w:cs="Times New Roman"/>
          <w:color w:val="auto"/>
          <w:kern w:val="2"/>
          <w:sz w:val="32"/>
          <w:szCs w:val="32"/>
          <w:lang w:val="en-US" w:eastAsia="zh-CN" w:bidi="ar-SA"/>
        </w:rPr>
        <w:t>有效消除辖区老旧燃气管道泄漏、爆燃等安全隐患，大幅降低城市燃气安全事故发生率，全面提升城市燃气供气安全性、稳定性和连续性，有效保障辖区</w:t>
      </w:r>
      <w:r>
        <w:rPr>
          <w:rFonts w:hint="eastAsia" w:ascii="Times New Roman" w:hAnsi="Times New Roman" w:eastAsia="仿宋_GB2312" w:cs="Times New Roman"/>
          <w:color w:val="auto"/>
          <w:kern w:val="2"/>
          <w:sz w:val="32"/>
          <w:szCs w:val="32"/>
          <w:lang w:val="zh-CN" w:eastAsia="zh-CN" w:bidi="ar-SA"/>
        </w:rPr>
        <w:t>9个老旧小区，5734户</w:t>
      </w:r>
      <w:r>
        <w:rPr>
          <w:rFonts w:hint="eastAsia" w:ascii="Times New Roman" w:hAnsi="Times New Roman" w:eastAsia="仿宋_GB2312" w:cs="Times New Roman"/>
          <w:color w:val="auto"/>
          <w:kern w:val="2"/>
          <w:sz w:val="32"/>
          <w:szCs w:val="32"/>
          <w:lang w:val="en-US" w:eastAsia="zh-CN" w:bidi="ar-SA"/>
        </w:rPr>
        <w:t>居民正常用气需求，筑牢城市公共安全防线，提升城市基础设施保障水平，维护社会和谐稳定，社会效益显著。</w:t>
      </w:r>
    </w:p>
    <w:p w14:paraId="64E703B8">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（二）项目效益情况。</w:t>
      </w:r>
    </w:p>
    <w:p w14:paraId="36FCD925">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改造完成后，有效杜绝燃气泄漏问题，减少天然气资源损耗和废气排放，优化城市生态环境，实现节能降耗、绿色运维的建设目标，生态效益良好，本次更新改造的燃气管道及配套设备均采用新型耐腐蚀、高安全性材料，设备使用寿命大幅延长，可长期保障辖区燃气系统安全、稳定、高效运行，完善城市市政基础设施长效运维体系，为城市长远发展、民生持续保障提供坚实支撑，具备良好的可持续发展效益。</w:t>
      </w:r>
    </w:p>
    <w:p w14:paraId="28D5D312">
      <w:pPr>
        <w:keepNext w:val="0"/>
        <w:keepLines w:val="0"/>
        <w:pageBreakBefore w:val="0"/>
        <w:kinsoku/>
        <w:wordWrap/>
        <w:overflowPunct/>
        <w:topLinePunct w:val="0"/>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五、评价结论及建议</w:t>
      </w:r>
    </w:p>
    <w:p w14:paraId="5C9076B0">
      <w:pPr>
        <w:keepNext w:val="0"/>
        <w:keepLines w:val="0"/>
        <w:pageBreakBefore w:val="0"/>
        <w:kinsoku/>
        <w:wordWrap/>
        <w:overflowPunct/>
        <w:topLinePunct w:val="0"/>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（一）评价结论。</w:t>
      </w:r>
    </w:p>
    <w:p w14:paraId="3B872BA3">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项目立项科学合理、实施程序规范、资金使用合规高效，全面完成年度各项建设任务和绩效目标，通过项目实施，彻底整治辖区老旧燃气管道安全隐患，有效提升城市燃气基础设施配套水平、供气保障能力，切实保障群众生命财产安全，改善民生服务质量，社会效益、生态效益、可持续效益突出，财政专项资金使用效益充分发挥。</w:t>
      </w:r>
    </w:p>
    <w:p w14:paraId="6E34502C">
      <w:pPr>
        <w:keepNext w:val="0"/>
        <w:keepLines w:val="0"/>
        <w:pageBreakBefore w:val="0"/>
        <w:kinsoku/>
        <w:wordWrap/>
        <w:overflowPunct/>
        <w:topLinePunct w:val="0"/>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74FF61EB">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42E47D59">
      <w:pPr>
        <w:keepNext w:val="0"/>
        <w:keepLines w:val="0"/>
        <w:pageBreakBefore w:val="0"/>
        <w:kinsoku/>
        <w:wordWrap/>
        <w:overflowPunct/>
        <w:topLinePunct w:val="0"/>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5DE179B0">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27DAF9BE">
      <w:pPr>
        <w:keepNext w:val="0"/>
        <w:keepLines w:val="0"/>
        <w:pageBreakBefore w:val="0"/>
        <w:kinsoku/>
        <w:wordWrap/>
        <w:overflowPunct/>
        <w:topLinePunct w:val="0"/>
        <w:bidi w:val="0"/>
        <w:spacing w:line="560" w:lineRule="exact"/>
        <w:ind w:firstLine="3520" w:firstLineChars="1100"/>
        <w:jc w:val="left"/>
        <w:textAlignment w:val="auto"/>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3D28B965">
      <w:pPr>
        <w:keepNext w:val="0"/>
        <w:keepLines w:val="0"/>
        <w:pageBreakBefore w:val="0"/>
        <w:kinsoku/>
        <w:wordWrap/>
        <w:overflowPunct/>
        <w:topLinePunct w:val="0"/>
        <w:bidi w:val="0"/>
        <w:spacing w:line="560" w:lineRule="exact"/>
        <w:ind w:firstLine="4480" w:firstLineChars="1400"/>
        <w:textAlignment w:val="auto"/>
        <w:rPr>
          <w:rFonts w:hint="eastAsia" w:ascii="宋体" w:hAnsi="宋体" w:cs="宋体"/>
          <w:color w:val="auto"/>
          <w:kern w:val="2"/>
          <w:sz w:val="40"/>
          <w:szCs w:val="40"/>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69FF7A5D">
      <w:pPr>
        <w:pStyle w:val="35"/>
        <w:keepNext w:val="0"/>
        <w:keepLines w:val="0"/>
        <w:pageBreakBefore w:val="0"/>
        <w:kinsoku/>
        <w:wordWrap/>
        <w:overflowPunct/>
        <w:topLinePunct w:val="0"/>
        <w:autoSpaceDE/>
        <w:autoSpaceDN/>
        <w:bidi w:val="0"/>
        <w:spacing w:line="560" w:lineRule="exact"/>
        <w:ind w:firstLine="1200" w:firstLineChars="300"/>
        <w:jc w:val="both"/>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72885000">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792694B7">
      <w:pPr>
        <w:pStyle w:val="35"/>
        <w:keepNext w:val="0"/>
        <w:keepLines w:val="0"/>
        <w:pageBreakBefore w:val="0"/>
        <w:kinsoku/>
        <w:wordWrap/>
        <w:overflowPunct/>
        <w:topLinePunct w:val="0"/>
        <w:autoSpaceDE/>
        <w:autoSpaceDN/>
        <w:bidi w:val="0"/>
        <w:spacing w:line="560" w:lineRule="exact"/>
        <w:jc w:val="center"/>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2024年燃气改造项目资金</w:t>
      </w:r>
      <w:r>
        <w:rPr>
          <w:rFonts w:ascii="Times New Roman" w:hAnsi="Times New Roman" w:eastAsia="仿宋_GB2312"/>
          <w:color w:val="auto"/>
          <w:kern w:val="2"/>
          <w:sz w:val="32"/>
          <w:szCs w:val="32"/>
        </w:rPr>
        <w:t>）</w:t>
      </w:r>
    </w:p>
    <w:p w14:paraId="02C7272C">
      <w:pPr>
        <w:pStyle w:val="35"/>
        <w:keepNext w:val="0"/>
        <w:keepLines w:val="0"/>
        <w:pageBreakBefore w:val="0"/>
        <w:kinsoku/>
        <w:wordWrap/>
        <w:overflowPunct/>
        <w:topLinePunct w:val="0"/>
        <w:autoSpaceDE/>
        <w:autoSpaceDN/>
        <w:bidi w:val="0"/>
        <w:spacing w:line="560" w:lineRule="exact"/>
        <w:ind w:firstLine="640"/>
        <w:jc w:val="center"/>
        <w:textAlignment w:val="auto"/>
        <w:rPr>
          <w:rFonts w:ascii="Times New Roman" w:hAnsi="Times New Roman"/>
          <w:color w:val="auto"/>
          <w:kern w:val="2"/>
          <w:sz w:val="32"/>
          <w:szCs w:val="32"/>
        </w:rPr>
      </w:pPr>
    </w:p>
    <w:p w14:paraId="0F1F96E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E6325F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（一）项目基本情况。</w:t>
      </w:r>
    </w:p>
    <w:p w14:paraId="4FF0802F">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2024年燃气改造项目</w:t>
      </w:r>
      <w:r>
        <w:rPr>
          <w:rFonts w:hint="eastAsia" w:ascii="Times New Roman" w:hAnsi="Times New Roman" w:eastAsia="仿宋_GB2312" w:cs="Times New Roman"/>
          <w:color w:val="auto"/>
          <w:kern w:val="2"/>
          <w:sz w:val="32"/>
          <w:szCs w:val="32"/>
          <w:lang w:val="en-US" w:eastAsia="zh-CN" w:bidi="ar-SA"/>
        </w:rPr>
        <w:t>资金主要用于老城区12个老旧小区，涉及居民14784户城市燃气管道老化更新改造建设，改造更新庭院管道96公里（含小区水泥路面拆除与恢复），立管（含引入管、水平干管）52公里，用户端更换橡胶软管29568根，加装燃气报警器及配套切断阀14784个，自闭阀14784个，</w:t>
      </w:r>
      <w:r>
        <w:rPr>
          <w:rFonts w:hint="eastAsia" w:ascii="Times New Roman" w:hAnsi="Times New Roman" w:eastAsia="仿宋_GB2312" w:cs="Times New Roman"/>
          <w:color w:val="auto"/>
          <w:kern w:val="2"/>
          <w:sz w:val="32"/>
          <w:szCs w:val="32"/>
          <w:lang w:val="zh-CN" w:eastAsia="zh-CN" w:bidi="ar-SA"/>
        </w:rPr>
        <w:t>有效解决老旧小区燃气管道老化问题，消除安全隐患。同时，有利于老旧小区居民早日用上洁净、经济的管道天然气，人民群众安全感、获得感和幸福感将得到进一步提升。</w:t>
      </w:r>
    </w:p>
    <w:p w14:paraId="28601CF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eastAsia="zh-CN"/>
        </w:rPr>
      </w:pPr>
      <w:r>
        <w:rPr>
          <w:rFonts w:eastAsia="楷体_GB2312"/>
          <w:b/>
          <w:color w:val="auto"/>
          <w:sz w:val="32"/>
          <w:szCs w:val="32"/>
          <w:lang w:val="zh-CN" w:eastAsia="zh-CN"/>
        </w:rPr>
        <w:t>（二）项目绩效目标。</w:t>
      </w:r>
    </w:p>
    <w:p w14:paraId="22F033A8">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对辖区内老旧燃气管道排查、拆除、更新改造及配套设施升级，项目目标为彻底消除老旧燃气管道安全隐患，提升城市燃气供气保障能力，完善城市市政基础设施体系，保障群众生命财产安全，改善民生福祉，依据城市基础设施更新改造专项规划、安全生产专项整治工作要求，完成辖区内全部管道安全检测和更新改造任务，改善群众生活环境，提高群众生活质量。</w:t>
      </w:r>
    </w:p>
    <w:p w14:paraId="10F186E6">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申报内容与实际相符，申报目标合理可行。</w:t>
      </w:r>
    </w:p>
    <w:p w14:paraId="5564837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eastAsia="zh-CN"/>
        </w:rPr>
      </w:pPr>
      <w:r>
        <w:rPr>
          <w:rFonts w:eastAsia="楷体_GB2312"/>
          <w:b/>
          <w:color w:val="auto"/>
          <w:sz w:val="32"/>
          <w:szCs w:val="32"/>
          <w:lang w:val="zh-CN" w:eastAsia="zh-CN"/>
        </w:rPr>
        <w:t>（三）项目自评步骤及方法。</w:t>
      </w:r>
    </w:p>
    <w:p w14:paraId="45196DD8">
      <w:pPr>
        <w:keepNext w:val="0"/>
        <w:keepLines w:val="0"/>
        <w:pageBreakBefore w:val="0"/>
        <w:kinsoku/>
        <w:wordWrap/>
        <w:overflowPunct/>
        <w:topLinePunct w:val="0"/>
        <w:autoSpaceDE w:val="0"/>
        <w:autoSpaceDN w:val="0"/>
        <w:bidi w:val="0"/>
        <w:adjustRightInd w:val="0"/>
        <w:spacing w:line="560" w:lineRule="exact"/>
        <w:ind w:firstLine="640" w:firstLineChars="200"/>
        <w:jc w:val="left"/>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仁和城区范围城市燃气管道老化更新改造项目资金采用科室自评办法。</w:t>
      </w:r>
    </w:p>
    <w:p w14:paraId="37314274">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二、项目资金申报及使用情况</w:t>
      </w:r>
    </w:p>
    <w:p w14:paraId="10F06E8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（一）项目资金申报及批复情况。</w:t>
      </w:r>
    </w:p>
    <w:p w14:paraId="25794757">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仁和城区范围内城市燃气管道等老化更新改造项目资金，由上级补助资金和区级配套资金两部分组成。其中，60%申请中央预算内资金，其余40%由区财政予以配套。</w:t>
      </w:r>
    </w:p>
    <w:p w14:paraId="571C5CB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rPr>
      </w:pPr>
      <w:r>
        <w:rPr>
          <w:rFonts w:hint="eastAsia" w:eastAsia="楷体_GB2312"/>
          <w:b/>
          <w:color w:val="auto"/>
          <w:sz w:val="32"/>
          <w:szCs w:val="32"/>
          <w:lang w:val="zh-CN"/>
        </w:rPr>
        <w:t>（</w:t>
      </w:r>
      <w:r>
        <w:rPr>
          <w:rFonts w:hint="eastAsia" w:eastAsia="楷体_GB2312"/>
          <w:b/>
          <w:color w:val="auto"/>
          <w:sz w:val="32"/>
          <w:szCs w:val="32"/>
          <w:lang w:val="en-US" w:eastAsia="zh-CN"/>
        </w:rPr>
        <w:t>二</w:t>
      </w:r>
      <w:r>
        <w:rPr>
          <w:rFonts w:hint="eastAsia" w:eastAsia="楷体_GB2312"/>
          <w:b/>
          <w:color w:val="auto"/>
          <w:sz w:val="32"/>
          <w:szCs w:val="32"/>
          <w:lang w:val="zh-CN"/>
        </w:rPr>
        <w:t>）</w:t>
      </w:r>
      <w:r>
        <w:rPr>
          <w:rFonts w:eastAsia="楷体_GB2312"/>
          <w:b/>
          <w:color w:val="auto"/>
          <w:sz w:val="32"/>
          <w:szCs w:val="32"/>
          <w:lang w:val="zh-CN"/>
        </w:rPr>
        <w:t>资金计划、到位及使用情况。</w:t>
      </w:r>
    </w:p>
    <w:p w14:paraId="12E0026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7752</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74F5CF0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200</w:t>
      </w:r>
      <w:r>
        <w:rPr>
          <w:rFonts w:hint="eastAsia" w:ascii="Times New Roman" w:hAnsi="Times New Roman" w:eastAsia="仿宋_GB2312" w:cs="Times New Roman"/>
          <w:color w:val="auto"/>
          <w:kern w:val="2"/>
          <w:sz w:val="32"/>
          <w:szCs w:val="32"/>
          <w:lang w:val="zh-CN" w:eastAsia="zh-CN" w:bidi="ar-SA"/>
        </w:rPr>
        <w:t>万元，到位率</w:t>
      </w:r>
      <w:r>
        <w:rPr>
          <w:rFonts w:hint="eastAsia" w:ascii="Times New Roman" w:hAnsi="Times New Roman" w:eastAsia="仿宋_GB2312" w:cs="Times New Roman"/>
          <w:color w:val="auto"/>
          <w:kern w:val="2"/>
          <w:sz w:val="32"/>
          <w:szCs w:val="32"/>
          <w:lang w:val="en-US" w:eastAsia="zh-CN" w:bidi="ar-SA"/>
        </w:rPr>
        <w:t>2.58</w:t>
      </w:r>
      <w:r>
        <w:rPr>
          <w:rFonts w:hint="eastAsia" w:ascii="Times New Roman" w:hAnsi="Times New Roman" w:eastAsia="仿宋_GB2312" w:cs="Times New Roman"/>
          <w:color w:val="auto"/>
          <w:kern w:val="2"/>
          <w:sz w:val="32"/>
          <w:szCs w:val="32"/>
          <w:lang w:val="zh-CN" w:eastAsia="zh-CN" w:bidi="ar-SA"/>
        </w:rPr>
        <w:t>%。</w:t>
      </w:r>
    </w:p>
    <w:p w14:paraId="3245965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200</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385EEC4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rPr>
      </w:pPr>
      <w:r>
        <w:rPr>
          <w:rFonts w:hint="eastAsia" w:eastAsia="楷体_GB2312"/>
          <w:b/>
          <w:color w:val="auto"/>
          <w:sz w:val="32"/>
          <w:szCs w:val="32"/>
          <w:lang w:val="zh-CN"/>
        </w:rPr>
        <w:t>（三）项目财务管理情况。</w:t>
      </w:r>
    </w:p>
    <w:p w14:paraId="53E574D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p>
    <w:p w14:paraId="12006A8D">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三、项目实施及管理情况</w:t>
      </w:r>
    </w:p>
    <w:p w14:paraId="3E639D62">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03490D4D">
      <w:pPr>
        <w:keepNext w:val="0"/>
        <w:keepLines w:val="0"/>
        <w:pageBreakBefore w:val="0"/>
        <w:kinsoku/>
        <w:wordWrap/>
        <w:overflowPunct/>
        <w:topLinePunct w:val="0"/>
        <w:autoSpaceDE/>
        <w:autoSpaceDN/>
        <w:bidi w:val="0"/>
        <w:adjustRightInd w:val="0"/>
        <w:snapToGrid w:val="0"/>
        <w:spacing w:line="560" w:lineRule="exact"/>
        <w:ind w:firstLine="720"/>
        <w:textAlignment w:val="auto"/>
        <w:rPr>
          <w:color w:val="auto"/>
          <w:sz w:val="32"/>
          <w:szCs w:val="32"/>
          <w:lang w:val="zh-CN"/>
        </w:rPr>
      </w:pPr>
      <w:r>
        <w:rPr>
          <w:rFonts w:eastAsia="黑体"/>
          <w:color w:val="auto"/>
          <w:sz w:val="32"/>
          <w:szCs w:val="32"/>
        </w:rPr>
        <w:t>四、项目绩效情况</w:t>
      </w:r>
      <w:r>
        <w:rPr>
          <w:color w:val="auto"/>
          <w:sz w:val="32"/>
          <w:szCs w:val="32"/>
          <w:lang w:val="zh-CN"/>
        </w:rPr>
        <w:tab/>
      </w:r>
    </w:p>
    <w:p w14:paraId="321FD05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rPr>
      </w:pPr>
      <w:r>
        <w:rPr>
          <w:rFonts w:hint="eastAsia" w:eastAsia="楷体_GB2312"/>
          <w:b/>
          <w:color w:val="auto"/>
          <w:sz w:val="32"/>
          <w:szCs w:val="32"/>
          <w:lang w:val="zh-CN"/>
        </w:rPr>
        <w:t>（一）项目完成情况。</w:t>
      </w:r>
    </w:p>
    <w:p w14:paraId="7DB3C44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城市燃气管道老化更新改造项目，</w:t>
      </w:r>
      <w:r>
        <w:rPr>
          <w:rFonts w:hint="eastAsia" w:ascii="Times New Roman" w:hAnsi="Times New Roman" w:eastAsia="仿宋_GB2312" w:cs="Times New Roman"/>
          <w:color w:val="auto"/>
          <w:kern w:val="2"/>
          <w:sz w:val="32"/>
          <w:szCs w:val="32"/>
          <w:lang w:val="en-US" w:eastAsia="zh-CN" w:bidi="ar-SA"/>
        </w:rPr>
        <w:t>完成老城区12个老旧小区，涉及居民14784户城市燃气管道老化更新改造建设，改造更新庭院管道96公里（含小区水泥路面拆除与恢复），立管（含引入管、水平干管）52公里，用户端更换橡胶软管29568根，加装燃气报警器及配套切断阀14784个，自闭阀14784个，项目施工全过程严格执行国家市政工程坚实标准，严格落实工程监理、质量抽检制度，所有施工标段均通过竣工验收、安全复检，工程质量全部达标，项目严格对照施工进度计划有序推进，按期完成全部建设、验收、交付工作，有效消除辖区老旧燃气管道泄漏、爆燃等安全隐患，大幅降低城市燃气安全事故发生率，全面提升城市燃气供气安全性、稳定性和连续性，有效保障辖区</w:t>
      </w:r>
      <w:r>
        <w:rPr>
          <w:rFonts w:hint="eastAsia" w:ascii="Times New Roman" w:hAnsi="Times New Roman" w:eastAsia="仿宋_GB2312" w:cs="Times New Roman"/>
          <w:color w:val="auto"/>
          <w:kern w:val="2"/>
          <w:sz w:val="32"/>
          <w:szCs w:val="32"/>
          <w:lang w:val="zh-CN" w:eastAsia="zh-CN" w:bidi="ar-SA"/>
        </w:rPr>
        <w:t>老旧小区</w:t>
      </w:r>
      <w:r>
        <w:rPr>
          <w:rFonts w:hint="eastAsia" w:ascii="Times New Roman" w:hAnsi="Times New Roman" w:eastAsia="仿宋_GB2312" w:cs="Times New Roman"/>
          <w:color w:val="auto"/>
          <w:kern w:val="2"/>
          <w:sz w:val="32"/>
          <w:szCs w:val="32"/>
          <w:lang w:val="en-US" w:eastAsia="zh-CN" w:bidi="ar-SA"/>
        </w:rPr>
        <w:t>居民正常用气需求，筑牢城市公共安全防线，提升城市基础设施保障水平，维护社会和谐稳定，社会效益显著。</w:t>
      </w:r>
    </w:p>
    <w:p w14:paraId="1ECB866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rPr>
      </w:pPr>
      <w:r>
        <w:rPr>
          <w:rFonts w:hint="eastAsia" w:eastAsia="楷体_GB2312"/>
          <w:b/>
          <w:color w:val="auto"/>
          <w:sz w:val="32"/>
          <w:szCs w:val="32"/>
          <w:lang w:val="zh-CN"/>
        </w:rPr>
        <w:t>（二）项目效益情况。</w:t>
      </w:r>
    </w:p>
    <w:p w14:paraId="555B607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改造完成后，有效杜绝燃气泄漏问题，减少天然气资源损耗和废气排放，优化城市生态环境，实现节能降耗、绿色运维的建设目标，生态效益良好，本次更新改造的燃气管道及配套设备均采用新型耐腐蚀、高安全性材料，设备使用寿命大幅延长，可长期保障辖区燃气系统安全、稳定、高效运行，完善城市市政基础设施长效运维体系，为城市长远发展、民生持续保障提供坚实支撑，具备良好的可持续发展效益。</w:t>
      </w:r>
    </w:p>
    <w:p w14:paraId="12CDE47A">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五、评价结论及建议</w:t>
      </w:r>
    </w:p>
    <w:p w14:paraId="3A7FE95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rPr>
      </w:pPr>
      <w:r>
        <w:rPr>
          <w:rFonts w:hint="eastAsia" w:eastAsia="楷体_GB2312"/>
          <w:b/>
          <w:color w:val="auto"/>
          <w:sz w:val="32"/>
          <w:szCs w:val="32"/>
          <w:lang w:val="zh-CN"/>
        </w:rPr>
        <w:t>（一）评价结论。</w:t>
      </w:r>
    </w:p>
    <w:p w14:paraId="6AE8170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项目立项科学合理、实施程序规范，项目所有支出严格执行预算标准，厉行节约、严控成本，成本控制合规有效，全面完成年度各项建设任务和绩效目标，通过项目实施，彻底整治辖区老旧燃气管道安全隐患，有效提升城市燃气基础设施配套水平、供气保障能力，切实保障群众生命财产安全，改善民生服务质量，社会效益、生态效益、可持续效益突出，财政专项资金使用效益充分发挥。</w:t>
      </w:r>
    </w:p>
    <w:p w14:paraId="3DE1610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（二）存在的问题。</w:t>
      </w:r>
    </w:p>
    <w:p w14:paraId="06FE1F8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62D72A2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sz w:val="32"/>
          <w:szCs w:val="32"/>
          <w:lang w:val="zh-CN"/>
        </w:rPr>
      </w:pPr>
      <w:r>
        <w:rPr>
          <w:rFonts w:eastAsia="楷体_GB2312"/>
          <w:b/>
          <w:color w:val="auto"/>
          <w:sz w:val="32"/>
          <w:szCs w:val="32"/>
          <w:lang w:val="zh-CN"/>
        </w:rPr>
        <w:t>（三）相关建议。</w:t>
      </w:r>
    </w:p>
    <w:p w14:paraId="07A691E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color w:val="auto"/>
          <w:lang w:val="en-US" w:eastAsia="zh-CN"/>
        </w:rPr>
      </w:pPr>
      <w:r>
        <w:rPr>
          <w:rFonts w:hint="eastAsia" w:ascii="Times New Roman" w:hAnsi="Times New Roman" w:eastAsia="仿宋_GB2312" w:cs="Times New Roman"/>
          <w:color w:val="auto"/>
          <w:kern w:val="2"/>
          <w:sz w:val="32"/>
          <w:szCs w:val="32"/>
          <w:lang w:val="en-US" w:eastAsia="zh-CN" w:bidi="ar-SA"/>
        </w:rPr>
        <w:t>无</w:t>
      </w:r>
    </w:p>
    <w:p w14:paraId="7136D9AE">
      <w:pPr>
        <w:keepNext w:val="0"/>
        <w:keepLines w:val="0"/>
        <w:pageBreakBefore w:val="0"/>
        <w:kinsoku/>
        <w:wordWrap/>
        <w:overflowPunct/>
        <w:topLinePunct w:val="0"/>
        <w:autoSpaceDE/>
        <w:autoSpaceDN/>
        <w:bidi w:val="0"/>
        <w:spacing w:line="560" w:lineRule="exact"/>
        <w:ind w:firstLine="420" w:firstLineChars="200"/>
        <w:textAlignment w:val="auto"/>
        <w:rPr>
          <w:rFonts w:hint="eastAsia"/>
          <w:color w:val="auto"/>
          <w:lang w:val="en-US" w:eastAsia="zh-CN"/>
        </w:rPr>
      </w:pPr>
    </w:p>
    <w:p w14:paraId="5931F18E">
      <w:pPr>
        <w:keepNext w:val="0"/>
        <w:keepLines w:val="0"/>
        <w:pageBreakBefore w:val="0"/>
        <w:kinsoku/>
        <w:wordWrap/>
        <w:overflowPunct/>
        <w:topLinePunct w:val="0"/>
        <w:autoSpaceDE/>
        <w:autoSpaceDN/>
        <w:bidi w:val="0"/>
        <w:spacing w:line="560" w:lineRule="exact"/>
        <w:ind w:firstLine="420" w:firstLineChars="200"/>
        <w:textAlignment w:val="auto"/>
        <w:rPr>
          <w:rFonts w:hint="eastAsia"/>
          <w:color w:val="auto"/>
          <w:lang w:val="en-US" w:eastAsia="zh-CN"/>
        </w:rPr>
      </w:pPr>
    </w:p>
    <w:p w14:paraId="04894035">
      <w:pPr>
        <w:keepNext w:val="0"/>
        <w:keepLines w:val="0"/>
        <w:pageBreakBefore w:val="0"/>
        <w:kinsoku/>
        <w:wordWrap/>
        <w:overflowPunct/>
        <w:topLinePunct w:val="0"/>
        <w:autoSpaceDE/>
        <w:autoSpaceDN/>
        <w:bidi w:val="0"/>
        <w:spacing w:line="560" w:lineRule="exact"/>
        <w:ind w:firstLine="420" w:firstLineChars="200"/>
        <w:textAlignment w:val="auto"/>
        <w:rPr>
          <w:rFonts w:hint="eastAsia"/>
          <w:color w:val="auto"/>
          <w:lang w:val="en-US" w:eastAsia="zh-CN"/>
        </w:rPr>
      </w:pPr>
    </w:p>
    <w:p w14:paraId="7602089D">
      <w:pPr>
        <w:keepNext w:val="0"/>
        <w:keepLines w:val="0"/>
        <w:pageBreakBefore w:val="0"/>
        <w:kinsoku/>
        <w:wordWrap/>
        <w:overflowPunct/>
        <w:topLinePunct w:val="0"/>
        <w:autoSpaceDE/>
        <w:autoSpaceDN/>
        <w:bidi w:val="0"/>
        <w:spacing w:line="560" w:lineRule="exact"/>
        <w:ind w:firstLine="3520" w:firstLineChars="1100"/>
        <w:jc w:val="left"/>
        <w:textAlignment w:val="auto"/>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0BF333D4">
      <w:pPr>
        <w:keepNext w:val="0"/>
        <w:keepLines w:val="0"/>
        <w:pageBreakBefore w:val="0"/>
        <w:kinsoku/>
        <w:wordWrap/>
        <w:overflowPunct/>
        <w:topLinePunct w:val="0"/>
        <w:autoSpaceDE/>
        <w:autoSpaceDN/>
        <w:bidi w:val="0"/>
        <w:spacing w:line="560" w:lineRule="exact"/>
        <w:ind w:firstLine="4480" w:firstLineChars="1400"/>
        <w:textAlignment w:val="auto"/>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15084711">
      <w:pPr>
        <w:pStyle w:val="35"/>
        <w:spacing w:line="578" w:lineRule="exact"/>
        <w:jc w:val="center"/>
        <w:rPr>
          <w:rFonts w:ascii="Times New Roman" w:hAnsi="Times New Roman" w:eastAsia="方正小标宋简体" w:cs="方正小标宋简体"/>
          <w:color w:val="auto"/>
          <w:kern w:val="2"/>
          <w:sz w:val="44"/>
          <w:szCs w:val="44"/>
          <w:lang w:val="en-US"/>
        </w:rPr>
      </w:pPr>
    </w:p>
    <w:p w14:paraId="2C1437D0">
      <w:pPr>
        <w:pStyle w:val="35"/>
        <w:spacing w:line="578" w:lineRule="exact"/>
        <w:jc w:val="center"/>
        <w:rPr>
          <w:rFonts w:ascii="Times New Roman" w:hAnsi="Times New Roman" w:eastAsia="方正小标宋简体" w:cs="方正小标宋简体"/>
          <w:color w:val="auto"/>
          <w:kern w:val="2"/>
          <w:sz w:val="44"/>
          <w:szCs w:val="44"/>
          <w:lang w:val="en-US"/>
        </w:rPr>
      </w:pPr>
    </w:p>
    <w:p w14:paraId="7AB4E1E6">
      <w:pPr>
        <w:pStyle w:val="35"/>
        <w:spacing w:line="578" w:lineRule="exact"/>
        <w:jc w:val="center"/>
        <w:rPr>
          <w:rFonts w:ascii="Times New Roman" w:hAnsi="Times New Roman" w:eastAsia="方正小标宋简体" w:cs="方正小标宋简体"/>
          <w:color w:val="auto"/>
          <w:kern w:val="2"/>
          <w:sz w:val="44"/>
          <w:szCs w:val="44"/>
          <w:lang w:val="en-US"/>
        </w:rPr>
      </w:pPr>
    </w:p>
    <w:p w14:paraId="6F9C307D">
      <w:pPr>
        <w:pStyle w:val="35"/>
        <w:spacing w:line="578" w:lineRule="exact"/>
        <w:jc w:val="center"/>
        <w:rPr>
          <w:rFonts w:ascii="Times New Roman" w:hAnsi="Times New Roman" w:eastAsia="方正小标宋简体" w:cs="方正小标宋简体"/>
          <w:color w:val="auto"/>
          <w:kern w:val="2"/>
          <w:sz w:val="44"/>
          <w:szCs w:val="44"/>
          <w:lang w:val="en-US"/>
        </w:rPr>
      </w:pPr>
    </w:p>
    <w:p w14:paraId="7DE95E4D">
      <w:pPr>
        <w:pStyle w:val="35"/>
        <w:spacing w:line="578" w:lineRule="exact"/>
        <w:jc w:val="center"/>
        <w:rPr>
          <w:rFonts w:ascii="Times New Roman" w:hAnsi="Times New Roman" w:eastAsia="方正小标宋简体" w:cs="方正小标宋简体"/>
          <w:color w:val="auto"/>
          <w:kern w:val="2"/>
          <w:sz w:val="44"/>
          <w:szCs w:val="44"/>
          <w:lang w:val="en-US"/>
        </w:rPr>
      </w:pPr>
    </w:p>
    <w:p w14:paraId="5D620BDF">
      <w:pPr>
        <w:pStyle w:val="35"/>
        <w:spacing w:line="578" w:lineRule="exact"/>
        <w:jc w:val="center"/>
        <w:rPr>
          <w:rFonts w:ascii="Times New Roman" w:hAnsi="Times New Roman" w:eastAsia="方正小标宋简体" w:cs="方正小标宋简体"/>
          <w:color w:val="auto"/>
          <w:kern w:val="2"/>
          <w:sz w:val="44"/>
          <w:szCs w:val="44"/>
          <w:lang w:val="en-US"/>
        </w:rPr>
      </w:pPr>
    </w:p>
    <w:p w14:paraId="04B936E7">
      <w:pPr>
        <w:pStyle w:val="35"/>
        <w:spacing w:line="578" w:lineRule="exact"/>
        <w:jc w:val="center"/>
        <w:rPr>
          <w:rFonts w:ascii="Times New Roman" w:hAnsi="Times New Roman" w:eastAsia="方正小标宋简体" w:cs="方正小标宋简体"/>
          <w:color w:val="auto"/>
          <w:kern w:val="2"/>
          <w:sz w:val="44"/>
          <w:szCs w:val="44"/>
          <w:lang w:val="en-US"/>
        </w:rPr>
      </w:pPr>
    </w:p>
    <w:p w14:paraId="109D739A">
      <w:pPr>
        <w:pStyle w:val="35"/>
        <w:spacing w:line="578" w:lineRule="exact"/>
        <w:jc w:val="center"/>
        <w:rPr>
          <w:rFonts w:ascii="Times New Roman" w:hAnsi="Times New Roman" w:eastAsia="方正小标宋简体" w:cs="方正小标宋简体"/>
          <w:color w:val="auto"/>
          <w:kern w:val="2"/>
          <w:sz w:val="44"/>
          <w:szCs w:val="44"/>
          <w:lang w:val="en-US"/>
        </w:rPr>
      </w:pPr>
    </w:p>
    <w:p w14:paraId="41DBF5D3">
      <w:pPr>
        <w:pStyle w:val="35"/>
        <w:spacing w:line="578" w:lineRule="exact"/>
        <w:jc w:val="center"/>
        <w:rPr>
          <w:rFonts w:ascii="Times New Roman" w:hAnsi="Times New Roman" w:eastAsia="方正小标宋简体" w:cs="方正小标宋简体"/>
          <w:color w:val="auto"/>
          <w:kern w:val="2"/>
          <w:sz w:val="44"/>
          <w:szCs w:val="44"/>
          <w:lang w:val="en-US"/>
        </w:rPr>
      </w:pPr>
    </w:p>
    <w:p w14:paraId="39E7FDBB">
      <w:pPr>
        <w:pStyle w:val="35"/>
        <w:keepNext w:val="0"/>
        <w:keepLines w:val="0"/>
        <w:pageBreakBefore w:val="0"/>
        <w:kinsoku/>
        <w:wordWrap/>
        <w:overflowPunct/>
        <w:topLinePunct w:val="0"/>
        <w:autoSpaceDE/>
        <w:autoSpaceDN/>
        <w:bidi w:val="0"/>
        <w:spacing w:line="560" w:lineRule="exact"/>
        <w:jc w:val="both"/>
        <w:textAlignment w:val="auto"/>
        <w:rPr>
          <w:rFonts w:hint="eastAsia" w:ascii="宋体" w:hAnsi="宋体" w:cs="宋体"/>
          <w:color w:val="auto"/>
          <w:kern w:val="2"/>
          <w:sz w:val="40"/>
          <w:szCs w:val="40"/>
          <w:lang w:val="en-US" w:eastAsia="zh-CN"/>
        </w:rPr>
      </w:pPr>
    </w:p>
    <w:p w14:paraId="5E707506">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729FD557">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0FE1A850">
      <w:pPr>
        <w:pStyle w:val="35"/>
        <w:keepNext w:val="0"/>
        <w:keepLines w:val="0"/>
        <w:pageBreakBefore w:val="0"/>
        <w:kinsoku/>
        <w:wordWrap/>
        <w:overflowPunct/>
        <w:topLinePunct w:val="0"/>
        <w:autoSpaceDE/>
        <w:autoSpaceDN/>
        <w:bidi w:val="0"/>
        <w:spacing w:line="560" w:lineRule="exact"/>
        <w:ind w:firstLine="2240" w:firstLineChars="700"/>
        <w:jc w:val="both"/>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2025年春节氛围营造项目</w:t>
      </w:r>
      <w:r>
        <w:rPr>
          <w:rFonts w:ascii="Times New Roman" w:hAnsi="Times New Roman" w:eastAsia="仿宋_GB2312"/>
          <w:color w:val="auto"/>
          <w:kern w:val="2"/>
          <w:sz w:val="32"/>
          <w:szCs w:val="32"/>
        </w:rPr>
        <w:t>）</w:t>
      </w:r>
    </w:p>
    <w:p w14:paraId="2BFE186F">
      <w:pPr>
        <w:pStyle w:val="35"/>
        <w:keepNext w:val="0"/>
        <w:keepLines w:val="0"/>
        <w:pageBreakBefore w:val="0"/>
        <w:kinsoku/>
        <w:wordWrap/>
        <w:overflowPunct/>
        <w:topLinePunct w:val="0"/>
        <w:autoSpaceDE/>
        <w:autoSpaceDN/>
        <w:bidi w:val="0"/>
        <w:spacing w:line="560" w:lineRule="exact"/>
        <w:ind w:firstLine="640"/>
        <w:jc w:val="center"/>
        <w:textAlignment w:val="auto"/>
        <w:rPr>
          <w:rFonts w:ascii="Times New Roman" w:hAnsi="Times New Roman"/>
          <w:color w:val="auto"/>
          <w:kern w:val="2"/>
          <w:sz w:val="32"/>
          <w:szCs w:val="32"/>
        </w:rPr>
      </w:pPr>
    </w:p>
    <w:p w14:paraId="730292F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60D571D1">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eastAsia="楷体_GB2312"/>
          <w:b/>
          <w:color w:val="auto"/>
          <w:sz w:val="32"/>
          <w:szCs w:val="32"/>
          <w:lang w:val="zh-CN"/>
        </w:rPr>
      </w:pPr>
      <w:r>
        <w:rPr>
          <w:rFonts w:eastAsia="楷体_GB2312"/>
          <w:b/>
          <w:color w:val="auto"/>
          <w:sz w:val="32"/>
          <w:szCs w:val="32"/>
          <w:lang w:val="zh-CN"/>
        </w:rPr>
        <w:t>（一）项目基本情况。</w:t>
      </w:r>
    </w:p>
    <w:p w14:paraId="0E09BDE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2025年春节氛围营造项目</w:t>
      </w:r>
      <w:r>
        <w:rPr>
          <w:rFonts w:hint="eastAsia" w:ascii="Times New Roman" w:hAnsi="Times New Roman" w:eastAsia="仿宋_GB2312" w:cs="Times New Roman"/>
          <w:color w:val="auto"/>
          <w:kern w:val="2"/>
          <w:sz w:val="32"/>
          <w:szCs w:val="32"/>
          <w:lang w:val="en-US" w:eastAsia="zh-CN" w:bidi="ar-SA"/>
        </w:rPr>
        <w:t>资金主要用于对辖区主次干道、交通路口、高铁南站、沿街行道树统一悬挂新春灯笼、中国结、彩灯串、新春道旗，更换新春标语，融入新春祝福、文明新风、城市特色、传统文化等元素，突出简约喜庆、文明雅致的节日风格，打造一路一景的新春街景，其次，重点节点打造，在仁和广场等人员密集区域，搭建新春主题景观、迎春拱门，布置仿真花卉、新春造景，设置新年打卡点，搭配灯光夜景装置，白天景观精致喜庆、夜晚灯光璀璨绚烂，成为群众新春打卡休闲的热门景点，全方位提升辖区节日视觉氛围、文化氛围、群众体验氛围，让广大群众度过一个欢乐、喜庆、祥和的新春佳节，同时充分展示辖区经济社会发展成果、文明建设成效，提升群众幸福感、获得感与归属感。</w:t>
      </w:r>
    </w:p>
    <w:p w14:paraId="68B3D97E">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eastAsia="楷体_GB2312"/>
          <w:b/>
          <w:color w:val="auto"/>
          <w:sz w:val="32"/>
          <w:szCs w:val="32"/>
          <w:lang w:val="zh-CN" w:eastAsia="zh-CN"/>
        </w:rPr>
      </w:pPr>
      <w:r>
        <w:rPr>
          <w:rFonts w:eastAsia="楷体_GB2312"/>
          <w:b/>
          <w:color w:val="auto"/>
          <w:sz w:val="32"/>
          <w:szCs w:val="32"/>
          <w:lang w:val="zh-CN" w:eastAsia="zh-CN"/>
        </w:rPr>
        <w:t>（二）项目绩效目标。</w:t>
      </w:r>
    </w:p>
    <w:p w14:paraId="4F65456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以“欢乐新春、文明祥和”为主题元素，通过全域化景观设计，完成辖区主次干道、公园文化广场等重点区域春节景观亮化、美化布置，全方位打造浓厚春节节日氛围，传承传统年俗文化，弘扬新时代文明新风，丰富群众节日文化生活，塑造整洁优美、喜庆热烈的城市形象和康养之城形象，吸引更多康养旅居游客，推动我辖区经济社会发展；规范节后处置，实现无痕恢复原状，节日结束后，按照“安全拆除、有序清理、恢复原貌、干净整洁”的要求，分片区、分批次有序开展灯饰挂件、亮化设施、拆除清运工作，拆除过程做到轻拆轻取、杜绝损坏市政设施、树木植被，所有废旧物料统一回收分类处置，及时清理残留垃圾、杂物，全部恢复道路、绿地、广场原有市容面貌，实现节日氛围布置全周期闭环管理。</w:t>
      </w:r>
    </w:p>
    <w:p w14:paraId="49919328">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eastAsia="楷体_GB2312"/>
          <w:b/>
          <w:color w:val="auto"/>
          <w:sz w:val="32"/>
          <w:szCs w:val="32"/>
          <w:lang w:val="zh-CN" w:eastAsia="zh-CN"/>
        </w:rPr>
      </w:pPr>
      <w:r>
        <w:rPr>
          <w:rFonts w:eastAsia="楷体_GB2312"/>
          <w:b/>
          <w:color w:val="auto"/>
          <w:sz w:val="32"/>
          <w:szCs w:val="32"/>
          <w:lang w:val="zh-CN" w:eastAsia="zh-CN"/>
        </w:rPr>
        <w:t>（三）项目自评步骤及方法。</w:t>
      </w:r>
    </w:p>
    <w:p w14:paraId="25758115">
      <w:pPr>
        <w:keepNext w:val="0"/>
        <w:keepLines w:val="0"/>
        <w:pageBreakBefore w:val="0"/>
        <w:kinsoku/>
        <w:wordWrap/>
        <w:overflowPunct/>
        <w:topLinePunct w:val="0"/>
        <w:autoSpaceDE/>
        <w:autoSpaceDN/>
        <w:bidi w:val="0"/>
        <w:adjustRightInd w:val="0"/>
        <w:snapToGrid w:val="0"/>
        <w:spacing w:line="560" w:lineRule="exact"/>
        <w:ind w:firstLine="720"/>
        <w:jc w:val="left"/>
        <w:textAlignment w:val="auto"/>
        <w:rPr>
          <w:rFonts w:hint="eastAsia" w:ascii="仿宋_GB2312" w:hAnsi="仿宋_GB2312" w:cs="仿宋_GB2312"/>
          <w:color w:val="auto"/>
          <w:sz w:val="32"/>
          <w:szCs w:val="32"/>
          <w:shd w:val="clear" w:color="auto" w:fill="FFFFFF"/>
          <w:lang w:val="zh-CN" w:eastAsia="zh-CN"/>
        </w:rPr>
      </w:pPr>
      <w:r>
        <w:rPr>
          <w:rFonts w:hint="eastAsia" w:ascii="Times New Roman" w:hAnsi="Times New Roman" w:eastAsia="仿宋_GB2312" w:cs="Times New Roman"/>
          <w:color w:val="auto"/>
          <w:kern w:val="2"/>
          <w:sz w:val="32"/>
          <w:szCs w:val="32"/>
          <w:lang w:val="zh-CN" w:eastAsia="zh-CN" w:bidi="ar-SA"/>
        </w:rPr>
        <w:t>春节氛围营造项目</w:t>
      </w:r>
      <w:r>
        <w:rPr>
          <w:rFonts w:hint="eastAsia" w:ascii="Times New Roman" w:hAnsi="Times New Roman" w:eastAsia="仿宋_GB2312" w:cs="Times New Roman"/>
          <w:color w:val="auto"/>
          <w:kern w:val="2"/>
          <w:sz w:val="32"/>
          <w:szCs w:val="32"/>
          <w:lang w:val="en-US" w:eastAsia="zh-CN" w:bidi="ar-SA"/>
        </w:rPr>
        <w:t>资金</w:t>
      </w:r>
      <w:r>
        <w:rPr>
          <w:rFonts w:hint="eastAsia" w:ascii="Times New Roman" w:hAnsi="Times New Roman" w:eastAsia="仿宋_GB2312" w:cs="Times New Roman"/>
          <w:color w:val="auto"/>
          <w:kern w:val="2"/>
          <w:sz w:val="32"/>
          <w:szCs w:val="32"/>
          <w:lang w:val="zh-CN" w:eastAsia="zh-CN" w:bidi="ar-SA"/>
        </w:rPr>
        <w:t>采用科室自评办法。</w:t>
      </w:r>
    </w:p>
    <w:p w14:paraId="5F7376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黑体"/>
          <w:color w:val="auto"/>
          <w:sz w:val="32"/>
          <w:szCs w:val="32"/>
        </w:rPr>
      </w:pPr>
      <w:r>
        <w:rPr>
          <w:rFonts w:eastAsia="黑体"/>
          <w:color w:val="auto"/>
          <w:sz w:val="32"/>
          <w:szCs w:val="32"/>
        </w:rPr>
        <w:t>二、项目资金申报及使用情况</w:t>
      </w:r>
    </w:p>
    <w:p w14:paraId="4709FFB6">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eastAsia="楷体_GB2312"/>
          <w:b/>
          <w:color w:val="auto"/>
          <w:sz w:val="32"/>
          <w:szCs w:val="32"/>
          <w:lang w:val="zh-CN" w:eastAsia="zh-CN"/>
        </w:rPr>
      </w:pPr>
      <w:r>
        <w:rPr>
          <w:rFonts w:eastAsia="楷体_GB2312"/>
          <w:b/>
          <w:color w:val="auto"/>
          <w:sz w:val="32"/>
          <w:szCs w:val="32"/>
          <w:lang w:val="zh-CN" w:eastAsia="zh-CN"/>
        </w:rPr>
        <w:t>（一）项目资金申报及批复情况。</w:t>
      </w:r>
    </w:p>
    <w:p w14:paraId="320566A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51DDD504">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w:t>
      </w:r>
      <w:r>
        <w:rPr>
          <w:rFonts w:eastAsia="楷体_GB2312"/>
          <w:b/>
          <w:color w:val="auto"/>
          <w:sz w:val="32"/>
          <w:szCs w:val="32"/>
          <w:lang w:val="zh-CN" w:eastAsia="zh-CN"/>
        </w:rPr>
        <w:t>资金计划、到位及使用情况。</w:t>
      </w:r>
    </w:p>
    <w:p w14:paraId="05B33AD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40</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35792BCC">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40</w:t>
      </w:r>
      <w:r>
        <w:rPr>
          <w:rFonts w:hint="eastAsia" w:ascii="Times New Roman" w:hAnsi="Times New Roman" w:eastAsia="仿宋_GB2312" w:cs="Times New Roman"/>
          <w:color w:val="auto"/>
          <w:kern w:val="2"/>
          <w:sz w:val="32"/>
          <w:szCs w:val="32"/>
          <w:lang w:val="zh-CN" w:eastAsia="zh-CN" w:bidi="ar-SA"/>
        </w:rPr>
        <w:t>万元，到位率100%。</w:t>
      </w:r>
    </w:p>
    <w:p w14:paraId="6591F13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40</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5475EC0F">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5721299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项目资金严格执行财政资金管理规定，全部专项用于春节主次干道、文化广场亮化、美化相关工作，支出真实合规、审批流程完整，账务核算清晰规范，做到专款专用，有效保障项目顺利实施。</w:t>
      </w:r>
    </w:p>
    <w:p w14:paraId="6A6707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黑体"/>
          <w:color w:val="auto"/>
          <w:sz w:val="32"/>
          <w:szCs w:val="32"/>
        </w:rPr>
      </w:pPr>
      <w:r>
        <w:rPr>
          <w:rFonts w:eastAsia="黑体"/>
          <w:color w:val="auto"/>
          <w:sz w:val="32"/>
          <w:szCs w:val="32"/>
        </w:rPr>
        <w:t>三、项目实施及管理情况</w:t>
      </w:r>
    </w:p>
    <w:p w14:paraId="4DC6F1F0">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435DCB2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eastAsia="黑体"/>
          <w:color w:val="auto"/>
          <w:sz w:val="32"/>
          <w:szCs w:val="32"/>
          <w:lang w:val="zh-CN"/>
        </w:rPr>
      </w:pPr>
      <w:r>
        <w:rPr>
          <w:rFonts w:eastAsia="黑体"/>
          <w:color w:val="auto"/>
          <w:sz w:val="32"/>
          <w:szCs w:val="32"/>
        </w:rPr>
        <w:t>四、项目绩效情况</w:t>
      </w:r>
      <w:r>
        <w:rPr>
          <w:rFonts w:eastAsia="黑体"/>
          <w:color w:val="auto"/>
          <w:sz w:val="32"/>
          <w:szCs w:val="32"/>
          <w:lang w:val="zh-CN"/>
        </w:rPr>
        <w:tab/>
      </w:r>
    </w:p>
    <w:p w14:paraId="4654ACD8">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3E3B6D20">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顺利完成辖区主次干道、仁和广场、高铁南站等人员密集区域节日氛围布置，所有氛围布置工程质量达标，造型美观、安全稳固，贴合新春主题，无破损、无安全隐患，项目整体实施符合工作标准和要求，严格按照时间节点完成节前安装调试、节日常态化亮灯运维、节后拆除复原全部工作，保证了春节、元宵节整个节日周期氛围完整、效果稳定，经济成本方面严格执行预算管理规定，精打细算、节约高效，合理控制物料、人工、运维成本，无超预算、无铺张浪费，资金使用精准匹配工作实际需求。</w:t>
      </w:r>
    </w:p>
    <w:p w14:paraId="5B785973">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00B7239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全域灯景亮化美化，有效改善辖区冬季夜间市容环境，极大提升城市夜景颜值和整体市容品质，有效营造安定祥和、喜庆热烈的新春节日氛围，充分展示辖区整洁有序、文明和谐的城市治理成果，助力文明城市、卫生城市常态长效建设，项目全部采用节能、环保、安全灯饰设备，灯光柔和适度，布置规范整洁，有效美化城市环境、提升城市品位，为市民营造干净、舒适、优美的节日人居环境，整洁喜庆的街景夜景，让群众直观感受浓厚年味，有效提升辖区整体节日氛围感，极大增强居民幸福感、舒适感和城市归属感。</w:t>
      </w:r>
    </w:p>
    <w:p w14:paraId="0BDB411D">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黑体"/>
          <w:color w:val="auto"/>
          <w:sz w:val="32"/>
          <w:szCs w:val="32"/>
        </w:rPr>
      </w:pPr>
      <w:r>
        <w:rPr>
          <w:rFonts w:eastAsia="黑体"/>
          <w:color w:val="auto"/>
          <w:sz w:val="32"/>
          <w:szCs w:val="32"/>
        </w:rPr>
        <w:t>五、评价结论及建议</w:t>
      </w:r>
    </w:p>
    <w:p w14:paraId="6749E198">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0BE90CD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2025年春节氛围营造项目严格按照实施方案及绩效目标扎实推进，全面完成全域亮化美化布置、日常运维、安全管控及节后复原各项工作任务，项目实施过程规范、安全平稳、成效明显，市容亮化效果突出，群众满意度高，资金使用合规高效，圆满完成年度绩效目标任务。</w:t>
      </w:r>
    </w:p>
    <w:p w14:paraId="2B16D3A8">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2BD6E9C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2614F6CC">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5A448DD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7E4504B1">
      <w:pPr>
        <w:pStyle w:val="2"/>
        <w:keepNext w:val="0"/>
        <w:keepLines w:val="0"/>
        <w:pageBreakBefore w:val="0"/>
        <w:kinsoku/>
        <w:wordWrap/>
        <w:overflowPunct/>
        <w:topLinePunct w:val="0"/>
        <w:autoSpaceDE/>
        <w:autoSpaceDN/>
        <w:bidi w:val="0"/>
        <w:spacing w:line="560" w:lineRule="exact"/>
        <w:textAlignment w:val="auto"/>
        <w:rPr>
          <w:rFonts w:hint="eastAsia"/>
          <w:color w:val="auto"/>
          <w:lang w:val="en-US" w:eastAsia="zh-CN"/>
        </w:rPr>
      </w:pPr>
    </w:p>
    <w:p w14:paraId="240BE3A9">
      <w:pPr>
        <w:pStyle w:val="2"/>
        <w:keepNext w:val="0"/>
        <w:keepLines w:val="0"/>
        <w:pageBreakBefore w:val="0"/>
        <w:kinsoku/>
        <w:wordWrap/>
        <w:overflowPunct/>
        <w:topLinePunct w:val="0"/>
        <w:autoSpaceDE/>
        <w:autoSpaceDN/>
        <w:bidi w:val="0"/>
        <w:spacing w:line="560" w:lineRule="exact"/>
        <w:textAlignment w:val="auto"/>
        <w:rPr>
          <w:rFonts w:hint="eastAsia"/>
          <w:color w:val="auto"/>
          <w:lang w:val="en-US" w:eastAsia="zh-CN"/>
        </w:rPr>
      </w:pPr>
    </w:p>
    <w:p w14:paraId="546ADC42">
      <w:pPr>
        <w:keepNext w:val="0"/>
        <w:keepLines w:val="0"/>
        <w:pageBreakBefore w:val="0"/>
        <w:kinsoku/>
        <w:wordWrap/>
        <w:overflowPunct/>
        <w:topLinePunct w:val="0"/>
        <w:autoSpaceDE/>
        <w:autoSpaceDN/>
        <w:bidi w:val="0"/>
        <w:spacing w:line="560" w:lineRule="exact"/>
        <w:ind w:firstLine="3520" w:firstLineChars="1100"/>
        <w:jc w:val="left"/>
        <w:textAlignment w:val="auto"/>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2D6FA364">
      <w:pPr>
        <w:pStyle w:val="2"/>
        <w:keepNext w:val="0"/>
        <w:keepLines w:val="0"/>
        <w:pageBreakBefore w:val="0"/>
        <w:kinsoku/>
        <w:wordWrap/>
        <w:overflowPunct/>
        <w:topLinePunct w:val="0"/>
        <w:autoSpaceDE/>
        <w:autoSpaceDN/>
        <w:bidi w:val="0"/>
        <w:spacing w:line="560" w:lineRule="exact"/>
        <w:ind w:firstLine="4480" w:firstLineChars="1400"/>
        <w:textAlignment w:val="auto"/>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52E0AFBB">
      <w:pPr>
        <w:spacing w:line="600" w:lineRule="exact"/>
        <w:jc w:val="center"/>
        <w:rPr>
          <w:rFonts w:eastAsia="方正小标宋简体"/>
          <w:color w:val="auto"/>
          <w:sz w:val="40"/>
          <w:szCs w:val="40"/>
          <w:lang w:val="zh-CN"/>
        </w:rPr>
      </w:pPr>
    </w:p>
    <w:p w14:paraId="5D84DA03">
      <w:pPr>
        <w:spacing w:line="600" w:lineRule="exact"/>
        <w:jc w:val="center"/>
        <w:rPr>
          <w:rFonts w:eastAsia="方正小标宋简体"/>
          <w:color w:val="auto"/>
          <w:sz w:val="40"/>
          <w:szCs w:val="40"/>
          <w:lang w:val="zh-CN"/>
        </w:rPr>
      </w:pPr>
    </w:p>
    <w:p w14:paraId="716ADB25">
      <w:pPr>
        <w:spacing w:line="600" w:lineRule="exact"/>
        <w:jc w:val="center"/>
        <w:rPr>
          <w:rFonts w:eastAsia="方正小标宋简体"/>
          <w:color w:val="auto"/>
          <w:sz w:val="40"/>
          <w:szCs w:val="40"/>
          <w:lang w:val="zh-CN"/>
        </w:rPr>
      </w:pPr>
    </w:p>
    <w:p w14:paraId="3476072E">
      <w:pPr>
        <w:spacing w:line="600" w:lineRule="exact"/>
        <w:jc w:val="center"/>
        <w:rPr>
          <w:rFonts w:eastAsia="方正小标宋简体"/>
          <w:color w:val="auto"/>
          <w:sz w:val="40"/>
          <w:szCs w:val="40"/>
          <w:lang w:val="zh-CN"/>
        </w:rPr>
      </w:pPr>
    </w:p>
    <w:p w14:paraId="4406BD53">
      <w:pPr>
        <w:pStyle w:val="35"/>
        <w:spacing w:line="600" w:lineRule="exact"/>
        <w:jc w:val="both"/>
        <w:rPr>
          <w:rFonts w:hint="eastAsia" w:ascii="宋体" w:hAnsi="宋体" w:cs="宋体"/>
          <w:color w:val="auto"/>
          <w:kern w:val="2"/>
          <w:sz w:val="40"/>
          <w:szCs w:val="40"/>
          <w:lang w:val="en-US" w:eastAsia="zh-CN"/>
        </w:rPr>
      </w:pPr>
    </w:p>
    <w:p w14:paraId="4D206E0F">
      <w:pPr>
        <w:pStyle w:val="35"/>
        <w:spacing w:line="600" w:lineRule="exact"/>
        <w:jc w:val="both"/>
        <w:rPr>
          <w:rFonts w:hint="eastAsia" w:ascii="宋体" w:hAnsi="宋体" w:cs="宋体"/>
          <w:color w:val="auto"/>
          <w:kern w:val="2"/>
          <w:sz w:val="40"/>
          <w:szCs w:val="40"/>
          <w:lang w:val="en-US" w:eastAsia="zh-CN"/>
        </w:rPr>
      </w:pPr>
    </w:p>
    <w:p w14:paraId="1EF1203B">
      <w:pPr>
        <w:pStyle w:val="35"/>
        <w:spacing w:line="60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027F718C">
      <w:pPr>
        <w:pStyle w:val="35"/>
        <w:spacing w:line="60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68A078C6">
      <w:pPr>
        <w:pStyle w:val="35"/>
        <w:spacing w:line="600" w:lineRule="exact"/>
        <w:jc w:val="center"/>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城市燃气管道老化更新改造项目</w:t>
      </w:r>
      <w:r>
        <w:rPr>
          <w:rFonts w:ascii="Times New Roman" w:hAnsi="Times New Roman" w:eastAsia="仿宋_GB2312"/>
          <w:color w:val="auto"/>
          <w:kern w:val="2"/>
          <w:sz w:val="32"/>
          <w:szCs w:val="32"/>
        </w:rPr>
        <w:t>）</w:t>
      </w:r>
    </w:p>
    <w:p w14:paraId="136A7ABD">
      <w:pPr>
        <w:pStyle w:val="35"/>
        <w:spacing w:line="600" w:lineRule="exact"/>
        <w:ind w:firstLine="640"/>
        <w:jc w:val="center"/>
        <w:rPr>
          <w:rFonts w:ascii="Times New Roman" w:hAnsi="Times New Roman"/>
          <w:color w:val="auto"/>
          <w:kern w:val="2"/>
          <w:sz w:val="32"/>
          <w:szCs w:val="32"/>
        </w:rPr>
      </w:pPr>
    </w:p>
    <w:p w14:paraId="1BE95D14">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D40B51F">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（一）项目基本情况。</w:t>
      </w:r>
    </w:p>
    <w:p w14:paraId="4A6457A0">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城市燃气管道老化更新改造项目</w:t>
      </w:r>
      <w:r>
        <w:rPr>
          <w:rFonts w:hint="eastAsia" w:ascii="Times New Roman" w:hAnsi="Times New Roman" w:eastAsia="仿宋_GB2312" w:cs="Times New Roman"/>
          <w:color w:val="auto"/>
          <w:kern w:val="2"/>
          <w:sz w:val="32"/>
          <w:szCs w:val="32"/>
          <w:lang w:val="en-US" w:eastAsia="zh-CN" w:bidi="ar-SA"/>
        </w:rPr>
        <w:t>资金主要用于</w:t>
      </w:r>
      <w:r>
        <w:rPr>
          <w:rFonts w:hint="eastAsia" w:ascii="Times New Roman" w:hAnsi="Times New Roman" w:eastAsia="仿宋_GB2312" w:cs="Times New Roman"/>
          <w:color w:val="auto"/>
          <w:kern w:val="2"/>
          <w:sz w:val="32"/>
          <w:szCs w:val="32"/>
          <w:lang w:val="zh-CN" w:eastAsia="zh-CN" w:bidi="ar-SA"/>
        </w:rPr>
        <w:t>仁和城区范围内城市燃气管道等老化更新改造项目的实施，能有效解决老旧小区燃气管道老化问题，消除安全隐患。同时，有利于老旧小区居民早日用上洁净、经济的管道天然气，人民群众安全感、获得感和幸福感将得到进一步提升。</w:t>
      </w:r>
    </w:p>
    <w:p w14:paraId="2CAC41BB">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（二）项目绩效目标。</w:t>
      </w:r>
    </w:p>
    <w:p w14:paraId="4C15261C">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项目完成DN65～DN100庭院管道约86.5千米、DN25～DN80立管（含引入管、水平干管）约83.3千米的更新改造，对辖区内老旧燃气管道排查、拆除、更新改造及配套设施升级，项目目标为彻底消除老旧燃气管道安全隐患，提升城市燃气供气保障能力，完善城市市政基础设施体系，保障群众生命财产安全，改善民生福祉，依据城市基础设施更新改造专项规划、安全生产专项整治工作要求，完成辖区内全部管道安全检测和更新改造任务。</w:t>
      </w:r>
    </w:p>
    <w:p w14:paraId="5A128D9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申报内容与实际相符，申报目标合理可行。</w:t>
      </w:r>
    </w:p>
    <w:p w14:paraId="76440769">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63D4B15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仁和城区范围城市燃气管道老化更新改造项目资金采用科室自评办法。</w:t>
      </w:r>
    </w:p>
    <w:p w14:paraId="0533030B">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561D37C6">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4623E593">
      <w:pPr>
        <w:pStyle w:val="15"/>
        <w:widowControl/>
        <w:shd w:val="clear" w:color="auto" w:fill="FFFFFF"/>
        <w:spacing w:before="0" w:beforeAutospacing="0" w:after="0" w:afterAutospacing="0" w:line="600" w:lineRule="atLeast"/>
        <w:ind w:firstLine="640" w:firstLineChars="20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仁和城区范围内城市燃气管道等老化更新改造项目资金，由上级补助资金和区级配套资金两部分组成。其中，60%申请中央预算内资金，其余40%由区财政予以配套。</w:t>
      </w:r>
    </w:p>
    <w:p w14:paraId="74AFEEA8">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39490DAB">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793</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2D4DD7C3">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793</w:t>
      </w:r>
      <w:r>
        <w:rPr>
          <w:rFonts w:hint="eastAsia" w:ascii="Times New Roman" w:hAnsi="Times New Roman" w:eastAsia="仿宋_GB2312" w:cs="Times New Roman"/>
          <w:color w:val="auto"/>
          <w:kern w:val="2"/>
          <w:sz w:val="32"/>
          <w:szCs w:val="32"/>
          <w:lang w:val="zh-CN" w:eastAsia="zh-CN" w:bidi="ar-SA"/>
        </w:rPr>
        <w:t>万元，到位率100%。</w:t>
      </w:r>
    </w:p>
    <w:p w14:paraId="48FB80A7">
      <w:pPr>
        <w:adjustRightInd w:val="0"/>
        <w:snapToGrid w:val="0"/>
        <w:spacing w:line="600" w:lineRule="exact"/>
        <w:ind w:firstLine="720"/>
        <w:rPr>
          <w:rFonts w:hint="default" w:ascii="仿宋_GB2312" w:hAnsi="宋体" w:eastAsia="仿宋_GB2312" w:cs="仿宋_GB2312"/>
          <w:color w:val="auto"/>
          <w:kern w:val="0"/>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793</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2E65AF04">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73C4AE4C">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p>
    <w:p w14:paraId="06D64540">
      <w:pPr>
        <w:adjustRightInd w:val="0"/>
        <w:snapToGrid w:val="0"/>
        <w:spacing w:line="600" w:lineRule="exact"/>
        <w:ind w:firstLine="720"/>
        <w:rPr>
          <w:rFonts w:eastAsia="黑体"/>
          <w:color w:val="auto"/>
          <w:sz w:val="32"/>
          <w:szCs w:val="32"/>
        </w:rPr>
      </w:pPr>
      <w:r>
        <w:rPr>
          <w:rFonts w:eastAsia="黑体"/>
          <w:color w:val="auto"/>
          <w:sz w:val="32"/>
          <w:szCs w:val="32"/>
        </w:rPr>
        <w:t>三、项目实施及管理情况</w:t>
      </w:r>
    </w:p>
    <w:p w14:paraId="663707C4">
      <w:pPr>
        <w:pStyle w:val="15"/>
        <w:widowControl/>
        <w:shd w:val="clear" w:color="auto" w:fill="FFFFFF"/>
        <w:spacing w:before="0" w:beforeAutospacing="0" w:after="0" w:afterAutospacing="0" w:line="600" w:lineRule="atLeast"/>
        <w:ind w:firstLine="640" w:firstLineChars="20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2CB4D04E">
      <w:pPr>
        <w:adjustRightInd w:val="0"/>
        <w:snapToGrid w:val="0"/>
        <w:spacing w:line="600" w:lineRule="exact"/>
        <w:ind w:firstLine="720"/>
        <w:rPr>
          <w:color w:val="auto"/>
          <w:sz w:val="32"/>
          <w:szCs w:val="32"/>
          <w:lang w:val="zh-CN"/>
        </w:rPr>
      </w:pPr>
      <w:r>
        <w:rPr>
          <w:rFonts w:eastAsia="黑体"/>
          <w:color w:val="auto"/>
          <w:sz w:val="32"/>
          <w:szCs w:val="32"/>
        </w:rPr>
        <w:t>四、项目绩效情况</w:t>
      </w:r>
      <w:r>
        <w:rPr>
          <w:color w:val="auto"/>
          <w:sz w:val="32"/>
          <w:szCs w:val="32"/>
          <w:lang w:val="zh-CN"/>
        </w:rPr>
        <w:tab/>
      </w:r>
    </w:p>
    <w:p w14:paraId="4EF5A7C4">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162F4156">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城市燃气管道老化更新改造项目，</w:t>
      </w:r>
      <w:r>
        <w:rPr>
          <w:rFonts w:hint="eastAsia" w:ascii="Times New Roman" w:hAnsi="Times New Roman" w:eastAsia="仿宋_GB2312" w:cs="Times New Roman"/>
          <w:color w:val="auto"/>
          <w:kern w:val="2"/>
          <w:sz w:val="32"/>
          <w:szCs w:val="32"/>
          <w:lang w:val="en-US" w:eastAsia="zh-CN" w:bidi="ar-SA"/>
        </w:rPr>
        <w:t>完成DN65～DN100庭院管道约86.5千米、DN25～DN80立管（含引入管、水平干管）约83.3千米的更新改造，项目施工全过程严格执行国家市政工程坚实标准，严格落实工程监理、质量抽检制度，所有施工标段均通过竣工验收、安全复检，工程质量全部达标，项目严格对照施工进度计划有序推进，按期完成全部建设、验收、交付工作，有效消除辖区老旧燃气管道泄漏、爆燃等安全隐患，大幅降低城市燃气安全事故发生率，全面提升城市燃气供气安全性、稳定性和连续性，有效保障辖区</w:t>
      </w:r>
      <w:r>
        <w:rPr>
          <w:rFonts w:hint="eastAsia" w:ascii="Times New Roman" w:hAnsi="Times New Roman" w:eastAsia="仿宋_GB2312" w:cs="Times New Roman"/>
          <w:color w:val="auto"/>
          <w:kern w:val="2"/>
          <w:sz w:val="32"/>
          <w:szCs w:val="32"/>
          <w:lang w:val="zh-CN" w:eastAsia="zh-CN" w:bidi="ar-SA"/>
        </w:rPr>
        <w:t>老旧小区</w:t>
      </w:r>
      <w:r>
        <w:rPr>
          <w:rFonts w:hint="eastAsia" w:ascii="Times New Roman" w:hAnsi="Times New Roman" w:eastAsia="仿宋_GB2312" w:cs="Times New Roman"/>
          <w:color w:val="auto"/>
          <w:kern w:val="2"/>
          <w:sz w:val="32"/>
          <w:szCs w:val="32"/>
          <w:lang w:val="en-US" w:eastAsia="zh-CN" w:bidi="ar-SA"/>
        </w:rPr>
        <w:t>居民正常用气需求，筑牢城市公共安全防线，提升城市基础设施保障水平，维护社会和谐稳定，社会效益显著。</w:t>
      </w:r>
    </w:p>
    <w:p w14:paraId="32CDD0FB">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0BA91E2F">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项目改造完成后，有效杜绝燃气泄漏问题，减少天然气资源损耗和废气排放，优化城市生态环境，实现节能降耗、绿色运维的建设目标，生态效益良好，本次更新改造的燃气管道及配套设备均采用新型耐腐蚀、高安全性材料，设备使用寿命大幅延长，可长期保障辖区燃气系统安全、稳定、高效运行，完善城市市政基础设施长效运维体系，为城市长远发展、民生持续保障提供坚实支撑，具备良好的可持续发展效益。</w:t>
      </w:r>
    </w:p>
    <w:p w14:paraId="36FAA872">
      <w:pPr>
        <w:adjustRightInd w:val="0"/>
        <w:snapToGrid w:val="0"/>
        <w:spacing w:line="600" w:lineRule="exact"/>
        <w:ind w:firstLine="720"/>
        <w:rPr>
          <w:rFonts w:eastAsia="黑体"/>
          <w:color w:val="auto"/>
          <w:sz w:val="32"/>
          <w:szCs w:val="32"/>
        </w:rPr>
      </w:pPr>
      <w:r>
        <w:rPr>
          <w:rFonts w:eastAsia="黑体"/>
          <w:color w:val="auto"/>
          <w:sz w:val="32"/>
          <w:szCs w:val="32"/>
        </w:rPr>
        <w:t>五、评价结论及建议</w:t>
      </w:r>
    </w:p>
    <w:p w14:paraId="19215AAB">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097F103D">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项目立项科学合理、实施程序规范，项目所有支出严格执行预算标准，厉行节约、严控成本，成本控制合规有效，全面完成年度各项建设任务和绩效目标，通过项目实施，彻底整治辖区老旧燃气管道安全隐患，有效提升城市燃气基础设施配套水平、供气保障能力，切实保障群众生命财产安全，改善民生服务质量，社会效益、生态效益、可持续效益突出，财政专项资金使用效益充分发挥。</w:t>
      </w:r>
    </w:p>
    <w:p w14:paraId="639A6A9F">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4773C8B4">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3EC2FF03">
      <w:pPr>
        <w:keepNext w:val="0"/>
        <w:keepLines w:val="0"/>
        <w:pageBreakBefore w:val="0"/>
        <w:kinsoku/>
        <w:wordWrap/>
        <w:overflowPunct/>
        <w:topLinePunct w:val="0"/>
        <w:autoSpaceDE/>
        <w:autoSpaceDN/>
        <w:bidi w:val="0"/>
        <w:adjustRightInd w:val="0"/>
        <w:snapToGrid w:val="0"/>
        <w:spacing w:line="560" w:lineRule="exact"/>
        <w:ind w:firstLine="643" w:firstLineChars="200"/>
        <w:jc w:val="left"/>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736E2B49">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1F5804FE">
      <w:pPr>
        <w:ind w:firstLine="420" w:firstLineChars="200"/>
        <w:rPr>
          <w:rFonts w:hint="eastAsia"/>
          <w:color w:val="auto"/>
          <w:lang w:val="en-US" w:eastAsia="zh-CN"/>
        </w:rPr>
      </w:pPr>
    </w:p>
    <w:p w14:paraId="0D20CAF1">
      <w:pPr>
        <w:ind w:firstLine="420" w:firstLineChars="200"/>
        <w:rPr>
          <w:rFonts w:hint="eastAsia"/>
          <w:color w:val="auto"/>
          <w:lang w:val="en-US" w:eastAsia="zh-CN"/>
        </w:rPr>
      </w:pPr>
    </w:p>
    <w:p w14:paraId="31E78D6A">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p>
    <w:p w14:paraId="0493FE50">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p>
    <w:p w14:paraId="0BAF21FC">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p>
    <w:p w14:paraId="23BCA47C">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p>
    <w:p w14:paraId="7D7E2399">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7FD12D1A">
      <w:pPr>
        <w:ind w:firstLine="4480" w:firstLineChars="1400"/>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3BCEA918">
      <w:pPr>
        <w:spacing w:line="600" w:lineRule="exact"/>
        <w:jc w:val="center"/>
        <w:rPr>
          <w:rFonts w:eastAsia="方正小标宋简体"/>
          <w:color w:val="auto"/>
          <w:sz w:val="40"/>
          <w:szCs w:val="40"/>
          <w:lang w:val="zh-CN"/>
        </w:rPr>
      </w:pPr>
    </w:p>
    <w:p w14:paraId="5D4B3F98">
      <w:pPr>
        <w:spacing w:line="600" w:lineRule="exact"/>
        <w:jc w:val="center"/>
        <w:rPr>
          <w:rFonts w:eastAsia="方正小标宋简体"/>
          <w:color w:val="auto"/>
          <w:sz w:val="40"/>
          <w:szCs w:val="40"/>
          <w:lang w:val="zh-CN"/>
        </w:rPr>
      </w:pPr>
    </w:p>
    <w:p w14:paraId="05B87A22">
      <w:pPr>
        <w:spacing w:line="600" w:lineRule="exact"/>
        <w:jc w:val="center"/>
        <w:rPr>
          <w:rFonts w:eastAsia="方正小标宋简体"/>
          <w:color w:val="auto"/>
          <w:sz w:val="40"/>
          <w:szCs w:val="40"/>
          <w:lang w:val="zh-CN"/>
        </w:rPr>
      </w:pPr>
    </w:p>
    <w:p w14:paraId="40C50ECE">
      <w:pPr>
        <w:spacing w:line="600" w:lineRule="exact"/>
        <w:jc w:val="center"/>
        <w:rPr>
          <w:rFonts w:eastAsia="方正小标宋简体"/>
          <w:color w:val="auto"/>
          <w:sz w:val="40"/>
          <w:szCs w:val="40"/>
          <w:lang w:val="zh-CN"/>
        </w:rPr>
      </w:pPr>
    </w:p>
    <w:p w14:paraId="39097D97">
      <w:pPr>
        <w:spacing w:line="600" w:lineRule="exact"/>
        <w:jc w:val="center"/>
        <w:rPr>
          <w:rFonts w:eastAsia="方正小标宋简体"/>
          <w:color w:val="auto"/>
          <w:sz w:val="40"/>
          <w:szCs w:val="40"/>
          <w:lang w:val="zh-CN"/>
        </w:rPr>
      </w:pPr>
    </w:p>
    <w:p w14:paraId="09E4BD86">
      <w:pPr>
        <w:spacing w:line="600" w:lineRule="exact"/>
        <w:jc w:val="center"/>
        <w:rPr>
          <w:rFonts w:eastAsia="方正小标宋简体"/>
          <w:color w:val="auto"/>
          <w:sz w:val="40"/>
          <w:szCs w:val="40"/>
          <w:lang w:val="zh-CN"/>
        </w:rPr>
      </w:pPr>
    </w:p>
    <w:p w14:paraId="057B37C4">
      <w:pPr>
        <w:spacing w:line="600" w:lineRule="exact"/>
        <w:jc w:val="center"/>
        <w:rPr>
          <w:rFonts w:eastAsia="方正小标宋简体"/>
          <w:color w:val="auto"/>
          <w:sz w:val="40"/>
          <w:szCs w:val="40"/>
          <w:lang w:val="zh-CN"/>
        </w:rPr>
      </w:pPr>
    </w:p>
    <w:p w14:paraId="32A06DFF">
      <w:pPr>
        <w:pStyle w:val="35"/>
        <w:spacing w:line="600" w:lineRule="exact"/>
        <w:jc w:val="both"/>
        <w:rPr>
          <w:rFonts w:hint="eastAsia" w:ascii="宋体" w:hAnsi="宋体" w:cs="宋体"/>
          <w:color w:val="auto"/>
          <w:kern w:val="2"/>
          <w:sz w:val="40"/>
          <w:szCs w:val="40"/>
          <w:lang w:val="en-US" w:eastAsia="zh-CN"/>
        </w:rPr>
      </w:pPr>
    </w:p>
    <w:p w14:paraId="2C5B1FFD">
      <w:pPr>
        <w:pStyle w:val="35"/>
        <w:spacing w:line="600" w:lineRule="exact"/>
        <w:jc w:val="both"/>
        <w:rPr>
          <w:rFonts w:hint="eastAsia" w:ascii="宋体" w:hAnsi="宋体" w:cs="宋体"/>
          <w:color w:val="auto"/>
          <w:kern w:val="2"/>
          <w:sz w:val="40"/>
          <w:szCs w:val="40"/>
          <w:lang w:val="en-US" w:eastAsia="zh-CN"/>
        </w:rPr>
      </w:pPr>
    </w:p>
    <w:p w14:paraId="388E6E51">
      <w:pPr>
        <w:pStyle w:val="35"/>
        <w:spacing w:line="600" w:lineRule="exact"/>
        <w:jc w:val="both"/>
        <w:rPr>
          <w:rFonts w:hint="eastAsia" w:ascii="宋体" w:hAnsi="宋体" w:cs="宋体"/>
          <w:color w:val="auto"/>
          <w:kern w:val="2"/>
          <w:sz w:val="40"/>
          <w:szCs w:val="40"/>
          <w:lang w:val="en-US" w:eastAsia="zh-CN"/>
        </w:rPr>
      </w:pPr>
    </w:p>
    <w:p w14:paraId="28C4EA72">
      <w:pPr>
        <w:pStyle w:val="35"/>
        <w:spacing w:line="600" w:lineRule="exact"/>
        <w:jc w:val="center"/>
        <w:rPr>
          <w:rFonts w:hint="eastAsia" w:ascii="宋体" w:hAnsi="宋体" w:cs="宋体"/>
          <w:color w:val="auto"/>
          <w:kern w:val="2"/>
          <w:sz w:val="40"/>
          <w:szCs w:val="40"/>
          <w:lang w:val="en-US" w:eastAsia="zh-CN"/>
        </w:rPr>
      </w:pPr>
    </w:p>
    <w:p w14:paraId="2CBE0527">
      <w:pPr>
        <w:pStyle w:val="35"/>
        <w:spacing w:line="600" w:lineRule="exact"/>
        <w:jc w:val="center"/>
        <w:rPr>
          <w:rFonts w:hint="eastAsia" w:ascii="宋体" w:hAnsi="宋体" w:cs="宋体"/>
          <w:color w:val="auto"/>
          <w:kern w:val="2"/>
          <w:sz w:val="40"/>
          <w:szCs w:val="40"/>
          <w:lang w:val="en-US" w:eastAsia="zh-CN"/>
        </w:rPr>
      </w:pPr>
    </w:p>
    <w:p w14:paraId="37A005F7">
      <w:pPr>
        <w:pStyle w:val="35"/>
        <w:spacing w:line="60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596E3796">
      <w:pPr>
        <w:pStyle w:val="35"/>
        <w:spacing w:line="60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5E814554">
      <w:pPr>
        <w:pStyle w:val="35"/>
        <w:spacing w:line="600" w:lineRule="exact"/>
        <w:ind w:firstLine="1920" w:firstLineChars="600"/>
        <w:jc w:val="both"/>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城镇垃圾处置费代征手续费</w:t>
      </w:r>
      <w:r>
        <w:rPr>
          <w:rFonts w:ascii="Times New Roman" w:hAnsi="Times New Roman" w:eastAsia="仿宋_GB2312"/>
          <w:color w:val="auto"/>
          <w:kern w:val="2"/>
          <w:sz w:val="32"/>
          <w:szCs w:val="32"/>
        </w:rPr>
        <w:t>）</w:t>
      </w:r>
    </w:p>
    <w:p w14:paraId="53D8D332">
      <w:pPr>
        <w:pStyle w:val="35"/>
        <w:spacing w:line="600" w:lineRule="exact"/>
        <w:ind w:firstLine="640"/>
        <w:jc w:val="center"/>
        <w:rPr>
          <w:rFonts w:ascii="Times New Roman" w:hAnsi="Times New Roman"/>
          <w:color w:val="auto"/>
          <w:kern w:val="2"/>
          <w:sz w:val="32"/>
          <w:szCs w:val="32"/>
        </w:rPr>
      </w:pPr>
    </w:p>
    <w:p w14:paraId="5766920B">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ABC511E">
      <w:pPr>
        <w:adjustRightInd w:val="0"/>
        <w:snapToGrid w:val="0"/>
        <w:spacing w:line="600" w:lineRule="exact"/>
        <w:ind w:firstLine="720"/>
        <w:rPr>
          <w:rFonts w:eastAsia="楷体_GB2312"/>
          <w:b/>
          <w:color w:val="auto"/>
          <w:sz w:val="32"/>
          <w:szCs w:val="32"/>
          <w:lang w:val="zh-CN"/>
        </w:rPr>
      </w:pPr>
      <w:r>
        <w:rPr>
          <w:rFonts w:eastAsia="楷体_GB2312"/>
          <w:b/>
          <w:color w:val="auto"/>
          <w:sz w:val="32"/>
          <w:szCs w:val="32"/>
          <w:lang w:val="zh-CN"/>
        </w:rPr>
        <w:t>（一）项目基本情况。</w:t>
      </w:r>
    </w:p>
    <w:p w14:paraId="059C54E1">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城镇垃圾处置费代征手续费</w:t>
      </w:r>
      <w:r>
        <w:rPr>
          <w:rFonts w:hint="eastAsia" w:ascii="Times New Roman" w:hAnsi="Times New Roman" w:eastAsia="仿宋_GB2312" w:cs="Times New Roman"/>
          <w:color w:val="auto"/>
          <w:kern w:val="2"/>
          <w:sz w:val="32"/>
          <w:szCs w:val="32"/>
          <w:lang w:val="en-US" w:eastAsia="zh-CN" w:bidi="ar-SA"/>
        </w:rPr>
        <w:t>项目由税务部门依托自身征管体系及燃气公司入户、线上缴费便民优势，常态化开展辖区居民城镇垃圾处置费代征工作，我局按照既定标准，向燃气公司拨付代征工作手续费，专项保障代征工作人力、运营、统筹管理等成本支出，保障垃圾处置费代收工作常态化、规范化推进。</w:t>
      </w:r>
    </w:p>
    <w:p w14:paraId="6C072DE9">
      <w:pPr>
        <w:adjustRightInd w:val="0"/>
        <w:snapToGrid w:val="0"/>
        <w:spacing w:line="600" w:lineRule="exact"/>
        <w:ind w:firstLine="720"/>
        <w:rPr>
          <w:rFonts w:eastAsia="楷体_GB2312"/>
          <w:b/>
          <w:color w:val="auto"/>
          <w:sz w:val="32"/>
          <w:szCs w:val="32"/>
          <w:lang w:val="zh-CN" w:eastAsia="zh-CN"/>
        </w:rPr>
      </w:pPr>
      <w:r>
        <w:rPr>
          <w:rFonts w:eastAsia="楷体_GB2312"/>
          <w:b/>
          <w:color w:val="auto"/>
          <w:sz w:val="32"/>
          <w:szCs w:val="32"/>
          <w:lang w:val="zh-CN" w:eastAsia="zh-CN"/>
        </w:rPr>
        <w:t>（二）项目绩效目标。</w:t>
      </w:r>
    </w:p>
    <w:p w14:paraId="4282583B">
      <w:pPr>
        <w:adjustRightInd w:val="0"/>
        <w:snapToGrid w:val="0"/>
        <w:spacing w:line="600" w:lineRule="exact"/>
        <w:ind w:firstLine="720"/>
        <w:rPr>
          <w:rFonts w:hint="eastAsia" w:eastAsia="楷体_GB2312"/>
          <w:b/>
          <w:color w:val="auto"/>
          <w:lang w:val="zh-CN" w:eastAsia="zh-CN"/>
        </w:rPr>
      </w:pPr>
      <w:r>
        <w:rPr>
          <w:rFonts w:hint="eastAsia" w:ascii="Times New Roman" w:hAnsi="Times New Roman" w:eastAsia="仿宋_GB2312" w:cs="Times New Roman"/>
          <w:color w:val="auto"/>
          <w:kern w:val="2"/>
          <w:sz w:val="32"/>
          <w:szCs w:val="32"/>
          <w:lang w:val="en-US" w:eastAsia="zh-CN" w:bidi="ar-SA"/>
        </w:rPr>
        <w:t>借助税务、燃气行业便民服务渠道，优化居民垃圾处置费征收模式，降低征收成本，大幅提升征缴覆盖率、收缴率，实现应收尽收。规范代征工作流程，筑牢城镇垃圾处置费征管工作基础，稳定垃圾处置费收入来源，保障辖区生活垃圾收集、转运、无害化处理、环卫保洁等民生工作有序开展，持续改善城乡人居环境。</w:t>
      </w:r>
    </w:p>
    <w:p w14:paraId="4C3E7C24">
      <w:pPr>
        <w:adjustRightInd w:val="0"/>
        <w:snapToGrid w:val="0"/>
        <w:spacing w:line="600" w:lineRule="exact"/>
        <w:ind w:firstLine="720"/>
        <w:rPr>
          <w:rFonts w:eastAsia="楷体_GB2312"/>
          <w:b/>
          <w:color w:val="auto"/>
          <w:sz w:val="32"/>
          <w:szCs w:val="32"/>
          <w:lang w:val="zh-CN" w:eastAsia="zh-CN"/>
        </w:rPr>
      </w:pPr>
      <w:r>
        <w:rPr>
          <w:rFonts w:hint="eastAsia" w:eastAsia="楷体_GB2312"/>
          <w:b/>
          <w:color w:val="auto"/>
          <w:sz w:val="32"/>
          <w:szCs w:val="32"/>
          <w:lang w:val="zh-CN" w:eastAsia="zh-CN"/>
        </w:rPr>
        <w:t>（</w:t>
      </w:r>
      <w:r>
        <w:rPr>
          <w:rFonts w:eastAsia="楷体_GB2312"/>
          <w:b/>
          <w:color w:val="auto"/>
          <w:sz w:val="32"/>
          <w:szCs w:val="32"/>
          <w:lang w:val="zh-CN" w:eastAsia="zh-CN"/>
        </w:rPr>
        <w:t>三）项目自评步骤及方法。</w:t>
      </w:r>
    </w:p>
    <w:p w14:paraId="4028F032">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城镇垃圾处置费代征手续费</w:t>
      </w:r>
      <w:r>
        <w:rPr>
          <w:rFonts w:hint="eastAsia" w:ascii="Times New Roman" w:hAnsi="Times New Roman" w:eastAsia="仿宋_GB2312" w:cs="Times New Roman"/>
          <w:color w:val="auto"/>
          <w:kern w:val="2"/>
          <w:sz w:val="32"/>
          <w:szCs w:val="32"/>
          <w:lang w:val="en-US" w:eastAsia="zh-CN" w:bidi="ar-SA"/>
        </w:rPr>
        <w:t>项目</w:t>
      </w:r>
      <w:r>
        <w:rPr>
          <w:rFonts w:hint="eastAsia" w:ascii="Times New Roman" w:hAnsi="Times New Roman" w:eastAsia="仿宋_GB2312" w:cs="Times New Roman"/>
          <w:color w:val="auto"/>
          <w:kern w:val="2"/>
          <w:sz w:val="32"/>
          <w:szCs w:val="32"/>
          <w:lang w:val="zh-CN" w:eastAsia="zh-CN" w:bidi="ar-SA"/>
        </w:rPr>
        <w:t>采用科室自评办法。</w:t>
      </w:r>
    </w:p>
    <w:p w14:paraId="30944CD3">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17D22272">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0325F577">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709166F6">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3FFE04B4">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12.18</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72C7195E">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12.18</w:t>
      </w:r>
      <w:r>
        <w:rPr>
          <w:rFonts w:hint="eastAsia" w:ascii="Times New Roman" w:hAnsi="Times New Roman" w:eastAsia="仿宋_GB2312" w:cs="Times New Roman"/>
          <w:color w:val="auto"/>
          <w:kern w:val="2"/>
          <w:sz w:val="32"/>
          <w:szCs w:val="32"/>
          <w:lang w:val="zh-CN" w:eastAsia="zh-CN" w:bidi="ar-SA"/>
        </w:rPr>
        <w:t>万元，到位率100%。</w:t>
      </w:r>
    </w:p>
    <w:p w14:paraId="7E5885E1">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12.18</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48437B0B">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7F7F6D99">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项目资金严格执行财政资金管理规定，全部专项用于</w:t>
      </w:r>
      <w:r>
        <w:rPr>
          <w:rFonts w:hint="eastAsia" w:ascii="Times New Roman" w:hAnsi="Times New Roman" w:eastAsia="仿宋_GB2312" w:cs="Times New Roman"/>
          <w:color w:val="auto"/>
          <w:kern w:val="2"/>
          <w:sz w:val="32"/>
          <w:szCs w:val="32"/>
          <w:lang w:val="zh-CN" w:eastAsia="zh-CN" w:bidi="ar-SA"/>
        </w:rPr>
        <w:t>城镇垃圾处置费代征</w:t>
      </w:r>
      <w:r>
        <w:rPr>
          <w:rFonts w:hint="eastAsia" w:ascii="Times New Roman" w:hAnsi="Times New Roman" w:eastAsia="仿宋_GB2312" w:cs="Times New Roman"/>
          <w:color w:val="auto"/>
          <w:kern w:val="2"/>
          <w:sz w:val="32"/>
          <w:szCs w:val="32"/>
          <w:lang w:val="en-US" w:eastAsia="zh-CN" w:bidi="ar-SA"/>
        </w:rPr>
        <w:t>相关工作，支出真实合规、审批流程完整，账务核算清晰规范，做到专款专用，有效保障项目顺利实施。</w:t>
      </w:r>
    </w:p>
    <w:p w14:paraId="078FF4E1">
      <w:pPr>
        <w:adjustRightInd w:val="0"/>
        <w:snapToGrid w:val="0"/>
        <w:spacing w:line="600" w:lineRule="exact"/>
        <w:ind w:firstLine="720"/>
        <w:rPr>
          <w:rFonts w:eastAsia="黑体"/>
          <w:color w:val="auto"/>
          <w:sz w:val="32"/>
          <w:szCs w:val="32"/>
        </w:rPr>
      </w:pPr>
      <w:r>
        <w:rPr>
          <w:rFonts w:eastAsia="黑体"/>
          <w:color w:val="auto"/>
          <w:sz w:val="32"/>
          <w:szCs w:val="32"/>
        </w:rPr>
        <w:t>三、项目实施及管理情况</w:t>
      </w:r>
    </w:p>
    <w:p w14:paraId="53729920">
      <w:pPr>
        <w:pStyle w:val="15"/>
        <w:widowControl/>
        <w:shd w:val="clear" w:color="auto" w:fill="FFFFFF"/>
        <w:spacing w:before="0" w:beforeAutospacing="0" w:after="0" w:afterAutospacing="0" w:line="600" w:lineRule="atLeas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该项目由我单位业务股室申报，经单位领导集体研究后，形成项目资金申请报告报区政府同意后，报财政部门审核，财政部门追加下达经费，并由我单位组织实施。</w:t>
      </w:r>
    </w:p>
    <w:p w14:paraId="350BCF20">
      <w:pPr>
        <w:adjustRightInd w:val="0"/>
        <w:snapToGrid w:val="0"/>
        <w:spacing w:line="600" w:lineRule="exact"/>
        <w:ind w:firstLine="720"/>
        <w:rPr>
          <w:rFonts w:eastAsia="黑体"/>
          <w:color w:val="auto"/>
          <w:sz w:val="32"/>
          <w:szCs w:val="32"/>
          <w:lang w:val="zh-CN"/>
        </w:rPr>
      </w:pPr>
      <w:r>
        <w:rPr>
          <w:rFonts w:eastAsia="黑体"/>
          <w:color w:val="auto"/>
          <w:sz w:val="32"/>
          <w:szCs w:val="32"/>
        </w:rPr>
        <w:t>四、项目绩效情况</w:t>
      </w:r>
      <w:r>
        <w:rPr>
          <w:rFonts w:eastAsia="黑体"/>
          <w:color w:val="auto"/>
          <w:sz w:val="32"/>
          <w:szCs w:val="32"/>
          <w:lang w:val="zh-CN"/>
        </w:rPr>
        <w:tab/>
      </w:r>
    </w:p>
    <w:p w14:paraId="4B6CA3AA">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5FF3AEE5">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税务部门联合燃气公司便民代征模式，辖区居民垃圾处置费征缴覆盖面持续扩大，居民自主缴费积极性显著提升，有效解决了传统征收模式效率低下、入户征收难度大、成本高的问题，全年代征工作流程规范，数据准确，台账完整，圆满完成年度城镇垃圾处置费代收工作目标，充分发挥了便民代征模式的优势，结合项目实际实施成效，整体绩效完成情况良好。</w:t>
      </w:r>
    </w:p>
    <w:p w14:paraId="55DFF61B">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4B8480F0">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便民代征模式，大幅简化居民缴费流程，建设线下跑腿次数，显著提升乐基处置费征缴效率，保障环卫工作资金稳定投入，助力辖区生活垃圾常态化清运、无害化处置，持续优化城乡人居环境，提升城市精细化治理水平，社会效益显著，税务+燃气联合代征的常态化征管模式逐步成熟，征管流程不断规范，可长期稳定保障城镇垃圾处置费应收尽收，为常态化环卫管护、人居环境整治工作提供持续资金保障，具备良好的可持续性。</w:t>
      </w:r>
    </w:p>
    <w:p w14:paraId="24CA1CBA">
      <w:pPr>
        <w:adjustRightInd w:val="0"/>
        <w:snapToGrid w:val="0"/>
        <w:spacing w:line="600" w:lineRule="exact"/>
        <w:ind w:firstLine="720"/>
        <w:rPr>
          <w:rFonts w:eastAsia="黑体"/>
          <w:color w:val="auto"/>
          <w:sz w:val="32"/>
          <w:szCs w:val="32"/>
        </w:rPr>
      </w:pPr>
      <w:r>
        <w:rPr>
          <w:rFonts w:eastAsia="黑体"/>
          <w:color w:val="auto"/>
          <w:sz w:val="32"/>
          <w:szCs w:val="32"/>
        </w:rPr>
        <w:t>五、评价结论及建议</w:t>
      </w:r>
    </w:p>
    <w:p w14:paraId="114D3E64">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55A8FD8">
      <w:pPr>
        <w:adjustRightInd w:val="0"/>
        <w:snapToGrid w:val="0"/>
        <w:spacing w:line="600" w:lineRule="exact"/>
        <w:ind w:firstLine="720"/>
        <w:rPr>
          <w:rFonts w:eastAsia="楷体_GB2312"/>
          <w:b/>
          <w:color w:val="auto"/>
          <w:lang w:val="zh-CN"/>
        </w:rPr>
      </w:pPr>
      <w:r>
        <w:rPr>
          <w:rFonts w:hint="eastAsia" w:ascii="Times New Roman" w:hAnsi="Times New Roman" w:eastAsia="仿宋_GB2312" w:cs="Times New Roman"/>
          <w:color w:val="auto"/>
          <w:kern w:val="2"/>
          <w:sz w:val="32"/>
          <w:szCs w:val="32"/>
          <w:lang w:val="en-US" w:eastAsia="zh-CN" w:bidi="ar-SA"/>
        </w:rPr>
        <w:t>本年度项目资金使用合规、程序规范、执行成效突出，通过资金保障，有效支撑了居民垃圾处置费代征工作开展，大幅提升了征缴效率和便民服务水平，稳定了环卫工作资金来源，有效改善了辖区人居环境，圆满完成年度各项绩效目标。</w:t>
      </w:r>
    </w:p>
    <w:p w14:paraId="2F37B3E0">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4A76CF77">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5C5C77BA">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1EF342A9">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050B9FBF">
      <w:pPr>
        <w:pStyle w:val="2"/>
        <w:rPr>
          <w:rFonts w:hint="eastAsia"/>
          <w:color w:val="auto"/>
          <w:lang w:val="en-US" w:eastAsia="zh-CN"/>
        </w:rPr>
      </w:pPr>
    </w:p>
    <w:p w14:paraId="3C77BE29">
      <w:pPr>
        <w:pStyle w:val="2"/>
        <w:rPr>
          <w:rFonts w:hint="eastAsia"/>
          <w:color w:val="auto"/>
          <w:lang w:val="en-US" w:eastAsia="zh-CN"/>
        </w:rPr>
      </w:pPr>
    </w:p>
    <w:p w14:paraId="73D7922B">
      <w:pPr>
        <w:spacing w:line="578" w:lineRule="exact"/>
        <w:ind w:firstLine="3200" w:firstLineChars="10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18A57270">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r>
        <w:rPr>
          <w:rFonts w:hint="eastAsia" w:eastAsia="仿宋_GB2312" w:cs="Times New Roman"/>
          <w:color w:val="auto"/>
          <w:kern w:val="0"/>
          <w:sz w:val="32"/>
          <w:szCs w:val="32"/>
          <w:shd w:val="clear" w:color="auto" w:fill="FFFFFF"/>
          <w:lang w:val="en-US" w:eastAsia="zh-CN"/>
        </w:rPr>
        <w:t xml:space="preserve">               </w:t>
      </w: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3F2F8D70">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2869076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3A2E7C47">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6AE65B69">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2AC6D995">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00B4497C">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2183D044">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69958D96">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05F87CE5">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65CC41F9">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3FC308D6">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319182B">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3CD5A853">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431E562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4A189EE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1B084F1E">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C3B2555">
      <w:pPr>
        <w:spacing w:line="600" w:lineRule="exact"/>
        <w:jc w:val="both"/>
        <w:rPr>
          <w:rFonts w:hint="default" w:ascii="Times New Roman" w:hAnsi="Times New Roman" w:eastAsia="仿宋_GB2312" w:cs="Times New Roman"/>
          <w:color w:val="auto"/>
          <w:kern w:val="0"/>
          <w:sz w:val="32"/>
          <w:szCs w:val="32"/>
          <w:shd w:val="clear" w:color="auto" w:fill="FFFFFF"/>
          <w:lang w:val="en-US" w:eastAsia="zh-CN"/>
        </w:rPr>
      </w:pPr>
    </w:p>
    <w:p w14:paraId="7FB49778">
      <w:pPr>
        <w:pStyle w:val="2"/>
        <w:rPr>
          <w:rFonts w:hint="default"/>
          <w:color w:val="auto"/>
          <w:lang w:val="en-US" w:eastAsia="zh-CN"/>
        </w:rPr>
      </w:pPr>
    </w:p>
    <w:p w14:paraId="0645D5B7">
      <w:pPr>
        <w:pStyle w:val="35"/>
        <w:spacing w:line="60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5C88E8B4">
      <w:pPr>
        <w:pStyle w:val="35"/>
        <w:spacing w:line="60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3EF44580">
      <w:pPr>
        <w:pStyle w:val="35"/>
        <w:spacing w:line="600" w:lineRule="exact"/>
        <w:ind w:firstLine="1600" w:firstLineChars="500"/>
        <w:jc w:val="both"/>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创建全国文明城市专项补助资金</w:t>
      </w:r>
      <w:r>
        <w:rPr>
          <w:rFonts w:ascii="Times New Roman" w:hAnsi="Times New Roman" w:eastAsia="仿宋_GB2312"/>
          <w:color w:val="auto"/>
          <w:kern w:val="2"/>
          <w:sz w:val="32"/>
          <w:szCs w:val="32"/>
        </w:rPr>
        <w:t>）</w:t>
      </w:r>
    </w:p>
    <w:p w14:paraId="4D347AFE">
      <w:pPr>
        <w:pStyle w:val="35"/>
        <w:spacing w:line="600" w:lineRule="exact"/>
        <w:ind w:firstLine="640"/>
        <w:jc w:val="center"/>
        <w:rPr>
          <w:rFonts w:ascii="Times New Roman" w:hAnsi="Times New Roman"/>
          <w:color w:val="auto"/>
          <w:kern w:val="2"/>
          <w:sz w:val="32"/>
          <w:szCs w:val="32"/>
        </w:rPr>
      </w:pPr>
    </w:p>
    <w:p w14:paraId="01FA679C">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5F342F4F">
      <w:pPr>
        <w:adjustRightInd w:val="0"/>
        <w:snapToGrid w:val="0"/>
        <w:spacing w:line="600" w:lineRule="exact"/>
        <w:ind w:firstLine="720"/>
        <w:rPr>
          <w:rFonts w:eastAsia="楷体_GB2312"/>
          <w:b/>
          <w:color w:val="auto"/>
          <w:sz w:val="32"/>
          <w:szCs w:val="32"/>
          <w:lang w:val="zh-CN"/>
        </w:rPr>
      </w:pPr>
      <w:r>
        <w:rPr>
          <w:rFonts w:eastAsia="楷体_GB2312"/>
          <w:b/>
          <w:color w:val="auto"/>
          <w:sz w:val="32"/>
          <w:szCs w:val="32"/>
          <w:lang w:val="zh-CN"/>
        </w:rPr>
        <w:t>（一）项目基本情况。</w:t>
      </w:r>
    </w:p>
    <w:p w14:paraId="10598C90">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创建</w:t>
      </w:r>
      <w:r>
        <w:rPr>
          <w:rFonts w:hint="eastAsia" w:ascii="Times New Roman" w:hAnsi="Times New Roman" w:eastAsia="仿宋_GB2312" w:cs="Times New Roman"/>
          <w:color w:val="auto"/>
          <w:kern w:val="2"/>
          <w:sz w:val="32"/>
          <w:szCs w:val="32"/>
          <w:lang w:val="zh-CN" w:eastAsia="zh-CN" w:bidi="ar-SA"/>
        </w:rPr>
        <w:t>全国文明城市专项补助资金，</w:t>
      </w:r>
      <w:r>
        <w:rPr>
          <w:rFonts w:hint="eastAsia" w:ascii="Times New Roman" w:hAnsi="Times New Roman" w:eastAsia="仿宋_GB2312" w:cs="Times New Roman"/>
          <w:color w:val="auto"/>
          <w:kern w:val="2"/>
          <w:sz w:val="32"/>
          <w:szCs w:val="32"/>
          <w:lang w:val="en-US" w:eastAsia="zh-CN" w:bidi="ar-SA"/>
        </w:rPr>
        <w:t>是为深入推进全国文明城市创建工作、补齐城市基础设施短板、提升城市治理水平而设立的财政专项经费，资金</w:t>
      </w:r>
      <w:r>
        <w:rPr>
          <w:rFonts w:hint="eastAsia" w:ascii="Times New Roman" w:hAnsi="Times New Roman" w:eastAsia="仿宋_GB2312" w:cs="Times New Roman"/>
          <w:color w:val="auto"/>
          <w:kern w:val="2"/>
          <w:sz w:val="32"/>
          <w:szCs w:val="32"/>
          <w:lang w:val="zh-CN" w:eastAsia="zh-CN" w:bidi="ar-SA"/>
        </w:rPr>
        <w:t>主要用于城市基础设施维修维护、部分公益广告新增更换、园林绿化</w:t>
      </w:r>
      <w:r>
        <w:rPr>
          <w:rFonts w:hint="eastAsia" w:ascii="Times New Roman" w:hAnsi="Times New Roman" w:eastAsia="仿宋_GB2312" w:cs="Times New Roman"/>
          <w:color w:val="auto"/>
          <w:kern w:val="2"/>
          <w:sz w:val="32"/>
          <w:szCs w:val="32"/>
          <w:lang w:val="en-US" w:eastAsia="zh-CN" w:bidi="ar-SA"/>
        </w:rPr>
        <w:t>经费支出三大核心领域，为文明城市创建提供坚实的硬件支撑与环境保障。</w:t>
      </w:r>
    </w:p>
    <w:p w14:paraId="7E40BC63">
      <w:pPr>
        <w:adjustRightInd w:val="0"/>
        <w:snapToGrid w:val="0"/>
        <w:spacing w:line="600" w:lineRule="exact"/>
        <w:ind w:firstLine="720"/>
        <w:rPr>
          <w:rFonts w:hint="eastAsia" w:eastAsia="楷体_GB2312"/>
          <w:b/>
          <w:color w:val="auto"/>
          <w:sz w:val="32"/>
          <w:szCs w:val="32"/>
          <w:lang w:val="en-US"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w:t>
      </w:r>
      <w:r>
        <w:rPr>
          <w:rFonts w:eastAsia="楷体_GB2312"/>
          <w:b/>
          <w:color w:val="auto"/>
          <w:sz w:val="32"/>
          <w:szCs w:val="32"/>
          <w:lang w:val="zh-CN" w:eastAsia="zh-CN"/>
        </w:rPr>
        <w:t>项目绩效目标。</w:t>
      </w:r>
    </w:p>
    <w:p w14:paraId="4F504DC8">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项目主要内容：</w:t>
      </w:r>
      <w:r>
        <w:rPr>
          <w:rFonts w:hint="eastAsia" w:ascii="Times New Roman" w:hAnsi="Times New Roman" w:eastAsia="仿宋_GB2312" w:cs="Times New Roman"/>
          <w:color w:val="auto"/>
          <w:kern w:val="2"/>
          <w:sz w:val="32"/>
          <w:szCs w:val="32"/>
          <w:lang w:val="en-US" w:eastAsia="zh-CN" w:bidi="ar-SA"/>
        </w:rPr>
        <w:t>1、完成城区主次干道、背阴小巷等重点区域市政设施维修维护，确保设施完好率达到文明城市创建标准。2、完成公益广告点位的新增、更新与提质改造，实现公益广告规范设置、内容合规、布局合理。3、完成园林绿化管护提质工作，提升绿地景观品质，改善城市生态环境，营造整洁有序、文明和谐的城市环境。</w:t>
      </w:r>
    </w:p>
    <w:p w14:paraId="0A065AF8">
      <w:pPr>
        <w:adjustRightInd w:val="0"/>
        <w:snapToGrid w:val="0"/>
        <w:spacing w:line="600" w:lineRule="exact"/>
        <w:ind w:firstLine="720"/>
        <w:rPr>
          <w:rFonts w:hint="eastAsia" w:eastAsia="楷体_GB2312"/>
          <w:b/>
          <w:color w:val="auto"/>
          <w:lang w:val="zh-CN" w:eastAsia="zh-CN"/>
        </w:rPr>
      </w:pPr>
      <w:r>
        <w:rPr>
          <w:rFonts w:hint="eastAsia" w:ascii="Times New Roman" w:hAnsi="Times New Roman" w:eastAsia="仿宋_GB2312" w:cs="Times New Roman"/>
          <w:color w:val="auto"/>
          <w:kern w:val="2"/>
          <w:sz w:val="32"/>
          <w:szCs w:val="32"/>
          <w:lang w:val="zh-CN" w:eastAsia="zh-CN" w:bidi="ar-SA"/>
        </w:rPr>
        <w:t>申报内容与实际相符，申报目标合理可行。</w:t>
      </w:r>
    </w:p>
    <w:p w14:paraId="5B820B26">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281C8D9E">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仁和区综合行政执法局创建全国文明城市专项补助资金采用科室自评办法。</w:t>
      </w:r>
    </w:p>
    <w:p w14:paraId="5B751C21">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3D347829">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0B76BB74">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w:t>
      </w:r>
      <w:r>
        <w:rPr>
          <w:rFonts w:hint="eastAsia" w:ascii="Times New Roman" w:hAnsi="Times New Roman" w:eastAsia="仿宋_GB2312" w:cs="Times New Roman"/>
          <w:color w:val="auto"/>
          <w:kern w:val="2"/>
          <w:sz w:val="32"/>
          <w:szCs w:val="32"/>
          <w:lang w:val="en-US" w:eastAsia="zh-CN" w:bidi="ar-SA"/>
        </w:rPr>
        <w:t>追加资金</w:t>
      </w:r>
      <w:r>
        <w:rPr>
          <w:rFonts w:hint="eastAsia" w:ascii="Times New Roman" w:hAnsi="Times New Roman" w:eastAsia="仿宋_GB2312" w:cs="Times New Roman"/>
          <w:color w:val="auto"/>
          <w:kern w:val="2"/>
          <w:sz w:val="32"/>
          <w:szCs w:val="32"/>
          <w:lang w:val="zh-CN" w:eastAsia="zh-CN" w:bidi="ar-SA"/>
        </w:rPr>
        <w:t>下达，单位直接支付。</w:t>
      </w:r>
    </w:p>
    <w:p w14:paraId="336DE6AD">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5EAB6678">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8.82</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02810DD5">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8.82</w:t>
      </w:r>
      <w:r>
        <w:rPr>
          <w:rFonts w:hint="eastAsia" w:ascii="Times New Roman" w:hAnsi="Times New Roman" w:eastAsia="仿宋_GB2312" w:cs="Times New Roman"/>
          <w:color w:val="auto"/>
          <w:kern w:val="2"/>
          <w:sz w:val="32"/>
          <w:szCs w:val="32"/>
          <w:lang w:val="zh-CN" w:eastAsia="zh-CN" w:bidi="ar-SA"/>
        </w:rPr>
        <w:t>万元，到位率100%。</w:t>
      </w:r>
    </w:p>
    <w:p w14:paraId="653FB82E">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8.82</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5DF373DA">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39C4A0C3">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项目严格执行财政资金管理规定，建立规范的资金使用审批流程，实行专款专用，资金支出均履行了申请、审核、审批程序，财务凭证完整合规，未发生超标准、超范围开支问题，资金使用的安全性、规范性得到有效保障。</w:t>
      </w:r>
    </w:p>
    <w:p w14:paraId="594C033E">
      <w:pPr>
        <w:adjustRightInd w:val="0"/>
        <w:snapToGrid w:val="0"/>
        <w:spacing w:line="600" w:lineRule="exact"/>
        <w:ind w:firstLine="720"/>
        <w:rPr>
          <w:rFonts w:eastAsia="黑体"/>
          <w:color w:val="auto"/>
          <w:sz w:val="32"/>
          <w:szCs w:val="32"/>
        </w:rPr>
      </w:pPr>
      <w:r>
        <w:rPr>
          <w:rFonts w:eastAsia="黑体"/>
          <w:color w:val="auto"/>
          <w:sz w:val="32"/>
          <w:szCs w:val="32"/>
        </w:rPr>
        <w:t>三、项目实施及管理情况</w:t>
      </w:r>
    </w:p>
    <w:p w14:paraId="664646C0">
      <w:pPr>
        <w:pStyle w:val="15"/>
        <w:widowControl/>
        <w:shd w:val="clear" w:color="auto" w:fill="FFFFFF"/>
        <w:spacing w:before="0" w:beforeAutospacing="0" w:after="0" w:afterAutospacing="0" w:line="600" w:lineRule="atLeast"/>
        <w:ind w:firstLine="640" w:firstLineChars="20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该项目由我单位业务股室申报，经单位领导集体研究后，形成项目资金申请报告报区政府同意后，报财政部门审核，财政部门下达经费，并由我单位组织实施。</w:t>
      </w:r>
    </w:p>
    <w:p w14:paraId="335A890B">
      <w:pPr>
        <w:adjustRightInd w:val="0"/>
        <w:snapToGrid w:val="0"/>
        <w:spacing w:line="600" w:lineRule="exact"/>
        <w:ind w:firstLine="720"/>
        <w:rPr>
          <w:color w:val="auto"/>
          <w:sz w:val="32"/>
          <w:szCs w:val="32"/>
          <w:lang w:val="zh-CN"/>
        </w:rPr>
      </w:pPr>
      <w:r>
        <w:rPr>
          <w:rFonts w:eastAsia="黑体"/>
          <w:color w:val="auto"/>
          <w:sz w:val="32"/>
          <w:szCs w:val="32"/>
        </w:rPr>
        <w:t>四、项目绩效情况</w:t>
      </w:r>
      <w:r>
        <w:rPr>
          <w:color w:val="auto"/>
          <w:sz w:val="32"/>
          <w:szCs w:val="32"/>
          <w:lang w:val="zh-CN"/>
        </w:rPr>
        <w:tab/>
      </w:r>
    </w:p>
    <w:p w14:paraId="1E89EEE6">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7915E270">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项目已按既定计划全面完成，各项指标均达到预期标准，保障消除安全隐患，提升城市品质，保障人民生命财产的安全和社会的稳定，有效解决城区市政、园林设施设备老、旧、破等管护工作最直接的实际问题，改善城市管理工作现状，人民群众安全感、获得感和幸福感将得到进一步提升。</w:t>
      </w:r>
    </w:p>
    <w:p w14:paraId="2598800B">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2E9077D4">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1、</w:t>
      </w:r>
      <w:r>
        <w:rPr>
          <w:rFonts w:hint="eastAsia" w:ascii="Times New Roman" w:hAnsi="Times New Roman" w:eastAsia="仿宋_GB2312" w:cs="Times New Roman"/>
          <w:color w:val="auto"/>
          <w:kern w:val="2"/>
          <w:sz w:val="32"/>
          <w:szCs w:val="32"/>
          <w:lang w:val="en-US" w:eastAsia="zh-CN" w:bidi="ar-SA"/>
        </w:rPr>
        <w:t>通过市政设施维修维护，有效消除了道路破损、路灯不亮、排水不畅等安全隐患，保障了群众出行安全，公益广告的规范设置，营造了浓厚的文明创建氛围，提升了市民文明意识。2、园林绿化提质工作改善了城市生态环境，提升了城市颜值与宜居度，改善了空气质量，助力绿色低碳城市建设。3、城市基础设施短板得到补齐，文明创建工作机制进一步完善，为后续全国文明城市创建工作奠定了坚实基础，形成了城市环境长效管护的良好态势。</w:t>
      </w:r>
    </w:p>
    <w:p w14:paraId="6DAE9987">
      <w:pPr>
        <w:adjustRightInd w:val="0"/>
        <w:snapToGrid w:val="0"/>
        <w:spacing w:line="600" w:lineRule="exact"/>
        <w:ind w:firstLine="720"/>
        <w:rPr>
          <w:rFonts w:eastAsia="黑体"/>
          <w:color w:val="auto"/>
          <w:sz w:val="32"/>
          <w:szCs w:val="32"/>
        </w:rPr>
      </w:pPr>
      <w:r>
        <w:rPr>
          <w:rFonts w:eastAsia="黑体"/>
          <w:color w:val="auto"/>
          <w:sz w:val="32"/>
          <w:szCs w:val="32"/>
        </w:rPr>
        <w:t>五、评价结论及建议</w:t>
      </w:r>
    </w:p>
    <w:p w14:paraId="4D715BE3">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2B28E4C">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创建全国文明城市专项补助资金项目严格按照预算批复及实施方案推进，资金使用规范、管理有序，各项绩效目标均已按期完成，有效解决了城市基础设施管护难题，提升了城市文明形象与治理水平，取得了良好的社会效益与生态效益，为全国文明城市创建工作提供更加有力的保障。</w:t>
      </w:r>
    </w:p>
    <w:p w14:paraId="141AE57A">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1DA1B91A">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3BAEEC02">
      <w:pPr>
        <w:adjustRightInd w:val="0"/>
        <w:snapToGrid w:val="0"/>
        <w:spacing w:line="600" w:lineRule="exact"/>
        <w:ind w:firstLine="720"/>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5277ACD2">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7C0F9558">
      <w:pPr>
        <w:ind w:firstLine="420" w:firstLineChars="200"/>
        <w:rPr>
          <w:rFonts w:hint="eastAsia"/>
          <w:color w:val="auto"/>
          <w:lang w:val="en-US" w:eastAsia="zh-CN"/>
        </w:rPr>
      </w:pPr>
    </w:p>
    <w:p w14:paraId="09158473">
      <w:pPr>
        <w:ind w:firstLine="420" w:firstLineChars="200"/>
        <w:rPr>
          <w:rFonts w:hint="eastAsia"/>
          <w:color w:val="auto"/>
          <w:lang w:val="en-US" w:eastAsia="zh-CN"/>
        </w:rPr>
      </w:pPr>
    </w:p>
    <w:p w14:paraId="226582AA">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6FC2B8D1">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r>
        <w:rPr>
          <w:rFonts w:hint="eastAsia" w:eastAsia="仿宋_GB2312" w:cs="Times New Roman"/>
          <w:color w:val="auto"/>
          <w:kern w:val="0"/>
          <w:sz w:val="32"/>
          <w:szCs w:val="32"/>
          <w:shd w:val="clear" w:color="auto" w:fill="FFFFFF"/>
          <w:lang w:val="en-US" w:eastAsia="zh-CN"/>
        </w:rPr>
        <w:t xml:space="preserve">                  </w:t>
      </w: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5FB35D2A">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3092878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C2835A5">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4D9F9B45">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57C017E0">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B99CFA3">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496EC3BB">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5230AD6C">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1E5BCBF1">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63A308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065918A5">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627E10C2">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2BF00EAA">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27278691">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4C95AF7">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7F101326">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00B93ED7">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10DAE0B9">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52012370">
      <w:pPr>
        <w:spacing w:line="600" w:lineRule="exact"/>
        <w:jc w:val="center"/>
        <w:rPr>
          <w:rFonts w:hint="default" w:ascii="Times New Roman" w:hAnsi="Times New Roman" w:eastAsia="仿宋_GB2312" w:cs="Times New Roman"/>
          <w:color w:val="auto"/>
          <w:kern w:val="0"/>
          <w:sz w:val="32"/>
          <w:szCs w:val="32"/>
          <w:shd w:val="clear" w:color="auto" w:fill="FFFFFF"/>
          <w:lang w:val="en-US" w:eastAsia="zh-CN"/>
        </w:rPr>
      </w:pPr>
    </w:p>
    <w:p w14:paraId="16C70A58">
      <w:pPr>
        <w:pStyle w:val="2"/>
        <w:rPr>
          <w:rFonts w:hint="default"/>
          <w:color w:val="auto"/>
          <w:lang w:val="en-US" w:eastAsia="zh-CN"/>
        </w:rPr>
      </w:pPr>
    </w:p>
    <w:p w14:paraId="240E1D4C">
      <w:pPr>
        <w:pStyle w:val="35"/>
        <w:spacing w:line="60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16894AB1">
      <w:pPr>
        <w:pStyle w:val="35"/>
        <w:spacing w:line="60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3A502C59">
      <w:pPr>
        <w:pStyle w:val="35"/>
        <w:spacing w:line="600" w:lineRule="exact"/>
        <w:ind w:firstLine="1920" w:firstLineChars="600"/>
        <w:jc w:val="both"/>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瓶改管、瓶改电激励奖补资金</w:t>
      </w:r>
      <w:r>
        <w:rPr>
          <w:rFonts w:ascii="Times New Roman" w:hAnsi="Times New Roman" w:eastAsia="仿宋_GB2312"/>
          <w:color w:val="auto"/>
          <w:kern w:val="2"/>
          <w:sz w:val="32"/>
          <w:szCs w:val="32"/>
        </w:rPr>
        <w:t>）</w:t>
      </w:r>
    </w:p>
    <w:p w14:paraId="287164B6">
      <w:pPr>
        <w:pStyle w:val="35"/>
        <w:spacing w:line="600" w:lineRule="exact"/>
        <w:ind w:firstLine="640"/>
        <w:jc w:val="center"/>
        <w:rPr>
          <w:rFonts w:ascii="Times New Roman" w:hAnsi="Times New Roman"/>
          <w:color w:val="auto"/>
          <w:kern w:val="2"/>
          <w:sz w:val="32"/>
          <w:szCs w:val="32"/>
        </w:rPr>
      </w:pPr>
    </w:p>
    <w:p w14:paraId="169832C7">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7955FE0">
      <w:pPr>
        <w:adjustRightInd w:val="0"/>
        <w:snapToGrid w:val="0"/>
        <w:spacing w:line="600" w:lineRule="exact"/>
        <w:ind w:firstLine="643" w:firstLineChars="200"/>
        <w:jc w:val="left"/>
        <w:rPr>
          <w:rFonts w:eastAsia="楷体_GB2312"/>
          <w:b/>
          <w:color w:val="auto"/>
          <w:sz w:val="32"/>
          <w:szCs w:val="32"/>
          <w:lang w:val="zh-CN" w:eastAsia="zh-CN"/>
        </w:rPr>
      </w:pPr>
      <w:r>
        <w:rPr>
          <w:rFonts w:eastAsia="楷体_GB2312"/>
          <w:b/>
          <w:color w:val="auto"/>
          <w:sz w:val="32"/>
          <w:szCs w:val="32"/>
          <w:lang w:val="zh-CN" w:eastAsia="zh-CN"/>
        </w:rPr>
        <w:t>（一）项目基本情况。</w:t>
      </w:r>
    </w:p>
    <w:p w14:paraId="61ADA959">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瓶改管、瓶改电激励奖补资金</w:t>
      </w:r>
      <w:r>
        <w:rPr>
          <w:rFonts w:hint="eastAsia" w:ascii="Times New Roman" w:hAnsi="Times New Roman" w:eastAsia="仿宋_GB2312" w:cs="Times New Roman"/>
          <w:color w:val="auto"/>
          <w:kern w:val="2"/>
          <w:sz w:val="32"/>
          <w:szCs w:val="32"/>
          <w:lang w:val="en-US" w:eastAsia="zh-CN" w:bidi="ar-SA"/>
        </w:rPr>
        <w:t>用于</w:t>
      </w:r>
      <w:r>
        <w:rPr>
          <w:rFonts w:hint="eastAsia" w:ascii="Times New Roman" w:hAnsi="Times New Roman" w:eastAsia="仿宋_GB2312" w:cs="Times New Roman"/>
          <w:color w:val="auto"/>
          <w:kern w:val="2"/>
          <w:sz w:val="32"/>
          <w:szCs w:val="32"/>
          <w:lang w:val="zh-CN" w:eastAsia="zh-CN" w:bidi="ar-SA"/>
        </w:rPr>
        <w:t>消除不安全用气环境下使用瓶装液化石油气的安全隐患，全力守护人民群众生命财产安全，在全区开展瓶装液化石油气改用管道天然气或改用电（以下简称“瓶改管”“瓶改电”）工作。完成525户改造工作，</w:t>
      </w:r>
      <w:r>
        <w:rPr>
          <w:rFonts w:hint="eastAsia" w:ascii="Times New Roman" w:hAnsi="Times New Roman" w:eastAsia="仿宋_GB2312" w:cs="Times New Roman"/>
          <w:color w:val="auto"/>
          <w:kern w:val="2"/>
          <w:sz w:val="32"/>
          <w:szCs w:val="32"/>
          <w:lang w:val="en-US" w:eastAsia="zh-CN" w:bidi="ar-SA"/>
        </w:rPr>
        <w:t>落实专项激励奖补政策，充分调动群众和经营主体自主改造积极性，</w:t>
      </w:r>
      <w:r>
        <w:rPr>
          <w:rFonts w:hint="eastAsia" w:ascii="Times New Roman" w:hAnsi="Times New Roman" w:eastAsia="仿宋_GB2312" w:cs="Times New Roman"/>
          <w:color w:val="auto"/>
          <w:kern w:val="2"/>
          <w:sz w:val="32"/>
          <w:szCs w:val="32"/>
          <w:lang w:val="zh-CN" w:eastAsia="zh-CN" w:bidi="ar-SA"/>
        </w:rPr>
        <w:t>项目建成后促进区域经济发展，消除改造用户末端的安全隐患。</w:t>
      </w:r>
    </w:p>
    <w:p w14:paraId="6F656C8D">
      <w:pPr>
        <w:adjustRightInd w:val="0"/>
        <w:snapToGrid w:val="0"/>
        <w:spacing w:line="600" w:lineRule="exact"/>
        <w:ind w:firstLine="643" w:firstLineChars="200"/>
        <w:jc w:val="left"/>
        <w:rPr>
          <w:rFonts w:eastAsia="楷体_GB2312"/>
          <w:b/>
          <w:color w:val="auto"/>
          <w:sz w:val="32"/>
          <w:szCs w:val="32"/>
          <w:lang w:val="zh-CN" w:eastAsia="zh-CN"/>
        </w:rPr>
      </w:pPr>
      <w:r>
        <w:rPr>
          <w:rFonts w:eastAsia="楷体_GB2312"/>
          <w:b/>
          <w:color w:val="auto"/>
          <w:sz w:val="32"/>
          <w:szCs w:val="32"/>
          <w:lang w:val="zh-CN" w:eastAsia="zh-CN"/>
        </w:rPr>
        <w:t>（二）项目绩效目标。</w:t>
      </w:r>
    </w:p>
    <w:p w14:paraId="4A8CC5C3">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完成年度既定瓶改管、瓶改电改造户数任务，规范改造流程、严格改造质量，实现改造一户、达标一户、安全一户；严格按标准、按程序足额兑付奖补资金，资金拨付及时、合规、精准。全面降低辖区瓶改液化气使用安全隐患，杜绝瓶装燃气泄漏、爆炸等安全事故发生；优化辖区能源消费结构，</w:t>
      </w:r>
    </w:p>
    <w:p w14:paraId="2AAF3109">
      <w:pPr>
        <w:adjustRightInd w:val="0"/>
        <w:snapToGrid w:val="0"/>
        <w:spacing w:line="600" w:lineRule="exact"/>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推广绿色清洁能源使用；切实减轻群众、商户改造经济负担，提升群众安全感、获得感和满意度，建立瓶装燃气长效管控机制。</w:t>
      </w:r>
    </w:p>
    <w:p w14:paraId="264A6C8E">
      <w:pPr>
        <w:adjustRightInd w:val="0"/>
        <w:snapToGrid w:val="0"/>
        <w:spacing w:line="600" w:lineRule="exact"/>
        <w:ind w:firstLine="643" w:firstLineChars="200"/>
        <w:jc w:val="left"/>
        <w:rPr>
          <w:rFonts w:eastAsia="楷体_GB2312"/>
          <w:b/>
          <w:color w:val="auto"/>
          <w:sz w:val="32"/>
          <w:szCs w:val="32"/>
          <w:lang w:val="zh-CN" w:eastAsia="zh-CN"/>
        </w:rPr>
      </w:pPr>
      <w:r>
        <w:rPr>
          <w:rFonts w:eastAsia="楷体_GB2312"/>
          <w:b/>
          <w:color w:val="auto"/>
          <w:sz w:val="32"/>
          <w:szCs w:val="32"/>
          <w:lang w:val="zh-CN" w:eastAsia="zh-CN"/>
        </w:rPr>
        <w:t>（三）项目自评步骤及方法。</w:t>
      </w:r>
    </w:p>
    <w:p w14:paraId="0BEF87D9">
      <w:pPr>
        <w:adjustRightInd w:val="0"/>
        <w:snapToGrid w:val="0"/>
        <w:spacing w:line="600" w:lineRule="exact"/>
        <w:ind w:firstLine="720"/>
        <w:rPr>
          <w:rFonts w:hint="eastAsia" w:ascii="仿宋_GB2312" w:hAnsi="仿宋_GB2312" w:cs="仿宋_GB2312"/>
          <w:color w:val="auto"/>
          <w:sz w:val="32"/>
          <w:szCs w:val="32"/>
          <w:shd w:val="clear" w:color="auto" w:fill="FFFFFF"/>
          <w:lang w:val="zh-CN" w:eastAsia="zh-CN"/>
        </w:rPr>
      </w:pPr>
      <w:r>
        <w:rPr>
          <w:rFonts w:hint="eastAsia" w:ascii="Times New Roman" w:hAnsi="Times New Roman" w:eastAsia="仿宋_GB2312" w:cs="Times New Roman"/>
          <w:color w:val="auto"/>
          <w:kern w:val="2"/>
          <w:sz w:val="32"/>
          <w:szCs w:val="32"/>
          <w:lang w:val="zh-CN" w:eastAsia="zh-CN" w:bidi="ar-SA"/>
        </w:rPr>
        <w:t>瓶改管、瓶改电激励奖补资金采用科室自评办法。</w:t>
      </w:r>
    </w:p>
    <w:p w14:paraId="1AFD2BEA">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5E459C82">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02BD8E31">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186C98A0">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523DB53A">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104.4</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444BE4AE">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104.4</w:t>
      </w:r>
      <w:r>
        <w:rPr>
          <w:rFonts w:hint="eastAsia" w:ascii="Times New Roman" w:hAnsi="Times New Roman" w:eastAsia="仿宋_GB2312" w:cs="Times New Roman"/>
          <w:color w:val="auto"/>
          <w:kern w:val="2"/>
          <w:sz w:val="32"/>
          <w:szCs w:val="32"/>
          <w:lang w:val="zh-CN" w:eastAsia="zh-CN" w:bidi="ar-SA"/>
        </w:rPr>
        <w:t>万元，到位率100%。</w:t>
      </w:r>
    </w:p>
    <w:p w14:paraId="0ADA1540">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49.38</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47.30%。</w:t>
      </w:r>
    </w:p>
    <w:p w14:paraId="4C5D263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25972C95">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项目资金严格执行财政资金管理规定，全部专项用于瓶改管、瓶改电保障相关工作，支出真实合规、审批流程完整，账务核算清晰规范，做到专款专用，有效保障项目顺利实施。</w:t>
      </w:r>
    </w:p>
    <w:p w14:paraId="79A35A16">
      <w:pPr>
        <w:adjustRightInd w:val="0"/>
        <w:snapToGrid w:val="0"/>
        <w:spacing w:line="600" w:lineRule="exact"/>
        <w:ind w:firstLine="720"/>
        <w:rPr>
          <w:rFonts w:eastAsia="黑体"/>
          <w:color w:val="auto"/>
          <w:sz w:val="32"/>
          <w:szCs w:val="32"/>
        </w:rPr>
      </w:pPr>
      <w:r>
        <w:rPr>
          <w:rFonts w:eastAsia="黑体"/>
          <w:color w:val="auto"/>
          <w:sz w:val="32"/>
          <w:szCs w:val="32"/>
        </w:rPr>
        <w:t>三、项目实施及管理情况</w:t>
      </w:r>
    </w:p>
    <w:p w14:paraId="47011658">
      <w:pPr>
        <w:pStyle w:val="15"/>
        <w:widowControl/>
        <w:shd w:val="clear" w:color="auto" w:fill="FFFFFF"/>
        <w:spacing w:before="0" w:beforeAutospacing="0" w:after="0" w:afterAutospacing="0" w:line="600" w:lineRule="atLeast"/>
        <w:ind w:firstLine="640" w:firstLineChars="20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2272C641">
      <w:pPr>
        <w:adjustRightInd w:val="0"/>
        <w:snapToGrid w:val="0"/>
        <w:spacing w:line="600" w:lineRule="exact"/>
        <w:ind w:firstLine="720"/>
        <w:rPr>
          <w:rFonts w:eastAsia="黑体"/>
          <w:color w:val="auto"/>
          <w:sz w:val="32"/>
          <w:szCs w:val="32"/>
          <w:lang w:val="zh-CN"/>
        </w:rPr>
      </w:pPr>
      <w:r>
        <w:rPr>
          <w:rFonts w:eastAsia="黑体"/>
          <w:color w:val="auto"/>
          <w:sz w:val="32"/>
          <w:szCs w:val="32"/>
        </w:rPr>
        <w:t>四、项目绩效情况</w:t>
      </w:r>
      <w:r>
        <w:rPr>
          <w:rFonts w:eastAsia="黑体"/>
          <w:color w:val="auto"/>
          <w:sz w:val="32"/>
          <w:szCs w:val="32"/>
          <w:lang w:val="zh-CN"/>
        </w:rPr>
        <w:tab/>
      </w:r>
    </w:p>
    <w:p w14:paraId="394C6E1D">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5BE093CB">
      <w:pPr>
        <w:adjustRightInd w:val="0"/>
        <w:snapToGrid w:val="0"/>
        <w:spacing w:line="600" w:lineRule="exact"/>
        <w:ind w:firstLine="72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顺利完成年度目标</w:t>
      </w:r>
      <w:r>
        <w:rPr>
          <w:rFonts w:hint="eastAsia" w:ascii="Times New Roman" w:hAnsi="Times New Roman" w:eastAsia="仿宋_GB2312" w:cs="Times New Roman"/>
          <w:color w:val="auto"/>
          <w:kern w:val="2"/>
          <w:sz w:val="32"/>
          <w:szCs w:val="32"/>
          <w:lang w:val="zh-CN" w:eastAsia="zh-CN" w:bidi="ar-SA"/>
        </w:rPr>
        <w:t>525户改造工作</w:t>
      </w:r>
      <w:r>
        <w:rPr>
          <w:rFonts w:hint="eastAsia" w:ascii="Times New Roman" w:hAnsi="Times New Roman" w:eastAsia="仿宋_GB2312" w:cs="Times New Roman"/>
          <w:color w:val="auto"/>
          <w:kern w:val="2"/>
          <w:sz w:val="32"/>
          <w:szCs w:val="32"/>
          <w:lang w:val="en-US" w:eastAsia="zh-CN" w:bidi="ar-SA"/>
        </w:rPr>
        <w:t>，全面覆盖老旧小区、沿街小微商户等重点风险区域，所有改造项目均严格按照燃气、电力安全施工规范实施，改造后全部通过气密性检测、用电安全验收，改造合格率100%，所有奖补资金兑付均符合政策标准，审核流程规范，资金兑付准确率100%，无违规兑付、错补漏补情况，严格按照上级时间节点要求推进改造工作，按期完成年度全部改造任务及奖补资金兑付工作。</w:t>
      </w:r>
    </w:p>
    <w:p w14:paraId="2E596B6A">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en-US" w:eastAsia="zh-CN"/>
        </w:rPr>
        <w:t>（二）</w:t>
      </w:r>
      <w:r>
        <w:rPr>
          <w:rFonts w:hint="eastAsia" w:eastAsia="楷体_GB2312"/>
          <w:b/>
          <w:color w:val="auto"/>
          <w:sz w:val="32"/>
          <w:szCs w:val="32"/>
          <w:lang w:val="zh-CN" w:eastAsia="zh-CN"/>
        </w:rPr>
        <w:t>项目效益情况。</w:t>
      </w:r>
    </w:p>
    <w:p w14:paraId="0365592B">
      <w:pPr>
        <w:adjustRightInd w:val="0"/>
        <w:snapToGrid w:val="0"/>
        <w:spacing w:line="600" w:lineRule="exact"/>
        <w:ind w:firstLine="72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专项改造，辖区瓶装液化气使用量大幅下降，零散瓶装燃气储存、使用风险得到根本性整治，有效防范化解燃气安全隐患，全年未发生瓶装燃气安全事故，辖区公共安全治理水平显著提升，同时，管道天然气、电能等清洁能源的普及，有效改善了人居环境，减少废气排放，助力绿色低碳城区建设，常态化推进瓶改管、瓶改电改造，逐步构建“源头管控、长效治理”的燃气安全管理体系，从根本上扭转瓶装燃气无序使用乱象，持续优化辖区能源结构，为后续燃气安全精细化管理、清洁能源推广奠定坚实基础，有效降低了居民、商户自主改造成本，极大调动了群众改造积极性，避免了因燃气安全事故造成的经济损失。</w:t>
      </w:r>
    </w:p>
    <w:p w14:paraId="63E8261C">
      <w:pPr>
        <w:adjustRightInd w:val="0"/>
        <w:snapToGrid w:val="0"/>
        <w:spacing w:line="600" w:lineRule="exact"/>
        <w:ind w:firstLine="720"/>
        <w:rPr>
          <w:rFonts w:eastAsia="黑体"/>
          <w:color w:val="auto"/>
          <w:sz w:val="32"/>
          <w:szCs w:val="32"/>
        </w:rPr>
      </w:pPr>
      <w:r>
        <w:rPr>
          <w:rFonts w:eastAsia="黑体"/>
          <w:color w:val="auto"/>
          <w:sz w:val="32"/>
          <w:szCs w:val="32"/>
        </w:rPr>
        <w:t>五、评价结论及建议</w:t>
      </w:r>
    </w:p>
    <w:p w14:paraId="0EE1F34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8B7E5FC">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 xml:space="preserve"> 本年度瓶改管、瓶改电激励奖补资金管理规范、使用合规、拨付及时，项目严格按方案落地实施，圆满完成年度各项目标任务，通过专项工作开展，有效整治了瓶装燃气安全隐患，优化了辖区能源结构，切实保障了群众生命财产安全，提升了民生服务水平，资金产出效益、社会效益、民生效益显著。</w:t>
      </w:r>
    </w:p>
    <w:p w14:paraId="08D1EDE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59E17C22">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6AF0F1AF">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6FB4FA3D">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53CF1DF9">
      <w:pPr>
        <w:pStyle w:val="2"/>
        <w:rPr>
          <w:rFonts w:hint="eastAsia"/>
          <w:color w:val="auto"/>
          <w:lang w:val="en-US" w:eastAsia="zh-CN"/>
        </w:rPr>
      </w:pPr>
    </w:p>
    <w:p w14:paraId="11894A74">
      <w:pPr>
        <w:pStyle w:val="2"/>
        <w:rPr>
          <w:rFonts w:hint="eastAsia"/>
          <w:color w:val="auto"/>
          <w:lang w:val="en-US" w:eastAsia="zh-CN"/>
        </w:rPr>
      </w:pPr>
    </w:p>
    <w:p w14:paraId="06BAC270">
      <w:pPr>
        <w:pStyle w:val="2"/>
        <w:rPr>
          <w:rFonts w:hint="eastAsia"/>
          <w:color w:val="auto"/>
          <w:lang w:val="en-US" w:eastAsia="zh-CN"/>
        </w:rPr>
      </w:pPr>
    </w:p>
    <w:p w14:paraId="44B25B5E">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40341365">
      <w:pPr>
        <w:pStyle w:val="2"/>
        <w:ind w:firstLine="4480" w:firstLineChars="1400"/>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4D018060">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6226EE93">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353DA9B7">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0D6CCCC6">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216F70EF">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43B8105D">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06FE495E">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4AD5AF7E">
      <w:pPr>
        <w:pStyle w:val="35"/>
        <w:keepNext w:val="0"/>
        <w:keepLines w:val="0"/>
        <w:pageBreakBefore w:val="0"/>
        <w:kinsoku/>
        <w:wordWrap/>
        <w:overflowPunct/>
        <w:topLinePunct w:val="0"/>
        <w:autoSpaceDE/>
        <w:autoSpaceDN/>
        <w:bidi w:val="0"/>
        <w:spacing w:line="560" w:lineRule="exact"/>
        <w:jc w:val="both"/>
        <w:textAlignment w:val="auto"/>
        <w:rPr>
          <w:rFonts w:hint="eastAsia" w:ascii="宋体" w:hAnsi="宋体" w:cs="宋体"/>
          <w:color w:val="auto"/>
          <w:kern w:val="2"/>
          <w:sz w:val="40"/>
          <w:szCs w:val="40"/>
          <w:lang w:val="en-US" w:eastAsia="zh-CN"/>
        </w:rPr>
      </w:pPr>
    </w:p>
    <w:p w14:paraId="3BE2E689">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1ADF92CE">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70378D8A">
      <w:pPr>
        <w:pStyle w:val="35"/>
        <w:keepNext w:val="0"/>
        <w:keepLines w:val="0"/>
        <w:pageBreakBefore w:val="0"/>
        <w:kinsoku/>
        <w:wordWrap/>
        <w:overflowPunct/>
        <w:topLinePunct w:val="0"/>
        <w:autoSpaceDE/>
        <w:autoSpaceDN/>
        <w:bidi w:val="0"/>
        <w:spacing w:line="560" w:lineRule="exact"/>
        <w:ind w:firstLine="1600" w:firstLineChars="500"/>
        <w:jc w:val="both"/>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清偿拖欠企业账款化债专项债资金</w:t>
      </w:r>
      <w:r>
        <w:rPr>
          <w:rFonts w:ascii="Times New Roman" w:hAnsi="Times New Roman" w:eastAsia="仿宋_GB2312"/>
          <w:color w:val="auto"/>
          <w:kern w:val="2"/>
          <w:sz w:val="32"/>
          <w:szCs w:val="32"/>
        </w:rPr>
        <w:t>）</w:t>
      </w:r>
    </w:p>
    <w:p w14:paraId="2162AE48">
      <w:pPr>
        <w:pStyle w:val="35"/>
        <w:keepNext w:val="0"/>
        <w:keepLines w:val="0"/>
        <w:pageBreakBefore w:val="0"/>
        <w:kinsoku/>
        <w:wordWrap/>
        <w:overflowPunct/>
        <w:topLinePunct w:val="0"/>
        <w:autoSpaceDE/>
        <w:autoSpaceDN/>
        <w:bidi w:val="0"/>
        <w:spacing w:line="560" w:lineRule="exact"/>
        <w:ind w:firstLine="640"/>
        <w:jc w:val="center"/>
        <w:textAlignment w:val="auto"/>
        <w:rPr>
          <w:rFonts w:ascii="Times New Roman" w:hAnsi="Times New Roman"/>
          <w:color w:val="auto"/>
          <w:kern w:val="2"/>
          <w:sz w:val="32"/>
          <w:szCs w:val="32"/>
        </w:rPr>
      </w:pPr>
    </w:p>
    <w:p w14:paraId="6574A0BB">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2F16D1EA">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（一）项目基本情况。</w:t>
      </w:r>
    </w:p>
    <w:p w14:paraId="5AF5A595">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清偿拖欠企业账款化债专项债资金</w:t>
      </w:r>
      <w:r>
        <w:rPr>
          <w:rFonts w:hint="eastAsia" w:ascii="Times New Roman" w:hAnsi="Times New Roman" w:eastAsia="仿宋_GB2312" w:cs="Times New Roman"/>
          <w:color w:val="auto"/>
          <w:kern w:val="2"/>
          <w:sz w:val="32"/>
          <w:szCs w:val="32"/>
          <w:lang w:val="en-US" w:eastAsia="zh-CN" w:bidi="ar-SA"/>
        </w:rPr>
        <w:t>主要用于</w:t>
      </w:r>
      <w:r>
        <w:rPr>
          <w:rFonts w:hint="eastAsia" w:ascii="Times New Roman" w:hAnsi="Times New Roman" w:eastAsia="仿宋_GB2312" w:cs="Times New Roman"/>
          <w:color w:val="auto"/>
          <w:kern w:val="2"/>
          <w:sz w:val="32"/>
          <w:szCs w:val="32"/>
          <w:lang w:val="zh-CN" w:eastAsia="zh-CN" w:bidi="ar-SA"/>
        </w:rPr>
        <w:t>清偿拖欠企业账款26笔，</w:t>
      </w:r>
      <w:r>
        <w:rPr>
          <w:rFonts w:hint="eastAsia" w:ascii="Times New Roman" w:hAnsi="Times New Roman" w:eastAsia="仿宋_GB2312" w:cs="Times New Roman"/>
          <w:color w:val="auto"/>
          <w:kern w:val="2"/>
          <w:sz w:val="32"/>
          <w:szCs w:val="32"/>
          <w:lang w:val="en-US" w:eastAsia="zh-CN" w:bidi="ar-SA"/>
        </w:rPr>
        <w:t>梳理清偿我单位历史拖欠各类企业账款，全面开展账款台账摸排核查，精准核实欠款金额、欠款成因、涉事企业、拖欠时限等信息，严格按照清偿计划，规范拨付化债专项资金。</w:t>
      </w:r>
    </w:p>
    <w:p w14:paraId="2D24BD5A">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（二）项目绩效目标。</w:t>
      </w:r>
    </w:p>
    <w:p w14:paraId="52245D97">
      <w:pPr>
        <w:adjustRightInd w:val="0"/>
        <w:snapToGrid w:val="0"/>
        <w:spacing w:line="600" w:lineRule="exact"/>
        <w:ind w:firstLine="720"/>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规范使用清偿拖欠企业账款化债专项资金，全面完成存量合规拖欠企业账款清偿任务，有效化解政府债务风险，切实保障民营企业、中小企业合法权益，优化市场营商环境，提升政府公信力，构建亲清政商关系，严格规范专项资金管理，实现资金专款专用、合规高效使用，及时化解企业资金压力，提升涉事企业满意度，建立健全账款清欠长效机制。</w:t>
      </w:r>
    </w:p>
    <w:p w14:paraId="3029999B">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5D9DA7BD">
      <w:pPr>
        <w:keepNext w:val="0"/>
        <w:keepLines w:val="0"/>
        <w:pageBreakBefore w:val="0"/>
        <w:shd w:val="clear"/>
        <w:kinsoku/>
        <w:wordWrap/>
        <w:overflowPunct/>
        <w:topLinePunct w:val="0"/>
        <w:autoSpaceDE/>
        <w:autoSpaceDN/>
        <w:bidi w:val="0"/>
        <w:adjustRightInd w:val="0"/>
        <w:snapToGrid w:val="0"/>
        <w:spacing w:line="560" w:lineRule="exact"/>
        <w:ind w:firstLine="720"/>
        <w:jc w:val="left"/>
        <w:textAlignment w:val="auto"/>
        <w:rPr>
          <w:rFonts w:hint="eastAsia" w:ascii="仿宋_GB2312" w:hAnsi="仿宋_GB2312" w:cs="仿宋_GB2312"/>
          <w:color w:val="auto"/>
          <w:sz w:val="32"/>
          <w:szCs w:val="32"/>
          <w:shd w:val="clear" w:color="auto" w:fill="FFFFFF"/>
          <w:lang w:val="zh-CN" w:eastAsia="zh-CN"/>
        </w:rPr>
      </w:pPr>
      <w:r>
        <w:rPr>
          <w:rFonts w:hint="eastAsia" w:ascii="Times New Roman" w:hAnsi="Times New Roman" w:eastAsia="仿宋_GB2312" w:cs="Times New Roman"/>
          <w:color w:val="auto"/>
          <w:kern w:val="2"/>
          <w:sz w:val="32"/>
          <w:szCs w:val="32"/>
          <w:highlight w:val="none"/>
          <w:lang w:val="zh-CN" w:eastAsia="zh-CN" w:bidi="ar-SA"/>
        </w:rPr>
        <w:t>清偿拖欠企业账款化债专项债资金</w:t>
      </w:r>
      <w:r>
        <w:rPr>
          <w:rFonts w:hint="eastAsia" w:ascii="仿宋_GB2312" w:hAnsi="仿宋_GB2312" w:cs="仿宋_GB2312"/>
          <w:color w:val="auto"/>
          <w:sz w:val="32"/>
          <w:szCs w:val="32"/>
          <w:highlight w:val="none"/>
          <w:shd w:val="clear" w:color="auto" w:fill="FFFFFF"/>
          <w:lang w:val="zh-CN" w:eastAsia="zh-CN"/>
        </w:rPr>
        <w:t>采用科室自评办法。</w:t>
      </w:r>
    </w:p>
    <w:p w14:paraId="53A5B5C4">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1C59CF0A">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373CEEE6">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3CA8E3BB">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52C0A840">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6796.13</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1DC33714">
      <w:pPr>
        <w:adjustRightInd w:val="0"/>
        <w:snapToGrid w:val="0"/>
        <w:spacing w:line="600" w:lineRule="exact"/>
        <w:ind w:firstLine="720"/>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6796.13</w:t>
      </w:r>
      <w:r>
        <w:rPr>
          <w:rFonts w:hint="eastAsia" w:ascii="Times New Roman" w:hAnsi="Times New Roman" w:eastAsia="仿宋_GB2312" w:cs="Times New Roman"/>
          <w:color w:val="auto"/>
          <w:kern w:val="2"/>
          <w:sz w:val="32"/>
          <w:szCs w:val="32"/>
          <w:lang w:val="zh-CN" w:eastAsia="zh-CN" w:bidi="ar-SA"/>
        </w:rPr>
        <w:t>万元，到位率100%。</w:t>
      </w:r>
    </w:p>
    <w:p w14:paraId="5DD4A251">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6796.13</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2FF53288">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644E42C1">
      <w:pPr>
        <w:adjustRightInd w:val="0"/>
        <w:snapToGrid w:val="0"/>
        <w:spacing w:line="600" w:lineRule="exact"/>
        <w:ind w:firstLine="720"/>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r>
        <w:rPr>
          <w:rFonts w:hint="eastAsia" w:ascii="Times New Roman" w:hAnsi="Times New Roman" w:eastAsia="仿宋_GB2312" w:cs="Times New Roman"/>
          <w:color w:val="auto"/>
          <w:kern w:val="2"/>
          <w:sz w:val="32"/>
          <w:szCs w:val="32"/>
          <w:lang w:val="en-US" w:eastAsia="zh-CN" w:bidi="ar-SA"/>
        </w:rPr>
        <w:t>资金做到专款专用、精准高效使用。</w:t>
      </w:r>
    </w:p>
    <w:p w14:paraId="2F74F090">
      <w:pPr>
        <w:adjustRightInd w:val="0"/>
        <w:snapToGrid w:val="0"/>
        <w:spacing w:line="600" w:lineRule="exact"/>
        <w:ind w:firstLine="720"/>
        <w:rPr>
          <w:rFonts w:eastAsia="黑体"/>
          <w:color w:val="auto"/>
          <w:sz w:val="32"/>
          <w:szCs w:val="32"/>
        </w:rPr>
      </w:pPr>
      <w:r>
        <w:rPr>
          <w:rFonts w:eastAsia="黑体"/>
          <w:color w:val="auto"/>
          <w:sz w:val="32"/>
          <w:szCs w:val="32"/>
        </w:rPr>
        <w:t>三、项目实施及管理情况</w:t>
      </w:r>
    </w:p>
    <w:p w14:paraId="06D92695">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3DCA5584">
      <w:pPr>
        <w:adjustRightInd w:val="0"/>
        <w:snapToGrid w:val="0"/>
        <w:spacing w:line="600" w:lineRule="exact"/>
        <w:ind w:firstLine="720"/>
        <w:rPr>
          <w:rFonts w:eastAsia="黑体"/>
          <w:color w:val="auto"/>
          <w:sz w:val="32"/>
          <w:szCs w:val="32"/>
          <w:lang w:val="zh-CN"/>
        </w:rPr>
      </w:pPr>
      <w:r>
        <w:rPr>
          <w:rFonts w:eastAsia="黑体"/>
          <w:color w:val="auto"/>
          <w:sz w:val="32"/>
          <w:szCs w:val="32"/>
        </w:rPr>
        <w:t>四、项目绩效情况</w:t>
      </w:r>
      <w:r>
        <w:rPr>
          <w:rFonts w:eastAsia="黑体"/>
          <w:color w:val="auto"/>
          <w:sz w:val="32"/>
          <w:szCs w:val="32"/>
          <w:lang w:val="zh-CN"/>
        </w:rPr>
        <w:tab/>
      </w:r>
    </w:p>
    <w:p w14:paraId="1BB64BB5">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31CA334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年度累计排查梳理存量拖欠企业账款26笔，清欠企业资金共计6796.13万元，所有资金严格按照清欠工作流程开展摸排、核实、清偿、归档、上报全流程工作，已对大部分拖欠企业账款进行了清偿工作，按时完成了拖欠账款监管系统数据录入、更新、核验工作，数据真实准确、上报及时，同时对尚未清欠款项做好摸排核实，为接下来得清欠工作夯实基础。</w:t>
      </w:r>
    </w:p>
    <w:p w14:paraId="29C5CBA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5F06D068">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专项化债清欠工作，有效化解了历史遗留账款拖欠问题，缓解了中小企业和民营企业资金周转压力，帮助企业盘活流动资金、稳定生产经营，切实维护了市场主体合法权益，大幅提升了政府公信力，优化了市场营商环境，营造诚信履约的市场氛围，建立了账款常态化排查、规范化支付、常态化监管机制，从制度层面杜绝账款拖欠问题，构建长效化、常态化清欠治理体系，保障政企合作良性循环，为实体经济持续健康发展提供长效保障。</w:t>
      </w:r>
    </w:p>
    <w:p w14:paraId="33EE540F">
      <w:pPr>
        <w:adjustRightInd w:val="0"/>
        <w:snapToGrid w:val="0"/>
        <w:spacing w:line="600" w:lineRule="exact"/>
        <w:ind w:firstLine="720"/>
        <w:rPr>
          <w:rFonts w:eastAsia="黑体"/>
          <w:color w:val="auto"/>
          <w:sz w:val="32"/>
          <w:szCs w:val="32"/>
        </w:rPr>
      </w:pPr>
      <w:r>
        <w:rPr>
          <w:rFonts w:eastAsia="黑体"/>
          <w:color w:val="auto"/>
          <w:sz w:val="32"/>
          <w:szCs w:val="32"/>
        </w:rPr>
        <w:t>五、评价结论及建议</w:t>
      </w:r>
    </w:p>
    <w:p w14:paraId="08F7995E">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F3F497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我单位清偿拖欠企业账款化债资金项目严格按照既定目标有序实施，资金管理规范、执行高效，高效完成了账款清偿任务，有效化解了政府存量债务风险，切实保障了企业合法权益，优化了营商环境，提升了政府诚信形象，取得了良好的社会效益。</w:t>
      </w:r>
    </w:p>
    <w:p w14:paraId="3A2E5D58">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1EF8FB6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2EB9AFB9">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20AC43ED">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541C3777">
      <w:pPr>
        <w:pStyle w:val="2"/>
        <w:rPr>
          <w:rFonts w:hint="eastAsia"/>
          <w:color w:val="auto"/>
          <w:lang w:val="en-US" w:eastAsia="zh-CN"/>
        </w:rPr>
      </w:pPr>
    </w:p>
    <w:p w14:paraId="4CDBAF3B">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7F0F0EBC">
      <w:pPr>
        <w:pStyle w:val="2"/>
        <w:ind w:firstLine="4800" w:firstLineChars="1500"/>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106CD07E">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1A75B8A9">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044301EE">
      <w:pPr>
        <w:pStyle w:val="35"/>
        <w:keepNext w:val="0"/>
        <w:keepLines w:val="0"/>
        <w:pageBreakBefore w:val="0"/>
        <w:widowControl w:val="0"/>
        <w:kinsoku/>
        <w:wordWrap/>
        <w:overflowPunct/>
        <w:topLinePunct w:val="0"/>
        <w:autoSpaceDE/>
        <w:autoSpaceDN/>
        <w:bidi w:val="0"/>
        <w:spacing w:line="560" w:lineRule="exact"/>
        <w:jc w:val="center"/>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09137423">
      <w:pPr>
        <w:pStyle w:val="35"/>
        <w:keepNext w:val="0"/>
        <w:keepLines w:val="0"/>
        <w:pageBreakBefore w:val="0"/>
        <w:widowControl w:val="0"/>
        <w:kinsoku/>
        <w:wordWrap/>
        <w:overflowPunct/>
        <w:topLinePunct w:val="0"/>
        <w:autoSpaceDE/>
        <w:autoSpaceDN/>
        <w:bidi w:val="0"/>
        <w:spacing w:line="560" w:lineRule="exact"/>
        <w:jc w:val="center"/>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16132A08">
      <w:pPr>
        <w:pStyle w:val="35"/>
        <w:keepNext w:val="0"/>
        <w:keepLines w:val="0"/>
        <w:pageBreakBefore w:val="0"/>
        <w:widowControl w:val="0"/>
        <w:kinsoku/>
        <w:wordWrap/>
        <w:overflowPunct/>
        <w:topLinePunct w:val="0"/>
        <w:autoSpaceDE/>
        <w:autoSpaceDN/>
        <w:bidi w:val="0"/>
        <w:spacing w:line="560" w:lineRule="exact"/>
        <w:ind w:firstLine="1280" w:firstLineChars="400"/>
        <w:jc w:val="both"/>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仁和区城区生活垃圾分类设施建设项目</w:t>
      </w:r>
      <w:r>
        <w:rPr>
          <w:rFonts w:ascii="Times New Roman" w:hAnsi="Times New Roman" w:eastAsia="仿宋_GB2312"/>
          <w:color w:val="auto"/>
          <w:kern w:val="2"/>
          <w:sz w:val="32"/>
          <w:szCs w:val="32"/>
        </w:rPr>
        <w:t>）</w:t>
      </w:r>
    </w:p>
    <w:p w14:paraId="30DB59E5">
      <w:pPr>
        <w:pStyle w:val="35"/>
        <w:keepNext w:val="0"/>
        <w:keepLines w:val="0"/>
        <w:pageBreakBefore w:val="0"/>
        <w:widowControl w:val="0"/>
        <w:kinsoku/>
        <w:wordWrap/>
        <w:overflowPunct/>
        <w:topLinePunct w:val="0"/>
        <w:autoSpaceDE/>
        <w:autoSpaceDN/>
        <w:bidi w:val="0"/>
        <w:spacing w:line="560" w:lineRule="exact"/>
        <w:ind w:firstLine="640"/>
        <w:jc w:val="center"/>
        <w:rPr>
          <w:rFonts w:ascii="Times New Roman" w:hAnsi="Times New Roman"/>
          <w:color w:val="auto"/>
          <w:kern w:val="2"/>
          <w:sz w:val="32"/>
          <w:szCs w:val="32"/>
        </w:rPr>
      </w:pPr>
    </w:p>
    <w:p w14:paraId="0E8FF877">
      <w:pPr>
        <w:adjustRightInd w:val="0"/>
        <w:snapToGrid w:val="0"/>
        <w:spacing w:line="600" w:lineRule="exact"/>
        <w:ind w:firstLine="720"/>
        <w:rPr>
          <w:rFonts w:eastAsia="黑体"/>
          <w:color w:val="auto"/>
          <w:sz w:val="32"/>
          <w:szCs w:val="32"/>
          <w:lang w:val="zh-CN"/>
        </w:rPr>
      </w:pPr>
      <w:r>
        <w:rPr>
          <w:rFonts w:eastAsia="黑体"/>
          <w:color w:val="auto"/>
          <w:sz w:val="32"/>
          <w:szCs w:val="32"/>
        </w:rPr>
        <w:t>一、</w:t>
      </w:r>
      <w:r>
        <w:rPr>
          <w:rFonts w:eastAsia="黑体"/>
          <w:color w:val="auto"/>
          <w:sz w:val="32"/>
          <w:szCs w:val="32"/>
          <w:lang w:val="zh-CN"/>
        </w:rPr>
        <w:t>项目概况</w:t>
      </w:r>
    </w:p>
    <w:p w14:paraId="74CFB4D8">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（一）项目基本情况。</w:t>
      </w:r>
    </w:p>
    <w:p w14:paraId="29615D33">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仁和区城区生活垃圾分类设施建设项目资金主要用于采购2组智能垃圾分类箱，采购1000个660L其他垃圾桶、1500个240L分类垃圾桶，</w:t>
      </w:r>
      <w:r>
        <w:rPr>
          <w:rFonts w:hint="eastAsia" w:ascii="Times New Roman" w:hAnsi="Times New Roman" w:eastAsia="仿宋_GB2312" w:cs="Times New Roman"/>
          <w:color w:val="auto"/>
          <w:kern w:val="2"/>
          <w:sz w:val="32"/>
          <w:szCs w:val="32"/>
          <w:lang w:val="en-US" w:eastAsia="zh-CN" w:bidi="ar-SA"/>
        </w:rPr>
        <w:t>更换老旧、破损垃圾收集处置设施，补齐城市环境卫生基础设施短板，构建系统化、规范化、便民化的生活垃圾分类收运处置体系，提升城区人居环境质量和城市精细化管理水平。</w:t>
      </w:r>
    </w:p>
    <w:p w14:paraId="4E72DEB2">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（二）项目绩效目标。</w:t>
      </w:r>
    </w:p>
    <w:p w14:paraId="0E5FE41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通过实施城区生活垃圾分类设施标准化建设、升级改造及全域配套完善，补齐城区垃圾分类基础设施短板，建成布局合理、功能完善、标准统一的垃圾分类投放设施体系，规范居民垃圾分类投放行为，大幅提升城区生活垃圾分类覆盖率、准确率，持续改善城区环境卫生面貌，助力文明城市、卫生城市常态化创建，提升城市精细化治理水平和群众生活幸福感。</w:t>
      </w:r>
      <w:r>
        <w:rPr>
          <w:rFonts w:hint="eastAsia" w:ascii="Times New Roman" w:hAnsi="Times New Roman" w:eastAsia="仿宋_GB2312" w:cs="Times New Roman"/>
          <w:color w:val="auto"/>
          <w:kern w:val="2"/>
          <w:sz w:val="32"/>
          <w:szCs w:val="32"/>
          <w:lang w:val="zh-CN" w:eastAsia="zh-CN" w:bidi="ar-SA"/>
        </w:rPr>
        <w:t>申报内容与实际相符，申报目标合理可行。</w:t>
      </w:r>
    </w:p>
    <w:p w14:paraId="682EEAC2">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3613D49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城区生活垃圾分类设施建设项目资金采用科室自评办法。</w:t>
      </w:r>
    </w:p>
    <w:p w14:paraId="4F22A825">
      <w:pPr>
        <w:adjustRightInd w:val="0"/>
        <w:snapToGrid w:val="0"/>
        <w:spacing w:line="600" w:lineRule="exact"/>
        <w:ind w:firstLine="720"/>
        <w:rPr>
          <w:rFonts w:eastAsia="黑体"/>
          <w:color w:val="auto"/>
          <w:sz w:val="32"/>
          <w:szCs w:val="32"/>
        </w:rPr>
      </w:pPr>
      <w:r>
        <w:rPr>
          <w:rFonts w:eastAsia="黑体"/>
          <w:color w:val="auto"/>
          <w:sz w:val="32"/>
          <w:szCs w:val="32"/>
        </w:rPr>
        <w:t>二、项目资金申报及使用情况</w:t>
      </w:r>
    </w:p>
    <w:p w14:paraId="17B91595">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681E87BE">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44B357F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628B73A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7.06</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63B9744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7.06</w:t>
      </w:r>
      <w:r>
        <w:rPr>
          <w:rFonts w:hint="eastAsia" w:ascii="Times New Roman" w:hAnsi="Times New Roman" w:eastAsia="仿宋_GB2312" w:cs="Times New Roman"/>
          <w:color w:val="auto"/>
          <w:kern w:val="2"/>
          <w:sz w:val="32"/>
          <w:szCs w:val="32"/>
          <w:lang w:val="zh-CN" w:eastAsia="zh-CN" w:bidi="ar-SA"/>
        </w:rPr>
        <w:t>万元，到位率100%。</w:t>
      </w:r>
    </w:p>
    <w:p w14:paraId="3BE028C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7.06</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18A87167">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63B2653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本项目严格按照专项资金管理办法及财务管理制度等相关要求完成项目采购，并支付相应资金。</w:t>
      </w:r>
    </w:p>
    <w:p w14:paraId="02A51992">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三、项目实施及管理情况</w:t>
      </w:r>
    </w:p>
    <w:p w14:paraId="3DA1DBD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严格按照政府采购相关规定，</w:t>
      </w:r>
      <w:r>
        <w:rPr>
          <w:rFonts w:hint="eastAsia" w:ascii="Times New Roman" w:hAnsi="Times New Roman" w:eastAsia="仿宋_GB2312" w:cs="Times New Roman"/>
          <w:color w:val="auto"/>
          <w:kern w:val="2"/>
          <w:sz w:val="32"/>
          <w:szCs w:val="32"/>
          <w:lang w:val="en-US" w:eastAsia="zh-CN" w:bidi="ar-SA"/>
        </w:rPr>
        <w:t>采用询价方式完成了项目智能垃圾桶和垃圾分类箱采购。</w:t>
      </w:r>
    </w:p>
    <w:p w14:paraId="48F42B3C">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四、项目绩效情况</w:t>
      </w:r>
      <w:r>
        <w:rPr>
          <w:rFonts w:hint="eastAsia" w:eastAsia="黑体"/>
          <w:color w:val="auto"/>
          <w:sz w:val="32"/>
          <w:szCs w:val="32"/>
          <w:lang w:val="zh-CN" w:eastAsia="zh-CN"/>
        </w:rPr>
        <w:tab/>
      </w:r>
    </w:p>
    <w:p w14:paraId="799921D4">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0068C0A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已于202</w:t>
      </w:r>
      <w:r>
        <w:rPr>
          <w:rFonts w:hint="eastAsia" w:ascii="Times New Roman" w:hAnsi="Times New Roman" w:eastAsia="仿宋_GB2312" w:cs="Times New Roman"/>
          <w:color w:val="auto"/>
          <w:kern w:val="2"/>
          <w:sz w:val="32"/>
          <w:szCs w:val="32"/>
          <w:lang w:val="en-US" w:eastAsia="zh-CN" w:bidi="ar-SA"/>
        </w:rPr>
        <w:t>5</w:t>
      </w:r>
      <w:r>
        <w:rPr>
          <w:rFonts w:hint="eastAsia" w:ascii="Times New Roman" w:hAnsi="Times New Roman" w:eastAsia="仿宋_GB2312" w:cs="Times New Roman"/>
          <w:color w:val="auto"/>
          <w:kern w:val="2"/>
          <w:sz w:val="32"/>
          <w:szCs w:val="32"/>
          <w:lang w:val="zh-CN" w:eastAsia="zh-CN" w:bidi="ar-SA"/>
        </w:rPr>
        <w:t>年12月前完成2组智能垃圾分类箱，1000个660L其他垃圾桶、1500个240L分类垃圾桶</w:t>
      </w:r>
      <w:r>
        <w:rPr>
          <w:rFonts w:hint="eastAsia" w:ascii="Times New Roman" w:hAnsi="Times New Roman" w:eastAsia="仿宋_GB2312" w:cs="Times New Roman"/>
          <w:color w:val="auto"/>
          <w:kern w:val="2"/>
          <w:sz w:val="32"/>
          <w:szCs w:val="32"/>
          <w:lang w:val="en-US" w:eastAsia="zh-CN" w:bidi="ar-SA"/>
        </w:rPr>
        <w:t>的</w:t>
      </w:r>
      <w:r>
        <w:rPr>
          <w:rFonts w:hint="eastAsia" w:ascii="Times New Roman" w:hAnsi="Times New Roman" w:eastAsia="仿宋_GB2312" w:cs="Times New Roman"/>
          <w:color w:val="auto"/>
          <w:kern w:val="2"/>
          <w:sz w:val="32"/>
          <w:szCs w:val="32"/>
          <w:lang w:val="zh-CN" w:eastAsia="zh-CN" w:bidi="ar-SA"/>
        </w:rPr>
        <w:t xml:space="preserve">采购工作。 </w:t>
      </w:r>
    </w:p>
    <w:p w14:paraId="2AC0C65D">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1B24A0CE">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通过项目实施，有效解决了城区部分区域垃圾分类设施缺失、老旧破损、分类不清晰的问题，全域垃圾分类投放布局更加科学合理，城区生活垃圾分类规范化投放率大幅提升，居民分类投放便利性显著提高，有效规范了生活垃圾乱堆乱放、混投混放现象，大幅减轻后端垃圾分拣、处置压力，全面提升城区城市管理精细化、标准化水平，为常态化文明城市创建筑牢硬件基础，标准化垃圾分类设施的全面落地，有效推动生活垃圾源头减量、精准分类、科学处置，提升生活垃圾资源化利用率，减少垃圾混杂处置带来的环境污染，改善城区空气质量、人居生态环境，助力区域生态文明建设高质量发展。</w:t>
      </w:r>
    </w:p>
    <w:p w14:paraId="2A89766F">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五、评价结论及建议</w:t>
      </w:r>
    </w:p>
    <w:p w14:paraId="7344CCA2">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34D653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本项目资金使用规范、实施程序合规、管理制度健全，项目圆满完成年度各项绩效目标任务，产出成果达标、社会效益、生态效益显著，有效补齐了城区垃圾分类基础设施短板，提升了城市精细化管理水平和群众人居生活品质，财政资金使用整体效益良好。</w:t>
      </w:r>
    </w:p>
    <w:p w14:paraId="0138000F">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76CFBED3">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无</w:t>
      </w:r>
      <w:r>
        <w:rPr>
          <w:rFonts w:hint="eastAsia" w:ascii="Times New Roman" w:hAnsi="Times New Roman" w:eastAsia="仿宋_GB2312" w:cs="Times New Roman"/>
          <w:color w:val="auto"/>
          <w:kern w:val="2"/>
          <w:sz w:val="32"/>
          <w:szCs w:val="32"/>
          <w:lang w:val="zh-CN" w:eastAsia="zh-CN" w:bidi="ar-SA"/>
        </w:rPr>
        <w:tab/>
      </w:r>
    </w:p>
    <w:p w14:paraId="000FCCD0">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45F710C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无</w:t>
      </w:r>
    </w:p>
    <w:p w14:paraId="57EF198F">
      <w:pPr>
        <w:pStyle w:val="2"/>
        <w:rPr>
          <w:rFonts w:hint="eastAsia"/>
          <w:color w:val="auto"/>
          <w:lang w:val="en-US" w:eastAsia="zh-CN"/>
        </w:rPr>
      </w:pPr>
    </w:p>
    <w:p w14:paraId="7E21F15C">
      <w:pPr>
        <w:pStyle w:val="2"/>
        <w:rPr>
          <w:rFonts w:hint="eastAsia"/>
          <w:color w:val="auto"/>
          <w:lang w:val="en-US" w:eastAsia="zh-CN"/>
        </w:rPr>
      </w:pPr>
    </w:p>
    <w:p w14:paraId="2C569074">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013540D9">
      <w:pPr>
        <w:pStyle w:val="2"/>
        <w:ind w:firstLine="4800" w:firstLineChars="1500"/>
        <w:rPr>
          <w:rFonts w:hint="default" w:ascii="Times New Roman" w:hAnsi="Times New Roman" w:eastAsia="仿宋_GB2312" w:cs="Times New Roman"/>
          <w:color w:val="auto"/>
          <w:kern w:val="0"/>
          <w:sz w:val="32"/>
          <w:szCs w:val="32"/>
          <w:shd w:val="clear" w:color="auto" w:fill="FFFFFF"/>
          <w:lang w:val="zh-CN"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003C9C3A">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5DC9A3BA">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739B6CDB">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751B6582">
      <w:pPr>
        <w:pStyle w:val="35"/>
        <w:keepNext w:val="0"/>
        <w:keepLines w:val="0"/>
        <w:pageBreakBefore w:val="0"/>
        <w:kinsoku/>
        <w:wordWrap/>
        <w:overflowPunct/>
        <w:topLinePunct w:val="0"/>
        <w:autoSpaceDE/>
        <w:autoSpaceDN/>
        <w:bidi w:val="0"/>
        <w:spacing w:line="560" w:lineRule="exact"/>
        <w:ind w:firstLine="2160" w:firstLineChars="675"/>
        <w:jc w:val="both"/>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ascii="Times New Roman" w:hAnsi="Times New Roman" w:eastAsia="仿宋_GB2312" w:cs="Times New Roman"/>
          <w:color w:val="auto"/>
          <w:kern w:val="2"/>
          <w:sz w:val="32"/>
          <w:szCs w:val="32"/>
          <w:lang w:val="zh-CN" w:eastAsia="zh-CN" w:bidi="ar-SA"/>
        </w:rPr>
        <w:t>新型城镇化债券项目资金</w:t>
      </w:r>
      <w:r>
        <w:rPr>
          <w:rFonts w:ascii="Times New Roman" w:hAnsi="Times New Roman" w:eastAsia="仿宋_GB2312"/>
          <w:color w:val="auto"/>
          <w:kern w:val="2"/>
          <w:sz w:val="32"/>
          <w:szCs w:val="32"/>
        </w:rPr>
        <w:t>）</w:t>
      </w:r>
    </w:p>
    <w:p w14:paraId="41057297">
      <w:pPr>
        <w:pStyle w:val="35"/>
        <w:keepNext w:val="0"/>
        <w:keepLines w:val="0"/>
        <w:pageBreakBefore w:val="0"/>
        <w:kinsoku/>
        <w:wordWrap/>
        <w:overflowPunct/>
        <w:topLinePunct w:val="0"/>
        <w:autoSpaceDE/>
        <w:autoSpaceDN/>
        <w:bidi w:val="0"/>
        <w:spacing w:line="560" w:lineRule="exact"/>
        <w:ind w:firstLine="640"/>
        <w:jc w:val="center"/>
        <w:textAlignment w:val="auto"/>
        <w:rPr>
          <w:rFonts w:ascii="Times New Roman" w:hAnsi="Times New Roman"/>
          <w:color w:val="auto"/>
          <w:kern w:val="2"/>
          <w:sz w:val="32"/>
          <w:szCs w:val="32"/>
        </w:rPr>
      </w:pPr>
    </w:p>
    <w:p w14:paraId="61EF8516">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一、项目概况</w:t>
      </w:r>
    </w:p>
    <w:p w14:paraId="1E56F5E4">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（一）项目基本情况。</w:t>
      </w:r>
    </w:p>
    <w:p w14:paraId="6FA3CE9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新型城镇化债券项目资金主要用于三个项目建设费用：1、仁和区智慧城市精细化管理系统示范项目；2、仁和商业文化广场及周边联通街转盘绿化景观提升项目；3、垃圾分类费用。</w:t>
      </w:r>
    </w:p>
    <w:p w14:paraId="6E3DF5C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仁和区智慧城市精细化管理系统示范项目：建设主要内容可以归纳为“5+N”，即建设一套标准规范体系，打造一个数据资源中心，构建一个业务支撑平台，建设一组应用门户，搭建一个领导决策驾驶舱，建设N个智慧应用。建成包含指挥协调系统、综合指挥调度、智慧执法、智慧市容、智慧环卫、智慧园林、公共服务等行业智慧应用；2、仁和商业文化广场及周边联通街转盘绿化景观提升项目：主要内容</w:t>
      </w:r>
      <w:r>
        <w:rPr>
          <w:rFonts w:hint="eastAsia" w:ascii="Times New Roman" w:hAnsi="Times New Roman" w:eastAsia="仿宋_GB2312" w:cs="Times New Roman"/>
          <w:color w:val="auto"/>
          <w:kern w:val="2"/>
          <w:sz w:val="32"/>
          <w:szCs w:val="32"/>
          <w:lang w:val="en-US" w:eastAsia="zh-CN" w:bidi="ar-SA"/>
        </w:rPr>
        <w:t>是</w:t>
      </w:r>
      <w:r>
        <w:rPr>
          <w:rFonts w:hint="eastAsia" w:ascii="Times New Roman" w:hAnsi="Times New Roman" w:eastAsia="仿宋_GB2312" w:cs="Times New Roman"/>
          <w:color w:val="auto"/>
          <w:kern w:val="2"/>
          <w:sz w:val="32"/>
          <w:szCs w:val="32"/>
          <w:lang w:val="zh-CN" w:eastAsia="zh-CN" w:bidi="ar-SA"/>
        </w:rPr>
        <w:t>联通街鲜花管护，</w:t>
      </w:r>
      <w:r>
        <w:rPr>
          <w:rFonts w:hint="eastAsia" w:ascii="Times New Roman" w:hAnsi="Times New Roman" w:eastAsia="仿宋_GB2312" w:cs="Times New Roman"/>
          <w:color w:val="auto"/>
          <w:kern w:val="2"/>
          <w:sz w:val="32"/>
          <w:szCs w:val="32"/>
          <w:lang w:val="en-US" w:eastAsia="zh-CN" w:bidi="ar-SA"/>
        </w:rPr>
        <w:t>绿化景观提升，为</w:t>
      </w:r>
      <w:r>
        <w:rPr>
          <w:rFonts w:hint="eastAsia" w:ascii="Times New Roman" w:hAnsi="Times New Roman" w:eastAsia="仿宋_GB2312" w:cs="Times New Roman"/>
          <w:color w:val="auto"/>
          <w:kern w:val="2"/>
          <w:sz w:val="32"/>
          <w:szCs w:val="32"/>
          <w:lang w:val="zh-CN" w:eastAsia="zh-CN" w:bidi="ar-SA"/>
        </w:rPr>
        <w:t>深入贯彻习近平生态文明思想，坚持统筹谋划、整体推进，因地制宜、量力而行，以人为本、共建共享，建管并举、提质优先，按照“显山露水、植绿增花”的理念思路，结合仁和区实际，通过对仁和商业文化广场及周边、联通街转盘9个点位进行景观提升，包括景观改造和更换、管护时令鲜花，提升城市品质。主要包含场地平整、小品及花钵安装、栽植多年生植物、鲜花的栽植、摆放及管护和更换时令鲜花等。通过改造，不断提升“绿色 活力 和谐”的城市品牌效应，为建设攀枝花南向开放门户和现代化城市提供良好的生态保障；3、垃圾分类项目：主要内容为深入贯彻落实习近平总书记关于垃圾分类工作的重要指示精神，2019年住建部将上海、成都、广元、德阳等46个城市作为重点推行垃圾分类的城市。在2019年10月，四川省住建厅确定将攀枝花、遂宁、泸州、绵阳等4个城市作为全省推行垃圾分类的试点城市。2020年4月，市政府办公室印发了《攀枝花市生活垃圾分类和处置工作实施方案》（攀办函〔2020〕29号），全面启动建成区生活垃圾强制分类工作。该方案明确，仁和区大河中路街道、仁和镇、前进镇城区范围纳入生活垃圾分类示范片区建设。2021年，根据《攀枝花市城市管理委员会办公室关于印发&lt;攀枝花市2021 年生活垃圾分类和处置工作实施方案&gt;的通知》（攀城管委办〔2021〕2号），仁和区将垃圾分类试点范围扩大到区仁和镇、前进镇、大河中路街道、务本乡、中坝乡、布德镇、大龙潭乡、啊喇乡、大田镇等9个乡镇，并在仁和城区范围内修建64座垃圾分类亭，规范垃圾收集点容貌，引导市民按垃圾的类别进行分类投放。</w:t>
      </w:r>
    </w:p>
    <w:p w14:paraId="54CFBCFC">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（二）项目绩效目标。</w:t>
      </w:r>
    </w:p>
    <w:p w14:paraId="50501406">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由区综合行政执法局对仁和区智慧城市精细化管理系统示范项目，仁和商业文化广场及周边联通街转盘绿化景观提升项目，垃圾分类项目三个项目进行实施，</w:t>
      </w:r>
      <w:r>
        <w:rPr>
          <w:rFonts w:hint="eastAsia" w:ascii="Times New Roman" w:hAnsi="Times New Roman" w:eastAsia="仿宋_GB2312" w:cs="Times New Roman"/>
          <w:color w:val="auto"/>
          <w:kern w:val="2"/>
          <w:sz w:val="32"/>
          <w:szCs w:val="32"/>
          <w:lang w:val="en-US" w:eastAsia="zh-CN" w:bidi="ar-SA"/>
        </w:rPr>
        <w:t>通过数字化系统赋能城市精细化管理、优化公共休闲绿化空间、健全垃圾分类处置体系，全方位补齐城市治理短板，改善辖区人居生态环境、提升公共服务配套水平、增强城市运行管理效能，打造整洁有序、生态宜居、智慧高效的现代化城区，切实提升居民幸福感、获得感与满意度。</w:t>
      </w:r>
    </w:p>
    <w:p w14:paraId="33C54635">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申报内容与实际相符，申报目标合理可行。</w:t>
      </w:r>
    </w:p>
    <w:p w14:paraId="06B10A35">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18968B53">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仁和区综合行政执法局新型城镇化债券项目资金采用科室自评办法。</w:t>
      </w:r>
    </w:p>
    <w:p w14:paraId="7405E0F0">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二、项目资金申报及使用情况</w:t>
      </w:r>
    </w:p>
    <w:p w14:paraId="3FA54E1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5D2783A4">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年初区委、区政府下达的工作任务安排，资金由区财政追加下达，单位直接支付。</w:t>
      </w:r>
    </w:p>
    <w:p w14:paraId="4C681A20">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12CD424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en-US" w:eastAsia="zh-CN" w:bidi="ar-SA"/>
        </w:rPr>
        <w:t>1、</w:t>
      </w:r>
      <w:r>
        <w:rPr>
          <w:rFonts w:hint="eastAsia" w:ascii="Times New Roman" w:hAnsi="Times New Roman" w:eastAsia="仿宋_GB2312" w:cs="Times New Roman"/>
          <w:color w:val="auto"/>
          <w:kern w:val="2"/>
          <w:sz w:val="32"/>
          <w:szCs w:val="32"/>
          <w:lang w:val="zh-CN" w:eastAsia="zh-CN" w:bidi="ar-SA"/>
        </w:rPr>
        <w:t>资金计划。项目总资金</w:t>
      </w:r>
      <w:r>
        <w:rPr>
          <w:rFonts w:hint="eastAsia" w:ascii="Times New Roman" w:hAnsi="Times New Roman" w:eastAsia="仿宋_GB2312" w:cs="Times New Roman"/>
          <w:color w:val="auto"/>
          <w:kern w:val="2"/>
          <w:sz w:val="32"/>
          <w:szCs w:val="32"/>
          <w:lang w:val="en-US" w:eastAsia="zh-CN" w:bidi="ar-SA"/>
        </w:rPr>
        <w:t>75.34</w:t>
      </w:r>
      <w:r>
        <w:rPr>
          <w:rFonts w:hint="eastAsia" w:ascii="Times New Roman" w:hAnsi="Times New Roman" w:eastAsia="仿宋_GB2312" w:cs="Times New Roman"/>
          <w:color w:val="auto"/>
          <w:kern w:val="2"/>
          <w:sz w:val="32"/>
          <w:szCs w:val="32"/>
          <w:lang w:val="zh-CN" w:eastAsia="zh-CN" w:bidi="ar-SA"/>
        </w:rPr>
        <w:t>万元，资金来源为区级财政资金，无其他资金。</w:t>
      </w:r>
    </w:p>
    <w:p w14:paraId="000C2B43">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2、资金到位。区级资金到位</w:t>
      </w:r>
      <w:r>
        <w:rPr>
          <w:rFonts w:hint="eastAsia" w:ascii="Times New Roman" w:hAnsi="Times New Roman" w:eastAsia="仿宋_GB2312" w:cs="Times New Roman"/>
          <w:color w:val="auto"/>
          <w:kern w:val="2"/>
          <w:sz w:val="32"/>
          <w:szCs w:val="32"/>
          <w:lang w:val="en-US" w:eastAsia="zh-CN" w:bidi="ar-SA"/>
        </w:rPr>
        <w:t>75.34</w:t>
      </w:r>
      <w:r>
        <w:rPr>
          <w:rFonts w:hint="eastAsia" w:ascii="Times New Roman" w:hAnsi="Times New Roman" w:eastAsia="仿宋_GB2312" w:cs="Times New Roman"/>
          <w:color w:val="auto"/>
          <w:kern w:val="2"/>
          <w:sz w:val="32"/>
          <w:szCs w:val="32"/>
          <w:lang w:val="zh-CN" w:eastAsia="zh-CN" w:bidi="ar-SA"/>
        </w:rPr>
        <w:t>万元，到位率100%。</w:t>
      </w:r>
    </w:p>
    <w:p w14:paraId="313D4079">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3、资金使用。共计使用资金</w:t>
      </w:r>
      <w:r>
        <w:rPr>
          <w:rFonts w:hint="eastAsia" w:ascii="Times New Roman" w:hAnsi="Times New Roman" w:eastAsia="仿宋_GB2312" w:cs="Times New Roman"/>
          <w:color w:val="auto"/>
          <w:kern w:val="2"/>
          <w:sz w:val="32"/>
          <w:szCs w:val="32"/>
          <w:lang w:val="en-US" w:eastAsia="zh-CN" w:bidi="ar-SA"/>
        </w:rPr>
        <w:t>75.34</w:t>
      </w:r>
      <w:r>
        <w:rPr>
          <w:rFonts w:hint="eastAsia" w:ascii="Times New Roman" w:hAnsi="Times New Roman" w:eastAsia="仿宋_GB2312" w:cs="Times New Roman"/>
          <w:color w:val="auto"/>
          <w:kern w:val="2"/>
          <w:sz w:val="32"/>
          <w:szCs w:val="32"/>
          <w:lang w:val="zh-CN" w:eastAsia="zh-CN" w:bidi="ar-SA"/>
        </w:rPr>
        <w:t>万元，使用率</w:t>
      </w:r>
      <w:r>
        <w:rPr>
          <w:rFonts w:hint="eastAsia" w:ascii="Times New Roman" w:hAnsi="Times New Roman" w:eastAsia="仿宋_GB2312" w:cs="Times New Roman"/>
          <w:color w:val="auto"/>
          <w:kern w:val="2"/>
          <w:sz w:val="32"/>
          <w:szCs w:val="32"/>
          <w:lang w:val="en-US" w:eastAsia="zh-CN" w:bidi="ar-SA"/>
        </w:rPr>
        <w:t>100%。</w:t>
      </w:r>
    </w:p>
    <w:p w14:paraId="6BE11FE7">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7151716A">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仁和区综合行政执法局财务管理制度健全，严格执行财务管理制度，账务处理及时，会计核算规范。</w:t>
      </w:r>
    </w:p>
    <w:p w14:paraId="607648F7">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三、项目实施及管理情况</w:t>
      </w:r>
    </w:p>
    <w:p w14:paraId="3A6A2283">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该项目由我单位业务股室申报，经单位领导集体研究后，形成项目资金申请报告报区政府同意后，报财政部门审核，财政部门下达经费，并由我单位组织实施。</w:t>
      </w:r>
    </w:p>
    <w:p w14:paraId="431341EF">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四、项目绩效情况</w:t>
      </w:r>
      <w:r>
        <w:rPr>
          <w:rFonts w:hint="eastAsia" w:eastAsia="黑体"/>
          <w:color w:val="auto"/>
          <w:sz w:val="32"/>
          <w:szCs w:val="32"/>
          <w:lang w:val="zh-CN" w:eastAsia="zh-CN"/>
        </w:rPr>
        <w:tab/>
      </w:r>
    </w:p>
    <w:p w14:paraId="2A02FAB8">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（一）项目完成情况。</w:t>
      </w:r>
    </w:p>
    <w:p w14:paraId="76255A1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_GB2312" w:cs="Times New Roman"/>
          <w:color w:val="auto"/>
          <w:kern w:val="2"/>
          <w:sz w:val="32"/>
          <w:szCs w:val="32"/>
          <w:lang w:val="zh-CN" w:eastAsia="zh-CN" w:bidi="ar-SA"/>
        </w:rPr>
      </w:pPr>
      <w:r>
        <w:rPr>
          <w:rFonts w:hint="eastAsia" w:ascii="Times New Roman" w:hAnsi="Times New Roman" w:eastAsia="仿宋_GB2312" w:cs="Times New Roman"/>
          <w:color w:val="auto"/>
          <w:kern w:val="2"/>
          <w:sz w:val="32"/>
          <w:szCs w:val="32"/>
          <w:lang w:val="zh-CN" w:eastAsia="zh-CN" w:bidi="ar-SA"/>
        </w:rPr>
        <w:t>1、仁和区智慧城市精细化管理系统示范项目完成情况：归纳为“5+N”，即建设一套标准规范体系，打造一个数据资源中心，构建一个业务支撑平台，建设一组应用门户，搭建一个领导决策驾驶舱，建设N个智慧应用。2、仁和商业文化广场及周边联通街转盘绿化景观提升项目完成情况：通过对仁和商业文化广场及周边、联通街转盘9个点位进行景观提升，包括景观改造和更换、管护时令鲜花，提升城市品质。主要包含场地平整、小品及花钵安装、栽植多年生植物、鲜花的栽植、摆放及管护和更换时令鲜花等。3、垃圾分类项目：仁和区将垃圾分类试点范围扩大到仁和镇、前进镇、大河中路街道、务本乡、中坝乡、布德镇、大龙潭乡、啊喇乡、大田镇等9个乡镇，并在仁和城区范围内修建64座垃圾分类亭。</w:t>
      </w:r>
    </w:p>
    <w:p w14:paraId="14EE67A1">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09BAA8CE">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zh-CN" w:eastAsia="zh-CN" w:bidi="ar-SA"/>
        </w:rPr>
        <w:t>仁和区智慧城市精细化管理系统示范项目：建成包含指挥协调系统、综合指挥调度、智慧执法、智慧市容、智慧环卫、智慧园林、公共服务等行业智慧应用；仁和商业文化广场及周边联通街转盘绿化景观提升项目：通过改造，不断提升“绿色 活力 和谐”的城市品牌效应，为建设攀枝花南向开放门户和现代化城市提供良好的生态保障；垃圾分类：规范垃圾收集点容貌，引导市民按垃圾的类别进行分类投放，</w:t>
      </w:r>
      <w:r>
        <w:rPr>
          <w:rFonts w:hint="eastAsia" w:ascii="Times New Roman" w:hAnsi="Times New Roman" w:eastAsia="仿宋_GB2312" w:cs="Times New Roman"/>
          <w:color w:val="auto"/>
          <w:kern w:val="2"/>
          <w:sz w:val="32"/>
          <w:szCs w:val="32"/>
          <w:lang w:val="en-US" w:eastAsia="zh-CN" w:bidi="ar-SA"/>
        </w:rPr>
        <w:t>社会效益、生态效益显著。</w:t>
      </w:r>
    </w:p>
    <w:p w14:paraId="040B5A11">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五、评价结论及建议</w:t>
      </w:r>
    </w:p>
    <w:p w14:paraId="57A7C57A">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3B6F2CAC">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新型城镇化债券项目资金</w:t>
      </w:r>
      <w:r>
        <w:rPr>
          <w:rFonts w:hint="eastAsia" w:ascii="仿宋_GB2312" w:hAnsi="仿宋_GB2312" w:eastAsia="仿宋_GB2312" w:cs="仿宋_GB2312"/>
          <w:color w:val="auto"/>
          <w:kern w:val="0"/>
          <w:sz w:val="32"/>
          <w:szCs w:val="32"/>
          <w:shd w:val="clear" w:color="auto" w:fill="FFFFFF"/>
          <w:lang w:val="en-US" w:eastAsia="zh-CN" w:bidi="ar-SA"/>
        </w:rPr>
        <w:t>投入合理、管理规范、产出达标、效益显著，有效发挥了财政资金撬动城市精细化治理的核心作用，通过数字化、智能化手段，大幅提升了城市绿化管护、环境治理的工作质效，切实改善了城市生态人居环境，社会效益、生态效益突出，圆满完成了项目年度绩效目标。</w:t>
      </w:r>
    </w:p>
    <w:p w14:paraId="395310CB">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463B90DA">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无</w:t>
      </w:r>
      <w:r>
        <w:rPr>
          <w:rFonts w:hint="eastAsia" w:ascii="仿宋_GB2312" w:hAnsi="仿宋_GB2312" w:eastAsia="仿宋_GB2312" w:cs="仿宋_GB2312"/>
          <w:color w:val="auto"/>
          <w:kern w:val="0"/>
          <w:sz w:val="32"/>
          <w:szCs w:val="32"/>
          <w:shd w:val="clear" w:color="auto" w:fill="FFFFFF"/>
          <w:lang w:val="zh-CN" w:eastAsia="zh-CN" w:bidi="ar-SA"/>
        </w:rPr>
        <w:tab/>
      </w:r>
    </w:p>
    <w:p w14:paraId="669902D3">
      <w:pPr>
        <w:adjustRightInd w:val="0"/>
        <w:snapToGrid w:val="0"/>
        <w:spacing w:line="600" w:lineRule="exact"/>
        <w:ind w:firstLine="643" w:firstLineChars="200"/>
        <w:jc w:val="left"/>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016D3D50">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无</w:t>
      </w:r>
    </w:p>
    <w:p w14:paraId="63055F45">
      <w:pPr>
        <w:keepNext w:val="0"/>
        <w:keepLines w:val="0"/>
        <w:pageBreakBefore w:val="0"/>
        <w:kinsoku/>
        <w:wordWrap/>
        <w:overflowPunct/>
        <w:topLinePunct w:val="0"/>
        <w:autoSpaceDE/>
        <w:autoSpaceDN/>
        <w:bidi w:val="0"/>
        <w:spacing w:line="560" w:lineRule="exact"/>
        <w:ind w:firstLine="420" w:firstLineChars="200"/>
        <w:textAlignment w:val="auto"/>
        <w:rPr>
          <w:rFonts w:hint="eastAsia"/>
          <w:color w:val="auto"/>
          <w:lang w:val="en-US" w:eastAsia="zh-CN"/>
        </w:rPr>
      </w:pPr>
    </w:p>
    <w:p w14:paraId="4E02E6E3">
      <w:pPr>
        <w:keepNext w:val="0"/>
        <w:keepLines w:val="0"/>
        <w:pageBreakBefore w:val="0"/>
        <w:kinsoku/>
        <w:wordWrap/>
        <w:overflowPunct/>
        <w:topLinePunct w:val="0"/>
        <w:autoSpaceDE/>
        <w:autoSpaceDN/>
        <w:bidi w:val="0"/>
        <w:spacing w:line="560" w:lineRule="exact"/>
        <w:ind w:firstLine="420" w:firstLineChars="200"/>
        <w:textAlignment w:val="auto"/>
        <w:rPr>
          <w:rFonts w:hint="eastAsia"/>
          <w:color w:val="auto"/>
          <w:lang w:val="en-US" w:eastAsia="zh-CN"/>
        </w:rPr>
      </w:pPr>
    </w:p>
    <w:p w14:paraId="2EAA3084">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7696709B">
      <w:pPr>
        <w:keepNext w:val="0"/>
        <w:keepLines w:val="0"/>
        <w:pageBreakBefore w:val="0"/>
        <w:kinsoku/>
        <w:wordWrap/>
        <w:overflowPunct/>
        <w:topLinePunct w:val="0"/>
        <w:autoSpaceDE/>
        <w:autoSpaceDN/>
        <w:bidi w:val="0"/>
        <w:spacing w:line="560" w:lineRule="exact"/>
        <w:ind w:firstLine="4800" w:firstLineChars="1500"/>
        <w:textAlignment w:val="auto"/>
        <w:rPr>
          <w:rFonts w:hint="eastAsia"/>
          <w:color w:val="auto"/>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0DE4001A">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1DDE8723">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2BD065DD">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536BCA18">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61AD54A1">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5AE42D06">
      <w:pPr>
        <w:spacing w:line="600" w:lineRule="exact"/>
        <w:jc w:val="center"/>
        <w:rPr>
          <w:rFonts w:hint="default" w:ascii="Times New Roman" w:hAnsi="Times New Roman" w:eastAsia="仿宋_GB2312" w:cs="Times New Roman"/>
          <w:color w:val="auto"/>
          <w:kern w:val="0"/>
          <w:sz w:val="32"/>
          <w:szCs w:val="32"/>
          <w:shd w:val="clear" w:color="auto" w:fill="FFFFFF"/>
          <w:lang w:val="zh-CN" w:eastAsia="zh-CN"/>
        </w:rPr>
      </w:pPr>
    </w:p>
    <w:p w14:paraId="61EAB73B">
      <w:pPr>
        <w:spacing w:line="600" w:lineRule="exact"/>
        <w:jc w:val="both"/>
        <w:rPr>
          <w:rFonts w:hint="default" w:ascii="Times New Roman" w:hAnsi="Times New Roman" w:eastAsia="仿宋_GB2312" w:cs="Times New Roman"/>
          <w:color w:val="auto"/>
          <w:kern w:val="0"/>
          <w:sz w:val="32"/>
          <w:szCs w:val="32"/>
          <w:shd w:val="clear" w:color="auto" w:fill="FFFFFF"/>
          <w:lang w:val="zh-CN" w:eastAsia="zh-CN"/>
        </w:rPr>
      </w:pPr>
    </w:p>
    <w:p w14:paraId="2686C0C0">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cs="宋体"/>
          <w:color w:val="auto"/>
          <w:kern w:val="2"/>
          <w:sz w:val="40"/>
          <w:szCs w:val="40"/>
          <w:lang w:val="en-US" w:eastAsia="zh-CN"/>
        </w:rPr>
      </w:pPr>
      <w:r>
        <w:rPr>
          <w:rFonts w:hint="eastAsia" w:ascii="宋体" w:hAnsi="宋体" w:cs="宋体"/>
          <w:color w:val="auto"/>
          <w:kern w:val="2"/>
          <w:sz w:val="40"/>
          <w:szCs w:val="40"/>
          <w:lang w:val="en-US" w:eastAsia="zh-CN"/>
        </w:rPr>
        <w:t>攀枝花市仁和区综合行政执法局</w:t>
      </w:r>
    </w:p>
    <w:p w14:paraId="7DA27819">
      <w:pPr>
        <w:pStyle w:val="35"/>
        <w:keepNext w:val="0"/>
        <w:keepLines w:val="0"/>
        <w:pageBreakBefore w:val="0"/>
        <w:kinsoku/>
        <w:wordWrap/>
        <w:overflowPunct/>
        <w:topLinePunct w:val="0"/>
        <w:autoSpaceDE/>
        <w:autoSpaceDN/>
        <w:bidi w:val="0"/>
        <w:spacing w:line="560" w:lineRule="exact"/>
        <w:jc w:val="center"/>
        <w:textAlignment w:val="auto"/>
        <w:rPr>
          <w:rFonts w:hint="eastAsia" w:ascii="宋体" w:hAnsi="宋体" w:eastAsia="宋体" w:cs="宋体"/>
          <w:color w:val="auto"/>
          <w:kern w:val="2"/>
          <w:sz w:val="40"/>
          <w:szCs w:val="40"/>
        </w:rPr>
      </w:pPr>
      <w:r>
        <w:rPr>
          <w:rFonts w:hint="eastAsia" w:ascii="宋体" w:hAnsi="宋体" w:eastAsia="宋体" w:cs="宋体"/>
          <w:color w:val="auto"/>
          <w:kern w:val="2"/>
          <w:sz w:val="40"/>
          <w:szCs w:val="40"/>
        </w:rPr>
        <w:t>专项预算项目支出绩效自评报告</w:t>
      </w:r>
    </w:p>
    <w:p w14:paraId="1C61480F">
      <w:pPr>
        <w:pStyle w:val="35"/>
        <w:keepNext w:val="0"/>
        <w:keepLines w:val="0"/>
        <w:pageBreakBefore w:val="0"/>
        <w:kinsoku/>
        <w:wordWrap/>
        <w:overflowPunct/>
        <w:topLinePunct w:val="0"/>
        <w:autoSpaceDE/>
        <w:autoSpaceDN/>
        <w:bidi w:val="0"/>
        <w:spacing w:line="560" w:lineRule="exact"/>
        <w:ind w:firstLine="2240" w:firstLineChars="700"/>
        <w:jc w:val="both"/>
        <w:textAlignment w:val="auto"/>
        <w:rPr>
          <w:rFonts w:ascii="Times New Roman" w:hAnsi="Times New Roman" w:eastAsia="仿宋_GB2312"/>
          <w:color w:val="auto"/>
          <w:kern w:val="2"/>
          <w:sz w:val="32"/>
          <w:szCs w:val="32"/>
        </w:rPr>
      </w:pPr>
      <w:r>
        <w:rPr>
          <w:rFonts w:ascii="Times New Roman" w:hAnsi="Times New Roman" w:eastAsia="仿宋_GB2312"/>
          <w:color w:val="auto"/>
          <w:kern w:val="2"/>
          <w:sz w:val="32"/>
          <w:szCs w:val="32"/>
        </w:rPr>
        <w:t>（</w:t>
      </w:r>
      <w:r>
        <w:rPr>
          <w:rFonts w:hint="eastAsia" w:ascii="Times New Roman" w:hAnsi="Times New Roman" w:eastAsia="仿宋_GB2312" w:cs="Times New Roman"/>
          <w:color w:val="auto"/>
          <w:kern w:val="2"/>
          <w:sz w:val="32"/>
          <w:szCs w:val="32"/>
          <w:lang w:val="zh-CN" w:eastAsia="zh-CN" w:bidi="ar-SA"/>
        </w:rPr>
        <w:t>原水供水取水权交易</w:t>
      </w:r>
      <w:r>
        <w:rPr>
          <w:rFonts w:ascii="Times New Roman" w:hAnsi="Times New Roman" w:eastAsia="仿宋_GB2312"/>
          <w:color w:val="auto"/>
          <w:kern w:val="2"/>
          <w:sz w:val="32"/>
          <w:szCs w:val="32"/>
        </w:rPr>
        <w:t>）</w:t>
      </w:r>
    </w:p>
    <w:p w14:paraId="6DD8D178">
      <w:pPr>
        <w:pStyle w:val="35"/>
        <w:keepNext w:val="0"/>
        <w:keepLines w:val="0"/>
        <w:pageBreakBefore w:val="0"/>
        <w:kinsoku/>
        <w:wordWrap/>
        <w:overflowPunct/>
        <w:topLinePunct w:val="0"/>
        <w:autoSpaceDE/>
        <w:autoSpaceDN/>
        <w:bidi w:val="0"/>
        <w:spacing w:line="560" w:lineRule="exact"/>
        <w:ind w:firstLine="640"/>
        <w:jc w:val="center"/>
        <w:textAlignment w:val="auto"/>
        <w:rPr>
          <w:rFonts w:ascii="Times New Roman" w:hAnsi="Times New Roman"/>
          <w:color w:val="auto"/>
          <w:kern w:val="2"/>
          <w:sz w:val="32"/>
          <w:szCs w:val="32"/>
        </w:rPr>
      </w:pPr>
    </w:p>
    <w:p w14:paraId="60331434">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一、项目概况</w:t>
      </w:r>
    </w:p>
    <w:p w14:paraId="08F428F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lang w:val="zh-CN"/>
        </w:rPr>
      </w:pPr>
      <w:r>
        <w:rPr>
          <w:rFonts w:hint="eastAsia" w:eastAsia="楷体_GB2312"/>
          <w:b/>
          <w:color w:val="auto"/>
          <w:sz w:val="32"/>
          <w:szCs w:val="32"/>
          <w:lang w:val="zh-CN" w:eastAsia="zh-CN"/>
        </w:rPr>
        <w:t>（一）项目基本情况。</w:t>
      </w:r>
    </w:p>
    <w:p w14:paraId="626F2A0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原水供水取水权交易</w:t>
      </w:r>
      <w:r>
        <w:rPr>
          <w:rFonts w:hint="eastAsia" w:ascii="仿宋_GB2312" w:hAnsi="仿宋_GB2312" w:eastAsia="仿宋_GB2312" w:cs="仿宋_GB2312"/>
          <w:color w:val="auto"/>
          <w:kern w:val="0"/>
          <w:sz w:val="32"/>
          <w:szCs w:val="32"/>
          <w:shd w:val="clear" w:color="auto" w:fill="FFFFFF"/>
          <w:lang w:val="en-US" w:eastAsia="zh-CN" w:bidi="ar-SA"/>
        </w:rPr>
        <w:t>项目约定2025年度交易水量20万m3，原水供水取水权交易费用用于城市花草、苗木及各类绿化绿植浇灌养护工作，依托取水权交易配额，建立景观用水常态化保障机制，保障全域绿化植被正常生长，稳定城市景观效果，提升城市人居环境。</w:t>
      </w:r>
    </w:p>
    <w:p w14:paraId="3B7A300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（二）项目绩效目标。</w:t>
      </w:r>
    </w:p>
    <w:p w14:paraId="7518C6D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通过实施原水取水权交易，有效补充城市绿化景观用水水量缺口，保障城区花草苗木、公共绿化植被常态化浇水养护需求，持续维持城市园林绿化良好长势，稳定城市市容景观效果，提升城市生态化品质和人居环境质量。</w:t>
      </w:r>
    </w:p>
    <w:p w14:paraId="6FB6EE6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（三）项目自评步骤及方法。</w:t>
      </w:r>
    </w:p>
    <w:p w14:paraId="431C269C">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原水供水取水权交易</w:t>
      </w:r>
      <w:r>
        <w:rPr>
          <w:rFonts w:hint="eastAsia" w:ascii="仿宋_GB2312" w:hAnsi="仿宋_GB2312" w:eastAsia="仿宋_GB2312" w:cs="仿宋_GB2312"/>
          <w:color w:val="auto"/>
          <w:kern w:val="0"/>
          <w:sz w:val="32"/>
          <w:szCs w:val="32"/>
          <w:shd w:val="clear" w:color="auto" w:fill="FFFFFF"/>
          <w:lang w:val="en-US" w:eastAsia="zh-CN" w:bidi="ar-SA"/>
        </w:rPr>
        <w:t>项目资金</w:t>
      </w:r>
      <w:r>
        <w:rPr>
          <w:rFonts w:hint="eastAsia" w:ascii="仿宋_GB2312" w:hAnsi="仿宋_GB2312" w:eastAsia="仿宋_GB2312" w:cs="仿宋_GB2312"/>
          <w:color w:val="auto"/>
          <w:kern w:val="0"/>
          <w:sz w:val="32"/>
          <w:szCs w:val="32"/>
          <w:shd w:val="clear" w:color="auto" w:fill="FFFFFF"/>
          <w:lang w:val="zh-CN" w:eastAsia="zh-CN" w:bidi="ar-SA"/>
        </w:rPr>
        <w:t>采用科室自评办法。</w:t>
      </w:r>
    </w:p>
    <w:p w14:paraId="364C4798">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二、项目资金申报及使用情况</w:t>
      </w:r>
    </w:p>
    <w:p w14:paraId="676679B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（一）项目资金申报及批复情况。</w:t>
      </w:r>
    </w:p>
    <w:p w14:paraId="47C554F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年初区委、区政府下达的工作任务安排，资金由区财政追加下达，单位直接支付。</w:t>
      </w:r>
    </w:p>
    <w:p w14:paraId="475CE59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w:t>
      </w:r>
      <w:r>
        <w:rPr>
          <w:rFonts w:hint="eastAsia" w:eastAsia="楷体_GB2312"/>
          <w:b/>
          <w:color w:val="auto"/>
          <w:sz w:val="32"/>
          <w:szCs w:val="32"/>
          <w:lang w:val="en-US" w:eastAsia="zh-CN"/>
        </w:rPr>
        <w:t>二</w:t>
      </w:r>
      <w:r>
        <w:rPr>
          <w:rFonts w:hint="eastAsia" w:eastAsia="楷体_GB2312"/>
          <w:b/>
          <w:color w:val="auto"/>
          <w:sz w:val="32"/>
          <w:szCs w:val="32"/>
          <w:lang w:val="zh-CN" w:eastAsia="zh-CN"/>
        </w:rPr>
        <w:t>）资金计划、到位及使用情况。</w:t>
      </w:r>
    </w:p>
    <w:p w14:paraId="17ACA590">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1、</w:t>
      </w:r>
      <w:r>
        <w:rPr>
          <w:rFonts w:hint="eastAsia" w:ascii="仿宋_GB2312" w:hAnsi="仿宋_GB2312" w:eastAsia="仿宋_GB2312" w:cs="仿宋_GB2312"/>
          <w:color w:val="auto"/>
          <w:kern w:val="0"/>
          <w:sz w:val="32"/>
          <w:szCs w:val="32"/>
          <w:shd w:val="clear" w:color="auto" w:fill="FFFFFF"/>
          <w:lang w:val="zh-CN" w:eastAsia="zh-CN" w:bidi="ar-SA"/>
        </w:rPr>
        <w:t>资金计划。项目总资金</w:t>
      </w:r>
      <w:r>
        <w:rPr>
          <w:rFonts w:hint="eastAsia" w:ascii="仿宋_GB2312" w:hAnsi="仿宋_GB2312" w:eastAsia="仿宋_GB2312" w:cs="仿宋_GB2312"/>
          <w:color w:val="auto"/>
          <w:kern w:val="0"/>
          <w:sz w:val="32"/>
          <w:szCs w:val="32"/>
          <w:shd w:val="clear" w:color="auto" w:fill="FFFFFF"/>
          <w:lang w:val="en-US" w:eastAsia="zh-CN" w:bidi="ar-SA"/>
        </w:rPr>
        <w:t>16</w:t>
      </w:r>
      <w:r>
        <w:rPr>
          <w:rFonts w:hint="eastAsia" w:ascii="仿宋_GB2312" w:hAnsi="仿宋_GB2312" w:eastAsia="仿宋_GB2312" w:cs="仿宋_GB2312"/>
          <w:color w:val="auto"/>
          <w:kern w:val="0"/>
          <w:sz w:val="32"/>
          <w:szCs w:val="32"/>
          <w:shd w:val="clear" w:color="auto" w:fill="FFFFFF"/>
          <w:lang w:val="zh-CN" w:eastAsia="zh-CN" w:bidi="ar-SA"/>
        </w:rPr>
        <w:t>万元，资金来源为区级财政资金，无其他资金。</w:t>
      </w:r>
    </w:p>
    <w:p w14:paraId="5C38BF4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2、资金到位。区级资金到位</w:t>
      </w:r>
      <w:r>
        <w:rPr>
          <w:rFonts w:hint="eastAsia" w:ascii="仿宋_GB2312" w:hAnsi="仿宋_GB2312" w:eastAsia="仿宋_GB2312" w:cs="仿宋_GB2312"/>
          <w:color w:val="auto"/>
          <w:kern w:val="0"/>
          <w:sz w:val="32"/>
          <w:szCs w:val="32"/>
          <w:shd w:val="clear" w:color="auto" w:fill="FFFFFF"/>
          <w:lang w:val="en-US" w:eastAsia="zh-CN" w:bidi="ar-SA"/>
        </w:rPr>
        <w:t>16</w:t>
      </w:r>
      <w:r>
        <w:rPr>
          <w:rFonts w:hint="eastAsia" w:ascii="仿宋_GB2312" w:hAnsi="仿宋_GB2312" w:eastAsia="仿宋_GB2312" w:cs="仿宋_GB2312"/>
          <w:color w:val="auto"/>
          <w:kern w:val="0"/>
          <w:sz w:val="32"/>
          <w:szCs w:val="32"/>
          <w:shd w:val="clear" w:color="auto" w:fill="FFFFFF"/>
          <w:lang w:val="zh-CN" w:eastAsia="zh-CN" w:bidi="ar-SA"/>
        </w:rPr>
        <w:t>万元，到位率100%。</w:t>
      </w:r>
    </w:p>
    <w:p w14:paraId="740BDBAC">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3、资金使用。共计使用资金</w:t>
      </w:r>
      <w:r>
        <w:rPr>
          <w:rFonts w:hint="eastAsia" w:ascii="仿宋_GB2312" w:hAnsi="仿宋_GB2312" w:eastAsia="仿宋_GB2312" w:cs="仿宋_GB2312"/>
          <w:color w:val="auto"/>
          <w:kern w:val="0"/>
          <w:sz w:val="32"/>
          <w:szCs w:val="32"/>
          <w:shd w:val="clear" w:color="auto" w:fill="FFFFFF"/>
          <w:lang w:val="en-US" w:eastAsia="zh-CN" w:bidi="ar-SA"/>
        </w:rPr>
        <w:t>16</w:t>
      </w:r>
      <w:r>
        <w:rPr>
          <w:rFonts w:hint="eastAsia" w:ascii="仿宋_GB2312" w:hAnsi="仿宋_GB2312" w:eastAsia="仿宋_GB2312" w:cs="仿宋_GB2312"/>
          <w:color w:val="auto"/>
          <w:kern w:val="0"/>
          <w:sz w:val="32"/>
          <w:szCs w:val="32"/>
          <w:shd w:val="clear" w:color="auto" w:fill="FFFFFF"/>
          <w:lang w:val="zh-CN" w:eastAsia="zh-CN" w:bidi="ar-SA"/>
        </w:rPr>
        <w:t>万元，使用率</w:t>
      </w:r>
      <w:r>
        <w:rPr>
          <w:rFonts w:hint="eastAsia" w:ascii="仿宋_GB2312" w:hAnsi="仿宋_GB2312" w:eastAsia="仿宋_GB2312" w:cs="仿宋_GB2312"/>
          <w:color w:val="auto"/>
          <w:kern w:val="0"/>
          <w:sz w:val="32"/>
          <w:szCs w:val="32"/>
          <w:shd w:val="clear" w:color="auto" w:fill="FFFFFF"/>
          <w:lang w:val="en-US" w:eastAsia="zh-CN" w:bidi="ar-SA"/>
        </w:rPr>
        <w:t>100%。</w:t>
      </w:r>
    </w:p>
    <w:p w14:paraId="3C423C2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（三）项目财务管理情况。</w:t>
      </w:r>
    </w:p>
    <w:p w14:paraId="725781A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zh-CN" w:eastAsia="zh-CN" w:bidi="ar-SA"/>
        </w:rPr>
        <w:t>仁和区综合行政执法局财务管理制度健全，严格执行财务管理制度，账务处理及时，会计核算规范，</w:t>
      </w:r>
      <w:r>
        <w:rPr>
          <w:rFonts w:hint="eastAsia" w:ascii="仿宋_GB2312" w:hAnsi="仿宋_GB2312" w:eastAsia="仿宋_GB2312" w:cs="仿宋_GB2312"/>
          <w:color w:val="auto"/>
          <w:kern w:val="0"/>
          <w:sz w:val="32"/>
          <w:szCs w:val="32"/>
          <w:shd w:val="clear" w:color="auto" w:fill="FFFFFF"/>
          <w:lang w:val="en-US" w:eastAsia="zh-CN" w:bidi="ar-SA"/>
        </w:rPr>
        <w:t>项目资金严格执行财政资金管理规定，全部专项用于城市绿化景观用水保障相关工作，支出真实合规、审批流程完整，账务核算清晰规范，做到专款专用，有效保障项目顺利实施。</w:t>
      </w:r>
    </w:p>
    <w:p w14:paraId="54CBEF7B">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三、项目实施及管理情况</w:t>
      </w:r>
    </w:p>
    <w:p w14:paraId="6ABF1C4D">
      <w:pPr>
        <w:pStyle w:val="15"/>
        <w:keepNext w:val="0"/>
        <w:keepLines w:val="0"/>
        <w:pageBreakBefore w:val="0"/>
        <w:widowControl/>
        <w:shd w:val="clear" w:color="auto" w:fill="FFFFFF"/>
        <w:kinsoku/>
        <w:wordWrap/>
        <w:overflowPunct/>
        <w:topLinePunct w:val="0"/>
        <w:autoSpaceDE/>
        <w:autoSpaceDN/>
        <w:bidi w:val="0"/>
        <w:spacing w:before="0" w:beforeAutospacing="0" w:after="0" w:afterAutospacing="0" w:line="560" w:lineRule="exact"/>
        <w:ind w:firstLine="640" w:firstLineChars="200"/>
        <w:textAlignment w:val="auto"/>
        <w:rPr>
          <w:rFonts w:hint="eastAsia"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该项目由我单位业务股室申报，经单位领导集体研究后，形成项目资金申请报告报区政府同意后，报财政部门审核，财政部门下达经费，并由我单位组织实施。</w:t>
      </w:r>
    </w:p>
    <w:p w14:paraId="13635988">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四、项目绩效情况</w:t>
      </w:r>
      <w:r>
        <w:rPr>
          <w:rFonts w:hint="eastAsia" w:eastAsia="黑体"/>
          <w:color w:val="auto"/>
          <w:sz w:val="32"/>
          <w:szCs w:val="32"/>
          <w:lang w:val="zh-CN" w:eastAsia="zh-CN"/>
        </w:rPr>
        <w:tab/>
      </w:r>
    </w:p>
    <w:p w14:paraId="4D32839B">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eastAsia="楷体_GB2312"/>
          <w:b/>
          <w:color w:val="auto"/>
          <w:lang w:val="zh-CN" w:eastAsia="zh-CN"/>
        </w:rPr>
      </w:pPr>
      <w:r>
        <w:rPr>
          <w:rFonts w:hint="eastAsia" w:eastAsia="楷体_GB2312"/>
          <w:b/>
          <w:color w:val="auto"/>
          <w:sz w:val="32"/>
          <w:szCs w:val="32"/>
          <w:lang w:val="zh-CN" w:eastAsia="zh-CN"/>
        </w:rPr>
        <w:t>（一）项目完成情况。</w:t>
      </w:r>
    </w:p>
    <w:p w14:paraId="621CBE2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顺利完成年度原水取水权交易工作，交易水量足额落地，有效弥补城市绿化景观用水缺口，完全满足城区花草、绿植日常浇灌养护需求，依托项目保障水源，实现城区公共绿化常态化浇水补水，年绿化灌溉频次充足、覆盖全面，无大面积缺水枯黄、植被枯死现象。</w:t>
      </w:r>
    </w:p>
    <w:p w14:paraId="42D0F28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（二）项目效益情况。</w:t>
      </w:r>
    </w:p>
    <w:p w14:paraId="2B6C691F">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有效破解绿化用水短板，缓解了城市绿化管护水源不足、干旱季节浇水不及时的难题，为常态化绿化养护提供稳定水源支撑，充足的灌溉用水保障了辖区内花草苗木、绿化植被正常生长，城市绿化景观整体稳定、绿意完好，有效维护了城市整体市容形象，充足水源提升了绿植成活率和景观完整度，持续夯实城市生态绿化基础，助力生态文明建设和文明城市长效管护。</w:t>
      </w:r>
    </w:p>
    <w:p w14:paraId="2AA0A877">
      <w:pPr>
        <w:adjustRightInd w:val="0"/>
        <w:snapToGrid w:val="0"/>
        <w:spacing w:line="600" w:lineRule="exact"/>
        <w:ind w:firstLine="720"/>
        <w:rPr>
          <w:rFonts w:hint="eastAsia" w:eastAsia="黑体"/>
          <w:color w:val="auto"/>
          <w:sz w:val="32"/>
          <w:szCs w:val="32"/>
          <w:lang w:val="zh-CN" w:eastAsia="zh-CN"/>
        </w:rPr>
      </w:pPr>
      <w:r>
        <w:rPr>
          <w:rFonts w:hint="eastAsia" w:eastAsia="黑体"/>
          <w:color w:val="auto"/>
          <w:sz w:val="32"/>
          <w:szCs w:val="32"/>
          <w:lang w:val="zh-CN" w:eastAsia="zh-CN"/>
        </w:rPr>
        <w:t>五、评价结论及建议</w:t>
      </w:r>
    </w:p>
    <w:p w14:paraId="6BCEC8F4">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（一）评价结论。</w:t>
      </w:r>
    </w:p>
    <w:p w14:paraId="06C0C1D7">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本年度项目资金使用合规、程序规范、执行成效突出，项目资金专项用于辖区花草绿植浇灌、城市绿化景观保障，圆满完成了年度各项绩效目标，有效保障了城市绿化植被良好长势，稳定了城市市容景观风貌，生态效益和社会效益显著，资金使用高效合规。</w:t>
      </w:r>
    </w:p>
    <w:p w14:paraId="7EAEFF0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（二）存在的问题。</w:t>
      </w:r>
    </w:p>
    <w:p w14:paraId="12E0FFA2">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zh-CN"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无</w:t>
      </w:r>
      <w:r>
        <w:rPr>
          <w:rFonts w:hint="eastAsia" w:ascii="仿宋_GB2312" w:hAnsi="仿宋_GB2312" w:eastAsia="仿宋_GB2312" w:cs="仿宋_GB2312"/>
          <w:color w:val="auto"/>
          <w:kern w:val="0"/>
          <w:sz w:val="32"/>
          <w:szCs w:val="32"/>
          <w:shd w:val="clear" w:color="auto" w:fill="FFFFFF"/>
          <w:lang w:val="zh-CN" w:eastAsia="zh-CN" w:bidi="ar-SA"/>
        </w:rPr>
        <w:tab/>
      </w:r>
    </w:p>
    <w:p w14:paraId="23B74A64">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eastAsia="楷体_GB2312"/>
          <w:b/>
          <w:color w:val="auto"/>
          <w:sz w:val="32"/>
          <w:szCs w:val="32"/>
          <w:lang w:val="zh-CN" w:eastAsia="zh-CN"/>
        </w:rPr>
      </w:pPr>
      <w:r>
        <w:rPr>
          <w:rFonts w:hint="eastAsia" w:eastAsia="楷体_GB2312"/>
          <w:b/>
          <w:color w:val="auto"/>
          <w:sz w:val="32"/>
          <w:szCs w:val="32"/>
          <w:lang w:val="zh-CN" w:eastAsia="zh-CN"/>
        </w:rPr>
        <w:t>（三）相关建议。</w:t>
      </w:r>
    </w:p>
    <w:p w14:paraId="6BDFC7A4">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kern w:val="0"/>
          <w:sz w:val="32"/>
          <w:szCs w:val="32"/>
          <w:shd w:val="clear" w:color="auto" w:fill="FFFFFF"/>
          <w:lang w:val="en-US" w:eastAsia="zh-CN" w:bidi="ar-SA"/>
        </w:rPr>
      </w:pPr>
      <w:r>
        <w:rPr>
          <w:rFonts w:hint="eastAsia" w:ascii="仿宋_GB2312" w:hAnsi="仿宋_GB2312" w:eastAsia="仿宋_GB2312" w:cs="仿宋_GB2312"/>
          <w:color w:val="auto"/>
          <w:kern w:val="0"/>
          <w:sz w:val="32"/>
          <w:szCs w:val="32"/>
          <w:shd w:val="clear" w:color="auto" w:fill="FFFFFF"/>
          <w:lang w:val="en-US" w:eastAsia="zh-CN" w:bidi="ar-SA"/>
        </w:rPr>
        <w:t>无</w:t>
      </w:r>
    </w:p>
    <w:p w14:paraId="633DAEEC">
      <w:pPr>
        <w:pStyle w:val="2"/>
        <w:rPr>
          <w:rFonts w:hint="eastAsia"/>
          <w:color w:val="auto"/>
          <w:lang w:val="en-US" w:eastAsia="zh-CN"/>
        </w:rPr>
      </w:pPr>
    </w:p>
    <w:p w14:paraId="16D07FB9">
      <w:pPr>
        <w:pStyle w:val="2"/>
        <w:rPr>
          <w:rFonts w:hint="eastAsia"/>
          <w:color w:val="auto"/>
          <w:lang w:val="en-US" w:eastAsia="zh-CN"/>
        </w:rPr>
      </w:pPr>
    </w:p>
    <w:p w14:paraId="73AFD456">
      <w:pPr>
        <w:pStyle w:val="2"/>
        <w:rPr>
          <w:rFonts w:hint="eastAsia"/>
          <w:color w:val="auto"/>
          <w:lang w:val="en-US" w:eastAsia="zh-CN"/>
        </w:rPr>
      </w:pPr>
    </w:p>
    <w:p w14:paraId="2333B9DC">
      <w:pPr>
        <w:spacing w:line="578" w:lineRule="exact"/>
        <w:ind w:firstLine="3520" w:firstLineChars="1100"/>
        <w:jc w:val="left"/>
        <w:rPr>
          <w:rFonts w:hint="default" w:ascii="Times New Roman" w:hAnsi="Times New Roman" w:eastAsia="仿宋_GB2312" w:cs="Times New Roman"/>
          <w:color w:val="auto"/>
          <w:kern w:val="0"/>
          <w:sz w:val="32"/>
          <w:szCs w:val="32"/>
          <w:shd w:val="clear" w:color="auto" w:fill="FFFFFF"/>
          <w:lang w:eastAsia="zh-CN"/>
        </w:rPr>
      </w:pPr>
      <w:r>
        <w:rPr>
          <w:rFonts w:hint="default" w:ascii="Times New Roman" w:hAnsi="Times New Roman" w:eastAsia="仿宋_GB2312" w:cs="Times New Roman"/>
          <w:color w:val="auto"/>
          <w:kern w:val="0"/>
          <w:sz w:val="32"/>
          <w:szCs w:val="32"/>
          <w:shd w:val="clear" w:color="auto" w:fill="FFFFFF"/>
          <w:lang w:eastAsia="zh-CN"/>
        </w:rPr>
        <w:t>攀枝花市仁和区综合行政执法局</w:t>
      </w:r>
    </w:p>
    <w:p w14:paraId="42193347">
      <w:pPr>
        <w:pStyle w:val="2"/>
        <w:ind w:firstLine="4480" w:firstLineChars="1400"/>
        <w:rPr>
          <w:rFonts w:eastAsia="仿宋_GB2312" w:cs="仿宋_GB2312"/>
          <w:color w:val="auto"/>
          <w:kern w:val="0"/>
          <w:sz w:val="32"/>
          <w:szCs w:val="32"/>
        </w:rPr>
      </w:pPr>
      <w:r>
        <w:rPr>
          <w:rFonts w:hint="default" w:ascii="Times New Roman" w:hAnsi="Times New Roman" w:eastAsia="仿宋_GB2312" w:cs="Times New Roman"/>
          <w:color w:val="auto"/>
          <w:kern w:val="0"/>
          <w:sz w:val="32"/>
          <w:szCs w:val="32"/>
          <w:shd w:val="clear" w:color="auto" w:fill="FFFFFF"/>
          <w:lang w:val="en-US" w:eastAsia="zh-CN"/>
        </w:rPr>
        <w:t>2026年6月10日</w:t>
      </w:r>
    </w:p>
    <w:p w14:paraId="5E4ABA50">
      <w:pPr>
        <w:spacing w:line="578" w:lineRule="exact"/>
        <w:ind w:firstLine="640"/>
        <w:rPr>
          <w:rFonts w:eastAsia="仿宋_GB2312" w:cs="仿宋_GB2312"/>
          <w:color w:val="FF0000"/>
          <w:kern w:val="0"/>
          <w:sz w:val="32"/>
          <w:szCs w:val="32"/>
        </w:rPr>
      </w:pPr>
      <w:bookmarkStart w:id="53" w:name="_Toc15396618"/>
      <w:r>
        <w:rPr>
          <w:rFonts w:hint="eastAsia" w:eastAsia="仿宋_GB2312" w:cs="仿宋_GB2312"/>
          <w:color w:val="FF0000"/>
          <w:kern w:val="0"/>
          <w:sz w:val="32"/>
          <w:szCs w:val="32"/>
        </w:rPr>
        <w:br w:type="page"/>
      </w:r>
    </w:p>
    <w:p w14:paraId="23D32802">
      <w:pPr>
        <w:widowControl/>
        <w:jc w:val="center"/>
        <w:rPr>
          <w:rFonts w:eastAsia="仿宋"/>
        </w:rPr>
      </w:pPr>
      <w:r>
        <w:rPr>
          <w:rFonts w:hint="eastAsia" w:eastAsia="黑体"/>
          <w:sz w:val="44"/>
          <w:szCs w:val="44"/>
        </w:rPr>
        <w:t>第</w:t>
      </w:r>
      <w:r>
        <w:rPr>
          <w:rStyle w:val="29"/>
          <w:rFonts w:hint="eastAsia" w:eastAsia="黑体"/>
          <w:b w:val="0"/>
        </w:rPr>
        <w:t>五部分 附表</w:t>
      </w:r>
      <w:bookmarkEnd w:id="51"/>
      <w:bookmarkEnd w:id="53"/>
      <w:bookmarkStart w:id="54" w:name="_Toc15396619"/>
    </w:p>
    <w:p w14:paraId="1BF47188">
      <w:pPr>
        <w:pStyle w:val="14"/>
        <w:adjustRightInd w:val="0"/>
        <w:snapToGrid w:val="0"/>
        <w:spacing w:line="560" w:lineRule="exact"/>
        <w:jc w:val="left"/>
        <w:rPr>
          <w:rFonts w:eastAsia="仿宋_GB2312" w:cs="仿宋_GB2312"/>
          <w:sz w:val="32"/>
          <w:szCs w:val="32"/>
        </w:rPr>
      </w:pPr>
    </w:p>
    <w:p w14:paraId="73E78A1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4"/>
    </w:p>
    <w:p w14:paraId="12684C1E">
      <w:pPr>
        <w:pStyle w:val="14"/>
        <w:adjustRightInd w:val="0"/>
        <w:snapToGrid w:val="0"/>
        <w:spacing w:line="560" w:lineRule="exact"/>
        <w:jc w:val="left"/>
        <w:rPr>
          <w:rFonts w:eastAsia="仿宋_GB2312" w:cs="仿宋_GB2312"/>
          <w:sz w:val="32"/>
          <w:szCs w:val="32"/>
        </w:rPr>
      </w:pPr>
      <w:bookmarkStart w:id="55" w:name="_Toc15396620"/>
      <w:r>
        <w:rPr>
          <w:rFonts w:hint="eastAsia" w:eastAsia="仿宋_GB2312" w:cs="仿宋_GB2312"/>
          <w:sz w:val="32"/>
          <w:szCs w:val="32"/>
        </w:rPr>
        <w:t>二、收入决算表</w:t>
      </w:r>
      <w:bookmarkEnd w:id="55"/>
    </w:p>
    <w:p w14:paraId="67112673">
      <w:pPr>
        <w:pStyle w:val="14"/>
        <w:adjustRightInd w:val="0"/>
        <w:snapToGrid w:val="0"/>
        <w:spacing w:line="560" w:lineRule="exact"/>
        <w:jc w:val="left"/>
        <w:rPr>
          <w:rFonts w:eastAsia="仿宋_GB2312" w:cs="仿宋_GB2312"/>
          <w:sz w:val="32"/>
          <w:szCs w:val="32"/>
        </w:rPr>
      </w:pPr>
      <w:bookmarkStart w:id="56" w:name="_Toc15396621"/>
      <w:r>
        <w:rPr>
          <w:rFonts w:hint="eastAsia" w:eastAsia="仿宋_GB2312" w:cs="仿宋_GB2312"/>
          <w:sz w:val="32"/>
          <w:szCs w:val="32"/>
        </w:rPr>
        <w:t>三、支出决算表</w:t>
      </w:r>
      <w:bookmarkEnd w:id="56"/>
    </w:p>
    <w:p w14:paraId="742E4CEE">
      <w:pPr>
        <w:pStyle w:val="14"/>
        <w:adjustRightInd w:val="0"/>
        <w:snapToGrid w:val="0"/>
        <w:spacing w:line="560" w:lineRule="exact"/>
        <w:jc w:val="left"/>
        <w:rPr>
          <w:rFonts w:eastAsia="仿宋_GB2312" w:cs="仿宋_GB2312"/>
          <w:sz w:val="32"/>
          <w:szCs w:val="32"/>
        </w:rPr>
      </w:pPr>
      <w:bookmarkStart w:id="57" w:name="_Toc15396622"/>
      <w:r>
        <w:rPr>
          <w:rFonts w:hint="eastAsia" w:eastAsia="仿宋_GB2312" w:cs="仿宋_GB2312"/>
          <w:sz w:val="32"/>
          <w:szCs w:val="32"/>
        </w:rPr>
        <w:t>四、财政拨款收入支出决算总表</w:t>
      </w:r>
      <w:bookmarkEnd w:id="57"/>
    </w:p>
    <w:p w14:paraId="7F0BBCA6">
      <w:pPr>
        <w:pStyle w:val="14"/>
        <w:adjustRightInd w:val="0"/>
        <w:snapToGrid w:val="0"/>
        <w:spacing w:line="560" w:lineRule="exact"/>
        <w:jc w:val="left"/>
        <w:rPr>
          <w:rFonts w:eastAsia="仿宋_GB2312" w:cs="仿宋_GB2312"/>
          <w:sz w:val="32"/>
          <w:szCs w:val="32"/>
        </w:rPr>
      </w:pPr>
      <w:bookmarkStart w:id="58" w:name="_Toc15396623"/>
      <w:r>
        <w:rPr>
          <w:rFonts w:hint="eastAsia" w:eastAsia="仿宋_GB2312" w:cs="仿宋_GB2312"/>
          <w:sz w:val="32"/>
          <w:szCs w:val="32"/>
        </w:rPr>
        <w:t>五、财政拨款支出决算明细表</w:t>
      </w:r>
      <w:bookmarkEnd w:id="58"/>
      <w:bookmarkStart w:id="59" w:name="_Toc15396624"/>
    </w:p>
    <w:p w14:paraId="6FFADF8D">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59"/>
    </w:p>
    <w:p w14:paraId="3DAFA76F">
      <w:pPr>
        <w:pStyle w:val="14"/>
        <w:adjustRightInd w:val="0"/>
        <w:snapToGrid w:val="0"/>
        <w:spacing w:line="560" w:lineRule="exact"/>
        <w:jc w:val="left"/>
        <w:rPr>
          <w:rFonts w:eastAsia="仿宋_GB2312" w:cs="仿宋_GB2312"/>
          <w:sz w:val="32"/>
          <w:szCs w:val="32"/>
        </w:rPr>
      </w:pPr>
      <w:bookmarkStart w:id="60" w:name="_Toc15396625"/>
      <w:r>
        <w:rPr>
          <w:rFonts w:hint="eastAsia" w:eastAsia="仿宋_GB2312" w:cs="仿宋_GB2312"/>
          <w:sz w:val="32"/>
          <w:szCs w:val="32"/>
        </w:rPr>
        <w:t>七、一般公共预算财政拨款支出决算明细表</w:t>
      </w:r>
      <w:bookmarkEnd w:id="60"/>
    </w:p>
    <w:p w14:paraId="45157B8D">
      <w:pPr>
        <w:pStyle w:val="14"/>
        <w:adjustRightInd w:val="0"/>
        <w:snapToGrid w:val="0"/>
        <w:spacing w:line="560" w:lineRule="exact"/>
        <w:jc w:val="left"/>
        <w:rPr>
          <w:rFonts w:eastAsia="仿宋_GB2312" w:cs="仿宋_GB2312"/>
          <w:sz w:val="32"/>
          <w:szCs w:val="32"/>
        </w:rPr>
      </w:pPr>
      <w:bookmarkStart w:id="61" w:name="_Toc15396626"/>
      <w:r>
        <w:rPr>
          <w:rFonts w:hint="eastAsia" w:eastAsia="仿宋_GB2312" w:cs="仿宋_GB2312"/>
          <w:sz w:val="32"/>
          <w:szCs w:val="32"/>
        </w:rPr>
        <w:t>八、一般公共预算财政拨款基本支出决算表</w:t>
      </w:r>
      <w:bookmarkEnd w:id="61"/>
    </w:p>
    <w:p w14:paraId="74260AB6">
      <w:pPr>
        <w:pStyle w:val="14"/>
        <w:adjustRightInd w:val="0"/>
        <w:snapToGrid w:val="0"/>
        <w:spacing w:line="560" w:lineRule="exact"/>
        <w:jc w:val="left"/>
        <w:rPr>
          <w:rFonts w:eastAsia="仿宋_GB2312" w:cs="仿宋_GB2312"/>
          <w:sz w:val="32"/>
          <w:szCs w:val="32"/>
        </w:rPr>
      </w:pPr>
      <w:bookmarkStart w:id="62" w:name="_Toc15396627"/>
      <w:r>
        <w:rPr>
          <w:rFonts w:hint="eastAsia" w:eastAsia="仿宋_GB2312" w:cs="仿宋_GB2312"/>
          <w:sz w:val="32"/>
          <w:szCs w:val="32"/>
        </w:rPr>
        <w:t>九、一般公共预算财政拨款项目支出决算表</w:t>
      </w:r>
      <w:bookmarkEnd w:id="62"/>
    </w:p>
    <w:p w14:paraId="5F158BA1">
      <w:pPr>
        <w:pStyle w:val="14"/>
        <w:adjustRightInd w:val="0"/>
        <w:snapToGrid w:val="0"/>
        <w:spacing w:line="560" w:lineRule="exact"/>
        <w:jc w:val="left"/>
        <w:rPr>
          <w:rFonts w:eastAsia="仿宋_GB2312" w:cs="仿宋_GB2312"/>
          <w:sz w:val="32"/>
          <w:szCs w:val="32"/>
        </w:rPr>
      </w:pPr>
      <w:bookmarkStart w:id="63" w:name="_Toc15396628"/>
      <w:r>
        <w:rPr>
          <w:rFonts w:hint="eastAsia" w:eastAsia="仿宋_GB2312" w:cs="仿宋_GB2312"/>
          <w:sz w:val="32"/>
          <w:szCs w:val="32"/>
        </w:rPr>
        <w:t>十、</w:t>
      </w:r>
      <w:bookmarkEnd w:id="63"/>
      <w:r>
        <w:rPr>
          <w:rFonts w:hint="eastAsia" w:eastAsia="仿宋_GB2312" w:cs="仿宋_GB2312"/>
          <w:sz w:val="32"/>
          <w:szCs w:val="32"/>
        </w:rPr>
        <w:t>政府性基金预算财政拨款收入支出决算表</w:t>
      </w:r>
    </w:p>
    <w:p w14:paraId="7F62B61A">
      <w:pPr>
        <w:pStyle w:val="14"/>
        <w:adjustRightInd w:val="0"/>
        <w:snapToGrid w:val="0"/>
        <w:spacing w:line="560" w:lineRule="exact"/>
        <w:jc w:val="left"/>
        <w:rPr>
          <w:rFonts w:eastAsia="仿宋_GB2312" w:cs="仿宋_GB2312"/>
          <w:sz w:val="32"/>
          <w:szCs w:val="32"/>
        </w:rPr>
      </w:pPr>
      <w:bookmarkStart w:id="64" w:name="_Toc15396629"/>
      <w:r>
        <w:rPr>
          <w:rFonts w:hint="eastAsia" w:eastAsia="仿宋_GB2312" w:cs="仿宋_GB2312"/>
          <w:sz w:val="32"/>
          <w:szCs w:val="32"/>
        </w:rPr>
        <w:t>十一、</w:t>
      </w:r>
      <w:bookmarkEnd w:id="64"/>
      <w:r>
        <w:rPr>
          <w:rFonts w:hint="eastAsia" w:eastAsia="仿宋_GB2312" w:cs="仿宋_GB2312"/>
          <w:sz w:val="32"/>
          <w:szCs w:val="32"/>
        </w:rPr>
        <w:t>国有资本经营预算财政拨款收入支出决算表</w:t>
      </w:r>
    </w:p>
    <w:p w14:paraId="371A77BB">
      <w:pPr>
        <w:pStyle w:val="14"/>
        <w:adjustRightInd w:val="0"/>
        <w:snapToGrid w:val="0"/>
        <w:spacing w:line="560" w:lineRule="exact"/>
        <w:jc w:val="left"/>
        <w:rPr>
          <w:rFonts w:eastAsia="仿宋_GB2312" w:cs="仿宋_GB2312"/>
          <w:sz w:val="32"/>
          <w:szCs w:val="32"/>
        </w:rPr>
      </w:pPr>
      <w:bookmarkStart w:id="65" w:name="_Toc15396630"/>
      <w:r>
        <w:rPr>
          <w:rFonts w:hint="eastAsia" w:eastAsia="仿宋_GB2312" w:cs="仿宋_GB2312"/>
          <w:sz w:val="32"/>
          <w:szCs w:val="32"/>
        </w:rPr>
        <w:t>十二、</w:t>
      </w:r>
      <w:bookmarkEnd w:id="65"/>
      <w:r>
        <w:rPr>
          <w:rFonts w:hint="eastAsia" w:eastAsia="仿宋_GB2312" w:cs="仿宋_GB2312"/>
          <w:sz w:val="32"/>
          <w:szCs w:val="32"/>
        </w:rPr>
        <w:t>国有资本经营预算财政拨款支出决算表</w:t>
      </w:r>
    </w:p>
    <w:p w14:paraId="6C854E9F">
      <w:pPr>
        <w:pStyle w:val="14"/>
        <w:adjustRightInd w:val="0"/>
        <w:snapToGrid w:val="0"/>
        <w:spacing w:line="560" w:lineRule="exact"/>
        <w:jc w:val="left"/>
        <w:rPr>
          <w:rFonts w:eastAsia="仿宋_GB2312" w:cs="仿宋_GB2312"/>
          <w:sz w:val="32"/>
          <w:szCs w:val="32"/>
        </w:rPr>
      </w:pPr>
      <w:bookmarkStart w:id="66" w:name="_Toc15396631"/>
      <w:r>
        <w:rPr>
          <w:rFonts w:hint="eastAsia" w:eastAsia="仿宋_GB2312" w:cs="仿宋_GB2312"/>
          <w:sz w:val="32"/>
          <w:szCs w:val="32"/>
        </w:rPr>
        <w:t>十三、</w:t>
      </w:r>
      <w:bookmarkEnd w:id="66"/>
      <w:r>
        <w:rPr>
          <w:rFonts w:hint="eastAsia" w:eastAsia="仿宋_GB2312" w:cs="仿宋_GB2312"/>
          <w:sz w:val="32"/>
          <w:szCs w:val="32"/>
        </w:rPr>
        <w:t>财政拨款“三公”经费支出决算表</w:t>
      </w:r>
    </w:p>
    <w:p w14:paraId="5CF27E77"/>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C0DF9A-12E2-49B7-A56C-77FDA157858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B2B3F4EE-B63E-4669-89CD-721B28409E43}"/>
  </w:font>
  <w:font w:name="仿宋_GB2312">
    <w:altName w:val="仿宋"/>
    <w:panose1 w:val="02010609030101010101"/>
    <w:charset w:val="86"/>
    <w:family w:val="modern"/>
    <w:pitch w:val="default"/>
    <w:sig w:usb0="00000000" w:usb1="00000000" w:usb2="00000000" w:usb3="00000000" w:csb0="00040000" w:csb1="00000000"/>
    <w:embedRegular r:id="rId3" w:fontKey="{12BAD354-B5BD-4967-A011-F4FD4C7EDA54}"/>
  </w:font>
  <w:font w:name="仿宋">
    <w:panose1 w:val="02010609060101010101"/>
    <w:charset w:val="86"/>
    <w:family w:val="modern"/>
    <w:pitch w:val="default"/>
    <w:sig w:usb0="800002BF" w:usb1="38CF7CFA" w:usb2="00000016" w:usb3="00000000" w:csb0="00040001" w:csb1="00000000"/>
    <w:embedRegular r:id="rId4" w:fontKey="{AC55A20C-52EE-405E-81B6-2E436EC13122}"/>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D3E76158-5705-4E75-8B0B-67243964F555}"/>
  </w:font>
  <w:font w:name="楷体_GB2312">
    <w:altName w:val="楷体"/>
    <w:panose1 w:val="02010609030101010101"/>
    <w:charset w:val="86"/>
    <w:family w:val="modern"/>
    <w:pitch w:val="default"/>
    <w:sig w:usb0="00000000" w:usb1="00000000" w:usb2="00000000" w:usb3="00000000" w:csb0="00040000" w:csb1="00000000"/>
    <w:embedRegular r:id="rId6" w:fontKey="{E0503901-CBF1-4BC4-BA7E-0FCA8B3E6FFF}"/>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BD81F">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C5E20C">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2C5E20C">
                    <w:pPr>
                      <w:pStyle w:val="10"/>
                    </w:pPr>
                  </w:p>
                </w:txbxContent>
              </v:textbox>
            </v:shape>
          </w:pict>
        </mc:Fallback>
      </mc:AlternateContent>
    </w:r>
  </w:p>
  <w:p w14:paraId="3203576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62894">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FBF63">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CAFBF63">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3A3A2">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C9E97C">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BC9E97C">
                    <w:pPr>
                      <w:pStyle w:val="10"/>
                    </w:pPr>
                  </w:p>
                </w:txbxContent>
              </v:textbox>
            </v:shape>
          </w:pict>
        </mc:Fallback>
      </mc:AlternateContent>
    </w:r>
  </w:p>
  <w:p w14:paraId="44AE1441">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BA4BF">
    <w:pPr>
      <w:pStyle w:val="1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1879C">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D71879C">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9F3B1B">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924F3">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4A924F3">
                    <w:pPr>
                      <w:pStyle w:val="10"/>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375FD">
    <w:pPr>
      <w:pStyle w:val="10"/>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5C5E3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A5C5E3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2CAA">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D1207">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B9859">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76800"/>
    <w:multiLevelType w:val="singleLevel"/>
    <w:tmpl w:val="8B676800"/>
    <w:lvl w:ilvl="0" w:tentative="0">
      <w:start w:val="1"/>
      <w:numFmt w:val="chineseCounting"/>
      <w:suff w:val="nothing"/>
      <w:lvlText w:val="%1、"/>
      <w:lvlJc w:val="left"/>
      <w:rPr>
        <w:rFonts w:hint="eastAsia"/>
      </w:rPr>
    </w:lvl>
  </w:abstractNum>
  <w:abstractNum w:abstractNumId="1">
    <w:nsid w:val="095DC90D"/>
    <w:multiLevelType w:val="singleLevel"/>
    <w:tmpl w:val="095DC90D"/>
    <w:lvl w:ilvl="0" w:tentative="0">
      <w:start w:val="2"/>
      <w:numFmt w:val="chineseCounting"/>
      <w:suff w:val="nothing"/>
      <w:lvlText w:val="（%1）"/>
      <w:lvlJc w:val="left"/>
      <w:rPr>
        <w:rFonts w:hint="eastAsia"/>
      </w:rPr>
    </w:lvl>
  </w:abstractNum>
  <w:abstractNum w:abstractNumId="2">
    <w:nsid w:val="3BB64695"/>
    <w:multiLevelType w:val="singleLevel"/>
    <w:tmpl w:val="3BB64695"/>
    <w:lvl w:ilvl="0" w:tentative="0">
      <w:start w:val="2"/>
      <w:numFmt w:val="chineseCounting"/>
      <w:suff w:val="nothing"/>
      <w:lvlText w:val="（%1）"/>
      <w:lvlJc w:val="left"/>
      <w:rPr>
        <w:rFonts w:hint="eastAsia"/>
      </w:rPr>
    </w:lvl>
  </w:abstractNum>
  <w:abstractNum w:abstractNumId="3">
    <w:nsid w:val="63D18D51"/>
    <w:multiLevelType w:val="singleLevel"/>
    <w:tmpl w:val="63D18D51"/>
    <w:lvl w:ilvl="0" w:tentative="0">
      <w:start w:val="1"/>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4C7E"/>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A8F"/>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B4FDD"/>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5B088D"/>
    <w:rsid w:val="0204567E"/>
    <w:rsid w:val="02317B1B"/>
    <w:rsid w:val="02344912"/>
    <w:rsid w:val="02EC6B94"/>
    <w:rsid w:val="02FEBE30"/>
    <w:rsid w:val="034026E5"/>
    <w:rsid w:val="037D56E7"/>
    <w:rsid w:val="039B3D1F"/>
    <w:rsid w:val="03A87AC5"/>
    <w:rsid w:val="04134A25"/>
    <w:rsid w:val="048C060E"/>
    <w:rsid w:val="05280E16"/>
    <w:rsid w:val="05972365"/>
    <w:rsid w:val="05C83953"/>
    <w:rsid w:val="05D255E0"/>
    <w:rsid w:val="061E35DE"/>
    <w:rsid w:val="06475B39"/>
    <w:rsid w:val="066E0107"/>
    <w:rsid w:val="06C4362D"/>
    <w:rsid w:val="07996F6E"/>
    <w:rsid w:val="07C54FE7"/>
    <w:rsid w:val="07DFD8BA"/>
    <w:rsid w:val="08AF5E39"/>
    <w:rsid w:val="08DB07E4"/>
    <w:rsid w:val="08F8136C"/>
    <w:rsid w:val="09373214"/>
    <w:rsid w:val="09867E8F"/>
    <w:rsid w:val="0A2032A3"/>
    <w:rsid w:val="0A363DF8"/>
    <w:rsid w:val="0A9A7155"/>
    <w:rsid w:val="0AF20084"/>
    <w:rsid w:val="0B154B72"/>
    <w:rsid w:val="0B473CC4"/>
    <w:rsid w:val="0C2C7CAB"/>
    <w:rsid w:val="0C6C4794"/>
    <w:rsid w:val="0C793074"/>
    <w:rsid w:val="0CA8290A"/>
    <w:rsid w:val="0CD90540"/>
    <w:rsid w:val="0D35B1ED"/>
    <w:rsid w:val="0D7975D2"/>
    <w:rsid w:val="0DE07E2B"/>
    <w:rsid w:val="0F98263C"/>
    <w:rsid w:val="101860EC"/>
    <w:rsid w:val="10207243"/>
    <w:rsid w:val="10BB3228"/>
    <w:rsid w:val="10C055FF"/>
    <w:rsid w:val="11772AA4"/>
    <w:rsid w:val="118107EC"/>
    <w:rsid w:val="123B15B5"/>
    <w:rsid w:val="13D50BC4"/>
    <w:rsid w:val="14022904"/>
    <w:rsid w:val="14627FE2"/>
    <w:rsid w:val="14866011"/>
    <w:rsid w:val="14DF1D78"/>
    <w:rsid w:val="152813F6"/>
    <w:rsid w:val="152F2A07"/>
    <w:rsid w:val="15485429"/>
    <w:rsid w:val="158905AA"/>
    <w:rsid w:val="15E47D74"/>
    <w:rsid w:val="15F80BFE"/>
    <w:rsid w:val="165E0673"/>
    <w:rsid w:val="16BB723D"/>
    <w:rsid w:val="16E86EC4"/>
    <w:rsid w:val="175D340D"/>
    <w:rsid w:val="1797137D"/>
    <w:rsid w:val="186504BB"/>
    <w:rsid w:val="18714A89"/>
    <w:rsid w:val="18BC3036"/>
    <w:rsid w:val="18BD7EDC"/>
    <w:rsid w:val="18F27B86"/>
    <w:rsid w:val="1938089F"/>
    <w:rsid w:val="19A445FC"/>
    <w:rsid w:val="1A1324AA"/>
    <w:rsid w:val="1B0167A6"/>
    <w:rsid w:val="1B32070E"/>
    <w:rsid w:val="1B7D550C"/>
    <w:rsid w:val="1B7E7DF7"/>
    <w:rsid w:val="1BA333BA"/>
    <w:rsid w:val="1BC31CAE"/>
    <w:rsid w:val="1BE8440E"/>
    <w:rsid w:val="1BF34341"/>
    <w:rsid w:val="1D155CEE"/>
    <w:rsid w:val="1D9C43B8"/>
    <w:rsid w:val="1DAF4298"/>
    <w:rsid w:val="1E5523F1"/>
    <w:rsid w:val="1E740ACF"/>
    <w:rsid w:val="1E7A1067"/>
    <w:rsid w:val="1E877C78"/>
    <w:rsid w:val="1F811C64"/>
    <w:rsid w:val="1FC10A48"/>
    <w:rsid w:val="1FF35744"/>
    <w:rsid w:val="1FF6BC77"/>
    <w:rsid w:val="20D300A8"/>
    <w:rsid w:val="21962A9E"/>
    <w:rsid w:val="21AE7C77"/>
    <w:rsid w:val="21D41512"/>
    <w:rsid w:val="2206534F"/>
    <w:rsid w:val="22963C78"/>
    <w:rsid w:val="22BC3C41"/>
    <w:rsid w:val="22BF31CF"/>
    <w:rsid w:val="23027955"/>
    <w:rsid w:val="23860B96"/>
    <w:rsid w:val="23C357BF"/>
    <w:rsid w:val="23F83D03"/>
    <w:rsid w:val="240371BF"/>
    <w:rsid w:val="244A6AC8"/>
    <w:rsid w:val="24C745BD"/>
    <w:rsid w:val="253D4029"/>
    <w:rsid w:val="258C1362"/>
    <w:rsid w:val="25BE6E30"/>
    <w:rsid w:val="25DD77B1"/>
    <w:rsid w:val="260F557C"/>
    <w:rsid w:val="27974F81"/>
    <w:rsid w:val="281408E2"/>
    <w:rsid w:val="2818512F"/>
    <w:rsid w:val="29FD04D3"/>
    <w:rsid w:val="2AAD6DE8"/>
    <w:rsid w:val="2B08148B"/>
    <w:rsid w:val="2B7A34A4"/>
    <w:rsid w:val="2BB43EEB"/>
    <w:rsid w:val="2BFF7BC6"/>
    <w:rsid w:val="2C8A61B5"/>
    <w:rsid w:val="2CD07D87"/>
    <w:rsid w:val="2D2E01CF"/>
    <w:rsid w:val="2D4B38B1"/>
    <w:rsid w:val="2DF04E50"/>
    <w:rsid w:val="2E001511"/>
    <w:rsid w:val="2E293D78"/>
    <w:rsid w:val="2E4B1DBB"/>
    <w:rsid w:val="2E9545B0"/>
    <w:rsid w:val="2F040D46"/>
    <w:rsid w:val="2F983DE7"/>
    <w:rsid w:val="2FAE5751"/>
    <w:rsid w:val="2FB1A395"/>
    <w:rsid w:val="2FD9A7D8"/>
    <w:rsid w:val="2FFA3A98"/>
    <w:rsid w:val="304306A9"/>
    <w:rsid w:val="305F1D0D"/>
    <w:rsid w:val="319F7F4E"/>
    <w:rsid w:val="321B2544"/>
    <w:rsid w:val="324E5FB0"/>
    <w:rsid w:val="3304709D"/>
    <w:rsid w:val="34281836"/>
    <w:rsid w:val="345E3ECA"/>
    <w:rsid w:val="349D6851"/>
    <w:rsid w:val="357C152E"/>
    <w:rsid w:val="35862195"/>
    <w:rsid w:val="35BA6CAF"/>
    <w:rsid w:val="35E238E6"/>
    <w:rsid w:val="362D4E42"/>
    <w:rsid w:val="364D14C1"/>
    <w:rsid w:val="36A3786B"/>
    <w:rsid w:val="36AA5135"/>
    <w:rsid w:val="36BE0DA7"/>
    <w:rsid w:val="36C00E6C"/>
    <w:rsid w:val="36D7456A"/>
    <w:rsid w:val="36FD5C1C"/>
    <w:rsid w:val="376B6AA6"/>
    <w:rsid w:val="376D39B2"/>
    <w:rsid w:val="37757EA8"/>
    <w:rsid w:val="37E16F03"/>
    <w:rsid w:val="37F53A3B"/>
    <w:rsid w:val="389B6C89"/>
    <w:rsid w:val="38D469F0"/>
    <w:rsid w:val="390D7B86"/>
    <w:rsid w:val="39382825"/>
    <w:rsid w:val="39627CCD"/>
    <w:rsid w:val="39665CFB"/>
    <w:rsid w:val="397BAF1F"/>
    <w:rsid w:val="3AB79AF3"/>
    <w:rsid w:val="3AEF7F72"/>
    <w:rsid w:val="3B1F0857"/>
    <w:rsid w:val="3B7EF35A"/>
    <w:rsid w:val="3B9FDB6C"/>
    <w:rsid w:val="3BF5BC2F"/>
    <w:rsid w:val="3CEBA265"/>
    <w:rsid w:val="3D98207C"/>
    <w:rsid w:val="3D9B0D99"/>
    <w:rsid w:val="3DEE7CF3"/>
    <w:rsid w:val="3DF02244"/>
    <w:rsid w:val="3E1B5812"/>
    <w:rsid w:val="3E3B719C"/>
    <w:rsid w:val="3E78745D"/>
    <w:rsid w:val="3F171845"/>
    <w:rsid w:val="3FA471DB"/>
    <w:rsid w:val="3FF4CAE0"/>
    <w:rsid w:val="3FF7B227"/>
    <w:rsid w:val="40E54C45"/>
    <w:rsid w:val="422C159B"/>
    <w:rsid w:val="426D48A0"/>
    <w:rsid w:val="42C57F36"/>
    <w:rsid w:val="433A3653"/>
    <w:rsid w:val="435218EE"/>
    <w:rsid w:val="43A407DF"/>
    <w:rsid w:val="44094EEA"/>
    <w:rsid w:val="442E5667"/>
    <w:rsid w:val="443A4914"/>
    <w:rsid w:val="44515BEA"/>
    <w:rsid w:val="44C304A5"/>
    <w:rsid w:val="44E268DA"/>
    <w:rsid w:val="45047938"/>
    <w:rsid w:val="453F7E5B"/>
    <w:rsid w:val="455F6E02"/>
    <w:rsid w:val="456C0C58"/>
    <w:rsid w:val="4609638B"/>
    <w:rsid w:val="46B02CAB"/>
    <w:rsid w:val="46CF372D"/>
    <w:rsid w:val="46DF70EC"/>
    <w:rsid w:val="46E472F2"/>
    <w:rsid w:val="47007E18"/>
    <w:rsid w:val="47BE7CC8"/>
    <w:rsid w:val="486A6C7A"/>
    <w:rsid w:val="49176D9B"/>
    <w:rsid w:val="494F64C9"/>
    <w:rsid w:val="49521DF7"/>
    <w:rsid w:val="499E7627"/>
    <w:rsid w:val="49D063F4"/>
    <w:rsid w:val="4A627F82"/>
    <w:rsid w:val="4B0E749A"/>
    <w:rsid w:val="4B127109"/>
    <w:rsid w:val="4B373770"/>
    <w:rsid w:val="4B4F25DA"/>
    <w:rsid w:val="4B8B4F59"/>
    <w:rsid w:val="4B96047D"/>
    <w:rsid w:val="4BDA0CFB"/>
    <w:rsid w:val="4BE068DB"/>
    <w:rsid w:val="4D3C0CCC"/>
    <w:rsid w:val="4D577224"/>
    <w:rsid w:val="4DBF1CEB"/>
    <w:rsid w:val="4DC3082F"/>
    <w:rsid w:val="4E1530C7"/>
    <w:rsid w:val="4E994025"/>
    <w:rsid w:val="4EAB630A"/>
    <w:rsid w:val="4ECE2238"/>
    <w:rsid w:val="4F833267"/>
    <w:rsid w:val="4F991EAC"/>
    <w:rsid w:val="4FE9BD67"/>
    <w:rsid w:val="4FFB052F"/>
    <w:rsid w:val="503F5C36"/>
    <w:rsid w:val="50406E4E"/>
    <w:rsid w:val="50B96D73"/>
    <w:rsid w:val="513444D8"/>
    <w:rsid w:val="524E3378"/>
    <w:rsid w:val="52862B12"/>
    <w:rsid w:val="529479D2"/>
    <w:rsid w:val="52E16678"/>
    <w:rsid w:val="52EB28EB"/>
    <w:rsid w:val="53083A92"/>
    <w:rsid w:val="534C02B4"/>
    <w:rsid w:val="537B019D"/>
    <w:rsid w:val="537E6D0A"/>
    <w:rsid w:val="53AF27A2"/>
    <w:rsid w:val="53F74C96"/>
    <w:rsid w:val="544D5835"/>
    <w:rsid w:val="564367C8"/>
    <w:rsid w:val="564D5561"/>
    <w:rsid w:val="566C7AB9"/>
    <w:rsid w:val="56E47B74"/>
    <w:rsid w:val="5737262D"/>
    <w:rsid w:val="57541431"/>
    <w:rsid w:val="5798756F"/>
    <w:rsid w:val="57BD3DD4"/>
    <w:rsid w:val="580B4386"/>
    <w:rsid w:val="59755173"/>
    <w:rsid w:val="598022CF"/>
    <w:rsid w:val="5AF92295"/>
    <w:rsid w:val="5B3D3D26"/>
    <w:rsid w:val="5BDC267A"/>
    <w:rsid w:val="5BDD79E6"/>
    <w:rsid w:val="5BF561CA"/>
    <w:rsid w:val="5BFF5DFC"/>
    <w:rsid w:val="5C221AFD"/>
    <w:rsid w:val="5C294C3A"/>
    <w:rsid w:val="5C597867"/>
    <w:rsid w:val="5C5D0D87"/>
    <w:rsid w:val="5CB862E4"/>
    <w:rsid w:val="5CD71FC4"/>
    <w:rsid w:val="5D1F11B5"/>
    <w:rsid w:val="5DAE1B18"/>
    <w:rsid w:val="5DC72845"/>
    <w:rsid w:val="5DE7D9E5"/>
    <w:rsid w:val="5ECEC941"/>
    <w:rsid w:val="5F3B02CD"/>
    <w:rsid w:val="5F493CB7"/>
    <w:rsid w:val="5FBF9FF3"/>
    <w:rsid w:val="5FCD4E2C"/>
    <w:rsid w:val="5FD15F49"/>
    <w:rsid w:val="5FEF394A"/>
    <w:rsid w:val="5FF271E1"/>
    <w:rsid w:val="5FF67715"/>
    <w:rsid w:val="616C4B58"/>
    <w:rsid w:val="619D5782"/>
    <w:rsid w:val="6248193D"/>
    <w:rsid w:val="626D6336"/>
    <w:rsid w:val="628232F6"/>
    <w:rsid w:val="62BF3928"/>
    <w:rsid w:val="632E2473"/>
    <w:rsid w:val="647F5392"/>
    <w:rsid w:val="64B4301E"/>
    <w:rsid w:val="65B25CA0"/>
    <w:rsid w:val="664B1D71"/>
    <w:rsid w:val="66522FDF"/>
    <w:rsid w:val="66FB3677"/>
    <w:rsid w:val="67AA3209"/>
    <w:rsid w:val="67F670C0"/>
    <w:rsid w:val="681C4F0D"/>
    <w:rsid w:val="685179D9"/>
    <w:rsid w:val="68AA78F2"/>
    <w:rsid w:val="69046D0F"/>
    <w:rsid w:val="698D0931"/>
    <w:rsid w:val="69B31FE7"/>
    <w:rsid w:val="69F745C9"/>
    <w:rsid w:val="6A10482B"/>
    <w:rsid w:val="6A993CED"/>
    <w:rsid w:val="6AF74604"/>
    <w:rsid w:val="6B053271"/>
    <w:rsid w:val="6B7B0210"/>
    <w:rsid w:val="6BC45D6D"/>
    <w:rsid w:val="6BCE6674"/>
    <w:rsid w:val="6C4A05C8"/>
    <w:rsid w:val="6C8742B8"/>
    <w:rsid w:val="6C8A170F"/>
    <w:rsid w:val="6CB54609"/>
    <w:rsid w:val="6D9264E2"/>
    <w:rsid w:val="6DBF5E93"/>
    <w:rsid w:val="6DFF077E"/>
    <w:rsid w:val="6E11391B"/>
    <w:rsid w:val="6E7E3605"/>
    <w:rsid w:val="6E7FDCC7"/>
    <w:rsid w:val="6EB000E1"/>
    <w:rsid w:val="6EC175DC"/>
    <w:rsid w:val="6ED6A62E"/>
    <w:rsid w:val="6ED924EF"/>
    <w:rsid w:val="6EE00B15"/>
    <w:rsid w:val="6F544B20"/>
    <w:rsid w:val="6F6FB3EB"/>
    <w:rsid w:val="6F784160"/>
    <w:rsid w:val="6F8731EA"/>
    <w:rsid w:val="6FCE6052"/>
    <w:rsid w:val="6FD57C00"/>
    <w:rsid w:val="6FEFFFD8"/>
    <w:rsid w:val="6FF5CC65"/>
    <w:rsid w:val="6FFB47EC"/>
    <w:rsid w:val="6FFF034A"/>
    <w:rsid w:val="70163F6B"/>
    <w:rsid w:val="70496804"/>
    <w:rsid w:val="712A28F1"/>
    <w:rsid w:val="715C0E4B"/>
    <w:rsid w:val="720F2993"/>
    <w:rsid w:val="72233669"/>
    <w:rsid w:val="72734D90"/>
    <w:rsid w:val="7275367C"/>
    <w:rsid w:val="72D305D9"/>
    <w:rsid w:val="72DC25AE"/>
    <w:rsid w:val="7332FE48"/>
    <w:rsid w:val="73AB61DA"/>
    <w:rsid w:val="73AD73D5"/>
    <w:rsid w:val="73B36B86"/>
    <w:rsid w:val="73B6EB34"/>
    <w:rsid w:val="73FA497D"/>
    <w:rsid w:val="744731E5"/>
    <w:rsid w:val="74527205"/>
    <w:rsid w:val="74776CC3"/>
    <w:rsid w:val="74BBD01D"/>
    <w:rsid w:val="74ED5379"/>
    <w:rsid w:val="74F87447"/>
    <w:rsid w:val="74FC2395"/>
    <w:rsid w:val="75C015CE"/>
    <w:rsid w:val="75DEEEC2"/>
    <w:rsid w:val="75E023B5"/>
    <w:rsid w:val="75E17EDC"/>
    <w:rsid w:val="763741CA"/>
    <w:rsid w:val="769136B0"/>
    <w:rsid w:val="76E3355F"/>
    <w:rsid w:val="76FF5125"/>
    <w:rsid w:val="77543DD8"/>
    <w:rsid w:val="776F6FFA"/>
    <w:rsid w:val="778769C8"/>
    <w:rsid w:val="77BF5FFA"/>
    <w:rsid w:val="77D371B6"/>
    <w:rsid w:val="77DC22F5"/>
    <w:rsid w:val="78B46D57"/>
    <w:rsid w:val="79086DAD"/>
    <w:rsid w:val="79425135"/>
    <w:rsid w:val="79974F09"/>
    <w:rsid w:val="79D7FD79"/>
    <w:rsid w:val="79EE5BA4"/>
    <w:rsid w:val="7A894339"/>
    <w:rsid w:val="7A8F7F06"/>
    <w:rsid w:val="7AAB3079"/>
    <w:rsid w:val="7AFF7572"/>
    <w:rsid w:val="7B366E93"/>
    <w:rsid w:val="7B4164A0"/>
    <w:rsid w:val="7B637EF6"/>
    <w:rsid w:val="7B6C7DFB"/>
    <w:rsid w:val="7BBFBED0"/>
    <w:rsid w:val="7BC167E5"/>
    <w:rsid w:val="7BC3E394"/>
    <w:rsid w:val="7BFA1CF7"/>
    <w:rsid w:val="7C1F3737"/>
    <w:rsid w:val="7C776EA4"/>
    <w:rsid w:val="7CBFC87B"/>
    <w:rsid w:val="7CFE0F48"/>
    <w:rsid w:val="7D7EC23E"/>
    <w:rsid w:val="7D916348"/>
    <w:rsid w:val="7E413C0D"/>
    <w:rsid w:val="7E8ADEBF"/>
    <w:rsid w:val="7EEF11D3"/>
    <w:rsid w:val="7F0971A6"/>
    <w:rsid w:val="7F3F679B"/>
    <w:rsid w:val="7F4FC4EF"/>
    <w:rsid w:val="7F5E4D54"/>
    <w:rsid w:val="7F6E0135"/>
    <w:rsid w:val="7FA30C79"/>
    <w:rsid w:val="7FAF8ABF"/>
    <w:rsid w:val="7FB7269E"/>
    <w:rsid w:val="7FC96657"/>
    <w:rsid w:val="7FD10B7C"/>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jc w:val="left"/>
    </w:pPr>
    <w:rPr>
      <w:rFonts w:eastAsia="宋体"/>
      <w:kern w:val="0"/>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2"/>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7.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11794.38</c:v>
                </c:pt>
                <c:pt idx="1">
                  <c:v>11827.32</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5180.03</c:v>
                </c:pt>
                <c:pt idx="1">
                  <c:v>6106</c:v>
                </c:pt>
              </c:numCache>
            </c:numRef>
          </c:val>
        </c:ser>
        <c:dLbls>
          <c:showLegendKey val="0"/>
          <c:showVal val="0"/>
          <c:showCatName val="0"/>
          <c:showSerName val="0"/>
          <c:showPercent val="0"/>
          <c:showBubbleSize val="0"/>
        </c:dLbls>
        <c:gapWidth val="75"/>
        <c:overlap val="0"/>
        <c:axId val="173950976"/>
        <c:axId val="567991620"/>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收入</c:v>
                      </c:pt>
                      <c:pt idx="1">
                        <c:v>支出</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1739509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7991620"/>
        <c:crosses val="autoZero"/>
        <c:auto val="1"/>
        <c:lblAlgn val="ctr"/>
        <c:lblOffset val="100"/>
        <c:noMultiLvlLbl val="0"/>
      </c:catAx>
      <c:valAx>
        <c:axId val="567991620"/>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39509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bfe634-157c-4465-bf02-0f19a8b8877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2025年度本年收入</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政府性基金财政预算拨款收入</c:v>
                </c:pt>
              </c:strCache>
            </c:strRef>
          </c:cat>
          <c:val>
            <c:numRef>
              <c:f>Sheet1!$B$2:$B$3</c:f>
              <c:numCache>
                <c:formatCode>General</c:formatCode>
                <c:ptCount val="2"/>
                <c:pt idx="0">
                  <c:v>4239.95</c:v>
                </c:pt>
                <c:pt idx="1">
                  <c:v>7554.43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551aaa-9984-4810-858f-f140c949c9b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2025年度本年支出</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Sheet1!$A$1:$A$3</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Sheet1!$B$1:$B$3</c15:sqref>
                  </c15:fullRef>
                </c:ext>
              </c:extLst>
              <c:f>Sheet1!$B$2:$B$3</c:f>
              <c:numCache>
                <c:formatCode>General</c:formatCode>
                <c:ptCount val="2"/>
                <c:pt idx="0">
                  <c:v>1726.32</c:v>
                </c:pt>
                <c:pt idx="1">
                  <c:v>10101</c:v>
                </c:pt>
              </c:numCache>
            </c:numRef>
          </c:val>
        </c:ser>
        <c:dLbls>
          <c:showLegendKey val="0"/>
          <c:showVal val="0"/>
          <c:showCatName val="0"/>
          <c:showSerName val="0"/>
          <c:showPercent val="1"/>
          <c:showBubbleSize val="0"/>
          <c:showLeaderLines val="1"/>
        </c:dLbls>
        <c:firstSliceAng val="0"/>
        <c:extLst>
          <c:ext xmlns:c15="http://schemas.microsoft.com/office/drawing/2012/chart" uri="{02D57815-91ED-43cb-92C2-25804820EDAC}">
            <c15:filteredPieSeries>
              <c15:ser>
                <c:idx val="1"/>
                <c:order val="1"/>
                <c:spPr/>
                <c:explosion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Sheet1!$A$1:$A$3</c15:sqref>
                        </c15:fullRef>
                        <c15:formulaRef>
                          <c15:sqref>Sheet1!$A$2:$A$3</c15:sqref>
                        </c15:formulaRef>
                      </c:ext>
                    </c:extLst>
                    <c:strCache>
                      <c:ptCount val="2"/>
                      <c:pt idx="0">
                        <c:v>基本支出</c:v>
                      </c:pt>
                      <c:pt idx="1">
                        <c:v>项目支出</c:v>
                      </c:pt>
                    </c:strCache>
                  </c:strRef>
                </c:cat>
              </c15:ser>
            </c15:filteredPieSeries>
          </c:ext>
        </c:extLst>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06f59d2-c3e9-4cdb-846f-b2ea207a224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2025年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11794.38</c:v>
                </c:pt>
                <c:pt idx="1">
                  <c:v>11827.32</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财政拨款收入</c:v>
                </c:pt>
                <c:pt idx="1">
                  <c:v>财政拨款支出</c:v>
                </c:pt>
              </c:strCache>
            </c:strRef>
          </c:cat>
          <c:val>
            <c:numRef>
              <c:extLst>
                <c:ext xmlns:c15="http://schemas.microsoft.com/office/drawing/2012/chart" uri="{02D57815-91ED-43cb-92C2-25804820EDAC}">
                  <c15:fullRef>
                    <c15:sqref>Sheet1!$C$2:$C$3</c15:sqref>
                  </c15:fullRef>
                </c:ext>
              </c:extLst>
              <c:f>Sheet1!$C$2:$C$3</c:f>
              <c:numCache>
                <c:formatCode>General</c:formatCode>
                <c:ptCount val="2"/>
                <c:pt idx="0">
                  <c:v>5180.03</c:v>
                </c:pt>
                <c:pt idx="1">
                  <c:v>6106</c:v>
                </c:pt>
              </c:numCache>
            </c:numRef>
          </c:val>
        </c:ser>
        <c:dLbls>
          <c:showLegendKey val="0"/>
          <c:showVal val="1"/>
          <c:showCatName val="0"/>
          <c:showSerName val="0"/>
          <c:showPercent val="0"/>
          <c:showBubbleSize val="0"/>
        </c:dLbls>
        <c:gapWidth val="75"/>
        <c:overlap val="0"/>
        <c:axId val="694275782"/>
        <c:axId val="424918655"/>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财政拨款收入</c:v>
                      </c:pt>
                      <c:pt idx="1">
                        <c:v>财政拨款支出</c:v>
                      </c:pt>
                    </c:strCache>
                  </c:strRef>
                </c:cat>
              </c15:ser>
            </c15:filteredBarSeries>
          </c:ext>
        </c:extLst>
      </c:barChart>
      <c:catAx>
        <c:axId val="69427578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4918655"/>
        <c:crosses val="autoZero"/>
        <c:auto val="1"/>
        <c:lblAlgn val="ctr"/>
        <c:lblOffset val="100"/>
        <c:noMultiLvlLbl val="0"/>
      </c:catAx>
      <c:valAx>
        <c:axId val="424918655"/>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427578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22ab4d-d55b-4a4a-b8cf-8cc64c9e7d8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4272.</a:t>
                    </a:r>
                    <a:r>
                      <a:rPr lang="en-US" altLang="zh-CN"/>
                      <a:t>89</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Sheet1!$A$2:$A$3</c15:sqref>
                  </c15:fullRef>
                </c:ext>
              </c:extLst>
              <c:f>Sheet1!$A$2:$A$3</c:f>
              <c:strCache>
                <c:ptCount val="2"/>
                <c:pt idx="0">
                  <c:v>2025年</c:v>
                </c:pt>
                <c:pt idx="1">
                  <c:v>2024年</c:v>
                </c:pt>
              </c:strCache>
            </c:strRef>
          </c:cat>
          <c:val>
            <c:numRef>
              <c:extLst>
                <c:ext xmlns:c15="http://schemas.microsoft.com/office/drawing/2012/chart" uri="{02D57815-91ED-43cb-92C2-25804820EDAC}">
                  <c15:fullRef>
                    <c15:sqref>Sheet1!$B$2:$B$3</c15:sqref>
                  </c15:fullRef>
                </c:ext>
              </c:extLst>
              <c:f>Sheet1!$B$2:$B$3</c:f>
              <c:numCache>
                <c:formatCode>General</c:formatCode>
                <c:ptCount val="2"/>
                <c:pt idx="0">
                  <c:v>4272.9</c:v>
                </c:pt>
                <c:pt idx="1">
                  <c:v>2753.39</c:v>
                </c:pt>
              </c:numCache>
            </c:numRef>
          </c:val>
        </c:ser>
        <c:dLbls>
          <c:showLegendKey val="0"/>
          <c:showVal val="0"/>
          <c:showCatName val="0"/>
          <c:showSerName val="0"/>
          <c:showPercent val="0"/>
          <c:showBubbleSize val="0"/>
        </c:dLbls>
        <c:gapWidth val="75"/>
        <c:overlap val="0"/>
        <c:axId val="710304541"/>
        <c:axId val="863354259"/>
        <c:extLst>
          <c:ext xmlns:c15="http://schemas.microsoft.com/office/drawing/2012/chart" uri="{02D57815-91ED-43cb-92C2-25804820EDAC}">
            <c15:filteredBarSeries>
              <c15:ser>
                <c:idx val="1"/>
                <c:order val="1"/>
                <c:tx>
                  <c:strRef>
                    <c:extLst>
                      <c:ext uri="{02D57815-91ED-43cb-92C2-25804820EDAC}">
                        <c15:formulaRef>
                          <c15:sqref>Sheet1!#REF!</c15:sqref>
                        </c15:formulaRef>
                      </c:ext>
                    </c:extLst>
                    <c:strCache>
                      <c:ptCount val="1"/>
                      <c:pt idx="0">
                        <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2025年</c:v>
                      </c:pt>
                      <c:pt idx="1">
                        <c:v>2024年</c:v>
                      </c:pt>
                    </c:strCache>
                  </c:strRef>
                </c:cat>
              </c15:ser>
            </c15:filteredBarSeries>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Sheet1!$A$2:$A$3</c15:sqref>
                        </c15:fullRef>
                        <c15:formulaRef>
                          <c15:sqref>Sheet1!$A$2:$A$3</c15:sqref>
                        </c15:formulaRef>
                      </c:ext>
                    </c:extLst>
                    <c:strCache>
                      <c:ptCount val="2"/>
                      <c:pt idx="0">
                        <c:v>2025年</c:v>
                      </c:pt>
                      <c:pt idx="1">
                        <c:v>2024年</c:v>
                      </c:pt>
                    </c:strCache>
                  </c:strRef>
                </c:cat>
              </c15:ser>
            </c15:filteredBarSeries>
          </c:ext>
        </c:extLst>
      </c:barChart>
      <c:catAx>
        <c:axId val="7103045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3354259"/>
        <c:crosses val="autoZero"/>
        <c:auto val="1"/>
        <c:lblAlgn val="ctr"/>
        <c:lblOffset val="100"/>
        <c:noMultiLvlLbl val="0"/>
      </c:catAx>
      <c:valAx>
        <c:axId val="863354259"/>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0304541"/>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1388a25-9f05-4cd8-beb0-46e1548ac1f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年度一般公共预算财政拨款支出</a:t>
            </a:r>
            <a:endParaRPr lang="en-US" alt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一般公共服务支出</c:v>
                </c:pt>
                <c:pt idx="1">
                  <c:v>社会保障和就业支出</c:v>
                </c:pt>
                <c:pt idx="2">
                  <c:v>卫生健康支出</c:v>
                </c:pt>
                <c:pt idx="3">
                  <c:v>住房保障支出</c:v>
                </c:pt>
                <c:pt idx="4">
                  <c:v>城乡社区支出</c:v>
                </c:pt>
                <c:pt idx="5">
                  <c:v>农林水支出</c:v>
                </c:pt>
              </c:strCache>
            </c:strRef>
          </c:cat>
          <c:val>
            <c:numRef>
              <c:f>Sheet1!$B$2:$B$7</c:f>
              <c:numCache>
                <c:formatCode>General</c:formatCode>
                <c:ptCount val="6"/>
                <c:pt idx="0">
                  <c:v>8.82</c:v>
                </c:pt>
                <c:pt idx="1">
                  <c:v>263.16</c:v>
                </c:pt>
                <c:pt idx="2">
                  <c:v>74.44</c:v>
                </c:pt>
                <c:pt idx="3">
                  <c:v>394.76</c:v>
                </c:pt>
                <c:pt idx="4">
                  <c:v>3028.77</c:v>
                </c:pt>
                <c:pt idx="5">
                  <c:v>502.94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4274cd-1407-4b83-a93b-7aeaff89c50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en-US" altLang="zh-CN"/>
              <a:t>2025</a:t>
            </a:r>
            <a:r>
              <a:rPr altLang="en-US"/>
              <a:t>年度财政拨款</a:t>
            </a:r>
            <a:r>
              <a:rPr lang="en-US" altLang="zh-CN"/>
              <a:t>“</a:t>
            </a:r>
            <a:r>
              <a:rPr altLang="en-US"/>
              <a:t>三公</a:t>
            </a:r>
            <a:r>
              <a:rPr lang="en-US" altLang="zh-CN"/>
              <a:t>”</a:t>
            </a:r>
            <a:r>
              <a:rPr altLang="en-US"/>
              <a:t>经费支出</a:t>
            </a:r>
            <a:endParaRPr lang="en-US" altLang="zh-CN"/>
          </a:p>
        </c:rich>
      </c:tx>
      <c:layout/>
      <c:overlay val="0"/>
      <c:spPr>
        <a:noFill/>
        <a:ln>
          <a:noFill/>
        </a:ln>
        <a:effectLst/>
      </c:spPr>
    </c:title>
    <c:autoTitleDeleted val="0"/>
    <c:plotArea>
      <c:layout>
        <c:manualLayout>
          <c:layoutTarget val="inner"/>
          <c:xMode val="edge"/>
          <c:yMode val="edge"/>
          <c:x val="0.27947571877265"/>
          <c:y val="0.175308117297068"/>
          <c:w val="0.39514375453008"/>
          <c:h val="0.695070123246919"/>
        </c:manualLayout>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extLst>
                <c:ext xmlns:c15="http://schemas.microsoft.com/office/drawing/2012/chart" uri="{02D57815-91ED-43cb-92C2-25804820EDAC}">
                  <c15:fullRef>
                    <c15:sqref>Sheet1!$A$2:$A$4</c15:sqref>
                  </c15:fullRef>
                </c:ext>
              </c:extLst>
              <c:f>Sheet1!$A$2:$A$4</c:f>
              <c:strCache>
                <c:ptCount val="3"/>
                <c:pt idx="0">
                  <c:v>因公出国（境）费支出</c:v>
                </c:pt>
                <c:pt idx="1">
                  <c:v>公务用车购置及运行维护费支出</c:v>
                </c:pt>
                <c:pt idx="2">
                  <c:v>公务接待费支出</c:v>
                </c:pt>
              </c:strCache>
            </c:strRef>
          </c:cat>
          <c:val>
            <c:numRef>
              <c:extLst>
                <c:ext xmlns:c15="http://schemas.microsoft.com/office/drawing/2012/chart" uri="{02D57815-91ED-43cb-92C2-25804820EDAC}">
                  <c15:fullRef>
                    <c15:sqref>Sheet1!$B$2:$B$4</c15:sqref>
                  </c15:fullRef>
                </c:ext>
              </c:extLst>
              <c:f>Sheet1!$B$2:$B$4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42f8b8e-f94c-4717-b7fd-9bb2869228c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82</Pages>
  <Words>16097</Words>
  <Characters>18092</Characters>
  <Lines>63</Lines>
  <Paragraphs>17</Paragraphs>
  <TotalTime>606</TotalTime>
  <ScaleCrop>false</ScaleCrop>
  <LinksUpToDate>false</LinksUpToDate>
  <CharactersWithSpaces>18202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刘清苹</cp:lastModifiedBy>
  <cp:lastPrinted>2026-08-27T00:27:00Z</cp:lastPrinted>
  <dcterms:modified xsi:type="dcterms:W3CDTF">2026-09-20T09:20:20Z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0835443EE3EF4E86BA13360084B837D5</vt:lpwstr>
  </property>
  <property fmtid="{D5CDD505-2E9C-101B-9397-08002B2CF9AE}" pid="4" name="KSOTemplateDocerSaveRecord">
    <vt:lpwstr>eyJoZGlkIjoiNTc1NjVmZTU2ZTg1YjUzMjFhYzJjMmFhN2RmMDk2NzQiLCJ1c2VySWQiOiIxNjUwMjI5OTc4In0=</vt:lpwstr>
  </property>
</Properties>
</file>