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CC956">
      <w:pPr>
        <w:pStyle w:val="2"/>
        <w:spacing w:before="93"/>
        <w:jc w:val="center"/>
        <w:rPr>
          <w:rFonts w:hint="eastAsia" w:ascii="Times New Roman" w:eastAsia="方正小标宋简体"/>
          <w:kern w:val="2"/>
          <w:sz w:val="44"/>
          <w:szCs w:val="44"/>
          <w:highlight w:val="none"/>
        </w:rPr>
      </w:pPr>
      <w:bookmarkStart w:id="0" w:name="_Toc15377425"/>
      <w:bookmarkStart w:id="1" w:name="_Toc15377193"/>
      <w:bookmarkStart w:id="2" w:name="_Toc15396597"/>
      <w:bookmarkStart w:id="3" w:name="_Toc15306267"/>
      <w:bookmarkStart w:id="4" w:name="_Toc15378441"/>
      <w:bookmarkStart w:id="5" w:name="_Toc15396475"/>
    </w:p>
    <w:p w14:paraId="245DAADB">
      <w:pPr>
        <w:pStyle w:val="2"/>
        <w:spacing w:before="93"/>
        <w:jc w:val="center"/>
        <w:rPr>
          <w:rFonts w:hint="eastAsia" w:ascii="Times New Roman" w:eastAsia="方正小标宋简体"/>
          <w:kern w:val="2"/>
          <w:sz w:val="44"/>
          <w:szCs w:val="44"/>
          <w:highlight w:val="none"/>
        </w:rPr>
      </w:pPr>
    </w:p>
    <w:p w14:paraId="6FE65FB6">
      <w:pPr>
        <w:pStyle w:val="2"/>
        <w:spacing w:before="93"/>
        <w:jc w:val="center"/>
        <w:rPr>
          <w:rFonts w:hint="eastAsia" w:ascii="Times New Roman" w:eastAsia="方正小标宋简体"/>
          <w:kern w:val="2"/>
          <w:sz w:val="44"/>
          <w:szCs w:val="44"/>
          <w:highlight w:val="none"/>
        </w:rPr>
      </w:pPr>
    </w:p>
    <w:p w14:paraId="431A45B6">
      <w:pPr>
        <w:pStyle w:val="2"/>
        <w:spacing w:before="93"/>
        <w:jc w:val="center"/>
        <w:rPr>
          <w:rFonts w:hint="eastAsia" w:ascii="Times New Roman" w:eastAsia="方正小标宋简体"/>
          <w:kern w:val="2"/>
          <w:sz w:val="44"/>
          <w:szCs w:val="44"/>
          <w:highlight w:val="none"/>
        </w:rPr>
      </w:pPr>
    </w:p>
    <w:p w14:paraId="282ED8B2">
      <w:pPr>
        <w:pStyle w:val="2"/>
        <w:spacing w:before="93"/>
        <w:jc w:val="center"/>
        <w:rPr>
          <w:rFonts w:ascii="Times New Roman" w:eastAsia="方正小标宋简体"/>
          <w:kern w:val="2"/>
          <w:sz w:val="44"/>
          <w:szCs w:val="44"/>
          <w:highlight w:val="none"/>
        </w:rPr>
      </w:pPr>
      <w:r>
        <w:rPr>
          <w:rFonts w:hint="eastAsia" w:ascii="Times New Roman" w:eastAsia="方正小标宋简体"/>
          <w:kern w:val="2"/>
          <w:sz w:val="44"/>
          <w:szCs w:val="44"/>
          <w:highlight w:val="none"/>
          <w:lang w:val="en-US" w:eastAsia="zh-CN"/>
        </w:rPr>
        <w:t>攀枝花市仁和区融媒体中心</w:t>
      </w:r>
      <w:r>
        <w:rPr>
          <w:rFonts w:hint="eastAsia" w:ascii="Times New Roman" w:eastAsia="方正小标宋简体"/>
          <w:kern w:val="2"/>
          <w:sz w:val="44"/>
          <w:szCs w:val="44"/>
          <w:highlight w:val="none"/>
        </w:rPr>
        <w:t>2025年度</w:t>
      </w:r>
      <w:r>
        <w:rPr>
          <w:rFonts w:hint="eastAsia" w:ascii="Times New Roman" w:eastAsia="方正小标宋简体"/>
          <w:kern w:val="2"/>
          <w:sz w:val="44"/>
          <w:szCs w:val="44"/>
          <w:highlight w:val="none"/>
          <w:lang w:val="en-US" w:eastAsia="zh-CN"/>
        </w:rPr>
        <w:t>部门</w:t>
      </w:r>
      <w:r>
        <w:rPr>
          <w:rFonts w:hint="eastAsia" w:ascii="Times New Roman" w:eastAsia="方正小标宋简体"/>
          <w:kern w:val="2"/>
          <w:sz w:val="44"/>
          <w:szCs w:val="44"/>
          <w:highlight w:val="none"/>
        </w:rPr>
        <w:t>决算公开</w:t>
      </w:r>
    </w:p>
    <w:p w14:paraId="087B6072">
      <w:pPr>
        <w:spacing w:line="600" w:lineRule="exact"/>
        <w:jc w:val="center"/>
        <w:outlineLvl w:val="0"/>
        <w:rPr>
          <w:rFonts w:eastAsia="方正小标宋简体"/>
          <w:sz w:val="72"/>
          <w:szCs w:val="72"/>
          <w:highlight w:val="none"/>
        </w:rPr>
      </w:pPr>
    </w:p>
    <w:p w14:paraId="168ED52D">
      <w:pPr>
        <w:pStyle w:val="21"/>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14:paraId="308CCD4F">
      <w:pPr>
        <w:widowControl/>
        <w:jc w:val="center"/>
        <w:rPr>
          <w:rFonts w:eastAsia="黑体"/>
          <w:sz w:val="48"/>
          <w:szCs w:val="48"/>
          <w:highlight w:val="none"/>
        </w:rPr>
      </w:pPr>
      <w:r>
        <w:rPr>
          <w:rFonts w:hint="eastAsia" w:eastAsia="黑体"/>
          <w:sz w:val="48"/>
          <w:szCs w:val="48"/>
          <w:highlight w:val="none"/>
        </w:rPr>
        <w:t>目录</w:t>
      </w:r>
    </w:p>
    <w:p w14:paraId="7A042A03">
      <w:pPr>
        <w:widowControl/>
        <w:jc w:val="center"/>
        <w:rPr>
          <w:rFonts w:eastAsia="黑体" w:cstheme="minorBidi"/>
          <w:sz w:val="28"/>
          <w:szCs w:val="28"/>
          <w:highlight w:val="none"/>
        </w:rPr>
      </w:pPr>
    </w:p>
    <w:p w14:paraId="089C6E4E">
      <w:pPr>
        <w:pStyle w:val="12"/>
        <w:rPr>
          <w:rFonts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公开时间：2026年</w:t>
      </w:r>
      <w:r>
        <w:rPr>
          <w:rFonts w:hint="eastAsia" w:ascii="Times New Roman" w:hAnsi="Times New Roman" w:eastAsia="仿宋_GB2312" w:cs="仿宋_GB2312"/>
          <w:sz w:val="32"/>
          <w:szCs w:val="32"/>
          <w:highlight w:val="none"/>
          <w:lang w:val="en-US" w:eastAsia="zh-CN"/>
        </w:rPr>
        <w:t>9</w:t>
      </w:r>
      <w:r>
        <w:rPr>
          <w:rFonts w:hint="eastAsia" w:ascii="Times New Roman" w:hAnsi="Times New Roman" w:eastAsia="仿宋_GB2312" w:cs="仿宋_GB2312"/>
          <w:sz w:val="32"/>
          <w:szCs w:val="32"/>
          <w:highlight w:val="none"/>
        </w:rPr>
        <w:t>月</w:t>
      </w:r>
      <w:r>
        <w:rPr>
          <w:rFonts w:hint="eastAsia" w:ascii="Times New Roman" w:hAnsi="Times New Roman" w:eastAsia="仿宋_GB2312" w:cs="仿宋_GB2312"/>
          <w:sz w:val="32"/>
          <w:szCs w:val="32"/>
          <w:highlight w:val="none"/>
          <w:lang w:val="en-US" w:eastAsia="zh-CN"/>
        </w:rPr>
        <w:t>17</w:t>
      </w:r>
      <w:r>
        <w:rPr>
          <w:rFonts w:hint="eastAsia" w:ascii="Times New Roman" w:hAnsi="Times New Roman" w:eastAsia="仿宋_GB2312" w:cs="仿宋_GB2312"/>
          <w:sz w:val="32"/>
          <w:szCs w:val="32"/>
          <w:highlight w:val="none"/>
        </w:rPr>
        <w:t>日</w:t>
      </w:r>
    </w:p>
    <w:p w14:paraId="6B9C9FC7">
      <w:pPr>
        <w:rPr>
          <w:highlight w:val="none"/>
        </w:rPr>
      </w:pPr>
    </w:p>
    <w:p w14:paraId="33109A1A">
      <w:pPr>
        <w:pStyle w:val="12"/>
        <w:adjustRightInd w:val="0"/>
        <w:snapToGrid w:val="0"/>
        <w:spacing w:before="0" w:line="560" w:lineRule="exact"/>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rPr>
        <w:t>第一部分 部门概况</w:t>
      </w:r>
      <w:r>
        <w:rPr>
          <w:rFonts w:hint="eastAsia" w:ascii="Times New Roman" w:hAnsi="Times New Roman" w:eastAsia="黑体" w:cs="黑体"/>
          <w:sz w:val="32"/>
          <w:szCs w:val="32"/>
          <w:highlight w:val="none"/>
          <w:lang w:val="en-US" w:eastAsia="zh-CN"/>
        </w:rPr>
        <w:t>...................................................................3</w:t>
      </w:r>
    </w:p>
    <w:p w14:paraId="7099F593">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一、部门职责</w:t>
      </w:r>
      <w:r>
        <w:rPr>
          <w:rFonts w:hint="eastAsia" w:eastAsia="仿宋_GB2312" w:cs="仿宋_GB2312"/>
          <w:sz w:val="32"/>
          <w:szCs w:val="32"/>
          <w:highlight w:val="none"/>
          <w:lang w:val="en-US" w:eastAsia="zh-CN"/>
        </w:rPr>
        <w:t>....................................................................3</w:t>
      </w:r>
    </w:p>
    <w:p w14:paraId="6188D06C">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二、机构设置</w:t>
      </w:r>
      <w:r>
        <w:rPr>
          <w:rFonts w:hint="eastAsia" w:eastAsia="仿宋_GB2312" w:cs="仿宋_GB2312"/>
          <w:sz w:val="32"/>
          <w:szCs w:val="32"/>
          <w:highlight w:val="none"/>
          <w:lang w:val="en-US" w:eastAsia="zh-CN"/>
        </w:rPr>
        <w:t>....................................................................4</w:t>
      </w:r>
    </w:p>
    <w:p w14:paraId="5408992D">
      <w:pPr>
        <w:pStyle w:val="12"/>
        <w:adjustRightInd w:val="0"/>
        <w:snapToGrid w:val="0"/>
        <w:spacing w:before="0" w:line="560" w:lineRule="exact"/>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rPr>
        <w:t>第二部分 2025年度部门决算情况说明</w:t>
      </w:r>
      <w:r>
        <w:rPr>
          <w:rFonts w:hint="eastAsia" w:ascii="Times New Roman" w:hAnsi="Times New Roman" w:eastAsia="黑体" w:cs="黑体"/>
          <w:sz w:val="32"/>
          <w:szCs w:val="32"/>
          <w:highlight w:val="none"/>
          <w:lang w:val="en-US" w:eastAsia="zh-CN"/>
        </w:rPr>
        <w:t>.................................4</w:t>
      </w:r>
    </w:p>
    <w:p w14:paraId="0BEDAA4A">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一、收入支出决算总体情况说明</w:t>
      </w:r>
      <w:r>
        <w:rPr>
          <w:rFonts w:hint="eastAsia" w:eastAsia="仿宋_GB2312" w:cs="仿宋_GB2312"/>
          <w:sz w:val="32"/>
          <w:szCs w:val="32"/>
          <w:highlight w:val="none"/>
          <w:lang w:val="en-US" w:eastAsia="zh-CN"/>
        </w:rPr>
        <w:t>.....................................4</w:t>
      </w:r>
    </w:p>
    <w:p w14:paraId="4D8B245D">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二、收入决算情况说明</w:t>
      </w:r>
      <w:r>
        <w:rPr>
          <w:rFonts w:hint="eastAsia" w:eastAsia="仿宋_GB2312" w:cs="仿宋_GB2312"/>
          <w:sz w:val="32"/>
          <w:szCs w:val="32"/>
          <w:highlight w:val="none"/>
          <w:lang w:val="en-US" w:eastAsia="zh-CN"/>
        </w:rPr>
        <w:t>.....................................................4</w:t>
      </w:r>
    </w:p>
    <w:p w14:paraId="50CCC427">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三、支出决算情况说明</w:t>
      </w:r>
      <w:r>
        <w:rPr>
          <w:rFonts w:hint="eastAsia" w:eastAsia="仿宋_GB2312" w:cs="仿宋_GB2312"/>
          <w:sz w:val="32"/>
          <w:szCs w:val="32"/>
          <w:highlight w:val="none"/>
          <w:lang w:val="en-US" w:eastAsia="zh-CN"/>
        </w:rPr>
        <w:t>.....................................................5</w:t>
      </w:r>
    </w:p>
    <w:p w14:paraId="77ACB733">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四、财政拨款收入支出决算总体情况说明</w:t>
      </w:r>
      <w:r>
        <w:rPr>
          <w:rFonts w:hint="eastAsia" w:eastAsia="仿宋_GB2312" w:cs="仿宋_GB2312"/>
          <w:sz w:val="32"/>
          <w:szCs w:val="32"/>
          <w:highlight w:val="none"/>
          <w:lang w:val="en-US" w:eastAsia="zh-CN"/>
        </w:rPr>
        <w:t>.....................6</w:t>
      </w:r>
    </w:p>
    <w:p w14:paraId="39A3FB8C">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五、一般公共预算财政拨款支出决算情况说明</w:t>
      </w:r>
      <w:r>
        <w:rPr>
          <w:rFonts w:hint="eastAsia" w:eastAsia="仿宋_GB2312" w:cs="仿宋_GB2312"/>
          <w:sz w:val="32"/>
          <w:szCs w:val="32"/>
          <w:highlight w:val="none"/>
          <w:lang w:val="en-US" w:eastAsia="zh-CN"/>
        </w:rPr>
        <w:t>.............6</w:t>
      </w:r>
    </w:p>
    <w:p w14:paraId="5F1691FF">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六、一般公共预算财政拨款基本支出决算情况说明</w:t>
      </w:r>
      <w:r>
        <w:rPr>
          <w:rFonts w:hint="eastAsia" w:eastAsia="仿宋_GB2312" w:cs="仿宋_GB2312"/>
          <w:sz w:val="32"/>
          <w:szCs w:val="32"/>
          <w:highlight w:val="none"/>
          <w:lang w:val="en-US" w:eastAsia="zh-CN"/>
        </w:rPr>
        <w:t>......9</w:t>
      </w:r>
    </w:p>
    <w:p w14:paraId="7506A8AE">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七、财政拨款“三公”经费支出决算情况说明</w:t>
      </w:r>
      <w:r>
        <w:rPr>
          <w:rFonts w:hint="eastAsia" w:eastAsia="仿宋_GB2312" w:cs="仿宋_GB2312"/>
          <w:sz w:val="32"/>
          <w:szCs w:val="32"/>
          <w:highlight w:val="none"/>
          <w:lang w:val="en-US" w:eastAsia="zh-CN"/>
        </w:rPr>
        <w:t>..............10</w:t>
      </w:r>
    </w:p>
    <w:p w14:paraId="56046A13">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八、政府性基金预算支出决算情况说明</w:t>
      </w:r>
      <w:r>
        <w:rPr>
          <w:rFonts w:hint="eastAsia" w:eastAsia="仿宋_GB2312" w:cs="仿宋_GB2312"/>
          <w:sz w:val="32"/>
          <w:szCs w:val="32"/>
          <w:highlight w:val="none"/>
          <w:lang w:val="en-US" w:eastAsia="zh-CN"/>
        </w:rPr>
        <w:t>.........................12</w:t>
      </w:r>
    </w:p>
    <w:p w14:paraId="3E4141AE">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九、国有资本经营预算支出决算情况说明</w:t>
      </w:r>
      <w:r>
        <w:rPr>
          <w:rFonts w:hint="eastAsia" w:eastAsia="仿宋_GB2312" w:cs="仿宋_GB2312"/>
          <w:sz w:val="32"/>
          <w:szCs w:val="32"/>
          <w:highlight w:val="none"/>
          <w:lang w:val="en-US" w:eastAsia="zh-CN"/>
        </w:rPr>
        <w:t>.....................12</w:t>
      </w:r>
    </w:p>
    <w:p w14:paraId="318EC701">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十、其他重要事项的情况说明</w:t>
      </w:r>
      <w:r>
        <w:rPr>
          <w:rFonts w:hint="eastAsia" w:eastAsia="仿宋_GB2312" w:cs="仿宋_GB2312"/>
          <w:sz w:val="32"/>
          <w:szCs w:val="32"/>
          <w:highlight w:val="none"/>
          <w:lang w:val="en-US" w:eastAsia="zh-CN"/>
        </w:rPr>
        <w:t>.........................................12</w:t>
      </w:r>
    </w:p>
    <w:p w14:paraId="7D3A836C">
      <w:pPr>
        <w:pStyle w:val="12"/>
        <w:adjustRightInd w:val="0"/>
        <w:snapToGrid w:val="0"/>
        <w:spacing w:before="0" w:line="560" w:lineRule="exact"/>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rPr>
        <w:t>第三部分 名词解释</w:t>
      </w:r>
      <w:r>
        <w:rPr>
          <w:rFonts w:hint="eastAsia" w:ascii="Times New Roman" w:hAnsi="Times New Roman" w:eastAsia="黑体" w:cs="黑体"/>
          <w:sz w:val="32"/>
          <w:szCs w:val="32"/>
          <w:highlight w:val="none"/>
          <w:lang w:val="en-US" w:eastAsia="zh-CN"/>
        </w:rPr>
        <w:t>.................................................................14</w:t>
      </w:r>
    </w:p>
    <w:p w14:paraId="424694BB">
      <w:pPr>
        <w:pStyle w:val="12"/>
        <w:adjustRightInd w:val="0"/>
        <w:snapToGrid w:val="0"/>
        <w:spacing w:before="0" w:line="560" w:lineRule="exact"/>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rPr>
        <w:t>第四部分 附件</w:t>
      </w:r>
      <w:r>
        <w:rPr>
          <w:rFonts w:hint="eastAsia" w:ascii="Times New Roman" w:hAnsi="Times New Roman" w:eastAsia="黑体" w:cs="黑体"/>
          <w:sz w:val="32"/>
          <w:szCs w:val="32"/>
          <w:highlight w:val="none"/>
          <w:lang w:val="en-US" w:eastAsia="zh-CN"/>
        </w:rPr>
        <w:t>.........................................................................18</w:t>
      </w:r>
    </w:p>
    <w:p w14:paraId="75CB11E6">
      <w:pPr>
        <w:pStyle w:val="12"/>
        <w:adjustRightInd w:val="0"/>
        <w:snapToGrid w:val="0"/>
        <w:spacing w:before="0" w:line="560" w:lineRule="exact"/>
        <w:jc w:val="left"/>
        <w:rPr>
          <w:rFonts w:hint="default" w:ascii="Times New Roman" w:hAnsi="Times New Roman" w:eastAsia="黑体" w:cs="黑体"/>
          <w:sz w:val="32"/>
          <w:szCs w:val="32"/>
          <w:highlight w:val="none"/>
          <w:lang w:val="en-US" w:eastAsia="zh-CN"/>
        </w:rPr>
      </w:pPr>
      <w:r>
        <w:rPr>
          <w:rFonts w:hint="eastAsia" w:ascii="Times New Roman" w:hAnsi="Times New Roman" w:eastAsia="黑体" w:cs="黑体"/>
          <w:sz w:val="32"/>
          <w:szCs w:val="32"/>
          <w:highlight w:val="none"/>
        </w:rPr>
        <w:t>第五部分 附表</w:t>
      </w:r>
      <w:r>
        <w:rPr>
          <w:rFonts w:hint="eastAsia" w:ascii="Times New Roman" w:hAnsi="Times New Roman" w:eastAsia="黑体" w:cs="黑体"/>
          <w:sz w:val="32"/>
          <w:szCs w:val="32"/>
          <w:highlight w:val="none"/>
          <w:lang w:val="en-US" w:eastAsia="zh-CN"/>
        </w:rPr>
        <w:t>.........................................................................54</w:t>
      </w:r>
    </w:p>
    <w:p w14:paraId="4440139C">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一、收入支出决算总表</w:t>
      </w:r>
      <w:r>
        <w:rPr>
          <w:rFonts w:hint="eastAsia" w:eastAsia="仿宋_GB2312" w:cs="仿宋_GB2312"/>
          <w:sz w:val="32"/>
          <w:szCs w:val="32"/>
          <w:highlight w:val="none"/>
          <w:lang w:val="en-US" w:eastAsia="zh-CN"/>
        </w:rPr>
        <w:t>....................................................54</w:t>
      </w:r>
    </w:p>
    <w:p w14:paraId="2E48B3EA">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二、收入决算表</w:t>
      </w:r>
      <w:r>
        <w:rPr>
          <w:rFonts w:hint="eastAsia" w:eastAsia="仿宋_GB2312" w:cs="仿宋_GB2312"/>
          <w:sz w:val="32"/>
          <w:szCs w:val="32"/>
          <w:highlight w:val="none"/>
          <w:lang w:val="en-US" w:eastAsia="zh-CN"/>
        </w:rPr>
        <w:t>................................................................54</w:t>
      </w:r>
    </w:p>
    <w:p w14:paraId="4BDB1444">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三、支出决算表</w:t>
      </w:r>
      <w:r>
        <w:rPr>
          <w:rFonts w:hint="eastAsia" w:eastAsia="仿宋_GB2312" w:cs="仿宋_GB2312"/>
          <w:sz w:val="32"/>
          <w:szCs w:val="32"/>
          <w:highlight w:val="none"/>
          <w:lang w:val="en-US" w:eastAsia="zh-CN"/>
        </w:rPr>
        <w:t>................................................................54</w:t>
      </w:r>
    </w:p>
    <w:p w14:paraId="6FF3D7F4">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四、财政拨款收入支出决算总表</w:t>
      </w:r>
      <w:r>
        <w:rPr>
          <w:rFonts w:hint="eastAsia" w:eastAsia="仿宋_GB2312" w:cs="仿宋_GB2312"/>
          <w:sz w:val="32"/>
          <w:szCs w:val="32"/>
          <w:highlight w:val="none"/>
          <w:lang w:val="en-US" w:eastAsia="zh-CN"/>
        </w:rPr>
        <w:t>...................................54</w:t>
      </w:r>
    </w:p>
    <w:p w14:paraId="77066824">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五、财政拨款支出决算明细表</w:t>
      </w:r>
      <w:r>
        <w:rPr>
          <w:rFonts w:hint="eastAsia" w:eastAsia="仿宋_GB2312" w:cs="仿宋_GB2312"/>
          <w:sz w:val="32"/>
          <w:szCs w:val="32"/>
          <w:highlight w:val="none"/>
          <w:lang w:val="en-US" w:eastAsia="zh-CN"/>
        </w:rPr>
        <w:t>........................................54</w:t>
      </w:r>
    </w:p>
    <w:p w14:paraId="6F7BF580">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六、一般公共预算财政拨款支出决算表</w:t>
      </w:r>
      <w:r>
        <w:rPr>
          <w:rFonts w:hint="eastAsia" w:eastAsia="仿宋_GB2312" w:cs="仿宋_GB2312"/>
          <w:sz w:val="32"/>
          <w:szCs w:val="32"/>
          <w:highlight w:val="none"/>
          <w:lang w:val="en-US" w:eastAsia="zh-CN"/>
        </w:rPr>
        <w:t>.........................54</w:t>
      </w:r>
    </w:p>
    <w:p w14:paraId="75B4959A">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七、一般公共预算财政拨款支出决算明细表</w:t>
      </w:r>
      <w:r>
        <w:rPr>
          <w:rFonts w:hint="eastAsia" w:eastAsia="仿宋_GB2312" w:cs="仿宋_GB2312"/>
          <w:sz w:val="32"/>
          <w:szCs w:val="32"/>
          <w:highlight w:val="none"/>
          <w:lang w:val="en-US" w:eastAsia="zh-CN"/>
        </w:rPr>
        <w:t>.................54</w:t>
      </w:r>
    </w:p>
    <w:p w14:paraId="5C4DC365">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八、一般公共预算财政拨款基本支出决算明细表</w:t>
      </w:r>
      <w:r>
        <w:rPr>
          <w:rFonts w:hint="eastAsia" w:eastAsia="仿宋_GB2312" w:cs="仿宋_GB2312"/>
          <w:sz w:val="32"/>
          <w:szCs w:val="32"/>
          <w:highlight w:val="none"/>
          <w:lang w:val="en-US" w:eastAsia="zh-CN"/>
        </w:rPr>
        <w:t>.........54</w:t>
      </w:r>
    </w:p>
    <w:p w14:paraId="2107A235">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九、一般公共预算财政拨款项目支出决算表</w:t>
      </w:r>
      <w:r>
        <w:rPr>
          <w:rFonts w:hint="eastAsia" w:eastAsia="仿宋_GB2312" w:cs="仿宋_GB2312"/>
          <w:sz w:val="32"/>
          <w:szCs w:val="32"/>
          <w:highlight w:val="none"/>
          <w:lang w:val="en-US" w:eastAsia="zh-CN"/>
        </w:rPr>
        <w:t>.................54</w:t>
      </w:r>
    </w:p>
    <w:p w14:paraId="09201C48">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十、政府性基金预算财政拨款收入支出决算表</w:t>
      </w:r>
      <w:r>
        <w:rPr>
          <w:rFonts w:hint="eastAsia" w:eastAsia="仿宋_GB2312" w:cs="仿宋_GB2312"/>
          <w:sz w:val="32"/>
          <w:szCs w:val="32"/>
          <w:highlight w:val="none"/>
          <w:lang w:val="en-US" w:eastAsia="zh-CN"/>
        </w:rPr>
        <w:t>.............54</w:t>
      </w:r>
    </w:p>
    <w:p w14:paraId="0E6948BB">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十一、国有资本经营预算财政拨款收入支出决算表</w:t>
      </w:r>
      <w:r>
        <w:rPr>
          <w:rFonts w:hint="eastAsia" w:eastAsia="仿宋_GB2312" w:cs="仿宋_GB2312"/>
          <w:sz w:val="32"/>
          <w:szCs w:val="32"/>
          <w:highlight w:val="none"/>
          <w:lang w:val="en-US" w:eastAsia="zh-CN"/>
        </w:rPr>
        <w:t>.....54</w:t>
      </w:r>
    </w:p>
    <w:p w14:paraId="0A80E52D">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十二、国有资本经营预算财政拨款支出决算表</w:t>
      </w:r>
      <w:r>
        <w:rPr>
          <w:rFonts w:hint="eastAsia" w:eastAsia="仿宋_GB2312" w:cs="仿宋_GB2312"/>
          <w:sz w:val="32"/>
          <w:szCs w:val="32"/>
          <w:highlight w:val="none"/>
          <w:lang w:val="en-US" w:eastAsia="zh-CN"/>
        </w:rPr>
        <w:t>.............54</w:t>
      </w:r>
    </w:p>
    <w:p w14:paraId="4B351093">
      <w:pPr>
        <w:pStyle w:val="15"/>
        <w:adjustRightInd w:val="0"/>
        <w:snapToGrid w:val="0"/>
        <w:spacing w:line="560" w:lineRule="exact"/>
        <w:ind w:left="0" w:leftChars="0" w:firstLine="640" w:firstLineChars="200"/>
        <w:jc w:val="left"/>
        <w:rPr>
          <w:rFonts w:hint="default" w:eastAsia="仿宋_GB2312" w:cs="仿宋_GB2312"/>
          <w:sz w:val="32"/>
          <w:szCs w:val="32"/>
          <w:highlight w:val="none"/>
          <w:lang w:val="en-US" w:eastAsia="zh-CN"/>
        </w:rPr>
      </w:pPr>
      <w:r>
        <w:rPr>
          <w:rFonts w:hint="eastAsia" w:eastAsia="仿宋_GB2312" w:cs="仿宋_GB2312"/>
          <w:sz w:val="32"/>
          <w:szCs w:val="32"/>
          <w:highlight w:val="none"/>
        </w:rPr>
        <w:t>十三、财政拨款“三公”经费支出决算表</w:t>
      </w:r>
      <w:r>
        <w:rPr>
          <w:rFonts w:hint="eastAsia" w:eastAsia="仿宋_GB2312" w:cs="仿宋_GB2312"/>
          <w:sz w:val="32"/>
          <w:szCs w:val="32"/>
          <w:highlight w:val="none"/>
          <w:lang w:val="en-US" w:eastAsia="zh-CN"/>
        </w:rPr>
        <w:t>.....................54</w:t>
      </w:r>
    </w:p>
    <w:p w14:paraId="36340697">
      <w:pPr>
        <w:pStyle w:val="15"/>
        <w:adjustRightInd w:val="0"/>
        <w:snapToGrid w:val="0"/>
        <w:spacing w:line="560" w:lineRule="exact"/>
        <w:ind w:left="0" w:leftChars="0" w:firstLine="643" w:firstLineChars="200"/>
        <w:jc w:val="left"/>
        <w:rPr>
          <w:rFonts w:eastAsia="仿宋_GB2312" w:cs="仿宋_GB2312"/>
          <w:b/>
          <w:bCs/>
          <w:sz w:val="32"/>
          <w:szCs w:val="32"/>
          <w:highlight w:val="none"/>
        </w:rPr>
      </w:pPr>
    </w:p>
    <w:p w14:paraId="7AC3F4C1">
      <w:pPr>
        <w:widowControl/>
        <w:spacing w:line="560" w:lineRule="exact"/>
        <w:jc w:val="left"/>
        <w:rPr>
          <w:rFonts w:eastAsia="仿宋_GB2312" w:cs="仿宋_GB2312"/>
          <w:bCs/>
          <w:kern w:val="44"/>
          <w:sz w:val="32"/>
          <w:szCs w:val="32"/>
          <w:highlight w:val="none"/>
        </w:rPr>
      </w:pPr>
      <w:bookmarkStart w:id="6" w:name="_Toc15396599"/>
      <w:bookmarkStart w:id="7" w:name="_Toc15377196"/>
      <w:r>
        <w:rPr>
          <w:rFonts w:hint="eastAsia" w:eastAsia="仿宋_GB2312" w:cs="仿宋_GB2312"/>
          <w:b/>
          <w:sz w:val="32"/>
          <w:szCs w:val="32"/>
          <w:highlight w:val="none"/>
        </w:rPr>
        <w:br w:type="page"/>
      </w:r>
    </w:p>
    <w:p w14:paraId="31AAB41F">
      <w:pPr>
        <w:pStyle w:val="4"/>
        <w:jc w:val="center"/>
        <w:rPr>
          <w:rStyle w:val="30"/>
          <w:rFonts w:eastAsia="方正小标宋简体" w:cs="方正小标宋简体"/>
          <w:b/>
          <w:bCs w:val="0"/>
          <w:highlight w:val="none"/>
        </w:rPr>
      </w:pPr>
      <w:r>
        <w:rPr>
          <w:rFonts w:hint="eastAsia" w:eastAsia="方正小标宋简体" w:cs="方正小标宋简体"/>
          <w:b w:val="0"/>
          <w:highlight w:val="none"/>
        </w:rPr>
        <w:t xml:space="preserve">第一部分  </w:t>
      </w:r>
      <w:r>
        <w:rPr>
          <w:rStyle w:val="30"/>
          <w:rFonts w:hint="eastAsia" w:eastAsia="方正小标宋简体" w:cs="方正小标宋简体"/>
          <w:b w:val="0"/>
          <w:bCs w:val="0"/>
          <w:highlight w:val="none"/>
        </w:rPr>
        <w:t>部门概况</w:t>
      </w:r>
      <w:bookmarkEnd w:id="6"/>
      <w:bookmarkEnd w:id="7"/>
    </w:p>
    <w:p w14:paraId="5C9A348F">
      <w:pPr>
        <w:pStyle w:val="5"/>
        <w:pageBreakBefore w:val="0"/>
        <w:kinsoku/>
        <w:wordWrap/>
        <w:overflowPunct/>
        <w:topLinePunct w:val="0"/>
        <w:autoSpaceDE/>
        <w:autoSpaceDN/>
        <w:bidi w:val="0"/>
        <w:adjustRightInd/>
        <w:snapToGrid/>
        <w:spacing w:line="560" w:lineRule="exact"/>
        <w:ind w:firstLine="640" w:firstLineChars="200"/>
        <w:textAlignment w:val="auto"/>
        <w:rPr>
          <w:rStyle w:val="31"/>
          <w:rFonts w:ascii="Times New Roman" w:hAnsi="Times New Roman" w:eastAsia="黑体"/>
          <w:b w:val="0"/>
          <w:bCs w:val="0"/>
          <w:highlight w:val="none"/>
        </w:rPr>
      </w:pPr>
      <w:bookmarkStart w:id="8" w:name="_Toc15377197"/>
      <w:bookmarkStart w:id="9" w:name="_Toc15396600"/>
      <w:r>
        <w:rPr>
          <w:rFonts w:hint="eastAsia" w:ascii="Times New Roman" w:hAnsi="Times New Roman" w:eastAsia="黑体"/>
          <w:b w:val="0"/>
          <w:highlight w:val="none"/>
        </w:rPr>
        <w:t>一、</w:t>
      </w:r>
      <w:bookmarkEnd w:id="8"/>
      <w:bookmarkEnd w:id="9"/>
      <w:r>
        <w:rPr>
          <w:rFonts w:hint="eastAsia" w:ascii="Times New Roman" w:hAnsi="Times New Roman" w:eastAsia="黑体"/>
          <w:b w:val="0"/>
          <w:highlight w:val="none"/>
        </w:rPr>
        <w:t>部门职责</w:t>
      </w:r>
    </w:p>
    <w:p w14:paraId="5EFF651A">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rPr>
      </w:pPr>
      <w:bookmarkStart w:id="10" w:name="_Toc15377200"/>
      <w:bookmarkStart w:id="11" w:name="_Toc15396601"/>
      <w:r>
        <w:rPr>
          <w:rFonts w:hint="eastAsia" w:ascii="仿宋_GB2312" w:hAnsi="Times New Roman" w:eastAsia="仿宋_GB2312" w:cs="仿宋_GB2312"/>
          <w:color w:val="auto"/>
          <w:kern w:val="2"/>
          <w:sz w:val="32"/>
          <w:szCs w:val="32"/>
          <w:highlight w:val="none"/>
          <w:lang w:val="en-US" w:eastAsia="zh-CN"/>
        </w:rPr>
        <w:t>1.</w:t>
      </w:r>
      <w:r>
        <w:rPr>
          <w:rFonts w:hint="eastAsia" w:ascii="仿宋_GB2312" w:hAnsi="Times New Roman" w:eastAsia="仿宋_GB2312" w:cs="仿宋_GB2312"/>
          <w:color w:val="auto"/>
          <w:kern w:val="2"/>
          <w:sz w:val="32"/>
          <w:szCs w:val="32"/>
          <w:highlight w:val="none"/>
          <w:lang w:val="zh-CN"/>
        </w:rPr>
        <w:t>负责贯彻执行党委、政府在新闻宣传、思想文化方面的路线、方针、政策；承办全区全媒体平台新闻宣传内容的采编及发布工作，组织全局性重大新闻宣传报道活动，为全区经济社会发展提供舆论支持，更好地引导群众、服务群众。</w:t>
      </w:r>
    </w:p>
    <w:p w14:paraId="3013B044">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2.</w:t>
      </w:r>
      <w:r>
        <w:rPr>
          <w:rFonts w:hint="eastAsia" w:ascii="仿宋_GB2312" w:hAnsi="Times New Roman" w:eastAsia="仿宋_GB2312" w:cs="仿宋_GB2312"/>
          <w:color w:val="auto"/>
          <w:kern w:val="2"/>
          <w:sz w:val="32"/>
          <w:szCs w:val="32"/>
          <w:highlight w:val="none"/>
          <w:lang w:val="zh-CN" w:eastAsia="zh-CN"/>
        </w:rPr>
        <w:t>负责全区网络舆情信息监测、研判、预警、报告工作；建立相关网络信息平台，防控化解网络舆情风险；对涉及仁和区的网络舆情进行跟踪、监控、通报、研究及处理；开展网络评论活动，做好网络舆论引导工作；受理网上舆论方面的投诉举报。</w:t>
      </w:r>
    </w:p>
    <w:p w14:paraId="5CC01AAC">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3.</w:t>
      </w:r>
      <w:r>
        <w:rPr>
          <w:rFonts w:hint="eastAsia" w:ascii="仿宋_GB2312" w:hAnsi="Times New Roman" w:eastAsia="仿宋_GB2312" w:cs="仿宋_GB2312"/>
          <w:color w:val="auto"/>
          <w:kern w:val="2"/>
          <w:sz w:val="32"/>
          <w:szCs w:val="32"/>
          <w:highlight w:val="none"/>
          <w:lang w:val="zh-CN" w:eastAsia="zh-CN"/>
        </w:rPr>
        <w:t>根据媒体深度融合发展改革要求，加快构建全媒体传播体系，推进内容生产供给侧结构性改革，提升技术支撑能力，促进全区媒体融合事业高质量发展。</w:t>
      </w:r>
    </w:p>
    <w:p w14:paraId="406D165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4.</w:t>
      </w:r>
      <w:r>
        <w:rPr>
          <w:rFonts w:hint="eastAsia" w:ascii="仿宋_GB2312" w:hAnsi="Times New Roman" w:eastAsia="仿宋_GB2312" w:cs="仿宋_GB2312"/>
          <w:color w:val="auto"/>
          <w:kern w:val="2"/>
          <w:sz w:val="32"/>
          <w:szCs w:val="32"/>
          <w:highlight w:val="none"/>
          <w:lang w:val="zh-CN" w:eastAsia="zh-CN"/>
        </w:rPr>
        <w:t>保障全区全媒体平台的安全刊播，加强安全防范；负责按要求完成中央、省、市各级媒体重要内容的转播、转发工作。</w:t>
      </w:r>
    </w:p>
    <w:p w14:paraId="3A9AFE77">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5.</w:t>
      </w:r>
      <w:r>
        <w:rPr>
          <w:rFonts w:hint="eastAsia" w:ascii="仿宋_GB2312" w:hAnsi="Times New Roman" w:eastAsia="仿宋_GB2312" w:cs="仿宋_GB2312"/>
          <w:color w:val="auto"/>
          <w:kern w:val="2"/>
          <w:sz w:val="32"/>
          <w:szCs w:val="32"/>
          <w:highlight w:val="none"/>
          <w:lang w:val="zh-CN" w:eastAsia="zh-CN"/>
        </w:rPr>
        <w:t>承办全区新闻业务通联工作，积极开展对外宣传交流合作，协助区委宣传部做好上级媒体和新闻单位来区采访及其他工作。</w:t>
      </w:r>
    </w:p>
    <w:p w14:paraId="4ADFAA3F">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6.</w:t>
      </w:r>
      <w:r>
        <w:rPr>
          <w:rFonts w:hint="eastAsia" w:ascii="仿宋_GB2312" w:hAnsi="Times New Roman" w:eastAsia="仿宋_GB2312" w:cs="仿宋_GB2312"/>
          <w:color w:val="auto"/>
          <w:kern w:val="2"/>
          <w:sz w:val="32"/>
          <w:szCs w:val="32"/>
          <w:highlight w:val="none"/>
          <w:lang w:val="zh-CN" w:eastAsia="zh-CN"/>
        </w:rPr>
        <w:t>承办全区全媒体相关资料档案的收集、归类、保存和开发利用等工作。</w:t>
      </w:r>
    </w:p>
    <w:p w14:paraId="4F002BF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Times New Roman" w:eastAsia="仿宋_GB2312" w:cs="仿宋_GB2312"/>
          <w:color w:val="auto"/>
          <w:kern w:val="2"/>
          <w:sz w:val="32"/>
          <w:szCs w:val="32"/>
          <w:highlight w:val="none"/>
          <w:lang w:val="zh-CN" w:eastAsia="zh-CN"/>
        </w:rPr>
      </w:pPr>
      <w:r>
        <w:rPr>
          <w:rFonts w:hint="eastAsia" w:ascii="仿宋_GB2312" w:hAnsi="Times New Roman" w:eastAsia="仿宋_GB2312" w:cs="仿宋_GB2312"/>
          <w:color w:val="auto"/>
          <w:kern w:val="2"/>
          <w:sz w:val="32"/>
          <w:szCs w:val="32"/>
          <w:highlight w:val="none"/>
          <w:lang w:val="en-US" w:eastAsia="zh-CN"/>
        </w:rPr>
        <w:t>7.</w:t>
      </w:r>
      <w:r>
        <w:rPr>
          <w:rFonts w:hint="eastAsia" w:ascii="仿宋_GB2312" w:hAnsi="Times New Roman" w:eastAsia="仿宋_GB2312" w:cs="仿宋_GB2312"/>
          <w:color w:val="auto"/>
          <w:kern w:val="2"/>
          <w:sz w:val="32"/>
          <w:szCs w:val="32"/>
          <w:highlight w:val="none"/>
          <w:lang w:val="zh-CN" w:eastAsia="zh-CN"/>
        </w:rPr>
        <w:t>完成区委、区政府及区委宣传部交办的其他任务。</w:t>
      </w:r>
    </w:p>
    <w:p w14:paraId="28CA9BB2">
      <w:pPr>
        <w:pStyle w:val="5"/>
        <w:ind w:firstLine="640" w:firstLineChars="200"/>
        <w:rPr>
          <w:rStyle w:val="31"/>
          <w:rFonts w:ascii="Times New Roman" w:hAnsi="Times New Roman"/>
          <w:b w:val="0"/>
          <w:bCs w:val="0"/>
          <w:highlight w:val="none"/>
        </w:rPr>
      </w:pPr>
      <w:r>
        <w:rPr>
          <w:rFonts w:hint="eastAsia" w:ascii="Times New Roman" w:hAnsi="Times New Roman" w:eastAsia="黑体"/>
          <w:b w:val="0"/>
          <w:highlight w:val="none"/>
        </w:rPr>
        <w:t>二、机</w:t>
      </w:r>
      <w:r>
        <w:rPr>
          <w:rStyle w:val="31"/>
          <w:rFonts w:hint="eastAsia" w:ascii="Times New Roman" w:hAnsi="Times New Roman" w:eastAsia="黑体"/>
          <w:b w:val="0"/>
          <w:bCs w:val="0"/>
          <w:highlight w:val="none"/>
        </w:rPr>
        <w:t>构设置</w:t>
      </w:r>
      <w:bookmarkEnd w:id="10"/>
      <w:bookmarkEnd w:id="11"/>
    </w:p>
    <w:p w14:paraId="7D256B55">
      <w:pPr>
        <w:ind w:firstLine="800" w:firstLineChars="250"/>
        <w:rPr>
          <w:rFonts w:hint="default" w:ascii="仿宋" w:hAnsi="仿宋" w:eastAsia="仿宋"/>
          <w:color w:val="auto"/>
          <w:sz w:val="32"/>
          <w:szCs w:val="32"/>
          <w:highlight w:val="none"/>
          <w:lang w:val="en-US" w:eastAsia="zh-CN"/>
        </w:rPr>
      </w:pPr>
      <w:r>
        <w:rPr>
          <w:rFonts w:hint="eastAsia" w:ascii="仿宋_GB2312" w:hAnsi="Cambria" w:eastAsia="仿宋_GB2312" w:cs="仿宋_GB2312"/>
          <w:color w:val="auto"/>
          <w:kern w:val="2"/>
          <w:sz w:val="32"/>
          <w:szCs w:val="32"/>
          <w:highlight w:val="none"/>
          <w:lang w:val="zh-CN"/>
        </w:rPr>
        <w:t>攀枝花市仁和区融媒体中心</w:t>
      </w:r>
      <w:r>
        <w:rPr>
          <w:rFonts w:hint="eastAsia" w:ascii="仿宋" w:hAnsi="仿宋" w:eastAsia="仿宋"/>
          <w:color w:val="auto"/>
          <w:sz w:val="32"/>
          <w:szCs w:val="32"/>
          <w:highlight w:val="none"/>
        </w:rPr>
        <w:t>属于一级预算单位，无下级核算单位。</w:t>
      </w:r>
      <w:r>
        <w:rPr>
          <w:rFonts w:hint="eastAsia" w:ascii="仿宋" w:hAnsi="仿宋" w:eastAsia="仿宋"/>
          <w:color w:val="auto"/>
          <w:sz w:val="32"/>
          <w:szCs w:val="32"/>
          <w:highlight w:val="none"/>
          <w:lang w:val="en-US" w:eastAsia="zh-CN"/>
        </w:rPr>
        <w:t>全年无变化。</w:t>
      </w:r>
    </w:p>
    <w:p w14:paraId="0B5200FF">
      <w:pPr>
        <w:pStyle w:val="4"/>
        <w:jc w:val="center"/>
        <w:rPr>
          <w:rFonts w:eastAsia="方正小标宋简体" w:cs="方正小标宋简体"/>
          <w:b w:val="0"/>
          <w:highlight w:val="none"/>
        </w:rPr>
      </w:pPr>
      <w:bookmarkStart w:id="12" w:name="_Toc15377204"/>
      <w:bookmarkStart w:id="13" w:name="_Toc15396602"/>
      <w:r>
        <w:rPr>
          <w:rFonts w:hint="eastAsia" w:eastAsia="方正小标宋简体" w:cs="方正小标宋简体"/>
          <w:b w:val="0"/>
          <w:highlight w:val="none"/>
        </w:rPr>
        <w:t>第二部分  2025年度部门决算情况说明</w:t>
      </w:r>
      <w:bookmarkEnd w:id="12"/>
      <w:bookmarkEnd w:id="13"/>
    </w:p>
    <w:p w14:paraId="3153101C">
      <w:pPr>
        <w:rPr>
          <w:highlight w:val="none"/>
        </w:rPr>
      </w:pPr>
    </w:p>
    <w:p w14:paraId="62942BEB">
      <w:pPr>
        <w:pStyle w:val="29"/>
        <w:spacing w:line="600" w:lineRule="exact"/>
        <w:ind w:firstLine="640"/>
        <w:outlineLvl w:val="1"/>
        <w:rPr>
          <w:rStyle w:val="31"/>
          <w:rFonts w:ascii="Times New Roman" w:hAnsi="Times New Roman" w:eastAsia="黑体"/>
          <w:b w:val="0"/>
          <w:highlight w:val="none"/>
        </w:rPr>
      </w:pPr>
      <w:bookmarkStart w:id="14" w:name="_Toc15396603"/>
      <w:bookmarkStart w:id="15" w:name="_Toc15377205"/>
      <w:r>
        <w:rPr>
          <w:rFonts w:hint="eastAsia" w:eastAsia="黑体"/>
          <w:sz w:val="32"/>
          <w:szCs w:val="32"/>
          <w:highlight w:val="none"/>
        </w:rPr>
        <w:t>一、收</w:t>
      </w:r>
      <w:r>
        <w:rPr>
          <w:rStyle w:val="31"/>
          <w:rFonts w:hint="eastAsia" w:ascii="Times New Roman" w:hAnsi="Times New Roman" w:eastAsia="黑体"/>
          <w:b w:val="0"/>
          <w:highlight w:val="none"/>
        </w:rPr>
        <w:t>入支出决算总体情况说明</w:t>
      </w:r>
      <w:bookmarkEnd w:id="14"/>
      <w:bookmarkEnd w:id="15"/>
    </w:p>
    <w:p w14:paraId="7AADD1C3">
      <w:pPr>
        <w:pStyle w:val="29"/>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2025年度收入、支出总计均为</w:t>
      </w:r>
      <w:r>
        <w:rPr>
          <w:rFonts w:hint="eastAsia" w:ascii="仿宋_GB2312" w:hAnsi="仿宋_GB2312" w:eastAsia="仿宋_GB2312" w:cs="仿宋_GB2312"/>
          <w:sz w:val="32"/>
          <w:szCs w:val="32"/>
          <w:highlight w:val="none"/>
        </w:rPr>
        <w:t>499.34</w:t>
      </w:r>
      <w:r>
        <w:rPr>
          <w:rFonts w:hint="eastAsia" w:eastAsia="仿宋_GB2312" w:cs="仿宋_GB2312"/>
          <w:sz w:val="32"/>
          <w:szCs w:val="32"/>
          <w:highlight w:val="none"/>
        </w:rPr>
        <w:t>万元。与上年度相比，收入、支出总计各减少33.38万元，下降6.3%。主要变动原因是</w:t>
      </w:r>
      <w:r>
        <w:rPr>
          <w:rFonts w:eastAsia="仿宋_GB2312" w:cs="仿宋_GB2312"/>
          <w:sz w:val="32"/>
          <w:szCs w:val="32"/>
          <w:highlight w:val="none"/>
        </w:rPr>
        <w:t>本年度项目支出减少</w:t>
      </w:r>
      <w:r>
        <w:rPr>
          <w:rFonts w:hint="eastAsia" w:eastAsia="仿宋_GB2312" w:cs="仿宋_GB2312"/>
          <w:sz w:val="32"/>
          <w:szCs w:val="32"/>
          <w:highlight w:val="none"/>
        </w:rPr>
        <w:t>。</w:t>
      </w:r>
    </w:p>
    <w:p w14:paraId="111E2CF2">
      <w:pPr>
        <w:pStyle w:val="29"/>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（图1：收入、支出决算总计变动情况图）（柱状图）</w:t>
      </w:r>
    </w:p>
    <w:p w14:paraId="09B95916">
      <w:pPr>
        <w:ind w:firstLine="640" w:firstLineChars="200"/>
        <w:rPr>
          <w:rFonts w:eastAsia="仿宋_GB2312" w:cs="仿宋_GB2312"/>
          <w:sz w:val="32"/>
          <w:szCs w:val="32"/>
          <w:highlight w:val="none"/>
        </w:rPr>
      </w:pPr>
      <w:r>
        <w:rPr>
          <w:rFonts w:eastAsia="仿宋_GB2312" w:cs="仿宋_GB2312"/>
          <w:sz w:val="32"/>
          <w:szCs w:val="32"/>
          <w:highlight w:val="none"/>
        </w:rPr>
        <w:drawing>
          <wp:inline distT="0" distB="0" distL="0" distR="0">
            <wp:extent cx="4743450" cy="2581275"/>
            <wp:effectExtent l="4445" t="4445" r="698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FBC8E2">
      <w:pPr>
        <w:pStyle w:val="29"/>
        <w:spacing w:line="600" w:lineRule="exact"/>
        <w:ind w:firstLine="640"/>
        <w:outlineLvl w:val="1"/>
        <w:rPr>
          <w:rFonts w:eastAsia="黑体"/>
          <w:sz w:val="32"/>
          <w:szCs w:val="32"/>
          <w:highlight w:val="none"/>
        </w:rPr>
      </w:pPr>
      <w:bookmarkStart w:id="16" w:name="_Toc15377206"/>
      <w:bookmarkStart w:id="17" w:name="_Toc15396604"/>
      <w:r>
        <w:rPr>
          <w:rFonts w:hint="eastAsia" w:eastAsia="黑体"/>
          <w:sz w:val="32"/>
          <w:szCs w:val="32"/>
          <w:highlight w:val="none"/>
        </w:rPr>
        <w:t>二、收入决算情况说明</w:t>
      </w:r>
      <w:bookmarkEnd w:id="16"/>
      <w:bookmarkEnd w:id="17"/>
    </w:p>
    <w:p w14:paraId="0BAF6941">
      <w:pPr>
        <w:pStyle w:val="29"/>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2025年度本年收入合计</w:t>
      </w:r>
      <w:r>
        <w:rPr>
          <w:rFonts w:hint="eastAsia" w:ascii="仿宋_GB2312" w:hAnsi="仿宋_GB2312" w:eastAsia="仿宋_GB2312" w:cs="仿宋_GB2312"/>
          <w:sz w:val="32"/>
          <w:szCs w:val="32"/>
          <w:highlight w:val="none"/>
        </w:rPr>
        <w:t>499.34</w:t>
      </w:r>
      <w:r>
        <w:rPr>
          <w:rFonts w:hint="eastAsia"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rPr>
        <w:t>490.57</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98.24</w:t>
      </w:r>
      <w:r>
        <w:rPr>
          <w:rFonts w:hint="eastAsia" w:eastAsia="仿宋_GB2312" w:cs="仿宋_GB2312"/>
          <w:sz w:val="32"/>
          <w:szCs w:val="32"/>
          <w:highlight w:val="none"/>
        </w:rPr>
        <w:t>%；政府性基金预算财政拨款收入</w:t>
      </w:r>
      <w:r>
        <w:rPr>
          <w:rFonts w:hint="eastAsia" w:ascii="仿宋_GB2312" w:hAnsi="仿宋_GB2312" w:eastAsia="仿宋_GB2312" w:cs="仿宋_GB2312"/>
          <w:sz w:val="32"/>
          <w:szCs w:val="32"/>
          <w:highlight w:val="none"/>
        </w:rPr>
        <w:t>8.78</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1.75</w:t>
      </w:r>
      <w:r>
        <w:rPr>
          <w:rFonts w:hint="eastAsia" w:eastAsia="仿宋_GB2312" w:cs="仿宋_GB2312"/>
          <w:sz w:val="32"/>
          <w:szCs w:val="32"/>
          <w:highlight w:val="none"/>
        </w:rPr>
        <w:t>%；国有资本经营预算财政拨款收入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%；上级补助收入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%；事业收入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%；附属单位上缴收入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%；其他收入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6BA5D0AE">
      <w:pPr>
        <w:pStyle w:val="29"/>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（图2：收入决算结构图）（饼状图）</w:t>
      </w:r>
    </w:p>
    <w:p w14:paraId="728844C1">
      <w:pPr>
        <w:ind w:firstLine="800" w:firstLineChars="250"/>
        <w:rPr>
          <w:rFonts w:eastAsia="仿宋_GB2312" w:cs="仿宋_GB2312"/>
          <w:sz w:val="32"/>
          <w:szCs w:val="32"/>
          <w:highlight w:val="none"/>
        </w:rPr>
      </w:pPr>
      <w:r>
        <w:rPr>
          <w:rFonts w:eastAsia="仿宋_GB2312" w:cs="仿宋_GB2312"/>
          <w:sz w:val="32"/>
          <w:szCs w:val="32"/>
          <w:highlight w:val="none"/>
        </w:rPr>
        <w:drawing>
          <wp:inline distT="0" distB="0" distL="0" distR="0">
            <wp:extent cx="4581525" cy="2400300"/>
            <wp:effectExtent l="4445" t="4445" r="16510" b="1841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4C06FA">
      <w:pPr>
        <w:pStyle w:val="29"/>
        <w:spacing w:line="600" w:lineRule="exact"/>
        <w:ind w:firstLine="640"/>
        <w:outlineLvl w:val="1"/>
        <w:rPr>
          <w:rStyle w:val="31"/>
          <w:rFonts w:ascii="Times New Roman" w:hAnsi="Times New Roman" w:eastAsia="黑体"/>
          <w:b w:val="0"/>
          <w:highlight w:val="none"/>
        </w:rPr>
      </w:pPr>
      <w:bookmarkStart w:id="18" w:name="_Toc15396605"/>
      <w:bookmarkStart w:id="19" w:name="_Toc15377207"/>
      <w:r>
        <w:rPr>
          <w:rFonts w:hint="eastAsia" w:eastAsia="黑体"/>
          <w:sz w:val="32"/>
          <w:szCs w:val="32"/>
          <w:highlight w:val="none"/>
        </w:rPr>
        <w:t>三、支</w:t>
      </w:r>
      <w:r>
        <w:rPr>
          <w:rStyle w:val="31"/>
          <w:rFonts w:hint="eastAsia" w:ascii="Times New Roman" w:hAnsi="Times New Roman" w:eastAsia="黑体"/>
          <w:b w:val="0"/>
          <w:highlight w:val="none"/>
        </w:rPr>
        <w:t>出决算情况说明</w:t>
      </w:r>
      <w:bookmarkEnd w:id="18"/>
      <w:bookmarkEnd w:id="19"/>
    </w:p>
    <w:p w14:paraId="637D74E8">
      <w:pPr>
        <w:pStyle w:val="29"/>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2025年度本年支出合计</w:t>
      </w:r>
      <w:r>
        <w:rPr>
          <w:rFonts w:hint="eastAsia" w:ascii="仿宋_GB2312" w:hAnsi="仿宋_GB2312" w:eastAsia="仿宋_GB2312" w:cs="仿宋_GB2312"/>
          <w:sz w:val="32"/>
          <w:szCs w:val="32"/>
          <w:highlight w:val="none"/>
        </w:rPr>
        <w:t>499.34</w:t>
      </w:r>
      <w:r>
        <w:rPr>
          <w:rFonts w:hint="eastAsia" w:eastAsia="仿宋_GB2312" w:cs="仿宋_GB2312"/>
          <w:sz w:val="32"/>
          <w:szCs w:val="32"/>
          <w:highlight w:val="none"/>
        </w:rPr>
        <w:t>万元，其中：基本支出</w:t>
      </w:r>
      <w:r>
        <w:rPr>
          <w:rFonts w:hint="eastAsia" w:ascii="仿宋_GB2312" w:hAnsi="仿宋_GB2312" w:eastAsia="仿宋_GB2312" w:cs="仿宋_GB2312"/>
          <w:sz w:val="32"/>
          <w:szCs w:val="32"/>
          <w:highlight w:val="none"/>
        </w:rPr>
        <w:t>351.11</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70.31</w:t>
      </w:r>
      <w:r>
        <w:rPr>
          <w:rFonts w:hint="eastAsia" w:eastAsia="仿宋_GB2312" w:cs="仿宋_GB2312"/>
          <w:sz w:val="32"/>
          <w:szCs w:val="32"/>
          <w:highlight w:val="none"/>
        </w:rPr>
        <w:t>%；项目支出</w:t>
      </w:r>
      <w:r>
        <w:rPr>
          <w:rFonts w:hint="eastAsia" w:ascii="仿宋_GB2312" w:hAnsi="仿宋_GB2312" w:eastAsia="仿宋_GB2312" w:cs="仿宋_GB2312"/>
          <w:sz w:val="32"/>
          <w:szCs w:val="32"/>
          <w:highlight w:val="none"/>
        </w:rPr>
        <w:t>148.23</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29.68</w:t>
      </w:r>
      <w:r>
        <w:rPr>
          <w:rFonts w:hint="eastAsia" w:eastAsia="仿宋_GB2312" w:cs="仿宋_GB2312"/>
          <w:sz w:val="32"/>
          <w:szCs w:val="32"/>
          <w:highlight w:val="none"/>
        </w:rPr>
        <w:t>%；上缴上级支出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%；对附属单位补助支出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603E2039">
      <w:pPr>
        <w:pStyle w:val="29"/>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（图3：支出决算结构图）（饼状图）</w:t>
      </w:r>
    </w:p>
    <w:p w14:paraId="414F5A2A">
      <w:pPr>
        <w:ind w:firstLine="800" w:firstLineChars="250"/>
        <w:rPr>
          <w:rFonts w:eastAsia="仿宋_GB2312" w:cs="仿宋_GB2312"/>
          <w:sz w:val="32"/>
          <w:szCs w:val="32"/>
          <w:highlight w:val="none"/>
        </w:rPr>
      </w:pPr>
    </w:p>
    <w:p w14:paraId="26AEBE0D">
      <w:pPr>
        <w:pStyle w:val="13"/>
        <w:rPr>
          <w:highlight w:val="none"/>
        </w:rPr>
      </w:pPr>
      <w:r>
        <w:rPr>
          <w:highlight w:val="none"/>
        </w:rPr>
        <w:drawing>
          <wp:inline distT="0" distB="0" distL="0" distR="0">
            <wp:extent cx="4505325" cy="2124075"/>
            <wp:effectExtent l="4445" t="4445" r="16510" b="508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9CB20E">
      <w:pPr>
        <w:spacing w:line="600" w:lineRule="exact"/>
        <w:ind w:firstLine="640" w:firstLineChars="200"/>
        <w:outlineLvl w:val="1"/>
        <w:rPr>
          <w:rStyle w:val="31"/>
          <w:rFonts w:ascii="Times New Roman" w:hAnsi="Times New Roman" w:eastAsia="黑体"/>
          <w:b w:val="0"/>
          <w:highlight w:val="none"/>
        </w:rPr>
      </w:pPr>
      <w:bookmarkStart w:id="20" w:name="_Toc15377208"/>
      <w:bookmarkStart w:id="21" w:name="_Toc15396606"/>
      <w:r>
        <w:rPr>
          <w:rFonts w:hint="eastAsia" w:eastAsia="黑体"/>
          <w:sz w:val="32"/>
          <w:szCs w:val="32"/>
          <w:highlight w:val="none"/>
        </w:rPr>
        <w:t>四、财</w:t>
      </w:r>
      <w:r>
        <w:rPr>
          <w:rStyle w:val="31"/>
          <w:rFonts w:hint="eastAsia" w:ascii="Times New Roman" w:hAnsi="Times New Roman" w:eastAsia="黑体"/>
          <w:b w:val="0"/>
          <w:highlight w:val="none"/>
        </w:rPr>
        <w:t>政拨款收入支出决算总体情况说明</w:t>
      </w:r>
      <w:bookmarkEnd w:id="20"/>
      <w:bookmarkEnd w:id="21"/>
    </w:p>
    <w:p w14:paraId="745CA3B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2025年度财政拨款收入、支出总计均为</w:t>
      </w:r>
      <w:r>
        <w:rPr>
          <w:rFonts w:hint="eastAsia" w:ascii="仿宋_GB2312" w:hAnsi="仿宋_GB2312" w:eastAsia="仿宋_GB2312" w:cs="仿宋_GB2312"/>
          <w:sz w:val="32"/>
          <w:szCs w:val="32"/>
          <w:highlight w:val="none"/>
        </w:rPr>
        <w:t>499.34</w:t>
      </w:r>
      <w:r>
        <w:rPr>
          <w:rFonts w:hint="eastAsia" w:eastAsia="仿宋_GB2312" w:cs="仿宋_GB2312"/>
          <w:sz w:val="32"/>
          <w:szCs w:val="32"/>
          <w:highlight w:val="none"/>
        </w:rPr>
        <w:t>万元。与上年度相比，财政拨款收入、支出总计各减少33.38万元，下降6.3%。主要变动原因是</w:t>
      </w:r>
      <w:r>
        <w:rPr>
          <w:rFonts w:eastAsia="仿宋_GB2312" w:cs="仿宋_GB2312"/>
          <w:sz w:val="32"/>
          <w:szCs w:val="32"/>
          <w:highlight w:val="none"/>
        </w:rPr>
        <w:t>本年度项目支出减少</w:t>
      </w:r>
      <w:r>
        <w:rPr>
          <w:rFonts w:hint="eastAsia" w:eastAsia="仿宋_GB2312" w:cs="仿宋_GB2312"/>
          <w:sz w:val="32"/>
          <w:szCs w:val="32"/>
          <w:highlight w:val="none"/>
        </w:rPr>
        <w:t>。</w:t>
      </w:r>
    </w:p>
    <w:p w14:paraId="5B3110DF">
      <w:pPr>
        <w:spacing w:line="600" w:lineRule="exact"/>
        <w:ind w:firstLine="640" w:firstLineChars="200"/>
        <w:rPr>
          <w:rFonts w:eastAsia="仿宋_GB2312" w:cs="仿宋_GB2312"/>
          <w:sz w:val="32"/>
          <w:szCs w:val="32"/>
          <w:highlight w:val="none"/>
        </w:rPr>
      </w:pPr>
      <w:r>
        <w:rPr>
          <w:rFonts w:hint="eastAsia" w:eastAsia="仿宋_GB2312" w:cs="仿宋_GB2312"/>
          <w:sz w:val="32"/>
          <w:szCs w:val="32"/>
          <w:highlight w:val="none"/>
        </w:rPr>
        <w:t>（图4：财政拨款收、支决算总计变动情况）（柱状图）</w:t>
      </w:r>
    </w:p>
    <w:p w14:paraId="171A8476">
      <w:pPr>
        <w:spacing w:line="600" w:lineRule="exact"/>
        <w:ind w:firstLine="640"/>
        <w:rPr>
          <w:rFonts w:eastAsia="仿宋_GB2312" w:cs="仿宋_GB2312"/>
          <w:sz w:val="32"/>
          <w:szCs w:val="32"/>
          <w:highlight w:val="none"/>
        </w:rPr>
      </w:pPr>
    </w:p>
    <w:p w14:paraId="0C0016FC">
      <w:pPr>
        <w:pStyle w:val="13"/>
        <w:rPr>
          <w:highlight w:val="none"/>
        </w:rPr>
      </w:pPr>
      <w:r>
        <w:rPr>
          <w:highlight w:val="none"/>
        </w:rPr>
        <w:drawing>
          <wp:inline distT="0" distB="0" distL="0" distR="0">
            <wp:extent cx="5038725" cy="2371725"/>
            <wp:effectExtent l="4445" t="4445" r="16510" b="1651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57D6FE1">
      <w:pPr>
        <w:spacing w:line="600" w:lineRule="exact"/>
        <w:ind w:firstLine="640" w:firstLineChars="200"/>
        <w:outlineLvl w:val="1"/>
        <w:rPr>
          <w:rStyle w:val="31"/>
          <w:rFonts w:ascii="Times New Roman" w:hAnsi="Times New Roman" w:eastAsia="黑体"/>
          <w:b w:val="0"/>
          <w:highlight w:val="none"/>
        </w:rPr>
      </w:pPr>
      <w:bookmarkStart w:id="22" w:name="_Toc15377209"/>
      <w:bookmarkStart w:id="23" w:name="_Toc15396607"/>
      <w:r>
        <w:rPr>
          <w:rFonts w:hint="eastAsia" w:eastAsia="黑体"/>
          <w:sz w:val="32"/>
          <w:szCs w:val="32"/>
          <w:highlight w:val="none"/>
        </w:rPr>
        <w:t>五、</w:t>
      </w:r>
      <w:r>
        <w:rPr>
          <w:rFonts w:hint="eastAsia" w:eastAsia="黑体"/>
          <w:b/>
          <w:sz w:val="32"/>
          <w:szCs w:val="32"/>
          <w:highlight w:val="none"/>
        </w:rPr>
        <w:t>一</w:t>
      </w:r>
      <w:r>
        <w:rPr>
          <w:rStyle w:val="31"/>
          <w:rFonts w:hint="eastAsia" w:ascii="Times New Roman" w:hAnsi="Times New Roman" w:eastAsia="黑体"/>
          <w:b w:val="0"/>
          <w:highlight w:val="none"/>
        </w:rPr>
        <w:t>般公共预算财政拨款支出决算情况说明</w:t>
      </w:r>
      <w:bookmarkEnd w:id="22"/>
      <w:bookmarkEnd w:id="23"/>
    </w:p>
    <w:p w14:paraId="0CB1BC9C">
      <w:pPr>
        <w:spacing w:line="600" w:lineRule="exact"/>
        <w:ind w:firstLine="643" w:firstLineChars="200"/>
        <w:outlineLvl w:val="2"/>
        <w:rPr>
          <w:rFonts w:eastAsia="楷体_GB2312" w:cs="楷体_GB2312"/>
          <w:b/>
          <w:sz w:val="32"/>
          <w:szCs w:val="32"/>
          <w:highlight w:val="none"/>
        </w:rPr>
      </w:pPr>
      <w:bookmarkStart w:id="24" w:name="_Toc15377210"/>
      <w:r>
        <w:rPr>
          <w:rFonts w:hint="eastAsia" w:eastAsia="楷体_GB2312" w:cs="楷体_GB2312"/>
          <w:b/>
          <w:sz w:val="32"/>
          <w:szCs w:val="32"/>
          <w:highlight w:val="none"/>
        </w:rPr>
        <w:t>（一）一般公共预算财政拨款支出决算总体情况</w:t>
      </w:r>
      <w:bookmarkEnd w:id="24"/>
    </w:p>
    <w:p w14:paraId="14E3154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490.57</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98.24</w:t>
      </w:r>
      <w:r>
        <w:rPr>
          <w:rFonts w:hint="eastAsia" w:eastAsia="仿宋_GB2312" w:cs="仿宋_GB2312"/>
          <w:sz w:val="32"/>
          <w:szCs w:val="32"/>
          <w:highlight w:val="none"/>
        </w:rPr>
        <w:t>%。与上年度相比，一般公共预算财政拨款支出减少42.15万元，下降7.9%。主要变动原因是本年度项目支出减少。</w:t>
      </w:r>
    </w:p>
    <w:p w14:paraId="53C5D68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（图5：一般公共预算财政拨款支出决算变动情况）（柱状图）</w:t>
      </w:r>
    </w:p>
    <w:p w14:paraId="3D2205D7">
      <w:pPr>
        <w:spacing w:line="600" w:lineRule="exact"/>
        <w:ind w:firstLine="640"/>
        <w:rPr>
          <w:rFonts w:eastAsia="仿宋_GB2312" w:cs="仿宋_GB2312"/>
          <w:sz w:val="32"/>
          <w:szCs w:val="32"/>
          <w:highlight w:val="none"/>
        </w:rPr>
      </w:pPr>
    </w:p>
    <w:p w14:paraId="3C096EE0">
      <w:pPr>
        <w:pStyle w:val="13"/>
        <w:rPr>
          <w:highlight w:val="none"/>
        </w:rPr>
      </w:pPr>
      <w:r>
        <w:rPr>
          <w:highlight w:val="none"/>
        </w:rPr>
        <w:drawing>
          <wp:inline distT="0" distB="0" distL="0" distR="0">
            <wp:extent cx="4200525" cy="2362200"/>
            <wp:effectExtent l="4445" t="4445" r="16510" b="1079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64753D">
      <w:pPr>
        <w:spacing w:line="600" w:lineRule="exact"/>
        <w:ind w:firstLine="643" w:firstLineChars="200"/>
        <w:outlineLvl w:val="2"/>
        <w:rPr>
          <w:rFonts w:eastAsia="楷体_GB2312" w:cs="楷体_GB2312"/>
          <w:b/>
          <w:sz w:val="32"/>
          <w:szCs w:val="32"/>
          <w:highlight w:val="none"/>
        </w:rPr>
      </w:pPr>
      <w:bookmarkStart w:id="25" w:name="_Toc15377211"/>
      <w:r>
        <w:rPr>
          <w:rFonts w:hint="eastAsia" w:eastAsia="楷体_GB2312" w:cs="楷体_GB2312"/>
          <w:b/>
          <w:sz w:val="32"/>
          <w:szCs w:val="32"/>
          <w:highlight w:val="none"/>
        </w:rPr>
        <w:t>（二）一般公共预算财政拨款支出决算结构情况</w:t>
      </w:r>
      <w:bookmarkEnd w:id="25"/>
    </w:p>
    <w:p w14:paraId="3DF199F3">
      <w:pPr>
        <w:spacing w:line="600" w:lineRule="exact"/>
        <w:ind w:firstLine="640"/>
        <w:rPr>
          <w:rFonts w:eastAsia="仿宋_GB2312" w:cs="仿宋_GB2312"/>
          <w:b/>
          <w:bCs/>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490.57</w:t>
      </w:r>
      <w:r>
        <w:rPr>
          <w:rFonts w:hint="eastAsia" w:eastAsia="仿宋_GB2312" w:cs="仿宋_GB2312"/>
          <w:sz w:val="32"/>
          <w:szCs w:val="32"/>
          <w:highlight w:val="none"/>
        </w:rPr>
        <w:t>万元，主要用于以下方面：一般公共服务支出393.92万元，占80.3%；教育支出0万元，占0%；科学技术支出0万元，占0%；文化旅游体育与传媒支出0万元，占0%；社会保障和就业支出59.53万元，占12.1%；卫生健康支出16.63万元，占3.4%；住房保障支出20.49万元，占4.2%。</w:t>
      </w:r>
    </w:p>
    <w:p w14:paraId="50E9CA6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（图6：一般公共预算财政拨款支出决算结构）（饼状图）</w:t>
      </w:r>
    </w:p>
    <w:p w14:paraId="4FE42682">
      <w:pPr>
        <w:spacing w:line="600" w:lineRule="exact"/>
        <w:ind w:firstLine="640" w:firstLineChars="200"/>
        <w:outlineLvl w:val="2"/>
        <w:rPr>
          <w:rFonts w:eastAsia="仿宋_GB2312" w:cs="仿宋_GB2312"/>
          <w:sz w:val="32"/>
          <w:szCs w:val="32"/>
          <w:highlight w:val="none"/>
        </w:rPr>
      </w:pPr>
      <w:bookmarkStart w:id="26" w:name="_Toc15377212"/>
    </w:p>
    <w:p w14:paraId="0E4AF586">
      <w:pPr>
        <w:pStyle w:val="13"/>
        <w:rPr>
          <w:highlight w:val="none"/>
        </w:rPr>
      </w:pPr>
      <w:r>
        <w:rPr>
          <w:highlight w:val="none"/>
        </w:rPr>
        <w:drawing>
          <wp:inline distT="0" distB="0" distL="0" distR="0">
            <wp:extent cx="5274310" cy="2889250"/>
            <wp:effectExtent l="4445" t="4445" r="9525"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C7A6F1">
      <w:pPr>
        <w:spacing w:line="600" w:lineRule="exact"/>
        <w:ind w:firstLine="643" w:firstLineChars="200"/>
        <w:outlineLvl w:val="2"/>
        <w:rPr>
          <w:rFonts w:eastAsia="楷体_GB2312" w:cs="楷体_GB2312"/>
          <w:b/>
          <w:sz w:val="32"/>
          <w:szCs w:val="32"/>
          <w:highlight w:val="none"/>
        </w:rPr>
      </w:pPr>
      <w:r>
        <w:rPr>
          <w:rFonts w:hint="eastAsia" w:eastAsia="楷体_GB2312" w:cs="楷体_GB2312"/>
          <w:b/>
          <w:sz w:val="32"/>
          <w:szCs w:val="32"/>
          <w:highlight w:val="none"/>
        </w:rPr>
        <w:t>（三）一般公共预算财政拨款支出决算具体情况</w:t>
      </w:r>
      <w:bookmarkEnd w:id="26"/>
    </w:p>
    <w:p w14:paraId="22FBC4C7">
      <w:pPr>
        <w:spacing w:line="600" w:lineRule="exact"/>
        <w:ind w:firstLine="640"/>
        <w:rPr>
          <w:rFonts w:eastAsia="仿宋_GB2312" w:cs="仿宋_GB2312"/>
          <w:sz w:val="32"/>
          <w:szCs w:val="32"/>
          <w:highlight w:val="none"/>
        </w:rPr>
      </w:pPr>
      <w:bookmarkStart w:id="27" w:name="_Toc15377444"/>
      <w:bookmarkStart w:id="28" w:name="_Toc15377213"/>
      <w:bookmarkStart w:id="29" w:name="_Toc15378460"/>
      <w:r>
        <w:rPr>
          <w:rFonts w:hint="eastAsia" w:eastAsia="仿宋_GB2312" w:cs="仿宋_GB2312"/>
          <w:sz w:val="32"/>
          <w:szCs w:val="32"/>
          <w:highlight w:val="none"/>
        </w:rPr>
        <w:t>2025年度一般公共预算支出决算数为</w:t>
      </w:r>
      <w:r>
        <w:rPr>
          <w:rFonts w:hint="eastAsia" w:ascii="仿宋_GB2312" w:hAnsi="仿宋_GB2312" w:eastAsia="仿宋_GB2312" w:cs="仿宋_GB2312"/>
          <w:sz w:val="32"/>
          <w:szCs w:val="32"/>
          <w:highlight w:val="none"/>
        </w:rPr>
        <w:t>490.57</w:t>
      </w:r>
      <w:r>
        <w:rPr>
          <w:rFonts w:hint="eastAsia" w:eastAsia="仿宋_GB2312" w:cs="仿宋_GB2312"/>
          <w:sz w:val="32"/>
          <w:szCs w:val="32"/>
          <w:highlight w:val="none"/>
        </w:rPr>
        <w:t>，完成预算100%。其中：</w:t>
      </w:r>
      <w:bookmarkEnd w:id="27"/>
      <w:bookmarkEnd w:id="28"/>
      <w:bookmarkEnd w:id="29"/>
    </w:p>
    <w:p w14:paraId="6A53816C">
      <w:pPr>
        <w:spacing w:line="600" w:lineRule="exact"/>
        <w:ind w:firstLine="640"/>
        <w:rPr>
          <w:rFonts w:eastAsia="仿宋_GB2312" w:cs="仿宋_GB2312"/>
          <w:sz w:val="32"/>
          <w:szCs w:val="32"/>
          <w:highlight w:val="none"/>
        </w:rPr>
      </w:pPr>
      <w:bookmarkStart w:id="30" w:name="_Toc15377214"/>
      <w:bookmarkStart w:id="31" w:name="_Toc15396608"/>
      <w:r>
        <w:rPr>
          <w:rFonts w:eastAsia="仿宋_GB2312" w:cs="仿宋_GB2312"/>
          <w:sz w:val="32"/>
          <w:szCs w:val="32"/>
          <w:highlight w:val="none"/>
        </w:rPr>
        <w:t>1.</w:t>
      </w:r>
      <w:r>
        <w:rPr>
          <w:rFonts w:hint="eastAsia" w:eastAsia="仿宋_GB2312" w:cs="仿宋_GB2312"/>
          <w:sz w:val="32"/>
          <w:szCs w:val="32"/>
          <w:highlight w:val="none"/>
        </w:rPr>
        <w:t>一般公共服务支出（类）政府办公厅（室）及相关机构事务（款）事业运行（项）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支出决算为5.41万元，完成预算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1091C0C2">
      <w:pPr>
        <w:spacing w:line="600" w:lineRule="exact"/>
        <w:ind w:firstLine="640"/>
        <w:rPr>
          <w:rFonts w:eastAsia="仿宋_GB2312" w:cs="仿宋_GB2312"/>
          <w:sz w:val="32"/>
          <w:szCs w:val="32"/>
          <w:highlight w:val="none"/>
        </w:rPr>
      </w:pPr>
      <w:r>
        <w:rPr>
          <w:rFonts w:eastAsia="仿宋_GB2312" w:cs="仿宋_GB2312"/>
          <w:sz w:val="32"/>
          <w:szCs w:val="32"/>
          <w:highlight w:val="none"/>
        </w:rPr>
        <w:t xml:space="preserve">2. </w:t>
      </w:r>
      <w:r>
        <w:rPr>
          <w:rFonts w:hint="eastAsia" w:eastAsia="仿宋_GB2312" w:cs="仿宋_GB2312"/>
          <w:sz w:val="32"/>
          <w:szCs w:val="32"/>
          <w:highlight w:val="none"/>
        </w:rPr>
        <w:t>一般公共服务支出（类）宣传事务（款）一般行政管理事务（项）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支出决算为8.62万元，完成预算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5835E9DC">
      <w:pPr>
        <w:spacing w:line="600" w:lineRule="exact"/>
        <w:ind w:firstLine="640"/>
        <w:rPr>
          <w:rFonts w:eastAsia="仿宋_GB2312" w:cs="仿宋_GB2312"/>
          <w:sz w:val="32"/>
          <w:szCs w:val="32"/>
          <w:highlight w:val="none"/>
        </w:rPr>
      </w:pPr>
      <w:r>
        <w:rPr>
          <w:rFonts w:eastAsia="仿宋_GB2312" w:cs="仿宋_GB2312"/>
          <w:sz w:val="32"/>
          <w:szCs w:val="32"/>
          <w:highlight w:val="none"/>
        </w:rPr>
        <w:t xml:space="preserve">3. </w:t>
      </w:r>
      <w:r>
        <w:rPr>
          <w:rFonts w:hint="eastAsia" w:eastAsia="仿宋_GB2312" w:cs="仿宋_GB2312"/>
          <w:sz w:val="32"/>
          <w:szCs w:val="32"/>
          <w:highlight w:val="none"/>
        </w:rPr>
        <w:t>一般公共服务支出（类）宣传事务（款）事业运行（项）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支出决算为249.05万元，完成预算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0889D2C">
      <w:pPr>
        <w:spacing w:line="600" w:lineRule="exact"/>
        <w:ind w:firstLine="640"/>
        <w:rPr>
          <w:rFonts w:eastAsia="仿宋_GB2312" w:cs="仿宋_GB2312"/>
          <w:sz w:val="32"/>
          <w:szCs w:val="32"/>
          <w:highlight w:val="none"/>
        </w:rPr>
      </w:pPr>
      <w:r>
        <w:rPr>
          <w:rFonts w:eastAsia="仿宋_GB2312" w:cs="仿宋_GB2312"/>
          <w:sz w:val="32"/>
          <w:szCs w:val="32"/>
          <w:highlight w:val="none"/>
        </w:rPr>
        <w:t xml:space="preserve">4. </w:t>
      </w:r>
      <w:r>
        <w:rPr>
          <w:rFonts w:hint="eastAsia" w:eastAsia="仿宋_GB2312" w:cs="仿宋_GB2312"/>
          <w:sz w:val="32"/>
          <w:szCs w:val="32"/>
          <w:highlight w:val="none"/>
        </w:rPr>
        <w:t>一般公共服务支出（类）宣传事务（款）其他宣传事务支出（项）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支出决算为130.84万元，完成预算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1FF52F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5</w:t>
      </w:r>
      <w:r>
        <w:rPr>
          <w:rFonts w:eastAsia="仿宋_GB2312" w:cs="仿宋_GB2312"/>
          <w:sz w:val="32"/>
          <w:szCs w:val="32"/>
          <w:highlight w:val="none"/>
        </w:rPr>
        <w:t>.</w:t>
      </w:r>
      <w:r>
        <w:rPr>
          <w:rFonts w:hint="eastAsia" w:eastAsia="仿宋_GB2312" w:cs="仿宋_GB2312"/>
          <w:sz w:val="32"/>
          <w:szCs w:val="32"/>
          <w:highlight w:val="none"/>
        </w:rPr>
        <w:t xml:space="preserve"> 社会保障和就业支出（类）行政事业单位养老支出（款）事业单位离退休（项）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支出决算为10.15万元，完成预算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83A7D4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6</w:t>
      </w:r>
      <w:r>
        <w:rPr>
          <w:rFonts w:eastAsia="仿宋_GB2312" w:cs="仿宋_GB2312"/>
          <w:sz w:val="32"/>
          <w:szCs w:val="32"/>
          <w:highlight w:val="none"/>
        </w:rPr>
        <w:t>.</w:t>
      </w:r>
      <w:r>
        <w:rPr>
          <w:rFonts w:hint="eastAsia" w:eastAsia="仿宋_GB2312" w:cs="仿宋_GB2312"/>
          <w:sz w:val="32"/>
          <w:szCs w:val="32"/>
          <w:highlight w:val="none"/>
        </w:rPr>
        <w:t>社会保障和就业支出（类）机关事业单位基本养老保险缴费支出（款）机关事业单位基本养老保险缴费支出（项）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支出决算为25.6万元，完成预算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281E9DA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7.社会保障和就业支出（类）机关事业单位基本养老保险缴费支出（款）机关事业单位职业年金缴费支出（项）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支出决算为23.79万元，完成预算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5841B0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9</w:t>
      </w:r>
      <w:r>
        <w:rPr>
          <w:rFonts w:eastAsia="仿宋_GB2312" w:cs="仿宋_GB2312"/>
          <w:sz w:val="32"/>
          <w:szCs w:val="32"/>
          <w:highlight w:val="none"/>
        </w:rPr>
        <w:t>.</w:t>
      </w:r>
      <w:r>
        <w:rPr>
          <w:rFonts w:hint="eastAsia" w:eastAsia="仿宋_GB2312" w:cs="仿宋_GB2312"/>
          <w:sz w:val="32"/>
          <w:szCs w:val="32"/>
          <w:highlight w:val="none"/>
        </w:rPr>
        <w:t xml:space="preserve"> 卫生健康支出（类）行政事业单位医疗（款）行政单位医疗（项）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支出决算为1.17万元，完成预算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70291C6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10卫生健康支出（类）行政事业单位医疗（款）事业单位医疗（项）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支出决算为12.6万元，完成预算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561E4A5">
      <w:pPr>
        <w:spacing w:line="600" w:lineRule="exact"/>
        <w:ind w:firstLine="640"/>
        <w:rPr>
          <w:rFonts w:eastAsia="仿宋_GB2312" w:cs="仿宋_GB2312"/>
          <w:sz w:val="32"/>
          <w:szCs w:val="32"/>
          <w:highlight w:val="none"/>
        </w:rPr>
      </w:pPr>
      <w:r>
        <w:rPr>
          <w:rFonts w:eastAsia="仿宋_GB2312" w:cs="仿宋_GB2312"/>
          <w:sz w:val="32"/>
          <w:szCs w:val="32"/>
          <w:highlight w:val="none"/>
        </w:rPr>
        <w:t>1</w:t>
      </w:r>
      <w:r>
        <w:rPr>
          <w:rFonts w:hint="eastAsia" w:eastAsia="仿宋_GB2312" w:cs="仿宋_GB2312"/>
          <w:sz w:val="32"/>
          <w:szCs w:val="32"/>
          <w:highlight w:val="none"/>
        </w:rPr>
        <w:t>1</w:t>
      </w:r>
      <w:r>
        <w:rPr>
          <w:rFonts w:eastAsia="仿宋_GB2312" w:cs="仿宋_GB2312"/>
          <w:sz w:val="32"/>
          <w:szCs w:val="32"/>
          <w:highlight w:val="none"/>
        </w:rPr>
        <w:t>.</w:t>
      </w:r>
      <w:r>
        <w:rPr>
          <w:rFonts w:hint="eastAsia" w:eastAsia="仿宋_GB2312" w:cs="仿宋_GB2312"/>
          <w:sz w:val="32"/>
          <w:szCs w:val="32"/>
          <w:highlight w:val="none"/>
        </w:rPr>
        <w:t>卫生健康支出（类）行政事业单位医疗（款）公务员医疗补助（项）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支出决算为2.86万元，完成预算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7AB0CF1C">
      <w:pPr>
        <w:spacing w:line="600" w:lineRule="exact"/>
        <w:ind w:firstLine="640"/>
        <w:rPr>
          <w:rFonts w:eastAsia="仿宋_GB2312" w:cs="仿宋_GB2312"/>
          <w:sz w:val="32"/>
          <w:szCs w:val="32"/>
          <w:highlight w:val="none"/>
        </w:rPr>
      </w:pPr>
      <w:r>
        <w:rPr>
          <w:rFonts w:eastAsia="仿宋_GB2312" w:cs="仿宋_GB2312"/>
          <w:sz w:val="32"/>
          <w:szCs w:val="32"/>
          <w:highlight w:val="none"/>
        </w:rPr>
        <w:t>1</w:t>
      </w:r>
      <w:r>
        <w:rPr>
          <w:rFonts w:hint="eastAsia" w:eastAsia="仿宋_GB2312" w:cs="仿宋_GB2312"/>
          <w:sz w:val="32"/>
          <w:szCs w:val="32"/>
          <w:highlight w:val="none"/>
        </w:rPr>
        <w:t>2</w:t>
      </w:r>
      <w:r>
        <w:rPr>
          <w:rFonts w:eastAsia="仿宋_GB2312" w:cs="仿宋_GB2312"/>
          <w:sz w:val="32"/>
          <w:szCs w:val="32"/>
          <w:highlight w:val="none"/>
        </w:rPr>
        <w:t xml:space="preserve">. </w:t>
      </w:r>
      <w:r>
        <w:rPr>
          <w:rFonts w:hint="eastAsia" w:eastAsia="仿宋_GB2312" w:cs="仿宋_GB2312"/>
          <w:sz w:val="32"/>
          <w:szCs w:val="32"/>
          <w:highlight w:val="none"/>
        </w:rPr>
        <w:t>住房保障支出（类）住房改革支出（款）住房公积金（项）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支出决算为20.49万元，完成预算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25A40BD">
      <w:pPr>
        <w:tabs>
          <w:tab w:val="right" w:pos="8306"/>
        </w:tabs>
        <w:spacing w:line="600" w:lineRule="exact"/>
        <w:ind w:firstLine="640"/>
        <w:outlineLvl w:val="1"/>
        <w:rPr>
          <w:rStyle w:val="31"/>
          <w:rFonts w:ascii="Times New Roman" w:hAnsi="Times New Roman"/>
          <w:highlight w:val="none"/>
        </w:rPr>
      </w:pPr>
      <w:r>
        <w:rPr>
          <w:rFonts w:hint="eastAsia" w:eastAsia="黑体"/>
          <w:sz w:val="32"/>
          <w:szCs w:val="32"/>
          <w:highlight w:val="none"/>
        </w:rPr>
        <w:t>六</w:t>
      </w:r>
      <w:r>
        <w:rPr>
          <w:rFonts w:hint="eastAsia" w:eastAsia="黑体"/>
          <w:b/>
          <w:sz w:val="32"/>
          <w:szCs w:val="32"/>
          <w:highlight w:val="none"/>
        </w:rPr>
        <w:t>、一</w:t>
      </w:r>
      <w:r>
        <w:rPr>
          <w:rStyle w:val="31"/>
          <w:rFonts w:hint="eastAsia" w:ascii="Times New Roman" w:hAnsi="Times New Roman" w:eastAsia="黑体"/>
          <w:b w:val="0"/>
          <w:highlight w:val="none"/>
        </w:rPr>
        <w:t>般公共预算财政拨款基本支出决算情况说明</w:t>
      </w:r>
      <w:bookmarkEnd w:id="30"/>
      <w:bookmarkEnd w:id="31"/>
      <w:r>
        <w:rPr>
          <w:rStyle w:val="31"/>
          <w:rFonts w:ascii="Times New Roman" w:hAnsi="Times New Roman" w:eastAsia="黑体"/>
          <w:b w:val="0"/>
          <w:highlight w:val="none"/>
        </w:rPr>
        <w:tab/>
      </w:r>
    </w:p>
    <w:p w14:paraId="631D7D0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2025年度一般公共预算财政拨款基本支出</w:t>
      </w:r>
      <w:r>
        <w:rPr>
          <w:rFonts w:hint="eastAsia" w:ascii="仿宋_GB2312" w:hAnsi="仿宋_GB2312" w:eastAsia="仿宋_GB2312" w:cs="仿宋_GB2312"/>
          <w:sz w:val="32"/>
          <w:szCs w:val="32"/>
          <w:highlight w:val="none"/>
        </w:rPr>
        <w:t>351.11</w:t>
      </w:r>
      <w:r>
        <w:rPr>
          <w:rFonts w:hint="eastAsia" w:eastAsia="仿宋_GB2312" w:cs="仿宋_GB2312"/>
          <w:sz w:val="32"/>
          <w:szCs w:val="32"/>
          <w:highlight w:val="none"/>
        </w:rPr>
        <w:t>万元，其中：</w:t>
      </w:r>
    </w:p>
    <w:p w14:paraId="426FFDF3">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人员经费</w:t>
      </w:r>
      <w:r>
        <w:rPr>
          <w:rFonts w:hint="eastAsia" w:ascii="仿宋_GB2312" w:hAnsi="仿宋_GB2312" w:eastAsia="仿宋_GB2312" w:cs="仿宋_GB2312"/>
          <w:sz w:val="32"/>
          <w:szCs w:val="32"/>
          <w:highlight w:val="none"/>
        </w:rPr>
        <w:t>335.51</w:t>
      </w:r>
      <w:r>
        <w:rPr>
          <w:rFonts w:hint="eastAsia" w:eastAsia="仿宋_GB2312" w:cs="仿宋_GB2312"/>
          <w:sz w:val="32"/>
          <w:szCs w:val="32"/>
          <w:highlight w:val="none"/>
        </w:rPr>
        <w:t>万元，主要包括：基本工资、津贴补贴、职工基本医疗保险缴</w:t>
      </w:r>
      <w:r>
        <w:rPr>
          <w:rFonts w:hint="eastAsia" w:ascii="仿宋_GB2312" w:hAnsi="仿宋_GB2312" w:eastAsia="仿宋_GB2312" w:cs="仿宋_GB2312"/>
          <w:sz w:val="32"/>
          <w:szCs w:val="32"/>
          <w:highlight w:val="none"/>
        </w:rPr>
        <w:t>费、公务员医疗补助缴费、</w:t>
      </w:r>
      <w:r>
        <w:rPr>
          <w:rFonts w:hint="eastAsia" w:eastAsia="仿宋_GB2312" w:cs="仿宋_GB2312"/>
          <w:sz w:val="32"/>
          <w:szCs w:val="32"/>
          <w:highlight w:val="none"/>
        </w:rPr>
        <w:t>绩效工资、机关事业单位基本养老保险缴费、职业年金缴费、其他社会保障缴费、其他工资福利支出、生活补助、医疗费补助、住房公积金等。</w:t>
      </w:r>
      <w:r>
        <w:rPr>
          <w:rFonts w:hint="eastAsia" w:eastAsia="仿宋_GB2312" w:cs="仿宋_GB2312"/>
          <w:sz w:val="32"/>
          <w:szCs w:val="32"/>
          <w:highlight w:val="none"/>
        </w:rPr>
        <w:br w:type="textWrapping"/>
      </w:r>
      <w:r>
        <w:rPr>
          <w:rFonts w:hint="eastAsia" w:eastAsia="仿宋_GB2312" w:cs="仿宋_GB2312"/>
          <w:sz w:val="32"/>
          <w:szCs w:val="32"/>
          <w:highlight w:val="none"/>
        </w:rPr>
        <w:t>　　公用经费</w:t>
      </w:r>
      <w:r>
        <w:rPr>
          <w:rFonts w:hint="eastAsia" w:ascii="仿宋_GB2312" w:hAnsi="仿宋_GB2312" w:eastAsia="仿宋_GB2312" w:cs="仿宋_GB2312"/>
          <w:sz w:val="32"/>
          <w:szCs w:val="32"/>
          <w:highlight w:val="none"/>
        </w:rPr>
        <w:t>15.6</w:t>
      </w:r>
      <w:r>
        <w:rPr>
          <w:rFonts w:hint="eastAsia" w:eastAsia="仿宋_GB2312" w:cs="仿宋_GB2312"/>
          <w:sz w:val="32"/>
          <w:szCs w:val="32"/>
          <w:highlight w:val="none"/>
        </w:rPr>
        <w:t>万元，主要包括：办公费、水费、电费、邮电费、差旅费、培训费、公务接待费、委托业务费、工会经费、福利费、其他商品和服务支出等。</w:t>
      </w:r>
    </w:p>
    <w:p w14:paraId="0EA290E0">
      <w:pPr>
        <w:spacing w:line="600" w:lineRule="exact"/>
        <w:ind w:firstLine="640"/>
        <w:outlineLvl w:val="1"/>
        <w:rPr>
          <w:rStyle w:val="31"/>
          <w:rFonts w:ascii="Times New Roman" w:hAnsi="Times New Roman" w:eastAsia="黑体"/>
          <w:b w:val="0"/>
          <w:highlight w:val="none"/>
        </w:rPr>
      </w:pPr>
      <w:bookmarkStart w:id="32" w:name="_Toc15377215"/>
      <w:bookmarkStart w:id="33" w:name="_Toc15396609"/>
      <w:r>
        <w:rPr>
          <w:rFonts w:hint="eastAsia" w:eastAsia="黑体"/>
          <w:sz w:val="32"/>
          <w:szCs w:val="32"/>
          <w:highlight w:val="none"/>
        </w:rPr>
        <w:t>七、</w:t>
      </w:r>
      <w:r>
        <w:rPr>
          <w:rStyle w:val="31"/>
          <w:rFonts w:hint="eastAsia" w:ascii="Times New Roman" w:hAnsi="Times New Roman" w:eastAsia="黑体"/>
          <w:b w:val="0"/>
          <w:highlight w:val="none"/>
        </w:rPr>
        <w:t>财政拨款</w:t>
      </w:r>
      <w:r>
        <w:rPr>
          <w:rStyle w:val="31"/>
          <w:rFonts w:hint="eastAsia" w:ascii="Times New Roman" w:hAnsi="Times New Roman" w:eastAsia="黑体"/>
          <w:highlight w:val="none"/>
        </w:rPr>
        <w:t>“</w:t>
      </w:r>
      <w:r>
        <w:rPr>
          <w:rStyle w:val="31"/>
          <w:rFonts w:hint="eastAsia" w:ascii="Times New Roman" w:hAnsi="Times New Roman" w:eastAsia="黑体"/>
          <w:b w:val="0"/>
          <w:highlight w:val="none"/>
        </w:rPr>
        <w:t>三公”经费支出决算情况说明</w:t>
      </w:r>
      <w:bookmarkEnd w:id="32"/>
      <w:bookmarkEnd w:id="33"/>
    </w:p>
    <w:p w14:paraId="28119CE9">
      <w:pPr>
        <w:spacing w:line="600" w:lineRule="exact"/>
        <w:ind w:firstLine="643" w:firstLineChars="200"/>
        <w:outlineLvl w:val="2"/>
        <w:rPr>
          <w:rFonts w:eastAsia="楷体_GB2312" w:cs="楷体_GB2312"/>
          <w:b/>
          <w:sz w:val="32"/>
          <w:szCs w:val="32"/>
          <w:highlight w:val="none"/>
        </w:rPr>
      </w:pPr>
      <w:bookmarkStart w:id="34" w:name="_Toc15377216"/>
      <w:r>
        <w:rPr>
          <w:rFonts w:hint="eastAsia" w:eastAsia="楷体_GB2312" w:cs="楷体_GB2312"/>
          <w:b/>
          <w:sz w:val="32"/>
          <w:szCs w:val="32"/>
          <w:highlight w:val="none"/>
        </w:rPr>
        <w:t>（一）财政拨款“三公”经费支出决算总体情况说明</w:t>
      </w:r>
      <w:bookmarkEnd w:id="34"/>
    </w:p>
    <w:p w14:paraId="4793AA5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2025年度财政拨款“三公”经费支出决算为</w:t>
      </w:r>
      <w:r>
        <w:rPr>
          <w:rFonts w:hint="eastAsia" w:ascii="仿宋_GB2312" w:hAnsi="仿宋_GB2312" w:eastAsia="仿宋_GB2312" w:cs="仿宋_GB2312"/>
          <w:sz w:val="32"/>
          <w:szCs w:val="32"/>
          <w:highlight w:val="none"/>
        </w:rPr>
        <w:t>5.19</w:t>
      </w:r>
      <w:r>
        <w:rPr>
          <w:rFonts w:hint="eastAsia" w:eastAsia="仿宋_GB2312" w:cs="仿宋_GB2312"/>
          <w:sz w:val="32"/>
          <w:szCs w:val="32"/>
          <w:highlight w:val="none"/>
        </w:rPr>
        <w:t>万元，完成预算</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%，较上年度减少14.52万元，下降73.7%。决算数与预算数持平。</w:t>
      </w:r>
    </w:p>
    <w:p w14:paraId="41BE71A5">
      <w:pPr>
        <w:spacing w:line="600" w:lineRule="exact"/>
        <w:ind w:firstLine="643" w:firstLineChars="200"/>
        <w:outlineLvl w:val="2"/>
        <w:rPr>
          <w:rFonts w:eastAsia="楷体_GB2312" w:cs="楷体_GB2312"/>
          <w:b/>
          <w:sz w:val="32"/>
          <w:szCs w:val="32"/>
          <w:highlight w:val="none"/>
        </w:rPr>
      </w:pPr>
      <w:bookmarkStart w:id="35" w:name="_Toc15377217"/>
      <w:r>
        <w:rPr>
          <w:rFonts w:hint="eastAsia" w:eastAsia="楷体_GB2312" w:cs="楷体_GB2312"/>
          <w:b/>
          <w:sz w:val="32"/>
          <w:szCs w:val="32"/>
          <w:highlight w:val="none"/>
        </w:rPr>
        <w:t>（二）财政拨款“三公”经费支出决算具体情况说明</w:t>
      </w:r>
      <w:bookmarkEnd w:id="35"/>
    </w:p>
    <w:p w14:paraId="328BBF9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2025年度财政拨款“三公”经费支出决算中，因公出国（境）费支出决算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万元，占**%；公务用车购置及运行维护费支出决算</w:t>
      </w:r>
      <w:r>
        <w:rPr>
          <w:rFonts w:hint="eastAsia" w:ascii="仿宋_GB2312" w:hAnsi="仿宋_GB2312" w:eastAsia="仿宋_GB2312" w:cs="仿宋_GB2312"/>
          <w:sz w:val="32"/>
          <w:szCs w:val="32"/>
          <w:highlight w:val="none"/>
        </w:rPr>
        <w:t>4.88</w:t>
      </w:r>
      <w:r>
        <w:rPr>
          <w:rFonts w:hint="eastAsia" w:eastAsia="仿宋_GB2312" w:cs="仿宋_GB2312"/>
          <w:sz w:val="32"/>
          <w:szCs w:val="32"/>
          <w:highlight w:val="none"/>
        </w:rPr>
        <w:t>万元，占94%；公务接待费支出决算</w:t>
      </w:r>
      <w:r>
        <w:rPr>
          <w:rFonts w:hint="eastAsia" w:ascii="仿宋_GB2312" w:hAnsi="仿宋_GB2312" w:eastAsia="仿宋_GB2312" w:cs="仿宋_GB2312"/>
          <w:sz w:val="32"/>
          <w:szCs w:val="32"/>
          <w:highlight w:val="none"/>
        </w:rPr>
        <w:t>0.31</w:t>
      </w:r>
      <w:r>
        <w:rPr>
          <w:rFonts w:hint="eastAsia" w:eastAsia="仿宋_GB2312" w:cs="仿宋_GB2312"/>
          <w:sz w:val="32"/>
          <w:szCs w:val="32"/>
          <w:highlight w:val="none"/>
        </w:rPr>
        <w:t>万元，占6%。具体情况如下：</w:t>
      </w:r>
    </w:p>
    <w:p w14:paraId="4431FE1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（图7：财政拨款“三公”经费支出结构）（饼状图）</w:t>
      </w:r>
    </w:p>
    <w:p w14:paraId="643CE516">
      <w:pPr>
        <w:pStyle w:val="14"/>
        <w:ind w:left="0" w:leftChars="0" w:firstLine="0" w:firstLineChars="0"/>
        <w:rPr>
          <w:highlight w:val="none"/>
        </w:rPr>
      </w:pPr>
    </w:p>
    <w:p w14:paraId="34128CD5">
      <w:pPr>
        <w:rPr>
          <w:highlight w:val="none"/>
        </w:rPr>
      </w:pPr>
      <w:r>
        <w:rPr>
          <w:highlight w:val="none"/>
        </w:rPr>
        <w:drawing>
          <wp:inline distT="0" distB="0" distL="0" distR="0">
            <wp:extent cx="4429125" cy="2171700"/>
            <wp:effectExtent l="4445" t="4445" r="16510" b="1841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40BE8FF">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1.因公出国（境）经费支出</w:t>
      </w:r>
      <w:r>
        <w:rPr>
          <w:rFonts w:hint="eastAsia" w:ascii="仿宋_GB2312" w:hAnsi="仿宋_GB2312" w:eastAsia="仿宋_GB2312" w:cs="仿宋_GB2312"/>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全年安排因公出国（境）团组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次，出国（境）</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人。因公出国（境）支出决算比上年度增加/减少0万元，增长/下降0%。</w:t>
      </w:r>
    </w:p>
    <w:p w14:paraId="27432F0C">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2.公务用车购置及运行维护费支出</w:t>
      </w:r>
      <w:r>
        <w:rPr>
          <w:rFonts w:hint="eastAsia" w:ascii="仿宋_GB2312" w:hAnsi="仿宋_GB2312" w:eastAsia="仿宋_GB2312" w:cs="仿宋_GB2312"/>
          <w:b/>
          <w:bCs/>
          <w:sz w:val="32"/>
          <w:szCs w:val="32"/>
          <w:highlight w:val="none"/>
        </w:rPr>
        <w:t>4.88</w:t>
      </w:r>
      <w:r>
        <w:rPr>
          <w:rFonts w:hint="eastAsia" w:eastAsia="仿宋_GB2312" w:cs="仿宋_GB2312"/>
          <w:b/>
          <w:bCs/>
          <w:sz w:val="32"/>
          <w:szCs w:val="32"/>
          <w:highlight w:val="none"/>
        </w:rPr>
        <w:t>万元，完成预算100%。</w:t>
      </w:r>
      <w:r>
        <w:rPr>
          <w:rFonts w:hint="eastAsia" w:eastAsia="仿宋_GB2312" w:cs="仿宋_GB2312"/>
          <w:sz w:val="32"/>
          <w:szCs w:val="32"/>
          <w:highlight w:val="none"/>
        </w:rPr>
        <w:t>公务用车购置及运行维护费支出决算比上年度减少14.01万元，下降74.2%。主要原因是本年度</w:t>
      </w:r>
      <w:r>
        <w:rPr>
          <w:rFonts w:hint="eastAsia" w:eastAsia="仿宋_GB2312" w:cs="仿宋_GB2312"/>
          <w:sz w:val="32"/>
          <w:szCs w:val="32"/>
          <w:highlight w:val="none"/>
          <w:lang w:eastAsia="zh-CN"/>
        </w:rPr>
        <w:t>厉行节约</w:t>
      </w:r>
      <w:r>
        <w:rPr>
          <w:rFonts w:hint="eastAsia" w:eastAsia="仿宋_GB2312" w:cs="仿宋_GB2312"/>
          <w:sz w:val="32"/>
          <w:szCs w:val="32"/>
          <w:highlight w:val="none"/>
        </w:rPr>
        <w:t>减少不必要开支。</w:t>
      </w:r>
    </w:p>
    <w:p w14:paraId="21711F6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其中：公务用车购置支出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全年按规定更新购置公务用车0辆，其中：轿车0辆、金额0万元，越野车0辆、金额0万元，载客汽车0辆、金额0万元。截至2025年12月31日，单位共有公务用车1辆，其中：轿车0辆、越野车0辆、载客汽车0辆、多用途货车1辆。</w:t>
      </w:r>
    </w:p>
    <w:p w14:paraId="79A5744A">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公务用车运行维护费支出</w:t>
      </w:r>
      <w:r>
        <w:rPr>
          <w:rFonts w:hint="eastAsia" w:ascii="仿宋_GB2312" w:hAnsi="仿宋_GB2312" w:eastAsia="仿宋_GB2312" w:cs="仿宋_GB2312"/>
          <w:sz w:val="32"/>
          <w:szCs w:val="32"/>
          <w:highlight w:val="none"/>
        </w:rPr>
        <w:t>4.88</w:t>
      </w:r>
      <w:r>
        <w:rPr>
          <w:rFonts w:hint="eastAsia" w:eastAsia="仿宋_GB2312" w:cs="仿宋_GB2312"/>
          <w:sz w:val="32"/>
          <w:szCs w:val="32"/>
          <w:highlight w:val="none"/>
        </w:rPr>
        <w:t>万元。主要用于公务</w:t>
      </w:r>
      <w:r>
        <w:rPr>
          <w:rFonts w:hint="eastAsia" w:eastAsia="仿宋_GB2312" w:cs="仿宋_GB2312"/>
          <w:sz w:val="32"/>
          <w:szCs w:val="32"/>
          <w:highlight w:val="none"/>
          <w:lang w:eastAsia="zh-CN"/>
        </w:rPr>
        <w:t>工作</w:t>
      </w:r>
      <w:r>
        <w:rPr>
          <w:rFonts w:hint="eastAsia" w:eastAsia="仿宋_GB2312" w:cs="仿宋_GB2312"/>
          <w:sz w:val="32"/>
          <w:szCs w:val="32"/>
          <w:highlight w:val="none"/>
        </w:rPr>
        <w:t>所需的公务用车燃料费、维修费、过路过桥费、保险费等支出。</w:t>
      </w:r>
    </w:p>
    <w:p w14:paraId="703B1BC4">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3.公务接待费支出</w:t>
      </w:r>
      <w:r>
        <w:rPr>
          <w:rFonts w:hint="eastAsia" w:ascii="仿宋_GB2312" w:hAnsi="仿宋_GB2312" w:eastAsia="仿宋_GB2312" w:cs="仿宋_GB2312"/>
          <w:b/>
          <w:bCs/>
          <w:sz w:val="32"/>
          <w:szCs w:val="32"/>
          <w:highlight w:val="none"/>
        </w:rPr>
        <w:t>0.31</w:t>
      </w:r>
      <w:r>
        <w:rPr>
          <w:rFonts w:hint="eastAsia" w:eastAsia="仿宋_GB2312" w:cs="仿宋_GB2312"/>
          <w:b/>
          <w:bCs/>
          <w:sz w:val="32"/>
          <w:szCs w:val="32"/>
          <w:highlight w:val="none"/>
        </w:rPr>
        <w:t>万元，完成预算100%。</w:t>
      </w:r>
      <w:r>
        <w:rPr>
          <w:rFonts w:hint="eastAsia" w:eastAsia="仿宋_GB2312" w:cs="仿宋_GB2312"/>
          <w:sz w:val="32"/>
          <w:szCs w:val="32"/>
          <w:highlight w:val="none"/>
        </w:rPr>
        <w:t>公务接待费支出决算比上年度减少0.51万元，下降62.2%。主要原因是本年度</w:t>
      </w:r>
      <w:r>
        <w:rPr>
          <w:rFonts w:hint="eastAsia" w:eastAsia="仿宋_GB2312" w:cs="仿宋_GB2312"/>
          <w:sz w:val="32"/>
          <w:szCs w:val="32"/>
          <w:highlight w:val="none"/>
          <w:lang w:eastAsia="zh-CN"/>
        </w:rPr>
        <w:t>厉行节约</w:t>
      </w:r>
      <w:r>
        <w:rPr>
          <w:rFonts w:hint="eastAsia" w:eastAsia="仿宋_GB2312" w:cs="仿宋_GB2312"/>
          <w:sz w:val="32"/>
          <w:szCs w:val="32"/>
          <w:highlight w:val="none"/>
        </w:rPr>
        <w:t>减少不必要开支。其中：</w:t>
      </w:r>
    </w:p>
    <w:p w14:paraId="1FF5E7D2">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国内公务接待支出</w:t>
      </w:r>
      <w:r>
        <w:rPr>
          <w:rFonts w:hint="eastAsia" w:ascii="仿宋_GB2312" w:hAnsi="仿宋_GB2312" w:eastAsia="仿宋_GB2312" w:cs="仿宋_GB2312"/>
          <w:sz w:val="32"/>
          <w:szCs w:val="32"/>
          <w:highlight w:val="none"/>
        </w:rPr>
        <w:t>0.31</w:t>
      </w:r>
      <w:r>
        <w:rPr>
          <w:rFonts w:hint="eastAsia" w:eastAsia="仿宋_GB2312" w:cs="仿宋_GB2312"/>
          <w:sz w:val="32"/>
          <w:szCs w:val="32"/>
          <w:highlight w:val="none"/>
        </w:rPr>
        <w:t>万元，主要用于执行公务、开展业务活动</w:t>
      </w:r>
      <w:r>
        <w:rPr>
          <w:rFonts w:hint="eastAsia" w:eastAsia="仿宋_GB2312" w:cs="仿宋_GB2312"/>
          <w:sz w:val="32"/>
          <w:szCs w:val="32"/>
          <w:highlight w:val="none"/>
          <w:lang w:eastAsia="zh-CN"/>
        </w:rPr>
        <w:t>开支</w:t>
      </w:r>
      <w:r>
        <w:rPr>
          <w:rFonts w:hint="eastAsia" w:eastAsia="仿宋_GB2312" w:cs="仿宋_GB2312"/>
          <w:sz w:val="32"/>
          <w:szCs w:val="32"/>
          <w:highlight w:val="none"/>
        </w:rPr>
        <w:t>、用餐费等。国内公务接待</w:t>
      </w:r>
      <w:r>
        <w:rPr>
          <w:rFonts w:hint="eastAsia" w:ascii="仿宋_GB2312" w:hAnsi="仿宋_GB2312" w:eastAsia="仿宋_GB2312" w:cs="仿宋_GB2312"/>
          <w:sz w:val="32"/>
          <w:szCs w:val="32"/>
          <w:highlight w:val="none"/>
        </w:rPr>
        <w:t>4</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27</w:t>
      </w:r>
      <w:r>
        <w:rPr>
          <w:rFonts w:hint="eastAsia" w:eastAsia="仿宋_GB2312" w:cs="仿宋_GB2312"/>
          <w:sz w:val="32"/>
          <w:szCs w:val="32"/>
          <w:highlight w:val="none"/>
        </w:rPr>
        <w:t>人次（不包括陪同人员），共计支出0.31万元，具体内容包括：</w:t>
      </w:r>
      <w:r>
        <w:rPr>
          <w:rFonts w:hint="eastAsia" w:eastAsia="仿宋_GB2312" w:cs="仿宋_GB2312"/>
          <w:sz w:val="32"/>
          <w:szCs w:val="32"/>
          <w:highlight w:val="none"/>
          <w:lang w:eastAsia="zh-CN"/>
        </w:rPr>
        <w:t>主要</w:t>
      </w:r>
      <w:r>
        <w:rPr>
          <w:rFonts w:eastAsia="仿宋_GB2312" w:cs="仿宋_GB2312"/>
          <w:sz w:val="32"/>
          <w:szCs w:val="32"/>
          <w:highlight w:val="none"/>
        </w:rPr>
        <w:t>支付新闻宣传专题培训接待</w:t>
      </w:r>
      <w:r>
        <w:rPr>
          <w:rFonts w:hint="eastAsia" w:eastAsia="仿宋_GB2312" w:cs="仿宋_GB2312"/>
          <w:sz w:val="32"/>
          <w:szCs w:val="32"/>
          <w:highlight w:val="none"/>
        </w:rPr>
        <w:t>费、</w:t>
      </w:r>
      <w:r>
        <w:rPr>
          <w:rFonts w:eastAsia="仿宋_GB2312" w:cs="仿宋_GB2312"/>
          <w:sz w:val="32"/>
          <w:szCs w:val="32"/>
          <w:highlight w:val="none"/>
        </w:rPr>
        <w:t>支付川观新闻国际旅游传播专栏采访接待费</w:t>
      </w:r>
      <w:r>
        <w:rPr>
          <w:rFonts w:hint="eastAsia" w:eastAsia="仿宋_GB2312" w:cs="仿宋_GB2312"/>
          <w:sz w:val="32"/>
          <w:szCs w:val="32"/>
          <w:highlight w:val="none"/>
        </w:rPr>
        <w:t>等支出。</w:t>
      </w:r>
    </w:p>
    <w:p w14:paraId="76F66C9D">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外事接待支出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万元。外事接待</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人次（不包括陪同人员），共计支出0万元。</w:t>
      </w:r>
    </w:p>
    <w:p w14:paraId="067600E3">
      <w:pPr>
        <w:spacing w:line="600" w:lineRule="exact"/>
        <w:ind w:firstLine="640"/>
        <w:outlineLvl w:val="1"/>
        <w:rPr>
          <w:rStyle w:val="31"/>
          <w:rFonts w:ascii="Times New Roman" w:hAnsi="Times New Roman" w:eastAsia="黑体"/>
          <w:highlight w:val="none"/>
        </w:rPr>
      </w:pPr>
      <w:bookmarkStart w:id="36" w:name="_Toc15377218"/>
      <w:bookmarkStart w:id="37" w:name="_Toc15396610"/>
      <w:r>
        <w:rPr>
          <w:rFonts w:hint="eastAsia" w:eastAsia="黑体"/>
          <w:sz w:val="32"/>
          <w:szCs w:val="32"/>
          <w:highlight w:val="none"/>
        </w:rPr>
        <w:t>八、</w:t>
      </w:r>
      <w:r>
        <w:rPr>
          <w:rStyle w:val="31"/>
          <w:rFonts w:hint="eastAsia" w:ascii="Times New Roman" w:hAnsi="Times New Roman" w:eastAsia="黑体"/>
          <w:b w:val="0"/>
          <w:highlight w:val="none"/>
        </w:rPr>
        <w:t>政府性基金预算支出决算情况说明</w:t>
      </w:r>
      <w:bookmarkEnd w:id="36"/>
      <w:bookmarkEnd w:id="37"/>
    </w:p>
    <w:p w14:paraId="55BE9B0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2025年度政府性基金预算财政拨款支出</w:t>
      </w:r>
      <w:r>
        <w:rPr>
          <w:rFonts w:hint="eastAsia" w:ascii="仿宋_GB2312" w:hAnsi="仿宋_GB2312" w:eastAsia="仿宋_GB2312" w:cs="仿宋_GB2312"/>
          <w:sz w:val="32"/>
          <w:szCs w:val="32"/>
          <w:highlight w:val="none"/>
        </w:rPr>
        <w:t>8.78</w:t>
      </w:r>
      <w:r>
        <w:rPr>
          <w:rFonts w:hint="eastAsia" w:eastAsia="仿宋_GB2312" w:cs="仿宋_GB2312"/>
          <w:sz w:val="32"/>
          <w:szCs w:val="32"/>
          <w:highlight w:val="none"/>
        </w:rPr>
        <w:t>万元，占本年支出合计的1.75%。与上年度相比，政府性基金预算财政拨款支出增加100万元，增长100%。主要变动原因是</w:t>
      </w:r>
      <w:r>
        <w:rPr>
          <w:rFonts w:eastAsia="仿宋_GB2312" w:cs="仿宋_GB2312"/>
          <w:sz w:val="32"/>
          <w:szCs w:val="32"/>
          <w:highlight w:val="none"/>
        </w:rPr>
        <w:t>本年度政府性基金预算财政拨款项目支出增多</w:t>
      </w:r>
      <w:r>
        <w:rPr>
          <w:rFonts w:hint="eastAsia" w:eastAsia="仿宋_GB2312" w:cs="仿宋_GB2312"/>
          <w:sz w:val="32"/>
          <w:szCs w:val="32"/>
          <w:highlight w:val="none"/>
        </w:rPr>
        <w:t>。</w:t>
      </w:r>
    </w:p>
    <w:p w14:paraId="79D3ECCD">
      <w:pPr>
        <w:spacing w:line="600" w:lineRule="exact"/>
        <w:ind w:left="630"/>
        <w:outlineLvl w:val="1"/>
        <w:rPr>
          <w:rStyle w:val="31"/>
          <w:rFonts w:ascii="Times New Roman" w:hAnsi="Times New Roman" w:eastAsia="黑体"/>
          <w:b w:val="0"/>
          <w:highlight w:val="none"/>
        </w:rPr>
      </w:pPr>
      <w:bookmarkStart w:id="38" w:name="_Toc15377219"/>
      <w:bookmarkStart w:id="39" w:name="_Toc15396611"/>
      <w:r>
        <w:rPr>
          <w:rStyle w:val="31"/>
          <w:rFonts w:hint="eastAsia" w:ascii="Times New Roman" w:hAnsi="Times New Roman" w:eastAsia="黑体"/>
          <w:b w:val="0"/>
          <w:highlight w:val="none"/>
        </w:rPr>
        <w:t>九、国有资本经营预算支出决算情况说明</w:t>
      </w:r>
      <w:bookmarkEnd w:id="38"/>
      <w:bookmarkEnd w:id="39"/>
    </w:p>
    <w:p w14:paraId="20DEB19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2025年度国有资本经营预算财政拨款支出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%。与上年度相比，国有资本经营预算财政拨款支出增加/减少0万元，增长/下降0%。</w:t>
      </w:r>
    </w:p>
    <w:p w14:paraId="61175C3B">
      <w:pPr>
        <w:spacing w:line="600" w:lineRule="exact"/>
        <w:ind w:left="630"/>
        <w:outlineLvl w:val="1"/>
        <w:rPr>
          <w:rStyle w:val="31"/>
          <w:rFonts w:ascii="Times New Roman" w:hAnsi="Times New Roman" w:eastAsia="黑体"/>
          <w:b w:val="0"/>
          <w:highlight w:val="none"/>
        </w:rPr>
      </w:pPr>
      <w:bookmarkStart w:id="40" w:name="_Toc15396612"/>
      <w:bookmarkStart w:id="41" w:name="_Toc15377221"/>
      <w:r>
        <w:rPr>
          <w:rStyle w:val="31"/>
          <w:rFonts w:hint="eastAsia" w:ascii="Times New Roman" w:hAnsi="Times New Roman" w:eastAsia="黑体"/>
          <w:b w:val="0"/>
          <w:highlight w:val="none"/>
        </w:rPr>
        <w:t>十、其他重要事项的情况说明</w:t>
      </w:r>
      <w:bookmarkEnd w:id="40"/>
      <w:bookmarkEnd w:id="41"/>
    </w:p>
    <w:p w14:paraId="4974DE10">
      <w:pPr>
        <w:spacing w:line="600" w:lineRule="exact"/>
        <w:ind w:firstLine="643" w:firstLineChars="200"/>
        <w:outlineLvl w:val="2"/>
        <w:rPr>
          <w:rFonts w:eastAsia="楷体_GB2312" w:cs="楷体_GB2312"/>
          <w:b/>
          <w:sz w:val="32"/>
          <w:szCs w:val="32"/>
          <w:highlight w:val="none"/>
        </w:rPr>
      </w:pPr>
      <w:bookmarkStart w:id="42" w:name="_Toc15377222"/>
      <w:r>
        <w:rPr>
          <w:rFonts w:hint="eastAsia" w:eastAsia="楷体_GB2312" w:cs="楷体_GB2312"/>
          <w:b/>
          <w:sz w:val="32"/>
          <w:szCs w:val="32"/>
          <w:highlight w:val="none"/>
        </w:rPr>
        <w:t>（一）机关运行经费支出情况</w:t>
      </w:r>
      <w:bookmarkEnd w:id="42"/>
    </w:p>
    <w:p w14:paraId="50A1A55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攀枝花市仁和区融媒体中心</w:t>
      </w:r>
      <w:r>
        <w:rPr>
          <w:rFonts w:hint="eastAsia" w:eastAsia="仿宋_GB2312" w:cs="仿宋_GB2312"/>
          <w:sz w:val="32"/>
          <w:szCs w:val="32"/>
          <w:highlight w:val="none"/>
        </w:rPr>
        <w:t>机关运行经费支出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万元，比上年度增加/减少0万元，增长/下降0%（或与上年度决算数持平）。0</w:t>
      </w:r>
    </w:p>
    <w:p w14:paraId="4B4AD404">
      <w:pPr>
        <w:spacing w:line="600" w:lineRule="exact"/>
        <w:ind w:firstLine="640"/>
        <w:rPr>
          <w:rFonts w:eastAsia="仿宋_GB2312" w:cs="仿宋_GB2312"/>
          <w:sz w:val="32"/>
          <w:szCs w:val="32"/>
          <w:highlight w:val="none"/>
        </w:rPr>
      </w:pPr>
    </w:p>
    <w:p w14:paraId="3D57A955">
      <w:pPr>
        <w:spacing w:line="600" w:lineRule="exact"/>
        <w:ind w:firstLine="643" w:firstLineChars="200"/>
        <w:outlineLvl w:val="2"/>
        <w:rPr>
          <w:rFonts w:eastAsia="楷体_GB2312" w:cs="楷体_GB2312"/>
          <w:b/>
          <w:sz w:val="32"/>
          <w:szCs w:val="32"/>
          <w:highlight w:val="none"/>
        </w:rPr>
      </w:pPr>
      <w:bookmarkStart w:id="43" w:name="_Toc15377223"/>
      <w:r>
        <w:rPr>
          <w:rFonts w:hint="eastAsia" w:eastAsia="楷体_GB2312" w:cs="楷体_GB2312"/>
          <w:b/>
          <w:sz w:val="32"/>
          <w:szCs w:val="32"/>
          <w:highlight w:val="none"/>
        </w:rPr>
        <w:t>（二）政府采购支出情况</w:t>
      </w:r>
      <w:bookmarkEnd w:id="43"/>
    </w:p>
    <w:p w14:paraId="5DA8BEE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攀枝花市仁和区融媒体中心</w:t>
      </w:r>
      <w:r>
        <w:rPr>
          <w:rFonts w:hint="eastAsia" w:eastAsia="仿宋_GB2312" w:cs="仿宋_GB2312"/>
          <w:sz w:val="32"/>
          <w:szCs w:val="32"/>
          <w:highlight w:val="none"/>
        </w:rPr>
        <w:t>政府采购支出总额</w:t>
      </w:r>
      <w:r>
        <w:rPr>
          <w:rFonts w:hint="eastAsia" w:ascii="仿宋_GB2312" w:hAnsi="仿宋_GB2312" w:eastAsia="仿宋_GB2312" w:cs="仿宋_GB2312"/>
          <w:sz w:val="32"/>
          <w:szCs w:val="32"/>
          <w:highlight w:val="none"/>
        </w:rPr>
        <w:t>3.14</w:t>
      </w:r>
      <w:r>
        <w:rPr>
          <w:rFonts w:hint="eastAsia" w:eastAsia="仿宋_GB2312" w:cs="仿宋_GB2312"/>
          <w:sz w:val="32"/>
          <w:szCs w:val="32"/>
          <w:highlight w:val="none"/>
        </w:rPr>
        <w:t>万元，其中：政府采购货物支出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万元、政府采购工程支出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万元、政府采购服务支出</w:t>
      </w:r>
      <w:r>
        <w:rPr>
          <w:rFonts w:hint="eastAsia" w:ascii="仿宋_GB2312" w:hAnsi="仿宋_GB2312" w:eastAsia="仿宋_GB2312" w:cs="仿宋_GB2312"/>
          <w:sz w:val="32"/>
          <w:szCs w:val="32"/>
          <w:highlight w:val="none"/>
        </w:rPr>
        <w:t>3.14</w:t>
      </w:r>
      <w:r>
        <w:rPr>
          <w:rFonts w:hint="eastAsia" w:eastAsia="仿宋_GB2312" w:cs="仿宋_GB2312"/>
          <w:sz w:val="32"/>
          <w:szCs w:val="32"/>
          <w:highlight w:val="none"/>
        </w:rPr>
        <w:t>万元。</w:t>
      </w:r>
      <w:r>
        <w:rPr>
          <w:rFonts w:hint="eastAsia" w:eastAsia="仿宋_GB2312" w:cs="仿宋_GB2312"/>
          <w:color w:val="auto"/>
          <w:sz w:val="32"/>
          <w:szCs w:val="32"/>
          <w:highlight w:val="none"/>
        </w:rPr>
        <w:t>主要</w:t>
      </w:r>
      <w:r>
        <w:rPr>
          <w:rFonts w:hint="eastAsia" w:eastAsia="仿宋_GB2312" w:cs="仿宋_GB2312"/>
          <w:color w:val="auto"/>
          <w:sz w:val="32"/>
          <w:szCs w:val="32"/>
          <w:highlight w:val="none"/>
          <w:lang w:val="en-US" w:eastAsia="zh-CN"/>
        </w:rPr>
        <w:t>用于框架协议支出公务车油料费、维修维护等费用</w:t>
      </w:r>
      <w:r>
        <w:rPr>
          <w:rFonts w:hint="eastAsia" w:eastAsia="仿宋_GB2312" w:cs="仿宋_GB2312"/>
          <w:color w:val="auto"/>
          <w:sz w:val="32"/>
          <w:szCs w:val="32"/>
          <w:highlight w:val="none"/>
        </w:rPr>
        <w:t>。</w:t>
      </w:r>
      <w:r>
        <w:rPr>
          <w:rFonts w:hint="eastAsia" w:eastAsia="仿宋_GB2312" w:cs="仿宋_GB2312"/>
          <w:sz w:val="32"/>
          <w:szCs w:val="32"/>
          <w:highlight w:val="none"/>
        </w:rPr>
        <w:t>授予中小企业合同金额</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3CAE7913">
      <w:pPr>
        <w:spacing w:line="600" w:lineRule="exact"/>
        <w:ind w:firstLine="643" w:firstLineChars="200"/>
        <w:outlineLvl w:val="2"/>
        <w:rPr>
          <w:rFonts w:eastAsia="楷体_GB2312" w:cs="楷体_GB2312"/>
          <w:b/>
          <w:sz w:val="32"/>
          <w:szCs w:val="32"/>
          <w:highlight w:val="none"/>
        </w:rPr>
      </w:pPr>
      <w:bookmarkStart w:id="44" w:name="_Toc15377224"/>
      <w:r>
        <w:rPr>
          <w:rFonts w:hint="eastAsia" w:eastAsia="楷体_GB2312" w:cs="楷体_GB2312"/>
          <w:b/>
          <w:sz w:val="32"/>
          <w:szCs w:val="32"/>
          <w:highlight w:val="none"/>
        </w:rPr>
        <w:t>（三）国有资产占有使用情况</w:t>
      </w:r>
      <w:bookmarkEnd w:id="44"/>
    </w:p>
    <w:p w14:paraId="7A3EA48B">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截至2025年12月31日，</w:t>
      </w:r>
      <w:r>
        <w:rPr>
          <w:rFonts w:hint="eastAsia" w:ascii="仿宋_GB2312" w:hAnsi="仿宋_GB2312" w:eastAsia="仿宋_GB2312" w:cs="仿宋_GB2312"/>
          <w:sz w:val="32"/>
          <w:szCs w:val="32"/>
          <w:highlight w:val="none"/>
        </w:rPr>
        <w:t>攀枝花市仁和区融媒体中心</w:t>
      </w:r>
      <w:r>
        <w:rPr>
          <w:rFonts w:hint="eastAsia" w:eastAsia="仿宋_GB2312" w:cs="仿宋_GB2312"/>
          <w:sz w:val="32"/>
          <w:szCs w:val="32"/>
          <w:highlight w:val="none"/>
        </w:rPr>
        <w:t>共有车辆</w:t>
      </w:r>
      <w:r>
        <w:rPr>
          <w:rFonts w:hint="eastAsia" w:ascii="仿宋_GB2312" w:hAnsi="仿宋_GB2312" w:eastAsia="仿宋_GB2312" w:cs="仿宋_GB2312"/>
          <w:sz w:val="32"/>
          <w:szCs w:val="32"/>
          <w:highlight w:val="none"/>
        </w:rPr>
        <w:t>1</w:t>
      </w:r>
      <w:r>
        <w:rPr>
          <w:rFonts w:hint="eastAsia" w:eastAsia="仿宋_GB2312" w:cs="仿宋_GB2312"/>
          <w:sz w:val="32"/>
          <w:szCs w:val="32"/>
          <w:highlight w:val="none"/>
        </w:rPr>
        <w:t>辆，其中：副部（省）级及以上领导用车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辆、主要负责人用车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辆、机要通信用车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辆、应急保障用车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辆、执法执勤用车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辆、特种专业技术用车</w:t>
      </w:r>
      <w:r>
        <w:rPr>
          <w:rFonts w:hint="eastAsia" w:ascii="仿宋_GB2312" w:hAnsi="仿宋_GB2312" w:eastAsia="仿宋_GB2312" w:cs="仿宋_GB2312"/>
          <w:sz w:val="32"/>
          <w:szCs w:val="32"/>
          <w:highlight w:val="none"/>
        </w:rPr>
        <w:t>1</w:t>
      </w:r>
      <w:r>
        <w:rPr>
          <w:rFonts w:hint="eastAsia" w:eastAsia="仿宋_GB2312" w:cs="仿宋_GB2312"/>
          <w:sz w:val="32"/>
          <w:szCs w:val="32"/>
          <w:highlight w:val="none"/>
        </w:rPr>
        <w:t>辆、离退休干部服务用车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辆、其他用车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w:t>
      </w:r>
      <w:r>
        <w:rPr>
          <w:rFonts w:hint="eastAsia" w:eastAsia="仿宋_GB2312" w:cs="仿宋_GB2312"/>
          <w:sz w:val="32"/>
          <w:szCs w:val="32"/>
          <w:highlight w:val="none"/>
          <w:lang w:eastAsia="zh-CN"/>
        </w:rPr>
        <w:t>；</w:t>
      </w:r>
      <w:r>
        <w:rPr>
          <w:rFonts w:hint="eastAsia" w:eastAsia="仿宋_GB2312" w:cs="仿宋_GB2312"/>
          <w:sz w:val="32"/>
          <w:szCs w:val="32"/>
          <w:highlight w:val="none"/>
        </w:rPr>
        <w:t>特种专业技术用车</w:t>
      </w:r>
      <w:r>
        <w:rPr>
          <w:rFonts w:hint="eastAsia" w:eastAsia="仿宋_GB2312" w:cs="仿宋_GB2312"/>
          <w:sz w:val="32"/>
          <w:szCs w:val="32"/>
          <w:highlight w:val="none"/>
          <w:lang w:val="en-US" w:eastAsia="zh-CN"/>
        </w:rPr>
        <w:t>主要用于</w:t>
      </w:r>
      <w:r>
        <w:rPr>
          <w:rFonts w:hint="default" w:ascii="Times New Roman" w:hAnsi="Times New Roman" w:eastAsia="方正仿宋_GBK" w:cs="Times New Roman"/>
          <w:color w:val="auto"/>
          <w:sz w:val="33"/>
          <w:szCs w:val="33"/>
          <w:highlight w:val="none"/>
        </w:rPr>
        <w:t>全面、深入地报道仁和区的重要会议、政策决策及重大活动</w:t>
      </w:r>
      <w:r>
        <w:rPr>
          <w:rFonts w:hint="eastAsia" w:ascii="Times New Roman" w:hAnsi="Times New Roman" w:eastAsia="方正仿宋_GBK" w:cs="Times New Roman"/>
          <w:color w:val="auto"/>
          <w:sz w:val="33"/>
          <w:szCs w:val="33"/>
          <w:highlight w:val="none"/>
          <w:lang w:eastAsia="zh-CN"/>
        </w:rPr>
        <w:t>，</w:t>
      </w:r>
      <w:r>
        <w:rPr>
          <w:rFonts w:hint="default" w:ascii="Times New Roman" w:hAnsi="Times New Roman" w:eastAsia="方正仿宋_GBK" w:cs="Times New Roman"/>
          <w:color w:val="auto"/>
          <w:sz w:val="33"/>
          <w:szCs w:val="33"/>
          <w:highlight w:val="none"/>
        </w:rPr>
        <w:t>确保</w:t>
      </w:r>
      <w:r>
        <w:rPr>
          <w:rFonts w:hint="eastAsia" w:ascii="Times New Roman" w:hAnsi="Times New Roman" w:eastAsia="方正仿宋_GBK" w:cs="Times New Roman"/>
          <w:color w:val="auto"/>
          <w:sz w:val="33"/>
          <w:szCs w:val="33"/>
          <w:highlight w:val="none"/>
          <w:lang w:val="en-US" w:eastAsia="zh-CN"/>
        </w:rPr>
        <w:t>了</w:t>
      </w:r>
      <w:r>
        <w:rPr>
          <w:rFonts w:hint="default" w:ascii="Times New Roman" w:hAnsi="Times New Roman" w:eastAsia="方正仿宋_GBK" w:cs="Times New Roman"/>
          <w:color w:val="auto"/>
          <w:sz w:val="33"/>
          <w:szCs w:val="33"/>
          <w:highlight w:val="none"/>
        </w:rPr>
        <w:t>新闻记者能够迅速、准确地响应各类报道需求，第一时间前往新闻现场进行素材采集与采访工作</w:t>
      </w:r>
      <w:r>
        <w:rPr>
          <w:rFonts w:hint="eastAsia" w:eastAsia="仿宋_GB2312" w:cs="仿宋_GB2312"/>
          <w:sz w:val="32"/>
          <w:szCs w:val="32"/>
          <w:highlight w:val="none"/>
        </w:rPr>
        <w:t>。单价100万元（含）以上设备（不含车辆）</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台（套）。</w:t>
      </w:r>
    </w:p>
    <w:p w14:paraId="29A0709F">
      <w:pPr>
        <w:spacing w:line="600" w:lineRule="exact"/>
        <w:ind w:firstLine="643" w:firstLineChars="200"/>
        <w:outlineLvl w:val="2"/>
        <w:rPr>
          <w:rFonts w:eastAsia="楷体_GB2312" w:cs="楷体_GB2312"/>
          <w:b/>
          <w:sz w:val="32"/>
          <w:szCs w:val="32"/>
          <w:highlight w:val="none"/>
        </w:rPr>
      </w:pPr>
      <w:r>
        <w:rPr>
          <w:rFonts w:hint="eastAsia" w:eastAsia="楷体_GB2312" w:cs="楷体_GB2312"/>
          <w:b/>
          <w:sz w:val="32"/>
          <w:szCs w:val="32"/>
          <w:highlight w:val="none"/>
        </w:rPr>
        <w:t>（四）预算绩效管理情况</w:t>
      </w:r>
    </w:p>
    <w:p w14:paraId="6E07A6A5">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根据预算绩效管理要求，</w:t>
      </w:r>
      <w:r>
        <w:rPr>
          <w:rFonts w:hint="eastAsia" w:ascii="仿宋_GB2312" w:hAnsi="仿宋_GB2312" w:eastAsia="仿宋_GB2312" w:cs="仿宋_GB2312"/>
          <w:color w:val="auto"/>
          <w:sz w:val="32"/>
          <w:szCs w:val="32"/>
          <w:highlight w:val="none"/>
          <w:lang w:val="en-US" w:eastAsia="zh-CN"/>
        </w:rPr>
        <w:t>区融媒体中心</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rPr>
        <w:t>预算编制阶段，组织对融媒体中心运行维护费</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Times New Roman"/>
          <w:color w:val="auto"/>
          <w:sz w:val="32"/>
          <w:szCs w:val="32"/>
          <w:highlight w:val="none"/>
          <w:u w:val="none"/>
          <w:lang w:val="en-US" w:eastAsia="zh-CN"/>
        </w:rPr>
        <w:t>仁和区人民政府网站集约化建设经费</w:t>
      </w:r>
      <w:r>
        <w:rPr>
          <w:rFonts w:hint="eastAsia"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lang w:val="en-US" w:eastAsia="zh-CN"/>
        </w:rPr>
        <w:t>5个项目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个项目编制了绩效目标</w:t>
      </w:r>
      <w:r>
        <w:rPr>
          <w:rFonts w:hint="eastAsia" w:ascii="仿宋_GB2312" w:hAnsi="仿宋_GB2312" w:eastAsia="仿宋_GB2312" w:cs="仿宋_GB2312"/>
          <w:color w:val="auto"/>
          <w:sz w:val="32"/>
          <w:szCs w:val="32"/>
          <w:highlight w:val="none"/>
          <w:lang w:eastAsia="zh-CN"/>
        </w:rPr>
        <w:t>，在</w:t>
      </w:r>
      <w:r>
        <w:rPr>
          <w:rFonts w:hint="eastAsia" w:ascii="仿宋_GB2312" w:hAnsi="仿宋_GB2312" w:eastAsia="仿宋_GB2312" w:cs="仿宋_GB2312"/>
          <w:color w:val="auto"/>
          <w:sz w:val="32"/>
          <w:szCs w:val="32"/>
          <w:highlight w:val="none"/>
        </w:rPr>
        <w:t>预算执行过程中，选取</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个项目</w:t>
      </w:r>
      <w:r>
        <w:rPr>
          <w:rFonts w:hint="eastAsia" w:ascii="仿宋_GB2312" w:hAnsi="Cambria" w:eastAsia="仿宋_GB2312" w:cs="仿宋_GB2312"/>
          <w:color w:val="auto"/>
          <w:kern w:val="2"/>
          <w:sz w:val="32"/>
          <w:szCs w:val="32"/>
          <w:highlight w:val="none"/>
          <w:lang w:val="zh-CN" w:bidi="ar-SA"/>
        </w:rPr>
        <w:t>（包含年中追加项目）</w:t>
      </w:r>
      <w:r>
        <w:rPr>
          <w:rFonts w:hint="eastAsia" w:ascii="仿宋_GB2312" w:hAnsi="仿宋_GB2312" w:eastAsia="仿宋_GB2312" w:cs="仿宋_GB2312"/>
          <w:color w:val="auto"/>
          <w:sz w:val="32"/>
          <w:szCs w:val="32"/>
          <w:highlight w:val="none"/>
        </w:rPr>
        <w:t>开展绩效监控</w:t>
      </w:r>
      <w:r>
        <w:rPr>
          <w:rFonts w:hint="eastAsia" w:ascii="仿宋_GB2312" w:hAnsi="仿宋_GB2312" w:eastAsia="仿宋_GB2312" w:cs="仿宋_GB2312"/>
          <w:color w:val="auto"/>
          <w:sz w:val="32"/>
          <w:szCs w:val="32"/>
          <w:highlight w:val="none"/>
          <w:lang w:eastAsia="zh-CN"/>
        </w:rPr>
        <w:t>。</w:t>
      </w:r>
    </w:p>
    <w:p w14:paraId="7D4A8D82">
      <w:pPr>
        <w:pStyle w:val="16"/>
        <w:widowControl/>
        <w:shd w:val="clear" w:color="auto" w:fill="FFFFFF"/>
        <w:spacing w:before="204" w:beforeAutospacing="0" w:after="204" w:afterAutospacing="0" w:line="360" w:lineRule="auto"/>
        <w:ind w:firstLine="640" w:firstLineChars="200"/>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2025年度一般公共预算全面开展绩效自评，形成</w:t>
      </w:r>
      <w:r>
        <w:rPr>
          <w:rFonts w:hint="eastAsia" w:ascii="仿宋_GB2312" w:hAnsi="Cambria" w:eastAsia="仿宋_GB2312" w:cs="仿宋_GB2312"/>
          <w:color w:val="auto"/>
          <w:kern w:val="2"/>
          <w:sz w:val="32"/>
          <w:szCs w:val="32"/>
          <w:highlight w:val="none"/>
          <w:lang w:val="zh-CN" w:bidi="ar-SA"/>
        </w:rPr>
        <w:t>攀枝花市仁和区</w:t>
      </w:r>
      <w:r>
        <w:rPr>
          <w:rFonts w:hint="eastAsia" w:ascii="仿宋_GB2312" w:hAnsi="Cambria" w:eastAsia="仿宋_GB2312" w:cs="仿宋_GB2312"/>
          <w:color w:val="auto"/>
          <w:kern w:val="2"/>
          <w:sz w:val="32"/>
          <w:szCs w:val="32"/>
          <w:highlight w:val="none"/>
          <w:lang w:bidi="ar-SA"/>
        </w:rPr>
        <w:t>融媒体中心</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融媒体中心运行维护费</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lang w:eastAsia="zh-CN"/>
        </w:rPr>
        <w:t>专项预算项目</w:t>
      </w:r>
      <w:r>
        <w:rPr>
          <w:rFonts w:hint="eastAsia" w:ascii="仿宋_GB2312" w:hAnsi="仿宋_GB2312" w:eastAsia="仿宋_GB2312" w:cs="仿宋_GB2312"/>
          <w:color w:val="auto"/>
          <w:sz w:val="32"/>
          <w:szCs w:val="32"/>
          <w:highlight w:val="none"/>
          <w:lang w:val="en-US" w:eastAsia="zh-CN"/>
        </w:rPr>
        <w:t>绩效自评报告，其中，</w:t>
      </w:r>
      <w:r>
        <w:rPr>
          <w:rFonts w:hint="eastAsia" w:ascii="仿宋_GB2312" w:hAnsi="仿宋_GB2312" w:eastAsia="仿宋_GB2312" w:cs="仿宋_GB2312"/>
          <w:color w:val="auto"/>
          <w:sz w:val="32"/>
          <w:szCs w:val="32"/>
          <w:highlight w:val="none"/>
          <w:lang w:val="zh-CN" w:eastAsia="zh-CN"/>
        </w:rPr>
        <w:t>攀枝花市仁和区</w:t>
      </w:r>
      <w:r>
        <w:rPr>
          <w:rFonts w:hint="eastAsia" w:ascii="仿宋_GB2312" w:hAnsi="仿宋_GB2312" w:eastAsia="仿宋_GB2312" w:cs="仿宋_GB2312"/>
          <w:color w:val="auto"/>
          <w:sz w:val="32"/>
          <w:szCs w:val="32"/>
          <w:highlight w:val="none"/>
          <w:lang w:eastAsia="zh-CN"/>
        </w:rPr>
        <w:t>融媒体中心</w:t>
      </w:r>
      <w:r>
        <w:rPr>
          <w:rFonts w:hint="eastAsia" w:ascii="仿宋_GB2312" w:hAnsi="仿宋_GB2312" w:eastAsia="仿宋_GB2312" w:cs="仿宋_GB2312"/>
          <w:color w:val="auto"/>
          <w:sz w:val="32"/>
          <w:szCs w:val="32"/>
          <w:highlight w:val="none"/>
          <w:lang w:val="en-US" w:eastAsia="zh-CN"/>
        </w:rPr>
        <w:t>部门整体绩效自评得分为91分，</w:t>
      </w:r>
      <w:r>
        <w:rPr>
          <w:rFonts w:hint="eastAsia" w:ascii="仿宋_GB2312" w:hAnsi="仿宋_GB2312" w:eastAsia="仿宋_GB2312" w:cs="仿宋_GB2312"/>
          <w:color w:val="auto"/>
          <w:sz w:val="32"/>
          <w:szCs w:val="32"/>
          <w:highlight w:val="none"/>
          <w:lang w:val="zh-CN" w:eastAsia="zh-CN"/>
        </w:rPr>
        <w:t>绩效自评综述：本部门202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eastAsia="zh-CN"/>
        </w:rPr>
        <w:t>年度支出符合国家财经法规和财务管理制度规定以及有关专项资金管理办法的规定；资金拨付有完整的审批程序和手续；支出符合部门预算批复的用途；资金使用无截留、挤占、挪用、虚列支出等情况，严格执行预决算编制、预算执行、预算管理、绩效目标申报和管理。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eastAsia="zh-CN"/>
        </w:rPr>
        <w:t>年度全年收支平衡，保证了本年度工作的正常运转，完成了上级下达的目标任务。</w:t>
      </w:r>
      <w:r>
        <w:rPr>
          <w:rFonts w:hint="eastAsia" w:eastAsia="仿宋_GB2312" w:cs="仿宋_GB2312"/>
          <w:sz w:val="32"/>
          <w:szCs w:val="32"/>
          <w:highlight w:val="none"/>
        </w:rPr>
        <w:t>绩效自评报告详见附件。</w:t>
      </w:r>
    </w:p>
    <w:p w14:paraId="29CE0E96">
      <w:pPr>
        <w:spacing w:line="600" w:lineRule="exact"/>
        <w:ind w:firstLine="640"/>
        <w:rPr>
          <w:rFonts w:eastAsia="仿宋_GB2312" w:cs="仿宋_GB2312"/>
          <w:sz w:val="32"/>
          <w:szCs w:val="32"/>
          <w:highlight w:val="none"/>
        </w:rPr>
      </w:pPr>
    </w:p>
    <w:p w14:paraId="7FC2292F">
      <w:pPr>
        <w:spacing w:line="600" w:lineRule="exact"/>
        <w:jc w:val="center"/>
        <w:outlineLvl w:val="0"/>
        <w:rPr>
          <w:rFonts w:eastAsia="黑体"/>
          <w:sz w:val="44"/>
          <w:szCs w:val="44"/>
          <w:highlight w:val="none"/>
        </w:rPr>
      </w:pPr>
      <w:bookmarkStart w:id="45" w:name="_Toc15396613"/>
      <w:bookmarkStart w:id="46" w:name="_Toc15377225"/>
      <w:r>
        <w:rPr>
          <w:rFonts w:hint="eastAsia" w:eastAsia="黑体"/>
          <w:sz w:val="44"/>
          <w:szCs w:val="44"/>
          <w:highlight w:val="none"/>
        </w:rPr>
        <w:t>第三部分  名词解释</w:t>
      </w:r>
      <w:bookmarkEnd w:id="45"/>
      <w:bookmarkEnd w:id="46"/>
    </w:p>
    <w:p w14:paraId="78CE4066">
      <w:pPr>
        <w:spacing w:line="600" w:lineRule="exact"/>
        <w:jc w:val="left"/>
        <w:rPr>
          <w:b/>
          <w:sz w:val="44"/>
          <w:szCs w:val="44"/>
          <w:highlight w:val="none"/>
        </w:rPr>
      </w:pPr>
    </w:p>
    <w:p w14:paraId="24079C21">
      <w:pPr>
        <w:spacing w:line="576" w:lineRule="exact"/>
        <w:ind w:firstLine="640"/>
        <w:rPr>
          <w:rFonts w:hint="eastAsia" w:ascii="仿宋_GB2312" w:hAnsi="Cambria" w:eastAsia="仿宋_GB2312" w:cs="仿宋_GB2312"/>
          <w:color w:val="auto"/>
          <w:sz w:val="32"/>
          <w:szCs w:val="32"/>
          <w:highlight w:val="none"/>
        </w:rPr>
      </w:pPr>
      <w:bookmarkStart w:id="47" w:name="_Toc15377226"/>
      <w:r>
        <w:rPr>
          <w:rFonts w:hint="eastAsia" w:ascii="仿宋_GB2312" w:hAnsi="Cambria" w:eastAsia="仿宋_GB2312" w:cs="仿宋_GB2312"/>
          <w:color w:val="auto"/>
          <w:sz w:val="32"/>
          <w:szCs w:val="32"/>
          <w:highlight w:val="none"/>
        </w:rPr>
        <w:t>1.财政拨款收入：指单位从同级财政部门取得的财政预算资金。</w:t>
      </w:r>
    </w:p>
    <w:p w14:paraId="15BBD95F">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2.事业收入：指事业单位开展专业业务活动及辅助活动取得的收入。</w:t>
      </w:r>
    </w:p>
    <w:p w14:paraId="5C7039A9">
      <w:pPr>
        <w:spacing w:line="576" w:lineRule="exact"/>
        <w:ind w:firstLine="640"/>
        <w:rPr>
          <w:rFonts w:hint="eastAsia" w:ascii="仿宋_GB2312" w:hAnsi="Cambria" w:eastAsia="仿宋_GB2312" w:cs="仿宋_GB2312"/>
          <w:color w:val="auto"/>
          <w:sz w:val="32"/>
          <w:szCs w:val="32"/>
          <w:highlight w:val="none"/>
          <w:lang w:eastAsia="zh-CN"/>
        </w:rPr>
      </w:pPr>
      <w:r>
        <w:rPr>
          <w:rFonts w:hint="eastAsia" w:ascii="仿宋_GB2312" w:hAnsi="Cambria" w:eastAsia="仿宋_GB2312" w:cs="仿宋_GB2312"/>
          <w:color w:val="auto"/>
          <w:sz w:val="32"/>
          <w:szCs w:val="32"/>
          <w:highlight w:val="none"/>
        </w:rPr>
        <w:t>3.经营收入：指事业单位在专业业务活动及其辅助活动之外开展非独立核算经营活动取得的收入</w:t>
      </w:r>
      <w:r>
        <w:rPr>
          <w:rFonts w:hint="eastAsia" w:ascii="仿宋_GB2312" w:hAnsi="Cambria" w:eastAsia="仿宋_GB2312" w:cs="仿宋_GB2312"/>
          <w:color w:val="auto"/>
          <w:sz w:val="32"/>
          <w:szCs w:val="32"/>
          <w:highlight w:val="none"/>
          <w:lang w:eastAsia="zh-CN"/>
        </w:rPr>
        <w:t>。</w:t>
      </w:r>
    </w:p>
    <w:p w14:paraId="6FE91A80">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4.其他收入：指单位取得的除上述收入以外的各项收入。</w:t>
      </w:r>
    </w:p>
    <w:p w14:paraId="0381E35B">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 xml:space="preserve">5.使用非财政拨款结余：指事业单位使用以前年度积累的非财政拨款结余弥补当年收支差额的金额。 </w:t>
      </w:r>
    </w:p>
    <w:p w14:paraId="51E59853">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 xml:space="preserve">6.年初结转和结余：指以前年度尚未完成、结转到本年按有关规定继续使用的资金。 </w:t>
      </w:r>
    </w:p>
    <w:p w14:paraId="14A47B44">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7.结余分配：指事业单位按照会计制度规定缴纳的所得税、提取的专用结余以及转入非财政拨款结余的金额等。</w:t>
      </w:r>
    </w:p>
    <w:p w14:paraId="7BF9DF3D">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8.年末结转和结余：指单位按有关规定结转到下年或以后年度继续使用的资金。</w:t>
      </w:r>
    </w:p>
    <w:p w14:paraId="6FE6D3C3">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hAnsi="Cambria" w:eastAsia="仿宋_GB2312" w:cs="仿宋_GB2312"/>
          <w:color w:val="auto"/>
          <w:sz w:val="32"/>
          <w:szCs w:val="32"/>
          <w:highlight w:val="none"/>
        </w:rPr>
        <w:t>9.一般公共服务支出（类）政府办公厅（室）及相关机构事务（款）事业运行（项）： 指</w:t>
      </w:r>
      <w:r>
        <w:rPr>
          <w:rFonts w:hint="eastAsia" w:ascii="仿宋_GB2312" w:eastAsia="仿宋_GB2312"/>
          <w:color w:val="auto"/>
          <w:sz w:val="32"/>
          <w:szCs w:val="32"/>
          <w:highlight w:val="none"/>
        </w:rPr>
        <w:t>用于事业单位的基本支出</w:t>
      </w:r>
      <w:r>
        <w:rPr>
          <w:rFonts w:hint="eastAsia" w:ascii="仿宋_GB2312" w:hAnsi="Cambria" w:eastAsia="仿宋_GB2312" w:cs="仿宋_GB2312"/>
          <w:color w:val="auto"/>
          <w:sz w:val="32"/>
          <w:szCs w:val="32"/>
          <w:highlight w:val="none"/>
        </w:rPr>
        <w:t>。</w:t>
      </w:r>
    </w:p>
    <w:p w14:paraId="49CDBDF1">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10.一般公共服务（类）宣传事务（款）一般行政管理事务（项）： 指用于行政单位（包括实行公务员管理的事业单位）未单独设置项级科目的其他项目支出。</w:t>
      </w:r>
    </w:p>
    <w:p w14:paraId="7060DEC3">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11.一般公共服务支出（类）宣传事务（款）事业运行（项）： 指用于事业单位的基本支出。</w:t>
      </w:r>
    </w:p>
    <w:p w14:paraId="07419F08">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12.一般公共服务支出（类）宣传事务（款）其他宣传事务支出（项）：指用于中国共产党宣传部门的事务支出。</w:t>
      </w:r>
    </w:p>
    <w:p w14:paraId="2833C464">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13.</w:t>
      </w:r>
      <w:r>
        <w:rPr>
          <w:rFonts w:hint="eastAsia" w:ascii="仿宋_GB2312" w:eastAsia="仿宋_GB2312"/>
          <w:color w:val="auto"/>
          <w:sz w:val="32"/>
          <w:szCs w:val="32"/>
          <w:highlight w:val="none"/>
        </w:rPr>
        <w:t>文化旅游体育与传媒支出（类）</w:t>
      </w:r>
      <w:r>
        <w:rPr>
          <w:rFonts w:hint="eastAsia" w:ascii="仿宋_GB2312" w:eastAsia="仿宋_GB2312"/>
          <w:color w:val="auto"/>
          <w:sz w:val="32"/>
          <w:szCs w:val="32"/>
          <w:highlight w:val="none"/>
          <w:lang w:val="en-US" w:eastAsia="zh-CN"/>
        </w:rPr>
        <w:t>文化和旅游</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旅游宣传</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指反映在境内外开展各类旅游宣传促销活动的支出。</w:t>
      </w:r>
    </w:p>
    <w:p w14:paraId="3AA31A70">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.文化旅游体育与传媒支出（类）</w:t>
      </w:r>
      <w:r>
        <w:rPr>
          <w:rFonts w:hint="eastAsia" w:ascii="仿宋_GB2312" w:eastAsia="仿宋_GB2312"/>
          <w:color w:val="auto"/>
          <w:sz w:val="32"/>
          <w:szCs w:val="32"/>
          <w:highlight w:val="none"/>
          <w:lang w:val="en-US" w:eastAsia="zh-CN"/>
        </w:rPr>
        <w:t>文化和旅游</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其他文化和旅游支出</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val="en-US" w:eastAsia="zh-CN"/>
        </w:rPr>
        <w:t>反映除上述项目以外</w:t>
      </w:r>
      <w:r>
        <w:rPr>
          <w:rFonts w:hint="eastAsia" w:ascii="仿宋_GB2312" w:eastAsia="仿宋_GB2312"/>
          <w:color w:val="auto"/>
          <w:sz w:val="32"/>
          <w:szCs w:val="32"/>
          <w:highlight w:val="none"/>
        </w:rPr>
        <w:t>其他用于文化</w:t>
      </w:r>
      <w:r>
        <w:rPr>
          <w:rFonts w:hint="eastAsia" w:ascii="仿宋_GB2312" w:eastAsia="仿宋_GB2312"/>
          <w:color w:val="auto"/>
          <w:sz w:val="32"/>
          <w:szCs w:val="32"/>
          <w:highlight w:val="none"/>
          <w:lang w:val="en-US" w:eastAsia="zh-CN"/>
        </w:rPr>
        <w:t>和</w:t>
      </w:r>
      <w:r>
        <w:rPr>
          <w:rFonts w:hint="eastAsia" w:ascii="仿宋_GB2312" w:eastAsia="仿宋_GB2312"/>
          <w:color w:val="auto"/>
          <w:sz w:val="32"/>
          <w:szCs w:val="32"/>
          <w:highlight w:val="none"/>
        </w:rPr>
        <w:t>旅游方面的支出。</w:t>
      </w:r>
    </w:p>
    <w:p w14:paraId="5E3D2648">
      <w:pPr>
        <w:pStyle w:val="28"/>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15.文化旅游体育与传媒支出（类）其他文化旅游体育与传媒支出（款）其他文化旅游体育与传媒支出（项）：指反映除上述项目以外其他用于文化旅游体育与传媒方面的支出。</w:t>
      </w:r>
    </w:p>
    <w:p w14:paraId="1FECEE92">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.社会保障和就业支出（类）行政事业单位养老支出（款）事业单位离退休（项）： 指用于事业单位开支的离退休经费。</w:t>
      </w:r>
    </w:p>
    <w:p w14:paraId="2E3CC5A6">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.社会保障和就业支出（类）行政事业单位养老支出（款） 机关事业单位基本养老保险缴费支出（项）：指用于机关及下属事业单位人员基本养老保险缴费支出。</w:t>
      </w:r>
    </w:p>
    <w:p w14:paraId="40390EC0">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8</w:t>
      </w:r>
      <w:r>
        <w:rPr>
          <w:rFonts w:hint="eastAsia" w:ascii="仿宋_GB2312" w:eastAsia="仿宋_GB2312"/>
          <w:color w:val="auto"/>
          <w:sz w:val="32"/>
          <w:szCs w:val="32"/>
          <w:highlight w:val="none"/>
        </w:rPr>
        <w:t>.卫生健康支出（类）行政事业单位医疗（款）事业单位医疗（项）：指财政部门安排的事业单位用于缴纳单位基本医疗保险支出。</w:t>
      </w:r>
    </w:p>
    <w:p w14:paraId="23369701">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19</w:t>
      </w:r>
      <w:r>
        <w:rPr>
          <w:rFonts w:hint="eastAsia" w:ascii="仿宋_GB2312" w:eastAsia="仿宋_GB2312"/>
          <w:color w:val="auto"/>
          <w:sz w:val="32"/>
          <w:szCs w:val="32"/>
          <w:highlight w:val="none"/>
        </w:rPr>
        <w:t>.卫生健康支出（类）行政事业单位医疗（款）公务员医疗补助（项）：指财政部门安排的用于集中缴纳公务员医疗补助支出。</w:t>
      </w:r>
    </w:p>
    <w:p w14:paraId="3EAF02C3">
      <w:pPr>
        <w:pStyle w:val="28"/>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.住房保障支出（类）住房改革支出（款）住房公积金（项）：指行政事业单位按人力资源和社会保障部、财政部规定的基本工资和津贴补贴以及规定比例为职工缴纳的住房公积金。</w:t>
      </w:r>
    </w:p>
    <w:p w14:paraId="7327D93D">
      <w:pPr>
        <w:spacing w:line="576" w:lineRule="exact"/>
        <w:ind w:firstLine="640"/>
        <w:jc w:val="both"/>
        <w:rPr>
          <w:rFonts w:hint="eastAsia" w:ascii="仿宋_GB2312" w:hAnsi="Cambria" w:eastAsia="仿宋_GB2312" w:cs="仿宋_GB2312"/>
          <w:color w:val="auto"/>
          <w:kern w:val="2"/>
          <w:sz w:val="32"/>
          <w:szCs w:val="32"/>
          <w:highlight w:val="none"/>
        </w:rPr>
      </w:pPr>
      <w:r>
        <w:rPr>
          <w:rFonts w:hint="eastAsia" w:ascii="仿宋_GB2312" w:hAnsi="Cambria" w:eastAsia="仿宋_GB2312" w:cs="仿宋_GB2312"/>
          <w:color w:val="auto"/>
          <w:kern w:val="2"/>
          <w:sz w:val="32"/>
          <w:szCs w:val="32"/>
          <w:highlight w:val="none"/>
        </w:rPr>
        <w:t>2</w:t>
      </w:r>
      <w:r>
        <w:rPr>
          <w:rFonts w:hint="eastAsia" w:ascii="仿宋_GB2312" w:hAnsi="Cambria" w:eastAsia="仿宋_GB2312" w:cs="仿宋_GB2312"/>
          <w:color w:val="auto"/>
          <w:kern w:val="2"/>
          <w:sz w:val="32"/>
          <w:szCs w:val="32"/>
          <w:highlight w:val="none"/>
          <w:lang w:val="en-US" w:eastAsia="zh-CN"/>
        </w:rPr>
        <w:t>1</w:t>
      </w:r>
      <w:r>
        <w:rPr>
          <w:rFonts w:hint="eastAsia" w:ascii="仿宋_GB2312" w:hAnsi="Cambria" w:eastAsia="仿宋_GB2312" w:cs="仿宋_GB2312"/>
          <w:color w:val="auto"/>
          <w:kern w:val="2"/>
          <w:sz w:val="32"/>
          <w:szCs w:val="32"/>
          <w:highlight w:val="none"/>
        </w:rPr>
        <w:t>.基本支出：指为保障机构正常运转、完成日常工作任务而发生的人员支出和公用支出。</w:t>
      </w:r>
    </w:p>
    <w:p w14:paraId="4AA15F9D">
      <w:pPr>
        <w:spacing w:line="576" w:lineRule="exact"/>
        <w:ind w:firstLine="640"/>
        <w:jc w:val="both"/>
        <w:rPr>
          <w:rFonts w:hint="eastAsia" w:ascii="仿宋_GB2312" w:hAnsi="Cambria" w:eastAsia="仿宋_GB2312" w:cs="仿宋_GB2312"/>
          <w:color w:val="auto"/>
          <w:kern w:val="2"/>
          <w:sz w:val="32"/>
          <w:szCs w:val="32"/>
          <w:highlight w:val="none"/>
        </w:rPr>
      </w:pPr>
      <w:r>
        <w:rPr>
          <w:rFonts w:hint="eastAsia" w:ascii="仿宋_GB2312" w:hAnsi="Cambria" w:eastAsia="仿宋_GB2312" w:cs="仿宋_GB2312"/>
          <w:color w:val="auto"/>
          <w:kern w:val="2"/>
          <w:sz w:val="32"/>
          <w:szCs w:val="32"/>
          <w:highlight w:val="none"/>
        </w:rPr>
        <w:t>2</w:t>
      </w:r>
      <w:r>
        <w:rPr>
          <w:rFonts w:hint="eastAsia" w:ascii="仿宋_GB2312" w:hAnsi="Cambria" w:eastAsia="仿宋_GB2312" w:cs="仿宋_GB2312"/>
          <w:color w:val="auto"/>
          <w:kern w:val="2"/>
          <w:sz w:val="32"/>
          <w:szCs w:val="32"/>
          <w:highlight w:val="none"/>
          <w:lang w:val="en-US" w:eastAsia="zh-CN"/>
        </w:rPr>
        <w:t>2</w:t>
      </w:r>
      <w:r>
        <w:rPr>
          <w:rFonts w:hint="eastAsia" w:ascii="仿宋_GB2312" w:hAnsi="Cambria" w:eastAsia="仿宋_GB2312" w:cs="仿宋_GB2312"/>
          <w:color w:val="auto"/>
          <w:kern w:val="2"/>
          <w:sz w:val="32"/>
          <w:szCs w:val="32"/>
          <w:highlight w:val="none"/>
        </w:rPr>
        <w:t xml:space="preserve">.项目支出：指在基本支出之外为完成特定行政任务和事业发展目标所发生的支出。 </w:t>
      </w:r>
    </w:p>
    <w:p w14:paraId="12C06668">
      <w:pPr>
        <w:spacing w:line="576"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2</w:t>
      </w:r>
      <w:r>
        <w:rPr>
          <w:rFonts w:hint="eastAsia" w:ascii="仿宋_GB2312" w:hAnsi="Cambria" w:eastAsia="仿宋_GB2312" w:cs="仿宋_GB2312"/>
          <w:color w:val="auto"/>
          <w:sz w:val="32"/>
          <w:szCs w:val="32"/>
          <w:highlight w:val="none"/>
          <w:lang w:val="en-US" w:eastAsia="zh-CN"/>
        </w:rPr>
        <w:t>3</w:t>
      </w:r>
      <w:r>
        <w:rPr>
          <w:rFonts w:hint="eastAsia" w:ascii="仿宋_GB2312" w:hAnsi="Cambria" w:eastAsia="仿宋_GB2312" w:cs="仿宋_GB2312"/>
          <w:color w:val="auto"/>
          <w:sz w:val="32"/>
          <w:szCs w:val="32"/>
          <w:highlight w:val="none"/>
        </w:rPr>
        <w:t>.</w:t>
      </w:r>
      <w:r>
        <w:rPr>
          <w:rFonts w:hint="default" w:ascii="Cambria" w:hAnsi="Cambria" w:eastAsia="仿宋_GB2312" w:cs="仿宋_GB2312"/>
          <w:color w:val="auto"/>
          <w:sz w:val="32"/>
          <w:szCs w:val="32"/>
          <w:highlight w:val="none"/>
        </w:rPr>
        <w:t>“</w:t>
      </w:r>
      <w:r>
        <w:rPr>
          <w:rFonts w:hint="eastAsia" w:ascii="仿宋_GB2312" w:hAnsi="Cambria" w:eastAsia="仿宋_GB2312" w:cs="仿宋_GB2312"/>
          <w:color w:val="auto"/>
          <w:sz w:val="32"/>
          <w:szCs w:val="32"/>
          <w:highlight w:val="none"/>
        </w:rPr>
        <w:t>三公</w:t>
      </w:r>
      <w:r>
        <w:rPr>
          <w:rFonts w:hint="default" w:ascii="Cambria" w:hAnsi="Cambria" w:eastAsia="仿宋_GB2312" w:cs="仿宋_GB2312"/>
          <w:color w:val="auto"/>
          <w:sz w:val="32"/>
          <w:szCs w:val="32"/>
          <w:highlight w:val="none"/>
        </w:rPr>
        <w:t>”</w:t>
      </w:r>
      <w:r>
        <w:rPr>
          <w:rFonts w:hint="eastAsia" w:ascii="仿宋_GB2312" w:hAnsi="Cambria" w:eastAsia="仿宋_GB2312" w:cs="仿宋_GB2312"/>
          <w:color w:val="auto"/>
          <w:sz w:val="32"/>
          <w:szCs w:val="32"/>
          <w:highlight w:val="none"/>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CB925B1">
      <w:pPr>
        <w:spacing w:line="560" w:lineRule="exact"/>
        <w:ind w:firstLine="640"/>
        <w:rPr>
          <w:rFonts w:hint="eastAsia" w:ascii="仿宋_GB2312" w:hAnsi="Cambria" w:eastAsia="仿宋_GB2312" w:cs="仿宋_GB2312"/>
          <w:color w:val="auto"/>
          <w:sz w:val="32"/>
          <w:szCs w:val="32"/>
          <w:highlight w:val="none"/>
        </w:rPr>
      </w:pPr>
      <w:r>
        <w:rPr>
          <w:rFonts w:hint="eastAsia" w:ascii="仿宋_GB2312" w:hAnsi="Cambria" w:eastAsia="仿宋_GB2312" w:cs="仿宋_GB2312"/>
          <w:color w:val="auto"/>
          <w:sz w:val="32"/>
          <w:szCs w:val="32"/>
          <w:highlight w:val="none"/>
        </w:rPr>
        <w:t>2</w:t>
      </w:r>
      <w:r>
        <w:rPr>
          <w:rFonts w:hint="eastAsia" w:ascii="仿宋_GB2312" w:hAnsi="Cambria" w:eastAsia="仿宋_GB2312" w:cs="仿宋_GB2312"/>
          <w:color w:val="auto"/>
          <w:sz w:val="32"/>
          <w:szCs w:val="32"/>
          <w:highlight w:val="none"/>
          <w:lang w:val="en-US" w:eastAsia="zh-CN"/>
        </w:rPr>
        <w:t>4</w:t>
      </w:r>
      <w:r>
        <w:rPr>
          <w:rFonts w:hint="eastAsia" w:ascii="仿宋_GB2312" w:hAnsi="Cambria" w:eastAsia="仿宋_GB2312" w:cs="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BF8E40">
      <w:pPr>
        <w:spacing w:line="600" w:lineRule="exact"/>
        <w:jc w:val="center"/>
        <w:rPr>
          <w:rStyle w:val="30"/>
          <w:rFonts w:eastAsia="黑体"/>
          <w:b w:val="0"/>
          <w:highlight w:val="none"/>
        </w:rPr>
      </w:pPr>
      <w:r>
        <w:rPr>
          <w:rFonts w:hint="eastAsia" w:eastAsia="仿宋_GB2312" w:cs="仿宋_GB2312"/>
          <w:sz w:val="32"/>
          <w:szCs w:val="32"/>
          <w:highlight w:val="none"/>
        </w:rPr>
        <w:br w:type="page"/>
      </w:r>
      <w:bookmarkStart w:id="48" w:name="_Toc15396614"/>
      <w:r>
        <w:rPr>
          <w:rFonts w:hint="eastAsia" w:eastAsia="黑体"/>
          <w:sz w:val="44"/>
          <w:szCs w:val="44"/>
          <w:highlight w:val="none"/>
        </w:rPr>
        <w:t>第四部分  附件</w:t>
      </w:r>
      <w:bookmarkEnd w:id="48"/>
    </w:p>
    <w:p w14:paraId="514D3D01">
      <w:pPr>
        <w:pStyle w:val="13"/>
        <w:rPr>
          <w:highlight w:val="none"/>
        </w:rPr>
      </w:pPr>
    </w:p>
    <w:p w14:paraId="6495FAAE">
      <w:pPr>
        <w:spacing w:line="572" w:lineRule="exact"/>
        <w:jc w:val="left"/>
        <w:outlineLvl w:val="0"/>
        <w:rPr>
          <w:rFonts w:eastAsia="黑体" w:cs="方正小标宋简体"/>
          <w:sz w:val="44"/>
          <w:szCs w:val="44"/>
          <w:highlight w:val="none"/>
        </w:rPr>
      </w:pPr>
      <w:r>
        <w:rPr>
          <w:rFonts w:hint="eastAsia" w:eastAsia="黑体" w:cs="黑体"/>
          <w:sz w:val="32"/>
          <w:szCs w:val="32"/>
          <w:highlight w:val="none"/>
        </w:rPr>
        <w:t>附件1</w:t>
      </w:r>
    </w:p>
    <w:p w14:paraId="08A12133">
      <w:pPr>
        <w:widowControl/>
        <w:spacing w:line="578" w:lineRule="exact"/>
        <w:contextualSpacing/>
        <w:jc w:val="center"/>
        <w:rPr>
          <w:rFonts w:eastAsia="方正小标宋简体"/>
          <w:bCs/>
          <w:sz w:val="44"/>
          <w:szCs w:val="44"/>
          <w:highlight w:val="none"/>
          <w:shd w:val="clear" w:color="auto" w:fill="FFFFFF"/>
        </w:rPr>
      </w:pPr>
    </w:p>
    <w:p w14:paraId="5CE5F042">
      <w:pPr>
        <w:widowControl/>
        <w:spacing w:line="578" w:lineRule="exact"/>
        <w:contextualSpacing/>
        <w:jc w:val="center"/>
        <w:rPr>
          <w:rFonts w:hint="eastAsia" w:ascii="Times New Roman" w:hAnsi="Times New Roman" w:eastAsia="方正小标宋简体" w:cs="Times New Roman"/>
          <w:bCs/>
          <w:sz w:val="44"/>
          <w:szCs w:val="44"/>
          <w:highlight w:val="none"/>
          <w:shd w:val="clear" w:color="auto" w:fill="FFFFFF"/>
          <w:lang w:val="en-US" w:eastAsia="zh-CN"/>
        </w:rPr>
      </w:pPr>
      <w:r>
        <w:rPr>
          <w:rFonts w:hint="eastAsia" w:ascii="Times New Roman" w:hAnsi="Times New Roman" w:eastAsia="方正小标宋简体" w:cs="Times New Roman"/>
          <w:bCs/>
          <w:sz w:val="44"/>
          <w:szCs w:val="44"/>
          <w:highlight w:val="none"/>
          <w:shd w:val="clear" w:color="auto" w:fill="FFFFFF"/>
          <w:lang w:val="en-US" w:eastAsia="zh-CN"/>
        </w:rPr>
        <w:t>攀枝花市仁和区融媒体中心</w:t>
      </w:r>
    </w:p>
    <w:p w14:paraId="277EAFC0">
      <w:pPr>
        <w:widowControl/>
        <w:spacing w:line="578" w:lineRule="exact"/>
        <w:contextualSpacing/>
        <w:jc w:val="center"/>
        <w:rPr>
          <w:rFonts w:eastAsia="仿宋_GB2312"/>
          <w:sz w:val="32"/>
          <w:szCs w:val="32"/>
          <w:highlight w:val="none"/>
          <w:shd w:val="clear" w:color="auto" w:fill="FFFFFF"/>
        </w:rPr>
      </w:pPr>
      <w:r>
        <w:rPr>
          <w:rFonts w:hint="eastAsia" w:ascii="Times New Roman" w:hAnsi="Times New Roman" w:eastAsia="方正小标宋简体" w:cs="Times New Roman"/>
          <w:bCs/>
          <w:sz w:val="44"/>
          <w:szCs w:val="44"/>
          <w:highlight w:val="none"/>
          <w:shd w:val="clear" w:color="auto" w:fill="FFFFFF"/>
          <w:lang w:val="en-US" w:eastAsia="zh-CN"/>
        </w:rPr>
        <w:t>2025年</w:t>
      </w:r>
      <w:r>
        <w:rPr>
          <w:rFonts w:ascii="Times New Roman" w:hAnsi="Times New Roman" w:eastAsia="方正小标宋简体" w:cs="Times New Roman"/>
          <w:bCs/>
          <w:sz w:val="44"/>
          <w:szCs w:val="44"/>
          <w:highlight w:val="none"/>
          <w:shd w:val="clear" w:color="auto" w:fill="FFFFFF"/>
        </w:rPr>
        <w:t>部门预</w:t>
      </w:r>
      <w:r>
        <w:rPr>
          <w:rFonts w:eastAsia="方正小标宋简体"/>
          <w:bCs/>
          <w:sz w:val="44"/>
          <w:szCs w:val="44"/>
          <w:highlight w:val="none"/>
          <w:shd w:val="clear" w:color="auto" w:fill="FFFFFF"/>
        </w:rPr>
        <w:t>算绩效</w:t>
      </w:r>
      <w:r>
        <w:rPr>
          <w:rFonts w:hint="eastAsia" w:eastAsia="方正小标宋简体"/>
          <w:bCs/>
          <w:sz w:val="44"/>
          <w:szCs w:val="44"/>
          <w:highlight w:val="none"/>
          <w:shd w:val="clear" w:color="auto" w:fill="FFFFFF"/>
        </w:rPr>
        <w:t>评价</w:t>
      </w:r>
      <w:r>
        <w:rPr>
          <w:rFonts w:eastAsia="方正小标宋简体"/>
          <w:bCs/>
          <w:sz w:val="44"/>
          <w:szCs w:val="44"/>
          <w:highlight w:val="none"/>
          <w:shd w:val="clear" w:color="auto" w:fill="FFFFFF"/>
        </w:rPr>
        <w:t>报告</w:t>
      </w:r>
    </w:p>
    <w:p w14:paraId="45802619">
      <w:pPr>
        <w:widowControl/>
        <w:adjustRightInd w:val="0"/>
        <w:snapToGrid w:val="0"/>
        <w:spacing w:line="578" w:lineRule="exact"/>
        <w:ind w:firstLine="480" w:firstLineChars="200"/>
        <w:contextualSpacing/>
        <w:jc w:val="left"/>
        <w:rPr>
          <w:rFonts w:eastAsia="黑体"/>
          <w:color w:val="000000"/>
          <w:kern w:val="0"/>
          <w:sz w:val="24"/>
          <w:szCs w:val="32"/>
          <w:highlight w:val="none"/>
          <w:shd w:val="clear" w:color="auto" w:fill="FFFFFF"/>
        </w:rPr>
      </w:pPr>
    </w:p>
    <w:p w14:paraId="25A808AE">
      <w:pPr>
        <w:widowControl/>
        <w:adjustRightInd w:val="0"/>
        <w:snapToGrid w:val="0"/>
        <w:spacing w:line="578" w:lineRule="exact"/>
        <w:ind w:firstLine="640" w:firstLineChars="200"/>
        <w:contextualSpacing/>
        <w:jc w:val="left"/>
        <w:rPr>
          <w:rFonts w:eastAsia="黑体"/>
          <w:color w:val="000000"/>
          <w:kern w:val="0"/>
          <w:sz w:val="32"/>
          <w:szCs w:val="32"/>
          <w:highlight w:val="none"/>
          <w:shd w:val="clear" w:color="auto" w:fill="FFFFFF"/>
          <w:lang w:val="zh-CN"/>
        </w:rPr>
      </w:pPr>
      <w:r>
        <w:rPr>
          <w:rFonts w:hint="eastAsia" w:eastAsia="黑体"/>
          <w:color w:val="000000"/>
          <w:kern w:val="0"/>
          <w:sz w:val="32"/>
          <w:szCs w:val="32"/>
          <w:highlight w:val="none"/>
          <w:shd w:val="clear" w:color="auto" w:fill="FFFFFF"/>
          <w:lang w:val="zh-CN"/>
        </w:rPr>
        <w:t>一、</w:t>
      </w:r>
      <w:r>
        <w:rPr>
          <w:rFonts w:eastAsia="黑体"/>
          <w:color w:val="000000"/>
          <w:kern w:val="0"/>
          <w:sz w:val="32"/>
          <w:szCs w:val="32"/>
          <w:highlight w:val="none"/>
          <w:shd w:val="clear" w:color="auto" w:fill="FFFFFF"/>
          <w:lang w:val="zh-CN"/>
        </w:rPr>
        <w:t>部门（单位）基本情况</w:t>
      </w:r>
    </w:p>
    <w:p w14:paraId="22B27700">
      <w:pPr>
        <w:widowControl/>
        <w:adjustRightInd w:val="0"/>
        <w:snapToGrid w:val="0"/>
        <w:spacing w:line="578" w:lineRule="exact"/>
        <w:ind w:firstLine="643" w:firstLineChars="200"/>
        <w:contextualSpacing/>
        <w:jc w:val="left"/>
        <w:rPr>
          <w:szCs w:val="32"/>
          <w:highlight w:val="none"/>
        </w:rPr>
      </w:pPr>
      <w:r>
        <w:rPr>
          <w:rFonts w:hint="eastAsia" w:eastAsia="楷体_GB2312" w:cs="楷体_GB2312"/>
          <w:b/>
          <w:sz w:val="32"/>
          <w:szCs w:val="32"/>
          <w:highlight w:val="none"/>
          <w:lang w:val="zh-CN"/>
        </w:rPr>
        <w:t>（一）</w:t>
      </w:r>
      <w:r>
        <w:rPr>
          <w:rFonts w:eastAsia="楷体_GB2312" w:cs="楷体_GB2312"/>
          <w:b/>
          <w:sz w:val="32"/>
          <w:szCs w:val="32"/>
          <w:highlight w:val="none"/>
          <w:lang w:val="zh-CN"/>
        </w:rPr>
        <w:t>机构组成。</w:t>
      </w:r>
    </w:p>
    <w:p w14:paraId="0EA6C011">
      <w:pPr>
        <w:spacing w:line="600" w:lineRule="exact"/>
        <w:ind w:firstLine="640" w:firstLineChars="20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攀枝花市仁和区融媒体中心（攀枝花市仁和区广播电视站、攀枝花市仁和区互联网信息中心）设 6 个内设机构，包括：新闻中心、新媒体中心、舆情中心、总编室、技术中心、办公室。</w:t>
      </w:r>
    </w:p>
    <w:p w14:paraId="3AE12DDF">
      <w:pPr>
        <w:widowControl/>
        <w:adjustRightInd w:val="0"/>
        <w:snapToGrid w:val="0"/>
        <w:spacing w:line="578" w:lineRule="exact"/>
        <w:ind w:firstLine="643" w:firstLineChars="200"/>
        <w:contextualSpacing/>
        <w:jc w:val="left"/>
        <w:rPr>
          <w:rFonts w:eastAsia="楷体_GB2312"/>
          <w:b/>
          <w:bCs/>
          <w:color w:val="000000"/>
          <w:kern w:val="0"/>
          <w:szCs w:val="32"/>
          <w:highlight w:val="none"/>
          <w:shd w:val="clear" w:color="auto" w:fill="FFFFFF"/>
          <w:lang w:val="zh-CN"/>
        </w:rPr>
      </w:pPr>
      <w:r>
        <w:rPr>
          <w:rFonts w:eastAsia="楷体_GB2312" w:cs="楷体_GB2312"/>
          <w:b/>
          <w:sz w:val="32"/>
          <w:szCs w:val="32"/>
          <w:highlight w:val="none"/>
          <w:lang w:val="zh-CN"/>
        </w:rPr>
        <w:t>（二）机构职能</w:t>
      </w:r>
      <w:r>
        <w:rPr>
          <w:rFonts w:hint="eastAsia" w:eastAsia="楷体_GB2312" w:cs="楷体_GB2312"/>
          <w:b/>
          <w:sz w:val="32"/>
          <w:szCs w:val="32"/>
          <w:highlight w:val="none"/>
          <w:lang w:val="zh-CN"/>
        </w:rPr>
        <w:t>。</w:t>
      </w:r>
    </w:p>
    <w:p w14:paraId="4FD12FAE">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zh-CN" w:eastAsia="zh-CN"/>
        </w:rPr>
        <w:t>负责贯彻执行党委、政府在新闻宣传、思想文化方面的路线、方针、政策；承办全区全媒体平台新闻宣传内容的采编及发布工作，组织全局性重大新闻宣传报道活动，为全区经济社会发展提供舆论支持，更好地引导群众、服务群众。</w:t>
      </w:r>
    </w:p>
    <w:p w14:paraId="4A8F7344">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zh-CN" w:eastAsia="zh-CN"/>
        </w:rPr>
        <w:t>负责全区网络舆情信息监测、研判、预警、报告工作；建立相关网络信息平台，防控化解网上舆情风险；对涉及仁和区的网络舆情进行跟踪、监控、通报、研究及处理；开展网络评论活动，做好网络舆论引导工作；受理网上舆论方面的投诉举报。</w:t>
      </w:r>
    </w:p>
    <w:p w14:paraId="6566478B">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zh-CN" w:eastAsia="zh-CN"/>
        </w:rPr>
        <w:t>根据媒体深度融合发展改革要求，加快构建全媒体传播体系，推进内容生产供给侧结构性改革，提升技术支撑能力，促进全区媒体融合事业高质量发展。</w:t>
      </w:r>
    </w:p>
    <w:p w14:paraId="0748F672">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zh-CN" w:eastAsia="zh-CN"/>
        </w:rPr>
        <w:t>保障全区全媒体平台的安全刊播，加强安全防范；负责按要求完成中央、省、市各级媒体重要内容的转播、转发工作。</w:t>
      </w:r>
    </w:p>
    <w:p w14:paraId="4BC56743">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zh-CN" w:eastAsia="zh-CN"/>
        </w:rPr>
        <w:t>承办全区新闻业务通联工作，积极开展对外宣传交流合作，协助区委宣传部做好上级媒体和新闻单位来区采访及其他工作。</w:t>
      </w:r>
    </w:p>
    <w:p w14:paraId="4BCE1609">
      <w:pPr>
        <w:spacing w:line="600" w:lineRule="exact"/>
        <w:ind w:firstLine="640" w:firstLineChars="200"/>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zh-CN" w:eastAsia="zh-CN"/>
        </w:rPr>
        <w:t>承办全区全媒体相关资料档案的收集、归类、保存和开发利用等工作。</w:t>
      </w:r>
    </w:p>
    <w:p w14:paraId="06801E37">
      <w:pPr>
        <w:spacing w:line="600" w:lineRule="exact"/>
        <w:ind w:firstLine="640" w:firstLineChars="200"/>
        <w:rPr>
          <w:rFonts w:hint="eastAsia" w:ascii="Times New Roman" w:hAnsi="Times New Roman" w:cs="Times New Roman"/>
          <w:color w:val="auto"/>
          <w:kern w:val="0"/>
          <w:sz w:val="32"/>
          <w:szCs w:val="32"/>
          <w:highlight w:val="none"/>
          <w:shd w:val="clear" w:color="auto" w:fill="FFFFFF"/>
          <w:lang w:val="zh-CN" w:eastAsia="zh-CN"/>
        </w:rPr>
      </w:pPr>
      <w:r>
        <w:rPr>
          <w:rFonts w:hint="eastAsia"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highlight w:val="none"/>
          <w:lang w:val="zh-CN" w:eastAsia="zh-CN"/>
        </w:rPr>
        <w:t>完成区委、区政府及区委宣传部交办的其他任务。</w:t>
      </w:r>
    </w:p>
    <w:p w14:paraId="0E8455E7">
      <w:pPr>
        <w:keepNext w:val="0"/>
        <w:keepLines w:val="0"/>
        <w:pageBreakBefore w:val="0"/>
        <w:widowControl/>
        <w:kinsoku/>
        <w:wordWrap/>
        <w:topLinePunct w:val="0"/>
        <w:bidi w:val="0"/>
        <w:adjustRightInd w:val="0"/>
        <w:snapToGrid w:val="0"/>
        <w:spacing w:line="560" w:lineRule="exact"/>
        <w:ind w:firstLine="643" w:firstLineChars="200"/>
        <w:contextualSpacing/>
        <w:jc w:val="left"/>
        <w:textAlignment w:val="auto"/>
        <w:rPr>
          <w:rFonts w:hint="eastAsia" w:eastAsia="楷体_GB2312"/>
          <w:b/>
          <w:bCs/>
          <w:color w:val="000000"/>
          <w:kern w:val="0"/>
          <w:sz w:val="32"/>
          <w:szCs w:val="32"/>
          <w:highlight w:val="none"/>
          <w:shd w:val="clear" w:color="auto" w:fill="FFFFFF"/>
          <w:lang w:val="zh-CN"/>
        </w:rPr>
      </w:pPr>
      <w:r>
        <w:rPr>
          <w:rFonts w:eastAsia="楷体_GB2312"/>
          <w:b/>
          <w:bCs/>
          <w:color w:val="000000"/>
          <w:kern w:val="0"/>
          <w:sz w:val="32"/>
          <w:szCs w:val="32"/>
          <w:highlight w:val="none"/>
          <w:shd w:val="clear" w:color="auto" w:fill="FFFFFF"/>
          <w:lang w:val="zh-CN"/>
        </w:rPr>
        <w:t>（</w:t>
      </w:r>
      <w:r>
        <w:rPr>
          <w:rFonts w:hint="eastAsia" w:eastAsia="楷体_GB2312"/>
          <w:b/>
          <w:bCs/>
          <w:color w:val="000000"/>
          <w:kern w:val="0"/>
          <w:sz w:val="32"/>
          <w:szCs w:val="32"/>
          <w:highlight w:val="none"/>
          <w:shd w:val="clear" w:color="auto" w:fill="FFFFFF"/>
          <w:lang w:val="zh-CN"/>
        </w:rPr>
        <w:t>三</w:t>
      </w:r>
      <w:r>
        <w:rPr>
          <w:rFonts w:eastAsia="楷体_GB2312"/>
          <w:b/>
          <w:bCs/>
          <w:color w:val="000000"/>
          <w:kern w:val="0"/>
          <w:sz w:val="32"/>
          <w:szCs w:val="32"/>
          <w:highlight w:val="none"/>
          <w:shd w:val="clear" w:color="auto" w:fill="FFFFFF"/>
          <w:lang w:val="zh-CN"/>
        </w:rPr>
        <w:t>）人员概况</w:t>
      </w:r>
      <w:r>
        <w:rPr>
          <w:rFonts w:hint="eastAsia" w:eastAsia="楷体_GB2312"/>
          <w:b/>
          <w:bCs/>
          <w:color w:val="000000"/>
          <w:kern w:val="0"/>
          <w:sz w:val="32"/>
          <w:szCs w:val="32"/>
          <w:highlight w:val="none"/>
          <w:shd w:val="clear" w:color="auto" w:fill="FFFFFF"/>
          <w:lang w:val="zh-CN"/>
        </w:rPr>
        <w:t>。</w:t>
      </w:r>
    </w:p>
    <w:p w14:paraId="513B665B">
      <w:pPr>
        <w:spacing w:line="600" w:lineRule="exact"/>
        <w:ind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zh-CN" w:eastAsia="zh-CN"/>
        </w:rPr>
        <w:t>截至2025年末，</w:t>
      </w:r>
      <w:r>
        <w:rPr>
          <w:rFonts w:hint="eastAsia" w:ascii="Times New Roman" w:hAnsi="Times New Roman" w:eastAsia="仿宋_GB2312" w:cs="Times New Roman"/>
          <w:sz w:val="32"/>
          <w:szCs w:val="32"/>
          <w:highlight w:val="none"/>
          <w:lang w:val="en-US" w:eastAsia="zh-CN"/>
        </w:rPr>
        <w:t xml:space="preserve">攀枝花市仁和区融媒体中心（攀枝花市仁和区广播电视站、攀枝花市仁和区互联网信息中心）事业编制 19 名，（含自收自支人员2名）设主任 </w:t>
      </w:r>
      <w:r>
        <w:rPr>
          <w:rFonts w:hint="default" w:ascii="Times New Roman" w:hAnsi="Times New Roman" w:eastAsia="仿宋_GB2312" w:cs="Times New Roman"/>
          <w:sz w:val="32"/>
          <w:szCs w:val="32"/>
          <w:highlight w:val="none"/>
          <w:lang w:val="en-US" w:eastAsia="zh-CN"/>
        </w:rPr>
        <w:t xml:space="preserve">1 </w:t>
      </w:r>
      <w:r>
        <w:rPr>
          <w:rFonts w:hint="eastAsia" w:ascii="Times New Roman" w:hAnsi="Times New Roman" w:eastAsia="仿宋_GB2312" w:cs="Times New Roman"/>
          <w:sz w:val="32"/>
          <w:szCs w:val="32"/>
          <w:highlight w:val="none"/>
          <w:lang w:val="en-US" w:eastAsia="zh-CN"/>
        </w:rPr>
        <w:t xml:space="preserve">名（按正科级干部管理），副主任 </w:t>
      </w:r>
      <w:r>
        <w:rPr>
          <w:rFonts w:hint="default"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 xml:space="preserve">名（按副科级干部管理）。 </w:t>
      </w:r>
    </w:p>
    <w:p w14:paraId="614294DE">
      <w:pPr>
        <w:spacing w:line="600" w:lineRule="exact"/>
        <w:ind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2025年年末实有人数17人（含自收自支人员2名），退休人员10名。</w:t>
      </w:r>
    </w:p>
    <w:p w14:paraId="5FF3602D">
      <w:pPr>
        <w:widowControl/>
        <w:adjustRightInd w:val="0"/>
        <w:snapToGrid w:val="0"/>
        <w:spacing w:line="578" w:lineRule="exact"/>
        <w:ind w:firstLine="640" w:firstLineChars="200"/>
        <w:contextualSpacing/>
        <w:jc w:val="left"/>
        <w:rPr>
          <w:rFonts w:eastAsia="黑体"/>
          <w:color w:val="000000"/>
          <w:kern w:val="0"/>
          <w:sz w:val="32"/>
          <w:szCs w:val="32"/>
          <w:highlight w:val="none"/>
          <w:shd w:val="clear" w:color="auto" w:fill="FFFFFF"/>
          <w:lang w:val="zh-CN"/>
        </w:rPr>
      </w:pPr>
      <w:r>
        <w:rPr>
          <w:rFonts w:eastAsia="黑体"/>
          <w:color w:val="000000"/>
          <w:kern w:val="0"/>
          <w:sz w:val="32"/>
          <w:szCs w:val="32"/>
          <w:highlight w:val="none"/>
          <w:shd w:val="clear" w:color="auto" w:fill="FFFFFF"/>
          <w:lang w:val="zh-CN"/>
        </w:rPr>
        <w:t>二、部门资金收支情况</w:t>
      </w:r>
    </w:p>
    <w:p w14:paraId="3BAE7CBA">
      <w:pPr>
        <w:spacing w:line="600" w:lineRule="exact"/>
        <w:ind w:firstLine="640" w:firstLineChars="200"/>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sz w:val="32"/>
          <w:szCs w:val="32"/>
          <w:highlight w:val="none"/>
          <w:lang w:val="zh-CN" w:eastAsia="zh-CN"/>
        </w:rPr>
        <w:t>（一）收入情况</w:t>
      </w:r>
    </w:p>
    <w:p w14:paraId="59FCD9D5">
      <w:pPr>
        <w:spacing w:line="600" w:lineRule="exact"/>
        <w:ind w:firstLine="640" w:firstLineChars="20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仁和区融媒体中心 2025 年</w:t>
      </w:r>
      <w:r>
        <w:rPr>
          <w:rFonts w:hint="eastAsia" w:ascii="Times New Roman" w:hAnsi="Times New Roman" w:eastAsia="仿宋_GB2312" w:cs="Times New Roman"/>
          <w:sz w:val="32"/>
          <w:szCs w:val="32"/>
          <w:highlight w:val="none"/>
          <w:lang w:val="zh-CN" w:eastAsia="zh-CN"/>
        </w:rPr>
        <w:t>财政资金</w:t>
      </w:r>
      <w:r>
        <w:rPr>
          <w:rFonts w:hint="eastAsia" w:ascii="Times New Roman" w:hAnsi="Times New Roman" w:eastAsia="仿宋_GB2312" w:cs="Times New Roman"/>
          <w:sz w:val="32"/>
          <w:szCs w:val="32"/>
          <w:highlight w:val="none"/>
          <w:lang w:val="en-US" w:eastAsia="zh-CN"/>
        </w:rPr>
        <w:t>总</w:t>
      </w:r>
      <w:r>
        <w:rPr>
          <w:rFonts w:hint="eastAsia" w:ascii="Times New Roman" w:hAnsi="Times New Roman" w:eastAsia="仿宋_GB2312" w:cs="Times New Roman"/>
          <w:sz w:val="32"/>
          <w:szCs w:val="32"/>
          <w:highlight w:val="none"/>
          <w:lang w:val="zh-CN" w:eastAsia="zh-CN"/>
        </w:rPr>
        <w:t>收入</w:t>
      </w:r>
      <w:r>
        <w:rPr>
          <w:rFonts w:hint="eastAsia" w:ascii="Times New Roman" w:hAnsi="Times New Roman" w:eastAsia="仿宋_GB2312" w:cs="Times New Roman"/>
          <w:sz w:val="32"/>
          <w:szCs w:val="32"/>
          <w:highlight w:val="none"/>
          <w:lang w:val="en-US" w:eastAsia="zh-CN"/>
        </w:rPr>
        <w:t>539.48万元，其中：年初财政预算收入428.56万元，财政追加预算收入58.74万元，上年结转52.18万元。</w:t>
      </w:r>
    </w:p>
    <w:p w14:paraId="54CC576F">
      <w:pPr>
        <w:spacing w:line="600" w:lineRule="exact"/>
        <w:ind w:firstLine="640" w:firstLineChars="200"/>
        <w:rPr>
          <w:rFonts w:hint="default"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w:t>
      </w:r>
      <w:r>
        <w:rPr>
          <w:rFonts w:hint="eastAsia" w:ascii="Times New Roman" w:hAnsi="Times New Roman" w:eastAsia="仿宋_GB2312" w:cs="Times New Roman"/>
          <w:sz w:val="32"/>
          <w:szCs w:val="32"/>
          <w:highlight w:val="none"/>
          <w:lang w:val="en-US" w:eastAsia="zh-CN"/>
        </w:rPr>
        <w:t>二</w:t>
      </w:r>
      <w:r>
        <w:rPr>
          <w:rFonts w:hint="eastAsia" w:ascii="Times New Roman" w:hAnsi="Times New Roman" w:eastAsia="仿宋_GB2312" w:cs="Times New Roman"/>
          <w:sz w:val="32"/>
          <w:szCs w:val="32"/>
          <w:highlight w:val="none"/>
          <w:lang w:val="zh-CN" w:eastAsia="zh-CN"/>
        </w:rPr>
        <w:t>）</w:t>
      </w:r>
      <w:r>
        <w:rPr>
          <w:rFonts w:hint="default" w:ascii="Times New Roman" w:hAnsi="Times New Roman" w:eastAsia="仿宋_GB2312" w:cs="Times New Roman"/>
          <w:sz w:val="32"/>
          <w:szCs w:val="32"/>
          <w:highlight w:val="none"/>
          <w:lang w:val="zh-CN" w:eastAsia="zh-CN"/>
        </w:rPr>
        <w:t>支出情况</w:t>
      </w:r>
    </w:p>
    <w:p w14:paraId="30D067E3">
      <w:pPr>
        <w:spacing w:line="600" w:lineRule="exact"/>
        <w:ind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仁和区融媒体中心 2025年度资金总支出499.34万元，其中：基本支出351.12万元；项目支出148.22万元。2025年度资金支出执行率为94.09%，财政追减资金31.36万元。</w:t>
      </w:r>
    </w:p>
    <w:p w14:paraId="15781759">
      <w:pPr>
        <w:keepNext w:val="0"/>
        <w:keepLines w:val="0"/>
        <w:pageBreakBefore w:val="0"/>
        <w:widowControl/>
        <w:numPr>
          <w:ilvl w:val="0"/>
          <w:numId w:val="1"/>
        </w:numPr>
        <w:kinsoku/>
        <w:wordWrap/>
        <w:topLinePunct w:val="0"/>
        <w:bidi w:val="0"/>
        <w:adjustRightInd w:val="0"/>
        <w:snapToGrid w:val="0"/>
        <w:spacing w:line="560" w:lineRule="exact"/>
        <w:ind w:firstLine="643" w:firstLineChars="200"/>
        <w:contextualSpacing/>
        <w:jc w:val="left"/>
        <w:textAlignment w:val="auto"/>
        <w:rPr>
          <w:rFonts w:eastAsia="楷体_GB2312"/>
          <w:b/>
          <w:color w:val="auto"/>
          <w:sz w:val="32"/>
          <w:szCs w:val="32"/>
          <w:highlight w:val="none"/>
        </w:rPr>
      </w:pPr>
      <w:r>
        <w:rPr>
          <w:rFonts w:hint="eastAsia" w:ascii="Times New Roman" w:hAnsi="Times New Roman" w:eastAsia="方正楷体_GBK" w:cs="Times New Roman"/>
          <w:b/>
          <w:bCs/>
          <w:snapToGrid/>
          <w:color w:val="auto"/>
          <w:sz w:val="32"/>
          <w:szCs w:val="32"/>
          <w:highlight w:val="none"/>
          <w:lang w:val="en-US" w:eastAsia="zh-CN"/>
        </w:rPr>
        <w:t>结余分配和结转</w:t>
      </w:r>
      <w:r>
        <w:rPr>
          <w:rFonts w:eastAsia="楷体_GB2312"/>
          <w:b/>
          <w:color w:val="auto"/>
          <w:sz w:val="32"/>
          <w:szCs w:val="32"/>
          <w:highlight w:val="none"/>
        </w:rPr>
        <w:t>结余情况</w:t>
      </w:r>
    </w:p>
    <w:p w14:paraId="0724AC52">
      <w:pPr>
        <w:pStyle w:val="14"/>
        <w:rPr>
          <w:rFonts w:hint="eastAsia" w:ascii="Times New Roman" w:hAnsi="Times New Roman" w:eastAsia="仿宋_GB2312" w:cs="Times New Roman"/>
          <w:kern w:val="2"/>
          <w:sz w:val="32"/>
          <w:szCs w:val="32"/>
          <w:highlight w:val="none"/>
          <w:lang w:val="zh-CN" w:eastAsia="zh-CN" w:bidi="ar-SA"/>
        </w:rPr>
      </w:pPr>
      <w:r>
        <w:rPr>
          <w:rFonts w:hint="eastAsia" w:ascii="Times New Roman" w:hAnsi="Times New Roman" w:eastAsia="仿宋_GB2312" w:cs="Times New Roman"/>
          <w:kern w:val="2"/>
          <w:sz w:val="32"/>
          <w:szCs w:val="32"/>
          <w:highlight w:val="none"/>
          <w:lang w:val="en-US" w:eastAsia="zh-CN" w:bidi="ar-SA"/>
        </w:rPr>
        <w:t>区融媒体中心2025年决算报表无结转结余情况。</w:t>
      </w:r>
    </w:p>
    <w:p w14:paraId="1BC74A37">
      <w:pPr>
        <w:widowControl/>
        <w:adjustRightInd w:val="0"/>
        <w:snapToGrid w:val="0"/>
        <w:spacing w:line="578" w:lineRule="exact"/>
        <w:ind w:firstLine="640" w:firstLineChars="200"/>
        <w:contextualSpacing/>
        <w:jc w:val="left"/>
        <w:rPr>
          <w:rFonts w:eastAsia="黑体"/>
          <w:color w:val="000000"/>
          <w:kern w:val="0"/>
          <w:sz w:val="32"/>
          <w:szCs w:val="32"/>
          <w:highlight w:val="none"/>
          <w:shd w:val="clear" w:color="auto" w:fill="FFFFFF"/>
          <w:lang w:val="zh-CN"/>
        </w:rPr>
      </w:pPr>
      <w:r>
        <w:rPr>
          <w:rFonts w:eastAsia="黑体"/>
          <w:color w:val="000000"/>
          <w:kern w:val="0"/>
          <w:sz w:val="32"/>
          <w:szCs w:val="32"/>
          <w:highlight w:val="none"/>
          <w:shd w:val="clear" w:color="auto" w:fill="FFFFFF"/>
          <w:lang w:val="zh-CN"/>
        </w:rPr>
        <w:t>三、部门预算绩效分析</w:t>
      </w:r>
    </w:p>
    <w:p w14:paraId="43BE8182">
      <w:pPr>
        <w:keepNext w:val="0"/>
        <w:keepLines w:val="0"/>
        <w:pageBreakBefore w:val="0"/>
        <w:kinsoku/>
        <w:wordWrap/>
        <w:topLinePunct w:val="0"/>
        <w:bidi w:val="0"/>
        <w:adjustRightInd w:val="0"/>
        <w:snapToGrid w:val="0"/>
        <w:spacing w:line="560" w:lineRule="exact"/>
        <w:ind w:firstLine="643" w:firstLineChars="200"/>
        <w:contextualSpacing/>
        <w:jc w:val="left"/>
        <w:textAlignment w:val="auto"/>
        <w:rPr>
          <w:rFonts w:eastAsia="楷体_GB2312"/>
          <w:color w:val="auto"/>
          <w:kern w:val="0"/>
          <w:sz w:val="32"/>
          <w:szCs w:val="32"/>
          <w:highlight w:val="none"/>
          <w:shd w:val="clear" w:color="auto" w:fill="FFFFFF"/>
          <w:lang w:val="zh-CN"/>
        </w:rPr>
      </w:pPr>
      <w:r>
        <w:rPr>
          <w:rFonts w:eastAsia="楷体_GB2312"/>
          <w:b/>
          <w:bCs/>
          <w:color w:val="auto"/>
          <w:kern w:val="0"/>
          <w:sz w:val="32"/>
          <w:szCs w:val="32"/>
          <w:highlight w:val="none"/>
          <w:shd w:val="clear" w:color="auto" w:fill="FFFFFF"/>
          <w:lang w:val="zh-CN"/>
        </w:rPr>
        <w:t>（一）部门预算总体绩效分析</w:t>
      </w:r>
    </w:p>
    <w:p w14:paraId="1B1B8C86">
      <w:pPr>
        <w:keepNext w:val="0"/>
        <w:keepLines w:val="0"/>
        <w:pageBreakBefore w:val="0"/>
        <w:widowControl/>
        <w:numPr>
          <w:ilvl w:val="0"/>
          <w:numId w:val="0"/>
        </w:numPr>
        <w:kinsoku/>
        <w:wordWrap/>
        <w:topLinePunct w:val="0"/>
        <w:bidi w:val="0"/>
        <w:adjustRightInd w:val="0"/>
        <w:snapToGrid w:val="0"/>
        <w:spacing w:line="560" w:lineRule="exact"/>
        <w:ind w:firstLine="640" w:firstLineChars="200"/>
        <w:contextualSpacing/>
        <w:jc w:val="left"/>
        <w:textAlignment w:val="auto"/>
        <w:rPr>
          <w:rFonts w:hint="eastAsia" w:ascii="Times New Roman" w:hAnsi="Times New Roman" w:eastAsia="方正仿宋_GBK" w:cs="Times New Roman"/>
          <w:color w:val="auto"/>
          <w:kern w:val="0"/>
          <w:sz w:val="32"/>
          <w:szCs w:val="32"/>
          <w:highlight w:val="none"/>
          <w:lang w:val="zh-CN" w:eastAsia="zh-CN"/>
        </w:rPr>
      </w:pPr>
      <w:r>
        <w:rPr>
          <w:rFonts w:hint="eastAsia" w:ascii="Times New Roman" w:hAnsi="Times New Roman" w:eastAsia="方正仿宋_GBK" w:cs="Times New Roman"/>
          <w:color w:val="auto"/>
          <w:kern w:val="0"/>
          <w:sz w:val="32"/>
          <w:szCs w:val="32"/>
          <w:highlight w:val="none"/>
          <w:lang w:val="en-US" w:eastAsia="zh-CN"/>
        </w:rPr>
        <w:t>1.</w:t>
      </w:r>
      <w:r>
        <w:rPr>
          <w:rFonts w:hint="eastAsia" w:ascii="Times New Roman" w:hAnsi="Times New Roman" w:eastAsia="方正仿宋_GBK" w:cs="Times New Roman"/>
          <w:color w:val="auto"/>
          <w:kern w:val="0"/>
          <w:sz w:val="32"/>
          <w:szCs w:val="32"/>
          <w:highlight w:val="none"/>
          <w:lang w:val="zh-CN" w:eastAsia="zh-CN"/>
        </w:rPr>
        <w:t>履职效能。</w:t>
      </w:r>
      <w:r>
        <w:rPr>
          <w:rFonts w:hint="eastAsia" w:ascii="Times New Roman" w:hAnsi="Times New Roman" w:eastAsia="方正仿宋_GBK" w:cs="Times New Roman"/>
          <w:color w:val="auto"/>
          <w:kern w:val="0"/>
          <w:sz w:val="32"/>
          <w:szCs w:val="32"/>
          <w:highlight w:val="none"/>
          <w:lang w:val="en-US" w:eastAsia="zh-CN"/>
        </w:rPr>
        <w:t>区融媒体中心通过各项指标的完成，确保了单位正常运转和各项目标任务的圆满完成。部门整体支出自评工作在预算编制、预</w:t>
      </w:r>
      <w:r>
        <w:rPr>
          <w:rFonts w:hint="eastAsia" w:ascii="Times New Roman" w:hAnsi="Times New Roman" w:cs="Times New Roman"/>
          <w:color w:val="auto"/>
          <w:kern w:val="0"/>
          <w:sz w:val="32"/>
          <w:szCs w:val="32"/>
          <w:highlight w:val="none"/>
          <w:shd w:val="clear" w:color="auto" w:fill="FFFFFF"/>
          <w:lang w:val="en-US" w:eastAsia="zh-CN"/>
        </w:rPr>
        <w:t>算执行、支出绩效方面，严格按照规定执行，涉及“三重一大”事项必须经中心主任会议研究决定，“三公”经费按规定逐年下降。严格按照资金管理办法，做到项目资金</w:t>
      </w:r>
      <w:r>
        <w:rPr>
          <w:rFonts w:hint="eastAsia" w:cs="Times New Roman"/>
          <w:color w:val="auto"/>
          <w:kern w:val="0"/>
          <w:sz w:val="32"/>
          <w:szCs w:val="32"/>
          <w:highlight w:val="none"/>
          <w:shd w:val="clear" w:color="auto" w:fill="FFFFFF"/>
          <w:lang w:val="en-US" w:eastAsia="zh-CN"/>
        </w:rPr>
        <w:t>专款专用</w:t>
      </w:r>
      <w:r>
        <w:rPr>
          <w:rFonts w:hint="eastAsia" w:ascii="Times New Roman" w:hAnsi="Times New Roman" w:cs="Times New Roman"/>
          <w:color w:val="auto"/>
          <w:kern w:val="0"/>
          <w:sz w:val="32"/>
          <w:szCs w:val="32"/>
          <w:highlight w:val="none"/>
          <w:shd w:val="clear" w:color="auto" w:fill="FFFFFF"/>
          <w:lang w:val="en-US" w:eastAsia="zh-CN"/>
        </w:rPr>
        <w:t>，无截留、无挪用等现象，使财政资金发挥最大使用效益。但是，部分项目执行率低，需加快项目实施进度和资金支付进度。</w:t>
      </w:r>
      <w:r>
        <w:rPr>
          <w:rFonts w:hint="eastAsia" w:ascii="Times New Roman" w:hAnsi="Times New Roman" w:eastAsia="方正仿宋_GBK" w:cs="Times New Roman"/>
          <w:color w:val="auto"/>
          <w:kern w:val="0"/>
          <w:sz w:val="32"/>
          <w:szCs w:val="32"/>
          <w:highlight w:val="none"/>
          <w:lang w:val="en-US" w:eastAsia="zh-CN"/>
        </w:rPr>
        <w:t>服务对象满意度≥90%。</w:t>
      </w:r>
    </w:p>
    <w:p w14:paraId="1075A4ED">
      <w:pPr>
        <w:keepNext w:val="0"/>
        <w:keepLines w:val="0"/>
        <w:pageBreakBefore w:val="0"/>
        <w:widowControl/>
        <w:numPr>
          <w:ilvl w:val="0"/>
          <w:numId w:val="0"/>
        </w:numPr>
        <w:kinsoku/>
        <w:wordWrap/>
        <w:topLinePunct w:val="0"/>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auto"/>
          <w:kern w:val="0"/>
          <w:sz w:val="32"/>
          <w:szCs w:val="32"/>
          <w:highlight w:val="none"/>
          <w:shd w:val="clear" w:color="auto" w:fill="FFFFFF"/>
          <w:lang w:val="en-US" w:eastAsia="zh-CN"/>
        </w:rPr>
      </w:pPr>
      <w:r>
        <w:rPr>
          <w:rFonts w:hint="eastAsia" w:ascii="Times New Roman" w:hAnsi="Times New Roman" w:cs="Times New Roman"/>
          <w:color w:val="auto"/>
          <w:kern w:val="0"/>
          <w:sz w:val="32"/>
          <w:szCs w:val="32"/>
          <w:highlight w:val="none"/>
          <w:shd w:val="clear" w:color="auto" w:fill="FFFFFF"/>
          <w:lang w:val="en-US" w:eastAsia="zh-CN"/>
        </w:rPr>
        <w:t>2.</w:t>
      </w:r>
      <w:r>
        <w:rPr>
          <w:rFonts w:hint="eastAsia" w:ascii="Times New Roman" w:hAnsi="Times New Roman" w:cs="Times New Roman"/>
          <w:color w:val="auto"/>
          <w:kern w:val="0"/>
          <w:sz w:val="32"/>
          <w:szCs w:val="32"/>
          <w:highlight w:val="none"/>
          <w:shd w:val="clear" w:color="auto" w:fill="FFFFFF"/>
          <w:lang w:val="zh-CN" w:eastAsia="zh-CN"/>
        </w:rPr>
        <w:t>预算管理。</w:t>
      </w:r>
      <w:r>
        <w:rPr>
          <w:rFonts w:hint="eastAsia" w:ascii="Times New Roman" w:hAnsi="Times New Roman" w:cs="Times New Roman"/>
          <w:color w:val="auto"/>
          <w:kern w:val="0"/>
          <w:sz w:val="32"/>
          <w:szCs w:val="32"/>
          <w:highlight w:val="none"/>
          <w:shd w:val="clear" w:color="auto" w:fill="FFFFFF"/>
          <w:lang w:val="en-US" w:eastAsia="zh-CN"/>
        </w:rPr>
        <w:t>严格按照财政部门的要求，科学编制年度预算，确保预算的合理性和可执行性。因财政资金调度困难，本年预算资金执行进度滞后，年终整体预算无结转结余。部门严控“三公”经费、会议、培训、差旅、办公设备购置、信息网络及软件购置更新、课题经费等一般性支出，推动预算与绩效挂钩，确保资金使用效益最大化。</w:t>
      </w:r>
    </w:p>
    <w:p w14:paraId="34876EB2">
      <w:pPr>
        <w:keepNext w:val="0"/>
        <w:keepLines w:val="0"/>
        <w:pageBreakBefore w:val="0"/>
        <w:widowControl/>
        <w:numPr>
          <w:ilvl w:val="0"/>
          <w:numId w:val="0"/>
        </w:numPr>
        <w:kinsoku/>
        <w:wordWrap/>
        <w:topLinePunct w:val="0"/>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auto"/>
          <w:kern w:val="0"/>
          <w:sz w:val="32"/>
          <w:szCs w:val="32"/>
          <w:highlight w:val="none"/>
          <w:shd w:val="clear" w:color="auto" w:fill="FFFFFF"/>
          <w:lang w:val="zh-CN" w:eastAsia="zh-CN"/>
        </w:rPr>
      </w:pPr>
      <w:r>
        <w:rPr>
          <w:rFonts w:hint="eastAsia" w:ascii="Times New Roman" w:hAnsi="Times New Roman" w:cs="Times New Roman"/>
          <w:color w:val="auto"/>
          <w:kern w:val="0"/>
          <w:sz w:val="32"/>
          <w:szCs w:val="32"/>
          <w:highlight w:val="none"/>
          <w:shd w:val="clear" w:color="auto" w:fill="FFFFFF"/>
          <w:lang w:val="en-US" w:eastAsia="zh-CN"/>
        </w:rPr>
        <w:t>3.</w:t>
      </w:r>
      <w:r>
        <w:rPr>
          <w:rFonts w:hint="eastAsia" w:ascii="Times New Roman" w:hAnsi="Times New Roman" w:cs="Times New Roman"/>
          <w:color w:val="auto"/>
          <w:kern w:val="0"/>
          <w:sz w:val="32"/>
          <w:szCs w:val="32"/>
          <w:highlight w:val="none"/>
          <w:shd w:val="clear" w:color="auto" w:fill="FFFFFF"/>
          <w:lang w:val="zh-CN" w:eastAsia="zh-CN"/>
        </w:rPr>
        <w:t>财务管理。本单位建立健全财务管理制度，并按相关要求进行落实。财务岗位设置合理，明确职责权限。部门资金使用符合财务管理制度规定。</w:t>
      </w:r>
    </w:p>
    <w:p w14:paraId="06B60B49">
      <w:pPr>
        <w:keepNext w:val="0"/>
        <w:keepLines w:val="0"/>
        <w:pageBreakBefore w:val="0"/>
        <w:widowControl/>
        <w:numPr>
          <w:ilvl w:val="0"/>
          <w:numId w:val="0"/>
        </w:numPr>
        <w:kinsoku/>
        <w:wordWrap/>
        <w:topLinePunct w:val="0"/>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auto"/>
          <w:kern w:val="0"/>
          <w:sz w:val="32"/>
          <w:szCs w:val="32"/>
          <w:highlight w:val="none"/>
          <w:shd w:val="clear" w:color="auto" w:fill="FFFFFF"/>
          <w:lang w:val="en-US" w:eastAsia="zh-CN"/>
        </w:rPr>
      </w:pPr>
      <w:r>
        <w:rPr>
          <w:rFonts w:hint="eastAsia" w:ascii="Times New Roman" w:hAnsi="Times New Roman" w:cs="Times New Roman"/>
          <w:color w:val="auto"/>
          <w:kern w:val="0"/>
          <w:sz w:val="32"/>
          <w:szCs w:val="32"/>
          <w:highlight w:val="none"/>
          <w:shd w:val="clear" w:color="auto" w:fill="FFFFFF"/>
          <w:lang w:val="en-US" w:eastAsia="zh-CN"/>
        </w:rPr>
        <w:t>4.</w:t>
      </w:r>
      <w:r>
        <w:rPr>
          <w:rFonts w:hint="eastAsia" w:ascii="Times New Roman" w:hAnsi="Times New Roman" w:cs="Times New Roman"/>
          <w:color w:val="auto"/>
          <w:kern w:val="0"/>
          <w:sz w:val="32"/>
          <w:szCs w:val="32"/>
          <w:highlight w:val="none"/>
          <w:shd w:val="clear" w:color="auto" w:fill="FFFFFF"/>
          <w:lang w:val="zh-CN" w:eastAsia="zh-CN"/>
        </w:rPr>
        <w:t>资产管理。</w:t>
      </w:r>
      <w:r>
        <w:rPr>
          <w:rFonts w:hint="eastAsia" w:ascii="Times New Roman" w:hAnsi="Times New Roman" w:cs="Times New Roman"/>
          <w:color w:val="auto"/>
          <w:kern w:val="0"/>
          <w:sz w:val="32"/>
          <w:szCs w:val="32"/>
          <w:highlight w:val="none"/>
          <w:shd w:val="clear" w:color="auto" w:fill="FFFFFF"/>
          <w:lang w:val="en-US" w:eastAsia="zh-CN"/>
        </w:rPr>
        <w:t>加强固定资产管理，资产利用率达100%。规范资产采购和处置流程，进一步推进资产信息化管理，提高资产管理的效率和准确性。</w:t>
      </w:r>
    </w:p>
    <w:p w14:paraId="363C3655">
      <w:pPr>
        <w:keepNext w:val="0"/>
        <w:keepLines w:val="0"/>
        <w:pageBreakBefore w:val="0"/>
        <w:widowControl/>
        <w:numPr>
          <w:ilvl w:val="0"/>
          <w:numId w:val="0"/>
        </w:numPr>
        <w:kinsoku/>
        <w:wordWrap/>
        <w:topLinePunct w:val="0"/>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auto"/>
          <w:kern w:val="0"/>
          <w:sz w:val="32"/>
          <w:szCs w:val="32"/>
          <w:highlight w:val="none"/>
          <w:shd w:val="clear" w:color="auto" w:fill="FFFFFF"/>
          <w:lang w:val="en-US" w:eastAsia="zh-CN"/>
        </w:rPr>
      </w:pPr>
      <w:r>
        <w:rPr>
          <w:rFonts w:hint="eastAsia" w:ascii="Times New Roman" w:hAnsi="Times New Roman" w:cs="Times New Roman"/>
          <w:color w:val="auto"/>
          <w:kern w:val="0"/>
          <w:sz w:val="32"/>
          <w:szCs w:val="32"/>
          <w:highlight w:val="none"/>
          <w:shd w:val="clear" w:color="auto" w:fill="FFFFFF"/>
          <w:lang w:val="en-US" w:eastAsia="zh-CN"/>
        </w:rPr>
        <w:t>5.</w:t>
      </w:r>
      <w:r>
        <w:rPr>
          <w:rFonts w:hint="eastAsia" w:ascii="Times New Roman" w:hAnsi="Times New Roman" w:cs="Times New Roman"/>
          <w:color w:val="auto"/>
          <w:kern w:val="0"/>
          <w:sz w:val="32"/>
          <w:szCs w:val="32"/>
          <w:highlight w:val="none"/>
          <w:shd w:val="clear" w:color="auto" w:fill="FFFFFF"/>
          <w:lang w:val="zh-CN" w:eastAsia="zh-CN"/>
        </w:rPr>
        <w:t>采购管理。</w:t>
      </w:r>
      <w:r>
        <w:rPr>
          <w:rFonts w:hint="eastAsia" w:ascii="Times New Roman" w:hAnsi="Times New Roman" w:cs="Times New Roman"/>
          <w:color w:val="auto"/>
          <w:kern w:val="0"/>
          <w:sz w:val="32"/>
          <w:szCs w:val="32"/>
          <w:highlight w:val="none"/>
          <w:shd w:val="clear" w:color="auto" w:fill="FFFFFF"/>
          <w:lang w:val="en-US" w:eastAsia="zh-CN"/>
        </w:rPr>
        <w:t>2025年未进行采购，采购执行率为0%。</w:t>
      </w:r>
    </w:p>
    <w:p w14:paraId="4CF3D27E">
      <w:pPr>
        <w:keepNext w:val="0"/>
        <w:keepLines w:val="0"/>
        <w:pageBreakBefore w:val="0"/>
        <w:widowControl/>
        <w:kinsoku/>
        <w:wordWrap/>
        <w:topLinePunct w:val="0"/>
        <w:bidi w:val="0"/>
        <w:adjustRightInd w:val="0"/>
        <w:snapToGrid w:val="0"/>
        <w:spacing w:line="560" w:lineRule="exact"/>
        <w:ind w:firstLine="643" w:firstLineChars="200"/>
        <w:contextualSpacing/>
        <w:jc w:val="left"/>
        <w:textAlignment w:val="auto"/>
        <w:rPr>
          <w:color w:val="auto"/>
          <w:kern w:val="0"/>
          <w:sz w:val="32"/>
          <w:szCs w:val="32"/>
          <w:highlight w:val="none"/>
          <w:shd w:val="clear" w:color="auto" w:fill="FFFFFF"/>
        </w:rPr>
      </w:pPr>
      <w:r>
        <w:rPr>
          <w:rFonts w:eastAsia="楷体_GB2312"/>
          <w:b/>
          <w:bCs/>
          <w:color w:val="auto"/>
          <w:kern w:val="0"/>
          <w:sz w:val="32"/>
          <w:szCs w:val="32"/>
          <w:highlight w:val="none"/>
          <w:shd w:val="clear" w:color="auto" w:fill="FFFFFF"/>
          <w:lang w:val="zh-CN"/>
        </w:rPr>
        <w:t>（二）部门预算项目绩效分析</w:t>
      </w:r>
    </w:p>
    <w:p w14:paraId="69BD88EB">
      <w:pPr>
        <w:keepNext w:val="0"/>
        <w:keepLines w:val="0"/>
        <w:pageBreakBefore w:val="0"/>
        <w:kinsoku/>
        <w:wordWrap/>
        <w:topLinePunct w:val="0"/>
        <w:bidi w:val="0"/>
        <w:adjustRightInd w:val="0"/>
        <w:snapToGrid w:val="0"/>
        <w:spacing w:line="560" w:lineRule="exact"/>
        <w:ind w:firstLine="640" w:firstLineChars="200"/>
        <w:contextualSpacing/>
        <w:jc w:val="left"/>
        <w:textAlignment w:val="auto"/>
        <w:rPr>
          <w:color w:val="auto"/>
          <w:kern w:val="0"/>
          <w:sz w:val="32"/>
          <w:szCs w:val="32"/>
          <w:highlight w:val="none"/>
          <w:shd w:val="clear" w:color="auto" w:fill="FFFFFF"/>
        </w:rPr>
      </w:pPr>
      <w:r>
        <w:rPr>
          <w:rFonts w:hint="eastAsia"/>
          <w:color w:val="auto"/>
          <w:kern w:val="0"/>
          <w:sz w:val="32"/>
          <w:szCs w:val="32"/>
          <w:highlight w:val="none"/>
          <w:shd w:val="clear" w:color="auto" w:fill="FFFFFF"/>
          <w:lang w:val="en-US" w:eastAsia="zh-CN"/>
        </w:rPr>
        <w:t>1.</w:t>
      </w:r>
      <w:r>
        <w:rPr>
          <w:color w:val="auto"/>
          <w:kern w:val="0"/>
          <w:sz w:val="32"/>
          <w:szCs w:val="32"/>
          <w:highlight w:val="none"/>
          <w:shd w:val="clear" w:color="auto" w:fill="FFFFFF"/>
        </w:rPr>
        <w:t>常年项目绩效分析</w:t>
      </w:r>
    </w:p>
    <w:p w14:paraId="2DCF8E03">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zh-CN" w:eastAsia="zh-CN" w:bidi="ar"/>
        </w:rPr>
      </w:pPr>
      <w:r>
        <w:rPr>
          <w:rFonts w:hint="eastAsia" w:ascii="Times New Roman" w:hAnsi="Times New Roman" w:eastAsia="仿宋_GB2312" w:cs="Times New Roman"/>
          <w:kern w:val="2"/>
          <w:sz w:val="32"/>
          <w:szCs w:val="32"/>
          <w:highlight w:val="none"/>
          <w:lang w:val="zh-CN" w:eastAsia="zh-CN" w:bidi="ar"/>
        </w:rPr>
        <w:t>该类项目总数</w:t>
      </w:r>
      <w:r>
        <w:rPr>
          <w:rFonts w:hint="eastAsia" w:ascii="Times New Roman" w:hAnsi="Times New Roman" w:eastAsia="仿宋_GB2312" w:cs="Times New Roman"/>
          <w:kern w:val="2"/>
          <w:sz w:val="32"/>
          <w:szCs w:val="32"/>
          <w:highlight w:val="none"/>
          <w:lang w:val="en-US" w:eastAsia="zh-CN" w:bidi="ar"/>
        </w:rPr>
        <w:t>2</w:t>
      </w:r>
      <w:r>
        <w:rPr>
          <w:rFonts w:hint="eastAsia" w:ascii="Times New Roman" w:hAnsi="Times New Roman" w:eastAsia="仿宋_GB2312" w:cs="Times New Roman"/>
          <w:kern w:val="2"/>
          <w:sz w:val="32"/>
          <w:szCs w:val="32"/>
          <w:highlight w:val="none"/>
          <w:lang w:val="zh-CN" w:eastAsia="zh-CN" w:bidi="ar"/>
        </w:rPr>
        <w:t>个，涉及预算总金额</w:t>
      </w:r>
      <w:r>
        <w:rPr>
          <w:rFonts w:hint="eastAsia" w:ascii="Times New Roman" w:hAnsi="Times New Roman" w:eastAsia="仿宋_GB2312" w:cs="Times New Roman"/>
          <w:kern w:val="2"/>
          <w:sz w:val="32"/>
          <w:szCs w:val="32"/>
          <w:highlight w:val="none"/>
          <w:lang w:val="en-US" w:eastAsia="zh-CN" w:bidi="ar"/>
        </w:rPr>
        <w:t>459.74</w:t>
      </w:r>
      <w:r>
        <w:rPr>
          <w:rFonts w:hint="eastAsia" w:ascii="Times New Roman" w:hAnsi="Times New Roman" w:eastAsia="仿宋_GB2312" w:cs="Times New Roman"/>
          <w:kern w:val="2"/>
          <w:sz w:val="32"/>
          <w:szCs w:val="32"/>
          <w:highlight w:val="none"/>
          <w:lang w:val="zh-CN" w:eastAsia="zh-CN" w:bidi="ar"/>
        </w:rPr>
        <w:t>万元，1—12月预算执行总体进度为</w:t>
      </w:r>
      <w:r>
        <w:rPr>
          <w:rFonts w:hint="eastAsia" w:ascii="Times New Roman" w:hAnsi="Times New Roman" w:eastAsia="仿宋_GB2312" w:cs="Times New Roman"/>
          <w:kern w:val="2"/>
          <w:sz w:val="32"/>
          <w:szCs w:val="32"/>
          <w:highlight w:val="none"/>
          <w:lang w:val="en-US" w:eastAsia="zh-CN" w:bidi="ar"/>
        </w:rPr>
        <w:t>91.8</w:t>
      </w:r>
      <w:r>
        <w:rPr>
          <w:rFonts w:hint="eastAsia" w:ascii="Times New Roman" w:hAnsi="Times New Roman" w:eastAsia="仿宋_GB2312" w:cs="Times New Roman"/>
          <w:kern w:val="2"/>
          <w:sz w:val="32"/>
          <w:szCs w:val="32"/>
          <w:highlight w:val="none"/>
          <w:lang w:val="zh-CN" w:eastAsia="zh-CN" w:bidi="ar"/>
        </w:rPr>
        <w:t xml:space="preserve"> %，其中：预算结余率大于10%的项目共计</w:t>
      </w:r>
      <w:r>
        <w:rPr>
          <w:rFonts w:hint="eastAsia" w:ascii="Times New Roman" w:hAnsi="Times New Roman" w:eastAsia="仿宋_GB2312" w:cs="Times New Roman"/>
          <w:kern w:val="2"/>
          <w:sz w:val="32"/>
          <w:szCs w:val="32"/>
          <w:highlight w:val="none"/>
          <w:lang w:val="en-US" w:eastAsia="zh-CN" w:bidi="ar"/>
        </w:rPr>
        <w:t>1</w:t>
      </w:r>
      <w:r>
        <w:rPr>
          <w:rFonts w:hint="eastAsia" w:ascii="Times New Roman" w:hAnsi="Times New Roman" w:eastAsia="仿宋_GB2312" w:cs="Times New Roman"/>
          <w:kern w:val="2"/>
          <w:sz w:val="32"/>
          <w:szCs w:val="32"/>
          <w:highlight w:val="none"/>
          <w:lang w:val="zh-CN" w:eastAsia="zh-CN" w:bidi="ar"/>
        </w:rPr>
        <w:t>个。</w:t>
      </w:r>
    </w:p>
    <w:p w14:paraId="098E7DD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一是人员类经费。仁和区融媒体中心2025年度实际完成财政供养事业人员17</w:t>
      </w:r>
      <w:r>
        <w:rPr>
          <w:rFonts w:hint="eastAsia" w:ascii="Times New Roman" w:hAnsi="Times New Roman" w:eastAsia="仿宋_GB2312" w:cs="Times New Roman"/>
          <w:kern w:val="2"/>
          <w:sz w:val="32"/>
          <w:szCs w:val="32"/>
          <w:highlight w:val="none"/>
          <w:lang w:val="zh-CN" w:eastAsia="zh-CN" w:bidi="ar"/>
        </w:rPr>
        <w:t>人的工资福利</w:t>
      </w:r>
      <w:r>
        <w:rPr>
          <w:rFonts w:hint="eastAsia" w:ascii="Times New Roman" w:hAnsi="Times New Roman" w:eastAsia="仿宋_GB2312" w:cs="Times New Roman"/>
          <w:kern w:val="2"/>
          <w:sz w:val="32"/>
          <w:szCs w:val="32"/>
          <w:highlight w:val="none"/>
          <w:lang w:val="en-US" w:eastAsia="zh-CN" w:bidi="ar"/>
        </w:rPr>
        <w:t>发放及</w:t>
      </w:r>
      <w:r>
        <w:rPr>
          <w:rFonts w:hint="eastAsia" w:ascii="Times New Roman" w:hAnsi="Times New Roman" w:eastAsia="仿宋_GB2312" w:cs="Times New Roman"/>
          <w:kern w:val="2"/>
          <w:sz w:val="32"/>
          <w:szCs w:val="32"/>
          <w:highlight w:val="none"/>
          <w:lang w:val="zh-CN" w:eastAsia="zh-CN" w:bidi="ar"/>
        </w:rPr>
        <w:t>五险一金</w:t>
      </w:r>
      <w:r>
        <w:rPr>
          <w:rFonts w:hint="eastAsia" w:ascii="Times New Roman" w:hAnsi="Times New Roman" w:eastAsia="仿宋_GB2312" w:cs="Times New Roman"/>
          <w:kern w:val="2"/>
          <w:sz w:val="32"/>
          <w:szCs w:val="32"/>
          <w:highlight w:val="none"/>
          <w:lang w:val="en-US" w:eastAsia="zh-CN" w:bidi="ar"/>
        </w:rPr>
        <w:t>的缴纳；</w:t>
      </w:r>
      <w:r>
        <w:rPr>
          <w:rFonts w:hint="eastAsia" w:ascii="Times New Roman" w:hAnsi="Times New Roman" w:eastAsia="仿宋_GB2312" w:cs="Times New Roman"/>
          <w:kern w:val="2"/>
          <w:sz w:val="32"/>
          <w:szCs w:val="32"/>
          <w:highlight w:val="none"/>
          <w:lang w:val="zh-CN" w:eastAsia="zh-CN" w:bidi="ar"/>
        </w:rPr>
        <w:t>退休人员</w:t>
      </w:r>
      <w:r>
        <w:rPr>
          <w:rFonts w:hint="eastAsia" w:ascii="Times New Roman" w:hAnsi="Times New Roman" w:eastAsia="仿宋_GB2312" w:cs="Times New Roman"/>
          <w:kern w:val="2"/>
          <w:sz w:val="32"/>
          <w:szCs w:val="32"/>
          <w:highlight w:val="none"/>
          <w:lang w:val="en-US" w:eastAsia="zh-CN" w:bidi="ar"/>
        </w:rPr>
        <w:t>10</w:t>
      </w:r>
      <w:r>
        <w:rPr>
          <w:rFonts w:hint="eastAsia" w:ascii="Times New Roman" w:hAnsi="Times New Roman" w:eastAsia="仿宋_GB2312" w:cs="Times New Roman"/>
          <w:kern w:val="2"/>
          <w:sz w:val="32"/>
          <w:szCs w:val="32"/>
          <w:highlight w:val="none"/>
          <w:lang w:val="zh-CN" w:eastAsia="zh-CN" w:bidi="ar"/>
        </w:rPr>
        <w:t>人的补助</w:t>
      </w:r>
      <w:r>
        <w:rPr>
          <w:rFonts w:hint="eastAsia" w:ascii="Times New Roman" w:hAnsi="Times New Roman" w:eastAsia="仿宋_GB2312" w:cs="Times New Roman"/>
          <w:kern w:val="2"/>
          <w:sz w:val="32"/>
          <w:szCs w:val="32"/>
          <w:highlight w:val="none"/>
          <w:lang w:val="en-US" w:eastAsia="zh-CN" w:bidi="ar"/>
        </w:rPr>
        <w:t xml:space="preserve">发放。2025年财政预算人员经费356.72万元。资金到位率100%，实际支出351.12万元，执行率为98.43%，资金结余5.6万元，资金结余率1.57% 。主要原因是2025年3月、4月2名在职人员依照法定年龄退休，追减在职人员经费，2025年7月新招录2名人员。人员经费预算、支付无违规记录。 </w:t>
      </w:r>
    </w:p>
    <w:p w14:paraId="39860F49">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二是运转类经费。</w:t>
      </w:r>
      <w:r>
        <w:rPr>
          <w:rFonts w:hint="eastAsia" w:ascii="Times New Roman" w:hAnsi="Times New Roman" w:eastAsia="仿宋_GB2312" w:cs="Times New Roman"/>
          <w:kern w:val="2"/>
          <w:sz w:val="32"/>
          <w:szCs w:val="32"/>
          <w:highlight w:val="none"/>
          <w:lang w:val="zh-CN" w:eastAsia="zh-CN" w:bidi="ar"/>
        </w:rPr>
        <w:t>按照202</w:t>
      </w:r>
      <w:r>
        <w:rPr>
          <w:rFonts w:hint="eastAsia" w:ascii="Times New Roman" w:hAnsi="Times New Roman" w:eastAsia="仿宋_GB2312" w:cs="Times New Roman"/>
          <w:kern w:val="2"/>
          <w:sz w:val="32"/>
          <w:szCs w:val="32"/>
          <w:highlight w:val="none"/>
          <w:lang w:val="en-US" w:eastAsia="zh-CN" w:bidi="ar"/>
        </w:rPr>
        <w:t>4</w:t>
      </w:r>
      <w:r>
        <w:rPr>
          <w:rFonts w:hint="eastAsia" w:ascii="Times New Roman" w:hAnsi="Times New Roman" w:eastAsia="仿宋_GB2312" w:cs="Times New Roman"/>
          <w:kern w:val="2"/>
          <w:sz w:val="32"/>
          <w:szCs w:val="32"/>
          <w:highlight w:val="none"/>
          <w:lang w:val="zh-CN" w:eastAsia="zh-CN" w:bidi="ar"/>
        </w:rPr>
        <w:t>年区级部门预算编制口径的公用经费保证中心正常办公运转；围绕</w:t>
      </w:r>
      <w:r>
        <w:rPr>
          <w:rFonts w:hint="eastAsia" w:ascii="Times New Roman" w:hAnsi="Times New Roman" w:eastAsia="仿宋_GB2312" w:cs="Times New Roman"/>
          <w:kern w:val="2"/>
          <w:sz w:val="32"/>
          <w:szCs w:val="32"/>
          <w:highlight w:val="none"/>
          <w:lang w:val="en-US" w:eastAsia="zh-CN" w:bidi="ar"/>
        </w:rPr>
        <w:t>年初</w:t>
      </w:r>
      <w:r>
        <w:rPr>
          <w:rFonts w:hint="eastAsia" w:ascii="Times New Roman" w:hAnsi="Times New Roman" w:eastAsia="仿宋_GB2312" w:cs="Times New Roman"/>
          <w:kern w:val="2"/>
          <w:sz w:val="32"/>
          <w:szCs w:val="32"/>
          <w:highlight w:val="none"/>
          <w:lang w:val="zh-CN" w:eastAsia="zh-CN" w:bidi="ar"/>
        </w:rPr>
        <w:t>目标任务，完成</w:t>
      </w:r>
      <w:r>
        <w:rPr>
          <w:rFonts w:hint="eastAsia" w:ascii="Times New Roman" w:hAnsi="Times New Roman" w:eastAsia="仿宋_GB2312" w:cs="Times New Roman"/>
          <w:kern w:val="2"/>
          <w:sz w:val="32"/>
          <w:szCs w:val="32"/>
          <w:highlight w:val="none"/>
          <w:lang w:val="en-US" w:eastAsia="zh-CN" w:bidi="ar"/>
        </w:rPr>
        <w:t>仁和区</w:t>
      </w:r>
      <w:r>
        <w:rPr>
          <w:rFonts w:hint="eastAsia" w:ascii="Times New Roman" w:hAnsi="Times New Roman" w:eastAsia="仿宋_GB2312" w:cs="Times New Roman"/>
          <w:kern w:val="2"/>
          <w:sz w:val="32"/>
          <w:szCs w:val="32"/>
          <w:highlight w:val="none"/>
          <w:lang w:val="zh-CN" w:eastAsia="zh-CN" w:bidi="ar"/>
        </w:rPr>
        <w:t>融媒体中心</w:t>
      </w:r>
      <w:r>
        <w:rPr>
          <w:rFonts w:hint="eastAsia" w:ascii="Times New Roman" w:hAnsi="Times New Roman" w:eastAsia="仿宋_GB2312" w:cs="Times New Roman"/>
          <w:kern w:val="2"/>
          <w:sz w:val="32"/>
          <w:szCs w:val="32"/>
          <w:highlight w:val="none"/>
          <w:lang w:val="en-US" w:eastAsia="zh-CN" w:bidi="ar"/>
        </w:rPr>
        <w:t>平台</w:t>
      </w:r>
      <w:r>
        <w:rPr>
          <w:rFonts w:hint="eastAsia" w:ascii="Times New Roman" w:hAnsi="Times New Roman" w:eastAsia="仿宋_GB2312" w:cs="Times New Roman"/>
          <w:kern w:val="2"/>
          <w:sz w:val="32"/>
          <w:szCs w:val="32"/>
          <w:highlight w:val="none"/>
          <w:lang w:val="zh-CN" w:eastAsia="zh-CN" w:bidi="ar"/>
        </w:rPr>
        <w:t>运行维护工作，</w:t>
      </w:r>
      <w:r>
        <w:rPr>
          <w:rFonts w:hint="eastAsia" w:ascii="Times New Roman" w:hAnsi="Times New Roman" w:eastAsia="仿宋_GB2312" w:cs="Times New Roman"/>
          <w:kern w:val="2"/>
          <w:sz w:val="32"/>
          <w:szCs w:val="32"/>
          <w:highlight w:val="none"/>
          <w:lang w:val="en-US" w:eastAsia="zh-CN" w:bidi="ar"/>
        </w:rPr>
        <w:t>圆满完成区委、区政府及区委宣传部安排的工作任务</w:t>
      </w:r>
      <w:r>
        <w:rPr>
          <w:rFonts w:hint="eastAsia" w:ascii="Times New Roman" w:hAnsi="Times New Roman" w:eastAsia="仿宋_GB2312" w:cs="Times New Roman"/>
          <w:kern w:val="2"/>
          <w:sz w:val="32"/>
          <w:szCs w:val="32"/>
          <w:highlight w:val="none"/>
          <w:lang w:val="zh-CN" w:eastAsia="zh-CN" w:bidi="ar"/>
        </w:rPr>
        <w:t>。</w:t>
      </w:r>
      <w:r>
        <w:rPr>
          <w:rFonts w:hint="eastAsia" w:ascii="Times New Roman" w:hAnsi="Times New Roman" w:eastAsia="仿宋_GB2312" w:cs="Times New Roman"/>
          <w:kern w:val="2"/>
          <w:sz w:val="32"/>
          <w:szCs w:val="32"/>
          <w:highlight w:val="none"/>
          <w:lang w:val="en-US" w:eastAsia="zh-CN" w:bidi="ar"/>
        </w:rPr>
        <w:t>财政预算运转类经费111.8万元，资金到位率100%，实际支出79.57万元，执行率为71.17%。资金结余40.63万元，资金结余率28.83% 。主要原因是财政未按进度支付资金，年末收回运转类经费。运转类经费预算、支付无违规记录。具体项目情况：</w:t>
      </w:r>
    </w:p>
    <w:p w14:paraId="1FB57B6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1）仁和区人民政府网站集约化建设经费11.80万元，资金到位率100%，实际支出8.62万元，执行率为73.05%，资金结余3.17万元，资金结余率26.95%。项目按照进度完成，2025年按进度对政府网站运维费进行了支付，但该项目办公费未支付，年末财政收回。该项目经费主要用于仁和区人民政府网站安全运行维护费支出。</w:t>
      </w:r>
    </w:p>
    <w:p w14:paraId="5A7A698D">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2）仁和区融媒体中心运行维护费100万元，资金到位率100%，实际支出70.95万元，执行率为70.95%，资金结余29.05万元，资金结余率29.05%。项目按照进度完成，财政未按进度支付资金，年末收回运转类经费。该项目主要用于仁和区融媒体中心基本运行保障综合平台服务费、APP数据接入、中心机房电费、购买电台版权播出许可费、电视台高清设备维护费等支出。</w:t>
      </w:r>
    </w:p>
    <w:p w14:paraId="3C66DC51">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zh-CN" w:eastAsia="zh-CN" w:bidi="ar"/>
        </w:rPr>
      </w:pPr>
      <w:r>
        <w:rPr>
          <w:rFonts w:hint="eastAsia" w:ascii="Times New Roman" w:hAnsi="Times New Roman" w:eastAsia="仿宋_GB2312" w:cs="Times New Roman"/>
          <w:kern w:val="2"/>
          <w:sz w:val="32"/>
          <w:szCs w:val="32"/>
          <w:highlight w:val="none"/>
          <w:lang w:val="en-US" w:eastAsia="zh-CN" w:bidi="ar"/>
        </w:rPr>
        <w:t>2.</w:t>
      </w:r>
      <w:r>
        <w:rPr>
          <w:rFonts w:hint="eastAsia" w:ascii="Times New Roman" w:hAnsi="Times New Roman" w:eastAsia="仿宋_GB2312" w:cs="Times New Roman"/>
          <w:kern w:val="2"/>
          <w:sz w:val="32"/>
          <w:szCs w:val="32"/>
          <w:highlight w:val="none"/>
          <w:lang w:val="zh-CN" w:eastAsia="zh-CN" w:bidi="ar"/>
        </w:rPr>
        <w:t>阶段（含一次性）项目绩效分析</w:t>
      </w:r>
    </w:p>
    <w:p w14:paraId="349CD918">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zh-CN" w:eastAsia="zh-CN" w:bidi="ar"/>
        </w:rPr>
        <w:t>该类项目总数</w:t>
      </w:r>
      <w:r>
        <w:rPr>
          <w:rFonts w:hint="eastAsia" w:ascii="Times New Roman" w:hAnsi="Times New Roman" w:eastAsia="仿宋_GB2312" w:cs="Times New Roman"/>
          <w:kern w:val="2"/>
          <w:sz w:val="32"/>
          <w:szCs w:val="32"/>
          <w:highlight w:val="none"/>
          <w:lang w:val="en-US" w:eastAsia="zh-CN" w:bidi="ar"/>
        </w:rPr>
        <w:t>5</w:t>
      </w:r>
      <w:r>
        <w:rPr>
          <w:rFonts w:hint="eastAsia" w:ascii="Times New Roman" w:hAnsi="Times New Roman" w:eastAsia="仿宋_GB2312" w:cs="Times New Roman"/>
          <w:kern w:val="2"/>
          <w:sz w:val="32"/>
          <w:szCs w:val="32"/>
          <w:highlight w:val="none"/>
          <w:lang w:val="zh-CN" w:eastAsia="zh-CN" w:bidi="ar"/>
        </w:rPr>
        <w:t>个，涉及预算总金额</w:t>
      </w:r>
      <w:r>
        <w:rPr>
          <w:rFonts w:hint="eastAsia" w:ascii="Times New Roman" w:hAnsi="Times New Roman" w:eastAsia="仿宋_GB2312" w:cs="Times New Roman"/>
          <w:kern w:val="2"/>
          <w:sz w:val="32"/>
          <w:szCs w:val="32"/>
          <w:highlight w:val="none"/>
          <w:lang w:val="en-US" w:eastAsia="zh-CN" w:bidi="ar"/>
        </w:rPr>
        <w:t>70.96</w:t>
      </w:r>
      <w:r>
        <w:rPr>
          <w:rFonts w:hint="eastAsia" w:ascii="Times New Roman" w:hAnsi="Times New Roman" w:eastAsia="仿宋_GB2312" w:cs="Times New Roman"/>
          <w:kern w:val="2"/>
          <w:sz w:val="32"/>
          <w:szCs w:val="32"/>
          <w:highlight w:val="none"/>
          <w:lang w:val="zh-CN" w:eastAsia="zh-CN" w:bidi="ar"/>
        </w:rPr>
        <w:t>万元，1—12月预算执行总体进度为</w:t>
      </w:r>
      <w:r>
        <w:rPr>
          <w:rFonts w:hint="eastAsia" w:ascii="Times New Roman" w:hAnsi="Times New Roman" w:eastAsia="仿宋_GB2312" w:cs="Times New Roman"/>
          <w:kern w:val="2"/>
          <w:sz w:val="32"/>
          <w:szCs w:val="32"/>
          <w:highlight w:val="none"/>
          <w:lang w:val="en-US" w:eastAsia="zh-CN" w:bidi="ar"/>
        </w:rPr>
        <w:t>96.76</w:t>
      </w:r>
      <w:r>
        <w:rPr>
          <w:rFonts w:hint="eastAsia" w:ascii="Times New Roman" w:hAnsi="Times New Roman" w:eastAsia="仿宋_GB2312" w:cs="Times New Roman"/>
          <w:kern w:val="2"/>
          <w:sz w:val="32"/>
          <w:szCs w:val="32"/>
          <w:highlight w:val="none"/>
          <w:lang w:val="zh-CN" w:eastAsia="zh-CN" w:bidi="ar"/>
        </w:rPr>
        <w:t>%，其中：预算结余率大于</w:t>
      </w:r>
      <w:r>
        <w:rPr>
          <w:rFonts w:hint="eastAsia" w:ascii="Times New Roman" w:hAnsi="Times New Roman" w:eastAsia="仿宋_GB2312" w:cs="Times New Roman"/>
          <w:kern w:val="2"/>
          <w:sz w:val="32"/>
          <w:szCs w:val="32"/>
          <w:highlight w:val="none"/>
          <w:lang w:val="en-US" w:eastAsia="zh-CN" w:bidi="ar"/>
        </w:rPr>
        <w:t>90</w:t>
      </w:r>
      <w:r>
        <w:rPr>
          <w:rFonts w:hint="eastAsia" w:ascii="Times New Roman" w:hAnsi="Times New Roman" w:eastAsia="仿宋_GB2312" w:cs="Times New Roman"/>
          <w:kern w:val="2"/>
          <w:sz w:val="32"/>
          <w:szCs w:val="32"/>
          <w:highlight w:val="none"/>
          <w:lang w:val="zh-CN" w:eastAsia="zh-CN" w:bidi="ar"/>
        </w:rPr>
        <w:t>%的项目共计</w:t>
      </w:r>
      <w:r>
        <w:rPr>
          <w:rFonts w:hint="eastAsia" w:ascii="Times New Roman" w:hAnsi="Times New Roman" w:eastAsia="仿宋_GB2312" w:cs="Times New Roman"/>
          <w:kern w:val="2"/>
          <w:sz w:val="32"/>
          <w:szCs w:val="32"/>
          <w:highlight w:val="none"/>
          <w:lang w:val="en-US" w:eastAsia="zh-CN" w:bidi="ar"/>
        </w:rPr>
        <w:t>4</w:t>
      </w:r>
      <w:r>
        <w:rPr>
          <w:rFonts w:hint="eastAsia" w:ascii="Times New Roman" w:hAnsi="Times New Roman" w:eastAsia="仿宋_GB2312" w:cs="Times New Roman"/>
          <w:kern w:val="2"/>
          <w:sz w:val="32"/>
          <w:szCs w:val="32"/>
          <w:highlight w:val="none"/>
          <w:lang w:val="zh-CN" w:eastAsia="zh-CN" w:bidi="ar"/>
        </w:rPr>
        <w:t>个。</w:t>
      </w:r>
      <w:r>
        <w:rPr>
          <w:rFonts w:hint="eastAsia" w:ascii="Times New Roman" w:hAnsi="Times New Roman" w:eastAsia="仿宋_GB2312" w:cs="Times New Roman"/>
          <w:kern w:val="2"/>
          <w:sz w:val="32"/>
          <w:szCs w:val="32"/>
          <w:highlight w:val="none"/>
          <w:lang w:val="en-US" w:eastAsia="zh-CN" w:bidi="ar"/>
        </w:rPr>
        <w:t>项目按照进度完成。年底财政收回</w:t>
      </w:r>
      <w:r>
        <w:rPr>
          <w:rFonts w:hint="eastAsia" w:ascii="Times New Roman" w:hAnsi="Times New Roman" w:eastAsia="仿宋_GB2312" w:cs="Times New Roman"/>
          <w:kern w:val="2"/>
          <w:sz w:val="32"/>
          <w:szCs w:val="32"/>
          <w:highlight w:val="none"/>
          <w:lang w:val="zh-CN" w:eastAsia="zh-CN" w:bidi="ar"/>
        </w:rPr>
        <w:t>特定目标类项目</w:t>
      </w:r>
      <w:r>
        <w:rPr>
          <w:rFonts w:hint="eastAsia" w:ascii="Times New Roman" w:hAnsi="Times New Roman" w:eastAsia="仿宋_GB2312" w:cs="Times New Roman"/>
          <w:kern w:val="2"/>
          <w:sz w:val="32"/>
          <w:szCs w:val="32"/>
          <w:highlight w:val="none"/>
          <w:lang w:val="en-US" w:eastAsia="zh-CN" w:bidi="ar"/>
        </w:rPr>
        <w:t>经费2.3万元。</w:t>
      </w:r>
      <w:r>
        <w:rPr>
          <w:rFonts w:hint="eastAsia" w:ascii="Times New Roman" w:hAnsi="Times New Roman" w:eastAsia="仿宋_GB2312" w:cs="Times New Roman"/>
          <w:kern w:val="2"/>
          <w:sz w:val="32"/>
          <w:szCs w:val="32"/>
          <w:highlight w:val="none"/>
          <w:lang w:val="zh-CN" w:eastAsia="zh-CN" w:bidi="ar"/>
        </w:rPr>
        <w:t>特定目标类项目</w:t>
      </w:r>
      <w:r>
        <w:rPr>
          <w:rFonts w:hint="eastAsia" w:ascii="Times New Roman" w:hAnsi="Times New Roman" w:eastAsia="仿宋_GB2312" w:cs="Times New Roman"/>
          <w:kern w:val="2"/>
          <w:sz w:val="32"/>
          <w:szCs w:val="32"/>
          <w:highlight w:val="none"/>
          <w:lang w:val="en-US" w:eastAsia="zh-CN" w:bidi="ar"/>
        </w:rPr>
        <w:t>预算、支付无违规记录。具体项目情况：</w:t>
      </w:r>
    </w:p>
    <w:p w14:paraId="51D9E47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zh-CN" w:eastAsia="zh-CN" w:bidi="ar"/>
        </w:rPr>
        <w:t>（</w:t>
      </w:r>
      <w:r>
        <w:rPr>
          <w:rFonts w:hint="eastAsia" w:ascii="Times New Roman" w:hAnsi="Times New Roman" w:eastAsia="仿宋_GB2312" w:cs="Times New Roman"/>
          <w:kern w:val="2"/>
          <w:sz w:val="32"/>
          <w:szCs w:val="32"/>
          <w:highlight w:val="none"/>
          <w:lang w:val="en-US" w:eastAsia="zh-CN" w:bidi="ar"/>
        </w:rPr>
        <w:t>1</w:t>
      </w:r>
      <w:r>
        <w:rPr>
          <w:rFonts w:hint="eastAsia" w:ascii="Times New Roman" w:hAnsi="Times New Roman" w:eastAsia="仿宋_GB2312" w:cs="Times New Roman"/>
          <w:kern w:val="2"/>
          <w:sz w:val="32"/>
          <w:szCs w:val="32"/>
          <w:highlight w:val="none"/>
          <w:lang w:val="zh-CN" w:eastAsia="zh-CN" w:bidi="ar"/>
        </w:rPr>
        <w:t>）</w:t>
      </w:r>
      <w:r>
        <w:rPr>
          <w:rFonts w:hint="eastAsia" w:ascii="Times New Roman" w:hAnsi="Times New Roman" w:eastAsia="仿宋_GB2312" w:cs="Times New Roman"/>
          <w:kern w:val="2"/>
          <w:sz w:val="32"/>
          <w:szCs w:val="32"/>
          <w:highlight w:val="none"/>
          <w:lang w:val="en-US" w:eastAsia="zh-CN" w:bidi="ar"/>
        </w:rPr>
        <w:t>融媒体中心安全运营规范化建设经费45.18万元，资金到位率100%，实际支出45.18万元，执行率为100%。项目按照进度完成。该项目主要用于融媒体中心安全运营规范化建设平台升级改造项目建设支出。项目经费预算无违规记录。</w:t>
      </w:r>
    </w:p>
    <w:p w14:paraId="634FB6A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zh-CN" w:eastAsia="zh-CN" w:bidi="ar"/>
        </w:rPr>
        <w:t>（</w:t>
      </w:r>
      <w:r>
        <w:rPr>
          <w:rFonts w:hint="eastAsia" w:ascii="Times New Roman" w:hAnsi="Times New Roman" w:eastAsia="仿宋_GB2312" w:cs="Times New Roman"/>
          <w:kern w:val="2"/>
          <w:sz w:val="32"/>
          <w:szCs w:val="32"/>
          <w:highlight w:val="none"/>
          <w:lang w:val="en-US" w:eastAsia="zh-CN" w:bidi="ar"/>
        </w:rPr>
        <w:t>2</w:t>
      </w:r>
      <w:r>
        <w:rPr>
          <w:rFonts w:hint="eastAsia" w:ascii="Times New Roman" w:hAnsi="Times New Roman" w:eastAsia="仿宋_GB2312" w:cs="Times New Roman"/>
          <w:kern w:val="2"/>
          <w:sz w:val="32"/>
          <w:szCs w:val="32"/>
          <w:highlight w:val="none"/>
          <w:lang w:val="zh-CN" w:eastAsia="zh-CN" w:bidi="ar"/>
        </w:rPr>
        <w:t>）2025年苴却砚文化设计推广项目</w:t>
      </w:r>
      <w:r>
        <w:rPr>
          <w:rFonts w:hint="eastAsia" w:ascii="Times New Roman" w:hAnsi="Times New Roman" w:eastAsia="仿宋_GB2312" w:cs="Times New Roman"/>
          <w:kern w:val="2"/>
          <w:sz w:val="32"/>
          <w:szCs w:val="32"/>
          <w:highlight w:val="none"/>
          <w:lang w:val="en-US" w:eastAsia="zh-CN" w:bidi="ar"/>
        </w:rPr>
        <w:t>10万元，资金到位率100%，实际支出10万元，执行率为100%，项目按照进度完成。该项目主要用于仁和区2025年</w:t>
      </w:r>
      <w:r>
        <w:rPr>
          <w:rFonts w:hint="eastAsia" w:ascii="Times New Roman" w:hAnsi="Times New Roman" w:eastAsia="仿宋_GB2312" w:cs="Times New Roman"/>
          <w:kern w:val="2"/>
          <w:sz w:val="32"/>
          <w:szCs w:val="32"/>
          <w:highlight w:val="none"/>
          <w:lang w:val="zh-CN" w:eastAsia="zh-CN" w:bidi="ar"/>
        </w:rPr>
        <w:t>苴却砚文化设计推广</w:t>
      </w:r>
      <w:r>
        <w:rPr>
          <w:rFonts w:hint="eastAsia" w:ascii="Times New Roman" w:hAnsi="Times New Roman" w:eastAsia="仿宋_GB2312" w:cs="Times New Roman"/>
          <w:kern w:val="2"/>
          <w:sz w:val="32"/>
          <w:szCs w:val="32"/>
          <w:highlight w:val="none"/>
          <w:lang w:val="en-US" w:eastAsia="zh-CN" w:bidi="ar"/>
        </w:rPr>
        <w:t>支出。项目经费预算无违规记录。</w:t>
      </w:r>
    </w:p>
    <w:p w14:paraId="7EDD579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zh-CN" w:eastAsia="zh-CN" w:bidi="ar"/>
        </w:rPr>
        <w:t>（</w:t>
      </w:r>
      <w:r>
        <w:rPr>
          <w:rFonts w:hint="eastAsia" w:ascii="Times New Roman" w:hAnsi="Times New Roman" w:eastAsia="仿宋_GB2312" w:cs="Times New Roman"/>
          <w:kern w:val="2"/>
          <w:sz w:val="32"/>
          <w:szCs w:val="32"/>
          <w:highlight w:val="none"/>
          <w:lang w:val="en-US" w:eastAsia="zh-CN" w:bidi="ar"/>
        </w:rPr>
        <w:t>3</w:t>
      </w:r>
      <w:r>
        <w:rPr>
          <w:rFonts w:hint="eastAsia" w:ascii="Times New Roman" w:hAnsi="Times New Roman" w:eastAsia="仿宋_GB2312" w:cs="Times New Roman"/>
          <w:kern w:val="2"/>
          <w:sz w:val="32"/>
          <w:szCs w:val="32"/>
          <w:highlight w:val="none"/>
          <w:lang w:val="zh-CN" w:eastAsia="zh-CN" w:bidi="ar"/>
        </w:rPr>
        <w:t>）创建全国文明城市专项补助资金</w:t>
      </w:r>
      <w:r>
        <w:rPr>
          <w:rFonts w:hint="eastAsia" w:ascii="Times New Roman" w:hAnsi="Times New Roman" w:eastAsia="仿宋_GB2312" w:cs="Times New Roman"/>
          <w:kern w:val="2"/>
          <w:sz w:val="32"/>
          <w:szCs w:val="32"/>
          <w:highlight w:val="none"/>
          <w:lang w:val="en-US" w:eastAsia="zh-CN" w:bidi="ar"/>
        </w:rPr>
        <w:t>5万元，资金到位率100%，实际支出4.7万元，执行率为94%。资金结余0.3万元，年终由财政收回。此项目主要用于全区</w:t>
      </w:r>
      <w:r>
        <w:rPr>
          <w:rFonts w:hint="eastAsia" w:ascii="Times New Roman" w:hAnsi="Times New Roman" w:eastAsia="仿宋_GB2312" w:cs="Times New Roman"/>
          <w:kern w:val="2"/>
          <w:sz w:val="32"/>
          <w:szCs w:val="32"/>
          <w:highlight w:val="none"/>
          <w:lang w:val="zh-CN" w:eastAsia="zh-CN" w:bidi="ar"/>
        </w:rPr>
        <w:t>富裕试验</w:t>
      </w:r>
      <w:r>
        <w:rPr>
          <w:rFonts w:hint="eastAsia" w:ascii="Times New Roman" w:hAnsi="Times New Roman" w:eastAsia="仿宋_GB2312" w:cs="Times New Roman"/>
          <w:kern w:val="2"/>
          <w:sz w:val="32"/>
          <w:szCs w:val="32"/>
          <w:highlight w:val="none"/>
          <w:lang w:val="en-US" w:eastAsia="zh-CN" w:bidi="ar"/>
        </w:rPr>
        <w:t>专项宣传费用支出。项目经费预算、支付无违规记录。</w:t>
      </w:r>
    </w:p>
    <w:p w14:paraId="36F25378">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4）重大传染病防控中央资金2万元，资金到位率100%，实际支出0万元，执行率为0%。项目按照进度完成，财政未按进度支付资金，年末财政收回体检经费2万元。该项目主要用于全区重大传染病防控宣传费用支出。项目经费预算无违规记录。</w:t>
      </w:r>
    </w:p>
    <w:p w14:paraId="64C31E6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5）清偿拖欠企业账款化债专项债资金8.78万元，资金到位率100%，实际支出8.78万元，执行率为100%，项目按照进度完成。该项目主要用于融媒体中心信息系统安全等级保护（二级）建设项目质保金。项目经费预算、支付无违规记录。</w:t>
      </w:r>
    </w:p>
    <w:p w14:paraId="51B8499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楷体_GBK" w:cs="Times New Roman"/>
          <w:b/>
          <w:bCs/>
          <w:snapToGrid/>
          <w:color w:val="auto"/>
          <w:sz w:val="32"/>
          <w:szCs w:val="32"/>
          <w:highlight w:val="none"/>
          <w:lang w:val="zh-CN" w:eastAsia="zh-CN"/>
        </w:rPr>
      </w:pPr>
      <w:r>
        <w:rPr>
          <w:rFonts w:hint="eastAsia" w:ascii="Times New Roman" w:hAnsi="Times New Roman" w:eastAsia="方正楷体_GBK" w:cs="Times New Roman"/>
          <w:b/>
          <w:bCs/>
          <w:snapToGrid/>
          <w:color w:val="auto"/>
          <w:sz w:val="32"/>
          <w:szCs w:val="32"/>
          <w:highlight w:val="none"/>
          <w:lang w:val="zh-CN" w:eastAsia="zh-CN"/>
        </w:rPr>
        <w:t>（</w:t>
      </w:r>
      <w:r>
        <w:rPr>
          <w:rFonts w:hint="eastAsia" w:ascii="Times New Roman" w:hAnsi="Times New Roman" w:eastAsia="方正楷体_GBK" w:cs="Times New Roman"/>
          <w:b/>
          <w:bCs/>
          <w:snapToGrid/>
          <w:color w:val="auto"/>
          <w:sz w:val="32"/>
          <w:szCs w:val="32"/>
          <w:highlight w:val="none"/>
          <w:lang w:val="en-US" w:eastAsia="zh-CN"/>
        </w:rPr>
        <w:t>三</w:t>
      </w:r>
      <w:r>
        <w:rPr>
          <w:rFonts w:hint="eastAsia" w:ascii="Times New Roman" w:hAnsi="Times New Roman" w:eastAsia="方正楷体_GBK" w:cs="Times New Roman"/>
          <w:b/>
          <w:bCs/>
          <w:snapToGrid/>
          <w:color w:val="auto"/>
          <w:sz w:val="32"/>
          <w:szCs w:val="32"/>
          <w:highlight w:val="none"/>
          <w:lang w:val="zh-CN" w:eastAsia="zh-CN"/>
        </w:rPr>
        <w:t>）绩效结果应用情况</w:t>
      </w:r>
    </w:p>
    <w:p w14:paraId="3176E51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仁和区融媒体中心高度重视预算绩效评价工作，进一步加强项目管理、资金使用、监管等各方面工作，使财政预算资金达到预期的绩效；并及时整理、汇总、分析、反馈绩效自评结果，将其作为改进预算管理和以后年度预算安排的重要依据。仁和区融媒体中心2025年1-8月份部门整体支出绩效评价报告和自评表，根据区财</w:t>
      </w:r>
      <w:r>
        <w:rPr>
          <w:rFonts w:hint="eastAsia" w:eastAsia="仿宋_GB2312" w:cs="Times New Roman"/>
          <w:kern w:val="2"/>
          <w:sz w:val="32"/>
          <w:szCs w:val="32"/>
          <w:highlight w:val="none"/>
          <w:lang w:val="en-US" w:eastAsia="zh-CN" w:bidi="ar"/>
        </w:rPr>
        <w:t>政局</w:t>
      </w:r>
      <w:r>
        <w:rPr>
          <w:rFonts w:hint="eastAsia" w:ascii="Times New Roman" w:hAnsi="Times New Roman" w:eastAsia="仿宋_GB2312" w:cs="Times New Roman"/>
          <w:kern w:val="2"/>
          <w:sz w:val="32"/>
          <w:szCs w:val="32"/>
          <w:highlight w:val="none"/>
          <w:lang w:val="en-US" w:eastAsia="zh-CN" w:bidi="ar"/>
        </w:rPr>
        <w:t>的要求节点在仁和区政府门户网站上进行公示，接受社会公众监督。</w:t>
      </w:r>
    </w:p>
    <w:p w14:paraId="2753E8F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leftChars="200"/>
        <w:jc w:val="both"/>
        <w:textAlignment w:val="auto"/>
        <w:rPr>
          <w:rFonts w:hint="default" w:ascii="Times New Roman" w:hAnsi="Times New Roman" w:eastAsia="方正黑体_GBK" w:cs="Times New Roman"/>
          <w:color w:val="auto"/>
          <w:sz w:val="32"/>
          <w:szCs w:val="32"/>
          <w:highlight w:val="none"/>
          <w:lang w:val="zh-CN" w:eastAsia="zh-CN"/>
        </w:rPr>
      </w:pPr>
      <w:r>
        <w:rPr>
          <w:rFonts w:hint="default" w:ascii="Times New Roman" w:hAnsi="Times New Roman" w:eastAsia="方正黑体_GBK" w:cs="Times New Roman"/>
          <w:color w:val="auto"/>
          <w:sz w:val="32"/>
          <w:szCs w:val="32"/>
          <w:highlight w:val="none"/>
          <w:lang w:val="zh-CN" w:eastAsia="zh-CN"/>
        </w:rPr>
        <w:t>四、评价结论及建议</w:t>
      </w:r>
    </w:p>
    <w:p w14:paraId="352CB9A6">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楷体_GBK" w:cs="Times New Roman"/>
          <w:b/>
          <w:bCs/>
          <w:snapToGrid/>
          <w:color w:val="auto"/>
          <w:sz w:val="32"/>
          <w:szCs w:val="32"/>
          <w:highlight w:val="none"/>
          <w:lang w:val="zh-CN" w:eastAsia="zh-CN"/>
        </w:rPr>
      </w:pPr>
      <w:r>
        <w:rPr>
          <w:rFonts w:hint="eastAsia" w:ascii="Times New Roman" w:hAnsi="Times New Roman" w:eastAsia="方正楷体_GBK" w:cs="Times New Roman"/>
          <w:b/>
          <w:bCs/>
          <w:snapToGrid/>
          <w:color w:val="auto"/>
          <w:sz w:val="32"/>
          <w:szCs w:val="32"/>
          <w:highlight w:val="none"/>
          <w:lang w:val="zh-CN" w:eastAsia="zh-CN"/>
        </w:rPr>
        <w:t>（一）评价结论</w:t>
      </w:r>
    </w:p>
    <w:p w14:paraId="3D47CF3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仁和区融媒体中心根据预算编制、预算执行、支出绩效、部门整体工作开展情况的相关资料以及结合2025年实际履职情况，依据设定的评价指标逐一进行评分，自评分为91分。我中心2025年度部门整体支出绩效良好，很好地完成了年初预算计划的各项工作，履行了部门各项职责，达到了预算所设立的目标任务。</w:t>
      </w:r>
    </w:p>
    <w:p w14:paraId="616990AF">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楷体_GBK" w:cs="Times New Roman"/>
          <w:b/>
          <w:bCs/>
          <w:snapToGrid/>
          <w:color w:val="auto"/>
          <w:sz w:val="32"/>
          <w:szCs w:val="32"/>
          <w:highlight w:val="none"/>
          <w:lang w:val="zh-CN" w:eastAsia="zh-CN"/>
        </w:rPr>
      </w:pPr>
      <w:r>
        <w:rPr>
          <w:rFonts w:hint="eastAsia" w:ascii="Times New Roman" w:hAnsi="Times New Roman" w:eastAsia="方正楷体_GBK" w:cs="Times New Roman"/>
          <w:b/>
          <w:bCs/>
          <w:snapToGrid/>
          <w:color w:val="auto"/>
          <w:sz w:val="32"/>
          <w:szCs w:val="32"/>
          <w:highlight w:val="none"/>
          <w:lang w:val="zh-CN" w:eastAsia="zh-CN"/>
        </w:rPr>
        <w:t>（二）存在问题</w:t>
      </w:r>
    </w:p>
    <w:p w14:paraId="7462C7F9">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仁和区融媒体中心在编制年初部门预算时，严格根据本单位职能职责和年度工作计划进行编制。整体支出预算绩效管理存在三方面问题：一是预算绩效管理没有专职人员，由财务人员兼顾，缺乏专业性；二是单位对部门支出整体绩效评价部分指标无法量化，因此整体绩效评价指标比较粗，没有具体细化；三是我单位年初预算项目资金存在不可预见性，中途调剂项目较多；四是财政不能按照进度支付资金。</w:t>
      </w:r>
    </w:p>
    <w:p w14:paraId="7435AFDB">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3" w:firstLineChars="200"/>
        <w:jc w:val="both"/>
        <w:textAlignment w:val="auto"/>
        <w:rPr>
          <w:rFonts w:hint="eastAsia" w:ascii="Times New Roman" w:hAnsi="Times New Roman" w:eastAsia="方正楷体_GBK" w:cs="Times New Roman"/>
          <w:b/>
          <w:bCs/>
          <w:snapToGrid/>
          <w:color w:val="auto"/>
          <w:sz w:val="32"/>
          <w:szCs w:val="32"/>
          <w:highlight w:val="none"/>
          <w:lang w:val="zh-CN" w:eastAsia="zh-CN"/>
        </w:rPr>
      </w:pPr>
      <w:r>
        <w:rPr>
          <w:rFonts w:hint="eastAsia" w:ascii="Times New Roman" w:hAnsi="Times New Roman" w:eastAsia="方正楷体_GBK" w:cs="Times New Roman"/>
          <w:b/>
          <w:bCs/>
          <w:snapToGrid/>
          <w:color w:val="auto"/>
          <w:sz w:val="32"/>
          <w:szCs w:val="32"/>
          <w:highlight w:val="none"/>
          <w:lang w:val="zh-CN" w:eastAsia="zh-CN"/>
        </w:rPr>
        <w:t>（</w:t>
      </w:r>
      <w:r>
        <w:rPr>
          <w:rFonts w:hint="eastAsia" w:ascii="Times New Roman" w:hAnsi="Times New Roman" w:eastAsia="方正楷体_GBK" w:cs="Times New Roman"/>
          <w:b/>
          <w:bCs/>
          <w:snapToGrid/>
          <w:color w:val="auto"/>
          <w:sz w:val="32"/>
          <w:szCs w:val="32"/>
          <w:highlight w:val="none"/>
          <w:lang w:val="en-US" w:eastAsia="zh-CN"/>
        </w:rPr>
        <w:t>三</w:t>
      </w:r>
      <w:r>
        <w:rPr>
          <w:rFonts w:hint="eastAsia" w:ascii="Times New Roman" w:hAnsi="Times New Roman" w:eastAsia="方正楷体_GBK" w:cs="Times New Roman"/>
          <w:b/>
          <w:bCs/>
          <w:snapToGrid/>
          <w:color w:val="auto"/>
          <w:sz w:val="32"/>
          <w:szCs w:val="32"/>
          <w:highlight w:val="none"/>
          <w:lang w:val="zh-CN" w:eastAsia="zh-CN"/>
        </w:rPr>
        <w:t>）改进建议</w:t>
      </w:r>
    </w:p>
    <w:p w14:paraId="38A7D6BA">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
        </w:rPr>
      </w:pPr>
      <w:r>
        <w:rPr>
          <w:rFonts w:hint="eastAsia" w:ascii="Times New Roman" w:hAnsi="Times New Roman" w:eastAsia="仿宋_GB2312" w:cs="Times New Roman"/>
          <w:kern w:val="2"/>
          <w:sz w:val="32"/>
          <w:szCs w:val="32"/>
          <w:highlight w:val="none"/>
          <w:lang w:val="en-US" w:eastAsia="zh-CN" w:bidi="ar"/>
        </w:rPr>
        <w:t xml:space="preserve">仁和区融媒体中心将进一步完善预算绩效管理操作规程，规范各类专项资金绩效评价具体的操作方式，进一步提高我单位财政资金管理绩效水平，按照区财政局的要求更好地完成预算绩效管理工作。 </w:t>
      </w:r>
    </w:p>
    <w:p w14:paraId="29BB5B12">
      <w:pPr>
        <w:pStyle w:val="14"/>
        <w:spacing w:line="560" w:lineRule="exact"/>
        <w:ind w:left="0" w:leftChars="0" w:firstLine="640"/>
        <w:rPr>
          <w:rFonts w:ascii="Times New Roman" w:eastAsia="仿宋_GB2312"/>
          <w:sz w:val="32"/>
          <w:highlight w:val="none"/>
          <w:lang w:val="zh-CN" w:bidi="ar"/>
        </w:rPr>
      </w:pPr>
    </w:p>
    <w:p w14:paraId="399DC39C">
      <w:pPr>
        <w:pStyle w:val="14"/>
        <w:spacing w:line="560" w:lineRule="exact"/>
        <w:ind w:left="0" w:leftChars="0" w:firstLine="640"/>
        <w:rPr>
          <w:rFonts w:hint="eastAsia" w:ascii="Times New Roman" w:eastAsia="仿宋_GB2312"/>
          <w:sz w:val="32"/>
          <w:highlight w:val="none"/>
          <w:lang w:val="en-US" w:eastAsia="zh-CN" w:bidi="ar"/>
        </w:rPr>
      </w:pPr>
    </w:p>
    <w:p w14:paraId="3C7C913A">
      <w:pPr>
        <w:pStyle w:val="14"/>
        <w:spacing w:line="560" w:lineRule="exact"/>
        <w:ind w:left="0" w:leftChars="0" w:firstLine="640"/>
        <w:rPr>
          <w:rFonts w:hint="eastAsia" w:ascii="Times New Roman" w:eastAsia="仿宋_GB2312"/>
          <w:sz w:val="32"/>
          <w:highlight w:val="none"/>
          <w:lang w:val="en-US" w:eastAsia="zh-CN" w:bidi="ar"/>
        </w:rPr>
      </w:pPr>
    </w:p>
    <w:p w14:paraId="7D6F6B31">
      <w:pPr>
        <w:pStyle w:val="14"/>
        <w:spacing w:line="560" w:lineRule="exact"/>
        <w:ind w:left="0" w:leftChars="0" w:firstLine="640"/>
        <w:rPr>
          <w:rFonts w:hint="eastAsia" w:ascii="Times New Roman" w:eastAsia="仿宋_GB2312"/>
          <w:sz w:val="32"/>
          <w:highlight w:val="none"/>
          <w:lang w:val="en-US" w:eastAsia="zh-CN" w:bidi="ar"/>
        </w:rPr>
      </w:pPr>
    </w:p>
    <w:p w14:paraId="5F6347A8">
      <w:pPr>
        <w:pStyle w:val="14"/>
        <w:spacing w:line="560" w:lineRule="exact"/>
        <w:ind w:left="0" w:leftChars="0" w:firstLine="640"/>
        <w:rPr>
          <w:rFonts w:hint="eastAsia" w:ascii="Times New Roman" w:eastAsia="仿宋_GB2312"/>
          <w:sz w:val="32"/>
          <w:highlight w:val="none"/>
          <w:lang w:val="en-US" w:eastAsia="zh-CN" w:bidi="ar"/>
        </w:rPr>
      </w:pPr>
    </w:p>
    <w:p w14:paraId="6C022C29">
      <w:pPr>
        <w:pStyle w:val="14"/>
        <w:spacing w:line="560" w:lineRule="exact"/>
        <w:ind w:left="0" w:leftChars="0" w:firstLine="640"/>
        <w:rPr>
          <w:rFonts w:hint="eastAsia" w:ascii="Times New Roman" w:eastAsia="仿宋_GB2312"/>
          <w:sz w:val="32"/>
          <w:highlight w:val="none"/>
          <w:lang w:val="en-US" w:eastAsia="zh-CN" w:bidi="ar"/>
        </w:rPr>
      </w:pPr>
    </w:p>
    <w:p w14:paraId="30DCE8B3">
      <w:pPr>
        <w:pStyle w:val="14"/>
        <w:spacing w:line="560" w:lineRule="exact"/>
        <w:ind w:left="0" w:leftChars="0" w:firstLine="640"/>
        <w:rPr>
          <w:rFonts w:hint="eastAsia" w:ascii="Times New Roman" w:eastAsia="仿宋_GB2312"/>
          <w:sz w:val="32"/>
          <w:highlight w:val="none"/>
          <w:lang w:val="en-US" w:eastAsia="zh-CN" w:bidi="ar"/>
        </w:rPr>
      </w:pPr>
    </w:p>
    <w:p w14:paraId="1B6594E9">
      <w:pPr>
        <w:pStyle w:val="14"/>
        <w:spacing w:line="560" w:lineRule="exact"/>
        <w:ind w:left="0" w:leftChars="0" w:firstLine="640"/>
        <w:rPr>
          <w:rFonts w:hint="eastAsia" w:ascii="Times New Roman" w:eastAsia="仿宋_GB2312"/>
          <w:sz w:val="32"/>
          <w:highlight w:val="none"/>
          <w:lang w:val="en-US" w:eastAsia="zh-CN" w:bidi="ar"/>
        </w:rPr>
      </w:pPr>
    </w:p>
    <w:p w14:paraId="758F0907">
      <w:pPr>
        <w:pStyle w:val="14"/>
        <w:spacing w:line="560" w:lineRule="exact"/>
        <w:ind w:left="0" w:leftChars="0" w:firstLine="640"/>
        <w:rPr>
          <w:rFonts w:hint="eastAsia" w:ascii="Times New Roman" w:eastAsia="仿宋_GB2312"/>
          <w:sz w:val="32"/>
          <w:highlight w:val="none"/>
          <w:lang w:val="en-US" w:eastAsia="zh-CN" w:bidi="ar"/>
        </w:rPr>
      </w:pPr>
    </w:p>
    <w:p w14:paraId="6080F455">
      <w:pPr>
        <w:pStyle w:val="14"/>
        <w:spacing w:line="560" w:lineRule="exact"/>
        <w:ind w:left="0" w:leftChars="0" w:firstLine="640"/>
        <w:rPr>
          <w:rFonts w:hint="eastAsia" w:ascii="Times New Roman" w:eastAsia="仿宋_GB2312"/>
          <w:sz w:val="32"/>
          <w:highlight w:val="none"/>
          <w:lang w:val="en-US" w:eastAsia="zh-CN" w:bidi="ar"/>
        </w:rPr>
      </w:pPr>
    </w:p>
    <w:p w14:paraId="2A18CED7">
      <w:pPr>
        <w:pStyle w:val="14"/>
        <w:spacing w:line="560" w:lineRule="exact"/>
        <w:ind w:left="0" w:leftChars="0" w:firstLine="640"/>
        <w:rPr>
          <w:rFonts w:hint="eastAsia" w:ascii="Times New Roman" w:eastAsia="仿宋_GB2312"/>
          <w:sz w:val="32"/>
          <w:highlight w:val="none"/>
          <w:lang w:val="en-US" w:eastAsia="zh-CN" w:bidi="ar"/>
        </w:rPr>
      </w:pPr>
    </w:p>
    <w:p w14:paraId="10B1B3C9">
      <w:pPr>
        <w:pStyle w:val="14"/>
        <w:spacing w:line="560" w:lineRule="exact"/>
        <w:ind w:left="0" w:leftChars="0" w:firstLine="640"/>
        <w:rPr>
          <w:rFonts w:hint="eastAsia" w:ascii="Times New Roman" w:eastAsia="仿宋_GB2312"/>
          <w:sz w:val="32"/>
          <w:highlight w:val="none"/>
          <w:lang w:val="en-US" w:eastAsia="zh-CN" w:bidi="ar"/>
        </w:rPr>
      </w:pPr>
    </w:p>
    <w:p w14:paraId="29E78079">
      <w:pPr>
        <w:pStyle w:val="14"/>
        <w:spacing w:line="560" w:lineRule="exact"/>
        <w:ind w:left="0" w:leftChars="0" w:firstLine="640"/>
        <w:rPr>
          <w:rFonts w:hint="eastAsia" w:ascii="Times New Roman" w:eastAsia="仿宋_GB2312"/>
          <w:sz w:val="32"/>
          <w:highlight w:val="none"/>
          <w:lang w:val="en-US" w:eastAsia="zh-CN" w:bidi="ar"/>
        </w:rPr>
      </w:pPr>
    </w:p>
    <w:p w14:paraId="7E83BCD0">
      <w:pPr>
        <w:pStyle w:val="14"/>
        <w:spacing w:line="560" w:lineRule="exact"/>
        <w:ind w:left="0" w:leftChars="0" w:firstLine="640"/>
        <w:rPr>
          <w:rFonts w:hint="eastAsia" w:ascii="Times New Roman" w:eastAsia="仿宋_GB2312"/>
          <w:sz w:val="32"/>
          <w:highlight w:val="none"/>
          <w:lang w:val="en-US" w:eastAsia="zh-CN" w:bidi="ar"/>
        </w:rPr>
      </w:pPr>
    </w:p>
    <w:p w14:paraId="7F85DE04">
      <w:pPr>
        <w:pStyle w:val="14"/>
        <w:spacing w:line="560" w:lineRule="exact"/>
        <w:ind w:left="0" w:leftChars="0" w:firstLine="640"/>
        <w:rPr>
          <w:rFonts w:hint="eastAsia" w:ascii="Times New Roman" w:eastAsia="仿宋_GB2312"/>
          <w:sz w:val="32"/>
          <w:highlight w:val="none"/>
          <w:lang w:val="en-US" w:eastAsia="zh-CN" w:bidi="ar"/>
        </w:rPr>
      </w:pPr>
    </w:p>
    <w:p w14:paraId="0F9B2F94">
      <w:pPr>
        <w:pStyle w:val="14"/>
        <w:spacing w:line="560" w:lineRule="exact"/>
        <w:ind w:left="0" w:leftChars="0" w:firstLine="640"/>
        <w:rPr>
          <w:rFonts w:hint="eastAsia" w:ascii="Times New Roman" w:eastAsia="仿宋_GB2312"/>
          <w:sz w:val="32"/>
          <w:highlight w:val="none"/>
          <w:lang w:val="en-US" w:eastAsia="zh-CN" w:bidi="ar"/>
        </w:rPr>
      </w:pPr>
    </w:p>
    <w:p w14:paraId="428F5324">
      <w:pPr>
        <w:pStyle w:val="14"/>
        <w:spacing w:line="560" w:lineRule="exact"/>
        <w:ind w:left="0" w:leftChars="0" w:firstLine="640"/>
        <w:rPr>
          <w:rFonts w:hint="eastAsia" w:ascii="Times New Roman" w:eastAsia="仿宋_GB2312"/>
          <w:sz w:val="32"/>
          <w:highlight w:val="none"/>
          <w:lang w:val="en-US" w:eastAsia="zh-CN" w:bidi="ar"/>
        </w:rPr>
      </w:pPr>
    </w:p>
    <w:p w14:paraId="1DD02CA5">
      <w:pPr>
        <w:pStyle w:val="14"/>
        <w:spacing w:line="560" w:lineRule="exact"/>
        <w:ind w:left="0" w:leftChars="0" w:firstLine="640"/>
        <w:rPr>
          <w:rFonts w:hint="eastAsia" w:ascii="Times New Roman" w:eastAsia="仿宋_GB2312"/>
          <w:sz w:val="32"/>
          <w:highlight w:val="none"/>
          <w:lang w:val="en-US" w:eastAsia="zh-CN" w:bidi="ar"/>
        </w:rPr>
      </w:pPr>
    </w:p>
    <w:p w14:paraId="55FAF05A">
      <w:pPr>
        <w:spacing w:line="572" w:lineRule="exact"/>
        <w:jc w:val="left"/>
        <w:outlineLvl w:val="0"/>
        <w:rPr>
          <w:rFonts w:hint="eastAsia" w:eastAsia="黑体" w:cs="黑体"/>
          <w:sz w:val="32"/>
          <w:szCs w:val="32"/>
          <w:highlight w:val="none"/>
          <w:lang w:val="en-US" w:eastAsia="zh-CN"/>
        </w:rPr>
      </w:pPr>
      <w:r>
        <w:rPr>
          <w:rFonts w:hint="eastAsia" w:eastAsia="黑体" w:cs="黑体"/>
          <w:sz w:val="32"/>
          <w:szCs w:val="32"/>
          <w:highlight w:val="none"/>
          <w:lang w:val="en-US" w:eastAsia="zh-CN"/>
        </w:rPr>
        <w:t>附件2</w:t>
      </w:r>
    </w:p>
    <w:p w14:paraId="49A1E4A2">
      <w:pPr>
        <w:pStyle w:val="2"/>
        <w:spacing w:before="93"/>
        <w:rPr>
          <w:rFonts w:ascii="Times New Roman" w:cs="宋体"/>
          <w:color w:val="FF0000"/>
          <w:sz w:val="32"/>
          <w:szCs w:val="32"/>
          <w:highlight w:val="none"/>
          <w:shd w:val="clear" w:color="auto" w:fill="FFFFFF"/>
          <w:lang w:val="zh-CN"/>
        </w:rPr>
      </w:pPr>
    </w:p>
    <w:p w14:paraId="0C3C15F3">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0E75B85F">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0691ED9F">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融媒体中心运行维护费</w:t>
      </w:r>
      <w:r>
        <w:rPr>
          <w:rFonts w:hint="eastAsia" w:ascii="方正小标宋_GBK" w:hAnsi="黑体" w:eastAsia="方正小标宋_GBK" w:cs="黑体"/>
          <w:sz w:val="36"/>
          <w:szCs w:val="36"/>
        </w:rPr>
        <w:t>）</w:t>
      </w:r>
    </w:p>
    <w:p w14:paraId="5E6040BB">
      <w:pPr>
        <w:pStyle w:val="3"/>
        <w:spacing w:line="600" w:lineRule="exact"/>
        <w:ind w:firstLine="640" w:firstLineChars="200"/>
        <w:jc w:val="left"/>
        <w:rPr>
          <w:rFonts w:ascii="仿宋_GB2312" w:hAnsi="仿宋_GB2312" w:eastAsia="仿宋_GB2312" w:cs="仿宋_GB2312"/>
          <w:sz w:val="32"/>
          <w:szCs w:val="32"/>
        </w:rPr>
      </w:pPr>
    </w:p>
    <w:p w14:paraId="614E26CB">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61718F11">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7EA39D50">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eastAsia="仿宋_GB2312" w:cs="Times New Roman"/>
          <w:sz w:val="32"/>
          <w:szCs w:val="32"/>
          <w:lang w:val="en-US" w:eastAsia="zh-CN"/>
        </w:rPr>
        <w:t>1.</w:t>
      </w:r>
      <w:r>
        <w:rPr>
          <w:rFonts w:hint="eastAsia" w:ascii="仿宋_GB2312" w:hAnsi="仿宋_GB2312" w:eastAsia="仿宋_GB2312" w:cs="仿宋_GB2312"/>
          <w:color w:val="000000"/>
          <w:sz w:val="32"/>
          <w:szCs w:val="32"/>
        </w:rPr>
        <w:t>项目立项、</w:t>
      </w:r>
      <w:r>
        <w:rPr>
          <w:rFonts w:hint="eastAsia" w:ascii="仿宋_GB2312" w:eastAsia="仿宋_GB2312" w:cs="Times New Roman"/>
          <w:sz w:val="32"/>
          <w:szCs w:val="32"/>
          <w:lang w:val="zh-CN"/>
        </w:rPr>
        <w:t>资金申报依据。</w:t>
      </w:r>
      <w:r>
        <w:rPr>
          <w:rFonts w:hint="eastAsia" w:ascii="仿宋_GB2312" w:eastAsia="仿宋_GB2312"/>
          <w:sz w:val="32"/>
          <w:szCs w:val="32"/>
        </w:rPr>
        <w:t>根据仁和区融媒体中心【关于请求解决区融媒体中心基本运行保障经费的请示】攀仁融</w:t>
      </w:r>
      <w:r>
        <w:rPr>
          <w:rFonts w:hint="eastAsia" w:ascii="仿宋_GB2312" w:eastAsia="仿宋_GB2312"/>
          <w:sz w:val="32"/>
          <w:szCs w:val="32"/>
          <w:lang w:eastAsia="zh-CN"/>
        </w:rPr>
        <w:t>〔2019〕18号，</w:t>
      </w:r>
      <w:r>
        <w:rPr>
          <w:rFonts w:hint="eastAsia" w:ascii="仿宋_GB2312" w:eastAsia="仿宋_GB2312"/>
          <w:sz w:val="32"/>
          <w:szCs w:val="32"/>
          <w:lang w:val="en-US" w:eastAsia="zh-CN"/>
        </w:rPr>
        <w:t>将</w:t>
      </w:r>
      <w:r>
        <w:rPr>
          <w:rFonts w:hint="eastAsia" w:ascii="仿宋_GB2312" w:hAnsi="仿宋" w:eastAsia="仿宋_GB2312" w:cs="Times New Roman"/>
          <w:kern w:val="2"/>
          <w:sz w:val="32"/>
          <w:szCs w:val="32"/>
          <w:lang w:val="en-US" w:eastAsia="zh-CN" w:bidi="ar-SA"/>
        </w:rPr>
        <w:t>融媒体中心运行维护费项目</w:t>
      </w:r>
      <w:r>
        <w:rPr>
          <w:rFonts w:hint="eastAsia" w:ascii="仿宋_GB2312" w:eastAsia="仿宋_GB2312"/>
          <w:sz w:val="32"/>
          <w:szCs w:val="32"/>
          <w:lang w:val="en-US" w:eastAsia="zh-CN"/>
        </w:rPr>
        <w:t>纳入财政年初预算项目</w:t>
      </w:r>
      <w:r>
        <w:rPr>
          <w:rFonts w:hint="eastAsia" w:ascii="仿宋_GB2312" w:hAnsi="Calibri" w:eastAsia="仿宋_GB2312" w:cs="Times New Roman"/>
          <w:sz w:val="32"/>
          <w:szCs w:val="32"/>
          <w:lang w:val="en-US" w:eastAsia="zh-CN"/>
        </w:rPr>
        <w:t>。</w:t>
      </w:r>
    </w:p>
    <w:p w14:paraId="7DE247D3">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val="zh-CN"/>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w:t>
      </w:r>
      <w:r>
        <w:rPr>
          <w:rFonts w:hint="eastAsia" w:ascii="仿宋_GB2312" w:hAnsi="仿宋_GB2312" w:eastAsia="仿宋_GB2312" w:cs="仿宋_GB2312"/>
          <w:color w:val="000000"/>
          <w:kern w:val="0"/>
          <w:sz w:val="32"/>
          <w:szCs w:val="32"/>
        </w:rPr>
        <w:t>做到专款专用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i w:val="0"/>
          <w:iCs w:val="0"/>
          <w:caps w:val="0"/>
          <w:color w:val="333333"/>
          <w:spacing w:val="0"/>
          <w:sz w:val="32"/>
          <w:szCs w:val="32"/>
          <w:shd w:val="clear" w:color="auto" w:fill="FFFFFF"/>
          <w:lang w:val="en-US" w:eastAsia="zh-CN"/>
        </w:rPr>
        <w:t>确保</w:t>
      </w:r>
      <w:r>
        <w:rPr>
          <w:rFonts w:hint="eastAsia" w:ascii="仿宋_GB2312" w:hAnsi="仿宋_GB2312" w:eastAsia="仿宋_GB2312" w:cs="仿宋_GB2312"/>
          <w:i w:val="0"/>
          <w:iCs w:val="0"/>
          <w:caps w:val="0"/>
          <w:color w:val="333333"/>
          <w:spacing w:val="0"/>
          <w:sz w:val="32"/>
          <w:szCs w:val="32"/>
          <w:shd w:val="clear" w:color="auto" w:fill="FFFFFF"/>
        </w:rPr>
        <w:t>资金使用效率。</w:t>
      </w:r>
    </w:p>
    <w:p w14:paraId="4A8AF63C">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31566F46">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中心运行维护费项目主要内容：电视台版权影视节目采购；舆情监测平台服务费；融媒体平台服务费、App升级改版；专线接入（融媒体APP前后端及通联、外采）；中心机房、播出机房、非编网及办公用电及电力设备维护费；采编设备更新、制播系统设备硬件维修。</w:t>
      </w:r>
    </w:p>
    <w:p w14:paraId="3CABB52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1AF24B39">
      <w:pPr>
        <w:autoSpaceDE w:val="0"/>
        <w:autoSpaceDN w:val="0"/>
        <w:adjustRightInd w:val="0"/>
        <w:spacing w:line="576"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 w:eastAsia="仿宋_GB2312" w:cs="Times New Roman"/>
          <w:kern w:val="2"/>
          <w:sz w:val="32"/>
          <w:szCs w:val="32"/>
          <w:lang w:val="en-US" w:eastAsia="zh-CN" w:bidi="ar-SA"/>
        </w:rPr>
        <w:t>融媒体中心运行维护费项目</w:t>
      </w:r>
      <w:r>
        <w:rPr>
          <w:rFonts w:hint="eastAsia" w:ascii="仿宋_GB2312" w:hAnsi="宋体" w:eastAsia="仿宋_GB2312"/>
          <w:kern w:val="2"/>
          <w:sz w:val="32"/>
          <w:szCs w:val="32"/>
          <w:lang w:val="zh-CN"/>
        </w:rPr>
        <w:t>年初纳入预算</w:t>
      </w:r>
      <w:r>
        <w:rPr>
          <w:rFonts w:hint="eastAsia" w:ascii="仿宋_GB2312" w:hAnsi="宋体" w:eastAsia="仿宋_GB2312"/>
          <w:kern w:val="2"/>
          <w:sz w:val="32"/>
          <w:szCs w:val="32"/>
          <w:lang w:val="en-US" w:eastAsia="zh-CN"/>
        </w:rPr>
        <w:t>100万元</w:t>
      </w:r>
      <w:r>
        <w:rPr>
          <w:rFonts w:hint="eastAsia" w:ascii="仿宋_GB2312" w:hAnsi="宋体" w:eastAsia="仿宋_GB2312"/>
          <w:kern w:val="2"/>
          <w:sz w:val="32"/>
          <w:szCs w:val="32"/>
          <w:lang w:val="zh-CN"/>
        </w:rPr>
        <w:t>，</w:t>
      </w:r>
      <w:r>
        <w:rPr>
          <w:rFonts w:hint="eastAsia" w:ascii="仿宋_GB2312" w:hAnsi="仿宋" w:eastAsia="仿宋_GB2312" w:cs="Times New Roman"/>
          <w:kern w:val="2"/>
          <w:sz w:val="32"/>
          <w:szCs w:val="32"/>
          <w:lang w:val="en-US" w:eastAsia="zh-CN" w:bidi="ar-SA"/>
        </w:rPr>
        <w:t>仁和</w:t>
      </w:r>
      <w:r>
        <w:rPr>
          <w:rFonts w:hint="default" w:ascii="仿宋_GB2312" w:hAnsi="仿宋" w:eastAsia="仿宋_GB2312" w:cs="Times New Roman"/>
          <w:kern w:val="2"/>
          <w:sz w:val="32"/>
          <w:szCs w:val="32"/>
          <w:lang w:val="zh-CN" w:eastAsia="zh-CN" w:bidi="ar-SA"/>
        </w:rPr>
        <w:t>区财政</w:t>
      </w:r>
      <w:r>
        <w:rPr>
          <w:rFonts w:hint="eastAsia" w:ascii="仿宋_GB2312" w:hAnsi="仿宋" w:eastAsia="仿宋_GB2312" w:cs="Times New Roman"/>
          <w:kern w:val="2"/>
          <w:sz w:val="32"/>
          <w:szCs w:val="32"/>
          <w:lang w:val="en-US" w:eastAsia="zh-CN" w:bidi="ar-SA"/>
        </w:rPr>
        <w:t>局于2025年年初下达融媒体中心运行维护费项目经费100万元。</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4EF4E2EC">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3CD93F3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2BC96A1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369950C2">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14B9E5F4">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提供一个全面、客观且深入的项目执行效果评估，确保项目目标与实际执行结果的一致性，让</w:t>
      </w:r>
      <w:r>
        <w:rPr>
          <w:rFonts w:eastAsia="仿宋_GB2312"/>
          <w:kern w:val="0"/>
          <w:sz w:val="32"/>
          <w:szCs w:val="32"/>
        </w:rPr>
        <w:t>项目的</w:t>
      </w:r>
      <w:r>
        <w:rPr>
          <w:rFonts w:hint="eastAsia" w:eastAsia="仿宋_GB2312"/>
          <w:kern w:val="0"/>
          <w:sz w:val="32"/>
          <w:szCs w:val="32"/>
          <w:lang w:eastAsia="zh-CN"/>
        </w:rPr>
        <w:t>实施</w:t>
      </w:r>
      <w:r>
        <w:rPr>
          <w:rFonts w:eastAsia="仿宋_GB2312"/>
          <w:kern w:val="0"/>
          <w:sz w:val="32"/>
          <w:szCs w:val="32"/>
        </w:rPr>
        <w:t>有效落实国家对项目预算评审的管理要求，为财政预算管理提供技术支撑，节约财政资金，有效提高资金使用效率。</w:t>
      </w:r>
    </w:p>
    <w:p w14:paraId="2661DDDD">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2E5918D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7BB85C97">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0470434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7FF1699E">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298E56B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0298C7EB">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0ADB76F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4BF4ED7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2BA4ACA9">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2E05A79F">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472A987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62695170">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olor w:val="000000"/>
          <w:kern w:val="0"/>
          <w:sz w:val="32"/>
          <w:szCs w:val="32"/>
          <w:lang w:val="en-US" w:eastAsia="zh-CN"/>
        </w:rPr>
      </w:pPr>
      <w:r>
        <w:rPr>
          <w:rFonts w:hint="eastAsia" w:ascii="楷体_GB2312" w:hAnsi="楷体_GB2312" w:eastAsia="楷体_GB2312" w:cs="楷体_GB2312"/>
          <w:color w:val="auto"/>
          <w:sz w:val="32"/>
          <w:szCs w:val="32"/>
          <w:lang w:val="en-US" w:eastAsia="zh-CN"/>
        </w:rPr>
        <w:t>3.项目实施。</w:t>
      </w:r>
      <w:r>
        <w:rPr>
          <w:rFonts w:hint="eastAsia" w:ascii="仿宋_GB2312" w:hAnsi="仿宋" w:eastAsia="仿宋_GB2312" w:cs="Times New Roman"/>
          <w:kern w:val="2"/>
          <w:sz w:val="32"/>
          <w:szCs w:val="32"/>
          <w:lang w:val="en-US" w:eastAsia="zh-CN" w:bidi="ar-SA"/>
        </w:rPr>
        <w:t>融媒体中心运行维护费项目</w:t>
      </w:r>
      <w:r>
        <w:rPr>
          <w:rFonts w:hint="eastAsia" w:ascii="仿宋_GB2312" w:hAnsi="宋体" w:eastAsia="仿宋_GB2312"/>
          <w:kern w:val="2"/>
          <w:sz w:val="32"/>
          <w:szCs w:val="32"/>
          <w:lang w:val="zh-CN"/>
        </w:rPr>
        <w:t>年初预算</w:t>
      </w:r>
      <w:r>
        <w:rPr>
          <w:rFonts w:hint="eastAsia" w:ascii="仿宋_GB2312" w:hAnsi="宋体" w:eastAsia="仿宋_GB2312"/>
          <w:kern w:val="2"/>
          <w:sz w:val="32"/>
          <w:szCs w:val="32"/>
          <w:lang w:val="en-US" w:eastAsia="zh-CN"/>
        </w:rPr>
        <w:t>100万元</w:t>
      </w:r>
      <w:r>
        <w:rPr>
          <w:rFonts w:hint="eastAsia" w:ascii="仿宋_GB2312" w:hAnsi="宋体" w:eastAsia="仿宋_GB2312"/>
          <w:kern w:val="2"/>
          <w:sz w:val="32"/>
          <w:szCs w:val="32"/>
          <w:lang w:val="zh-CN"/>
        </w:rPr>
        <w:t>，</w:t>
      </w:r>
      <w:r>
        <w:rPr>
          <w:rFonts w:eastAsia="仿宋_GB2312"/>
          <w:sz w:val="32"/>
          <w:szCs w:val="32"/>
          <w:lang w:val="zh-CN"/>
        </w:rPr>
        <w:t>资金到位及时，资金到位率100%。</w:t>
      </w:r>
      <w:r>
        <w:rPr>
          <w:rFonts w:hint="eastAsia" w:eastAsia="仿宋_GB2312"/>
          <w:sz w:val="32"/>
          <w:szCs w:val="32"/>
          <w:lang w:val="en-US" w:eastAsia="zh-CN"/>
        </w:rPr>
        <w:t>由于财政资金紧张，</w:t>
      </w:r>
      <w:r>
        <w:rPr>
          <w:rFonts w:hint="eastAsia" w:ascii="Times New Roman" w:hAnsi="Times New Roman" w:eastAsia="仿宋_GB2312"/>
          <w:color w:val="000000"/>
          <w:kern w:val="0"/>
          <w:sz w:val="32"/>
          <w:szCs w:val="32"/>
          <w:lang w:val="en-US" w:eastAsia="zh-CN"/>
        </w:rPr>
        <w:t>截至2025年12月30日共支付运行维护费70.96万元，</w:t>
      </w:r>
      <w:r>
        <w:rPr>
          <w:rFonts w:hint="eastAsia" w:ascii="仿宋_GB2312" w:hAnsi="仿宋_GB2312" w:eastAsia="仿宋_GB2312" w:cs="仿宋_GB2312"/>
          <w:b w:val="0"/>
          <w:bCs w:val="0"/>
          <w:kern w:val="0"/>
          <w:position w:val="0"/>
          <w:sz w:val="32"/>
          <w:szCs w:val="32"/>
          <w:highlight w:val="none"/>
          <w:lang w:val="en-US" w:eastAsia="zh-CN" w:bidi="ar-SA"/>
        </w:rPr>
        <w:t>预算执行率70.96%，</w:t>
      </w:r>
      <w:r>
        <w:rPr>
          <w:rFonts w:hint="eastAsia" w:ascii="Times New Roman" w:hAnsi="Times New Roman" w:eastAsia="仿宋_GB2312"/>
          <w:color w:val="000000"/>
          <w:kern w:val="0"/>
          <w:sz w:val="32"/>
          <w:szCs w:val="32"/>
          <w:lang w:val="en-US" w:eastAsia="zh-CN"/>
        </w:rPr>
        <w:t>剩余资金29.04万元财政追减。</w:t>
      </w:r>
    </w:p>
    <w:p w14:paraId="18AC0019">
      <w:pPr>
        <w:pStyle w:val="2"/>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 w:eastAsia="仿宋_GB2312" w:cs="Times New Roman"/>
          <w:kern w:val="2"/>
          <w:sz w:val="32"/>
          <w:szCs w:val="32"/>
          <w:lang w:val="en-US" w:eastAsia="zh-CN" w:bidi="ar-SA"/>
        </w:rPr>
        <w:t>融媒体中心运行维护费</w:t>
      </w:r>
      <w:r>
        <w:rPr>
          <w:rFonts w:hint="eastAsia" w:ascii="仿宋_GB2312" w:hAnsi="仿宋_GB2312" w:eastAsia="仿宋_GB2312" w:cs="仿宋_GB2312"/>
          <w:i w:val="0"/>
          <w:iCs w:val="0"/>
          <w:caps w:val="0"/>
          <w:color w:val="333333"/>
          <w:spacing w:val="0"/>
          <w:sz w:val="32"/>
          <w:szCs w:val="32"/>
          <w:shd w:val="clear" w:color="auto" w:fill="FFFFFF"/>
          <w:lang w:val="en-US" w:eastAsia="zh-CN"/>
        </w:rPr>
        <w:t>项目的实施确保全区舆论安全、媒体发布准确、新闻信息及时、社会知晓度进一步提升，服务能力进一步提高，实现仁和区舆情及舆论宣传的安全发展。</w:t>
      </w:r>
      <w:r>
        <w:rPr>
          <w:rFonts w:hint="eastAsia" w:ascii="仿宋_GB2312" w:hAnsi="仿宋_GB2312" w:eastAsia="仿宋_GB2312" w:cs="仿宋_GB2312"/>
          <w:b w:val="0"/>
          <w:bCs w:val="0"/>
          <w:kern w:val="0"/>
          <w:position w:val="0"/>
          <w:sz w:val="32"/>
          <w:szCs w:val="32"/>
          <w:highlight w:val="none"/>
          <w:lang w:val="en-US" w:eastAsia="zh-CN" w:bidi="ar-SA"/>
        </w:rPr>
        <w:t>项目实施情况总体较好，项目满意度较好，项目实施规范有序，达到了预期效果。</w:t>
      </w:r>
    </w:p>
    <w:p w14:paraId="4B42EB56">
      <w:pPr>
        <w:tabs>
          <w:tab w:val="left" w:pos="2160"/>
        </w:tabs>
        <w:suppressAutoHyphens/>
        <w:spacing w:line="600" w:lineRule="exact"/>
        <w:ind w:firstLine="315" w:firstLineChars="98"/>
        <w:rPr>
          <w:rFonts w:eastAsia="黑体"/>
          <w:b/>
          <w:sz w:val="32"/>
          <w:szCs w:val="32"/>
        </w:rPr>
      </w:pPr>
      <w:r>
        <w:rPr>
          <w:rFonts w:eastAsia="黑体"/>
          <w:b/>
          <w:sz w:val="32"/>
          <w:szCs w:val="32"/>
        </w:rPr>
        <w:t xml:space="preserve">  四、评价结论</w:t>
      </w:r>
    </w:p>
    <w:p w14:paraId="4415255B">
      <w:pPr>
        <w:pStyle w:val="3"/>
        <w:spacing w:line="576" w:lineRule="exact"/>
        <w:ind w:firstLine="640" w:firstLineChars="200"/>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融媒体中心运行维护费</w:t>
      </w:r>
      <w:r>
        <w:rPr>
          <w:rFonts w:hint="eastAsia" w:ascii="Times New Roman" w:hAnsi="Times New Roman" w:eastAsia="仿宋_GB2312"/>
          <w:kern w:val="0"/>
          <w:sz w:val="32"/>
          <w:szCs w:val="32"/>
        </w:rPr>
        <w:t>项目</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r>
        <w:rPr>
          <w:rFonts w:hint="eastAsia" w:ascii="仿宋_GB2312" w:hAnsi="Times New Roman" w:eastAsia="仿宋_GB2312"/>
          <w:color w:val="000000"/>
          <w:kern w:val="0"/>
          <w:sz w:val="32"/>
          <w:szCs w:val="32"/>
          <w:lang w:val="en-US" w:eastAsia="zh-CN"/>
        </w:rPr>
        <w:t>根据</w:t>
      </w:r>
      <w:r>
        <w:rPr>
          <w:rFonts w:hint="eastAsia" w:ascii="仿宋_GB2312" w:hAnsi="Times New Roman" w:eastAsia="仿宋_GB2312"/>
          <w:color w:val="000000"/>
          <w:kern w:val="0"/>
          <w:sz w:val="32"/>
          <w:szCs w:val="32"/>
        </w:rPr>
        <w:t>对项目决策、项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0C70119C">
      <w:pPr>
        <w:tabs>
          <w:tab w:val="left" w:pos="2160"/>
        </w:tabs>
        <w:suppressAutoHyphens/>
        <w:spacing w:line="600" w:lineRule="exact"/>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4B3FC486">
      <w:pPr>
        <w:pStyle w:val="3"/>
        <w:spacing w:line="600" w:lineRule="exact"/>
        <w:ind w:firstLine="660" w:firstLineChars="200"/>
        <w:jc w:val="left"/>
        <w:rPr>
          <w:rFonts w:hint="default"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项目在执行过程中财政不能按照进度支付资金，执行率较低。</w:t>
      </w:r>
    </w:p>
    <w:p w14:paraId="123D8D26">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6CD04724">
      <w:pPr>
        <w:widowControl/>
        <w:numPr>
          <w:ilvl w:val="0"/>
          <w:numId w:val="0"/>
        </w:numPr>
        <w:adjustRightInd w:val="0"/>
        <w:snapToGrid w:val="0"/>
        <w:spacing w:line="580" w:lineRule="exact"/>
        <w:ind w:firstLine="640" w:firstLineChars="200"/>
        <w:contextualSpacing/>
        <w:jc w:val="left"/>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协调区财政按照项目实施进度支付项目经费，确保项目顺利完成。</w:t>
      </w:r>
    </w:p>
    <w:p w14:paraId="71504945">
      <w:pPr>
        <w:autoSpaceDE w:val="0"/>
        <w:autoSpaceDN w:val="0"/>
        <w:adjustRightInd w:val="0"/>
        <w:spacing w:line="576" w:lineRule="exact"/>
        <w:ind w:firstLine="643" w:firstLineChars="200"/>
        <w:jc w:val="left"/>
        <w:rPr>
          <w:rFonts w:ascii="Times New Roman" w:hAnsi="Times New Roman" w:eastAsia="楷体_GB2312"/>
          <w:b/>
          <w:color w:val="000000"/>
          <w:kern w:val="0"/>
          <w:sz w:val="32"/>
          <w:szCs w:val="32"/>
        </w:rPr>
      </w:pPr>
    </w:p>
    <w:p w14:paraId="49FA906A">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i w:val="0"/>
          <w:iCs w:val="0"/>
          <w:caps w:val="0"/>
          <w:color w:val="333333"/>
          <w:spacing w:val="0"/>
          <w:kern w:val="2"/>
          <w:sz w:val="32"/>
          <w:szCs w:val="32"/>
          <w:shd w:val="clear" w:color="auto" w:fill="FFFFFF"/>
          <w:lang w:val="en-US" w:eastAsia="zh-CN" w:bidi="ar-SA"/>
        </w:rPr>
      </w:pPr>
    </w:p>
    <w:p w14:paraId="653C3F77">
      <w:pPr>
        <w:spacing w:line="560" w:lineRule="exact"/>
        <w:ind w:firstLine="640" w:firstLineChars="200"/>
        <w:rPr>
          <w:rFonts w:hint="eastAsia" w:ascii="方正仿宋_GBK" w:hAnsi="方正仿宋_GBK" w:eastAsia="方正仿宋_GBK" w:cs="方正仿宋_GBK"/>
          <w:color w:val="000000"/>
          <w:kern w:val="0"/>
          <w:sz w:val="32"/>
          <w:szCs w:val="32"/>
          <w:lang w:val="en-US" w:eastAsia="zh-CN" w:bidi="ar"/>
        </w:rPr>
      </w:pPr>
    </w:p>
    <w:p w14:paraId="5934B0E7">
      <w:pPr>
        <w:pStyle w:val="3"/>
        <w:rPr>
          <w:rFonts w:hint="eastAsia" w:ascii="黑体" w:hAnsi="黑体" w:eastAsia="黑体" w:cs="黑体"/>
          <w:color w:val="auto"/>
          <w:kern w:val="0"/>
          <w:sz w:val="32"/>
          <w:szCs w:val="32"/>
          <w:highlight w:val="none"/>
          <w:shd w:val="clear" w:color="auto" w:fill="FFFFFF"/>
          <w:lang w:val="en-US" w:eastAsia="zh-CN"/>
        </w:rPr>
      </w:pPr>
      <w:r>
        <w:rPr>
          <w:rFonts w:hint="eastAsia" w:ascii="黑体" w:hAnsi="黑体" w:eastAsia="黑体" w:cs="仿宋_GB2312"/>
          <w:sz w:val="32"/>
          <w:szCs w:val="32"/>
          <w:lang w:val="en-US" w:eastAsia="zh-CN"/>
        </w:rPr>
        <w:t xml:space="preserve">  </w:t>
      </w:r>
      <w:r>
        <w:rPr>
          <w:rFonts w:hint="eastAsia" w:ascii="仿宋_GB2312" w:hAnsi="Times New Roman" w:eastAsia="仿宋_GB2312" w:cs="Times New Roman"/>
          <w:color w:val="000000"/>
          <w:kern w:val="0"/>
          <w:sz w:val="32"/>
          <w:szCs w:val="32"/>
          <w:lang w:val="en-US" w:eastAsia="zh-CN"/>
        </w:rPr>
        <w:t xml:space="preserve">                    </w:t>
      </w:r>
    </w:p>
    <w:p w14:paraId="68245711">
      <w:pPr>
        <w:pStyle w:val="3"/>
        <w:rPr>
          <w:rFonts w:hint="eastAsia" w:ascii="黑体" w:hAnsi="黑体" w:eastAsia="黑体" w:cs="黑体"/>
          <w:color w:val="auto"/>
          <w:kern w:val="0"/>
          <w:sz w:val="32"/>
          <w:szCs w:val="32"/>
          <w:highlight w:val="none"/>
          <w:shd w:val="clear" w:color="auto" w:fill="FFFFFF"/>
          <w:lang w:val="en-US" w:eastAsia="zh-CN"/>
        </w:rPr>
      </w:pPr>
    </w:p>
    <w:p w14:paraId="0FA8483E">
      <w:pPr>
        <w:pStyle w:val="3"/>
        <w:rPr>
          <w:rFonts w:hint="eastAsia" w:ascii="黑体" w:hAnsi="黑体" w:eastAsia="黑体" w:cs="黑体"/>
          <w:color w:val="auto"/>
          <w:kern w:val="0"/>
          <w:sz w:val="32"/>
          <w:szCs w:val="32"/>
          <w:highlight w:val="none"/>
          <w:shd w:val="clear" w:color="auto" w:fill="FFFFFF"/>
          <w:lang w:val="en-US" w:eastAsia="zh-CN"/>
        </w:rPr>
      </w:pPr>
    </w:p>
    <w:p w14:paraId="26E2A1AB">
      <w:pPr>
        <w:pStyle w:val="3"/>
        <w:rPr>
          <w:rFonts w:hint="eastAsia" w:ascii="黑体" w:hAnsi="黑体" w:eastAsia="黑体" w:cs="黑体"/>
          <w:color w:val="auto"/>
          <w:kern w:val="0"/>
          <w:sz w:val="32"/>
          <w:szCs w:val="32"/>
          <w:highlight w:val="none"/>
          <w:shd w:val="clear" w:color="auto" w:fill="FFFFFF"/>
          <w:lang w:val="en-US" w:eastAsia="zh-CN"/>
        </w:rPr>
      </w:pPr>
    </w:p>
    <w:p w14:paraId="14927E6B">
      <w:pPr>
        <w:pStyle w:val="3"/>
        <w:rPr>
          <w:rFonts w:hint="eastAsia" w:ascii="黑体" w:hAnsi="黑体" w:eastAsia="黑体" w:cs="黑体"/>
          <w:color w:val="auto"/>
          <w:kern w:val="0"/>
          <w:sz w:val="32"/>
          <w:szCs w:val="32"/>
          <w:highlight w:val="none"/>
          <w:shd w:val="clear" w:color="auto" w:fill="FFFFFF"/>
          <w:lang w:val="en-US" w:eastAsia="zh-CN"/>
        </w:rPr>
      </w:pPr>
    </w:p>
    <w:p w14:paraId="7599DBCE">
      <w:pPr>
        <w:pStyle w:val="3"/>
        <w:rPr>
          <w:rFonts w:hint="eastAsia" w:ascii="黑体" w:hAnsi="黑体" w:eastAsia="黑体" w:cs="黑体"/>
          <w:color w:val="auto"/>
          <w:kern w:val="0"/>
          <w:sz w:val="32"/>
          <w:szCs w:val="32"/>
          <w:highlight w:val="none"/>
          <w:shd w:val="clear" w:color="auto" w:fill="FFFFFF"/>
          <w:lang w:val="en-US" w:eastAsia="zh-CN"/>
        </w:rPr>
      </w:pPr>
    </w:p>
    <w:p w14:paraId="5ED1F4D1">
      <w:pPr>
        <w:pStyle w:val="3"/>
        <w:rPr>
          <w:rFonts w:hint="eastAsia" w:ascii="黑体" w:hAnsi="黑体" w:eastAsia="黑体" w:cs="黑体"/>
          <w:color w:val="auto"/>
          <w:kern w:val="0"/>
          <w:sz w:val="32"/>
          <w:szCs w:val="32"/>
          <w:highlight w:val="none"/>
          <w:shd w:val="clear" w:color="auto" w:fill="FFFFFF"/>
          <w:lang w:val="en-US" w:eastAsia="zh-CN"/>
        </w:rPr>
      </w:pPr>
    </w:p>
    <w:p w14:paraId="59DC89E9">
      <w:pPr>
        <w:pStyle w:val="3"/>
        <w:rPr>
          <w:rFonts w:hint="eastAsia" w:ascii="黑体" w:hAnsi="黑体" w:eastAsia="黑体" w:cs="黑体"/>
          <w:color w:val="auto"/>
          <w:kern w:val="0"/>
          <w:sz w:val="32"/>
          <w:szCs w:val="32"/>
          <w:highlight w:val="none"/>
          <w:shd w:val="clear" w:color="auto" w:fill="FFFFFF"/>
          <w:lang w:val="en-US" w:eastAsia="zh-CN"/>
        </w:rPr>
      </w:pPr>
    </w:p>
    <w:p w14:paraId="5F9A69AB">
      <w:pPr>
        <w:pStyle w:val="3"/>
        <w:rPr>
          <w:rFonts w:hint="eastAsia" w:ascii="黑体" w:hAnsi="黑体" w:eastAsia="黑体" w:cs="黑体"/>
          <w:color w:val="auto"/>
          <w:kern w:val="0"/>
          <w:sz w:val="32"/>
          <w:szCs w:val="32"/>
          <w:highlight w:val="none"/>
          <w:shd w:val="clear" w:color="auto" w:fill="FFFFFF"/>
          <w:lang w:val="en-US" w:eastAsia="zh-CN"/>
        </w:rPr>
      </w:pPr>
    </w:p>
    <w:p w14:paraId="378F8431">
      <w:pPr>
        <w:pStyle w:val="3"/>
        <w:rPr>
          <w:rFonts w:hint="eastAsia" w:ascii="黑体" w:hAnsi="黑体" w:eastAsia="黑体" w:cs="黑体"/>
          <w:color w:val="auto"/>
          <w:kern w:val="0"/>
          <w:sz w:val="32"/>
          <w:szCs w:val="32"/>
          <w:highlight w:val="none"/>
          <w:shd w:val="clear" w:color="auto" w:fill="FFFFFF"/>
          <w:lang w:val="en-US" w:eastAsia="zh-CN"/>
        </w:rPr>
      </w:pPr>
    </w:p>
    <w:p w14:paraId="159E70C6">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1944EAB7">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086ADE45">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2025年苴却砚文化设计推广项目</w:t>
      </w:r>
      <w:r>
        <w:rPr>
          <w:rFonts w:hint="eastAsia" w:ascii="方正小标宋_GBK" w:hAnsi="黑体" w:eastAsia="方正小标宋_GBK" w:cs="黑体"/>
          <w:sz w:val="36"/>
          <w:szCs w:val="36"/>
        </w:rPr>
        <w:t>）</w:t>
      </w:r>
    </w:p>
    <w:p w14:paraId="0483593D">
      <w:pPr>
        <w:pStyle w:val="3"/>
        <w:spacing w:line="600" w:lineRule="exact"/>
        <w:ind w:firstLine="640" w:firstLineChars="200"/>
        <w:jc w:val="left"/>
        <w:rPr>
          <w:rFonts w:ascii="仿宋_GB2312" w:hAnsi="仿宋_GB2312" w:eastAsia="仿宋_GB2312" w:cs="仿宋_GB2312"/>
          <w:sz w:val="32"/>
          <w:szCs w:val="32"/>
        </w:rPr>
      </w:pPr>
    </w:p>
    <w:p w14:paraId="44BA979B">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4B22E11E">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3DC1F06F">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为进一步提升苴却砚文化知名度，挖掘并提升其文化创意价值，2025年我中心向区政府请示，请求解决2025年苴却砚文化设计推广项目经费10万元。经区政府同意，于25年年初下达2025年苴却砚文化设计推广项目经费10万元。项目主要包括设计、展示、宣传、推广等相关内容，旨在充分展示苴却砚的独特魅力和深厚文化底蕴，提升其知名度和影响力。</w:t>
      </w:r>
    </w:p>
    <w:p w14:paraId="12AA5972">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2.</w:t>
      </w:r>
      <w:r>
        <w:rPr>
          <w:rFonts w:hint="eastAsia" w:ascii="仿宋_GB2312" w:hAnsi="仿宋_GB2312" w:eastAsia="仿宋_GB2312" w:cs="仿宋_GB2312"/>
          <w:i w:val="0"/>
          <w:iCs w:val="0"/>
          <w:caps w:val="0"/>
          <w:color w:val="333333"/>
          <w:spacing w:val="0"/>
          <w:kern w:val="2"/>
          <w:sz w:val="32"/>
          <w:szCs w:val="32"/>
          <w:shd w:val="clear" w:color="auto" w:fill="FFFFFF"/>
          <w:lang w:val="zh-CN" w:eastAsia="zh-CN" w:bidi="ar-SA"/>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攀枝花市仁和区融媒体中心负责项目的实施，做到专款专用，确保资金使用效率。</w:t>
      </w:r>
    </w:p>
    <w:p w14:paraId="70D3CB5C">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122F5DEA">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融媒体安全运营规范化建设项目主要内容：</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主要包括设计、展示、宣传、推广等相关内容，旨在充分展示苴却砚的独特魅力和深厚文化底蕴，提升其知名度和影响力</w:t>
      </w:r>
      <w:r>
        <w:rPr>
          <w:rFonts w:hint="eastAsia" w:ascii="仿宋_GB2312" w:hAnsi="仿宋" w:eastAsia="仿宋_GB2312" w:cs="Times New Roman"/>
          <w:kern w:val="2"/>
          <w:sz w:val="32"/>
          <w:szCs w:val="32"/>
          <w:lang w:val="en-US" w:eastAsia="zh-CN" w:bidi="ar-SA"/>
        </w:rPr>
        <w:t>。</w:t>
      </w:r>
    </w:p>
    <w:p w14:paraId="348F677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3B38DC7F">
      <w:pPr>
        <w:autoSpaceDE w:val="0"/>
        <w:autoSpaceDN w:val="0"/>
        <w:adjustRightInd w:val="0"/>
        <w:spacing w:line="576"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 w:eastAsia="仿宋_GB2312" w:cs="Times New Roman"/>
          <w:kern w:val="2"/>
          <w:sz w:val="32"/>
          <w:szCs w:val="32"/>
          <w:lang w:val="en-US" w:eastAsia="zh-CN" w:bidi="ar-SA"/>
        </w:rPr>
        <w:t>2025年苴却砚文化设计推广项目</w:t>
      </w:r>
      <w:r>
        <w:rPr>
          <w:rFonts w:hint="eastAsia" w:ascii="仿宋_GB2312" w:hAnsi="宋体" w:eastAsia="仿宋_GB2312"/>
          <w:kern w:val="2"/>
          <w:sz w:val="32"/>
          <w:szCs w:val="32"/>
          <w:lang w:val="zh-CN"/>
        </w:rPr>
        <w:t>预算</w:t>
      </w:r>
      <w:r>
        <w:rPr>
          <w:rFonts w:hint="eastAsia" w:ascii="仿宋_GB2312" w:hAnsi="宋体" w:eastAsia="仿宋_GB2312"/>
          <w:kern w:val="2"/>
          <w:sz w:val="32"/>
          <w:szCs w:val="32"/>
          <w:lang w:val="en-US" w:eastAsia="zh-CN"/>
        </w:rPr>
        <w:t>10万元</w:t>
      </w:r>
      <w:r>
        <w:rPr>
          <w:rFonts w:hint="eastAsia" w:ascii="仿宋_GB2312" w:hAnsi="宋体" w:eastAsia="仿宋_GB2312"/>
          <w:kern w:val="2"/>
          <w:sz w:val="32"/>
          <w:szCs w:val="32"/>
          <w:lang w:val="zh-CN"/>
        </w:rPr>
        <w:t>，</w:t>
      </w:r>
      <w:r>
        <w:rPr>
          <w:rFonts w:hint="eastAsia" w:ascii="仿宋_GB2312" w:hAnsi="仿宋" w:eastAsia="仿宋_GB2312" w:cs="Times New Roman"/>
          <w:kern w:val="2"/>
          <w:sz w:val="32"/>
          <w:szCs w:val="32"/>
          <w:lang w:val="en-US" w:eastAsia="zh-CN" w:bidi="ar-SA"/>
        </w:rPr>
        <w:t>仁和</w:t>
      </w:r>
      <w:r>
        <w:rPr>
          <w:rFonts w:hint="default" w:ascii="仿宋_GB2312" w:hAnsi="仿宋" w:eastAsia="仿宋_GB2312" w:cs="Times New Roman"/>
          <w:kern w:val="2"/>
          <w:sz w:val="32"/>
          <w:szCs w:val="32"/>
          <w:lang w:val="zh-CN" w:eastAsia="zh-CN" w:bidi="ar-SA"/>
        </w:rPr>
        <w:t>区财政</w:t>
      </w:r>
      <w:r>
        <w:rPr>
          <w:rFonts w:hint="eastAsia" w:ascii="仿宋_GB2312" w:hAnsi="仿宋" w:eastAsia="仿宋_GB2312" w:cs="Times New Roman"/>
          <w:kern w:val="2"/>
          <w:sz w:val="32"/>
          <w:szCs w:val="32"/>
          <w:lang w:val="en-US" w:eastAsia="zh-CN" w:bidi="ar-SA"/>
        </w:rPr>
        <w:t>局于2024年下达2025年苴却砚文化设计推广项目资金10万元。</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0D0EEF06">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33ED28C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7AF5D56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2D12590B">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4D915C77">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提供一个全面、客观且深入的项目执行效果评估，确保项目目标与实际执行结果的一致性，让</w:t>
      </w:r>
      <w:r>
        <w:rPr>
          <w:rFonts w:eastAsia="仿宋_GB2312"/>
          <w:kern w:val="0"/>
          <w:sz w:val="32"/>
          <w:szCs w:val="32"/>
        </w:rPr>
        <w:t>项目的</w:t>
      </w:r>
      <w:r>
        <w:rPr>
          <w:rFonts w:hint="eastAsia" w:eastAsia="仿宋_GB2312"/>
          <w:kern w:val="0"/>
          <w:sz w:val="32"/>
          <w:szCs w:val="32"/>
          <w:lang w:eastAsia="zh-CN"/>
        </w:rPr>
        <w:t>实施</w:t>
      </w:r>
      <w:r>
        <w:rPr>
          <w:rFonts w:eastAsia="仿宋_GB2312"/>
          <w:kern w:val="0"/>
          <w:sz w:val="32"/>
          <w:szCs w:val="32"/>
        </w:rPr>
        <w:t>有效落实国家对项目预算评审的管理要求，为财政预算管理提供技术支撑，节约财政资金，有效提高资金使用效率。</w:t>
      </w:r>
    </w:p>
    <w:p w14:paraId="08006355">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70E251A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5939D023">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7E6FF709">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1060548C">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367CF63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582331C2">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2556FE6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5EE62FA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4B03F7D3">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5C8C15C1">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0053DE72">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4E9CAC84">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仿宋_GB2312" w:hAnsi="仿宋" w:eastAsia="仿宋_GB2312" w:cs="Times New Roman"/>
          <w:color w:val="000000"/>
          <w:kern w:val="2"/>
          <w:sz w:val="32"/>
          <w:szCs w:val="32"/>
          <w:lang w:val="en-US" w:eastAsia="zh-CN" w:bidi="ar-SA"/>
        </w:rPr>
      </w:pPr>
      <w:r>
        <w:rPr>
          <w:rFonts w:hint="eastAsia" w:ascii="楷体_GB2312" w:hAnsi="楷体_GB2312" w:eastAsia="楷体_GB2312" w:cs="楷体_GB2312"/>
          <w:color w:val="auto"/>
          <w:sz w:val="32"/>
          <w:szCs w:val="32"/>
          <w:lang w:val="en-US" w:eastAsia="zh-CN"/>
        </w:rPr>
        <w:t>3.项目实施。</w:t>
      </w:r>
      <w:r>
        <w:rPr>
          <w:rFonts w:hint="eastAsia" w:ascii="仿宋_GB2312" w:hAnsi="仿宋" w:eastAsia="仿宋_GB2312" w:cs="Times New Roman"/>
          <w:kern w:val="2"/>
          <w:sz w:val="32"/>
          <w:szCs w:val="32"/>
          <w:lang w:val="en-US" w:eastAsia="zh-CN" w:bidi="ar-SA"/>
        </w:rPr>
        <w:t>为进一步提升苴却砚文化知名度，挖掘并提升其文化创意价值，2025年委托攀枝花市大河映象文化传媒发展有限公司实施仁和区苴却砚文化设计推广项目。项目主要包括设计、展示、宣传、推广等相关内容，旨在充分展示苴却砚的独特魅力和深厚文化底蕴，提升其知名度和影响力。根据项目完成验收合格后，2025年苴却砚文化设计推广项目</w:t>
      </w:r>
      <w:r>
        <w:rPr>
          <w:rFonts w:hint="eastAsia" w:ascii="仿宋_GB2312" w:hAnsi="宋体" w:eastAsia="仿宋_GB2312"/>
          <w:kern w:val="2"/>
          <w:sz w:val="32"/>
          <w:szCs w:val="32"/>
          <w:lang w:val="zh-CN"/>
        </w:rPr>
        <w:t>预算</w:t>
      </w:r>
      <w:r>
        <w:rPr>
          <w:rFonts w:hint="eastAsia" w:ascii="仿宋_GB2312" w:hAnsi="宋体" w:eastAsia="仿宋_GB2312"/>
          <w:kern w:val="2"/>
          <w:sz w:val="32"/>
          <w:szCs w:val="32"/>
          <w:lang w:val="en-US" w:eastAsia="zh-CN"/>
        </w:rPr>
        <w:t>10万元已全部支付完毕。</w:t>
      </w:r>
    </w:p>
    <w:p w14:paraId="287CE914">
      <w:pPr>
        <w:pStyle w:val="2"/>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 w:eastAsia="仿宋_GB2312" w:cs="Times New Roman"/>
          <w:kern w:val="2"/>
          <w:sz w:val="32"/>
          <w:szCs w:val="32"/>
          <w:lang w:val="en-US" w:eastAsia="zh-CN" w:bidi="ar-SA"/>
        </w:rPr>
        <w:t>攀枝花市大河映象文化传媒发展有限公司根据</w:t>
      </w:r>
      <w:r>
        <w:rPr>
          <w:rFonts w:hint="eastAsia" w:ascii="仿宋_GB2312" w:hAnsi="仿宋_GB2312" w:eastAsia="仿宋_GB2312" w:cs="仿宋_GB2312"/>
          <w:b w:val="0"/>
          <w:bCs w:val="0"/>
          <w:kern w:val="0"/>
          <w:position w:val="0"/>
          <w:sz w:val="32"/>
          <w:szCs w:val="32"/>
          <w:highlight w:val="none"/>
          <w:lang w:val="en-US" w:eastAsia="zh-CN" w:bidi="ar-SA"/>
        </w:rPr>
        <w:t>苴却砚文化进行推广</w:t>
      </w:r>
      <w:r>
        <w:rPr>
          <w:rFonts w:hint="eastAsia" w:ascii="仿宋_GB2312" w:hAnsi="仿宋" w:eastAsia="仿宋_GB2312" w:cs="Times New Roman"/>
          <w:kern w:val="2"/>
          <w:sz w:val="32"/>
          <w:szCs w:val="32"/>
          <w:lang w:val="en-US" w:eastAsia="zh-CN" w:bidi="ar-SA"/>
        </w:rPr>
        <w:t>要求，</w:t>
      </w:r>
      <w:r>
        <w:rPr>
          <w:rFonts w:hint="eastAsia" w:ascii="仿宋_GB2312" w:hAnsi="仿宋_GB2312" w:eastAsia="仿宋_GB2312" w:cs="仿宋_GB2312"/>
          <w:b w:val="0"/>
          <w:bCs w:val="0"/>
          <w:kern w:val="0"/>
          <w:position w:val="0"/>
          <w:sz w:val="32"/>
          <w:szCs w:val="32"/>
          <w:highlight w:val="none"/>
          <w:lang w:val="en-US" w:eastAsia="zh-CN" w:bidi="ar-SA"/>
        </w:rPr>
        <w:t>主要对苴却砚文化进行推广进行设计、展示、宣传推广等相关内容，旨在充分展示苴却砚的独特魅力和深厚文化底蕴，提升其知名度和影响力。</w:t>
      </w:r>
    </w:p>
    <w:p w14:paraId="03B064CA">
      <w:pPr>
        <w:tabs>
          <w:tab w:val="left" w:pos="2160"/>
        </w:tabs>
        <w:suppressAutoHyphens/>
        <w:spacing w:line="600" w:lineRule="exact"/>
        <w:ind w:firstLine="315" w:firstLineChars="98"/>
        <w:rPr>
          <w:rFonts w:eastAsia="黑体"/>
          <w:b/>
          <w:sz w:val="32"/>
          <w:szCs w:val="32"/>
        </w:rPr>
      </w:pPr>
      <w:r>
        <w:rPr>
          <w:rFonts w:eastAsia="黑体"/>
          <w:b/>
          <w:sz w:val="32"/>
          <w:szCs w:val="32"/>
        </w:rPr>
        <w:t xml:space="preserve">  四、评价结论</w:t>
      </w:r>
    </w:p>
    <w:p w14:paraId="54F6B3C6">
      <w:pPr>
        <w:pStyle w:val="3"/>
        <w:spacing w:line="576" w:lineRule="exact"/>
        <w:ind w:firstLine="640" w:firstLineChars="200"/>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2025年</w:t>
      </w:r>
      <w:r>
        <w:rPr>
          <w:rFonts w:hint="eastAsia" w:ascii="仿宋_GB2312" w:hAnsi="仿宋_GB2312" w:eastAsia="仿宋_GB2312" w:cs="仿宋_GB2312"/>
          <w:b w:val="0"/>
          <w:bCs w:val="0"/>
          <w:kern w:val="0"/>
          <w:position w:val="0"/>
          <w:sz w:val="32"/>
          <w:szCs w:val="32"/>
          <w:highlight w:val="none"/>
          <w:lang w:val="en-US" w:eastAsia="zh-CN" w:bidi="ar-SA"/>
        </w:rPr>
        <w:t>苴却砚文化进行推广</w:t>
      </w:r>
      <w:r>
        <w:rPr>
          <w:rFonts w:hint="eastAsia" w:ascii="Times New Roman" w:hAnsi="Times New Roman" w:eastAsia="仿宋_GB2312"/>
          <w:kern w:val="0"/>
          <w:sz w:val="32"/>
          <w:szCs w:val="32"/>
        </w:rPr>
        <w:t>项目</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r>
        <w:rPr>
          <w:rFonts w:hint="eastAsia" w:ascii="仿宋_GB2312" w:eastAsia="仿宋_GB2312"/>
          <w:color w:val="000000"/>
          <w:kern w:val="0"/>
          <w:sz w:val="32"/>
          <w:szCs w:val="32"/>
          <w:lang w:eastAsia="zh-CN"/>
        </w:rPr>
        <w:t>根据</w:t>
      </w:r>
      <w:r>
        <w:rPr>
          <w:rFonts w:hint="eastAsia" w:ascii="仿宋_GB2312" w:hAnsi="Times New Roman" w:eastAsia="仿宋_GB2312"/>
          <w:color w:val="000000"/>
          <w:kern w:val="0"/>
          <w:sz w:val="32"/>
          <w:szCs w:val="32"/>
        </w:rPr>
        <w:t>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5D87EB44">
      <w:pPr>
        <w:tabs>
          <w:tab w:val="left" w:pos="2160"/>
        </w:tabs>
        <w:suppressAutoHyphens/>
        <w:spacing w:line="600" w:lineRule="exact"/>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36634B21">
      <w:pPr>
        <w:pStyle w:val="3"/>
        <w:spacing w:line="600" w:lineRule="exact"/>
        <w:ind w:firstLine="660" w:firstLineChars="200"/>
        <w:jc w:val="left"/>
        <w:rPr>
          <w:rFonts w:hint="default"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无</w:t>
      </w:r>
    </w:p>
    <w:p w14:paraId="5E5913BE">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4945DAC3">
      <w:pPr>
        <w:widowControl/>
        <w:numPr>
          <w:ilvl w:val="0"/>
          <w:numId w:val="0"/>
        </w:numPr>
        <w:adjustRightInd w:val="0"/>
        <w:snapToGrid w:val="0"/>
        <w:spacing w:line="580" w:lineRule="exact"/>
        <w:ind w:firstLine="640" w:firstLineChars="200"/>
        <w:contextualSpacing/>
        <w:jc w:val="left"/>
        <w:rPr>
          <w:rFonts w:hint="default" w:ascii="黑体" w:hAnsi="黑体" w:eastAsia="黑体" w:cs="黑体"/>
          <w:color w:val="auto"/>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无</w:t>
      </w:r>
    </w:p>
    <w:p w14:paraId="453BE6BF">
      <w:pPr>
        <w:pStyle w:val="3"/>
        <w:rPr>
          <w:rFonts w:hint="eastAsia" w:ascii="黑体" w:hAnsi="黑体" w:eastAsia="黑体" w:cs="黑体"/>
          <w:color w:val="auto"/>
          <w:kern w:val="0"/>
          <w:sz w:val="32"/>
          <w:szCs w:val="32"/>
          <w:highlight w:val="none"/>
          <w:shd w:val="clear" w:color="auto" w:fill="FFFFFF"/>
          <w:lang w:val="en-US" w:eastAsia="zh-CN"/>
        </w:rPr>
      </w:pPr>
    </w:p>
    <w:p w14:paraId="000784DC">
      <w:pPr>
        <w:pStyle w:val="3"/>
        <w:rPr>
          <w:rFonts w:hint="eastAsia" w:ascii="黑体" w:hAnsi="黑体" w:eastAsia="黑体" w:cs="黑体"/>
          <w:color w:val="auto"/>
          <w:kern w:val="0"/>
          <w:sz w:val="32"/>
          <w:szCs w:val="32"/>
          <w:highlight w:val="none"/>
          <w:shd w:val="clear" w:color="auto" w:fill="FFFFFF"/>
          <w:lang w:val="en-US" w:eastAsia="zh-CN"/>
        </w:rPr>
      </w:pPr>
    </w:p>
    <w:p w14:paraId="682C5E67">
      <w:pPr>
        <w:pStyle w:val="3"/>
        <w:rPr>
          <w:rFonts w:hint="eastAsia" w:ascii="黑体" w:hAnsi="黑体" w:eastAsia="黑体" w:cs="黑体"/>
          <w:color w:val="auto"/>
          <w:kern w:val="0"/>
          <w:sz w:val="32"/>
          <w:szCs w:val="32"/>
          <w:highlight w:val="none"/>
          <w:shd w:val="clear" w:color="auto" w:fill="FFFFFF"/>
          <w:lang w:val="en-US" w:eastAsia="zh-CN"/>
        </w:rPr>
      </w:pPr>
    </w:p>
    <w:p w14:paraId="4CEEB212">
      <w:pPr>
        <w:pStyle w:val="3"/>
        <w:rPr>
          <w:rFonts w:hint="eastAsia" w:ascii="黑体" w:hAnsi="黑体" w:eastAsia="黑体" w:cs="黑体"/>
          <w:color w:val="auto"/>
          <w:kern w:val="0"/>
          <w:sz w:val="32"/>
          <w:szCs w:val="32"/>
          <w:highlight w:val="none"/>
          <w:shd w:val="clear" w:color="auto" w:fill="FFFFFF"/>
          <w:lang w:val="en-US" w:eastAsia="zh-CN"/>
        </w:rPr>
      </w:pPr>
    </w:p>
    <w:p w14:paraId="7724A4E0">
      <w:pPr>
        <w:pStyle w:val="3"/>
        <w:rPr>
          <w:rFonts w:hint="eastAsia" w:ascii="黑体" w:hAnsi="黑体" w:eastAsia="黑体" w:cs="黑体"/>
          <w:color w:val="auto"/>
          <w:kern w:val="0"/>
          <w:sz w:val="32"/>
          <w:szCs w:val="32"/>
          <w:highlight w:val="none"/>
          <w:shd w:val="clear" w:color="auto" w:fill="FFFFFF"/>
          <w:lang w:val="en-US" w:eastAsia="zh-CN"/>
        </w:rPr>
      </w:pPr>
    </w:p>
    <w:p w14:paraId="760C2AA1">
      <w:pPr>
        <w:pStyle w:val="3"/>
        <w:rPr>
          <w:rFonts w:hint="eastAsia" w:ascii="黑体" w:hAnsi="黑体" w:eastAsia="黑体" w:cs="黑体"/>
          <w:color w:val="auto"/>
          <w:kern w:val="0"/>
          <w:sz w:val="32"/>
          <w:szCs w:val="32"/>
          <w:highlight w:val="none"/>
          <w:shd w:val="clear" w:color="auto" w:fill="FFFFFF"/>
          <w:lang w:val="en-US" w:eastAsia="zh-CN"/>
        </w:rPr>
      </w:pPr>
    </w:p>
    <w:p w14:paraId="7F12872B">
      <w:pPr>
        <w:pStyle w:val="3"/>
        <w:rPr>
          <w:rFonts w:hint="eastAsia" w:ascii="黑体" w:hAnsi="黑体" w:eastAsia="黑体" w:cs="黑体"/>
          <w:color w:val="auto"/>
          <w:kern w:val="0"/>
          <w:sz w:val="32"/>
          <w:szCs w:val="32"/>
          <w:highlight w:val="none"/>
          <w:shd w:val="clear" w:color="auto" w:fill="FFFFFF"/>
          <w:lang w:val="en-US" w:eastAsia="zh-CN"/>
        </w:rPr>
      </w:pPr>
    </w:p>
    <w:p w14:paraId="62E7072F">
      <w:pPr>
        <w:pStyle w:val="3"/>
        <w:rPr>
          <w:rFonts w:hint="eastAsia" w:ascii="黑体" w:hAnsi="黑体" w:eastAsia="黑体" w:cs="黑体"/>
          <w:color w:val="auto"/>
          <w:kern w:val="0"/>
          <w:sz w:val="32"/>
          <w:szCs w:val="32"/>
          <w:highlight w:val="none"/>
          <w:shd w:val="clear" w:color="auto" w:fill="FFFFFF"/>
          <w:lang w:val="en-US" w:eastAsia="zh-CN"/>
        </w:rPr>
      </w:pPr>
    </w:p>
    <w:p w14:paraId="03DB14EE">
      <w:pPr>
        <w:pStyle w:val="3"/>
        <w:rPr>
          <w:rFonts w:hint="eastAsia" w:ascii="黑体" w:hAnsi="黑体" w:eastAsia="黑体" w:cs="黑体"/>
          <w:color w:val="auto"/>
          <w:kern w:val="0"/>
          <w:sz w:val="32"/>
          <w:szCs w:val="32"/>
          <w:highlight w:val="none"/>
          <w:shd w:val="clear" w:color="auto" w:fill="FFFFFF"/>
          <w:lang w:val="en-US" w:eastAsia="zh-CN"/>
        </w:rPr>
      </w:pPr>
    </w:p>
    <w:p w14:paraId="1712F353">
      <w:pPr>
        <w:pStyle w:val="3"/>
        <w:rPr>
          <w:rFonts w:hint="eastAsia" w:ascii="黑体" w:hAnsi="黑体" w:eastAsia="黑体" w:cs="黑体"/>
          <w:color w:val="auto"/>
          <w:kern w:val="0"/>
          <w:sz w:val="32"/>
          <w:szCs w:val="32"/>
          <w:highlight w:val="none"/>
          <w:shd w:val="clear" w:color="auto" w:fill="FFFFFF"/>
          <w:lang w:val="en-US" w:eastAsia="zh-CN"/>
        </w:rPr>
      </w:pPr>
    </w:p>
    <w:p w14:paraId="752423BC">
      <w:pPr>
        <w:pStyle w:val="3"/>
        <w:rPr>
          <w:rFonts w:hint="eastAsia" w:ascii="黑体" w:hAnsi="黑体" w:eastAsia="黑体" w:cs="黑体"/>
          <w:color w:val="auto"/>
          <w:kern w:val="0"/>
          <w:sz w:val="32"/>
          <w:szCs w:val="32"/>
          <w:highlight w:val="none"/>
          <w:shd w:val="clear" w:color="auto" w:fill="FFFFFF"/>
          <w:lang w:val="en-US" w:eastAsia="zh-CN"/>
        </w:rPr>
      </w:pPr>
    </w:p>
    <w:p w14:paraId="5A893B0F">
      <w:pPr>
        <w:pStyle w:val="3"/>
        <w:rPr>
          <w:rFonts w:hint="eastAsia" w:ascii="黑体" w:hAnsi="黑体" w:eastAsia="黑体" w:cs="黑体"/>
          <w:color w:val="auto"/>
          <w:kern w:val="0"/>
          <w:sz w:val="32"/>
          <w:szCs w:val="32"/>
          <w:highlight w:val="none"/>
          <w:shd w:val="clear" w:color="auto" w:fill="FFFFFF"/>
          <w:lang w:val="en-US" w:eastAsia="zh-CN"/>
        </w:rPr>
      </w:pPr>
    </w:p>
    <w:p w14:paraId="083FF855">
      <w:pPr>
        <w:pStyle w:val="3"/>
        <w:rPr>
          <w:rFonts w:hint="eastAsia" w:ascii="黑体" w:hAnsi="黑体" w:eastAsia="黑体" w:cs="黑体"/>
          <w:color w:val="auto"/>
          <w:kern w:val="0"/>
          <w:sz w:val="32"/>
          <w:szCs w:val="32"/>
          <w:highlight w:val="none"/>
          <w:shd w:val="clear" w:color="auto" w:fill="FFFFFF"/>
          <w:lang w:val="en-US" w:eastAsia="zh-CN"/>
        </w:rPr>
      </w:pPr>
    </w:p>
    <w:p w14:paraId="2D9CF1F4">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1AE04943">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356DB1AA">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创建全国文明城市专项补助资金</w:t>
      </w:r>
      <w:r>
        <w:rPr>
          <w:rFonts w:hint="eastAsia" w:ascii="方正小标宋_GBK" w:hAnsi="黑体" w:eastAsia="方正小标宋_GBK" w:cs="黑体"/>
          <w:sz w:val="36"/>
          <w:szCs w:val="36"/>
        </w:rPr>
        <w:t>）</w:t>
      </w:r>
    </w:p>
    <w:p w14:paraId="722F3576">
      <w:pPr>
        <w:pStyle w:val="3"/>
        <w:spacing w:line="600" w:lineRule="exact"/>
        <w:ind w:firstLine="640" w:firstLineChars="200"/>
        <w:jc w:val="left"/>
        <w:rPr>
          <w:rFonts w:ascii="仿宋_GB2312" w:hAnsi="仿宋_GB2312" w:eastAsia="仿宋_GB2312" w:cs="仿宋_GB2312"/>
          <w:sz w:val="32"/>
          <w:szCs w:val="32"/>
        </w:rPr>
      </w:pPr>
    </w:p>
    <w:p w14:paraId="2F5D2B86">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6B700015">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5D0FD0AB">
      <w:pPr>
        <w:autoSpaceDE w:val="0"/>
        <w:autoSpaceDN w:val="0"/>
        <w:adjustRightInd w:val="0"/>
        <w:spacing w:line="600" w:lineRule="exact"/>
        <w:ind w:firstLine="640" w:firstLineChars="200"/>
        <w:jc w:val="left"/>
        <w:rPr>
          <w:rFonts w:hint="default"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eastAsia="仿宋_GB2312" w:cs="Times New Roman"/>
          <w:sz w:val="32"/>
          <w:szCs w:val="32"/>
          <w:lang w:val="en-US" w:eastAsia="zh-CN"/>
        </w:rPr>
        <w:t>1.</w:t>
      </w:r>
      <w:r>
        <w:rPr>
          <w:rFonts w:hint="eastAsia" w:ascii="仿宋_GB2312" w:hAnsi="仿宋_GB2312" w:eastAsia="仿宋_GB2312" w:cs="仿宋_GB2312"/>
          <w:color w:val="000000"/>
          <w:sz w:val="32"/>
          <w:szCs w:val="32"/>
        </w:rPr>
        <w:t>项目立项、</w:t>
      </w:r>
      <w:r>
        <w:rPr>
          <w:rFonts w:hint="eastAsia" w:ascii="仿宋_GB2312" w:eastAsia="仿宋_GB2312" w:cs="Times New Roman"/>
          <w:sz w:val="32"/>
          <w:szCs w:val="32"/>
          <w:lang w:val="zh-CN"/>
        </w:rPr>
        <w:t>资金申报依据。</w:t>
      </w:r>
      <w:r>
        <w:rPr>
          <w:rFonts w:hint="eastAsia" w:ascii="仿宋_GB2312" w:eastAsia="仿宋_GB2312"/>
          <w:sz w:val="32"/>
          <w:szCs w:val="32"/>
        </w:rPr>
        <w:t>根据攀财资教〔2024〕33号 2024年市级创建全国文明城市（文明城市创建宣传报道）</w:t>
      </w:r>
      <w:r>
        <w:rPr>
          <w:rFonts w:hint="eastAsia" w:ascii="仿宋_GB2312" w:eastAsia="仿宋_GB2312"/>
          <w:sz w:val="32"/>
          <w:szCs w:val="32"/>
          <w:lang w:val="en-US" w:eastAsia="zh-CN"/>
        </w:rPr>
        <w:t>文件精神及要求，将</w:t>
      </w:r>
      <w:r>
        <w:rPr>
          <w:rFonts w:hint="eastAsia" w:ascii="仿宋_GB2312" w:hAnsi="仿宋" w:eastAsia="仿宋_GB2312" w:cs="Times New Roman"/>
          <w:kern w:val="2"/>
          <w:sz w:val="32"/>
          <w:szCs w:val="32"/>
          <w:lang w:val="en-US" w:eastAsia="zh-CN" w:bidi="ar-SA"/>
        </w:rPr>
        <w:t>创建全国文明城市宣传专项</w:t>
      </w:r>
      <w:r>
        <w:rPr>
          <w:rFonts w:hint="eastAsia" w:ascii="仿宋_GB2312" w:eastAsia="仿宋_GB2312"/>
          <w:sz w:val="32"/>
          <w:szCs w:val="32"/>
          <w:lang w:val="en-US" w:eastAsia="zh-CN"/>
        </w:rPr>
        <w:t>纳入财政预算项目</w:t>
      </w:r>
      <w:r>
        <w:rPr>
          <w:rFonts w:hint="eastAsia" w:ascii="仿宋_GB2312" w:hAnsi="Calibri" w:eastAsia="仿宋_GB2312" w:cs="Times New Roman"/>
          <w:sz w:val="32"/>
          <w:szCs w:val="32"/>
          <w:lang w:val="en-US" w:eastAsia="zh-CN"/>
        </w:rPr>
        <w:t>。</w:t>
      </w:r>
      <w:r>
        <w:rPr>
          <w:rFonts w:hint="eastAsia" w:ascii="仿宋_GB2312" w:eastAsia="仿宋_GB2312" w:cs="Times New Roman"/>
          <w:sz w:val="32"/>
          <w:szCs w:val="32"/>
          <w:lang w:val="en-US" w:eastAsia="zh-CN"/>
        </w:rPr>
        <w:t>因2024年财政资金紧张，该项目实施完成后资金未支付，2025年初，财政将该笔资金结转至我单位。</w:t>
      </w:r>
    </w:p>
    <w:p w14:paraId="23F7DCF7">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val="zh-CN"/>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w:t>
      </w:r>
      <w:r>
        <w:rPr>
          <w:rFonts w:hint="eastAsia" w:ascii="仿宋_GB2312" w:hAnsi="仿宋_GB2312" w:eastAsia="仿宋_GB2312" w:cs="仿宋_GB2312"/>
          <w:color w:val="000000"/>
          <w:kern w:val="0"/>
          <w:sz w:val="32"/>
          <w:szCs w:val="32"/>
        </w:rPr>
        <w:t>做到专款专用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i w:val="0"/>
          <w:iCs w:val="0"/>
          <w:caps w:val="0"/>
          <w:color w:val="333333"/>
          <w:spacing w:val="0"/>
          <w:sz w:val="32"/>
          <w:szCs w:val="32"/>
          <w:shd w:val="clear" w:color="auto" w:fill="FFFFFF"/>
          <w:lang w:val="en-US" w:eastAsia="zh-CN"/>
        </w:rPr>
        <w:t>确保</w:t>
      </w:r>
      <w:r>
        <w:rPr>
          <w:rFonts w:hint="eastAsia" w:ascii="仿宋_GB2312" w:hAnsi="仿宋_GB2312" w:eastAsia="仿宋_GB2312" w:cs="仿宋_GB2312"/>
          <w:i w:val="0"/>
          <w:iCs w:val="0"/>
          <w:caps w:val="0"/>
          <w:color w:val="333333"/>
          <w:spacing w:val="0"/>
          <w:sz w:val="32"/>
          <w:szCs w:val="32"/>
          <w:shd w:val="clear" w:color="auto" w:fill="FFFFFF"/>
        </w:rPr>
        <w:t>资金使用效率。</w:t>
      </w:r>
    </w:p>
    <w:p w14:paraId="79E2E144">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2EABF5F8">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中心创建全国文明城市专项补助项目主要内容：搭建“我为创文献一计”线上征集平台，并做好数据收集和整理。完成1部宣传片《看，仁和人的情绪地图－比阳光更温暖的，是TA们》拍摄，完成“创建全国文明城市.仁和最美你来评”“最美变化”“最美行为”“最美小区”“最美社区”评选活动，并完成一系列宣传报道，营造了全民参与文明城市创建的良好氛围，提升仁和区整体城市形象。</w:t>
      </w:r>
    </w:p>
    <w:p w14:paraId="4464E76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1BE925DE">
      <w:pPr>
        <w:autoSpaceDE w:val="0"/>
        <w:autoSpaceDN w:val="0"/>
        <w:adjustRightInd w:val="0"/>
        <w:spacing w:line="576"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 w:eastAsia="仿宋_GB2312" w:cs="Times New Roman"/>
          <w:kern w:val="2"/>
          <w:sz w:val="32"/>
          <w:szCs w:val="32"/>
          <w:lang w:val="en-US" w:eastAsia="zh-CN" w:bidi="ar-SA"/>
        </w:rPr>
        <w:t>仁和</w:t>
      </w:r>
      <w:r>
        <w:rPr>
          <w:rFonts w:hint="default" w:ascii="仿宋_GB2312" w:hAnsi="仿宋" w:eastAsia="仿宋_GB2312" w:cs="Times New Roman"/>
          <w:kern w:val="2"/>
          <w:sz w:val="32"/>
          <w:szCs w:val="32"/>
          <w:lang w:val="zh-CN" w:eastAsia="zh-CN" w:bidi="ar-SA"/>
        </w:rPr>
        <w:t>区财政</w:t>
      </w:r>
      <w:r>
        <w:rPr>
          <w:rFonts w:hint="eastAsia" w:ascii="仿宋_GB2312" w:hAnsi="仿宋" w:eastAsia="仿宋_GB2312" w:cs="Times New Roman"/>
          <w:kern w:val="2"/>
          <w:sz w:val="32"/>
          <w:szCs w:val="32"/>
          <w:lang w:val="en-US" w:eastAsia="zh-CN" w:bidi="ar-SA"/>
        </w:rPr>
        <w:t>局于2025年年初，财政将创建全国文明城市专项补助经费5万元结转至融媒体中心，</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726C66E8">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472DE8E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0A1FF83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34D5CEA8">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3891E9DF">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w:t>
      </w:r>
      <w:r>
        <w:rPr>
          <w:rFonts w:eastAsia="仿宋_GB2312"/>
          <w:kern w:val="0"/>
          <w:sz w:val="32"/>
          <w:szCs w:val="32"/>
        </w:rPr>
        <w:t>项目的</w:t>
      </w:r>
      <w:r>
        <w:rPr>
          <w:rFonts w:hint="eastAsia" w:eastAsia="仿宋_GB2312"/>
          <w:kern w:val="0"/>
          <w:sz w:val="32"/>
          <w:szCs w:val="32"/>
          <w:lang w:eastAsia="zh-CN"/>
        </w:rPr>
        <w:t>实施</w:t>
      </w:r>
      <w:r>
        <w:rPr>
          <w:rFonts w:eastAsia="仿宋_GB2312"/>
          <w:kern w:val="0"/>
          <w:sz w:val="32"/>
          <w:szCs w:val="32"/>
        </w:rPr>
        <w:t>有效落实国家对项目预算评审的管理要求，为财政预算管理提供技术支撑，节约财政资金，有效提高资金使用效率。</w:t>
      </w:r>
    </w:p>
    <w:p w14:paraId="0CD82AA2">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39B7C41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0C1EF098">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17DBC628">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3A5455E7">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546C68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0028EDE4">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3602CE3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75323B2A">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4735FDF8">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29096777">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700E3A1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689CE84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olor w:val="000000"/>
          <w:kern w:val="0"/>
          <w:sz w:val="32"/>
          <w:szCs w:val="32"/>
          <w:lang w:val="en-US" w:eastAsia="zh-CN"/>
        </w:rPr>
      </w:pPr>
      <w:r>
        <w:rPr>
          <w:rFonts w:hint="eastAsia" w:ascii="楷体_GB2312" w:hAnsi="楷体_GB2312" w:eastAsia="楷体_GB2312" w:cs="楷体_GB2312"/>
          <w:color w:val="auto"/>
          <w:sz w:val="32"/>
          <w:szCs w:val="32"/>
          <w:lang w:val="en-US" w:eastAsia="zh-CN"/>
        </w:rPr>
        <w:t>3.项目实施。</w:t>
      </w:r>
      <w:r>
        <w:rPr>
          <w:rFonts w:hint="eastAsia" w:ascii="仿宋_GB2312" w:hAnsi="仿宋" w:eastAsia="仿宋_GB2312" w:cs="Times New Roman"/>
          <w:kern w:val="2"/>
          <w:sz w:val="32"/>
          <w:szCs w:val="32"/>
          <w:lang w:val="en-US" w:eastAsia="zh-CN" w:bidi="ar-SA"/>
        </w:rPr>
        <w:t>创建全国文明城市专项补助</w:t>
      </w:r>
      <w:r>
        <w:rPr>
          <w:rFonts w:hint="eastAsia" w:ascii="仿宋_GB2312" w:hAnsi="宋体" w:eastAsia="仿宋_GB2312"/>
          <w:kern w:val="2"/>
          <w:sz w:val="32"/>
          <w:szCs w:val="32"/>
          <w:lang w:val="zh-CN"/>
        </w:rPr>
        <w:t>预算</w:t>
      </w:r>
      <w:r>
        <w:rPr>
          <w:rFonts w:hint="eastAsia" w:ascii="仿宋_GB2312" w:hAnsi="宋体" w:eastAsia="仿宋_GB2312"/>
          <w:kern w:val="2"/>
          <w:sz w:val="32"/>
          <w:szCs w:val="32"/>
          <w:lang w:val="en-US" w:eastAsia="zh-CN"/>
        </w:rPr>
        <w:t>5万元于2024年结转资金，</w:t>
      </w:r>
      <w:r>
        <w:rPr>
          <w:rFonts w:hint="eastAsia" w:eastAsia="仿宋_GB2312"/>
          <w:sz w:val="32"/>
          <w:szCs w:val="32"/>
          <w:lang w:val="en-US" w:eastAsia="zh-CN"/>
        </w:rPr>
        <w:t>2025年支付4.7万元。</w:t>
      </w:r>
    </w:p>
    <w:p w14:paraId="42FC0133">
      <w:pPr>
        <w:pStyle w:val="2"/>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 w:eastAsia="仿宋_GB2312" w:cs="Times New Roman"/>
          <w:kern w:val="2"/>
          <w:sz w:val="32"/>
          <w:szCs w:val="32"/>
          <w:lang w:val="en-US" w:eastAsia="zh-CN" w:bidi="ar-SA"/>
        </w:rPr>
        <w:t>融媒体中心创建全国文明城市专项补助</w:t>
      </w:r>
      <w:r>
        <w:rPr>
          <w:rFonts w:hint="eastAsia" w:ascii="仿宋_GB2312" w:hAnsi="仿宋_GB2312" w:eastAsia="仿宋_GB2312" w:cs="仿宋_GB2312"/>
          <w:i w:val="0"/>
          <w:iCs w:val="0"/>
          <w:caps w:val="0"/>
          <w:color w:val="333333"/>
          <w:spacing w:val="0"/>
          <w:sz w:val="32"/>
          <w:szCs w:val="32"/>
          <w:shd w:val="clear" w:color="auto" w:fill="FFFFFF"/>
          <w:lang w:val="en-US" w:eastAsia="zh-CN"/>
        </w:rPr>
        <w:t>项目的实施确保</w:t>
      </w:r>
      <w:r>
        <w:rPr>
          <w:rFonts w:hint="eastAsia" w:ascii="仿宋_GB2312" w:hAnsi="仿宋" w:eastAsia="仿宋_GB2312" w:cs="Times New Roman"/>
          <w:kern w:val="2"/>
          <w:sz w:val="32"/>
          <w:szCs w:val="32"/>
          <w:lang w:val="en-US" w:eastAsia="zh-CN" w:bidi="ar-SA"/>
        </w:rPr>
        <w:t>做好仁和区创建全国文明城市宣传素材拍摄、宣传产品制作；开展“创建全国文明城市·仁和最美你来评”系列评选活动；增强群众文明意识，形成全域动员、全民参与的良好氛围，提升仁和区城市形象</w:t>
      </w:r>
      <w:r>
        <w:rPr>
          <w:rFonts w:hint="eastAsia" w:ascii="仿宋_GB2312" w:hAnsi="仿宋_GB2312" w:eastAsia="仿宋_GB2312" w:cs="仿宋_GB2312"/>
          <w:i w:val="0"/>
          <w:iCs w:val="0"/>
          <w:caps w:val="0"/>
          <w:color w:val="333333"/>
          <w:spacing w:val="0"/>
          <w:sz w:val="32"/>
          <w:szCs w:val="32"/>
          <w:shd w:val="clear" w:color="auto" w:fill="FFFFFF"/>
          <w:lang w:val="en-US" w:eastAsia="zh-CN"/>
        </w:rPr>
        <w:t>。</w:t>
      </w:r>
      <w:r>
        <w:rPr>
          <w:rFonts w:hint="eastAsia" w:ascii="仿宋_GB2312" w:hAnsi="仿宋_GB2312" w:eastAsia="仿宋_GB2312" w:cs="仿宋_GB2312"/>
          <w:b w:val="0"/>
          <w:bCs w:val="0"/>
          <w:kern w:val="0"/>
          <w:position w:val="0"/>
          <w:sz w:val="32"/>
          <w:szCs w:val="32"/>
          <w:highlight w:val="none"/>
          <w:lang w:val="en-US" w:eastAsia="zh-CN" w:bidi="ar-SA"/>
        </w:rPr>
        <w:t>项目实施情况总体较好，项目满意度较好，项目实施规范有序，达到了预期效果。</w:t>
      </w:r>
    </w:p>
    <w:p w14:paraId="06E90ED3">
      <w:pPr>
        <w:tabs>
          <w:tab w:val="left" w:pos="2160"/>
        </w:tabs>
        <w:suppressAutoHyphens/>
        <w:spacing w:line="600" w:lineRule="exact"/>
        <w:ind w:firstLine="315" w:firstLineChars="98"/>
        <w:rPr>
          <w:rFonts w:eastAsia="黑体"/>
          <w:b/>
          <w:sz w:val="32"/>
          <w:szCs w:val="32"/>
        </w:rPr>
      </w:pPr>
      <w:r>
        <w:rPr>
          <w:rFonts w:eastAsia="黑体"/>
          <w:b/>
          <w:sz w:val="32"/>
          <w:szCs w:val="32"/>
        </w:rPr>
        <w:t xml:space="preserve">  四、评价结论</w:t>
      </w:r>
    </w:p>
    <w:p w14:paraId="28F1B299">
      <w:pPr>
        <w:pStyle w:val="3"/>
        <w:spacing w:line="576" w:lineRule="exact"/>
        <w:ind w:firstLine="640" w:firstLineChars="200"/>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融媒体创建全国文明城市专项补助</w:t>
      </w:r>
      <w:r>
        <w:rPr>
          <w:rFonts w:hint="eastAsia" w:ascii="Times New Roman" w:hAnsi="Times New Roman" w:eastAsia="仿宋_GB2312"/>
          <w:kern w:val="0"/>
          <w:sz w:val="32"/>
          <w:szCs w:val="32"/>
        </w:rPr>
        <w:t>项目</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r>
        <w:rPr>
          <w:rFonts w:hint="eastAsia" w:ascii="仿宋_GB2312" w:hAnsi="Times New Roman" w:eastAsia="仿宋_GB2312"/>
          <w:color w:val="000000"/>
          <w:kern w:val="0"/>
          <w:sz w:val="32"/>
          <w:szCs w:val="32"/>
          <w:lang w:val="en-US" w:eastAsia="zh-CN"/>
        </w:rPr>
        <w:t>根据</w:t>
      </w:r>
      <w:r>
        <w:rPr>
          <w:rFonts w:hint="eastAsia" w:ascii="仿宋_GB2312" w:hAnsi="Times New Roman" w:eastAsia="仿宋_GB2312"/>
          <w:color w:val="000000"/>
          <w:kern w:val="0"/>
          <w:sz w:val="32"/>
          <w:szCs w:val="32"/>
        </w:rPr>
        <w:t>对项目决策、项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34D9648F">
      <w:pPr>
        <w:tabs>
          <w:tab w:val="left" w:pos="2160"/>
        </w:tabs>
        <w:suppressAutoHyphens/>
        <w:spacing w:line="600" w:lineRule="exact"/>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6E21273D">
      <w:pPr>
        <w:tabs>
          <w:tab w:val="left" w:pos="2160"/>
        </w:tabs>
        <w:suppressAutoHyphens/>
        <w:spacing w:line="600" w:lineRule="exact"/>
        <w:ind w:firstLine="660" w:firstLineChars="200"/>
        <w:rPr>
          <w:rFonts w:hint="eastAsia"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无</w:t>
      </w:r>
    </w:p>
    <w:p w14:paraId="209D4973">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327E91A8">
      <w:pPr>
        <w:autoSpaceDE w:val="0"/>
        <w:autoSpaceDN w:val="0"/>
        <w:adjustRightInd w:val="0"/>
        <w:spacing w:line="576" w:lineRule="exact"/>
        <w:ind w:firstLine="640" w:firstLineChars="200"/>
        <w:jc w:val="left"/>
        <w:rPr>
          <w:rFonts w:ascii="Times New Roman" w:hAnsi="Times New Roman" w:eastAsia="楷体_GB2312"/>
          <w:b/>
          <w:color w:val="000000"/>
          <w:kern w:val="0"/>
          <w:sz w:val="32"/>
          <w:szCs w:val="32"/>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无</w:t>
      </w:r>
    </w:p>
    <w:p w14:paraId="13864AB1">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i w:val="0"/>
          <w:iCs w:val="0"/>
          <w:caps w:val="0"/>
          <w:color w:val="333333"/>
          <w:spacing w:val="0"/>
          <w:kern w:val="2"/>
          <w:sz w:val="32"/>
          <w:szCs w:val="32"/>
          <w:shd w:val="clear" w:color="auto" w:fill="FFFFFF"/>
          <w:lang w:val="en-US" w:eastAsia="zh-CN" w:bidi="ar-SA"/>
        </w:rPr>
      </w:pPr>
    </w:p>
    <w:p w14:paraId="242F0605">
      <w:pPr>
        <w:spacing w:line="560" w:lineRule="exact"/>
        <w:ind w:firstLine="640" w:firstLineChars="200"/>
        <w:rPr>
          <w:rFonts w:hint="eastAsia" w:ascii="方正仿宋_GBK" w:hAnsi="方正仿宋_GBK" w:eastAsia="方正仿宋_GBK" w:cs="方正仿宋_GBK"/>
          <w:color w:val="000000"/>
          <w:kern w:val="0"/>
          <w:sz w:val="32"/>
          <w:szCs w:val="32"/>
          <w:lang w:val="en-US" w:eastAsia="zh-CN" w:bidi="ar"/>
        </w:rPr>
      </w:pPr>
    </w:p>
    <w:p w14:paraId="4EB2BC0C">
      <w:pPr>
        <w:pStyle w:val="3"/>
        <w:rPr>
          <w:rFonts w:hint="eastAsia" w:ascii="黑体" w:hAnsi="黑体" w:eastAsia="黑体" w:cs="黑体"/>
          <w:color w:val="auto"/>
          <w:kern w:val="0"/>
          <w:sz w:val="32"/>
          <w:szCs w:val="32"/>
          <w:highlight w:val="none"/>
          <w:shd w:val="clear" w:color="auto" w:fill="FFFFFF"/>
          <w:lang w:val="en-US" w:eastAsia="zh-CN"/>
        </w:rPr>
      </w:pPr>
      <w:r>
        <w:rPr>
          <w:rFonts w:hint="eastAsia" w:ascii="黑体" w:hAnsi="黑体" w:eastAsia="黑体" w:cs="仿宋_GB2312"/>
          <w:sz w:val="32"/>
          <w:szCs w:val="32"/>
          <w:lang w:val="en-US" w:eastAsia="zh-CN"/>
        </w:rPr>
        <w:t xml:space="preserve">  </w:t>
      </w:r>
      <w:r>
        <w:rPr>
          <w:rFonts w:hint="eastAsia" w:ascii="仿宋_GB2312" w:hAnsi="Times New Roman" w:eastAsia="仿宋_GB2312" w:cs="Times New Roman"/>
          <w:color w:val="000000"/>
          <w:kern w:val="0"/>
          <w:sz w:val="32"/>
          <w:szCs w:val="32"/>
          <w:lang w:val="en-US" w:eastAsia="zh-CN"/>
        </w:rPr>
        <w:t xml:space="preserve">                    </w:t>
      </w:r>
    </w:p>
    <w:p w14:paraId="0564D05A">
      <w:pPr>
        <w:pStyle w:val="3"/>
        <w:rPr>
          <w:rFonts w:hint="eastAsia" w:ascii="黑体" w:hAnsi="黑体" w:eastAsia="黑体" w:cs="黑体"/>
          <w:color w:val="auto"/>
          <w:kern w:val="0"/>
          <w:sz w:val="32"/>
          <w:szCs w:val="32"/>
          <w:highlight w:val="none"/>
          <w:shd w:val="clear" w:color="auto" w:fill="FFFFFF"/>
          <w:lang w:val="en-US" w:eastAsia="zh-CN"/>
        </w:rPr>
      </w:pPr>
    </w:p>
    <w:p w14:paraId="1E40629E">
      <w:pPr>
        <w:pStyle w:val="3"/>
        <w:rPr>
          <w:rFonts w:hint="eastAsia" w:ascii="黑体" w:hAnsi="黑体" w:eastAsia="黑体" w:cs="黑体"/>
          <w:color w:val="auto"/>
          <w:kern w:val="0"/>
          <w:sz w:val="32"/>
          <w:szCs w:val="32"/>
          <w:highlight w:val="none"/>
          <w:shd w:val="clear" w:color="auto" w:fill="FFFFFF"/>
          <w:lang w:val="en-US" w:eastAsia="zh-CN"/>
        </w:rPr>
      </w:pPr>
    </w:p>
    <w:p w14:paraId="1F9EBD7C">
      <w:pPr>
        <w:pStyle w:val="3"/>
        <w:rPr>
          <w:rFonts w:hint="eastAsia" w:ascii="黑体" w:hAnsi="黑体" w:eastAsia="黑体" w:cs="黑体"/>
          <w:color w:val="auto"/>
          <w:kern w:val="0"/>
          <w:sz w:val="32"/>
          <w:szCs w:val="32"/>
          <w:highlight w:val="none"/>
          <w:shd w:val="clear" w:color="auto" w:fill="FFFFFF"/>
          <w:lang w:val="en-US" w:eastAsia="zh-CN"/>
        </w:rPr>
      </w:pPr>
    </w:p>
    <w:p w14:paraId="32B3F4E9">
      <w:pPr>
        <w:pStyle w:val="3"/>
        <w:rPr>
          <w:rFonts w:hint="eastAsia" w:ascii="黑体" w:hAnsi="黑体" w:eastAsia="黑体" w:cs="黑体"/>
          <w:color w:val="auto"/>
          <w:kern w:val="0"/>
          <w:sz w:val="32"/>
          <w:szCs w:val="32"/>
          <w:highlight w:val="none"/>
          <w:shd w:val="clear" w:color="auto" w:fill="FFFFFF"/>
          <w:lang w:val="en-US" w:eastAsia="zh-CN"/>
        </w:rPr>
      </w:pPr>
    </w:p>
    <w:p w14:paraId="779DE7EB">
      <w:pPr>
        <w:pStyle w:val="3"/>
        <w:rPr>
          <w:rFonts w:hint="eastAsia" w:ascii="黑体" w:hAnsi="黑体" w:eastAsia="黑体" w:cs="黑体"/>
          <w:color w:val="auto"/>
          <w:kern w:val="0"/>
          <w:sz w:val="32"/>
          <w:szCs w:val="32"/>
          <w:highlight w:val="none"/>
          <w:shd w:val="clear" w:color="auto" w:fill="FFFFFF"/>
          <w:lang w:val="en-US" w:eastAsia="zh-CN"/>
        </w:rPr>
      </w:pPr>
    </w:p>
    <w:p w14:paraId="0151F4B2">
      <w:pPr>
        <w:pStyle w:val="3"/>
        <w:rPr>
          <w:rFonts w:hint="eastAsia" w:ascii="黑体" w:hAnsi="黑体" w:eastAsia="黑体" w:cs="黑体"/>
          <w:color w:val="auto"/>
          <w:kern w:val="0"/>
          <w:sz w:val="32"/>
          <w:szCs w:val="32"/>
          <w:highlight w:val="none"/>
          <w:shd w:val="clear" w:color="auto" w:fill="FFFFFF"/>
          <w:lang w:val="en-US" w:eastAsia="zh-CN"/>
        </w:rPr>
      </w:pPr>
    </w:p>
    <w:p w14:paraId="3981F494">
      <w:pPr>
        <w:pStyle w:val="3"/>
        <w:rPr>
          <w:rFonts w:hint="eastAsia" w:ascii="黑体" w:hAnsi="黑体" w:eastAsia="黑体" w:cs="黑体"/>
          <w:color w:val="auto"/>
          <w:kern w:val="0"/>
          <w:sz w:val="32"/>
          <w:szCs w:val="32"/>
          <w:highlight w:val="none"/>
          <w:shd w:val="clear" w:color="auto" w:fill="FFFFFF"/>
          <w:lang w:val="en-US" w:eastAsia="zh-CN"/>
        </w:rPr>
      </w:pPr>
    </w:p>
    <w:p w14:paraId="686ED9C1">
      <w:pPr>
        <w:pStyle w:val="3"/>
        <w:rPr>
          <w:rFonts w:hint="eastAsia" w:ascii="黑体" w:hAnsi="黑体" w:eastAsia="黑体" w:cs="黑体"/>
          <w:color w:val="auto"/>
          <w:kern w:val="0"/>
          <w:sz w:val="32"/>
          <w:szCs w:val="32"/>
          <w:highlight w:val="none"/>
          <w:shd w:val="clear" w:color="auto" w:fill="FFFFFF"/>
          <w:lang w:val="en-US" w:eastAsia="zh-CN"/>
        </w:rPr>
      </w:pPr>
    </w:p>
    <w:p w14:paraId="053CF894">
      <w:pPr>
        <w:pStyle w:val="3"/>
        <w:rPr>
          <w:rFonts w:hint="eastAsia" w:ascii="黑体" w:hAnsi="黑体" w:eastAsia="黑体" w:cs="黑体"/>
          <w:color w:val="auto"/>
          <w:kern w:val="0"/>
          <w:sz w:val="32"/>
          <w:szCs w:val="32"/>
          <w:highlight w:val="none"/>
          <w:shd w:val="clear" w:color="auto" w:fill="FFFFFF"/>
          <w:lang w:val="en-US" w:eastAsia="zh-CN"/>
        </w:rPr>
      </w:pPr>
    </w:p>
    <w:p w14:paraId="40C56A86">
      <w:pPr>
        <w:pStyle w:val="3"/>
        <w:rPr>
          <w:rFonts w:hint="eastAsia" w:ascii="黑体" w:hAnsi="黑体" w:eastAsia="黑体" w:cs="黑体"/>
          <w:color w:val="auto"/>
          <w:kern w:val="0"/>
          <w:sz w:val="32"/>
          <w:szCs w:val="32"/>
          <w:highlight w:val="none"/>
          <w:shd w:val="clear" w:color="auto" w:fill="FFFFFF"/>
          <w:lang w:val="en-US" w:eastAsia="zh-CN"/>
        </w:rPr>
      </w:pPr>
    </w:p>
    <w:p w14:paraId="1A024AFE">
      <w:pPr>
        <w:pStyle w:val="3"/>
        <w:rPr>
          <w:rFonts w:hint="eastAsia" w:ascii="黑体" w:hAnsi="黑体" w:eastAsia="黑体" w:cs="黑体"/>
          <w:color w:val="auto"/>
          <w:kern w:val="0"/>
          <w:sz w:val="32"/>
          <w:szCs w:val="32"/>
          <w:highlight w:val="none"/>
          <w:shd w:val="clear" w:color="auto" w:fill="FFFFFF"/>
          <w:lang w:val="en-US" w:eastAsia="zh-CN"/>
        </w:rPr>
      </w:pPr>
    </w:p>
    <w:p w14:paraId="75B4F2D7">
      <w:pPr>
        <w:pStyle w:val="3"/>
        <w:rPr>
          <w:rFonts w:hint="eastAsia" w:ascii="黑体" w:hAnsi="黑体" w:eastAsia="黑体" w:cs="黑体"/>
          <w:color w:val="auto"/>
          <w:kern w:val="0"/>
          <w:sz w:val="32"/>
          <w:szCs w:val="32"/>
          <w:highlight w:val="none"/>
          <w:shd w:val="clear" w:color="auto" w:fill="FFFFFF"/>
          <w:lang w:val="en-US" w:eastAsia="zh-CN"/>
        </w:rPr>
      </w:pPr>
    </w:p>
    <w:p w14:paraId="2B882F61">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50D68242">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28F95AFA">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清偿拖欠企业账款化债专项债资金－融媒体中心运行维护费</w:t>
      </w:r>
      <w:r>
        <w:rPr>
          <w:rFonts w:hint="eastAsia" w:ascii="方正小标宋_GBK" w:hAnsi="黑体" w:eastAsia="方正小标宋_GBK" w:cs="黑体"/>
          <w:sz w:val="36"/>
          <w:szCs w:val="36"/>
        </w:rPr>
        <w:t>）</w:t>
      </w:r>
    </w:p>
    <w:p w14:paraId="7F52F385">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06C3FBD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51FE9956">
      <w:pPr>
        <w:autoSpaceDE w:val="0"/>
        <w:autoSpaceDN w:val="0"/>
        <w:adjustRightInd w:val="0"/>
        <w:spacing w:line="600" w:lineRule="exact"/>
        <w:ind w:firstLine="640" w:firstLineChars="200"/>
        <w:jc w:val="left"/>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w:t>
      </w:r>
      <w:r>
        <w:rPr>
          <w:rFonts w:hint="eastAsia" w:ascii="仿宋_GB2312" w:hAnsi="仿宋_GB2312" w:eastAsia="仿宋_GB2312" w:cs="仿宋_GB2312"/>
          <w:color w:val="000000"/>
          <w:sz w:val="32"/>
          <w:szCs w:val="32"/>
        </w:rPr>
        <w:t>项目立项、</w:t>
      </w:r>
      <w:r>
        <w:rPr>
          <w:rFonts w:hint="eastAsia" w:ascii="仿宋_GB2312" w:eastAsia="仿宋_GB2312" w:cs="Times New Roman"/>
          <w:sz w:val="32"/>
          <w:szCs w:val="32"/>
          <w:lang w:val="zh-CN"/>
        </w:rPr>
        <w:t>资金申报依据。</w:t>
      </w:r>
      <w:r>
        <w:rPr>
          <w:rFonts w:hint="eastAsia" w:ascii="仿宋_GB2312" w:eastAsia="仿宋_GB2312" w:cs="Times New Roman"/>
          <w:sz w:val="32"/>
          <w:szCs w:val="32"/>
          <w:lang w:val="en-US" w:eastAsia="zh-CN"/>
        </w:rPr>
        <w:t>2022年通过招投标采购了信息系统安全等级保护（二级）建设项目，共计87.76万元，根据合同约定按10%作为质保资金，2025年，清偿拖欠企业账款化债专项债资金支付质保金8.78万元。</w:t>
      </w:r>
    </w:p>
    <w:p w14:paraId="61727A5B">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val="zh-CN"/>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w:t>
      </w:r>
      <w:r>
        <w:rPr>
          <w:rFonts w:hint="eastAsia" w:ascii="仿宋_GB2312" w:hAnsi="仿宋_GB2312" w:eastAsia="仿宋_GB2312" w:cs="仿宋_GB2312"/>
          <w:color w:val="000000"/>
          <w:kern w:val="0"/>
          <w:sz w:val="32"/>
          <w:szCs w:val="32"/>
        </w:rPr>
        <w:t>做到专款专用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i w:val="0"/>
          <w:iCs w:val="0"/>
          <w:caps w:val="0"/>
          <w:color w:val="333333"/>
          <w:spacing w:val="0"/>
          <w:sz w:val="32"/>
          <w:szCs w:val="32"/>
          <w:shd w:val="clear" w:color="auto" w:fill="FFFFFF"/>
          <w:lang w:val="en-US" w:eastAsia="zh-CN"/>
        </w:rPr>
        <w:t>确保</w:t>
      </w:r>
      <w:r>
        <w:rPr>
          <w:rFonts w:hint="eastAsia" w:ascii="仿宋_GB2312" w:hAnsi="仿宋_GB2312" w:eastAsia="仿宋_GB2312" w:cs="仿宋_GB2312"/>
          <w:i w:val="0"/>
          <w:iCs w:val="0"/>
          <w:caps w:val="0"/>
          <w:color w:val="333333"/>
          <w:spacing w:val="0"/>
          <w:sz w:val="32"/>
          <w:szCs w:val="32"/>
          <w:shd w:val="clear" w:color="auto" w:fill="FFFFFF"/>
        </w:rPr>
        <w:t>资金使用效率。</w:t>
      </w:r>
    </w:p>
    <w:p w14:paraId="323BE363">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6A6FF54A">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融媒体中心对清偿拖欠企业账款化债专项债资金积极进行支付，确保专款专用。</w:t>
      </w:r>
    </w:p>
    <w:p w14:paraId="1938531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04B44524">
      <w:pPr>
        <w:autoSpaceDE w:val="0"/>
        <w:autoSpaceDN w:val="0"/>
        <w:adjustRightInd w:val="0"/>
        <w:spacing w:line="600" w:lineRule="exact"/>
        <w:ind w:firstLine="640" w:firstLineChars="200"/>
        <w:jc w:val="left"/>
        <w:rPr>
          <w:rFonts w:ascii="仿宋_GB2312" w:hAnsi="仿宋_GB2312" w:eastAsia="仿宋_GB2312" w:cs="仿宋_GB2312"/>
          <w:color w:val="000000"/>
          <w:kern w:val="0"/>
          <w:sz w:val="32"/>
          <w:szCs w:val="32"/>
        </w:rPr>
      </w:pPr>
      <w:r>
        <w:rPr>
          <w:rFonts w:hint="eastAsia" w:ascii="仿宋_GB2312" w:eastAsia="仿宋_GB2312" w:cs="Times New Roman"/>
          <w:sz w:val="32"/>
          <w:szCs w:val="32"/>
          <w:lang w:val="en-US" w:eastAsia="zh-CN"/>
        </w:rPr>
        <w:t>2025年，为做好</w:t>
      </w:r>
      <w:r>
        <w:rPr>
          <w:rFonts w:hint="eastAsia" w:ascii="仿宋_GB2312" w:hAnsi="仿宋" w:eastAsia="仿宋_GB2312" w:cs="Times New Roman"/>
          <w:kern w:val="2"/>
          <w:sz w:val="32"/>
          <w:szCs w:val="32"/>
          <w:lang w:val="en-US" w:eastAsia="zh-CN" w:bidi="ar-SA"/>
        </w:rPr>
        <w:t>清偿拖欠企业账款化债专项债资金支付，</w:t>
      </w:r>
      <w:r>
        <w:rPr>
          <w:rFonts w:hint="eastAsia" w:ascii="仿宋_GB2312" w:eastAsia="仿宋_GB2312" w:cs="Times New Roman"/>
          <w:sz w:val="32"/>
          <w:szCs w:val="32"/>
          <w:lang w:val="en-US" w:eastAsia="zh-CN"/>
        </w:rPr>
        <w:t>区财政下达</w:t>
      </w:r>
      <w:r>
        <w:rPr>
          <w:rFonts w:hint="eastAsia" w:ascii="仿宋_GB2312" w:hAnsi="仿宋" w:eastAsia="仿宋_GB2312" w:cs="Times New Roman"/>
          <w:kern w:val="2"/>
          <w:sz w:val="32"/>
          <w:szCs w:val="32"/>
          <w:lang w:val="en-US" w:eastAsia="zh-CN" w:bidi="ar-SA"/>
        </w:rPr>
        <w:t>清偿拖欠企业账款化债专项债资金</w:t>
      </w:r>
      <w:r>
        <w:rPr>
          <w:rFonts w:hint="eastAsia" w:ascii="仿宋_GB2312" w:eastAsia="仿宋_GB2312" w:cs="Times New Roman"/>
          <w:sz w:val="32"/>
          <w:szCs w:val="32"/>
          <w:lang w:val="en-US" w:eastAsia="zh-CN"/>
        </w:rPr>
        <w:t>8.78万元给我单位，</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425E46D8">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7CFED1B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551217F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1A1614C6">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39AF0DC2">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w:t>
      </w:r>
      <w:r>
        <w:rPr>
          <w:rFonts w:eastAsia="仿宋_GB2312"/>
          <w:kern w:val="0"/>
          <w:sz w:val="32"/>
          <w:szCs w:val="32"/>
        </w:rPr>
        <w:t>项目的</w:t>
      </w:r>
      <w:r>
        <w:rPr>
          <w:rFonts w:hint="eastAsia" w:eastAsia="仿宋_GB2312"/>
          <w:kern w:val="0"/>
          <w:sz w:val="32"/>
          <w:szCs w:val="32"/>
          <w:lang w:eastAsia="zh-CN"/>
        </w:rPr>
        <w:t>实施</w:t>
      </w:r>
      <w:r>
        <w:rPr>
          <w:rFonts w:eastAsia="仿宋_GB2312"/>
          <w:kern w:val="0"/>
          <w:sz w:val="32"/>
          <w:szCs w:val="32"/>
        </w:rPr>
        <w:t>有效落实国家对项目预算评审的管理要求，为财政预算管理提供技术支撑，节约财政资金，有效提高资金使用效率。</w:t>
      </w:r>
    </w:p>
    <w:p w14:paraId="195911BA">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70F33C0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3521365D">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63658E7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49741F90">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414933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2DB63DF7">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179E48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3CA57F7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292366B5">
      <w:pPr>
        <w:keepNext w:val="0"/>
        <w:keepLines w:val="0"/>
        <w:pageBreakBefore w:val="0"/>
        <w:widowControl w:val="0"/>
        <w:suppressAutoHyphens/>
        <w:kinsoku/>
        <w:wordWrap/>
        <w:overflowPunct/>
        <w:topLinePunct w:val="0"/>
        <w:bidi w:val="0"/>
        <w:snapToGrid/>
        <w:spacing w:line="560" w:lineRule="exact"/>
        <w:ind w:firstLine="640"/>
        <w:textAlignment w:val="auto"/>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585CFAF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237F1F7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670C77F6">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eastAsia="仿宋_GB2312" w:cs="Times New Roman"/>
          <w:sz w:val="32"/>
          <w:szCs w:val="32"/>
          <w:lang w:val="en-US" w:eastAsia="zh-CN"/>
        </w:rPr>
      </w:pPr>
      <w:r>
        <w:rPr>
          <w:rFonts w:hint="eastAsia" w:ascii="楷体_GB2312" w:hAnsi="楷体_GB2312" w:eastAsia="楷体_GB2312" w:cs="楷体_GB2312"/>
          <w:color w:val="auto"/>
          <w:sz w:val="32"/>
          <w:szCs w:val="32"/>
          <w:lang w:val="en-US" w:eastAsia="zh-CN"/>
        </w:rPr>
        <w:t>3.项目实施。</w:t>
      </w:r>
      <w:r>
        <w:rPr>
          <w:rFonts w:hint="eastAsia" w:ascii="仿宋_GB2312" w:eastAsia="仿宋_GB2312" w:cs="Times New Roman"/>
          <w:sz w:val="32"/>
          <w:szCs w:val="32"/>
          <w:lang w:val="en-US" w:eastAsia="zh-CN"/>
        </w:rPr>
        <w:t>2025年，为做好</w:t>
      </w:r>
      <w:r>
        <w:rPr>
          <w:rFonts w:hint="eastAsia" w:ascii="仿宋_GB2312" w:hAnsi="仿宋" w:eastAsia="仿宋_GB2312" w:cs="Times New Roman"/>
          <w:kern w:val="2"/>
          <w:sz w:val="32"/>
          <w:szCs w:val="32"/>
          <w:lang w:val="en-US" w:eastAsia="zh-CN" w:bidi="ar-SA"/>
        </w:rPr>
        <w:t>清偿拖欠企业账款化债专项债资金支付</w:t>
      </w:r>
      <w:r>
        <w:rPr>
          <w:rFonts w:hint="eastAsia" w:ascii="仿宋_GB2312" w:eastAsia="仿宋_GB2312" w:cs="Times New Roman"/>
          <w:sz w:val="32"/>
          <w:szCs w:val="32"/>
          <w:lang w:val="en-US" w:eastAsia="zh-CN"/>
        </w:rPr>
        <w:t>工作，区财政下达</w:t>
      </w:r>
      <w:r>
        <w:rPr>
          <w:rFonts w:hint="eastAsia" w:ascii="仿宋_GB2312" w:hAnsi="仿宋" w:eastAsia="仿宋_GB2312" w:cs="Times New Roman"/>
          <w:kern w:val="2"/>
          <w:sz w:val="32"/>
          <w:szCs w:val="32"/>
          <w:lang w:val="en-US" w:eastAsia="zh-CN" w:bidi="ar-SA"/>
        </w:rPr>
        <w:t>清偿拖欠企业账款化债专项债</w:t>
      </w:r>
      <w:r>
        <w:rPr>
          <w:rFonts w:hint="eastAsia" w:ascii="仿宋_GB2312" w:eastAsia="仿宋_GB2312" w:cs="Times New Roman"/>
          <w:sz w:val="32"/>
          <w:szCs w:val="32"/>
          <w:lang w:val="en-US" w:eastAsia="zh-CN"/>
        </w:rPr>
        <w:t>资金8.78万元给我单位，我单位积极进行了支付，支付率达100%。</w:t>
      </w:r>
    </w:p>
    <w:p w14:paraId="01E7692B">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 w:eastAsia="仿宋_GB2312" w:cs="Times New Roman"/>
          <w:kern w:val="2"/>
          <w:sz w:val="32"/>
          <w:szCs w:val="32"/>
          <w:lang w:val="en-US" w:eastAsia="zh-CN" w:bidi="ar-SA"/>
        </w:rPr>
        <w:t>清偿拖欠企业账款化债专项债资金支付8.78万元，</w:t>
      </w:r>
      <w:r>
        <w:rPr>
          <w:rFonts w:hint="eastAsia" w:ascii="仿宋_GB2312" w:eastAsia="仿宋_GB2312" w:cs="Times New Roman"/>
          <w:sz w:val="32"/>
          <w:szCs w:val="32"/>
          <w:lang w:val="en-US" w:eastAsia="zh-CN"/>
        </w:rPr>
        <w:t>支付率达100%</w:t>
      </w:r>
      <w:r>
        <w:rPr>
          <w:rFonts w:hint="eastAsia" w:ascii="仿宋_GB2312" w:hAnsi="仿宋" w:eastAsia="仿宋_GB2312" w:cs="Times New Roman"/>
          <w:kern w:val="2"/>
          <w:sz w:val="32"/>
          <w:szCs w:val="32"/>
          <w:lang w:val="en-US" w:eastAsia="zh-CN" w:bidi="ar-SA"/>
        </w:rPr>
        <w:t>。</w:t>
      </w:r>
    </w:p>
    <w:p w14:paraId="4BE293AE">
      <w:pPr>
        <w:tabs>
          <w:tab w:val="left" w:pos="2160"/>
        </w:tabs>
        <w:suppressAutoHyphens/>
        <w:spacing w:line="600" w:lineRule="exact"/>
        <w:ind w:firstLine="315" w:firstLineChars="98"/>
        <w:rPr>
          <w:rFonts w:eastAsia="黑体"/>
          <w:b/>
          <w:sz w:val="32"/>
          <w:szCs w:val="32"/>
        </w:rPr>
      </w:pPr>
      <w:r>
        <w:rPr>
          <w:rFonts w:eastAsia="黑体"/>
          <w:b/>
          <w:sz w:val="32"/>
          <w:szCs w:val="32"/>
        </w:rPr>
        <w:t xml:space="preserve">  四、评价结论</w:t>
      </w:r>
    </w:p>
    <w:p w14:paraId="78D38417">
      <w:pPr>
        <w:pStyle w:val="3"/>
        <w:spacing w:line="576" w:lineRule="exact"/>
        <w:ind w:firstLine="640" w:firstLineChars="200"/>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融媒体中心清偿拖欠企业账款化债专项债</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r>
        <w:rPr>
          <w:rFonts w:hint="eastAsia" w:ascii="仿宋_GB2312" w:hAnsi="Times New Roman" w:eastAsia="仿宋_GB2312"/>
          <w:color w:val="000000"/>
          <w:kern w:val="0"/>
          <w:sz w:val="32"/>
          <w:szCs w:val="32"/>
          <w:lang w:val="en-US" w:eastAsia="zh-CN"/>
        </w:rPr>
        <w:t>根据</w:t>
      </w:r>
      <w:r>
        <w:rPr>
          <w:rFonts w:hint="eastAsia" w:ascii="仿宋_GB2312" w:hAnsi="Times New Roman" w:eastAsia="仿宋_GB2312"/>
          <w:color w:val="000000"/>
          <w:kern w:val="0"/>
          <w:sz w:val="32"/>
          <w:szCs w:val="32"/>
        </w:rPr>
        <w:t>对项目决策、项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1F9D80EE">
      <w:pPr>
        <w:tabs>
          <w:tab w:val="left" w:pos="2160"/>
        </w:tabs>
        <w:suppressAutoHyphens/>
        <w:spacing w:line="600" w:lineRule="exact"/>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4FDA18C4">
      <w:pPr>
        <w:tabs>
          <w:tab w:val="left" w:pos="2160"/>
        </w:tabs>
        <w:suppressAutoHyphens/>
        <w:spacing w:line="600" w:lineRule="exact"/>
        <w:ind w:firstLine="660" w:firstLineChars="200"/>
        <w:rPr>
          <w:rFonts w:hint="eastAsia"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无</w:t>
      </w:r>
    </w:p>
    <w:p w14:paraId="66C1A2C3">
      <w:pPr>
        <w:tabs>
          <w:tab w:val="left" w:pos="2160"/>
        </w:tabs>
        <w:suppressAutoHyphens/>
        <w:spacing w:line="600" w:lineRule="exact"/>
        <w:ind w:firstLine="321" w:firstLineChars="100"/>
        <w:rPr>
          <w:rFonts w:eastAsia="黑体"/>
          <w:b/>
          <w:kern w:val="0"/>
          <w:position w:val="3"/>
          <w:sz w:val="32"/>
          <w:szCs w:val="32"/>
          <w:lang w:val="zh-CN"/>
        </w:rPr>
      </w:pPr>
      <w:r>
        <w:rPr>
          <w:rFonts w:hint="eastAsia" w:eastAsia="黑体"/>
          <w:b/>
          <w:kern w:val="0"/>
          <w:position w:val="3"/>
          <w:sz w:val="32"/>
          <w:szCs w:val="32"/>
          <w:lang w:val="en-US" w:eastAsia="zh-CN"/>
        </w:rPr>
        <w:t>六、</w:t>
      </w:r>
      <w:r>
        <w:rPr>
          <w:rFonts w:eastAsia="黑体"/>
          <w:b/>
          <w:kern w:val="0"/>
          <w:position w:val="3"/>
          <w:sz w:val="32"/>
          <w:szCs w:val="32"/>
          <w:lang w:val="zh-CN"/>
        </w:rPr>
        <w:t>改进建议</w:t>
      </w:r>
    </w:p>
    <w:p w14:paraId="66E6F382">
      <w:pPr>
        <w:numPr>
          <w:ilvl w:val="0"/>
          <w:numId w:val="0"/>
        </w:numPr>
        <w:tabs>
          <w:tab w:val="left" w:pos="2160"/>
        </w:tabs>
        <w:suppressAutoHyphens/>
        <w:spacing w:line="600" w:lineRule="exact"/>
        <w:ind w:firstLine="640" w:firstLineChars="200"/>
        <w:rPr>
          <w:rFonts w:hint="eastAsia" w:ascii="黑体" w:hAnsi="黑体" w:eastAsia="黑体" w:cs="黑体"/>
          <w:color w:val="auto"/>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无</w:t>
      </w:r>
      <w:r>
        <w:rPr>
          <w:rFonts w:hint="eastAsia" w:ascii="黑体" w:hAnsi="黑体" w:eastAsia="黑体" w:cs="仿宋_GB2312"/>
          <w:sz w:val="32"/>
          <w:szCs w:val="32"/>
          <w:lang w:val="en-US" w:eastAsia="zh-CN"/>
        </w:rPr>
        <w:t xml:space="preserve">  </w:t>
      </w:r>
      <w:r>
        <w:rPr>
          <w:rFonts w:hint="eastAsia" w:ascii="仿宋_GB2312" w:hAnsi="Times New Roman" w:eastAsia="仿宋_GB2312" w:cs="Times New Roman"/>
          <w:color w:val="000000"/>
          <w:kern w:val="0"/>
          <w:sz w:val="32"/>
          <w:szCs w:val="32"/>
          <w:lang w:val="en-US" w:eastAsia="zh-CN"/>
        </w:rPr>
        <w:t xml:space="preserve">  </w:t>
      </w:r>
    </w:p>
    <w:p w14:paraId="00B4B0BB">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4AD3AB95">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267E29AE">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融媒体中心安全运营规范化建设经费</w:t>
      </w:r>
      <w:r>
        <w:rPr>
          <w:rFonts w:hint="eastAsia" w:ascii="方正小标宋_GBK" w:hAnsi="黑体" w:eastAsia="方正小标宋_GBK" w:cs="黑体"/>
          <w:sz w:val="36"/>
          <w:szCs w:val="36"/>
        </w:rPr>
        <w:t>）</w:t>
      </w:r>
    </w:p>
    <w:p w14:paraId="2EF35B87">
      <w:pPr>
        <w:pStyle w:val="3"/>
        <w:spacing w:line="600" w:lineRule="exact"/>
        <w:ind w:firstLine="640" w:firstLineChars="200"/>
        <w:jc w:val="left"/>
        <w:rPr>
          <w:rFonts w:ascii="仿宋_GB2312" w:hAnsi="仿宋_GB2312" w:eastAsia="仿宋_GB2312" w:cs="仿宋_GB2312"/>
          <w:sz w:val="32"/>
          <w:szCs w:val="32"/>
        </w:rPr>
      </w:pPr>
    </w:p>
    <w:p w14:paraId="7413B96C">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5F3B6CF7">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7DD3C09F">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 xml:space="preserve">根据仁和区委全面深化改革委员会 </w:t>
      </w:r>
      <w:r>
        <w:rPr>
          <w:rFonts w:hint="default" w:ascii="仿宋_GB2312" w:hAnsi="仿宋_GB2312" w:eastAsia="仿宋_GB2312" w:cs="仿宋_GB2312"/>
          <w:i w:val="0"/>
          <w:iCs w:val="0"/>
          <w:caps w:val="0"/>
          <w:color w:val="333333"/>
          <w:spacing w:val="0"/>
          <w:kern w:val="2"/>
          <w:sz w:val="32"/>
          <w:szCs w:val="32"/>
          <w:shd w:val="clear" w:color="auto" w:fill="FFFFFF"/>
          <w:lang w:val="en-US" w:eastAsia="zh-CN" w:bidi="ar-SA"/>
        </w:rPr>
        <w:t>2022</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年第一次会议精神和《攀枝花市仁和区关于加快推进媒体深度融合发展改革工作的实施方案》要求，仁和区深入推进媒体深度融合发展改革工作，通过加强仁和区融媒体中心安全运营规范化建设，提高媒资档案安全管理、网络攻击防范能力，保障制播系统内外网导入导出安全和演播室业务完整，为此将融媒体中心</w:t>
      </w:r>
      <w:r>
        <w:rPr>
          <w:rFonts w:hint="eastAsia" w:ascii="仿宋_GB2312" w:hAnsi="仿宋" w:eastAsia="仿宋_GB2312" w:cs="Times New Roman"/>
          <w:kern w:val="2"/>
          <w:sz w:val="32"/>
          <w:szCs w:val="32"/>
          <w:lang w:val="en-US" w:eastAsia="zh-CN" w:bidi="ar-SA"/>
        </w:rPr>
        <w:t>安全运营规范化建设</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项目纳入财政年初预算项目。</w:t>
      </w:r>
    </w:p>
    <w:p w14:paraId="3D4032A0">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2.</w:t>
      </w:r>
      <w:r>
        <w:rPr>
          <w:rFonts w:hint="eastAsia" w:ascii="仿宋_GB2312" w:hAnsi="仿宋_GB2312" w:eastAsia="仿宋_GB2312" w:cs="仿宋_GB2312"/>
          <w:i w:val="0"/>
          <w:iCs w:val="0"/>
          <w:caps w:val="0"/>
          <w:color w:val="333333"/>
          <w:spacing w:val="0"/>
          <w:kern w:val="2"/>
          <w:sz w:val="32"/>
          <w:szCs w:val="32"/>
          <w:shd w:val="clear" w:color="auto" w:fill="FFFFFF"/>
          <w:lang w:val="zh-CN" w:eastAsia="zh-CN" w:bidi="ar-SA"/>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攀枝花市仁和区融媒体中心负责项目的实施，做到专款专用，确保资金使用效率。</w:t>
      </w:r>
    </w:p>
    <w:p w14:paraId="270E5EFA">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2A7C8BD7">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安全运营规范化建设项目主要内容：通过信息安全等级保护系统（二级）建设，加强仁和区融媒体中心App应用平台安全运营和网络攻击防范能力，保护网络安全、应用安全和数据安全；2、通过制播系统升级改造建设，规范和完善制播系统业务流程，实现制作、播出系统内外网安全传输，封堵安全漏洞；3、通过演播室灯光升级改造，更换演播老化灯源，保障演播室功能，完善新闻采、编、播业务流程；4、通过媒资管理系统建设，规范和完善融媒体音频、视频等媒体资源和无形资产档案管理，封堵音频、视频无形资产自然流失安全漏洞。</w:t>
      </w:r>
    </w:p>
    <w:p w14:paraId="7844F84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4987F6D8">
      <w:pPr>
        <w:autoSpaceDE w:val="0"/>
        <w:autoSpaceDN w:val="0"/>
        <w:adjustRightInd w:val="0"/>
        <w:spacing w:line="576" w:lineRule="exact"/>
        <w:ind w:firstLine="640" w:firstLineChars="200"/>
        <w:jc w:val="left"/>
        <w:rPr>
          <w:rFonts w:ascii="仿宋_GB2312" w:hAnsi="仿宋_GB2312" w:eastAsia="仿宋_GB2312" w:cs="仿宋_GB2312"/>
          <w:color w:val="000000"/>
          <w:kern w:val="0"/>
          <w:sz w:val="32"/>
          <w:szCs w:val="32"/>
        </w:rPr>
      </w:pPr>
      <w:r>
        <w:rPr>
          <w:rFonts w:hint="eastAsia" w:ascii="仿宋_GB2312" w:hAnsi="仿宋" w:eastAsia="仿宋_GB2312" w:cs="Times New Roman"/>
          <w:kern w:val="2"/>
          <w:sz w:val="32"/>
          <w:szCs w:val="32"/>
          <w:lang w:val="en-US" w:eastAsia="zh-CN" w:bidi="ar-SA"/>
        </w:rPr>
        <w:t>融媒体中心安全运营规范化建设项目</w:t>
      </w:r>
      <w:r>
        <w:rPr>
          <w:rFonts w:hint="eastAsia" w:ascii="仿宋_GB2312" w:hAnsi="宋体" w:eastAsia="仿宋_GB2312"/>
          <w:kern w:val="2"/>
          <w:sz w:val="32"/>
          <w:szCs w:val="32"/>
          <w:lang w:val="zh-CN"/>
        </w:rPr>
        <w:t>预算</w:t>
      </w:r>
      <w:r>
        <w:rPr>
          <w:rFonts w:hint="eastAsia" w:ascii="仿宋_GB2312" w:hAnsi="宋体" w:eastAsia="仿宋_GB2312"/>
          <w:kern w:val="2"/>
          <w:sz w:val="32"/>
          <w:szCs w:val="32"/>
          <w:lang w:val="zh-CN" w:eastAsia="zh-CN"/>
        </w:rPr>
        <w:t>121.83</w:t>
      </w:r>
      <w:r>
        <w:rPr>
          <w:rFonts w:hint="eastAsia" w:ascii="仿宋_GB2312" w:hAnsi="宋体" w:eastAsia="仿宋_GB2312"/>
          <w:kern w:val="2"/>
          <w:sz w:val="32"/>
          <w:szCs w:val="32"/>
          <w:lang w:val="en-US" w:eastAsia="zh-CN"/>
        </w:rPr>
        <w:t>万元</w:t>
      </w:r>
      <w:r>
        <w:rPr>
          <w:rFonts w:hint="eastAsia" w:ascii="仿宋_GB2312" w:hAnsi="宋体" w:eastAsia="仿宋_GB2312"/>
          <w:kern w:val="2"/>
          <w:sz w:val="32"/>
          <w:szCs w:val="32"/>
          <w:lang w:val="zh-CN"/>
        </w:rPr>
        <w:t>，</w:t>
      </w:r>
      <w:r>
        <w:rPr>
          <w:rFonts w:hint="eastAsia" w:ascii="仿宋_GB2312" w:hAnsi="仿宋" w:eastAsia="仿宋_GB2312" w:cs="Times New Roman"/>
          <w:kern w:val="2"/>
          <w:sz w:val="32"/>
          <w:szCs w:val="32"/>
          <w:lang w:val="en-US" w:eastAsia="zh-CN" w:bidi="ar-SA"/>
        </w:rPr>
        <w:t>仁和</w:t>
      </w:r>
      <w:r>
        <w:rPr>
          <w:rFonts w:hint="default" w:ascii="仿宋_GB2312" w:hAnsi="仿宋" w:eastAsia="仿宋_GB2312" w:cs="Times New Roman"/>
          <w:kern w:val="2"/>
          <w:sz w:val="32"/>
          <w:szCs w:val="32"/>
          <w:lang w:val="zh-CN" w:eastAsia="zh-CN" w:bidi="ar-SA"/>
        </w:rPr>
        <w:t>区财政</w:t>
      </w:r>
      <w:r>
        <w:rPr>
          <w:rFonts w:hint="eastAsia" w:ascii="仿宋_GB2312" w:hAnsi="仿宋" w:eastAsia="仿宋_GB2312" w:cs="Times New Roman"/>
          <w:kern w:val="2"/>
          <w:sz w:val="32"/>
          <w:szCs w:val="32"/>
          <w:lang w:val="en-US" w:eastAsia="zh-CN" w:bidi="ar-SA"/>
        </w:rPr>
        <w:t>局于2024年下达融媒体中心安全运营规范化建设项目经费共计121.83万元。根据工作阶段性安全，2025年结转45.18万元，用于制播系统升级改造和非编及播出软件升级改造，</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29E08110">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3A1488A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3C1D741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2757B67E">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6DE941C3">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提供一个全面、客观且深入的项目执行效果评估，确保项目目标与实际执行结果的一致性，让</w:t>
      </w:r>
      <w:r>
        <w:rPr>
          <w:rFonts w:eastAsia="仿宋_GB2312"/>
          <w:kern w:val="0"/>
          <w:sz w:val="32"/>
          <w:szCs w:val="32"/>
        </w:rPr>
        <w:t>项目的</w:t>
      </w:r>
      <w:r>
        <w:rPr>
          <w:rFonts w:hint="eastAsia" w:eastAsia="仿宋_GB2312"/>
          <w:kern w:val="0"/>
          <w:sz w:val="32"/>
          <w:szCs w:val="32"/>
          <w:lang w:eastAsia="zh-CN"/>
        </w:rPr>
        <w:t>实施</w:t>
      </w:r>
      <w:r>
        <w:rPr>
          <w:rFonts w:eastAsia="仿宋_GB2312"/>
          <w:kern w:val="0"/>
          <w:sz w:val="32"/>
          <w:szCs w:val="32"/>
        </w:rPr>
        <w:t>有效落实国家对项目预算评审的管理要求，为财政预算管理提供技术支撑，节约财政资金，有效提高资金使用效率。</w:t>
      </w:r>
    </w:p>
    <w:p w14:paraId="6FC9D07B">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245E734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4F00532A">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15104545">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58FDFFE3">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550F00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12CA0770">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6E31C0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0CE391E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79EF082F">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0221D807">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66007E08">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709BA0C0">
      <w:pPr>
        <w:keepNext w:val="0"/>
        <w:keepLines w:val="0"/>
        <w:pageBreakBefore w:val="0"/>
        <w:widowControl w:val="0"/>
        <w:kinsoku/>
        <w:wordWrap/>
        <w:overflowPunct/>
        <w:topLinePunct w:val="0"/>
        <w:autoSpaceDE/>
        <w:autoSpaceDN/>
        <w:bidi w:val="0"/>
        <w:adjustRightInd/>
        <w:snapToGrid/>
        <w:spacing w:line="550" w:lineRule="exact"/>
        <w:ind w:left="0" w:leftChars="0" w:firstLine="640" w:firstLineChars="200"/>
        <w:textAlignment w:val="auto"/>
        <w:outlineLvl w:val="9"/>
        <w:rPr>
          <w:rFonts w:hint="default" w:ascii="仿宋_GB2312" w:hAnsi="仿宋" w:eastAsia="仿宋_GB2312" w:cs="Times New Roman"/>
          <w:color w:val="000000"/>
          <w:kern w:val="2"/>
          <w:sz w:val="32"/>
          <w:szCs w:val="32"/>
          <w:lang w:val="en-US" w:eastAsia="zh-CN" w:bidi="ar-SA"/>
        </w:rPr>
      </w:pPr>
      <w:r>
        <w:rPr>
          <w:rFonts w:hint="eastAsia" w:ascii="楷体_GB2312" w:hAnsi="楷体_GB2312" w:eastAsia="楷体_GB2312" w:cs="楷体_GB2312"/>
          <w:color w:val="auto"/>
          <w:sz w:val="32"/>
          <w:szCs w:val="32"/>
          <w:lang w:val="en-US" w:eastAsia="zh-CN"/>
        </w:rPr>
        <w:t>3.项目实施。</w:t>
      </w:r>
      <w:r>
        <w:rPr>
          <w:rFonts w:hint="eastAsia" w:ascii="仿宋_GB2312" w:hAnsi="仿宋" w:eastAsia="仿宋_GB2312" w:cs="Times New Roman"/>
          <w:kern w:val="2"/>
          <w:sz w:val="32"/>
          <w:szCs w:val="32"/>
          <w:lang w:val="en-US" w:eastAsia="zh-CN" w:bidi="ar-SA"/>
        </w:rPr>
        <w:t>区融媒体中心根据安全运营情况、资金使用情况和实际业务需求，整合制播系统升级改造和媒资管理系统建设项目集中解决制播系统安全运营问题，完成了制播系统升级改造项目，项目总金额45.18万元（该项目共两项，其中制播系统硬件升级改造合同金额24.79万元，非编及播出软件升级改造20.39万元），并按合同规定按时支付款项45.18万元。</w:t>
      </w:r>
    </w:p>
    <w:p w14:paraId="55016076">
      <w:pPr>
        <w:pStyle w:val="2"/>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_GB2312" w:eastAsia="仿宋_GB2312" w:cs="仿宋_GB2312"/>
          <w:b w:val="0"/>
          <w:bCs w:val="0"/>
          <w:kern w:val="0"/>
          <w:position w:val="0"/>
          <w:sz w:val="32"/>
          <w:szCs w:val="32"/>
          <w:highlight w:val="none"/>
          <w:lang w:val="en-US" w:eastAsia="zh-CN" w:bidi="ar-SA"/>
        </w:rPr>
        <w:t>融媒体中心安全运营规范化建设项目的实施确保通过信息安全等级保护系统（二级）建设，加强仁和区融媒体中心App应用平台安全运营和网络攻击防范能力，保护网络安全、应用安全和数据安全；通过制播系统升级改造建设，规范和完善制播系统业务流程，实现制作、播出系统内外网安全传输，封堵安全漏洞；通过演播室灯光升级改造，更换演播室老化灯源，保障演播室功能，完善新闻采、编、播业务流程；通过媒资管理系统建设，规范和完善融媒体音频、视频等媒体资源和无形资产档案管理，封堵音频、视频无形资产自然流失安全漏洞。项目实施情况总体较好，项目满意度较好，项目实施规范有序，达到了预期效果。</w:t>
      </w:r>
    </w:p>
    <w:p w14:paraId="2FBB3627">
      <w:pPr>
        <w:keepNext w:val="0"/>
        <w:keepLines w:val="0"/>
        <w:pageBreakBefore w:val="0"/>
        <w:widowControl w:val="0"/>
        <w:tabs>
          <w:tab w:val="left" w:pos="2160"/>
        </w:tabs>
        <w:suppressAutoHyphens/>
        <w:kinsoku/>
        <w:wordWrap/>
        <w:overflowPunct/>
        <w:topLinePunct w:val="0"/>
        <w:autoSpaceDE/>
        <w:autoSpaceDN/>
        <w:bidi w:val="0"/>
        <w:adjustRightInd/>
        <w:snapToGrid/>
        <w:spacing w:line="550" w:lineRule="exact"/>
        <w:ind w:firstLine="315" w:firstLineChars="98"/>
        <w:textAlignment w:val="auto"/>
        <w:rPr>
          <w:rFonts w:eastAsia="黑体"/>
          <w:b/>
          <w:sz w:val="32"/>
          <w:szCs w:val="32"/>
        </w:rPr>
      </w:pPr>
      <w:r>
        <w:rPr>
          <w:rFonts w:eastAsia="黑体"/>
          <w:b/>
          <w:sz w:val="32"/>
          <w:szCs w:val="32"/>
        </w:rPr>
        <w:t xml:space="preserve">  四、评价结论</w:t>
      </w:r>
    </w:p>
    <w:p w14:paraId="539ECC79">
      <w:pPr>
        <w:pStyle w:val="3"/>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融媒体中心安全运营规范化建设</w:t>
      </w:r>
      <w:r>
        <w:rPr>
          <w:rFonts w:hint="eastAsia" w:ascii="Times New Roman" w:hAnsi="Times New Roman" w:eastAsia="仿宋_GB2312"/>
          <w:kern w:val="0"/>
          <w:sz w:val="32"/>
          <w:szCs w:val="32"/>
        </w:rPr>
        <w:t>项目</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r>
        <w:rPr>
          <w:rFonts w:hint="eastAsia" w:ascii="仿宋_GB2312" w:hAnsi="Times New Roman" w:eastAsia="仿宋_GB2312"/>
          <w:color w:val="000000"/>
          <w:kern w:val="0"/>
          <w:sz w:val="32"/>
          <w:szCs w:val="32"/>
          <w:lang w:val="en-US" w:eastAsia="zh-CN"/>
        </w:rPr>
        <w:t>根据</w:t>
      </w:r>
      <w:r>
        <w:rPr>
          <w:rFonts w:hint="eastAsia" w:ascii="仿宋_GB2312" w:hAnsi="Times New Roman" w:eastAsia="仿宋_GB2312"/>
          <w:color w:val="000000"/>
          <w:kern w:val="0"/>
          <w:sz w:val="32"/>
          <w:szCs w:val="32"/>
        </w:rPr>
        <w:t>对项目决策、项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0FE1EE82">
      <w:pPr>
        <w:keepNext w:val="0"/>
        <w:keepLines w:val="0"/>
        <w:pageBreakBefore w:val="0"/>
        <w:widowControl w:val="0"/>
        <w:tabs>
          <w:tab w:val="left" w:pos="2160"/>
        </w:tabs>
        <w:suppressAutoHyphens/>
        <w:kinsoku/>
        <w:wordWrap/>
        <w:overflowPunct/>
        <w:topLinePunct w:val="0"/>
        <w:autoSpaceDE/>
        <w:autoSpaceDN/>
        <w:bidi w:val="0"/>
        <w:adjustRightInd/>
        <w:snapToGrid/>
        <w:spacing w:line="550" w:lineRule="exact"/>
        <w:textAlignment w:val="auto"/>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14E82139">
      <w:pPr>
        <w:pStyle w:val="3"/>
        <w:keepNext w:val="0"/>
        <w:keepLines w:val="0"/>
        <w:pageBreakBefore w:val="0"/>
        <w:widowControl w:val="0"/>
        <w:kinsoku/>
        <w:wordWrap/>
        <w:overflowPunct/>
        <w:topLinePunct w:val="0"/>
        <w:autoSpaceDE/>
        <w:autoSpaceDN/>
        <w:bidi w:val="0"/>
        <w:adjustRightInd/>
        <w:snapToGrid/>
        <w:spacing w:line="550" w:lineRule="exact"/>
        <w:ind w:firstLine="660" w:firstLineChars="200"/>
        <w:jc w:val="left"/>
        <w:textAlignment w:val="auto"/>
        <w:rPr>
          <w:rFonts w:hint="default"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无</w:t>
      </w:r>
    </w:p>
    <w:p w14:paraId="677424B3">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382B902E">
      <w:pPr>
        <w:widowControl/>
        <w:numPr>
          <w:ilvl w:val="0"/>
          <w:numId w:val="0"/>
        </w:numPr>
        <w:adjustRightInd w:val="0"/>
        <w:snapToGrid w:val="0"/>
        <w:spacing w:line="580" w:lineRule="exact"/>
        <w:ind w:firstLine="640" w:firstLineChars="200"/>
        <w:contextualSpacing/>
        <w:jc w:val="left"/>
        <w:rPr>
          <w:rFonts w:hint="default" w:ascii="黑体" w:hAnsi="黑体" w:eastAsia="黑体" w:cs="黑体"/>
          <w:color w:val="auto"/>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无</w:t>
      </w:r>
    </w:p>
    <w:p w14:paraId="2333724D">
      <w:pPr>
        <w:pStyle w:val="3"/>
        <w:rPr>
          <w:rFonts w:hint="eastAsia" w:ascii="黑体" w:hAnsi="黑体" w:eastAsia="黑体" w:cs="黑体"/>
          <w:color w:val="auto"/>
          <w:kern w:val="0"/>
          <w:sz w:val="32"/>
          <w:szCs w:val="32"/>
          <w:highlight w:val="none"/>
          <w:shd w:val="clear" w:color="auto" w:fill="FFFFFF"/>
          <w:lang w:val="en-US" w:eastAsia="zh-CN"/>
        </w:rPr>
      </w:pPr>
    </w:p>
    <w:p w14:paraId="75BC3E1E">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攀枝花市仁和区融媒体中心</w:t>
      </w:r>
    </w:p>
    <w:p w14:paraId="3A431AB5">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593DE2D7">
      <w:pPr>
        <w:pStyle w:val="3"/>
        <w:spacing w:beforeLines="0" w:afterLines="0" w:line="360" w:lineRule="auto"/>
        <w:ind w:firstLine="800"/>
        <w:jc w:val="center"/>
        <w:rPr>
          <w:rFonts w:hint="eastAsia" w:ascii="方正小标宋简体" w:hAnsi="方正小标宋简体" w:cs="方正小标宋简体"/>
          <w:kern w:val="2"/>
          <w:sz w:val="40"/>
          <w:szCs w:val="40"/>
        </w:rPr>
      </w:pPr>
      <w:r>
        <w:rPr>
          <w:rFonts w:hint="eastAsia" w:ascii="方正小标宋简体" w:hAnsi="方正小标宋简体" w:cs="方正小标宋简体"/>
          <w:kern w:val="2"/>
          <w:sz w:val="40"/>
          <w:szCs w:val="40"/>
        </w:rPr>
        <w:t>（</w:t>
      </w:r>
      <w:r>
        <w:rPr>
          <w:rFonts w:hint="eastAsia" w:ascii="方正小标宋简体" w:hAnsi="方正小标宋简体" w:cs="方正小标宋简体"/>
          <w:kern w:val="2"/>
          <w:sz w:val="28"/>
          <w:szCs w:val="28"/>
        </w:rPr>
        <w:t>仁和区政府网站集约化建设经费及公共基础设施运维费</w:t>
      </w:r>
      <w:r>
        <w:rPr>
          <w:rFonts w:hint="eastAsia" w:ascii="方正小标宋简体" w:hAnsi="方正小标宋简体" w:cs="方正小标宋简体"/>
          <w:kern w:val="2"/>
          <w:sz w:val="40"/>
          <w:szCs w:val="40"/>
        </w:rPr>
        <w:t>）</w:t>
      </w:r>
    </w:p>
    <w:p w14:paraId="09793ADD">
      <w:pPr>
        <w:spacing w:beforeLines="0" w:afterLines="0" w:line="360" w:lineRule="auto"/>
        <w:ind w:firstLine="960" w:firstLineChars="300"/>
        <w:rPr>
          <w:rFonts w:hint="eastAsia" w:ascii="Times New Roman" w:hAnsi="Times New Roman" w:eastAsia="黑体"/>
          <w:sz w:val="32"/>
          <w:szCs w:val="32"/>
        </w:rPr>
      </w:pPr>
    </w:p>
    <w:p w14:paraId="31E4DB57">
      <w:pPr>
        <w:spacing w:beforeLines="0" w:afterLines="0" w:line="360" w:lineRule="auto"/>
        <w:ind w:firstLine="960" w:firstLineChars="300"/>
        <w:rPr>
          <w:rFonts w:hint="eastAsia" w:ascii="Times New Roman" w:hAnsi="Times New Roman" w:eastAsia="黑体"/>
          <w:sz w:val="32"/>
          <w:szCs w:val="32"/>
        </w:rPr>
      </w:pPr>
      <w:r>
        <w:rPr>
          <w:rFonts w:hint="eastAsia" w:ascii="Times New Roman" w:hAnsi="Times New Roman" w:eastAsia="黑体"/>
          <w:sz w:val="32"/>
          <w:szCs w:val="32"/>
        </w:rPr>
        <w:t>一、项目概况</w:t>
      </w:r>
    </w:p>
    <w:p w14:paraId="43D4EFCA">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40A42579">
      <w:pPr>
        <w:spacing w:beforeLines="0" w:afterLines="0" w:line="360"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.项目立项、资金申报的依据</w:t>
      </w:r>
      <w:r>
        <w:rPr>
          <w:rFonts w:hint="eastAsia" w:ascii="仿宋_GB2312" w:hAnsi="仿宋_GB2312" w:eastAsia="仿宋_GB2312" w:cs="仿宋_GB2312"/>
          <w:color w:val="000000"/>
          <w:sz w:val="32"/>
          <w:szCs w:val="32"/>
          <w:lang w:eastAsia="zh-CN"/>
        </w:rPr>
        <w:t>。</w:t>
      </w:r>
    </w:p>
    <w:p w14:paraId="249F5AE0">
      <w:pPr>
        <w:spacing w:beforeLines="0" w:afterLines="0" w:line="360" w:lineRule="auto"/>
        <w:ind w:firstLine="640" w:firstLineChars="200"/>
        <w:rPr>
          <w:rFonts w:hint="eastAsia" w:ascii="仿宋_GB2312" w:hAnsi="仿宋_GB2312" w:eastAsia="仿宋_GB2312" w:cs="仿宋_GB2312"/>
          <w:color w:val="333333"/>
          <w:kern w:val="2"/>
          <w:sz w:val="32"/>
          <w:szCs w:val="32"/>
          <w:shd w:val="clear" w:color="auto" w:fill="FFFFFF"/>
        </w:rPr>
      </w:pPr>
      <w:r>
        <w:rPr>
          <w:rFonts w:hint="eastAsia" w:ascii="仿宋_GB2312" w:hAnsi="仿宋_GB2312" w:eastAsia="仿宋_GB2312" w:cs="仿宋_GB2312"/>
          <w:color w:val="333333"/>
          <w:kern w:val="2"/>
          <w:sz w:val="32"/>
          <w:szCs w:val="32"/>
          <w:shd w:val="clear" w:color="auto" w:fill="FFFFFF"/>
        </w:rPr>
        <w:t>根据《攀枝花市人民政府办公室关于印发攀枝花市政府网站集约化建设工作方案的通知》（攀办函〔2018〕66 号）文件要求，全市政府网站集约化建设完成后每年需支付年度运维和安全保障经费，由市、县（区）两级政府共同承担（2019 年度运维及安全防护费用因平台建设合同约定由承建方免费提供）。2020年机构改革中，由仁和区人民政府主办的“仁和区人民政府网”网站管理、日常运维费和公共基础设施运维费等项目，由原仁和区电子政务办划入仁和区融媒体中心，项目由仁和区融媒体负责实施。</w:t>
      </w:r>
      <w:r>
        <w:rPr>
          <w:rFonts w:hint="eastAsia" w:ascii="仿宋_GB2312" w:hAnsi="仿宋_GB2312" w:eastAsia="仿宋_GB2312" w:cs="仿宋_GB2312"/>
          <w:color w:val="000000"/>
          <w:sz w:val="32"/>
          <w:szCs w:val="32"/>
        </w:rPr>
        <w:t>按照项目预算申报区财政，由区本级财政安排预算经费</w:t>
      </w:r>
      <w:r>
        <w:rPr>
          <w:rFonts w:hint="eastAsia" w:ascii="仿宋_GB2312" w:hAnsi="仿宋_GB2312" w:eastAsia="仿宋_GB2312" w:cs="仿宋_GB2312"/>
          <w:color w:val="000000"/>
          <w:sz w:val="32"/>
          <w:szCs w:val="32"/>
          <w:lang w:val="en-US" w:eastAsia="zh-CN"/>
        </w:rPr>
        <w:t>11.8</w:t>
      </w:r>
      <w:r>
        <w:rPr>
          <w:rFonts w:hint="eastAsia" w:ascii="仿宋_GB2312" w:hAnsi="仿宋_GB2312" w:eastAsia="仿宋_GB2312" w:cs="仿宋_GB2312"/>
          <w:color w:val="000000"/>
          <w:sz w:val="32"/>
          <w:szCs w:val="32"/>
        </w:rPr>
        <w:t>万元，确保仁和区人民政府网站安全运行。</w:t>
      </w:r>
    </w:p>
    <w:p w14:paraId="27610671">
      <w:pPr>
        <w:spacing w:beforeLines="0" w:afterLines="0" w:line="360" w:lineRule="auto"/>
        <w:ind w:firstLine="640" w:firstLineChars="200"/>
        <w:rPr>
          <w:rFonts w:hint="eastAsia" w:ascii="仿宋_GB2312" w:hAnsi="仿宋_GB2312" w:eastAsia="仿宋_GB2312" w:cs="仿宋_GB2312"/>
          <w:color w:val="000000"/>
          <w:sz w:val="32"/>
          <w:szCs w:val="32"/>
        </w:rPr>
      </w:pP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val="zh-CN"/>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w:t>
      </w:r>
      <w:r>
        <w:rPr>
          <w:rFonts w:hint="eastAsia" w:ascii="仿宋_GB2312" w:hAnsi="仿宋_GB2312" w:eastAsia="仿宋_GB2312" w:cs="仿宋_GB2312"/>
          <w:color w:val="000000"/>
          <w:kern w:val="0"/>
          <w:sz w:val="32"/>
          <w:szCs w:val="32"/>
        </w:rPr>
        <w:t>做到专款专用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i w:val="0"/>
          <w:iCs w:val="0"/>
          <w:caps w:val="0"/>
          <w:color w:val="333333"/>
          <w:spacing w:val="0"/>
          <w:sz w:val="32"/>
          <w:szCs w:val="32"/>
          <w:shd w:val="clear" w:color="auto" w:fill="FFFFFF"/>
          <w:lang w:val="en-US" w:eastAsia="zh-CN"/>
        </w:rPr>
        <w:t>确保</w:t>
      </w:r>
      <w:r>
        <w:rPr>
          <w:rFonts w:hint="eastAsia" w:ascii="仿宋_GB2312" w:hAnsi="仿宋_GB2312" w:eastAsia="仿宋_GB2312" w:cs="仿宋_GB2312"/>
          <w:i w:val="0"/>
          <w:iCs w:val="0"/>
          <w:caps w:val="0"/>
          <w:color w:val="333333"/>
          <w:spacing w:val="0"/>
          <w:sz w:val="32"/>
          <w:szCs w:val="32"/>
          <w:shd w:val="clear" w:color="auto" w:fill="FFFFFF"/>
        </w:rPr>
        <w:t>资金使用效率</w:t>
      </w:r>
    </w:p>
    <w:p w14:paraId="755EAD2D">
      <w:pPr>
        <w:keepNext w:val="0"/>
        <w:keepLines w:val="0"/>
        <w:pageBreakBefore w:val="0"/>
        <w:kinsoku/>
        <w:wordWrap/>
        <w:overflowPunct/>
        <w:topLinePunct w:val="0"/>
        <w:autoSpaceDE/>
        <w:autoSpaceDN/>
        <w:bidi w:val="0"/>
        <w:adjustRightInd w:val="0"/>
        <w:snapToGrid w:val="0"/>
        <w:spacing w:line="578" w:lineRule="exact"/>
        <w:ind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43ED506B">
      <w:pPr>
        <w:spacing w:beforeLines="0" w:afterLines="0" w:line="360" w:lineRule="auto"/>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i w:val="0"/>
          <w:iCs w:val="0"/>
          <w:caps w:val="0"/>
          <w:color w:val="333333"/>
          <w:spacing w:val="0"/>
          <w:sz w:val="32"/>
          <w:szCs w:val="32"/>
          <w:shd w:val="clear" w:color="auto" w:fill="FFFFFF"/>
        </w:rPr>
        <w:t>仁和区政府网站集约化建设经费及公共基础运维费</w:t>
      </w:r>
      <w:r>
        <w:rPr>
          <w:rFonts w:hint="eastAsia" w:ascii="仿宋_GB2312" w:hAnsi="仿宋_GB2312" w:eastAsia="仿宋_GB2312" w:cs="仿宋_GB2312"/>
          <w:i w:val="0"/>
          <w:iCs w:val="0"/>
          <w:caps w:val="0"/>
          <w:color w:val="333333"/>
          <w:spacing w:val="0"/>
          <w:sz w:val="32"/>
          <w:szCs w:val="32"/>
          <w:shd w:val="clear" w:color="auto" w:fill="FFFFFF"/>
          <w:lang w:val="en-US" w:eastAsia="zh-CN"/>
        </w:rPr>
        <w:t>项目的实施，确保</w:t>
      </w:r>
      <w:r>
        <w:rPr>
          <w:rFonts w:hint="eastAsia" w:ascii="仿宋_GB2312" w:hAnsi="仿宋_GB2312" w:eastAsia="仿宋_GB2312" w:cs="仿宋_GB2312"/>
          <w:kern w:val="2"/>
          <w:sz w:val="32"/>
          <w:szCs w:val="32"/>
        </w:rPr>
        <w:t>完成区人民政府网站管理维护、攀枝花市政府网站群平台安全运行。支付政府网站群平台运维费和安全服务经费、公共基础设施运维费；保障政府网站软、硬件及公共基础设施安全运行。</w:t>
      </w:r>
      <w:r>
        <w:rPr>
          <w:rFonts w:hint="eastAsia" w:ascii="仿宋_GB2312" w:hAnsi="仿宋_GB2312" w:eastAsia="仿宋_GB2312" w:cs="仿宋_GB2312"/>
          <w:color w:val="333333"/>
          <w:kern w:val="2"/>
          <w:sz w:val="32"/>
          <w:szCs w:val="32"/>
          <w:shd w:val="clear" w:color="auto" w:fill="FFFFFF"/>
        </w:rPr>
        <w:t>确保全年</w:t>
      </w:r>
      <w:r>
        <w:rPr>
          <w:rFonts w:hint="eastAsia" w:ascii="仿宋_GB2312" w:hAnsi="仿宋_GB2312" w:eastAsia="仿宋_GB2312" w:cs="仿宋_GB2312"/>
          <w:kern w:val="2"/>
          <w:sz w:val="32"/>
          <w:szCs w:val="32"/>
        </w:rPr>
        <w:t>仁和区人民政府网站平台安全运行。</w:t>
      </w:r>
    </w:p>
    <w:p w14:paraId="176D2BE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057F09AE">
      <w:pPr>
        <w:spacing w:beforeLines="0" w:afterLines="0"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333333"/>
          <w:kern w:val="2"/>
          <w:sz w:val="32"/>
          <w:szCs w:val="32"/>
          <w:shd w:val="clear" w:color="auto" w:fill="FFFFFF"/>
        </w:rPr>
        <w:t>全年区财政预算项目下达项目经费</w:t>
      </w:r>
      <w:r>
        <w:rPr>
          <w:rFonts w:hint="eastAsia" w:ascii="仿宋_GB2312" w:hAnsi="仿宋_GB2312" w:eastAsia="仿宋_GB2312" w:cs="仿宋_GB2312"/>
          <w:color w:val="333333"/>
          <w:kern w:val="2"/>
          <w:sz w:val="32"/>
          <w:szCs w:val="32"/>
          <w:shd w:val="clear" w:color="auto" w:fill="FFFFFF"/>
          <w:lang w:val="en-US" w:eastAsia="zh-CN"/>
        </w:rPr>
        <w:t>11.8</w:t>
      </w:r>
      <w:r>
        <w:rPr>
          <w:rFonts w:hint="eastAsia" w:ascii="仿宋_GB2312" w:hAnsi="仿宋_GB2312" w:eastAsia="仿宋_GB2312" w:cs="仿宋_GB2312"/>
          <w:color w:val="333333"/>
          <w:kern w:val="2"/>
          <w:sz w:val="32"/>
          <w:szCs w:val="32"/>
          <w:shd w:val="clear" w:color="auto" w:fill="FFFFFF"/>
        </w:rPr>
        <w:t>万元。项目实施时间：202</w:t>
      </w:r>
      <w:r>
        <w:rPr>
          <w:rFonts w:hint="eastAsia" w:ascii="仿宋_GB2312" w:hAnsi="仿宋_GB2312" w:eastAsia="仿宋_GB2312" w:cs="仿宋_GB2312"/>
          <w:color w:val="333333"/>
          <w:kern w:val="2"/>
          <w:sz w:val="32"/>
          <w:szCs w:val="32"/>
          <w:shd w:val="clear" w:color="auto" w:fill="FFFFFF"/>
          <w:lang w:val="en-US" w:eastAsia="zh-CN"/>
        </w:rPr>
        <w:t>5</w:t>
      </w:r>
      <w:r>
        <w:rPr>
          <w:rFonts w:hint="eastAsia" w:ascii="仿宋_GB2312" w:hAnsi="仿宋_GB2312" w:eastAsia="仿宋_GB2312" w:cs="仿宋_GB2312"/>
          <w:color w:val="333333"/>
          <w:kern w:val="2"/>
          <w:sz w:val="32"/>
          <w:szCs w:val="32"/>
          <w:shd w:val="clear" w:color="auto" w:fill="FFFFFF"/>
        </w:rPr>
        <w:t>年1月1日至12月30日。项目资金支付：</w:t>
      </w:r>
      <w:r>
        <w:rPr>
          <w:rFonts w:hint="eastAsia" w:ascii="仿宋_GB2312" w:hAnsi="仿宋_GB2312" w:eastAsia="仿宋_GB2312" w:cs="仿宋_GB2312"/>
          <w:kern w:val="2"/>
          <w:sz w:val="32"/>
          <w:szCs w:val="32"/>
        </w:rPr>
        <w:t>于202</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年12月30日以前按照合同要求完成项目资金支付。</w:t>
      </w:r>
      <w:r>
        <w:rPr>
          <w:rFonts w:hint="eastAsia" w:ascii="仿宋_GB2312" w:hAnsi="仿宋_GB2312" w:eastAsia="仿宋_GB2312" w:cs="仿宋_GB2312"/>
          <w:color w:val="000000"/>
          <w:sz w:val="32"/>
          <w:szCs w:val="32"/>
        </w:rPr>
        <w:t>仁和区融媒体中心在资金分配使用上，严格依据财务管理规定和专项资金管理办法使用资金；该项目资金支付按照区财政局相关流程拨付，做到专款专用。</w:t>
      </w:r>
    </w:p>
    <w:p w14:paraId="141B133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rPr>
          <w:rFonts w:hint="default"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14:paraId="10F9AF57">
      <w:pPr>
        <w:spacing w:beforeLines="0" w:afterLines="0" w:line="360" w:lineRule="auto"/>
        <w:ind w:firstLine="640" w:firstLineChars="200"/>
        <w:rPr>
          <w:rFonts w:hint="eastAsia" w:ascii="仿宋_GB2312" w:hAnsi="仿宋_GB2312" w:eastAsia="仿宋_GB2312" w:cs="仿宋_GB2312"/>
          <w:color w:val="333333"/>
          <w:kern w:val="2"/>
          <w:sz w:val="32"/>
          <w:szCs w:val="32"/>
          <w:shd w:val="clear" w:color="auto" w:fill="FFFFFF"/>
          <w:lang w:val="zh-CN" w:eastAsia="zh-CN"/>
        </w:rPr>
      </w:pPr>
      <w:r>
        <w:rPr>
          <w:rFonts w:hint="eastAsia" w:ascii="仿宋_GB2312" w:hAnsi="仿宋_GB2312" w:eastAsia="仿宋_GB2312" w:cs="仿宋_GB2312"/>
          <w:color w:val="333333"/>
          <w:kern w:val="2"/>
          <w:sz w:val="32"/>
          <w:szCs w:val="32"/>
          <w:shd w:val="clear" w:color="auto" w:fill="FFFFFF"/>
          <w:lang w:val="zh-CN" w:eastAsia="zh-CN"/>
        </w:rPr>
        <w:t>根据</w:t>
      </w:r>
      <w:r>
        <w:rPr>
          <w:rFonts w:hint="eastAsia" w:ascii="仿宋_GB2312" w:hAnsi="仿宋_GB2312" w:eastAsia="仿宋_GB2312" w:cs="仿宋_GB2312"/>
          <w:color w:val="333333"/>
          <w:kern w:val="2"/>
          <w:sz w:val="32"/>
          <w:szCs w:val="32"/>
          <w:shd w:val="clear" w:color="auto" w:fill="FFFFFF"/>
          <w:lang w:val="en-US" w:eastAsia="zh-CN"/>
        </w:rPr>
        <w:t>项目</w:t>
      </w:r>
      <w:r>
        <w:rPr>
          <w:rFonts w:hint="eastAsia" w:ascii="仿宋_GB2312" w:hAnsi="仿宋_GB2312" w:eastAsia="仿宋_GB2312" w:cs="仿宋_GB2312"/>
          <w:color w:val="333333"/>
          <w:kern w:val="2"/>
          <w:sz w:val="32"/>
          <w:szCs w:val="32"/>
          <w:shd w:val="clear" w:color="auto" w:fill="FFFFFF"/>
          <w:lang w:val="zh-CN" w:eastAsia="zh-CN"/>
        </w:rPr>
        <w:t>资金管理办法和申报要求，项目</w:t>
      </w:r>
      <w:r>
        <w:rPr>
          <w:rFonts w:hint="eastAsia" w:ascii="仿宋_GB2312" w:hAnsi="仿宋_GB2312" w:eastAsia="仿宋_GB2312" w:cs="仿宋_GB2312"/>
          <w:color w:val="333333"/>
          <w:kern w:val="2"/>
          <w:sz w:val="32"/>
          <w:szCs w:val="32"/>
          <w:shd w:val="clear" w:color="auto" w:fill="FFFFFF"/>
          <w:lang w:val="en-US" w:eastAsia="zh-CN"/>
        </w:rPr>
        <w:t>绩效</w:t>
      </w:r>
      <w:r>
        <w:rPr>
          <w:rFonts w:hint="eastAsia" w:ascii="仿宋_GB2312" w:hAnsi="仿宋_GB2312" w:eastAsia="仿宋_GB2312" w:cs="仿宋_GB2312"/>
          <w:color w:val="333333"/>
          <w:kern w:val="2"/>
          <w:sz w:val="32"/>
          <w:szCs w:val="32"/>
          <w:shd w:val="clear" w:color="auto" w:fill="FFFFFF"/>
          <w:lang w:val="zh-CN" w:eastAsia="zh-CN"/>
        </w:rPr>
        <w:t>设立产出指标、成本指标、效益指标和满意度指标，反映项目</w:t>
      </w:r>
      <w:r>
        <w:rPr>
          <w:rFonts w:hint="eastAsia" w:ascii="仿宋_GB2312" w:hAnsi="仿宋_GB2312" w:eastAsia="仿宋_GB2312" w:cs="仿宋_GB2312"/>
          <w:color w:val="333333"/>
          <w:kern w:val="2"/>
          <w:sz w:val="32"/>
          <w:szCs w:val="32"/>
          <w:shd w:val="clear" w:color="auto" w:fill="FFFFFF"/>
          <w:lang w:val="en-US" w:eastAsia="zh-CN"/>
        </w:rPr>
        <w:t>具体</w:t>
      </w:r>
      <w:r>
        <w:rPr>
          <w:rFonts w:hint="eastAsia" w:ascii="仿宋_GB2312" w:hAnsi="仿宋_GB2312" w:eastAsia="仿宋_GB2312" w:cs="仿宋_GB2312"/>
          <w:color w:val="333333"/>
          <w:kern w:val="2"/>
          <w:sz w:val="32"/>
          <w:szCs w:val="32"/>
          <w:shd w:val="clear" w:color="auto" w:fill="FFFFFF"/>
          <w:lang w:val="zh-CN" w:eastAsia="zh-CN"/>
        </w:rPr>
        <w:t>内容要求和资金支持方向。</w:t>
      </w:r>
      <w:r>
        <w:rPr>
          <w:rFonts w:hint="eastAsia" w:ascii="仿宋_GB2312" w:hAnsi="仿宋_GB2312" w:eastAsia="仿宋_GB2312" w:cs="仿宋_GB2312"/>
          <w:color w:val="333333"/>
          <w:kern w:val="2"/>
          <w:sz w:val="32"/>
          <w:szCs w:val="32"/>
          <w:shd w:val="clear" w:color="auto" w:fill="FFFFFF"/>
          <w:lang w:val="zh-CN"/>
        </w:rPr>
        <w:t>并对每项绩效指标进行细化分级，在年末开展相关绩效目标的自评工作，经自评相关绩效指标均已达到预期目标。</w:t>
      </w:r>
      <w:r>
        <w:rPr>
          <w:rFonts w:hint="eastAsia" w:ascii="仿宋_GB2312" w:hAnsi="仿宋_GB2312" w:eastAsia="仿宋_GB2312" w:cs="仿宋_GB2312"/>
          <w:color w:val="333333"/>
          <w:kern w:val="2"/>
          <w:sz w:val="32"/>
          <w:szCs w:val="32"/>
          <w:shd w:val="clear" w:color="auto" w:fill="FFFFFF"/>
          <w:lang w:val="en-US" w:eastAsia="zh-CN"/>
        </w:rPr>
        <w:t>确保项目顺利</w:t>
      </w:r>
      <w:r>
        <w:rPr>
          <w:rFonts w:hint="eastAsia" w:ascii="仿宋_GB2312" w:hAnsi="仿宋_GB2312" w:eastAsia="仿宋_GB2312" w:cs="仿宋_GB2312"/>
          <w:color w:val="333333"/>
          <w:kern w:val="2"/>
          <w:sz w:val="32"/>
          <w:szCs w:val="32"/>
          <w:shd w:val="clear" w:color="auto" w:fill="FFFFFF"/>
          <w:lang w:val="zh-CN" w:eastAsia="zh-CN"/>
        </w:rPr>
        <w:t>实施</w:t>
      </w:r>
      <w:r>
        <w:rPr>
          <w:rFonts w:hint="eastAsia" w:ascii="仿宋_GB2312" w:hAnsi="仿宋_GB2312" w:eastAsia="仿宋_GB2312" w:cs="仿宋_GB2312"/>
          <w:color w:val="333333"/>
          <w:kern w:val="2"/>
          <w:sz w:val="32"/>
          <w:szCs w:val="32"/>
          <w:shd w:val="clear" w:color="auto" w:fill="FFFFFF"/>
          <w:lang w:val="en-US" w:eastAsia="zh-CN"/>
        </w:rPr>
        <w:t>达到年初绩效目标</w:t>
      </w:r>
      <w:r>
        <w:rPr>
          <w:rFonts w:hint="eastAsia" w:ascii="仿宋_GB2312" w:hAnsi="仿宋_GB2312" w:eastAsia="仿宋_GB2312" w:cs="仿宋_GB2312"/>
          <w:color w:val="333333"/>
          <w:kern w:val="2"/>
          <w:sz w:val="32"/>
          <w:szCs w:val="32"/>
          <w:shd w:val="clear" w:color="auto" w:fill="FFFFFF"/>
          <w:lang w:val="zh-CN" w:eastAsia="zh-CN"/>
        </w:rPr>
        <w:t>。</w:t>
      </w:r>
    </w:p>
    <w:p w14:paraId="6DA99CB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44FBBAE9">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3C668E11">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w:t>
      </w:r>
      <w:r>
        <w:rPr>
          <w:rFonts w:eastAsia="仿宋_GB2312"/>
          <w:kern w:val="0"/>
          <w:sz w:val="32"/>
          <w:szCs w:val="32"/>
        </w:rPr>
        <w:t>节约财政资金，有效提高资金使用效率。</w:t>
      </w:r>
    </w:p>
    <w:p w14:paraId="48E1046F">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19F09D9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项目建设情况、产出指标、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全过程及其实施效果进行综合评价和判断。</w:t>
      </w:r>
    </w:p>
    <w:p w14:paraId="2A8AC2D6">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3DFC81AE">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52063F8F">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66D1C0EE">
      <w:pPr>
        <w:snapToGrid w:val="0"/>
        <w:spacing w:beforeLines="0" w:afterLines="0" w:line="360" w:lineRule="auto"/>
        <w:ind w:firstLine="720"/>
        <w:rPr>
          <w:rFonts w:hint="eastAsia" w:ascii="仿宋_GB2312" w:hAnsi="宋体" w:eastAsia="仿宋_GB2312"/>
          <w:sz w:val="32"/>
          <w:szCs w:val="32"/>
        </w:rPr>
      </w:pPr>
      <w:r>
        <w:rPr>
          <w:rFonts w:hint="eastAsia" w:ascii="仿宋_GB2312" w:hAnsi="宋体" w:eastAsia="仿宋_GB2312"/>
          <w:sz w:val="32"/>
          <w:szCs w:val="32"/>
        </w:rPr>
        <w:t>根据全面评审、重点覆盖，细化标准，明确责任的原则，开展项目自评。一是材料收集。根据绩效评价工作方案，准备绩效评价项目所需资料；二是编制书面评审底稿。根据评价指标体系提交资料，编制书面评审底稿；三是开展审核。由项目评审小组对提交资料及评审底稿开展评审工作。四是汇总评审。按照编制的书面评审工作底稿，汇总分析数据，对分组评审内容进行复核、整改，并形成结论。</w:t>
      </w:r>
    </w:p>
    <w:p w14:paraId="0A14AB3D">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3CE77B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hint="eastAsia" w:ascii="仿宋_GB2312" w:hAnsi="仿宋_GB2312" w:eastAsia="仿宋_GB2312" w:cs="仿宋_GB2312"/>
          <w:b w:val="0"/>
          <w:bCs w:val="0"/>
          <w:kern w:val="0"/>
          <w:position w:val="0"/>
          <w:sz w:val="32"/>
          <w:szCs w:val="32"/>
          <w:highlight w:val="none"/>
          <w:lang w:val="zh-CN" w:eastAsia="zh-CN" w:bidi="ar-SA"/>
        </w:rPr>
        <w:t>收集相关资料，进行绩效自评，最终形成绩效自评报告。</w:t>
      </w:r>
    </w:p>
    <w:p w14:paraId="0C1E2D4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0D0723D4">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67DD27F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36F93183">
      <w:pPr>
        <w:spacing w:beforeLines="0" w:afterLines="0" w:line="360" w:lineRule="auto"/>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仁和区融媒体中心制定了财务管理制度、资金管理办法及相关工作制度，该项目资金由区级财政下达指标，按照合同约定支付相关费用。</w:t>
      </w:r>
    </w:p>
    <w:p w14:paraId="53DF332C">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w:t>
      </w:r>
    </w:p>
    <w:p w14:paraId="2F56378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rPr>
      </w:pPr>
      <w:r>
        <w:rPr>
          <w:rFonts w:hint="eastAsia" w:ascii="Times New Roman" w:hAnsi="Times New Roman" w:eastAsia="仿宋_GB2312" w:cs="Times New Roman"/>
          <w:sz w:val="32"/>
          <w:szCs w:val="32"/>
          <w:highlight w:val="none"/>
          <w:u w:val="none"/>
          <w:lang w:val="en-US" w:eastAsia="zh-CN"/>
        </w:rPr>
        <w:t>仁和区人民政府网站集约化建设预算经费11.80万元，资金到位率100%，实际支出8.62万元，执行率为73.05%，资金结余3.18万元，资金结余率26.95%。项目按照进度完成。该项目经费主要用于仁和区人民政府网站安全运行维护费支出。</w:t>
      </w:r>
    </w:p>
    <w:p w14:paraId="31A1A6EF">
      <w:pPr>
        <w:widowControl/>
        <w:spacing w:beforeLines="0" w:afterLines="0" w:line="360" w:lineRule="auto"/>
        <w:ind w:firstLine="640"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color w:val="auto"/>
          <w:sz w:val="32"/>
          <w:szCs w:val="32"/>
          <w:lang w:val="en-US" w:eastAsia="zh-CN"/>
        </w:rPr>
        <w:t>4.项目结果。</w:t>
      </w:r>
      <w:r>
        <w:rPr>
          <w:rFonts w:hint="eastAsia" w:ascii="Times New Roman" w:hAnsi="Times New Roman" w:eastAsia="仿宋_GB2312" w:cs="Times New Roman"/>
          <w:sz w:val="32"/>
          <w:szCs w:val="32"/>
          <w:highlight w:val="none"/>
          <w:u w:val="none"/>
          <w:lang w:val="en-US" w:eastAsia="zh-CN"/>
        </w:rPr>
        <w:t>仁和区人民政府网站集约化建设项目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确保</w:t>
      </w:r>
      <w:r>
        <w:rPr>
          <w:rFonts w:hint="eastAsia" w:ascii="仿宋_GB2312" w:hAnsi="仿宋_GB2312" w:eastAsia="仿宋_GB2312" w:cs="仿宋_GB2312"/>
          <w:color w:val="000000"/>
          <w:sz w:val="32"/>
          <w:szCs w:val="32"/>
        </w:rPr>
        <w:t>仁和区人民政府网站安全运行，集中管理信息数据，集中提供内容服务，实现全市政府网站资源优化融合、平台整体安全、数据互通共享、管理统筹规范等集约化管理功能。</w:t>
      </w:r>
      <w:r>
        <w:rPr>
          <w:rFonts w:hint="eastAsia" w:ascii="仿宋_GB2312" w:hAnsi="仿宋_GB2312" w:eastAsia="仿宋_GB2312" w:cs="仿宋_GB2312"/>
          <w:b w:val="0"/>
          <w:bCs w:val="0"/>
          <w:kern w:val="0"/>
          <w:position w:val="0"/>
          <w:sz w:val="32"/>
          <w:szCs w:val="32"/>
          <w:highlight w:val="none"/>
          <w:lang w:val="en-US" w:eastAsia="zh-CN" w:bidi="ar-SA"/>
        </w:rPr>
        <w:t>项目实施情况总体较好，项目满意度较好，项目实施规范有序，达到了预期效果。</w:t>
      </w:r>
    </w:p>
    <w:p w14:paraId="76730DDB">
      <w:pPr>
        <w:suppressAutoHyphens/>
        <w:adjustRightInd w:val="0"/>
        <w:snapToGrid w:val="0"/>
        <w:spacing w:line="600" w:lineRule="exact"/>
        <w:ind w:firstLine="640" w:firstLineChars="200"/>
        <w:rPr>
          <w:rFonts w:eastAsia="黑体"/>
          <w:sz w:val="32"/>
          <w:szCs w:val="32"/>
        </w:rPr>
      </w:pPr>
      <w:r>
        <w:rPr>
          <w:rFonts w:eastAsia="黑体"/>
          <w:sz w:val="32"/>
          <w:szCs w:val="32"/>
        </w:rPr>
        <w:t>四、评价结论</w:t>
      </w:r>
    </w:p>
    <w:p w14:paraId="08E9FF62">
      <w:pPr>
        <w:widowControl/>
        <w:spacing w:beforeLines="0" w:afterLines="0"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从总体来看，仁和区人民政府网站集约化建设经费项目</w:t>
      </w:r>
      <w:r>
        <w:rPr>
          <w:rFonts w:eastAsia="仿宋_GB2312"/>
          <w:kern w:val="0"/>
          <w:sz w:val="32"/>
          <w:szCs w:val="32"/>
          <w:lang w:val="zh-CN"/>
        </w:rPr>
        <w:t>申报及批复下达均符合财政资金管理有关规定，资金到位及时</w:t>
      </w:r>
      <w:r>
        <w:rPr>
          <w:rFonts w:hint="eastAsia" w:eastAsia="仿宋_GB2312"/>
          <w:kern w:val="0"/>
          <w:sz w:val="32"/>
          <w:szCs w:val="32"/>
          <w:lang w:val="zh-CN"/>
        </w:rPr>
        <w:t>，</w:t>
      </w:r>
      <w:r>
        <w:rPr>
          <w:rFonts w:hint="eastAsia" w:ascii="仿宋_GB2312" w:hAnsi="仿宋_GB2312" w:eastAsia="仿宋_GB2312" w:cs="仿宋_GB2312"/>
          <w:color w:val="000000"/>
          <w:sz w:val="32"/>
          <w:szCs w:val="32"/>
        </w:rPr>
        <w:t>决策合理、工作保障到位、工作措施有力，项目在推进中与工作目标相符。根据对项目决策、项目管理、项目绩效等方面对项目进行总体评价，我单位对该项目年度预算支出绩效评价良好。</w:t>
      </w:r>
    </w:p>
    <w:p w14:paraId="2BC22E73">
      <w:pPr>
        <w:tabs>
          <w:tab w:val="left" w:pos="2160"/>
        </w:tabs>
        <w:suppressAutoHyphens/>
        <w:spacing w:line="600" w:lineRule="exact"/>
        <w:rPr>
          <w:rFonts w:eastAsia="黑体"/>
          <w:b/>
          <w:sz w:val="32"/>
          <w:szCs w:val="32"/>
        </w:rPr>
      </w:pPr>
      <w:r>
        <w:rPr>
          <w:rFonts w:hint="eastAsia" w:eastAsia="黑体"/>
          <w:b/>
          <w:sz w:val="32"/>
          <w:szCs w:val="32"/>
          <w:lang w:val="en-US" w:eastAsia="zh-CN"/>
        </w:rPr>
        <w:t xml:space="preserve">    </w:t>
      </w:r>
      <w:r>
        <w:rPr>
          <w:rFonts w:eastAsia="黑体"/>
          <w:b/>
          <w:sz w:val="32"/>
          <w:szCs w:val="32"/>
        </w:rPr>
        <w:t>五、存在主要问题</w:t>
      </w:r>
    </w:p>
    <w:p w14:paraId="488CFABB">
      <w:pPr>
        <w:tabs>
          <w:tab w:val="left" w:pos="2160"/>
        </w:tabs>
        <w:suppressAutoHyphens/>
        <w:spacing w:line="600" w:lineRule="exact"/>
        <w:ind w:firstLine="990" w:firstLineChars="300"/>
        <w:rPr>
          <w:rFonts w:hint="eastAsia"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无</w:t>
      </w:r>
    </w:p>
    <w:p w14:paraId="2F144445">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049C81B6">
      <w:pPr>
        <w:spacing w:line="580" w:lineRule="exact"/>
        <w:ind w:firstLine="960" w:firstLineChars="300"/>
        <w:rPr>
          <w:rStyle w:val="30"/>
          <w:rFonts w:ascii="黑体" w:hAnsi="黑体" w:eastAsia="黑体"/>
          <w:b w:val="0"/>
          <w:color w:val="auto"/>
          <w:highlight w:val="none"/>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无</w:t>
      </w:r>
    </w:p>
    <w:p w14:paraId="700C6FE8">
      <w:r>
        <w:rPr>
          <w:rFonts w:hint="eastAsia" w:ascii="黑体" w:hAnsi="黑体" w:eastAsia="黑体"/>
          <w:color w:val="auto"/>
          <w:sz w:val="44"/>
          <w:szCs w:val="44"/>
          <w:highlight w:val="none"/>
        </w:rPr>
        <w:br w:type="page"/>
      </w:r>
    </w:p>
    <w:p w14:paraId="7510329C">
      <w:pPr>
        <w:ind w:firstLine="2520" w:firstLineChars="700"/>
        <w:rPr>
          <w:rFonts w:hint="eastAsia" w:ascii="方正小标宋_GBK" w:hAnsi="黑体" w:eastAsia="方正小标宋_GBK" w:cs="黑体"/>
          <w:sz w:val="36"/>
          <w:szCs w:val="36"/>
          <w:lang w:val="en-US" w:eastAsia="zh-CN"/>
        </w:rPr>
      </w:pPr>
      <w:r>
        <w:rPr>
          <w:rFonts w:hint="eastAsia" w:ascii="方正小标宋_GBK" w:hAnsi="黑体" w:eastAsia="方正小标宋_GBK" w:cs="黑体"/>
          <w:sz w:val="36"/>
          <w:szCs w:val="36"/>
        </w:rPr>
        <w:t>攀枝花市仁和区</w:t>
      </w:r>
      <w:r>
        <w:rPr>
          <w:rFonts w:hint="eastAsia" w:ascii="方正小标宋_GBK" w:hAnsi="黑体" w:eastAsia="方正小标宋_GBK" w:cs="黑体"/>
          <w:sz w:val="36"/>
          <w:szCs w:val="36"/>
          <w:lang w:val="en-US" w:eastAsia="zh-CN"/>
        </w:rPr>
        <w:t>融媒体中心</w:t>
      </w:r>
    </w:p>
    <w:p w14:paraId="43BBE514">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202</w:t>
      </w:r>
      <w:r>
        <w:rPr>
          <w:rFonts w:hint="eastAsia" w:ascii="方正小标宋_GBK" w:hAnsi="黑体" w:eastAsia="方正小标宋_GBK" w:cs="黑体"/>
          <w:sz w:val="36"/>
          <w:szCs w:val="36"/>
          <w:lang w:val="en-US" w:eastAsia="zh-CN"/>
        </w:rPr>
        <w:t>5</w:t>
      </w:r>
      <w:r>
        <w:rPr>
          <w:rFonts w:hint="eastAsia" w:ascii="方正小标宋_GBK" w:hAnsi="黑体" w:eastAsia="方正小标宋_GBK" w:cs="黑体"/>
          <w:sz w:val="36"/>
          <w:szCs w:val="36"/>
        </w:rPr>
        <w:t>年度部门预算项目绩效自评报告</w:t>
      </w:r>
    </w:p>
    <w:p w14:paraId="144F4B60">
      <w:pPr>
        <w:pStyle w:val="3"/>
        <w:spacing w:line="600" w:lineRule="exact"/>
        <w:ind w:firstLine="720" w:firstLineChars="200"/>
        <w:jc w:val="center"/>
        <w:rPr>
          <w:rFonts w:hint="eastAsia" w:ascii="方正小标宋_GBK" w:hAnsi="黑体" w:eastAsia="方正小标宋_GBK" w:cs="黑体"/>
          <w:sz w:val="36"/>
          <w:szCs w:val="36"/>
        </w:rPr>
      </w:pPr>
      <w:r>
        <w:rPr>
          <w:rFonts w:hint="eastAsia" w:ascii="方正小标宋_GBK" w:hAnsi="黑体" w:eastAsia="方正小标宋_GBK" w:cs="黑体"/>
          <w:sz w:val="36"/>
          <w:szCs w:val="36"/>
        </w:rPr>
        <w:t>（</w:t>
      </w:r>
      <w:r>
        <w:rPr>
          <w:rFonts w:hint="eastAsia" w:ascii="仿宋_GB2312" w:hAnsi="仿宋" w:eastAsia="仿宋_GB2312" w:cs="Times New Roman"/>
          <w:kern w:val="2"/>
          <w:sz w:val="32"/>
          <w:szCs w:val="32"/>
          <w:lang w:val="en-US" w:eastAsia="zh-CN" w:bidi="ar-SA"/>
        </w:rPr>
        <w:t>重大传染病防控中央资金</w:t>
      </w:r>
      <w:r>
        <w:rPr>
          <w:rFonts w:hint="eastAsia" w:ascii="方正小标宋_GBK" w:hAnsi="黑体" w:eastAsia="方正小标宋_GBK" w:cs="黑体"/>
          <w:sz w:val="36"/>
          <w:szCs w:val="36"/>
        </w:rPr>
        <w:t>）</w:t>
      </w:r>
    </w:p>
    <w:p w14:paraId="7FACEDC3">
      <w:pPr>
        <w:pStyle w:val="3"/>
        <w:spacing w:line="600" w:lineRule="exact"/>
        <w:ind w:firstLine="640" w:firstLineChars="200"/>
        <w:jc w:val="left"/>
        <w:rPr>
          <w:rFonts w:ascii="仿宋_GB2312" w:hAnsi="仿宋_GB2312" w:eastAsia="仿宋_GB2312" w:cs="仿宋_GB2312"/>
          <w:sz w:val="32"/>
          <w:szCs w:val="32"/>
        </w:rPr>
      </w:pPr>
    </w:p>
    <w:p w14:paraId="0094C3F2">
      <w:pPr>
        <w:autoSpaceDE w:val="0"/>
        <w:autoSpaceDN w:val="0"/>
        <w:adjustRightInd w:val="0"/>
        <w:spacing w:line="600" w:lineRule="exact"/>
        <w:ind w:firstLine="640" w:firstLineChars="200"/>
        <w:jc w:val="left"/>
        <w:rPr>
          <w:rFonts w:ascii="Times New Roman" w:hAnsi="Times New Roman" w:eastAsia="黑体"/>
          <w:kern w:val="0"/>
          <w:sz w:val="32"/>
          <w:szCs w:val="32"/>
        </w:rPr>
      </w:pPr>
      <w:r>
        <w:rPr>
          <w:rFonts w:ascii="Times New Roman" w:hAnsi="Times New Roman" w:eastAsia="黑体"/>
          <w:kern w:val="0"/>
          <w:sz w:val="32"/>
          <w:szCs w:val="32"/>
        </w:rPr>
        <w:t>一、项目概况</w:t>
      </w:r>
    </w:p>
    <w:p w14:paraId="6C02B315">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5748F5CE">
      <w:pPr>
        <w:autoSpaceDE w:val="0"/>
        <w:autoSpaceDN w:val="0"/>
        <w:adjustRightInd w:val="0"/>
        <w:spacing w:line="600" w:lineRule="exact"/>
        <w:ind w:firstLine="640" w:firstLineChars="200"/>
        <w:jc w:val="left"/>
        <w:rPr>
          <w:rFonts w:hint="default" w:ascii="仿宋_GB2312" w:eastAsia="仿宋_GB2312" w:cs="Times New Roman"/>
          <w:sz w:val="32"/>
          <w:szCs w:val="32"/>
          <w:lang w:val="en-US" w:eastAsia="zh-CN"/>
        </w:rPr>
      </w:pPr>
      <w:r>
        <w:rPr>
          <w:rFonts w:hint="eastAsia" w:ascii="仿宋_GB2312" w:eastAsia="仿宋_GB2312" w:cs="Times New Roman"/>
          <w:sz w:val="32"/>
          <w:szCs w:val="32"/>
          <w:lang w:val="en-US" w:eastAsia="zh-CN"/>
        </w:rPr>
        <w:t>1.</w:t>
      </w:r>
      <w:r>
        <w:rPr>
          <w:rFonts w:hint="eastAsia" w:ascii="仿宋_GB2312" w:hAnsi="仿宋_GB2312" w:eastAsia="仿宋_GB2312" w:cs="仿宋_GB2312"/>
          <w:color w:val="000000"/>
          <w:sz w:val="32"/>
          <w:szCs w:val="32"/>
        </w:rPr>
        <w:t>项目立项、</w:t>
      </w:r>
      <w:r>
        <w:rPr>
          <w:rFonts w:hint="eastAsia" w:ascii="仿宋_GB2312" w:eastAsia="仿宋_GB2312" w:cs="Times New Roman"/>
          <w:sz w:val="32"/>
          <w:szCs w:val="32"/>
          <w:lang w:val="zh-CN"/>
        </w:rPr>
        <w:t>资金申报依据。</w:t>
      </w:r>
      <w:r>
        <w:rPr>
          <w:rFonts w:hint="eastAsia" w:ascii="仿宋_GB2312" w:eastAsia="仿宋_GB2312" w:cs="Times New Roman"/>
          <w:sz w:val="32"/>
          <w:szCs w:val="32"/>
          <w:lang w:val="en-US" w:eastAsia="zh-CN"/>
        </w:rPr>
        <w:t>2024年，为做好全区重大传染病宣传工作，区财政下达重大传染病防控资金2万元给我单位。因2024年该项目未实施，资金未支付，年底财政收回，并于2025年年初重新将该项目2万元结转给我单位。</w:t>
      </w:r>
    </w:p>
    <w:p w14:paraId="67F5EDA0">
      <w:pPr>
        <w:autoSpaceDE w:val="0"/>
        <w:autoSpaceDN w:val="0"/>
        <w:adjustRightInd w:val="0"/>
        <w:spacing w:line="600" w:lineRule="exact"/>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rPr>
      </w:pP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val="zh-CN"/>
        </w:rPr>
        <w:t>主管部门职能。</w:t>
      </w:r>
      <w:r>
        <w:rPr>
          <w:rFonts w:hint="eastAsia" w:ascii="仿宋_GB2312" w:hAnsi="仿宋_GB2312" w:eastAsia="仿宋_GB2312" w:cs="仿宋_GB2312"/>
          <w:i w:val="0"/>
          <w:iCs w:val="0"/>
          <w:caps w:val="0"/>
          <w:color w:val="333333"/>
          <w:spacing w:val="0"/>
          <w:kern w:val="2"/>
          <w:sz w:val="32"/>
          <w:szCs w:val="32"/>
          <w:shd w:val="clear" w:color="auto" w:fill="FFFFFF"/>
          <w:lang w:val="en-US" w:eastAsia="zh-CN" w:bidi="ar-SA"/>
        </w:rPr>
        <w:t>攀枝花市仁和区融媒体中心负责项目的实施，</w:t>
      </w:r>
      <w:r>
        <w:rPr>
          <w:rFonts w:hint="eastAsia" w:ascii="仿宋_GB2312" w:hAnsi="仿宋_GB2312" w:eastAsia="仿宋_GB2312" w:cs="仿宋_GB2312"/>
          <w:color w:val="000000"/>
          <w:kern w:val="0"/>
          <w:sz w:val="32"/>
          <w:szCs w:val="32"/>
        </w:rPr>
        <w:t>做到专款专用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i w:val="0"/>
          <w:iCs w:val="0"/>
          <w:caps w:val="0"/>
          <w:color w:val="333333"/>
          <w:spacing w:val="0"/>
          <w:sz w:val="32"/>
          <w:szCs w:val="32"/>
          <w:shd w:val="clear" w:color="auto" w:fill="FFFFFF"/>
          <w:lang w:val="en-US" w:eastAsia="zh-CN"/>
        </w:rPr>
        <w:t>确保</w:t>
      </w:r>
      <w:r>
        <w:rPr>
          <w:rFonts w:hint="eastAsia" w:ascii="仿宋_GB2312" w:hAnsi="仿宋_GB2312" w:eastAsia="仿宋_GB2312" w:cs="仿宋_GB2312"/>
          <w:i w:val="0"/>
          <w:iCs w:val="0"/>
          <w:caps w:val="0"/>
          <w:color w:val="333333"/>
          <w:spacing w:val="0"/>
          <w:sz w:val="32"/>
          <w:szCs w:val="32"/>
          <w:shd w:val="clear" w:color="auto" w:fill="FFFFFF"/>
        </w:rPr>
        <w:t>资金使用效率。</w:t>
      </w:r>
    </w:p>
    <w:p w14:paraId="4810113E">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5484E2A9">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rPr>
        <w:t>仁和区融媒体中心制定了财务管理制度、资金管理办法及相关工作制度。</w:t>
      </w:r>
      <w:r>
        <w:rPr>
          <w:rFonts w:hint="eastAsia" w:ascii="仿宋_GB2312" w:hAnsi="仿宋" w:eastAsia="仿宋_GB2312" w:cs="Times New Roman"/>
          <w:kern w:val="2"/>
          <w:sz w:val="32"/>
          <w:szCs w:val="32"/>
          <w:lang w:val="en-US" w:eastAsia="zh-CN" w:bidi="ar-SA"/>
        </w:rPr>
        <w:t>融媒体中心预计对</w:t>
      </w:r>
      <w:r>
        <w:rPr>
          <w:rFonts w:hint="eastAsia" w:ascii="仿宋_GB2312" w:eastAsia="仿宋_GB2312" w:cs="Times New Roman"/>
          <w:sz w:val="32"/>
          <w:szCs w:val="32"/>
          <w:lang w:val="en-US" w:eastAsia="zh-CN"/>
        </w:rPr>
        <w:t>重大传染病防控工作</w:t>
      </w:r>
      <w:r>
        <w:rPr>
          <w:rFonts w:hint="eastAsia" w:ascii="仿宋_GB2312" w:hAnsi="仿宋" w:eastAsia="仿宋_GB2312" w:cs="Times New Roman"/>
          <w:kern w:val="2"/>
          <w:sz w:val="32"/>
          <w:szCs w:val="32"/>
          <w:lang w:val="en-US" w:eastAsia="zh-CN" w:bidi="ar-SA"/>
        </w:rPr>
        <w:t>一系列宣传报道</w:t>
      </w:r>
      <w:r>
        <w:rPr>
          <w:rFonts w:hint="eastAsia" w:ascii="仿宋_GB2312" w:eastAsia="仿宋_GB2312" w:cs="Times New Roman"/>
          <w:sz w:val="32"/>
          <w:szCs w:val="32"/>
          <w:lang w:val="en-US" w:eastAsia="zh-CN"/>
        </w:rPr>
        <w:t>宣传5次，提升全民健康素养、消除恐慌情绪、推动全社会共同参与，最终形成“早发现、早报告、早隔离、早治疗”的群防群控格局</w:t>
      </w:r>
      <w:r>
        <w:rPr>
          <w:rFonts w:hint="eastAsia" w:ascii="仿宋_GB2312" w:hAnsi="仿宋" w:eastAsia="仿宋_GB2312" w:cs="Times New Roman"/>
          <w:kern w:val="2"/>
          <w:sz w:val="32"/>
          <w:szCs w:val="32"/>
          <w:lang w:val="en-US" w:eastAsia="zh-CN" w:bidi="ar-SA"/>
        </w:rPr>
        <w:t>。</w:t>
      </w:r>
    </w:p>
    <w:p w14:paraId="35CFD1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05143475">
      <w:pPr>
        <w:autoSpaceDE w:val="0"/>
        <w:autoSpaceDN w:val="0"/>
        <w:adjustRightInd w:val="0"/>
        <w:spacing w:line="600" w:lineRule="exact"/>
        <w:ind w:firstLine="640" w:firstLineChars="200"/>
        <w:jc w:val="left"/>
        <w:rPr>
          <w:rFonts w:ascii="仿宋_GB2312" w:hAnsi="仿宋_GB2312" w:eastAsia="仿宋_GB2312" w:cs="仿宋_GB2312"/>
          <w:color w:val="000000"/>
          <w:kern w:val="0"/>
          <w:sz w:val="32"/>
          <w:szCs w:val="32"/>
        </w:rPr>
      </w:pPr>
      <w:r>
        <w:rPr>
          <w:rFonts w:hint="eastAsia" w:ascii="仿宋_GB2312" w:eastAsia="仿宋_GB2312" w:cs="Times New Roman"/>
          <w:sz w:val="32"/>
          <w:szCs w:val="32"/>
          <w:lang w:val="en-US" w:eastAsia="zh-CN"/>
        </w:rPr>
        <w:t>2025年，为做好全区重大传染病宣传工作，区财政结转重大传染病防控资金2万元给我单位，</w:t>
      </w:r>
      <w:r>
        <w:rPr>
          <w:rFonts w:eastAsia="仿宋_GB2312"/>
          <w:sz w:val="32"/>
          <w:szCs w:val="32"/>
          <w:lang w:val="zh-CN"/>
        </w:rPr>
        <w:t>资金到位及时，资金到位率100%。</w:t>
      </w:r>
      <w:r>
        <w:rPr>
          <w:rFonts w:hint="eastAsia" w:ascii="仿宋_GB2312" w:hAnsi="仿宋" w:eastAsia="仿宋_GB2312" w:cs="Times New Roman"/>
          <w:kern w:val="2"/>
          <w:sz w:val="32"/>
          <w:szCs w:val="32"/>
          <w:lang w:val="en-US" w:eastAsia="zh-CN" w:bidi="ar-SA"/>
        </w:rPr>
        <w:t>仁和区融媒体中心在资金分配使用上，</w:t>
      </w:r>
      <w:r>
        <w:rPr>
          <w:rFonts w:hint="eastAsia" w:ascii="仿宋_GB2312" w:hAnsi="仿宋_GB2312" w:eastAsia="仿宋_GB2312" w:cs="仿宋_GB2312"/>
          <w:color w:val="000000"/>
          <w:kern w:val="0"/>
          <w:sz w:val="32"/>
          <w:szCs w:val="32"/>
          <w:lang w:val="en-US" w:eastAsia="zh-CN"/>
        </w:rPr>
        <w:t>严格依据财务管理规定和专项资金管理办法使用资金；该项目</w:t>
      </w:r>
      <w:r>
        <w:rPr>
          <w:rFonts w:hint="eastAsia" w:ascii="仿宋_GB2312" w:hAnsi="仿宋_GB2312" w:eastAsia="仿宋_GB2312" w:cs="仿宋_GB2312"/>
          <w:color w:val="000000"/>
          <w:kern w:val="0"/>
          <w:sz w:val="32"/>
          <w:szCs w:val="32"/>
        </w:rPr>
        <w:t>资金</w:t>
      </w:r>
      <w:r>
        <w:rPr>
          <w:rFonts w:hint="eastAsia" w:ascii="仿宋_GB2312" w:hAnsi="仿宋_GB2312" w:eastAsia="仿宋_GB2312" w:cs="仿宋_GB2312"/>
          <w:color w:val="000000"/>
          <w:kern w:val="0"/>
          <w:sz w:val="32"/>
          <w:szCs w:val="32"/>
          <w:lang w:val="en-US" w:eastAsia="zh-CN"/>
        </w:rPr>
        <w:t>支付按照</w:t>
      </w:r>
      <w:r>
        <w:rPr>
          <w:rFonts w:hint="eastAsia" w:ascii="仿宋_GB2312" w:hAnsi="仿宋_GB2312" w:eastAsia="仿宋_GB2312" w:cs="仿宋_GB2312"/>
          <w:color w:val="000000"/>
          <w:kern w:val="0"/>
          <w:sz w:val="32"/>
          <w:szCs w:val="32"/>
        </w:rPr>
        <w:t>区财政局</w:t>
      </w:r>
      <w:r>
        <w:rPr>
          <w:rFonts w:hint="eastAsia" w:ascii="仿宋_GB2312" w:hAnsi="仿宋_GB2312" w:eastAsia="仿宋_GB2312" w:cs="仿宋_GB2312"/>
          <w:color w:val="000000"/>
          <w:kern w:val="0"/>
          <w:sz w:val="32"/>
          <w:szCs w:val="32"/>
          <w:lang w:val="en-US" w:eastAsia="zh-CN"/>
        </w:rPr>
        <w:t>相关流程拨付，</w:t>
      </w:r>
      <w:r>
        <w:rPr>
          <w:rFonts w:hint="eastAsia" w:ascii="仿宋_GB2312" w:hAnsi="仿宋_GB2312" w:eastAsia="仿宋_GB2312" w:cs="仿宋_GB2312"/>
          <w:color w:val="000000"/>
          <w:kern w:val="0"/>
          <w:sz w:val="32"/>
          <w:szCs w:val="32"/>
        </w:rPr>
        <w:t>做到专款专用。</w:t>
      </w:r>
    </w:p>
    <w:p w14:paraId="47844BA3">
      <w:pPr>
        <w:keepNext w:val="0"/>
        <w:keepLines w:val="0"/>
        <w:pageBreakBefore w:val="0"/>
        <w:kinsoku/>
        <w:wordWrap/>
        <w:overflowPunct/>
        <w:topLinePunct w:val="0"/>
        <w:autoSpaceDE/>
        <w:autoSpaceDN/>
        <w:bidi w:val="0"/>
        <w:adjustRightInd w:val="0"/>
        <w:snapToGrid w:val="0"/>
        <w:spacing w:line="578" w:lineRule="exact"/>
        <w:ind w:firstLine="321" w:firstLineChars="100"/>
        <w:textAlignment w:val="auto"/>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p>
    <w:p w14:paraId="252E622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项目</w:t>
      </w:r>
      <w:r>
        <w:rPr>
          <w:rFonts w:hint="eastAsia" w:ascii="仿宋_GB2312" w:hAnsi="仿宋_GB2312" w:eastAsia="仿宋_GB2312" w:cs="仿宋_GB2312"/>
          <w:b w:val="0"/>
          <w:bCs w:val="0"/>
          <w:kern w:val="0"/>
          <w:position w:val="0"/>
          <w:sz w:val="32"/>
          <w:szCs w:val="32"/>
          <w:highlight w:val="none"/>
          <w:lang w:val="zh-CN" w:eastAsia="zh-CN" w:bidi="ar-SA"/>
        </w:rPr>
        <w:t>资金管理办法和申报要求，项目</w:t>
      </w:r>
      <w:r>
        <w:rPr>
          <w:rFonts w:hint="eastAsia" w:ascii="仿宋_GB2312" w:hAnsi="仿宋_GB2312" w:eastAsia="仿宋_GB2312" w:cs="仿宋_GB2312"/>
          <w:b w:val="0"/>
          <w:bCs w:val="0"/>
          <w:kern w:val="0"/>
          <w:position w:val="0"/>
          <w:sz w:val="32"/>
          <w:szCs w:val="32"/>
          <w:highlight w:val="none"/>
          <w:lang w:val="en-US" w:eastAsia="zh-CN" w:bidi="ar-SA"/>
        </w:rPr>
        <w:t>绩效</w:t>
      </w:r>
      <w:r>
        <w:rPr>
          <w:rFonts w:hint="eastAsia" w:ascii="仿宋_GB2312" w:hAnsi="仿宋_GB2312" w:eastAsia="仿宋_GB2312" w:cs="仿宋_GB2312"/>
          <w:b w:val="0"/>
          <w:bCs w:val="0"/>
          <w:kern w:val="0"/>
          <w:position w:val="0"/>
          <w:sz w:val="32"/>
          <w:szCs w:val="32"/>
          <w:highlight w:val="none"/>
          <w:lang w:val="zh-CN" w:eastAsia="zh-CN" w:bidi="ar-SA"/>
        </w:rPr>
        <w:t>设立产出指标、成本指标、效益指标和满意度指标，反映项目</w:t>
      </w:r>
      <w:r>
        <w:rPr>
          <w:rFonts w:hint="eastAsia" w:ascii="仿宋_GB2312" w:hAnsi="仿宋_GB2312" w:eastAsia="仿宋_GB2312" w:cs="仿宋_GB2312"/>
          <w:b w:val="0"/>
          <w:bCs w:val="0"/>
          <w:kern w:val="0"/>
          <w:position w:val="0"/>
          <w:sz w:val="32"/>
          <w:szCs w:val="32"/>
          <w:highlight w:val="none"/>
          <w:lang w:val="en-US" w:eastAsia="zh-CN" w:bidi="ar-SA"/>
        </w:rPr>
        <w:t>具体</w:t>
      </w:r>
      <w:r>
        <w:rPr>
          <w:rFonts w:hint="eastAsia" w:ascii="仿宋_GB2312" w:hAnsi="仿宋_GB2312" w:eastAsia="仿宋_GB2312" w:cs="仿宋_GB2312"/>
          <w:b w:val="0"/>
          <w:bCs w:val="0"/>
          <w:kern w:val="0"/>
          <w:position w:val="0"/>
          <w:sz w:val="32"/>
          <w:szCs w:val="32"/>
          <w:highlight w:val="none"/>
          <w:lang w:val="zh-CN" w:eastAsia="zh-CN" w:bidi="ar-SA"/>
        </w:rPr>
        <w:t>内容要求和资金支持方向。</w:t>
      </w:r>
      <w:r>
        <w:rPr>
          <w:rFonts w:eastAsia="仿宋_GB2312"/>
          <w:kern w:val="0"/>
          <w:sz w:val="32"/>
          <w:szCs w:val="32"/>
          <w:lang w:val="zh-CN"/>
        </w:rPr>
        <w:t>并对每项绩效指标进行细化分级，在年末开展相关绩效目标的自评工作，经自评相关绩效指标均</w:t>
      </w:r>
      <w:r>
        <w:rPr>
          <w:rFonts w:hint="eastAsia" w:eastAsia="仿宋_GB2312"/>
          <w:kern w:val="0"/>
          <w:sz w:val="32"/>
          <w:szCs w:val="32"/>
          <w:lang w:val="zh-CN"/>
        </w:rPr>
        <w:t>已</w:t>
      </w:r>
      <w:r>
        <w:rPr>
          <w:rFonts w:eastAsia="仿宋_GB2312"/>
          <w:kern w:val="0"/>
          <w:sz w:val="32"/>
          <w:szCs w:val="32"/>
          <w:lang w:val="zh-CN"/>
        </w:rPr>
        <w:t>达到预期目标</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en-US" w:eastAsia="zh-CN" w:bidi="ar-SA"/>
        </w:rPr>
        <w:t>确保项目顺利</w:t>
      </w:r>
      <w:r>
        <w:rPr>
          <w:rFonts w:hint="eastAsia" w:ascii="仿宋_GB2312" w:hAnsi="仿宋_GB2312" w:eastAsia="仿宋_GB2312" w:cs="仿宋_GB2312"/>
          <w:b w:val="0"/>
          <w:bCs w:val="0"/>
          <w:kern w:val="0"/>
          <w:position w:val="0"/>
          <w:sz w:val="32"/>
          <w:szCs w:val="32"/>
          <w:highlight w:val="none"/>
          <w:lang w:val="zh-CN" w:eastAsia="zh-CN" w:bidi="ar-SA"/>
        </w:rPr>
        <w:t>实施</w:t>
      </w:r>
      <w:r>
        <w:rPr>
          <w:rFonts w:hint="eastAsia" w:ascii="仿宋_GB2312" w:hAnsi="仿宋_GB2312" w:eastAsia="仿宋_GB2312" w:cs="仿宋_GB2312"/>
          <w:b w:val="0"/>
          <w:bCs w:val="0"/>
          <w:kern w:val="0"/>
          <w:position w:val="0"/>
          <w:sz w:val="32"/>
          <w:szCs w:val="32"/>
          <w:highlight w:val="none"/>
          <w:lang w:val="en-US" w:eastAsia="zh-CN" w:bidi="ar-SA"/>
        </w:rPr>
        <w:t>达到年初绩效目标</w:t>
      </w:r>
      <w:r>
        <w:rPr>
          <w:rFonts w:hint="eastAsia" w:ascii="仿宋_GB2312" w:hAnsi="仿宋_GB2312" w:eastAsia="仿宋_GB2312" w:cs="仿宋_GB2312"/>
          <w:b w:val="0"/>
          <w:bCs w:val="0"/>
          <w:kern w:val="0"/>
          <w:position w:val="0"/>
          <w:sz w:val="32"/>
          <w:szCs w:val="32"/>
          <w:highlight w:val="none"/>
          <w:lang w:val="zh-CN" w:eastAsia="zh-CN" w:bidi="ar-SA"/>
        </w:rPr>
        <w:t>。</w:t>
      </w:r>
    </w:p>
    <w:p w14:paraId="54165805">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7B2B36B7">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14:paraId="4B22B787">
      <w:pPr>
        <w:adjustRightInd w:val="0"/>
        <w:snapToGrid w:val="0"/>
        <w:spacing w:line="600" w:lineRule="exact"/>
        <w:ind w:firstLine="720"/>
        <w:rPr>
          <w:rFonts w:eastAsia="仿宋_GB2312"/>
          <w:b/>
          <w:lang w:val="zh-CN"/>
        </w:rPr>
      </w:pPr>
      <w:r>
        <w:rPr>
          <w:rFonts w:hint="eastAsia" w:ascii="仿宋_GB2312" w:hAnsi="仿宋_GB2312" w:eastAsia="仿宋_GB2312" w:cs="仿宋_GB2312"/>
          <w:b w:val="0"/>
          <w:bCs w:val="0"/>
          <w:kern w:val="0"/>
          <w:position w:val="0"/>
          <w:sz w:val="32"/>
          <w:szCs w:val="32"/>
          <w:highlight w:val="none"/>
          <w:lang w:val="zh-CN" w:eastAsia="zh-CN" w:bidi="ar-SA"/>
        </w:rPr>
        <w:t>通过项目绩效自评，对</w:t>
      </w:r>
      <w:r>
        <w:rPr>
          <w:rFonts w:hint="eastAsia" w:ascii="仿宋_GB2312" w:hAnsi="仿宋_GB2312" w:eastAsia="仿宋_GB2312" w:cs="仿宋_GB2312"/>
          <w:b w:val="0"/>
          <w:bCs w:val="0"/>
          <w:kern w:val="0"/>
          <w:position w:val="0"/>
          <w:sz w:val="32"/>
          <w:szCs w:val="32"/>
          <w:highlight w:val="none"/>
          <w:lang w:val="en-US" w:eastAsia="zh-CN" w:bidi="ar-SA"/>
        </w:rPr>
        <w:t>项目实施</w:t>
      </w:r>
      <w:r>
        <w:rPr>
          <w:rFonts w:hint="eastAsia" w:ascii="仿宋_GB2312" w:hAnsi="仿宋_GB2312" w:eastAsia="仿宋_GB2312" w:cs="仿宋_GB2312"/>
          <w:b w:val="0"/>
          <w:bCs w:val="0"/>
          <w:kern w:val="0"/>
          <w:position w:val="0"/>
          <w:sz w:val="32"/>
          <w:szCs w:val="32"/>
          <w:highlight w:val="none"/>
          <w:lang w:val="zh-CN" w:eastAsia="zh-CN" w:bidi="ar-SA"/>
        </w:rPr>
        <w:t>提供一个全面、客观且深入的项目执行效果评估，确保项目目标与实际执行结果的一致性，</w:t>
      </w:r>
      <w:r>
        <w:rPr>
          <w:rFonts w:eastAsia="仿宋_GB2312"/>
          <w:kern w:val="0"/>
          <w:sz w:val="32"/>
          <w:szCs w:val="32"/>
        </w:rPr>
        <w:t>项目的实施是有效落实国家对项目预算评审的管理要求，为财政预算管理提供技术支撑，节约财政资金，有效提高资金使用效率。</w:t>
      </w:r>
    </w:p>
    <w:p w14:paraId="13A5F9E7">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（二）预设问题及评价重点。</w:t>
      </w:r>
    </w:p>
    <w:p w14:paraId="1834339A">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w:t>
      </w:r>
      <w:r>
        <w:rPr>
          <w:rFonts w:hint="eastAsia" w:ascii="仿宋_GB2312" w:hAnsi="仿宋_GB2312" w:eastAsia="仿宋_GB2312" w:cs="仿宋_GB2312"/>
          <w:b w:val="0"/>
          <w:bCs w:val="0"/>
          <w:kern w:val="0"/>
          <w:position w:val="0"/>
          <w:sz w:val="32"/>
          <w:szCs w:val="32"/>
          <w:highlight w:val="none"/>
          <w:lang w:val="en-US" w:eastAsia="zh-CN" w:bidi="ar-SA"/>
        </w:rPr>
        <w:t>项目实施情况、产出指标、</w:t>
      </w:r>
      <w:r>
        <w:rPr>
          <w:rFonts w:hint="eastAsia" w:ascii="仿宋_GB2312" w:hAnsi="仿宋_GB2312" w:eastAsia="仿宋_GB2312" w:cs="仿宋_GB2312"/>
          <w:b w:val="0"/>
          <w:bCs w:val="0"/>
          <w:kern w:val="0"/>
          <w:position w:val="0"/>
          <w:sz w:val="32"/>
          <w:szCs w:val="32"/>
          <w:highlight w:val="none"/>
          <w:lang w:val="zh-CN" w:eastAsia="zh-CN" w:bidi="ar-SA"/>
        </w:rPr>
        <w:t>资金支出</w:t>
      </w:r>
      <w:r>
        <w:rPr>
          <w:rFonts w:hint="eastAsia" w:ascii="仿宋_GB2312" w:hAnsi="仿宋_GB2312" w:eastAsia="仿宋_GB2312" w:cs="仿宋_GB2312"/>
          <w:b w:val="0"/>
          <w:bCs w:val="0"/>
          <w:kern w:val="0"/>
          <w:position w:val="0"/>
          <w:sz w:val="32"/>
          <w:szCs w:val="32"/>
          <w:highlight w:val="none"/>
          <w:lang w:val="en-US" w:eastAsia="zh-CN" w:bidi="ar-SA"/>
        </w:rPr>
        <w:t>等</w:t>
      </w:r>
      <w:r>
        <w:rPr>
          <w:rFonts w:hint="eastAsia" w:ascii="仿宋_GB2312" w:hAnsi="仿宋_GB2312" w:eastAsia="仿宋_GB2312" w:cs="仿宋_GB2312"/>
          <w:b w:val="0"/>
          <w:bCs w:val="0"/>
          <w:kern w:val="0"/>
          <w:position w:val="0"/>
          <w:sz w:val="32"/>
          <w:szCs w:val="32"/>
          <w:highlight w:val="none"/>
          <w:lang w:val="zh-CN" w:eastAsia="zh-CN" w:bidi="ar-SA"/>
        </w:rPr>
        <w:t>全过程及实施效果进行综合评价和判断。</w:t>
      </w:r>
    </w:p>
    <w:p w14:paraId="54BFE352">
      <w:pPr>
        <w:keepNext w:val="0"/>
        <w:keepLines w:val="0"/>
        <w:pageBreakBefore w:val="0"/>
        <w:widowControl w:val="0"/>
        <w:kinsoku/>
        <w:wordWrap/>
        <w:overflowPunct/>
        <w:topLinePunct w:val="0"/>
        <w:autoSpaceDE/>
        <w:autoSpaceDN/>
        <w:bidi w:val="0"/>
        <w:adjustRightInd w:val="0"/>
        <w:snapToGrid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14:paraId="2847148E">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项目绩效评价按照202</w:t>
      </w:r>
      <w:r>
        <w:rPr>
          <w:rFonts w:hint="eastAsia" w:ascii="仿宋_GB2312" w:hAnsi="仿宋_GB2312" w:eastAsia="仿宋_GB2312" w:cs="仿宋_GB2312"/>
          <w:b w:val="0"/>
          <w:bCs w:val="0"/>
          <w:kern w:val="0"/>
          <w:position w:val="0"/>
          <w:sz w:val="32"/>
          <w:szCs w:val="32"/>
          <w:highlight w:val="none"/>
          <w:lang w:val="en-US" w:eastAsia="zh-CN" w:bidi="ar-SA"/>
        </w:rPr>
        <w:t>5</w:t>
      </w:r>
      <w:r>
        <w:rPr>
          <w:rFonts w:hint="eastAsia" w:ascii="仿宋_GB2312" w:hAnsi="仿宋_GB2312" w:eastAsia="仿宋_GB2312" w:cs="仿宋_GB2312"/>
          <w:b w:val="0"/>
          <w:bCs w:val="0"/>
          <w:kern w:val="0"/>
          <w:position w:val="0"/>
          <w:sz w:val="32"/>
          <w:szCs w:val="32"/>
          <w:highlight w:val="none"/>
          <w:lang w:val="zh-CN" w:eastAsia="zh-CN" w:bidi="ar-SA"/>
        </w:rPr>
        <w:t>年绩效指标采取全覆盖方式开展自评。</w:t>
      </w:r>
    </w:p>
    <w:p w14:paraId="233CC579">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p>
    <w:p w14:paraId="19366D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根据项目情况和评价重点，采用</w:t>
      </w:r>
      <w:r>
        <w:rPr>
          <w:rFonts w:hint="eastAsia" w:ascii="仿宋_GB2312" w:hAnsi="仿宋_GB2312" w:eastAsia="仿宋_GB2312" w:cs="仿宋_GB2312"/>
          <w:b w:val="0"/>
          <w:bCs w:val="0"/>
          <w:kern w:val="0"/>
          <w:position w:val="0"/>
          <w:sz w:val="32"/>
          <w:szCs w:val="32"/>
          <w:highlight w:val="none"/>
          <w:lang w:val="en-US" w:eastAsia="zh-CN" w:bidi="ar-SA"/>
        </w:rPr>
        <w:t>单位自评法</w:t>
      </w:r>
      <w:r>
        <w:rPr>
          <w:rFonts w:hint="eastAsia" w:ascii="仿宋_GB2312" w:hAnsi="仿宋_GB2312" w:eastAsia="仿宋_GB2312" w:cs="仿宋_GB2312"/>
          <w:b w:val="0"/>
          <w:bCs w:val="0"/>
          <w:kern w:val="0"/>
          <w:position w:val="0"/>
          <w:sz w:val="32"/>
          <w:szCs w:val="32"/>
          <w:highlight w:val="none"/>
          <w:lang w:val="zh-CN" w:eastAsia="zh-CN" w:bidi="ar-SA"/>
        </w:rPr>
        <w:t>。</w:t>
      </w:r>
    </w:p>
    <w:p w14:paraId="4E948F92">
      <w:pPr>
        <w:keepNext w:val="0"/>
        <w:keepLines w:val="0"/>
        <w:pageBreakBefore w:val="0"/>
        <w:widowControl w:val="0"/>
        <w:kinsoku/>
        <w:wordWrap/>
        <w:overflowPunct/>
        <w:topLinePunct w:val="0"/>
        <w:autoSpaceDE/>
        <w:autoSpaceDN/>
        <w:bidi w:val="0"/>
        <w:spacing w:line="578" w:lineRule="exact"/>
        <w:ind w:firstLine="321" w:firstLineChars="1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14:paraId="605CF4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lang w:eastAsia="zh-CN"/>
        </w:rPr>
      </w:pPr>
      <w:r>
        <w:rPr>
          <w:rFonts w:hint="eastAsia" w:ascii="仿宋_GB2312" w:hAnsi="仿宋_GB2312" w:eastAsia="仿宋_GB2312" w:cs="仿宋_GB2312"/>
          <w:b w:val="0"/>
          <w:bCs w:val="0"/>
          <w:kern w:val="0"/>
          <w:position w:val="0"/>
          <w:sz w:val="32"/>
          <w:szCs w:val="32"/>
          <w:highlight w:val="none"/>
          <w:lang w:val="zh-CN" w:eastAsia="zh-CN" w:bidi="ar-SA"/>
        </w:rPr>
        <w:t>由</w:t>
      </w:r>
      <w:r>
        <w:rPr>
          <w:rFonts w:hint="eastAsia" w:ascii="仿宋_GB2312" w:hAnsi="仿宋_GB2312" w:eastAsia="仿宋_GB2312" w:cs="仿宋_GB2312"/>
          <w:b w:val="0"/>
          <w:bCs w:val="0"/>
          <w:kern w:val="0"/>
          <w:position w:val="0"/>
          <w:sz w:val="32"/>
          <w:szCs w:val="32"/>
          <w:highlight w:val="none"/>
          <w:lang w:val="en-US" w:eastAsia="zh-CN" w:bidi="ar-SA"/>
        </w:rPr>
        <w:t>办公室</w:t>
      </w:r>
      <w:r>
        <w:rPr>
          <w:rFonts w:hint="eastAsia" w:ascii="仿宋_GB2312" w:hAnsi="仿宋_GB2312" w:eastAsia="仿宋_GB2312" w:cs="仿宋_GB2312"/>
          <w:b w:val="0"/>
          <w:bCs w:val="0"/>
          <w:kern w:val="0"/>
          <w:position w:val="0"/>
          <w:sz w:val="32"/>
          <w:szCs w:val="32"/>
          <w:highlight w:val="none"/>
          <w:lang w:val="zh-CN" w:eastAsia="zh-CN" w:bidi="ar-SA"/>
        </w:rPr>
        <w:t>负责，</w:t>
      </w:r>
      <w:r>
        <w:rPr>
          <w:rFonts w:hint="eastAsia" w:ascii="仿宋_GB2312" w:hAnsi="仿宋_GB2312" w:eastAsia="仿宋_GB2312" w:cs="仿宋_GB2312"/>
          <w:b w:val="0"/>
          <w:bCs w:val="0"/>
          <w:kern w:val="0"/>
          <w:position w:val="0"/>
          <w:sz w:val="32"/>
          <w:szCs w:val="32"/>
          <w:highlight w:val="none"/>
          <w:lang w:val="en-US" w:eastAsia="zh-CN" w:bidi="ar-SA"/>
        </w:rPr>
        <w:t>相关部门</w:t>
      </w:r>
      <w:r>
        <w:rPr>
          <w:rFonts w:hint="eastAsia" w:ascii="仿宋_GB2312" w:hAnsi="仿宋_GB2312" w:eastAsia="仿宋_GB2312" w:cs="仿宋_GB2312"/>
          <w:b w:val="0"/>
          <w:bCs w:val="0"/>
          <w:kern w:val="0"/>
          <w:position w:val="0"/>
          <w:sz w:val="32"/>
          <w:szCs w:val="32"/>
          <w:highlight w:val="none"/>
          <w:lang w:val="zh-CN" w:eastAsia="zh-CN" w:bidi="ar-SA"/>
        </w:rPr>
        <w:t>人员</w:t>
      </w:r>
      <w:r>
        <w:rPr>
          <w:rFonts w:hint="eastAsia" w:ascii="仿宋_GB2312" w:hAnsi="仿宋_GB2312" w:eastAsia="仿宋_GB2312" w:cs="仿宋_GB2312"/>
          <w:b w:val="0"/>
          <w:bCs w:val="0"/>
          <w:kern w:val="0"/>
          <w:position w:val="0"/>
          <w:sz w:val="32"/>
          <w:szCs w:val="32"/>
          <w:highlight w:val="none"/>
          <w:lang w:val="en-US" w:eastAsia="zh-CN" w:bidi="ar-SA"/>
        </w:rPr>
        <w:t>成立评价小组成员，主要职责</w:t>
      </w:r>
      <w:r>
        <w:rPr>
          <w:rFonts w:eastAsia="仿宋_GB2312"/>
          <w:kern w:val="0"/>
          <w:sz w:val="32"/>
          <w:szCs w:val="32"/>
          <w:lang w:val="zh-CN"/>
        </w:rPr>
        <w:t>收集相关资料</w:t>
      </w:r>
      <w:r>
        <w:rPr>
          <w:rFonts w:hint="eastAsia" w:eastAsia="仿宋_GB2312"/>
          <w:kern w:val="0"/>
          <w:sz w:val="32"/>
          <w:szCs w:val="32"/>
          <w:lang w:val="zh-CN"/>
        </w:rPr>
        <w:t>，</w:t>
      </w:r>
      <w:r>
        <w:rPr>
          <w:rFonts w:hint="eastAsia" w:ascii="仿宋_GB2312" w:hAnsi="仿宋_GB2312" w:eastAsia="仿宋_GB2312" w:cs="仿宋_GB2312"/>
          <w:b w:val="0"/>
          <w:bCs w:val="0"/>
          <w:kern w:val="0"/>
          <w:position w:val="0"/>
          <w:sz w:val="32"/>
          <w:szCs w:val="32"/>
          <w:highlight w:val="none"/>
          <w:lang w:val="zh-CN" w:eastAsia="zh-CN" w:bidi="ar-SA"/>
        </w:rPr>
        <w:t>进行绩效自评，最终形成绩效自评报告。</w:t>
      </w:r>
    </w:p>
    <w:p w14:paraId="1D679B0A">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6B3D0F00">
      <w:pPr>
        <w:suppressAutoHyphens/>
        <w:spacing w:line="600" w:lineRule="exact"/>
        <w:ind w:firstLine="640"/>
        <w:rPr>
          <w:rFonts w:eastAsia="仿宋_GB2312"/>
          <w:kern w:val="0"/>
          <w:sz w:val="32"/>
          <w:szCs w:val="32"/>
          <w:lang w:val="zh-CN"/>
        </w:rPr>
      </w:pPr>
      <w:r>
        <w:rPr>
          <w:rFonts w:eastAsia="仿宋_GB2312"/>
          <w:kern w:val="0"/>
          <w:sz w:val="32"/>
          <w:szCs w:val="32"/>
          <w:lang w:val="zh-CN"/>
        </w:rPr>
        <w:t>为业务科室安排项目预算资金提供技术支撑，提高资金使用效益，并根据相关规定支付</w:t>
      </w:r>
      <w:r>
        <w:rPr>
          <w:rFonts w:hint="eastAsia" w:eastAsia="仿宋_GB2312"/>
          <w:kern w:val="0"/>
          <w:sz w:val="32"/>
          <w:szCs w:val="32"/>
          <w:lang w:val="en-US" w:eastAsia="zh-CN"/>
        </w:rPr>
        <w:t>项目经费</w:t>
      </w:r>
      <w:r>
        <w:rPr>
          <w:rFonts w:eastAsia="仿宋_GB2312"/>
          <w:kern w:val="0"/>
          <w:sz w:val="32"/>
          <w:szCs w:val="32"/>
          <w:lang w:val="zh-CN"/>
        </w:rPr>
        <w:t>，对</w:t>
      </w:r>
      <w:r>
        <w:rPr>
          <w:rFonts w:hint="eastAsia" w:eastAsia="仿宋_GB2312"/>
          <w:kern w:val="0"/>
          <w:sz w:val="32"/>
          <w:szCs w:val="32"/>
          <w:lang w:val="en-US" w:eastAsia="zh-CN"/>
        </w:rPr>
        <w:t>项目实施</w:t>
      </w:r>
      <w:r>
        <w:rPr>
          <w:rFonts w:eastAsia="仿宋_GB2312"/>
          <w:kern w:val="0"/>
          <w:sz w:val="32"/>
          <w:szCs w:val="32"/>
          <w:lang w:val="zh-CN"/>
        </w:rPr>
        <w:t>绩效指标进行分析评价。</w:t>
      </w:r>
    </w:p>
    <w:p w14:paraId="0A93FBC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1.项目决策。</w:t>
      </w:r>
      <w:r>
        <w:rPr>
          <w:rFonts w:hint="eastAsia" w:ascii="仿宋_GB2312" w:hAnsi="仿宋_GB2312" w:eastAsia="仿宋_GB2312" w:cs="仿宋_GB2312"/>
          <w:b w:val="0"/>
          <w:bCs w:val="0"/>
          <w:kern w:val="0"/>
          <w:position w:val="0"/>
          <w:sz w:val="32"/>
          <w:szCs w:val="32"/>
          <w:highlight w:val="none"/>
          <w:lang w:val="en-US" w:eastAsia="zh-CN" w:bidi="ar-SA"/>
        </w:rPr>
        <w:t>项目决策程序严密，项目设立符合资金管理规定的基本规范和决策程序要求。</w:t>
      </w:r>
    </w:p>
    <w:p w14:paraId="31CEA2BD">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2.项目管理。</w:t>
      </w:r>
      <w:r>
        <w:rPr>
          <w:rFonts w:hint="eastAsia" w:ascii="仿宋_GB2312" w:hAnsi="仿宋_GB2312" w:eastAsia="仿宋_GB2312" w:cs="仿宋_GB2312"/>
          <w:b w:val="0"/>
          <w:bCs w:val="0"/>
          <w:kern w:val="0"/>
          <w:position w:val="0"/>
          <w:sz w:val="32"/>
          <w:szCs w:val="32"/>
          <w:highlight w:val="none"/>
          <w:lang w:val="en-US" w:eastAsia="zh-CN" w:bidi="ar-SA"/>
        </w:rPr>
        <w:t>资金管理办法等管理制度体系健全完善。</w:t>
      </w:r>
    </w:p>
    <w:p w14:paraId="4835AF82">
      <w:pPr>
        <w:autoSpaceDE w:val="0"/>
        <w:autoSpaceDN w:val="0"/>
        <w:adjustRightInd w:val="0"/>
        <w:spacing w:line="600" w:lineRule="exact"/>
        <w:ind w:firstLine="640" w:firstLineChars="200"/>
        <w:jc w:val="left"/>
        <w:rPr>
          <w:rFonts w:hint="default" w:ascii="仿宋_GB2312" w:eastAsia="仿宋_GB2312" w:cs="Times New Roman"/>
          <w:sz w:val="32"/>
          <w:szCs w:val="32"/>
          <w:lang w:val="en-US" w:eastAsia="zh-CN"/>
        </w:rPr>
      </w:pPr>
      <w:r>
        <w:rPr>
          <w:rFonts w:hint="eastAsia" w:ascii="楷体_GB2312" w:hAnsi="楷体_GB2312" w:eastAsia="楷体_GB2312" w:cs="楷体_GB2312"/>
          <w:color w:val="auto"/>
          <w:sz w:val="32"/>
          <w:szCs w:val="32"/>
          <w:lang w:val="en-US" w:eastAsia="zh-CN"/>
        </w:rPr>
        <w:t>3.项目实施。</w:t>
      </w:r>
      <w:r>
        <w:rPr>
          <w:rFonts w:hint="eastAsia" w:ascii="仿宋_GB2312" w:eastAsia="仿宋_GB2312" w:cs="Times New Roman"/>
          <w:sz w:val="32"/>
          <w:szCs w:val="32"/>
          <w:lang w:val="en-US" w:eastAsia="zh-CN"/>
        </w:rPr>
        <w:t>2025年，为做好全区重大传染病宣传工作，区财政结转重大传染病防控资金2万元给我单位。因2025年该项目未实施资金未支付。</w:t>
      </w:r>
    </w:p>
    <w:p w14:paraId="79CC800C">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 w:eastAsia="仿宋_GB2312" w:cs="Times New Roman"/>
          <w:kern w:val="2"/>
          <w:sz w:val="32"/>
          <w:szCs w:val="32"/>
          <w:lang w:val="en-US" w:eastAsia="zh-CN" w:bidi="ar-SA"/>
        </w:rPr>
      </w:pPr>
      <w:r>
        <w:rPr>
          <w:rFonts w:hint="eastAsia" w:ascii="楷体_GB2312" w:hAnsi="楷体_GB2312" w:eastAsia="楷体_GB2312" w:cs="楷体_GB2312"/>
          <w:color w:val="auto"/>
          <w:sz w:val="32"/>
          <w:szCs w:val="32"/>
          <w:lang w:val="en-US" w:eastAsia="zh-CN"/>
        </w:rPr>
        <w:t>4.项目结果。</w:t>
      </w:r>
      <w:r>
        <w:rPr>
          <w:rFonts w:hint="eastAsia" w:ascii="仿宋_GB2312" w:hAnsi="仿宋" w:eastAsia="仿宋_GB2312" w:cs="Times New Roman"/>
          <w:kern w:val="2"/>
          <w:sz w:val="32"/>
          <w:szCs w:val="32"/>
          <w:lang w:val="en-US" w:eastAsia="zh-CN" w:bidi="ar-SA"/>
        </w:rPr>
        <w:t>融媒体中心预计对</w:t>
      </w:r>
      <w:r>
        <w:rPr>
          <w:rFonts w:hint="eastAsia" w:ascii="仿宋_GB2312" w:eastAsia="仿宋_GB2312" w:cs="Times New Roman"/>
          <w:sz w:val="32"/>
          <w:szCs w:val="32"/>
          <w:lang w:val="en-US" w:eastAsia="zh-CN"/>
        </w:rPr>
        <w:t>重大传染病防控工作</w:t>
      </w:r>
      <w:r>
        <w:rPr>
          <w:rFonts w:hint="eastAsia" w:ascii="仿宋_GB2312" w:hAnsi="仿宋" w:eastAsia="仿宋_GB2312" w:cs="Times New Roman"/>
          <w:kern w:val="2"/>
          <w:sz w:val="32"/>
          <w:szCs w:val="32"/>
          <w:lang w:val="en-US" w:eastAsia="zh-CN" w:bidi="ar-SA"/>
        </w:rPr>
        <w:t>一系列宣传报道</w:t>
      </w:r>
      <w:r>
        <w:rPr>
          <w:rFonts w:hint="eastAsia" w:ascii="仿宋_GB2312" w:eastAsia="仿宋_GB2312" w:cs="Times New Roman"/>
          <w:sz w:val="32"/>
          <w:szCs w:val="32"/>
          <w:lang w:val="en-US" w:eastAsia="zh-CN"/>
        </w:rPr>
        <w:t>宣传5次，提升全民健康素养、消除恐慌情绪、推动全社会共同参与，最终形成“早发现、早报告、早隔离、早治疗”的群防群控格局</w:t>
      </w:r>
      <w:r>
        <w:rPr>
          <w:rFonts w:hint="eastAsia" w:ascii="仿宋_GB2312" w:hAnsi="仿宋" w:eastAsia="仿宋_GB2312" w:cs="Times New Roman"/>
          <w:kern w:val="2"/>
          <w:sz w:val="32"/>
          <w:szCs w:val="32"/>
          <w:lang w:val="en-US" w:eastAsia="zh-CN" w:bidi="ar-SA"/>
        </w:rPr>
        <w:t>。</w:t>
      </w:r>
    </w:p>
    <w:p w14:paraId="694BD069">
      <w:pPr>
        <w:tabs>
          <w:tab w:val="left" w:pos="2160"/>
        </w:tabs>
        <w:suppressAutoHyphens/>
        <w:spacing w:line="600" w:lineRule="exact"/>
        <w:ind w:firstLine="315" w:firstLineChars="98"/>
        <w:rPr>
          <w:rFonts w:eastAsia="黑体"/>
          <w:b/>
          <w:sz w:val="32"/>
          <w:szCs w:val="32"/>
        </w:rPr>
      </w:pPr>
      <w:r>
        <w:rPr>
          <w:rFonts w:eastAsia="黑体"/>
          <w:b/>
          <w:sz w:val="32"/>
          <w:szCs w:val="32"/>
        </w:rPr>
        <w:t xml:space="preserve">  四、评价结论</w:t>
      </w:r>
    </w:p>
    <w:p w14:paraId="0A25C20C">
      <w:pPr>
        <w:pStyle w:val="3"/>
        <w:spacing w:line="576" w:lineRule="exact"/>
        <w:ind w:firstLine="640" w:firstLineChars="200"/>
        <w:rPr>
          <w:rFonts w:ascii="仿宋_GB2312" w:hAnsi="Times New Roman" w:eastAsia="仿宋_GB2312"/>
          <w:color w:val="000000"/>
          <w:kern w:val="0"/>
          <w:sz w:val="32"/>
          <w:szCs w:val="32"/>
        </w:rPr>
      </w:pPr>
      <w:r>
        <w:rPr>
          <w:rFonts w:hint="eastAsia" w:ascii="仿宋_GB2312" w:hAnsi="Times New Roman" w:eastAsia="仿宋_GB2312"/>
          <w:color w:val="000000"/>
          <w:kern w:val="0"/>
          <w:sz w:val="32"/>
          <w:szCs w:val="32"/>
        </w:rPr>
        <w:t>从总体来看，</w:t>
      </w:r>
      <w:r>
        <w:rPr>
          <w:rFonts w:hint="eastAsia" w:ascii="仿宋_GB2312" w:hAnsi="仿宋" w:eastAsia="仿宋_GB2312" w:cs="Times New Roman"/>
          <w:kern w:val="2"/>
          <w:sz w:val="32"/>
          <w:szCs w:val="32"/>
          <w:lang w:val="en-US" w:eastAsia="zh-CN" w:bidi="ar-SA"/>
        </w:rPr>
        <w:t>融媒体创重大传染病宣传</w:t>
      </w:r>
      <w:r>
        <w:rPr>
          <w:rFonts w:hint="eastAsia" w:ascii="Times New Roman" w:hAnsi="Times New Roman" w:eastAsia="仿宋_GB2312"/>
          <w:kern w:val="0"/>
          <w:sz w:val="32"/>
          <w:szCs w:val="32"/>
        </w:rPr>
        <w:t>项目</w:t>
      </w:r>
      <w:r>
        <w:rPr>
          <w:rFonts w:hint="eastAsia" w:ascii="仿宋_GB2312" w:hAnsi="黑体" w:eastAsia="仿宋_GB2312" w:cs="黑体"/>
          <w:color w:val="000000"/>
          <w:sz w:val="32"/>
          <w:szCs w:val="32"/>
        </w:rPr>
        <w:t>支出</w:t>
      </w:r>
      <w:r>
        <w:rPr>
          <w:rFonts w:hint="eastAsia" w:ascii="仿宋_GB2312" w:hAnsi="Times New Roman" w:eastAsia="仿宋_GB2312"/>
          <w:color w:val="000000"/>
          <w:kern w:val="0"/>
          <w:sz w:val="32"/>
          <w:szCs w:val="32"/>
        </w:rPr>
        <w:t>决策合理、工作保障到位、工作措施有力，项目在推进中与工作目标相符。</w:t>
      </w:r>
      <w:bookmarkStart w:id="63" w:name="_GoBack"/>
      <w:r>
        <w:rPr>
          <w:rFonts w:hint="eastAsia" w:ascii="仿宋_GB2312" w:hAnsi="Times New Roman" w:eastAsia="仿宋_GB2312"/>
          <w:color w:val="000000"/>
          <w:kern w:val="0"/>
          <w:sz w:val="32"/>
          <w:szCs w:val="32"/>
          <w:lang w:val="en-US" w:eastAsia="zh-CN"/>
        </w:rPr>
        <w:t>根据</w:t>
      </w:r>
      <w:r>
        <w:rPr>
          <w:rFonts w:hint="eastAsia" w:ascii="仿宋_GB2312" w:hAnsi="Times New Roman" w:eastAsia="仿宋_GB2312"/>
          <w:color w:val="000000"/>
          <w:kern w:val="0"/>
          <w:sz w:val="32"/>
          <w:szCs w:val="32"/>
        </w:rPr>
        <w:t>对</w:t>
      </w:r>
      <w:bookmarkEnd w:id="63"/>
      <w:r>
        <w:rPr>
          <w:rFonts w:hint="eastAsia" w:ascii="仿宋_GB2312" w:hAnsi="Times New Roman" w:eastAsia="仿宋_GB2312"/>
          <w:color w:val="000000"/>
          <w:kern w:val="0"/>
          <w:sz w:val="32"/>
          <w:szCs w:val="32"/>
        </w:rPr>
        <w:t>项目决策、项</w:t>
      </w:r>
      <w:r>
        <w:rPr>
          <w:rFonts w:ascii="Times New Roman" w:hAnsi="Times New Roman" w:eastAsia="仿宋_GB2312"/>
          <w:color w:val="000000"/>
          <w:kern w:val="0"/>
          <w:sz w:val="32"/>
          <w:szCs w:val="32"/>
        </w:rPr>
        <w:t>目管理、项目绩效</w:t>
      </w:r>
      <w:r>
        <w:rPr>
          <w:rFonts w:hint="eastAsia" w:ascii="Times New Roman" w:hAnsi="Times New Roman" w:eastAsia="仿宋_GB2312"/>
          <w:color w:val="000000"/>
          <w:kern w:val="0"/>
          <w:sz w:val="32"/>
          <w:szCs w:val="32"/>
        </w:rPr>
        <w:t>等</w:t>
      </w:r>
      <w:r>
        <w:rPr>
          <w:rFonts w:ascii="Times New Roman" w:hAnsi="Times New Roman" w:eastAsia="仿宋_GB2312"/>
          <w:color w:val="000000"/>
          <w:kern w:val="0"/>
          <w:sz w:val="32"/>
          <w:szCs w:val="32"/>
        </w:rPr>
        <w:t>方面对项目进行总体评价</w:t>
      </w:r>
      <w:r>
        <w:rPr>
          <w:rFonts w:hint="eastAsia" w:ascii="Times New Roman" w:hAnsi="Times New Roman" w:eastAsia="仿宋_GB2312"/>
          <w:color w:val="000000"/>
          <w:kern w:val="0"/>
          <w:sz w:val="32"/>
          <w:szCs w:val="32"/>
        </w:rPr>
        <w:t>，我单位对该项目年度预算支出绩效评价</w:t>
      </w:r>
      <w:r>
        <w:rPr>
          <w:rFonts w:hint="eastAsia" w:ascii="Times New Roman" w:hAnsi="Times New Roman" w:eastAsia="仿宋_GB2312"/>
          <w:color w:val="000000"/>
          <w:kern w:val="0"/>
          <w:sz w:val="32"/>
          <w:szCs w:val="32"/>
          <w:lang w:val="en-US" w:eastAsia="zh-CN"/>
        </w:rPr>
        <w:t>良好</w:t>
      </w:r>
      <w:r>
        <w:rPr>
          <w:rFonts w:hint="eastAsia" w:ascii="Times New Roman" w:hAnsi="Times New Roman" w:eastAsia="仿宋_GB2312"/>
          <w:color w:val="000000"/>
          <w:kern w:val="0"/>
          <w:sz w:val="32"/>
          <w:szCs w:val="32"/>
        </w:rPr>
        <w:t>。</w:t>
      </w:r>
    </w:p>
    <w:p w14:paraId="356D9725">
      <w:pPr>
        <w:tabs>
          <w:tab w:val="left" w:pos="2160"/>
        </w:tabs>
        <w:suppressAutoHyphens/>
        <w:spacing w:line="600" w:lineRule="exact"/>
        <w:rPr>
          <w:rFonts w:eastAsia="黑体"/>
          <w:b/>
          <w:sz w:val="32"/>
          <w:szCs w:val="32"/>
        </w:rPr>
      </w:pPr>
      <w:r>
        <w:rPr>
          <w:rFonts w:eastAsia="黑体"/>
          <w:b/>
          <w:sz w:val="32"/>
          <w:szCs w:val="32"/>
        </w:rPr>
        <w:t xml:space="preserve"> </w:t>
      </w:r>
      <w:r>
        <w:rPr>
          <w:rFonts w:hint="eastAsia" w:eastAsia="黑体"/>
          <w:b/>
          <w:sz w:val="32"/>
          <w:szCs w:val="32"/>
          <w:lang w:val="en-US" w:eastAsia="zh-CN"/>
        </w:rPr>
        <w:t xml:space="preserve">  </w:t>
      </w:r>
      <w:r>
        <w:rPr>
          <w:rFonts w:eastAsia="黑体"/>
          <w:b/>
          <w:sz w:val="32"/>
          <w:szCs w:val="32"/>
        </w:rPr>
        <w:t>五、存在主要问题</w:t>
      </w:r>
    </w:p>
    <w:p w14:paraId="1AFB11D6">
      <w:pPr>
        <w:tabs>
          <w:tab w:val="left" w:pos="2160"/>
        </w:tabs>
        <w:suppressAutoHyphens/>
        <w:spacing w:line="600" w:lineRule="exact"/>
        <w:ind w:firstLine="660" w:firstLineChars="200"/>
        <w:rPr>
          <w:rFonts w:hint="default" w:ascii="Times New Roman" w:hAnsi="Times New Roman" w:eastAsia="方正仿宋_GBK" w:cs="Times New Roman"/>
          <w:b w:val="0"/>
          <w:bCs w:val="0"/>
          <w:color w:val="auto"/>
          <w:kern w:val="2"/>
          <w:sz w:val="33"/>
          <w:szCs w:val="33"/>
          <w:lang w:val="en-US" w:eastAsia="zh-CN" w:bidi="ar-SA"/>
        </w:rPr>
      </w:pPr>
      <w:r>
        <w:rPr>
          <w:rFonts w:hint="eastAsia" w:ascii="Times New Roman" w:hAnsi="Times New Roman" w:eastAsia="方正仿宋_GBK" w:cs="Times New Roman"/>
          <w:b w:val="0"/>
          <w:bCs w:val="0"/>
          <w:color w:val="auto"/>
          <w:kern w:val="2"/>
          <w:sz w:val="33"/>
          <w:szCs w:val="33"/>
          <w:lang w:val="en-US" w:eastAsia="zh-CN" w:bidi="ar-SA"/>
        </w:rPr>
        <w:t>项目未按时实施，资金支付不到位。</w:t>
      </w:r>
    </w:p>
    <w:p w14:paraId="6EEC7411">
      <w:pPr>
        <w:tabs>
          <w:tab w:val="left" w:pos="2160"/>
        </w:tabs>
        <w:suppressAutoHyphens/>
        <w:spacing w:line="600" w:lineRule="exact"/>
        <w:ind w:firstLine="643" w:firstLineChars="200"/>
        <w:rPr>
          <w:rFonts w:eastAsia="黑体"/>
          <w:b/>
          <w:kern w:val="0"/>
          <w:position w:val="3"/>
          <w:sz w:val="32"/>
          <w:szCs w:val="32"/>
          <w:lang w:val="zh-CN"/>
        </w:rPr>
      </w:pPr>
      <w:r>
        <w:rPr>
          <w:rFonts w:eastAsia="黑体"/>
          <w:b/>
          <w:kern w:val="0"/>
          <w:position w:val="3"/>
          <w:sz w:val="32"/>
          <w:szCs w:val="32"/>
          <w:lang w:val="zh-CN"/>
        </w:rPr>
        <w:t>六、改进建议</w:t>
      </w:r>
    </w:p>
    <w:p w14:paraId="0DAB887F">
      <w:pPr>
        <w:widowControl/>
        <w:numPr>
          <w:ilvl w:val="0"/>
          <w:numId w:val="0"/>
        </w:numPr>
        <w:adjustRightInd w:val="0"/>
        <w:snapToGrid w:val="0"/>
        <w:spacing w:line="580" w:lineRule="exact"/>
        <w:ind w:firstLine="640" w:firstLineChars="200"/>
        <w:contextualSpacing/>
        <w:jc w:val="left"/>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2026年，我单位将积极实施该项目，并协调区财政按照项目实施进度支付项目经费，确保项目顺利完成。</w:t>
      </w:r>
    </w:p>
    <w:p w14:paraId="4448DE50">
      <w:pPr>
        <w:keepNext w:val="0"/>
        <w:keepLines w:val="0"/>
        <w:pageBreakBefore w:val="0"/>
        <w:kinsoku/>
        <w:wordWrap/>
        <w:overflowPunct/>
        <w:topLinePunct w:val="0"/>
        <w:autoSpaceDE w:val="0"/>
        <w:autoSpaceDN w:val="0"/>
        <w:bidi w:val="0"/>
        <w:adjustRightInd w:val="0"/>
        <w:snapToGrid/>
        <w:spacing w:line="560" w:lineRule="exact"/>
        <w:ind w:firstLine="640" w:firstLineChars="200"/>
        <w:jc w:val="left"/>
        <w:textAlignment w:val="auto"/>
        <w:rPr>
          <w:rFonts w:hint="default" w:ascii="仿宋_GB2312" w:hAnsi="仿宋_GB2312" w:eastAsia="仿宋_GB2312" w:cs="仿宋_GB2312"/>
          <w:i w:val="0"/>
          <w:iCs w:val="0"/>
          <w:caps w:val="0"/>
          <w:color w:val="333333"/>
          <w:spacing w:val="0"/>
          <w:kern w:val="2"/>
          <w:sz w:val="32"/>
          <w:szCs w:val="32"/>
          <w:shd w:val="clear" w:color="auto" w:fill="FFFFFF"/>
          <w:lang w:val="en-US" w:eastAsia="zh-CN" w:bidi="ar-SA"/>
        </w:rPr>
      </w:pPr>
    </w:p>
    <w:p w14:paraId="30A76BC1">
      <w:pPr>
        <w:spacing w:line="560" w:lineRule="exact"/>
        <w:ind w:firstLine="640" w:firstLineChars="200"/>
        <w:rPr>
          <w:rFonts w:hint="eastAsia" w:ascii="方正仿宋_GBK" w:hAnsi="方正仿宋_GBK" w:eastAsia="方正仿宋_GBK" w:cs="方正仿宋_GBK"/>
          <w:color w:val="000000"/>
          <w:kern w:val="0"/>
          <w:sz w:val="32"/>
          <w:szCs w:val="32"/>
          <w:lang w:val="en-US" w:eastAsia="zh-CN" w:bidi="ar"/>
        </w:rPr>
      </w:pPr>
    </w:p>
    <w:p w14:paraId="5547C2C6">
      <w:pPr>
        <w:pStyle w:val="3"/>
        <w:rPr>
          <w:rFonts w:hint="eastAsia" w:ascii="黑体" w:hAnsi="黑体" w:eastAsia="黑体" w:cs="黑体"/>
          <w:color w:val="auto"/>
          <w:kern w:val="0"/>
          <w:sz w:val="32"/>
          <w:szCs w:val="32"/>
          <w:highlight w:val="none"/>
          <w:shd w:val="clear" w:color="auto" w:fill="FFFFFF"/>
          <w:lang w:val="en-US" w:eastAsia="zh-CN"/>
        </w:rPr>
      </w:pPr>
      <w:r>
        <w:rPr>
          <w:rFonts w:hint="eastAsia" w:ascii="黑体" w:hAnsi="黑体" w:eastAsia="黑体" w:cs="仿宋_GB2312"/>
          <w:sz w:val="32"/>
          <w:szCs w:val="32"/>
          <w:lang w:val="en-US" w:eastAsia="zh-CN"/>
        </w:rPr>
        <w:t xml:space="preserve">  </w:t>
      </w:r>
      <w:r>
        <w:rPr>
          <w:rFonts w:hint="eastAsia" w:ascii="仿宋_GB2312" w:hAnsi="Times New Roman" w:eastAsia="仿宋_GB2312" w:cs="Times New Roman"/>
          <w:color w:val="000000"/>
          <w:kern w:val="0"/>
          <w:sz w:val="32"/>
          <w:szCs w:val="32"/>
          <w:lang w:val="en-US" w:eastAsia="zh-CN"/>
        </w:rPr>
        <w:t xml:space="preserve">                    </w:t>
      </w:r>
    </w:p>
    <w:p w14:paraId="4352885F">
      <w:pPr>
        <w:pStyle w:val="3"/>
        <w:rPr>
          <w:rFonts w:hint="eastAsia" w:ascii="黑体" w:hAnsi="黑体" w:eastAsia="黑体" w:cs="黑体"/>
          <w:color w:val="auto"/>
          <w:kern w:val="0"/>
          <w:sz w:val="32"/>
          <w:szCs w:val="32"/>
          <w:highlight w:val="none"/>
          <w:shd w:val="clear" w:color="auto" w:fill="FFFFFF"/>
          <w:lang w:val="en-US" w:eastAsia="zh-CN"/>
        </w:rPr>
      </w:pPr>
    </w:p>
    <w:p w14:paraId="49D372B5">
      <w:pPr>
        <w:pStyle w:val="3"/>
        <w:rPr>
          <w:rFonts w:hint="eastAsia" w:ascii="黑体" w:hAnsi="黑体" w:eastAsia="黑体" w:cs="黑体"/>
          <w:color w:val="auto"/>
          <w:kern w:val="0"/>
          <w:sz w:val="32"/>
          <w:szCs w:val="32"/>
          <w:highlight w:val="none"/>
          <w:shd w:val="clear" w:color="auto" w:fill="FFFFFF"/>
          <w:lang w:val="en-US" w:eastAsia="zh-CN"/>
        </w:rPr>
      </w:pPr>
    </w:p>
    <w:p w14:paraId="4B734B5E">
      <w:pPr>
        <w:pStyle w:val="3"/>
        <w:rPr>
          <w:rFonts w:hint="eastAsia" w:ascii="黑体" w:hAnsi="黑体" w:eastAsia="黑体" w:cs="黑体"/>
          <w:color w:val="auto"/>
          <w:kern w:val="0"/>
          <w:sz w:val="32"/>
          <w:szCs w:val="32"/>
          <w:highlight w:val="none"/>
          <w:shd w:val="clear" w:color="auto" w:fill="FFFFFF"/>
          <w:lang w:val="en-US" w:eastAsia="zh-CN"/>
        </w:rPr>
      </w:pPr>
    </w:p>
    <w:p w14:paraId="75D33537">
      <w:pPr>
        <w:pStyle w:val="3"/>
        <w:rPr>
          <w:rFonts w:hint="eastAsia" w:ascii="黑体" w:hAnsi="黑体" w:eastAsia="黑体" w:cs="黑体"/>
          <w:color w:val="auto"/>
          <w:kern w:val="0"/>
          <w:sz w:val="32"/>
          <w:szCs w:val="32"/>
          <w:highlight w:val="none"/>
          <w:shd w:val="clear" w:color="auto" w:fill="FFFFFF"/>
          <w:lang w:val="en-US" w:eastAsia="zh-CN"/>
        </w:rPr>
      </w:pPr>
    </w:p>
    <w:p w14:paraId="644A350D">
      <w:pPr>
        <w:pStyle w:val="3"/>
        <w:rPr>
          <w:rFonts w:hint="eastAsia" w:ascii="黑体" w:hAnsi="黑体" w:eastAsia="黑体" w:cs="黑体"/>
          <w:color w:val="auto"/>
          <w:kern w:val="0"/>
          <w:sz w:val="32"/>
          <w:szCs w:val="32"/>
          <w:highlight w:val="none"/>
          <w:shd w:val="clear" w:color="auto" w:fill="FFFFFF"/>
          <w:lang w:val="en-US" w:eastAsia="zh-CN"/>
        </w:rPr>
      </w:pPr>
    </w:p>
    <w:p w14:paraId="464545C2">
      <w:pPr>
        <w:pStyle w:val="3"/>
        <w:rPr>
          <w:rFonts w:hint="eastAsia" w:ascii="黑体" w:hAnsi="黑体" w:eastAsia="黑体" w:cs="黑体"/>
          <w:color w:val="auto"/>
          <w:kern w:val="0"/>
          <w:sz w:val="32"/>
          <w:szCs w:val="32"/>
          <w:highlight w:val="none"/>
          <w:shd w:val="clear" w:color="auto" w:fill="FFFFFF"/>
          <w:lang w:val="en-US" w:eastAsia="zh-CN"/>
        </w:rPr>
      </w:pPr>
    </w:p>
    <w:p w14:paraId="06C68B5A">
      <w:pPr>
        <w:pStyle w:val="3"/>
        <w:rPr>
          <w:rFonts w:hint="eastAsia" w:ascii="黑体" w:hAnsi="黑体" w:eastAsia="黑体" w:cs="黑体"/>
          <w:color w:val="auto"/>
          <w:kern w:val="0"/>
          <w:sz w:val="32"/>
          <w:szCs w:val="32"/>
          <w:highlight w:val="none"/>
          <w:shd w:val="clear" w:color="auto" w:fill="FFFFFF"/>
          <w:lang w:val="en-US" w:eastAsia="zh-CN"/>
        </w:rPr>
      </w:pPr>
    </w:p>
    <w:p w14:paraId="23F95605">
      <w:pPr>
        <w:pStyle w:val="3"/>
        <w:rPr>
          <w:rFonts w:hint="eastAsia" w:ascii="黑体" w:hAnsi="黑体" w:eastAsia="黑体" w:cs="黑体"/>
          <w:color w:val="auto"/>
          <w:kern w:val="0"/>
          <w:sz w:val="32"/>
          <w:szCs w:val="32"/>
          <w:highlight w:val="none"/>
          <w:shd w:val="clear" w:color="auto" w:fill="FFFFFF"/>
          <w:lang w:val="en-US" w:eastAsia="zh-CN"/>
        </w:rPr>
      </w:pPr>
    </w:p>
    <w:p w14:paraId="7F267265">
      <w:pPr>
        <w:pStyle w:val="3"/>
        <w:rPr>
          <w:rFonts w:hint="eastAsia" w:ascii="黑体" w:hAnsi="黑体" w:eastAsia="黑体" w:cs="黑体"/>
          <w:color w:val="auto"/>
          <w:kern w:val="0"/>
          <w:sz w:val="32"/>
          <w:szCs w:val="32"/>
          <w:highlight w:val="none"/>
          <w:shd w:val="clear" w:color="auto" w:fill="FFFFFF"/>
          <w:lang w:val="en-US" w:eastAsia="zh-CN"/>
        </w:rPr>
      </w:pPr>
    </w:p>
    <w:p w14:paraId="205B8678">
      <w:pPr>
        <w:pStyle w:val="3"/>
        <w:rPr>
          <w:rFonts w:hint="eastAsia" w:ascii="黑体" w:hAnsi="黑体" w:eastAsia="黑体" w:cs="黑体"/>
          <w:color w:val="auto"/>
          <w:kern w:val="0"/>
          <w:sz w:val="32"/>
          <w:szCs w:val="32"/>
          <w:highlight w:val="none"/>
          <w:shd w:val="clear" w:color="auto" w:fill="FFFFFF"/>
          <w:lang w:val="en-US" w:eastAsia="zh-CN"/>
        </w:rPr>
      </w:pPr>
    </w:p>
    <w:p w14:paraId="7531F3EB">
      <w:pPr>
        <w:pStyle w:val="3"/>
        <w:rPr>
          <w:rFonts w:hint="eastAsia" w:ascii="黑体" w:hAnsi="黑体" w:eastAsia="黑体" w:cs="黑体"/>
          <w:color w:val="auto"/>
          <w:kern w:val="0"/>
          <w:sz w:val="32"/>
          <w:szCs w:val="32"/>
          <w:highlight w:val="none"/>
          <w:shd w:val="clear" w:color="auto" w:fill="FFFFFF"/>
          <w:lang w:val="en-US" w:eastAsia="zh-CN"/>
        </w:rPr>
      </w:pPr>
    </w:p>
    <w:p w14:paraId="5F837F55">
      <w:pPr>
        <w:pStyle w:val="3"/>
        <w:rPr>
          <w:rFonts w:hint="eastAsia" w:ascii="黑体" w:hAnsi="黑体" w:eastAsia="黑体" w:cs="黑体"/>
          <w:color w:val="auto"/>
          <w:kern w:val="0"/>
          <w:sz w:val="32"/>
          <w:szCs w:val="32"/>
          <w:highlight w:val="none"/>
          <w:shd w:val="clear" w:color="auto" w:fill="FFFFFF"/>
          <w:lang w:val="en-US" w:eastAsia="zh-CN"/>
        </w:rPr>
      </w:pPr>
    </w:p>
    <w:p w14:paraId="0AE08B14">
      <w:pPr>
        <w:pStyle w:val="3"/>
        <w:rPr>
          <w:rFonts w:hint="eastAsia" w:ascii="黑体" w:hAnsi="黑体" w:eastAsia="黑体" w:cs="黑体"/>
          <w:color w:val="auto"/>
          <w:kern w:val="0"/>
          <w:sz w:val="32"/>
          <w:szCs w:val="32"/>
          <w:highlight w:val="none"/>
          <w:shd w:val="clear" w:color="auto" w:fill="FFFFFF"/>
          <w:lang w:val="en-US" w:eastAsia="zh-CN"/>
        </w:rPr>
      </w:pPr>
    </w:p>
    <w:p w14:paraId="3A294AC6">
      <w:pPr>
        <w:pStyle w:val="3"/>
        <w:rPr>
          <w:rFonts w:hint="eastAsia" w:ascii="黑体" w:hAnsi="黑体" w:eastAsia="黑体" w:cs="黑体"/>
          <w:color w:val="auto"/>
          <w:kern w:val="0"/>
          <w:sz w:val="32"/>
          <w:szCs w:val="32"/>
          <w:highlight w:val="none"/>
          <w:shd w:val="clear" w:color="auto" w:fill="FFFFFF"/>
          <w:lang w:val="en-US" w:eastAsia="zh-CN"/>
        </w:rPr>
      </w:pPr>
    </w:p>
    <w:p w14:paraId="4CE82313">
      <w:pPr>
        <w:pStyle w:val="3"/>
        <w:rPr>
          <w:rFonts w:hint="eastAsia" w:ascii="黑体" w:hAnsi="黑体" w:eastAsia="黑体" w:cs="黑体"/>
          <w:color w:val="auto"/>
          <w:kern w:val="0"/>
          <w:sz w:val="32"/>
          <w:szCs w:val="32"/>
          <w:highlight w:val="none"/>
          <w:shd w:val="clear" w:color="auto" w:fill="FFFFFF"/>
          <w:lang w:val="en-US" w:eastAsia="zh-CN"/>
        </w:rPr>
      </w:pPr>
    </w:p>
    <w:p w14:paraId="562CDB61">
      <w:pPr>
        <w:widowControl/>
        <w:jc w:val="center"/>
        <w:rPr>
          <w:rFonts w:eastAsia="仿宋"/>
          <w:highlight w:val="none"/>
        </w:rPr>
      </w:pPr>
      <w:bookmarkStart w:id="49" w:name="_Toc15396618"/>
      <w:r>
        <w:rPr>
          <w:rFonts w:hint="eastAsia" w:eastAsia="黑体"/>
          <w:sz w:val="44"/>
          <w:szCs w:val="44"/>
          <w:highlight w:val="none"/>
        </w:rPr>
        <w:t>第</w:t>
      </w:r>
      <w:r>
        <w:rPr>
          <w:rStyle w:val="30"/>
          <w:rFonts w:hint="eastAsia" w:eastAsia="黑体"/>
          <w:b w:val="0"/>
          <w:highlight w:val="none"/>
        </w:rPr>
        <w:t>五部分 附表</w:t>
      </w:r>
      <w:bookmarkEnd w:id="47"/>
      <w:bookmarkEnd w:id="49"/>
      <w:bookmarkStart w:id="50" w:name="_Toc15396619"/>
    </w:p>
    <w:p w14:paraId="1175B42B">
      <w:pPr>
        <w:pStyle w:val="15"/>
        <w:adjustRightInd w:val="0"/>
        <w:snapToGrid w:val="0"/>
        <w:spacing w:line="560" w:lineRule="exact"/>
        <w:jc w:val="left"/>
        <w:rPr>
          <w:rFonts w:eastAsia="仿宋_GB2312" w:cs="仿宋_GB2312"/>
          <w:sz w:val="32"/>
          <w:szCs w:val="32"/>
          <w:highlight w:val="none"/>
        </w:rPr>
      </w:pPr>
    </w:p>
    <w:p w14:paraId="4AE12728">
      <w:pPr>
        <w:pStyle w:val="15"/>
        <w:adjustRightInd w:val="0"/>
        <w:snapToGrid w:val="0"/>
        <w:spacing w:line="560" w:lineRule="exact"/>
        <w:jc w:val="left"/>
        <w:rPr>
          <w:rFonts w:eastAsia="仿宋_GB2312" w:cs="仿宋_GB2312"/>
          <w:sz w:val="32"/>
          <w:szCs w:val="32"/>
          <w:highlight w:val="none"/>
        </w:rPr>
      </w:pPr>
      <w:r>
        <w:rPr>
          <w:rFonts w:hint="eastAsia" w:eastAsia="仿宋_GB2312" w:cs="仿宋_GB2312"/>
          <w:sz w:val="32"/>
          <w:szCs w:val="32"/>
          <w:highlight w:val="none"/>
        </w:rPr>
        <w:t>一、收入支出决算总表</w:t>
      </w:r>
      <w:bookmarkEnd w:id="50"/>
    </w:p>
    <w:p w14:paraId="13B7C898">
      <w:pPr>
        <w:pStyle w:val="15"/>
        <w:adjustRightInd w:val="0"/>
        <w:snapToGrid w:val="0"/>
        <w:spacing w:line="560" w:lineRule="exact"/>
        <w:jc w:val="left"/>
        <w:rPr>
          <w:rFonts w:eastAsia="仿宋_GB2312" w:cs="仿宋_GB2312"/>
          <w:sz w:val="32"/>
          <w:szCs w:val="32"/>
          <w:highlight w:val="none"/>
        </w:rPr>
      </w:pPr>
      <w:bookmarkStart w:id="51" w:name="_Toc15396620"/>
      <w:r>
        <w:rPr>
          <w:rFonts w:hint="eastAsia" w:eastAsia="仿宋_GB2312" w:cs="仿宋_GB2312"/>
          <w:sz w:val="32"/>
          <w:szCs w:val="32"/>
          <w:highlight w:val="none"/>
        </w:rPr>
        <w:t>二、收入决算表</w:t>
      </w:r>
      <w:bookmarkEnd w:id="51"/>
    </w:p>
    <w:p w14:paraId="75E44C41">
      <w:pPr>
        <w:pStyle w:val="15"/>
        <w:adjustRightInd w:val="0"/>
        <w:snapToGrid w:val="0"/>
        <w:spacing w:line="560" w:lineRule="exact"/>
        <w:jc w:val="left"/>
        <w:rPr>
          <w:rFonts w:eastAsia="仿宋_GB2312" w:cs="仿宋_GB2312"/>
          <w:sz w:val="32"/>
          <w:szCs w:val="32"/>
          <w:highlight w:val="none"/>
        </w:rPr>
      </w:pPr>
      <w:bookmarkStart w:id="52" w:name="_Toc15396621"/>
      <w:r>
        <w:rPr>
          <w:rFonts w:hint="eastAsia" w:eastAsia="仿宋_GB2312" w:cs="仿宋_GB2312"/>
          <w:sz w:val="32"/>
          <w:szCs w:val="32"/>
          <w:highlight w:val="none"/>
        </w:rPr>
        <w:t>三、支出决算表</w:t>
      </w:r>
      <w:bookmarkEnd w:id="52"/>
    </w:p>
    <w:p w14:paraId="7CCE1D18">
      <w:pPr>
        <w:pStyle w:val="15"/>
        <w:adjustRightInd w:val="0"/>
        <w:snapToGrid w:val="0"/>
        <w:spacing w:line="560" w:lineRule="exact"/>
        <w:jc w:val="left"/>
        <w:rPr>
          <w:rFonts w:eastAsia="仿宋_GB2312" w:cs="仿宋_GB2312"/>
          <w:sz w:val="32"/>
          <w:szCs w:val="32"/>
          <w:highlight w:val="none"/>
        </w:rPr>
      </w:pPr>
      <w:bookmarkStart w:id="53" w:name="_Toc15396622"/>
      <w:r>
        <w:rPr>
          <w:rFonts w:hint="eastAsia" w:eastAsia="仿宋_GB2312" w:cs="仿宋_GB2312"/>
          <w:sz w:val="32"/>
          <w:szCs w:val="32"/>
          <w:highlight w:val="none"/>
        </w:rPr>
        <w:t>四、财政拨款收入支出决算总表</w:t>
      </w:r>
      <w:bookmarkEnd w:id="53"/>
    </w:p>
    <w:p w14:paraId="39F9CE4C">
      <w:pPr>
        <w:pStyle w:val="15"/>
        <w:adjustRightInd w:val="0"/>
        <w:snapToGrid w:val="0"/>
        <w:spacing w:line="560" w:lineRule="exact"/>
        <w:jc w:val="left"/>
        <w:rPr>
          <w:rFonts w:eastAsia="仿宋_GB2312" w:cs="仿宋_GB2312"/>
          <w:sz w:val="32"/>
          <w:szCs w:val="32"/>
          <w:highlight w:val="none"/>
        </w:rPr>
      </w:pPr>
      <w:bookmarkStart w:id="54" w:name="_Toc15396623"/>
      <w:r>
        <w:rPr>
          <w:rFonts w:hint="eastAsia" w:eastAsia="仿宋_GB2312" w:cs="仿宋_GB2312"/>
          <w:sz w:val="32"/>
          <w:szCs w:val="32"/>
          <w:highlight w:val="none"/>
        </w:rPr>
        <w:t>五、财政拨款支出决算明细表</w:t>
      </w:r>
      <w:bookmarkEnd w:id="54"/>
      <w:bookmarkStart w:id="55" w:name="_Toc15396624"/>
    </w:p>
    <w:p w14:paraId="2CC30478">
      <w:pPr>
        <w:pStyle w:val="15"/>
        <w:adjustRightInd w:val="0"/>
        <w:snapToGrid w:val="0"/>
        <w:spacing w:line="560" w:lineRule="exact"/>
        <w:jc w:val="left"/>
        <w:rPr>
          <w:rFonts w:eastAsia="仿宋_GB2312" w:cs="仿宋_GB2312"/>
          <w:sz w:val="32"/>
          <w:szCs w:val="32"/>
          <w:highlight w:val="none"/>
        </w:rPr>
      </w:pPr>
      <w:r>
        <w:rPr>
          <w:rFonts w:hint="eastAsia" w:eastAsia="仿宋_GB2312" w:cs="仿宋_GB2312"/>
          <w:sz w:val="32"/>
          <w:szCs w:val="32"/>
          <w:highlight w:val="none"/>
        </w:rPr>
        <w:t>六、一般公共预算财政拨款支出决算表</w:t>
      </w:r>
      <w:bookmarkEnd w:id="55"/>
    </w:p>
    <w:p w14:paraId="1AC5D6B2">
      <w:pPr>
        <w:pStyle w:val="15"/>
        <w:adjustRightInd w:val="0"/>
        <w:snapToGrid w:val="0"/>
        <w:spacing w:line="560" w:lineRule="exact"/>
        <w:jc w:val="left"/>
        <w:rPr>
          <w:rFonts w:eastAsia="仿宋_GB2312" w:cs="仿宋_GB2312"/>
          <w:sz w:val="32"/>
          <w:szCs w:val="32"/>
          <w:highlight w:val="none"/>
        </w:rPr>
      </w:pPr>
      <w:bookmarkStart w:id="56" w:name="_Toc15396625"/>
      <w:r>
        <w:rPr>
          <w:rFonts w:hint="eastAsia" w:eastAsia="仿宋_GB2312" w:cs="仿宋_GB2312"/>
          <w:sz w:val="32"/>
          <w:szCs w:val="32"/>
          <w:highlight w:val="none"/>
        </w:rPr>
        <w:t>七、一般公共预算财政拨款支出决算明细表</w:t>
      </w:r>
      <w:bookmarkEnd w:id="56"/>
    </w:p>
    <w:p w14:paraId="105AA6BA">
      <w:pPr>
        <w:pStyle w:val="15"/>
        <w:adjustRightInd w:val="0"/>
        <w:snapToGrid w:val="0"/>
        <w:spacing w:line="560" w:lineRule="exact"/>
        <w:jc w:val="left"/>
        <w:rPr>
          <w:rFonts w:eastAsia="仿宋_GB2312" w:cs="仿宋_GB2312"/>
          <w:sz w:val="32"/>
          <w:szCs w:val="32"/>
          <w:highlight w:val="none"/>
        </w:rPr>
      </w:pPr>
      <w:bookmarkStart w:id="57" w:name="_Toc15396626"/>
      <w:r>
        <w:rPr>
          <w:rFonts w:hint="eastAsia" w:eastAsia="仿宋_GB2312" w:cs="仿宋_GB2312"/>
          <w:sz w:val="32"/>
          <w:szCs w:val="32"/>
          <w:highlight w:val="none"/>
        </w:rPr>
        <w:t>八、一般公共预算财政拨款基本支出决算表</w:t>
      </w:r>
      <w:bookmarkEnd w:id="57"/>
    </w:p>
    <w:p w14:paraId="370E41F8">
      <w:pPr>
        <w:pStyle w:val="15"/>
        <w:adjustRightInd w:val="0"/>
        <w:snapToGrid w:val="0"/>
        <w:spacing w:line="560" w:lineRule="exact"/>
        <w:jc w:val="left"/>
        <w:rPr>
          <w:rFonts w:eastAsia="仿宋_GB2312" w:cs="仿宋_GB2312"/>
          <w:sz w:val="32"/>
          <w:szCs w:val="32"/>
          <w:highlight w:val="none"/>
        </w:rPr>
      </w:pPr>
      <w:bookmarkStart w:id="58" w:name="_Toc15396627"/>
      <w:r>
        <w:rPr>
          <w:rFonts w:hint="eastAsia" w:eastAsia="仿宋_GB2312" w:cs="仿宋_GB2312"/>
          <w:sz w:val="32"/>
          <w:szCs w:val="32"/>
          <w:highlight w:val="none"/>
        </w:rPr>
        <w:t>九、一般公共预算财政拨款项目支出决算表</w:t>
      </w:r>
      <w:bookmarkEnd w:id="58"/>
    </w:p>
    <w:p w14:paraId="5DCF4117">
      <w:pPr>
        <w:pStyle w:val="15"/>
        <w:adjustRightInd w:val="0"/>
        <w:snapToGrid w:val="0"/>
        <w:spacing w:line="560" w:lineRule="exact"/>
        <w:jc w:val="left"/>
        <w:rPr>
          <w:rFonts w:eastAsia="仿宋_GB2312" w:cs="仿宋_GB2312"/>
          <w:sz w:val="32"/>
          <w:szCs w:val="32"/>
          <w:highlight w:val="none"/>
        </w:rPr>
      </w:pPr>
      <w:bookmarkStart w:id="59" w:name="_Toc15396628"/>
      <w:r>
        <w:rPr>
          <w:rFonts w:hint="eastAsia" w:eastAsia="仿宋_GB2312" w:cs="仿宋_GB2312"/>
          <w:sz w:val="32"/>
          <w:szCs w:val="32"/>
          <w:highlight w:val="none"/>
        </w:rPr>
        <w:t>十、</w:t>
      </w:r>
      <w:bookmarkEnd w:id="59"/>
      <w:r>
        <w:rPr>
          <w:rFonts w:hint="eastAsia" w:eastAsia="仿宋_GB2312" w:cs="仿宋_GB2312"/>
          <w:sz w:val="32"/>
          <w:szCs w:val="32"/>
          <w:highlight w:val="none"/>
        </w:rPr>
        <w:t>政府性基金预算财政拨款收入支出决算表</w:t>
      </w:r>
    </w:p>
    <w:p w14:paraId="0E70CF4B">
      <w:pPr>
        <w:pStyle w:val="15"/>
        <w:adjustRightInd w:val="0"/>
        <w:snapToGrid w:val="0"/>
        <w:spacing w:line="560" w:lineRule="exact"/>
        <w:jc w:val="left"/>
        <w:rPr>
          <w:rFonts w:eastAsia="仿宋_GB2312" w:cs="仿宋_GB2312"/>
          <w:sz w:val="32"/>
          <w:szCs w:val="32"/>
          <w:highlight w:val="none"/>
        </w:rPr>
      </w:pPr>
      <w:bookmarkStart w:id="60" w:name="_Toc15396629"/>
      <w:r>
        <w:rPr>
          <w:rFonts w:hint="eastAsia" w:eastAsia="仿宋_GB2312" w:cs="仿宋_GB2312"/>
          <w:sz w:val="32"/>
          <w:szCs w:val="32"/>
          <w:highlight w:val="none"/>
        </w:rPr>
        <w:t>十一、</w:t>
      </w:r>
      <w:bookmarkEnd w:id="60"/>
      <w:r>
        <w:rPr>
          <w:rFonts w:hint="eastAsia" w:eastAsia="仿宋_GB2312" w:cs="仿宋_GB2312"/>
          <w:sz w:val="32"/>
          <w:szCs w:val="32"/>
          <w:highlight w:val="none"/>
        </w:rPr>
        <w:t>国有资本经营预算财政拨款收入支出决算表</w:t>
      </w:r>
    </w:p>
    <w:p w14:paraId="71F61978">
      <w:pPr>
        <w:pStyle w:val="15"/>
        <w:adjustRightInd w:val="0"/>
        <w:snapToGrid w:val="0"/>
        <w:spacing w:line="560" w:lineRule="exact"/>
        <w:jc w:val="left"/>
        <w:rPr>
          <w:rFonts w:eastAsia="仿宋_GB2312" w:cs="仿宋_GB2312"/>
          <w:sz w:val="32"/>
          <w:szCs w:val="32"/>
          <w:highlight w:val="none"/>
        </w:rPr>
      </w:pPr>
      <w:bookmarkStart w:id="61" w:name="_Toc15396630"/>
      <w:r>
        <w:rPr>
          <w:rFonts w:hint="eastAsia" w:eastAsia="仿宋_GB2312" w:cs="仿宋_GB2312"/>
          <w:sz w:val="32"/>
          <w:szCs w:val="32"/>
          <w:highlight w:val="none"/>
        </w:rPr>
        <w:t>十二、</w:t>
      </w:r>
      <w:bookmarkEnd w:id="61"/>
      <w:r>
        <w:rPr>
          <w:rFonts w:hint="eastAsia" w:eastAsia="仿宋_GB2312" w:cs="仿宋_GB2312"/>
          <w:sz w:val="32"/>
          <w:szCs w:val="32"/>
          <w:highlight w:val="none"/>
        </w:rPr>
        <w:t>国有资本经营预算财政拨款支出决算表</w:t>
      </w:r>
    </w:p>
    <w:p w14:paraId="779B1A13">
      <w:pPr>
        <w:pStyle w:val="15"/>
        <w:adjustRightInd w:val="0"/>
        <w:snapToGrid w:val="0"/>
        <w:spacing w:line="560" w:lineRule="exact"/>
        <w:jc w:val="left"/>
        <w:rPr>
          <w:rFonts w:eastAsia="仿宋_GB2312" w:cs="仿宋_GB2312"/>
          <w:sz w:val="32"/>
          <w:szCs w:val="32"/>
          <w:highlight w:val="none"/>
        </w:rPr>
      </w:pPr>
      <w:bookmarkStart w:id="62" w:name="_Toc15396631"/>
      <w:r>
        <w:rPr>
          <w:rFonts w:hint="eastAsia" w:eastAsia="仿宋_GB2312" w:cs="仿宋_GB2312"/>
          <w:sz w:val="32"/>
          <w:szCs w:val="32"/>
          <w:highlight w:val="none"/>
        </w:rPr>
        <w:t>十三、</w:t>
      </w:r>
      <w:bookmarkEnd w:id="62"/>
      <w:r>
        <w:rPr>
          <w:rFonts w:hint="eastAsia" w:eastAsia="仿宋_GB2312" w:cs="仿宋_GB2312"/>
          <w:sz w:val="32"/>
          <w:szCs w:val="32"/>
          <w:highlight w:val="none"/>
        </w:rPr>
        <w:t>财政拨款“三公”经费支出决算表</w:t>
      </w:r>
    </w:p>
    <w:p w14:paraId="16AE246C">
      <w:pPr>
        <w:rPr>
          <w:highlight w:val="none"/>
        </w:rPr>
      </w:pPr>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2183E">
    <w:pPr>
      <w:pStyle w:val="10"/>
      <w:jc w:val="center"/>
    </w:pPr>
  </w:p>
  <w:p w14:paraId="6A2B831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9416C">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12FB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5912FB1">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A1DCDC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D64E">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5C469">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185C469">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E04E7">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DC2D9D"/>
    <w:multiLevelType w:val="singleLevel"/>
    <w:tmpl w:val="57DC2D9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1346"/>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A87AC5"/>
    <w:rsid w:val="04EE6171"/>
    <w:rsid w:val="061E35DE"/>
    <w:rsid w:val="064E4ABC"/>
    <w:rsid w:val="066E0107"/>
    <w:rsid w:val="07996F6E"/>
    <w:rsid w:val="07DFD8BA"/>
    <w:rsid w:val="08DB07E4"/>
    <w:rsid w:val="09867E8F"/>
    <w:rsid w:val="09D307BC"/>
    <w:rsid w:val="09DE4A06"/>
    <w:rsid w:val="0A2032A3"/>
    <w:rsid w:val="0AB319EF"/>
    <w:rsid w:val="0AC61847"/>
    <w:rsid w:val="0BF422BF"/>
    <w:rsid w:val="0C061FF2"/>
    <w:rsid w:val="0C6C4794"/>
    <w:rsid w:val="0CA8290A"/>
    <w:rsid w:val="0CB8153E"/>
    <w:rsid w:val="0D35B1ED"/>
    <w:rsid w:val="0DE07E2B"/>
    <w:rsid w:val="0E6D6359"/>
    <w:rsid w:val="0F98263C"/>
    <w:rsid w:val="101860EC"/>
    <w:rsid w:val="10C055FF"/>
    <w:rsid w:val="11772AA4"/>
    <w:rsid w:val="118107EC"/>
    <w:rsid w:val="13D50BC4"/>
    <w:rsid w:val="14022904"/>
    <w:rsid w:val="14891A12"/>
    <w:rsid w:val="152F2A07"/>
    <w:rsid w:val="161D0664"/>
    <w:rsid w:val="164E7A57"/>
    <w:rsid w:val="1656256A"/>
    <w:rsid w:val="165E0673"/>
    <w:rsid w:val="16BB723D"/>
    <w:rsid w:val="186504BB"/>
    <w:rsid w:val="1938089F"/>
    <w:rsid w:val="19A445FC"/>
    <w:rsid w:val="1B7D550C"/>
    <w:rsid w:val="1BE8440E"/>
    <w:rsid w:val="1D155CEE"/>
    <w:rsid w:val="1E740ACF"/>
    <w:rsid w:val="1FF35744"/>
    <w:rsid w:val="1FF6BC77"/>
    <w:rsid w:val="2096173F"/>
    <w:rsid w:val="21962A9E"/>
    <w:rsid w:val="21AE7C77"/>
    <w:rsid w:val="22BC3C41"/>
    <w:rsid w:val="22D134A5"/>
    <w:rsid w:val="23860B96"/>
    <w:rsid w:val="240371BF"/>
    <w:rsid w:val="260F557C"/>
    <w:rsid w:val="2749405A"/>
    <w:rsid w:val="281408E2"/>
    <w:rsid w:val="29803A39"/>
    <w:rsid w:val="29FD04D3"/>
    <w:rsid w:val="2B1240B8"/>
    <w:rsid w:val="2BFF7BC6"/>
    <w:rsid w:val="2C8A61B5"/>
    <w:rsid w:val="2D2E01CF"/>
    <w:rsid w:val="2D5E35E4"/>
    <w:rsid w:val="2DF04E50"/>
    <w:rsid w:val="2E332844"/>
    <w:rsid w:val="2E9545B0"/>
    <w:rsid w:val="2F040D46"/>
    <w:rsid w:val="2FAE5751"/>
    <w:rsid w:val="2FB1A395"/>
    <w:rsid w:val="2FD9A7D8"/>
    <w:rsid w:val="31886E82"/>
    <w:rsid w:val="319F7F4E"/>
    <w:rsid w:val="321B2544"/>
    <w:rsid w:val="32FA56E8"/>
    <w:rsid w:val="3304709D"/>
    <w:rsid w:val="33615BDC"/>
    <w:rsid w:val="33E505BB"/>
    <w:rsid w:val="34281836"/>
    <w:rsid w:val="349D6851"/>
    <w:rsid w:val="35BA6CAF"/>
    <w:rsid w:val="364D14C1"/>
    <w:rsid w:val="36AA5135"/>
    <w:rsid w:val="36BE0DA7"/>
    <w:rsid w:val="371116C7"/>
    <w:rsid w:val="376B6AA6"/>
    <w:rsid w:val="376D39B2"/>
    <w:rsid w:val="37C30C14"/>
    <w:rsid w:val="37E16F03"/>
    <w:rsid w:val="37F53A3B"/>
    <w:rsid w:val="389B6C89"/>
    <w:rsid w:val="38D469F0"/>
    <w:rsid w:val="39627CCD"/>
    <w:rsid w:val="397BAF1F"/>
    <w:rsid w:val="3AB79AF3"/>
    <w:rsid w:val="3B675D5A"/>
    <w:rsid w:val="3B7EF35A"/>
    <w:rsid w:val="3B9FDB6C"/>
    <w:rsid w:val="3BF5BC2F"/>
    <w:rsid w:val="3CE70296"/>
    <w:rsid w:val="3CEBA265"/>
    <w:rsid w:val="3D98207C"/>
    <w:rsid w:val="3D9B0D99"/>
    <w:rsid w:val="3DEE7CF3"/>
    <w:rsid w:val="3DF02244"/>
    <w:rsid w:val="3E78745D"/>
    <w:rsid w:val="3FF4CAE0"/>
    <w:rsid w:val="3FF7B227"/>
    <w:rsid w:val="40E54C45"/>
    <w:rsid w:val="41DB7BB7"/>
    <w:rsid w:val="421728B5"/>
    <w:rsid w:val="42895A25"/>
    <w:rsid w:val="43A407DF"/>
    <w:rsid w:val="44515BEA"/>
    <w:rsid w:val="44E268DA"/>
    <w:rsid w:val="453F7E5B"/>
    <w:rsid w:val="486A6C7A"/>
    <w:rsid w:val="49176D9B"/>
    <w:rsid w:val="4929117C"/>
    <w:rsid w:val="4A627F82"/>
    <w:rsid w:val="4B0E749A"/>
    <w:rsid w:val="4B361F18"/>
    <w:rsid w:val="4B4F25DA"/>
    <w:rsid w:val="4BDA0CFB"/>
    <w:rsid w:val="4BE068DB"/>
    <w:rsid w:val="4D3C0CCC"/>
    <w:rsid w:val="4D577224"/>
    <w:rsid w:val="4DBF1CEB"/>
    <w:rsid w:val="4E465CA3"/>
    <w:rsid w:val="4EAB630A"/>
    <w:rsid w:val="4ECE2238"/>
    <w:rsid w:val="4F833267"/>
    <w:rsid w:val="4FE9BD67"/>
    <w:rsid w:val="4FFB052F"/>
    <w:rsid w:val="53083A92"/>
    <w:rsid w:val="537E6D0A"/>
    <w:rsid w:val="53AF27A2"/>
    <w:rsid w:val="53F74C96"/>
    <w:rsid w:val="54A11E85"/>
    <w:rsid w:val="56BA425B"/>
    <w:rsid w:val="56E47B74"/>
    <w:rsid w:val="57BD3DD4"/>
    <w:rsid w:val="5975517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F17CF0"/>
    <w:rsid w:val="62BF3928"/>
    <w:rsid w:val="647F5392"/>
    <w:rsid w:val="664B1D71"/>
    <w:rsid w:val="67526A77"/>
    <w:rsid w:val="67AA3209"/>
    <w:rsid w:val="681C4F0D"/>
    <w:rsid w:val="68264053"/>
    <w:rsid w:val="69046D0F"/>
    <w:rsid w:val="698D0931"/>
    <w:rsid w:val="6A993CED"/>
    <w:rsid w:val="6B053271"/>
    <w:rsid w:val="6BAC3191"/>
    <w:rsid w:val="6BC45D6D"/>
    <w:rsid w:val="6BCE6674"/>
    <w:rsid w:val="6C386DA3"/>
    <w:rsid w:val="6C4A05C8"/>
    <w:rsid w:val="6C8742B8"/>
    <w:rsid w:val="6C8A170F"/>
    <w:rsid w:val="6CB54609"/>
    <w:rsid w:val="6D301BA0"/>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A373B3"/>
    <w:rsid w:val="75DEEEC2"/>
    <w:rsid w:val="76E3355F"/>
    <w:rsid w:val="76FF5125"/>
    <w:rsid w:val="776F6FFA"/>
    <w:rsid w:val="778769C8"/>
    <w:rsid w:val="77DC22F5"/>
    <w:rsid w:val="78AC47D1"/>
    <w:rsid w:val="78BA6E21"/>
    <w:rsid w:val="79086DAD"/>
    <w:rsid w:val="797177C8"/>
    <w:rsid w:val="79974F09"/>
    <w:rsid w:val="79D7FD79"/>
    <w:rsid w:val="79EE5BA4"/>
    <w:rsid w:val="7A894339"/>
    <w:rsid w:val="7AD4000F"/>
    <w:rsid w:val="7AE04C06"/>
    <w:rsid w:val="7AFF7572"/>
    <w:rsid w:val="7B2210EB"/>
    <w:rsid w:val="7B6C7DFB"/>
    <w:rsid w:val="7BBFBED0"/>
    <w:rsid w:val="7BC3E394"/>
    <w:rsid w:val="7C1F3737"/>
    <w:rsid w:val="7CBFC87B"/>
    <w:rsid w:val="7CFE0F48"/>
    <w:rsid w:val="7D7EC23E"/>
    <w:rsid w:val="7D9121E7"/>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99"/>
    <w:pPr>
      <w:spacing w:beforeLines="30"/>
    </w:pPr>
    <w:rPr>
      <w:rFonts w:ascii="仿宋_GB2312" w:eastAsia="仿宋_GB2312"/>
      <w:kern w:val="0"/>
      <w:sz w:val="30"/>
    </w:rPr>
  </w:style>
  <w:style w:type="paragraph" w:styleId="3">
    <w:name w:val="Plain Text"/>
    <w:basedOn w:val="1"/>
    <w:unhideWhenUsed/>
    <w:qFormat/>
    <w:uiPriority w:val="0"/>
    <w:pPr>
      <w:ind w:firstLine="200" w:firstLineChars="200"/>
    </w:pPr>
    <w:rPr>
      <w:rFonts w:hint="eastAsia" w:ascii="宋体"/>
      <w:sz w:val="20"/>
      <w:szCs w:val="2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link w:val="37"/>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0"/>
    <w:pPr>
      <w:spacing w:before="100" w:beforeAutospacing="1" w:after="100" w:afterAutospacing="1"/>
    </w:pPr>
    <w:rPr>
      <w:rFonts w:hint="eastAsia"/>
      <w:sz w:val="24"/>
      <w:szCs w:val="24"/>
      <w:lang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1"/>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next w:val="10"/>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8"/>
    <w:link w:val="14"/>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40335621"/>
          <c:y val="0.0369654531190981"/>
        </c:manualLayout>
      </c:layout>
      <c:overlay val="0"/>
      <c:spPr>
        <a:noFill/>
        <a:ln w="25400">
          <a:noFill/>
        </a:ln>
      </c:spPr>
    </c:title>
    <c:autoTitleDeleted val="0"/>
    <c:plotArea>
      <c:layout>
        <c:manualLayout>
          <c:layoutTarget val="inner"/>
          <c:xMode val="edge"/>
          <c:yMode val="edge"/>
          <c:x val="0.146550356937371"/>
          <c:y val="0.292027683234774"/>
          <c:w val="0.825098584948758"/>
          <c:h val="0.569269154660191"/>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532.72</c:v>
                </c:pt>
                <c:pt idx="1">
                  <c:v>532.72</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499.34</c:v>
                </c:pt>
                <c:pt idx="1">
                  <c:v>499.34</c:v>
                </c:pt>
              </c:numCache>
            </c:numRef>
          </c:val>
        </c:ser>
        <c:dLbls>
          <c:showLegendKey val="0"/>
          <c:showVal val="1"/>
          <c:showCatName val="0"/>
          <c:showSerName val="0"/>
          <c:showPercent val="0"/>
          <c:showBubbleSize val="0"/>
        </c:dLbls>
        <c:gapWidth val="150"/>
        <c:axId val="126588800"/>
        <c:axId val="126590336"/>
      </c:barChart>
      <c:catAx>
        <c:axId val="12658880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26590336"/>
        <c:crosses val="autoZero"/>
        <c:auto val="1"/>
        <c:lblAlgn val="ctr"/>
        <c:lblOffset val="100"/>
        <c:tickLblSkip val="1"/>
        <c:noMultiLvlLbl val="0"/>
      </c:catAx>
      <c:valAx>
        <c:axId val="126590336"/>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26588800"/>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821827995"/>
          <c:y val="0.147862199881842"/>
          <c:w val="0.166625768164522"/>
          <c:h val="0.070234670850645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0c363f05-7ddc-490d-beaf-e84b458a9479}"/>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1218971849"/>
          <c:y val="0.0595263092113487"/>
        </c:manualLayout>
      </c:layout>
      <c:overlay val="0"/>
      <c:spPr>
        <a:noFill/>
        <a:ln w="25400">
          <a:noFill/>
        </a:ln>
      </c:spPr>
    </c:title>
    <c:autoTitleDeleted val="0"/>
    <c:plotArea>
      <c:layout>
        <c:manualLayout>
          <c:layoutTarget val="inner"/>
          <c:xMode val="edge"/>
          <c:yMode val="edge"/>
          <c:x val="0.468045698446221"/>
          <c:y val="0.214295091412221"/>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0471240471240471"/>
                  <c:y val="-0.07936507936507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4760914760915"/>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490.57</c:v>
                </c:pt>
                <c:pt idx="1">
                  <c:v>8.78</c:v>
                </c:pt>
                <c:pt idx="2">
                  <c:v>0</c:v>
                </c:pt>
                <c:pt idx="3">
                  <c:v>0</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012481215315861"/>
          <c:y val="0.420653251676874"/>
          <c:w val="0.307869977791238"/>
          <c:h val="0.25794775653043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e86541e6-8c96-43e4-a6eb-070b68d22179}"/>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7443946188"/>
        </c:manualLayout>
      </c:layout>
      <c:overlay val="0"/>
      <c:spPr>
        <a:noFill/>
        <a:ln w="25400">
          <a:noFill/>
        </a:ln>
      </c:spPr>
    </c:title>
    <c:autoTitleDeleted val="0"/>
    <c:plotArea>
      <c:layout>
        <c:manualLayout>
          <c:layoutTarget val="inner"/>
          <c:xMode val="edge"/>
          <c:yMode val="edge"/>
          <c:x val="0.41014799154334"/>
          <c:y val="0.322870662115205"/>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Sheet1!$N$4:$O$4</c:f>
              <c:strCache>
                <c:ptCount val="2"/>
                <c:pt idx="0">
                  <c:v>基本支出</c:v>
                </c:pt>
                <c:pt idx="1">
                  <c:v>项目支出</c:v>
                </c:pt>
              </c:strCache>
            </c:strRef>
          </c:cat>
          <c:val>
            <c:numRef>
              <c:f>Sheet1!$N$5:$O$5</c:f>
              <c:numCache>
                <c:formatCode>General</c:formatCode>
                <c:ptCount val="2"/>
                <c:pt idx="0">
                  <c:v>351.11</c:v>
                </c:pt>
                <c:pt idx="1">
                  <c:v>148.23</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b"/>
      <c:layout>
        <c:manualLayout>
          <c:xMode val="edge"/>
          <c:yMode val="edge"/>
          <c:x val="0.389006342494715"/>
          <c:y val="0.88789425985429"/>
          <c:w val="0.221987315010571"/>
          <c:h val="0.08071748878923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9a276b60-2cd4-4a96-a309-afe161166cee}"/>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445311066"/>
          <c:y val="0.0401623291064521"/>
        </c:manualLayout>
      </c:layout>
      <c:overlay val="0"/>
      <c:spPr>
        <a:noFill/>
        <a:ln w="25400">
          <a:noFill/>
        </a:ln>
      </c:spPr>
    </c:title>
    <c:autoTitleDeleted val="0"/>
    <c:plotArea>
      <c:layout>
        <c:manualLayout>
          <c:layoutTarget val="inner"/>
          <c:xMode val="edge"/>
          <c:yMode val="edge"/>
          <c:x val="0.122937884830234"/>
          <c:y val="0.31326688513917"/>
          <c:w val="0.851108433440086"/>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532.72</c:v>
                </c:pt>
                <c:pt idx="1">
                  <c:v>532.72</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499.34</c:v>
                </c:pt>
                <c:pt idx="1">
                  <c:v>499.34</c:v>
                </c:pt>
              </c:numCache>
            </c:numRef>
          </c:val>
        </c:ser>
        <c:dLbls>
          <c:showLegendKey val="0"/>
          <c:showVal val="1"/>
          <c:showCatName val="0"/>
          <c:showSerName val="0"/>
          <c:showPercent val="0"/>
          <c:showBubbleSize val="0"/>
        </c:dLbls>
        <c:gapWidth val="150"/>
        <c:axId val="133711744"/>
        <c:axId val="133713280"/>
      </c:barChart>
      <c:catAx>
        <c:axId val="133711744"/>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13280"/>
        <c:crosses val="autoZero"/>
        <c:auto val="1"/>
        <c:lblAlgn val="ctr"/>
        <c:lblOffset val="100"/>
        <c:tickLblSkip val="1"/>
        <c:noMultiLvlLbl val="0"/>
      </c:catAx>
      <c:valAx>
        <c:axId val="133713280"/>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11744"/>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72119932"/>
          <c:y val="0.15663325216878"/>
          <c:w val="0.141851361207448"/>
          <c:h val="0.076308593955876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781aca7-283f-4b78-9114-399a6f9efea0}"/>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87846758"/>
          <c:y val="0.0403242739818814"/>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532.72</c:v>
                </c:pt>
                <c:pt idx="1">
                  <c:v>490.57</c:v>
                </c:pt>
              </c:numCache>
            </c:numRef>
          </c:val>
        </c:ser>
        <c:dLbls>
          <c:showLegendKey val="0"/>
          <c:showVal val="1"/>
          <c:showCatName val="0"/>
          <c:showSerName val="0"/>
          <c:showPercent val="0"/>
          <c:showBubbleSize val="0"/>
        </c:dLbls>
        <c:gapWidth val="150"/>
        <c:axId val="133746048"/>
        <c:axId val="133756032"/>
      </c:barChart>
      <c:catAx>
        <c:axId val="133746048"/>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56032"/>
        <c:crosses val="autoZero"/>
        <c:auto val="1"/>
        <c:lblAlgn val="ctr"/>
        <c:lblOffset val="100"/>
        <c:tickLblSkip val="1"/>
        <c:noMultiLvlLbl val="0"/>
      </c:catAx>
      <c:valAx>
        <c:axId val="133756032"/>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46048"/>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079430548"/>
          <c:y val="0.895201083735501"/>
          <c:w val="0.453663292088489"/>
          <c:h val="0.076616289899246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5a6dc126-b736-4173-99aa-2328955ac2c9}"/>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155484558040469"/>
          <c:y val="0.00388726919339164"/>
        </c:manualLayout>
      </c:layout>
      <c:overlay val="0"/>
    </c:title>
    <c:autoTitleDeleted val="0"/>
    <c:plotArea>
      <c:layout>
        <c:manualLayout>
          <c:layoutTarget val="inner"/>
          <c:xMode val="edge"/>
          <c:yMode val="edge"/>
          <c:x val="0.246006389776358"/>
          <c:y val="0.297376516627923"/>
          <c:w val="0.271565495207668"/>
          <c:h val="0.495627527713204"/>
        </c:manualLayout>
      </c:layout>
      <c:pieChart>
        <c:varyColors val="1"/>
        <c:ser>
          <c:idx val="0"/>
          <c:order val="0"/>
          <c:explosion val="0"/>
          <c:dPt>
            <c:idx val="0"/>
            <c:bubble3D val="0"/>
          </c:dPt>
          <c:dPt>
            <c:idx val="1"/>
            <c:bubble3D val="0"/>
          </c:dPt>
          <c:dPt>
            <c:idx val="2"/>
            <c:bubble3D val="0"/>
          </c:dPt>
          <c:dPt>
            <c:idx val="3"/>
            <c:bubble3D val="0"/>
          </c:dPt>
          <c:dLbls>
            <c:dLbl>
              <c:idx val="0"/>
              <c:layout>
                <c:manualLayout>
                  <c:x val="-0.115015974440895"/>
                  <c:y val="-0.00388726919339164"/>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629112894434522"/>
                  <c:y val="-0.0887221750342434"/>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575079872204474"/>
                  <c:y val="-0.0466472303206997"/>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223642172524"/>
                  <c:y val="0"/>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Sheet1!$M$26:$P$26</c:f>
              <c:strCache>
                <c:ptCount val="4"/>
                <c:pt idx="0">
                  <c:v>一般公共服务支出</c:v>
                </c:pt>
                <c:pt idx="1">
                  <c:v>社会保障和就业支出</c:v>
                </c:pt>
                <c:pt idx="2">
                  <c:v>卫生健康支出</c:v>
                </c:pt>
                <c:pt idx="3">
                  <c:v>住房保障支出</c:v>
                </c:pt>
              </c:strCache>
            </c:strRef>
          </c:cat>
          <c:val>
            <c:numRef>
              <c:f>Sheet1!$M$27:$P$27</c:f>
              <c:numCache>
                <c:formatCode>General</c:formatCode>
                <c:ptCount val="4"/>
                <c:pt idx="0">
                  <c:v>393.92</c:v>
                </c:pt>
                <c:pt idx="1">
                  <c:v>59.53</c:v>
                </c:pt>
                <c:pt idx="2">
                  <c:v>16.63</c:v>
                </c:pt>
                <c:pt idx="3">
                  <c:v>20.49</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70447284345048"/>
          <c:y val="0.317784562643956"/>
          <c:w val="0.227868984428065"/>
          <c:h val="0.28117260852597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3264559a-1d05-4682-a312-f97bb1d37e35}"/>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139502723"/>
          <c:y val="0.0351406732053231"/>
        </c:manualLayout>
      </c:layout>
      <c:overlay val="0"/>
      <c:spPr>
        <a:noFill/>
        <a:ln w="25400">
          <a:noFill/>
        </a:ln>
      </c:spPr>
    </c:title>
    <c:autoTitleDeleted val="0"/>
    <c:plotArea>
      <c:layout>
        <c:manualLayout>
          <c:layoutTarget val="inner"/>
          <c:xMode val="edge"/>
          <c:yMode val="edge"/>
          <c:x val="0.324738883659333"/>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4.88</c:v>
                </c:pt>
                <c:pt idx="2">
                  <c:v>0.31</c:v>
                </c:pt>
              </c:numCache>
            </c:numRef>
          </c:val>
        </c:ser>
        <c:dLbls>
          <c:showLegendKey val="1"/>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662381395873903"/>
          <c:y val="0.377763503246305"/>
          <c:w val="0.329040160302544"/>
          <c:h val="0.3601929364092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3433827-2bb5-4c20-a291-96a12978323a}"/>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4f81f6f3-7717-4635-b8c2-286b5021d97c</errorID>
      <errorWord>......</errorWord>
      <group>L1_Punc</group>
      <groupName>标点问题</groupName>
      <ability>L2_Punc_CN</ability>
      <abilityName>标点符号问题</abilityName>
      <candidateList>
        <item>……</item>
      </candidateList>
      <explain>省略号错误。</explain>
      <paraID>5F1691FF</paraID>
      <start>22</start>
      <end>28</end>
      <status>ignored</status>
      <modifiedWord/>
      <trackRevisions>false</trackRevisions>
    </reviewItem>
    <reviewItem>
      <errorID>c8f89636-2ff3-4c6f-93c5-8e031290c7fb</errorID>
      <errorWord>.....</errorWord>
      <group>L1_Punc</group>
      <groupName>标点问题</groupName>
      <ability>L2_Punc_CN</ability>
      <abilityName>标点符号问题</abilityName>
      <candidateList>
        <item>……</item>
      </candidateList>
      <explain>省略号错误。</explain>
      <paraID> E6948BB</paraID>
      <start>22</start>
      <end>27</end>
      <status>ignored</status>
      <modifiedWord/>
      <trackRevisions>false</trackRevisions>
    </reviewItem>
    <reviewItem>
      <errorID>e7a0d478-c094-409e-a210-f25179ff9ef3</errorID>
      <errorWord>，</errorWord>
      <group>L1_Word</group>
      <groupName>字词问题</groupName>
      <ability>L2_Typo</ability>
      <abilityName>字词错误</abilityName>
      <candidateList>
        <item>，让</item>
      </candidateList>
      <explain/>
      <paraID>14B9E5F4</paraID>
      <start>53</start>
      <end>55</end>
      <status>modified</status>
      <modifiedWord>，让</modifiedWord>
      <trackRevisions>false</trackRevisions>
    </reviewItem>
    <reviewItem>
      <errorID>7d6ca4dd-c1b8-464d-b205-2305103e087e</errorID>
      <errorWord>根据对</errorWord>
      <group>L1_Word</group>
      <groupName>字词问题</groupName>
      <ability>L2_Typo</ability>
      <abilityName>字词错误</abilityName>
      <candidateList>
        <item>根据</item>
      </candidateList>
      <explain/>
      <paraID>4415255B</paraID>
      <start>53</start>
      <end>56</end>
      <status>ignored</status>
      <modifiedWord/>
      <trackRevisions>false</trackRevisions>
    </reviewItem>
    <reviewItem>
      <errorID>14fbd908-b3a8-49ea-98a2-decba85b939f</errorID>
      <errorWord>，</errorWord>
      <group>L1_Word</group>
      <groupName>字词问题</groupName>
      <ability>L2_Typo</ability>
      <abilityName>字词错误</abilityName>
      <candidateList>
        <item>，让</item>
      </candidateList>
      <explain/>
      <paraID>4D915C77</paraID>
      <start>53</start>
      <end>55</end>
      <status>modified</status>
      <modifiedWord>，让</modifiedWord>
      <trackRevisions>false</trackRevisions>
    </reviewItem>
    <reviewItem>
      <errorID>4af51a5d-fb33-45e7-8f65-462e713350c6</errorID>
      <errorWord>根据对</errorWord>
      <group>L1_Word</group>
      <groupName>字词问题</groupName>
      <ability>L2_Typo</ability>
      <abilityName>字词错误</abilityName>
      <candidateList>
        <item>根据</item>
      </candidateList>
      <explain/>
      <paraID>54F6B3C6</paraID>
      <start>57</start>
      <end>59</end>
      <status>modified</status>
      <modifiedWord>根据</modifiedWord>
      <trackRevisions>false</trackRevisions>
    </reviewItem>
    <reviewItem>
      <errorID>c7a6f31f-2092-476c-bedd-80d36e321a22</errorID>
      <errorWord>-</errorWord>
      <group>L1_Format</group>
      <groupName>格式问题</groupName>
      <ability>L2_HalfPunc_CN</ability>
      <abilityName>全半角问题</abilityName>
      <candidateList>
        <item>－</item>
      </candidateList>
      <explain>文本全半角错误。</explain>
      <paraID>2EABF5F8</paraID>
      <start>103</start>
      <end>104</end>
      <status>modified</status>
      <modifiedWord>－</modifiedWord>
      <trackRevisions>false</trackRevisions>
    </reviewItem>
    <reviewItem>
      <errorID>2cd60a7b-5bc9-4c45-b9f8-77d8897ddcf1</errorID>
      <errorWord>.</errorWord>
      <group>L1_Format</group>
      <groupName>格式问题</groupName>
      <ability>L2_HalfPunc_CN</ability>
      <abilityName>全半角问题</abilityName>
      <candidateList>
        <item>。</item>
      </candidateList>
      <explain>文本全半角错误。</explain>
      <paraID>2EABF5F8</paraID>
      <start>131</start>
      <end>132</end>
      <status>ignored</status>
      <modifiedWord/>
      <trackRevisions>false</trackRevisions>
    </reviewItem>
    <reviewItem>
      <errorID>9a909f12-091e-4a4f-988d-bc4dc4273c8a</errorID>
      <errorWord>根据对</errorWord>
      <group>L1_Word</group>
      <groupName>字词问题</groupName>
      <ability>L2_Typo</ability>
      <abilityName>字词错误</abilityName>
      <candidateList>
        <item>根据</item>
      </candidateList>
      <explain/>
      <paraID>28F1B299</paraID>
      <start>58</start>
      <end>61</end>
      <status>ignored</status>
      <modifiedWord/>
      <trackRevisions>false</trackRevisions>
    </reviewItem>
    <reviewItem>
      <errorID>8ec35651-5513-4404-a778-a19d6760f07b</errorID>
      <errorWord>-</errorWord>
      <group>L1_Format</group>
      <groupName>格式问题</groupName>
      <ability>L2_HalfPunc_CN</ability>
      <abilityName>全半角问题</abilityName>
      <candidateList>
        <item>－</item>
      </candidateList>
      <explain>文本全半角错误。</explain>
      <paraID>28F95AFA</paraID>
      <start>16</start>
      <end>17</end>
      <status>modified</status>
      <modifiedWord>－</modifiedWord>
      <trackRevisions>false</trackRevisions>
    </reviewItem>
    <reviewItem>
      <errorID>0634035b-8d43-4106-b1ed-27d32edf1681</errorID>
      <errorWord>根据对</errorWord>
      <group>L1_Word</group>
      <groupName>字词问题</groupName>
      <ability>L2_Typo</ability>
      <abilityName>字词错误</abilityName>
      <candidateList>
        <item>根据</item>
      </candidateList>
      <explain/>
      <paraID>78D38417</paraID>
      <start>59</start>
      <end>62</end>
      <status>ignored</status>
      <modifiedWord/>
      <trackRevisions>false</trackRevisions>
    </reviewItem>
    <reviewItem>
      <errorID>e8c3f858-72e0-4a92-ad17-a709a31ce128</errorID>
      <errorWord>，</errorWord>
      <group>L1_Word</group>
      <groupName>字词问题</groupName>
      <ability>L2_Typo</ability>
      <abilityName>字词错误</abilityName>
      <candidateList>
        <item>，让</item>
      </candidateList>
      <explain/>
      <paraID>6DE941C3</paraID>
      <start>53</start>
      <end>55</end>
      <status>modified</status>
      <modifiedWord>，让</modifiedWord>
      <trackRevisions>false</trackRevisions>
    </reviewItem>
    <reviewItem>
      <errorID>36645031-d769-4f56-afde-2dc021135020</errorID>
      <errorWord>根据对</errorWord>
      <group>L1_Word</group>
      <groupName>字词问题</groupName>
      <ability>L2_Typo</ability>
      <abilityName>字词错误</abilityName>
      <candidateList>
        <item>根据</item>
      </candidateList>
      <explain/>
      <paraID>539ECC79</paraID>
      <start>57</start>
      <end>60</end>
      <status>ignored</status>
      <modifiedWord/>
      <trackRevisions>false</trackRevisions>
    </reviewItem>
    <reviewItem>
      <errorID>96b70ce9-bcb9-4fea-8e14-5e7d291d46c0</errorID>
      <errorWord>根据对</errorWord>
      <group>L1_Word</group>
      <groupName>字词问题</groupName>
      <ability>L2_Typo</ability>
      <abilityName>字词错误</abilityName>
      <candidateList>
        <item>根据</item>
      </candidateList>
      <explain/>
      <paraID> 8E9FF62</paraID>
      <start>85</start>
      <end>88</end>
      <status>ignored</status>
      <modifiedWord/>
      <trackRevisions>false</trackRevisions>
    </reviewItem>
    <reviewItem>
      <errorID>58360600-db58-4145-91ce-d6cf8db97707</errorID>
      <errorWord>实施是</errorWord>
      <group>L1_Word</group>
      <groupName>字词问题</groupName>
      <ability>L2_Typo</ability>
      <abilityName>字词错误</abilityName>
      <candidateList>
        <item>实施</item>
      </candidateList>
      <explain/>
      <paraID>4B22B787</paraID>
      <start>57</start>
      <end>60</end>
      <status>ignored</status>
      <modifiedWord/>
      <trackRevisions>false</trackRevisions>
    </reviewItem>
    <reviewItem>
      <errorID>de81aa2c-7c6a-4910-9648-61e982f0f610</errorID>
      <errorWord>根据对</errorWord>
      <group>L1_Word</group>
      <groupName>字词问题</groupName>
      <ability>L2_Typo</ability>
      <abilityName>字词错误</abilityName>
      <candidateList>
        <item>根据</item>
      </candidateList>
      <explain/>
      <paraID> A25C20C</paraID>
      <start>54</start>
      <end>57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1ca0c0-f2df-4f32-a43e-5f3de61afb4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55</Pages>
  <Words>1107</Words>
  <Characters>2268</Characters>
  <Lines>63</Lines>
  <Paragraphs>17</Paragraphs>
  <TotalTime>2</TotalTime>
  <ScaleCrop>false</ScaleCrop>
  <LinksUpToDate>false</LinksUpToDate>
  <CharactersWithSpaces>2277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饶仁春</cp:lastModifiedBy>
  <cp:lastPrinted>2026-09-17T02:30:00Z</cp:lastPrinted>
  <dcterms:modified xsi:type="dcterms:W3CDTF">2026-09-20T08:14:24Z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048FD2BAC3A04AA5B745B2485DF83A84_13</vt:lpwstr>
  </property>
  <property fmtid="{D5CDD505-2E9C-101B-9397-08002B2CF9AE}" pid="4" name="KSOTemplateDocerSaveRecord">
    <vt:lpwstr>eyJoZGlkIjoiMDNiNzhlNGIwYmM0NTQ3NWNmOTNiMzQzNmNmYzE4MTUiLCJ1c2VySWQiOiIxNjQ4NTMxNTcxIn0=</vt:lpwstr>
  </property>
</Properties>
</file>