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93"/>
        <w:rPr>
          <w:rFonts w:hint="default" w:ascii="Times New Roman" w:hAnsi="Times New Roman" w:eastAsia="方正小标宋简体" w:cs="Times New Roman"/>
          <w:kern w:val="2"/>
          <w:sz w:val="72"/>
          <w:szCs w:val="72"/>
        </w:rPr>
      </w:pPr>
      <w:bookmarkStart w:id="0" w:name="_Toc15396475"/>
      <w:bookmarkStart w:id="1" w:name="_Toc15377425"/>
      <w:bookmarkStart w:id="2" w:name="_Toc15306267"/>
      <w:bookmarkStart w:id="3" w:name="_Toc15377193"/>
      <w:bookmarkStart w:id="4" w:name="_Toc15396597"/>
      <w:bookmarkStart w:id="5" w:name="_Toc15378441"/>
    </w:p>
    <w:p>
      <w:pPr>
        <w:pStyle w:val="7"/>
        <w:spacing w:before="93"/>
        <w:rPr>
          <w:rFonts w:hint="default" w:ascii="Times New Roman" w:hAnsi="Times New Roman" w:eastAsia="方正小标宋简体" w:cs="Times New Roman"/>
          <w:kern w:val="2"/>
          <w:sz w:val="72"/>
          <w:szCs w:val="72"/>
        </w:rPr>
      </w:pPr>
    </w:p>
    <w:p>
      <w:pPr>
        <w:pStyle w:val="7"/>
        <w:keepNext w:val="0"/>
        <w:keepLines w:val="0"/>
        <w:pageBreakBefore w:val="0"/>
        <w:widowControl w:val="0"/>
        <w:kinsoku/>
        <w:wordWrap/>
        <w:overflowPunct/>
        <w:topLinePunct w:val="0"/>
        <w:autoSpaceDE/>
        <w:autoSpaceDN/>
        <w:bidi w:val="0"/>
        <w:adjustRightInd/>
        <w:snapToGrid/>
        <w:spacing w:before="93" w:line="0" w:lineRule="atLeast"/>
        <w:jc w:val="center"/>
        <w:textAlignment w:val="auto"/>
        <w:rPr>
          <w:rFonts w:hint="eastAsia"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2025年度</w:t>
      </w:r>
    </w:p>
    <w:p>
      <w:pPr>
        <w:pStyle w:val="7"/>
        <w:keepNext w:val="0"/>
        <w:keepLines w:val="0"/>
        <w:pageBreakBefore w:val="0"/>
        <w:widowControl w:val="0"/>
        <w:kinsoku/>
        <w:wordWrap/>
        <w:overflowPunct/>
        <w:topLinePunct w:val="0"/>
        <w:autoSpaceDE/>
        <w:autoSpaceDN/>
        <w:bidi w:val="0"/>
        <w:adjustRightInd/>
        <w:snapToGrid/>
        <w:spacing w:before="93" w:line="0" w:lineRule="atLeast"/>
        <w:jc w:val="center"/>
        <w:textAlignment w:val="auto"/>
        <w:rPr>
          <w:rFonts w:hint="eastAsia" w:ascii="方正小标宋_GBK" w:hAnsi="方正小标宋_GBK" w:eastAsia="方正小标宋_GBK" w:cs="方正小标宋_GBK"/>
          <w:kern w:val="2"/>
          <w:sz w:val="44"/>
          <w:szCs w:val="44"/>
          <w:lang w:val="en-US" w:eastAsia="zh-CN"/>
        </w:rPr>
      </w:pPr>
      <w:r>
        <w:rPr>
          <w:rFonts w:hint="eastAsia" w:ascii="方正小标宋_GBK" w:hAnsi="方正小标宋_GBK" w:eastAsia="方正小标宋_GBK" w:cs="方正小标宋_GBK"/>
          <w:kern w:val="2"/>
          <w:sz w:val="44"/>
          <w:szCs w:val="44"/>
          <w:lang w:val="en-US" w:eastAsia="zh-CN"/>
        </w:rPr>
        <w:t>攀枝花市仁和区农业农村局</w:t>
      </w:r>
    </w:p>
    <w:p>
      <w:pPr>
        <w:pStyle w:val="7"/>
        <w:keepNext w:val="0"/>
        <w:keepLines w:val="0"/>
        <w:pageBreakBefore w:val="0"/>
        <w:widowControl w:val="0"/>
        <w:kinsoku/>
        <w:wordWrap/>
        <w:overflowPunct/>
        <w:topLinePunct w:val="0"/>
        <w:autoSpaceDE/>
        <w:autoSpaceDN/>
        <w:bidi w:val="0"/>
        <w:adjustRightInd/>
        <w:snapToGrid/>
        <w:spacing w:before="93" w:line="0" w:lineRule="atLeast"/>
        <w:jc w:val="center"/>
        <w:textAlignment w:val="auto"/>
        <w:rPr>
          <w:rFonts w:hint="eastAsia"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决算公开编制说明</w:t>
      </w:r>
    </w:p>
    <w:p>
      <w:pPr>
        <w:spacing w:line="600" w:lineRule="exact"/>
        <w:jc w:val="center"/>
        <w:outlineLvl w:val="0"/>
        <w:rPr>
          <w:rFonts w:hint="default" w:ascii="Times New Roman" w:hAnsi="Times New Roman" w:eastAsia="方正小标宋简体" w:cs="Times New Roman"/>
          <w:sz w:val="72"/>
          <w:szCs w:val="72"/>
        </w:rPr>
      </w:pPr>
    </w:p>
    <w:p>
      <w:pPr>
        <w:pStyle w:val="19"/>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pPr>
        <w:widowControl/>
        <w:jc w:val="center"/>
        <w:rPr>
          <w:rFonts w:hint="default" w:ascii="Times New Roman" w:hAnsi="Times New Roman" w:eastAsia="黑体" w:cs="Times New Roman"/>
          <w:sz w:val="28"/>
          <w:szCs w:val="28"/>
        </w:rPr>
      </w:pPr>
    </w:p>
    <w:p>
      <w:pPr>
        <w:pStyle w:val="1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w:t>
      </w:r>
    </w:p>
    <w:p>
      <w:pPr>
        <w:rPr>
          <w:rFonts w:hint="default" w:ascii="Times New Roman" w:hAnsi="Times New Roman" w:cs="Times New Roman"/>
        </w:rPr>
      </w:pPr>
    </w:p>
    <w:p>
      <w:pPr>
        <w:pStyle w:val="12"/>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第一部分</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部门概况</w:t>
      </w:r>
      <w:r>
        <w:rPr>
          <w:rFonts w:hint="default" w:ascii="Times New Roman" w:hAnsi="Times New Roman" w:eastAsia="黑体" w:cs="Times New Roman"/>
          <w:sz w:val="32"/>
          <w:szCs w:val="32"/>
          <w:lang w:val="en-US" w:eastAsia="zh-CN"/>
        </w:rPr>
        <w:t>.......................................................................1</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一、部门职责</w:t>
      </w:r>
      <w:r>
        <w:rPr>
          <w:rFonts w:hint="default" w:ascii="Times New Roman" w:hAnsi="Times New Roman" w:eastAsia="黑体" w:cs="Times New Roman"/>
          <w:sz w:val="32"/>
          <w:szCs w:val="32"/>
          <w:lang w:val="en-US" w:eastAsia="zh-CN"/>
        </w:rPr>
        <w:t>...........................................................................1</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二、机构设置</w:t>
      </w:r>
      <w:r>
        <w:rPr>
          <w:rFonts w:hint="default" w:ascii="Times New Roman" w:hAnsi="Times New Roman" w:eastAsia="黑体" w:cs="Times New Roman"/>
          <w:sz w:val="32"/>
          <w:szCs w:val="32"/>
          <w:lang w:val="en-US" w:eastAsia="zh-CN"/>
        </w:rPr>
        <w:t>...........................................................................6</w:t>
      </w:r>
    </w:p>
    <w:p>
      <w:pPr>
        <w:pStyle w:val="12"/>
        <w:adjustRightInd w:val="0"/>
        <w:snapToGrid w:val="0"/>
        <w:spacing w:before="0" w:line="560" w:lineRule="exact"/>
        <w:jc w:val="left"/>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rPr>
        <w:t>第二部分</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2025年度部门决算情况说明</w:t>
      </w:r>
      <w:r>
        <w:rPr>
          <w:rFonts w:hint="default" w:ascii="Times New Roman" w:hAnsi="Times New Roman" w:eastAsia="黑体" w:cs="Times New Roman"/>
          <w:sz w:val="32"/>
          <w:szCs w:val="32"/>
          <w:lang w:val="en-US" w:eastAsia="zh-CN"/>
        </w:rPr>
        <w:t>......................................8</w:t>
      </w:r>
    </w:p>
    <w:p>
      <w:pPr>
        <w:pStyle w:val="14"/>
        <w:adjustRightInd w:val="0"/>
        <w:snapToGrid w:val="0"/>
        <w:spacing w:line="560" w:lineRule="exact"/>
        <w:ind w:left="638" w:leftChars="304" w:firstLine="0" w:firstLineChars="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一、收入支出决算总体情况说明</w:t>
      </w:r>
      <w:r>
        <w:rPr>
          <w:rFonts w:hint="default" w:ascii="Times New Roman" w:hAnsi="Times New Roman" w:eastAsia="黑体" w:cs="Times New Roman"/>
          <w:sz w:val="32"/>
          <w:szCs w:val="32"/>
          <w:lang w:val="en-US" w:eastAsia="zh-CN"/>
        </w:rPr>
        <w:t>...........................................</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二、收入决算情况说明</w:t>
      </w:r>
      <w:r>
        <w:rPr>
          <w:rFonts w:hint="default" w:ascii="Times New Roman" w:hAnsi="Times New Roman" w:eastAsia="黑体" w:cs="Times New Roman"/>
          <w:sz w:val="32"/>
          <w:szCs w:val="32"/>
          <w:lang w:val="en-US" w:eastAsia="zh-CN"/>
        </w:rPr>
        <w:t>...........................................................8</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三、支出决算情况说明</w:t>
      </w:r>
      <w:r>
        <w:rPr>
          <w:rFonts w:hint="default" w:ascii="Times New Roman" w:hAnsi="Times New Roman" w:eastAsia="黑体" w:cs="Times New Roman"/>
          <w:sz w:val="32"/>
          <w:szCs w:val="32"/>
          <w:lang w:val="en-US" w:eastAsia="zh-CN"/>
        </w:rPr>
        <w:t>...........................................................9</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四、财政拨款收入支出决算总体情况说明</w:t>
      </w:r>
      <w:r>
        <w:rPr>
          <w:rFonts w:hint="default" w:ascii="Times New Roman" w:hAnsi="Times New Roman" w:eastAsia="黑体" w:cs="Times New Roman"/>
          <w:sz w:val="32"/>
          <w:szCs w:val="32"/>
          <w:lang w:val="en-US" w:eastAsia="zh-CN"/>
        </w:rPr>
        <w:t>..........................10</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五、一般公共预算财政拨款支出决算情况说明</w:t>
      </w:r>
      <w:r>
        <w:rPr>
          <w:rFonts w:hint="default" w:ascii="Times New Roman" w:hAnsi="Times New Roman" w:eastAsia="黑体" w:cs="Times New Roman"/>
          <w:sz w:val="32"/>
          <w:szCs w:val="32"/>
          <w:lang w:val="en-US" w:eastAsia="zh-CN"/>
        </w:rPr>
        <w:t>..................10</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六、一般公共预算财政拨款基本支出决算情况说明</w:t>
      </w:r>
      <w:r>
        <w:rPr>
          <w:rFonts w:hint="default" w:ascii="Times New Roman" w:hAnsi="Times New Roman" w:eastAsia="黑体" w:cs="Times New Roman"/>
          <w:sz w:val="32"/>
          <w:szCs w:val="32"/>
          <w:lang w:val="en-US" w:eastAsia="zh-CN"/>
        </w:rPr>
        <w:t>..........15</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七、财政拨款“三公”经费支出决算情况说明</w:t>
      </w:r>
      <w:r>
        <w:rPr>
          <w:rFonts w:hint="default" w:ascii="Times New Roman" w:hAnsi="Times New Roman" w:eastAsia="黑体" w:cs="Times New Roman"/>
          <w:sz w:val="32"/>
          <w:szCs w:val="32"/>
          <w:lang w:val="en-US" w:eastAsia="zh-CN"/>
        </w:rPr>
        <w:t>......</w:t>
      </w:r>
      <w:r>
        <w:rPr>
          <w:rFonts w:hint="eastAsia" w:eastAsia="黑体" w:cs="Times New Roman"/>
          <w:sz w:val="32"/>
          <w:szCs w:val="32"/>
          <w:lang w:val="en-US" w:eastAsia="zh-CN"/>
        </w:rPr>
        <w:t>....</w:t>
      </w:r>
      <w:r>
        <w:rPr>
          <w:rFonts w:hint="default" w:ascii="Times New Roman" w:hAnsi="Times New Roman" w:eastAsia="黑体" w:cs="Times New Roman"/>
          <w:sz w:val="32"/>
          <w:szCs w:val="32"/>
          <w:lang w:val="en-US" w:eastAsia="zh-CN"/>
        </w:rPr>
        <w:t>............16</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八、政府性基金预算支出决算情况说明</w:t>
      </w:r>
      <w:r>
        <w:rPr>
          <w:rFonts w:hint="default" w:ascii="Times New Roman" w:hAnsi="Times New Roman" w:eastAsia="黑体" w:cs="Times New Roman"/>
          <w:sz w:val="32"/>
          <w:szCs w:val="32"/>
          <w:lang w:val="en-US" w:eastAsia="zh-CN"/>
        </w:rPr>
        <w:t>...............................20</w:t>
      </w:r>
    </w:p>
    <w:p>
      <w:pPr>
        <w:pStyle w:val="14"/>
        <w:adjustRightInd w:val="0"/>
        <w:snapToGrid w:val="0"/>
        <w:spacing w:line="560" w:lineRule="exact"/>
        <w:ind w:left="638" w:leftChars="304" w:firstLine="0" w:firstLineChars="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九、国有资本经营预算支出决算情况说明</w:t>
      </w:r>
      <w:r>
        <w:rPr>
          <w:rFonts w:hint="default" w:ascii="Times New Roman" w:hAnsi="Times New Roman" w:eastAsia="黑体" w:cs="Times New Roman"/>
          <w:sz w:val="32"/>
          <w:szCs w:val="32"/>
          <w:lang w:val="en-US" w:eastAsia="zh-CN"/>
        </w:rPr>
        <w:t>..........................20</w:t>
      </w:r>
      <w:r>
        <w:rPr>
          <w:rFonts w:hint="default" w:ascii="Times New Roman" w:hAnsi="Times New Roman" w:eastAsia="仿宋_GB2312" w:cs="Times New Roman"/>
          <w:sz w:val="32"/>
          <w:szCs w:val="32"/>
        </w:rPr>
        <w:t>十、其他重要事项的情况说明</w:t>
      </w:r>
      <w:r>
        <w:rPr>
          <w:rFonts w:hint="default" w:ascii="Times New Roman" w:hAnsi="Times New Roman" w:eastAsia="黑体" w:cs="Times New Roman"/>
          <w:sz w:val="32"/>
          <w:szCs w:val="32"/>
          <w:lang w:val="en-US" w:eastAsia="zh-CN"/>
        </w:rPr>
        <w:t>..............................................20</w:t>
      </w:r>
    </w:p>
    <w:p>
      <w:pPr>
        <w:pStyle w:val="12"/>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第三部分</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名词解释</w:t>
      </w:r>
      <w:r>
        <w:rPr>
          <w:rFonts w:hint="default" w:ascii="Times New Roman" w:hAnsi="Times New Roman" w:eastAsia="黑体" w:cs="Times New Roman"/>
          <w:sz w:val="32"/>
          <w:szCs w:val="32"/>
          <w:lang w:val="en-US" w:eastAsia="zh-CN"/>
        </w:rPr>
        <w:t>.....................................................................23</w:t>
      </w:r>
    </w:p>
    <w:p>
      <w:pPr>
        <w:pStyle w:val="12"/>
        <w:adjustRightInd w:val="0"/>
        <w:snapToGrid w:val="0"/>
        <w:spacing w:before="0" w:line="560" w:lineRule="exact"/>
        <w:jc w:val="left"/>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rPr>
        <w:t>第四部分</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..............................................................................29</w:t>
      </w:r>
    </w:p>
    <w:p>
      <w:pPr>
        <w:pStyle w:val="12"/>
        <w:adjustRightInd w:val="0"/>
        <w:snapToGrid w:val="0"/>
        <w:spacing w:before="0" w:line="560" w:lineRule="exact"/>
        <w:jc w:val="left"/>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rPr>
        <w:t>第五部分</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附表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sectPr>
          <w:footerReference r:id="rId6" w:type="first"/>
          <w:footerReference r:id="rId5" w:type="default"/>
          <w:pgSz w:w="11906" w:h="16838"/>
          <w:pgMar w:top="2098" w:right="1474" w:bottom="1984" w:left="1587" w:header="851" w:footer="992" w:gutter="0"/>
          <w:pgNumType w:fmt="decimal" w:start="1"/>
          <w:cols w:space="425" w:num="1"/>
          <w:docGrid w:type="lines" w:linePitch="312" w:charSpace="0"/>
        </w:sectPr>
      </w:pPr>
      <w:r>
        <w:rPr>
          <w:rFonts w:hint="default" w:ascii="Times New Roman" w:hAnsi="Times New Roman" w:eastAsia="仿宋_GB2312" w:cs="Times New Roman"/>
          <w:sz w:val="32"/>
          <w:szCs w:val="32"/>
        </w:rPr>
        <w:t>一、收入支出决算总表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二、收入决算表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四、财政拨款收入支出决算总表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五、财政拨款支出决算明细表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六、一般公共预算财政拨款支出决算表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七、一般公共预算财政拨款支出决算明细表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八、一般公共预算财政拨款基本支出决算明细表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九、一般公共预算财政拨款项目支出决算表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十、政府性基金预算财政拨款收入支出决算表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十一、国有资本经营预算财政拨款收入支出决算表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十二、国有资本经营预算财政拨款支出决算表</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十三、财政拨款“三公”经费支出决算表</w:t>
      </w:r>
      <w:r>
        <w:rPr>
          <w:rFonts w:hint="default" w:ascii="Times New Roman" w:hAnsi="Times New Roman" w:eastAsia="黑体" w:cs="Times New Roman"/>
          <w:sz w:val="32"/>
          <w:szCs w:val="32"/>
          <w:lang w:val="en-US" w:eastAsia="zh-CN"/>
        </w:rPr>
        <w:t>.............</w:t>
      </w:r>
      <w:r>
        <w:rPr>
          <w:rFonts w:hint="eastAsia" w:eastAsia="黑体" w:cs="Times New Roman"/>
          <w:sz w:val="32"/>
          <w:szCs w:val="32"/>
          <w:lang w:val="en-US" w:eastAsia="zh-CN"/>
        </w:rPr>
        <w:t>....</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62</w:t>
      </w:r>
      <w:bookmarkStart w:id="83" w:name="_GoBack"/>
      <w:bookmarkEnd w:id="83"/>
    </w:p>
    <w:p>
      <w:pPr>
        <w:pStyle w:val="14"/>
        <w:adjustRightInd w:val="0"/>
        <w:snapToGrid w:val="0"/>
        <w:spacing w:line="560" w:lineRule="exact"/>
        <w:ind w:left="0" w:leftChars="0" w:firstLine="643" w:firstLineChars="200"/>
        <w:jc w:val="left"/>
        <w:rPr>
          <w:rFonts w:hint="default" w:ascii="Times New Roman" w:hAnsi="Times New Roman" w:eastAsia="仿宋_GB2312" w:cs="Times New Roman"/>
          <w:b/>
          <w:bCs/>
          <w:sz w:val="32"/>
          <w:szCs w:val="32"/>
        </w:rPr>
      </w:pPr>
    </w:p>
    <w:p>
      <w:pPr>
        <w:pStyle w:val="4"/>
        <w:jc w:val="center"/>
        <w:rPr>
          <w:rFonts w:hint="default" w:ascii="Times New Roman" w:hAnsi="Times New Roman" w:eastAsia="方正小标宋_GBK" w:cs="Times New Roman"/>
          <w:b w:val="0"/>
        </w:rPr>
        <w:sectPr>
          <w:footerReference r:id="rId7" w:type="default"/>
          <w:pgSz w:w="11906" w:h="16838"/>
          <w:pgMar w:top="2098" w:right="1474" w:bottom="1984" w:left="1587" w:header="851" w:footer="992" w:gutter="0"/>
          <w:pgNumType w:fmt="decimal" w:start="1"/>
          <w:cols w:space="425" w:num="1"/>
          <w:docGrid w:type="lines" w:linePitch="312" w:charSpace="0"/>
        </w:sectPr>
      </w:pPr>
      <w:bookmarkStart w:id="6" w:name="_Toc15377196"/>
      <w:bookmarkStart w:id="7" w:name="_Toc15396599"/>
    </w:p>
    <w:p>
      <w:pPr>
        <w:pStyle w:val="4"/>
        <w:jc w:val="center"/>
        <w:rPr>
          <w:rStyle w:val="28"/>
          <w:rFonts w:hint="default" w:ascii="Times New Roman" w:hAnsi="Times New Roman" w:eastAsia="方正小标宋简体" w:cs="Times New Roman"/>
          <w:b/>
          <w:bCs w:val="0"/>
        </w:rPr>
      </w:pPr>
      <w:bookmarkStart w:id="8" w:name="_Toc24291"/>
      <w:r>
        <w:rPr>
          <w:rFonts w:hint="default" w:ascii="Times New Roman" w:hAnsi="Times New Roman" w:eastAsia="方正小标宋_GBK" w:cs="Times New Roman"/>
          <w:b w:val="0"/>
        </w:rPr>
        <w:t>第一部分</w:t>
      </w:r>
      <w:r>
        <w:rPr>
          <w:rFonts w:hint="default" w:ascii="Times New Roman" w:hAnsi="Times New Roman" w:eastAsia="方正小标宋_GBK" w:cs="Times New Roman"/>
          <w:b w:val="0"/>
          <w:lang w:val="en-US" w:eastAsia="zh-CN"/>
        </w:rPr>
        <w:t xml:space="preserve">  </w:t>
      </w:r>
      <w:r>
        <w:rPr>
          <w:rStyle w:val="28"/>
          <w:rFonts w:hint="default" w:ascii="Times New Roman" w:hAnsi="Times New Roman" w:eastAsia="方正小标宋_GBK" w:cs="Times New Roman"/>
          <w:b w:val="0"/>
          <w:bCs w:val="0"/>
        </w:rPr>
        <w:t>部门概况</w:t>
      </w:r>
      <w:bookmarkEnd w:id="6"/>
      <w:bookmarkEnd w:id="7"/>
      <w:bookmarkEnd w:id="8"/>
    </w:p>
    <w:p>
      <w:pPr>
        <w:numPr>
          <w:ilvl w:val="0"/>
          <w:numId w:val="0"/>
        </w:numPr>
        <w:spacing w:line="240" w:lineRule="auto"/>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黑体_GBK" w:cs="Times New Roman"/>
          <w:sz w:val="32"/>
          <w:szCs w:val="32"/>
          <w:lang w:val="en-US" w:eastAsia="zh-CN"/>
        </w:rPr>
        <w:t>一、部门职责</w:t>
      </w:r>
    </w:p>
    <w:p>
      <w:pPr>
        <w:numPr>
          <w:ilvl w:val="0"/>
          <w:numId w:val="0"/>
        </w:numPr>
        <w:spacing w:line="240" w:lineRule="auto"/>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1.统筹研究和组织实施全区以乡村振兴为重心的“三农”工作发展战略、中长期规划、重大政策。贯彻执行国家有关种植业、畜牧业（草原牧业）、渔业、农业机械化农垦等农业领域工作的</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、政策以及省、市、区关于“三农”方面的决策部署。参与涉农的财税、价格、收储、金融保险、进出口等政策制定。</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2.统筹推动发展农村社会事业、农村公共服务、农村文化、农村基础设施和乡村治理。牵头组织改善全区农村人居环境。指导农业文化遗产的保护传承和开发利用。指导农村精神文明和优秀农耕文化建设。</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负责农民承包地、农村宅基地、农村集体产权制度改革和管理有关工作。拟订深化全区农村经济体制改革和巩固完善农村基本经营制度的政策措施。指导农村集体经济组织发展、集体资产和财务管理工作。拟订农业产业化经营的发展规划与政策并组织实施，指导农民合作经济组织、农业社会化服务体系、新型农业经营主体建设与发展、指导、监督减轻农民负担工作。</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负责巩固拓展脱贫攻坚成果有关工作。牵头开展防止返贫监测和帮扶，组织拟订乡村振兴帮扶政策，组织开展定点帮扶、社会帮扶、易地搬迁后续扶持，会同有关部门组织实施过渡期内巩固拓展脱贫攻坚成果相关考核评估工作，研究提出区级财政衔接推进乡村振兴相关资金分配建议方案，指导、监督中央和省、市、区级财政衔接推进乡村振兴相关资金使用，推动乡村帮扶产业发展。承担农村低收入人口常态化帮扶有关工作，构建长效帮扶机制。</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5.负责指导全区乡村特色产业、农产品加工业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产地初加工）、休闲农业和乡村企业发展工作，推动延长农产品产业链。指导特色农产品优势区建设和管理工作。组织拟订并实施现代农业园区的政策与规划，负责现代农业园区评定工作。提出促进大宗农产品流通政策和主要</w:t>
      </w:r>
      <w:r>
        <w:rPr>
          <w:rFonts w:hint="default" w:ascii="Times New Roman" w:hAnsi="Times New Roman" w:eastAsia="方正仿宋_GBK" w:cs="Times New Roman"/>
          <w:sz w:val="32"/>
          <w:szCs w:val="32"/>
          <w:lang w:eastAsia="zh-CN"/>
        </w:rPr>
        <w:t>农产</w:t>
      </w:r>
      <w:r>
        <w:rPr>
          <w:rFonts w:hint="default" w:ascii="Times New Roman" w:hAnsi="Times New Roman" w:eastAsia="方正仿宋_GBK" w:cs="Times New Roman"/>
          <w:sz w:val="32"/>
          <w:szCs w:val="32"/>
        </w:rPr>
        <w:t>品进口建议</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研究制定大宗农产品市场体系建设与发展规划。培育、保护和发展农业品牌，组织协调“菜篮子”工程有关工作。负责农业信息体系建设，推动数字农业发展。发布农业农村经济信息，监测分析农业农村经济运行。承担农业统计工作。</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负责全区种植业、畜牧业（草原牧业）、渔业、农垦、农业机械化等农业各产业的监督管理。指导粮食等农产品生产，推进构建多元化食物供给体系。指导粮食生产功能区和重要农产品生产保护区建设和管理工作。组织构建现代农业产业体系、生产体系、经营体系，指导农业标准化、规模化生产。落实促进粮油、畜禽、水产等主要农产品生产发展的相关政策措施，引导农业产业结构调整和产品品质改善，促进农业绿色发展。负责渔政渔港、网具监督管理。</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负责制定全区农业机械化发展规划并组织实施。组织开展农业机械重大关键技术攻关，引进、示范和推广农业机械新技术、新机具，指导全区农业机械基础设施的规划建设和管理工作。指导设施农业、农机库棚、机电提灌、农业机械作业通行条件等基础设施建设。</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负责全区农产品质量安全监督管理。组织开展农产品质量安全监测、追溯、风险评估。发布产品质量安全状况信息，提出技术性贸易措施建议。参与制定农产品质量安全地方标准并会同有关部门组织实施。指导农业检验检测体系建设。依法组织实施符合安全标准的农产品生产基地认定、产品认证、农产品地理标志登记保护和监督管理。</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负责耕地、永久基本农田质量保护和高标准农田建设工作。负责全区农田建设管理。编制农业综合开发项目、农田建设项目、农田整治项目、农田水利建设项目的年度计划，并组织实施和管理。组织开展全区农业资源区划和资源保护工作。指导农用地、渔业水域以及农业生物物种资源的保护与管理，负责水生野生动植物保护。负责农村能源建设和资源环境工作。指导农产品产地环境管理和农业清洁生产，提出划定农产品禁止生产区域的政策建议，指导设施农业、生态循环农业、节水农业发展以及农村可再生能源综合开发利用、农业生物质产业发展。</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10.负责全区有关农业生产资料和农业投入品的监督管理。组织农业生产资料市场体系建设，承担农作物种子（种苗</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食用菌种、蚕种、饲草良种、种畜禽、水产苗种、农药、兽药（渔药）、饲料、饲料添加剂等农业生产资料的监督管理职责，牵头负责“瘦肉精”监督管理工作。监督管理兽医医疗器械、肥料。参与拟订有关农业生产资料地方标准并监督实施，会同有关部门监督实施农业生产料国家标准。牵头拟订种业振兴政策并组织实施。组织兽医医政、兽药（渔药）药政药检工作，负责执业兽医和</w:t>
      </w:r>
      <w:r>
        <w:rPr>
          <w:rFonts w:hint="default" w:ascii="Times New Roman" w:hAnsi="Times New Roman" w:eastAsia="方正仿宋_GBK" w:cs="Times New Roman"/>
          <w:sz w:val="32"/>
          <w:szCs w:val="32"/>
          <w:lang w:eastAsia="zh-CN"/>
        </w:rPr>
        <w:t>畜禽</w:t>
      </w:r>
      <w:r>
        <w:rPr>
          <w:rFonts w:hint="default" w:ascii="Times New Roman" w:hAnsi="Times New Roman" w:eastAsia="方正仿宋_GBK" w:cs="Times New Roman"/>
          <w:sz w:val="32"/>
          <w:szCs w:val="32"/>
        </w:rPr>
        <w:t>屠宰行业管理。</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负责全区农业防灾减灾、农作物重大病虫害防治工作。会同有关部门制定动植物防疫检疫政策并指导实施。指导动植物防疫检疫体系建设，组织监督管理区内动植物防疫检疫工作，发布疫情并组织扑灭。组织植物检疫性有害生物普查。牵头管理外来农业物种。监测、核查发布农业灾情，提出生产救灾资金安排建议，指导紧急救灾和灾后生产恢复。</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12.负责全区农业投资管理。提出农业投融资体制机制改革建议。编制中央和省、市、区级投资安排的农业投资项目建设规划，提出农业投资规模和方向、扶持农业农村发展财政项目的建议，按规定权限审批农业投资项目，负责农业投资项目资金安排、监督检查和绩效管理。</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13.制定全区农业科研、农技推广的规划、计划和有关政策并组织实施，牵头推动农业科技体制改革和科技创新体系建设。指导农业产业技术体系和农技推广体系建设，组织农作物、畜禽、水产养殖等新品种育种攻关和农业先进技术引进、试验、转化、示范、推广。负责农业转基因生物安全监督管理和农业植物新品种保护。 </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14.指导全区农业农村人才工作。拟订农业农村人才队伍建设规划并组织实施，指导农业教育和农业职业技能开发，指导高素质农民培育、农业科技人才培养和农村实用人才培训工作。</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15.牵头开展全区农业对外合作工作。承办政府间农业涉外事务，参与拟订农业对外开放政策和外向型农业发展规划，指导外向型农业发展。组织开展农业贸易促进和有关国际交流合作，落实对外援助政策，具体执行有关农业援外项目。组织开展农业投资促进活动，推动农业开放合作。</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16.指导国有农场的改革与发展。</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17.依法依规负责农业农村安全生产和职业健康监督管理工作。负责农业机械、农（兽）药、饲料、渔业畜禽屠宰行业安全生产和职业健康的监督管理。负责组织实施农村沼气项目的安全生产和职业健康监督管理。对农业园区的安全生产和职业健康工作实施行业监督管理。负责制定职责范围内的安全生产年度监督检查计划并组织实施</w:t>
      </w:r>
      <w:r>
        <w:rPr>
          <w:rFonts w:hint="default" w:ascii="Times New Roman" w:hAnsi="Times New Roman" w:eastAsia="方正仿宋_GBK" w:cs="Times New Roman"/>
          <w:sz w:val="32"/>
          <w:szCs w:val="32"/>
          <w:lang w:eastAsia="zh-CN"/>
        </w:rPr>
        <w:t>。</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18.统筹协调和监督指导全区农业综合执法。负责监督指导重大案件查处和跨区域执法的组织协调工作，负责由区本级办理的涉农违法案件。推进农业依法行政。</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19.负责职责范围内的生态环境保护、审批服务便民化等工作。负责职责范围内的生态环境保护、审批服务便民化等工作。</w:t>
      </w:r>
    </w:p>
    <w:p>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20.完成区委、区政府交办的其他任务。</w:t>
      </w:r>
    </w:p>
    <w:p>
      <w:pPr>
        <w:ind w:firstLine="640" w:firstLineChars="20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二、机构设置</w:t>
      </w:r>
    </w:p>
    <w:p>
      <w:pPr>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攀枝花市仁和区农业农村局下属非独立核算单位8个，其中</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行政单位1个，攀枝花市仁和农业农村局机关；参照公务员法管理的事业单位2个，攀枝花市仁和区动植物疫病防控中心、攀枝花市仁和区农业综合行政执法大队；其他事业单位5个，主要包括：攀枝花市仁和区农村经济综合服务中心、攀枝花市仁和区农业技术推广服务中心、攀枝花市仁和区畜牧与水产站、攀枝花市仁和区农产品质量安全中心、攀枝花市仁和区乡村振兴服务中心。</w:t>
      </w:r>
      <w:r>
        <w:rPr>
          <w:rFonts w:hint="default" w:ascii="Times New Roman" w:hAnsi="Times New Roman" w:eastAsia="方正仿宋_GBK" w:cs="Times New Roman"/>
          <w:sz w:val="32"/>
          <w:szCs w:val="32"/>
          <w:highlight w:val="none"/>
          <w:lang w:val="en-US" w:eastAsia="zh-CN"/>
        </w:rPr>
        <w:t>其中因机构改革新增</w:t>
      </w:r>
      <w:r>
        <w:rPr>
          <w:rFonts w:hint="default" w:ascii="Times New Roman" w:hAnsi="Times New Roman" w:eastAsia="方正仿宋_GBK" w:cs="Times New Roman"/>
          <w:sz w:val="32"/>
          <w:szCs w:val="32"/>
          <w:highlight w:val="none"/>
        </w:rPr>
        <w:t>攀枝花市仁和区乡村振兴服务中心</w:t>
      </w:r>
      <w:r>
        <w:rPr>
          <w:rFonts w:hint="default" w:ascii="Times New Roman" w:hAnsi="Times New Roman" w:eastAsia="方正仿宋_GBK" w:cs="Times New Roman"/>
          <w:sz w:val="32"/>
          <w:szCs w:val="32"/>
          <w:highlight w:val="none"/>
          <w:lang w:eastAsia="zh-CN"/>
        </w:rPr>
        <w:t>。</w:t>
      </w:r>
    </w:p>
    <w:p>
      <w:pPr>
        <w:widowControl/>
        <w:ind w:firstLine="640" w:firstLineChars="200"/>
        <w:jc w:val="left"/>
        <w:rPr>
          <w:rFonts w:hint="default" w:ascii="Times New Roman" w:hAnsi="Times New Roman" w:eastAsia="仿宋_GB2312" w:cs="Times New Roman"/>
          <w:sz w:val="32"/>
          <w:szCs w:val="32"/>
          <w:highlight w:val="none"/>
        </w:rPr>
      </w:pPr>
      <w:r>
        <w:rPr>
          <w:rFonts w:hint="default" w:ascii="Times New Roman" w:hAnsi="Times New Roman" w:eastAsia="方正仿宋_GBK" w:cs="Times New Roman"/>
          <w:sz w:val="32"/>
          <w:szCs w:val="32"/>
          <w:highlight w:val="none"/>
        </w:rPr>
        <w:t>攀枝花市仁和区农业农村局及下属非独立核算单位共有人员编制数119人，实有103人，核定的内设机构8个，主要包括：办公室、区委农办秘书股和督查股、经济促进股、计财股、产业发展股、乡村建设股、畜牧渔政股、农业农村综合执法大队。</w:t>
      </w:r>
    </w:p>
    <w:p>
      <w:pPr>
        <w:widowControl/>
        <w:jc w:val="left"/>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pPr>
        <w:pStyle w:val="4"/>
        <w:jc w:val="center"/>
        <w:rPr>
          <w:rFonts w:hint="default" w:ascii="Times New Roman" w:hAnsi="Times New Roman" w:eastAsia="方正小标宋_GBK" w:cs="Times New Roman"/>
          <w:b w:val="0"/>
        </w:rPr>
      </w:pPr>
      <w:bookmarkStart w:id="9" w:name="_Toc15377204"/>
      <w:bookmarkStart w:id="10" w:name="_Toc15396602"/>
      <w:bookmarkStart w:id="11" w:name="_Toc4472"/>
      <w:r>
        <w:rPr>
          <w:rFonts w:hint="default" w:ascii="Times New Roman" w:hAnsi="Times New Roman" w:eastAsia="方正小标宋_GBK" w:cs="Times New Roman"/>
          <w:b w:val="0"/>
        </w:rPr>
        <w:t>第二部分</w:t>
      </w:r>
      <w:r>
        <w:rPr>
          <w:rFonts w:hint="default" w:ascii="Times New Roman" w:hAnsi="Times New Roman" w:eastAsia="方正小标宋_GBK" w:cs="Times New Roman"/>
          <w:b w:val="0"/>
          <w:lang w:val="en-US" w:eastAsia="zh-CN"/>
        </w:rPr>
        <w:t xml:space="preserve">  </w:t>
      </w:r>
      <w:r>
        <w:rPr>
          <w:rFonts w:hint="default" w:ascii="Times New Roman" w:hAnsi="Times New Roman" w:eastAsia="方正小标宋_GBK" w:cs="Times New Roman"/>
          <w:b w:val="0"/>
        </w:rPr>
        <w:t>2025年度部门决算情况说明</w:t>
      </w:r>
      <w:bookmarkEnd w:id="9"/>
      <w:bookmarkEnd w:id="10"/>
      <w:bookmarkEnd w:id="11"/>
    </w:p>
    <w:p>
      <w:pPr>
        <w:pStyle w:val="27"/>
        <w:spacing w:line="600" w:lineRule="exact"/>
        <w:ind w:firstLine="640"/>
        <w:outlineLvl w:val="1"/>
        <w:rPr>
          <w:rStyle w:val="29"/>
          <w:rFonts w:hint="default" w:ascii="Times New Roman" w:hAnsi="Times New Roman" w:eastAsia="方正黑体_GBK" w:cs="Times New Roman"/>
          <w:b w:val="0"/>
        </w:rPr>
      </w:pPr>
      <w:bookmarkStart w:id="12" w:name="_Toc15396603"/>
      <w:bookmarkStart w:id="13" w:name="_Toc2493"/>
      <w:bookmarkStart w:id="14" w:name="_Toc15377205"/>
      <w:r>
        <w:rPr>
          <w:rFonts w:hint="default" w:ascii="Times New Roman" w:hAnsi="Times New Roman" w:eastAsia="方正黑体_GBK" w:cs="Times New Roman"/>
          <w:sz w:val="32"/>
          <w:szCs w:val="32"/>
        </w:rPr>
        <w:t>一、收</w:t>
      </w:r>
      <w:r>
        <w:rPr>
          <w:rStyle w:val="29"/>
          <w:rFonts w:hint="default" w:ascii="Times New Roman" w:hAnsi="Times New Roman" w:eastAsia="方正黑体_GBK" w:cs="Times New Roman"/>
          <w:b w:val="0"/>
        </w:rPr>
        <w:t>入支出决算总体情况说明</w:t>
      </w:r>
      <w:bookmarkEnd w:id="12"/>
      <w:bookmarkEnd w:id="13"/>
      <w:bookmarkEnd w:id="14"/>
    </w:p>
    <w:p>
      <w:pPr>
        <w:pStyle w:val="27"/>
        <w:spacing w:line="600" w:lineRule="exact"/>
        <w:ind w:firstLine="640"/>
        <w:outlineLvl w:val="1"/>
        <w:rPr>
          <w:rFonts w:hint="default" w:ascii="Times New Roman" w:hAnsi="Times New Roman" w:eastAsia="方正仿宋_GBK" w:cs="Times New Roman"/>
          <w:color w:val="auto"/>
          <w:sz w:val="32"/>
          <w:szCs w:val="32"/>
          <w:highlight w:val="none"/>
        </w:rPr>
      </w:pPr>
      <w:bookmarkStart w:id="15" w:name="_Toc13587"/>
      <w:r>
        <w:rPr>
          <w:rFonts w:hint="default" w:ascii="Times New Roman" w:hAnsi="Times New Roman" w:eastAsia="方正仿宋_GBK" w:cs="Times New Roman"/>
          <w:sz w:val="32"/>
          <w:szCs w:val="32"/>
        </w:rPr>
        <w:t>2025年度收入、支出总计均为</w:t>
      </w:r>
      <w:r>
        <w:rPr>
          <w:rFonts w:hint="default" w:ascii="Times New Roman" w:hAnsi="Times New Roman" w:eastAsia="方正仿宋_GBK" w:cs="Times New Roman"/>
          <w:sz w:val="32"/>
          <w:szCs w:val="32"/>
          <w:lang w:val="en-US" w:eastAsia="zh-CN"/>
        </w:rPr>
        <w:t>19276.82</w:t>
      </w:r>
      <w:r>
        <w:rPr>
          <w:rFonts w:hint="default" w:ascii="Times New Roman" w:hAnsi="Times New Roman" w:eastAsia="方正仿宋_GBK" w:cs="Times New Roman"/>
          <w:sz w:val="32"/>
          <w:szCs w:val="32"/>
        </w:rPr>
        <w:t>万元。与上年度相比，收入、支出总计各增加</w:t>
      </w:r>
      <w:r>
        <w:rPr>
          <w:rFonts w:hint="default" w:ascii="Times New Roman" w:hAnsi="Times New Roman" w:eastAsia="方正仿宋_GBK" w:cs="Times New Roman"/>
          <w:sz w:val="32"/>
          <w:szCs w:val="32"/>
          <w:lang w:val="en-US" w:eastAsia="zh-CN"/>
        </w:rPr>
        <w:t>2160.9</w:t>
      </w:r>
      <w:r>
        <w:rPr>
          <w:rFonts w:hint="default" w:ascii="Times New Roman" w:hAnsi="Times New Roman" w:eastAsia="方正仿宋_GBK" w:cs="Times New Roman"/>
          <w:sz w:val="32"/>
          <w:szCs w:val="32"/>
        </w:rPr>
        <w:t>万元，增长</w:t>
      </w:r>
      <w:r>
        <w:rPr>
          <w:rFonts w:hint="default" w:ascii="Times New Roman" w:hAnsi="Times New Roman" w:eastAsia="方正仿宋_GBK" w:cs="Times New Roman"/>
          <w:sz w:val="32"/>
          <w:szCs w:val="32"/>
          <w:highlight w:val="none"/>
        </w:rPr>
        <w:t>12.63</w:t>
      </w:r>
      <w:r>
        <w:rPr>
          <w:rFonts w:hint="default" w:ascii="Times New Roman" w:hAnsi="Times New Roman" w:eastAsia="方正仿宋_GBK" w:cs="Times New Roman"/>
          <w:sz w:val="32"/>
          <w:szCs w:val="32"/>
        </w:rPr>
        <w:t>%。主要变动原因是</w:t>
      </w:r>
      <w:r>
        <w:rPr>
          <w:rFonts w:hint="default" w:ascii="Times New Roman" w:hAnsi="Times New Roman" w:eastAsia="方正仿宋_GBK" w:cs="Times New Roman"/>
          <w:color w:val="auto"/>
          <w:sz w:val="32"/>
          <w:szCs w:val="32"/>
          <w:highlight w:val="none"/>
        </w:rPr>
        <w:t>本年度地方政府专项债券资金等政府性基金预算收入增加，带动收入、支出总计增加。</w:t>
      </w:r>
      <w:bookmarkEnd w:id="15"/>
    </w:p>
    <w:p>
      <w:pPr>
        <w:pStyle w:val="27"/>
        <w:spacing w:line="600" w:lineRule="exact"/>
        <w:ind w:firstLine="640"/>
        <w:outlineLvl w:val="1"/>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anchor distT="0" distB="0" distL="114300" distR="114300" simplePos="0" relativeHeight="251659264" behindDoc="0" locked="0" layoutInCell="1" allowOverlap="1">
            <wp:simplePos x="0" y="0"/>
            <wp:positionH relativeFrom="column">
              <wp:posOffset>241935</wp:posOffset>
            </wp:positionH>
            <wp:positionV relativeFrom="paragraph">
              <wp:posOffset>88265</wp:posOffset>
            </wp:positionV>
            <wp:extent cx="5256530" cy="2988310"/>
            <wp:effectExtent l="5080" t="4445" r="8890" b="1714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方正仿宋_GBK" w:cs="Times New Roman"/>
          <w:sz w:val="32"/>
          <w:szCs w:val="32"/>
        </w:rPr>
      </w:pPr>
      <w:bookmarkStart w:id="16" w:name="_Toc3030"/>
      <w:r>
        <w:rPr>
          <w:rFonts w:hint="default" w:ascii="Times New Roman" w:hAnsi="Times New Roman" w:eastAsia="方正仿宋_GBK" w:cs="Times New Roman"/>
          <w:sz w:val="32"/>
          <w:szCs w:val="32"/>
        </w:rPr>
        <w:t>（图1：收入、支出决算总计变动情况图）（柱状图）</w:t>
      </w:r>
      <w:bookmarkEnd w:id="16"/>
    </w:p>
    <w:p>
      <w:pPr>
        <w:pStyle w:val="27"/>
        <w:spacing w:line="600" w:lineRule="exact"/>
        <w:ind w:firstLine="640"/>
        <w:outlineLvl w:val="1"/>
        <w:rPr>
          <w:rFonts w:hint="default" w:ascii="Times New Roman" w:hAnsi="Times New Roman" w:eastAsia="方正黑体_GBK" w:cs="Times New Roman"/>
          <w:sz w:val="32"/>
          <w:szCs w:val="32"/>
        </w:rPr>
      </w:pPr>
      <w:bookmarkStart w:id="17" w:name="_Toc15396604"/>
      <w:bookmarkStart w:id="18" w:name="_Toc15377206"/>
      <w:bookmarkStart w:id="19" w:name="_Toc29513"/>
      <w:r>
        <w:rPr>
          <w:rFonts w:hint="default" w:ascii="Times New Roman" w:hAnsi="Times New Roman" w:eastAsia="方正黑体_GBK" w:cs="Times New Roman"/>
          <w:sz w:val="32"/>
          <w:szCs w:val="32"/>
        </w:rPr>
        <w:t>二、收入决算情况说明</w:t>
      </w:r>
      <w:bookmarkEnd w:id="17"/>
      <w:bookmarkEnd w:id="18"/>
      <w:bookmarkEnd w:id="19"/>
    </w:p>
    <w:p>
      <w:pPr>
        <w:pStyle w:val="27"/>
        <w:spacing w:line="600" w:lineRule="exact"/>
        <w:ind w:firstLine="640"/>
        <w:outlineLvl w:val="1"/>
        <w:rPr>
          <w:rFonts w:hint="default" w:ascii="Times New Roman" w:hAnsi="Times New Roman" w:eastAsia="仿宋_GB2312" w:cs="Times New Roman"/>
          <w:sz w:val="32"/>
          <w:szCs w:val="32"/>
        </w:rPr>
      </w:pPr>
      <w:bookmarkStart w:id="20" w:name="_Toc27069"/>
      <w:r>
        <w:rPr>
          <w:rFonts w:hint="default" w:ascii="Times New Roman" w:hAnsi="Times New Roman" w:eastAsia="方正仿宋_GBK" w:cs="Times New Roman"/>
          <w:sz w:val="32"/>
          <w:szCs w:val="32"/>
        </w:rPr>
        <w:t>2025年度本年收入合计</w:t>
      </w:r>
      <w:r>
        <w:rPr>
          <w:rFonts w:hint="default" w:ascii="Times New Roman" w:hAnsi="Times New Roman" w:eastAsia="方正仿宋_GBK" w:cs="Times New Roman"/>
          <w:sz w:val="32"/>
          <w:szCs w:val="32"/>
          <w:lang w:val="en-US" w:eastAsia="zh-CN"/>
        </w:rPr>
        <w:t>17718.81</w:t>
      </w:r>
      <w:r>
        <w:rPr>
          <w:rFonts w:hint="default" w:ascii="Times New Roman" w:hAnsi="Times New Roman" w:eastAsia="方正仿宋_GBK" w:cs="Times New Roman"/>
          <w:sz w:val="32"/>
          <w:szCs w:val="32"/>
        </w:rPr>
        <w:t>万元，其中：一般公共预算财政拨款收入13335.53万元，占75.3%；政府性基金预算财政拨款收</w:t>
      </w:r>
      <w:r>
        <w:rPr>
          <w:rFonts w:hint="default" w:ascii="Times New Roman" w:hAnsi="Times New Roman" w:eastAsia="方正仿宋_GBK" w:cs="Times New Roman"/>
          <w:sz w:val="32"/>
          <w:szCs w:val="32"/>
          <w:lang w:val="en-US" w:eastAsia="zh-CN"/>
        </w:rPr>
        <w:t>入</w:t>
      </w:r>
      <w:r>
        <w:rPr>
          <w:rFonts w:hint="default" w:ascii="Times New Roman" w:hAnsi="Times New Roman" w:eastAsia="方正仿宋_GBK" w:cs="Times New Roman"/>
          <w:sz w:val="32"/>
          <w:szCs w:val="32"/>
        </w:rPr>
        <w:t>4383.28万元，占24.7%；国有资本经营预算财政拨款收入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%；上级补助收入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%；事业收入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%；经营收入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%；附属单位上缴收入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%；其他收入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w:t>
      </w:r>
      <w:bookmarkEnd w:id="20"/>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drawing>
          <wp:anchor distT="0" distB="0" distL="114300" distR="114300" simplePos="0" relativeHeight="251660288" behindDoc="0" locked="0" layoutInCell="1" allowOverlap="1">
            <wp:simplePos x="0" y="0"/>
            <wp:positionH relativeFrom="column">
              <wp:posOffset>58420</wp:posOffset>
            </wp:positionH>
            <wp:positionV relativeFrom="paragraph">
              <wp:posOffset>52070</wp:posOffset>
            </wp:positionV>
            <wp:extent cx="5060950" cy="2321560"/>
            <wp:effectExtent l="4445" t="4445" r="14605" b="1079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spacing w:line="600" w:lineRule="exact"/>
        <w:ind w:firstLine="640"/>
        <w:outlineLvl w:val="1"/>
        <w:rPr>
          <w:rFonts w:hint="default" w:ascii="Times New Roman" w:hAnsi="Times New Roman" w:eastAsia="仿宋_GB2312" w:cs="Times New Roman"/>
          <w:sz w:val="32"/>
          <w:szCs w:val="32"/>
        </w:rPr>
      </w:pPr>
      <w:bookmarkStart w:id="21" w:name="_Toc23824"/>
      <w:r>
        <w:rPr>
          <w:rFonts w:hint="default" w:ascii="Times New Roman" w:hAnsi="Times New Roman" w:eastAsia="仿宋_GB2312" w:cs="Times New Roman"/>
          <w:sz w:val="32"/>
          <w:szCs w:val="32"/>
        </w:rPr>
        <w:t>收入决算结构图收入决算结构图收入决算结构图</w:t>
      </w:r>
      <w:bookmarkEnd w:id="21"/>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lang w:eastAsia="zh-CN"/>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bookmarkStart w:id="22" w:name="_Toc3344"/>
      <w:r>
        <w:rPr>
          <w:rFonts w:hint="default" w:ascii="Times New Roman" w:hAnsi="Times New Roman" w:eastAsia="方正仿宋_GBK" w:cs="Times New Roman"/>
          <w:sz w:val="32"/>
          <w:szCs w:val="32"/>
        </w:rPr>
        <w:t>（图2：收入决算结构图）（饼状图）</w:t>
      </w:r>
      <w:bookmarkEnd w:id="22"/>
    </w:p>
    <w:p>
      <w:pPr>
        <w:pStyle w:val="27"/>
        <w:spacing w:line="600" w:lineRule="exact"/>
        <w:ind w:firstLine="640"/>
        <w:outlineLvl w:val="1"/>
        <w:rPr>
          <w:rStyle w:val="29"/>
          <w:rFonts w:hint="default" w:ascii="Times New Roman" w:hAnsi="Times New Roman" w:eastAsia="方正黑体_GBK" w:cs="Times New Roman"/>
          <w:b w:val="0"/>
        </w:rPr>
      </w:pPr>
      <w:bookmarkStart w:id="23" w:name="_Toc15377207"/>
      <w:bookmarkStart w:id="24" w:name="_Toc15396605"/>
      <w:bookmarkStart w:id="25" w:name="_Toc29509"/>
      <w:r>
        <w:rPr>
          <w:rFonts w:hint="default" w:ascii="Times New Roman" w:hAnsi="Times New Roman" w:eastAsia="方正黑体_GBK" w:cs="Times New Roman"/>
          <w:sz w:val="32"/>
          <w:szCs w:val="32"/>
        </w:rPr>
        <w:t>三、支</w:t>
      </w:r>
      <w:r>
        <w:rPr>
          <w:rStyle w:val="29"/>
          <w:rFonts w:hint="default" w:ascii="Times New Roman" w:hAnsi="Times New Roman" w:eastAsia="方正黑体_GBK" w:cs="Times New Roman"/>
          <w:b w:val="0"/>
        </w:rPr>
        <w:t>出决算情况说明</w:t>
      </w:r>
      <w:bookmarkEnd w:id="23"/>
      <w:bookmarkEnd w:id="24"/>
      <w:bookmarkEnd w:id="25"/>
    </w:p>
    <w:p>
      <w:pPr>
        <w:pStyle w:val="27"/>
        <w:spacing w:line="600" w:lineRule="exact"/>
        <w:ind w:firstLine="640"/>
        <w:outlineLvl w:val="1"/>
        <w:rPr>
          <w:rFonts w:hint="default" w:ascii="Times New Roman" w:hAnsi="Times New Roman" w:eastAsia="仿宋_GB2312" w:cs="Times New Roman"/>
          <w:sz w:val="32"/>
          <w:szCs w:val="32"/>
          <w:lang w:val="en-US" w:eastAsia="zh-CN"/>
        </w:rPr>
      </w:pPr>
      <w:bookmarkStart w:id="26" w:name="_Toc26490"/>
      <w:r>
        <w:rPr>
          <w:rFonts w:hint="default" w:ascii="Times New Roman" w:hAnsi="Times New Roman" w:eastAsia="方正仿宋_GBK" w:cs="Times New Roman"/>
          <w:sz w:val="32"/>
          <w:szCs w:val="32"/>
          <w:lang w:eastAsia="zh-CN"/>
        </w:rPr>
        <w:drawing>
          <wp:anchor distT="0" distB="0" distL="114300" distR="114300" simplePos="0" relativeHeight="251661312" behindDoc="0" locked="0" layoutInCell="1" allowOverlap="1">
            <wp:simplePos x="0" y="0"/>
            <wp:positionH relativeFrom="column">
              <wp:posOffset>116205</wp:posOffset>
            </wp:positionH>
            <wp:positionV relativeFrom="paragraph">
              <wp:posOffset>1497965</wp:posOffset>
            </wp:positionV>
            <wp:extent cx="4949190" cy="2671445"/>
            <wp:effectExtent l="4445" t="4445" r="12065" b="1651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方正仿宋_GBK" w:cs="Times New Roman"/>
          <w:sz w:val="32"/>
          <w:szCs w:val="32"/>
        </w:rPr>
        <w:t>2025年度本年支出合计</w:t>
      </w:r>
      <w:r>
        <w:rPr>
          <w:rFonts w:hint="default" w:ascii="Times New Roman" w:hAnsi="Times New Roman" w:eastAsia="方正仿宋_GBK" w:cs="Times New Roman"/>
          <w:sz w:val="32"/>
          <w:szCs w:val="32"/>
          <w:lang w:val="en-US" w:eastAsia="zh-CN"/>
        </w:rPr>
        <w:t>17890.8</w:t>
      </w:r>
      <w:r>
        <w:rPr>
          <w:rFonts w:hint="default" w:ascii="Times New Roman" w:hAnsi="Times New Roman" w:eastAsia="方正仿宋_GBK" w:cs="Times New Roman"/>
          <w:sz w:val="32"/>
          <w:szCs w:val="32"/>
        </w:rPr>
        <w:t>万元，其中：基本支出</w:t>
      </w:r>
      <w:r>
        <w:rPr>
          <w:rFonts w:hint="default" w:ascii="Times New Roman" w:hAnsi="Times New Roman" w:eastAsia="方正仿宋_GBK" w:cs="Times New Roman"/>
          <w:sz w:val="32"/>
          <w:szCs w:val="32"/>
          <w:lang w:val="en-US" w:eastAsia="zh-CN"/>
        </w:rPr>
        <w:t>2362.62</w:t>
      </w:r>
      <w:r>
        <w:rPr>
          <w:rFonts w:hint="default" w:ascii="Times New Roman" w:hAnsi="Times New Roman" w:eastAsia="方正仿宋_GBK" w:cs="Times New Roman"/>
          <w:sz w:val="32"/>
          <w:szCs w:val="32"/>
        </w:rPr>
        <w:t>万元，占13.2%；项目支出</w:t>
      </w:r>
      <w:r>
        <w:rPr>
          <w:rFonts w:hint="default" w:ascii="Times New Roman" w:hAnsi="Times New Roman" w:eastAsia="方正仿宋_GBK" w:cs="Times New Roman"/>
          <w:sz w:val="32"/>
          <w:szCs w:val="32"/>
          <w:highlight w:val="none"/>
        </w:rPr>
        <w:t>15528.18</w:t>
      </w:r>
      <w:r>
        <w:rPr>
          <w:rFonts w:hint="default" w:ascii="Times New Roman" w:hAnsi="Times New Roman" w:eastAsia="方正仿宋_GBK" w:cs="Times New Roman"/>
          <w:sz w:val="32"/>
          <w:szCs w:val="32"/>
        </w:rPr>
        <w:t>万元，占86.8%；上缴上级支出0万元，占0%；经营支出0万元，占0%；对附属单位补助支出0万元，占0%。</w:t>
      </w:r>
      <w:bookmarkEnd w:id="26"/>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bookmarkStart w:id="27" w:name="_Toc14860"/>
      <w:r>
        <w:rPr>
          <w:rFonts w:hint="default" w:ascii="Times New Roman" w:hAnsi="Times New Roman" w:eastAsia="仿宋_GB2312" w:cs="Times New Roman"/>
          <w:sz w:val="32"/>
          <w:szCs w:val="32"/>
        </w:rPr>
        <w:t>（图3：支出决算结构图）（饼状图）</w:t>
      </w:r>
      <w:bookmarkEnd w:id="27"/>
    </w:p>
    <w:p>
      <w:pPr>
        <w:pStyle w:val="27"/>
        <w:spacing w:line="600" w:lineRule="exact"/>
        <w:ind w:firstLine="640"/>
        <w:outlineLvl w:val="1"/>
        <w:rPr>
          <w:rFonts w:hint="default" w:ascii="Times New Roman" w:hAnsi="Times New Roman" w:eastAsia="方正仿宋_GBK" w:cs="Times New Roman"/>
          <w:sz w:val="32"/>
          <w:szCs w:val="32"/>
        </w:rPr>
      </w:pPr>
      <w:bookmarkStart w:id="28" w:name="_Toc2484"/>
      <w:r>
        <w:rPr>
          <w:rFonts w:hint="default" w:ascii="Times New Roman" w:hAnsi="Times New Roman" w:eastAsia="方正仿宋_GBK" w:cs="Times New Roman"/>
          <w:sz w:val="32"/>
          <w:szCs w:val="32"/>
        </w:rPr>
        <w:t>（图3：支出决算结构图）（饼状图）</w:t>
      </w:r>
      <w:bookmarkEnd w:id="28"/>
    </w:p>
    <w:p>
      <w:pPr>
        <w:spacing w:line="600" w:lineRule="exact"/>
        <w:ind w:firstLine="640" w:firstLineChars="200"/>
        <w:outlineLvl w:val="1"/>
        <w:rPr>
          <w:rStyle w:val="29"/>
          <w:rFonts w:hint="default" w:ascii="Times New Roman" w:hAnsi="Times New Roman" w:eastAsia="方正黑体_GBK" w:cs="Times New Roman"/>
          <w:b w:val="0"/>
        </w:rPr>
      </w:pPr>
      <w:bookmarkStart w:id="29" w:name="_Toc15377208"/>
      <w:bookmarkStart w:id="30" w:name="_Toc15396606"/>
      <w:bookmarkStart w:id="31" w:name="_Toc1489"/>
      <w:r>
        <w:rPr>
          <w:rFonts w:hint="default" w:ascii="Times New Roman" w:hAnsi="Times New Roman" w:eastAsia="方正黑体_GBK" w:cs="Times New Roman"/>
          <w:sz w:val="32"/>
          <w:szCs w:val="32"/>
        </w:rPr>
        <w:t>四、财</w:t>
      </w:r>
      <w:r>
        <w:rPr>
          <w:rStyle w:val="29"/>
          <w:rFonts w:hint="default" w:ascii="Times New Roman" w:hAnsi="Times New Roman" w:eastAsia="方正黑体_GBK" w:cs="Times New Roman"/>
          <w:b w:val="0"/>
        </w:rPr>
        <w:t>政拨款收入支出决算总体情况说明</w:t>
      </w:r>
      <w:bookmarkEnd w:id="29"/>
      <w:bookmarkEnd w:id="30"/>
      <w:bookmarkEnd w:id="31"/>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2025年度财政拨款收入、支出总计均为</w:t>
      </w:r>
      <w:r>
        <w:rPr>
          <w:rFonts w:hint="default" w:ascii="Times New Roman" w:hAnsi="Times New Roman" w:eastAsia="方正仿宋_GBK" w:cs="Times New Roman"/>
          <w:sz w:val="32"/>
          <w:szCs w:val="32"/>
          <w:lang w:val="en-US" w:eastAsia="zh-CN"/>
        </w:rPr>
        <w:t>17890.8</w:t>
      </w:r>
      <w:r>
        <w:rPr>
          <w:rFonts w:hint="default" w:ascii="Times New Roman" w:hAnsi="Times New Roman" w:eastAsia="方正仿宋_GBK" w:cs="Times New Roman"/>
          <w:sz w:val="32"/>
          <w:szCs w:val="32"/>
        </w:rPr>
        <w:t>万元。与上年度相比，财政拨款收入、支出总计各增加2160.9万元，增长13.74%。主要变动原因本年度地方政府专项债券资金等政府性基金预算财政拨款支出增加。</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drawing>
          <wp:anchor distT="0" distB="0" distL="114300" distR="114300" simplePos="0" relativeHeight="251662336" behindDoc="0" locked="0" layoutInCell="1" allowOverlap="1">
            <wp:simplePos x="0" y="0"/>
            <wp:positionH relativeFrom="column">
              <wp:posOffset>15875</wp:posOffset>
            </wp:positionH>
            <wp:positionV relativeFrom="paragraph">
              <wp:posOffset>54610</wp:posOffset>
            </wp:positionV>
            <wp:extent cx="5256530" cy="2988310"/>
            <wp:effectExtent l="5080" t="4445" r="8890" b="1714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仿宋_GB2312" w:cs="Times New Roman"/>
          <w:sz w:val="32"/>
          <w:szCs w:val="32"/>
        </w:rPr>
      </w:pPr>
    </w:p>
    <w:p>
      <w:pPr>
        <w:spacing w:line="60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（图4：财政拨款收、支决算总计变动情况）（柱状图）</w:t>
      </w:r>
    </w:p>
    <w:p>
      <w:pPr>
        <w:spacing w:line="600" w:lineRule="exact"/>
        <w:ind w:firstLine="640" w:firstLineChars="200"/>
        <w:outlineLvl w:val="1"/>
        <w:rPr>
          <w:rStyle w:val="29"/>
          <w:rFonts w:hint="default" w:ascii="Times New Roman" w:hAnsi="Times New Roman" w:eastAsia="方正黑体_GBK" w:cs="Times New Roman"/>
          <w:b w:val="0"/>
        </w:rPr>
      </w:pPr>
      <w:bookmarkStart w:id="32" w:name="_Toc19628"/>
      <w:bookmarkStart w:id="33" w:name="_Toc15396607"/>
      <w:bookmarkStart w:id="34" w:name="_Toc15377209"/>
      <w:r>
        <w:rPr>
          <w:rFonts w:hint="default" w:ascii="Times New Roman" w:hAnsi="Times New Roman" w:eastAsia="方正黑体_GBK" w:cs="Times New Roman"/>
          <w:sz w:val="32"/>
          <w:szCs w:val="32"/>
        </w:rPr>
        <w:t>五、</w:t>
      </w:r>
      <w:r>
        <w:rPr>
          <w:rFonts w:hint="default" w:ascii="Times New Roman" w:hAnsi="Times New Roman" w:eastAsia="方正黑体_GBK" w:cs="Times New Roman"/>
          <w:b/>
          <w:sz w:val="32"/>
          <w:szCs w:val="32"/>
        </w:rPr>
        <w:t>一</w:t>
      </w:r>
      <w:r>
        <w:rPr>
          <w:rStyle w:val="29"/>
          <w:rFonts w:hint="default" w:ascii="Times New Roman" w:hAnsi="Times New Roman" w:eastAsia="方正黑体_GBK" w:cs="Times New Roman"/>
          <w:b w:val="0"/>
        </w:rPr>
        <w:t>般公共预算财政拨款支出决算情况说明</w:t>
      </w:r>
      <w:bookmarkEnd w:id="32"/>
      <w:bookmarkEnd w:id="33"/>
      <w:bookmarkEnd w:id="34"/>
    </w:p>
    <w:p>
      <w:pPr>
        <w:spacing w:line="600" w:lineRule="exact"/>
        <w:ind w:firstLine="643" w:firstLineChars="200"/>
        <w:outlineLvl w:val="2"/>
        <w:rPr>
          <w:rFonts w:hint="default" w:ascii="Times New Roman" w:hAnsi="Times New Roman" w:eastAsia="方正楷体_GBK" w:cs="Times New Roman"/>
          <w:b/>
          <w:sz w:val="32"/>
          <w:szCs w:val="32"/>
        </w:rPr>
      </w:pPr>
      <w:bookmarkStart w:id="35" w:name="_Toc15377210"/>
      <w:r>
        <w:rPr>
          <w:rFonts w:hint="default" w:ascii="Times New Roman" w:hAnsi="Times New Roman" w:eastAsia="方正楷体_GBK" w:cs="Times New Roman"/>
          <w:b/>
          <w:sz w:val="32"/>
          <w:szCs w:val="32"/>
        </w:rPr>
        <w:t>（一）一般公共预算财政拨款支出决算总体情况</w:t>
      </w:r>
      <w:bookmarkEnd w:id="35"/>
    </w:p>
    <w:p>
      <w:pPr>
        <w:spacing w:line="600" w:lineRule="exact"/>
        <w:ind w:firstLine="64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2025年度一般公共预算财政拨款支出13447.49万元，占本年支出合计的75.2%。与上年度相比，一般公共预算财政拨款支出减少2110.99万元，下降13.6%。主要变动原因是部分项目资金改由政府性基金预算（地方政府专项债券）安排</w:t>
      </w:r>
      <w:r>
        <w:rPr>
          <w:rFonts w:hint="default" w:ascii="Times New Roman" w:hAnsi="Times New Roman" w:eastAsia="方正仿宋_GBK" w:cs="Times New Roman"/>
          <w:sz w:val="32"/>
          <w:szCs w:val="32"/>
          <w:lang w:eastAsia="zh-CN"/>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drawing>
          <wp:anchor distT="0" distB="0" distL="114300" distR="114300" simplePos="0" relativeHeight="251663360" behindDoc="0" locked="0" layoutInCell="1" allowOverlap="1">
            <wp:simplePos x="0" y="0"/>
            <wp:positionH relativeFrom="column">
              <wp:posOffset>296545</wp:posOffset>
            </wp:positionH>
            <wp:positionV relativeFrom="paragraph">
              <wp:posOffset>54610</wp:posOffset>
            </wp:positionV>
            <wp:extent cx="4975860" cy="2353945"/>
            <wp:effectExtent l="4445" t="4445" r="10795" b="1651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rPr>
          <w:rFonts w:hint="default" w:ascii="Times New Roman" w:hAnsi="Times New Roman" w:cs="Times New Roman"/>
        </w:rPr>
      </w:pPr>
    </w:p>
    <w:p>
      <w:pPr>
        <w:spacing w:line="60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（图5：一般公共预算财政拨款支出决算变动情况）（柱状图）</w:t>
      </w:r>
    </w:p>
    <w:p>
      <w:pPr>
        <w:spacing w:line="600" w:lineRule="exact"/>
        <w:ind w:firstLine="643" w:firstLineChars="200"/>
        <w:outlineLvl w:val="2"/>
        <w:rPr>
          <w:rFonts w:hint="default" w:ascii="Times New Roman" w:hAnsi="Times New Roman" w:eastAsia="方正楷体_GBK" w:cs="Times New Roman"/>
          <w:b/>
          <w:sz w:val="32"/>
          <w:szCs w:val="32"/>
        </w:rPr>
      </w:pPr>
      <w:bookmarkStart w:id="36" w:name="_Toc15377211"/>
      <w:r>
        <w:rPr>
          <w:rFonts w:hint="default" w:ascii="Times New Roman" w:hAnsi="Times New Roman" w:eastAsia="方正楷体_GBK" w:cs="Times New Roman"/>
          <w:b/>
          <w:sz w:val="32"/>
          <w:szCs w:val="32"/>
        </w:rPr>
        <w:t>（二）一般公共预算财政拨款支出决算结构情况</w:t>
      </w:r>
      <w:bookmarkEnd w:id="36"/>
    </w:p>
    <w:p>
      <w:pPr>
        <w:spacing w:line="600" w:lineRule="exact"/>
        <w:ind w:firstLine="64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rPr>
        <w:t>2025年度一般公共预算财政拨款支出13447.49万元，主要用于以下方面：</w:t>
      </w:r>
      <w:r>
        <w:rPr>
          <w:rFonts w:hint="default" w:ascii="Times New Roman" w:hAnsi="Times New Roman" w:eastAsia="方正仿宋_GBK" w:cs="Times New Roman"/>
          <w:sz w:val="32"/>
          <w:szCs w:val="32"/>
          <w:highlight w:val="none"/>
        </w:rPr>
        <w:t>社会保障和就业支出407.98万元，占3.0%；卫生健康支出119.25万元，占0.9%；城乡社区支出18.9万元，占0.1%；农林水支出12749.75万元，占94.8%；住房保障支出151.61万元，占1.1%。</w:t>
      </w:r>
    </w:p>
    <w:p>
      <w:pPr>
        <w:spacing w:line="60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宋体" w:cs="Times New Roman"/>
          <w:lang w:eastAsia="zh-CN"/>
        </w:rPr>
        <w:drawing>
          <wp:anchor distT="0" distB="0" distL="114300" distR="114300" simplePos="0" relativeHeight="251665408" behindDoc="0" locked="0" layoutInCell="1" allowOverlap="1">
            <wp:simplePos x="0" y="0"/>
            <wp:positionH relativeFrom="column">
              <wp:posOffset>485775</wp:posOffset>
            </wp:positionH>
            <wp:positionV relativeFrom="paragraph">
              <wp:posOffset>64135</wp:posOffset>
            </wp:positionV>
            <wp:extent cx="4785995" cy="2400300"/>
            <wp:effectExtent l="4445" t="4445" r="10160" b="825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2"/>
        <w:ind w:left="0" w:leftChars="0" w:firstLine="0" w:firstLineChars="0"/>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rPr>
          <w:rFonts w:hint="default" w:ascii="Times New Roman" w:hAnsi="Times New Roman" w:eastAsia="宋体" w:cs="Times New Roman"/>
          <w:lang w:eastAsia="zh-CN"/>
        </w:rPr>
      </w:pP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（图6：一般公共预算财政拨款支出决算结构）（饼状图）</w:t>
      </w:r>
    </w:p>
    <w:p>
      <w:pPr>
        <w:spacing w:line="600" w:lineRule="exact"/>
        <w:ind w:firstLine="643" w:firstLineChars="200"/>
        <w:outlineLvl w:val="2"/>
        <w:rPr>
          <w:rFonts w:hint="default" w:ascii="Times New Roman" w:hAnsi="Times New Roman" w:eastAsia="方正楷体_GBK" w:cs="Times New Roman"/>
          <w:b/>
          <w:sz w:val="32"/>
          <w:szCs w:val="32"/>
        </w:rPr>
      </w:pPr>
      <w:bookmarkStart w:id="37" w:name="_Toc15377212"/>
      <w:r>
        <w:rPr>
          <w:rFonts w:hint="default" w:ascii="Times New Roman" w:hAnsi="Times New Roman" w:eastAsia="方正楷体_GBK" w:cs="Times New Roman"/>
          <w:b/>
          <w:sz w:val="32"/>
          <w:szCs w:val="32"/>
        </w:rPr>
        <w:t>（三）一般公共预算财政拨款支出决算具体情况</w:t>
      </w:r>
      <w:bookmarkEnd w:id="37"/>
    </w:p>
    <w:p>
      <w:pPr>
        <w:spacing w:line="600" w:lineRule="exact"/>
        <w:ind w:firstLine="640"/>
        <w:rPr>
          <w:rFonts w:hint="default" w:ascii="Times New Roman" w:hAnsi="Times New Roman" w:eastAsia="方正仿宋_GBK" w:cs="Times New Roman"/>
          <w:sz w:val="32"/>
          <w:szCs w:val="32"/>
        </w:rPr>
      </w:pPr>
      <w:bookmarkStart w:id="38" w:name="_Toc15377213"/>
      <w:bookmarkStart w:id="39" w:name="_Toc15378460"/>
      <w:bookmarkStart w:id="40" w:name="_Toc15377444"/>
      <w:r>
        <w:rPr>
          <w:rFonts w:hint="default" w:ascii="Times New Roman" w:hAnsi="Times New Roman" w:eastAsia="方正仿宋_GBK" w:cs="Times New Roman"/>
          <w:sz w:val="32"/>
          <w:szCs w:val="32"/>
        </w:rPr>
        <w:t>2025年度一般公共预算支出决算数为13447.49，完成预</w:t>
      </w:r>
      <w:r>
        <w:rPr>
          <w:rFonts w:hint="default" w:ascii="Times New Roman" w:hAnsi="Times New Roman" w:eastAsia="方正仿宋_GBK" w:cs="Times New Roman"/>
          <w:sz w:val="32"/>
          <w:szCs w:val="32"/>
          <w:highlight w:val="none"/>
        </w:rPr>
        <w:t>算</w:t>
      </w:r>
      <w:r>
        <w:rPr>
          <w:rFonts w:hint="default" w:ascii="Times New Roman" w:hAnsi="Times New Roman" w:eastAsia="方正仿宋_GBK" w:cs="Times New Roman"/>
          <w:sz w:val="32"/>
          <w:szCs w:val="32"/>
          <w:highlight w:val="none"/>
          <w:lang w:val="en-US" w:eastAsia="zh-CN"/>
        </w:rPr>
        <w:t>100</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rPr>
        <w:t>其中：</w:t>
      </w:r>
      <w:bookmarkEnd w:id="38"/>
      <w:bookmarkEnd w:id="39"/>
      <w:bookmarkEnd w:id="40"/>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1.社会保障和就业支出（类）行政事业单位养老支出（款）行政单位离退休（项）：支出决算为85万元，完成预算100%，决算数等于预算数。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2.社会保障和就业支出（类）行政事业单位养老支出（款）事业单位离退休（项）：支出决算为46.72万元，完成预算100%，决算数等于预算数。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3.社会保障和就业支出（类）行政事业单位养老支出（款）机关事业单位基本养老保险缴费支出（项）：支出决算为188.2万元，完成预算100%，决算数等于预算数。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4.社会保障和就业支出（类）行政事业单位养老支出（款）机关事业单位职业年金缴费支出（项）：支出决算为61万元，完成预算100%，决算数等于预算数。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5.社会保障和就业支出（类）抚恤（款）死亡抚恤（项）：支出决算为23.72万元，完成预算100%，决算数等于预算数。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6.社会保障和就业支出（类）抚恤（款）伤残抚恤（项）：支出决算为3.34万元，完成预算100%，决算数等于预算数。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7.卫生健康支出（类）行政事业单位医疗（款）行政单位医疗（项）：支出决算为35.14万元，完成预算100%，决算数等于预算数。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8.卫生健康支出（类）行政事业单位医疗（款）事业单位医疗（项）：支出决算为62.33万元，完成预算100%，决算数等于预算数。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9.卫生健康支出（类）行政事业单位医疗（款）公务员医疗补助（项）：支出决算为21.78万元，完成预算100%，决算数等于预算数。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10.城乡社区支出（类）其他城乡社区支出（款）其他城乡社区支出（项）：支出决算为18.9万元，完成预算100%，决算数等于预算数。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11.农林水支出（类）农业农村（款）行政运行（项）：支出决算为642.58万元，完成预算100%，决算数等于预算数。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12.农林水支出（类）农业农村（款）事业运行（项）：支出决算为1041.21万元，完成预算100%，决算数等于预算数。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13.农林水支出（类）农业农村（款）科技转化与推广服务（项）：支出决算为21.12万元，完成预算100%，决算数等于预算数。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14.农林水支出（类）农业农村（款）病虫害控制（项）：支出决算为35万元，完成预算100%，决算数等于预算数。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15.农林水支出（类）农业农村（款）农产品质量安全（项）：支出决算为24.5万元，完成预算100%，决算数等于预算数。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16.农林水支出（类）农业农村（款）防灾救灾（项）：支出决算为170.77万元，完成预算100%，决算数等于预算数。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17.农林水支出（类）农业农村（款）稳定农民收入补贴（项）：支出决算为0.17万元，完成预算100%，决算数等于预算数。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18.农林水支出（类）农业农村（款）农业生产发展（项）：支出决算为1968.91万元，完成预算100%，决算数等于预算数。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19.农林水支出（类）农业农村（款）农产品加工与促销（项）：支出决算为470万元，完成预算100%，决算数等于预算数。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20.农林水支出（类）农业农村（款）农业生态资源保护（项）：支出决算为4万元，完成预算100%，决算数等于预算数。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21.农林水支出（类）农业农村（款）耕地建设与利用（项）：支出决算为199.6万元，完成预算100%，决算数等于预算数。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22.农林水支出（类）农业农村（款）其他农业农村支出（项）：支出决算为3017.07万元，完成预算100%，决算数等于预算数。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23.农林水支出（类）</w:t>
      </w:r>
      <w:r>
        <w:rPr>
          <w:rFonts w:hint="default" w:ascii="Times New Roman" w:hAnsi="Times New Roman" w:eastAsia="方正仿宋_GBK" w:cs="Times New Roman"/>
          <w:sz w:val="32"/>
          <w:szCs w:val="32"/>
          <w:highlight w:val="none"/>
          <w:lang w:eastAsia="zh-CN"/>
        </w:rPr>
        <w:t>巩固拓展脱贫攻坚成果</w:t>
      </w:r>
      <w:r>
        <w:rPr>
          <w:rFonts w:hint="default" w:ascii="Times New Roman" w:hAnsi="Times New Roman" w:eastAsia="方正仿宋_GBK" w:cs="Times New Roman"/>
          <w:sz w:val="32"/>
          <w:szCs w:val="32"/>
          <w:highlight w:val="none"/>
        </w:rPr>
        <w:t>衔接乡村振兴（款）其他</w:t>
      </w:r>
      <w:r>
        <w:rPr>
          <w:rFonts w:hint="default" w:ascii="Times New Roman" w:hAnsi="Times New Roman" w:eastAsia="方正仿宋_GBK" w:cs="Times New Roman"/>
          <w:sz w:val="32"/>
          <w:szCs w:val="32"/>
          <w:highlight w:val="none"/>
          <w:lang w:eastAsia="zh-CN"/>
        </w:rPr>
        <w:t>巩固拓展脱贫攻坚成果</w:t>
      </w:r>
      <w:r>
        <w:rPr>
          <w:rFonts w:hint="default" w:ascii="Times New Roman" w:hAnsi="Times New Roman" w:eastAsia="方正仿宋_GBK" w:cs="Times New Roman"/>
          <w:sz w:val="32"/>
          <w:szCs w:val="32"/>
          <w:highlight w:val="none"/>
        </w:rPr>
        <w:t>衔接乡村振兴支出（项）：支出决算为4813.43万元，完成预算100%，决算数等于预算数。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24.农林水支出（类）农村综合改革（款）其他农村综合改革支出（项）：支出决算为216万元，完成预算100%，决算数等于预算数。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25.农林水支出（类）目标价格补贴（款）其他目标价格补贴（项）：支出决算为40.18万元，完成预算100%，决算数等于预算数。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26.农林水支出（类）其他农林水支出（款）其他农林水支出（项）：支出决算为85.21万元，完成预算100%，决算数等于预算数。</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27.住房保障支出（类）住房改革支出（款）住房公积金（项）：支出决算为151.61万元，完成预算100%，决算数等于预算数。</w:t>
      </w:r>
    </w:p>
    <w:p>
      <w:pPr>
        <w:tabs>
          <w:tab w:val="right" w:pos="8306"/>
        </w:tabs>
        <w:spacing w:line="600" w:lineRule="exact"/>
        <w:ind w:firstLine="640"/>
        <w:outlineLvl w:val="1"/>
        <w:rPr>
          <w:rStyle w:val="29"/>
          <w:rFonts w:hint="default" w:ascii="Times New Roman" w:hAnsi="Times New Roman" w:eastAsia="方正黑体_GBK" w:cs="Times New Roman"/>
        </w:rPr>
      </w:pPr>
      <w:bookmarkStart w:id="41" w:name="_Toc15396608"/>
      <w:bookmarkStart w:id="42" w:name="_Toc15377214"/>
      <w:bookmarkStart w:id="43" w:name="_Toc4404"/>
      <w:r>
        <w:rPr>
          <w:rFonts w:hint="default" w:ascii="Times New Roman" w:hAnsi="Times New Roman" w:eastAsia="方正黑体_GBK" w:cs="Times New Roman"/>
          <w:sz w:val="32"/>
          <w:szCs w:val="32"/>
        </w:rPr>
        <w:t>六</w:t>
      </w:r>
      <w:r>
        <w:rPr>
          <w:rFonts w:hint="default" w:ascii="Times New Roman" w:hAnsi="Times New Roman" w:eastAsia="方正黑体_GBK" w:cs="Times New Roman"/>
          <w:b/>
          <w:sz w:val="32"/>
          <w:szCs w:val="32"/>
        </w:rPr>
        <w:t>、一</w:t>
      </w:r>
      <w:r>
        <w:rPr>
          <w:rStyle w:val="29"/>
          <w:rFonts w:hint="default" w:ascii="Times New Roman" w:hAnsi="Times New Roman" w:eastAsia="方正黑体_GBK" w:cs="Times New Roman"/>
          <w:b w:val="0"/>
        </w:rPr>
        <w:t>般公共预算财政拨款基本支出决算情况说明</w:t>
      </w:r>
      <w:bookmarkEnd w:id="41"/>
      <w:bookmarkEnd w:id="42"/>
      <w:bookmarkEnd w:id="43"/>
      <w:r>
        <w:rPr>
          <w:rStyle w:val="29"/>
          <w:rFonts w:hint="default" w:ascii="Times New Roman" w:hAnsi="Times New Roman" w:eastAsia="方正黑体_GBK" w:cs="Times New Roman"/>
          <w:b w:val="0"/>
        </w:rPr>
        <w:tab/>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2025年度一般公共预算财政拨款基本支出2362.62万元，其中：</w:t>
      </w:r>
    </w:p>
    <w:p>
      <w:pPr>
        <w:widowControl/>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人员经费2191.03万元，主要包括：基本工资、津贴补贴、奖金、绩效工资、机关事业单位基本养老保险缴费、职业年金缴费、职工基本医疗保险缴费、公务员医疗补助缴费、其他社会保障缴费、住房公积金、医疗费、其他工资福利支出、抚恤金、生活补助、医疗费补助等。</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highlight w:val="none"/>
        </w:rPr>
        <w:t>公用经费171.6万元，主要包括：办公费、印刷费、水费、电费、邮电费、差旅费、维修（护）费、培训费、公务接待费、劳务费、委托业务费、工会经费、福利费、公务用车运行维护费、其他交通费用、其他商品和服务支出、办公设备购置等。</w:t>
      </w:r>
    </w:p>
    <w:p>
      <w:pPr>
        <w:spacing w:line="600" w:lineRule="exact"/>
        <w:ind w:firstLine="640"/>
        <w:outlineLvl w:val="1"/>
        <w:rPr>
          <w:rStyle w:val="29"/>
          <w:rFonts w:hint="default" w:ascii="Times New Roman" w:hAnsi="Times New Roman" w:eastAsia="方正黑体_GBK" w:cs="Times New Roman"/>
          <w:b w:val="0"/>
        </w:rPr>
      </w:pPr>
      <w:bookmarkStart w:id="44" w:name="_Toc22599"/>
      <w:bookmarkStart w:id="45" w:name="_Toc15377215"/>
      <w:bookmarkStart w:id="46" w:name="_Toc15396609"/>
      <w:r>
        <w:rPr>
          <w:rFonts w:hint="default" w:ascii="Times New Roman" w:hAnsi="Times New Roman" w:eastAsia="方正黑体_GBK" w:cs="Times New Roman"/>
          <w:sz w:val="32"/>
          <w:szCs w:val="32"/>
        </w:rPr>
        <w:t>七、</w:t>
      </w:r>
      <w:r>
        <w:rPr>
          <w:rStyle w:val="29"/>
          <w:rFonts w:hint="default" w:ascii="Times New Roman" w:hAnsi="Times New Roman" w:eastAsia="方正黑体_GBK" w:cs="Times New Roman"/>
          <w:b w:val="0"/>
        </w:rPr>
        <w:t>财政拨款</w:t>
      </w:r>
      <w:r>
        <w:rPr>
          <w:rStyle w:val="29"/>
          <w:rFonts w:hint="default" w:ascii="Times New Roman" w:hAnsi="Times New Roman" w:eastAsia="方正黑体_GBK" w:cs="Times New Roman"/>
        </w:rPr>
        <w:t>“</w:t>
      </w:r>
      <w:r>
        <w:rPr>
          <w:rStyle w:val="29"/>
          <w:rFonts w:hint="default" w:ascii="Times New Roman" w:hAnsi="Times New Roman" w:eastAsia="方正黑体_GBK" w:cs="Times New Roman"/>
          <w:b w:val="0"/>
        </w:rPr>
        <w:t>三公”经费支出决算情况说明</w:t>
      </w:r>
      <w:bookmarkEnd w:id="44"/>
      <w:bookmarkEnd w:id="45"/>
      <w:bookmarkEnd w:id="46"/>
    </w:p>
    <w:p>
      <w:pPr>
        <w:spacing w:line="600" w:lineRule="exact"/>
        <w:ind w:firstLine="643" w:firstLineChars="200"/>
        <w:outlineLvl w:val="2"/>
        <w:rPr>
          <w:rFonts w:hint="default" w:ascii="Times New Roman" w:hAnsi="Times New Roman" w:eastAsia="方正楷体_GBK" w:cs="Times New Roman"/>
          <w:b/>
          <w:sz w:val="32"/>
          <w:szCs w:val="32"/>
        </w:rPr>
      </w:pPr>
      <w:bookmarkStart w:id="47" w:name="_Toc15377216"/>
      <w:r>
        <w:rPr>
          <w:rFonts w:hint="default" w:ascii="Times New Roman" w:hAnsi="Times New Roman" w:eastAsia="方正楷体_GBK" w:cs="Times New Roman"/>
          <w:b/>
          <w:sz w:val="32"/>
          <w:szCs w:val="32"/>
        </w:rPr>
        <w:t>（一）财政拨款“三公”经费支出决算总体情况说明</w:t>
      </w:r>
      <w:bookmarkEnd w:id="47"/>
    </w:p>
    <w:p>
      <w:pPr>
        <w:spacing w:line="600" w:lineRule="exact"/>
        <w:ind w:firstLine="64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2025年度财政拨款“三公”经费支出决算为20.09万元，完成预算100%，较上年度减少3万元，下降13%。决算数与预算数持平。</w:t>
      </w:r>
    </w:p>
    <w:p>
      <w:pPr>
        <w:spacing w:line="600" w:lineRule="exact"/>
        <w:ind w:firstLine="643" w:firstLineChars="200"/>
        <w:outlineLvl w:val="2"/>
        <w:rPr>
          <w:rFonts w:hint="default" w:ascii="Times New Roman" w:hAnsi="Times New Roman" w:eastAsia="方正楷体_GBK" w:cs="Times New Roman"/>
          <w:b/>
          <w:sz w:val="32"/>
          <w:szCs w:val="32"/>
        </w:rPr>
      </w:pPr>
      <w:bookmarkStart w:id="48" w:name="_Toc15377217"/>
      <w:r>
        <w:rPr>
          <w:rFonts w:hint="default" w:ascii="Times New Roman" w:hAnsi="Times New Roman" w:eastAsia="方正楷体_GBK" w:cs="Times New Roman"/>
          <w:b/>
          <w:sz w:val="32"/>
          <w:szCs w:val="32"/>
        </w:rPr>
        <w:t>（二）财政拨款“三公”经费支出决算具体情况说明</w:t>
      </w:r>
      <w:bookmarkEnd w:id="48"/>
    </w:p>
    <w:p>
      <w:pPr>
        <w:spacing w:line="600" w:lineRule="exact"/>
        <w:ind w:firstLine="640"/>
        <w:rPr>
          <w:rFonts w:hint="default" w:ascii="Times New Roman" w:hAnsi="Times New Roman" w:eastAsia="方正仿宋_GBK" w:cs="Times New Roman"/>
          <w:sz w:val="32"/>
          <w:szCs w:val="32"/>
          <w:highlight w:val="none"/>
        </w:rPr>
      </w:pPr>
      <w:r>
        <w:rPr>
          <w:rFonts w:hint="default" w:ascii="Times New Roman" w:hAnsi="Times New Roman" w:eastAsia="仿宋_GB2312" w:cs="Times New Roman"/>
          <w:sz w:val="32"/>
          <w:szCs w:val="32"/>
          <w:lang w:eastAsia="zh-CN"/>
        </w:rPr>
        <w:drawing>
          <wp:anchor distT="0" distB="0" distL="114300" distR="114300" simplePos="0" relativeHeight="251664384" behindDoc="0" locked="0" layoutInCell="1" allowOverlap="1">
            <wp:simplePos x="0" y="0"/>
            <wp:positionH relativeFrom="column">
              <wp:posOffset>451485</wp:posOffset>
            </wp:positionH>
            <wp:positionV relativeFrom="paragraph">
              <wp:posOffset>1489710</wp:posOffset>
            </wp:positionV>
            <wp:extent cx="4978400" cy="2308860"/>
            <wp:effectExtent l="4445" t="4445" r="8255" b="1079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default" w:ascii="Times New Roman" w:hAnsi="Times New Roman" w:eastAsia="方正仿宋_GBK" w:cs="Times New Roman"/>
          <w:sz w:val="32"/>
          <w:szCs w:val="32"/>
          <w:highlight w:val="none"/>
        </w:rPr>
        <w:t>2025年度财政拨款“三公”经费支出决算中，因公出国（境）费支出决算0万元，占0%；公务用车购置及运行维护费支出决算13.48万元，占67.1%；公务接待费支出决算6.61万元，占32.9%。具体情况如下：</w:t>
      </w: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pStyle w:val="2"/>
        <w:rPr>
          <w:rFonts w:hint="default" w:ascii="Times New Roman" w:hAnsi="Times New Roman" w:cs="Times New Roman"/>
        </w:rPr>
      </w:pPr>
    </w:p>
    <w:p>
      <w:pPr>
        <w:spacing w:line="600" w:lineRule="exact"/>
        <w:ind w:firstLine="64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（图7：财政拨款“三公”经费支出结构）（饼状图）</w:t>
      </w:r>
    </w:p>
    <w:p>
      <w:pPr>
        <w:spacing w:line="600" w:lineRule="exact"/>
        <w:ind w:firstLine="640"/>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b/>
          <w:bCs/>
          <w:sz w:val="32"/>
          <w:szCs w:val="32"/>
          <w:highlight w:val="none"/>
        </w:rPr>
        <w:t>1.因公出国（境）经费支出</w:t>
      </w:r>
      <w:r>
        <w:rPr>
          <w:rFonts w:hint="default" w:ascii="Times New Roman" w:hAnsi="Times New Roman" w:eastAsia="方正仿宋_GBK" w:cs="Times New Roman"/>
          <w:b/>
          <w:bCs/>
          <w:sz w:val="32"/>
          <w:szCs w:val="32"/>
          <w:highlight w:val="none"/>
          <w:lang w:val="en-US" w:eastAsia="zh-CN"/>
        </w:rPr>
        <w:t>0</w:t>
      </w:r>
      <w:r>
        <w:rPr>
          <w:rFonts w:hint="default" w:ascii="Times New Roman" w:hAnsi="Times New Roman" w:eastAsia="方正仿宋_GBK" w:cs="Times New Roman"/>
          <w:b/>
          <w:bCs/>
          <w:sz w:val="32"/>
          <w:szCs w:val="32"/>
          <w:highlight w:val="none"/>
        </w:rPr>
        <w:t>万元，完成预算</w:t>
      </w:r>
      <w:r>
        <w:rPr>
          <w:rFonts w:hint="default" w:ascii="Times New Roman" w:hAnsi="Times New Roman" w:eastAsia="方正仿宋_GBK" w:cs="Times New Roman"/>
          <w:b/>
          <w:bCs/>
          <w:sz w:val="32"/>
          <w:szCs w:val="32"/>
          <w:highlight w:val="none"/>
          <w:lang w:val="en-US" w:eastAsia="zh-CN"/>
        </w:rPr>
        <w:t>0</w:t>
      </w:r>
      <w:r>
        <w:rPr>
          <w:rFonts w:hint="default" w:ascii="Times New Roman" w:hAnsi="Times New Roman" w:eastAsia="方正仿宋_GBK" w:cs="Times New Roman"/>
          <w:b/>
          <w:bCs/>
          <w:sz w:val="32"/>
          <w:szCs w:val="32"/>
          <w:highlight w:val="none"/>
        </w:rPr>
        <w:t>%。</w:t>
      </w:r>
      <w:r>
        <w:rPr>
          <w:rFonts w:hint="default" w:ascii="Times New Roman" w:hAnsi="Times New Roman" w:eastAsia="方正仿宋_GBK" w:cs="Times New Roman"/>
          <w:sz w:val="32"/>
          <w:szCs w:val="32"/>
          <w:highlight w:val="none"/>
        </w:rPr>
        <w:t>全年安排因公出国（境）团组</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次，出国（境）</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人。因公出国（境）支出决算比上年度与上年度持平</w:t>
      </w:r>
      <w:r>
        <w:rPr>
          <w:rFonts w:hint="default" w:ascii="Times New Roman" w:hAnsi="Times New Roman" w:eastAsia="方正仿宋_GBK" w:cs="Times New Roman"/>
          <w:sz w:val="32"/>
          <w:szCs w:val="32"/>
          <w:highlight w:val="none"/>
          <w:lang w:eastAsia="zh-CN"/>
        </w:rPr>
        <w:t>。</w:t>
      </w:r>
    </w:p>
    <w:p>
      <w:pPr>
        <w:spacing w:line="600" w:lineRule="exact"/>
        <w:ind w:firstLine="64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rPr>
        <w:t>2.公务用车购置及运行维护费支出13.48万元，完成预算100%。</w:t>
      </w:r>
      <w:r>
        <w:rPr>
          <w:rFonts w:hint="default" w:ascii="Times New Roman" w:hAnsi="Times New Roman" w:eastAsia="方正仿宋_GBK" w:cs="Times New Roman"/>
          <w:b w:val="0"/>
          <w:bCs w:val="0"/>
          <w:sz w:val="32"/>
          <w:szCs w:val="32"/>
          <w:highlight w:val="none"/>
        </w:rPr>
        <w:t>公</w:t>
      </w:r>
      <w:r>
        <w:rPr>
          <w:rFonts w:hint="default" w:ascii="Times New Roman" w:hAnsi="Times New Roman" w:eastAsia="方正仿宋_GBK" w:cs="Times New Roman"/>
          <w:sz w:val="32"/>
          <w:szCs w:val="32"/>
          <w:highlight w:val="none"/>
        </w:rPr>
        <w:t>务用车购置及运行维护费支出决算比上年度增加2.56万元，增长23.4%。主要原因是</w:t>
      </w:r>
      <w:r>
        <w:rPr>
          <w:rFonts w:hint="default" w:ascii="Times New Roman" w:hAnsi="Times New Roman" w:eastAsia="方正仿宋_GBK" w:cs="Times New Roman"/>
          <w:sz w:val="32"/>
          <w:szCs w:val="32"/>
          <w:highlight w:val="none"/>
          <w:lang w:val="en-US" w:eastAsia="zh-CN"/>
        </w:rPr>
        <w:t>2025年支出财政未支付2024年部分公务用车运行维护费支出部分。</w:t>
      </w:r>
    </w:p>
    <w:p>
      <w:pPr>
        <w:spacing w:line="600" w:lineRule="exact"/>
        <w:ind w:firstLine="64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其中：公务用车购置支出0万元。全年按规定更新购置公务用车0辆，其中：轿车0辆、金额0万元，越野车0辆、金额0万元，载客汽车0辆、金额0万元。截至202</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年12月31日，单位共有公务用车2辆，其中：越野车1辆、客车（7座）1辆。</w:t>
      </w:r>
    </w:p>
    <w:p>
      <w:pPr>
        <w:spacing w:line="600" w:lineRule="exact"/>
        <w:ind w:firstLine="64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公务用车运行维护费支出13.48万元。主要用</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sz w:val="32"/>
          <w:szCs w:val="32"/>
          <w:highlight w:val="none"/>
        </w:rPr>
        <w:t>高标准农田建设、动植物病虫害防治、农产品质量安全</w:t>
      </w:r>
      <w:r>
        <w:rPr>
          <w:rFonts w:hint="default" w:ascii="Times New Roman" w:hAnsi="Times New Roman" w:eastAsia="方正仿宋_GBK" w:cs="Times New Roman"/>
          <w:sz w:val="32"/>
          <w:szCs w:val="32"/>
          <w:highlight w:val="none"/>
          <w:lang w:val="en-US" w:eastAsia="zh-CN"/>
        </w:rPr>
        <w:t>等</w:t>
      </w:r>
      <w:r>
        <w:rPr>
          <w:rFonts w:hint="default" w:ascii="Times New Roman" w:hAnsi="Times New Roman" w:eastAsia="方正仿宋_GBK" w:cs="Times New Roman"/>
          <w:sz w:val="32"/>
          <w:szCs w:val="32"/>
          <w:highlight w:val="none"/>
        </w:rPr>
        <w:t>所需的公务用车燃料费、维修费、过路过桥费、保险费等支出。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3.公务接待费支出6.61万元，完成预算100%。</w:t>
      </w:r>
      <w:r>
        <w:rPr>
          <w:rFonts w:hint="default" w:ascii="Times New Roman" w:hAnsi="Times New Roman" w:eastAsia="方正仿宋_GBK" w:cs="Times New Roman"/>
          <w:b w:val="0"/>
          <w:bCs w:val="0"/>
          <w:sz w:val="32"/>
          <w:szCs w:val="32"/>
        </w:rPr>
        <w:t>公务接待费支出决算比上年度减少5.56万元，下降45.7%</w:t>
      </w:r>
      <w:r>
        <w:rPr>
          <w:rFonts w:hint="default" w:ascii="Times New Roman" w:hAnsi="Times New Roman" w:eastAsia="方正仿宋_GBK" w:cs="Times New Roman"/>
          <w:sz w:val="32"/>
          <w:szCs w:val="32"/>
        </w:rPr>
        <w:t>。主要原因是</w:t>
      </w:r>
      <w:r>
        <w:rPr>
          <w:rFonts w:hint="default" w:ascii="Times New Roman" w:hAnsi="Times New Roman" w:eastAsia="方正仿宋_GBK" w:cs="Times New Roman"/>
          <w:sz w:val="32"/>
          <w:szCs w:val="32"/>
          <w:highlight w:val="none"/>
        </w:rPr>
        <w:t>本年度厉行节约、严格控制公务接待支出</w:t>
      </w:r>
      <w:r>
        <w:rPr>
          <w:rFonts w:hint="default" w:ascii="Times New Roman" w:hAnsi="Times New Roman" w:eastAsia="方正仿宋_GBK" w:cs="Times New Roman"/>
          <w:sz w:val="32"/>
          <w:szCs w:val="32"/>
        </w:rPr>
        <w:t>。其中：</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国内公务接待支出6.6万元，主要用于上级部门到区检查、督导、调研等公务活动用餐费用。</w:t>
      </w:r>
      <w:r>
        <w:rPr>
          <w:rFonts w:hint="default" w:ascii="Times New Roman" w:hAnsi="Times New Roman" w:eastAsia="方正仿宋_GBK" w:cs="Times New Roman"/>
          <w:sz w:val="32"/>
          <w:szCs w:val="32"/>
          <w:highlight w:val="none"/>
        </w:rPr>
        <w:t>国内公务接待</w:t>
      </w:r>
      <w:r>
        <w:rPr>
          <w:rFonts w:hint="default" w:ascii="Times New Roman" w:hAnsi="Times New Roman" w:eastAsia="方正仿宋_GBK" w:cs="Times New Roman"/>
          <w:sz w:val="32"/>
          <w:szCs w:val="32"/>
          <w:highlight w:val="none"/>
          <w:lang w:val="en-US" w:eastAsia="zh-CN"/>
        </w:rPr>
        <w:t>40</w:t>
      </w:r>
      <w:r>
        <w:rPr>
          <w:rFonts w:hint="default" w:ascii="Times New Roman" w:hAnsi="Times New Roman" w:eastAsia="方正仿宋_GBK" w:cs="Times New Roman"/>
          <w:sz w:val="32"/>
          <w:szCs w:val="32"/>
          <w:highlight w:val="none"/>
        </w:rPr>
        <w:t>批次，</w:t>
      </w:r>
      <w:r>
        <w:rPr>
          <w:rFonts w:hint="default" w:ascii="Times New Roman" w:hAnsi="Times New Roman" w:eastAsia="方正仿宋_GBK" w:cs="Times New Roman"/>
          <w:sz w:val="32"/>
          <w:szCs w:val="32"/>
          <w:highlight w:val="none"/>
          <w:lang w:val="en-US" w:eastAsia="zh-CN"/>
        </w:rPr>
        <w:t>466</w:t>
      </w:r>
      <w:r>
        <w:rPr>
          <w:rFonts w:hint="default" w:ascii="Times New Roman" w:hAnsi="Times New Roman" w:eastAsia="方正仿宋_GBK" w:cs="Times New Roman"/>
          <w:sz w:val="32"/>
          <w:szCs w:val="32"/>
          <w:highlight w:val="none"/>
        </w:rPr>
        <w:t>人次（不包括陪同人员），共计支出</w:t>
      </w:r>
      <w:r>
        <w:rPr>
          <w:rFonts w:hint="default" w:ascii="Times New Roman" w:hAnsi="Times New Roman" w:eastAsia="方正仿宋_GBK" w:cs="Times New Roman"/>
          <w:sz w:val="32"/>
          <w:szCs w:val="32"/>
          <w:highlight w:val="none"/>
          <w:lang w:val="en-US" w:eastAsia="zh-CN"/>
        </w:rPr>
        <w:t>6.6</w:t>
      </w:r>
      <w:r>
        <w:rPr>
          <w:rFonts w:hint="default" w:ascii="Times New Roman" w:hAnsi="Times New Roman" w:eastAsia="方正仿宋_GBK" w:cs="Times New Roman"/>
          <w:sz w:val="32"/>
          <w:szCs w:val="32"/>
          <w:highlight w:val="none"/>
        </w:rPr>
        <w:t>万元，具体内容包括：省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rPr>
        <w:t>厅种子检查情况调研</w:t>
      </w:r>
      <w:r>
        <w:rPr>
          <w:rFonts w:hint="default" w:ascii="Times New Roman" w:hAnsi="Times New Roman"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1699</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；全市高标准农田交叉检查</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520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局开展农村共同体场景打造调研</w:t>
      </w:r>
      <w:r>
        <w:rPr>
          <w:rFonts w:hint="default" w:ascii="Times New Roman" w:hAnsi="Times New Roman" w:eastAsia="方正仿宋_GBK" w:cs="Times New Roman"/>
          <w:sz w:val="32"/>
          <w:szCs w:val="32"/>
          <w:highlight w:val="none"/>
          <w:lang w:val="en-US" w:eastAsia="zh-CN"/>
        </w:rPr>
        <w:t>16</w:t>
      </w:r>
      <w:r>
        <w:rPr>
          <w:rFonts w:hint="default" w:ascii="Times New Roman" w:hAnsi="Times New Roman" w:eastAsia="方正仿宋_GBK" w:cs="Times New Roman"/>
          <w:sz w:val="32"/>
          <w:szCs w:val="32"/>
          <w:highlight w:val="none"/>
        </w:rPr>
        <w:t>人用餐费用3123元</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局2025年种子市场专项检查</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1339</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局开展2022年长江禁捕考核抽查</w:t>
      </w:r>
      <w:r>
        <w:rPr>
          <w:rFonts w:hint="default" w:ascii="Times New Roman" w:hAnsi="Times New Roman" w:eastAsia="方正仿宋_GBK" w:cs="Times New Roman"/>
          <w:sz w:val="32"/>
          <w:szCs w:val="32"/>
          <w:highlight w:val="none"/>
          <w:lang w:val="en-US" w:eastAsia="zh-CN"/>
        </w:rPr>
        <w:t>13</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1654</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局开展农产品安全监测抽检工作</w:t>
      </w:r>
      <w:r>
        <w:rPr>
          <w:rFonts w:hint="default" w:ascii="Times New Roman" w:hAnsi="Times New Roman" w:eastAsia="方正仿宋_GBK" w:cs="Times New Roman"/>
          <w:sz w:val="32"/>
          <w:szCs w:val="32"/>
          <w:highlight w:val="none"/>
          <w:lang w:val="en-US" w:eastAsia="zh-CN"/>
        </w:rPr>
        <w:t>13</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1700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局开展共富产业现场调研</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1817</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厅农产品质量安全例行监督抽样检查</w:t>
      </w:r>
      <w:r>
        <w:rPr>
          <w:rFonts w:hint="default" w:ascii="Times New Roman" w:hAnsi="Times New Roman" w:eastAsia="方正仿宋_GBK" w:cs="Times New Roman"/>
          <w:sz w:val="32"/>
          <w:szCs w:val="32"/>
          <w:highlight w:val="none"/>
          <w:lang w:val="en-US" w:eastAsia="zh-CN"/>
        </w:rPr>
        <w:t>13</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1244</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厅开展农机化工作情况调研</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1115</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厅开展引种审查及检疫有害生物监测防控督促指导</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1460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局开展农产品出口及基地备案情况说明调研</w:t>
      </w:r>
      <w:r>
        <w:rPr>
          <w:rFonts w:hint="default" w:ascii="Times New Roman" w:hAnsi="Times New Roman" w:eastAsia="方正仿宋_GBK" w:cs="Times New Roman"/>
          <w:sz w:val="32"/>
          <w:szCs w:val="32"/>
          <w:highlight w:val="none"/>
          <w:lang w:val="en-US" w:eastAsia="zh-CN"/>
        </w:rPr>
        <w:t>14</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2680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厅开展和美乡村现场调研</w:t>
      </w:r>
      <w:r>
        <w:rPr>
          <w:rFonts w:hint="default" w:ascii="Times New Roman" w:hAnsi="Times New Roman"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2260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；省农安中心开展重点品种农产品药残治理调研</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1400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厅开展发展新型农村集体经济专题调研</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1189</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厅开展2025年度自主试验飞行检查</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1040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lang w:eastAsia="zh-CN"/>
        </w:rPr>
        <w:t>厅开展芒果专项治理工作</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2170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；农业</w:t>
      </w:r>
      <w:r>
        <w:rPr>
          <w:rFonts w:hint="default" w:ascii="Times New Roman" w:hAnsi="Times New Roman" w:eastAsia="方正仿宋_GBK" w:cs="Times New Roman"/>
          <w:sz w:val="32"/>
          <w:szCs w:val="32"/>
          <w:highlight w:val="none"/>
          <w:lang w:val="en-US" w:eastAsia="zh-CN"/>
        </w:rPr>
        <w:t>农村</w:t>
      </w:r>
      <w:r>
        <w:rPr>
          <w:rFonts w:hint="default" w:ascii="Times New Roman" w:hAnsi="Times New Roman" w:eastAsia="方正仿宋_GBK" w:cs="Times New Roman"/>
          <w:sz w:val="32"/>
          <w:szCs w:val="32"/>
          <w:highlight w:val="none"/>
          <w:lang w:eastAsia="zh-CN"/>
        </w:rPr>
        <w:t>部安全监管司开展热带水果质量安全监管抽样工作</w:t>
      </w:r>
      <w:r>
        <w:rPr>
          <w:rFonts w:hint="default" w:ascii="Times New Roman" w:hAnsi="Times New Roman"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1200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；国家农产品安全监督抽查抽样工作</w:t>
      </w:r>
      <w:r>
        <w:rPr>
          <w:rFonts w:hint="default" w:ascii="Times New Roman" w:hAnsi="Times New Roman" w:eastAsia="方正仿宋_GBK" w:cs="Times New Roman"/>
          <w:sz w:val="32"/>
          <w:szCs w:val="32"/>
          <w:highlight w:val="none"/>
          <w:lang w:val="en-US" w:eastAsia="zh-CN"/>
        </w:rPr>
        <w:t>14</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2528</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；四川日报2025四川乡村振兴发展案例展播活动调研</w:t>
      </w:r>
      <w:r>
        <w:rPr>
          <w:rFonts w:hint="default" w:ascii="Times New Roman" w:hAnsi="Times New Roman" w:eastAsia="方正仿宋_GBK" w:cs="Times New Roman"/>
          <w:sz w:val="32"/>
          <w:szCs w:val="32"/>
          <w:highlight w:val="none"/>
          <w:lang w:val="en-US" w:eastAsia="zh-CN"/>
        </w:rPr>
        <w:t>8</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1586</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；省植检站开展引进椰枣种苗试验及救灾资金执行督促指导</w:t>
      </w: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893</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；省农业</w:t>
      </w:r>
      <w:r>
        <w:rPr>
          <w:rFonts w:hint="default" w:ascii="Times New Roman" w:hAnsi="Times New Roman" w:eastAsia="方正仿宋_GBK" w:cs="Times New Roman"/>
          <w:sz w:val="32"/>
          <w:szCs w:val="32"/>
          <w:highlight w:val="none"/>
          <w:lang w:val="en-US" w:eastAsia="zh-CN"/>
        </w:rPr>
        <w:t>农村</w:t>
      </w:r>
      <w:r>
        <w:rPr>
          <w:rFonts w:hint="default" w:ascii="Times New Roman" w:hAnsi="Times New Roman" w:eastAsia="方正仿宋_GBK" w:cs="Times New Roman"/>
          <w:sz w:val="32"/>
          <w:szCs w:val="32"/>
          <w:highlight w:val="none"/>
          <w:lang w:eastAsia="zh-CN"/>
        </w:rPr>
        <w:t>厅开展农业社会化服务项目专题调研</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1594</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；省农业</w:t>
      </w:r>
      <w:r>
        <w:rPr>
          <w:rFonts w:hint="default" w:ascii="Times New Roman" w:hAnsi="Times New Roman" w:eastAsia="方正仿宋_GBK" w:cs="Times New Roman"/>
          <w:sz w:val="32"/>
          <w:szCs w:val="32"/>
          <w:highlight w:val="none"/>
          <w:lang w:val="en-US" w:eastAsia="zh-CN"/>
        </w:rPr>
        <w:t>农村</w:t>
      </w:r>
      <w:r>
        <w:rPr>
          <w:rFonts w:hint="default" w:ascii="Times New Roman" w:hAnsi="Times New Roman" w:eastAsia="方正仿宋_GBK" w:cs="Times New Roman"/>
          <w:sz w:val="32"/>
          <w:szCs w:val="32"/>
          <w:highlight w:val="none"/>
          <w:lang w:eastAsia="zh-CN"/>
        </w:rPr>
        <w:t>厅开展农村改革工作调研</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1290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；省园艺作物技术推广站开展丘陵山区经济作物高质量发展对策调研</w:t>
      </w:r>
      <w:r>
        <w:rPr>
          <w:rFonts w:hint="default" w:ascii="Times New Roman" w:hAnsi="Times New Roman"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1590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省农产品贸易综合服务平台建设项目前期调研</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1486</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；中国热科院开展芒果等热带特色农产品生产、加工等相关情况调研</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920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；省植物检疫站、农科院联合调研指导柑橘黄龙病</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1620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；市农业</w:t>
      </w:r>
      <w:r>
        <w:rPr>
          <w:rFonts w:hint="default" w:ascii="Times New Roman" w:hAnsi="Times New Roman" w:eastAsia="方正仿宋_GBK" w:cs="Times New Roman"/>
          <w:sz w:val="32"/>
          <w:szCs w:val="32"/>
          <w:highlight w:val="none"/>
          <w:lang w:val="en-US" w:eastAsia="zh-CN"/>
        </w:rPr>
        <w:t>农村</w:t>
      </w:r>
      <w:r>
        <w:rPr>
          <w:rFonts w:hint="default" w:ascii="Times New Roman" w:hAnsi="Times New Roman" w:eastAsia="方正仿宋_GBK" w:cs="Times New Roman"/>
          <w:sz w:val="32"/>
          <w:szCs w:val="32"/>
          <w:highlight w:val="none"/>
          <w:lang w:eastAsia="zh-CN"/>
        </w:rPr>
        <w:t>局开展“百千万工程”样板村、农产品加工、社会化服务推进情况调研</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1096</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；省植物检疫站开展国外引进椰枣种苗区域高难疫情监测督促指导</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768</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省</w:t>
      </w:r>
      <w:r>
        <w:rPr>
          <w:rFonts w:hint="default" w:ascii="Times New Roman" w:hAnsi="Times New Roman" w:eastAsia="方正仿宋_GBK" w:cs="Times New Roman"/>
          <w:sz w:val="32"/>
          <w:szCs w:val="32"/>
          <w:highlight w:val="none"/>
          <w:lang w:eastAsia="zh-CN"/>
        </w:rPr>
        <w:t>文化和旅游厅2024年度中央乡村振兴战略实绩考核问题整改复核验收</w:t>
      </w:r>
      <w:r>
        <w:rPr>
          <w:rFonts w:hint="default" w:ascii="Times New Roman" w:hAnsi="Times New Roman" w:eastAsia="方正仿宋_GBK" w:cs="Times New Roman"/>
          <w:sz w:val="32"/>
          <w:szCs w:val="32"/>
          <w:highlight w:val="none"/>
          <w:lang w:val="en-US" w:eastAsia="zh-CN"/>
        </w:rPr>
        <w:t>14</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2666</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；市乡村振兴局召开全市乡村振兴局长会议</w:t>
      </w:r>
      <w:r>
        <w:rPr>
          <w:rFonts w:hint="default" w:ascii="Times New Roman" w:hAnsi="Times New Roman" w:eastAsia="方正仿宋_GBK" w:cs="Times New Roman"/>
          <w:sz w:val="32"/>
          <w:szCs w:val="32"/>
          <w:highlight w:val="none"/>
          <w:lang w:val="en-US" w:eastAsia="zh-CN"/>
        </w:rPr>
        <w:t>30</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3777</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；市农业</w:t>
      </w:r>
      <w:r>
        <w:rPr>
          <w:rFonts w:hint="default" w:ascii="Times New Roman" w:hAnsi="Times New Roman" w:eastAsia="方正仿宋_GBK" w:cs="Times New Roman"/>
          <w:sz w:val="32"/>
          <w:szCs w:val="32"/>
          <w:highlight w:val="none"/>
          <w:lang w:val="en-US" w:eastAsia="zh-CN"/>
        </w:rPr>
        <w:t>农村</w:t>
      </w:r>
      <w:r>
        <w:rPr>
          <w:rFonts w:hint="default" w:ascii="Times New Roman" w:hAnsi="Times New Roman" w:eastAsia="方正仿宋_GBK" w:cs="Times New Roman"/>
          <w:sz w:val="32"/>
          <w:szCs w:val="32"/>
          <w:highlight w:val="none"/>
          <w:lang w:eastAsia="zh-CN"/>
        </w:rPr>
        <w:t>局皮层调研高标准农田建设项目整改和开展情况</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2320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；省农业</w:t>
      </w:r>
      <w:r>
        <w:rPr>
          <w:rFonts w:hint="default" w:ascii="Times New Roman" w:hAnsi="Times New Roman" w:eastAsia="方正仿宋_GBK" w:cs="Times New Roman"/>
          <w:sz w:val="32"/>
          <w:szCs w:val="32"/>
          <w:highlight w:val="none"/>
          <w:lang w:val="en-US" w:eastAsia="zh-CN"/>
        </w:rPr>
        <w:t>农村</w:t>
      </w:r>
      <w:r>
        <w:rPr>
          <w:rFonts w:hint="default" w:ascii="Times New Roman" w:hAnsi="Times New Roman" w:eastAsia="方正仿宋_GBK" w:cs="Times New Roman"/>
          <w:sz w:val="32"/>
          <w:szCs w:val="32"/>
          <w:highlight w:val="none"/>
          <w:lang w:eastAsia="zh-CN"/>
        </w:rPr>
        <w:t>厅第三调研组莅攀开展农机装备需求调研</w:t>
      </w:r>
      <w:r>
        <w:rPr>
          <w:rFonts w:hint="default" w:ascii="Times New Roman" w:hAnsi="Times New Roman"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2489</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；2023年全省交叉检查仁和区巩固拓展脱贫攻坚成果后评估实在考核</w:t>
      </w:r>
      <w:r>
        <w:rPr>
          <w:rFonts w:hint="default" w:ascii="Times New Roman" w:hAnsi="Times New Roman" w:eastAsia="方正仿宋_GBK" w:cs="Times New Roman"/>
          <w:sz w:val="32"/>
          <w:szCs w:val="32"/>
          <w:highlight w:val="none"/>
          <w:lang w:val="en-US" w:eastAsia="zh-CN"/>
        </w:rPr>
        <w:t>17</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2700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；自贡市沿滩区农业农村局考察学习乡村振兴脱贫成果</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2245</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；省农广院开展基层农技人员知识更新培训跟踪服务</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641</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；市农业农村局开展耕地质量监测点调研</w:t>
      </w: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800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；2023年全市农业综合执法大比武暨行政处罚案卷评查活动</w:t>
      </w:r>
      <w:r>
        <w:rPr>
          <w:rFonts w:hint="default" w:ascii="Times New Roman" w:hAnsi="Times New Roman" w:eastAsia="方正仿宋_GBK" w:cs="Times New Roman"/>
          <w:sz w:val="32"/>
          <w:szCs w:val="32"/>
          <w:highlight w:val="none"/>
          <w:lang w:val="en-US" w:eastAsia="zh-CN"/>
        </w:rPr>
        <w:t>20</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2523</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；省土壤普查办开展三普工作调研</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1374</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eastAsia="zh-CN"/>
        </w:rPr>
        <w:t>；雅安市交叉检查巩固脱贫</w:t>
      </w:r>
      <w:r>
        <w:rPr>
          <w:rFonts w:hint="default" w:ascii="Times New Roman" w:hAnsi="Times New Roman" w:eastAsia="方正仿宋_GBK" w:cs="Times New Roman"/>
          <w:sz w:val="32"/>
          <w:szCs w:val="32"/>
          <w:highlight w:val="none"/>
          <w:lang w:val="en-US" w:eastAsia="zh-CN"/>
        </w:rPr>
        <w:t>工作8</w:t>
      </w:r>
      <w:r>
        <w:rPr>
          <w:rFonts w:hint="default" w:ascii="Times New Roman" w:hAnsi="Times New Roman" w:eastAsia="方正仿宋_GBK" w:cs="Times New Roman"/>
          <w:sz w:val="32"/>
          <w:szCs w:val="32"/>
          <w:highlight w:val="none"/>
        </w:rPr>
        <w:t>人用餐费用</w:t>
      </w:r>
      <w:r>
        <w:rPr>
          <w:rFonts w:hint="default" w:ascii="Times New Roman" w:hAnsi="Times New Roman" w:eastAsia="方正仿宋_GBK" w:cs="Times New Roman"/>
          <w:sz w:val="32"/>
          <w:szCs w:val="32"/>
          <w:highlight w:val="none"/>
          <w:lang w:val="en-US" w:eastAsia="zh-CN"/>
        </w:rPr>
        <w:t>1599</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外事接待支出0万元，外事接待0批次，0人次，共计支出0万元。</w:t>
      </w:r>
    </w:p>
    <w:p>
      <w:pPr>
        <w:spacing w:line="600" w:lineRule="exact"/>
        <w:ind w:firstLine="640"/>
        <w:outlineLvl w:val="1"/>
        <w:rPr>
          <w:rStyle w:val="29"/>
          <w:rFonts w:hint="default" w:ascii="Times New Roman" w:hAnsi="Times New Roman" w:eastAsia="方正黑体_GBK" w:cs="Times New Roman"/>
        </w:rPr>
      </w:pPr>
      <w:bookmarkStart w:id="49" w:name="_Toc15377218"/>
      <w:bookmarkStart w:id="50" w:name="_Toc15396610"/>
      <w:bookmarkStart w:id="51" w:name="_Toc25918"/>
      <w:r>
        <w:rPr>
          <w:rFonts w:hint="default" w:ascii="Times New Roman" w:hAnsi="Times New Roman" w:eastAsia="方正黑体_GBK" w:cs="Times New Roman"/>
          <w:sz w:val="32"/>
          <w:szCs w:val="32"/>
        </w:rPr>
        <w:t>八、</w:t>
      </w:r>
      <w:r>
        <w:rPr>
          <w:rStyle w:val="29"/>
          <w:rFonts w:hint="default" w:ascii="Times New Roman" w:hAnsi="Times New Roman" w:eastAsia="方正黑体_GBK" w:cs="Times New Roman"/>
          <w:b w:val="0"/>
        </w:rPr>
        <w:t>政府性基金预算支出决算情况说明</w:t>
      </w:r>
      <w:bookmarkEnd w:id="49"/>
      <w:bookmarkEnd w:id="50"/>
      <w:bookmarkEnd w:id="51"/>
    </w:p>
    <w:p>
      <w:pPr>
        <w:spacing w:line="600" w:lineRule="exact"/>
        <w:ind w:firstLine="640"/>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2025年度政府性基金预算财政拨款支出4443.31万元，占本年支出合计的24.8%。与上年度相比，政府性基金预算财政拨款支出增加4271.89万元，增长2492.1%。主要变动原因是本年度新增地方政府专项债券资金安排的支出</w:t>
      </w:r>
      <w:r>
        <w:rPr>
          <w:rFonts w:hint="default" w:ascii="Times New Roman" w:hAnsi="Times New Roman" w:eastAsia="方正仿宋_GBK" w:cs="Times New Roman"/>
          <w:sz w:val="32"/>
          <w:szCs w:val="32"/>
          <w:lang w:eastAsia="zh-CN"/>
        </w:rPr>
        <w:t>。</w:t>
      </w:r>
    </w:p>
    <w:p>
      <w:pPr>
        <w:spacing w:line="600" w:lineRule="exact"/>
        <w:ind w:left="630"/>
        <w:outlineLvl w:val="1"/>
        <w:rPr>
          <w:rStyle w:val="29"/>
          <w:rFonts w:hint="default" w:ascii="Times New Roman" w:hAnsi="Times New Roman" w:eastAsia="方正黑体_GBK" w:cs="Times New Roman"/>
          <w:b w:val="0"/>
        </w:rPr>
      </w:pPr>
      <w:bookmarkStart w:id="52" w:name="_Toc30517"/>
      <w:bookmarkStart w:id="53" w:name="_Toc15377219"/>
      <w:bookmarkStart w:id="54" w:name="_Toc15396611"/>
      <w:r>
        <w:rPr>
          <w:rStyle w:val="29"/>
          <w:rFonts w:hint="default" w:ascii="Times New Roman" w:hAnsi="Times New Roman" w:eastAsia="方正黑体_GBK" w:cs="Times New Roman"/>
          <w:b w:val="0"/>
        </w:rPr>
        <w:t>九、国有资本经营预算支出决算情况说明</w:t>
      </w:r>
      <w:bookmarkEnd w:id="52"/>
      <w:bookmarkEnd w:id="53"/>
      <w:bookmarkEnd w:id="54"/>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2025年度国有资本经营预算财政拨款支出0万元，占本年支出合计的0%。与上年度相比，国有资本经营预算财政拨款支出与上年度持平。</w:t>
      </w:r>
    </w:p>
    <w:p>
      <w:pPr>
        <w:spacing w:line="600" w:lineRule="exact"/>
        <w:ind w:left="630"/>
        <w:outlineLvl w:val="1"/>
        <w:rPr>
          <w:rStyle w:val="29"/>
          <w:rFonts w:hint="default" w:ascii="Times New Roman" w:hAnsi="Times New Roman" w:eastAsia="方正黑体_GBK" w:cs="Times New Roman"/>
          <w:b w:val="0"/>
        </w:rPr>
      </w:pPr>
      <w:bookmarkStart w:id="55" w:name="_Toc14443"/>
      <w:bookmarkStart w:id="56" w:name="_Toc15396612"/>
      <w:bookmarkStart w:id="57" w:name="_Toc15377221"/>
      <w:r>
        <w:rPr>
          <w:rStyle w:val="29"/>
          <w:rFonts w:hint="default" w:ascii="Times New Roman" w:hAnsi="Times New Roman" w:eastAsia="方正黑体_GBK" w:cs="Times New Roman"/>
          <w:b w:val="0"/>
        </w:rPr>
        <w:t>十、其他重要事项的情况说明</w:t>
      </w:r>
      <w:bookmarkEnd w:id="55"/>
      <w:bookmarkEnd w:id="56"/>
      <w:bookmarkEnd w:id="57"/>
    </w:p>
    <w:p>
      <w:pPr>
        <w:spacing w:line="600" w:lineRule="exact"/>
        <w:ind w:firstLine="643" w:firstLineChars="200"/>
        <w:outlineLvl w:val="2"/>
        <w:rPr>
          <w:rFonts w:hint="default" w:ascii="Times New Roman" w:hAnsi="Times New Roman" w:eastAsia="方正楷体_GBK" w:cs="Times New Roman"/>
          <w:b/>
          <w:sz w:val="32"/>
          <w:szCs w:val="32"/>
        </w:rPr>
      </w:pPr>
      <w:bookmarkStart w:id="58" w:name="_Toc15377222"/>
      <w:r>
        <w:rPr>
          <w:rFonts w:hint="default" w:ascii="Times New Roman" w:hAnsi="Times New Roman" w:eastAsia="方正楷体_GBK" w:cs="Times New Roman"/>
          <w:b/>
          <w:sz w:val="32"/>
          <w:szCs w:val="32"/>
        </w:rPr>
        <w:t>（一）机关运行经费支出情况</w:t>
      </w:r>
      <w:bookmarkEnd w:id="58"/>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2025年度，攀枝花市仁和区农业农村局机关运行经费支出171.6万元，比上年度增加44.28万元，增长34.8%。主要原因是</w:t>
      </w:r>
      <w:r>
        <w:rPr>
          <w:rFonts w:hint="default" w:ascii="Times New Roman" w:hAnsi="Times New Roman" w:eastAsia="方正仿宋_GBK" w:cs="Times New Roman"/>
          <w:sz w:val="32"/>
          <w:szCs w:val="32"/>
          <w:highlight w:val="none"/>
          <w:lang w:val="en-US" w:eastAsia="zh-CN"/>
        </w:rPr>
        <w:t>2025年支出财政未支付2024年部分机关运行经费支出部分</w:t>
      </w:r>
      <w:r>
        <w:rPr>
          <w:rFonts w:hint="default" w:ascii="Times New Roman" w:hAnsi="Times New Roman" w:eastAsia="方正仿宋_GBK" w:cs="Times New Roman"/>
          <w:sz w:val="32"/>
          <w:szCs w:val="32"/>
          <w:lang w:eastAsia="zh-CN"/>
        </w:rPr>
        <w:t>。</w:t>
      </w:r>
    </w:p>
    <w:p>
      <w:pPr>
        <w:spacing w:line="600" w:lineRule="exact"/>
        <w:ind w:firstLine="643" w:firstLineChars="200"/>
        <w:outlineLvl w:val="2"/>
        <w:rPr>
          <w:rFonts w:hint="default" w:ascii="Times New Roman" w:hAnsi="Times New Roman" w:eastAsia="方正楷体_GBK" w:cs="Times New Roman"/>
          <w:b/>
          <w:sz w:val="32"/>
          <w:szCs w:val="32"/>
          <w:highlight w:val="none"/>
        </w:rPr>
      </w:pPr>
      <w:bookmarkStart w:id="59" w:name="_Toc15377223"/>
      <w:r>
        <w:rPr>
          <w:rFonts w:hint="default" w:ascii="Times New Roman" w:hAnsi="Times New Roman" w:eastAsia="方正楷体_GBK" w:cs="Times New Roman"/>
          <w:b/>
          <w:sz w:val="32"/>
          <w:szCs w:val="32"/>
          <w:highlight w:val="none"/>
        </w:rPr>
        <w:t>（二）政府采购支出情况</w:t>
      </w:r>
      <w:bookmarkEnd w:id="59"/>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2025年度，攀枝花市仁和区农业农村局政府采购支出总额</w:t>
      </w:r>
      <w:r>
        <w:rPr>
          <w:rFonts w:hint="default" w:ascii="Times New Roman" w:hAnsi="Times New Roman" w:eastAsia="方正仿宋_GBK" w:cs="Times New Roman"/>
          <w:sz w:val="32"/>
          <w:szCs w:val="32"/>
          <w:lang w:val="en-US" w:eastAsia="zh-CN"/>
        </w:rPr>
        <w:t>780.39</w:t>
      </w:r>
      <w:r>
        <w:rPr>
          <w:rFonts w:hint="default" w:ascii="Times New Roman" w:hAnsi="Times New Roman" w:eastAsia="方正仿宋_GBK" w:cs="Times New Roman"/>
          <w:sz w:val="32"/>
          <w:szCs w:val="32"/>
        </w:rPr>
        <w:t>万元，其中：政府采购货物支出</w:t>
      </w:r>
      <w:r>
        <w:rPr>
          <w:rFonts w:hint="default" w:ascii="Times New Roman" w:hAnsi="Times New Roman" w:eastAsia="方正仿宋_GBK" w:cs="Times New Roman"/>
          <w:sz w:val="32"/>
          <w:szCs w:val="32"/>
          <w:lang w:val="en-US" w:eastAsia="zh-CN"/>
        </w:rPr>
        <w:t>349.04</w:t>
      </w:r>
      <w:r>
        <w:rPr>
          <w:rFonts w:hint="default" w:ascii="Times New Roman" w:hAnsi="Times New Roman" w:eastAsia="方正仿宋_GBK" w:cs="Times New Roman"/>
          <w:sz w:val="32"/>
          <w:szCs w:val="32"/>
        </w:rPr>
        <w:t>万元、政府采购工程支出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万元、政府采购服务支出</w:t>
      </w:r>
      <w:r>
        <w:rPr>
          <w:rFonts w:hint="default" w:ascii="Times New Roman" w:hAnsi="Times New Roman" w:eastAsia="方正仿宋_GBK" w:cs="Times New Roman"/>
          <w:sz w:val="32"/>
          <w:szCs w:val="32"/>
          <w:lang w:val="en-US" w:eastAsia="zh-CN"/>
        </w:rPr>
        <w:t>431.35</w:t>
      </w:r>
      <w:r>
        <w:rPr>
          <w:rFonts w:hint="default" w:ascii="Times New Roman" w:hAnsi="Times New Roman" w:eastAsia="方正仿宋_GBK" w:cs="Times New Roman"/>
          <w:sz w:val="32"/>
          <w:szCs w:val="32"/>
        </w:rPr>
        <w:t>万元。主要用于202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年红火蚁监测防控项目</w:t>
      </w:r>
      <w:r>
        <w:rPr>
          <w:rFonts w:hint="default" w:ascii="Times New Roman" w:hAnsi="Times New Roman" w:eastAsia="方正仿宋_GBK" w:cs="Times New Roman"/>
          <w:sz w:val="32"/>
          <w:szCs w:val="32"/>
          <w:lang w:val="en-US" w:eastAsia="zh-CN"/>
        </w:rPr>
        <w:t>120</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2025年地膜科学使用回收采购项目163.34万元、攀果品牌打造及产品推广营销项目115万元</w:t>
      </w:r>
      <w:r>
        <w:rPr>
          <w:rFonts w:hint="default" w:ascii="Times New Roman" w:hAnsi="Times New Roman" w:eastAsia="方正仿宋_GBK" w:cs="Times New Roman"/>
          <w:sz w:val="32"/>
          <w:szCs w:val="32"/>
          <w:highlight w:val="none"/>
          <w:lang w:val="en-US" w:eastAsia="zh-CN"/>
        </w:rPr>
        <w:t>等项目采购</w:t>
      </w:r>
      <w:r>
        <w:rPr>
          <w:rFonts w:hint="default" w:ascii="Times New Roman" w:hAnsi="Times New Roman" w:eastAsia="方正仿宋_GBK" w:cs="Times New Roman"/>
          <w:sz w:val="32"/>
          <w:szCs w:val="32"/>
        </w:rPr>
        <w:t>。授予中小企业合同金额</w:t>
      </w:r>
      <w:r>
        <w:rPr>
          <w:rFonts w:hint="default" w:ascii="Times New Roman" w:hAnsi="Times New Roman" w:eastAsia="方正仿宋_GBK" w:cs="Times New Roman"/>
          <w:sz w:val="32"/>
          <w:szCs w:val="32"/>
          <w:lang w:val="en-US" w:eastAsia="zh-CN"/>
        </w:rPr>
        <w:t>705.14</w:t>
      </w:r>
      <w:r>
        <w:rPr>
          <w:rFonts w:hint="default" w:ascii="Times New Roman" w:hAnsi="Times New Roman" w:eastAsia="方正仿宋_GBK" w:cs="Times New Roman"/>
          <w:sz w:val="32"/>
          <w:szCs w:val="32"/>
        </w:rPr>
        <w:t>万元，占政府采购支出总额的</w:t>
      </w:r>
      <w:r>
        <w:rPr>
          <w:rFonts w:hint="default" w:ascii="Times New Roman" w:hAnsi="Times New Roman" w:eastAsia="方正仿宋_GBK" w:cs="Times New Roman"/>
          <w:sz w:val="32"/>
          <w:szCs w:val="32"/>
          <w:lang w:val="en-US" w:eastAsia="zh-CN"/>
        </w:rPr>
        <w:t>90.36</w:t>
      </w:r>
      <w:r>
        <w:rPr>
          <w:rFonts w:hint="default" w:ascii="Times New Roman" w:hAnsi="Times New Roman" w:eastAsia="方正仿宋_GBK" w:cs="Times New Roman"/>
          <w:sz w:val="32"/>
          <w:szCs w:val="32"/>
        </w:rPr>
        <w:t>%，其中：授予小微企业合同金额</w:t>
      </w:r>
      <w:r>
        <w:rPr>
          <w:rFonts w:hint="default" w:ascii="Times New Roman" w:hAnsi="Times New Roman" w:eastAsia="方正仿宋_GBK" w:cs="Times New Roman"/>
          <w:sz w:val="32"/>
          <w:szCs w:val="32"/>
          <w:lang w:val="en-US" w:eastAsia="zh-CN"/>
        </w:rPr>
        <w:t>705.14</w:t>
      </w:r>
      <w:r>
        <w:rPr>
          <w:rFonts w:hint="default" w:ascii="Times New Roman" w:hAnsi="Times New Roman" w:eastAsia="方正仿宋_GBK" w:cs="Times New Roman"/>
          <w:sz w:val="32"/>
          <w:szCs w:val="32"/>
        </w:rPr>
        <w:t>万元，占政府采购支出总额的</w:t>
      </w:r>
      <w:r>
        <w:rPr>
          <w:rFonts w:hint="default" w:ascii="Times New Roman" w:hAnsi="Times New Roman" w:eastAsia="方正仿宋_GBK" w:cs="Times New Roman"/>
          <w:sz w:val="32"/>
          <w:szCs w:val="32"/>
          <w:lang w:val="en-US" w:eastAsia="zh-CN"/>
        </w:rPr>
        <w:t>90.36</w:t>
      </w:r>
      <w:r>
        <w:rPr>
          <w:rFonts w:hint="default" w:ascii="Times New Roman" w:hAnsi="Times New Roman" w:eastAsia="方正仿宋_GBK" w:cs="Times New Roman"/>
          <w:sz w:val="32"/>
          <w:szCs w:val="32"/>
        </w:rPr>
        <w:t>%。</w:t>
      </w:r>
    </w:p>
    <w:p>
      <w:pPr>
        <w:spacing w:line="600" w:lineRule="exact"/>
        <w:ind w:firstLine="643" w:firstLineChars="200"/>
        <w:outlineLvl w:val="2"/>
        <w:rPr>
          <w:rFonts w:hint="default" w:ascii="Times New Roman" w:hAnsi="Times New Roman" w:eastAsia="方正楷体_GBK" w:cs="Times New Roman"/>
          <w:b/>
          <w:sz w:val="32"/>
          <w:szCs w:val="32"/>
        </w:rPr>
      </w:pPr>
      <w:bookmarkStart w:id="60" w:name="_Toc15377224"/>
      <w:r>
        <w:rPr>
          <w:rFonts w:hint="default" w:ascii="Times New Roman" w:hAnsi="Times New Roman" w:eastAsia="方正楷体_GBK" w:cs="Times New Roman"/>
          <w:b/>
          <w:sz w:val="32"/>
          <w:szCs w:val="32"/>
        </w:rPr>
        <w:t>（三）国有资产占有使用情况</w:t>
      </w:r>
      <w:bookmarkEnd w:id="60"/>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年12月31日，攀枝花市仁和区农业农村局共有车辆2辆，其中：副部（省）级及以上领导用车</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辆、</w:t>
      </w:r>
      <w:r>
        <w:rPr>
          <w:rFonts w:hint="default" w:ascii="Times New Roman" w:hAnsi="Times New Roman" w:eastAsia="方正仿宋_GBK" w:cs="Times New Roman"/>
          <w:sz w:val="32"/>
          <w:szCs w:val="32"/>
          <w:highlight w:val="none"/>
        </w:rPr>
        <w:t>主要负责人用车</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辆、机要通信用车0辆、应急保障用车0辆、执法执勤用车</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辆、特种专业技术用车</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辆、离退休干部服务用车</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辆、其</w:t>
      </w:r>
      <w:r>
        <w:rPr>
          <w:rFonts w:hint="default" w:ascii="Times New Roman" w:hAnsi="Times New Roman" w:eastAsia="方正仿宋_GBK" w:cs="Times New Roman"/>
          <w:sz w:val="32"/>
          <w:szCs w:val="32"/>
        </w:rPr>
        <w:t>他用车0辆，其他用车主要是用于特种专业技术用车</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辆。单价100万元（含）以上设备（不含车辆）</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台（套）。</w:t>
      </w:r>
    </w:p>
    <w:p>
      <w:pPr>
        <w:spacing w:line="600" w:lineRule="exact"/>
        <w:ind w:firstLine="643" w:firstLineChars="200"/>
        <w:outlineLvl w:val="2"/>
        <w:rPr>
          <w:rFonts w:hint="default" w:ascii="Times New Roman" w:hAnsi="Times New Roman" w:eastAsia="方正楷体_GBK" w:cs="Times New Roman"/>
          <w:b/>
          <w:sz w:val="32"/>
          <w:szCs w:val="32"/>
          <w:highlight w:val="none"/>
        </w:rPr>
      </w:pPr>
      <w:r>
        <w:rPr>
          <w:rFonts w:hint="default" w:ascii="Times New Roman" w:hAnsi="Times New Roman" w:eastAsia="方正楷体_GBK" w:cs="Times New Roman"/>
          <w:b/>
          <w:sz w:val="32"/>
          <w:szCs w:val="32"/>
          <w:highlight w:val="none"/>
        </w:rPr>
        <w:t>（四）预算绩效管理情况</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根据预算绩效管理要求，攀枝花市仁和区农业农村局在2025年度，组织对2025年烤烟种植补贴等</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个项目涉及金额</w:t>
      </w:r>
      <w:r>
        <w:rPr>
          <w:rFonts w:hint="default" w:ascii="Times New Roman" w:hAnsi="Times New Roman" w:eastAsia="方正仿宋_GBK" w:cs="Times New Roman"/>
          <w:sz w:val="32"/>
          <w:szCs w:val="32"/>
          <w:lang w:val="en-US" w:eastAsia="zh-CN"/>
        </w:rPr>
        <w:t>2499.27</w:t>
      </w:r>
      <w:r>
        <w:rPr>
          <w:rFonts w:hint="default" w:ascii="Times New Roman" w:hAnsi="Times New Roman" w:eastAsia="方正仿宋_GBK" w:cs="Times New Roman"/>
          <w:sz w:val="32"/>
          <w:szCs w:val="32"/>
        </w:rPr>
        <w:t>万元开展了事前绩效评估，对</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个项目编制了绩效目标</w:t>
      </w:r>
      <w:r>
        <w:rPr>
          <w:rFonts w:hint="default" w:ascii="Times New Roman" w:hAnsi="Times New Roman" w:eastAsia="方正仿宋_GBK" w:cs="Times New Roman"/>
          <w:sz w:val="32"/>
          <w:szCs w:val="32"/>
          <w:lang w:eastAsia="zh-CN"/>
        </w:rPr>
        <w:t>，在</w:t>
      </w:r>
      <w:r>
        <w:rPr>
          <w:rFonts w:hint="default" w:ascii="Times New Roman" w:hAnsi="Times New Roman" w:eastAsia="方正仿宋_GBK" w:cs="Times New Roman"/>
          <w:sz w:val="32"/>
          <w:szCs w:val="32"/>
        </w:rPr>
        <w:t>预算执行过程中，选取</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个项目开展绩效监控。</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组织对2025年度一般公共预算、政府性基金预算、国有资本经营预算、社会保险基金预算以及资本资产、债券资金等全面开展绩效自评，形成攀枝花市仁和区农业农村局部门预算（含部门预算项目）绩效自评报告、2025年度财政衔接推进乡村振兴补助资金项目</w:t>
      </w:r>
      <w:r>
        <w:rPr>
          <w:rFonts w:hint="default" w:ascii="Times New Roman" w:hAnsi="Times New Roman" w:eastAsia="方正仿宋_GBK" w:cs="Times New Roman"/>
          <w:sz w:val="32"/>
          <w:szCs w:val="32"/>
          <w:lang w:val="en-US" w:eastAsia="zh-CN"/>
        </w:rPr>
        <w:t>支出</w:t>
      </w:r>
      <w:r>
        <w:rPr>
          <w:rFonts w:hint="default" w:ascii="Times New Roman" w:hAnsi="Times New Roman" w:eastAsia="方正仿宋_GBK" w:cs="Times New Roman"/>
          <w:sz w:val="32"/>
          <w:szCs w:val="32"/>
        </w:rPr>
        <w:t>绩效自评报告</w:t>
      </w:r>
      <w:r>
        <w:rPr>
          <w:rFonts w:hint="default" w:ascii="Times New Roman" w:hAnsi="Times New Roman" w:eastAsia="方正仿宋_GBK" w:cs="Times New Roman"/>
          <w:sz w:val="32"/>
          <w:szCs w:val="32"/>
          <w:lang w:eastAsia="zh-CN"/>
        </w:rPr>
        <w:t>、2025年省级财政农业高质量发展共同财政事权转移支付资金（提灌站建设）项目支出绩效自评报告、2025年省级财政农业高质量发展共同财政事权转移支付资金（农机购置与应用补贴）项目支出绩效自评报告、2025年度财政衔接推进乡村振兴补助资金项目支出绩效自评报告、2025年度财政衔接推进乡村振兴补助资金项目支出绩效自评报告</w:t>
      </w:r>
      <w:r>
        <w:rPr>
          <w:rFonts w:hint="default" w:ascii="Times New Roman" w:hAnsi="Times New Roman" w:eastAsia="方正仿宋_GBK" w:cs="Times New Roman"/>
          <w:sz w:val="32"/>
          <w:szCs w:val="32"/>
        </w:rPr>
        <w:t>，其中，攀枝花市仁和区农业农村局部门预算（含部门预算项目）绩效自评得分为</w:t>
      </w:r>
      <w:r>
        <w:rPr>
          <w:rFonts w:hint="default" w:ascii="Times New Roman" w:hAnsi="Times New Roman" w:eastAsia="方正仿宋_GBK" w:cs="Times New Roman"/>
          <w:sz w:val="32"/>
          <w:szCs w:val="32"/>
          <w:lang w:val="en-US" w:eastAsia="zh-CN"/>
        </w:rPr>
        <w:t>92</w:t>
      </w:r>
      <w:r>
        <w:rPr>
          <w:rFonts w:hint="default" w:ascii="Times New Roman" w:hAnsi="Times New Roman" w:eastAsia="方正仿宋_GBK" w:cs="Times New Roman"/>
          <w:sz w:val="32"/>
          <w:szCs w:val="32"/>
        </w:rPr>
        <w:t>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2025年度财政衔接推进乡村振兴补助资金项目绩效自评得分为</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分</w:t>
      </w:r>
      <w:r>
        <w:rPr>
          <w:rFonts w:hint="default" w:ascii="Times New Roman" w:hAnsi="Times New Roman" w:eastAsia="方正仿宋_GBK" w:cs="Times New Roman"/>
          <w:sz w:val="32"/>
          <w:szCs w:val="32"/>
          <w:lang w:eastAsia="zh-CN"/>
        </w:rPr>
        <w:t>、2025年省级财政农业高质量发展共同财政事权转移支付资金（提灌站建设）</w:t>
      </w:r>
      <w:r>
        <w:rPr>
          <w:rFonts w:hint="default" w:ascii="Times New Roman" w:hAnsi="Times New Roman" w:eastAsia="方正仿宋_GBK" w:cs="Times New Roman"/>
          <w:sz w:val="32"/>
          <w:szCs w:val="32"/>
        </w:rPr>
        <w:t>项目绩效自评得分为</w:t>
      </w:r>
      <w:r>
        <w:rPr>
          <w:rFonts w:hint="default" w:ascii="Times New Roman" w:hAnsi="Times New Roman" w:eastAsia="方正仿宋_GBK" w:cs="Times New Roman"/>
          <w:sz w:val="32"/>
          <w:szCs w:val="32"/>
          <w:lang w:val="en-US" w:eastAsia="zh-CN"/>
        </w:rPr>
        <w:t>99</w:t>
      </w:r>
      <w:r>
        <w:rPr>
          <w:rFonts w:hint="default" w:ascii="Times New Roman" w:hAnsi="Times New Roman" w:eastAsia="方正仿宋_GBK" w:cs="Times New Roman"/>
          <w:sz w:val="32"/>
          <w:szCs w:val="32"/>
        </w:rPr>
        <w:t>分</w:t>
      </w:r>
      <w:r>
        <w:rPr>
          <w:rFonts w:hint="default" w:ascii="Times New Roman" w:hAnsi="Times New Roman" w:eastAsia="方正仿宋_GBK" w:cs="Times New Roman"/>
          <w:sz w:val="32"/>
          <w:szCs w:val="32"/>
          <w:lang w:eastAsia="zh-CN"/>
        </w:rPr>
        <w:t>、2025年省级财政农业高质量发展共同财政事权转移支付资金（农机购置与应用补贴）</w:t>
      </w:r>
      <w:r>
        <w:rPr>
          <w:rFonts w:hint="default" w:ascii="Times New Roman" w:hAnsi="Times New Roman" w:eastAsia="方正仿宋_GBK" w:cs="Times New Roman"/>
          <w:sz w:val="32"/>
          <w:szCs w:val="32"/>
        </w:rPr>
        <w:t>项目绩效自评得分为</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分</w:t>
      </w:r>
      <w:r>
        <w:rPr>
          <w:rFonts w:hint="default" w:ascii="Times New Roman" w:hAnsi="Times New Roman" w:eastAsia="方正仿宋_GBK" w:cs="Times New Roman"/>
          <w:sz w:val="32"/>
          <w:szCs w:val="32"/>
          <w:lang w:eastAsia="zh-CN"/>
        </w:rPr>
        <w:t>、2025年度财政衔接推进乡村振兴补助资金</w:t>
      </w:r>
      <w:r>
        <w:rPr>
          <w:rFonts w:hint="default" w:ascii="Times New Roman" w:hAnsi="Times New Roman" w:eastAsia="方正仿宋_GBK" w:cs="Times New Roman"/>
          <w:sz w:val="32"/>
          <w:szCs w:val="32"/>
        </w:rPr>
        <w:t>项目绩效自评得分为</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分。绩效自评报告详见附件。</w:t>
      </w:r>
    </w:p>
    <w:p>
      <w:pPr>
        <w:pStyle w:val="4"/>
        <w:keepNext/>
        <w:keepLines/>
        <w:pageBreakBefore w:val="0"/>
        <w:widowControl w:val="0"/>
        <w:kinsoku/>
        <w:wordWrap/>
        <w:overflowPunct/>
        <w:topLinePunct w:val="0"/>
        <w:autoSpaceDE/>
        <w:autoSpaceDN/>
        <w:bidi w:val="0"/>
        <w:adjustRightInd/>
        <w:snapToGrid/>
        <w:spacing w:before="0" w:after="0" w:line="760" w:lineRule="exact"/>
        <w:jc w:val="center"/>
        <w:textAlignment w:val="auto"/>
        <w:rPr>
          <w:rFonts w:hint="default" w:ascii="Times New Roman" w:hAnsi="Times New Roman" w:eastAsia="方正小标宋_GBK" w:cs="Times New Roman"/>
          <w:b w:val="0"/>
        </w:rPr>
      </w:pPr>
      <w:bookmarkStart w:id="61" w:name="_Toc15377225"/>
      <w:bookmarkStart w:id="62" w:name="_Toc15396613"/>
    </w:p>
    <w:p>
      <w:pPr>
        <w:pStyle w:val="4"/>
        <w:keepNext/>
        <w:keepLines/>
        <w:pageBreakBefore w:val="0"/>
        <w:widowControl w:val="0"/>
        <w:kinsoku/>
        <w:wordWrap/>
        <w:overflowPunct/>
        <w:topLinePunct w:val="0"/>
        <w:autoSpaceDE/>
        <w:autoSpaceDN/>
        <w:bidi w:val="0"/>
        <w:adjustRightInd/>
        <w:snapToGrid/>
        <w:spacing w:before="0" w:after="0" w:line="760" w:lineRule="exact"/>
        <w:jc w:val="center"/>
        <w:textAlignment w:val="auto"/>
        <w:rPr>
          <w:rFonts w:hint="default" w:ascii="Times New Roman" w:hAnsi="Times New Roman" w:eastAsia="方正小标宋_GBK" w:cs="Times New Roman"/>
          <w:b w:val="0"/>
        </w:rPr>
      </w:pPr>
    </w:p>
    <w:p>
      <w:pPr>
        <w:pStyle w:val="2"/>
        <w:rPr>
          <w:rFonts w:hint="default" w:ascii="Times New Roman" w:hAnsi="Times New Roman" w:cs="Times New Roman"/>
        </w:rPr>
      </w:pPr>
    </w:p>
    <w:p>
      <w:pPr>
        <w:pStyle w:val="4"/>
        <w:keepNext/>
        <w:keepLines/>
        <w:pageBreakBefore w:val="0"/>
        <w:widowControl w:val="0"/>
        <w:kinsoku/>
        <w:wordWrap/>
        <w:overflowPunct/>
        <w:topLinePunct w:val="0"/>
        <w:autoSpaceDE/>
        <w:autoSpaceDN/>
        <w:bidi w:val="0"/>
        <w:adjustRightInd/>
        <w:snapToGrid/>
        <w:spacing w:before="0" w:after="0" w:line="0" w:lineRule="atLeast"/>
        <w:jc w:val="center"/>
        <w:textAlignment w:val="auto"/>
        <w:rPr>
          <w:rFonts w:hint="default" w:ascii="Times New Roman" w:hAnsi="Times New Roman" w:eastAsia="黑体" w:cs="Times New Roman"/>
          <w:sz w:val="44"/>
          <w:szCs w:val="44"/>
        </w:rPr>
      </w:pPr>
      <w:bookmarkStart w:id="63" w:name="_Toc27243"/>
      <w:r>
        <w:rPr>
          <w:rFonts w:hint="default" w:ascii="Times New Roman" w:hAnsi="Times New Roman" w:eastAsia="方正小标宋_GBK" w:cs="Times New Roman"/>
          <w:b w:val="0"/>
        </w:rPr>
        <w:t>第三部分</w:t>
      </w:r>
      <w:r>
        <w:rPr>
          <w:rFonts w:hint="default" w:ascii="Times New Roman" w:hAnsi="Times New Roman" w:eastAsia="方正小标宋_GBK" w:cs="Times New Roman"/>
          <w:b w:val="0"/>
          <w:lang w:val="en-US" w:eastAsia="zh-CN"/>
        </w:rPr>
        <w:t xml:space="preserve">  </w:t>
      </w:r>
      <w:r>
        <w:rPr>
          <w:rFonts w:hint="default" w:ascii="Times New Roman" w:hAnsi="Times New Roman" w:eastAsia="方正小标宋_GBK" w:cs="Times New Roman"/>
          <w:b w:val="0"/>
        </w:rPr>
        <w:t>名词解释</w:t>
      </w:r>
      <w:bookmarkEnd w:id="61"/>
      <w:bookmarkEnd w:id="62"/>
      <w:bookmarkEnd w:id="63"/>
    </w:p>
    <w:p>
      <w:pPr>
        <w:pageBreakBefore w:val="0"/>
        <w:widowControl w:val="0"/>
        <w:kinsoku/>
        <w:wordWrap/>
        <w:overflowPunct/>
        <w:topLinePunct w:val="0"/>
        <w:autoSpaceDE/>
        <w:autoSpaceDN/>
        <w:bidi w:val="0"/>
        <w:adjustRightInd/>
        <w:snapToGrid/>
        <w:spacing w:line="0" w:lineRule="atLeast"/>
        <w:jc w:val="left"/>
        <w:textAlignment w:val="auto"/>
        <w:rPr>
          <w:rFonts w:hint="default" w:ascii="Times New Roman" w:hAnsi="Times New Roman" w:cs="Times New Roman"/>
          <w:b/>
          <w:sz w:val="44"/>
          <w:szCs w:val="44"/>
        </w:rPr>
      </w:pPr>
    </w:p>
    <w:p>
      <w:pPr>
        <w:pageBreakBefore w:val="0"/>
        <w:widowControl w:val="0"/>
        <w:kinsoku/>
        <w:wordWrap/>
        <w:overflowPunct/>
        <w:topLinePunct w:val="0"/>
        <w:autoSpaceDE/>
        <w:autoSpaceDN/>
        <w:bidi w:val="0"/>
        <w:adjustRightInd/>
        <w:snapToGrid/>
        <w:spacing w:line="0" w:lineRule="atLeas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1.财政拨款收入：指单位从同级财政部门取得的财政预算资金。</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2.事业收入：指事业单位开展专业业务活动及辅助活动取得的收入。</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3.经营收入：指事业单位在专业业务活动及其辅助活动之外开展非独立核算经营活动取得的收入。</w:t>
      </w:r>
    </w:p>
    <w:p>
      <w:pPr>
        <w:spacing w:line="600" w:lineRule="exact"/>
        <w:ind w:firstLine="64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4.其他收入：指单位取得的除上述收入以外的各项收入。</w:t>
      </w:r>
    </w:p>
    <w:p>
      <w:pPr>
        <w:spacing w:line="600" w:lineRule="exact"/>
        <w:ind w:firstLine="64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5.使用非财政拨款结余（含专用结余）：指事业单位使用以前年度积累的非财政拨款结余弥补当年收支差额的金额。</w:t>
      </w:r>
    </w:p>
    <w:p>
      <w:pPr>
        <w:spacing w:line="600" w:lineRule="exact"/>
        <w:ind w:firstLine="64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6.年初结转和结余：指以前年度尚未完成、结转到本年按有关规定继续使用的资金。</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8.年末结转和结余：指单位按有关规定结转到下年或以后年度继续使用的资金。</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.社会保障和就业支出（类）行政事业单位养老支出（款）行政单位离退休（项）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指行政单位（包括实行公务员管理的事业单位）开支的离退休经费。</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.社会保障和就业支出（类）行政事业单位养老支出（款）事业单位离退休（项）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指事业单位开支的离退休经费。</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.社会保障和就业支出（类）行政事业单位养老支出（款）机关事业单位基本养老保险缴费支出（项）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指机关事业单位实施养老保险制度由单位缴纳的基本养老保险费支出。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.社会保障和就业支出（类）行政事业单位养老支出（款）机关事业单位职业年金缴费支出（项）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指机关事业单位实施养老保险制度由单位实际缴纳的职业年金支出。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.卫生健康支出（类）行政事业单位医疗（款）行政单位医疗（项）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指反映财政部门安排行政单位（包括实行公务员管理的事业单位，下同）基本医疗保险缴费经费，未参加医疗保险的行政单位的公费医疗经费，按国家规定享受离休人员、红军老战士待遇人员的医疗经费。</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.卫生健康支出（类）行政事业单位医疗（款）事业单位医疗（项）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w:t>
      </w:r>
      <w:r>
        <w:rPr>
          <w:rFonts w:hint="default" w:ascii="Times New Roman" w:hAnsi="Times New Roman" w:eastAsia="方正仿宋_GBK" w:cs="Times New Roman"/>
          <w:sz w:val="32"/>
          <w:szCs w:val="32"/>
          <w:lang w:val="en-US" w:eastAsia="zh-CN"/>
        </w:rPr>
        <w:t>反映</w:t>
      </w:r>
      <w:r>
        <w:rPr>
          <w:rFonts w:hint="default" w:ascii="Times New Roman" w:hAnsi="Times New Roman" w:eastAsia="方正仿宋_GBK" w:cs="Times New Roman"/>
          <w:sz w:val="32"/>
          <w:szCs w:val="32"/>
        </w:rPr>
        <w:t>财政部门安排的事业单位基本医疗保险缴费经费，未参加医疗保险的事业单位的公费医疗经费，按国家规定享受离休人员待遇的医疗经费。</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.卫生健康支出（类）行政事业单位医疗（款）公务员医疗补助（项）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指反映财政部门安排的公务员医疗补助经费。</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.城乡社区支出（类）其他城乡社区支出（款）其他城乡社区支出（项）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指反映除上述项目以外其他用于节能环保方面的支出。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.农林水支出（类）农业农村（款）行政运行（项）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指行政单位（包括实行公务员管理的事业单位）的基本支出。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18</w:t>
      </w:r>
      <w:r>
        <w:rPr>
          <w:rFonts w:hint="default" w:ascii="Times New Roman" w:hAnsi="Times New Roman" w:eastAsia="方正仿宋_GBK" w:cs="Times New Roman"/>
          <w:sz w:val="32"/>
          <w:szCs w:val="32"/>
        </w:rPr>
        <w:t>.农林水支出（类）农业农村（款）事业运行（项）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指用于农业事业单位基本支出，事业单位设施、系统运行与资产维护等方面的支出。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rPr>
        <w:t>.农林水支出（类）农业农村（款）科技转化与推广服务（项）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指用于农业科技成果转化，农业新品种、新机具、新技术引进、试验、示范、推广及服务，农村人居环境整治等方面的技术试验示范支出。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.农林水支出（类）农业农村（款）病虫害控制（项）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用于病虫鼠害及疫情监测、预报、预防、控制、检疫、防疫所需的仪器、设施、药物、疫苗、种苗，疫畜（禽、鱼、植物）防治、扑杀补偿及劳务补助、菌（毒）种保藏及动植物及其产品检疫、检测等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.农林水支出（类）农业农村（款）农产品质量安全（项）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指用于农产品及其投入品的质量安全评估、监测、抽查、认证、应急处置，相关标准的制定、修订、实施、监管等方面的支出。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.农林水支出（类）农业农村（款）防灾救灾（项）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指反映对农业生产因遭受自然、生物灾害损失给予的补助，促进农业防灾增产措施补助，海难救助补助，因其他灾害导致农牧渔产业生产者损失给予的补助。</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.农林水支出（类）农业农村（款）稳定农民收入补贴（项）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指反映政府为稳定增加农民收入给予的补贴。</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.农林水支出（类）农业农村（款）农业生产发展（项）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指用于耕地地力保护、适度规模经营、农机购置补贴、优势特色主导产业发展、畜牧水产发展、农村一二三产业融合等方面支出。</w:t>
      </w:r>
    </w:p>
    <w:p>
      <w:pPr>
        <w:spacing w:line="600" w:lineRule="exact"/>
        <w:ind w:firstLine="64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农林水支出（类）农业农村（款）农产品加工与促销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指</w:t>
      </w:r>
      <w:r>
        <w:rPr>
          <w:rFonts w:hint="default" w:ascii="Times New Roman" w:hAnsi="Times New Roman" w:eastAsia="方正仿宋_GBK" w:cs="Times New Roman"/>
          <w:sz w:val="32"/>
          <w:szCs w:val="32"/>
          <w:lang w:eastAsia="zh-CN"/>
        </w:rPr>
        <w:t>反映用于促进农产品加工、储藏、运输、国内外大型农产品展示、交易、产销衔接、开拓国内外农产品市场及农业产业化发展等方面的支出。</w:t>
      </w:r>
    </w:p>
    <w:p>
      <w:pPr>
        <w:spacing w:line="600" w:lineRule="exact"/>
        <w:ind w:firstLine="640"/>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lang w:val="en-US" w:eastAsia="zh-CN"/>
        </w:rPr>
        <w:t>26.</w:t>
      </w:r>
      <w:r>
        <w:rPr>
          <w:rFonts w:hint="default" w:ascii="Times New Roman" w:hAnsi="Times New Roman" w:eastAsia="方正仿宋_GBK" w:cs="Times New Roman"/>
          <w:sz w:val="32"/>
          <w:szCs w:val="32"/>
        </w:rPr>
        <w:t>农林水支出（类）农业农村（款）农业生态资源保护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指</w:t>
      </w:r>
      <w:r>
        <w:rPr>
          <w:rFonts w:hint="default" w:ascii="Times New Roman" w:hAnsi="Times New Roman" w:eastAsia="方正仿宋_GBK" w:cs="Times New Roman"/>
          <w:sz w:val="32"/>
          <w:szCs w:val="32"/>
          <w:lang w:eastAsia="zh-CN"/>
        </w:rPr>
        <w:t>反映用于草原草场利用，渔业水域资源环境保护，农业品种改良提升，以及农业生物资源调研收集、鉴定评价、保存利用</w:t>
      </w:r>
      <w:r>
        <w:rPr>
          <w:rFonts w:hint="default" w:ascii="Times New Roman" w:hAnsi="Times New Roman" w:eastAsia="方正仿宋_GBK" w:cs="Times New Roman"/>
          <w:sz w:val="32"/>
          <w:szCs w:val="32"/>
          <w:lang w:val="en-US" w:eastAsia="zh-CN"/>
        </w:rPr>
        <w:t>等方面的支出。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27.农林水支出（类）农业农村（款）耕地建设与利用（项）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指用于改善耕地质量、提升耕地利用效率以及促进农业农村可持续发展的相关工作。</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28.农林水支出（类）农业农村（款）其他农业农村支出（项）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指反映除上述项目以外其他用于农业农村方面的支出。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农</w:t>
      </w:r>
      <w:r>
        <w:rPr>
          <w:rFonts w:hint="default" w:ascii="Times New Roman" w:hAnsi="Times New Roman" w:eastAsia="方正仿宋_GBK" w:cs="Times New Roman"/>
          <w:sz w:val="32"/>
          <w:szCs w:val="32"/>
        </w:rPr>
        <w:t>林水支出（类）</w:t>
      </w:r>
      <w:r>
        <w:rPr>
          <w:rFonts w:hint="default" w:ascii="Times New Roman" w:hAnsi="Times New Roman" w:eastAsia="方正仿宋_GBK" w:cs="Times New Roman"/>
          <w:sz w:val="32"/>
          <w:szCs w:val="32"/>
          <w:lang w:eastAsia="zh-CN"/>
        </w:rPr>
        <w:t>巩固拓展脱贫攻坚成果</w:t>
      </w:r>
      <w:r>
        <w:rPr>
          <w:rFonts w:hint="default" w:ascii="Times New Roman" w:hAnsi="Times New Roman" w:eastAsia="方正仿宋_GBK" w:cs="Times New Roman"/>
          <w:sz w:val="32"/>
          <w:szCs w:val="32"/>
        </w:rPr>
        <w:t>衔接乡村振兴（款）其他</w:t>
      </w:r>
      <w:r>
        <w:rPr>
          <w:rFonts w:hint="default" w:ascii="Times New Roman" w:hAnsi="Times New Roman" w:eastAsia="方正仿宋_GBK" w:cs="Times New Roman"/>
          <w:sz w:val="32"/>
          <w:szCs w:val="32"/>
          <w:lang w:eastAsia="zh-CN"/>
        </w:rPr>
        <w:t>巩固拓展脱贫攻坚成果</w:t>
      </w:r>
      <w:r>
        <w:rPr>
          <w:rFonts w:hint="default" w:ascii="Times New Roman" w:hAnsi="Times New Roman" w:eastAsia="方正仿宋_GBK" w:cs="Times New Roman"/>
          <w:sz w:val="32"/>
          <w:szCs w:val="32"/>
        </w:rPr>
        <w:t>衔接乡村振兴支出（项）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指反映除上述项目以外其他用于</w:t>
      </w:r>
      <w:r>
        <w:rPr>
          <w:rFonts w:hint="default" w:ascii="Times New Roman" w:hAnsi="Times New Roman" w:eastAsia="方正仿宋_GBK" w:cs="Times New Roman"/>
          <w:sz w:val="32"/>
          <w:szCs w:val="32"/>
          <w:lang w:eastAsia="zh-CN"/>
        </w:rPr>
        <w:t>巩固拓展脱贫攻坚成果</w:t>
      </w:r>
      <w:r>
        <w:rPr>
          <w:rFonts w:hint="default" w:ascii="Times New Roman" w:hAnsi="Times New Roman" w:eastAsia="方正仿宋_GBK" w:cs="Times New Roman"/>
          <w:sz w:val="32"/>
          <w:szCs w:val="32"/>
        </w:rPr>
        <w:t>衔接乡村振兴方面的支出。</w:t>
      </w:r>
    </w:p>
    <w:p>
      <w:pPr>
        <w:spacing w:line="600" w:lineRule="exact"/>
        <w:ind w:firstLine="640"/>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lang w:val="en-US" w:eastAsia="zh-CN"/>
        </w:rPr>
        <w:t>30.农</w:t>
      </w:r>
      <w:r>
        <w:rPr>
          <w:rFonts w:hint="default" w:ascii="Times New Roman" w:hAnsi="Times New Roman" w:eastAsia="方正仿宋_GBK" w:cs="Times New Roman"/>
          <w:sz w:val="32"/>
          <w:szCs w:val="32"/>
        </w:rPr>
        <w:t>林水支出（类）农村综合改革（款）其他农村综合改革支出（项）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指反映上述项目以外其他用于农村综合改革方面的支出。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农</w:t>
      </w:r>
      <w:r>
        <w:rPr>
          <w:rFonts w:hint="default" w:ascii="Times New Roman" w:hAnsi="Times New Roman" w:eastAsia="方正仿宋_GBK" w:cs="Times New Roman"/>
          <w:sz w:val="32"/>
          <w:szCs w:val="32"/>
        </w:rPr>
        <w:t>林水支出（类）目标价格补贴（款）其他目标价格补贴（项）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指反映除上述项目以外的其他产品目标价格补贴支出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32.农</w:t>
      </w:r>
      <w:r>
        <w:rPr>
          <w:rFonts w:hint="default" w:ascii="Times New Roman" w:hAnsi="Times New Roman" w:eastAsia="方正仿宋_GBK" w:cs="Times New Roman"/>
          <w:sz w:val="32"/>
          <w:szCs w:val="32"/>
        </w:rPr>
        <w:t>林水支出（类）其他农林水支出（款）其他农林水支出（项）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指反映除化解债务支出以外其他用于农林水方面的支出。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33.住房保障支出（类）住房改革支出（款）住房公积金（项）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指行政事业单位按人力资源和社会保障部、财政部规定的基本工资和津贴补贴以及规定比例为职工缴纳的住房公积金。</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34.基本支出：指为保障机构正常运转、完成日常工作任务而发生的人员支出和公用支出。</w:t>
      </w:r>
    </w:p>
    <w:p>
      <w:pPr>
        <w:spacing w:line="600" w:lineRule="exact"/>
        <w:ind w:firstLine="64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35.项目支出：指在基本支出之外为完成特定行政任务和事业发展目标所发生的支出。</w:t>
      </w:r>
    </w:p>
    <w:p>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36.</w:t>
      </w:r>
      <w:r>
        <w:rPr>
          <w:rFonts w:hint="default" w:ascii="Times New Roman" w:hAnsi="Times New Roman" w:eastAsia="方正仿宋_GBK" w:cs="Times New Roman"/>
          <w:sz w:val="32"/>
          <w:szCs w:val="32"/>
          <w:lang w:eastAsia="zh-CN"/>
        </w:rPr>
        <w:t>“三公”经费</w:t>
      </w:r>
      <w:r>
        <w:rPr>
          <w:rFonts w:hint="default" w:ascii="Times New Roman" w:hAnsi="Times New Roman" w:eastAsia="方正仿宋_GBK" w:cs="Times New Roman"/>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37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4"/>
        <w:keepNext/>
        <w:keepLines/>
        <w:pageBreakBefore w:val="0"/>
        <w:widowControl w:val="0"/>
        <w:kinsoku/>
        <w:wordWrap/>
        <w:overflowPunct/>
        <w:topLinePunct w:val="0"/>
        <w:autoSpaceDE/>
        <w:autoSpaceDN/>
        <w:bidi w:val="0"/>
        <w:adjustRightInd/>
        <w:snapToGrid/>
        <w:spacing w:before="0" w:after="0" w:line="760" w:lineRule="exact"/>
        <w:jc w:val="center"/>
        <w:textAlignment w:val="auto"/>
        <w:rPr>
          <w:rStyle w:val="28"/>
          <w:rFonts w:hint="default" w:ascii="Times New Roman" w:hAnsi="Times New Roman" w:eastAsia="方正小标宋_GBK" w:cs="Times New Roman"/>
          <w:b w:val="0"/>
          <w:bCs/>
        </w:rPr>
      </w:pPr>
      <w:bookmarkStart w:id="64" w:name="_Toc15377226"/>
      <w:r>
        <w:rPr>
          <w:rFonts w:hint="default" w:ascii="Times New Roman" w:hAnsi="Times New Roman" w:eastAsia="仿宋_GB2312" w:cs="Times New Roman"/>
          <w:sz w:val="32"/>
          <w:szCs w:val="32"/>
        </w:rPr>
        <w:br w:type="page"/>
      </w:r>
      <w:bookmarkStart w:id="65" w:name="_Toc8885"/>
      <w:bookmarkStart w:id="66" w:name="_Toc15396614"/>
      <w:r>
        <w:rPr>
          <w:rFonts w:hint="default" w:ascii="Times New Roman" w:hAnsi="Times New Roman" w:eastAsia="方正小标宋_GBK" w:cs="Times New Roman"/>
          <w:b w:val="0"/>
        </w:rPr>
        <w:t>第四部分</w:t>
      </w:r>
      <w:r>
        <w:rPr>
          <w:rFonts w:hint="default" w:ascii="Times New Roman" w:hAnsi="Times New Roman" w:eastAsia="方正小标宋_GBK" w:cs="Times New Roman"/>
          <w:b w:val="0"/>
          <w:lang w:val="en-US" w:eastAsia="zh-CN"/>
        </w:rPr>
        <w:t xml:space="preserve">  </w:t>
      </w:r>
      <w:r>
        <w:rPr>
          <w:rFonts w:hint="default" w:ascii="Times New Roman" w:hAnsi="Times New Roman" w:eastAsia="方正小标宋_GBK" w:cs="Times New Roman"/>
          <w:b w:val="0"/>
        </w:rPr>
        <w:t>附件</w:t>
      </w:r>
      <w:bookmarkEnd w:id="65"/>
      <w:bookmarkEnd w:id="66"/>
    </w:p>
    <w:p>
      <w:pPr>
        <w:spacing w:line="572" w:lineRule="exact"/>
        <w:jc w:val="left"/>
        <w:outlineLvl w:val="0"/>
        <w:rPr>
          <w:rFonts w:hint="default" w:ascii="Times New Roman" w:hAnsi="Times New Roman" w:eastAsia="黑体" w:cs="Times New Roman"/>
          <w:sz w:val="44"/>
          <w:szCs w:val="44"/>
        </w:rPr>
      </w:pPr>
      <w:bookmarkStart w:id="67" w:name="_Toc16745"/>
      <w:r>
        <w:rPr>
          <w:rFonts w:hint="default" w:ascii="Times New Roman" w:hAnsi="Times New Roman" w:eastAsia="黑体" w:cs="Times New Roman"/>
          <w:sz w:val="32"/>
          <w:szCs w:val="32"/>
        </w:rPr>
        <w:t>附件1</w:t>
      </w:r>
      <w:bookmarkEnd w:id="67"/>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p>
    <w:p>
      <w:pPr>
        <w:widowControl/>
        <w:spacing w:line="578" w:lineRule="exact"/>
        <w:contextualSpacing/>
        <w:jc w:val="center"/>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eastAsia="zh-CN"/>
        </w:rPr>
        <w:t>攀枝花市仁和区农业农村</w:t>
      </w:r>
      <w:r>
        <w:rPr>
          <w:rFonts w:hint="eastAsia" w:ascii="方正小标宋_GBK" w:hAnsi="方正小标宋_GBK" w:eastAsia="方正小标宋_GBK" w:cs="方正小标宋_GBK"/>
          <w:b/>
          <w:bCs w:val="0"/>
          <w:sz w:val="44"/>
          <w:szCs w:val="44"/>
          <w:highlight w:val="none"/>
          <w:shd w:val="clear" w:color="auto" w:fill="FFFFFF"/>
          <w:lang w:val="en-US" w:eastAsia="zh-CN"/>
        </w:rPr>
        <w:t>局</w:t>
      </w:r>
    </w:p>
    <w:p>
      <w:pPr>
        <w:widowControl/>
        <w:spacing w:line="578" w:lineRule="exact"/>
        <w:contextualSpacing/>
        <w:jc w:val="center"/>
        <w:rPr>
          <w:rFonts w:hint="eastAsia" w:ascii="方正小标宋_GBK" w:hAnsi="方正小标宋_GBK" w:eastAsia="方正小标宋_GBK" w:cs="方正小标宋_GBK"/>
          <w:b/>
          <w:bCs w:val="0"/>
          <w:sz w:val="44"/>
          <w:szCs w:val="44"/>
          <w:shd w:val="clear" w:color="auto" w:fill="FFFFFF"/>
        </w:rPr>
      </w:pPr>
      <w:r>
        <w:rPr>
          <w:rFonts w:hint="eastAsia" w:ascii="方正小标宋_GBK" w:hAnsi="方正小标宋_GBK" w:eastAsia="方正小标宋_GBK" w:cs="方正小标宋_GBK"/>
          <w:b/>
          <w:bCs w:val="0"/>
          <w:sz w:val="44"/>
          <w:szCs w:val="44"/>
          <w:shd w:val="clear" w:color="auto" w:fill="FFFFFF"/>
        </w:rPr>
        <w:t>部门预算绩效评价报告</w:t>
      </w:r>
    </w:p>
    <w:p>
      <w:pPr>
        <w:widowControl/>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一、部门（单位）基本情况</w:t>
      </w:r>
    </w:p>
    <w:p>
      <w:pPr>
        <w:widowControl/>
        <w:adjustRightInd w:val="0"/>
        <w:snapToGrid w:val="0"/>
        <w:spacing w:line="578" w:lineRule="exact"/>
        <w:ind w:firstLine="643" w:firstLineChars="200"/>
        <w:contextualSpacing/>
        <w:jc w:val="left"/>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（一）机构组成。</w:t>
      </w:r>
    </w:p>
    <w:p>
      <w:pPr>
        <w:widowControl/>
        <w:adjustRightInd w:val="0"/>
        <w:snapToGrid w:val="0"/>
        <w:spacing w:line="578" w:lineRule="exact"/>
        <w:ind w:firstLine="640" w:firstLineChars="200"/>
        <w:contextualSpacing/>
        <w:jc w:val="left"/>
        <w:rPr>
          <w:rFonts w:hint="default" w:ascii="Times New Roman" w:hAnsi="Times New Roman" w:eastAsia="方正仿宋_GBK" w:cs="Times New Roman"/>
          <w:szCs w:val="32"/>
        </w:rPr>
      </w:pPr>
      <w:r>
        <w:rPr>
          <w:rFonts w:hint="default" w:ascii="Times New Roman" w:hAnsi="Times New Roman" w:eastAsia="方正仿宋_GBK" w:cs="Times New Roman"/>
          <w:sz w:val="32"/>
          <w:szCs w:val="32"/>
        </w:rPr>
        <w:t>攀枝花市仁和区农业农村局下属非独立核算单位8个，其中行政单位1个，攀枝花市仁和农业农村局机关；参照公务员法管理的事业单位2个，攀枝花市仁和区动植物疫病防控中心、攀枝花市仁和区农业综合行政执法大队；其他事业单位5个，主要包括：攀枝花市仁和区农村经济综合服务中心、攀枝花市仁和区农业技术推广服务中心、攀枝花市仁和区畜牧与水产站、攀枝花市仁和区农产品质量安全中心、攀枝花市仁和区乡村振兴服务中心。其中因机构改革新增攀枝花市仁和区乡村振兴服务中心。</w:t>
      </w:r>
    </w:p>
    <w:p>
      <w:pPr>
        <w:widowControl/>
        <w:numPr>
          <w:ilvl w:val="0"/>
          <w:numId w:val="0"/>
        </w:numPr>
        <w:adjustRightInd w:val="0"/>
        <w:snapToGrid w:val="0"/>
        <w:spacing w:line="578" w:lineRule="exact"/>
        <w:ind w:firstLine="643" w:firstLineChars="200"/>
        <w:contextualSpacing/>
        <w:jc w:val="left"/>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kern w:val="2"/>
          <w:sz w:val="32"/>
          <w:szCs w:val="32"/>
          <w:lang w:val="zh-CN" w:eastAsia="zh-CN" w:bidi="ar-SA"/>
        </w:rPr>
        <w:t>（二）</w:t>
      </w:r>
      <w:r>
        <w:rPr>
          <w:rFonts w:hint="default" w:ascii="Times New Roman" w:hAnsi="Times New Roman" w:eastAsia="方正楷体_GBK" w:cs="Times New Roman"/>
          <w:b/>
          <w:sz w:val="32"/>
          <w:szCs w:val="32"/>
          <w:lang w:val="zh-CN"/>
        </w:rPr>
        <w:t>机构职能。</w:t>
      </w:r>
    </w:p>
    <w:p>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highlight w:val="none"/>
        </w:rPr>
        <w:t>攀枝花市仁和区农业农村局为区政府工作部门，基本职能是负责全区农业、农村工作，贯彻执行国家有关种植业、养殖业、农业机械化等农业各产业</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以下简称农业</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工作的方针、政策及</w:t>
      </w:r>
      <w:r>
        <w:rPr>
          <w:rFonts w:hint="default" w:ascii="Times New Roman" w:hAnsi="Times New Roman" w:eastAsia="方正仿宋_GBK" w:cs="Times New Roman"/>
          <w:sz w:val="32"/>
          <w:szCs w:val="32"/>
          <w:highlight w:val="none"/>
          <w:lang w:eastAsia="zh-CN"/>
        </w:rPr>
        <w:t>法律法规</w:t>
      </w:r>
      <w:r>
        <w:rPr>
          <w:rFonts w:hint="default" w:ascii="Times New Roman" w:hAnsi="Times New Roman" w:eastAsia="方正仿宋_GBK" w:cs="Times New Roman"/>
          <w:sz w:val="32"/>
          <w:szCs w:val="32"/>
          <w:highlight w:val="none"/>
        </w:rPr>
        <w:t>；研究拟定全区农业和农村经济发展战略、年度计划、中长期发展规划、政策并组织实施；推进农牧业依法行政。</w:t>
      </w:r>
      <w:r>
        <w:rPr>
          <w:rFonts w:hint="default" w:ascii="Times New Roman" w:hAnsi="Times New Roman" w:eastAsia="方正仿宋_GBK" w:cs="Times New Roman"/>
          <w:sz w:val="32"/>
          <w:szCs w:val="32"/>
          <w:highlight w:val="none"/>
          <w:lang w:val="en-US" w:eastAsia="zh-CN"/>
        </w:rPr>
        <w:t>主要包括：</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1.统筹研究和组织实施全区以乡村振兴为重心的“三农”工作发展战略、中长期规划、重大政策。</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2.统筹推动发展农村社会事业、农村公共服务、农村文化、农村基础设施和乡村治理。</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3.负责农民承包地、农村宅基地、农村集体产权制度改革和管理有关工作。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4.负责巩固拓展脱贫攻坚成果有关工作。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5.负责指导全区乡村特色产业、农产品加工业</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产地初加工</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、休闲农业和乡村企业发展工作，推动延长农产品产业链。</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6.负责全区种植业、畜牧业</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草原牧业</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、渔业</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农垦、农业机械化等农业各产业的监督管理。</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7.负责制定全区农业机械化发展规划并组织实施。</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8.负责全区农产品质量安全监督管理。</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9.负责耕地、永久基本农田质量保护和高标准农田建设工作。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10.负责全区有关农业生产资料和农业投入品的监督管理。</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11.负责全区农业防灾减灾、农作物重大病虫害防治工作。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12.负责全区农业投资管理。</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13.制定全区农业科研、农技推广的规划、计划和有关政策并组织实施，牵头推动农业科技体制改革和科技创新体系建设。</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14.指导全区农业农村人才工作。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15.牵头开展全区农业对外合作工作。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16.指导国有农场的改革与发展。</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17.依法依规负责农业农村安全生产和职业健康监督管理工作。</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18.统筹协调和监督指导全区农业综合执法。</w:t>
      </w:r>
    </w:p>
    <w:p>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19.负责职责范围内的生态环境保护、审批服务便民化等工作。</w:t>
      </w:r>
    </w:p>
    <w:p>
      <w:pPr>
        <w:widowControl/>
        <w:adjustRightInd w:val="0"/>
        <w:snapToGrid w:val="0"/>
        <w:spacing w:line="578" w:lineRule="exact"/>
        <w:ind w:firstLine="640" w:firstLineChars="200"/>
        <w:contextualSpacing/>
        <w:jc w:val="left"/>
        <w:rPr>
          <w:rFonts w:hint="default" w:ascii="Times New Roman" w:hAnsi="Times New Roman" w:eastAsia="方正仿宋_GBK" w:cs="Times New Roman"/>
          <w:b/>
          <w:bCs/>
          <w:color w:val="000000"/>
          <w:kern w:val="0"/>
          <w:szCs w:val="32"/>
          <w:shd w:val="clear" w:color="auto" w:fill="FFFFFF"/>
          <w:lang w:val="zh-CN"/>
        </w:rPr>
      </w:pPr>
      <w:r>
        <w:rPr>
          <w:rFonts w:hint="default" w:ascii="Times New Roman" w:hAnsi="Times New Roman" w:eastAsia="方正仿宋_GBK" w:cs="Times New Roman"/>
          <w:sz w:val="32"/>
          <w:szCs w:val="32"/>
          <w:highlight w:val="none"/>
        </w:rPr>
        <w:t>20.完成</w:t>
      </w:r>
      <w:r>
        <w:rPr>
          <w:rFonts w:hint="default" w:ascii="Times New Roman" w:hAnsi="Times New Roman" w:eastAsia="方正仿宋_GBK" w:cs="Times New Roman"/>
          <w:sz w:val="32"/>
          <w:szCs w:val="32"/>
          <w:highlight w:val="none"/>
          <w:lang w:eastAsia="zh-CN"/>
        </w:rPr>
        <w:t>区委、区政府</w:t>
      </w:r>
      <w:r>
        <w:rPr>
          <w:rFonts w:hint="default" w:ascii="Times New Roman" w:hAnsi="Times New Roman" w:eastAsia="方正仿宋_GBK" w:cs="Times New Roman"/>
          <w:sz w:val="32"/>
          <w:szCs w:val="32"/>
          <w:highlight w:val="none"/>
        </w:rPr>
        <w:t>交办的其他任务。</w:t>
      </w:r>
    </w:p>
    <w:p>
      <w:pPr>
        <w:spacing w:line="600" w:lineRule="exact"/>
        <w:ind w:firstLine="643" w:firstLineChars="200"/>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（三）人员概况。</w:t>
      </w:r>
    </w:p>
    <w:p>
      <w:pPr>
        <w:spacing w:line="600" w:lineRule="exact"/>
        <w:ind w:firstLine="640" w:firstLineChars="200"/>
        <w:rPr>
          <w:rFonts w:hint="default" w:ascii="Times New Roman" w:hAnsi="Times New Roman" w:eastAsia="方正仿宋_GBK" w:cs="Times New Roman"/>
          <w:szCs w:val="32"/>
        </w:rPr>
      </w:pPr>
      <w:r>
        <w:rPr>
          <w:rFonts w:hint="default" w:ascii="Times New Roman" w:hAnsi="Times New Roman" w:eastAsia="方正仿宋_GBK" w:cs="Times New Roman"/>
          <w:sz w:val="32"/>
          <w:szCs w:val="32"/>
        </w:rPr>
        <w:t>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年末攀枝花市仁和区农业农村局及下属非独立核算单位共有人员编制数119人，实有10</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人，核定的内设机构8个，主要包括：办公室、区委农办秘书股和督查股、经济促进股、计财股、产业发展股、乡村建设股、畜牧渔政股、农业农村综合执法大队。</w:t>
      </w:r>
    </w:p>
    <w:p>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highlight w:val="none"/>
          <w:shd w:val="clear" w:color="auto" w:fill="FFFFFF"/>
          <w:lang w:val="zh-CN"/>
        </w:rPr>
      </w:pPr>
      <w:r>
        <w:rPr>
          <w:rFonts w:hint="default" w:ascii="Times New Roman" w:hAnsi="Times New Roman" w:eastAsia="方正黑体_GBK" w:cs="Times New Roman"/>
          <w:color w:val="000000"/>
          <w:kern w:val="0"/>
          <w:sz w:val="32"/>
          <w:szCs w:val="32"/>
          <w:highlight w:val="none"/>
          <w:shd w:val="clear" w:color="auto" w:fill="FFFFFF"/>
          <w:lang w:val="zh-CN"/>
        </w:rPr>
        <w:t>二、部门资金收支情况</w:t>
      </w:r>
    </w:p>
    <w:p>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bCs/>
          <w:color w:val="000000"/>
          <w:kern w:val="0"/>
          <w:szCs w:val="32"/>
          <w:shd w:val="clear" w:color="auto" w:fill="FFFFFF"/>
        </w:rPr>
      </w:pPr>
      <w:r>
        <w:rPr>
          <w:rFonts w:hint="default" w:ascii="Times New Roman" w:hAnsi="Times New Roman" w:eastAsia="方正楷体_GBK" w:cs="Times New Roman"/>
          <w:b/>
          <w:bCs/>
          <w:color w:val="000000"/>
          <w:kern w:val="0"/>
          <w:sz w:val="32"/>
          <w:szCs w:val="32"/>
          <w:shd w:val="clear" w:color="auto" w:fill="FFFFFF"/>
          <w:lang w:val="zh-CN"/>
        </w:rPr>
        <w:t>（一）收入情况。</w:t>
      </w:r>
      <w:r>
        <w:rPr>
          <w:rFonts w:hint="default" w:ascii="Times New Roman" w:hAnsi="Times New Roman" w:eastAsia="方正仿宋_GBK" w:cs="Times New Roman"/>
          <w:sz w:val="32"/>
          <w:szCs w:val="32"/>
        </w:rPr>
        <w:t>攀枝花市仁和区农业农村局2025年年年初预算收入</w:t>
      </w:r>
      <w:r>
        <w:rPr>
          <w:rFonts w:hint="default" w:ascii="Times New Roman" w:hAnsi="Times New Roman" w:eastAsia="方正仿宋_GBK" w:cs="Times New Roman"/>
          <w:sz w:val="32"/>
          <w:szCs w:val="32"/>
          <w:lang w:val="en-US" w:eastAsia="zh-CN"/>
        </w:rPr>
        <w:t>4837.07</w:t>
      </w:r>
      <w:r>
        <w:rPr>
          <w:rFonts w:hint="default" w:ascii="Times New Roman" w:hAnsi="Times New Roman" w:eastAsia="方正仿宋_GBK" w:cs="Times New Roman"/>
          <w:sz w:val="32"/>
          <w:szCs w:val="32"/>
        </w:rPr>
        <w:t>万元、决算报表收入</w:t>
      </w:r>
      <w:r>
        <w:rPr>
          <w:rFonts w:hint="default" w:ascii="Times New Roman" w:hAnsi="Times New Roman" w:eastAsia="方正仿宋_GBK" w:cs="Times New Roman"/>
          <w:sz w:val="32"/>
          <w:szCs w:val="32"/>
          <w:highlight w:val="none"/>
        </w:rPr>
        <w:t>17718.81</w:t>
      </w:r>
      <w:r>
        <w:rPr>
          <w:rFonts w:hint="default" w:ascii="Times New Roman" w:hAnsi="Times New Roman" w:eastAsia="方正仿宋_GBK" w:cs="Times New Roman"/>
          <w:sz w:val="32"/>
          <w:szCs w:val="32"/>
        </w:rPr>
        <w:t>万元。</w:t>
      </w:r>
    </w:p>
    <w:p>
      <w:pPr>
        <w:widowControl/>
        <w:adjustRightInd w:val="0"/>
        <w:snapToGrid w:val="0"/>
        <w:spacing w:line="578" w:lineRule="exact"/>
        <w:ind w:firstLine="643" w:firstLineChars="200"/>
        <w:contextualSpacing/>
        <w:jc w:val="left"/>
        <w:rPr>
          <w:rFonts w:hint="default" w:ascii="Times New Roman" w:hAnsi="Times New Roman" w:eastAsia="方正仿宋_GBK" w:cs="Times New Roman"/>
          <w:szCs w:val="32"/>
          <w:lang w:val="zh-CN"/>
        </w:rPr>
      </w:pPr>
      <w:r>
        <w:rPr>
          <w:rFonts w:hint="default" w:ascii="Times New Roman" w:hAnsi="Times New Roman" w:eastAsia="方正楷体_GBK" w:cs="Times New Roman"/>
          <w:b/>
          <w:bCs/>
          <w:color w:val="000000"/>
          <w:kern w:val="0"/>
          <w:sz w:val="32"/>
          <w:szCs w:val="32"/>
          <w:shd w:val="clear" w:color="auto" w:fill="FFFFFF"/>
          <w:lang w:val="zh-CN"/>
        </w:rPr>
        <w:t>（二）支出情况。</w:t>
      </w:r>
      <w:r>
        <w:rPr>
          <w:rFonts w:hint="default" w:ascii="Times New Roman" w:hAnsi="Times New Roman" w:eastAsia="方正仿宋_GBK" w:cs="Times New Roman"/>
          <w:sz w:val="32"/>
          <w:szCs w:val="32"/>
        </w:rPr>
        <w:t>攀枝花市仁和区农业农村局2025年年初预算支出</w:t>
      </w:r>
      <w:r>
        <w:rPr>
          <w:rFonts w:hint="default" w:ascii="Times New Roman" w:hAnsi="Times New Roman" w:eastAsia="方正仿宋_GBK" w:cs="Times New Roman"/>
          <w:sz w:val="32"/>
          <w:szCs w:val="32"/>
          <w:lang w:val="en-US" w:eastAsia="zh-CN"/>
        </w:rPr>
        <w:t>4837.07</w:t>
      </w:r>
      <w:r>
        <w:rPr>
          <w:rFonts w:hint="default" w:ascii="Times New Roman" w:hAnsi="Times New Roman" w:eastAsia="方正仿宋_GBK" w:cs="Times New Roman"/>
          <w:sz w:val="32"/>
          <w:szCs w:val="32"/>
        </w:rPr>
        <w:t>万元、决算报表支出</w:t>
      </w:r>
      <w:r>
        <w:rPr>
          <w:rFonts w:hint="default" w:ascii="Times New Roman" w:hAnsi="Times New Roman" w:eastAsia="方正仿宋_GBK" w:cs="Times New Roman"/>
          <w:sz w:val="32"/>
          <w:szCs w:val="32"/>
          <w:lang w:val="en-US" w:eastAsia="zh-CN"/>
        </w:rPr>
        <w:t>17890.8</w:t>
      </w:r>
      <w:r>
        <w:rPr>
          <w:rFonts w:hint="default" w:ascii="Times New Roman" w:hAnsi="Times New Roman" w:eastAsia="方正仿宋_GBK" w:cs="Times New Roman"/>
          <w:sz w:val="32"/>
          <w:szCs w:val="32"/>
        </w:rPr>
        <w:t>万元。</w:t>
      </w:r>
    </w:p>
    <w:p>
      <w:pPr>
        <w:widowControl/>
        <w:adjustRightInd w:val="0"/>
        <w:snapToGrid w:val="0"/>
        <w:spacing w:line="578" w:lineRule="exact"/>
        <w:ind w:firstLine="643" w:firstLineChars="200"/>
        <w:contextualSpacing/>
        <w:jc w:val="left"/>
        <w:rPr>
          <w:rFonts w:hint="default" w:ascii="Times New Roman" w:hAnsi="Times New Roman" w:eastAsia="方正仿宋_GBK" w:cs="Times New Roman"/>
          <w:color w:val="000000"/>
          <w:kern w:val="0"/>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（三）结余分配和结转结余情况。</w:t>
      </w:r>
      <w:r>
        <w:rPr>
          <w:rFonts w:hint="default" w:ascii="Times New Roman" w:hAnsi="Times New Roman" w:eastAsia="方正仿宋_GBK" w:cs="Times New Roman"/>
          <w:sz w:val="32"/>
          <w:szCs w:val="32"/>
        </w:rPr>
        <w:t>攀枝花市仁和区农业农村局2025年决算报表结转结余</w:t>
      </w:r>
      <w:r>
        <w:rPr>
          <w:rFonts w:hint="default" w:ascii="Times New Roman" w:hAnsi="Times New Roman" w:eastAsia="方正仿宋_GBK" w:cs="Times New Roman"/>
          <w:kern w:val="2"/>
          <w:sz w:val="32"/>
          <w:szCs w:val="32"/>
          <w:lang w:val="en-US" w:eastAsia="zh-CN" w:bidi="ar-SA"/>
        </w:rPr>
        <w:t>1386.02万元</w:t>
      </w:r>
      <w:r>
        <w:rPr>
          <w:rFonts w:hint="default" w:ascii="Times New Roman" w:hAnsi="Times New Roman" w:eastAsia="方正仿宋_GBK" w:cs="Times New Roman"/>
          <w:sz w:val="32"/>
          <w:szCs w:val="32"/>
        </w:rPr>
        <w:t>。</w:t>
      </w:r>
    </w:p>
    <w:p>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三、部门预算绩效分析</w:t>
      </w:r>
    </w:p>
    <w:p>
      <w:pPr>
        <w:adjustRightInd w:val="0"/>
        <w:snapToGrid w:val="0"/>
        <w:spacing w:line="578" w:lineRule="exact"/>
        <w:ind w:firstLine="643" w:firstLineChars="200"/>
        <w:contextualSpacing/>
        <w:jc w:val="left"/>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（一）部门预算总体绩效分析。</w:t>
      </w:r>
    </w:p>
    <w:p>
      <w:pPr>
        <w:adjustRightInd w:val="0"/>
        <w:snapToGrid w:val="0"/>
        <w:spacing w:line="578" w:lineRule="exact"/>
        <w:ind w:firstLine="640" w:firstLineChars="200"/>
        <w:contextualSpacing/>
        <w:jc w:val="left"/>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1.履职效能。</w:t>
      </w:r>
      <w:r>
        <w:rPr>
          <w:rFonts w:hint="default" w:ascii="Times New Roman" w:hAnsi="Times New Roman" w:eastAsia="方正仿宋_GBK" w:cs="Times New Roman"/>
          <w:sz w:val="32"/>
          <w:szCs w:val="32"/>
          <w:highlight w:val="none"/>
          <w:lang w:val="en-US" w:eastAsia="zh-CN"/>
        </w:rPr>
        <w:t>2025年全区一产增加值21.8亿元，同比增长4.2%；农村居民人均可支配收入19177元，同比增长5.0%。核心农产品产能稳步提升，蔬菜产量37.5万吨、产值24.2亿元，特色水果产量29.1万吨、产值23.3亿元，生猪出栏16.44万头，能繁母猪存栏0.88万头。粮食播种面积12.34万亩、产量4.53万吨，超额完成年度粮食安全目标任务。精准落实惠农政策，累计发放耕地地力保护补贴1058.77万元、农机购置补贴133.87万元，惠及农户3.3万户。建成粮食绿色高产示范基地2个，辐射带动1.5万亩农田增产提质。全年新建芒果、石榴、蔬菜等特色产业创富共同体18个。</w:t>
      </w:r>
    </w:p>
    <w:p>
      <w:pPr>
        <w:adjustRightInd w:val="0"/>
        <w:snapToGrid w:val="0"/>
        <w:spacing w:line="578" w:lineRule="exact"/>
        <w:ind w:firstLine="640" w:firstLineChars="200"/>
        <w:contextualSpacing/>
        <w:jc w:val="left"/>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2.预算管理。</w:t>
      </w:r>
      <w:r>
        <w:rPr>
          <w:rFonts w:hint="default" w:ascii="Times New Roman" w:hAnsi="Times New Roman" w:eastAsia="方正仿宋_GBK" w:cs="Times New Roman"/>
          <w:sz w:val="32"/>
          <w:szCs w:val="32"/>
          <w:highlight w:val="none"/>
          <w:lang w:val="en-US" w:eastAsia="zh-CN"/>
        </w:rPr>
        <w:t>预算编制整体贴合单位实际需求，编制依据充分、数据测算规范；单位收入统筹能力稳步提升，各项收入及时足额上缴；支出执行进度总体平稳，重点支出保障有力，预算年终结余规模控制在合理区间；一般性支出严格落实压减要求，资金使用的精准性和合规性持续优化。</w:t>
      </w:r>
    </w:p>
    <w:p>
      <w:pPr>
        <w:adjustRightInd w:val="0"/>
        <w:snapToGrid w:val="0"/>
        <w:spacing w:line="578" w:lineRule="exact"/>
        <w:ind w:firstLine="640" w:firstLineChars="200"/>
        <w:contextualSpacing/>
        <w:jc w:val="left"/>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3.财务管理。</w:t>
      </w:r>
      <w:r>
        <w:rPr>
          <w:rFonts w:hint="default" w:ascii="Times New Roman" w:hAnsi="Times New Roman" w:eastAsia="方正仿宋_GBK" w:cs="Times New Roman"/>
          <w:sz w:val="32"/>
          <w:szCs w:val="32"/>
          <w:highlight w:val="none"/>
          <w:lang w:val="en-US" w:eastAsia="zh-CN"/>
        </w:rPr>
        <w:t>已建立健全覆盖预算、收支、资产等全流程的财务管理制度体系，财务岗位设置符合不相容岗位分离要求，岗位职责清晰明确；资金使用严格执行审批流程，资金拨付、使用、核算全流程合规，未出现违规使用资金的情况。</w:t>
      </w:r>
    </w:p>
    <w:p>
      <w:pPr>
        <w:adjustRightInd w:val="0"/>
        <w:snapToGrid w:val="0"/>
        <w:spacing w:line="578" w:lineRule="exact"/>
        <w:ind w:firstLine="640" w:firstLineChars="200"/>
        <w:contextualSpacing/>
        <w:jc w:val="left"/>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4.资产管理。</w:t>
      </w:r>
      <w:r>
        <w:rPr>
          <w:rFonts w:hint="default" w:ascii="Times New Roman" w:hAnsi="Times New Roman" w:eastAsia="方正仿宋_GBK" w:cs="Times New Roman"/>
          <w:sz w:val="32"/>
          <w:szCs w:val="32"/>
          <w:highlight w:val="none"/>
          <w:lang w:val="en-US" w:eastAsia="zh-CN"/>
        </w:rPr>
        <w:t>资产配置整体合理，未出现资产闲置、低效运转等问题；资产利用率较高，资产购置、使用、处置全流程规范有序；闲置资产盘活工作稳步推进，有效提升资产使用效益。</w:t>
      </w:r>
    </w:p>
    <w:p>
      <w:p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5.采购管理。</w:t>
      </w:r>
      <w:r>
        <w:rPr>
          <w:rFonts w:hint="default" w:ascii="Times New Roman" w:hAnsi="Times New Roman" w:eastAsia="方正仿宋_GBK" w:cs="Times New Roman"/>
          <w:sz w:val="32"/>
          <w:szCs w:val="32"/>
          <w:highlight w:val="none"/>
          <w:lang w:val="en-US" w:eastAsia="zh-CN"/>
        </w:rPr>
        <w:t>严格落实政府采购相关政策，积极支持中小企业参与政府采购活动；采购执行流程规范，采购计划与预算衔接紧密，采购执行率达到预期目标，未出现违规采购、采购效率低下等问题</w:t>
      </w:r>
      <w:r>
        <w:rPr>
          <w:rFonts w:hint="default" w:ascii="Times New Roman" w:hAnsi="Times New Roman" w:eastAsia="方正仿宋_GBK" w:cs="Times New Roman"/>
          <w:sz w:val="32"/>
          <w:szCs w:val="32"/>
          <w:lang w:val="zh-CN"/>
        </w:rPr>
        <w:t>。</w:t>
      </w:r>
    </w:p>
    <w:p>
      <w:pPr>
        <w:adjustRightInd w:val="0"/>
        <w:snapToGrid w:val="0"/>
        <w:spacing w:line="578" w:lineRule="exact"/>
        <w:ind w:firstLine="643" w:firstLineChars="200"/>
        <w:contextualSpacing/>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b/>
          <w:bCs/>
          <w:color w:val="000000"/>
          <w:kern w:val="0"/>
          <w:sz w:val="32"/>
          <w:szCs w:val="32"/>
          <w:highlight w:val="none"/>
          <w:shd w:val="clear" w:color="auto" w:fill="FFFFFF"/>
          <w:lang w:val="zh-CN"/>
        </w:rPr>
        <w:t>（二）部门预算项目绩效分析。</w:t>
      </w:r>
    </w:p>
    <w:p>
      <w:pPr>
        <w:adjustRightInd w:val="0"/>
        <w:snapToGrid w:val="0"/>
        <w:spacing w:line="578" w:lineRule="exact"/>
        <w:ind w:firstLine="640" w:firstLineChars="200"/>
        <w:contextualSpacing/>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常年项目绩效分析。</w:t>
      </w:r>
      <w:r>
        <w:rPr>
          <w:rFonts w:hint="default" w:ascii="Times New Roman" w:hAnsi="Times New Roman" w:eastAsia="方正仿宋_GBK" w:cs="Times New Roman"/>
          <w:sz w:val="32"/>
          <w:szCs w:val="32"/>
          <w:highlight w:val="none"/>
          <w:lang w:val="en-US" w:eastAsia="zh-CN"/>
        </w:rPr>
        <w:t>该类项目总数69个，涉及预算总金额15072.89万元，1—12月预算执行总体进度为75.96%，其中：预算结余率大于10%的项目共计24个。</w:t>
      </w:r>
    </w:p>
    <w:p>
      <w:pPr>
        <w:adjustRightInd w:val="0"/>
        <w:snapToGrid w:val="0"/>
        <w:spacing w:line="578" w:lineRule="exact"/>
        <w:ind w:firstLine="640" w:firstLineChars="200"/>
        <w:contextualSpacing/>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highlight w:val="none"/>
          <w:lang w:val="en-US" w:eastAsia="zh-CN"/>
        </w:rPr>
        <w:t>阶段（含一次性）项目绩效分析。该类项目总数45个，涉及预算总金额10449.54万元，1—12月预算执行总体进度为68.05%，其中：预算结余率大于10%的项目共计21个。</w:t>
      </w:r>
    </w:p>
    <w:p>
      <w:pPr>
        <w:adjustRightInd w:val="0"/>
        <w:snapToGrid w:val="0"/>
        <w:spacing w:line="578" w:lineRule="exact"/>
        <w:ind w:firstLine="640" w:firstLineChars="200"/>
        <w:contextualSpacing/>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zh-CN"/>
        </w:rPr>
        <w:t>项目决策。</w:t>
      </w:r>
      <w:r>
        <w:rPr>
          <w:rFonts w:hint="default" w:ascii="Times New Roman" w:hAnsi="Times New Roman" w:eastAsia="方正仿宋_GBK" w:cs="Times New Roman"/>
          <w:sz w:val="32"/>
          <w:szCs w:val="32"/>
          <w:highlight w:val="none"/>
          <w:lang w:val="en-US" w:eastAsia="zh-CN"/>
        </w:rPr>
        <w:t>部门预算项目绩效目标与计划期内的任务量、预算安排的资金量匹配度高，绩效目标设置科学合理、规范完整，进行了量化细化，在规定时间内完成了项目入库。</w:t>
      </w:r>
    </w:p>
    <w:p>
      <w:pPr>
        <w:adjustRightInd w:val="0"/>
        <w:snapToGrid w:val="0"/>
        <w:spacing w:line="578" w:lineRule="exact"/>
        <w:ind w:firstLine="640" w:firstLineChars="200"/>
        <w:contextualSpacing/>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2.项目执行</w:t>
      </w:r>
      <w:r>
        <w:rPr>
          <w:rFonts w:hint="default" w:ascii="Times New Roman" w:hAnsi="Times New Roman" w:eastAsia="方正仿宋_GBK" w:cs="Times New Roman"/>
          <w:sz w:val="32"/>
          <w:szCs w:val="32"/>
          <w:lang w:val="zh-CN"/>
        </w:rPr>
        <w:t>。</w:t>
      </w:r>
      <w:r>
        <w:rPr>
          <w:rFonts w:hint="default" w:ascii="Times New Roman" w:hAnsi="Times New Roman" w:eastAsia="方正仿宋_GBK" w:cs="Times New Roman"/>
          <w:sz w:val="32"/>
          <w:szCs w:val="32"/>
          <w:highlight w:val="none"/>
          <w:lang w:val="en-US" w:eastAsia="zh-CN"/>
        </w:rPr>
        <w:t>部门预算项目实际列支内容与绩效目标设置方向相符，未进行相关调整。预算执行情况良好，执行率达100%。</w:t>
      </w:r>
    </w:p>
    <w:p>
      <w:pPr>
        <w:adjustRightInd w:val="0"/>
        <w:snapToGrid w:val="0"/>
        <w:spacing w:line="578" w:lineRule="exact"/>
        <w:ind w:firstLine="640" w:firstLineChars="200"/>
        <w:contextualSpacing/>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zh-CN"/>
        </w:rPr>
        <w:t>目标实现。</w:t>
      </w:r>
      <w:r>
        <w:rPr>
          <w:rFonts w:hint="default" w:ascii="Times New Roman" w:hAnsi="Times New Roman" w:eastAsia="方正仿宋_GBK" w:cs="Times New Roman"/>
          <w:sz w:val="32"/>
          <w:szCs w:val="32"/>
          <w:highlight w:val="none"/>
          <w:lang w:val="en-US" w:eastAsia="zh-CN"/>
        </w:rPr>
        <w:t>绩效目标数量指标全部完成，指标实现程度与预期目标无偏离，效益指标实施情况良好。</w:t>
      </w:r>
    </w:p>
    <w:p>
      <w:pPr>
        <w:adjustRightInd w:val="0"/>
        <w:snapToGrid w:val="0"/>
        <w:spacing w:line="578" w:lineRule="exact"/>
        <w:ind w:firstLine="643" w:firstLineChars="200"/>
        <w:contextualSpacing/>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w:t>
      </w:r>
      <w:r>
        <w:rPr>
          <w:rFonts w:hint="default" w:ascii="Times New Roman" w:hAnsi="Times New Roman" w:eastAsia="方正楷体_GBK" w:cs="Times New Roman"/>
          <w:b/>
          <w:bCs/>
          <w:color w:val="000000"/>
          <w:kern w:val="0"/>
          <w:sz w:val="32"/>
          <w:szCs w:val="32"/>
          <w:shd w:val="clear" w:color="auto" w:fill="FFFFFF"/>
        </w:rPr>
        <w:t>三</w:t>
      </w:r>
      <w:r>
        <w:rPr>
          <w:rFonts w:hint="default" w:ascii="Times New Roman" w:hAnsi="Times New Roman" w:eastAsia="方正楷体_GBK" w:cs="Times New Roman"/>
          <w:b/>
          <w:bCs/>
          <w:color w:val="000000"/>
          <w:kern w:val="0"/>
          <w:sz w:val="32"/>
          <w:szCs w:val="32"/>
          <w:shd w:val="clear" w:color="auto" w:fill="FFFFFF"/>
          <w:lang w:val="zh-CN"/>
        </w:rPr>
        <w:t>）绩效结果应用情况。</w:t>
      </w:r>
    </w:p>
    <w:p>
      <w:pPr>
        <w:adjustRightInd w:val="0"/>
        <w:snapToGrid w:val="0"/>
        <w:spacing w:line="578" w:lineRule="exact"/>
        <w:ind w:firstLine="640" w:firstLineChars="200"/>
        <w:contextualSpacing/>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highlight w:val="none"/>
          <w:lang w:val="en-US" w:eastAsia="zh-CN"/>
        </w:rPr>
        <w:t>绩效自评结果将用于我单位下一年绩效目标的科学合理设定，针对绩效自评结果，查找原因，改进工作方法，提高工作效率，争取提高绩效目标完成率。下一步，将按照相关规定，进一步规范预算管理及执行，加强对部门预算整体绩效评价和绩效运行监控，总结2025年经验，取长补短，严格执行预算管理，严格执行预算支出。</w:t>
      </w:r>
    </w:p>
    <w:p>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四、评价结论及建议</w:t>
      </w:r>
    </w:p>
    <w:p>
      <w:pPr>
        <w:widowControl/>
        <w:adjustRightInd w:val="0"/>
        <w:snapToGrid w:val="0"/>
        <w:spacing w:line="578" w:lineRule="exact"/>
        <w:ind w:firstLine="643" w:firstLineChars="200"/>
        <w:contextualSpacing/>
        <w:jc w:val="left"/>
        <w:rPr>
          <w:rFonts w:hint="default" w:ascii="Times New Roman" w:hAnsi="Times New Roman" w:eastAsia="仿宋_GB2312" w:cs="Times New Roman"/>
          <w:sz w:val="32"/>
          <w:szCs w:val="32"/>
          <w:lang w:bidi="ar"/>
        </w:rPr>
      </w:pPr>
      <w:r>
        <w:rPr>
          <w:rFonts w:hint="default" w:ascii="Times New Roman" w:hAnsi="Times New Roman" w:eastAsia="方正楷体_GBK" w:cs="Times New Roman"/>
          <w:b/>
          <w:bCs/>
          <w:color w:val="000000"/>
          <w:kern w:val="0"/>
          <w:sz w:val="32"/>
          <w:szCs w:val="32"/>
          <w:shd w:val="clear" w:color="auto" w:fill="FFFFFF"/>
          <w:lang w:val="zh-CN"/>
        </w:rPr>
        <w:t>（一）评价结论</w:t>
      </w:r>
      <w:r>
        <w:rPr>
          <w:rFonts w:hint="default" w:ascii="Times New Roman" w:hAnsi="Times New Roman" w:eastAsia="楷体_GB2312" w:cs="Times New Roman"/>
          <w:b/>
          <w:bCs/>
          <w:color w:val="000000"/>
          <w:kern w:val="0"/>
          <w:sz w:val="32"/>
          <w:szCs w:val="32"/>
          <w:shd w:val="clear" w:color="auto" w:fill="FFFFFF"/>
          <w:lang w:val="zh-CN"/>
        </w:rPr>
        <w:t>。</w:t>
      </w:r>
      <w:r>
        <w:rPr>
          <w:rFonts w:hint="default"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rPr>
        <w:t>年度预算编制科学合理、执行规范有序，资金使用效益和管理水平总体良好，各项重点工作任务均按计划推进，圆满完成了既定绩效目标</w:t>
      </w:r>
      <w:r>
        <w:rPr>
          <w:rFonts w:hint="default" w:ascii="Times New Roman" w:hAnsi="Times New Roman" w:eastAsia="方正仿宋_GBK" w:cs="Times New Roman"/>
          <w:sz w:val="32"/>
          <w:szCs w:val="32"/>
          <w:highlight w:val="none"/>
          <w:lang w:eastAsia="zh-CN"/>
        </w:rPr>
        <w:t>，自评得分9</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eastAsia="zh-CN"/>
        </w:rPr>
        <w:t>分。</w:t>
      </w:r>
    </w:p>
    <w:p>
      <w:pPr>
        <w:numPr>
          <w:ilvl w:val="0"/>
          <w:numId w:val="0"/>
        </w:numPr>
        <w:ind w:firstLine="643"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K" w:cs="Times New Roman"/>
          <w:b/>
          <w:bCs/>
          <w:color w:val="000000"/>
          <w:kern w:val="0"/>
          <w:sz w:val="32"/>
          <w:szCs w:val="32"/>
          <w:shd w:val="clear" w:color="auto" w:fill="FFFFFF"/>
          <w:lang w:val="zh-CN"/>
        </w:rPr>
        <w:t>（二）存在问题。</w:t>
      </w:r>
      <w:r>
        <w:rPr>
          <w:rFonts w:hint="default" w:ascii="Times New Roman" w:hAnsi="Times New Roman" w:eastAsia="方正仿宋_GBK" w:cs="Times New Roman"/>
          <w:sz w:val="32"/>
          <w:szCs w:val="32"/>
          <w:highlight w:val="none"/>
          <w:lang w:val="en-US" w:eastAsia="zh-CN"/>
        </w:rPr>
        <w:t>由于财政资金紧张，调度资金不畅，项目资金支付得不到保障，项目建设和支付进度受到不同程度影响。</w:t>
      </w:r>
    </w:p>
    <w:p>
      <w:pPr>
        <w:widowControl/>
        <w:adjustRightInd w:val="0"/>
        <w:snapToGrid w:val="0"/>
        <w:spacing w:line="578" w:lineRule="exact"/>
        <w:ind w:firstLine="643" w:firstLineChars="200"/>
        <w:contextualSpacing/>
        <w:jc w:val="left"/>
        <w:rPr>
          <w:rFonts w:hint="default" w:ascii="Times New Roman" w:hAnsi="Times New Roman" w:eastAsia="仿宋_GB2312" w:cs="Times New Roman"/>
          <w:sz w:val="32"/>
          <w:szCs w:val="32"/>
          <w:lang w:val="en" w:bidi="ar"/>
        </w:rPr>
      </w:pPr>
      <w:r>
        <w:rPr>
          <w:rFonts w:hint="default" w:ascii="Times New Roman" w:hAnsi="Times New Roman" w:eastAsia="方正楷体_GBK" w:cs="Times New Roman"/>
          <w:b/>
          <w:bCs/>
          <w:color w:val="000000"/>
          <w:kern w:val="0"/>
          <w:sz w:val="32"/>
          <w:szCs w:val="32"/>
          <w:shd w:val="clear" w:color="auto" w:fill="FFFFFF"/>
          <w:lang w:val="zh-CN"/>
        </w:rPr>
        <w:t>（三）改进建议。</w:t>
      </w:r>
      <w:bookmarkStart w:id="68" w:name="_Hlk110546638"/>
      <w:r>
        <w:rPr>
          <w:rFonts w:hint="default" w:ascii="Times New Roman" w:hAnsi="Times New Roman" w:eastAsia="方正仿宋_GBK" w:cs="Times New Roman"/>
          <w:sz w:val="32"/>
          <w:szCs w:val="32"/>
          <w:highlight w:val="none"/>
          <w:lang w:val="en-US" w:eastAsia="zh-CN"/>
        </w:rPr>
        <w:t>加快资金支付进度，加快项目建设进度。</w:t>
      </w:r>
    </w:p>
    <w:bookmarkEnd w:id="68"/>
    <w:p>
      <w:pPr>
        <w:pStyle w:val="2"/>
        <w:spacing w:line="560" w:lineRule="exact"/>
        <w:ind w:left="0" w:leftChars="0" w:firstLine="640"/>
        <w:rPr>
          <w:rFonts w:hint="default" w:ascii="Times New Roman" w:hAnsi="Times New Roman" w:eastAsia="仿宋_GB2312" w:cs="Times New Roman"/>
          <w:sz w:val="32"/>
          <w:lang w:val="zh-CN" w:bidi="ar"/>
        </w:rPr>
      </w:pPr>
    </w:p>
    <w:p>
      <w:pPr>
        <w:pStyle w:val="2"/>
        <w:spacing w:line="560" w:lineRule="exact"/>
        <w:ind w:left="0" w:leftChars="0" w:firstLine="640"/>
        <w:rPr>
          <w:rFonts w:hint="default" w:ascii="Times New Roman" w:hAnsi="Times New Roman" w:eastAsia="仿宋_GB2312" w:cs="Times New Roman"/>
          <w:sz w:val="32"/>
          <w:lang w:val="zh-CN" w:bidi="ar"/>
        </w:rPr>
      </w:pPr>
      <w:r>
        <w:rPr>
          <w:rFonts w:hint="default" w:ascii="Times New Roman" w:hAnsi="Times New Roman" w:eastAsia="方正仿宋_GBK" w:cs="Times New Roman"/>
          <w:kern w:val="2"/>
          <w:sz w:val="32"/>
          <w:szCs w:val="32"/>
          <w:highlight w:val="none"/>
          <w:lang w:val="zh-CN" w:eastAsia="zh-CN" w:bidi="ar-SA"/>
        </w:rPr>
        <w:t>附表：</w:t>
      </w:r>
      <w:r>
        <w:rPr>
          <w:rFonts w:hint="default" w:ascii="Times New Roman" w:hAnsi="Times New Roman" w:eastAsia="方正仿宋_GBK" w:cs="Times New Roman"/>
          <w:kern w:val="2"/>
          <w:sz w:val="32"/>
          <w:szCs w:val="32"/>
          <w:highlight w:val="none"/>
          <w:lang w:val="en-US" w:eastAsia="zh-CN" w:bidi="ar-SA"/>
        </w:rPr>
        <w:t>部门预算项目支出绩效自评表（2025年度）</w:t>
      </w:r>
    </w:p>
    <w:p>
      <w:pPr>
        <w:pStyle w:val="2"/>
        <w:spacing w:line="560" w:lineRule="exact"/>
        <w:ind w:left="0" w:leftChars="0" w:firstLine="0" w:firstLineChars="0"/>
        <w:rPr>
          <w:rFonts w:hint="default" w:ascii="Times New Roman" w:hAnsi="Times New Roman" w:cs="Times New Roman"/>
          <w:sz w:val="32"/>
          <w:highlight w:val="yellow"/>
          <w:lang w:val="zh-CN"/>
        </w:rPr>
      </w:pPr>
    </w:p>
    <w:p>
      <w:pPr>
        <w:pStyle w:val="7"/>
        <w:spacing w:before="93"/>
        <w:rPr>
          <w:rFonts w:hint="default" w:ascii="Times New Roman" w:hAnsi="Times New Roman" w:cs="Times New Roman"/>
          <w:color w:val="FF0000"/>
          <w:sz w:val="32"/>
          <w:szCs w:val="32"/>
          <w:highlight w:val="yellow"/>
          <w:shd w:val="clear" w:color="auto" w:fill="FFFFFF"/>
          <w:lang w:val="zh-CN"/>
        </w:rPr>
      </w:pPr>
    </w:p>
    <w:p>
      <w:pPr>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lang w:val="zh-CN"/>
        </w:rPr>
        <w:br w:type="page"/>
      </w:r>
    </w:p>
    <w:p>
      <w:pPr>
        <w:pStyle w:val="7"/>
        <w:spacing w:before="93"/>
        <w:rPr>
          <w:rFonts w:hint="default" w:ascii="Times New Roman" w:hAnsi="Times New Roman" w:eastAsia="黑体" w:cs="Times New Roman"/>
          <w:sz w:val="32"/>
          <w:szCs w:val="32"/>
        </w:rPr>
      </w:pPr>
      <w:r>
        <w:rPr>
          <w:rFonts w:hint="default" w:ascii="Times New Roman" w:hAnsi="Times New Roman" w:eastAsia="黑体" w:cs="Times New Roman"/>
          <w:sz w:val="32"/>
          <w:szCs w:val="32"/>
          <w:shd w:val="clear" w:color="auto" w:fill="FFFFFF"/>
          <w:lang w:val="zh-CN"/>
        </w:rPr>
        <w:t>附件</w:t>
      </w:r>
      <w:r>
        <w:rPr>
          <w:rFonts w:hint="default" w:ascii="Times New Roman" w:hAnsi="Times New Roman" w:eastAsia="黑体" w:cs="Times New Roman"/>
          <w:sz w:val="32"/>
          <w:szCs w:val="32"/>
          <w:shd w:val="clear" w:color="auto" w:fill="FFFFFF"/>
        </w:rPr>
        <w:t>2</w:t>
      </w:r>
    </w:p>
    <w:p>
      <w:pPr>
        <w:pStyle w:val="34"/>
        <w:spacing w:line="578" w:lineRule="exact"/>
        <w:jc w:val="center"/>
        <w:rPr>
          <w:rFonts w:hint="default" w:ascii="Times New Roman" w:hAnsi="Times New Roman" w:eastAsia="方正小标宋简体" w:cs="Times New Roman"/>
          <w:color w:val="auto"/>
          <w:kern w:val="2"/>
          <w:sz w:val="44"/>
          <w:szCs w:val="44"/>
          <w:lang w:val="en-US"/>
        </w:rPr>
      </w:pPr>
    </w:p>
    <w:p>
      <w:pPr>
        <w:spacing w:line="600" w:lineRule="exact"/>
        <w:jc w:val="center"/>
        <w:rPr>
          <w:rFonts w:hint="eastAsia" w:ascii="方正小标宋_GBK" w:hAnsi="方正小标宋_GBK" w:eastAsia="方正小标宋_GBK" w:cs="方正小标宋_GBK"/>
          <w:b/>
          <w:bCs/>
          <w:sz w:val="40"/>
          <w:szCs w:val="40"/>
          <w:lang w:val="zh-CN"/>
        </w:rPr>
      </w:pPr>
      <w:r>
        <w:rPr>
          <w:rFonts w:hint="eastAsia" w:ascii="方正小标宋_GBK" w:hAnsi="方正小标宋_GBK" w:eastAsia="方正小标宋_GBK" w:cs="方正小标宋_GBK"/>
          <w:b/>
          <w:bCs/>
          <w:sz w:val="40"/>
          <w:szCs w:val="40"/>
          <w:lang w:val="zh-CN"/>
        </w:rPr>
        <w:t>2025年度财政衔接推进乡村振兴补助资金</w:t>
      </w:r>
    </w:p>
    <w:p>
      <w:pPr>
        <w:spacing w:line="600" w:lineRule="exact"/>
        <w:jc w:val="center"/>
        <w:rPr>
          <w:rFonts w:hint="eastAsia" w:ascii="方正小标宋_GBK" w:hAnsi="方正小标宋_GBK" w:eastAsia="方正小标宋_GBK" w:cs="方正小标宋_GBK"/>
          <w:b/>
          <w:bCs/>
          <w:sz w:val="40"/>
          <w:szCs w:val="40"/>
          <w:lang w:val="zh-CN"/>
        </w:rPr>
      </w:pPr>
      <w:r>
        <w:rPr>
          <w:rFonts w:hint="eastAsia" w:ascii="方正小标宋_GBK" w:hAnsi="方正小标宋_GBK" w:eastAsia="方正小标宋_GBK" w:cs="方正小标宋_GBK"/>
          <w:b/>
          <w:bCs/>
          <w:sz w:val="40"/>
          <w:szCs w:val="40"/>
          <w:lang w:val="zh-CN"/>
        </w:rPr>
        <w:t>项目支出绩效自评报告</w:t>
      </w:r>
    </w:p>
    <w:p>
      <w:pPr>
        <w:spacing w:line="600" w:lineRule="exact"/>
        <w:ind w:firstLine="640"/>
        <w:jc w:val="center"/>
        <w:rPr>
          <w:rFonts w:hint="default" w:ascii="Times New Roman" w:hAnsi="Times New Roman" w:cs="Times New Roman"/>
          <w:sz w:val="32"/>
          <w:szCs w:val="32"/>
          <w:lang w:val="zh-CN"/>
        </w:rPr>
      </w:pP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一、</w:t>
      </w:r>
      <w:r>
        <w:rPr>
          <w:rFonts w:hint="default" w:ascii="Times New Roman" w:hAnsi="Times New Roman" w:eastAsia="方正黑体_GBK" w:cs="Times New Roman"/>
          <w:sz w:val="32"/>
          <w:szCs w:val="32"/>
          <w:lang w:val="zh-CN"/>
        </w:rPr>
        <w:t>项目概况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（一）项目基本情况。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1.仁和区农业农村局在2025年度财政衔接推进乡村振兴补助资金项目中主要负责农田水利项目和产业化发展项目实施方案的审查，监督指导乡镇组织实施项目，同时牵头做好竣工项目的验收和管护责任落实等工作。</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根据中央、省、市关于巩固拓展脱贫攻坚成果同乡村振兴有效衔接工作安排意见，结合区委、区政府2024年实施“全面推进乡村振兴战略”工作部署，为加强衔接资金管理，有序推进项目实施，提高资金使用效益，项目主要安排在产业发展、乡村建设行动、巩固三保障成果、易地扶贫搬迁后续扶持、就业支持等方面。</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仁和区于2021年12月30日制定《攀枝花市仁和区财政衔接推进乡村振兴补助资金管理办法》攀仁财〔2021〕150号，为加强衔接资金管理，有序推进项目实施，提高资金使用效益，项目主要安排在产业发展、乡村建设行动、巩固三保障成果、易地扶贫搬迁后续扶持、就业支持等方面。</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4.2025年度财政衔接推进乡村振兴补助资金项目主要安排在巩固三保障成果、就业帮扶、产业发展、乡村建设行动等六个方面，项目计划总投资7050.50万元（其中：中央资金1172万元，省级资金3525万元，市级资金483.5万元，区本级资金1870万元）。经村申报、乡（镇）审核、部门审查，逐级公示，区相关行业部门对项目的针对性、落地性、前瞻性以及建设内容、投资概算、绩效目标、群众参与、衔接推进乡村振兴进行了综合论证，围绕防止返贫监测总目标、巩固拓展脱贫攻坚成果衔接推进乡村振兴持续稳定发展，结合年度资金规模，及时规范完善了巩固拓展脱贫攻坚成果同乡村振兴有效衔接项目库，做到入库及时充分、程序规范、内容完整，入库项目都具备实施条件。</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（二）项目绩效目标。</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项目主要内容。2025年仁和区衔接推进乡村振兴补助资金项目安排62个，制定了项目实施方案，主要安排在产业发展、乡村建设行动、巩固三保障成果、易地扶贫搬迁后续扶持、就业支持等方面。明确了项目绩效目标情况，对下达实施的项目进行了监督管理和督促督导工作，确保了项目实施进度，目前62个项目均已实施完成。</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2.2025年巩固拓展脱贫攻坚成果和乡村振兴补助资金共下达7050.50万元（其中：中央资金1172万元，省级资金3525万元，市级资金483.5万元，区本级资金1870万元）。监测系统实际到账7050.50万元，安排项目62个。项目均在完成村申报、乡镇审查、部门审核、区分管领导现场踏勘、区财经委会和区政府常务会审批等前期准备基础上组织实施；7月中旬，10月中旬资金支出进度均达到全省平均进度；完工项目已验收合格，资金支出进度高于全省平均水平。</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3.2025年巩固拓展脱贫攻坚成果和乡村振兴补助资金项目，经村申报、乡（镇）审核、部门审查，逐级公示，区相关行业部门对项目的针对性、落地性、前瞻性以及建设内容、投资概算、绩效目标、群众参与、衔接推进乡村振兴进行了综合论证，围绕防止返贫监测总目标；申报内容与实际相符，申报目标合理可行。</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（三）项目自评步骤及方法。</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按照财政衔接资金“谁使用，谁自评”的原则，区农业农村局统筹局财务室和下属单位等部门力量，分工协作，开展绩效自评工作。</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二、项目资金申报及使用情况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（一）项目资金申报及批复情况。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巩固拓展脱贫攻坚成果和乡村振兴补助资金共下达7050.50万元（其中：中央资金1172万元，省级资金3525万元，市级资金483.5万元，区本级资金1870万元）。监测系统实际到账7050.50万元，安排项目62个。项目均在完成村申报、乡镇审查、部门审核、区分管领导现场踏勘、区财经委员会和区政府常务会审批等前期准备基础上组织实施。</w:t>
      </w:r>
    </w:p>
    <w:p>
      <w:pPr>
        <w:adjustRightInd w:val="0"/>
        <w:snapToGrid w:val="0"/>
        <w:spacing w:line="600" w:lineRule="exact"/>
        <w:ind w:firstLine="720"/>
        <w:rPr>
          <w:rFonts w:hint="default" w:ascii="Times New Roman" w:hAnsi="Times New Roman" w:eastAsia="方正楷体_GBK" w:cs="Times New Roman"/>
          <w:sz w:val="32"/>
          <w:szCs w:val="32"/>
          <w:lang w:val="zh-CN"/>
        </w:rPr>
      </w:pPr>
      <w:r>
        <w:rPr>
          <w:rFonts w:hint="default" w:ascii="Times New Roman" w:hAnsi="Times New Roman" w:eastAsia="方正楷体_GBK" w:cs="Times New Roman"/>
          <w:b/>
          <w:sz w:val="32"/>
          <w:szCs w:val="32"/>
          <w:lang w:val="zh-CN"/>
        </w:rPr>
        <w:t>（二）资金计划、到位及使用情况。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1.资金计划。2025年巩固拓展脱贫攻坚成果和乡村振兴补助资金共下达7050.50万元（其中：中央资金1172万元，省级资金3525万元，市级资金483.5万元，区本级资金1870万元）。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资金到位。2025年巩固拓展脱贫攻坚成果和乡村振兴补助资金共下达7050.50万元（其中：中央资金1172万元，省级资金3525万元，市级资金483.5万元，区本级资金1870万元）。监测系统实际到账7050.50万元，资金到位率100%，到位及时。</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资金使用。根据《中央财政衔接推进乡村振兴补助资金管理办法》（财农〔2021〕19号）及省市相关要求，全年对项目实施、资金支出进度进行了5次会议调度、开展实地督导检查3次、下达工作通报3次，制定了《仁和区2025年度财政衔接推进乡村振兴补助资金项目实施方案》，所有项目均按实施方案有序推进。2025年财政衔接推进乡村振兴补助资金预算指标分配率达到100%、实际支付率大于90%、预警信息处理率达到100%，在项目执行中没有随意调减衔接资金的情况，无预算数据作假和违规违纪的情况发生。</w:t>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（三）项目财务管理情况。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度财政衔接推进乡村振兴补助资金项目，严格按照《仁和区财政衔接推进乡村振兴补助资金管理办法》攀仁财〔2021〕150号规定，从指标下达、用款计划申报、资金支付全在“预算管理一体化系统”操作完成，资金支付实行全程监控。账务处理及时，会计核算规范。</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三、项目实施及管理情况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（一）项目组织架构及实施流程。</w:t>
      </w:r>
    </w:p>
    <w:p>
      <w:pPr>
        <w:adjustRightInd w:val="0"/>
        <w:snapToGrid w:val="0"/>
        <w:spacing w:line="600" w:lineRule="exact"/>
        <w:ind w:firstLine="720"/>
        <w:rPr>
          <w:rFonts w:hint="default" w:ascii="Times New Roman" w:hAnsi="Times New Roman" w:eastAsia="方正仿宋_GBK" w:cs="Times New Roman"/>
          <w:b w:val="0"/>
          <w:bCs/>
          <w:sz w:val="32"/>
          <w:szCs w:val="32"/>
          <w:lang w:val="zh-CN"/>
        </w:rPr>
      </w:pPr>
      <w:r>
        <w:rPr>
          <w:rFonts w:hint="default" w:ascii="Times New Roman" w:hAnsi="Times New Roman" w:eastAsia="方正仿宋_GBK" w:cs="Times New Roman"/>
          <w:b w:val="0"/>
          <w:bCs/>
          <w:sz w:val="32"/>
          <w:szCs w:val="32"/>
          <w:lang w:val="zh-CN"/>
        </w:rPr>
        <w:t>在乡镇、村组自行申报的基础上，经区委、区政府分管领导带队实地踏勘，并充分征求区级相关行业主管部门意见后，经区财经委会和区政府常务会审批等流程。</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（二）项目管理情况。</w:t>
      </w:r>
      <w:r>
        <w:rPr>
          <w:rFonts w:hint="default" w:ascii="Times New Roman" w:hAnsi="Times New Roman" w:eastAsia="方正仿宋_GBK" w:cs="Times New Roman"/>
          <w:sz w:val="32"/>
          <w:szCs w:val="32"/>
          <w:lang w:val="zh-CN"/>
        </w:rPr>
        <w:t>经村申报、乡（镇）审核、部门审查，逐级公示，区相关行业部门对项目的针对性、落地性、前瞻性以及建设内容、投资概算、绩效目标、群众参与、衔接推进乡村振兴进行了综合论证，围绕防止返贫监测总目标、巩固拓展脱贫攻坚成果衔接推进乡村振兴持续稳定发展，结合年度资金规模，及时规范完善了巩固拓展脱贫攻坚成果同乡村振兴有效衔接项目库，做到入库及时充分、程序规范、内容完整，入库项目都具备实施条件。2025年实施的62个巩固拓展脱贫攻坚成果任务方向项目任务量全部达到绩效目标申报的任务量、衔接资金项目安排实施严格按照衔接资金管理办法执行。产业类项目联农带农、防止返贫监测覆盖率达100%；往年已实施项目能够持续有效运行，发挥效益；基础设施类项目验收全部合格，后续管护措施及管护责任均落实到村到人；其他项目也实现了预期效益目标。按照中央、省、市相关要求，对资金分配结果、项目库、项目实施计划分别于2025年2月13日、4月27日、6月30日、9月28日在区政府门户网站上进行了公示。年度衔接资金项目的申报、实施、完工情况均在项目村、项目乡镇进行了公告公示。</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楷体_GBK" w:cs="Times New Roman"/>
          <w:b/>
          <w:sz w:val="32"/>
          <w:szCs w:val="32"/>
          <w:lang w:val="zh-CN"/>
        </w:rPr>
        <w:t>（三）项目监管情况。</w:t>
      </w:r>
      <w:r>
        <w:rPr>
          <w:rFonts w:hint="default" w:ascii="Times New Roman" w:hAnsi="Times New Roman" w:eastAsia="方正仿宋_GBK" w:cs="Times New Roman"/>
          <w:sz w:val="32"/>
          <w:szCs w:val="32"/>
          <w:lang w:val="zh-CN"/>
        </w:rPr>
        <w:t>2024年对衔接资金项目实施开展资金支出进度进行5次会议调度、开展实地督导检查3次、下达工作通报3次，截至</w:t>
      </w:r>
      <w:r>
        <w:rPr>
          <w:rFonts w:hint="default" w:ascii="Times New Roman" w:hAnsi="Times New Roman" w:eastAsia="方正仿宋_GBK" w:cs="Times New Roman"/>
          <w:sz w:val="32"/>
          <w:szCs w:val="32"/>
          <w:lang w:val="en-US" w:eastAsia="zh-CN"/>
        </w:rPr>
        <w:t>2025年</w:t>
      </w:r>
      <w:r>
        <w:rPr>
          <w:rFonts w:hint="default" w:ascii="Times New Roman" w:hAnsi="Times New Roman" w:eastAsia="方正仿宋_GBK" w:cs="Times New Roman"/>
          <w:sz w:val="32"/>
          <w:szCs w:val="32"/>
          <w:lang w:val="zh-CN"/>
        </w:rPr>
        <w:t>11月20日，区级检查发现问题已全部完成落实整改；12317和12371平台未反馈仁和区相关衔接项目资金问题。</w:t>
      </w: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四、项目绩效情况</w:t>
      </w:r>
      <w:r>
        <w:rPr>
          <w:rFonts w:hint="default" w:ascii="Times New Roman" w:hAnsi="Times New Roman" w:eastAsia="方正黑体_GBK" w:cs="Times New Roman"/>
          <w:sz w:val="32"/>
          <w:szCs w:val="32"/>
          <w:lang w:val="zh-CN"/>
        </w:rPr>
        <w:tab/>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（一）项目完成情况。</w:t>
      </w:r>
    </w:p>
    <w:p>
      <w:pPr>
        <w:adjustRightInd w:val="0"/>
        <w:snapToGrid w:val="0"/>
        <w:spacing w:line="600" w:lineRule="exact"/>
        <w:ind w:firstLine="720"/>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sz w:val="32"/>
          <w:szCs w:val="32"/>
          <w:lang w:val="zh-CN"/>
        </w:rPr>
        <w:t>2025年实施的62个巩固拓展脱贫攻坚成果任务方向项目任务量全部达到绩效目标申报的任务量、衔接资金项目安排实施严格按照衔接资金管理办法执行。无相关衔接项目资金问题违规记录；产业类项目联农带农、防止返贫监测覆盖率达100%；往年已实施项目能够持续有效运行，发挥效益；基础设施类项目验收全部合格，后续管护措施及管护责任均落实到村到人。</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（二）项目效益情况。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财政衔接资金项目安排和实施严格按照衔接资金管理办法执行，项目联农带农机制，防止返贫监测对象覆盖率达100%，已实施的项目都持续有效运行和发挥效益；建设类项目验收全部合格、制定了后续管护措施，增加集体经济收入，增加效益，降低成本，经济效益明显；增加当地就业率，具有示范引领作用，社会效益明显；保护生态环境，改善当地农村环境，生态效益明显；受益群众满意度达到90%以上。</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五、评价结论及建议</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（一）评价结论。</w:t>
      </w:r>
    </w:p>
    <w:p>
      <w:pPr>
        <w:adjustRightInd w:val="0"/>
        <w:snapToGrid w:val="0"/>
        <w:spacing w:line="600" w:lineRule="exact"/>
        <w:ind w:firstLine="640" w:firstLineChars="200"/>
        <w:rPr>
          <w:rFonts w:hint="default" w:ascii="Times New Roman" w:hAnsi="Times New Roman" w:eastAsia="仿宋_GB2312" w:cs="Times New Roman"/>
          <w:sz w:val="32"/>
          <w:szCs w:val="32"/>
          <w:bdr w:val="single" w:color="auto" w:sz="4" w:space="0"/>
          <w:lang w:val="zh-CN"/>
        </w:rPr>
      </w:pPr>
      <w:r>
        <w:rPr>
          <w:rFonts w:hint="default" w:ascii="Times New Roman" w:hAnsi="Times New Roman" w:eastAsia="方正仿宋_GBK" w:cs="Times New Roman"/>
          <w:sz w:val="32"/>
          <w:szCs w:val="32"/>
          <w:lang w:val="zh-CN"/>
        </w:rPr>
        <w:t>2025年中央和省级财政衔接推进乡村振兴补助资金项目，项目总投资7050.50万元，安排项目62个，完成年度62个项目的建设任务，自评得分100分，项目涉及12个乡镇29个村，直接受益人口37500余人，其中脱贫人口6700余人。为巩固拓展脱贫攻坚成果目标任务和脱贫人口增收目标。</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（二）存在的问题。</w:t>
      </w:r>
    </w:p>
    <w:p>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结合自评结果，无存在问题。</w:t>
      </w:r>
      <w:r>
        <w:rPr>
          <w:rFonts w:hint="default" w:ascii="Times New Roman" w:hAnsi="Times New Roman" w:eastAsia="仿宋_GB2312" w:cs="Times New Roman"/>
          <w:sz w:val="32"/>
          <w:szCs w:val="32"/>
          <w:lang w:val="zh-CN"/>
        </w:rPr>
        <w:tab/>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（三）相关建议。</w:t>
      </w:r>
    </w:p>
    <w:p>
      <w:pPr>
        <w:adjustRightInd w:val="0"/>
        <w:snapToGrid w:val="0"/>
        <w:spacing w:line="600" w:lineRule="exact"/>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无相关建议。</w:t>
      </w:r>
    </w:p>
    <w:p>
      <w:pPr>
        <w:adjustRightInd w:val="0"/>
        <w:snapToGrid w:val="0"/>
        <w:spacing w:line="600" w:lineRule="exact"/>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br w:type="page"/>
      </w:r>
    </w:p>
    <w:p>
      <w:pPr>
        <w:spacing w:line="600" w:lineRule="exact"/>
        <w:jc w:val="center"/>
        <w:rPr>
          <w:rFonts w:hint="eastAsia" w:ascii="方正小标宋_GBK" w:hAnsi="方正小标宋_GBK" w:eastAsia="方正小标宋_GBK" w:cs="方正小标宋_GBK"/>
          <w:b/>
          <w:bCs/>
          <w:sz w:val="40"/>
          <w:szCs w:val="40"/>
          <w:lang w:val="zh-CN"/>
        </w:rPr>
      </w:pPr>
      <w:r>
        <w:rPr>
          <w:rFonts w:hint="eastAsia" w:ascii="方正小标宋_GBK" w:hAnsi="方正小标宋_GBK" w:eastAsia="方正小标宋_GBK" w:cs="方正小标宋_GBK"/>
          <w:b/>
          <w:bCs/>
          <w:sz w:val="40"/>
          <w:szCs w:val="40"/>
          <w:lang w:val="zh-CN"/>
        </w:rPr>
        <w:t>2025年省级财政农业高质量发展共同财政事权转移支付资金（提灌站建设）</w:t>
      </w:r>
      <w:r>
        <w:rPr>
          <w:rFonts w:hint="eastAsia" w:ascii="方正小标宋_GBK" w:hAnsi="方正小标宋_GBK" w:eastAsia="方正小标宋_GBK" w:cs="方正小标宋_GBK"/>
          <w:b/>
          <w:bCs/>
          <w:sz w:val="40"/>
          <w:szCs w:val="40"/>
          <w:lang w:val="en-US" w:eastAsia="zh-CN"/>
        </w:rPr>
        <w:t>项目</w:t>
      </w:r>
      <w:r>
        <w:rPr>
          <w:rFonts w:hint="eastAsia" w:ascii="方正小标宋_GBK" w:hAnsi="方正小标宋_GBK" w:eastAsia="方正小标宋_GBK" w:cs="方正小标宋_GBK"/>
          <w:b/>
          <w:bCs/>
          <w:sz w:val="40"/>
          <w:szCs w:val="40"/>
          <w:lang w:val="zh-CN"/>
        </w:rPr>
        <w:t>支出绩效自评报告</w:t>
      </w:r>
    </w:p>
    <w:p>
      <w:pPr>
        <w:spacing w:line="600" w:lineRule="exact"/>
        <w:ind w:firstLine="640"/>
        <w:jc w:val="center"/>
        <w:rPr>
          <w:rFonts w:hint="default" w:ascii="Times New Roman" w:hAnsi="Times New Roman" w:cs="Times New Roman"/>
          <w:sz w:val="32"/>
          <w:szCs w:val="32"/>
          <w:lang w:val="zh-CN"/>
        </w:rPr>
      </w:pP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一、</w:t>
      </w:r>
      <w:r>
        <w:rPr>
          <w:rFonts w:hint="default" w:ascii="Times New Roman" w:hAnsi="Times New Roman" w:eastAsia="方正黑体_GBK" w:cs="Times New Roman"/>
          <w:sz w:val="32"/>
          <w:szCs w:val="32"/>
          <w:lang w:val="zh-CN"/>
        </w:rPr>
        <w:t>项目概况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（一）项目基本情况。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1.部门职责。负责项目申报、项目实施过程监督、项目验收、项目报账。项目内容有变更的报区农业农村局审核同意后按程序履行项目变更手续。</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项目立项、申报依据。根据四川省财政厅、四川省农业农村厅《关于提前下达2025年粮油生产保障等七项中央和省级农业相关转移支付资金的通知》（川财农〔2024〕101号）文件，下达仁和区2025年提灌站建设资金90万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资金管理办法制定情况，资金支持具体项目的条件、范围与支持方式概况。项目资金管理实行区级报账制（按照区级报账制相关要求执行）；项目实施目的为构建高标准、高质量的粮食安全体系；项目主要工作任务为新建太阳能提灌站1座；项目支持方向为提灌站新建。</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4.资金分配的原则及考虑因素。项目下达资金90万元，根据《攀枝花市仁和区2025年提灌站建设项目实施方案》，在福田镇新建太阳能提灌站1座（财政投资60万元），在大龙潭彝族乡新建机电提灌站1座（财政投资20万元），在啊喇彝族乡维修改造提灌站1座（财政投资10万元）。</w:t>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（二）项目绩效目标。</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1.项目主要建设内容为：新建太阳能提灌站1座，新建机电提灌站1座，维修改造提灌站1座。</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2.项目应实现的具体绩效目标。新建太阳能提灌站≧1座，改造提灌站≧1座，项目验收合作率达100%，项目完成时限2年，新增保灌能力0.06万亩，提灌站正常运行，受益群众满意度达90%以上，年度项目投资90万元。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3.该项目实施内容与实际申报内容相符，申报目标合理可行。</w:t>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（三）项目自评步骤及方法。</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项目评价采取运行效益分析法、实地勘察法、问卷调查法开展自评；评价组人员由属地政府及区级主管部门构成，属地政府开展项目自评工作，区级主管部门对项目整体开展评价。</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二、项目资金申报及使用情况</w:t>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（一）项目资金申报及批复情况。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项目资金按程序申报，乡镇为项目实施主体，区农业农村局批复同意实施；项目按照2025年省级财政农业高质量发展共同财政事权转移支付资金（提灌站建设）下达仁和区提灌站建设资金90万元进行预算，未做预算调整。</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（二）资金计划、到位及使用情况。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rPr>
        <w:t>资金计划。该项目省级财政资金投入90万元，自筹资金20.3万元。</w:t>
      </w:r>
    </w:p>
    <w:p>
      <w:pPr>
        <w:adjustRightInd w:val="0"/>
        <w:snapToGrid w:val="0"/>
        <w:spacing w:line="600" w:lineRule="exact"/>
        <w:ind w:firstLine="720"/>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sz w:val="32"/>
          <w:szCs w:val="32"/>
          <w:lang w:val="en-US" w:eastAsia="zh-CN"/>
        </w:rPr>
        <w:t>2.资金</w:t>
      </w:r>
      <w:r>
        <w:rPr>
          <w:rFonts w:hint="default" w:ascii="Times New Roman" w:hAnsi="Times New Roman" w:eastAsia="方正仿宋_GBK" w:cs="Times New Roman"/>
          <w:sz w:val="32"/>
          <w:szCs w:val="32"/>
          <w:lang w:val="zh-CN"/>
        </w:rPr>
        <w:t>到位。</w:t>
      </w:r>
      <w:r>
        <w:rPr>
          <w:rFonts w:hint="default" w:ascii="Times New Roman" w:hAnsi="Times New Roman" w:eastAsia="方正仿宋_GBK" w:cs="Times New Roman"/>
          <w:b w:val="0"/>
          <w:bCs w:val="0"/>
          <w:sz w:val="32"/>
          <w:szCs w:val="32"/>
          <w:lang w:val="zh-CN"/>
        </w:rPr>
        <w:t>2025年省级财政农业高质量发展共同财政事权转移支付资金（提灌站建设）下达仁和区提灌站建设资金90万元。</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rPr>
        <w:t>资金使用。项目下达资金90万元，经实施完成及审计后完成投资89.43万元（其中：财政资金补助89.43），剩余0.57万元为项目质保金，未到期暂未支付。</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（三）项目财务管理情况。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财务管理制度健全，严格执行财务管理制度，账务处理及时，会计核算规范。</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三、项目实施及管理情况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该项目实行区级报账制，财务管理制度健全，账务处理及时，会计核算规范。</w:t>
      </w:r>
    </w:p>
    <w:p>
      <w:pPr>
        <w:adjustRightInd w:val="0"/>
        <w:snapToGrid w:val="0"/>
        <w:spacing w:line="600" w:lineRule="exact"/>
        <w:ind w:firstLine="720"/>
        <w:rPr>
          <w:rFonts w:hint="default" w:ascii="Times New Roman" w:hAnsi="Times New Roman" w:eastAsia="方正仿宋_GBK" w:cs="Times New Roman"/>
          <w:b w:val="0"/>
          <w:bCs/>
          <w:sz w:val="32"/>
          <w:szCs w:val="32"/>
          <w:lang w:val="zh-CN"/>
        </w:rPr>
      </w:pPr>
      <w:r>
        <w:rPr>
          <w:rFonts w:hint="default" w:ascii="Times New Roman" w:hAnsi="Times New Roman" w:eastAsia="方正楷体_GBK" w:cs="Times New Roman"/>
          <w:b/>
          <w:sz w:val="32"/>
          <w:szCs w:val="32"/>
          <w:lang w:val="zh-CN"/>
        </w:rPr>
        <w:t>（一）项目组织架构及实施流程。</w:t>
      </w:r>
      <w:r>
        <w:rPr>
          <w:rFonts w:hint="default" w:ascii="Times New Roman" w:hAnsi="Times New Roman" w:eastAsia="方正仿宋_GBK" w:cs="Times New Roman"/>
          <w:b w:val="0"/>
          <w:bCs/>
          <w:sz w:val="32"/>
          <w:szCs w:val="32"/>
          <w:lang w:val="zh-CN"/>
        </w:rPr>
        <w:t>为切实做好项目建设，区农业农村局、区财政局及相关项目乡（镇）单位成立项目工作领导小组。领导小组下设办公室在区农业农村局，由区农业农村局分管领导任办公室主任，具体负责项目的统筹和协调。项目乡镇成立工作专班，明确专人层层压紧压实工作责任。</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（二）项目管理情况。</w:t>
      </w:r>
      <w:r>
        <w:rPr>
          <w:rFonts w:hint="default" w:ascii="Times New Roman" w:hAnsi="Times New Roman" w:eastAsia="方正仿宋_GBK" w:cs="Times New Roman"/>
          <w:sz w:val="32"/>
          <w:szCs w:val="32"/>
          <w:lang w:val="zh-CN"/>
        </w:rPr>
        <w:t>该项目实施严格执行相关法律法规及项目管理制度，严格落实招投标、政府采购、项目公示制等相关规定，程序规范。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（三）项目监管情况。</w:t>
      </w:r>
      <w:r>
        <w:rPr>
          <w:rFonts w:hint="default" w:ascii="Times New Roman" w:hAnsi="Times New Roman" w:eastAsia="方正仿宋_GBK" w:cs="Times New Roman"/>
          <w:sz w:val="32"/>
          <w:szCs w:val="32"/>
          <w:lang w:val="zh-CN"/>
        </w:rPr>
        <w:t>明确项目主体责任。区农业农村局负责统筹、协调各单位抓好项目建设，做好行业管理和技术指导，组织项目验收；区财政局负责项目资金保障，监督补助资金拨付，指导资金使用绩效管理，参与项目验收；项目乡镇承担主体责任，负责项目具体实施。严格目标任务，落实专人做好项目实施方案编制、工作进展情况台账管理，形成档案（影像）资料，及时上报工作信息，便于项目推进和补贴资金及时兑付。</w:t>
      </w: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四、项目绩效情况</w:t>
      </w:r>
      <w:r>
        <w:rPr>
          <w:rFonts w:hint="default" w:ascii="Times New Roman" w:hAnsi="Times New Roman" w:eastAsia="方正黑体_GBK" w:cs="Times New Roman"/>
          <w:sz w:val="32"/>
          <w:szCs w:val="32"/>
          <w:lang w:val="zh-CN"/>
        </w:rPr>
        <w:tab/>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（一）项目完成情况。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1.数量指标：新建太阳能提灌站≥1座，改造提灌站≧1座，完成项目任务，截至评价时点的任务量完成率100%。</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2.质量指标：按照实施方案，项目完成后经区、乡、村三级验收合格，截至评价时点的验收合格率100%。</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3.时效指标：项目于2025年建设完成，截至评价时点完成计划进度100%。</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4.成本指标：按照项目实施方案要求在2025年12月完成拨付资金90万元，实际拨付财政资金89.43万元，截至评价时点的资金拨付率99%。</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（二）项目效益情况。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rPr>
        <w:t>.经济效益指标：通过项目实施，新增保灌能力0.06万亩，提灌站正常运行，完成指标任务。</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rPr>
        <w:t>.满意度指标：受益群众满意度达90%，完成指标任务。</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五、评价结论及建议</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（一）评价结论。</w:t>
      </w:r>
    </w:p>
    <w:p>
      <w:pPr>
        <w:adjustRightInd w:val="0"/>
        <w:snapToGrid w:val="0"/>
        <w:spacing w:line="600" w:lineRule="exact"/>
        <w:ind w:firstLine="640" w:firstLineChars="200"/>
        <w:rPr>
          <w:rFonts w:hint="default" w:ascii="Times New Roman" w:hAnsi="Times New Roman" w:eastAsia="方正仿宋_GBK" w:cs="Times New Roman"/>
          <w:sz w:val="32"/>
          <w:szCs w:val="32"/>
          <w:bdr w:val="single" w:color="auto" w:sz="4" w:space="0"/>
          <w:lang w:val="zh-CN"/>
        </w:rPr>
      </w:pPr>
      <w:r>
        <w:rPr>
          <w:rFonts w:hint="default" w:ascii="Times New Roman" w:hAnsi="Times New Roman" w:eastAsia="方正仿宋_GBK" w:cs="Times New Roman"/>
          <w:sz w:val="32"/>
          <w:szCs w:val="32"/>
          <w:lang w:val="zh-CN"/>
        </w:rPr>
        <w:t>完成新建太阳能提灌站1座，新建机电提灌站1座，改造提灌站1座，自评得分99分。</w:t>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（二）存在的问题。</w:t>
      </w:r>
    </w:p>
    <w:p>
      <w:pPr>
        <w:adjustRightInd w:val="0"/>
        <w:snapToGrid w:val="0"/>
        <w:spacing w:line="600" w:lineRule="exact"/>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无</w:t>
      </w:r>
      <w:r>
        <w:rPr>
          <w:rFonts w:hint="default" w:ascii="Times New Roman" w:hAnsi="Times New Roman" w:eastAsia="方正仿宋_GBK" w:cs="Times New Roman"/>
          <w:sz w:val="32"/>
          <w:szCs w:val="32"/>
          <w:lang w:val="zh-CN"/>
        </w:rPr>
        <w:t>。</w:t>
      </w:r>
      <w:r>
        <w:rPr>
          <w:rFonts w:hint="default" w:ascii="Times New Roman" w:hAnsi="Times New Roman" w:eastAsia="方正仿宋_GBK" w:cs="Times New Roman"/>
          <w:sz w:val="32"/>
          <w:szCs w:val="32"/>
          <w:lang w:val="zh-CN"/>
        </w:rPr>
        <w:tab/>
      </w:r>
    </w:p>
    <w:p>
      <w:pPr>
        <w:adjustRightInd w:val="0"/>
        <w:snapToGrid w:val="0"/>
        <w:spacing w:line="600"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方正楷体_GBK" w:cs="Times New Roman"/>
          <w:b/>
          <w:sz w:val="32"/>
          <w:szCs w:val="32"/>
          <w:lang w:val="zh-CN"/>
        </w:rPr>
        <w:t>（三）相关建议。</w:t>
      </w:r>
    </w:p>
    <w:p>
      <w:pPr>
        <w:adjustRightInd w:val="0"/>
        <w:snapToGrid w:val="0"/>
        <w:spacing w:line="600" w:lineRule="exact"/>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无</w:t>
      </w:r>
      <w:r>
        <w:rPr>
          <w:rFonts w:hint="default" w:ascii="Times New Roman" w:hAnsi="Times New Roman" w:eastAsia="方正仿宋_GBK" w:cs="Times New Roman"/>
          <w:sz w:val="32"/>
          <w:szCs w:val="32"/>
          <w:lang w:val="zh-CN"/>
        </w:rPr>
        <w:t>。</w:t>
      </w:r>
    </w:p>
    <w:p>
      <w:pP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br w:type="page"/>
      </w:r>
    </w:p>
    <w:p>
      <w:pPr>
        <w:spacing w:line="600" w:lineRule="exact"/>
        <w:jc w:val="center"/>
        <w:rPr>
          <w:rFonts w:hint="eastAsia" w:ascii="方正小标宋_GBK" w:hAnsi="方正小标宋_GBK" w:eastAsia="方正小标宋_GBK" w:cs="方正小标宋_GBK"/>
          <w:b/>
          <w:bCs/>
          <w:sz w:val="40"/>
          <w:szCs w:val="40"/>
          <w:lang w:val="zh-CN"/>
        </w:rPr>
      </w:pPr>
      <w:r>
        <w:rPr>
          <w:rFonts w:hint="eastAsia" w:ascii="方正小标宋_GBK" w:hAnsi="方正小标宋_GBK" w:eastAsia="方正小标宋_GBK" w:cs="方正小标宋_GBK"/>
          <w:b/>
          <w:bCs/>
          <w:sz w:val="40"/>
          <w:szCs w:val="40"/>
          <w:lang w:val="zh-CN"/>
        </w:rPr>
        <w:t>2025年省级财政农业高质量发展共同财政事权转移支付资金（农机购置与应用补贴）项目支出绩效自评报告</w:t>
      </w:r>
    </w:p>
    <w:p>
      <w:pPr>
        <w:spacing w:line="600" w:lineRule="exact"/>
        <w:ind w:firstLine="640"/>
        <w:jc w:val="center"/>
        <w:rPr>
          <w:rFonts w:hint="default" w:ascii="Times New Roman" w:hAnsi="Times New Roman" w:cs="Times New Roman"/>
          <w:sz w:val="32"/>
          <w:szCs w:val="32"/>
          <w:lang w:val="zh-CN"/>
        </w:rPr>
      </w:pP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一、</w:t>
      </w:r>
      <w:r>
        <w:rPr>
          <w:rFonts w:hint="default" w:ascii="Times New Roman" w:hAnsi="Times New Roman" w:eastAsia="方正黑体_GBK" w:cs="Times New Roman"/>
          <w:sz w:val="32"/>
          <w:szCs w:val="32"/>
          <w:lang w:val="zh-CN"/>
        </w:rPr>
        <w:t>项目概况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（一）项目基本情况。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rPr>
        <w:t>项目主管部门管理职责。仁和区农业农村局在项目管理中，负责政策落地，包括受理申请、机具核验、公示、信息录入、投诉处理及违规核查等。</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项目立项、资金申报的依据。《四川省农业农村厅四川省财政厅关于印发〈四川省2024—2026年农机购置补贴实施指导意见〉的通知》（川农发〔2024〕14号）和《攀枝花市农业农村局攀枝花市财政局关于印发〈攀枝花市2024—2026年农机购置补贴实施指导意见〉的通知》（攀农发〔2024〕79号）、《仁和区2024—2026年农机购置补贴实施指导意见》等。</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资金管理办法制定情况，资金支持具体项目的条件、范围与支持方式概况。仁和区农机购置补贴资金管理、项目实施、补贴兑付等相关制度规范，均纳入《仁和区2024—2026年农机购置补贴实施指导意见》（攀仁农〔2024〕131号）统筹明确。在资金管理方面，我区严格执行专款专用制度，严禁补贴资金挤占、截留、挪用，明确农机购置补贴为约束性保障任务，优先保障资金兑付需求，资金结余可按规定结转下年优先使用；全程实行国库集中支付模式，个人补贴资金直达社保卡、经营主体补贴资金直达对公账户，同时建立区农业农村局、区财政局联合监管、乡镇现场核验的多级监管机制，落实常态化核查制度，对2万元以上机具实现100%核查，年度抽查比例不低于50%，全面规范资金使用流程、筑牢资金安全防线。</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在补贴支持范围与申报条件方面，补贴对象覆盖仁和区辖区内从事农业生产的个人及农业生产经营组织，补贴机具严格参照四川省农机购置补贴目录，涵盖22大类41小类101个品目，重点支持粮食生产机械、丘陵山区适配小型农机、提灌排灌及智能灌溉设备、本地特色产业农机以及老旧农机报废更新设备。</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在资金支持方式上，我区实行“定额补贴、优机优补”政策标准，常规农机具补贴比例不超过上年市场均价30%，丘陵山区急需、农业短板领域重点机具补贴比例可提升至35%，单机补贴严格执行国家限额标准。</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4.资金分配的原则及考虑因素。资金遵循普惠公平、优机优补、绩效管控、按需统筹原则分配。分配综合三项因素：一是基础产业因素，依据各乡镇粮油、特色林果种植面积、耕地地貌、经营主体数量测算基础额度；二是政策导向因素，重点向粮食短板机具、丘陵山区果蔬专用农机倾斜；三是历史绩效因素，参考往年资金执行率、农机化成效动态调减调增。</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（二）项目绩效目标。</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项目主要内容。本项目使用2025年省级财政农业高质量发展共同财政事权转移支付资金，落实《仁和区2024—2026年农机购置补贴实施指导意见》（攀仁农〔2024〕131号）、省市区级实施方案，立足仁和区丘陵山地、粮油+芒果果蔬特色种养产业实际开展补贴兑付。</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项目应实现的具体绩效目标。年度总体目标为切实提升农机化水平。包括：产出指标：①数量指标：补贴农机数量55台；②质量指标：抽查合格率100%；③时效指标：2025年12月31日前完成补贴发放。效益指标：①社会效益指标：农户生产能力明显提升；②可持续影响指标：农业机械化水平明显提升；农业增产、农民增收逐步提升。满意度指标：受益群众满意度≥90%。成本指标：项目补贴资金640000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项目实施进度计划依照“农户自主购机、定额补贴、区级结算、直补到卡”流程进行，其中：全程办理时限40个工作日；农机部门办理时限25个工作日；财政部门办理时限15个工作日。</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申报内容和目标合理可行。仁和区农机购置补贴项目申报资料严格对照国家、省、市、区农机购置补贴政策及机具补贴目录规范填报。申报目标贴合仁和区农业发展现状、丘陵山区生产特点及政策实施要求，设定科学合理、落地可行性强。</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（三）项目自评步骤及方法。</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项目自评步骤。严格对照省、市、区农机购置补贴实施政策及年度绩效目标，对照既定绩效指标，从产出指标、效益指标、满意度指标等维度逐项对标打分，汇总核查结果与自评得分，全面分析项目实施成效、存在问题及成因，梳理整改措施，规范填报绩效自评表，形成完整项目自评结果及书面自评材料。</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项目自评方法。一是采取台账资料核查法。采取书面审核方式，对补贴申报、审核公示、机具核验、资金兑付、档案归档等台账资料进行全面审查，核查政策执行、流程规范、资金合规性。二是现场实地核验法。工作人员开展入户实地核查，核对机具型号、数量、铭牌信息、使用状态，核实购机主体生产用途，核验补贴机具实际应用成效。</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二、项目资金申报及使用情况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（一）项目资金申报及批复情况。</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资金申报由符合条件的经营主体和农户自主依规申报，经乡镇现场核验、初步审核后上报区级复核。项目批复严格落实公示制度，经区农业农村、财政部门联合审核批复后兑付资金。</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楷体_GBK" w:cs="Times New Roman"/>
          <w:b/>
          <w:sz w:val="32"/>
          <w:szCs w:val="32"/>
          <w:lang w:val="zh-CN"/>
        </w:rPr>
        <w:t>（二）资金计划、到位及使用情况。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1.资金计划。该项目资金属于2025年省级财政农业高质量发展共同财政事权转移支付资金（农机购置与应用补贴），共计64万元，用于48户农户和经营主体共计55台各类农机具购置。</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2.资金到位。项目资金于2025年1月到位。</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资金使用。2025年下达我区的省级财政农业高质量发展共同财政事权转移支付资金（农机购置与应用补贴）为64万元，截至2025年12月31日，针对该项目资金已在购机补贴管理系统录入机械共55台，涉及农户48户，录入补贴资金64万元。已对录入农机购置补贴管理系统完成抽查、核验，已兑付补贴资金64万元，资金兑付率达100%。</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（三）项目财务管理情况。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我单位财务管理制度健全，严格执行财务管理制度，账务处理及时，会计核算规范。</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三、项目实施及管理情况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（一）项目组织架构及实施流程。</w:t>
      </w:r>
      <w:r>
        <w:rPr>
          <w:rFonts w:hint="default" w:ascii="Times New Roman" w:hAnsi="Times New Roman" w:eastAsia="方正仿宋_GBK" w:cs="Times New Roman"/>
          <w:sz w:val="32"/>
          <w:szCs w:val="32"/>
          <w:lang w:val="zh-CN"/>
        </w:rPr>
        <w:t>仁和区农机购置补贴项目实行分级负责、分工协作的组织管理架构，由区农业农村局牵头统筹项目实施，区财政局负责资金监管与拨付，各乡镇（街道）承担属地初审、现场核验及政策宣传工作，形成区级统筹、乡镇落实、部门联动的工作机制。项目实施严格按照规范流程开展，实行农户及经营主体自主购机、自愿申报，经乡镇现场核查、资料初审、公示无异议后上报区级复核，区级对照补贴目录、政策标准及限额要求严格审核把关，完成联合审批、公示公告后按规定直达兑付补贴资金。</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（二）项目管理情况。</w:t>
      </w:r>
      <w:r>
        <w:rPr>
          <w:rFonts w:hint="default" w:ascii="Times New Roman" w:hAnsi="Times New Roman" w:eastAsia="方正仿宋_GBK" w:cs="Times New Roman"/>
          <w:sz w:val="32"/>
          <w:szCs w:val="32"/>
          <w:lang w:val="zh-CN"/>
        </w:rPr>
        <w:t>项目实施全过程严格遵守农机补贴管理办法、财政资金管理等法律法规及制度要求，严格落实机具核验、多级审核、资金直达、档案留存等管理制度，无违规审批、违规兑付、暗箱操作等问题，项目整体合规有序、管理规范、执行到位。</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（三）项目监管情况。</w:t>
      </w:r>
      <w:r>
        <w:rPr>
          <w:rFonts w:hint="default" w:ascii="Times New Roman" w:hAnsi="Times New Roman" w:eastAsia="方正仿宋_GBK" w:cs="Times New Roman"/>
          <w:sz w:val="32"/>
          <w:szCs w:val="32"/>
          <w:lang w:val="zh-CN"/>
        </w:rPr>
        <w:t>我区持续强化农机购置补贴全流程监管，构建起“乡镇一线核查、区级复核抽查、部门联合监管”的全过程监管体系。在监管手段与程序上，严格落实申报审核、现场核验、公示公开、抽查复核、档案备查、资金闭环兑付等监管举措。监管工作全面覆盖购机申报、审核审批、机具使用、资金兑付、事后管护等各个环节。项目实施整体规范有序、政策落地成效良好。</w:t>
      </w: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四、项目绩效情况</w:t>
      </w:r>
      <w:r>
        <w:rPr>
          <w:rFonts w:hint="default" w:ascii="Times New Roman" w:hAnsi="Times New Roman" w:eastAsia="方正黑体_GBK" w:cs="Times New Roman"/>
          <w:sz w:val="32"/>
          <w:szCs w:val="32"/>
          <w:lang w:val="zh-CN"/>
        </w:rPr>
        <w:tab/>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（一）项目完成情况。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rPr>
        <w:t>数量指标。2025年仁和区农机购置补贴项目工作已全面完成。2025年下达我区的省级财政农业高质量发展共同财政事权转移支付资金（农机购置与应用补贴）为64万元，截至2025年12月30日，该项目资金录入农机购置补贴管理系统机械共55台，涉及农户48户，录入补贴资金64万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rPr>
        <w:t>质量指标。全区各乡（镇）严格按照文件要求的工作程序，对政策范围内，应享受购机补贴政策农户进行逐级核实、公示（公示时间不少于7个工作日）、汇总，并最终确定后通过一卡资格审批系统上报区级部门。区财政部门审核各乡镇上报数据后，根据各乡镇上报的补贴资金量来计算并及时配套全区各乡（镇）补贴资金。区农业农村局通过“一卡通”资金发放系统，在规定时间内足额兑现到农户一卡通账户。</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zh-CN"/>
        </w:rPr>
        <w:t>时效指标。在规定时限内发放农机购置补贴资金，兑付率100%。</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rPr>
        <w:t>成本指标。2025年仁和区农机购置补贴无工作经费预算，但我区严格按文件程序要求申报、审核、公示、发放，区乡两级通过不定时、不定点组织督查组深入村社进行督促检查，以保证项目按时按质实施。</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（二）项目效益情况。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rPr>
        <w:t>经济效益指标。通过农机购置补贴项目的实施，提高农业生产机械化水平，节约生产成本，经济增效。</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rPr>
        <w:t>社会效益指标。通过农机购置补贴项目的实施，全区农业生产机械化水平提高，由于大量采用机械化耕作，工效明显提高，缓解了耕作季节劳动力不足的矛盾。</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zh-CN"/>
        </w:rPr>
        <w:t>生态效益指标。通过农机购置补贴项目的实施，农业机械化保护性耕作，保护生态环境的作用。</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rPr>
        <w:t>可持续影响指标。通过农机购置补贴项目的实施，加强了农业生态资源保护，提高了全区农业生产机械化水平，对农民增收，农业增效，农村可持续发展具有广泛的影响。</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rPr>
        <w:t>满意度指标。项目涉及农户48户，受益人数102人，通过对14个乡镇、街办补贴农户对项目开展情况满意度抽查，群众满意度为98%。</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五、评价结论及建议</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（一）评价结论。</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经过对照检查和自测自评，我区2025年省级财政农业高质量发展共同财政事权转移支付资金（农机购置与应用补贴）绩效自评100分。</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（二）存在的问题。</w:t>
      </w:r>
    </w:p>
    <w:p>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无。</w:t>
      </w:r>
      <w:r>
        <w:rPr>
          <w:rFonts w:hint="default" w:ascii="Times New Roman" w:hAnsi="Times New Roman" w:eastAsia="仿宋_GB2312" w:cs="Times New Roman"/>
          <w:sz w:val="32"/>
          <w:szCs w:val="32"/>
          <w:lang w:val="zh-CN"/>
        </w:rPr>
        <w:tab/>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（三）相关建议。</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无。</w:t>
      </w:r>
    </w:p>
    <w:p>
      <w:pP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br w:type="page"/>
      </w:r>
    </w:p>
    <w:p>
      <w:pPr>
        <w:spacing w:line="600" w:lineRule="exact"/>
        <w:jc w:val="center"/>
        <w:rPr>
          <w:rFonts w:hint="eastAsia" w:ascii="方正小标宋_GBK" w:hAnsi="方正小标宋_GBK" w:eastAsia="方正小标宋_GBK" w:cs="方正小标宋_GBK"/>
          <w:b/>
          <w:bCs/>
          <w:sz w:val="40"/>
          <w:szCs w:val="40"/>
          <w:lang w:val="zh-CN"/>
        </w:rPr>
      </w:pPr>
      <w:r>
        <w:rPr>
          <w:rFonts w:hint="eastAsia" w:ascii="方正小标宋_GBK" w:hAnsi="方正小标宋_GBK" w:eastAsia="方正小标宋_GBK" w:cs="方正小标宋_GBK"/>
          <w:b/>
          <w:bCs/>
          <w:sz w:val="40"/>
          <w:szCs w:val="40"/>
          <w:lang w:val="zh-CN"/>
        </w:rPr>
        <w:t>2025年度财政衔接推进乡村振兴补助资金</w:t>
      </w:r>
    </w:p>
    <w:p>
      <w:pPr>
        <w:spacing w:line="600" w:lineRule="exact"/>
        <w:jc w:val="center"/>
        <w:rPr>
          <w:rFonts w:hint="eastAsia" w:ascii="方正小标宋_GBK" w:hAnsi="方正小标宋_GBK" w:eastAsia="方正小标宋_GBK" w:cs="方正小标宋_GBK"/>
          <w:b/>
          <w:bCs/>
          <w:sz w:val="40"/>
          <w:szCs w:val="40"/>
          <w:lang w:val="zh-CN"/>
        </w:rPr>
      </w:pPr>
      <w:r>
        <w:rPr>
          <w:rFonts w:hint="eastAsia" w:ascii="方正小标宋_GBK" w:hAnsi="方正小标宋_GBK" w:eastAsia="方正小标宋_GBK" w:cs="方正小标宋_GBK"/>
          <w:b/>
          <w:bCs/>
          <w:sz w:val="40"/>
          <w:szCs w:val="40"/>
          <w:lang w:val="zh-CN"/>
        </w:rPr>
        <w:t>项目支出绩效自评报告</w:t>
      </w:r>
    </w:p>
    <w:p>
      <w:pPr>
        <w:spacing w:line="600" w:lineRule="exact"/>
        <w:ind w:firstLine="640"/>
        <w:jc w:val="center"/>
        <w:rPr>
          <w:rFonts w:hint="default" w:ascii="Times New Roman" w:hAnsi="Times New Roman" w:cs="Times New Roman"/>
          <w:sz w:val="32"/>
          <w:szCs w:val="32"/>
          <w:lang w:val="zh-CN"/>
        </w:rPr>
      </w:pP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一、</w:t>
      </w:r>
      <w:r>
        <w:rPr>
          <w:rFonts w:hint="default" w:ascii="Times New Roman" w:hAnsi="Times New Roman" w:eastAsia="方正黑体_GBK" w:cs="Times New Roman"/>
          <w:sz w:val="32"/>
          <w:szCs w:val="32"/>
          <w:lang w:val="zh-CN"/>
        </w:rPr>
        <w:t>项目概况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（一）项目基本情况。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仁和区农业农村局在2025年度财政衔接推进乡村振兴补助资金项目中主要负责农田水利项目和产业化发展项目实施方案的审查，监督指导乡镇组织实施项目，同时，牵头做好竣工项目的验收和管护责任落实等工作。</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根据中央、省、市关于巩固拓展脱贫攻坚成果同乡村振兴有效衔接工作安排意见，结合区委、区政府2024年实施“全面推进乡村振兴战略”工作部署，为加强衔接资金管理，有序推进项目实施，提高资金使用效益，项目主要安排在产业发展、乡村建设行动、巩固三保障成果、易地扶贫搬迁后续扶持、就业支持等方面。</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仁和区于2021年12月30日制定《攀枝花市仁和区财政衔接推进乡村振兴补助资金管理办法》攀仁财〔2021〕150号，为加强衔接资金管理，有序推进项目实施，提高资金使用效益，项目主要安排在产业发展、乡村建设行动、巩固三保障成果、易地扶贫搬迁后续扶持、就业支持等方面。</w:t>
      </w:r>
    </w:p>
    <w:p>
      <w:pPr>
        <w:adjustRightInd w:val="0"/>
        <w:snapToGrid w:val="0"/>
        <w:spacing w:line="600" w:lineRule="exact"/>
        <w:ind w:firstLine="720"/>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sz w:val="32"/>
          <w:szCs w:val="32"/>
          <w:lang w:val="zh-CN"/>
        </w:rPr>
        <w:t>4.2025年度财政衔接推进乡村振兴补助资金项目主要安排在巩固三保障成果、就业帮扶、产业发展、乡村建设行动等六个方面，项目计划总投资7050.50万元（其中：中央资金1172万元，省级资金3525万元，市级资金483.5万元，区本级资金1870万元）。经村申报、乡（镇）审核、部门审查，逐级公示，区相关行业部门对项目的针对性、落地性、前瞻性以及建设内容、投资概算、绩效目标、群众参与、衔接推进乡村振兴进行了综合论证，围绕防止返贫监测总目标、巩固拓展脱贫攻坚成果衔接推进乡村振兴持续稳定发展，结合年度资金规模，及时规范完善了巩固拓展脱贫攻坚成果同乡村振兴有效衔接项目库，做到入库及时充分、程序规范、内容完整，入库项目都具备实施条件。</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（二）项目绩效目标。</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项目主要内容。2025年仁和区衔接推进乡村振兴补助资金项目安排62个，制定了项目实施方案，主要安排在产业发展、乡村建设行动、巩固三保障成果、易地扶贫搬迁后续扶持、就业支持等方面。明确了项目绩效目标情况，对下达实施的项目进行了监督管理和督促督导工作，确保了项目实施进度，目前62个项目均已实施完成。</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2.2025年巩固拓展脱贫攻坚成果和乡村振兴补助资金共下达7050.50万元（其中：中央资金1172万元，省级资金3525万元，市级资金483.5万元，区本级资金1870万元）。监测系统实际到账7050.50万元，安排项目62个。项目均在完成村申报、乡镇审查、部门审核、区分管领导现场踏勘、区财经委员会和区政府常务会审批等前期准备基础上组织实施；7月中旬，10月中旬资金支出进度均达到全省平均进度；完工项目已验收合格，资金支出进度高于全省平均水平。</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3.2025年巩固拓展脱贫攻坚成果和乡村振兴补助资金项目，经村申报、乡（镇）审核、部门审查，逐级公示，区相关行业部门对项目的针对性、落地性、前瞻性以及建设内容、投资概算、绩效目标、群众参与、衔接推进乡村振兴进行了综合论证，围绕防止返贫监测总目标；申报内容与实际相符，申报目标合理可行。</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（三）项目自评步骤及方法。</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按照财政衔接资金“谁使用，谁自评”的原则，区农业农村局统筹局财务室和下属单位等部门力量，分工协作，开展绩效自评工作。</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二、项目资金申报及使用情况</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（一）项目资金申报及批复情况。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巩固拓展脱贫攻坚成果和乡村振兴补助资金共下达7050.50万元（其中：中央资金1172万元，省级资金3525万元，市级资金483.5万元，区本级资金1870万元）。监测系统实际到账7050.50万元，安排项目62个。项目均在完成村申报、乡镇审查、部门审核、区分管领导现场踏勘、区财经委员会和区政府常务会审批等前期准备基础上组织实施。</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（二）资金计划、到位及使用情况。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1.资金计划。2025年巩固拓展脱贫攻坚成果和乡村振兴补助资金共下达7050.50万元（其中：中央资金1172万元，省级资金3525万元，市级资金483.5万元，区本级资金1870万元）。</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资金到位。2025年巩固拓展脱贫攻坚成果和乡村振兴补助资金共下达7050.50万元（其中：中央资金1172万元，省级资金3525万元，市级资金483.5万元，区本级资金1870万元）。监测系统实际到账7050.50万元，资金到位率100%，到位及时。</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资金使用。根据《中央财政衔接推进乡村振兴补助资金管理办法》（财农〔2021〕19号）及省市相关要求，全年对项目实施、资金支出进度进行了5次会议调度、开展实地督导检查3次、下达工作通报3次，制定了《仁和区2025年度财政衔接推进乡村振兴补助资金项目实施方案》，所有项目均按实施方案有序推进。2025年财政衔接推进乡村振兴补助资金预算指标分配率达到100%、实际支付率大于90%、预警信息处理率达到100%，在项目执行中没有随意调减衔接资金的情况，无预算数据作假和违规违纪的情况发生。</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（三）项目财务管理情况。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度财政衔接推进乡村振兴补助资金项目，严格按照《仁和区财政衔接推进乡村振兴补助资金管理办法》攀仁财〔2021〕150号规定，从指标下达、用款计划申报、资金支付全在“预算管理一体化系统”操作完成，资金支付实行全程监控。账务处理及时，会计核算规范。</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三、项目实施及管理情况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（一）项目组织架构及实施流程。</w:t>
      </w:r>
      <w:r>
        <w:rPr>
          <w:rFonts w:hint="default" w:ascii="Times New Roman" w:hAnsi="Times New Roman" w:eastAsia="方正仿宋_GBK" w:cs="Times New Roman"/>
          <w:sz w:val="32"/>
          <w:szCs w:val="32"/>
          <w:lang w:val="zh-CN"/>
        </w:rPr>
        <w:t>在乡镇、村组自行申报的基础上，经区委、区政府分管领导带队实地踏勘，并充分征求区级相关行业主管部门意见后，经区财经委会和区政府常务会审批等流程。</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（二）项目管理情况。</w:t>
      </w:r>
      <w:r>
        <w:rPr>
          <w:rFonts w:hint="default" w:ascii="Times New Roman" w:hAnsi="Times New Roman" w:eastAsia="方正仿宋_GBK" w:cs="Times New Roman"/>
          <w:sz w:val="32"/>
          <w:szCs w:val="32"/>
          <w:lang w:val="zh-CN"/>
        </w:rPr>
        <w:t>经村申报、乡（镇）审核、部门审查，逐级公示，区相关行业部门对项目的针对性、落地性、前瞻性以及建设内容、投资概算、绩效目标、群众参与、衔接推进乡村振兴进行了综合论证，围绕防止返贫监测总目标、巩固拓展脱贫攻坚成果衔接推进乡村振兴持续稳定发展，结合年度资金规模，及时规范完善了巩固拓展脱贫攻坚成果同乡村振兴有效衔接项目库，做到入库及时充分、程序规范、内容完整，入库项目都具备实施条件。2025年实施的62个巩固拓展脱贫攻坚成果任务方向项目任务量全部达到绩效目标申报的任务量、衔接资金项目安排实施严格按照衔接资金管理办法执行。产业类项目联农带农、防止返贫监测覆盖率达100%；往年已实施项目能够持续有效运行，发挥效益；基础设施类项目验收全部合格，后续管护措施及管护责任均落实到村到人；其他项目也实现了预期效益目标。按照中央、省、市相关要求，对资金分配结果、项目库、项目实施计划分别于2025年2月13日、4月27日、6月30日、9月28日在区政府门户网站上进行了公示。年度衔接资金项目的申报、实施、完工情况均在项目村、项目乡镇进行了公告公示。</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sz w:val="32"/>
          <w:szCs w:val="32"/>
          <w:lang w:val="zh-CN"/>
        </w:rPr>
        <w:t>（三）项目监管情况。</w:t>
      </w:r>
      <w:r>
        <w:rPr>
          <w:rFonts w:hint="default" w:ascii="Times New Roman" w:hAnsi="Times New Roman" w:eastAsia="方正仿宋_GBK" w:cs="Times New Roman"/>
          <w:sz w:val="32"/>
          <w:szCs w:val="32"/>
          <w:lang w:val="zh-CN"/>
        </w:rPr>
        <w:t>2024年对衔接资金项目实施开展资金支出进度进行了5次会议调度、开展实地督导检查3次、下达工作通报3次，截至11月20日，区级检查发现问题已全部完成落实整改；12317和12371平台未反馈仁和区相关衔接项目资金问题。</w:t>
      </w:r>
    </w:p>
    <w:p>
      <w:pPr>
        <w:adjustRightInd w:val="0"/>
        <w:snapToGrid w:val="0"/>
        <w:spacing w:line="600" w:lineRule="exact"/>
        <w:ind w:firstLine="72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四、项目绩效情况</w:t>
      </w:r>
      <w:r>
        <w:rPr>
          <w:rFonts w:hint="default" w:ascii="Times New Roman" w:hAnsi="Times New Roman" w:eastAsia="方正黑体_GBK" w:cs="Times New Roman"/>
          <w:sz w:val="32"/>
          <w:szCs w:val="32"/>
          <w:lang w:val="zh-CN"/>
        </w:rPr>
        <w:tab/>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（一）项目完成情况。</w:t>
      </w:r>
    </w:p>
    <w:p>
      <w:pPr>
        <w:adjustRightInd w:val="0"/>
        <w:snapToGrid w:val="0"/>
        <w:spacing w:line="600" w:lineRule="exact"/>
        <w:ind w:firstLine="720"/>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sz w:val="32"/>
          <w:szCs w:val="32"/>
          <w:lang w:val="zh-CN"/>
        </w:rPr>
        <w:t>2025年实施的62个巩固拓展脱贫攻坚成果任务方向项目任务量全部达到绩效目标申报的任务量、衔接资金项目安排实施严格按照衔接资金管理办法执行。无相关衔接项目资金问题违规记录；产业类项目联农带农、防止返贫监测覆盖率达100%；往年已实施项目能够持续有效运行，发挥效益；基础设施类项目验收全部合格，后续管护措施及管护责任均落实到村到人。</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（二）项目效益情况。</w:t>
      </w:r>
    </w:p>
    <w:p>
      <w:pPr>
        <w:adjustRightInd w:val="0"/>
        <w:snapToGrid w:val="0"/>
        <w:spacing w:line="600" w:lineRule="exact"/>
        <w:ind w:firstLine="72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财政衔接资金项目安排和实施严格按照衔接资金管理办法执行，项目联农带农机制，防止返贫监测对象覆盖率达100%，已实施的项目都持续有效运行和发挥效益；建设类项目验收全部合格、制定了后续管护措施，增加集体经济收入，增加效益，降低成本，经济效益明显；增加当地就业率，具有示范引领作用，社会效益明显；保护生态环境，改善当地农村环境，生态效益明显；受益群众满意度达到90%以上。</w:t>
      </w:r>
    </w:p>
    <w:p>
      <w:pPr>
        <w:adjustRightInd w:val="0"/>
        <w:snapToGrid w:val="0"/>
        <w:spacing w:line="600" w:lineRule="exact"/>
        <w:ind w:firstLine="72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五、评价结论及建议</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（一）评价结论。</w:t>
      </w:r>
    </w:p>
    <w:p>
      <w:pPr>
        <w:adjustRightInd w:val="0"/>
        <w:snapToGrid w:val="0"/>
        <w:spacing w:line="600" w:lineRule="exact"/>
        <w:ind w:firstLine="640" w:firstLineChars="200"/>
        <w:rPr>
          <w:rFonts w:hint="default" w:ascii="Times New Roman" w:hAnsi="Times New Roman" w:eastAsia="方正仿宋_GBK" w:cs="Times New Roman"/>
          <w:sz w:val="32"/>
          <w:szCs w:val="32"/>
          <w:bdr w:val="single" w:color="auto" w:sz="4" w:space="0"/>
          <w:lang w:val="zh-CN"/>
        </w:rPr>
      </w:pPr>
      <w:r>
        <w:rPr>
          <w:rFonts w:hint="default" w:ascii="Times New Roman" w:hAnsi="Times New Roman" w:eastAsia="方正仿宋_GBK" w:cs="Times New Roman"/>
          <w:sz w:val="32"/>
          <w:szCs w:val="32"/>
          <w:lang w:val="zh-CN"/>
        </w:rPr>
        <w:t>2025年中央和省级财政衔接推进乡村振兴补助资金项目，项目总投资7050.50万元，安排项目62个，完成年度62个项目的建设任务，自评得分100分，项目涉及12个乡镇29个村，直接受益人口37500余人，其中脱贫人口6700余人。为巩固拓展脱贫攻坚成果目标任务和脱贫人口增收目标。</w:t>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（二）存在的问题。</w:t>
      </w:r>
    </w:p>
    <w:p>
      <w:pPr>
        <w:adjustRightInd w:val="0"/>
        <w:snapToGrid w:val="0"/>
        <w:spacing w:line="600" w:lineRule="exact"/>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结合自评结果，无存在问题。</w:t>
      </w:r>
      <w:r>
        <w:rPr>
          <w:rFonts w:hint="default" w:ascii="Times New Roman" w:hAnsi="Times New Roman" w:eastAsia="方正仿宋_GBK" w:cs="Times New Roman"/>
          <w:sz w:val="32"/>
          <w:szCs w:val="32"/>
          <w:lang w:val="zh-CN"/>
        </w:rPr>
        <w:tab/>
      </w:r>
    </w:p>
    <w:p>
      <w:pPr>
        <w:adjustRightInd w:val="0"/>
        <w:snapToGrid w:val="0"/>
        <w:spacing w:line="600" w:lineRule="exact"/>
        <w:ind w:firstLine="720"/>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（三）相关建议。</w:t>
      </w:r>
    </w:p>
    <w:p>
      <w:pPr>
        <w:spacing w:line="578" w:lineRule="exact"/>
        <w:ind w:firstLine="640"/>
        <w:rPr>
          <w:rFonts w:hint="default" w:ascii="Times New Roman" w:hAnsi="Times New Roman" w:eastAsia="方正仿宋_GBK" w:cs="Times New Roman"/>
          <w:sz w:val="32"/>
          <w:szCs w:val="32"/>
          <w:lang w:val="zh-CN"/>
        </w:rPr>
      </w:pPr>
      <w:bookmarkStart w:id="69" w:name="_Toc15396618"/>
      <w:r>
        <w:rPr>
          <w:rFonts w:hint="default" w:ascii="Times New Roman" w:hAnsi="Times New Roman" w:eastAsia="方正仿宋_GBK" w:cs="Times New Roman"/>
          <w:sz w:val="32"/>
          <w:szCs w:val="32"/>
          <w:lang w:val="zh-CN"/>
        </w:rPr>
        <w:t>无相关建议。</w:t>
      </w:r>
    </w:p>
    <w:p>
      <w:pP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br w:type="page"/>
      </w:r>
    </w:p>
    <w:p>
      <w:pPr>
        <w:pStyle w:val="7"/>
        <w:keepNext w:val="0"/>
        <w:keepLines w:val="0"/>
        <w:pageBreakBefore w:val="0"/>
        <w:widowControl w:val="0"/>
        <w:kinsoku/>
        <w:wordWrap/>
        <w:overflowPunct/>
        <w:topLinePunct w:val="0"/>
        <w:autoSpaceDE/>
        <w:autoSpaceDN/>
        <w:bidi w:val="0"/>
        <w:adjustRightInd/>
        <w:snapToGrid/>
        <w:spacing w:before="93" w:line="0" w:lineRule="atLeast"/>
        <w:jc w:val="center"/>
        <w:textAlignment w:val="auto"/>
        <w:rPr>
          <w:rFonts w:hint="default" w:ascii="Times New Roman" w:hAnsi="Times New Roman" w:eastAsia="方正小标宋_GBK" w:cs="Times New Roman"/>
          <w:kern w:val="2"/>
          <w:sz w:val="44"/>
          <w:szCs w:val="44"/>
        </w:rPr>
      </w:pPr>
      <w:r>
        <w:rPr>
          <w:rFonts w:hint="default" w:ascii="Times New Roman" w:hAnsi="Times New Roman" w:eastAsia="方正小标宋_GBK" w:cs="Times New Roman"/>
          <w:kern w:val="2"/>
          <w:sz w:val="44"/>
          <w:szCs w:val="44"/>
        </w:rPr>
        <w:t>第五部分</w:t>
      </w:r>
      <w:r>
        <w:rPr>
          <w:rFonts w:hint="default" w:ascii="Times New Roman" w:hAnsi="Times New Roman" w:eastAsia="方正小标宋_GBK" w:cs="Times New Roman"/>
          <w:kern w:val="2"/>
          <w:sz w:val="44"/>
          <w:szCs w:val="44"/>
          <w:lang w:val="en-US" w:eastAsia="zh-CN"/>
        </w:rPr>
        <w:t xml:space="preserve">  </w:t>
      </w:r>
      <w:r>
        <w:rPr>
          <w:rFonts w:hint="default" w:ascii="Times New Roman" w:hAnsi="Times New Roman" w:eastAsia="方正小标宋_GBK" w:cs="Times New Roman"/>
          <w:kern w:val="2"/>
          <w:sz w:val="44"/>
          <w:szCs w:val="44"/>
        </w:rPr>
        <w:t>附表</w:t>
      </w:r>
      <w:bookmarkEnd w:id="64"/>
      <w:bookmarkEnd w:id="69"/>
      <w:bookmarkStart w:id="70" w:name="_Toc15396619"/>
    </w:p>
    <w:p>
      <w:pPr>
        <w:pStyle w:val="14"/>
        <w:adjustRightInd w:val="0"/>
        <w:snapToGrid w:val="0"/>
        <w:spacing w:line="560" w:lineRule="exact"/>
        <w:jc w:val="left"/>
        <w:rPr>
          <w:rFonts w:hint="default" w:ascii="Times New Roman" w:hAnsi="Times New Roman" w:eastAsia="仿宋_GB2312" w:cs="Times New Roman"/>
          <w:sz w:val="32"/>
          <w:szCs w:val="32"/>
        </w:rPr>
      </w:pPr>
    </w:p>
    <w:p>
      <w:pPr>
        <w:pStyle w:val="14"/>
        <w:adjustRightInd w:val="0"/>
        <w:snapToGrid w:val="0"/>
        <w:spacing w:line="560" w:lineRule="exact"/>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bookmarkEnd w:id="70"/>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1" w:name="_Toc15396620"/>
      <w:r>
        <w:rPr>
          <w:rFonts w:hint="default" w:ascii="Times New Roman" w:hAnsi="Times New Roman" w:eastAsia="方正仿宋_GBK" w:cs="Times New Roman"/>
          <w:sz w:val="32"/>
          <w:szCs w:val="32"/>
        </w:rPr>
        <w:t>二、收入决算表</w:t>
      </w:r>
      <w:bookmarkEnd w:id="71"/>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2" w:name="_Toc15396621"/>
      <w:r>
        <w:rPr>
          <w:rFonts w:hint="default" w:ascii="Times New Roman" w:hAnsi="Times New Roman" w:eastAsia="方正仿宋_GBK" w:cs="Times New Roman"/>
          <w:sz w:val="32"/>
          <w:szCs w:val="32"/>
        </w:rPr>
        <w:t>三、支出决算表</w:t>
      </w:r>
      <w:bookmarkEnd w:id="72"/>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3" w:name="_Toc15396622"/>
      <w:r>
        <w:rPr>
          <w:rFonts w:hint="default" w:ascii="Times New Roman" w:hAnsi="Times New Roman" w:eastAsia="方正仿宋_GBK" w:cs="Times New Roman"/>
          <w:sz w:val="32"/>
          <w:szCs w:val="32"/>
        </w:rPr>
        <w:t>四、财政拨款收入支出决算总表</w:t>
      </w:r>
      <w:bookmarkEnd w:id="73"/>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4" w:name="_Toc15396623"/>
      <w:r>
        <w:rPr>
          <w:rFonts w:hint="default" w:ascii="Times New Roman" w:hAnsi="Times New Roman" w:eastAsia="方正仿宋_GBK" w:cs="Times New Roman"/>
          <w:sz w:val="32"/>
          <w:szCs w:val="32"/>
        </w:rPr>
        <w:t>五、财政拨款支出决算明细表</w:t>
      </w:r>
      <w:bookmarkEnd w:id="74"/>
      <w:bookmarkStart w:id="75" w:name="_Toc15396624"/>
    </w:p>
    <w:p>
      <w:pPr>
        <w:pStyle w:val="14"/>
        <w:adjustRightInd w:val="0"/>
        <w:snapToGrid w:val="0"/>
        <w:spacing w:line="560" w:lineRule="exact"/>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bookmarkEnd w:id="75"/>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6" w:name="_Toc15396625"/>
      <w:r>
        <w:rPr>
          <w:rFonts w:hint="default" w:ascii="Times New Roman" w:hAnsi="Times New Roman" w:eastAsia="方正仿宋_GBK" w:cs="Times New Roman"/>
          <w:sz w:val="32"/>
          <w:szCs w:val="32"/>
        </w:rPr>
        <w:t>七、一般公共预算财政拨款支出决算明细表</w:t>
      </w:r>
      <w:bookmarkEnd w:id="76"/>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7" w:name="_Toc15396626"/>
      <w:r>
        <w:rPr>
          <w:rFonts w:hint="default" w:ascii="Times New Roman" w:hAnsi="Times New Roman" w:eastAsia="方正仿宋_GBK" w:cs="Times New Roman"/>
          <w:sz w:val="32"/>
          <w:szCs w:val="32"/>
        </w:rPr>
        <w:t>八、一般公共预算财政拨款基本支出决算表</w:t>
      </w:r>
      <w:bookmarkEnd w:id="77"/>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8" w:name="_Toc15396627"/>
      <w:r>
        <w:rPr>
          <w:rFonts w:hint="default" w:ascii="Times New Roman" w:hAnsi="Times New Roman" w:eastAsia="方正仿宋_GBK" w:cs="Times New Roman"/>
          <w:sz w:val="32"/>
          <w:szCs w:val="32"/>
        </w:rPr>
        <w:t>九、一般公共预算财政拨款项目支出决算表</w:t>
      </w:r>
      <w:bookmarkEnd w:id="78"/>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79" w:name="_Toc15396628"/>
      <w:r>
        <w:rPr>
          <w:rFonts w:hint="default" w:ascii="Times New Roman" w:hAnsi="Times New Roman" w:eastAsia="方正仿宋_GBK" w:cs="Times New Roman"/>
          <w:sz w:val="32"/>
          <w:szCs w:val="32"/>
        </w:rPr>
        <w:t>十、</w:t>
      </w:r>
      <w:bookmarkEnd w:id="79"/>
      <w:r>
        <w:rPr>
          <w:rFonts w:hint="default" w:ascii="Times New Roman" w:hAnsi="Times New Roman" w:eastAsia="方正仿宋_GBK" w:cs="Times New Roman"/>
          <w:sz w:val="32"/>
          <w:szCs w:val="32"/>
        </w:rPr>
        <w:t>政府性基金预算财政拨款收入支出决算表</w:t>
      </w:r>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80" w:name="_Toc15396629"/>
      <w:r>
        <w:rPr>
          <w:rFonts w:hint="default" w:ascii="Times New Roman" w:hAnsi="Times New Roman" w:eastAsia="方正仿宋_GBK" w:cs="Times New Roman"/>
          <w:sz w:val="32"/>
          <w:szCs w:val="32"/>
        </w:rPr>
        <w:t>十一、</w:t>
      </w:r>
      <w:bookmarkEnd w:id="80"/>
      <w:r>
        <w:rPr>
          <w:rFonts w:hint="default" w:ascii="Times New Roman" w:hAnsi="Times New Roman" w:eastAsia="方正仿宋_GBK" w:cs="Times New Roman"/>
          <w:sz w:val="32"/>
          <w:szCs w:val="32"/>
        </w:rPr>
        <w:t>国有资本经营预算财政拨款收入支出决算表</w:t>
      </w:r>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81" w:name="_Toc15396630"/>
      <w:r>
        <w:rPr>
          <w:rFonts w:hint="default" w:ascii="Times New Roman" w:hAnsi="Times New Roman" w:eastAsia="方正仿宋_GBK" w:cs="Times New Roman"/>
          <w:sz w:val="32"/>
          <w:szCs w:val="32"/>
        </w:rPr>
        <w:t>十二、</w:t>
      </w:r>
      <w:bookmarkEnd w:id="81"/>
      <w:r>
        <w:rPr>
          <w:rFonts w:hint="default" w:ascii="Times New Roman" w:hAnsi="Times New Roman" w:eastAsia="方正仿宋_GBK" w:cs="Times New Roman"/>
          <w:sz w:val="32"/>
          <w:szCs w:val="32"/>
        </w:rPr>
        <w:t>国有资本经营预算财政拨款支出决算表</w:t>
      </w:r>
    </w:p>
    <w:p>
      <w:pPr>
        <w:pStyle w:val="14"/>
        <w:adjustRightInd w:val="0"/>
        <w:snapToGrid w:val="0"/>
        <w:spacing w:line="560" w:lineRule="exact"/>
        <w:jc w:val="left"/>
        <w:rPr>
          <w:rFonts w:hint="default" w:ascii="Times New Roman" w:hAnsi="Times New Roman" w:eastAsia="方正仿宋_GBK" w:cs="Times New Roman"/>
          <w:sz w:val="32"/>
          <w:szCs w:val="32"/>
        </w:rPr>
      </w:pPr>
      <w:bookmarkStart w:id="82" w:name="_Toc15396631"/>
      <w:r>
        <w:rPr>
          <w:rFonts w:hint="default" w:ascii="Times New Roman" w:hAnsi="Times New Roman" w:eastAsia="方正仿宋_GBK" w:cs="Times New Roman"/>
          <w:sz w:val="32"/>
          <w:szCs w:val="32"/>
        </w:rPr>
        <w:t>十三、</w:t>
      </w:r>
      <w:bookmarkEnd w:id="82"/>
      <w:r>
        <w:rPr>
          <w:rFonts w:hint="default" w:ascii="Times New Roman" w:hAnsi="Times New Roman" w:eastAsia="方正仿宋_GBK" w:cs="Times New Roman"/>
          <w:sz w:val="32"/>
          <w:szCs w:val="32"/>
        </w:rPr>
        <w:t>财政拨款“三公”经费支出决算表</w:t>
      </w:r>
    </w:p>
    <w:p>
      <w:pPr>
        <w:rPr>
          <w:rFonts w:hint="default" w:ascii="Times New Roman" w:hAnsi="Times New Roman" w:cs="Times New Roman"/>
        </w:rPr>
      </w:pPr>
    </w:p>
    <w:sectPr>
      <w:footerReference r:id="rId8"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0"/>
                      <w:rPr>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2NDRjM2M5MWI5NzhlNDUzMjNlN2JkODMyODkwNz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11035"/>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8067FB"/>
    <w:rsid w:val="01D07742"/>
    <w:rsid w:val="01F01DC8"/>
    <w:rsid w:val="02317B1B"/>
    <w:rsid w:val="02354BB2"/>
    <w:rsid w:val="02FEBE30"/>
    <w:rsid w:val="03314FB5"/>
    <w:rsid w:val="035C6226"/>
    <w:rsid w:val="03A87AC5"/>
    <w:rsid w:val="03FF60FC"/>
    <w:rsid w:val="045F6B9B"/>
    <w:rsid w:val="049C7A2E"/>
    <w:rsid w:val="04A821BA"/>
    <w:rsid w:val="05283431"/>
    <w:rsid w:val="05304626"/>
    <w:rsid w:val="05504736"/>
    <w:rsid w:val="05B40FDD"/>
    <w:rsid w:val="05F23A3F"/>
    <w:rsid w:val="061E35DE"/>
    <w:rsid w:val="062A142B"/>
    <w:rsid w:val="066E0107"/>
    <w:rsid w:val="07630750"/>
    <w:rsid w:val="079270B3"/>
    <w:rsid w:val="0797664C"/>
    <w:rsid w:val="07996F6E"/>
    <w:rsid w:val="07DFD8BA"/>
    <w:rsid w:val="080717AD"/>
    <w:rsid w:val="08153DD4"/>
    <w:rsid w:val="08297BEC"/>
    <w:rsid w:val="08732C15"/>
    <w:rsid w:val="08802820"/>
    <w:rsid w:val="08DB07E4"/>
    <w:rsid w:val="08F0070A"/>
    <w:rsid w:val="09867E8F"/>
    <w:rsid w:val="0A2032A3"/>
    <w:rsid w:val="0A79472F"/>
    <w:rsid w:val="0AE722C1"/>
    <w:rsid w:val="0B5C70F9"/>
    <w:rsid w:val="0B9E1294"/>
    <w:rsid w:val="0BB7567E"/>
    <w:rsid w:val="0C050DFA"/>
    <w:rsid w:val="0C6C4794"/>
    <w:rsid w:val="0C970E9C"/>
    <w:rsid w:val="0CA17C9B"/>
    <w:rsid w:val="0CA8290A"/>
    <w:rsid w:val="0CBD6B55"/>
    <w:rsid w:val="0CF602B9"/>
    <w:rsid w:val="0D270DA4"/>
    <w:rsid w:val="0D35B1ED"/>
    <w:rsid w:val="0D842183"/>
    <w:rsid w:val="0DE07E2B"/>
    <w:rsid w:val="0DF30354"/>
    <w:rsid w:val="0F98263C"/>
    <w:rsid w:val="101860EC"/>
    <w:rsid w:val="104416C8"/>
    <w:rsid w:val="10C055FF"/>
    <w:rsid w:val="11772AA4"/>
    <w:rsid w:val="118107EC"/>
    <w:rsid w:val="11D34725"/>
    <w:rsid w:val="11E608FC"/>
    <w:rsid w:val="1246139A"/>
    <w:rsid w:val="130059ED"/>
    <w:rsid w:val="133D29A4"/>
    <w:rsid w:val="135F095F"/>
    <w:rsid w:val="13741F37"/>
    <w:rsid w:val="13A9398F"/>
    <w:rsid w:val="13D50BC4"/>
    <w:rsid w:val="14022904"/>
    <w:rsid w:val="141F16A1"/>
    <w:rsid w:val="151632A6"/>
    <w:rsid w:val="152F2A07"/>
    <w:rsid w:val="15B42ABF"/>
    <w:rsid w:val="165E0673"/>
    <w:rsid w:val="16BB723D"/>
    <w:rsid w:val="175E2CE2"/>
    <w:rsid w:val="179A688A"/>
    <w:rsid w:val="179F5F07"/>
    <w:rsid w:val="17CC0594"/>
    <w:rsid w:val="17E06C0C"/>
    <w:rsid w:val="18062C2E"/>
    <w:rsid w:val="186504BB"/>
    <w:rsid w:val="1938089F"/>
    <w:rsid w:val="19A445FC"/>
    <w:rsid w:val="1A361A27"/>
    <w:rsid w:val="1AC11F06"/>
    <w:rsid w:val="1AD9524C"/>
    <w:rsid w:val="1B0B42F7"/>
    <w:rsid w:val="1B324CD5"/>
    <w:rsid w:val="1B67694A"/>
    <w:rsid w:val="1B7D550C"/>
    <w:rsid w:val="1BAE3446"/>
    <w:rsid w:val="1BE8440E"/>
    <w:rsid w:val="1C142509"/>
    <w:rsid w:val="1C4B67C1"/>
    <w:rsid w:val="1CB6536F"/>
    <w:rsid w:val="1D155CEE"/>
    <w:rsid w:val="1D204952"/>
    <w:rsid w:val="1D284E16"/>
    <w:rsid w:val="1DAA4ED3"/>
    <w:rsid w:val="1DCD7725"/>
    <w:rsid w:val="1E0740D4"/>
    <w:rsid w:val="1E324BDA"/>
    <w:rsid w:val="1E740ACF"/>
    <w:rsid w:val="1EAC5B8B"/>
    <w:rsid w:val="1FF35744"/>
    <w:rsid w:val="1FF6BC77"/>
    <w:rsid w:val="20AD0EA3"/>
    <w:rsid w:val="20D66B76"/>
    <w:rsid w:val="21592629"/>
    <w:rsid w:val="21917E66"/>
    <w:rsid w:val="21962A9E"/>
    <w:rsid w:val="21AE7C77"/>
    <w:rsid w:val="22910410"/>
    <w:rsid w:val="22BC3C41"/>
    <w:rsid w:val="22CC31F6"/>
    <w:rsid w:val="23860B96"/>
    <w:rsid w:val="240371BF"/>
    <w:rsid w:val="248144B4"/>
    <w:rsid w:val="25D9458E"/>
    <w:rsid w:val="260F557C"/>
    <w:rsid w:val="265E4BC6"/>
    <w:rsid w:val="26CD742C"/>
    <w:rsid w:val="277E4B5A"/>
    <w:rsid w:val="281408E2"/>
    <w:rsid w:val="28537F15"/>
    <w:rsid w:val="29746395"/>
    <w:rsid w:val="29FD04D3"/>
    <w:rsid w:val="2A2B739C"/>
    <w:rsid w:val="2A2D4EC2"/>
    <w:rsid w:val="2A361B14"/>
    <w:rsid w:val="2A6E0388"/>
    <w:rsid w:val="2A9C35C4"/>
    <w:rsid w:val="2AAD7DB1"/>
    <w:rsid w:val="2BC300A3"/>
    <w:rsid w:val="2BFF7BC6"/>
    <w:rsid w:val="2C2916B9"/>
    <w:rsid w:val="2C373C70"/>
    <w:rsid w:val="2C8A61B5"/>
    <w:rsid w:val="2CB5119F"/>
    <w:rsid w:val="2D0363AE"/>
    <w:rsid w:val="2D2E01CF"/>
    <w:rsid w:val="2DB31B82"/>
    <w:rsid w:val="2DBE22D5"/>
    <w:rsid w:val="2DDE305F"/>
    <w:rsid w:val="2DE2142E"/>
    <w:rsid w:val="2DF04E50"/>
    <w:rsid w:val="2E1A3538"/>
    <w:rsid w:val="2E9545B0"/>
    <w:rsid w:val="2F040D46"/>
    <w:rsid w:val="2F513423"/>
    <w:rsid w:val="2F540059"/>
    <w:rsid w:val="2F571061"/>
    <w:rsid w:val="2F5B427F"/>
    <w:rsid w:val="2F5D6F3E"/>
    <w:rsid w:val="2F967EFE"/>
    <w:rsid w:val="2FAE5751"/>
    <w:rsid w:val="2FB1A395"/>
    <w:rsid w:val="2FD9A7D8"/>
    <w:rsid w:val="2FF92384"/>
    <w:rsid w:val="305B3E0B"/>
    <w:rsid w:val="30D14E34"/>
    <w:rsid w:val="314328E0"/>
    <w:rsid w:val="317A28CE"/>
    <w:rsid w:val="319F7F4E"/>
    <w:rsid w:val="31E87920"/>
    <w:rsid w:val="321B2544"/>
    <w:rsid w:val="3247469D"/>
    <w:rsid w:val="325B27ED"/>
    <w:rsid w:val="325F4C78"/>
    <w:rsid w:val="3304709D"/>
    <w:rsid w:val="33107F03"/>
    <w:rsid w:val="34281836"/>
    <w:rsid w:val="34844B3D"/>
    <w:rsid w:val="348F22D5"/>
    <w:rsid w:val="349D6851"/>
    <w:rsid w:val="35510E4E"/>
    <w:rsid w:val="35BA6CAF"/>
    <w:rsid w:val="36484736"/>
    <w:rsid w:val="364D14C1"/>
    <w:rsid w:val="366D0530"/>
    <w:rsid w:val="369938DF"/>
    <w:rsid w:val="36AA5135"/>
    <w:rsid w:val="36BE0DA7"/>
    <w:rsid w:val="36CE3589"/>
    <w:rsid w:val="376B6AA6"/>
    <w:rsid w:val="376D39B2"/>
    <w:rsid w:val="378955B8"/>
    <w:rsid w:val="378C5C19"/>
    <w:rsid w:val="37B85403"/>
    <w:rsid w:val="37BA10FD"/>
    <w:rsid w:val="37E16F03"/>
    <w:rsid w:val="37F53A3B"/>
    <w:rsid w:val="387F3FB0"/>
    <w:rsid w:val="389B6C89"/>
    <w:rsid w:val="38D469F0"/>
    <w:rsid w:val="392A4E43"/>
    <w:rsid w:val="39627CCD"/>
    <w:rsid w:val="397BAF1F"/>
    <w:rsid w:val="39BB3686"/>
    <w:rsid w:val="3AB79AF3"/>
    <w:rsid w:val="3B7EF35A"/>
    <w:rsid w:val="3B9FDB6C"/>
    <w:rsid w:val="3BD333EF"/>
    <w:rsid w:val="3BD86C58"/>
    <w:rsid w:val="3BF5BC2F"/>
    <w:rsid w:val="3C01218D"/>
    <w:rsid w:val="3C2D6106"/>
    <w:rsid w:val="3C323C93"/>
    <w:rsid w:val="3C3747C9"/>
    <w:rsid w:val="3CEBA265"/>
    <w:rsid w:val="3D98207C"/>
    <w:rsid w:val="3D9B0D99"/>
    <w:rsid w:val="3DAE1A1E"/>
    <w:rsid w:val="3DEE7CF3"/>
    <w:rsid w:val="3DF02244"/>
    <w:rsid w:val="3E1D0952"/>
    <w:rsid w:val="3E775D28"/>
    <w:rsid w:val="3E78745D"/>
    <w:rsid w:val="3EA05D9B"/>
    <w:rsid w:val="3ECF7E9E"/>
    <w:rsid w:val="3EED61E9"/>
    <w:rsid w:val="3FB34229"/>
    <w:rsid w:val="3FE32D99"/>
    <w:rsid w:val="3FF4CAE0"/>
    <w:rsid w:val="3FF5663E"/>
    <w:rsid w:val="3FF76E4E"/>
    <w:rsid w:val="3FF7B227"/>
    <w:rsid w:val="40AD420F"/>
    <w:rsid w:val="40E54C45"/>
    <w:rsid w:val="41250249"/>
    <w:rsid w:val="412F10C8"/>
    <w:rsid w:val="41320BB8"/>
    <w:rsid w:val="413606A8"/>
    <w:rsid w:val="419B675D"/>
    <w:rsid w:val="41EB78A8"/>
    <w:rsid w:val="41F33DFE"/>
    <w:rsid w:val="41FF0A9A"/>
    <w:rsid w:val="42565461"/>
    <w:rsid w:val="427D40B5"/>
    <w:rsid w:val="42AE09BA"/>
    <w:rsid w:val="4344430F"/>
    <w:rsid w:val="43547DFD"/>
    <w:rsid w:val="43655E45"/>
    <w:rsid w:val="43A407DF"/>
    <w:rsid w:val="43FF7A4F"/>
    <w:rsid w:val="444F0625"/>
    <w:rsid w:val="44515BEA"/>
    <w:rsid w:val="44B042CE"/>
    <w:rsid w:val="44E268DA"/>
    <w:rsid w:val="453F7E5B"/>
    <w:rsid w:val="4695585D"/>
    <w:rsid w:val="46D90034"/>
    <w:rsid w:val="46EC0F77"/>
    <w:rsid w:val="477C3392"/>
    <w:rsid w:val="486A6C7A"/>
    <w:rsid w:val="487A3570"/>
    <w:rsid w:val="487B2E45"/>
    <w:rsid w:val="48C7608A"/>
    <w:rsid w:val="490B4941"/>
    <w:rsid w:val="49176D9B"/>
    <w:rsid w:val="4A627F82"/>
    <w:rsid w:val="4A8E1972"/>
    <w:rsid w:val="4B0E749A"/>
    <w:rsid w:val="4B187071"/>
    <w:rsid w:val="4B4F25DA"/>
    <w:rsid w:val="4B5F0424"/>
    <w:rsid w:val="4BBA0D7E"/>
    <w:rsid w:val="4BDA0CFB"/>
    <w:rsid w:val="4BE068DB"/>
    <w:rsid w:val="4D3C0CCC"/>
    <w:rsid w:val="4D477799"/>
    <w:rsid w:val="4D577224"/>
    <w:rsid w:val="4DBF1CEB"/>
    <w:rsid w:val="4DD94895"/>
    <w:rsid w:val="4DE47E53"/>
    <w:rsid w:val="4E2109F5"/>
    <w:rsid w:val="4EAB630A"/>
    <w:rsid w:val="4ECE2238"/>
    <w:rsid w:val="4F244236"/>
    <w:rsid w:val="4F577103"/>
    <w:rsid w:val="4F833267"/>
    <w:rsid w:val="4FE9BD67"/>
    <w:rsid w:val="4FFB052F"/>
    <w:rsid w:val="5099030C"/>
    <w:rsid w:val="50CD4459"/>
    <w:rsid w:val="516E79EA"/>
    <w:rsid w:val="522E717A"/>
    <w:rsid w:val="52552958"/>
    <w:rsid w:val="5256349A"/>
    <w:rsid w:val="52C11D9C"/>
    <w:rsid w:val="53083A92"/>
    <w:rsid w:val="532C5467"/>
    <w:rsid w:val="537E6D0A"/>
    <w:rsid w:val="53AF27A2"/>
    <w:rsid w:val="53EC109A"/>
    <w:rsid w:val="53F74C96"/>
    <w:rsid w:val="541B4CF0"/>
    <w:rsid w:val="54322F51"/>
    <w:rsid w:val="544113E6"/>
    <w:rsid w:val="54C36822"/>
    <w:rsid w:val="56052390"/>
    <w:rsid w:val="56B85264"/>
    <w:rsid w:val="56E47B74"/>
    <w:rsid w:val="56F94885"/>
    <w:rsid w:val="57BD3DD4"/>
    <w:rsid w:val="58931AE5"/>
    <w:rsid w:val="591A2206"/>
    <w:rsid w:val="59755173"/>
    <w:rsid w:val="598918E0"/>
    <w:rsid w:val="59A22076"/>
    <w:rsid w:val="59BE0DE3"/>
    <w:rsid w:val="59F91E1B"/>
    <w:rsid w:val="5AAD1C35"/>
    <w:rsid w:val="5AEF6D32"/>
    <w:rsid w:val="5AF92295"/>
    <w:rsid w:val="5B136F0D"/>
    <w:rsid w:val="5B86769A"/>
    <w:rsid w:val="5BAE0FF0"/>
    <w:rsid w:val="5BBA658A"/>
    <w:rsid w:val="5BCC3C8B"/>
    <w:rsid w:val="5BD35CA1"/>
    <w:rsid w:val="5BDD79E6"/>
    <w:rsid w:val="5BF561CA"/>
    <w:rsid w:val="5BFF5DFC"/>
    <w:rsid w:val="5CD71FC4"/>
    <w:rsid w:val="5D1F11B5"/>
    <w:rsid w:val="5D8F2E94"/>
    <w:rsid w:val="5DAE1B18"/>
    <w:rsid w:val="5DE7D9E5"/>
    <w:rsid w:val="5DF212D1"/>
    <w:rsid w:val="5E2E29DB"/>
    <w:rsid w:val="5E7B54F5"/>
    <w:rsid w:val="5E7E6D93"/>
    <w:rsid w:val="5EA07923"/>
    <w:rsid w:val="5ECEC941"/>
    <w:rsid w:val="5F493CB7"/>
    <w:rsid w:val="5F4F76A6"/>
    <w:rsid w:val="5FBF9FF3"/>
    <w:rsid w:val="5FCD4E2C"/>
    <w:rsid w:val="5FD15F49"/>
    <w:rsid w:val="5FEF394A"/>
    <w:rsid w:val="5FF67715"/>
    <w:rsid w:val="602E540A"/>
    <w:rsid w:val="606F4BE5"/>
    <w:rsid w:val="60BB607C"/>
    <w:rsid w:val="60EE7EEF"/>
    <w:rsid w:val="60F44CBD"/>
    <w:rsid w:val="610B7004"/>
    <w:rsid w:val="615D0EE2"/>
    <w:rsid w:val="615E35D8"/>
    <w:rsid w:val="61885612"/>
    <w:rsid w:val="61BE4DEC"/>
    <w:rsid w:val="62BF3928"/>
    <w:rsid w:val="62C21944"/>
    <w:rsid w:val="636869FE"/>
    <w:rsid w:val="63E63410"/>
    <w:rsid w:val="647F5392"/>
    <w:rsid w:val="64B84CC8"/>
    <w:rsid w:val="64E75692"/>
    <w:rsid w:val="651B358E"/>
    <w:rsid w:val="656C3DE9"/>
    <w:rsid w:val="664B1D71"/>
    <w:rsid w:val="666176C6"/>
    <w:rsid w:val="67AA3209"/>
    <w:rsid w:val="681C4F0D"/>
    <w:rsid w:val="68344F8A"/>
    <w:rsid w:val="684140AE"/>
    <w:rsid w:val="69046D0F"/>
    <w:rsid w:val="698D0931"/>
    <w:rsid w:val="6A1B0D99"/>
    <w:rsid w:val="6A993CED"/>
    <w:rsid w:val="6ADB7A47"/>
    <w:rsid w:val="6AEE2E69"/>
    <w:rsid w:val="6B005B27"/>
    <w:rsid w:val="6B053271"/>
    <w:rsid w:val="6B2D7B77"/>
    <w:rsid w:val="6B3042FF"/>
    <w:rsid w:val="6B6712DB"/>
    <w:rsid w:val="6BA232BE"/>
    <w:rsid w:val="6BC45D6D"/>
    <w:rsid w:val="6BCE6674"/>
    <w:rsid w:val="6C4A05C8"/>
    <w:rsid w:val="6C8742B8"/>
    <w:rsid w:val="6C8859AD"/>
    <w:rsid w:val="6C8A170F"/>
    <w:rsid w:val="6C8C4AAA"/>
    <w:rsid w:val="6CB54609"/>
    <w:rsid w:val="6CEC5B3F"/>
    <w:rsid w:val="6D227F8B"/>
    <w:rsid w:val="6D4573FA"/>
    <w:rsid w:val="6DB3748A"/>
    <w:rsid w:val="6DBF5E93"/>
    <w:rsid w:val="6DF80910"/>
    <w:rsid w:val="6DF90D44"/>
    <w:rsid w:val="6DFF077E"/>
    <w:rsid w:val="6E055C01"/>
    <w:rsid w:val="6E4753F3"/>
    <w:rsid w:val="6E5024FA"/>
    <w:rsid w:val="6E5A0C83"/>
    <w:rsid w:val="6E7E3605"/>
    <w:rsid w:val="6E7FDCC7"/>
    <w:rsid w:val="6E804461"/>
    <w:rsid w:val="6ED6A62E"/>
    <w:rsid w:val="6EDA6267"/>
    <w:rsid w:val="6EE00B15"/>
    <w:rsid w:val="6F144536"/>
    <w:rsid w:val="6F544B20"/>
    <w:rsid w:val="6F5E3A3C"/>
    <w:rsid w:val="6F6FB3EB"/>
    <w:rsid w:val="6F784160"/>
    <w:rsid w:val="6F8731EA"/>
    <w:rsid w:val="6FA630B6"/>
    <w:rsid w:val="6FCE6052"/>
    <w:rsid w:val="6FD57C00"/>
    <w:rsid w:val="6FEFFFD8"/>
    <w:rsid w:val="6FF5CC65"/>
    <w:rsid w:val="6FFB47EC"/>
    <w:rsid w:val="6FFF034A"/>
    <w:rsid w:val="70496804"/>
    <w:rsid w:val="70800254"/>
    <w:rsid w:val="708B0CAF"/>
    <w:rsid w:val="71123A97"/>
    <w:rsid w:val="712A28F1"/>
    <w:rsid w:val="715C0E4B"/>
    <w:rsid w:val="717F6C52"/>
    <w:rsid w:val="71DE7E1D"/>
    <w:rsid w:val="721B4BCD"/>
    <w:rsid w:val="72233669"/>
    <w:rsid w:val="724361BE"/>
    <w:rsid w:val="72734D90"/>
    <w:rsid w:val="7286337F"/>
    <w:rsid w:val="729B7ABC"/>
    <w:rsid w:val="7332FE48"/>
    <w:rsid w:val="73AB61DA"/>
    <w:rsid w:val="73AD73D5"/>
    <w:rsid w:val="73B6EB34"/>
    <w:rsid w:val="73FA497D"/>
    <w:rsid w:val="744731E5"/>
    <w:rsid w:val="74527205"/>
    <w:rsid w:val="74BBD01D"/>
    <w:rsid w:val="74ED5379"/>
    <w:rsid w:val="74FC2395"/>
    <w:rsid w:val="75071439"/>
    <w:rsid w:val="751F6782"/>
    <w:rsid w:val="75DEEEC2"/>
    <w:rsid w:val="76E3355F"/>
    <w:rsid w:val="76FF5125"/>
    <w:rsid w:val="77087257"/>
    <w:rsid w:val="776F6FFA"/>
    <w:rsid w:val="778769C8"/>
    <w:rsid w:val="77AD0074"/>
    <w:rsid w:val="77BE7B1B"/>
    <w:rsid w:val="77DC22F5"/>
    <w:rsid w:val="787B0173"/>
    <w:rsid w:val="78CF04BF"/>
    <w:rsid w:val="79024103"/>
    <w:rsid w:val="79086DAD"/>
    <w:rsid w:val="791F1447"/>
    <w:rsid w:val="79974F09"/>
    <w:rsid w:val="799E2892"/>
    <w:rsid w:val="79B643EB"/>
    <w:rsid w:val="79C5176F"/>
    <w:rsid w:val="79D7FD79"/>
    <w:rsid w:val="79EE5BA4"/>
    <w:rsid w:val="7A456C8B"/>
    <w:rsid w:val="7A7430CC"/>
    <w:rsid w:val="7A894339"/>
    <w:rsid w:val="7AFF7572"/>
    <w:rsid w:val="7B6C7DFB"/>
    <w:rsid w:val="7BBFBED0"/>
    <w:rsid w:val="7BC3E394"/>
    <w:rsid w:val="7C1F3737"/>
    <w:rsid w:val="7CA3021F"/>
    <w:rsid w:val="7CBFC87B"/>
    <w:rsid w:val="7CFE0F48"/>
    <w:rsid w:val="7D320E02"/>
    <w:rsid w:val="7D7EC23E"/>
    <w:rsid w:val="7D916348"/>
    <w:rsid w:val="7E282B4B"/>
    <w:rsid w:val="7E2D0EEA"/>
    <w:rsid w:val="7E590F57"/>
    <w:rsid w:val="7E725B75"/>
    <w:rsid w:val="7E8ADEBF"/>
    <w:rsid w:val="7EAD236E"/>
    <w:rsid w:val="7EC363D0"/>
    <w:rsid w:val="7EEF11D3"/>
    <w:rsid w:val="7F0971A6"/>
    <w:rsid w:val="7F3F679B"/>
    <w:rsid w:val="7F4FC4EF"/>
    <w:rsid w:val="7F5E4D54"/>
    <w:rsid w:val="7F6E0135"/>
    <w:rsid w:val="7F9E22B0"/>
    <w:rsid w:val="7FA30C79"/>
    <w:rsid w:val="7FAF8ABF"/>
    <w:rsid w:val="7FB7269E"/>
    <w:rsid w:val="7FC96657"/>
    <w:rsid w:val="7FCA249A"/>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autoRedefine/>
    <w:unhideWhenUsed/>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35"/>
    <w:autoRedefine/>
    <w:unhideWhenUsed/>
    <w:qFormat/>
    <w:uiPriority w:val="99"/>
    <w:pPr>
      <w:ind w:firstLine="420" w:firstLineChars="200"/>
    </w:pPr>
  </w:style>
  <w:style w:type="paragraph" w:styleId="3">
    <w:name w:val="Body Text Indent"/>
    <w:basedOn w:val="1"/>
    <w:next w:val="2"/>
    <w:autoRedefine/>
    <w:qFormat/>
    <w:uiPriority w:val="0"/>
    <w:pPr>
      <w:spacing w:after="120"/>
      <w:ind w:left="200" w:leftChars="200"/>
    </w:pPr>
    <w:rPr>
      <w:rFonts w:ascii="仿宋_GB2312"/>
      <w:szCs w:val="32"/>
    </w:rPr>
  </w:style>
  <w:style w:type="paragraph" w:styleId="7">
    <w:name w:val="Body Text"/>
    <w:basedOn w:val="1"/>
    <w:link w:val="25"/>
    <w:autoRedefine/>
    <w:qFormat/>
    <w:uiPriority w:val="99"/>
    <w:pPr>
      <w:spacing w:beforeLines="30"/>
    </w:pPr>
    <w:rPr>
      <w:rFonts w:ascii="仿宋_GB2312" w:eastAsia="仿宋_GB2312"/>
      <w:kern w:val="0"/>
      <w:sz w:val="30"/>
    </w:rPr>
  </w:style>
  <w:style w:type="paragraph" w:styleId="8">
    <w:name w:val="toc 3"/>
    <w:basedOn w:val="1"/>
    <w:next w:val="1"/>
    <w:autoRedefine/>
    <w:unhideWhenUsed/>
    <w:qFormat/>
    <w:uiPriority w:val="39"/>
    <w:pPr>
      <w:tabs>
        <w:tab w:val="right" w:leader="dot" w:pos="8296"/>
      </w:tabs>
      <w:ind w:left="840" w:leftChars="400"/>
    </w:pPr>
  </w:style>
  <w:style w:type="paragraph" w:styleId="9">
    <w:name w:val="Balloon Text"/>
    <w:basedOn w:val="1"/>
    <w:link w:val="31"/>
    <w:autoRedefine/>
    <w:semiHidden/>
    <w:unhideWhenUsed/>
    <w:qFormat/>
    <w:uiPriority w:val="99"/>
    <w:rPr>
      <w:sz w:val="18"/>
      <w:szCs w:val="18"/>
    </w:rPr>
  </w:style>
  <w:style w:type="paragraph" w:styleId="10">
    <w:name w:val="footer"/>
    <w:basedOn w:val="1"/>
    <w:link w:val="23"/>
    <w:autoRedefine/>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autoRedefine/>
    <w:semiHidden/>
    <w:qFormat/>
    <w:uiPriority w:val="0"/>
    <w:pPr>
      <w:snapToGrid w:val="0"/>
      <w:jc w:val="left"/>
    </w:pPr>
    <w:rPr>
      <w:sz w:val="18"/>
      <w:szCs w:val="18"/>
    </w:rPr>
  </w:style>
  <w:style w:type="paragraph" w:styleId="14">
    <w:name w:val="toc 2"/>
    <w:basedOn w:val="1"/>
    <w:next w:val="1"/>
    <w:autoRedefine/>
    <w:unhideWhenUsed/>
    <w:qFormat/>
    <w:uiPriority w:val="39"/>
    <w:pPr>
      <w:tabs>
        <w:tab w:val="right" w:leader="dot" w:pos="8296"/>
      </w:tabs>
      <w:ind w:left="420" w:leftChars="200"/>
    </w:pPr>
  </w:style>
  <w:style w:type="character" w:styleId="17">
    <w:name w:val="Strong"/>
    <w:basedOn w:val="16"/>
    <w:autoRedefine/>
    <w:qFormat/>
    <w:uiPriority w:val="99"/>
    <w:rPr>
      <w:b/>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autoRedefine/>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autoRedefine/>
    <w:semiHidden/>
    <w:qFormat/>
    <w:uiPriority w:val="99"/>
    <w:rPr>
      <w:rFonts w:ascii="Times New Roman" w:hAnsi="Times New Roman"/>
      <w:sz w:val="18"/>
      <w:szCs w:val="18"/>
    </w:rPr>
  </w:style>
  <w:style w:type="character" w:customStyle="1" w:styleId="21">
    <w:name w:val="页眉 Char"/>
    <w:link w:val="11"/>
    <w:autoRedefine/>
    <w:semiHidden/>
    <w:qFormat/>
    <w:locked/>
    <w:uiPriority w:val="99"/>
    <w:rPr>
      <w:sz w:val="18"/>
    </w:rPr>
  </w:style>
  <w:style w:type="character" w:customStyle="1" w:styleId="22">
    <w:name w:val="Footer Char"/>
    <w:basedOn w:val="16"/>
    <w:autoRedefine/>
    <w:semiHidden/>
    <w:qFormat/>
    <w:uiPriority w:val="99"/>
    <w:rPr>
      <w:rFonts w:ascii="Times New Roman" w:hAnsi="Times New Roman"/>
      <w:sz w:val="18"/>
      <w:szCs w:val="18"/>
    </w:rPr>
  </w:style>
  <w:style w:type="character" w:customStyle="1" w:styleId="23">
    <w:name w:val="页脚 Char"/>
    <w:link w:val="10"/>
    <w:autoRedefine/>
    <w:qFormat/>
    <w:locked/>
    <w:uiPriority w:val="99"/>
    <w:rPr>
      <w:sz w:val="18"/>
    </w:rPr>
  </w:style>
  <w:style w:type="character" w:customStyle="1" w:styleId="24">
    <w:name w:val="Body Text Char"/>
    <w:basedOn w:val="16"/>
    <w:autoRedefine/>
    <w:semiHidden/>
    <w:qFormat/>
    <w:uiPriority w:val="99"/>
    <w:rPr>
      <w:rFonts w:ascii="Times New Roman" w:hAnsi="Times New Roman"/>
      <w:szCs w:val="24"/>
    </w:rPr>
  </w:style>
  <w:style w:type="character" w:customStyle="1" w:styleId="25">
    <w:name w:val="正文文本 Char"/>
    <w:link w:val="7"/>
    <w:autoRedefine/>
    <w:qFormat/>
    <w:locked/>
    <w:uiPriority w:val="99"/>
    <w:rPr>
      <w:rFonts w:ascii="仿宋_GB2312" w:hAnsi="Times New Roman" w:eastAsia="仿宋_GB2312"/>
      <w:sz w:val="24"/>
    </w:rPr>
  </w:style>
  <w:style w:type="paragraph" w:customStyle="1" w:styleId="26">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autoRedefine/>
    <w:qFormat/>
    <w:uiPriority w:val="34"/>
    <w:pPr>
      <w:ind w:firstLine="420" w:firstLineChars="200"/>
    </w:pPr>
  </w:style>
  <w:style w:type="character" w:customStyle="1" w:styleId="28">
    <w:name w:val="标题 1 Char"/>
    <w:basedOn w:val="16"/>
    <w:link w:val="4"/>
    <w:autoRedefine/>
    <w:qFormat/>
    <w:uiPriority w:val="9"/>
    <w:rPr>
      <w:rFonts w:ascii="Times New Roman" w:hAnsi="Times New Roman"/>
      <w:b/>
      <w:bCs/>
      <w:kern w:val="44"/>
      <w:sz w:val="44"/>
      <w:szCs w:val="44"/>
    </w:rPr>
  </w:style>
  <w:style w:type="character" w:customStyle="1" w:styleId="29">
    <w:name w:val="标题 2 Char"/>
    <w:basedOn w:val="16"/>
    <w:link w:val="5"/>
    <w:autoRedefine/>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autoRedefine/>
    <w:semiHidden/>
    <w:qFormat/>
    <w:uiPriority w:val="99"/>
    <w:rPr>
      <w:rFonts w:ascii="Times New Roman" w:hAnsi="Times New Roman"/>
      <w:kern w:val="2"/>
      <w:sz w:val="18"/>
      <w:szCs w:val="18"/>
    </w:rPr>
  </w:style>
  <w:style w:type="character" w:customStyle="1" w:styleId="32">
    <w:name w:val="标题 3 Char"/>
    <w:basedOn w:val="16"/>
    <w:link w:val="6"/>
    <w:autoRedefine/>
    <w:qFormat/>
    <w:uiPriority w:val="9"/>
    <w:rPr>
      <w:rFonts w:ascii="Times New Roman" w:hAnsi="Times New Roman"/>
      <w:b/>
      <w:bCs/>
      <w:kern w:val="2"/>
      <w:sz w:val="32"/>
      <w:szCs w:val="32"/>
    </w:rPr>
  </w:style>
  <w:style w:type="paragraph" w:customStyle="1" w:styleId="33">
    <w:name w:val="TOC 标题2"/>
    <w:basedOn w:val="4"/>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autoRedefine/>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2"/>
    <w:autoRedefine/>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manualLayout>
          <c:xMode val="edge"/>
          <c:yMode val="edge"/>
          <c:x val="0.290166706934042"/>
          <c:y val="0.034424139396515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17115.92</c:v>
                </c:pt>
                <c:pt idx="1">
                  <c:v>17115.92</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Sheet1!$C$2:$C$3</c15:sqref>
                  </c15:fullRef>
                </c:ext>
              </c:extLst>
              <c:f>Sheet1!$C$2:$C$3</c:f>
              <c:numCache>
                <c:formatCode>General</c:formatCode>
                <c:ptCount val="2"/>
                <c:pt idx="0">
                  <c:v>19276.82</c:v>
                </c:pt>
                <c:pt idx="1">
                  <c:v>19276.82</c:v>
                </c:pt>
              </c:numCache>
            </c:numRef>
          </c:val>
        </c:ser>
        <c:dLbls>
          <c:showLegendKey val="0"/>
          <c:showVal val="0"/>
          <c:showCatName val="0"/>
          <c:showSerName val="0"/>
          <c:showPercent val="0"/>
          <c:showBubbleSize val="0"/>
        </c:dLbls>
        <c:gapWidth val="246"/>
        <c:overlap val="-28"/>
        <c:axId val="557076098"/>
        <c:axId val="642637782"/>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Sheet1!$A$2:$A$3</c15:sqref>
                        </c15:fullRef>
                        <c15:formulaRef>
                          <c15:sqref>Sheet1!$A$2:$A$3</c15:sqref>
                        </c15:formulaRef>
                      </c:ext>
                    </c:extLst>
                    <c:strCache>
                      <c:ptCount val="2"/>
                      <c:pt idx="0">
                        <c:v>收入</c:v>
                      </c:pt>
                      <c:pt idx="1">
                        <c:v>支出</c:v>
                      </c:pt>
                    </c:strCache>
                  </c:strRef>
                </c:cat>
              </c15:ser>
            </c15:filteredBarSeries>
          </c:ext>
        </c:extLst>
      </c:barChart>
      <c:catAx>
        <c:axId val="5570760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2637782"/>
        <c:crosses val="autoZero"/>
        <c:auto val="1"/>
        <c:lblAlgn val="ctr"/>
        <c:lblOffset val="100"/>
        <c:noMultiLvlLbl val="0"/>
      </c:catAx>
      <c:valAx>
        <c:axId val="6426377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0760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国有资本经营预算财政拨款收入</c:v>
                </c:pt>
                <c:pt idx="3">
                  <c:v>其他收入</c:v>
                </c:pt>
              </c:strCache>
            </c:strRef>
          </c:cat>
          <c:val>
            <c:numRef>
              <c:f>Sheet1!$B$2:$B$5</c:f>
              <c:numCache>
                <c:formatCode>General</c:formatCode>
                <c:ptCount val="4"/>
                <c:pt idx="0">
                  <c:v>13335.53</c:v>
                </c:pt>
                <c:pt idx="1">
                  <c:v>4383.28</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2362.62</c:v>
                </c:pt>
                <c:pt idx="1">
                  <c:v>15528.18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83860835950713"/>
          <c:y val="0.111347216319592"/>
          <c:w val="0.67274704034791"/>
          <c:h val="0.1721206969825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260932592413626"/>
          <c:y val="0.0291117722056949"/>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15729.9</c:v>
                </c:pt>
                <c:pt idx="1">
                  <c:v>15729.9</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17890.8</c:v>
                </c:pt>
                <c:pt idx="1">
                  <c:v>17890.8</c:v>
                </c:pt>
              </c:numCache>
            </c:numRef>
          </c:val>
        </c:ser>
        <c:dLbls>
          <c:showLegendKey val="0"/>
          <c:showVal val="0"/>
          <c:showCatName val="0"/>
          <c:showSerName val="0"/>
          <c:showPercent val="0"/>
          <c:showBubbleSize val="0"/>
        </c:dLbls>
        <c:gapWidth val="246"/>
        <c:overlap val="-28"/>
        <c:axId val="557076098"/>
        <c:axId val="642637782"/>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收入</c:v>
                      </c:pt>
                      <c:pt idx="1">
                        <c:v>支出</c:v>
                      </c:pt>
                    </c:strCache>
                  </c:strRef>
                </c:cat>
              </c15:ser>
            </c15:filteredBarSeries>
          </c:ext>
        </c:extLst>
      </c:barChart>
      <c:catAx>
        <c:axId val="5570760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2637782"/>
        <c:crosses val="autoZero"/>
        <c:auto val="1"/>
        <c:lblAlgn val="ctr"/>
        <c:lblOffset val="100"/>
        <c:noMultiLvlLbl val="0"/>
      </c:catAx>
      <c:valAx>
        <c:axId val="6426377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0760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20645083353467"/>
          <c:y val="0.02571185720357"/>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支出</c:v>
                </c:pt>
              </c:strCache>
            </c:strRef>
          </c:cat>
          <c:val>
            <c:numRef>
              <c:f>Sheet1!$B$2</c:f>
              <c:numCache>
                <c:formatCode>General</c:formatCode>
                <c:ptCount val="1"/>
                <c:pt idx="0">
                  <c:v>15558.48</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支出</c:v>
                </c:pt>
              </c:strCache>
            </c:strRef>
          </c:cat>
          <c:val>
            <c:numRef>
              <c:f>Sheet1!$C$2</c:f>
              <c:numCache>
                <c:formatCode>General</c:formatCode>
                <c:ptCount val="1"/>
                <c:pt idx="0">
                  <c:v>13447.49</c:v>
                </c:pt>
              </c:numCache>
            </c:numRef>
          </c:val>
        </c:ser>
        <c:dLbls>
          <c:showLegendKey val="0"/>
          <c:showVal val="0"/>
          <c:showCatName val="0"/>
          <c:showSerName val="0"/>
          <c:showPercent val="0"/>
          <c:showBubbleSize val="0"/>
        </c:dLbls>
        <c:gapWidth val="246"/>
        <c:overlap val="-28"/>
        <c:axId val="557076098"/>
        <c:axId val="642637782"/>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c15:sqref>
                        </c15:formulaRef>
                      </c:ext>
                    </c:extLst>
                    <c:strCache>
                      <c:ptCount val="1"/>
                      <c:pt idx="0">
                        <c:v>支出</c:v>
                      </c:pt>
                    </c:strCache>
                  </c:strRef>
                </c:cat>
              </c15:ser>
            </c15:filteredBarSeries>
          </c:ext>
        </c:extLst>
      </c:barChart>
      <c:catAx>
        <c:axId val="557076098"/>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2637782"/>
        <c:crosses val="autoZero"/>
        <c:auto val="1"/>
        <c:lblAlgn val="ctr"/>
        <c:lblOffset val="100"/>
        <c:noMultiLvlLbl val="0"/>
      </c:catAx>
      <c:valAx>
        <c:axId val="6426377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0760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4"/>
              <c:layout>
                <c:manualLayout>
                  <c:x val="0.0143228400020021"/>
                  <c:y val="-0.26275038060012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社会保障和就业</c:v>
                </c:pt>
                <c:pt idx="1">
                  <c:v>卫生健康</c:v>
                </c:pt>
                <c:pt idx="2">
                  <c:v>城乡社区</c:v>
                </c:pt>
                <c:pt idx="3">
                  <c:v>住房保障</c:v>
                </c:pt>
                <c:pt idx="4">
                  <c:v>农林水</c:v>
                </c:pt>
              </c:strCache>
            </c:strRef>
          </c:cat>
          <c:val>
            <c:numRef>
              <c:f>Sheet1!$B$2:$B$6</c:f>
              <c:numCache>
                <c:formatCode>General</c:formatCode>
                <c:ptCount val="5"/>
                <c:pt idx="0">
                  <c:v>407.98</c:v>
                </c:pt>
                <c:pt idx="1">
                  <c:v>119.25</c:v>
                </c:pt>
                <c:pt idx="2">
                  <c:v>18.9</c:v>
                </c:pt>
                <c:pt idx="3">
                  <c:v>151.61</c:v>
                </c:pt>
                <c:pt idx="4">
                  <c:v>12749.75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48484028153763"/>
          <c:y val="0.17650429799426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rPr altLang="en-US"/>
              <a:t>三公</a:t>
            </a:r>
            <a:r>
              <a:rPr lang="en-US" altLang="zh-CN"/>
              <a:t>”</a:t>
            </a:r>
            <a:r>
              <a:rPr altLang="en-US"/>
              <a:t>经费支出结构</a:t>
            </a:r>
            <a:endParaRPr lang="en-US" altLang="zh-CN"/>
          </a:p>
        </c:rich>
      </c:tx>
      <c:layout/>
      <c:overlay val="0"/>
      <c:spPr>
        <a:noFill/>
        <a:ln>
          <a:noFill/>
        </a:ln>
        <a:effectLst/>
      </c:sp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1"/>
              <c:layout>
                <c:manualLayout>
                  <c:x val="-0.106609210471451"/>
                  <c:y val="-0.12017526191189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94061205422425"/>
                  <c:y val="0.09115761596148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13.48</c:v>
                </c:pt>
                <c:pt idx="2">
                  <c:v>6.61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064c653e-277e-4d39-bdf2-0427912e97ec</errorID>
      <errorWord>救灾</errorWord>
      <group>L1_Grammar</group>
      <groupName>语法问题</groupName>
      <ability>L2_Grammar</ability>
      <abilityName>语法错误</abilityName>
      <candidateList>
        <item>救援</item>
      </candidateList>
      <explain>“紧急～救灾”搭配不当，建议修改为“紧急～救援”。</explain>
      <paraID>2CB61DA8</paraID>
      <start>146</start>
      <end>148</end>
      <status>ignored</status>
      <modifiedWord/>
      <trackRevisions>false</trackRevisions>
    </reviewItem>
    <reviewItem>
      <errorID>753ddb0e-17cd-48db-aefe-51606f01495d</errorID>
      <errorWord>脱贫成果</errorWord>
      <group>L1_Political</group>
      <groupName>政治性问题</groupName>
      <ability>L2_Unpolitical</ability>
      <abilityName>政治敏感错误</abilityName>
      <candidateList>
        <item>脱贫攻坚成果</item>
      </candidateList>
      <explain/>
      <paraID>7C0493C9</paraID>
      <start>1235</start>
      <end>1239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06ad39-133d-46a9-a20a-b963ddf0f4a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72</Pages>
  <Words>17081</Words>
  <Characters>19748</Characters>
  <Lines>63</Lines>
  <Paragraphs>17</Paragraphs>
  <TotalTime>0</TotalTime>
  <ScaleCrop>false</ScaleCrop>
  <LinksUpToDate>false</LinksUpToDate>
  <CharactersWithSpaces>19769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ASUS</cp:lastModifiedBy>
  <cp:lastPrinted>2026-09-18T02:46:00Z</cp:lastPrinted>
  <dcterms:modified xsi:type="dcterms:W3CDTF">2026-09-18T03:40:59Z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0835443EE3EF4E86BA13360084B837D5</vt:lpwstr>
  </property>
  <property fmtid="{D5CDD505-2E9C-101B-9397-08002B2CF9AE}" pid="4" name="KSOTemplateDocerSaveRecord">
    <vt:lpwstr>eyJoZGlkIjoiN2YzNjBkOTgyNWQ1YTMxYzM3MzMwNWFiODNmOWIzYWMiLCJ1c2VySWQiOiI4NDg3MjY3MjkifQ==</vt:lpwstr>
  </property>
</Properties>
</file>