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F9AFE">
      <w:pPr>
        <w:spacing w:line="600" w:lineRule="exact"/>
        <w:jc w:val="left"/>
        <w:outlineLvl w:val="0"/>
        <w:rPr>
          <w:rFonts w:eastAsia="方正小标宋简体"/>
          <w:szCs w:val="21"/>
        </w:rPr>
      </w:pPr>
      <w:bookmarkStart w:id="65" w:name="_GoBack"/>
      <w:bookmarkEnd w:id="65"/>
      <w:bookmarkStart w:id="0" w:name="_Toc15306267"/>
    </w:p>
    <w:p w14:paraId="0D69E28F">
      <w:pPr>
        <w:pStyle w:val="7"/>
        <w:spacing w:before="93"/>
        <w:rPr>
          <w:rFonts w:ascii="Times New Roman"/>
        </w:rPr>
      </w:pPr>
    </w:p>
    <w:p w14:paraId="32254B29">
      <w:pPr>
        <w:spacing w:line="600" w:lineRule="exact"/>
        <w:jc w:val="center"/>
        <w:outlineLvl w:val="0"/>
        <w:rPr>
          <w:rFonts w:eastAsia="方正小标宋简体"/>
          <w:sz w:val="72"/>
          <w:szCs w:val="72"/>
        </w:rPr>
      </w:pPr>
    </w:p>
    <w:bookmarkEnd w:id="0"/>
    <w:p w14:paraId="040143DD">
      <w:pPr>
        <w:pStyle w:val="7"/>
        <w:spacing w:before="93"/>
        <w:rPr>
          <w:rFonts w:ascii="Times New Roman" w:eastAsia="方正小标宋简体"/>
          <w:kern w:val="2"/>
          <w:sz w:val="72"/>
          <w:szCs w:val="72"/>
        </w:rPr>
      </w:pPr>
      <w:bookmarkStart w:id="1" w:name="_Toc15396475"/>
      <w:bookmarkStart w:id="2" w:name="_Toc15377193"/>
      <w:bookmarkStart w:id="3" w:name="_Toc15396597"/>
      <w:bookmarkStart w:id="4" w:name="_Toc15378441"/>
      <w:bookmarkStart w:id="5" w:name="_Toc15377425"/>
    </w:p>
    <w:p w14:paraId="3F951A86">
      <w:pPr>
        <w:pStyle w:val="7"/>
        <w:spacing w:before="93"/>
        <w:rPr>
          <w:rFonts w:ascii="Times New Roman" w:eastAsia="方正小标宋简体"/>
          <w:kern w:val="2"/>
          <w:sz w:val="72"/>
          <w:szCs w:val="72"/>
        </w:rPr>
      </w:pPr>
    </w:p>
    <w:p w14:paraId="56276B15">
      <w:pPr>
        <w:pStyle w:val="7"/>
        <w:spacing w:before="93"/>
        <w:rPr>
          <w:rFonts w:ascii="Times New Roman" w:eastAsia="方正小标宋简体"/>
          <w:kern w:val="2"/>
          <w:sz w:val="72"/>
          <w:szCs w:val="72"/>
        </w:rPr>
      </w:pPr>
    </w:p>
    <w:p w14:paraId="4143EDC1">
      <w:pPr>
        <w:pStyle w:val="7"/>
        <w:spacing w:before="93"/>
        <w:jc w:val="center"/>
        <w:rPr>
          <w:rFonts w:ascii="Times New Roman" w:eastAsia="方正小标宋简体"/>
          <w:kern w:val="2"/>
          <w:sz w:val="44"/>
          <w:szCs w:val="44"/>
        </w:rPr>
      </w:pPr>
      <w:r>
        <w:rPr>
          <w:rFonts w:hint="eastAsia" w:ascii="Times New Roman" w:eastAsia="方正小标宋简体"/>
          <w:kern w:val="2"/>
          <w:sz w:val="44"/>
          <w:szCs w:val="44"/>
        </w:rPr>
        <w:t>2024年度四川省攀枝花市仁和区信访局</w:t>
      </w:r>
    </w:p>
    <w:p w14:paraId="6604D8E2">
      <w:pPr>
        <w:pStyle w:val="7"/>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p>
    <w:p w14:paraId="630132C9">
      <w:pPr>
        <w:spacing w:line="600" w:lineRule="exact"/>
        <w:jc w:val="center"/>
        <w:outlineLvl w:val="0"/>
        <w:rPr>
          <w:rFonts w:eastAsia="方正小标宋简体"/>
          <w:sz w:val="72"/>
          <w:szCs w:val="72"/>
        </w:rPr>
      </w:pPr>
    </w:p>
    <w:p w14:paraId="40063D4F">
      <w:pPr>
        <w:pStyle w:val="2"/>
        <w:rPr>
          <w:rFonts w:ascii="Times New Roman" w:hAnsi="Times New Roman"/>
        </w:rPr>
        <w:sectPr>
          <w:headerReference r:id="rId5" w:type="default"/>
          <w:footerReference r:id="rId6" w:type="default"/>
          <w:pgSz w:w="11906" w:h="16838"/>
          <w:pgMar w:top="1440" w:right="1800" w:bottom="1440" w:left="1800" w:header="851" w:footer="992" w:gutter="0"/>
          <w:pgNumType w:fmt="numberInDash" w:start="1"/>
          <w:cols w:space="425" w:num="1"/>
          <w:titlePg/>
          <w:docGrid w:type="lines" w:linePitch="312" w:charSpace="0"/>
        </w:sectPr>
      </w:pPr>
    </w:p>
    <w:bookmarkEnd w:id="1"/>
    <w:bookmarkEnd w:id="2"/>
    <w:bookmarkEnd w:id="3"/>
    <w:bookmarkEnd w:id="4"/>
    <w:bookmarkEnd w:id="5"/>
    <w:p w14:paraId="4A6AD5F1">
      <w:pPr>
        <w:widowControl/>
        <w:jc w:val="center"/>
        <w:rPr>
          <w:rFonts w:eastAsia="黑体"/>
          <w:sz w:val="48"/>
          <w:szCs w:val="48"/>
        </w:rPr>
      </w:pPr>
      <w:r>
        <w:rPr>
          <w:rFonts w:hint="eastAsia" w:eastAsia="黑体"/>
          <w:sz w:val="48"/>
          <w:szCs w:val="48"/>
        </w:rPr>
        <w:t>目录</w:t>
      </w:r>
    </w:p>
    <w:p w14:paraId="7F9E5B02">
      <w:pPr>
        <w:widowControl/>
        <w:jc w:val="center"/>
        <w:rPr>
          <w:rFonts w:eastAsia="黑体" w:cstheme="minorBidi"/>
          <w:sz w:val="28"/>
          <w:szCs w:val="28"/>
        </w:rPr>
      </w:pPr>
    </w:p>
    <w:p w14:paraId="79166178">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年9月</w:t>
      </w:r>
      <w:r>
        <w:rPr>
          <w:rFonts w:hint="eastAsia" w:ascii="Times New Roman" w:hAnsi="Times New Roman" w:eastAsia="仿宋_GB2312" w:cs="仿宋_GB2312"/>
          <w:sz w:val="32"/>
          <w:szCs w:val="32"/>
          <w:lang w:val="en-US" w:eastAsia="zh-CN"/>
        </w:rPr>
        <w:t>23</w:t>
      </w:r>
      <w:r>
        <w:rPr>
          <w:rFonts w:hint="eastAsia" w:ascii="Times New Roman" w:hAnsi="Times New Roman" w:eastAsia="仿宋_GB2312" w:cs="仿宋_GB2312"/>
          <w:sz w:val="32"/>
          <w:szCs w:val="32"/>
        </w:rPr>
        <w:t>日</w:t>
      </w:r>
    </w:p>
    <w:p w14:paraId="6AA641A3"/>
    <w:p w14:paraId="0730EC99">
      <w:pPr>
        <w:pStyle w:val="13"/>
        <w:adjustRightInd w:val="0"/>
        <w:snapToGrid w:val="0"/>
        <w:spacing w:before="0" w:line="440" w:lineRule="exact"/>
        <w:jc w:val="left"/>
        <w:rPr>
          <w:rFonts w:ascii="Times New Roman" w:hAnsi="Times New Roman"/>
          <w:b/>
          <w:bCs/>
          <w:sz w:val="24"/>
          <w:szCs w:val="24"/>
        </w:rPr>
      </w:pPr>
      <w:bookmarkStart w:id="6" w:name="_Toc15396599"/>
      <w:bookmarkStart w:id="7" w:name="_Toc15377196"/>
      <w:r>
        <w:rPr>
          <w:rFonts w:ascii="Times New Roman" w:hAnsi="Times New Roman"/>
          <w:b/>
          <w:bCs/>
          <w:sz w:val="24"/>
        </w:rPr>
        <w:t>第一部分</w:t>
      </w:r>
      <w:r>
        <w:rPr>
          <w:rFonts w:hint="eastAsia" w:ascii="Times New Roman" w:hAnsi="Times New Roman"/>
          <w:b/>
          <w:bCs/>
          <w:sz w:val="24"/>
        </w:rPr>
        <w:t>部门</w:t>
      </w:r>
      <w:r>
        <w:rPr>
          <w:rFonts w:ascii="Times New Roman" w:hAnsi="Times New Roman"/>
          <w:b/>
          <w:bCs/>
          <w:sz w:val="24"/>
        </w:rPr>
        <w:t>概况</w:t>
      </w:r>
      <w:r>
        <w:rPr>
          <w:rFonts w:ascii="Times New Roman" w:hAnsi="Times New Roman"/>
          <w:b/>
          <w:bCs/>
          <w:sz w:val="24"/>
        </w:rPr>
        <w:tab/>
      </w:r>
      <w:r>
        <w:rPr>
          <w:rFonts w:hint="eastAsia" w:ascii="Times New Roman" w:hAnsi="Times New Roman"/>
          <w:b/>
          <w:bCs/>
          <w:sz w:val="24"/>
        </w:rPr>
        <w:t>3</w:t>
      </w:r>
    </w:p>
    <w:p w14:paraId="7AF17003">
      <w:pPr>
        <w:pStyle w:val="16"/>
        <w:adjustRightInd w:val="0"/>
        <w:snapToGrid w:val="0"/>
        <w:spacing w:line="440" w:lineRule="exact"/>
        <w:ind w:firstLine="480"/>
        <w:jc w:val="left"/>
        <w:rPr>
          <w:sz w:val="24"/>
        </w:rPr>
      </w:pPr>
      <w:r>
        <w:rPr>
          <w:sz w:val="24"/>
        </w:rPr>
        <w:t>一、</w:t>
      </w:r>
      <w:r>
        <w:rPr>
          <w:rFonts w:hint="eastAsia"/>
          <w:sz w:val="24"/>
        </w:rPr>
        <w:t>部门</w:t>
      </w:r>
      <w:r>
        <w:rPr>
          <w:sz w:val="24"/>
        </w:rPr>
        <w:t>职责</w:t>
      </w:r>
      <w:r>
        <w:rPr>
          <w:sz w:val="24"/>
        </w:rPr>
        <w:tab/>
      </w:r>
      <w:r>
        <w:rPr>
          <w:rFonts w:hint="eastAsia"/>
          <w:sz w:val="24"/>
        </w:rPr>
        <w:t>3</w:t>
      </w:r>
    </w:p>
    <w:p w14:paraId="1B631967">
      <w:pPr>
        <w:pStyle w:val="16"/>
        <w:adjustRightInd w:val="0"/>
        <w:snapToGrid w:val="0"/>
        <w:spacing w:line="440" w:lineRule="exact"/>
        <w:ind w:firstLine="480"/>
        <w:jc w:val="left"/>
      </w:pPr>
      <w:r>
        <w:rPr>
          <w:sz w:val="24"/>
        </w:rPr>
        <w:t>二、机构设置</w:t>
      </w:r>
      <w:r>
        <w:rPr>
          <w:sz w:val="24"/>
        </w:rPr>
        <w:tab/>
      </w:r>
      <w:r>
        <w:rPr>
          <w:rFonts w:hint="eastAsia"/>
          <w:sz w:val="24"/>
        </w:rPr>
        <w:t>4</w:t>
      </w:r>
    </w:p>
    <w:p w14:paraId="43D25710">
      <w:pPr>
        <w:pStyle w:val="13"/>
        <w:adjustRightInd w:val="0"/>
        <w:snapToGrid w:val="0"/>
        <w:spacing w:before="0" w:line="440" w:lineRule="exact"/>
        <w:jc w:val="left"/>
        <w:rPr>
          <w:rFonts w:ascii="Times New Roman" w:hAnsi="Times New Roman"/>
          <w:b/>
          <w:bCs/>
          <w:sz w:val="24"/>
          <w:szCs w:val="24"/>
        </w:rPr>
      </w:pPr>
      <w:r>
        <w:rPr>
          <w:rFonts w:ascii="Times New Roman" w:hAnsi="Times New Roman"/>
          <w:b/>
          <w:bCs/>
          <w:sz w:val="24"/>
        </w:rPr>
        <w:t>第二部分 202</w:t>
      </w:r>
      <w:r>
        <w:rPr>
          <w:rFonts w:hint="eastAsia" w:ascii="Times New Roman" w:hAnsi="Times New Roman"/>
          <w:b/>
          <w:bCs/>
          <w:sz w:val="24"/>
        </w:rPr>
        <w:t>4</w:t>
      </w:r>
      <w:r>
        <w:rPr>
          <w:rFonts w:ascii="Times New Roman" w:hAnsi="Times New Roman"/>
          <w:b/>
          <w:bCs/>
          <w:sz w:val="24"/>
        </w:rPr>
        <w:t>年度单位决算情况说明</w:t>
      </w:r>
      <w:r>
        <w:rPr>
          <w:rFonts w:ascii="Times New Roman" w:hAnsi="Times New Roman"/>
          <w:b/>
          <w:bCs/>
          <w:sz w:val="24"/>
        </w:rPr>
        <w:tab/>
      </w:r>
      <w:r>
        <w:rPr>
          <w:rFonts w:hint="eastAsia" w:ascii="Times New Roman" w:hAnsi="Times New Roman"/>
          <w:b/>
          <w:bCs/>
          <w:sz w:val="24"/>
        </w:rPr>
        <w:t>5</w:t>
      </w:r>
    </w:p>
    <w:p w14:paraId="7762E810">
      <w:pPr>
        <w:pStyle w:val="16"/>
        <w:adjustRightInd w:val="0"/>
        <w:snapToGrid w:val="0"/>
        <w:spacing w:line="440" w:lineRule="exact"/>
        <w:ind w:firstLine="480"/>
        <w:jc w:val="left"/>
        <w:rPr>
          <w:sz w:val="24"/>
        </w:rPr>
      </w:pPr>
      <w:r>
        <w:rPr>
          <w:sz w:val="24"/>
        </w:rPr>
        <w:t>一、收入支出决算总体情况说明</w:t>
      </w:r>
      <w:r>
        <w:rPr>
          <w:sz w:val="24"/>
        </w:rPr>
        <w:tab/>
      </w:r>
      <w:r>
        <w:rPr>
          <w:rFonts w:hint="eastAsia"/>
          <w:sz w:val="24"/>
        </w:rPr>
        <w:t>5</w:t>
      </w:r>
    </w:p>
    <w:p w14:paraId="286D9331">
      <w:pPr>
        <w:pStyle w:val="16"/>
        <w:adjustRightInd w:val="0"/>
        <w:snapToGrid w:val="0"/>
        <w:spacing w:line="440" w:lineRule="exact"/>
        <w:ind w:firstLine="480"/>
        <w:jc w:val="left"/>
        <w:rPr>
          <w:sz w:val="24"/>
        </w:rPr>
      </w:pPr>
      <w:r>
        <w:rPr>
          <w:sz w:val="24"/>
        </w:rPr>
        <w:t>二、收入决算情况说明</w:t>
      </w:r>
      <w:r>
        <w:rPr>
          <w:sz w:val="24"/>
        </w:rPr>
        <w:tab/>
      </w:r>
      <w:r>
        <w:rPr>
          <w:rFonts w:hint="eastAsia"/>
          <w:sz w:val="24"/>
        </w:rPr>
        <w:t>5</w:t>
      </w:r>
    </w:p>
    <w:p w14:paraId="0EB48F80">
      <w:pPr>
        <w:pStyle w:val="16"/>
        <w:adjustRightInd w:val="0"/>
        <w:snapToGrid w:val="0"/>
        <w:spacing w:line="440" w:lineRule="exact"/>
        <w:ind w:firstLine="480"/>
        <w:jc w:val="left"/>
        <w:rPr>
          <w:sz w:val="24"/>
        </w:rPr>
      </w:pPr>
      <w:r>
        <w:rPr>
          <w:sz w:val="24"/>
        </w:rPr>
        <w:t>三、支出决算情况说明</w:t>
      </w:r>
      <w:r>
        <w:rPr>
          <w:sz w:val="24"/>
        </w:rPr>
        <w:tab/>
      </w:r>
      <w:r>
        <w:rPr>
          <w:rFonts w:hint="eastAsia"/>
          <w:sz w:val="24"/>
        </w:rPr>
        <w:t>6</w:t>
      </w:r>
    </w:p>
    <w:p w14:paraId="3FF1ED07">
      <w:pPr>
        <w:pStyle w:val="16"/>
        <w:adjustRightInd w:val="0"/>
        <w:snapToGrid w:val="0"/>
        <w:spacing w:line="440" w:lineRule="exact"/>
        <w:ind w:firstLine="480"/>
        <w:jc w:val="left"/>
        <w:rPr>
          <w:sz w:val="24"/>
        </w:rPr>
      </w:pPr>
      <w:r>
        <w:rPr>
          <w:sz w:val="24"/>
        </w:rPr>
        <w:t>四、财政拨款收入支出决算总体情况说明</w:t>
      </w:r>
      <w:r>
        <w:rPr>
          <w:sz w:val="24"/>
        </w:rPr>
        <w:tab/>
      </w:r>
      <w:r>
        <w:rPr>
          <w:rFonts w:hint="eastAsia"/>
          <w:sz w:val="24"/>
        </w:rPr>
        <w:t>7</w:t>
      </w:r>
    </w:p>
    <w:p w14:paraId="3F1F02FB">
      <w:pPr>
        <w:pStyle w:val="16"/>
        <w:adjustRightInd w:val="0"/>
        <w:snapToGrid w:val="0"/>
        <w:spacing w:line="440" w:lineRule="exact"/>
        <w:ind w:firstLine="480"/>
        <w:jc w:val="left"/>
        <w:rPr>
          <w:sz w:val="24"/>
        </w:rPr>
      </w:pPr>
      <w:r>
        <w:rPr>
          <w:sz w:val="24"/>
        </w:rPr>
        <w:t>五、一般公共预算财政拨款支出决算情况说明</w:t>
      </w:r>
      <w:r>
        <w:rPr>
          <w:sz w:val="24"/>
        </w:rPr>
        <w:tab/>
      </w:r>
      <w:r>
        <w:rPr>
          <w:rFonts w:hint="eastAsia"/>
          <w:sz w:val="24"/>
        </w:rPr>
        <w:t>7</w:t>
      </w:r>
    </w:p>
    <w:p w14:paraId="23C21E11">
      <w:pPr>
        <w:pStyle w:val="16"/>
        <w:adjustRightInd w:val="0"/>
        <w:snapToGrid w:val="0"/>
        <w:spacing w:line="440" w:lineRule="exact"/>
        <w:ind w:firstLine="480"/>
        <w:jc w:val="left"/>
        <w:rPr>
          <w:rFonts w:hint="eastAsia"/>
          <w:sz w:val="24"/>
        </w:rPr>
      </w:pPr>
      <w:r>
        <w:rPr>
          <w:sz w:val="24"/>
        </w:rPr>
        <w:t>六、一般公共预算财政拨款基本支出决算情况说明</w:t>
      </w:r>
      <w:r>
        <w:rPr>
          <w:sz w:val="24"/>
        </w:rPr>
        <w:tab/>
      </w:r>
      <w:r>
        <w:rPr>
          <w:rFonts w:hint="eastAsia"/>
          <w:sz w:val="24"/>
        </w:rPr>
        <w:t>11</w:t>
      </w:r>
    </w:p>
    <w:p w14:paraId="69084592">
      <w:pPr>
        <w:pStyle w:val="16"/>
        <w:adjustRightInd w:val="0"/>
        <w:snapToGrid w:val="0"/>
        <w:spacing w:line="440" w:lineRule="exact"/>
        <w:ind w:firstLine="480"/>
        <w:jc w:val="left"/>
        <w:rPr>
          <w:sz w:val="24"/>
        </w:rPr>
      </w:pPr>
      <w:r>
        <w:rPr>
          <w:sz w:val="24"/>
        </w:rPr>
        <w:t>七、财政拨款“三公”经费支出决算情况说明</w:t>
      </w:r>
      <w:r>
        <w:rPr>
          <w:sz w:val="24"/>
        </w:rPr>
        <w:tab/>
      </w:r>
      <w:r>
        <w:rPr>
          <w:rFonts w:hint="eastAsia"/>
          <w:sz w:val="24"/>
        </w:rPr>
        <w:t>11</w:t>
      </w:r>
    </w:p>
    <w:p w14:paraId="7D61D23E">
      <w:pPr>
        <w:pStyle w:val="16"/>
        <w:adjustRightInd w:val="0"/>
        <w:snapToGrid w:val="0"/>
        <w:spacing w:line="440" w:lineRule="exact"/>
        <w:ind w:firstLine="480"/>
        <w:jc w:val="left"/>
        <w:rPr>
          <w:sz w:val="24"/>
        </w:rPr>
      </w:pPr>
      <w:r>
        <w:rPr>
          <w:sz w:val="24"/>
        </w:rPr>
        <w:t>八、政府性基金预算支出决算情况说明</w:t>
      </w:r>
      <w:r>
        <w:rPr>
          <w:sz w:val="24"/>
        </w:rPr>
        <w:tab/>
      </w:r>
      <w:r>
        <w:rPr>
          <w:rFonts w:hint="eastAsia"/>
          <w:sz w:val="24"/>
        </w:rPr>
        <w:t>13</w:t>
      </w:r>
    </w:p>
    <w:p w14:paraId="2CCB9D6B">
      <w:pPr>
        <w:pStyle w:val="16"/>
        <w:adjustRightInd w:val="0"/>
        <w:snapToGrid w:val="0"/>
        <w:spacing w:line="440" w:lineRule="exact"/>
        <w:ind w:firstLine="480"/>
        <w:jc w:val="left"/>
        <w:rPr>
          <w:sz w:val="24"/>
        </w:rPr>
      </w:pPr>
      <w:r>
        <w:rPr>
          <w:sz w:val="24"/>
        </w:rPr>
        <w:t>九、国有资本经营预算支出决算情况说明</w:t>
      </w:r>
      <w:r>
        <w:rPr>
          <w:sz w:val="24"/>
        </w:rPr>
        <w:tab/>
      </w:r>
      <w:r>
        <w:rPr>
          <w:rFonts w:hint="eastAsia"/>
          <w:sz w:val="24"/>
        </w:rPr>
        <w:t>14</w:t>
      </w:r>
    </w:p>
    <w:p w14:paraId="1A62E651">
      <w:pPr>
        <w:pStyle w:val="16"/>
        <w:adjustRightInd w:val="0"/>
        <w:snapToGrid w:val="0"/>
        <w:spacing w:line="440" w:lineRule="exact"/>
        <w:ind w:firstLine="480"/>
        <w:jc w:val="left"/>
        <w:rPr>
          <w:sz w:val="24"/>
        </w:rPr>
      </w:pPr>
      <w:r>
        <w:rPr>
          <w:sz w:val="24"/>
        </w:rPr>
        <w:t>十、其他重要事项的情况说明</w:t>
      </w:r>
      <w:r>
        <w:rPr>
          <w:sz w:val="24"/>
        </w:rPr>
        <w:tab/>
      </w:r>
      <w:r>
        <w:rPr>
          <w:rFonts w:hint="eastAsia"/>
          <w:sz w:val="24"/>
        </w:rPr>
        <w:t>14</w:t>
      </w:r>
    </w:p>
    <w:p w14:paraId="5F2A8019">
      <w:pPr>
        <w:pStyle w:val="13"/>
        <w:adjustRightInd w:val="0"/>
        <w:snapToGrid w:val="0"/>
        <w:spacing w:before="0" w:line="440" w:lineRule="exact"/>
        <w:jc w:val="left"/>
        <w:rPr>
          <w:rFonts w:ascii="Times New Roman" w:hAnsi="Times New Roman"/>
          <w:b/>
          <w:bCs/>
          <w:sz w:val="24"/>
          <w:szCs w:val="24"/>
        </w:rPr>
      </w:pPr>
      <w:r>
        <w:rPr>
          <w:rFonts w:ascii="Times New Roman" w:hAnsi="Times New Roman"/>
          <w:b/>
          <w:bCs/>
          <w:sz w:val="24"/>
        </w:rPr>
        <w:t>第三部分名词解释</w:t>
      </w:r>
      <w:r>
        <w:rPr>
          <w:rFonts w:ascii="Times New Roman" w:hAnsi="Times New Roman"/>
          <w:b/>
          <w:bCs/>
          <w:sz w:val="24"/>
        </w:rPr>
        <w:tab/>
      </w:r>
      <w:r>
        <w:rPr>
          <w:rFonts w:ascii="Times New Roman" w:hAnsi="Times New Roman"/>
          <w:b/>
          <w:bCs/>
          <w:sz w:val="24"/>
        </w:rPr>
        <w:t>1</w:t>
      </w:r>
      <w:r>
        <w:rPr>
          <w:rFonts w:hint="eastAsia" w:ascii="Times New Roman" w:hAnsi="Times New Roman"/>
          <w:b/>
          <w:bCs/>
          <w:sz w:val="24"/>
        </w:rPr>
        <w:t>6</w:t>
      </w:r>
    </w:p>
    <w:p w14:paraId="7C8134A4">
      <w:pPr>
        <w:pStyle w:val="13"/>
        <w:adjustRightInd w:val="0"/>
        <w:snapToGrid w:val="0"/>
        <w:spacing w:before="0" w:line="440" w:lineRule="exact"/>
        <w:jc w:val="left"/>
        <w:rPr>
          <w:rFonts w:hint="eastAsia" w:ascii="Times New Roman" w:hAnsi="Times New Roman"/>
          <w:b/>
          <w:bCs/>
          <w:sz w:val="24"/>
          <w:szCs w:val="24"/>
        </w:rPr>
      </w:pPr>
      <w:r>
        <w:rPr>
          <w:rFonts w:ascii="Times New Roman" w:hAnsi="Times New Roman"/>
          <w:b/>
          <w:bCs/>
          <w:sz w:val="24"/>
        </w:rPr>
        <w:t>第四部分附件</w:t>
      </w:r>
      <w:r>
        <w:rPr>
          <w:rFonts w:ascii="Times New Roman" w:hAnsi="Times New Roman"/>
          <w:b/>
          <w:bCs/>
          <w:sz w:val="24"/>
        </w:rPr>
        <w:tab/>
      </w:r>
      <w:r>
        <w:rPr>
          <w:rFonts w:hint="eastAsia" w:ascii="Times New Roman" w:hAnsi="Times New Roman"/>
          <w:b/>
          <w:bCs/>
          <w:sz w:val="24"/>
        </w:rPr>
        <w:t>20</w:t>
      </w:r>
    </w:p>
    <w:p w14:paraId="03CD778F">
      <w:pPr>
        <w:pStyle w:val="13"/>
        <w:adjustRightInd w:val="0"/>
        <w:snapToGrid w:val="0"/>
        <w:spacing w:before="0" w:line="440" w:lineRule="exact"/>
        <w:jc w:val="left"/>
        <w:rPr>
          <w:rFonts w:hint="eastAsia" w:ascii="Times New Roman" w:hAnsi="Times New Roman"/>
          <w:b/>
          <w:bCs/>
          <w:sz w:val="24"/>
          <w:szCs w:val="24"/>
        </w:rPr>
      </w:pPr>
      <w:r>
        <w:rPr>
          <w:rFonts w:ascii="Times New Roman" w:hAnsi="Times New Roman"/>
          <w:b/>
          <w:bCs/>
          <w:sz w:val="24"/>
        </w:rPr>
        <w:t>第五部分附表</w:t>
      </w:r>
      <w:r>
        <w:rPr>
          <w:rFonts w:ascii="Times New Roman" w:hAnsi="Times New Roman"/>
          <w:b/>
          <w:bCs/>
          <w:sz w:val="24"/>
        </w:rPr>
        <w:tab/>
      </w:r>
      <w:r>
        <w:rPr>
          <w:rFonts w:hint="eastAsia" w:ascii="Times New Roman" w:hAnsi="Times New Roman"/>
          <w:b/>
          <w:bCs/>
          <w:sz w:val="24"/>
        </w:rPr>
        <w:t>34</w:t>
      </w:r>
    </w:p>
    <w:p w14:paraId="7C7065B6">
      <w:pPr>
        <w:pStyle w:val="16"/>
        <w:adjustRightInd w:val="0"/>
        <w:snapToGrid w:val="0"/>
        <w:spacing w:line="440" w:lineRule="exact"/>
        <w:ind w:firstLine="480"/>
        <w:jc w:val="left"/>
        <w:rPr>
          <w:sz w:val="24"/>
        </w:rPr>
      </w:pPr>
      <w:r>
        <w:rPr>
          <w:sz w:val="24"/>
        </w:rPr>
        <w:t>一、收入支出决算总表</w:t>
      </w:r>
      <w:r>
        <w:rPr>
          <w:sz w:val="24"/>
        </w:rPr>
        <w:tab/>
      </w:r>
      <w:r>
        <w:rPr>
          <w:rFonts w:hint="eastAsia"/>
          <w:b/>
          <w:bCs/>
          <w:sz w:val="24"/>
        </w:rPr>
        <w:t>34</w:t>
      </w:r>
    </w:p>
    <w:p w14:paraId="7EFB033B">
      <w:pPr>
        <w:pStyle w:val="16"/>
        <w:adjustRightInd w:val="0"/>
        <w:snapToGrid w:val="0"/>
        <w:spacing w:line="440" w:lineRule="exact"/>
        <w:ind w:firstLine="480"/>
        <w:jc w:val="left"/>
        <w:rPr>
          <w:sz w:val="24"/>
        </w:rPr>
      </w:pPr>
      <w:r>
        <w:rPr>
          <w:sz w:val="24"/>
        </w:rPr>
        <w:t>二、收入决算表</w:t>
      </w:r>
      <w:r>
        <w:rPr>
          <w:sz w:val="24"/>
        </w:rPr>
        <w:tab/>
      </w:r>
      <w:r>
        <w:rPr>
          <w:rFonts w:hint="eastAsia"/>
          <w:b/>
          <w:bCs/>
          <w:sz w:val="24"/>
        </w:rPr>
        <w:t>34</w:t>
      </w:r>
    </w:p>
    <w:p w14:paraId="7EB7E20B">
      <w:pPr>
        <w:pStyle w:val="16"/>
        <w:adjustRightInd w:val="0"/>
        <w:snapToGrid w:val="0"/>
        <w:spacing w:line="440" w:lineRule="exact"/>
        <w:ind w:firstLine="480"/>
        <w:jc w:val="left"/>
        <w:rPr>
          <w:sz w:val="24"/>
        </w:rPr>
      </w:pPr>
      <w:r>
        <w:rPr>
          <w:sz w:val="24"/>
        </w:rPr>
        <w:t>三、支出决算表</w:t>
      </w:r>
      <w:r>
        <w:rPr>
          <w:sz w:val="24"/>
        </w:rPr>
        <w:tab/>
      </w:r>
      <w:r>
        <w:rPr>
          <w:rFonts w:hint="eastAsia"/>
          <w:b/>
          <w:bCs/>
          <w:sz w:val="24"/>
        </w:rPr>
        <w:t>34</w:t>
      </w:r>
    </w:p>
    <w:p w14:paraId="6F67CAB0">
      <w:pPr>
        <w:pStyle w:val="16"/>
        <w:adjustRightInd w:val="0"/>
        <w:snapToGrid w:val="0"/>
        <w:spacing w:line="440" w:lineRule="exact"/>
        <w:ind w:firstLine="480"/>
        <w:jc w:val="left"/>
        <w:rPr>
          <w:sz w:val="24"/>
        </w:rPr>
      </w:pPr>
      <w:r>
        <w:rPr>
          <w:sz w:val="24"/>
        </w:rPr>
        <w:t>四、财政拨款收入支出决算总表</w:t>
      </w:r>
      <w:r>
        <w:rPr>
          <w:sz w:val="24"/>
        </w:rPr>
        <w:tab/>
      </w:r>
      <w:r>
        <w:rPr>
          <w:rFonts w:hint="eastAsia"/>
          <w:b/>
          <w:bCs/>
          <w:sz w:val="24"/>
        </w:rPr>
        <w:t>34</w:t>
      </w:r>
    </w:p>
    <w:p w14:paraId="7BD7A42A">
      <w:pPr>
        <w:pStyle w:val="16"/>
        <w:adjustRightInd w:val="0"/>
        <w:snapToGrid w:val="0"/>
        <w:spacing w:line="440" w:lineRule="exact"/>
        <w:ind w:firstLine="480"/>
        <w:jc w:val="left"/>
        <w:rPr>
          <w:sz w:val="24"/>
        </w:rPr>
      </w:pPr>
      <w:r>
        <w:rPr>
          <w:sz w:val="24"/>
        </w:rPr>
        <w:t>五、财政拨款支出决算明细表</w:t>
      </w:r>
      <w:r>
        <w:rPr>
          <w:sz w:val="24"/>
        </w:rPr>
        <w:tab/>
      </w:r>
      <w:r>
        <w:rPr>
          <w:rFonts w:hint="eastAsia"/>
          <w:b/>
          <w:bCs/>
          <w:sz w:val="24"/>
        </w:rPr>
        <w:t>34</w:t>
      </w:r>
    </w:p>
    <w:p w14:paraId="1AC1E48F">
      <w:pPr>
        <w:pStyle w:val="16"/>
        <w:adjustRightInd w:val="0"/>
        <w:snapToGrid w:val="0"/>
        <w:spacing w:line="440" w:lineRule="exact"/>
        <w:ind w:firstLine="480"/>
        <w:jc w:val="left"/>
        <w:rPr>
          <w:sz w:val="24"/>
        </w:rPr>
      </w:pPr>
      <w:r>
        <w:rPr>
          <w:sz w:val="24"/>
        </w:rPr>
        <w:t>六、一般公共预算财政拨款支出决算表</w:t>
      </w:r>
      <w:r>
        <w:rPr>
          <w:sz w:val="24"/>
        </w:rPr>
        <w:tab/>
      </w:r>
      <w:r>
        <w:rPr>
          <w:rFonts w:hint="eastAsia"/>
          <w:b/>
          <w:bCs/>
          <w:sz w:val="24"/>
        </w:rPr>
        <w:t>34</w:t>
      </w:r>
    </w:p>
    <w:p w14:paraId="1B69FAD3">
      <w:pPr>
        <w:pStyle w:val="16"/>
        <w:adjustRightInd w:val="0"/>
        <w:snapToGrid w:val="0"/>
        <w:spacing w:line="440" w:lineRule="exact"/>
        <w:ind w:firstLine="480"/>
        <w:jc w:val="left"/>
        <w:rPr>
          <w:sz w:val="24"/>
        </w:rPr>
      </w:pPr>
      <w:r>
        <w:rPr>
          <w:sz w:val="24"/>
        </w:rPr>
        <w:t>七、一般公共预算财政拨款支出决算明细表</w:t>
      </w:r>
      <w:r>
        <w:rPr>
          <w:sz w:val="24"/>
        </w:rPr>
        <w:tab/>
      </w:r>
      <w:r>
        <w:rPr>
          <w:rFonts w:hint="eastAsia"/>
          <w:b/>
          <w:bCs/>
          <w:sz w:val="24"/>
        </w:rPr>
        <w:t>34</w:t>
      </w:r>
    </w:p>
    <w:p w14:paraId="4BC81EF5">
      <w:pPr>
        <w:pStyle w:val="16"/>
        <w:adjustRightInd w:val="0"/>
        <w:snapToGrid w:val="0"/>
        <w:spacing w:line="440" w:lineRule="exact"/>
        <w:ind w:firstLine="480"/>
        <w:jc w:val="left"/>
        <w:rPr>
          <w:sz w:val="24"/>
        </w:rPr>
      </w:pPr>
      <w:r>
        <w:rPr>
          <w:sz w:val="24"/>
        </w:rPr>
        <w:t>八、一般公共预算财政拨款基本支出决算明细表</w:t>
      </w:r>
      <w:r>
        <w:rPr>
          <w:sz w:val="24"/>
        </w:rPr>
        <w:tab/>
      </w:r>
      <w:r>
        <w:rPr>
          <w:rFonts w:hint="eastAsia"/>
          <w:b/>
          <w:bCs/>
          <w:sz w:val="24"/>
        </w:rPr>
        <w:t>34</w:t>
      </w:r>
    </w:p>
    <w:p w14:paraId="57588095">
      <w:pPr>
        <w:pStyle w:val="16"/>
        <w:adjustRightInd w:val="0"/>
        <w:snapToGrid w:val="0"/>
        <w:spacing w:line="440" w:lineRule="exact"/>
        <w:ind w:firstLine="480"/>
        <w:jc w:val="left"/>
        <w:rPr>
          <w:sz w:val="24"/>
        </w:rPr>
      </w:pPr>
      <w:r>
        <w:rPr>
          <w:sz w:val="24"/>
        </w:rPr>
        <w:t>九、一般公共预算财政拨款项目支出决算表</w:t>
      </w:r>
      <w:r>
        <w:rPr>
          <w:sz w:val="24"/>
        </w:rPr>
        <w:tab/>
      </w:r>
      <w:r>
        <w:rPr>
          <w:rFonts w:hint="eastAsia"/>
          <w:b/>
          <w:bCs/>
          <w:sz w:val="24"/>
        </w:rPr>
        <w:t>34</w:t>
      </w:r>
    </w:p>
    <w:p w14:paraId="7949BD53">
      <w:pPr>
        <w:pStyle w:val="16"/>
        <w:adjustRightInd w:val="0"/>
        <w:snapToGrid w:val="0"/>
        <w:spacing w:line="440" w:lineRule="exact"/>
        <w:ind w:firstLine="480"/>
        <w:jc w:val="left"/>
        <w:rPr>
          <w:sz w:val="24"/>
        </w:rPr>
      </w:pPr>
      <w:r>
        <w:rPr>
          <w:sz w:val="24"/>
        </w:rPr>
        <w:t>十、政府性基金预算财政拨款收入支出决算表</w:t>
      </w:r>
      <w:r>
        <w:rPr>
          <w:sz w:val="24"/>
        </w:rPr>
        <w:tab/>
      </w:r>
      <w:r>
        <w:rPr>
          <w:rFonts w:hint="eastAsia"/>
          <w:b/>
          <w:bCs/>
          <w:sz w:val="24"/>
        </w:rPr>
        <w:t>34</w:t>
      </w:r>
    </w:p>
    <w:p w14:paraId="1CF11A42">
      <w:pPr>
        <w:pStyle w:val="16"/>
        <w:adjustRightInd w:val="0"/>
        <w:snapToGrid w:val="0"/>
        <w:spacing w:line="440" w:lineRule="exact"/>
        <w:ind w:firstLine="480"/>
        <w:jc w:val="left"/>
        <w:rPr>
          <w:sz w:val="24"/>
        </w:rPr>
      </w:pPr>
      <w:r>
        <w:rPr>
          <w:sz w:val="24"/>
        </w:rPr>
        <w:t>十一、国有资本经营预算财政拨款收入支出决算表</w:t>
      </w:r>
      <w:r>
        <w:rPr>
          <w:sz w:val="24"/>
        </w:rPr>
        <w:tab/>
      </w:r>
      <w:r>
        <w:rPr>
          <w:rFonts w:hint="eastAsia"/>
          <w:b/>
          <w:bCs/>
          <w:sz w:val="24"/>
        </w:rPr>
        <w:t>34</w:t>
      </w:r>
    </w:p>
    <w:p w14:paraId="68890840">
      <w:pPr>
        <w:pStyle w:val="16"/>
        <w:adjustRightInd w:val="0"/>
        <w:snapToGrid w:val="0"/>
        <w:spacing w:line="440" w:lineRule="exact"/>
        <w:ind w:firstLine="480"/>
        <w:jc w:val="left"/>
        <w:rPr>
          <w:sz w:val="24"/>
        </w:rPr>
      </w:pPr>
      <w:r>
        <w:rPr>
          <w:sz w:val="24"/>
        </w:rPr>
        <w:t>十二、国有资本经营预算财政拨款支出决算表</w:t>
      </w:r>
      <w:r>
        <w:rPr>
          <w:sz w:val="24"/>
        </w:rPr>
        <w:tab/>
      </w:r>
      <w:r>
        <w:rPr>
          <w:rFonts w:hint="eastAsia"/>
          <w:b/>
          <w:bCs/>
          <w:sz w:val="24"/>
        </w:rPr>
        <w:t>34</w:t>
      </w:r>
    </w:p>
    <w:p w14:paraId="6C0E7AE1">
      <w:pPr>
        <w:pStyle w:val="16"/>
        <w:adjustRightInd w:val="0"/>
        <w:snapToGrid w:val="0"/>
        <w:spacing w:line="440" w:lineRule="exact"/>
        <w:ind w:firstLine="480"/>
        <w:jc w:val="left"/>
        <w:rPr>
          <w:sz w:val="24"/>
        </w:rPr>
      </w:pPr>
      <w:r>
        <w:rPr>
          <w:sz w:val="24"/>
        </w:rPr>
        <w:t>十三、财政拨款“三公”经费支出决算表</w:t>
      </w:r>
      <w:r>
        <w:rPr>
          <w:sz w:val="24"/>
        </w:rPr>
        <w:tab/>
      </w:r>
      <w:r>
        <w:rPr>
          <w:rFonts w:hint="eastAsia"/>
          <w:b/>
          <w:bCs/>
          <w:sz w:val="24"/>
        </w:rPr>
        <w:t>34</w:t>
      </w:r>
    </w:p>
    <w:p w14:paraId="028CFEB5">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p>
    <w:p w14:paraId="761407B2">
      <w:pPr>
        <w:pStyle w:val="3"/>
        <w:jc w:val="center"/>
        <w:rPr>
          <w:rStyle w:val="29"/>
          <w:rFonts w:eastAsia="方正小标宋简体" w:cs="方正小标宋简体"/>
          <w:b/>
          <w:bCs w:val="0"/>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6"/>
      <w:bookmarkEnd w:id="7"/>
    </w:p>
    <w:p w14:paraId="79781C5E">
      <w:pPr>
        <w:pStyle w:val="4"/>
        <w:numPr>
          <w:ilvl w:val="0"/>
          <w:numId w:val="1"/>
        </w:numPr>
        <w:ind w:left="0" w:firstLine="0"/>
        <w:rPr>
          <w:rFonts w:ascii="Times New Roman" w:hAnsi="Times New Roman" w:eastAsia="黑体"/>
          <w:b w:val="0"/>
        </w:rPr>
      </w:pPr>
      <w:r>
        <w:rPr>
          <w:rFonts w:hint="eastAsia" w:ascii="Times New Roman" w:hAnsi="Times New Roman" w:eastAsia="黑体"/>
          <w:b w:val="0"/>
        </w:rPr>
        <w:t>部门职责</w:t>
      </w:r>
    </w:p>
    <w:p w14:paraId="0FE537DD">
      <w:pPr>
        <w:spacing w:line="48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负责处理区内外群众给中央、省、市、区领导的来信，接待群众来访，保证信访渠道畅通，及时准确地向区委、区政府领导反映来信中提出的重要建议、意见和问题；综合分析信访信息，开展调查研究，提出有关政策的建议。二是承办区委、区政府领导同志交办的信访事项，督查领导同志有关信访批示的落实情况，向各乡镇（街办）和部门交办信访事项，督查重要事项的处理和落实。三是协调处理跨乡镇（街办）、部门的重要信访问题，协调处理群众到区委、区政府的集体上访；检查、指导、协调区级各部门信访工作和各乡镇（街办）党政机关的信访工作。四是研究、草拟有关信访工作的规范性文件；总结推广各乡镇（街办）、各部门信访工作经验，提出改进和加强信访工作的意见和建议；通报重大信访问题和信访事件。五是了解掌握全区信访工作队伍建设情况，组织信访干部业务培训，指导各乡镇（街办）、部门信访业务工作。六是负责全区信访工作目标管理的考核评比，向区委、区政府提出对在信访工作中做出成绩的单位和个人给予表彰的建议。七是负责全区信访信息的编辑和报送、做好信访交流、联络工作。八是承担区信访工作领导小组的日常事务工作。九是承担区委、区政府领导及中央、省、市信访部门批办、交办的其他事项。十是负责重大事项的报告，信息的搜集和整理工作。</w:t>
      </w:r>
    </w:p>
    <w:p w14:paraId="679CDA8C"/>
    <w:p w14:paraId="07790EB8">
      <w:pPr>
        <w:pStyle w:val="4"/>
        <w:rPr>
          <w:rStyle w:val="30"/>
          <w:rFonts w:ascii="Times New Roman" w:hAnsi="Times New Roman"/>
          <w:b w:val="0"/>
          <w:bCs w:val="0"/>
        </w:rPr>
      </w:pPr>
      <w:bookmarkStart w:id="8" w:name="_Toc15396601"/>
      <w:bookmarkStart w:id="9" w:name="_Toc15377200"/>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8"/>
      <w:bookmarkEnd w:id="9"/>
    </w:p>
    <w:p w14:paraId="4A3664DC">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攀枝花市仁和区信访局下设2个科室，下属二级预算单位0个，其中行政单位0个，参照公务员法管理的事业单位0个，其他事业单位0个。</w:t>
      </w:r>
    </w:p>
    <w:p w14:paraId="23C838B8">
      <w:pPr>
        <w:pStyle w:val="3"/>
        <w:jc w:val="center"/>
        <w:rPr>
          <w:rFonts w:eastAsia="方正小标宋简体" w:cs="方正小标宋简体"/>
          <w:b w:val="0"/>
        </w:rPr>
      </w:pPr>
      <w:bookmarkStart w:id="10" w:name="_Toc15377204"/>
      <w:bookmarkStart w:id="11" w:name="_Toc15396602"/>
    </w:p>
    <w:p w14:paraId="5334BACB">
      <w:pPr>
        <w:pStyle w:val="3"/>
        <w:jc w:val="center"/>
        <w:rPr>
          <w:rFonts w:eastAsia="方正小标宋简体" w:cs="方正小标宋简体"/>
          <w:b w:val="0"/>
        </w:rPr>
      </w:pPr>
    </w:p>
    <w:p w14:paraId="28EED052">
      <w:pPr>
        <w:pStyle w:val="3"/>
        <w:jc w:val="center"/>
        <w:rPr>
          <w:rFonts w:eastAsia="方正小标宋简体" w:cs="方正小标宋简体"/>
          <w:b w:val="0"/>
        </w:rPr>
      </w:pPr>
    </w:p>
    <w:p w14:paraId="6CBA93B5">
      <w:pPr>
        <w:pStyle w:val="3"/>
        <w:jc w:val="center"/>
        <w:rPr>
          <w:rFonts w:eastAsia="方正小标宋简体" w:cs="方正小标宋简体"/>
          <w:b w:val="0"/>
        </w:rPr>
      </w:pPr>
    </w:p>
    <w:p w14:paraId="4CC17041">
      <w:pPr>
        <w:pStyle w:val="3"/>
        <w:jc w:val="center"/>
        <w:rPr>
          <w:rFonts w:eastAsia="方正小标宋简体" w:cs="方正小标宋简体"/>
          <w:b w:val="0"/>
        </w:rPr>
      </w:pPr>
    </w:p>
    <w:p w14:paraId="33FC3DDD"/>
    <w:p w14:paraId="6EDE0F5D">
      <w:pPr>
        <w:pStyle w:val="14"/>
      </w:pPr>
    </w:p>
    <w:p w14:paraId="580058F2">
      <w:pPr>
        <w:pStyle w:val="3"/>
        <w:jc w:val="center"/>
        <w:rPr>
          <w:rFonts w:eastAsia="方正小标宋简体" w:cs="方正小标宋简体"/>
          <w:b w:val="0"/>
        </w:rPr>
      </w:pPr>
      <w:r>
        <w:rPr>
          <w:rFonts w:hint="eastAsia" w:eastAsia="方正小标宋简体" w:cs="方正小标宋简体"/>
          <w:b w:val="0"/>
        </w:rPr>
        <w:t>第二部分  2024年度部门决算情况说明</w:t>
      </w:r>
      <w:bookmarkEnd w:id="10"/>
      <w:bookmarkEnd w:id="11"/>
    </w:p>
    <w:p w14:paraId="206126FD"/>
    <w:p w14:paraId="4A21810A">
      <w:pPr>
        <w:pStyle w:val="28"/>
        <w:spacing w:line="600" w:lineRule="exact"/>
        <w:ind w:firstLine="640"/>
        <w:outlineLvl w:val="1"/>
        <w:rPr>
          <w:rStyle w:val="30"/>
          <w:rFonts w:eastAsia="黑体"/>
          <w:b w:val="0"/>
        </w:rPr>
      </w:pPr>
      <w:bookmarkStart w:id="12" w:name="_Toc15377205"/>
      <w:bookmarkStart w:id="13" w:name="_Toc15396603"/>
      <w:r>
        <w:rPr>
          <w:rFonts w:hint="eastAsia" w:eastAsia="黑体"/>
          <w:sz w:val="32"/>
          <w:szCs w:val="32"/>
        </w:rPr>
        <w:t>一、收</w:t>
      </w:r>
      <w:r>
        <w:rPr>
          <w:rStyle w:val="30"/>
          <w:rFonts w:hint="eastAsia" w:eastAsia="黑体"/>
        </w:rPr>
        <w:t>入支出决算总体情况说明</w:t>
      </w:r>
      <w:bookmarkEnd w:id="12"/>
      <w:bookmarkEnd w:id="13"/>
    </w:p>
    <w:p w14:paraId="02604144">
      <w:pPr>
        <w:pStyle w:val="28"/>
        <w:spacing w:line="600" w:lineRule="exact"/>
        <w:ind w:firstLine="640"/>
        <w:outlineLvl w:val="1"/>
        <w:rPr>
          <w:rFonts w:hint="eastAsia" w:ascii="仿宋" w:hAnsi="仿宋" w:eastAsia="仿宋" w:cs="仿宋"/>
          <w:sz w:val="32"/>
          <w:szCs w:val="32"/>
        </w:rPr>
      </w:pPr>
      <w:r>
        <w:rPr>
          <w:rFonts w:hint="eastAsia" w:eastAsia="仿宋_GB2312" w:cs="仿宋_GB2312"/>
          <w:sz w:val="32"/>
          <w:szCs w:val="32"/>
        </w:rPr>
        <w:t>2024年度收入、支出总计均</w:t>
      </w:r>
      <w:r>
        <w:rPr>
          <w:rFonts w:hint="eastAsia" w:ascii="仿宋" w:hAnsi="仿宋" w:eastAsia="仿宋" w:cs="仿宋"/>
          <w:sz w:val="32"/>
          <w:szCs w:val="32"/>
        </w:rPr>
        <w:t>为333.88万元。与2023年度相比，收入、支出总计各减少34.64万元，下降9.4%。主要变动原因是本年度项目收支减少。</w:t>
      </w:r>
    </w:p>
    <w:p w14:paraId="41B47F02">
      <w:pPr>
        <w:pStyle w:val="14"/>
        <w:jc w:val="center"/>
      </w:pPr>
      <w:r>
        <w:drawing>
          <wp:inline distT="0" distB="0" distL="114300" distR="114300">
            <wp:extent cx="4747895" cy="2577465"/>
            <wp:effectExtent l="4445" t="4445" r="10160" b="8890"/>
            <wp:docPr id="149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4793723">
      <w:pPr>
        <w:ind w:firstLine="640" w:firstLineChars="200"/>
        <w:rPr>
          <w:rFonts w:eastAsia="仿宋_GB2312" w:cs="仿宋_GB2312"/>
          <w:sz w:val="32"/>
          <w:szCs w:val="32"/>
        </w:rPr>
      </w:pPr>
      <w:r>
        <w:rPr>
          <w:rFonts w:hint="eastAsia" w:eastAsia="仿宋_GB2312" w:cs="仿宋_GB2312"/>
          <w:sz w:val="32"/>
          <w:szCs w:val="32"/>
        </w:rPr>
        <w:t>（图1：收入、支出决算总计变动情况图）（柱状图）</w:t>
      </w:r>
    </w:p>
    <w:p w14:paraId="79450829">
      <w:pPr>
        <w:pStyle w:val="28"/>
        <w:spacing w:line="600" w:lineRule="exact"/>
        <w:ind w:firstLine="640"/>
        <w:outlineLvl w:val="1"/>
        <w:rPr>
          <w:rFonts w:eastAsia="黑体"/>
          <w:sz w:val="32"/>
          <w:szCs w:val="32"/>
        </w:rPr>
      </w:pPr>
      <w:bookmarkStart w:id="14" w:name="_Toc15377206"/>
      <w:bookmarkStart w:id="15" w:name="_Toc15396604"/>
      <w:r>
        <w:rPr>
          <w:rFonts w:hint="eastAsia" w:eastAsia="黑体"/>
          <w:sz w:val="32"/>
          <w:szCs w:val="32"/>
        </w:rPr>
        <w:t>二、收入决算情况说明</w:t>
      </w:r>
      <w:bookmarkEnd w:id="14"/>
      <w:bookmarkEnd w:id="15"/>
    </w:p>
    <w:p w14:paraId="685713EA">
      <w:pPr>
        <w:pStyle w:val="28"/>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2024年度本年收入合计328.88万元，其中：一般公共预算财政拨款收入328.88万元，占100%；政府性基金预算财政拨款收入0万元，占0%；国有资本经营预算财政拨款收入0万元，占0%；上级补助收入0万元，占0%；事业收入0万元，占0%；经营收入0万元，占0%；附属单位上缴收入0万元，占0%；其他收入0万元，占0%。</w:t>
      </w:r>
    </w:p>
    <w:p w14:paraId="6FA3DE22">
      <w:pPr>
        <w:pStyle w:val="14"/>
        <w:jc w:val="center"/>
      </w:pPr>
      <w:r>
        <w:drawing>
          <wp:inline distT="0" distB="0" distL="114300" distR="114300">
            <wp:extent cx="4583430" cy="2400935"/>
            <wp:effectExtent l="4445" t="4445" r="22225" b="13970"/>
            <wp:docPr id="149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8DAE4B">
      <w:pPr>
        <w:ind w:firstLine="800" w:firstLineChars="250"/>
        <w:rPr>
          <w:rFonts w:eastAsia="仿宋_GB2312" w:cs="仿宋_GB2312"/>
          <w:sz w:val="32"/>
          <w:szCs w:val="32"/>
        </w:rPr>
      </w:pPr>
      <w:r>
        <w:rPr>
          <w:rFonts w:hint="eastAsia" w:eastAsia="仿宋_GB2312" w:cs="仿宋_GB2312"/>
          <w:sz w:val="32"/>
          <w:szCs w:val="32"/>
        </w:rPr>
        <w:t>（图2：收入决算结构图）（饼状图）</w:t>
      </w:r>
    </w:p>
    <w:p w14:paraId="62645B78">
      <w:pPr>
        <w:pStyle w:val="28"/>
        <w:spacing w:line="600" w:lineRule="exact"/>
        <w:ind w:firstLine="640"/>
        <w:outlineLvl w:val="1"/>
        <w:rPr>
          <w:rStyle w:val="30"/>
          <w:rFonts w:eastAsia="黑体"/>
          <w:b w:val="0"/>
        </w:rPr>
      </w:pPr>
      <w:bookmarkStart w:id="16" w:name="_Toc15396605"/>
      <w:bookmarkStart w:id="17" w:name="_Toc15377207"/>
      <w:r>
        <w:rPr>
          <w:rFonts w:hint="eastAsia" w:eastAsia="黑体"/>
          <w:sz w:val="32"/>
          <w:szCs w:val="32"/>
        </w:rPr>
        <w:t>三、支</w:t>
      </w:r>
      <w:r>
        <w:rPr>
          <w:rStyle w:val="30"/>
          <w:rFonts w:hint="eastAsia" w:eastAsia="黑体"/>
        </w:rPr>
        <w:t>出决算情况说明</w:t>
      </w:r>
      <w:bookmarkEnd w:id="16"/>
      <w:bookmarkEnd w:id="17"/>
    </w:p>
    <w:p w14:paraId="3F15FDE9">
      <w:pPr>
        <w:pStyle w:val="28"/>
        <w:spacing w:line="600" w:lineRule="exact"/>
        <w:ind w:firstLine="640"/>
        <w:jc w:val="left"/>
        <w:outlineLvl w:val="1"/>
        <w:rPr>
          <w:rFonts w:eastAsia="仿宋_GB2312" w:cs="仿宋_GB2312"/>
          <w:sz w:val="32"/>
          <w:szCs w:val="32"/>
        </w:rPr>
      </w:pPr>
      <w:r>
        <w:rPr>
          <w:rFonts w:hint="eastAsia" w:ascii="仿宋_GB2312" w:hAnsi="仿宋_GB2312" w:eastAsia="仿宋_GB2312" w:cs="仿宋_GB2312"/>
          <w:sz w:val="32"/>
          <w:szCs w:val="32"/>
        </w:rPr>
        <w:t>2024年度本年支出合计333.88万元，其中：基本支出220.28万元，占66%；项目支出113.6万元，占34%；上缴上级支出0万元，占0%；经营支出0万元，占0%；对附属单位补助支出0万元，占0%。</w:t>
      </w:r>
    </w:p>
    <w:p w14:paraId="49BA9C06">
      <w:pPr>
        <w:pStyle w:val="14"/>
        <w:jc w:val="center"/>
      </w:pPr>
      <w:r>
        <w:drawing>
          <wp:inline distT="0" distB="0" distL="114300" distR="114300">
            <wp:extent cx="4504055" cy="2125980"/>
            <wp:effectExtent l="4445" t="4445" r="6350" b="22225"/>
            <wp:docPr id="149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7007DDB">
      <w:pPr>
        <w:ind w:firstLine="800" w:firstLineChars="250"/>
        <w:rPr>
          <w:rFonts w:eastAsia="仿宋_GB2312" w:cs="仿宋_GB2312"/>
          <w:sz w:val="32"/>
          <w:szCs w:val="32"/>
        </w:rPr>
      </w:pPr>
      <w:bookmarkStart w:id="18" w:name="_Toc15377208"/>
      <w:bookmarkStart w:id="19" w:name="_Toc15396606"/>
      <w:r>
        <w:rPr>
          <w:rFonts w:hint="eastAsia" w:eastAsia="仿宋_GB2312" w:cs="仿宋_GB2312"/>
          <w:sz w:val="32"/>
          <w:szCs w:val="32"/>
        </w:rPr>
        <w:t>（图3：支出决算结构图）（饼状图）</w:t>
      </w:r>
    </w:p>
    <w:p w14:paraId="08E8EEB6">
      <w:pPr>
        <w:spacing w:line="600" w:lineRule="exact"/>
        <w:ind w:firstLine="640" w:firstLineChars="200"/>
        <w:outlineLvl w:val="1"/>
        <w:rPr>
          <w:rStyle w:val="30"/>
          <w:rFonts w:eastAsia="黑体"/>
          <w:b w:val="0"/>
        </w:rPr>
      </w:pPr>
      <w:r>
        <w:rPr>
          <w:rFonts w:hint="eastAsia" w:eastAsia="黑体"/>
          <w:sz w:val="32"/>
          <w:szCs w:val="32"/>
        </w:rPr>
        <w:t>四、财</w:t>
      </w:r>
      <w:r>
        <w:rPr>
          <w:rStyle w:val="30"/>
          <w:rFonts w:hint="eastAsia" w:eastAsia="黑体"/>
        </w:rPr>
        <w:t>政拨款收入支出决算总体情况说明</w:t>
      </w:r>
      <w:bookmarkEnd w:id="18"/>
      <w:bookmarkEnd w:id="19"/>
    </w:p>
    <w:p w14:paraId="6B1A7FC6">
      <w:pPr>
        <w:spacing w:line="600" w:lineRule="exact"/>
        <w:ind w:firstLine="640"/>
        <w:rPr>
          <w:rFonts w:hint="eastAsia" w:ascii="仿宋" w:hAnsi="仿宋" w:eastAsia="仿宋" w:cs="仿宋"/>
          <w:sz w:val="32"/>
          <w:szCs w:val="32"/>
        </w:rPr>
      </w:pPr>
      <w:r>
        <w:rPr>
          <w:rFonts w:hint="eastAsia" w:eastAsia="仿宋_GB2312" w:cs="仿宋_GB2312"/>
          <w:sz w:val="32"/>
          <w:szCs w:val="32"/>
        </w:rPr>
        <w:t>2024年度财政拨款收入、支出总计均为</w:t>
      </w:r>
      <w:r>
        <w:rPr>
          <w:rFonts w:hint="eastAsia" w:ascii="仿宋" w:hAnsi="仿宋" w:eastAsia="仿宋" w:cs="仿宋"/>
          <w:sz w:val="32"/>
          <w:szCs w:val="32"/>
        </w:rPr>
        <w:t>333.88万元。与2023年度相比，财政拨款收入总计、支出总计各减少34.64万元，下降9.4%。主要变动原因是本年度项目收支减少。</w:t>
      </w:r>
    </w:p>
    <w:p w14:paraId="72A4CFF4">
      <w:pPr>
        <w:pStyle w:val="14"/>
        <w:jc w:val="center"/>
      </w:pPr>
      <w:r>
        <w:drawing>
          <wp:inline distT="0" distB="0" distL="114300" distR="114300">
            <wp:extent cx="5039360" cy="2371725"/>
            <wp:effectExtent l="4445" t="4445" r="23495" b="5080"/>
            <wp:docPr id="149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CABBC0">
      <w:pPr>
        <w:spacing w:line="600" w:lineRule="exact"/>
        <w:ind w:firstLine="640" w:firstLineChars="200"/>
        <w:rPr>
          <w:rFonts w:eastAsia="仿宋_GB2312" w:cs="仿宋_GB2312"/>
          <w:sz w:val="32"/>
          <w:szCs w:val="32"/>
        </w:rPr>
      </w:pPr>
      <w:bookmarkStart w:id="20" w:name="_Toc15377209"/>
      <w:bookmarkStart w:id="21" w:name="_Toc15396607"/>
      <w:r>
        <w:rPr>
          <w:rFonts w:hint="eastAsia" w:eastAsia="仿宋_GB2312" w:cs="仿宋_GB2312"/>
          <w:sz w:val="32"/>
          <w:szCs w:val="32"/>
        </w:rPr>
        <w:t>（图4：财政拨款收、支决算总计变动情况）（柱状图）</w:t>
      </w:r>
    </w:p>
    <w:p w14:paraId="7791952E">
      <w:pPr>
        <w:spacing w:line="600" w:lineRule="exact"/>
        <w:ind w:firstLine="640" w:firstLineChars="200"/>
        <w:outlineLvl w:val="1"/>
        <w:rPr>
          <w:rStyle w:val="30"/>
          <w:rFonts w:eastAsia="黑体"/>
          <w:b w:val="0"/>
        </w:rPr>
      </w:pPr>
      <w:r>
        <w:rPr>
          <w:rFonts w:hint="eastAsia" w:eastAsia="黑体"/>
          <w:sz w:val="32"/>
          <w:szCs w:val="32"/>
        </w:rPr>
        <w:t>五、</w:t>
      </w:r>
      <w:r>
        <w:rPr>
          <w:rFonts w:hint="eastAsia" w:eastAsia="黑体"/>
          <w:b/>
          <w:sz w:val="32"/>
          <w:szCs w:val="32"/>
        </w:rPr>
        <w:t>一</w:t>
      </w:r>
      <w:r>
        <w:rPr>
          <w:rStyle w:val="30"/>
          <w:rFonts w:hint="eastAsia" w:eastAsia="黑体"/>
        </w:rPr>
        <w:t>般公共预算财政拨款支出决算情况说明</w:t>
      </w:r>
      <w:bookmarkEnd w:id="20"/>
      <w:bookmarkEnd w:id="21"/>
    </w:p>
    <w:p w14:paraId="2714FD26">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6B4062F5">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2024年度一般公共预算财政拨款支出333.88万元，占本年支出合计的100%。与2023年度相比，一般公共预算财政拨款支出减少</w:t>
      </w:r>
      <w:r>
        <w:rPr>
          <w:rFonts w:hint="eastAsia" w:ascii="仿宋" w:hAnsi="仿宋" w:eastAsia="仿宋" w:cs="仿宋"/>
          <w:sz w:val="32"/>
          <w:szCs w:val="32"/>
        </w:rPr>
        <w:t>34.64</w:t>
      </w:r>
      <w:r>
        <w:rPr>
          <w:rFonts w:hint="eastAsia" w:ascii="仿宋_GB2312" w:hAnsi="仿宋_GB2312" w:eastAsia="仿宋_GB2312" w:cs="仿宋_GB2312"/>
          <w:sz w:val="32"/>
          <w:szCs w:val="32"/>
        </w:rPr>
        <w:t>万元，下降9.4%。主要变动原因是</w:t>
      </w:r>
      <w:r>
        <w:rPr>
          <w:rFonts w:hint="eastAsia" w:ascii="仿宋" w:hAnsi="仿宋" w:eastAsia="仿宋" w:cs="仿宋"/>
          <w:sz w:val="32"/>
          <w:szCs w:val="32"/>
        </w:rPr>
        <w:t>本年度项目收支减少。</w:t>
      </w:r>
    </w:p>
    <w:p w14:paraId="20214E23">
      <w:pPr>
        <w:pStyle w:val="14"/>
        <w:jc w:val="center"/>
      </w:pPr>
      <w:r>
        <w:drawing>
          <wp:inline distT="0" distB="0" distL="114300" distR="114300">
            <wp:extent cx="4202430" cy="2362200"/>
            <wp:effectExtent l="4445" t="4445" r="22225" b="14605"/>
            <wp:docPr id="149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8BF5561">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1F3B3AB7">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3E48351B">
      <w:pPr>
        <w:spacing w:line="600" w:lineRule="exact"/>
        <w:ind w:firstLine="640"/>
        <w:rPr>
          <w:rFonts w:hint="eastAsia" w:ascii="仿宋" w:hAnsi="仿宋" w:eastAsia="仿宋" w:cs="仿宋"/>
          <w:b/>
          <w:bCs/>
          <w:sz w:val="32"/>
          <w:szCs w:val="32"/>
        </w:rPr>
      </w:pPr>
      <w:r>
        <w:rPr>
          <w:rFonts w:hint="eastAsia" w:eastAsia="仿宋_GB2312" w:cs="仿宋_GB2312"/>
          <w:sz w:val="32"/>
          <w:szCs w:val="32"/>
        </w:rPr>
        <w:t>2024年度一般公共预算财政拨款支出</w:t>
      </w:r>
      <w:r>
        <w:rPr>
          <w:rFonts w:hint="eastAsia" w:ascii="仿宋_GB2312" w:hAnsi="仿宋_GB2312" w:eastAsia="仿宋_GB2312" w:cs="仿宋_GB2312"/>
          <w:sz w:val="32"/>
          <w:szCs w:val="32"/>
        </w:rPr>
        <w:t>333.88万元</w:t>
      </w:r>
      <w:r>
        <w:rPr>
          <w:rFonts w:hint="eastAsia" w:eastAsia="仿宋_GB2312" w:cs="仿宋_GB2312"/>
          <w:sz w:val="32"/>
          <w:szCs w:val="32"/>
        </w:rPr>
        <w:t>，主要用于以下方面：一般公共服务</w:t>
      </w:r>
      <w:r>
        <w:rPr>
          <w:rFonts w:hint="eastAsia" w:ascii="仿宋" w:hAnsi="仿宋" w:eastAsia="仿宋" w:cs="仿宋"/>
          <w:sz w:val="32"/>
          <w:szCs w:val="32"/>
        </w:rPr>
        <w:t>支出281.12万元，占84.2%；教育支出0万元，占0%；科学技术支出0万元，占0%；文化旅游体育与传媒支出0万元，占0%；社会保障和就业支出22.5万元，占6.7%；卫生健康支出12.76万元，占3.8%；住房保障支出17.5万元，占5.3%。</w:t>
      </w:r>
    </w:p>
    <w:p w14:paraId="732A103E">
      <w:pPr>
        <w:pStyle w:val="14"/>
      </w:pPr>
      <w:r>
        <w:drawing>
          <wp:inline distT="0" distB="0" distL="114300" distR="114300">
            <wp:extent cx="5273675" cy="2942590"/>
            <wp:effectExtent l="4445" t="4445" r="17780" b="5715"/>
            <wp:docPr id="1499"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FBE06A5">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2811C5FA">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4CE4E016">
      <w:pPr>
        <w:spacing w:line="600" w:lineRule="exact"/>
        <w:ind w:firstLine="640"/>
        <w:rPr>
          <w:rFonts w:eastAsia="仿宋_GB2312" w:cs="仿宋_GB2312"/>
          <w:sz w:val="32"/>
          <w:szCs w:val="32"/>
        </w:rPr>
      </w:pPr>
      <w:bookmarkStart w:id="25" w:name="_Toc15377444"/>
      <w:bookmarkStart w:id="26" w:name="_Toc15377213"/>
      <w:bookmarkStart w:id="27" w:name="_Toc15378460"/>
      <w:r>
        <w:rPr>
          <w:rFonts w:hint="eastAsia" w:eastAsia="仿宋_GB2312" w:cs="仿宋_GB2312"/>
          <w:sz w:val="32"/>
          <w:szCs w:val="32"/>
        </w:rPr>
        <w:t>2024年度一般公共预算财政拨款支出决算数为333.88，完成预算100%。其中：</w:t>
      </w:r>
      <w:bookmarkEnd w:id="25"/>
      <w:bookmarkEnd w:id="26"/>
      <w:bookmarkEnd w:id="27"/>
    </w:p>
    <w:p w14:paraId="037584C9">
      <w:pPr>
        <w:spacing w:line="600" w:lineRule="exact"/>
        <w:ind w:firstLine="640"/>
        <w:rPr>
          <w:rFonts w:eastAsia="仿宋_GB2312" w:cs="仿宋_GB2312"/>
          <w:sz w:val="32"/>
          <w:szCs w:val="32"/>
        </w:rPr>
      </w:pPr>
      <w:r>
        <w:rPr>
          <w:rFonts w:hint="eastAsia" w:eastAsia="仿宋_GB2312" w:cs="仿宋_GB2312"/>
          <w:sz w:val="32"/>
          <w:szCs w:val="32"/>
        </w:rPr>
        <w:t>1.</w:t>
      </w:r>
      <w:r>
        <w:rPr>
          <w:rFonts w:hint="eastAsia" w:eastAsia="仿宋_GB2312" w:cs="仿宋_GB2312"/>
          <w:b/>
          <w:bCs/>
          <w:sz w:val="32"/>
          <w:szCs w:val="32"/>
        </w:rPr>
        <w:t>一般公共服务支出（类）党委办公厅（室）及相关机构事务（款）其他党委办公厅（室）及相关机构事务支出（项）</w:t>
      </w:r>
      <w:r>
        <w:rPr>
          <w:rFonts w:hint="eastAsia" w:eastAsia="仿宋_GB2312" w:cs="仿宋_GB2312"/>
          <w:sz w:val="32"/>
          <w:szCs w:val="32"/>
        </w:rPr>
        <w:t>：支出决算为5万元，完成预算100%，决算数等于预算数。</w:t>
      </w:r>
    </w:p>
    <w:p w14:paraId="4E73CFDC">
      <w:pPr>
        <w:spacing w:line="600" w:lineRule="exact"/>
        <w:ind w:firstLine="640"/>
        <w:rPr>
          <w:rFonts w:eastAsia="仿宋_GB2312" w:cs="仿宋_GB2312"/>
          <w:sz w:val="32"/>
          <w:szCs w:val="32"/>
        </w:rPr>
      </w:pPr>
      <w:r>
        <w:rPr>
          <w:rFonts w:hint="eastAsia" w:eastAsia="仿宋_GB2312" w:cs="仿宋_GB2312"/>
          <w:sz w:val="32"/>
          <w:szCs w:val="32"/>
        </w:rPr>
        <w:t>2.</w:t>
      </w:r>
      <w:r>
        <w:rPr>
          <w:rFonts w:hint="eastAsia" w:eastAsia="仿宋_GB2312" w:cs="仿宋_GB2312"/>
          <w:b/>
          <w:bCs/>
          <w:sz w:val="32"/>
          <w:szCs w:val="32"/>
        </w:rPr>
        <w:t>一般公共服务支出（类）信访事务（款）行政运行（项）</w:t>
      </w:r>
      <w:r>
        <w:rPr>
          <w:rFonts w:hint="eastAsia" w:eastAsia="仿宋_GB2312" w:cs="仿宋_GB2312"/>
          <w:sz w:val="32"/>
          <w:szCs w:val="32"/>
        </w:rPr>
        <w:t>：支出决算为45.29万元，完成预算100%，决算数等于预算数。</w:t>
      </w:r>
    </w:p>
    <w:p w14:paraId="4BFA17A4">
      <w:pPr>
        <w:spacing w:line="600" w:lineRule="exact"/>
        <w:ind w:firstLine="640"/>
        <w:rPr>
          <w:rFonts w:eastAsia="仿宋_GB2312" w:cs="仿宋_GB2312"/>
          <w:sz w:val="32"/>
          <w:szCs w:val="32"/>
        </w:rPr>
      </w:pPr>
      <w:r>
        <w:rPr>
          <w:rFonts w:hint="eastAsia" w:eastAsia="仿宋_GB2312" w:cs="仿宋_GB2312"/>
          <w:sz w:val="32"/>
          <w:szCs w:val="32"/>
        </w:rPr>
        <w:t>3.</w:t>
      </w:r>
      <w:r>
        <w:rPr>
          <w:rFonts w:hint="eastAsia" w:eastAsia="仿宋_GB2312" w:cs="仿宋_GB2312"/>
          <w:b/>
          <w:bCs/>
          <w:sz w:val="32"/>
          <w:szCs w:val="32"/>
        </w:rPr>
        <w:t>一般公共服务支出（类）信访事务（款）信访业务（项）：</w:t>
      </w:r>
      <w:r>
        <w:rPr>
          <w:rFonts w:hint="eastAsia" w:eastAsia="仿宋_GB2312" w:cs="仿宋_GB2312"/>
          <w:sz w:val="32"/>
          <w:szCs w:val="32"/>
        </w:rPr>
        <w:t xml:space="preserve">支出决算为101.8万元，完成预算100%，决算数等于预算数。  </w:t>
      </w:r>
    </w:p>
    <w:p w14:paraId="5469DDEC">
      <w:pPr>
        <w:spacing w:line="600" w:lineRule="exact"/>
        <w:ind w:firstLine="640"/>
        <w:rPr>
          <w:rFonts w:eastAsia="仿宋_GB2312" w:cs="仿宋_GB2312"/>
          <w:sz w:val="32"/>
          <w:szCs w:val="32"/>
        </w:rPr>
      </w:pPr>
      <w:r>
        <w:rPr>
          <w:rFonts w:hint="eastAsia" w:eastAsia="仿宋_GB2312" w:cs="仿宋_GB2312"/>
          <w:sz w:val="32"/>
          <w:szCs w:val="32"/>
        </w:rPr>
        <w:t>4.</w:t>
      </w:r>
      <w:r>
        <w:rPr>
          <w:rFonts w:hint="eastAsia" w:eastAsia="仿宋_GB2312" w:cs="仿宋_GB2312"/>
          <w:b/>
          <w:bCs/>
          <w:sz w:val="32"/>
          <w:szCs w:val="32"/>
        </w:rPr>
        <w:t>一般公共服务支出（类）信访事务（款）其他信访事务支出（项）：</w:t>
      </w:r>
      <w:r>
        <w:rPr>
          <w:rFonts w:hint="eastAsia" w:eastAsia="仿宋_GB2312" w:cs="仿宋_GB2312"/>
          <w:sz w:val="32"/>
          <w:szCs w:val="32"/>
        </w:rPr>
        <w:t>支出决算为129.03万元，完成预算100%，决算数等于预算数。</w:t>
      </w:r>
    </w:p>
    <w:p w14:paraId="7C737D6C">
      <w:pPr>
        <w:spacing w:line="600" w:lineRule="exact"/>
        <w:ind w:firstLine="640"/>
        <w:rPr>
          <w:rFonts w:eastAsia="仿宋_GB2312" w:cs="仿宋_GB2312"/>
          <w:sz w:val="32"/>
          <w:szCs w:val="32"/>
        </w:rPr>
      </w:pPr>
      <w:r>
        <w:rPr>
          <w:rFonts w:hint="eastAsia" w:eastAsia="仿宋_GB2312" w:cs="仿宋_GB2312"/>
          <w:b/>
          <w:bCs/>
          <w:sz w:val="32"/>
          <w:szCs w:val="32"/>
        </w:rPr>
        <w:t>5.社会保障和就业支出（类）行政事业单位养老支出（款）行政单位离退休（项）：</w:t>
      </w:r>
      <w:r>
        <w:rPr>
          <w:rFonts w:hint="eastAsia" w:eastAsia="仿宋_GB2312" w:cs="仿宋_GB2312"/>
          <w:sz w:val="32"/>
          <w:szCs w:val="32"/>
        </w:rPr>
        <w:t>支出决算为2.23万元，完成预算100%，决算数等于预算数。</w:t>
      </w:r>
    </w:p>
    <w:p w14:paraId="759F9E81">
      <w:pPr>
        <w:spacing w:line="600" w:lineRule="exact"/>
        <w:ind w:firstLine="640"/>
        <w:rPr>
          <w:rFonts w:eastAsia="仿宋_GB2312" w:cs="仿宋_GB2312"/>
          <w:b/>
          <w:bCs/>
          <w:sz w:val="32"/>
          <w:szCs w:val="32"/>
        </w:rPr>
      </w:pPr>
      <w:r>
        <w:rPr>
          <w:rFonts w:hint="eastAsia" w:eastAsia="仿宋_GB2312" w:cs="仿宋_GB2312"/>
          <w:b/>
          <w:bCs/>
          <w:sz w:val="32"/>
          <w:szCs w:val="32"/>
        </w:rPr>
        <w:t>6.社会保障和就业支出（类）行政事业单位养老支出（款）</w:t>
      </w:r>
    </w:p>
    <w:p w14:paraId="0790A7E3">
      <w:pPr>
        <w:spacing w:line="600" w:lineRule="exact"/>
        <w:rPr>
          <w:rFonts w:eastAsia="仿宋_GB2312" w:cs="仿宋_GB2312"/>
          <w:sz w:val="32"/>
          <w:szCs w:val="32"/>
        </w:rPr>
      </w:pPr>
      <w:r>
        <w:rPr>
          <w:rFonts w:hint="eastAsia" w:eastAsia="仿宋_GB2312" w:cs="仿宋_GB2312"/>
          <w:b/>
          <w:bCs/>
          <w:sz w:val="32"/>
          <w:szCs w:val="32"/>
        </w:rPr>
        <w:t>机关事业单位基本养老保险缴费支出（项）：</w:t>
      </w:r>
      <w:r>
        <w:rPr>
          <w:rFonts w:hint="eastAsia" w:eastAsia="仿宋_GB2312" w:cs="仿宋_GB2312"/>
          <w:sz w:val="32"/>
          <w:szCs w:val="32"/>
        </w:rPr>
        <w:t>支出决算为20.27万元，完成预算100%，决算数等于预算数。</w:t>
      </w:r>
    </w:p>
    <w:p w14:paraId="53856E07">
      <w:pPr>
        <w:spacing w:line="600" w:lineRule="exact"/>
        <w:ind w:firstLine="640"/>
        <w:rPr>
          <w:rFonts w:eastAsia="仿宋_GB2312" w:cs="仿宋_GB2312"/>
          <w:sz w:val="32"/>
          <w:szCs w:val="32"/>
        </w:rPr>
      </w:pPr>
      <w:r>
        <w:rPr>
          <w:rFonts w:hint="eastAsia" w:eastAsia="仿宋_GB2312" w:cs="仿宋_GB2312"/>
          <w:b/>
          <w:bCs/>
          <w:sz w:val="32"/>
          <w:szCs w:val="32"/>
        </w:rPr>
        <w:t>7.卫生健康支出（类）行政事业单位医疗（款）行政单位医疗（项）：</w:t>
      </w:r>
      <w:r>
        <w:rPr>
          <w:rFonts w:hint="eastAsia" w:eastAsia="仿宋_GB2312" w:cs="仿宋_GB2312"/>
          <w:sz w:val="32"/>
          <w:szCs w:val="32"/>
        </w:rPr>
        <w:t>支出决算为3.17万元，完成预算100%，决算数等于预算数。</w:t>
      </w:r>
    </w:p>
    <w:p w14:paraId="40DAF615">
      <w:pPr>
        <w:spacing w:line="600" w:lineRule="exact"/>
        <w:ind w:firstLine="640"/>
        <w:rPr>
          <w:rFonts w:eastAsia="仿宋_GB2312" w:cs="仿宋_GB2312"/>
          <w:sz w:val="32"/>
          <w:szCs w:val="32"/>
        </w:rPr>
      </w:pPr>
      <w:r>
        <w:rPr>
          <w:rFonts w:hint="eastAsia" w:eastAsia="仿宋_GB2312" w:cs="仿宋_GB2312"/>
          <w:b/>
          <w:bCs/>
          <w:sz w:val="32"/>
          <w:szCs w:val="32"/>
        </w:rPr>
        <w:t>8.卫生健康支出（类）行政事业单位医疗（款）事业单位医疗（项）：</w:t>
      </w:r>
      <w:r>
        <w:rPr>
          <w:rFonts w:hint="eastAsia" w:eastAsia="仿宋_GB2312" w:cs="仿宋_GB2312"/>
          <w:sz w:val="32"/>
          <w:szCs w:val="32"/>
        </w:rPr>
        <w:t>支出决算为7.97万元，完成预算100%，决算数等于预算数。</w:t>
      </w:r>
    </w:p>
    <w:p w14:paraId="2B1F60EB">
      <w:pPr>
        <w:spacing w:line="600" w:lineRule="exact"/>
        <w:ind w:firstLine="640"/>
        <w:rPr>
          <w:rFonts w:eastAsia="仿宋_GB2312" w:cs="仿宋_GB2312"/>
          <w:sz w:val="32"/>
          <w:szCs w:val="32"/>
        </w:rPr>
      </w:pPr>
      <w:r>
        <w:rPr>
          <w:rFonts w:hint="eastAsia" w:eastAsia="仿宋_GB2312" w:cs="仿宋_GB2312"/>
          <w:b/>
          <w:bCs/>
          <w:sz w:val="32"/>
          <w:szCs w:val="32"/>
        </w:rPr>
        <w:t>9.卫生健康支出（类）行政事业单位医疗（款）公务员医疗补助（项）：</w:t>
      </w:r>
      <w:r>
        <w:rPr>
          <w:rFonts w:hint="eastAsia" w:eastAsia="仿宋_GB2312" w:cs="仿宋_GB2312"/>
          <w:sz w:val="32"/>
          <w:szCs w:val="32"/>
        </w:rPr>
        <w:t>支出决算为1.62万元，完成预算100%，决算数等于预算数。</w:t>
      </w:r>
    </w:p>
    <w:p w14:paraId="6DD5D050">
      <w:pPr>
        <w:spacing w:line="600" w:lineRule="exact"/>
        <w:ind w:firstLine="640"/>
        <w:rPr>
          <w:rFonts w:eastAsia="仿宋_GB2312" w:cs="仿宋_GB2312"/>
          <w:sz w:val="32"/>
          <w:szCs w:val="32"/>
        </w:rPr>
      </w:pPr>
      <w:r>
        <w:rPr>
          <w:rFonts w:hint="eastAsia" w:eastAsia="仿宋_GB2312" w:cs="仿宋_GB2312"/>
          <w:b/>
          <w:bCs/>
          <w:sz w:val="32"/>
          <w:szCs w:val="32"/>
        </w:rPr>
        <w:t>10.住房保障支出（类）住房改革支出（款）住房公积金（项）：</w:t>
      </w:r>
      <w:r>
        <w:rPr>
          <w:rFonts w:hint="eastAsia" w:eastAsia="仿宋_GB2312" w:cs="仿宋_GB2312"/>
          <w:sz w:val="32"/>
          <w:szCs w:val="32"/>
        </w:rPr>
        <w:t>支出决算为17.5万元，完成预算100%，决算数等于预算数。</w:t>
      </w:r>
    </w:p>
    <w:p w14:paraId="3EA58F10">
      <w:pPr>
        <w:tabs>
          <w:tab w:val="right" w:pos="8306"/>
        </w:tabs>
        <w:spacing w:line="600" w:lineRule="exact"/>
        <w:ind w:firstLine="640"/>
        <w:outlineLvl w:val="1"/>
        <w:rPr>
          <w:rStyle w:val="30"/>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30"/>
          <w:rFonts w:hint="eastAsia" w:eastAsia="黑体"/>
        </w:rPr>
        <w:t>般公共预算财政拨款基本支出决算情况说明</w:t>
      </w:r>
      <w:bookmarkEnd w:id="28"/>
      <w:bookmarkEnd w:id="29"/>
      <w:r>
        <w:rPr>
          <w:rStyle w:val="30"/>
          <w:rFonts w:eastAsia="黑体"/>
        </w:rPr>
        <w:tab/>
      </w:r>
    </w:p>
    <w:p w14:paraId="706E3858">
      <w:pPr>
        <w:spacing w:line="600" w:lineRule="exact"/>
        <w:ind w:firstLine="640"/>
        <w:rPr>
          <w:rFonts w:eastAsia="仿宋_GB2312" w:cs="仿宋_GB2312"/>
          <w:sz w:val="32"/>
          <w:szCs w:val="32"/>
        </w:rPr>
      </w:pPr>
      <w:r>
        <w:rPr>
          <w:rFonts w:hint="eastAsia" w:eastAsia="仿宋_GB2312" w:cs="仿宋_GB2312"/>
          <w:sz w:val="32"/>
          <w:szCs w:val="32"/>
        </w:rPr>
        <w:t>2024年度一般公共预算财政拨款基本支出</w:t>
      </w:r>
      <w:r>
        <w:rPr>
          <w:rFonts w:hint="eastAsia" w:ascii="仿宋_GB2312" w:hAnsi="仿宋_GB2312" w:eastAsia="仿宋_GB2312" w:cs="仿宋_GB2312"/>
          <w:sz w:val="32"/>
          <w:szCs w:val="32"/>
        </w:rPr>
        <w:t>220.28万</w:t>
      </w:r>
      <w:r>
        <w:rPr>
          <w:rFonts w:hint="eastAsia" w:eastAsia="仿宋_GB2312" w:cs="仿宋_GB2312"/>
          <w:sz w:val="32"/>
          <w:szCs w:val="32"/>
        </w:rPr>
        <w:t>元，其中：</w:t>
      </w:r>
    </w:p>
    <w:p w14:paraId="4F747883">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212.12万</w:t>
      </w:r>
      <w:r>
        <w:rPr>
          <w:rFonts w:hint="eastAsia" w:eastAsia="仿宋_GB2312" w:cs="仿宋_GB2312"/>
          <w:sz w:val="32"/>
          <w:szCs w:val="32"/>
        </w:rPr>
        <w:t>元，主要包括：基本工资、津贴补贴、奖金、绩效工资、机关事业单位基本养老保险缴费、职工基本医疗保险缴费、公务员医疗补助缴费、其他社会保障缴费、住房公积金、医疗费、其他工资福利支出、生活补助。</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8.16万</w:t>
      </w:r>
      <w:r>
        <w:rPr>
          <w:rFonts w:hint="eastAsia" w:eastAsia="仿宋_GB2312" w:cs="仿宋_GB2312"/>
          <w:sz w:val="32"/>
          <w:szCs w:val="32"/>
        </w:rPr>
        <w:t>元，主要包括：办公费、水费、电费、邮电费、差旅费、公务接待费、委托业务费、工会经费、福利费。</w:t>
      </w:r>
    </w:p>
    <w:p w14:paraId="42400CD6">
      <w:pPr>
        <w:spacing w:line="600" w:lineRule="exact"/>
        <w:ind w:firstLine="640"/>
        <w:outlineLvl w:val="1"/>
        <w:rPr>
          <w:rStyle w:val="30"/>
          <w:rFonts w:eastAsia="黑体"/>
          <w:b w:val="0"/>
        </w:rPr>
      </w:pPr>
      <w:bookmarkStart w:id="30" w:name="_Toc15377215"/>
      <w:bookmarkStart w:id="31" w:name="_Toc15396609"/>
      <w:r>
        <w:rPr>
          <w:rFonts w:hint="eastAsia" w:eastAsia="黑体"/>
          <w:sz w:val="32"/>
          <w:szCs w:val="32"/>
        </w:rPr>
        <w:t>七、</w:t>
      </w:r>
      <w:r>
        <w:rPr>
          <w:rStyle w:val="30"/>
          <w:rFonts w:hint="eastAsia" w:eastAsia="黑体"/>
        </w:rPr>
        <w:t>财政拨款“三公”经费支出决算情况说明</w:t>
      </w:r>
      <w:bookmarkEnd w:id="30"/>
      <w:bookmarkEnd w:id="31"/>
    </w:p>
    <w:p w14:paraId="2E394004">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（一）“三公”经费财政拨款支出决算总体情况说明</w:t>
      </w:r>
      <w:bookmarkEnd w:id="32"/>
    </w:p>
    <w:p w14:paraId="65599DDC">
      <w:pPr>
        <w:spacing w:line="600" w:lineRule="exact"/>
        <w:ind w:firstLine="640"/>
        <w:rPr>
          <w:rFonts w:eastAsia="仿宋_GB2312" w:cs="仿宋_GB2312"/>
          <w:b/>
          <w:bCs/>
          <w:sz w:val="32"/>
          <w:szCs w:val="32"/>
        </w:rPr>
      </w:pPr>
      <w:r>
        <w:rPr>
          <w:rFonts w:hint="eastAsia" w:eastAsia="仿宋_GB2312" w:cs="仿宋_GB2312"/>
          <w:sz w:val="32"/>
          <w:szCs w:val="32"/>
        </w:rPr>
        <w:t>2024年度“三公”经费财政拨款支出决算为</w:t>
      </w:r>
      <w:r>
        <w:rPr>
          <w:rFonts w:hint="eastAsia" w:ascii="仿宋_GB2312" w:hAnsi="仿宋_GB2312" w:eastAsia="仿宋_GB2312" w:cs="仿宋_GB2312"/>
          <w:sz w:val="32"/>
          <w:szCs w:val="32"/>
        </w:rPr>
        <w:t>0.33万元，完成预算100%，</w:t>
      </w:r>
      <w:r>
        <w:rPr>
          <w:rFonts w:hint="eastAsia" w:eastAsia="仿宋_GB2312" w:cs="仿宋_GB2312"/>
          <w:sz w:val="32"/>
          <w:szCs w:val="32"/>
        </w:rPr>
        <w:t>较上年度增加0.33万元，增长100%。决算数等于预算数。</w:t>
      </w:r>
    </w:p>
    <w:p w14:paraId="3A09FAE8">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2BEB6508">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2024年度“三公”经费财政拨款支出决算中，因公出国（境）费支出决算0万元，占0%；公务用车购置及运行维护费支出决算0万元，占0%；公务接待费支出决算0.33万元，占100%。具体情况如下：</w:t>
      </w:r>
    </w:p>
    <w:p w14:paraId="008FBA14">
      <w:pPr>
        <w:pStyle w:val="14"/>
        <w:jc w:val="center"/>
      </w:pPr>
      <w:r>
        <w:drawing>
          <wp:inline distT="0" distB="0" distL="114300" distR="114300">
            <wp:extent cx="4508500" cy="2426335"/>
            <wp:effectExtent l="4445" t="4445" r="20955" b="7620"/>
            <wp:docPr id="1498"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4E24066">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16CD4633">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1.因公出国（境）经费支出0万元，完成预算0%。</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组0</w:t>
      </w:r>
      <w:r>
        <w:rPr>
          <w:rFonts w:hint="eastAsia" w:eastAsia="仿宋_GB2312" w:cs="仿宋_GB2312"/>
          <w:sz w:val="32"/>
          <w:szCs w:val="32"/>
        </w:rPr>
        <w:t>次，出国（境）</w:t>
      </w:r>
      <w:r>
        <w:rPr>
          <w:rFonts w:hint="eastAsia" w:ascii="仿宋_GB2312" w:hAnsi="仿宋_GB2312" w:eastAsia="仿宋_GB2312" w:cs="仿宋_GB2312"/>
          <w:sz w:val="32"/>
          <w:szCs w:val="32"/>
        </w:rPr>
        <w:t>0人</w:t>
      </w:r>
      <w:r>
        <w:rPr>
          <w:rFonts w:hint="eastAsia" w:eastAsia="仿宋_GB2312" w:cs="仿宋_GB2312"/>
          <w:sz w:val="32"/>
          <w:szCs w:val="32"/>
        </w:rPr>
        <w:t>。因公出国（境）支出决算比2023年增加/减少0万元，增长/下降0%。</w:t>
      </w:r>
    </w:p>
    <w:p w14:paraId="5C0AD9E5">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元，完成预算0%。</w:t>
      </w:r>
      <w:r>
        <w:rPr>
          <w:rFonts w:hint="eastAsia" w:eastAsia="仿宋_GB2312" w:cs="仿宋_GB2312"/>
          <w:sz w:val="32"/>
          <w:szCs w:val="32"/>
        </w:rPr>
        <w:t>公务用车购置及运行维护费支出决算比2023年度增加/减少0万元，增长/下降0%。</w:t>
      </w:r>
    </w:p>
    <w:p w14:paraId="275613B3">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万元。全年按规定更新购置公务用车0辆，其中：轿车0辆、金额0万元，越野车0辆、金额0万元，载客</w:t>
      </w:r>
      <w:r>
        <w:rPr>
          <w:rFonts w:hint="eastAsia" w:ascii="仿宋" w:hAnsi="仿宋" w:eastAsia="仿宋" w:cs="仿宋"/>
          <w:sz w:val="32"/>
          <w:szCs w:val="32"/>
        </w:rPr>
        <w:t>汽车0辆、金额0万元。截至2024年12月31日，单位共有公务用车0</w:t>
      </w:r>
      <w:r>
        <w:rPr>
          <w:rFonts w:hint="eastAsia" w:eastAsia="仿宋_GB2312" w:cs="仿宋_GB2312"/>
          <w:sz w:val="32"/>
          <w:szCs w:val="32"/>
        </w:rPr>
        <w:t>辆，其中：轿车0辆、越野车0辆、载客汽车0辆。</w:t>
      </w:r>
    </w:p>
    <w:p w14:paraId="2C3E9298">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出0</w:t>
      </w:r>
      <w:r>
        <w:rPr>
          <w:rFonts w:hint="eastAsia" w:eastAsia="仿宋_GB2312" w:cs="仿宋_GB2312"/>
          <w:sz w:val="32"/>
          <w:szCs w:val="32"/>
        </w:rPr>
        <w:t>万元。</w:t>
      </w:r>
    </w:p>
    <w:p w14:paraId="778A9F84">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0.33万</w:t>
      </w:r>
      <w:r>
        <w:rPr>
          <w:rFonts w:hint="eastAsia" w:eastAsia="仿宋_GB2312" w:cs="仿宋_GB2312"/>
          <w:b/>
          <w:bCs/>
          <w:sz w:val="32"/>
          <w:szCs w:val="32"/>
        </w:rPr>
        <w:t>元，完成预算100%。</w:t>
      </w:r>
      <w:r>
        <w:rPr>
          <w:rFonts w:hint="eastAsia" w:eastAsia="仿宋_GB2312" w:cs="仿宋_GB2312"/>
          <w:sz w:val="32"/>
          <w:szCs w:val="32"/>
        </w:rPr>
        <w:t>公务接待费支出决算比2023年度增加0.33万元，增长100%。主要原因是</w:t>
      </w:r>
      <w:r>
        <w:rPr>
          <w:rFonts w:hint="eastAsia" w:ascii="仿宋_GB2312" w:eastAsia="仿宋_GB2312"/>
          <w:sz w:val="32"/>
          <w:szCs w:val="32"/>
        </w:rPr>
        <w:t>执行公务、</w:t>
      </w:r>
      <w:r>
        <w:rPr>
          <w:rFonts w:hint="eastAsia" w:eastAsia="仿宋_GB2312" w:cs="仿宋_GB2312"/>
          <w:sz w:val="32"/>
          <w:szCs w:val="32"/>
        </w:rPr>
        <w:t>开展业务活动开支的交通费、住宿费、用餐</w:t>
      </w:r>
      <w:r>
        <w:rPr>
          <w:rFonts w:hint="eastAsia" w:ascii="仿宋_GB2312" w:eastAsia="仿宋_GB2312"/>
          <w:sz w:val="32"/>
          <w:szCs w:val="32"/>
        </w:rPr>
        <w:t>费用增加</w:t>
      </w:r>
      <w:r>
        <w:rPr>
          <w:rFonts w:hint="eastAsia" w:eastAsia="仿宋_GB2312" w:cs="仿宋_GB2312"/>
          <w:sz w:val="32"/>
          <w:szCs w:val="32"/>
        </w:rPr>
        <w:t>。其中：</w:t>
      </w:r>
    </w:p>
    <w:p w14:paraId="1C16840A">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出0.33万</w:t>
      </w:r>
      <w:r>
        <w:rPr>
          <w:rFonts w:hint="eastAsia" w:eastAsia="仿宋_GB2312" w:cs="仿宋_GB2312"/>
          <w:sz w:val="32"/>
          <w:szCs w:val="32"/>
        </w:rPr>
        <w:t>元，主要用于执行公务、开展业务活动开支的交通费、住宿费、用餐费等。国内公务接</w:t>
      </w:r>
      <w:r>
        <w:rPr>
          <w:rFonts w:hint="eastAsia" w:ascii="仿宋_GB2312" w:hAnsi="仿宋_GB2312" w:eastAsia="仿宋_GB2312" w:cs="仿宋_GB2312"/>
          <w:sz w:val="32"/>
          <w:szCs w:val="32"/>
        </w:rPr>
        <w:t>待3批次，21</w:t>
      </w:r>
      <w:r>
        <w:rPr>
          <w:rFonts w:hint="eastAsia" w:eastAsia="仿宋_GB2312" w:cs="仿宋_GB2312"/>
          <w:sz w:val="32"/>
          <w:szCs w:val="32"/>
        </w:rPr>
        <w:t>人次（不包括陪同人员），共计支出0.33万元，具体内容包括：</w:t>
      </w:r>
      <w:r>
        <w:rPr>
          <w:rFonts w:hint="eastAsia" w:ascii="仿宋_GB2312" w:eastAsia="仿宋_GB2312"/>
          <w:sz w:val="32"/>
          <w:szCs w:val="32"/>
        </w:rPr>
        <w:t>主要是迎检交流的公务接待</w:t>
      </w:r>
      <w:r>
        <w:rPr>
          <w:rFonts w:hint="eastAsia" w:eastAsia="仿宋_GB2312" w:cs="仿宋_GB2312"/>
          <w:sz w:val="32"/>
          <w:szCs w:val="32"/>
        </w:rPr>
        <w:t>。</w:t>
      </w:r>
    </w:p>
    <w:p w14:paraId="26D43B7E">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出0万元。外事接待0批次，0人次（不包括陪同人员），共计支出0万</w:t>
      </w:r>
      <w:r>
        <w:rPr>
          <w:rFonts w:hint="eastAsia" w:eastAsia="仿宋_GB2312" w:cs="仿宋_GB2312"/>
          <w:sz w:val="32"/>
          <w:szCs w:val="32"/>
        </w:rPr>
        <w:t>元。</w:t>
      </w:r>
    </w:p>
    <w:p w14:paraId="36FB0BAB">
      <w:pPr>
        <w:spacing w:line="600" w:lineRule="exact"/>
        <w:ind w:firstLine="640"/>
        <w:rPr>
          <w:rFonts w:eastAsia="仿宋_GB2312" w:cs="仿宋_GB2312"/>
          <w:sz w:val="32"/>
          <w:szCs w:val="32"/>
        </w:rPr>
      </w:pPr>
      <w:bookmarkStart w:id="34" w:name="_Toc15396610"/>
      <w:bookmarkStart w:id="35" w:name="_Toc15377218"/>
    </w:p>
    <w:p w14:paraId="57FB701E">
      <w:pPr>
        <w:spacing w:line="600" w:lineRule="exact"/>
        <w:ind w:firstLine="640"/>
        <w:outlineLvl w:val="1"/>
        <w:rPr>
          <w:rStyle w:val="30"/>
          <w:rFonts w:eastAsia="黑体"/>
        </w:rPr>
      </w:pPr>
      <w:r>
        <w:rPr>
          <w:rFonts w:hint="eastAsia" w:eastAsia="黑体"/>
          <w:sz w:val="32"/>
          <w:szCs w:val="32"/>
        </w:rPr>
        <w:t>八、</w:t>
      </w:r>
      <w:r>
        <w:rPr>
          <w:rStyle w:val="30"/>
          <w:rFonts w:hint="eastAsia" w:eastAsia="黑体"/>
        </w:rPr>
        <w:t>政府性基金预算支出决算情况说明</w:t>
      </w:r>
      <w:bookmarkEnd w:id="34"/>
      <w:bookmarkEnd w:id="35"/>
    </w:p>
    <w:p w14:paraId="6409164C">
      <w:pPr>
        <w:spacing w:line="600" w:lineRule="exact"/>
        <w:ind w:firstLine="640"/>
        <w:rPr>
          <w:rFonts w:eastAsia="仿宋_GB2312" w:cs="仿宋_GB2312"/>
          <w:b/>
          <w:bCs/>
          <w:sz w:val="32"/>
          <w:szCs w:val="32"/>
        </w:rPr>
      </w:pPr>
      <w:r>
        <w:rPr>
          <w:rFonts w:hint="eastAsia" w:ascii="仿宋_GB2312" w:hAnsi="仿宋_GB2312" w:eastAsia="仿宋_GB2312" w:cs="仿宋_GB2312"/>
          <w:sz w:val="32"/>
          <w:szCs w:val="32"/>
        </w:rPr>
        <w:t>2024年度政府性基金预算财政拨款支出0万元，占本年支出合计的0%</w:t>
      </w:r>
      <w:r>
        <w:rPr>
          <w:rFonts w:hint="eastAsia" w:eastAsia="仿宋_GB2312" w:cs="仿宋_GB2312"/>
          <w:sz w:val="32"/>
          <w:szCs w:val="32"/>
        </w:rPr>
        <w:t>。与2023年度相比，政府性基金预算财政拨款支出增加/减少0万元，增长/下降0%。</w:t>
      </w:r>
    </w:p>
    <w:p w14:paraId="4BA954EC">
      <w:pPr>
        <w:spacing w:line="600" w:lineRule="exact"/>
        <w:ind w:firstLine="640"/>
        <w:rPr>
          <w:rFonts w:eastAsia="仿宋_GB2312" w:cs="仿宋_GB2312"/>
          <w:sz w:val="32"/>
          <w:szCs w:val="32"/>
        </w:rPr>
      </w:pPr>
    </w:p>
    <w:p w14:paraId="3A2BD07B">
      <w:pPr>
        <w:spacing w:line="600" w:lineRule="exact"/>
        <w:ind w:left="630"/>
        <w:outlineLvl w:val="1"/>
        <w:rPr>
          <w:rStyle w:val="30"/>
          <w:rFonts w:eastAsia="黑体"/>
          <w:b w:val="0"/>
        </w:rPr>
      </w:pPr>
      <w:bookmarkStart w:id="36" w:name="_Toc15377219"/>
      <w:bookmarkStart w:id="37" w:name="_Toc15396611"/>
      <w:r>
        <w:rPr>
          <w:rStyle w:val="30"/>
          <w:rFonts w:hint="eastAsia" w:eastAsia="黑体"/>
        </w:rPr>
        <w:t>九、国有资本经营预算支出决算情况说明</w:t>
      </w:r>
      <w:bookmarkEnd w:id="36"/>
      <w:bookmarkEnd w:id="37"/>
    </w:p>
    <w:p w14:paraId="3DE9C3FE">
      <w:pPr>
        <w:spacing w:line="600" w:lineRule="exact"/>
        <w:ind w:firstLine="640"/>
        <w:rPr>
          <w:rFonts w:eastAsia="仿宋_GB2312" w:cs="仿宋_GB2312"/>
          <w:sz w:val="32"/>
          <w:szCs w:val="32"/>
        </w:rPr>
      </w:pPr>
      <w:r>
        <w:rPr>
          <w:rFonts w:hint="eastAsia" w:eastAsia="仿宋_GB2312" w:cs="仿宋_GB2312"/>
          <w:sz w:val="32"/>
          <w:szCs w:val="32"/>
        </w:rPr>
        <w:t>2024年度国有资本经营预算财政拨款支出</w:t>
      </w:r>
      <w:r>
        <w:rPr>
          <w:rFonts w:hint="eastAsia" w:ascii="仿宋_GB2312" w:hAnsi="仿宋_GB2312" w:eastAsia="仿宋_GB2312" w:cs="仿宋_GB2312"/>
          <w:sz w:val="32"/>
          <w:szCs w:val="32"/>
        </w:rPr>
        <w:t>0万元，占本年支出合计的0%</w:t>
      </w:r>
      <w:r>
        <w:rPr>
          <w:rFonts w:hint="eastAsia" w:eastAsia="仿宋_GB2312" w:cs="仿宋_GB2312"/>
          <w:sz w:val="32"/>
          <w:szCs w:val="32"/>
        </w:rPr>
        <w:t>。与2023年度相比，国有资本经营预算财政拨款支出增加/减少0万元，增长/下降0%。0</w:t>
      </w:r>
    </w:p>
    <w:p w14:paraId="4C10C1C9">
      <w:pPr>
        <w:spacing w:line="600" w:lineRule="exact"/>
        <w:ind w:firstLine="640"/>
        <w:rPr>
          <w:rFonts w:eastAsia="仿宋_GB2312" w:cs="仿宋_GB2312"/>
          <w:sz w:val="32"/>
          <w:szCs w:val="32"/>
        </w:rPr>
      </w:pPr>
    </w:p>
    <w:p w14:paraId="39E7260B">
      <w:pPr>
        <w:spacing w:line="600" w:lineRule="exact"/>
        <w:ind w:left="630"/>
        <w:outlineLvl w:val="1"/>
        <w:rPr>
          <w:rStyle w:val="30"/>
          <w:rFonts w:eastAsia="黑体"/>
          <w:b w:val="0"/>
        </w:rPr>
      </w:pPr>
      <w:bookmarkStart w:id="38" w:name="_Toc15396612"/>
      <w:bookmarkStart w:id="39" w:name="_Toc15377221"/>
      <w:r>
        <w:rPr>
          <w:rStyle w:val="30"/>
          <w:rFonts w:hint="eastAsia" w:eastAsia="黑体"/>
        </w:rPr>
        <w:t>十、其他重要事项的情况说明</w:t>
      </w:r>
      <w:bookmarkEnd w:id="38"/>
      <w:bookmarkEnd w:id="39"/>
    </w:p>
    <w:p w14:paraId="73AB4EA8">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0DF57AFF">
      <w:pPr>
        <w:spacing w:line="600" w:lineRule="exact"/>
        <w:ind w:firstLine="640"/>
        <w:rPr>
          <w:rFonts w:eastAsia="仿宋_GB2312" w:cs="仿宋_GB2312"/>
          <w:sz w:val="32"/>
          <w:szCs w:val="32"/>
        </w:rPr>
      </w:pPr>
      <w:r>
        <w:rPr>
          <w:rFonts w:hint="eastAsia" w:eastAsia="仿宋_GB2312" w:cs="仿宋_GB2312"/>
          <w:sz w:val="32"/>
          <w:szCs w:val="32"/>
        </w:rPr>
        <w:t>2024年度</w:t>
      </w:r>
      <w:r>
        <w:rPr>
          <w:rFonts w:hint="eastAsia" w:ascii="仿宋_GB2312" w:hAnsi="仿宋_GB2312" w:eastAsia="仿宋_GB2312" w:cs="仿宋_GB2312"/>
          <w:sz w:val="32"/>
          <w:szCs w:val="32"/>
        </w:rPr>
        <w:t>，攀枝花市仁和区信访局机关运行经费支出8.16万</w:t>
      </w:r>
      <w:r>
        <w:rPr>
          <w:rFonts w:hint="eastAsia" w:eastAsia="仿宋_GB2312" w:cs="仿宋_GB2312"/>
          <w:sz w:val="32"/>
          <w:szCs w:val="32"/>
        </w:rPr>
        <w:t>元，比2023年度减少6.49万元，下降10.8%。主要原因是本年度公用经费减少。</w:t>
      </w:r>
    </w:p>
    <w:p w14:paraId="1D7C34C6">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410142E2">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度，攀枝花市仁和区信访局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686F9F5B">
      <w:pPr>
        <w:spacing w:line="600" w:lineRule="exact"/>
        <w:ind w:firstLine="640"/>
        <w:rPr>
          <w:rFonts w:eastAsia="仿宋_GB2312" w:cs="仿宋_GB2312"/>
          <w:sz w:val="32"/>
          <w:szCs w:val="32"/>
        </w:rPr>
      </w:pPr>
    </w:p>
    <w:p w14:paraId="1D415C4C">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6F7E9B36">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截至2024年12月31日，攀枝花市仁和区信访局共有车辆0辆，其中：主要负责人用车0辆、机要通信用车0辆、应急保障用车0辆、其他用车0辆。单价100万元（含）以上设备（不含车辆）0台（套）</w:t>
      </w:r>
      <w:r>
        <w:rPr>
          <w:rFonts w:hint="eastAsia" w:eastAsia="仿宋_GB2312" w:cs="仿宋_GB2312"/>
          <w:sz w:val="32"/>
          <w:szCs w:val="32"/>
        </w:rPr>
        <w:t>。</w:t>
      </w:r>
    </w:p>
    <w:p w14:paraId="67154B05">
      <w:pPr>
        <w:spacing w:line="600" w:lineRule="exact"/>
        <w:ind w:firstLine="640"/>
        <w:rPr>
          <w:rFonts w:eastAsia="仿宋_GB2312" w:cs="仿宋_GB2312"/>
          <w:sz w:val="32"/>
          <w:szCs w:val="32"/>
        </w:rPr>
      </w:pPr>
    </w:p>
    <w:p w14:paraId="36EBE7F1">
      <w:pPr>
        <w:pStyle w:val="14"/>
      </w:pPr>
    </w:p>
    <w:p w14:paraId="132DDC53">
      <w:pPr>
        <w:pStyle w:val="15"/>
        <w:spacing w:before="93"/>
        <w:ind w:left="420"/>
      </w:pPr>
    </w:p>
    <w:p w14:paraId="616A127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（四）预算绩效管理情况</w:t>
      </w:r>
    </w:p>
    <w:p w14:paraId="3D53A03F">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根据预算绩效管理要求，本部门在2024年度预算编制阶段，组织对0项目（项目名称）等0个项目开展了预算事前绩效评估，对3个项目编制了绩效目标，预算执行过程中，选取3个项目开展绩效监控。</w:t>
      </w:r>
    </w:p>
    <w:p w14:paraId="4C376721">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组织对2024年度一般公共预算开展绩效自评，形成攀枝花市仁和区信访局部门整体（含部门预算项目）绩效自评，绩效自评报告详见附件。</w:t>
      </w:r>
    </w:p>
    <w:p w14:paraId="047C3974">
      <w:pPr>
        <w:spacing w:line="600" w:lineRule="exact"/>
        <w:ind w:firstLine="640"/>
        <w:rPr>
          <w:rFonts w:eastAsia="仿宋_GB2312" w:cs="仿宋_GB2312"/>
          <w:sz w:val="32"/>
          <w:szCs w:val="32"/>
        </w:rPr>
      </w:pPr>
    </w:p>
    <w:p w14:paraId="2CB4D02A">
      <w:pPr>
        <w:spacing w:line="600" w:lineRule="exact"/>
        <w:ind w:firstLine="640"/>
        <w:rPr>
          <w:rFonts w:eastAsia="仿宋_GB2312" w:cs="仿宋_GB2312"/>
          <w:sz w:val="32"/>
          <w:szCs w:val="32"/>
        </w:rPr>
      </w:pPr>
    </w:p>
    <w:p w14:paraId="2FA29780">
      <w:pPr>
        <w:pStyle w:val="14"/>
      </w:pPr>
    </w:p>
    <w:p w14:paraId="0B9AE4D7">
      <w:pPr>
        <w:pStyle w:val="15"/>
        <w:spacing w:before="93"/>
        <w:ind w:left="420"/>
      </w:pPr>
    </w:p>
    <w:p w14:paraId="5049CFB1">
      <w:pPr>
        <w:pStyle w:val="15"/>
        <w:spacing w:before="93"/>
        <w:ind w:left="420"/>
      </w:pPr>
    </w:p>
    <w:p w14:paraId="3AB18CFF">
      <w:pPr>
        <w:pStyle w:val="15"/>
        <w:spacing w:before="93"/>
        <w:ind w:left="420"/>
      </w:pPr>
    </w:p>
    <w:p w14:paraId="487AE85B">
      <w:pPr>
        <w:pStyle w:val="15"/>
        <w:spacing w:before="93"/>
        <w:ind w:left="420"/>
      </w:pPr>
    </w:p>
    <w:p w14:paraId="2E30BD1B">
      <w:pPr>
        <w:pStyle w:val="15"/>
        <w:spacing w:before="93"/>
        <w:ind w:left="420"/>
      </w:pPr>
    </w:p>
    <w:p w14:paraId="1ED38AAE">
      <w:pPr>
        <w:pStyle w:val="15"/>
        <w:spacing w:before="93"/>
        <w:ind w:left="420"/>
      </w:pPr>
    </w:p>
    <w:p w14:paraId="347BEED5">
      <w:pPr>
        <w:pStyle w:val="15"/>
        <w:spacing w:before="93"/>
        <w:ind w:left="420"/>
      </w:pPr>
    </w:p>
    <w:p w14:paraId="11862F02">
      <w:pPr>
        <w:pStyle w:val="15"/>
        <w:spacing w:before="93"/>
        <w:ind w:left="420"/>
      </w:pPr>
    </w:p>
    <w:p w14:paraId="63C61A18">
      <w:pPr>
        <w:pStyle w:val="15"/>
        <w:spacing w:before="93"/>
        <w:ind w:left="420"/>
      </w:pPr>
    </w:p>
    <w:p w14:paraId="41E3F7AA">
      <w:pPr>
        <w:pStyle w:val="15"/>
        <w:spacing w:before="93"/>
        <w:ind w:left="420"/>
      </w:pPr>
    </w:p>
    <w:p w14:paraId="61A112A4">
      <w:pPr>
        <w:pStyle w:val="15"/>
        <w:spacing w:before="93"/>
        <w:ind w:left="420"/>
      </w:pPr>
    </w:p>
    <w:p w14:paraId="7B550E44">
      <w:pPr>
        <w:pStyle w:val="15"/>
        <w:spacing w:before="93"/>
        <w:ind w:left="420"/>
      </w:pPr>
    </w:p>
    <w:p w14:paraId="09114E1A">
      <w:pPr>
        <w:spacing w:line="600" w:lineRule="exact"/>
        <w:jc w:val="center"/>
        <w:outlineLvl w:val="0"/>
        <w:rPr>
          <w:rFonts w:eastAsia="黑体"/>
          <w:sz w:val="44"/>
          <w:szCs w:val="44"/>
        </w:rPr>
      </w:pPr>
      <w:bookmarkStart w:id="43" w:name="_Toc15396613"/>
      <w:bookmarkStart w:id="44" w:name="_Toc15377225"/>
      <w:r>
        <w:rPr>
          <w:rFonts w:hint="eastAsia" w:eastAsia="黑体"/>
          <w:sz w:val="44"/>
          <w:szCs w:val="44"/>
        </w:rPr>
        <w:t>第三部分  名词解释</w:t>
      </w:r>
      <w:bookmarkEnd w:id="43"/>
      <w:bookmarkEnd w:id="44"/>
    </w:p>
    <w:p w14:paraId="77EDF79C">
      <w:pPr>
        <w:spacing w:line="600" w:lineRule="exact"/>
        <w:jc w:val="left"/>
        <w:rPr>
          <w:b/>
          <w:sz w:val="44"/>
          <w:szCs w:val="44"/>
        </w:rPr>
      </w:pPr>
    </w:p>
    <w:p w14:paraId="7F411667">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7F055BA2">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0B995D8D">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15A69BE7">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33B7B0CE">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2906980B">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7D03A33A">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0F99E1FB">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1D7F220B">
      <w:pPr>
        <w:pStyle w:val="27"/>
        <w:spacing w:line="560" w:lineRule="exact"/>
        <w:ind w:firstLine="640" w:firstLineChars="200"/>
        <w:rPr>
          <w:rFonts w:ascii="仿宋_GB2312" w:eastAsia="仿宋_GB2312"/>
          <w:color w:val="auto"/>
          <w:sz w:val="32"/>
          <w:szCs w:val="32"/>
        </w:rPr>
      </w:pPr>
      <w:r>
        <w:rPr>
          <w:rFonts w:hint="eastAsia" w:ascii="Times New Roman" w:hAnsi="Times New Roman" w:eastAsia="仿宋_GB2312" w:cs="仿宋_GB2312"/>
          <w:color w:val="auto"/>
          <w:kern w:val="2"/>
          <w:sz w:val="32"/>
          <w:szCs w:val="32"/>
        </w:rPr>
        <w:t>9.</w:t>
      </w:r>
      <w:r>
        <w:rPr>
          <w:rFonts w:hint="eastAsia" w:ascii="Times New Roman" w:hAnsi="Times New Roman" w:eastAsia="仿宋_GB2312" w:cs="仿宋_GB2312"/>
          <w:b/>
          <w:bCs/>
          <w:color w:val="auto"/>
          <w:kern w:val="2"/>
          <w:sz w:val="32"/>
          <w:szCs w:val="32"/>
        </w:rPr>
        <w:t>一般公共服务支出（类）党委办公厅（室）及相关机构事务（款）其他党委办公厅（室）及相关机构事务支出（项）</w:t>
      </w:r>
      <w:r>
        <w:rPr>
          <w:rFonts w:hint="eastAsia" w:ascii="Times New Roman" w:hAnsi="Times New Roman" w:eastAsia="仿宋_GB2312" w:cs="仿宋_GB2312"/>
          <w:color w:val="auto"/>
          <w:kern w:val="2"/>
          <w:sz w:val="32"/>
          <w:szCs w:val="32"/>
        </w:rPr>
        <w:t>：</w:t>
      </w:r>
      <w:r>
        <w:rPr>
          <w:rFonts w:hint="eastAsia" w:ascii="仿宋_GB2312" w:eastAsia="仿宋_GB2312"/>
          <w:color w:val="auto"/>
          <w:sz w:val="32"/>
          <w:szCs w:val="32"/>
        </w:rPr>
        <w:t>指反映除上述项目以外其他用于党委办公厅（室）及相关机构事务支出。</w:t>
      </w:r>
    </w:p>
    <w:p w14:paraId="3149BAE4">
      <w:pPr>
        <w:pStyle w:val="27"/>
        <w:spacing w:line="56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10</w:t>
      </w:r>
      <w:r>
        <w:rPr>
          <w:rFonts w:hint="eastAsia" w:ascii="Times New Roman" w:hAnsi="Times New Roman" w:eastAsia="仿宋_GB2312" w:cs="仿宋_GB2312"/>
          <w:color w:val="auto"/>
          <w:kern w:val="2"/>
          <w:sz w:val="32"/>
          <w:szCs w:val="32"/>
        </w:rPr>
        <w:t>.</w:t>
      </w:r>
      <w:r>
        <w:rPr>
          <w:rFonts w:hint="eastAsia" w:ascii="Times New Roman" w:hAnsi="Times New Roman" w:eastAsia="仿宋_GB2312" w:cs="仿宋_GB2312"/>
          <w:b/>
          <w:bCs/>
          <w:color w:val="auto"/>
          <w:kern w:val="2"/>
          <w:sz w:val="32"/>
          <w:szCs w:val="32"/>
        </w:rPr>
        <w:t>一般公共服务支出（类）信访事务（款）行政运行（项）</w:t>
      </w:r>
      <w:r>
        <w:rPr>
          <w:rFonts w:hint="eastAsia" w:ascii="Times New Roman" w:hAnsi="Times New Roman" w:eastAsia="仿宋_GB2312" w:cs="仿宋_GB2312"/>
          <w:color w:val="auto"/>
          <w:kern w:val="2"/>
          <w:sz w:val="32"/>
          <w:szCs w:val="32"/>
        </w:rPr>
        <w:t>：</w:t>
      </w:r>
      <w:r>
        <w:rPr>
          <w:rFonts w:hint="eastAsia" w:ascii="仿宋_GB2312" w:eastAsia="仿宋_GB2312"/>
          <w:color w:val="auto"/>
          <w:sz w:val="32"/>
          <w:szCs w:val="32"/>
        </w:rPr>
        <w:t>指反映行政单位（包括实行公务员管理的事业单位）的基本支出。</w:t>
      </w:r>
    </w:p>
    <w:p w14:paraId="74938DD3">
      <w:pPr>
        <w:pStyle w:val="27"/>
        <w:spacing w:line="56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11</w:t>
      </w:r>
      <w:r>
        <w:rPr>
          <w:rFonts w:hint="eastAsia" w:ascii="Times New Roman" w:hAnsi="Times New Roman" w:eastAsia="仿宋_GB2312" w:cs="仿宋_GB2312"/>
          <w:color w:val="auto"/>
          <w:kern w:val="2"/>
          <w:sz w:val="32"/>
          <w:szCs w:val="32"/>
        </w:rPr>
        <w:t>.</w:t>
      </w:r>
      <w:r>
        <w:rPr>
          <w:rFonts w:hint="eastAsia" w:ascii="Times New Roman" w:hAnsi="Times New Roman" w:eastAsia="仿宋_GB2312" w:cs="仿宋_GB2312"/>
          <w:b/>
          <w:bCs/>
          <w:color w:val="auto"/>
          <w:kern w:val="2"/>
          <w:sz w:val="32"/>
          <w:szCs w:val="32"/>
        </w:rPr>
        <w:t>一般公共服务支出（类）信访事务（款）信访业务（项）：</w:t>
      </w:r>
      <w:r>
        <w:rPr>
          <w:rFonts w:hint="eastAsia" w:ascii="仿宋_GB2312" w:eastAsia="仿宋_GB2312"/>
          <w:color w:val="auto"/>
          <w:sz w:val="32"/>
          <w:szCs w:val="32"/>
        </w:rPr>
        <w:t>指反映各级政府在信访工作方面的相关支出。</w:t>
      </w:r>
    </w:p>
    <w:p w14:paraId="5BB4BF0D">
      <w:pPr>
        <w:spacing w:line="600" w:lineRule="exact"/>
        <w:ind w:firstLine="640"/>
        <w:rPr>
          <w:rFonts w:eastAsia="仿宋_GB2312" w:cs="仿宋_GB2312"/>
          <w:sz w:val="32"/>
          <w:szCs w:val="32"/>
          <w:highlight w:val="yellow"/>
        </w:rPr>
      </w:pPr>
      <w:r>
        <w:rPr>
          <w:rFonts w:hint="eastAsia" w:eastAsia="仿宋_GB2312" w:cs="仿宋_GB2312"/>
          <w:sz w:val="32"/>
          <w:szCs w:val="32"/>
        </w:rPr>
        <w:t>12.</w:t>
      </w:r>
      <w:r>
        <w:rPr>
          <w:rFonts w:hint="eastAsia" w:eastAsia="仿宋_GB2312" w:cs="仿宋_GB2312"/>
          <w:b/>
          <w:bCs/>
          <w:sz w:val="32"/>
          <w:szCs w:val="32"/>
        </w:rPr>
        <w:t>一般公共服务支出（类）信访事务（款）其他信访事务支出（项）：</w:t>
      </w:r>
      <w:r>
        <w:rPr>
          <w:rFonts w:hint="eastAsia" w:ascii="仿宋_GB2312" w:eastAsia="仿宋_GB2312"/>
          <w:sz w:val="32"/>
          <w:szCs w:val="32"/>
        </w:rPr>
        <w:t>指反映各级政务用于接待群众来信来访方面的支出。</w:t>
      </w:r>
    </w:p>
    <w:p w14:paraId="4012490A">
      <w:pPr>
        <w:pStyle w:val="27"/>
        <w:spacing w:line="56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13</w:t>
      </w:r>
      <w:r>
        <w:rPr>
          <w:rFonts w:hint="eastAsia" w:ascii="Times New Roman" w:hAnsi="Times New Roman" w:eastAsia="仿宋_GB2312" w:cs="仿宋_GB2312"/>
          <w:b/>
          <w:bCs/>
          <w:color w:val="auto"/>
          <w:kern w:val="2"/>
          <w:sz w:val="32"/>
          <w:szCs w:val="32"/>
        </w:rPr>
        <w:t>.社会保障和就业支出（类）行政事业单位养老支出（款）行政单位离退休（项）：</w:t>
      </w:r>
      <w:r>
        <w:rPr>
          <w:rFonts w:hint="eastAsia" w:ascii="仿宋_GB2312" w:eastAsia="仿宋_GB2312"/>
          <w:color w:val="auto"/>
          <w:sz w:val="32"/>
          <w:szCs w:val="32"/>
        </w:rPr>
        <w:t>指反映行政单位（包括实行公务员管理的事业单位）开支的离退休经费。</w:t>
      </w:r>
    </w:p>
    <w:p w14:paraId="1888CD04">
      <w:pPr>
        <w:spacing w:line="600" w:lineRule="exact"/>
        <w:ind w:firstLine="640"/>
        <w:rPr>
          <w:rFonts w:eastAsia="仿宋_GB2312" w:cs="仿宋_GB2312"/>
          <w:b/>
          <w:bCs/>
          <w:sz w:val="32"/>
          <w:szCs w:val="32"/>
        </w:rPr>
      </w:pPr>
      <w:r>
        <w:rPr>
          <w:rFonts w:hint="eastAsia" w:eastAsia="仿宋_GB2312" w:cs="仿宋_GB2312"/>
          <w:sz w:val="32"/>
          <w:szCs w:val="32"/>
        </w:rPr>
        <w:t>14.</w:t>
      </w:r>
      <w:r>
        <w:rPr>
          <w:rFonts w:hint="eastAsia" w:eastAsia="仿宋_GB2312" w:cs="仿宋_GB2312"/>
          <w:b/>
          <w:bCs/>
          <w:sz w:val="32"/>
          <w:szCs w:val="32"/>
        </w:rPr>
        <w:t>社会保障和就业支出（类）行政事业单位养老支出（款）</w:t>
      </w:r>
    </w:p>
    <w:p w14:paraId="532DD7C3">
      <w:pPr>
        <w:pStyle w:val="27"/>
        <w:spacing w:line="560" w:lineRule="exact"/>
        <w:ind w:firstLine="643" w:firstLineChars="200"/>
        <w:rPr>
          <w:rFonts w:ascii="仿宋_GB2312" w:eastAsia="仿宋_GB2312"/>
          <w:color w:val="auto"/>
          <w:sz w:val="32"/>
          <w:szCs w:val="32"/>
        </w:rPr>
      </w:pPr>
      <w:r>
        <w:rPr>
          <w:rFonts w:hint="eastAsia" w:ascii="Times New Roman" w:hAnsi="Times New Roman" w:eastAsia="仿宋_GB2312" w:cs="仿宋_GB2312"/>
          <w:b/>
          <w:bCs/>
          <w:color w:val="auto"/>
          <w:kern w:val="2"/>
          <w:sz w:val="32"/>
          <w:szCs w:val="32"/>
        </w:rPr>
        <w:t>机关事业单位基本养老保险缴费支出（项）：</w:t>
      </w:r>
      <w:r>
        <w:rPr>
          <w:rFonts w:hint="eastAsia" w:ascii="仿宋_GB2312" w:eastAsia="仿宋_GB2312"/>
          <w:color w:val="auto"/>
          <w:sz w:val="32"/>
          <w:szCs w:val="32"/>
        </w:rPr>
        <w:t>指反映机关事业单位实施养老保险制度由单位缴纳的基本养老保险费支出。</w:t>
      </w:r>
    </w:p>
    <w:p w14:paraId="20BB2E5B">
      <w:pPr>
        <w:pStyle w:val="27"/>
        <w:spacing w:line="56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15</w:t>
      </w:r>
      <w:r>
        <w:rPr>
          <w:rFonts w:hint="eastAsia" w:eastAsia="仿宋_GB2312" w:cs="仿宋_GB2312"/>
          <w:b/>
          <w:bCs/>
          <w:color w:val="auto"/>
          <w:kern w:val="2"/>
          <w:sz w:val="32"/>
          <w:szCs w:val="32"/>
        </w:rPr>
        <w:t>.</w:t>
      </w:r>
      <w:r>
        <w:rPr>
          <w:rFonts w:hint="eastAsia" w:ascii="Times New Roman" w:hAnsi="Times New Roman" w:eastAsia="仿宋_GB2312" w:cs="仿宋_GB2312"/>
          <w:b/>
          <w:bCs/>
          <w:color w:val="auto"/>
          <w:kern w:val="2"/>
          <w:sz w:val="32"/>
          <w:szCs w:val="32"/>
        </w:rPr>
        <w:t>卫生健康支出（类）行政事业单位医疗（款）行政单位医疗（项）：</w:t>
      </w:r>
      <w:r>
        <w:rPr>
          <w:rFonts w:hint="eastAsia" w:ascii="仿宋_GB2312" w:eastAsia="仿宋_GB2312"/>
          <w:color w:val="auto"/>
          <w:sz w:val="32"/>
          <w:szCs w:val="32"/>
        </w:rPr>
        <w:t>指反映行政单位（包括实行公务员管理的事业单位，下同）基本医疗保险缴费经费，未参加医疗保险的行政单位的公费医疗经费，按国家规定享受离休人员、红军老战士待遇人员的医疗经费。</w:t>
      </w:r>
    </w:p>
    <w:p w14:paraId="47EE1CB8">
      <w:pPr>
        <w:pStyle w:val="27"/>
        <w:spacing w:line="56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16</w:t>
      </w:r>
      <w:r>
        <w:rPr>
          <w:rFonts w:hint="eastAsia" w:eastAsia="仿宋_GB2312" w:cs="仿宋_GB2312"/>
          <w:b/>
          <w:bCs/>
          <w:color w:val="auto"/>
          <w:kern w:val="2"/>
          <w:sz w:val="32"/>
          <w:szCs w:val="32"/>
        </w:rPr>
        <w:t>.</w:t>
      </w:r>
      <w:r>
        <w:rPr>
          <w:rFonts w:hint="eastAsia" w:ascii="Times New Roman" w:hAnsi="Times New Roman" w:eastAsia="仿宋_GB2312" w:cs="仿宋_GB2312"/>
          <w:b/>
          <w:bCs/>
          <w:color w:val="auto"/>
          <w:kern w:val="2"/>
          <w:sz w:val="32"/>
          <w:szCs w:val="32"/>
        </w:rPr>
        <w:t>卫生健康支出（类）行政事业单位医疗（款）事业单位医疗（项）：</w:t>
      </w:r>
      <w:r>
        <w:rPr>
          <w:rFonts w:hint="eastAsia" w:ascii="仿宋_GB2312" w:eastAsia="仿宋_GB2312"/>
          <w:color w:val="auto"/>
          <w:sz w:val="32"/>
          <w:szCs w:val="32"/>
        </w:rPr>
        <w:t>指反映财政部门安排的事业单位基本医疗保险缴费经费，未参加医疗保险的事业单位的公费医疗经费，按国家规定享受离休人员待遇的医疗经费。</w:t>
      </w:r>
    </w:p>
    <w:p w14:paraId="14D09983">
      <w:pPr>
        <w:spacing w:line="600" w:lineRule="exact"/>
        <w:ind w:firstLine="640"/>
        <w:rPr>
          <w:rFonts w:eastAsia="仿宋_GB2312" w:cs="仿宋_GB2312"/>
          <w:sz w:val="32"/>
          <w:szCs w:val="32"/>
        </w:rPr>
      </w:pPr>
      <w:r>
        <w:rPr>
          <w:rFonts w:hint="eastAsia" w:eastAsia="仿宋_GB2312" w:cs="仿宋_GB2312"/>
          <w:sz w:val="32"/>
          <w:szCs w:val="32"/>
        </w:rPr>
        <w:t>17</w:t>
      </w:r>
      <w:r>
        <w:rPr>
          <w:rFonts w:hint="eastAsia" w:eastAsia="仿宋_GB2312" w:cs="仿宋_GB2312"/>
          <w:b/>
          <w:bCs/>
          <w:sz w:val="32"/>
          <w:szCs w:val="32"/>
        </w:rPr>
        <w:t>.卫生健康支出（类）行政事业单位医疗（款）公务员医疗补助（项）：</w:t>
      </w:r>
      <w:r>
        <w:rPr>
          <w:rFonts w:hint="eastAsia" w:ascii="仿宋_GB2312" w:eastAsia="仿宋_GB2312"/>
          <w:sz w:val="32"/>
          <w:szCs w:val="32"/>
        </w:rPr>
        <w:t>指反映财政部门安排的公务员医疗补助经费。</w:t>
      </w:r>
    </w:p>
    <w:p w14:paraId="219DE1D3">
      <w:pPr>
        <w:pStyle w:val="27"/>
        <w:spacing w:line="56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18</w:t>
      </w:r>
      <w:r>
        <w:rPr>
          <w:rFonts w:hint="eastAsia" w:ascii="Times New Roman" w:hAnsi="Times New Roman" w:eastAsia="仿宋_GB2312" w:cs="仿宋_GB2312"/>
          <w:b/>
          <w:bCs/>
          <w:color w:val="auto"/>
          <w:kern w:val="2"/>
          <w:sz w:val="32"/>
          <w:szCs w:val="32"/>
        </w:rPr>
        <w:t>.住房保障支出（类）住房改革支出（款）住房公积金（项）：</w:t>
      </w:r>
      <w:r>
        <w:rPr>
          <w:rFonts w:hint="eastAsia" w:ascii="仿宋_GB2312" w:eastAsia="仿宋_GB2312"/>
          <w:color w:val="auto"/>
          <w:sz w:val="32"/>
          <w:szCs w:val="32"/>
        </w:rPr>
        <w:t>指反映行政事业单位按人力资源和社会保障部、财政部规定的基本工资和津贴补贴以及规定比例为职工缴纳的住房公积金。</w:t>
      </w:r>
    </w:p>
    <w:p w14:paraId="40ED2E13">
      <w:pPr>
        <w:spacing w:line="600" w:lineRule="exact"/>
        <w:ind w:firstLine="640"/>
        <w:rPr>
          <w:rFonts w:eastAsia="仿宋_GB2312" w:cs="仿宋_GB2312"/>
          <w:sz w:val="32"/>
          <w:szCs w:val="32"/>
        </w:rPr>
      </w:pPr>
      <w:r>
        <w:rPr>
          <w:rFonts w:hint="eastAsia" w:eastAsia="仿宋_GB2312" w:cs="仿宋_GB2312"/>
          <w:sz w:val="32"/>
          <w:szCs w:val="32"/>
        </w:rPr>
        <w:t>19.基本支出：指为保障机构正常运转、完成日常工作任务而发生的人员支出和公用支出。</w:t>
      </w:r>
    </w:p>
    <w:p w14:paraId="660D613F">
      <w:pPr>
        <w:spacing w:line="600" w:lineRule="exact"/>
        <w:ind w:firstLine="640"/>
        <w:rPr>
          <w:rFonts w:eastAsia="仿宋_GB2312" w:cs="仿宋_GB2312"/>
          <w:sz w:val="32"/>
          <w:szCs w:val="32"/>
        </w:rPr>
      </w:pPr>
      <w:r>
        <w:rPr>
          <w:rFonts w:hint="eastAsia" w:eastAsia="仿宋_GB2312" w:cs="仿宋_GB2312"/>
          <w:sz w:val="32"/>
          <w:szCs w:val="32"/>
        </w:rPr>
        <w:t xml:space="preserve">20.项目支出：指在基本支出之外为完成特定行政任务和事业发展目标所发生的支出。 </w:t>
      </w:r>
    </w:p>
    <w:p w14:paraId="2A589FA1">
      <w:pPr>
        <w:spacing w:line="600" w:lineRule="exact"/>
        <w:ind w:firstLine="640"/>
        <w:rPr>
          <w:rFonts w:eastAsia="仿宋_GB2312" w:cs="仿宋_GB2312"/>
          <w:sz w:val="32"/>
          <w:szCs w:val="32"/>
        </w:rPr>
      </w:pPr>
      <w:r>
        <w:rPr>
          <w:rFonts w:hint="eastAsia" w:eastAsia="仿宋_GB2312" w:cs="仿宋_GB2312"/>
          <w:sz w:val="32"/>
          <w:szCs w:val="32"/>
        </w:rPr>
        <w:t>21.经营支出：指事业单位在专业业务活动及其辅助活动之外开展非独立核算经营活动发生的支出。</w:t>
      </w:r>
    </w:p>
    <w:p w14:paraId="24F0B2FD">
      <w:pPr>
        <w:spacing w:line="600" w:lineRule="exact"/>
        <w:ind w:firstLine="640"/>
        <w:rPr>
          <w:rFonts w:eastAsia="仿宋_GB2312" w:cs="仿宋_GB2312"/>
          <w:sz w:val="32"/>
          <w:szCs w:val="32"/>
        </w:rPr>
      </w:pPr>
      <w:r>
        <w:rPr>
          <w:rFonts w:hint="eastAsia" w:eastAsia="仿宋_GB2312" w:cs="仿宋_GB2312"/>
          <w:sz w:val="32"/>
          <w:szCs w:val="32"/>
        </w:rPr>
        <w:t>22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10F6309">
      <w:pPr>
        <w:spacing w:line="600" w:lineRule="exact"/>
        <w:ind w:firstLine="640"/>
        <w:rPr>
          <w:rFonts w:eastAsia="仿宋_GB2312" w:cs="仿宋_GB2312"/>
          <w:sz w:val="32"/>
          <w:szCs w:val="32"/>
        </w:rPr>
      </w:pPr>
      <w:r>
        <w:rPr>
          <w:rFonts w:hint="eastAsia" w:eastAsia="仿宋_GB2312" w:cs="仿宋_GB2312"/>
          <w:sz w:val="32"/>
          <w:szCs w:val="32"/>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5722EB">
      <w:pPr>
        <w:spacing w:line="600" w:lineRule="exact"/>
        <w:jc w:val="center"/>
        <w:rPr>
          <w:rFonts w:eastAsia="黑体"/>
          <w:sz w:val="44"/>
          <w:szCs w:val="44"/>
        </w:rPr>
      </w:pPr>
      <w:bookmarkStart w:id="45" w:name="_Toc15396614"/>
      <w:bookmarkStart w:id="46" w:name="_Toc15377226"/>
    </w:p>
    <w:p w14:paraId="57E35242">
      <w:pPr>
        <w:spacing w:line="600" w:lineRule="exact"/>
        <w:jc w:val="center"/>
        <w:rPr>
          <w:rFonts w:eastAsia="黑体"/>
          <w:sz w:val="44"/>
          <w:szCs w:val="44"/>
        </w:rPr>
      </w:pPr>
    </w:p>
    <w:p w14:paraId="46D7935B">
      <w:pPr>
        <w:spacing w:line="600" w:lineRule="exact"/>
        <w:jc w:val="center"/>
        <w:rPr>
          <w:rFonts w:eastAsia="黑体"/>
          <w:sz w:val="44"/>
          <w:szCs w:val="44"/>
        </w:rPr>
      </w:pPr>
    </w:p>
    <w:p w14:paraId="573CDAAE">
      <w:pPr>
        <w:spacing w:line="600" w:lineRule="exact"/>
        <w:jc w:val="center"/>
        <w:rPr>
          <w:rFonts w:eastAsia="黑体"/>
          <w:sz w:val="44"/>
          <w:szCs w:val="44"/>
        </w:rPr>
      </w:pPr>
    </w:p>
    <w:p w14:paraId="549E3022">
      <w:pPr>
        <w:spacing w:line="600" w:lineRule="exact"/>
        <w:jc w:val="center"/>
        <w:rPr>
          <w:rFonts w:eastAsia="黑体"/>
          <w:sz w:val="44"/>
          <w:szCs w:val="44"/>
        </w:rPr>
      </w:pPr>
    </w:p>
    <w:p w14:paraId="53A969E8">
      <w:pPr>
        <w:spacing w:line="600" w:lineRule="exact"/>
        <w:jc w:val="center"/>
        <w:rPr>
          <w:rFonts w:eastAsia="黑体"/>
          <w:sz w:val="44"/>
          <w:szCs w:val="44"/>
        </w:rPr>
      </w:pPr>
    </w:p>
    <w:p w14:paraId="2550D627">
      <w:pPr>
        <w:spacing w:line="600" w:lineRule="exact"/>
        <w:jc w:val="center"/>
        <w:rPr>
          <w:rFonts w:eastAsia="黑体"/>
          <w:sz w:val="44"/>
          <w:szCs w:val="44"/>
        </w:rPr>
      </w:pPr>
    </w:p>
    <w:p w14:paraId="29346D16">
      <w:pPr>
        <w:spacing w:line="600" w:lineRule="exact"/>
        <w:jc w:val="center"/>
        <w:rPr>
          <w:rFonts w:eastAsia="黑体"/>
          <w:sz w:val="44"/>
          <w:szCs w:val="44"/>
        </w:rPr>
      </w:pPr>
    </w:p>
    <w:p w14:paraId="5B49B371">
      <w:pPr>
        <w:spacing w:line="600" w:lineRule="exact"/>
        <w:jc w:val="center"/>
        <w:rPr>
          <w:rFonts w:eastAsia="黑体"/>
          <w:sz w:val="44"/>
          <w:szCs w:val="44"/>
        </w:rPr>
      </w:pPr>
    </w:p>
    <w:p w14:paraId="3575D6B6">
      <w:pPr>
        <w:spacing w:line="600" w:lineRule="exact"/>
        <w:jc w:val="center"/>
        <w:rPr>
          <w:rStyle w:val="29"/>
          <w:rFonts w:eastAsia="黑体"/>
          <w:b w:val="0"/>
        </w:rPr>
      </w:pPr>
      <w:r>
        <w:rPr>
          <w:rFonts w:hint="eastAsia" w:eastAsia="黑体"/>
          <w:sz w:val="44"/>
          <w:szCs w:val="44"/>
        </w:rPr>
        <w:t>第四部分  附件</w:t>
      </w:r>
      <w:bookmarkEnd w:id="45"/>
    </w:p>
    <w:p w14:paraId="04BAC3BC">
      <w:pPr>
        <w:spacing w:line="572" w:lineRule="exact"/>
        <w:jc w:val="left"/>
        <w:outlineLvl w:val="0"/>
        <w:rPr>
          <w:rFonts w:eastAsia="黑体" w:cs="黑体"/>
          <w:color w:val="FF0000"/>
          <w:sz w:val="32"/>
          <w:szCs w:val="32"/>
        </w:rPr>
      </w:pPr>
    </w:p>
    <w:p w14:paraId="0BF3BEF1">
      <w:pPr>
        <w:spacing w:line="572" w:lineRule="exact"/>
        <w:jc w:val="left"/>
        <w:outlineLvl w:val="0"/>
        <w:rPr>
          <w:rFonts w:eastAsia="黑体" w:cs="方正小标宋简体"/>
          <w:sz w:val="44"/>
          <w:szCs w:val="44"/>
        </w:rPr>
      </w:pPr>
      <w:r>
        <w:rPr>
          <w:rFonts w:hint="eastAsia" w:eastAsia="黑体" w:cs="黑体"/>
          <w:sz w:val="32"/>
          <w:szCs w:val="32"/>
        </w:rPr>
        <w:t>附件1</w:t>
      </w:r>
    </w:p>
    <w:p w14:paraId="20F0ED82">
      <w:pPr>
        <w:widowControl/>
        <w:spacing w:line="760" w:lineRule="exact"/>
        <w:contextualSpacing/>
        <w:jc w:val="center"/>
        <w:rPr>
          <w:rFonts w:hint="eastAsia" w:ascii="宋体" w:hAnsi="宋体" w:cs="方正小标宋_GBK"/>
          <w:b/>
          <w:bCs/>
          <w:sz w:val="36"/>
          <w:szCs w:val="36"/>
        </w:rPr>
      </w:pPr>
      <w:r>
        <w:rPr>
          <w:rFonts w:ascii="宋体" w:hAnsi="宋体" w:cs="方正小标宋_GBK"/>
          <w:b/>
          <w:bCs/>
          <w:sz w:val="36"/>
          <w:szCs w:val="36"/>
        </w:rPr>
        <w:t>攀枝花市仁和区</w:t>
      </w:r>
      <w:r>
        <w:rPr>
          <w:rFonts w:hint="eastAsia" w:ascii="宋体" w:hAnsi="宋体" w:cs="宋体"/>
          <w:b/>
          <w:bCs/>
          <w:sz w:val="36"/>
          <w:szCs w:val="36"/>
        </w:rPr>
        <w:t>信访局</w:t>
      </w:r>
    </w:p>
    <w:p w14:paraId="55D4526B">
      <w:pPr>
        <w:widowControl/>
        <w:spacing w:line="760" w:lineRule="exact"/>
        <w:contextualSpacing/>
        <w:jc w:val="center"/>
        <w:rPr>
          <w:rFonts w:hint="eastAsia" w:ascii="宋体" w:hAnsi="宋体" w:cs="方正小标宋_GBK"/>
          <w:b/>
          <w:bCs/>
          <w:sz w:val="36"/>
          <w:szCs w:val="36"/>
        </w:rPr>
      </w:pPr>
      <w:r>
        <w:rPr>
          <w:rFonts w:hint="eastAsia" w:ascii="宋体" w:hAnsi="宋体" w:cs="方正小标宋_GBK"/>
          <w:b/>
          <w:bCs/>
          <w:sz w:val="36"/>
          <w:szCs w:val="36"/>
        </w:rPr>
        <w:t>2024年度整体支出绩效评价报告</w:t>
      </w:r>
    </w:p>
    <w:p w14:paraId="4D6AA392">
      <w:pPr>
        <w:widowControl/>
        <w:adjustRightInd w:val="0"/>
        <w:snapToGrid w:val="0"/>
        <w:spacing w:line="580" w:lineRule="exact"/>
        <w:ind w:firstLine="562" w:firstLineChars="200"/>
        <w:contextualSpacing/>
        <w:jc w:val="left"/>
        <w:rPr>
          <w:rFonts w:hint="eastAsia" w:ascii="宋体" w:hAnsi="宋体" w:cs="黑体"/>
          <w:b/>
          <w:bCs/>
          <w:color w:val="000000"/>
          <w:kern w:val="0"/>
          <w:sz w:val="28"/>
          <w:szCs w:val="28"/>
          <w:shd w:val="clear" w:color="auto" w:fill="FFFFFF"/>
          <w:lang w:val="zh-CN"/>
        </w:rPr>
      </w:pPr>
      <w:r>
        <w:rPr>
          <w:rFonts w:hint="eastAsia" w:ascii="宋体" w:hAnsi="宋体" w:cs="黑体"/>
          <w:b/>
          <w:bCs/>
          <w:color w:val="000000"/>
          <w:kern w:val="0"/>
          <w:sz w:val="28"/>
          <w:szCs w:val="28"/>
          <w:shd w:val="clear" w:color="auto" w:fill="FFFFFF"/>
        </w:rPr>
        <w:t>一、</w:t>
      </w:r>
      <w:r>
        <w:rPr>
          <w:rFonts w:hint="eastAsia" w:ascii="宋体" w:hAnsi="宋体" w:cs="黑体"/>
          <w:b/>
          <w:bCs/>
          <w:color w:val="000000"/>
          <w:kern w:val="0"/>
          <w:sz w:val="28"/>
          <w:szCs w:val="28"/>
          <w:shd w:val="clear" w:color="auto" w:fill="FFFFFF"/>
          <w:lang w:val="zh-CN"/>
        </w:rPr>
        <w:t>部门（单位）概况</w:t>
      </w:r>
    </w:p>
    <w:p w14:paraId="0F11E392">
      <w:pPr>
        <w:widowControl/>
        <w:adjustRightInd w:val="0"/>
        <w:snapToGrid w:val="0"/>
        <w:spacing w:line="580" w:lineRule="exact"/>
        <w:ind w:firstLine="562" w:firstLineChars="200"/>
        <w:contextualSpacing/>
        <w:jc w:val="left"/>
        <w:rPr>
          <w:rFonts w:hint="eastAsia" w:ascii="宋体" w:hAnsi="宋体"/>
          <w:b/>
          <w:bCs/>
          <w:color w:val="000000"/>
          <w:kern w:val="0"/>
          <w:sz w:val="28"/>
          <w:szCs w:val="28"/>
          <w:shd w:val="clear" w:color="auto" w:fill="FFFFFF"/>
          <w:lang w:val="zh-CN"/>
        </w:rPr>
      </w:pPr>
      <w:r>
        <w:rPr>
          <w:rFonts w:ascii="宋体" w:hAnsi="宋体"/>
          <w:b/>
          <w:bCs/>
          <w:color w:val="000000"/>
          <w:kern w:val="0"/>
          <w:sz w:val="28"/>
          <w:szCs w:val="28"/>
          <w:shd w:val="clear" w:color="auto" w:fill="FFFFFF"/>
          <w:lang w:val="zh-CN"/>
        </w:rPr>
        <w:t>（一）机构组成。</w:t>
      </w:r>
    </w:p>
    <w:p w14:paraId="3C540F1D">
      <w:pPr>
        <w:widowControl/>
        <w:adjustRightInd w:val="0"/>
        <w:snapToGrid w:val="0"/>
        <w:spacing w:line="720" w:lineRule="exact"/>
        <w:ind w:firstLine="560" w:firstLineChars="200"/>
        <w:contextualSpacing/>
        <w:jc w:val="left"/>
        <w:rPr>
          <w:rFonts w:hint="eastAsia" w:ascii="宋体" w:hAnsi="宋体" w:cs="微软雅黑"/>
          <w:color w:val="000000"/>
          <w:kern w:val="0"/>
          <w:sz w:val="28"/>
          <w:szCs w:val="28"/>
          <w:shd w:val="clear" w:color="auto" w:fill="FFFFFF"/>
          <w:lang w:val="zh-CN"/>
        </w:rPr>
      </w:pPr>
      <w:r>
        <w:rPr>
          <w:rFonts w:hint="eastAsia" w:ascii="宋体" w:hAnsi="宋体" w:cs="微软雅黑"/>
          <w:color w:val="000000"/>
          <w:kern w:val="0"/>
          <w:sz w:val="28"/>
          <w:szCs w:val="28"/>
          <w:shd w:val="clear" w:color="auto" w:fill="FFFFFF"/>
          <w:lang w:val="zh-CN"/>
        </w:rPr>
        <w:t>攀枝花市仁和区信访局（简称区信访局）是攀枝花市仁和区人民政府工作部门，</w:t>
      </w:r>
      <w:r>
        <w:rPr>
          <w:rFonts w:ascii="宋体" w:hAnsi="宋体" w:cs="微软雅黑"/>
          <w:color w:val="000000"/>
          <w:kern w:val="0"/>
          <w:sz w:val="28"/>
          <w:szCs w:val="28"/>
          <w:shd w:val="clear" w:color="auto" w:fill="FFFFFF"/>
          <w:lang w:val="zh-CN"/>
        </w:rPr>
        <w:t>为正科级，下设办公室和业务股。</w:t>
      </w:r>
    </w:p>
    <w:p w14:paraId="7FD4926A">
      <w:pPr>
        <w:widowControl/>
        <w:adjustRightInd w:val="0"/>
        <w:snapToGrid w:val="0"/>
        <w:spacing w:line="580" w:lineRule="exact"/>
        <w:ind w:firstLine="562" w:firstLineChars="200"/>
        <w:contextualSpacing/>
        <w:jc w:val="left"/>
        <w:rPr>
          <w:rFonts w:hint="eastAsia" w:ascii="宋体" w:hAnsi="宋体" w:cs="微软雅黑"/>
          <w:b/>
          <w:bCs/>
          <w:color w:val="000000"/>
          <w:kern w:val="0"/>
          <w:sz w:val="28"/>
          <w:szCs w:val="28"/>
          <w:shd w:val="clear" w:color="auto" w:fill="FFFFFF"/>
          <w:lang w:val="zh-CN"/>
        </w:rPr>
      </w:pPr>
      <w:r>
        <w:rPr>
          <w:rFonts w:hint="eastAsia" w:ascii="宋体" w:hAnsi="宋体" w:cs="微软雅黑"/>
          <w:b/>
          <w:bCs/>
          <w:color w:val="000000"/>
          <w:kern w:val="0"/>
          <w:sz w:val="28"/>
          <w:szCs w:val="28"/>
          <w:shd w:val="clear" w:color="auto" w:fill="FFFFFF"/>
          <w:lang w:val="zh-CN"/>
        </w:rPr>
        <w:t>（二）</w:t>
      </w:r>
      <w:r>
        <w:rPr>
          <w:rFonts w:ascii="宋体" w:hAnsi="宋体" w:cs="微软雅黑"/>
          <w:b/>
          <w:bCs/>
          <w:color w:val="000000"/>
          <w:kern w:val="0"/>
          <w:sz w:val="28"/>
          <w:szCs w:val="28"/>
          <w:shd w:val="clear" w:color="auto" w:fill="FFFFFF"/>
          <w:lang w:val="zh-CN"/>
        </w:rPr>
        <w:t>机构职能。</w:t>
      </w:r>
    </w:p>
    <w:p w14:paraId="1901E645">
      <w:pPr>
        <w:widowControl/>
        <w:adjustRightInd w:val="0"/>
        <w:snapToGrid w:val="0"/>
        <w:spacing w:line="580" w:lineRule="exact"/>
        <w:ind w:firstLine="560" w:firstLineChars="200"/>
        <w:contextualSpacing/>
        <w:jc w:val="left"/>
        <w:rPr>
          <w:rFonts w:hint="eastAsia" w:ascii="宋体" w:hAnsi="宋体"/>
          <w:sz w:val="28"/>
          <w:szCs w:val="28"/>
        </w:rPr>
      </w:pPr>
      <w:r>
        <w:rPr>
          <w:rFonts w:ascii="宋体" w:hAnsi="宋体"/>
          <w:sz w:val="28"/>
          <w:szCs w:val="28"/>
          <w:lang w:bidi="ar"/>
        </w:rPr>
        <w:t>1.贯彻落实党中央关于信访工作的方针政策和省委、市委、区委的决策部署，在履行职责过程中坚持和加强党对信访工作的集中统一领导。</w:t>
      </w:r>
      <w:r>
        <w:rPr>
          <w:rFonts w:ascii="宋体" w:hAnsi="宋体"/>
          <w:color w:val="000000"/>
          <w:sz w:val="28"/>
          <w:szCs w:val="28"/>
          <w:lang w:bidi="ar"/>
        </w:rPr>
        <w:t>起草有关信访工作的规范性文件；制定信访问题排查化解、风险评估等制度并组织实施，</w:t>
      </w:r>
      <w:r>
        <w:rPr>
          <w:rFonts w:ascii="宋体" w:hAnsi="宋体"/>
          <w:sz w:val="28"/>
          <w:szCs w:val="28"/>
          <w:lang w:bidi="ar"/>
        </w:rPr>
        <w:t>负责提出改进和加强信访工作的建议；负责本系统、本部门依法行政工作。</w:t>
      </w:r>
    </w:p>
    <w:p w14:paraId="78EB9EFC">
      <w:pPr>
        <w:spacing w:line="600" w:lineRule="exact"/>
        <w:ind w:firstLine="560" w:firstLineChars="200"/>
        <w:rPr>
          <w:rFonts w:hint="eastAsia" w:ascii="宋体" w:hAnsi="宋体"/>
          <w:sz w:val="28"/>
          <w:szCs w:val="28"/>
        </w:rPr>
      </w:pPr>
      <w:r>
        <w:rPr>
          <w:rFonts w:ascii="宋体" w:hAnsi="宋体"/>
          <w:sz w:val="28"/>
          <w:szCs w:val="28"/>
          <w:lang w:bidi="ar"/>
        </w:rPr>
        <w:t>2.指导全区信访工作，督促检查各乡镇（街道）、区属各部门（单位）信访工作，总结推广信访工作经验，牵头完成信访工作宣传和信息发布。</w:t>
      </w:r>
    </w:p>
    <w:p w14:paraId="023F130D">
      <w:pPr>
        <w:spacing w:line="600" w:lineRule="exact"/>
        <w:ind w:firstLine="560" w:firstLineChars="200"/>
        <w:rPr>
          <w:rFonts w:hint="eastAsia" w:ascii="宋体" w:hAnsi="宋体"/>
          <w:sz w:val="28"/>
          <w:szCs w:val="28"/>
        </w:rPr>
      </w:pPr>
      <w:r>
        <w:rPr>
          <w:rFonts w:ascii="宋体" w:hAnsi="宋体"/>
          <w:sz w:val="28"/>
          <w:szCs w:val="28"/>
          <w:lang w:bidi="ar"/>
        </w:rPr>
        <w:t>3.负责处理区内外群众、境外人士、法人及其他组织通过信访渠道给区委、区政府及领导同志的来信来电，接待来访工作。</w:t>
      </w:r>
    </w:p>
    <w:p w14:paraId="48CA839B">
      <w:pPr>
        <w:spacing w:line="600" w:lineRule="exact"/>
        <w:ind w:firstLine="560" w:firstLineChars="200"/>
        <w:rPr>
          <w:rFonts w:hint="eastAsia" w:ascii="宋体" w:hAnsi="宋体"/>
          <w:color w:val="000000"/>
          <w:sz w:val="28"/>
          <w:szCs w:val="28"/>
        </w:rPr>
      </w:pPr>
      <w:r>
        <w:rPr>
          <w:rFonts w:ascii="宋体" w:hAnsi="宋体"/>
          <w:sz w:val="28"/>
          <w:szCs w:val="28"/>
          <w:lang w:bidi="ar"/>
        </w:rPr>
        <w:t>4.承担协调处理群众进京赴省到市、区集体上访和非接待场所上访的责任</w:t>
      </w:r>
      <w:r>
        <w:rPr>
          <w:rFonts w:ascii="宋体" w:hAnsi="宋体"/>
          <w:color w:val="000000"/>
          <w:sz w:val="28"/>
          <w:szCs w:val="28"/>
          <w:lang w:bidi="ar"/>
        </w:rPr>
        <w:t>，综合协调处理跨地区、跨部门的重要信访问题。</w:t>
      </w:r>
    </w:p>
    <w:p w14:paraId="1C27BFC2">
      <w:pPr>
        <w:spacing w:line="600" w:lineRule="exact"/>
        <w:ind w:firstLine="560" w:firstLineChars="200"/>
        <w:rPr>
          <w:rFonts w:hint="eastAsia" w:ascii="宋体" w:hAnsi="宋体"/>
          <w:sz w:val="28"/>
          <w:szCs w:val="28"/>
        </w:rPr>
      </w:pPr>
      <w:r>
        <w:rPr>
          <w:rFonts w:ascii="宋体" w:hAnsi="宋体"/>
          <w:sz w:val="28"/>
          <w:szCs w:val="28"/>
          <w:lang w:bidi="ar"/>
        </w:rPr>
        <w:t>5.负责向区委、区政府反映来信来电来访中提出的重要建议、意见和问题，综合研判信访信息，开展调查研究，提出相关处理建议。负责建立和完善信访信息汇集分析机制，指导信访工作信息化建设和应用。</w:t>
      </w:r>
    </w:p>
    <w:p w14:paraId="3BF435EA">
      <w:pPr>
        <w:spacing w:line="600" w:lineRule="exact"/>
        <w:ind w:firstLine="560" w:firstLineChars="200"/>
        <w:rPr>
          <w:rFonts w:hint="eastAsia" w:ascii="宋体" w:hAnsi="宋体"/>
          <w:sz w:val="28"/>
          <w:szCs w:val="28"/>
        </w:rPr>
      </w:pPr>
      <w:r>
        <w:rPr>
          <w:rFonts w:ascii="宋体" w:hAnsi="宋体"/>
          <w:sz w:val="28"/>
          <w:szCs w:val="28"/>
          <w:lang w:bidi="ar"/>
        </w:rPr>
        <w:t>6.承办上级批示交办信访事项，向各乡镇（街道）、区属各部门（单位）转办、交办信访事项，督促检查重要信访事项的处理和落实。</w:t>
      </w:r>
    </w:p>
    <w:p w14:paraId="22C533F1">
      <w:pPr>
        <w:spacing w:line="600" w:lineRule="exact"/>
        <w:ind w:firstLine="560" w:firstLineChars="200"/>
        <w:rPr>
          <w:rFonts w:hint="eastAsia" w:ascii="宋体" w:hAnsi="宋体"/>
          <w:sz w:val="28"/>
          <w:szCs w:val="28"/>
        </w:rPr>
      </w:pPr>
      <w:r>
        <w:rPr>
          <w:rFonts w:ascii="宋体" w:hAnsi="宋体"/>
          <w:sz w:val="28"/>
          <w:szCs w:val="28"/>
          <w:lang w:bidi="ar"/>
        </w:rPr>
        <w:t>7.承担区信访工作联席会议、区政府信访事项复查（复核）工作，督促落实有关事项。</w:t>
      </w:r>
    </w:p>
    <w:p w14:paraId="0266678A">
      <w:pPr>
        <w:spacing w:line="600" w:lineRule="exact"/>
        <w:ind w:firstLine="560" w:firstLineChars="200"/>
        <w:rPr>
          <w:rFonts w:hint="eastAsia" w:ascii="宋体" w:hAnsi="宋体"/>
          <w:sz w:val="28"/>
          <w:szCs w:val="28"/>
        </w:rPr>
      </w:pPr>
      <w:r>
        <w:rPr>
          <w:rFonts w:ascii="宋体" w:hAnsi="宋体"/>
          <w:sz w:val="28"/>
          <w:szCs w:val="28"/>
          <w:lang w:bidi="ar"/>
        </w:rPr>
        <w:t>8.承担网络投诉受理工作，负责对区党群一号通暨区群众意见受理中心市民投诉件（12345市民热线、四川省网上信访信息系统、“市长信箱”、区委书记信箱、区长信箱</w:t>
      </w:r>
      <w:r>
        <w:rPr>
          <w:rFonts w:ascii="宋体" w:hAnsi="宋体"/>
          <w:color w:val="000000"/>
          <w:sz w:val="28"/>
          <w:szCs w:val="28"/>
          <w:lang w:bidi="ar"/>
        </w:rPr>
        <w:t>等应用系统的投诉件</w:t>
      </w:r>
      <w:r>
        <w:rPr>
          <w:rFonts w:ascii="宋体" w:hAnsi="宋体"/>
          <w:sz w:val="28"/>
          <w:szCs w:val="28"/>
          <w:lang w:bidi="ar"/>
        </w:rPr>
        <w:t>）的受理、交办、督办、协调、处理等工作。</w:t>
      </w:r>
    </w:p>
    <w:p w14:paraId="2D9EDB72">
      <w:pPr>
        <w:spacing w:line="600" w:lineRule="exact"/>
        <w:ind w:firstLine="560" w:firstLineChars="200"/>
        <w:rPr>
          <w:rFonts w:hint="eastAsia" w:ascii="宋体" w:hAnsi="宋体"/>
          <w:sz w:val="28"/>
          <w:szCs w:val="28"/>
        </w:rPr>
      </w:pPr>
      <w:r>
        <w:rPr>
          <w:rFonts w:ascii="宋体" w:hAnsi="宋体"/>
          <w:sz w:val="28"/>
          <w:szCs w:val="28"/>
          <w:lang w:bidi="ar"/>
        </w:rPr>
        <w:t>9.负责职责范围内的安全生产和职业健康、生态环境保护、审批服务便民化等工作。按省、市要求，指导推进相对集中行政许可权改革。</w:t>
      </w:r>
    </w:p>
    <w:p w14:paraId="425574BD">
      <w:pPr>
        <w:spacing w:line="600" w:lineRule="exact"/>
        <w:ind w:firstLine="560" w:firstLineChars="200"/>
        <w:rPr>
          <w:rFonts w:hint="eastAsia" w:ascii="宋体" w:hAnsi="宋体"/>
          <w:color w:val="000000"/>
          <w:kern w:val="0"/>
          <w:sz w:val="28"/>
          <w:szCs w:val="28"/>
          <w:shd w:val="clear" w:color="auto" w:fill="FFFFFF"/>
        </w:rPr>
      </w:pPr>
      <w:r>
        <w:rPr>
          <w:rFonts w:ascii="宋体" w:hAnsi="宋体"/>
          <w:sz w:val="28"/>
          <w:szCs w:val="28"/>
          <w:lang w:bidi="ar"/>
        </w:rPr>
        <w:t>10.完成区委、区政府交办的其他任务。</w:t>
      </w:r>
    </w:p>
    <w:p w14:paraId="636C5CB6">
      <w:pPr>
        <w:widowControl/>
        <w:adjustRightInd w:val="0"/>
        <w:snapToGrid w:val="0"/>
        <w:spacing w:line="580" w:lineRule="exact"/>
        <w:ind w:firstLine="562" w:firstLineChars="200"/>
        <w:contextualSpacing/>
        <w:jc w:val="left"/>
        <w:rPr>
          <w:rFonts w:hint="eastAsia" w:ascii="宋体" w:hAnsi="宋体"/>
          <w:b/>
          <w:bCs/>
          <w:color w:val="000000"/>
          <w:kern w:val="0"/>
          <w:sz w:val="28"/>
          <w:szCs w:val="28"/>
          <w:shd w:val="clear" w:color="auto" w:fill="FFFFFF"/>
          <w:lang w:val="zh-CN"/>
        </w:rPr>
      </w:pPr>
      <w:r>
        <w:rPr>
          <w:rFonts w:ascii="宋体" w:hAnsi="宋体"/>
          <w:b/>
          <w:bCs/>
          <w:color w:val="000000"/>
          <w:kern w:val="0"/>
          <w:sz w:val="28"/>
          <w:szCs w:val="28"/>
          <w:shd w:val="clear" w:color="auto" w:fill="FFFFFF"/>
          <w:lang w:val="zh-CN"/>
        </w:rPr>
        <w:t>（三）人员概况。</w:t>
      </w:r>
    </w:p>
    <w:p w14:paraId="4F2D9B17">
      <w:pPr>
        <w:widowControl/>
        <w:adjustRightInd w:val="0"/>
        <w:snapToGrid w:val="0"/>
        <w:spacing w:line="720" w:lineRule="exact"/>
        <w:ind w:firstLine="560" w:firstLineChars="200"/>
        <w:contextualSpacing/>
        <w:jc w:val="left"/>
        <w:rPr>
          <w:rFonts w:hint="eastAsia" w:ascii="宋体" w:hAnsi="宋体" w:cs="微软雅黑"/>
          <w:color w:val="000000"/>
          <w:kern w:val="0"/>
          <w:sz w:val="28"/>
          <w:szCs w:val="28"/>
          <w:shd w:val="clear" w:color="auto" w:fill="FFFFFF"/>
          <w:lang w:val="zh-CN"/>
        </w:rPr>
      </w:pPr>
      <w:r>
        <w:rPr>
          <w:rFonts w:ascii="宋体" w:hAnsi="宋体" w:cs="微软雅黑"/>
          <w:color w:val="000000"/>
          <w:kern w:val="0"/>
          <w:sz w:val="28"/>
          <w:szCs w:val="28"/>
          <w:shd w:val="clear" w:color="auto" w:fill="FFFFFF"/>
          <w:lang w:val="zh-CN"/>
        </w:rPr>
        <w:t>区信访局行政编制3名（局长1名，副局长</w:t>
      </w:r>
      <w:r>
        <w:rPr>
          <w:rFonts w:hint="eastAsia" w:ascii="宋体" w:hAnsi="宋体" w:cs="微软雅黑"/>
          <w:color w:val="000000"/>
          <w:kern w:val="0"/>
          <w:sz w:val="28"/>
          <w:szCs w:val="28"/>
          <w:shd w:val="clear" w:color="auto" w:fill="FFFFFF"/>
        </w:rPr>
        <w:t>1</w:t>
      </w:r>
      <w:r>
        <w:rPr>
          <w:rFonts w:ascii="宋体" w:hAnsi="宋体" w:cs="微软雅黑"/>
          <w:color w:val="000000"/>
          <w:kern w:val="0"/>
          <w:sz w:val="28"/>
          <w:szCs w:val="28"/>
          <w:shd w:val="clear" w:color="auto" w:fill="FFFFFF"/>
          <w:lang w:val="zh-CN"/>
        </w:rPr>
        <w:t>名），实有人数</w:t>
      </w:r>
      <w:r>
        <w:rPr>
          <w:rFonts w:hint="eastAsia" w:ascii="宋体" w:hAnsi="宋体" w:cs="微软雅黑"/>
          <w:color w:val="000000"/>
          <w:kern w:val="0"/>
          <w:sz w:val="28"/>
          <w:szCs w:val="28"/>
          <w:shd w:val="clear" w:color="auto" w:fill="FFFFFF"/>
          <w:lang w:val="zh-CN"/>
        </w:rPr>
        <w:t>2</w:t>
      </w:r>
      <w:r>
        <w:rPr>
          <w:rFonts w:ascii="宋体" w:hAnsi="宋体" w:cs="微软雅黑"/>
          <w:color w:val="000000"/>
          <w:kern w:val="0"/>
          <w:sz w:val="28"/>
          <w:szCs w:val="28"/>
          <w:shd w:val="clear" w:color="auto" w:fill="FFFFFF"/>
          <w:lang w:val="zh-CN"/>
        </w:rPr>
        <w:t>名。机关工勤人员编制数1名，实有1</w:t>
      </w:r>
      <w:r>
        <w:rPr>
          <w:rFonts w:hint="eastAsia" w:ascii="宋体" w:hAnsi="宋体" w:cs="微软雅黑"/>
          <w:color w:val="000000"/>
          <w:kern w:val="0"/>
          <w:sz w:val="28"/>
          <w:szCs w:val="28"/>
          <w:shd w:val="clear" w:color="auto" w:fill="FFFFFF"/>
          <w:lang w:val="zh-CN"/>
        </w:rPr>
        <w:t xml:space="preserve"> </w:t>
      </w:r>
      <w:r>
        <w:rPr>
          <w:rFonts w:ascii="宋体" w:hAnsi="宋体" w:cs="微软雅黑"/>
          <w:color w:val="000000"/>
          <w:kern w:val="0"/>
          <w:sz w:val="28"/>
          <w:szCs w:val="28"/>
          <w:shd w:val="clear" w:color="auto" w:fill="FFFFFF"/>
          <w:lang w:val="zh-CN"/>
        </w:rPr>
        <w:t>名。全额拨款事业单位编制</w:t>
      </w:r>
      <w:r>
        <w:rPr>
          <w:rFonts w:hint="eastAsia" w:ascii="宋体" w:hAnsi="宋体" w:cs="微软雅黑"/>
          <w:color w:val="000000"/>
          <w:kern w:val="0"/>
          <w:sz w:val="28"/>
          <w:szCs w:val="28"/>
          <w:shd w:val="clear" w:color="auto" w:fill="FFFFFF"/>
        </w:rPr>
        <w:t>8</w:t>
      </w:r>
      <w:r>
        <w:rPr>
          <w:rFonts w:ascii="宋体" w:hAnsi="宋体" w:cs="微软雅黑"/>
          <w:color w:val="000000"/>
          <w:kern w:val="0"/>
          <w:sz w:val="28"/>
          <w:szCs w:val="28"/>
          <w:shd w:val="clear" w:color="auto" w:fill="FFFFFF"/>
          <w:lang w:val="zh-CN"/>
        </w:rPr>
        <w:t>名（副科级领导职数1名，事业管理岗8名），实有人数</w:t>
      </w:r>
      <w:r>
        <w:rPr>
          <w:rFonts w:hint="eastAsia" w:ascii="宋体" w:hAnsi="宋体" w:cs="微软雅黑"/>
          <w:color w:val="000000"/>
          <w:kern w:val="0"/>
          <w:sz w:val="28"/>
          <w:szCs w:val="28"/>
          <w:shd w:val="clear" w:color="auto" w:fill="FFFFFF"/>
          <w:lang w:val="zh-CN"/>
        </w:rPr>
        <w:t>8</w:t>
      </w:r>
      <w:r>
        <w:rPr>
          <w:rFonts w:ascii="宋体" w:hAnsi="宋体" w:cs="微软雅黑"/>
          <w:color w:val="000000"/>
          <w:kern w:val="0"/>
          <w:sz w:val="28"/>
          <w:szCs w:val="28"/>
          <w:shd w:val="clear" w:color="auto" w:fill="FFFFFF"/>
          <w:lang w:val="zh-CN"/>
        </w:rPr>
        <w:t>名。退休人员</w:t>
      </w:r>
      <w:r>
        <w:rPr>
          <w:rFonts w:hint="eastAsia" w:ascii="宋体" w:hAnsi="宋体" w:cs="微软雅黑"/>
          <w:color w:val="000000"/>
          <w:kern w:val="0"/>
          <w:sz w:val="28"/>
          <w:szCs w:val="28"/>
          <w:shd w:val="clear" w:color="auto" w:fill="FFFFFF"/>
          <w:lang w:val="zh-CN"/>
        </w:rPr>
        <w:t>2</w:t>
      </w:r>
      <w:r>
        <w:rPr>
          <w:rFonts w:ascii="宋体" w:hAnsi="宋体" w:cs="微软雅黑"/>
          <w:color w:val="000000"/>
          <w:kern w:val="0"/>
          <w:sz w:val="28"/>
          <w:szCs w:val="28"/>
          <w:shd w:val="clear" w:color="auto" w:fill="FFFFFF"/>
          <w:lang w:val="zh-CN"/>
        </w:rPr>
        <w:t>名。</w:t>
      </w:r>
    </w:p>
    <w:p w14:paraId="23A3AD8E">
      <w:pPr>
        <w:widowControl/>
        <w:adjustRightInd w:val="0"/>
        <w:snapToGrid w:val="0"/>
        <w:spacing w:line="578" w:lineRule="exact"/>
        <w:ind w:firstLine="562" w:firstLineChars="200"/>
        <w:contextualSpacing/>
        <w:jc w:val="left"/>
        <w:rPr>
          <w:rFonts w:hint="eastAsia" w:ascii="宋体" w:hAnsi="宋体"/>
          <w:b/>
          <w:bCs/>
          <w:color w:val="000000"/>
          <w:kern w:val="0"/>
          <w:sz w:val="28"/>
          <w:szCs w:val="28"/>
          <w:shd w:val="clear" w:color="auto" w:fill="FFFFFF"/>
        </w:rPr>
      </w:pPr>
      <w:r>
        <w:rPr>
          <w:rFonts w:ascii="宋体" w:hAnsi="宋体"/>
          <w:b/>
          <w:bCs/>
          <w:color w:val="000000"/>
          <w:kern w:val="0"/>
          <w:sz w:val="28"/>
          <w:szCs w:val="28"/>
          <w:shd w:val="clear" w:color="auto" w:fill="FFFFFF"/>
        </w:rPr>
        <w:t>二、部门资金收支情况</w:t>
      </w:r>
    </w:p>
    <w:p w14:paraId="5945DF26">
      <w:pPr>
        <w:snapToGrid w:val="0"/>
        <w:spacing w:line="360" w:lineRule="auto"/>
        <w:ind w:firstLine="562" w:firstLineChars="200"/>
        <w:rPr>
          <w:rFonts w:hint="eastAsia" w:ascii="宋体" w:hAnsi="宋体"/>
          <w:b/>
          <w:bCs/>
          <w:color w:val="000000"/>
          <w:kern w:val="0"/>
          <w:sz w:val="28"/>
          <w:szCs w:val="28"/>
          <w:shd w:val="clear" w:color="auto" w:fill="FFFFFF"/>
          <w:lang w:val="zh-CN"/>
        </w:rPr>
      </w:pPr>
      <w:r>
        <w:rPr>
          <w:rFonts w:ascii="宋体" w:hAnsi="宋体"/>
          <w:b/>
          <w:bCs/>
          <w:color w:val="000000"/>
          <w:kern w:val="0"/>
          <w:sz w:val="28"/>
          <w:szCs w:val="28"/>
          <w:shd w:val="clear" w:color="auto" w:fill="FFFFFF"/>
          <w:lang w:val="zh-CN"/>
        </w:rPr>
        <w:t>（一）收入情况。</w:t>
      </w:r>
    </w:p>
    <w:p w14:paraId="688EA858">
      <w:pPr>
        <w:snapToGrid w:val="0"/>
        <w:spacing w:line="360" w:lineRule="auto"/>
        <w:ind w:firstLine="560" w:firstLineChars="200"/>
        <w:rPr>
          <w:rFonts w:hint="eastAsia" w:ascii="宋体" w:hAnsi="宋体" w:cs="微软雅黑"/>
          <w:color w:val="000000"/>
          <w:kern w:val="0"/>
          <w:sz w:val="28"/>
          <w:szCs w:val="28"/>
          <w:shd w:val="clear" w:color="auto" w:fill="FFFFFF"/>
          <w:lang w:val="zh-CN"/>
        </w:rPr>
      </w:pPr>
      <w:r>
        <w:rPr>
          <w:rFonts w:ascii="宋体" w:hAnsi="宋体" w:cs="微软雅黑"/>
          <w:color w:val="000000"/>
          <w:kern w:val="0"/>
          <w:sz w:val="28"/>
          <w:szCs w:val="28"/>
          <w:shd w:val="clear" w:color="auto" w:fill="FFFFFF"/>
          <w:lang w:val="zh-CN"/>
        </w:rPr>
        <w:t>攀枝花市仁和区</w:t>
      </w:r>
      <w:r>
        <w:rPr>
          <w:rFonts w:hint="eastAsia" w:ascii="宋体" w:hAnsi="宋体" w:cs="微软雅黑"/>
          <w:color w:val="000000"/>
          <w:kern w:val="0"/>
          <w:sz w:val="28"/>
          <w:szCs w:val="28"/>
          <w:shd w:val="clear" w:color="auto" w:fill="FFFFFF"/>
          <w:lang w:val="zh-CN"/>
        </w:rPr>
        <w:t>信访</w:t>
      </w:r>
      <w:r>
        <w:rPr>
          <w:rFonts w:ascii="宋体" w:hAnsi="宋体" w:cs="微软雅黑"/>
          <w:color w:val="000000"/>
          <w:kern w:val="0"/>
          <w:sz w:val="28"/>
          <w:szCs w:val="28"/>
          <w:shd w:val="clear" w:color="auto" w:fill="FFFFFF"/>
          <w:lang w:val="zh-CN"/>
        </w:rPr>
        <w:t>局2024年收入预算执行数</w:t>
      </w:r>
      <w:r>
        <w:rPr>
          <w:rFonts w:hint="eastAsia" w:ascii="宋体" w:hAnsi="宋体" w:cs="微软雅黑"/>
          <w:color w:val="000000"/>
          <w:kern w:val="0"/>
          <w:sz w:val="28"/>
          <w:szCs w:val="28"/>
          <w:shd w:val="clear" w:color="auto" w:fill="FFFFFF"/>
          <w:lang w:val="zh-CN"/>
        </w:rPr>
        <w:t>328.88万</w:t>
      </w:r>
      <w:r>
        <w:rPr>
          <w:rFonts w:ascii="宋体" w:hAnsi="宋体" w:cs="微软雅黑"/>
          <w:color w:val="000000"/>
          <w:kern w:val="0"/>
          <w:sz w:val="28"/>
          <w:szCs w:val="28"/>
          <w:shd w:val="clear" w:color="auto" w:fill="FFFFFF"/>
          <w:lang w:val="zh-CN"/>
        </w:rPr>
        <w:t>元</w:t>
      </w:r>
      <w:r>
        <w:rPr>
          <w:rFonts w:hint="eastAsia" w:ascii="宋体" w:hAnsi="宋体" w:cs="微软雅黑"/>
          <w:color w:val="000000"/>
          <w:kern w:val="0"/>
          <w:sz w:val="28"/>
          <w:szCs w:val="28"/>
          <w:shd w:val="clear" w:color="auto" w:fill="FFFFFF"/>
          <w:lang w:val="zh-CN"/>
        </w:rPr>
        <w:t>，全部为</w:t>
      </w:r>
      <w:r>
        <w:rPr>
          <w:rFonts w:ascii="宋体" w:hAnsi="宋体" w:cs="微软雅黑"/>
          <w:color w:val="000000"/>
          <w:kern w:val="0"/>
          <w:sz w:val="28"/>
          <w:szCs w:val="28"/>
          <w:shd w:val="clear" w:color="auto" w:fill="FFFFFF"/>
          <w:lang w:val="zh-CN"/>
        </w:rPr>
        <w:t>一般公共预算财政拨款收入，比上年</w:t>
      </w:r>
      <w:r>
        <w:rPr>
          <w:rFonts w:hint="eastAsia" w:ascii="宋体" w:hAnsi="宋体" w:cs="微软雅黑"/>
          <w:color w:val="000000"/>
          <w:kern w:val="0"/>
          <w:sz w:val="28"/>
          <w:szCs w:val="28"/>
          <w:shd w:val="clear" w:color="auto" w:fill="FFFFFF"/>
          <w:lang w:val="zh-CN"/>
        </w:rPr>
        <w:t>减少39.64万</w:t>
      </w:r>
      <w:r>
        <w:rPr>
          <w:rFonts w:ascii="宋体" w:hAnsi="宋体" w:cs="微软雅黑"/>
          <w:color w:val="000000"/>
          <w:kern w:val="0"/>
          <w:sz w:val="28"/>
          <w:szCs w:val="28"/>
          <w:shd w:val="clear" w:color="auto" w:fill="FFFFFF"/>
          <w:lang w:val="zh-CN"/>
        </w:rPr>
        <w:t>元，</w:t>
      </w:r>
      <w:r>
        <w:rPr>
          <w:rFonts w:hint="eastAsia" w:ascii="宋体" w:hAnsi="宋体" w:cs="微软雅黑"/>
          <w:color w:val="000000"/>
          <w:kern w:val="0"/>
          <w:sz w:val="28"/>
          <w:szCs w:val="28"/>
          <w:shd w:val="clear" w:color="auto" w:fill="FFFFFF"/>
          <w:lang w:val="zh-CN"/>
        </w:rPr>
        <w:t>减少10.76%，主要为厉行节约减少不必要开支</w:t>
      </w:r>
      <w:r>
        <w:rPr>
          <w:rFonts w:ascii="宋体" w:hAnsi="宋体" w:cs="微软雅黑"/>
          <w:color w:val="000000"/>
          <w:kern w:val="0"/>
          <w:sz w:val="28"/>
          <w:szCs w:val="28"/>
          <w:shd w:val="clear" w:color="auto" w:fill="FFFFFF"/>
          <w:lang w:val="zh-CN"/>
        </w:rPr>
        <w:t>。</w:t>
      </w:r>
    </w:p>
    <w:p w14:paraId="43DD1541">
      <w:pPr>
        <w:widowControl/>
        <w:adjustRightInd w:val="0"/>
        <w:snapToGrid w:val="0"/>
        <w:spacing w:line="578" w:lineRule="exact"/>
        <w:ind w:firstLine="562" w:firstLineChars="200"/>
        <w:contextualSpacing/>
        <w:jc w:val="left"/>
        <w:rPr>
          <w:rFonts w:hint="eastAsia" w:ascii="宋体" w:hAnsi="宋体"/>
          <w:b/>
          <w:bCs/>
          <w:color w:val="000000"/>
          <w:kern w:val="0"/>
          <w:sz w:val="28"/>
          <w:szCs w:val="28"/>
          <w:shd w:val="clear" w:color="auto" w:fill="FFFFFF"/>
          <w:lang w:val="zh-CN"/>
        </w:rPr>
      </w:pPr>
      <w:r>
        <w:rPr>
          <w:rFonts w:ascii="宋体" w:hAnsi="宋体"/>
          <w:b/>
          <w:bCs/>
          <w:color w:val="000000"/>
          <w:kern w:val="0"/>
          <w:sz w:val="28"/>
          <w:szCs w:val="28"/>
          <w:shd w:val="clear" w:color="auto" w:fill="FFFFFF"/>
          <w:lang w:val="zh-CN"/>
        </w:rPr>
        <w:t>（二）支出情况。</w:t>
      </w:r>
    </w:p>
    <w:p w14:paraId="13853DED">
      <w:pPr>
        <w:widowControl/>
        <w:adjustRightInd w:val="0"/>
        <w:snapToGrid w:val="0"/>
        <w:spacing w:line="578" w:lineRule="exact"/>
        <w:ind w:firstLine="560" w:firstLineChars="200"/>
        <w:contextualSpacing/>
        <w:jc w:val="left"/>
        <w:rPr>
          <w:rFonts w:hint="eastAsia" w:ascii="宋体" w:hAnsi="宋体" w:cs="微软雅黑"/>
          <w:color w:val="000000"/>
          <w:kern w:val="0"/>
          <w:sz w:val="28"/>
          <w:szCs w:val="28"/>
          <w:shd w:val="clear" w:color="auto" w:fill="FFFFFF"/>
          <w:lang w:val="zh-CN"/>
        </w:rPr>
      </w:pPr>
      <w:r>
        <w:rPr>
          <w:rFonts w:ascii="宋体" w:hAnsi="宋体" w:cs="微软雅黑"/>
          <w:color w:val="000000"/>
          <w:kern w:val="0"/>
          <w:sz w:val="28"/>
          <w:szCs w:val="28"/>
          <w:shd w:val="clear" w:color="auto" w:fill="FFFFFF"/>
          <w:lang w:val="zh-CN"/>
        </w:rPr>
        <w:t>攀枝花市仁和区</w:t>
      </w:r>
      <w:r>
        <w:rPr>
          <w:rFonts w:hint="eastAsia" w:ascii="宋体" w:hAnsi="宋体" w:cs="微软雅黑"/>
          <w:color w:val="000000"/>
          <w:kern w:val="0"/>
          <w:sz w:val="28"/>
          <w:szCs w:val="28"/>
          <w:shd w:val="clear" w:color="auto" w:fill="FFFFFF"/>
          <w:lang w:val="zh-CN"/>
        </w:rPr>
        <w:t>信访局</w:t>
      </w:r>
      <w:r>
        <w:rPr>
          <w:rFonts w:ascii="宋体" w:hAnsi="宋体" w:cs="微软雅黑"/>
          <w:color w:val="000000"/>
          <w:kern w:val="0"/>
          <w:sz w:val="28"/>
          <w:szCs w:val="28"/>
          <w:shd w:val="clear" w:color="auto" w:fill="FFFFFF"/>
          <w:lang w:val="zh-CN"/>
        </w:rPr>
        <w:t>2024年支出预算执行数</w:t>
      </w:r>
      <w:r>
        <w:rPr>
          <w:rFonts w:hint="eastAsia" w:ascii="宋体" w:hAnsi="宋体" w:cs="微软雅黑"/>
          <w:color w:val="000000"/>
          <w:kern w:val="0"/>
          <w:sz w:val="28"/>
          <w:szCs w:val="28"/>
          <w:shd w:val="clear" w:color="auto" w:fill="FFFFFF"/>
          <w:lang w:val="zh-CN"/>
        </w:rPr>
        <w:t>328.88万元</w:t>
      </w:r>
      <w:r>
        <w:rPr>
          <w:rFonts w:ascii="宋体" w:hAnsi="宋体" w:cs="微软雅黑"/>
          <w:color w:val="000000"/>
          <w:kern w:val="0"/>
          <w:sz w:val="28"/>
          <w:szCs w:val="28"/>
          <w:shd w:val="clear" w:color="auto" w:fill="FFFFFF"/>
          <w:lang w:val="zh-CN"/>
        </w:rPr>
        <w:t>元</w:t>
      </w:r>
      <w:r>
        <w:rPr>
          <w:rFonts w:hint="eastAsia" w:ascii="宋体" w:hAnsi="宋体" w:cs="微软雅黑"/>
          <w:color w:val="000000"/>
          <w:kern w:val="0"/>
          <w:sz w:val="28"/>
          <w:szCs w:val="28"/>
          <w:shd w:val="clear" w:color="auto" w:fill="FFFFFF"/>
          <w:lang w:val="zh-CN"/>
        </w:rPr>
        <w:t>，其中：</w:t>
      </w:r>
      <w:r>
        <w:rPr>
          <w:rFonts w:ascii="宋体" w:hAnsi="宋体" w:cs="微软雅黑"/>
          <w:color w:val="000000"/>
          <w:kern w:val="0"/>
          <w:sz w:val="28"/>
          <w:szCs w:val="28"/>
          <w:shd w:val="clear" w:color="auto" w:fill="FFFFFF"/>
          <w:lang w:val="zh-CN"/>
        </w:rPr>
        <w:t>基本支出</w:t>
      </w:r>
      <w:r>
        <w:rPr>
          <w:rFonts w:hint="eastAsia" w:ascii="宋体" w:hAnsi="宋体" w:cs="微软雅黑"/>
          <w:color w:val="000000"/>
          <w:kern w:val="0"/>
          <w:sz w:val="28"/>
          <w:szCs w:val="28"/>
          <w:shd w:val="clear" w:color="auto" w:fill="FFFFFF"/>
          <w:lang w:val="zh-CN"/>
        </w:rPr>
        <w:t>220.27万</w:t>
      </w:r>
      <w:r>
        <w:rPr>
          <w:rFonts w:ascii="宋体" w:hAnsi="宋体" w:cs="微软雅黑"/>
          <w:color w:val="000000"/>
          <w:kern w:val="0"/>
          <w:sz w:val="28"/>
          <w:szCs w:val="28"/>
          <w:shd w:val="clear" w:color="auto" w:fill="FFFFFF"/>
          <w:lang w:val="zh-CN"/>
        </w:rPr>
        <w:t>元、比上年</w:t>
      </w:r>
      <w:r>
        <w:rPr>
          <w:rFonts w:hint="eastAsia" w:ascii="宋体" w:hAnsi="宋体" w:cs="微软雅黑"/>
          <w:color w:val="000000"/>
          <w:kern w:val="0"/>
          <w:sz w:val="28"/>
          <w:szCs w:val="28"/>
          <w:shd w:val="clear" w:color="auto" w:fill="FFFFFF"/>
          <w:lang w:val="zh-CN"/>
        </w:rPr>
        <w:t>减少28.16万</w:t>
      </w:r>
      <w:r>
        <w:rPr>
          <w:rFonts w:ascii="宋体" w:hAnsi="宋体" w:cs="微软雅黑"/>
          <w:color w:val="000000"/>
          <w:kern w:val="0"/>
          <w:sz w:val="28"/>
          <w:szCs w:val="28"/>
          <w:shd w:val="clear" w:color="auto" w:fill="FFFFFF"/>
          <w:lang w:val="zh-CN"/>
        </w:rPr>
        <w:t>元，</w:t>
      </w:r>
      <w:r>
        <w:rPr>
          <w:rFonts w:hint="eastAsia" w:ascii="宋体" w:hAnsi="宋体" w:cs="微软雅黑"/>
          <w:color w:val="000000"/>
          <w:kern w:val="0"/>
          <w:sz w:val="28"/>
          <w:szCs w:val="28"/>
          <w:shd w:val="clear" w:color="auto" w:fill="FFFFFF"/>
          <w:lang w:val="zh-CN"/>
        </w:rPr>
        <w:t>减少11.34%，</w:t>
      </w:r>
      <w:r>
        <w:rPr>
          <w:rFonts w:ascii="宋体" w:hAnsi="宋体" w:cs="微软雅黑"/>
          <w:color w:val="000000"/>
          <w:kern w:val="0"/>
          <w:sz w:val="28"/>
          <w:szCs w:val="28"/>
          <w:shd w:val="clear" w:color="auto" w:fill="FFFFFF"/>
          <w:lang w:val="zh-CN"/>
        </w:rPr>
        <w:t>项目支出</w:t>
      </w:r>
      <w:r>
        <w:rPr>
          <w:rFonts w:hint="eastAsia" w:ascii="宋体" w:hAnsi="宋体" w:cs="微软雅黑"/>
          <w:color w:val="000000"/>
          <w:kern w:val="0"/>
          <w:sz w:val="28"/>
          <w:szCs w:val="28"/>
          <w:shd w:val="clear" w:color="auto" w:fill="FFFFFF"/>
          <w:lang w:val="zh-CN"/>
        </w:rPr>
        <w:t>113.61万元</w:t>
      </w:r>
      <w:r>
        <w:rPr>
          <w:rFonts w:ascii="宋体" w:hAnsi="宋体" w:cs="微软雅黑"/>
          <w:color w:val="000000"/>
          <w:kern w:val="0"/>
          <w:sz w:val="28"/>
          <w:szCs w:val="28"/>
          <w:shd w:val="clear" w:color="auto" w:fill="FFFFFF"/>
          <w:lang w:val="zh-CN"/>
        </w:rPr>
        <w:t>，比上年</w:t>
      </w:r>
      <w:r>
        <w:rPr>
          <w:rFonts w:hint="eastAsia" w:ascii="宋体" w:hAnsi="宋体" w:cs="微软雅黑"/>
          <w:color w:val="000000"/>
          <w:kern w:val="0"/>
          <w:sz w:val="28"/>
          <w:szCs w:val="28"/>
          <w:shd w:val="clear" w:color="auto" w:fill="FFFFFF"/>
          <w:lang w:val="zh-CN"/>
        </w:rPr>
        <w:t>减少6.48万元</w:t>
      </w:r>
      <w:r>
        <w:rPr>
          <w:rFonts w:ascii="宋体" w:hAnsi="宋体" w:cs="微软雅黑"/>
          <w:color w:val="000000"/>
          <w:kern w:val="0"/>
          <w:sz w:val="28"/>
          <w:szCs w:val="28"/>
          <w:shd w:val="clear" w:color="auto" w:fill="FFFFFF"/>
          <w:lang w:val="zh-CN"/>
        </w:rPr>
        <w:t>，</w:t>
      </w:r>
      <w:r>
        <w:rPr>
          <w:rFonts w:hint="eastAsia" w:ascii="宋体" w:hAnsi="宋体" w:cs="微软雅黑"/>
          <w:color w:val="000000"/>
          <w:kern w:val="0"/>
          <w:sz w:val="28"/>
          <w:szCs w:val="28"/>
          <w:shd w:val="clear" w:color="auto" w:fill="FFFFFF"/>
          <w:lang w:val="zh-CN"/>
        </w:rPr>
        <w:t>减少5.40</w:t>
      </w:r>
      <w:r>
        <w:rPr>
          <w:rFonts w:ascii="宋体" w:hAnsi="宋体" w:cs="微软雅黑"/>
          <w:color w:val="000000"/>
          <w:kern w:val="0"/>
          <w:sz w:val="28"/>
          <w:szCs w:val="28"/>
          <w:shd w:val="clear" w:color="auto" w:fill="FFFFFF"/>
          <w:lang w:val="zh-CN"/>
        </w:rPr>
        <w:t>%。</w:t>
      </w:r>
    </w:p>
    <w:p w14:paraId="79A5625E">
      <w:pPr>
        <w:widowControl/>
        <w:adjustRightInd w:val="0"/>
        <w:snapToGrid w:val="0"/>
        <w:spacing w:line="578" w:lineRule="exact"/>
        <w:ind w:firstLine="562" w:firstLineChars="200"/>
        <w:contextualSpacing/>
        <w:jc w:val="left"/>
        <w:rPr>
          <w:rFonts w:hint="eastAsia" w:ascii="宋体" w:hAnsi="宋体"/>
          <w:kern w:val="0"/>
          <w:sz w:val="28"/>
          <w:szCs w:val="28"/>
          <w:lang w:val="zh-CN"/>
        </w:rPr>
      </w:pPr>
      <w:r>
        <w:rPr>
          <w:rFonts w:ascii="宋体" w:hAnsi="宋体"/>
          <w:b/>
          <w:bCs/>
          <w:color w:val="000000"/>
          <w:kern w:val="0"/>
          <w:sz w:val="28"/>
          <w:szCs w:val="28"/>
          <w:shd w:val="clear" w:color="auto" w:fill="FFFFFF"/>
          <w:lang w:val="zh-CN"/>
        </w:rPr>
        <w:t>（三）</w:t>
      </w:r>
      <w:r>
        <w:rPr>
          <w:rFonts w:ascii="宋体" w:hAnsi="宋体"/>
          <w:b/>
          <w:sz w:val="28"/>
          <w:szCs w:val="28"/>
        </w:rPr>
        <w:t>结余分配和结转结余情况。</w:t>
      </w:r>
      <w:r>
        <w:rPr>
          <w:rFonts w:hint="eastAsia" w:ascii="宋体" w:hAnsi="宋体"/>
          <w:kern w:val="0"/>
          <w:sz w:val="28"/>
          <w:szCs w:val="28"/>
        </w:rPr>
        <w:t>仁和区信访局2024年无结转结余情况。</w:t>
      </w:r>
    </w:p>
    <w:p w14:paraId="58BBB5F8">
      <w:pPr>
        <w:widowControl/>
        <w:adjustRightInd w:val="0"/>
        <w:snapToGrid w:val="0"/>
        <w:spacing w:line="578" w:lineRule="exact"/>
        <w:ind w:firstLine="562" w:firstLineChars="200"/>
        <w:contextualSpacing/>
        <w:jc w:val="left"/>
        <w:rPr>
          <w:rFonts w:hint="eastAsia" w:ascii="宋体" w:hAnsi="宋体"/>
          <w:b/>
          <w:bCs/>
          <w:color w:val="000000"/>
          <w:kern w:val="0"/>
          <w:sz w:val="28"/>
          <w:szCs w:val="28"/>
          <w:shd w:val="clear" w:color="auto" w:fill="FFFFFF"/>
        </w:rPr>
      </w:pPr>
      <w:r>
        <w:rPr>
          <w:rFonts w:ascii="宋体" w:hAnsi="宋体"/>
          <w:b/>
          <w:bCs/>
          <w:color w:val="000000"/>
          <w:kern w:val="0"/>
          <w:sz w:val="28"/>
          <w:szCs w:val="28"/>
          <w:shd w:val="clear" w:color="auto" w:fill="FFFFFF"/>
        </w:rPr>
        <w:t>三、部门预算绩效分析</w:t>
      </w:r>
    </w:p>
    <w:p w14:paraId="3440D4D2">
      <w:pPr>
        <w:adjustRightInd w:val="0"/>
        <w:snapToGrid w:val="0"/>
        <w:spacing w:line="578" w:lineRule="exact"/>
        <w:ind w:firstLine="562" w:firstLineChars="200"/>
        <w:contextualSpacing/>
        <w:jc w:val="left"/>
        <w:rPr>
          <w:rFonts w:hint="eastAsia" w:ascii="宋体" w:hAnsi="宋体"/>
          <w:color w:val="000000"/>
          <w:kern w:val="0"/>
          <w:sz w:val="28"/>
          <w:szCs w:val="28"/>
          <w:shd w:val="clear" w:color="auto" w:fill="FFFFFF"/>
          <w:lang w:val="zh-CN"/>
        </w:rPr>
      </w:pPr>
      <w:r>
        <w:rPr>
          <w:rFonts w:ascii="宋体" w:hAnsi="宋体"/>
          <w:b/>
          <w:bCs/>
          <w:color w:val="000000"/>
          <w:kern w:val="0"/>
          <w:sz w:val="28"/>
          <w:szCs w:val="28"/>
          <w:shd w:val="clear" w:color="auto" w:fill="FFFFFF"/>
          <w:lang w:val="zh-CN"/>
        </w:rPr>
        <w:t>（一）部门预算总体绩效分析。</w:t>
      </w:r>
    </w:p>
    <w:p w14:paraId="36313B14">
      <w:pPr>
        <w:autoSpaceDE w:val="0"/>
        <w:autoSpaceDN w:val="0"/>
        <w:adjustRightInd w:val="0"/>
        <w:spacing w:line="600" w:lineRule="exact"/>
        <w:ind w:firstLine="560" w:firstLineChars="200"/>
        <w:jc w:val="left"/>
        <w:rPr>
          <w:rFonts w:hint="eastAsia" w:ascii="宋体" w:hAnsi="宋体"/>
          <w:kern w:val="0"/>
          <w:sz w:val="28"/>
          <w:szCs w:val="28"/>
          <w:shd w:val="clear" w:color="auto" w:fill="FFFFFF"/>
          <w:lang w:val="zh-CN"/>
        </w:rPr>
      </w:pPr>
      <w:r>
        <w:rPr>
          <w:rFonts w:ascii="宋体" w:hAnsi="宋体"/>
          <w:kern w:val="0"/>
          <w:sz w:val="28"/>
          <w:szCs w:val="28"/>
          <w:shd w:val="clear" w:color="auto" w:fill="FFFFFF"/>
        </w:rPr>
        <w:t>1.</w:t>
      </w:r>
      <w:r>
        <w:rPr>
          <w:rFonts w:ascii="宋体" w:hAnsi="宋体"/>
          <w:kern w:val="0"/>
          <w:sz w:val="28"/>
          <w:szCs w:val="28"/>
          <w:shd w:val="clear" w:color="auto" w:fill="FFFFFF"/>
          <w:lang w:val="zh-CN"/>
        </w:rPr>
        <w:t>履职效能。</w:t>
      </w:r>
    </w:p>
    <w:p w14:paraId="19B45059">
      <w:pPr>
        <w:autoSpaceDE w:val="0"/>
        <w:autoSpaceDN w:val="0"/>
        <w:adjustRightInd w:val="0"/>
        <w:spacing w:line="600" w:lineRule="exact"/>
        <w:ind w:firstLine="560" w:firstLineChars="200"/>
        <w:jc w:val="left"/>
        <w:rPr>
          <w:rFonts w:hint="eastAsia" w:ascii="宋体" w:hAnsi="宋体" w:cs="微软雅黑"/>
          <w:color w:val="000000"/>
          <w:kern w:val="0"/>
          <w:sz w:val="28"/>
          <w:szCs w:val="28"/>
          <w:shd w:val="clear" w:color="auto" w:fill="FFFFFF"/>
          <w:lang w:val="zh-CN"/>
        </w:rPr>
      </w:pPr>
      <w:r>
        <w:rPr>
          <w:rFonts w:ascii="宋体" w:hAnsi="宋体" w:cs="微软雅黑"/>
          <w:color w:val="000000"/>
          <w:kern w:val="0"/>
          <w:sz w:val="28"/>
          <w:szCs w:val="28"/>
          <w:shd w:val="clear" w:color="auto" w:fill="FFFFFF"/>
          <w:lang w:val="zh-CN"/>
        </w:rPr>
        <w:t>一是完成在职人员1</w:t>
      </w:r>
      <w:r>
        <w:rPr>
          <w:rFonts w:hint="eastAsia" w:ascii="宋体" w:hAnsi="宋体" w:cs="微软雅黑"/>
          <w:color w:val="000000"/>
          <w:kern w:val="0"/>
          <w:sz w:val="28"/>
          <w:szCs w:val="28"/>
          <w:shd w:val="clear" w:color="auto" w:fill="FFFFFF"/>
          <w:lang w:val="zh-CN"/>
        </w:rPr>
        <w:t>1</w:t>
      </w:r>
      <w:r>
        <w:rPr>
          <w:rFonts w:ascii="宋体" w:hAnsi="宋体" w:cs="微软雅黑"/>
          <w:color w:val="000000"/>
          <w:kern w:val="0"/>
          <w:sz w:val="28"/>
          <w:szCs w:val="28"/>
          <w:shd w:val="clear" w:color="auto" w:fill="FFFFFF"/>
          <w:lang w:val="zh-CN"/>
        </w:rPr>
        <w:t>人，退休人员</w:t>
      </w:r>
      <w:r>
        <w:rPr>
          <w:rFonts w:hint="eastAsia" w:ascii="宋体" w:hAnsi="宋体" w:cs="微软雅黑"/>
          <w:color w:val="000000"/>
          <w:kern w:val="0"/>
          <w:sz w:val="28"/>
          <w:szCs w:val="28"/>
          <w:shd w:val="clear" w:color="auto" w:fill="FFFFFF"/>
          <w:lang w:val="zh-CN"/>
        </w:rPr>
        <w:t>2</w:t>
      </w:r>
      <w:r>
        <w:rPr>
          <w:rFonts w:ascii="宋体" w:hAnsi="宋体" w:cs="微软雅黑"/>
          <w:color w:val="000000"/>
          <w:kern w:val="0"/>
          <w:sz w:val="28"/>
          <w:szCs w:val="28"/>
          <w:shd w:val="clear" w:color="auto" w:fill="FFFFFF"/>
          <w:lang w:val="zh-CN"/>
        </w:rPr>
        <w:t>人的正常人员经费支付，保障正常工作秩序。二是完成办公场所正常公用经费支付工作，保障在职人员1</w:t>
      </w:r>
      <w:r>
        <w:rPr>
          <w:rFonts w:hint="eastAsia" w:ascii="宋体" w:hAnsi="宋体" w:cs="微软雅黑"/>
          <w:color w:val="000000"/>
          <w:kern w:val="0"/>
          <w:sz w:val="28"/>
          <w:szCs w:val="28"/>
          <w:shd w:val="clear" w:color="auto" w:fill="FFFFFF"/>
          <w:lang w:val="zh-CN"/>
        </w:rPr>
        <w:t>1</w:t>
      </w:r>
      <w:r>
        <w:rPr>
          <w:rFonts w:ascii="宋体" w:hAnsi="宋体" w:cs="微软雅黑"/>
          <w:color w:val="000000"/>
          <w:kern w:val="0"/>
          <w:sz w:val="28"/>
          <w:szCs w:val="28"/>
          <w:shd w:val="clear" w:color="auto" w:fill="FFFFFF"/>
          <w:lang w:val="zh-CN"/>
        </w:rPr>
        <w:t>人正常办公秩序。三是保障202</w:t>
      </w:r>
      <w:r>
        <w:rPr>
          <w:rFonts w:hint="eastAsia" w:ascii="宋体" w:hAnsi="宋体" w:cs="微软雅黑"/>
          <w:color w:val="000000"/>
          <w:kern w:val="0"/>
          <w:sz w:val="28"/>
          <w:szCs w:val="28"/>
          <w:shd w:val="clear" w:color="auto" w:fill="FFFFFF"/>
          <w:lang w:val="zh-CN"/>
        </w:rPr>
        <w:t>4</w:t>
      </w:r>
      <w:r>
        <w:rPr>
          <w:rFonts w:ascii="宋体" w:hAnsi="宋体" w:cs="微软雅黑"/>
          <w:color w:val="000000"/>
          <w:kern w:val="0"/>
          <w:sz w:val="28"/>
          <w:szCs w:val="28"/>
          <w:shd w:val="clear" w:color="auto" w:fill="FFFFFF"/>
          <w:lang w:val="zh-CN"/>
        </w:rPr>
        <w:t>年仁和区矛盾纠纷排查化解、维稳、信访、驻京驻蓉轮流值班、法律顾问、治重化积信访事项化解等工作正常开展。四是完成202</w:t>
      </w:r>
      <w:r>
        <w:rPr>
          <w:rFonts w:hint="eastAsia" w:ascii="宋体" w:hAnsi="宋体" w:cs="微软雅黑"/>
          <w:color w:val="000000"/>
          <w:kern w:val="0"/>
          <w:sz w:val="28"/>
          <w:szCs w:val="28"/>
          <w:shd w:val="clear" w:color="auto" w:fill="FFFFFF"/>
          <w:lang w:val="zh-CN"/>
        </w:rPr>
        <w:t>4</w:t>
      </w:r>
      <w:r>
        <w:rPr>
          <w:rFonts w:ascii="宋体" w:hAnsi="宋体" w:cs="微软雅黑"/>
          <w:color w:val="000000"/>
          <w:kern w:val="0"/>
          <w:sz w:val="28"/>
          <w:szCs w:val="28"/>
          <w:shd w:val="clear" w:color="auto" w:fill="FFFFFF"/>
          <w:lang w:val="zh-CN"/>
        </w:rPr>
        <w:t>年度仁和区疑难信访案件的化解保障工作。五是完成202</w:t>
      </w:r>
      <w:r>
        <w:rPr>
          <w:rFonts w:hint="eastAsia" w:ascii="宋体" w:hAnsi="宋体" w:cs="微软雅黑"/>
          <w:color w:val="000000"/>
          <w:kern w:val="0"/>
          <w:sz w:val="28"/>
          <w:szCs w:val="28"/>
          <w:shd w:val="clear" w:color="auto" w:fill="FFFFFF"/>
          <w:lang w:val="zh-CN"/>
        </w:rPr>
        <w:t>4</w:t>
      </w:r>
      <w:r>
        <w:rPr>
          <w:rFonts w:ascii="宋体" w:hAnsi="宋体" w:cs="微软雅黑"/>
          <w:color w:val="000000"/>
          <w:kern w:val="0"/>
          <w:sz w:val="28"/>
          <w:szCs w:val="28"/>
          <w:shd w:val="clear" w:color="auto" w:fill="FFFFFF"/>
          <w:lang w:val="zh-CN"/>
        </w:rPr>
        <w:t>年仁和区群众意见受理中心工作正常开展。以上项目按进度均在202</w:t>
      </w:r>
      <w:r>
        <w:rPr>
          <w:rFonts w:hint="eastAsia" w:ascii="宋体" w:hAnsi="宋体" w:cs="微软雅黑"/>
          <w:color w:val="000000"/>
          <w:kern w:val="0"/>
          <w:sz w:val="28"/>
          <w:szCs w:val="28"/>
          <w:shd w:val="clear" w:color="auto" w:fill="FFFFFF"/>
          <w:lang w:val="zh-CN"/>
        </w:rPr>
        <w:t>4</w:t>
      </w:r>
      <w:r>
        <w:rPr>
          <w:rFonts w:ascii="宋体" w:hAnsi="宋体" w:cs="微软雅黑"/>
          <w:color w:val="000000"/>
          <w:kern w:val="0"/>
          <w:sz w:val="28"/>
          <w:szCs w:val="28"/>
          <w:shd w:val="clear" w:color="auto" w:fill="FFFFFF"/>
          <w:lang w:val="zh-CN"/>
        </w:rPr>
        <w:t>年完成实施，年终项目实施进度100%，成本指标</w:t>
      </w:r>
      <w:r>
        <w:rPr>
          <w:rFonts w:hint="eastAsia" w:ascii="宋体" w:hAnsi="宋体" w:cs="微软雅黑"/>
          <w:color w:val="000000"/>
          <w:kern w:val="0"/>
          <w:sz w:val="28"/>
          <w:szCs w:val="28"/>
          <w:shd w:val="clear" w:color="auto" w:fill="FFFFFF"/>
          <w:lang w:val="zh-CN"/>
        </w:rPr>
        <w:t>328.88</w:t>
      </w:r>
      <w:r>
        <w:rPr>
          <w:rFonts w:ascii="宋体" w:hAnsi="宋体" w:cs="微软雅黑"/>
          <w:color w:val="000000"/>
          <w:kern w:val="0"/>
          <w:sz w:val="28"/>
          <w:szCs w:val="28"/>
          <w:shd w:val="clear" w:color="auto" w:fill="FFFFFF"/>
          <w:lang w:val="zh-CN"/>
        </w:rPr>
        <w:t>万元，实际支出经费</w:t>
      </w:r>
      <w:r>
        <w:rPr>
          <w:rFonts w:hint="eastAsia" w:ascii="宋体" w:hAnsi="宋体" w:cs="微软雅黑"/>
          <w:color w:val="000000"/>
          <w:kern w:val="0"/>
          <w:sz w:val="28"/>
          <w:szCs w:val="28"/>
          <w:shd w:val="clear" w:color="auto" w:fill="FFFFFF"/>
          <w:lang w:val="zh-CN"/>
        </w:rPr>
        <w:t>328.88</w:t>
      </w:r>
      <w:r>
        <w:rPr>
          <w:rFonts w:ascii="宋体" w:hAnsi="宋体" w:cs="微软雅黑"/>
          <w:color w:val="000000"/>
          <w:kern w:val="0"/>
          <w:sz w:val="28"/>
          <w:szCs w:val="28"/>
          <w:shd w:val="clear" w:color="auto" w:fill="FFFFFF"/>
          <w:lang w:val="zh-CN"/>
        </w:rPr>
        <w:t>万元。</w:t>
      </w:r>
    </w:p>
    <w:p w14:paraId="357B3741">
      <w:pPr>
        <w:adjustRightInd w:val="0"/>
        <w:snapToGrid w:val="0"/>
        <w:spacing w:line="578" w:lineRule="exact"/>
        <w:ind w:firstLine="560" w:firstLineChars="200"/>
        <w:contextualSpacing/>
        <w:jc w:val="left"/>
        <w:rPr>
          <w:rFonts w:hint="eastAsia" w:ascii="宋体" w:hAnsi="宋体"/>
          <w:kern w:val="0"/>
          <w:sz w:val="28"/>
          <w:szCs w:val="28"/>
        </w:rPr>
      </w:pPr>
      <w:r>
        <w:rPr>
          <w:rFonts w:ascii="宋体" w:hAnsi="宋体"/>
          <w:kern w:val="0"/>
          <w:sz w:val="28"/>
          <w:szCs w:val="28"/>
          <w:shd w:val="clear" w:color="auto" w:fill="FFFFFF"/>
        </w:rPr>
        <w:t>2.</w:t>
      </w:r>
      <w:r>
        <w:rPr>
          <w:rFonts w:ascii="宋体" w:hAnsi="宋体"/>
          <w:kern w:val="0"/>
          <w:sz w:val="28"/>
          <w:szCs w:val="28"/>
          <w:shd w:val="clear" w:color="auto" w:fill="FFFFFF"/>
          <w:lang w:val="zh-CN"/>
        </w:rPr>
        <w:t>预算管理。</w:t>
      </w:r>
      <w:r>
        <w:rPr>
          <w:rFonts w:hint="eastAsia" w:ascii="宋体" w:hAnsi="宋体"/>
          <w:kern w:val="0"/>
          <w:sz w:val="28"/>
          <w:szCs w:val="28"/>
        </w:rPr>
        <w:t>严格按照财政部门的要求，科学编制年度预算，确保预算的合理性和可执行性。因财政资金调度困难，本年预算资金执行进度滞后，年终整体预算无结转结余。部门严控“三公”经费、会议、培训、差旅、办公设备购置、信息网络及软件购置更新、课题经费等一般性支出，推动预算与绩效挂钩，确保资金使用效益最大化。</w:t>
      </w:r>
    </w:p>
    <w:p w14:paraId="5303990C">
      <w:pPr>
        <w:adjustRightInd w:val="0"/>
        <w:snapToGrid w:val="0"/>
        <w:spacing w:line="578" w:lineRule="exact"/>
        <w:ind w:firstLine="560" w:firstLineChars="200"/>
        <w:contextualSpacing/>
        <w:jc w:val="left"/>
        <w:rPr>
          <w:rFonts w:hint="eastAsia" w:ascii="宋体" w:hAnsi="宋体"/>
          <w:kern w:val="0"/>
          <w:sz w:val="28"/>
          <w:szCs w:val="28"/>
        </w:rPr>
      </w:pPr>
      <w:r>
        <w:rPr>
          <w:rFonts w:ascii="宋体" w:hAnsi="宋体"/>
          <w:color w:val="000000"/>
          <w:kern w:val="0"/>
          <w:sz w:val="28"/>
          <w:szCs w:val="28"/>
          <w:shd w:val="clear" w:color="auto" w:fill="FFFFFF"/>
        </w:rPr>
        <w:t>3.</w:t>
      </w:r>
      <w:r>
        <w:rPr>
          <w:rFonts w:ascii="宋体" w:hAnsi="宋体"/>
          <w:color w:val="000000"/>
          <w:kern w:val="0"/>
          <w:sz w:val="28"/>
          <w:szCs w:val="28"/>
          <w:shd w:val="clear" w:color="auto" w:fill="FFFFFF"/>
          <w:lang w:val="zh-CN"/>
        </w:rPr>
        <w:t>财务管理。</w:t>
      </w:r>
      <w:r>
        <w:rPr>
          <w:rFonts w:hint="eastAsia" w:ascii="宋体" w:hAnsi="宋体"/>
          <w:kern w:val="0"/>
          <w:sz w:val="28"/>
          <w:szCs w:val="28"/>
        </w:rPr>
        <w:t>本单位建立健全财务管理制度，并按相关要求进行落实。财务岗位设置合理，明确职责权限。部门资金使用符合财务管理制度规定。</w:t>
      </w:r>
    </w:p>
    <w:p w14:paraId="4C13326E">
      <w:pPr>
        <w:spacing w:line="578" w:lineRule="exact"/>
        <w:ind w:firstLine="652"/>
        <w:jc w:val="left"/>
        <w:rPr>
          <w:rFonts w:hint="eastAsia" w:ascii="宋体" w:hAnsi="宋体"/>
          <w:kern w:val="0"/>
          <w:sz w:val="28"/>
          <w:szCs w:val="28"/>
          <w:shd w:val="clear" w:color="auto" w:fill="FFFFFF"/>
          <w:lang w:val="zh-CN"/>
        </w:rPr>
      </w:pPr>
      <w:r>
        <w:rPr>
          <w:rFonts w:ascii="宋体" w:hAnsi="宋体"/>
          <w:kern w:val="0"/>
          <w:sz w:val="28"/>
          <w:szCs w:val="28"/>
          <w:shd w:val="clear" w:color="auto" w:fill="FFFFFF"/>
        </w:rPr>
        <w:t>4.</w:t>
      </w:r>
      <w:r>
        <w:rPr>
          <w:rFonts w:ascii="宋体" w:hAnsi="宋体"/>
          <w:kern w:val="0"/>
          <w:sz w:val="28"/>
          <w:szCs w:val="28"/>
          <w:shd w:val="clear" w:color="auto" w:fill="FFFFFF"/>
          <w:lang w:val="zh-CN"/>
        </w:rPr>
        <w:t>资产管理。</w:t>
      </w:r>
      <w:r>
        <w:rPr>
          <w:rFonts w:hint="eastAsia" w:ascii="宋体" w:hAnsi="宋体" w:cs="微软雅黑"/>
          <w:kern w:val="0"/>
          <w:sz w:val="28"/>
          <w:szCs w:val="28"/>
          <w:shd w:val="clear" w:color="auto" w:fill="FFFFFF"/>
          <w:lang w:val="zh-CN"/>
        </w:rPr>
        <w:t>根据相关要求定期</w:t>
      </w:r>
      <w:r>
        <w:rPr>
          <w:rFonts w:hint="eastAsia" w:ascii="宋体" w:hAnsi="宋体" w:cs="___WRD_EMBED_SUB_1368"/>
          <w:kern w:val="0"/>
          <w:sz w:val="28"/>
          <w:szCs w:val="28"/>
          <w:shd w:val="clear" w:color="auto" w:fill="FFFFFF"/>
          <w:lang w:val="zh-CN"/>
        </w:rPr>
        <w:t>进行</w:t>
      </w:r>
      <w:r>
        <w:rPr>
          <w:rFonts w:hint="eastAsia" w:ascii="宋体" w:hAnsi="宋体" w:cs="微软雅黑"/>
          <w:kern w:val="0"/>
          <w:sz w:val="28"/>
          <w:szCs w:val="28"/>
          <w:shd w:val="clear" w:color="auto" w:fill="FFFFFF"/>
          <w:lang w:val="zh-CN"/>
        </w:rPr>
        <w:t>盘点与</w:t>
      </w:r>
      <w:r>
        <w:rPr>
          <w:rFonts w:hint="eastAsia" w:ascii="宋体" w:hAnsi="宋体" w:cs="___WRD_EMBED_SUB_1368"/>
          <w:kern w:val="0"/>
          <w:sz w:val="28"/>
          <w:szCs w:val="28"/>
          <w:shd w:val="clear" w:color="auto" w:fill="FFFFFF"/>
          <w:lang w:val="zh-CN"/>
        </w:rPr>
        <w:t>资产</w:t>
      </w:r>
      <w:r>
        <w:rPr>
          <w:rFonts w:hint="eastAsia" w:ascii="宋体" w:hAnsi="宋体" w:cs="微软雅黑"/>
          <w:kern w:val="0"/>
          <w:sz w:val="28"/>
          <w:szCs w:val="28"/>
          <w:shd w:val="clear" w:color="auto" w:fill="FFFFFF"/>
          <w:lang w:val="zh-CN"/>
        </w:rPr>
        <w:t>清</w:t>
      </w:r>
      <w:r>
        <w:rPr>
          <w:rFonts w:hint="eastAsia" w:ascii="宋体" w:hAnsi="宋体" w:cs="___WRD_EMBED_SUB_1368"/>
          <w:kern w:val="0"/>
          <w:sz w:val="28"/>
          <w:szCs w:val="28"/>
          <w:shd w:val="clear" w:color="auto" w:fill="FFFFFF"/>
          <w:lang w:val="zh-CN"/>
        </w:rPr>
        <w:t>理</w:t>
      </w:r>
      <w:r>
        <w:rPr>
          <w:rFonts w:hint="eastAsia" w:ascii="宋体" w:hAnsi="宋体" w:cs="微软雅黑"/>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总体资产管理情况</w:t>
      </w:r>
      <w:r>
        <w:rPr>
          <w:rFonts w:hint="eastAsia" w:ascii="宋体" w:hAnsi="宋体" w:cs="微软雅黑"/>
          <w:kern w:val="0"/>
          <w:sz w:val="28"/>
          <w:szCs w:val="28"/>
          <w:shd w:val="clear" w:color="auto" w:fill="FFFFFF"/>
          <w:lang w:val="zh-CN"/>
        </w:rPr>
        <w:t>较完善，</w:t>
      </w:r>
      <w:r>
        <w:rPr>
          <w:rFonts w:hint="eastAsia" w:ascii="宋体" w:hAnsi="宋体" w:cs="___WRD_EMBED_SUB_1368"/>
          <w:kern w:val="0"/>
          <w:sz w:val="28"/>
          <w:szCs w:val="28"/>
          <w:shd w:val="clear" w:color="auto" w:fill="FFFFFF"/>
          <w:lang w:val="zh-CN"/>
        </w:rPr>
        <w:t>资产</w:t>
      </w:r>
      <w:r>
        <w:rPr>
          <w:rFonts w:hint="eastAsia" w:ascii="宋体" w:hAnsi="宋体" w:cs="微软雅黑"/>
          <w:kern w:val="0"/>
          <w:sz w:val="28"/>
          <w:szCs w:val="28"/>
          <w:shd w:val="clear" w:color="auto" w:fill="FFFFFF"/>
          <w:lang w:val="zh-CN"/>
        </w:rPr>
        <w:t>使</w:t>
      </w:r>
      <w:r>
        <w:rPr>
          <w:rFonts w:hint="eastAsia" w:ascii="宋体" w:hAnsi="宋体" w:cs="___WRD_EMBED_SUB_1368"/>
          <w:kern w:val="0"/>
          <w:sz w:val="28"/>
          <w:szCs w:val="28"/>
          <w:shd w:val="clear" w:color="auto" w:fill="FFFFFF"/>
          <w:lang w:val="zh-CN"/>
        </w:rPr>
        <w:t>用</w:t>
      </w:r>
      <w:r>
        <w:rPr>
          <w:rFonts w:hint="eastAsia" w:ascii="宋体" w:hAnsi="宋体" w:cs="微软雅黑"/>
          <w:kern w:val="0"/>
          <w:sz w:val="28"/>
          <w:szCs w:val="28"/>
          <w:shd w:val="clear" w:color="auto" w:fill="FFFFFF"/>
          <w:lang w:val="zh-CN"/>
        </w:rPr>
        <w:t>率较高</w:t>
      </w:r>
      <w:r>
        <w:rPr>
          <w:rFonts w:hint="eastAsia" w:ascii="宋体" w:hAnsi="宋体"/>
          <w:kern w:val="0"/>
          <w:sz w:val="28"/>
          <w:szCs w:val="28"/>
          <w:shd w:val="clear" w:color="auto" w:fill="FFFFFF"/>
          <w:lang w:val="zh-CN"/>
        </w:rPr>
        <w:t>。</w:t>
      </w:r>
    </w:p>
    <w:p w14:paraId="17829455">
      <w:pPr>
        <w:adjustRightInd w:val="0"/>
        <w:snapToGrid w:val="0"/>
        <w:spacing w:line="578" w:lineRule="exact"/>
        <w:ind w:firstLine="560" w:firstLineChars="200"/>
        <w:contextualSpacing/>
        <w:jc w:val="left"/>
        <w:rPr>
          <w:rFonts w:hint="eastAsia" w:ascii="宋体" w:hAnsi="宋体"/>
          <w:color w:val="000000"/>
          <w:kern w:val="0"/>
          <w:sz w:val="28"/>
          <w:szCs w:val="28"/>
          <w:shd w:val="clear" w:color="auto" w:fill="FFFFFF"/>
          <w:lang w:val="zh-CN"/>
        </w:rPr>
      </w:pPr>
      <w:r>
        <w:rPr>
          <w:rFonts w:ascii="宋体" w:hAnsi="宋体"/>
          <w:color w:val="000000"/>
          <w:kern w:val="0"/>
          <w:sz w:val="28"/>
          <w:szCs w:val="28"/>
          <w:shd w:val="clear" w:color="auto" w:fill="FFFFFF"/>
        </w:rPr>
        <w:t>5.</w:t>
      </w:r>
      <w:r>
        <w:rPr>
          <w:rFonts w:ascii="宋体" w:hAnsi="宋体"/>
          <w:color w:val="000000"/>
          <w:kern w:val="0"/>
          <w:sz w:val="28"/>
          <w:szCs w:val="28"/>
          <w:shd w:val="clear" w:color="auto" w:fill="FFFFFF"/>
          <w:lang w:val="zh-CN"/>
        </w:rPr>
        <w:t>采购管理。</w:t>
      </w:r>
      <w:r>
        <w:rPr>
          <w:rFonts w:ascii="宋体" w:hAnsi="宋体"/>
          <w:sz w:val="28"/>
          <w:szCs w:val="28"/>
        </w:rPr>
        <w:t>严格执行政府采购，并按照政府采购规定进行框架协议采购及项目采购。</w:t>
      </w:r>
    </w:p>
    <w:p w14:paraId="078149B7">
      <w:pPr>
        <w:widowControl/>
        <w:adjustRightInd w:val="0"/>
        <w:snapToGrid w:val="0"/>
        <w:spacing w:line="578" w:lineRule="exact"/>
        <w:ind w:firstLine="562" w:firstLineChars="200"/>
        <w:contextualSpacing/>
        <w:jc w:val="left"/>
        <w:rPr>
          <w:rFonts w:hint="eastAsia" w:ascii="宋体" w:hAnsi="宋体"/>
          <w:color w:val="000000"/>
          <w:kern w:val="0"/>
          <w:sz w:val="28"/>
          <w:szCs w:val="28"/>
          <w:shd w:val="clear" w:color="auto" w:fill="FFFFFF"/>
        </w:rPr>
      </w:pPr>
      <w:r>
        <w:rPr>
          <w:rFonts w:ascii="宋体" w:hAnsi="宋体"/>
          <w:b/>
          <w:bCs/>
          <w:color w:val="000000"/>
          <w:kern w:val="0"/>
          <w:sz w:val="28"/>
          <w:szCs w:val="28"/>
          <w:shd w:val="clear" w:color="auto" w:fill="FFFFFF"/>
          <w:lang w:val="zh-CN"/>
        </w:rPr>
        <w:t>（二）部门预算项目绩效分析。</w:t>
      </w:r>
    </w:p>
    <w:p w14:paraId="05F593E0">
      <w:pPr>
        <w:adjustRightInd w:val="0"/>
        <w:snapToGrid w:val="0"/>
        <w:spacing w:line="578" w:lineRule="exact"/>
        <w:ind w:firstLine="562" w:firstLineChars="200"/>
        <w:contextualSpacing/>
        <w:jc w:val="left"/>
        <w:rPr>
          <w:rFonts w:hint="eastAsia" w:ascii="宋体" w:hAnsi="宋体" w:cs="___WRD_EMBED_SUB_1368"/>
          <w:kern w:val="0"/>
          <w:sz w:val="28"/>
          <w:szCs w:val="28"/>
          <w:shd w:val="clear" w:color="auto" w:fill="FFFFFF"/>
          <w:lang w:val="zh-CN"/>
        </w:rPr>
      </w:pPr>
      <w:r>
        <w:rPr>
          <w:rFonts w:hint="eastAsia" w:ascii="宋体" w:hAnsi="宋体" w:cs="___WRD_EMBED_SUB_1368"/>
          <w:b/>
          <w:bCs/>
          <w:kern w:val="0"/>
          <w:sz w:val="28"/>
          <w:szCs w:val="28"/>
          <w:shd w:val="clear" w:color="auto" w:fill="FFFFFF"/>
          <w:lang w:val="zh-CN"/>
        </w:rPr>
        <w:t>常年项目绩效分析</w:t>
      </w:r>
      <w:r>
        <w:rPr>
          <w:rFonts w:hint="eastAsia" w:ascii="宋体" w:hAnsi="宋体" w:cs="___WRD_EMBED_SUB_1368"/>
          <w:kern w:val="0"/>
          <w:sz w:val="28"/>
          <w:szCs w:val="28"/>
          <w:shd w:val="clear" w:color="auto" w:fill="FFFFFF"/>
          <w:lang w:val="zh-CN"/>
        </w:rPr>
        <w:t>。该类项目总数4个，分别是“信访维稳工作经费</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矛盾纠纷排查化解、维稳、信访工作专项经费</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驻京驻蓉值班值守工作经费</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和</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群众意见受理中心项目经费</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，涉及预算总金额136.94万元，实际支付106.81万元1</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12月预算执行总体进度为78 %。</w:t>
      </w:r>
    </w:p>
    <w:p w14:paraId="3936BA2A">
      <w:pPr>
        <w:adjustRightInd w:val="0"/>
        <w:snapToGrid w:val="0"/>
        <w:spacing w:line="578" w:lineRule="exact"/>
        <w:ind w:firstLine="562" w:firstLineChars="200"/>
        <w:contextualSpacing/>
        <w:jc w:val="left"/>
        <w:rPr>
          <w:rFonts w:hint="eastAsia" w:ascii="宋体" w:hAnsi="宋体" w:cs="___WRD_EMBED_SUB_1368"/>
          <w:kern w:val="0"/>
          <w:sz w:val="28"/>
          <w:szCs w:val="28"/>
          <w:shd w:val="clear" w:color="auto" w:fill="FFFFFF"/>
          <w:lang w:val="zh-CN"/>
        </w:rPr>
      </w:pPr>
      <w:r>
        <w:rPr>
          <w:rFonts w:hint="eastAsia" w:ascii="宋体" w:hAnsi="宋体" w:cs="___WRD_EMBED_SUB_1368"/>
          <w:b/>
          <w:bCs/>
          <w:kern w:val="0"/>
          <w:sz w:val="28"/>
          <w:szCs w:val="28"/>
          <w:shd w:val="clear" w:color="auto" w:fill="FFFFFF"/>
          <w:lang w:val="zh-CN"/>
        </w:rPr>
        <w:t>阶段项目绩效分析</w:t>
      </w:r>
      <w:r>
        <w:rPr>
          <w:rFonts w:hint="eastAsia" w:ascii="宋体" w:hAnsi="宋体" w:cs="___WRD_EMBED_SUB_1368"/>
          <w:kern w:val="0"/>
          <w:sz w:val="28"/>
          <w:szCs w:val="28"/>
          <w:shd w:val="clear" w:color="auto" w:fill="FFFFFF"/>
          <w:lang w:val="zh-CN"/>
        </w:rPr>
        <w:t>。该类项目总数1个，为</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解决特殊疑难信访问题中央补助资金</w:t>
      </w:r>
      <w:r>
        <w:rPr>
          <w:rFonts w:ascii="宋体" w:hAnsi="宋体" w:cs="___WRD_EMBED_SUB_1368"/>
          <w:kern w:val="0"/>
          <w:sz w:val="28"/>
          <w:szCs w:val="28"/>
          <w:shd w:val="clear" w:color="auto" w:fill="FFFFFF"/>
          <w:lang w:val="zh-CN"/>
        </w:rPr>
        <w:t>”</w:t>
      </w:r>
      <w:r>
        <w:rPr>
          <w:rFonts w:hint="eastAsia" w:ascii="宋体" w:hAnsi="宋体" w:cs="___WRD_EMBED_SUB_1368"/>
          <w:kern w:val="0"/>
          <w:sz w:val="28"/>
          <w:szCs w:val="28"/>
          <w:shd w:val="clear" w:color="auto" w:fill="FFFFFF"/>
          <w:lang w:val="zh-CN"/>
        </w:rPr>
        <w:t>项目，涉及预算总金额14万元，实际支付6.80万元，2024年1-12月预算执行总体进度执行率为48.57%。</w:t>
      </w:r>
    </w:p>
    <w:p w14:paraId="0390A32C">
      <w:pPr>
        <w:adjustRightInd w:val="0"/>
        <w:snapToGrid w:val="0"/>
        <w:spacing w:line="578" w:lineRule="exact"/>
        <w:ind w:firstLine="562" w:firstLineChars="200"/>
        <w:contextualSpacing/>
        <w:jc w:val="left"/>
        <w:rPr>
          <w:rFonts w:hint="eastAsia" w:ascii="宋体" w:hAnsi="宋体"/>
          <w:kern w:val="0"/>
          <w:sz w:val="28"/>
          <w:szCs w:val="28"/>
          <w:lang w:val="zh-CN"/>
        </w:rPr>
      </w:pPr>
      <w:r>
        <w:rPr>
          <w:rFonts w:ascii="宋体" w:hAnsi="宋体"/>
          <w:b/>
          <w:bCs/>
          <w:kern w:val="0"/>
          <w:sz w:val="28"/>
          <w:szCs w:val="28"/>
          <w:shd w:val="clear" w:color="auto" w:fill="FFFFFF"/>
        </w:rPr>
        <w:t>1.</w:t>
      </w:r>
      <w:r>
        <w:rPr>
          <w:rFonts w:ascii="宋体" w:hAnsi="宋体"/>
          <w:b/>
          <w:bCs/>
          <w:kern w:val="0"/>
          <w:sz w:val="28"/>
          <w:szCs w:val="28"/>
          <w:shd w:val="clear" w:color="auto" w:fill="FFFFFF"/>
          <w:lang w:val="zh-CN"/>
        </w:rPr>
        <w:t>项目决策</w:t>
      </w:r>
      <w:r>
        <w:rPr>
          <w:rFonts w:ascii="宋体" w:hAnsi="宋体"/>
          <w:kern w:val="0"/>
          <w:sz w:val="28"/>
          <w:szCs w:val="28"/>
          <w:shd w:val="clear" w:color="auto" w:fill="FFFFFF"/>
          <w:lang w:val="zh-CN"/>
        </w:rPr>
        <w:t>。</w:t>
      </w:r>
      <w:r>
        <w:rPr>
          <w:rFonts w:hint="eastAsia" w:ascii="宋体" w:hAnsi="宋体"/>
          <w:kern w:val="0"/>
          <w:sz w:val="28"/>
          <w:szCs w:val="28"/>
        </w:rPr>
        <w:t>2024年仁和区信访局部门预算项目根据信访</w:t>
      </w:r>
      <w:r>
        <w:rPr>
          <w:rFonts w:hint="eastAsia" w:ascii="宋体" w:hAnsi="宋体"/>
          <w:kern w:val="0"/>
          <w:sz w:val="28"/>
          <w:szCs w:val="28"/>
          <w:lang w:val="zh-CN"/>
        </w:rPr>
        <w:t>工作需要以及相关文件精神进</w:t>
      </w:r>
      <w:r>
        <w:rPr>
          <w:rFonts w:hint="eastAsia" w:ascii="宋体" w:hAnsi="宋体"/>
          <w:kern w:val="0"/>
          <w:sz w:val="28"/>
          <w:szCs w:val="28"/>
        </w:rPr>
        <w:t>行了评估论证，按程序逐一进行申报。</w:t>
      </w:r>
      <w:r>
        <w:rPr>
          <w:rFonts w:hint="eastAsia" w:ascii="宋体" w:hAnsi="宋体"/>
          <w:kern w:val="0"/>
          <w:sz w:val="28"/>
          <w:szCs w:val="28"/>
          <w:lang w:val="zh-CN"/>
        </w:rPr>
        <w:t>部门预算项目绩效目标与计划期内的任务量、预算安排的资金量相匹配，绩效目标设置科学合理、规范完整、量化细化，并在规定时间内完成项目入库。</w:t>
      </w:r>
    </w:p>
    <w:p w14:paraId="5ED06E27">
      <w:pPr>
        <w:adjustRightInd w:val="0"/>
        <w:snapToGrid w:val="0"/>
        <w:spacing w:line="578" w:lineRule="exact"/>
        <w:ind w:firstLine="562" w:firstLineChars="200"/>
        <w:contextualSpacing/>
        <w:jc w:val="left"/>
        <w:rPr>
          <w:rFonts w:hint="eastAsia" w:ascii="宋体" w:hAnsi="宋体"/>
          <w:kern w:val="0"/>
          <w:sz w:val="28"/>
          <w:szCs w:val="28"/>
          <w:lang w:val="zh-CN"/>
        </w:rPr>
      </w:pPr>
      <w:r>
        <w:rPr>
          <w:rFonts w:ascii="宋体" w:hAnsi="宋体"/>
          <w:b/>
          <w:bCs/>
          <w:kern w:val="0"/>
          <w:sz w:val="28"/>
          <w:szCs w:val="28"/>
          <w:shd w:val="clear" w:color="auto" w:fill="FFFFFF"/>
        </w:rPr>
        <w:t>2.项目执行</w:t>
      </w:r>
      <w:r>
        <w:rPr>
          <w:rFonts w:ascii="宋体" w:hAnsi="宋体"/>
          <w:kern w:val="0"/>
          <w:sz w:val="28"/>
          <w:szCs w:val="28"/>
          <w:shd w:val="clear" w:color="auto" w:fill="FFFFFF"/>
          <w:lang w:val="zh-CN"/>
        </w:rPr>
        <w:t>。</w:t>
      </w:r>
      <w:r>
        <w:rPr>
          <w:rFonts w:hint="eastAsia" w:ascii="宋体" w:hAnsi="宋体"/>
          <w:kern w:val="0"/>
          <w:sz w:val="28"/>
          <w:szCs w:val="28"/>
        </w:rPr>
        <w:t>2024年仁和区信访局</w:t>
      </w:r>
      <w:r>
        <w:rPr>
          <w:rFonts w:hint="eastAsia" w:ascii="宋体" w:hAnsi="宋体"/>
          <w:kern w:val="0"/>
          <w:sz w:val="28"/>
          <w:szCs w:val="28"/>
          <w:lang w:val="zh-CN"/>
        </w:rPr>
        <w:t>部门预算项目实际列支内容与绩效目标设置方向相符。因财政资金调度困难，部门预算执行进度滞后。</w:t>
      </w:r>
    </w:p>
    <w:p w14:paraId="7D1EBD95">
      <w:pPr>
        <w:adjustRightInd w:val="0"/>
        <w:snapToGrid w:val="0"/>
        <w:spacing w:line="578" w:lineRule="exact"/>
        <w:ind w:firstLine="562" w:firstLineChars="200"/>
        <w:contextualSpacing/>
        <w:jc w:val="left"/>
        <w:rPr>
          <w:rFonts w:hint="eastAsia" w:ascii="宋体" w:hAnsi="宋体"/>
          <w:kern w:val="0"/>
          <w:sz w:val="28"/>
          <w:szCs w:val="28"/>
          <w:lang w:val="zh-CN"/>
        </w:rPr>
      </w:pPr>
      <w:r>
        <w:rPr>
          <w:rFonts w:ascii="宋体" w:hAnsi="宋体"/>
          <w:b/>
          <w:bCs/>
          <w:kern w:val="0"/>
          <w:sz w:val="28"/>
          <w:szCs w:val="28"/>
          <w:shd w:val="clear" w:color="auto" w:fill="FFFFFF"/>
        </w:rPr>
        <w:t>3.</w:t>
      </w:r>
      <w:r>
        <w:rPr>
          <w:rFonts w:ascii="宋体" w:hAnsi="宋体"/>
          <w:b/>
          <w:bCs/>
          <w:kern w:val="0"/>
          <w:sz w:val="28"/>
          <w:szCs w:val="28"/>
          <w:shd w:val="clear" w:color="auto" w:fill="FFFFFF"/>
          <w:lang w:val="zh-CN"/>
        </w:rPr>
        <w:t>目标实现</w:t>
      </w:r>
      <w:r>
        <w:rPr>
          <w:rFonts w:ascii="宋体" w:hAnsi="宋体"/>
          <w:kern w:val="0"/>
          <w:sz w:val="28"/>
          <w:szCs w:val="28"/>
          <w:shd w:val="clear" w:color="auto" w:fill="FFFFFF"/>
          <w:lang w:val="zh-CN"/>
        </w:rPr>
        <w:t>。</w:t>
      </w:r>
      <w:r>
        <w:rPr>
          <w:rFonts w:hint="eastAsia" w:ascii="宋体" w:hAnsi="宋体"/>
          <w:kern w:val="0"/>
          <w:sz w:val="28"/>
          <w:szCs w:val="28"/>
        </w:rPr>
        <w:t>2024年仁和区信访局</w:t>
      </w:r>
      <w:r>
        <w:rPr>
          <w:rFonts w:hint="eastAsia" w:ascii="宋体" w:hAnsi="宋体"/>
          <w:kern w:val="0"/>
          <w:sz w:val="28"/>
          <w:szCs w:val="28"/>
          <w:lang w:val="zh-CN"/>
        </w:rPr>
        <w:t>部门预算项目绩效目标数量指标均已完成，已达到预期目标。</w:t>
      </w:r>
    </w:p>
    <w:p w14:paraId="1F5C0128">
      <w:pPr>
        <w:snapToGrid w:val="0"/>
        <w:spacing w:line="360" w:lineRule="auto"/>
        <w:ind w:firstLine="562" w:firstLineChars="200"/>
        <w:rPr>
          <w:rFonts w:hint="eastAsia" w:ascii="宋体" w:hAnsi="宋体"/>
          <w:sz w:val="28"/>
          <w:szCs w:val="28"/>
          <w:lang w:val="zh-CN"/>
        </w:rPr>
      </w:pPr>
      <w:r>
        <w:rPr>
          <w:rFonts w:ascii="宋体" w:hAnsi="宋体"/>
          <w:b/>
          <w:bCs/>
          <w:color w:val="000000"/>
          <w:kern w:val="0"/>
          <w:sz w:val="28"/>
          <w:szCs w:val="28"/>
          <w:shd w:val="clear" w:color="auto" w:fill="FFFFFF"/>
          <w:lang w:val="zh-CN"/>
        </w:rPr>
        <w:t>（三）</w:t>
      </w:r>
      <w:r>
        <w:rPr>
          <w:rFonts w:ascii="宋体" w:hAnsi="宋体"/>
          <w:b/>
          <w:bCs/>
          <w:sz w:val="28"/>
          <w:szCs w:val="28"/>
          <w:lang w:val="zh-CN"/>
        </w:rPr>
        <w:t>绩效结果应用情况。</w:t>
      </w:r>
      <w:r>
        <w:rPr>
          <w:rFonts w:hint="eastAsia" w:ascii="宋体" w:hAnsi="宋体" w:cs="方正仿宋_GBK"/>
          <w:kern w:val="0"/>
          <w:sz w:val="28"/>
          <w:szCs w:val="28"/>
        </w:rPr>
        <w:t>仁和区信访局2024年度预算资金按规定用途使用，不存在违规支出、截留挪用等情况。2024年度预算根据区财政的要求在仁和区政府门户网站上进行公开公示。</w:t>
      </w:r>
    </w:p>
    <w:p w14:paraId="27A5111B">
      <w:pPr>
        <w:widowControl/>
        <w:adjustRightInd w:val="0"/>
        <w:snapToGrid w:val="0"/>
        <w:spacing w:line="578" w:lineRule="exact"/>
        <w:ind w:firstLine="560" w:firstLineChars="200"/>
        <w:contextualSpacing/>
        <w:jc w:val="left"/>
        <w:rPr>
          <w:rFonts w:hint="eastAsia" w:ascii="宋体" w:hAnsi="宋体"/>
          <w:color w:val="000000"/>
          <w:kern w:val="0"/>
          <w:sz w:val="28"/>
          <w:szCs w:val="28"/>
          <w:shd w:val="clear" w:color="auto" w:fill="FFFFFF"/>
        </w:rPr>
      </w:pPr>
      <w:r>
        <w:rPr>
          <w:rFonts w:ascii="宋体" w:hAnsi="宋体"/>
          <w:color w:val="000000"/>
          <w:kern w:val="0"/>
          <w:sz w:val="28"/>
          <w:szCs w:val="28"/>
          <w:shd w:val="clear" w:color="auto" w:fill="FFFFFF"/>
        </w:rPr>
        <w:t>四、评价结论及建议</w:t>
      </w:r>
    </w:p>
    <w:p w14:paraId="028E0DC8">
      <w:pPr>
        <w:snapToGrid w:val="0"/>
        <w:spacing w:line="360" w:lineRule="auto"/>
        <w:ind w:firstLine="562" w:firstLineChars="200"/>
        <w:rPr>
          <w:rFonts w:hint="eastAsia" w:ascii="宋体" w:hAnsi="宋体" w:cs="方正仿宋_GBK"/>
          <w:kern w:val="0"/>
          <w:sz w:val="28"/>
          <w:szCs w:val="28"/>
        </w:rPr>
      </w:pPr>
      <w:r>
        <w:rPr>
          <w:rFonts w:ascii="宋体" w:hAnsi="宋体"/>
          <w:b/>
          <w:bCs/>
          <w:color w:val="000000"/>
          <w:kern w:val="0"/>
          <w:sz w:val="28"/>
          <w:szCs w:val="28"/>
          <w:shd w:val="clear" w:color="auto" w:fill="FFFFFF"/>
          <w:lang w:val="zh-CN"/>
        </w:rPr>
        <w:t>（一）评价结论。</w:t>
      </w:r>
      <w:r>
        <w:rPr>
          <w:rFonts w:hint="eastAsia" w:ascii="宋体" w:hAnsi="宋体" w:cs="方正仿宋_GBK"/>
          <w:kern w:val="0"/>
          <w:sz w:val="28"/>
          <w:szCs w:val="28"/>
        </w:rPr>
        <w:t>仁和区信</w:t>
      </w:r>
      <w:r>
        <w:rPr>
          <w:rFonts w:hint="eastAsia" w:ascii="宋体" w:hAnsi="宋体" w:cs="宋体"/>
          <w:kern w:val="0"/>
          <w:sz w:val="28"/>
          <w:szCs w:val="28"/>
        </w:rPr>
        <w:t>访局</w:t>
      </w:r>
      <w:r>
        <w:rPr>
          <w:rFonts w:ascii="宋体" w:hAnsi="宋体" w:cs="方正仿宋_GBK"/>
          <w:kern w:val="0"/>
          <w:sz w:val="28"/>
          <w:szCs w:val="28"/>
        </w:rPr>
        <w:t>2024年度</w:t>
      </w:r>
      <w:r>
        <w:rPr>
          <w:rFonts w:hint="eastAsia" w:ascii="宋体" w:hAnsi="宋体" w:cs="宋体"/>
          <w:kern w:val="0"/>
          <w:sz w:val="28"/>
          <w:szCs w:val="28"/>
        </w:rPr>
        <w:t>我</w:t>
      </w:r>
      <w:r>
        <w:rPr>
          <w:rFonts w:hint="eastAsia" w:ascii="宋体" w:hAnsi="宋体" w:cs="方正仿宋_GBK"/>
          <w:kern w:val="0"/>
          <w:sz w:val="28"/>
          <w:szCs w:val="28"/>
        </w:rPr>
        <w:t>单位</w:t>
      </w:r>
      <w:r>
        <w:rPr>
          <w:rFonts w:ascii="宋体" w:hAnsi="宋体" w:cs="方正仿宋_GBK"/>
          <w:kern w:val="0"/>
          <w:sz w:val="28"/>
          <w:szCs w:val="28"/>
        </w:rPr>
        <w:t>部门整体绩效目标编制完整、合理，项目绩效目标编制明确、量化。部门预算费用按照相关要求执行，存在资金支</w:t>
      </w:r>
      <w:r>
        <w:rPr>
          <w:rFonts w:hint="eastAsia" w:ascii="宋体" w:hAnsi="宋体" w:cs="宋体"/>
          <w:kern w:val="0"/>
          <w:sz w:val="28"/>
          <w:szCs w:val="28"/>
        </w:rPr>
        <w:t>付</w:t>
      </w:r>
      <w:r>
        <w:rPr>
          <w:rFonts w:hint="eastAsia" w:ascii="宋体" w:hAnsi="宋体" w:cs="方正仿宋_GBK"/>
          <w:kern w:val="0"/>
          <w:sz w:val="28"/>
          <w:szCs w:val="28"/>
        </w:rPr>
        <w:t>进度</w:t>
      </w:r>
      <w:r>
        <w:rPr>
          <w:rFonts w:hint="eastAsia" w:ascii="宋体" w:hAnsi="宋体" w:cs="宋体"/>
          <w:kern w:val="0"/>
          <w:sz w:val="28"/>
          <w:szCs w:val="28"/>
        </w:rPr>
        <w:t>未</w:t>
      </w:r>
      <w:r>
        <w:rPr>
          <w:rFonts w:hint="eastAsia" w:ascii="宋体" w:hAnsi="宋体" w:cs="___WRD_EMBED_SUB_46"/>
          <w:kern w:val="0"/>
          <w:sz w:val="28"/>
          <w:szCs w:val="28"/>
        </w:rPr>
        <w:t>达</w:t>
      </w:r>
      <w:r>
        <w:rPr>
          <w:rFonts w:ascii="宋体" w:hAnsi="宋体" w:cs="方正仿宋_GBK"/>
          <w:kern w:val="0"/>
          <w:sz w:val="28"/>
          <w:szCs w:val="28"/>
        </w:rPr>
        <w:t>100%的情况，</w:t>
      </w:r>
      <w:r>
        <w:rPr>
          <w:rFonts w:hint="eastAsia" w:ascii="宋体" w:hAnsi="宋体" w:cs="宋体"/>
          <w:kern w:val="0"/>
          <w:sz w:val="28"/>
          <w:szCs w:val="28"/>
        </w:rPr>
        <w:t>但</w:t>
      </w:r>
      <w:r>
        <w:rPr>
          <w:rFonts w:hint="eastAsia" w:ascii="宋体" w:hAnsi="宋体" w:cs="方正仿宋_GBK"/>
          <w:kern w:val="0"/>
          <w:sz w:val="28"/>
          <w:szCs w:val="28"/>
        </w:rPr>
        <w:t>预算执行情况整体</w:t>
      </w:r>
      <w:r>
        <w:rPr>
          <w:rFonts w:hint="eastAsia" w:ascii="宋体" w:hAnsi="宋体" w:cs="宋体"/>
          <w:kern w:val="0"/>
          <w:sz w:val="28"/>
          <w:szCs w:val="28"/>
        </w:rPr>
        <w:t>良好</w:t>
      </w:r>
      <w:r>
        <w:rPr>
          <w:rFonts w:hint="eastAsia" w:ascii="宋体" w:hAnsi="宋体" w:cs="___WRD_EMBED_SUB_46"/>
          <w:kern w:val="0"/>
          <w:sz w:val="28"/>
          <w:szCs w:val="28"/>
        </w:rPr>
        <w:t>，</w:t>
      </w:r>
      <w:r>
        <w:rPr>
          <w:rFonts w:hint="eastAsia" w:ascii="宋体" w:hAnsi="宋体" w:cs="方正仿宋_GBK"/>
          <w:kern w:val="0"/>
          <w:sz w:val="28"/>
          <w:szCs w:val="28"/>
        </w:rPr>
        <w:t>自评</w:t>
      </w:r>
      <w:r>
        <w:rPr>
          <w:rFonts w:hint="eastAsia" w:ascii="宋体" w:hAnsi="宋体" w:cs="宋体"/>
          <w:kern w:val="0"/>
          <w:sz w:val="28"/>
          <w:szCs w:val="28"/>
        </w:rPr>
        <w:t>得</w:t>
      </w:r>
      <w:r>
        <w:rPr>
          <w:rFonts w:hint="eastAsia" w:ascii="宋体" w:hAnsi="宋体" w:cs="___WRD_EMBED_SUB_46"/>
          <w:kern w:val="0"/>
          <w:sz w:val="28"/>
          <w:szCs w:val="28"/>
        </w:rPr>
        <w:t>分</w:t>
      </w:r>
      <w:r>
        <w:rPr>
          <w:rFonts w:hint="eastAsia" w:ascii="宋体" w:hAnsi="宋体" w:cs="方正仿宋_GBK"/>
          <w:kern w:val="0"/>
          <w:sz w:val="28"/>
          <w:szCs w:val="28"/>
        </w:rPr>
        <w:t>92</w:t>
      </w:r>
      <w:r>
        <w:rPr>
          <w:rFonts w:ascii="宋体" w:hAnsi="宋体" w:cs="方正仿宋_GBK"/>
          <w:kern w:val="0"/>
          <w:sz w:val="28"/>
          <w:szCs w:val="28"/>
        </w:rPr>
        <w:t>分。</w:t>
      </w:r>
    </w:p>
    <w:p w14:paraId="1EB36463">
      <w:pPr>
        <w:ind w:firstLine="562" w:firstLineChars="200"/>
        <w:rPr>
          <w:rFonts w:hint="eastAsia" w:ascii="宋体" w:hAnsi="宋体" w:cs="方正仿宋_GBK"/>
          <w:kern w:val="0"/>
          <w:sz w:val="28"/>
          <w:szCs w:val="28"/>
        </w:rPr>
      </w:pPr>
      <w:r>
        <w:rPr>
          <w:rFonts w:ascii="宋体" w:hAnsi="宋体"/>
          <w:b/>
          <w:bCs/>
          <w:color w:val="000000"/>
          <w:kern w:val="0"/>
          <w:sz w:val="28"/>
          <w:szCs w:val="28"/>
          <w:shd w:val="clear" w:color="auto" w:fill="FFFFFF"/>
          <w:lang w:val="zh-CN"/>
        </w:rPr>
        <w:t>（二）存在问题。</w:t>
      </w:r>
      <w:r>
        <w:rPr>
          <w:rFonts w:hint="eastAsia" w:ascii="宋体" w:hAnsi="宋体" w:cs="方正仿宋_GBK"/>
          <w:kern w:val="0"/>
          <w:sz w:val="28"/>
          <w:szCs w:val="28"/>
        </w:rPr>
        <w:t>2024年度预算绩效存在的主要问题是财政资金调度困难，预算执行进度滞后，资金使用效率低；尤其</w:t>
      </w:r>
      <w:r>
        <w:rPr>
          <w:rFonts w:ascii="宋体" w:hAnsi="宋体"/>
          <w:kern w:val="0"/>
          <w:sz w:val="28"/>
          <w:szCs w:val="28"/>
        </w:rPr>
        <w:t>对专项资金支付延迟，影响了后期工作开展</w:t>
      </w:r>
      <w:r>
        <w:rPr>
          <w:rFonts w:hint="eastAsia" w:ascii="宋体" w:hAnsi="宋体"/>
          <w:kern w:val="0"/>
          <w:sz w:val="28"/>
          <w:szCs w:val="28"/>
        </w:rPr>
        <w:t>；</w:t>
      </w:r>
      <w:r>
        <w:rPr>
          <w:rFonts w:ascii="宋体" w:hAnsi="宋体"/>
          <w:kern w:val="0"/>
          <w:sz w:val="28"/>
          <w:szCs w:val="28"/>
        </w:rPr>
        <w:t>.对“绩效评价指标体系”理解还不够深刻、准确。</w:t>
      </w:r>
    </w:p>
    <w:p w14:paraId="631EDC51">
      <w:pPr>
        <w:ind w:firstLine="562" w:firstLineChars="200"/>
        <w:rPr>
          <w:rFonts w:hint="eastAsia" w:ascii="宋体" w:hAnsi="宋体" w:cs="方正仿宋_GBK"/>
          <w:kern w:val="0"/>
          <w:sz w:val="28"/>
          <w:szCs w:val="28"/>
          <w:lang w:val="en"/>
        </w:rPr>
      </w:pPr>
      <w:r>
        <w:rPr>
          <w:rFonts w:ascii="宋体" w:hAnsi="宋体"/>
          <w:b/>
          <w:bCs/>
          <w:color w:val="000000"/>
          <w:kern w:val="0"/>
          <w:sz w:val="28"/>
          <w:szCs w:val="28"/>
          <w:shd w:val="clear" w:color="auto" w:fill="FFFFFF"/>
          <w:lang w:val="zh-CN"/>
        </w:rPr>
        <w:t>（三）改进建议。</w:t>
      </w:r>
      <w:bookmarkStart w:id="47" w:name="_Hlk110546638"/>
      <w:r>
        <w:rPr>
          <w:rFonts w:hint="eastAsia" w:ascii="宋体" w:hAnsi="宋体" w:cs="方正仿宋_GBK"/>
          <w:kern w:val="0"/>
          <w:sz w:val="28"/>
          <w:szCs w:val="28"/>
        </w:rPr>
        <w:t>一是优化预算编制，加强项目可行性研究，提高预算精准度；二是强化过程管理，建立预算执行动态监控机制，定期开展绩效跟踪；三是完善绩效指标体系，即结合业务特点，细化量化指标，增强可操作性；四是加强人员业务培训，进一步完善内控制度等；五是</w:t>
      </w:r>
      <w:r>
        <w:rPr>
          <w:rFonts w:ascii="宋体" w:hAnsi="宋体"/>
          <w:kern w:val="0"/>
          <w:sz w:val="28"/>
          <w:szCs w:val="28"/>
        </w:rPr>
        <w:t>认真学习“整体支出绩效评价指标体系”内容，</w:t>
      </w:r>
      <w:r>
        <w:rPr>
          <w:rFonts w:ascii="宋体" w:hAnsi="宋体"/>
          <w:kern w:val="0"/>
          <w:sz w:val="28"/>
          <w:szCs w:val="28"/>
          <w:lang w:val="zh-CN"/>
        </w:rPr>
        <w:t>提高自评准确率</w:t>
      </w:r>
      <w:r>
        <w:rPr>
          <w:rFonts w:ascii="宋体" w:hAnsi="宋体"/>
          <w:b/>
          <w:bCs/>
          <w:kern w:val="0"/>
          <w:sz w:val="28"/>
          <w:szCs w:val="28"/>
          <w:lang w:val="zh-CN"/>
        </w:rPr>
        <w:t>。</w:t>
      </w:r>
    </w:p>
    <w:bookmarkEnd w:id="47"/>
    <w:p w14:paraId="31F702AB">
      <w:pPr>
        <w:spacing w:line="578" w:lineRule="exact"/>
        <w:contextualSpacing/>
        <w:rPr>
          <w:rFonts w:hint="eastAsia" w:ascii="宋体" w:hAnsi="宋体"/>
          <w:sz w:val="28"/>
          <w:szCs w:val="28"/>
        </w:rPr>
      </w:pPr>
    </w:p>
    <w:p w14:paraId="6C2E1B88">
      <w:pPr>
        <w:widowControl/>
        <w:adjustRightInd w:val="0"/>
        <w:snapToGrid w:val="0"/>
        <w:spacing w:line="578" w:lineRule="exact"/>
        <w:ind w:firstLine="560" w:firstLineChars="200"/>
        <w:contextualSpacing/>
        <w:jc w:val="left"/>
        <w:rPr>
          <w:rFonts w:hint="eastAsia" w:ascii="宋体" w:hAnsi="宋体" w:cs="方正仿宋_GBK"/>
          <w:kern w:val="0"/>
          <w:sz w:val="28"/>
          <w:szCs w:val="28"/>
        </w:rPr>
      </w:pPr>
      <w:r>
        <w:rPr>
          <w:rFonts w:hint="eastAsia" w:ascii="宋体" w:hAnsi="宋体" w:cs="方正仿宋_GBK"/>
          <w:kern w:val="0"/>
          <w:sz w:val="28"/>
          <w:szCs w:val="28"/>
        </w:rPr>
        <w:t>附表：1.部门预算绩效自评打分表</w:t>
      </w:r>
    </w:p>
    <w:p w14:paraId="3FE32033">
      <w:pPr>
        <w:widowControl/>
        <w:adjustRightInd w:val="0"/>
        <w:snapToGrid w:val="0"/>
        <w:spacing w:line="578" w:lineRule="exact"/>
        <w:ind w:firstLine="1400" w:firstLineChars="500"/>
        <w:contextualSpacing/>
        <w:jc w:val="left"/>
        <w:rPr>
          <w:rFonts w:hint="eastAsia" w:ascii="宋体" w:hAnsi="宋体" w:cs="方正仿宋_GBK"/>
          <w:kern w:val="0"/>
          <w:sz w:val="28"/>
          <w:szCs w:val="28"/>
        </w:rPr>
      </w:pPr>
      <w:r>
        <w:rPr>
          <w:rFonts w:hint="eastAsia" w:ascii="宋体" w:hAnsi="宋体" w:cs="方正仿宋_GBK"/>
          <w:kern w:val="0"/>
          <w:sz w:val="28"/>
          <w:szCs w:val="28"/>
        </w:rPr>
        <w:t>2.部门整体绩效目标完成情况自评表</w:t>
      </w:r>
    </w:p>
    <w:p w14:paraId="07571EAB">
      <w:pPr>
        <w:pStyle w:val="15"/>
        <w:spacing w:before="93"/>
        <w:ind w:left="420" w:firstLine="560"/>
        <w:rPr>
          <w:rFonts w:hint="eastAsia" w:ascii="宋体" w:hAnsi="宋体"/>
          <w:sz w:val="28"/>
          <w:szCs w:val="28"/>
        </w:rPr>
      </w:pPr>
    </w:p>
    <w:p w14:paraId="34404D4E">
      <w:pPr>
        <w:pStyle w:val="15"/>
        <w:spacing w:before="93"/>
        <w:ind w:left="420" w:firstLine="560"/>
        <w:rPr>
          <w:rFonts w:hint="eastAsia" w:ascii="宋体" w:hAnsi="宋体" w:cs="宋体"/>
          <w:b/>
          <w:bCs/>
          <w:sz w:val="28"/>
          <w:szCs w:val="28"/>
        </w:rPr>
      </w:pPr>
      <w:r>
        <w:rPr>
          <w:rFonts w:hint="eastAsia" w:ascii="宋体" w:hAnsi="宋体"/>
          <w:sz w:val="28"/>
          <w:szCs w:val="28"/>
        </w:rPr>
        <w:t xml:space="preserve">                   </w:t>
      </w:r>
    </w:p>
    <w:p w14:paraId="21E2723E">
      <w:pPr>
        <w:spacing w:line="578" w:lineRule="exact"/>
        <w:jc w:val="left"/>
        <w:rPr>
          <w:rFonts w:eastAsia="黑体"/>
        </w:rPr>
      </w:pPr>
      <w:r>
        <w:rPr>
          <w:color w:val="000000"/>
          <w:kern w:val="0"/>
          <w:sz w:val="28"/>
          <w:szCs w:val="28"/>
          <w:shd w:val="clear" w:color="auto" w:fill="FFFFFF"/>
        </w:rPr>
        <w:br w:type="page"/>
      </w:r>
      <w:r>
        <w:rPr>
          <w:rFonts w:eastAsia="黑体"/>
        </w:rPr>
        <w:t>附表</w:t>
      </w:r>
      <w:r>
        <w:rPr>
          <w:rFonts w:hint="eastAsia" w:eastAsia="黑体"/>
        </w:rPr>
        <w:t>1</w:t>
      </w:r>
    </w:p>
    <w:p w14:paraId="07458440">
      <w:pPr>
        <w:widowControl/>
        <w:spacing w:line="600" w:lineRule="exact"/>
        <w:jc w:val="center"/>
        <w:textAlignment w:val="center"/>
        <w:rPr>
          <w:rFonts w:eastAsia="Arial Unicode MS"/>
          <w:color w:val="000000"/>
          <w:kern w:val="0"/>
          <w:sz w:val="44"/>
          <w:szCs w:val="44"/>
          <w:lang w:bidi="ar"/>
        </w:rPr>
      </w:pPr>
      <w:r>
        <w:rPr>
          <w:rFonts w:hint="eastAsia" w:eastAsia="Arial Unicode MS"/>
          <w:color w:val="000000"/>
          <w:kern w:val="0"/>
          <w:sz w:val="44"/>
          <w:szCs w:val="44"/>
          <w:lang w:bidi="ar"/>
        </w:rPr>
        <w:t>部门预算绩效自评打分表</w:t>
      </w:r>
    </w:p>
    <w:tbl>
      <w:tblPr>
        <w:tblStyle w:val="17"/>
        <w:tblW w:w="10819" w:type="dxa"/>
        <w:jc w:val="center"/>
        <w:tblLayout w:type="fixed"/>
        <w:tblCellMar>
          <w:top w:w="0" w:type="dxa"/>
          <w:left w:w="108" w:type="dxa"/>
          <w:bottom w:w="0" w:type="dxa"/>
          <w:right w:w="108" w:type="dxa"/>
        </w:tblCellMar>
      </w:tblPr>
      <w:tblGrid>
        <w:gridCol w:w="1004"/>
        <w:gridCol w:w="1462"/>
        <w:gridCol w:w="1665"/>
        <w:gridCol w:w="720"/>
        <w:gridCol w:w="4734"/>
        <w:gridCol w:w="756"/>
        <w:gridCol w:w="478"/>
      </w:tblGrid>
      <w:tr w14:paraId="5F95C4BB">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vAlign w:val="center"/>
          </w:tcPr>
          <w:p w14:paraId="10EF48EB">
            <w:pPr>
              <w:widowControl/>
              <w:spacing w:line="240" w:lineRule="exact"/>
              <w:jc w:val="center"/>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vAlign w:val="center"/>
          </w:tcPr>
          <w:p w14:paraId="46CD25A7">
            <w:pPr>
              <w:widowControl/>
              <w:spacing w:line="240" w:lineRule="exact"/>
              <w:jc w:val="center"/>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指标解释</w:t>
            </w:r>
          </w:p>
        </w:tc>
        <w:tc>
          <w:tcPr>
            <w:tcW w:w="756" w:type="dxa"/>
            <w:vMerge w:val="restart"/>
            <w:tcBorders>
              <w:top w:val="single" w:color="000000" w:sz="4" w:space="0"/>
              <w:left w:val="single" w:color="000000" w:sz="4" w:space="0"/>
              <w:right w:val="single" w:color="000000" w:sz="4" w:space="0"/>
            </w:tcBorders>
            <w:vAlign w:val="center"/>
          </w:tcPr>
          <w:p w14:paraId="472A600B">
            <w:pPr>
              <w:widowControl/>
              <w:spacing w:line="240" w:lineRule="exact"/>
              <w:jc w:val="center"/>
              <w:textAlignment w:val="center"/>
              <w:rPr>
                <w:rFonts w:hint="eastAsia" w:ascii="黑体" w:hAnsi="宋体" w:eastAsia="黑体" w:cs="黑体"/>
                <w:color w:val="000000"/>
                <w:kern w:val="0"/>
                <w:sz w:val="24"/>
                <w:lang w:bidi="ar"/>
              </w:rPr>
            </w:pPr>
            <w:r>
              <w:rPr>
                <w:rFonts w:hint="eastAsia" w:ascii="黑体" w:hAnsi="宋体" w:eastAsia="黑体" w:cs="黑体"/>
                <w:color w:val="000000"/>
                <w:kern w:val="0"/>
                <w:sz w:val="24"/>
                <w:lang w:bidi="ar"/>
              </w:rPr>
              <w:t>自评得分</w:t>
            </w:r>
          </w:p>
        </w:tc>
        <w:tc>
          <w:tcPr>
            <w:tcW w:w="478" w:type="dxa"/>
            <w:vMerge w:val="restart"/>
            <w:tcBorders>
              <w:top w:val="single" w:color="000000" w:sz="4" w:space="0"/>
              <w:left w:val="single" w:color="000000" w:sz="4" w:space="0"/>
              <w:right w:val="single" w:color="000000" w:sz="4" w:space="0"/>
            </w:tcBorders>
            <w:vAlign w:val="center"/>
          </w:tcPr>
          <w:p w14:paraId="3FB360CF">
            <w:pPr>
              <w:widowControl/>
              <w:spacing w:line="240" w:lineRule="exact"/>
              <w:jc w:val="center"/>
              <w:textAlignment w:val="center"/>
              <w:rPr>
                <w:rFonts w:hint="eastAsia" w:ascii="黑体" w:hAnsi="宋体" w:eastAsia="黑体" w:cs="黑体"/>
                <w:color w:val="000000"/>
                <w:kern w:val="0"/>
                <w:sz w:val="24"/>
                <w:lang w:bidi="ar"/>
              </w:rPr>
            </w:pPr>
            <w:r>
              <w:rPr>
                <w:rFonts w:hint="eastAsia" w:ascii="黑体" w:hAnsi="宋体" w:eastAsia="黑体" w:cs="黑体"/>
                <w:color w:val="000000"/>
                <w:kern w:val="0"/>
                <w:sz w:val="24"/>
                <w:lang w:bidi="ar"/>
              </w:rPr>
              <w:t>备注</w:t>
            </w:r>
          </w:p>
        </w:tc>
      </w:tr>
      <w:tr w14:paraId="40769259">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vAlign w:val="center"/>
          </w:tcPr>
          <w:p w14:paraId="0FA92A7B">
            <w:pPr>
              <w:widowControl/>
              <w:spacing w:line="240" w:lineRule="exact"/>
              <w:jc w:val="center"/>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一级指标</w:t>
            </w:r>
          </w:p>
        </w:tc>
        <w:tc>
          <w:tcPr>
            <w:tcW w:w="1462" w:type="dxa"/>
            <w:tcBorders>
              <w:top w:val="single" w:color="000000" w:sz="4" w:space="0"/>
              <w:left w:val="single" w:color="000000" w:sz="4" w:space="0"/>
              <w:bottom w:val="single" w:color="000000" w:sz="4" w:space="0"/>
              <w:right w:val="single" w:color="000000" w:sz="4" w:space="0"/>
            </w:tcBorders>
            <w:vAlign w:val="center"/>
          </w:tcPr>
          <w:p w14:paraId="67CF5D6A">
            <w:pPr>
              <w:widowControl/>
              <w:spacing w:line="240" w:lineRule="exact"/>
              <w:jc w:val="center"/>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二级指标</w:t>
            </w:r>
          </w:p>
        </w:tc>
        <w:tc>
          <w:tcPr>
            <w:tcW w:w="1665" w:type="dxa"/>
            <w:tcBorders>
              <w:top w:val="single" w:color="000000" w:sz="4" w:space="0"/>
              <w:left w:val="single" w:color="000000" w:sz="4" w:space="0"/>
              <w:bottom w:val="single" w:color="000000" w:sz="4" w:space="0"/>
              <w:right w:val="single" w:color="000000" w:sz="4" w:space="0"/>
            </w:tcBorders>
            <w:vAlign w:val="center"/>
          </w:tcPr>
          <w:p w14:paraId="193F9635">
            <w:pPr>
              <w:widowControl/>
              <w:spacing w:line="240" w:lineRule="exact"/>
              <w:jc w:val="center"/>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三级指标</w:t>
            </w:r>
          </w:p>
        </w:tc>
        <w:tc>
          <w:tcPr>
            <w:tcW w:w="720" w:type="dxa"/>
            <w:tcBorders>
              <w:top w:val="single" w:color="000000" w:sz="4" w:space="0"/>
              <w:left w:val="single" w:color="000000" w:sz="4" w:space="0"/>
              <w:bottom w:val="single" w:color="000000" w:sz="4" w:space="0"/>
              <w:right w:val="single" w:color="000000" w:sz="4" w:space="0"/>
            </w:tcBorders>
            <w:vAlign w:val="center"/>
          </w:tcPr>
          <w:p w14:paraId="37723BE8">
            <w:pPr>
              <w:widowControl/>
              <w:spacing w:line="240" w:lineRule="exact"/>
              <w:jc w:val="center"/>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指标</w:t>
            </w:r>
            <w:r>
              <w:rPr>
                <w:rFonts w:hint="eastAsia" w:ascii="黑体" w:hAnsi="宋体" w:eastAsia="黑体" w:cs="黑体"/>
                <w:color w:val="000000"/>
                <w:kern w:val="0"/>
                <w:sz w:val="24"/>
                <w:lang w:bidi="ar"/>
              </w:rPr>
              <w:br w:type="textWrapping"/>
            </w:r>
            <w:r>
              <w:rPr>
                <w:rFonts w:hint="eastAsia" w:ascii="黑体" w:hAnsi="宋体" w:eastAsia="黑体" w:cs="黑体"/>
                <w:color w:val="000000"/>
                <w:kern w:val="0"/>
                <w:sz w:val="24"/>
                <w:lang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14:paraId="34710627">
            <w:pPr>
              <w:widowControl/>
              <w:spacing w:line="240" w:lineRule="exact"/>
              <w:jc w:val="center"/>
              <w:rPr>
                <w:rFonts w:hint="eastAsia" w:ascii="黑体" w:hAnsi="宋体" w:eastAsia="黑体" w:cs="黑体"/>
                <w:color w:val="000000"/>
                <w:sz w:val="24"/>
              </w:rPr>
            </w:pPr>
          </w:p>
        </w:tc>
        <w:tc>
          <w:tcPr>
            <w:tcW w:w="756" w:type="dxa"/>
            <w:vMerge w:val="continue"/>
            <w:tcBorders>
              <w:left w:val="single" w:color="000000" w:sz="4" w:space="0"/>
              <w:bottom w:val="single" w:color="000000" w:sz="4" w:space="0"/>
              <w:right w:val="single" w:color="000000" w:sz="4" w:space="0"/>
            </w:tcBorders>
            <w:vAlign w:val="center"/>
          </w:tcPr>
          <w:p w14:paraId="6F05DBF5">
            <w:pPr>
              <w:widowControl/>
              <w:spacing w:line="240" w:lineRule="exact"/>
              <w:jc w:val="center"/>
              <w:rPr>
                <w:rFonts w:hint="eastAsia"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vAlign w:val="center"/>
          </w:tcPr>
          <w:p w14:paraId="4ED44562">
            <w:pPr>
              <w:widowControl/>
              <w:spacing w:line="240" w:lineRule="exact"/>
              <w:jc w:val="center"/>
              <w:rPr>
                <w:rFonts w:hint="eastAsia" w:ascii="黑体" w:hAnsi="宋体" w:eastAsia="黑体" w:cs="黑体"/>
                <w:color w:val="000000"/>
                <w:sz w:val="24"/>
              </w:rPr>
            </w:pPr>
          </w:p>
        </w:tc>
      </w:tr>
      <w:tr w14:paraId="27559B88">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1FD940B1">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总体绩效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vAlign w:val="center"/>
          </w:tcPr>
          <w:p w14:paraId="6C939067">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履职效能</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（15分）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7417B1E8">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履职效果</w:t>
            </w:r>
          </w:p>
        </w:tc>
        <w:tc>
          <w:tcPr>
            <w:tcW w:w="720" w:type="dxa"/>
            <w:tcBorders>
              <w:top w:val="nil"/>
              <w:left w:val="single" w:color="000000" w:sz="4" w:space="0"/>
              <w:bottom w:val="single" w:color="000000" w:sz="4" w:space="0"/>
              <w:right w:val="single" w:color="000000" w:sz="4" w:space="0"/>
            </w:tcBorders>
            <w:vAlign w:val="center"/>
          </w:tcPr>
          <w:p w14:paraId="4C11001A">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15</w:t>
            </w:r>
          </w:p>
        </w:tc>
        <w:tc>
          <w:tcPr>
            <w:tcW w:w="4734" w:type="dxa"/>
            <w:tcBorders>
              <w:top w:val="single" w:color="000000" w:sz="4" w:space="0"/>
              <w:left w:val="single" w:color="000000" w:sz="4" w:space="0"/>
              <w:bottom w:val="single" w:color="000000" w:sz="4" w:space="0"/>
              <w:right w:val="single" w:color="000000" w:sz="4" w:space="0"/>
            </w:tcBorders>
            <w:vAlign w:val="center"/>
          </w:tcPr>
          <w:p w14:paraId="433DB1CC">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30DABC79">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15</w:t>
            </w:r>
          </w:p>
        </w:tc>
        <w:tc>
          <w:tcPr>
            <w:tcW w:w="478" w:type="dxa"/>
            <w:tcBorders>
              <w:top w:val="single" w:color="000000" w:sz="4" w:space="0"/>
              <w:left w:val="single" w:color="000000" w:sz="4" w:space="0"/>
              <w:bottom w:val="single" w:color="000000" w:sz="4" w:space="0"/>
              <w:right w:val="single" w:color="000000" w:sz="4" w:space="0"/>
            </w:tcBorders>
            <w:vAlign w:val="center"/>
          </w:tcPr>
          <w:p w14:paraId="527D2DDF">
            <w:pPr>
              <w:widowControl/>
              <w:spacing w:line="240" w:lineRule="exact"/>
              <w:jc w:val="left"/>
              <w:textAlignment w:val="center"/>
              <w:rPr>
                <w:rFonts w:hint="eastAsia" w:ascii="宋体" w:hAnsi="宋体" w:cs="宋体"/>
                <w:color w:val="000000"/>
                <w:kern w:val="0"/>
                <w:sz w:val="24"/>
                <w:lang w:bidi="ar"/>
              </w:rPr>
            </w:pPr>
          </w:p>
        </w:tc>
      </w:tr>
      <w:tr w14:paraId="29E390A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1A3C69E1">
            <w:pPr>
              <w:widowControl/>
              <w:spacing w:line="240" w:lineRule="exact"/>
              <w:jc w:val="center"/>
              <w:rPr>
                <w:rFonts w:hint="eastAsia"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1AB69C6E">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预算管理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（25分）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6A9BEA92">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预算编制质量</w:t>
            </w:r>
          </w:p>
        </w:tc>
        <w:tc>
          <w:tcPr>
            <w:tcW w:w="720" w:type="dxa"/>
            <w:tcBorders>
              <w:top w:val="single" w:color="000000" w:sz="4" w:space="0"/>
              <w:left w:val="single" w:color="000000" w:sz="4" w:space="0"/>
              <w:bottom w:val="single" w:color="000000" w:sz="4" w:space="0"/>
              <w:right w:val="single" w:color="000000" w:sz="4" w:space="0"/>
            </w:tcBorders>
            <w:vAlign w:val="center"/>
          </w:tcPr>
          <w:p w14:paraId="7A82CF3B">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c>
          <w:tcPr>
            <w:tcW w:w="4734" w:type="dxa"/>
            <w:tcBorders>
              <w:top w:val="single" w:color="000000" w:sz="4" w:space="0"/>
              <w:left w:val="single" w:color="000000" w:sz="4" w:space="0"/>
              <w:bottom w:val="single" w:color="000000" w:sz="4" w:space="0"/>
              <w:right w:val="single" w:color="000000" w:sz="4" w:space="0"/>
            </w:tcBorders>
            <w:vAlign w:val="center"/>
          </w:tcPr>
          <w:p w14:paraId="075515BB">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vAlign w:val="center"/>
          </w:tcPr>
          <w:p w14:paraId="662F4DD2">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8</w:t>
            </w:r>
          </w:p>
        </w:tc>
        <w:tc>
          <w:tcPr>
            <w:tcW w:w="478" w:type="dxa"/>
            <w:tcBorders>
              <w:top w:val="single" w:color="000000" w:sz="4" w:space="0"/>
              <w:left w:val="single" w:color="000000" w:sz="4" w:space="0"/>
              <w:bottom w:val="single" w:color="000000" w:sz="4" w:space="0"/>
              <w:right w:val="single" w:color="000000" w:sz="4" w:space="0"/>
            </w:tcBorders>
            <w:vAlign w:val="center"/>
          </w:tcPr>
          <w:p w14:paraId="3FC9558B">
            <w:pPr>
              <w:widowControl/>
              <w:spacing w:line="240" w:lineRule="exact"/>
              <w:jc w:val="left"/>
              <w:textAlignment w:val="center"/>
              <w:rPr>
                <w:rFonts w:hint="eastAsia" w:ascii="宋体" w:hAnsi="宋体" w:cs="宋体"/>
                <w:color w:val="000000"/>
                <w:kern w:val="0"/>
                <w:sz w:val="24"/>
                <w:lang w:bidi="ar"/>
              </w:rPr>
            </w:pPr>
          </w:p>
        </w:tc>
      </w:tr>
      <w:tr w14:paraId="3C86A1D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1A326597">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1A70076F">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6D9DBEE">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单位收入统筹</w:t>
            </w:r>
          </w:p>
        </w:tc>
        <w:tc>
          <w:tcPr>
            <w:tcW w:w="720" w:type="dxa"/>
            <w:tcBorders>
              <w:top w:val="single" w:color="000000" w:sz="4" w:space="0"/>
              <w:left w:val="single" w:color="000000" w:sz="4" w:space="0"/>
              <w:bottom w:val="single" w:color="000000" w:sz="4" w:space="0"/>
              <w:right w:val="single" w:color="000000" w:sz="4" w:space="0"/>
            </w:tcBorders>
            <w:vAlign w:val="center"/>
          </w:tcPr>
          <w:p w14:paraId="7ED7128C">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1BEF83F1">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vAlign w:val="center"/>
          </w:tcPr>
          <w:p w14:paraId="4EA56A6C">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0</w:t>
            </w:r>
          </w:p>
        </w:tc>
        <w:tc>
          <w:tcPr>
            <w:tcW w:w="478" w:type="dxa"/>
            <w:tcBorders>
              <w:top w:val="single" w:color="000000" w:sz="4" w:space="0"/>
              <w:left w:val="single" w:color="000000" w:sz="4" w:space="0"/>
              <w:bottom w:val="single" w:color="000000" w:sz="4" w:space="0"/>
              <w:right w:val="single" w:color="000000" w:sz="4" w:space="0"/>
            </w:tcBorders>
            <w:vAlign w:val="center"/>
          </w:tcPr>
          <w:p w14:paraId="3AF0A214">
            <w:pPr>
              <w:widowControl/>
              <w:spacing w:line="240" w:lineRule="exact"/>
              <w:jc w:val="left"/>
              <w:textAlignment w:val="center"/>
              <w:rPr>
                <w:rFonts w:hint="eastAsia" w:ascii="宋体" w:hAnsi="宋体" w:cs="宋体"/>
                <w:color w:val="000000"/>
                <w:kern w:val="0"/>
                <w:sz w:val="24"/>
                <w:lang w:bidi="ar"/>
              </w:rPr>
            </w:pPr>
          </w:p>
        </w:tc>
      </w:tr>
      <w:tr w14:paraId="4BCCBAE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13FCC23A">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62B3F938">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D6CC47E">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支出执行进度</w:t>
            </w:r>
          </w:p>
        </w:tc>
        <w:tc>
          <w:tcPr>
            <w:tcW w:w="720" w:type="dxa"/>
            <w:tcBorders>
              <w:top w:val="single" w:color="000000" w:sz="4" w:space="0"/>
              <w:left w:val="single" w:color="000000" w:sz="4" w:space="0"/>
              <w:bottom w:val="single" w:color="000000" w:sz="4" w:space="0"/>
              <w:right w:val="single" w:color="000000" w:sz="4" w:space="0"/>
            </w:tcBorders>
            <w:vAlign w:val="center"/>
          </w:tcPr>
          <w:p w14:paraId="40BAE5DF">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4734" w:type="dxa"/>
            <w:tcBorders>
              <w:top w:val="single" w:color="000000" w:sz="4" w:space="0"/>
              <w:left w:val="single" w:color="000000" w:sz="4" w:space="0"/>
              <w:bottom w:val="single" w:color="000000" w:sz="4" w:space="0"/>
              <w:right w:val="single" w:color="000000" w:sz="4" w:space="0"/>
            </w:tcBorders>
            <w:vAlign w:val="center"/>
          </w:tcPr>
          <w:p w14:paraId="5D117C85">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02E2D25C">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52ACD74E">
            <w:pPr>
              <w:widowControl/>
              <w:spacing w:line="240" w:lineRule="exact"/>
              <w:jc w:val="left"/>
              <w:textAlignment w:val="center"/>
              <w:rPr>
                <w:rFonts w:hint="eastAsia" w:ascii="宋体" w:hAnsi="宋体" w:cs="宋体"/>
                <w:color w:val="000000"/>
                <w:kern w:val="0"/>
                <w:sz w:val="24"/>
                <w:lang w:bidi="ar"/>
              </w:rPr>
            </w:pPr>
          </w:p>
        </w:tc>
      </w:tr>
      <w:tr w14:paraId="4BB7760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082B3286">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7C3DE2CB">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6D3274B6">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预算年终结余</w:t>
            </w:r>
          </w:p>
        </w:tc>
        <w:tc>
          <w:tcPr>
            <w:tcW w:w="720" w:type="dxa"/>
            <w:tcBorders>
              <w:top w:val="single" w:color="000000" w:sz="4" w:space="0"/>
              <w:left w:val="single" w:color="000000" w:sz="4" w:space="0"/>
              <w:bottom w:val="single" w:color="000000" w:sz="4" w:space="0"/>
              <w:right w:val="single" w:color="000000" w:sz="4" w:space="0"/>
            </w:tcBorders>
            <w:vAlign w:val="center"/>
          </w:tcPr>
          <w:p w14:paraId="43B46AC5">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vAlign w:val="center"/>
          </w:tcPr>
          <w:p w14:paraId="7B70DCC2">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33D1EC79">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1769AA50">
            <w:pPr>
              <w:widowControl/>
              <w:spacing w:line="240" w:lineRule="exact"/>
              <w:jc w:val="left"/>
              <w:textAlignment w:val="center"/>
              <w:rPr>
                <w:rFonts w:hint="eastAsia" w:ascii="宋体" w:hAnsi="宋体" w:cs="宋体"/>
                <w:color w:val="000000"/>
                <w:kern w:val="0"/>
                <w:sz w:val="24"/>
                <w:lang w:bidi="ar"/>
              </w:rPr>
            </w:pPr>
          </w:p>
        </w:tc>
      </w:tr>
      <w:tr w14:paraId="445CD79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583903BA">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1E50CE17">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1CFF01D4">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严控一般性支出</w:t>
            </w:r>
          </w:p>
        </w:tc>
        <w:tc>
          <w:tcPr>
            <w:tcW w:w="720" w:type="dxa"/>
            <w:tcBorders>
              <w:top w:val="single" w:color="000000" w:sz="4" w:space="0"/>
              <w:left w:val="single" w:color="000000" w:sz="4" w:space="0"/>
              <w:bottom w:val="single" w:color="000000" w:sz="4" w:space="0"/>
              <w:right w:val="single" w:color="000000" w:sz="4" w:space="0"/>
            </w:tcBorders>
            <w:vAlign w:val="center"/>
          </w:tcPr>
          <w:p w14:paraId="7DF5E1B4">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4734" w:type="dxa"/>
            <w:tcBorders>
              <w:top w:val="single" w:color="000000" w:sz="4" w:space="0"/>
              <w:left w:val="single" w:color="000000" w:sz="4" w:space="0"/>
              <w:bottom w:val="single" w:color="000000" w:sz="4" w:space="0"/>
              <w:right w:val="single" w:color="000000" w:sz="4" w:space="0"/>
            </w:tcBorders>
            <w:vAlign w:val="center"/>
          </w:tcPr>
          <w:p w14:paraId="5CE09F5D">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304E9F0F">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5338C7FB">
            <w:pPr>
              <w:widowControl/>
              <w:spacing w:line="240" w:lineRule="exact"/>
              <w:jc w:val="left"/>
              <w:textAlignment w:val="center"/>
              <w:rPr>
                <w:rFonts w:hint="eastAsia" w:ascii="宋体" w:hAnsi="宋体" w:cs="宋体"/>
                <w:color w:val="000000"/>
                <w:kern w:val="0"/>
                <w:sz w:val="24"/>
                <w:lang w:bidi="ar"/>
              </w:rPr>
            </w:pPr>
          </w:p>
        </w:tc>
      </w:tr>
      <w:tr w14:paraId="46AE5FF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38C80C9B">
            <w:pPr>
              <w:widowControl/>
              <w:spacing w:line="240" w:lineRule="exact"/>
              <w:jc w:val="center"/>
              <w:rPr>
                <w:rFonts w:hint="eastAsia"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6D987218">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财务管理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（10分）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0C5DF01E">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财务管理制度</w:t>
            </w:r>
          </w:p>
        </w:tc>
        <w:tc>
          <w:tcPr>
            <w:tcW w:w="720" w:type="dxa"/>
            <w:tcBorders>
              <w:top w:val="single" w:color="000000" w:sz="4" w:space="0"/>
              <w:left w:val="single" w:color="000000" w:sz="4" w:space="0"/>
              <w:bottom w:val="single" w:color="000000" w:sz="4" w:space="0"/>
              <w:right w:val="single" w:color="000000" w:sz="4" w:space="0"/>
            </w:tcBorders>
            <w:vAlign w:val="center"/>
          </w:tcPr>
          <w:p w14:paraId="0AD169DF">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1ED7419E">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42FD0751">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000E7BC2">
            <w:pPr>
              <w:widowControl/>
              <w:spacing w:line="240" w:lineRule="exact"/>
              <w:jc w:val="left"/>
              <w:textAlignment w:val="center"/>
              <w:rPr>
                <w:rFonts w:hint="eastAsia" w:ascii="宋体" w:hAnsi="宋体" w:cs="宋体"/>
                <w:color w:val="000000"/>
                <w:kern w:val="0"/>
                <w:sz w:val="24"/>
                <w:lang w:bidi="ar"/>
              </w:rPr>
            </w:pPr>
          </w:p>
        </w:tc>
      </w:tr>
      <w:tr w14:paraId="2469769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2AA4AA87">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0A2EC0B5">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EA3940E">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财务岗位设置</w:t>
            </w:r>
          </w:p>
        </w:tc>
        <w:tc>
          <w:tcPr>
            <w:tcW w:w="720" w:type="dxa"/>
            <w:tcBorders>
              <w:top w:val="single" w:color="000000" w:sz="4" w:space="0"/>
              <w:left w:val="single" w:color="000000" w:sz="4" w:space="0"/>
              <w:bottom w:val="single" w:color="000000" w:sz="4" w:space="0"/>
              <w:right w:val="single" w:color="000000" w:sz="4" w:space="0"/>
            </w:tcBorders>
            <w:vAlign w:val="center"/>
          </w:tcPr>
          <w:p w14:paraId="2473AEAF">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vAlign w:val="center"/>
          </w:tcPr>
          <w:p w14:paraId="05014200">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vAlign w:val="center"/>
          </w:tcPr>
          <w:p w14:paraId="1C4DA5FC">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69E57FEC">
            <w:pPr>
              <w:widowControl/>
              <w:spacing w:line="240" w:lineRule="exact"/>
              <w:jc w:val="left"/>
              <w:textAlignment w:val="center"/>
              <w:rPr>
                <w:rFonts w:hint="eastAsia" w:ascii="宋体" w:hAnsi="宋体" w:cs="宋体"/>
                <w:color w:val="000000"/>
                <w:kern w:val="0"/>
                <w:sz w:val="24"/>
                <w:lang w:bidi="ar"/>
              </w:rPr>
            </w:pPr>
          </w:p>
        </w:tc>
      </w:tr>
      <w:tr w14:paraId="62F1BE2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7CF79AB4">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41F6E466">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7A50462">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资金使用规范</w:t>
            </w:r>
          </w:p>
        </w:tc>
        <w:tc>
          <w:tcPr>
            <w:tcW w:w="720" w:type="dxa"/>
            <w:tcBorders>
              <w:top w:val="single" w:color="000000" w:sz="4" w:space="0"/>
              <w:left w:val="single" w:color="000000" w:sz="4" w:space="0"/>
              <w:bottom w:val="single" w:color="000000" w:sz="4" w:space="0"/>
              <w:right w:val="single" w:color="000000" w:sz="4" w:space="0"/>
            </w:tcBorders>
            <w:vAlign w:val="center"/>
          </w:tcPr>
          <w:p w14:paraId="50A5E995">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7FEEBFF">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vAlign w:val="center"/>
          </w:tcPr>
          <w:p w14:paraId="59B05A92">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5D8F7113">
            <w:pPr>
              <w:widowControl/>
              <w:spacing w:line="240" w:lineRule="exact"/>
              <w:jc w:val="left"/>
              <w:textAlignment w:val="center"/>
              <w:rPr>
                <w:rFonts w:hint="eastAsia" w:ascii="宋体" w:hAnsi="宋体" w:cs="宋体"/>
                <w:color w:val="000000"/>
                <w:kern w:val="0"/>
                <w:sz w:val="24"/>
                <w:lang w:bidi="ar"/>
              </w:rPr>
            </w:pPr>
          </w:p>
        </w:tc>
      </w:tr>
      <w:tr w14:paraId="4D4BD12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6F195069">
            <w:pPr>
              <w:widowControl/>
              <w:spacing w:line="240" w:lineRule="exact"/>
              <w:jc w:val="center"/>
              <w:rPr>
                <w:rFonts w:hint="eastAsia"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392EAF5A">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资产管理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4F09D60D">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人均资产变化率</w:t>
            </w:r>
          </w:p>
        </w:tc>
        <w:tc>
          <w:tcPr>
            <w:tcW w:w="720" w:type="dxa"/>
            <w:tcBorders>
              <w:top w:val="single" w:color="000000" w:sz="4" w:space="0"/>
              <w:left w:val="single" w:color="000000" w:sz="4" w:space="0"/>
              <w:bottom w:val="single" w:color="000000" w:sz="4" w:space="0"/>
              <w:right w:val="single" w:color="000000" w:sz="4" w:space="0"/>
            </w:tcBorders>
            <w:vAlign w:val="center"/>
          </w:tcPr>
          <w:p w14:paraId="4765A011">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20BA82DF">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2E3B5E8F">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36A75A9C">
            <w:pPr>
              <w:widowControl/>
              <w:spacing w:line="240" w:lineRule="exact"/>
              <w:jc w:val="left"/>
              <w:textAlignment w:val="center"/>
              <w:rPr>
                <w:rFonts w:hint="eastAsia" w:ascii="宋体" w:hAnsi="宋体" w:cs="宋体"/>
                <w:color w:val="000000"/>
                <w:kern w:val="0"/>
                <w:sz w:val="24"/>
                <w:lang w:bidi="ar"/>
              </w:rPr>
            </w:pPr>
          </w:p>
        </w:tc>
      </w:tr>
      <w:tr w14:paraId="62B9B05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70A3FE77">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5E65FCA3">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0999D827">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资产利用率</w:t>
            </w:r>
          </w:p>
        </w:tc>
        <w:tc>
          <w:tcPr>
            <w:tcW w:w="720" w:type="dxa"/>
            <w:tcBorders>
              <w:top w:val="single" w:color="000000" w:sz="4" w:space="0"/>
              <w:left w:val="single" w:color="000000" w:sz="4" w:space="0"/>
              <w:bottom w:val="single" w:color="000000" w:sz="4" w:space="0"/>
              <w:right w:val="single" w:color="000000" w:sz="4" w:space="0"/>
            </w:tcBorders>
            <w:vAlign w:val="center"/>
          </w:tcPr>
          <w:p w14:paraId="6E0608F6">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7892B96E">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2FE098BD">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5650542A">
            <w:pPr>
              <w:widowControl/>
              <w:spacing w:line="240" w:lineRule="exact"/>
              <w:jc w:val="left"/>
              <w:textAlignment w:val="center"/>
              <w:rPr>
                <w:rFonts w:hint="eastAsia" w:ascii="宋体" w:hAnsi="宋体" w:cs="宋体"/>
                <w:color w:val="000000"/>
                <w:kern w:val="0"/>
                <w:sz w:val="24"/>
                <w:lang w:bidi="ar"/>
              </w:rPr>
            </w:pPr>
          </w:p>
        </w:tc>
      </w:tr>
      <w:tr w14:paraId="25A5B16E">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08AFC937">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总体绩效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vAlign w:val="center"/>
          </w:tcPr>
          <w:p w14:paraId="5AC6E5E5">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资产管理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1B6E74C2">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资产盘活率</w:t>
            </w:r>
          </w:p>
        </w:tc>
        <w:tc>
          <w:tcPr>
            <w:tcW w:w="720" w:type="dxa"/>
            <w:tcBorders>
              <w:top w:val="single" w:color="000000" w:sz="4" w:space="0"/>
              <w:left w:val="single" w:color="000000" w:sz="4" w:space="0"/>
              <w:bottom w:val="single" w:color="000000" w:sz="4" w:space="0"/>
              <w:right w:val="single" w:color="000000" w:sz="4" w:space="0"/>
            </w:tcBorders>
            <w:vAlign w:val="center"/>
          </w:tcPr>
          <w:p w14:paraId="778205E6">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52293713">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1232AABF">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3CCD28DE">
            <w:pPr>
              <w:widowControl/>
              <w:spacing w:line="240" w:lineRule="exact"/>
              <w:jc w:val="left"/>
              <w:textAlignment w:val="center"/>
              <w:rPr>
                <w:rFonts w:hint="eastAsia" w:ascii="宋体" w:hAnsi="宋体" w:cs="宋体"/>
                <w:color w:val="000000"/>
                <w:kern w:val="0"/>
                <w:sz w:val="24"/>
                <w:lang w:bidi="ar"/>
              </w:rPr>
            </w:pPr>
          </w:p>
        </w:tc>
      </w:tr>
      <w:tr w14:paraId="4C6E4FB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60948833">
            <w:pPr>
              <w:widowControl/>
              <w:spacing w:line="240" w:lineRule="exact"/>
              <w:jc w:val="center"/>
              <w:rPr>
                <w:rFonts w:hint="eastAsia"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3D39F20E">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采购管理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7307E1A5">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vAlign w:val="center"/>
          </w:tcPr>
          <w:p w14:paraId="106859A0">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0E430B25">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vAlign w:val="center"/>
          </w:tcPr>
          <w:p w14:paraId="3D0F50E0">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0F9E7154">
            <w:pPr>
              <w:widowControl/>
              <w:spacing w:line="240" w:lineRule="exact"/>
              <w:jc w:val="left"/>
              <w:textAlignment w:val="center"/>
              <w:rPr>
                <w:rFonts w:hint="eastAsia" w:ascii="宋体" w:hAnsi="宋体" w:cs="宋体"/>
                <w:color w:val="000000"/>
                <w:kern w:val="0"/>
                <w:sz w:val="24"/>
                <w:lang w:bidi="ar"/>
              </w:rPr>
            </w:pPr>
          </w:p>
        </w:tc>
      </w:tr>
      <w:tr w14:paraId="5DF0B7C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3EF54C7E">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638440E8">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63BAFAE4">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采购执行率</w:t>
            </w:r>
          </w:p>
        </w:tc>
        <w:tc>
          <w:tcPr>
            <w:tcW w:w="720" w:type="dxa"/>
            <w:tcBorders>
              <w:top w:val="single" w:color="000000" w:sz="4" w:space="0"/>
              <w:left w:val="single" w:color="000000" w:sz="4" w:space="0"/>
              <w:bottom w:val="single" w:color="000000" w:sz="4" w:space="0"/>
              <w:right w:val="single" w:color="000000" w:sz="4" w:space="0"/>
            </w:tcBorders>
            <w:vAlign w:val="center"/>
          </w:tcPr>
          <w:p w14:paraId="1737EB46">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5749AC3A">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40611811">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67E52CB3">
            <w:pPr>
              <w:widowControl/>
              <w:spacing w:line="240" w:lineRule="exact"/>
              <w:jc w:val="left"/>
              <w:textAlignment w:val="center"/>
              <w:rPr>
                <w:rFonts w:hint="eastAsia" w:ascii="宋体" w:hAnsi="宋体" w:cs="宋体"/>
                <w:color w:val="000000"/>
                <w:kern w:val="0"/>
                <w:sz w:val="24"/>
                <w:lang w:bidi="ar"/>
              </w:rPr>
            </w:pPr>
          </w:p>
        </w:tc>
      </w:tr>
      <w:tr w14:paraId="1844E9D0">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76C72495">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项目绩效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（35分）</w:t>
            </w:r>
          </w:p>
        </w:tc>
        <w:tc>
          <w:tcPr>
            <w:tcW w:w="1462" w:type="dxa"/>
            <w:vMerge w:val="restart"/>
            <w:tcBorders>
              <w:top w:val="single" w:color="000000" w:sz="4" w:space="0"/>
              <w:left w:val="single" w:color="000000" w:sz="4" w:space="0"/>
              <w:bottom w:val="nil"/>
              <w:right w:val="single" w:color="000000" w:sz="4" w:space="0"/>
            </w:tcBorders>
            <w:vAlign w:val="center"/>
          </w:tcPr>
          <w:p w14:paraId="50D3596B">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项目决策</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571A5049">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决策程序</w:t>
            </w:r>
          </w:p>
        </w:tc>
        <w:tc>
          <w:tcPr>
            <w:tcW w:w="720" w:type="dxa"/>
            <w:tcBorders>
              <w:top w:val="single" w:color="000000" w:sz="4" w:space="0"/>
              <w:left w:val="single" w:color="000000" w:sz="4" w:space="0"/>
              <w:bottom w:val="single" w:color="000000" w:sz="4" w:space="0"/>
              <w:right w:val="single" w:color="000000" w:sz="4" w:space="0"/>
            </w:tcBorders>
            <w:vAlign w:val="center"/>
          </w:tcPr>
          <w:p w14:paraId="2786E85F">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7D8D54E8">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vAlign w:val="center"/>
          </w:tcPr>
          <w:p w14:paraId="31FF44AA">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28F9F551">
            <w:pPr>
              <w:widowControl/>
              <w:spacing w:line="240" w:lineRule="exact"/>
              <w:jc w:val="left"/>
              <w:textAlignment w:val="center"/>
              <w:rPr>
                <w:rFonts w:hint="eastAsia" w:ascii="宋体" w:hAnsi="宋体" w:cs="宋体"/>
                <w:color w:val="000000"/>
                <w:kern w:val="0"/>
                <w:sz w:val="24"/>
                <w:lang w:bidi="ar"/>
              </w:rPr>
            </w:pPr>
          </w:p>
        </w:tc>
      </w:tr>
      <w:tr w14:paraId="036A08A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26CA8BAF">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vAlign w:val="center"/>
          </w:tcPr>
          <w:p w14:paraId="435D781D">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73D5CB92">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目标设置</w:t>
            </w:r>
          </w:p>
        </w:tc>
        <w:tc>
          <w:tcPr>
            <w:tcW w:w="720" w:type="dxa"/>
            <w:tcBorders>
              <w:top w:val="single" w:color="000000" w:sz="4" w:space="0"/>
              <w:left w:val="single" w:color="000000" w:sz="4" w:space="0"/>
              <w:bottom w:val="single" w:color="000000" w:sz="4" w:space="0"/>
              <w:right w:val="single" w:color="000000" w:sz="4" w:space="0"/>
            </w:tcBorders>
            <w:vAlign w:val="center"/>
          </w:tcPr>
          <w:p w14:paraId="6BEF947A">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611FF0A6">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vAlign w:val="center"/>
          </w:tcPr>
          <w:p w14:paraId="215FF28A">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78E850A0">
            <w:pPr>
              <w:widowControl/>
              <w:spacing w:line="240" w:lineRule="exact"/>
              <w:jc w:val="left"/>
              <w:textAlignment w:val="center"/>
              <w:rPr>
                <w:rFonts w:hint="eastAsia" w:ascii="宋体" w:hAnsi="宋体" w:cs="宋体"/>
                <w:color w:val="000000"/>
                <w:kern w:val="0"/>
                <w:sz w:val="24"/>
                <w:lang w:bidi="ar"/>
              </w:rPr>
            </w:pPr>
          </w:p>
        </w:tc>
      </w:tr>
      <w:tr w14:paraId="02BA10A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15DBCD1C">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vAlign w:val="center"/>
          </w:tcPr>
          <w:p w14:paraId="2C58731B">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84494AB">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项目入库</w:t>
            </w:r>
          </w:p>
        </w:tc>
        <w:tc>
          <w:tcPr>
            <w:tcW w:w="720" w:type="dxa"/>
            <w:tcBorders>
              <w:top w:val="single" w:color="000000" w:sz="4" w:space="0"/>
              <w:left w:val="single" w:color="000000" w:sz="4" w:space="0"/>
              <w:bottom w:val="single" w:color="000000" w:sz="4" w:space="0"/>
              <w:right w:val="single" w:color="000000" w:sz="4" w:space="0"/>
            </w:tcBorders>
            <w:vAlign w:val="center"/>
          </w:tcPr>
          <w:p w14:paraId="5A08575C">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D0C4C33">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vAlign w:val="center"/>
          </w:tcPr>
          <w:p w14:paraId="2BD409F5">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008ED626">
            <w:pPr>
              <w:widowControl/>
              <w:spacing w:line="240" w:lineRule="exact"/>
              <w:jc w:val="left"/>
              <w:textAlignment w:val="center"/>
              <w:rPr>
                <w:rFonts w:hint="eastAsia" w:ascii="宋体" w:hAnsi="宋体" w:cs="宋体"/>
                <w:color w:val="000000"/>
                <w:kern w:val="0"/>
                <w:sz w:val="24"/>
                <w:lang w:bidi="ar"/>
              </w:rPr>
            </w:pPr>
          </w:p>
        </w:tc>
      </w:tr>
      <w:tr w14:paraId="1B0E4DE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371C9308">
            <w:pPr>
              <w:widowControl/>
              <w:spacing w:line="240" w:lineRule="exact"/>
              <w:jc w:val="center"/>
              <w:rPr>
                <w:rFonts w:hint="eastAsia" w:ascii="宋体" w:hAnsi="宋体" w:cs="宋体"/>
                <w:b/>
                <w:color w:val="000000"/>
                <w:sz w:val="24"/>
              </w:rPr>
            </w:pPr>
          </w:p>
        </w:tc>
        <w:tc>
          <w:tcPr>
            <w:tcW w:w="1462" w:type="dxa"/>
            <w:vMerge w:val="restart"/>
            <w:tcBorders>
              <w:top w:val="single" w:color="000000" w:sz="4" w:space="0"/>
              <w:left w:val="single" w:color="000000" w:sz="4" w:space="0"/>
              <w:bottom w:val="nil"/>
              <w:right w:val="single" w:color="000000" w:sz="4" w:space="0"/>
            </w:tcBorders>
            <w:vAlign w:val="center"/>
          </w:tcPr>
          <w:p w14:paraId="5E417521">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项目执行</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10374EB4">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执行同向</w:t>
            </w:r>
          </w:p>
        </w:tc>
        <w:tc>
          <w:tcPr>
            <w:tcW w:w="720" w:type="dxa"/>
            <w:tcBorders>
              <w:top w:val="single" w:color="000000" w:sz="4" w:space="0"/>
              <w:left w:val="single" w:color="000000" w:sz="4" w:space="0"/>
              <w:bottom w:val="single" w:color="000000" w:sz="4" w:space="0"/>
              <w:right w:val="single" w:color="000000" w:sz="4" w:space="0"/>
            </w:tcBorders>
            <w:vAlign w:val="center"/>
          </w:tcPr>
          <w:p w14:paraId="34D30F75">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2004BA99">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vAlign w:val="center"/>
          </w:tcPr>
          <w:p w14:paraId="707730CF">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27985C01">
            <w:pPr>
              <w:widowControl/>
              <w:spacing w:line="240" w:lineRule="exact"/>
              <w:jc w:val="left"/>
              <w:textAlignment w:val="center"/>
              <w:rPr>
                <w:rFonts w:hint="eastAsia" w:ascii="宋体" w:hAnsi="宋体" w:cs="宋体"/>
                <w:color w:val="000000"/>
                <w:kern w:val="0"/>
                <w:sz w:val="24"/>
                <w:lang w:bidi="ar"/>
              </w:rPr>
            </w:pPr>
          </w:p>
        </w:tc>
      </w:tr>
      <w:tr w14:paraId="14E4EAC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0ED08CD0">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vAlign w:val="center"/>
          </w:tcPr>
          <w:p w14:paraId="71B6C9DF">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nil"/>
              <w:right w:val="single" w:color="000000" w:sz="4" w:space="0"/>
            </w:tcBorders>
            <w:vAlign w:val="center"/>
          </w:tcPr>
          <w:p w14:paraId="0C6B66B4">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项目调整</w:t>
            </w:r>
          </w:p>
        </w:tc>
        <w:tc>
          <w:tcPr>
            <w:tcW w:w="720" w:type="dxa"/>
            <w:tcBorders>
              <w:top w:val="single" w:color="000000" w:sz="4" w:space="0"/>
              <w:left w:val="single" w:color="000000" w:sz="4" w:space="0"/>
              <w:bottom w:val="single" w:color="000000" w:sz="4" w:space="0"/>
              <w:right w:val="single" w:color="000000" w:sz="4" w:space="0"/>
            </w:tcBorders>
            <w:vAlign w:val="center"/>
          </w:tcPr>
          <w:p w14:paraId="0F4FB014">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7F22BAF1">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vAlign w:val="center"/>
          </w:tcPr>
          <w:p w14:paraId="726A9AEC">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7EC634CF">
            <w:pPr>
              <w:widowControl/>
              <w:spacing w:line="240" w:lineRule="exact"/>
              <w:jc w:val="left"/>
              <w:textAlignment w:val="center"/>
              <w:rPr>
                <w:rFonts w:hint="eastAsia" w:ascii="宋体" w:hAnsi="宋体" w:cs="宋体"/>
                <w:color w:val="000000"/>
                <w:kern w:val="0"/>
                <w:sz w:val="24"/>
                <w:lang w:bidi="ar"/>
              </w:rPr>
            </w:pPr>
          </w:p>
        </w:tc>
      </w:tr>
      <w:tr w14:paraId="5CEFEBF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2D0EA3D7">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vAlign w:val="center"/>
          </w:tcPr>
          <w:p w14:paraId="25B02BA6">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72875026">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执行结果</w:t>
            </w:r>
          </w:p>
        </w:tc>
        <w:tc>
          <w:tcPr>
            <w:tcW w:w="720" w:type="dxa"/>
            <w:tcBorders>
              <w:top w:val="single" w:color="000000" w:sz="4" w:space="0"/>
              <w:left w:val="single" w:color="000000" w:sz="4" w:space="0"/>
              <w:bottom w:val="single" w:color="000000" w:sz="4" w:space="0"/>
              <w:right w:val="single" w:color="000000" w:sz="4" w:space="0"/>
            </w:tcBorders>
            <w:vAlign w:val="center"/>
          </w:tcPr>
          <w:p w14:paraId="4C1AC1A2">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39833932">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A3608BB">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05F9D869">
            <w:pPr>
              <w:widowControl/>
              <w:spacing w:line="240" w:lineRule="exact"/>
              <w:jc w:val="left"/>
              <w:textAlignment w:val="center"/>
              <w:rPr>
                <w:rFonts w:hint="eastAsia" w:ascii="宋体" w:hAnsi="宋体" w:cs="宋体"/>
                <w:color w:val="000000"/>
                <w:kern w:val="0"/>
                <w:sz w:val="24"/>
                <w:lang w:bidi="ar"/>
              </w:rPr>
            </w:pPr>
          </w:p>
        </w:tc>
      </w:tr>
      <w:tr w14:paraId="6112EA9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7B3C48EE">
            <w:pPr>
              <w:widowControl/>
              <w:spacing w:line="240" w:lineRule="exact"/>
              <w:jc w:val="center"/>
              <w:rPr>
                <w:rFonts w:hint="eastAsia"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52C6C95F">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目标实现</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（11分）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2F28258B">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目标完成</w:t>
            </w:r>
          </w:p>
        </w:tc>
        <w:tc>
          <w:tcPr>
            <w:tcW w:w="720" w:type="dxa"/>
            <w:tcBorders>
              <w:top w:val="single" w:color="000000" w:sz="4" w:space="0"/>
              <w:left w:val="single" w:color="000000" w:sz="4" w:space="0"/>
              <w:bottom w:val="single" w:color="000000" w:sz="4" w:space="0"/>
              <w:right w:val="single" w:color="000000" w:sz="4" w:space="0"/>
            </w:tcBorders>
            <w:vAlign w:val="center"/>
          </w:tcPr>
          <w:p w14:paraId="32350BC8">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3811B9AB">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1B0CAFF0">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50C6435B">
            <w:pPr>
              <w:widowControl/>
              <w:spacing w:line="240" w:lineRule="exact"/>
              <w:jc w:val="left"/>
              <w:textAlignment w:val="center"/>
              <w:rPr>
                <w:rFonts w:hint="eastAsia" w:ascii="宋体" w:hAnsi="宋体" w:cs="宋体"/>
                <w:color w:val="000000"/>
                <w:kern w:val="0"/>
                <w:sz w:val="24"/>
                <w:lang w:bidi="ar"/>
              </w:rPr>
            </w:pPr>
          </w:p>
        </w:tc>
      </w:tr>
      <w:tr w14:paraId="389614E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2DBEE90B">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0FFF0F55">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46FBFC88">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目标偏离</w:t>
            </w:r>
          </w:p>
        </w:tc>
        <w:tc>
          <w:tcPr>
            <w:tcW w:w="720" w:type="dxa"/>
            <w:tcBorders>
              <w:top w:val="single" w:color="000000" w:sz="4" w:space="0"/>
              <w:left w:val="single" w:color="000000" w:sz="4" w:space="0"/>
              <w:bottom w:val="single" w:color="000000" w:sz="4" w:space="0"/>
              <w:right w:val="single" w:color="000000" w:sz="4" w:space="0"/>
            </w:tcBorders>
            <w:vAlign w:val="center"/>
          </w:tcPr>
          <w:p w14:paraId="4C13C047">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2CC43996">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EE20881">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406D34F9">
            <w:pPr>
              <w:widowControl/>
              <w:spacing w:line="240" w:lineRule="exact"/>
              <w:jc w:val="left"/>
              <w:textAlignment w:val="center"/>
              <w:rPr>
                <w:rFonts w:hint="eastAsia" w:ascii="宋体" w:hAnsi="宋体" w:cs="宋体"/>
                <w:color w:val="000000"/>
                <w:kern w:val="0"/>
                <w:sz w:val="24"/>
                <w:lang w:bidi="ar"/>
              </w:rPr>
            </w:pPr>
          </w:p>
        </w:tc>
      </w:tr>
      <w:tr w14:paraId="753B236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14:paraId="70AC3FE6">
            <w:pPr>
              <w:widowControl/>
              <w:spacing w:line="240" w:lineRule="exact"/>
              <w:jc w:val="center"/>
              <w:rPr>
                <w:rFonts w:hint="eastAsia"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14:paraId="1B1C48ED">
            <w:pPr>
              <w:widowControl/>
              <w:spacing w:line="240" w:lineRule="exact"/>
              <w:jc w:val="center"/>
              <w:rPr>
                <w:rFonts w:hint="eastAsia"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7267501">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实现效果</w:t>
            </w:r>
          </w:p>
        </w:tc>
        <w:tc>
          <w:tcPr>
            <w:tcW w:w="720" w:type="dxa"/>
            <w:tcBorders>
              <w:top w:val="single" w:color="000000" w:sz="4" w:space="0"/>
              <w:left w:val="single" w:color="000000" w:sz="4" w:space="0"/>
              <w:bottom w:val="single" w:color="000000" w:sz="4" w:space="0"/>
              <w:right w:val="single" w:color="000000" w:sz="4" w:space="0"/>
            </w:tcBorders>
            <w:vAlign w:val="center"/>
          </w:tcPr>
          <w:p w14:paraId="09637717">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47DC6B05">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vAlign w:val="center"/>
          </w:tcPr>
          <w:p w14:paraId="6E028B76">
            <w:pPr>
              <w:widowControl/>
              <w:spacing w:line="240" w:lineRule="exact"/>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72AD163D">
            <w:pPr>
              <w:widowControl/>
              <w:spacing w:line="240" w:lineRule="exact"/>
              <w:jc w:val="left"/>
              <w:textAlignment w:val="center"/>
              <w:rPr>
                <w:rFonts w:hint="eastAsia" w:ascii="宋体" w:hAnsi="宋体" w:cs="宋体"/>
                <w:color w:val="000000"/>
                <w:kern w:val="0"/>
                <w:sz w:val="24"/>
                <w:lang w:bidi="ar"/>
              </w:rPr>
            </w:pPr>
          </w:p>
        </w:tc>
      </w:tr>
      <w:tr w14:paraId="2FDC0164">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vAlign w:val="center"/>
          </w:tcPr>
          <w:p w14:paraId="78CA59B8">
            <w:pPr>
              <w:widowControl/>
              <w:spacing w:line="240" w:lineRule="exact"/>
              <w:jc w:val="center"/>
              <w:textAlignment w:val="center"/>
              <w:rPr>
                <w:rFonts w:hint="eastAsia" w:ascii="宋体" w:hAnsi="宋体" w:cs="宋体"/>
                <w:b/>
                <w:color w:val="000000"/>
                <w:sz w:val="24"/>
              </w:rPr>
            </w:pPr>
            <w:r>
              <w:rPr>
                <w:rFonts w:hint="eastAsia" w:ascii="宋体" w:hAnsi="宋体" w:cs="宋体"/>
                <w:b/>
                <w:color w:val="000000"/>
                <w:kern w:val="0"/>
                <w:sz w:val="24"/>
                <w:lang w:bidi="ar"/>
              </w:rPr>
              <w:t>扣分项</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（10分）</w:t>
            </w:r>
          </w:p>
        </w:tc>
        <w:tc>
          <w:tcPr>
            <w:tcW w:w="3127" w:type="dxa"/>
            <w:gridSpan w:val="2"/>
            <w:tcBorders>
              <w:top w:val="single" w:color="000000" w:sz="4" w:space="0"/>
              <w:left w:val="single" w:color="000000" w:sz="4" w:space="0"/>
              <w:bottom w:val="single" w:color="000000" w:sz="4" w:space="0"/>
              <w:right w:val="single" w:color="000000" w:sz="4" w:space="0"/>
            </w:tcBorders>
            <w:vAlign w:val="center"/>
          </w:tcPr>
          <w:p w14:paraId="05E0DB50">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vAlign w:val="center"/>
          </w:tcPr>
          <w:p w14:paraId="1E4A3C18">
            <w:pPr>
              <w:widowControl/>
              <w:spacing w:line="240" w:lineRule="exact"/>
              <w:jc w:val="center"/>
              <w:textAlignment w:val="center"/>
              <w:rPr>
                <w:rFonts w:hint="eastAsia" w:ascii="宋体" w:hAnsi="宋体" w:cs="宋体"/>
                <w:color w:val="000000"/>
                <w:sz w:val="24"/>
              </w:rPr>
            </w:pPr>
            <w:r>
              <w:rPr>
                <w:rFonts w:hint="eastAsia" w:ascii="宋体" w:hAnsi="宋体" w:cs="宋体"/>
                <w:color w:val="000000"/>
                <w:kern w:val="0"/>
                <w:sz w:val="24"/>
                <w:lang w:bidi="ar"/>
              </w:rPr>
              <w:t>-</w:t>
            </w:r>
          </w:p>
        </w:tc>
        <w:tc>
          <w:tcPr>
            <w:tcW w:w="4734" w:type="dxa"/>
            <w:tcBorders>
              <w:top w:val="single" w:color="000000" w:sz="4" w:space="0"/>
              <w:left w:val="single" w:color="000000" w:sz="4" w:space="0"/>
              <w:bottom w:val="single" w:color="000000" w:sz="4" w:space="0"/>
              <w:right w:val="single" w:color="000000" w:sz="4" w:space="0"/>
            </w:tcBorders>
            <w:vAlign w:val="center"/>
          </w:tcPr>
          <w:p w14:paraId="20F028C2">
            <w:pPr>
              <w:widowControl/>
              <w:spacing w:line="240" w:lineRule="exact"/>
              <w:jc w:val="left"/>
              <w:textAlignment w:val="center"/>
              <w:rPr>
                <w:rFonts w:hint="eastAsia" w:ascii="宋体" w:hAnsi="宋体" w:cs="宋体"/>
                <w:color w:val="000000"/>
                <w:sz w:val="24"/>
              </w:rPr>
            </w:pPr>
            <w:r>
              <w:rPr>
                <w:rFonts w:hint="eastAsia" w:ascii="宋体" w:hAnsi="宋体" w:cs="宋体"/>
                <w:color w:val="000000"/>
                <w:kern w:val="0"/>
                <w:sz w:val="24"/>
                <w:lang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38584B41">
            <w:pPr>
              <w:widowControl/>
              <w:spacing w:line="240" w:lineRule="exact"/>
              <w:jc w:val="left"/>
              <w:textAlignment w:val="center"/>
              <w:rPr>
                <w:rFonts w:hint="eastAsia" w:ascii="宋体" w:hAnsi="宋体" w:cs="宋体"/>
                <w:color w:val="000000"/>
                <w:kern w:val="0"/>
                <w:sz w:val="24"/>
                <w:lang w:bidi="ar"/>
              </w:rPr>
            </w:pPr>
          </w:p>
        </w:tc>
        <w:tc>
          <w:tcPr>
            <w:tcW w:w="478" w:type="dxa"/>
            <w:tcBorders>
              <w:top w:val="single" w:color="000000" w:sz="4" w:space="0"/>
              <w:left w:val="single" w:color="000000" w:sz="4" w:space="0"/>
              <w:bottom w:val="single" w:color="000000" w:sz="4" w:space="0"/>
              <w:right w:val="single" w:color="000000" w:sz="4" w:space="0"/>
            </w:tcBorders>
            <w:vAlign w:val="center"/>
          </w:tcPr>
          <w:p w14:paraId="2E4BDFF8">
            <w:pPr>
              <w:widowControl/>
              <w:spacing w:line="240" w:lineRule="exact"/>
              <w:jc w:val="left"/>
              <w:textAlignment w:val="center"/>
              <w:rPr>
                <w:rFonts w:hint="eastAsia" w:ascii="宋体" w:hAnsi="宋体" w:cs="宋体"/>
                <w:color w:val="000000"/>
                <w:kern w:val="0"/>
                <w:sz w:val="24"/>
                <w:lang w:bidi="ar"/>
              </w:rPr>
            </w:pPr>
          </w:p>
        </w:tc>
      </w:tr>
    </w:tbl>
    <w:p w14:paraId="262E1A11">
      <w:pPr>
        <w:pStyle w:val="2"/>
        <w:spacing w:line="20" w:lineRule="exact"/>
      </w:pPr>
    </w:p>
    <w:p w14:paraId="51AAD59E">
      <w:pPr>
        <w:spacing w:line="578" w:lineRule="exact"/>
        <w:jc w:val="left"/>
        <w:rPr>
          <w:rFonts w:eastAsia="黑体"/>
        </w:rPr>
      </w:pPr>
    </w:p>
    <w:p w14:paraId="21D1E744">
      <w:pPr>
        <w:spacing w:line="578" w:lineRule="exact"/>
        <w:jc w:val="left"/>
        <w:rPr>
          <w:rFonts w:eastAsia="黑体"/>
        </w:rPr>
      </w:pPr>
      <w:r>
        <w:rPr>
          <w:rFonts w:eastAsia="黑体"/>
        </w:rPr>
        <w:t>附表</w:t>
      </w:r>
      <w:r>
        <w:rPr>
          <w:rFonts w:hint="eastAsia" w:eastAsia="黑体"/>
        </w:rPr>
        <w:t>2</w:t>
      </w:r>
    </w:p>
    <w:tbl>
      <w:tblPr>
        <w:tblStyle w:val="17"/>
        <w:tblW w:w="10560" w:type="dxa"/>
        <w:jc w:val="center"/>
        <w:tblLayout w:type="fixed"/>
        <w:tblCellMar>
          <w:top w:w="15" w:type="dxa"/>
          <w:left w:w="15" w:type="dxa"/>
          <w:bottom w:w="15" w:type="dxa"/>
          <w:right w:w="15" w:type="dxa"/>
        </w:tblCellMar>
      </w:tblPr>
      <w:tblGrid>
        <w:gridCol w:w="1308"/>
        <w:gridCol w:w="1141"/>
        <w:gridCol w:w="1245"/>
        <w:gridCol w:w="1334"/>
        <w:gridCol w:w="1145"/>
        <w:gridCol w:w="1289"/>
        <w:gridCol w:w="1058"/>
        <w:gridCol w:w="2040"/>
      </w:tblGrid>
      <w:tr w14:paraId="39088D31">
        <w:tblPrEx>
          <w:tblCellMar>
            <w:top w:w="15" w:type="dxa"/>
            <w:left w:w="15" w:type="dxa"/>
            <w:bottom w:w="15" w:type="dxa"/>
            <w:right w:w="15" w:type="dxa"/>
          </w:tblCellMar>
        </w:tblPrEx>
        <w:trPr>
          <w:trHeight w:val="762" w:hRule="exact"/>
          <w:jc w:val="center"/>
        </w:trPr>
        <w:tc>
          <w:tcPr>
            <w:tcW w:w="10560" w:type="dxa"/>
            <w:gridSpan w:val="8"/>
            <w:vAlign w:val="center"/>
          </w:tcPr>
          <w:p w14:paraId="0CA1DF84">
            <w:pPr>
              <w:widowControl/>
              <w:spacing w:line="600" w:lineRule="exact"/>
              <w:jc w:val="center"/>
              <w:textAlignment w:val="center"/>
              <w:rPr>
                <w:rFonts w:eastAsia="黑体"/>
                <w:color w:val="000000"/>
                <w:sz w:val="28"/>
                <w:szCs w:val="28"/>
              </w:rPr>
            </w:pPr>
            <w:r>
              <w:rPr>
                <w:rFonts w:eastAsia="Arial Unicode MS"/>
                <w:color w:val="000000"/>
                <w:kern w:val="0"/>
                <w:sz w:val="44"/>
                <w:szCs w:val="44"/>
                <w:lang w:bidi="ar"/>
              </w:rPr>
              <w:t>部门整体绩效目标完成情况自评表</w:t>
            </w:r>
          </w:p>
        </w:tc>
      </w:tr>
      <w:tr w14:paraId="391883B4">
        <w:tblPrEx>
          <w:tblCellMar>
            <w:top w:w="15" w:type="dxa"/>
            <w:left w:w="15" w:type="dxa"/>
            <w:bottom w:w="15" w:type="dxa"/>
            <w:right w:w="15" w:type="dxa"/>
          </w:tblCellMar>
        </w:tblPrEx>
        <w:trPr>
          <w:trHeight w:val="23" w:hRule="atLeast"/>
          <w:jc w:val="center"/>
        </w:trPr>
        <w:tc>
          <w:tcPr>
            <w:tcW w:w="10560" w:type="dxa"/>
            <w:gridSpan w:val="8"/>
            <w:vAlign w:val="center"/>
          </w:tcPr>
          <w:p w14:paraId="181D5A29">
            <w:pPr>
              <w:widowControl/>
              <w:spacing w:line="300" w:lineRule="exact"/>
              <w:jc w:val="center"/>
              <w:textAlignment w:val="center"/>
              <w:rPr>
                <w:color w:val="000000"/>
                <w:sz w:val="28"/>
                <w:szCs w:val="28"/>
              </w:rPr>
            </w:pPr>
            <w:r>
              <w:rPr>
                <w:color w:val="000000"/>
                <w:kern w:val="0"/>
                <w:sz w:val="28"/>
                <w:szCs w:val="28"/>
                <w:lang w:bidi="ar"/>
              </w:rPr>
              <w:t>（202</w:t>
            </w:r>
            <w:r>
              <w:rPr>
                <w:rFonts w:hint="eastAsia"/>
                <w:color w:val="000000"/>
                <w:kern w:val="0"/>
                <w:sz w:val="28"/>
                <w:szCs w:val="28"/>
                <w:lang w:bidi="ar"/>
              </w:rPr>
              <w:t>4</w:t>
            </w:r>
            <w:r>
              <w:rPr>
                <w:color w:val="000000"/>
                <w:kern w:val="0"/>
                <w:sz w:val="28"/>
                <w:szCs w:val="28"/>
                <w:lang w:bidi="ar"/>
              </w:rPr>
              <w:t>年度）</w:t>
            </w:r>
          </w:p>
        </w:tc>
      </w:tr>
      <w:tr w14:paraId="09A78433">
        <w:tblPrEx>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vAlign w:val="center"/>
          </w:tcPr>
          <w:p w14:paraId="7C815BB1">
            <w:pPr>
              <w:widowControl/>
              <w:spacing w:line="300" w:lineRule="exact"/>
              <w:jc w:val="right"/>
              <w:textAlignment w:val="center"/>
              <w:rPr>
                <w:color w:val="000000"/>
                <w:szCs w:val="21"/>
              </w:rPr>
            </w:pPr>
            <w:r>
              <w:rPr>
                <w:color w:val="000000"/>
                <w:kern w:val="0"/>
                <w:szCs w:val="21"/>
                <w:lang w:bidi="ar"/>
              </w:rPr>
              <w:t>单位：万元</w:t>
            </w:r>
          </w:p>
        </w:tc>
      </w:tr>
      <w:tr w14:paraId="3EB6906E">
        <w:tblPrEx>
          <w:tblCellMar>
            <w:top w:w="15" w:type="dxa"/>
            <w:left w:w="15" w:type="dxa"/>
            <w:bottom w:w="15" w:type="dxa"/>
            <w:right w:w="15" w:type="dxa"/>
          </w:tblCellMar>
        </w:tblPrEx>
        <w:trPr>
          <w:trHeight w:val="23" w:hRule="atLeast"/>
          <w:jc w:val="center"/>
        </w:trPr>
        <w:tc>
          <w:tcPr>
            <w:tcW w:w="3694" w:type="dxa"/>
            <w:gridSpan w:val="3"/>
            <w:tcBorders>
              <w:top w:val="single" w:color="000000" w:sz="4" w:space="0"/>
              <w:left w:val="single" w:color="000000" w:sz="4" w:space="0"/>
              <w:bottom w:val="single" w:color="000000" w:sz="4" w:space="0"/>
              <w:right w:val="single" w:color="000000" w:sz="4" w:space="0"/>
            </w:tcBorders>
            <w:vAlign w:val="center"/>
          </w:tcPr>
          <w:p w14:paraId="7A874568">
            <w:pPr>
              <w:widowControl/>
              <w:spacing w:line="300" w:lineRule="exact"/>
              <w:jc w:val="center"/>
              <w:textAlignment w:val="center"/>
              <w:rPr>
                <w:color w:val="000000"/>
                <w:sz w:val="24"/>
              </w:rPr>
            </w:pPr>
            <w:r>
              <w:rPr>
                <w:color w:val="000000"/>
                <w:kern w:val="0"/>
                <w:sz w:val="24"/>
                <w:lang w:bidi="ar"/>
              </w:rPr>
              <w:t>部门名称</w:t>
            </w:r>
          </w:p>
        </w:tc>
        <w:tc>
          <w:tcPr>
            <w:tcW w:w="6866" w:type="dxa"/>
            <w:gridSpan w:val="5"/>
            <w:tcBorders>
              <w:top w:val="single" w:color="000000" w:sz="4" w:space="0"/>
              <w:left w:val="single" w:color="000000" w:sz="4" w:space="0"/>
              <w:bottom w:val="single" w:color="000000" w:sz="4" w:space="0"/>
              <w:right w:val="single" w:color="000000" w:sz="4" w:space="0"/>
            </w:tcBorders>
            <w:vAlign w:val="center"/>
          </w:tcPr>
          <w:p w14:paraId="327E9F6B">
            <w:pPr>
              <w:widowControl/>
              <w:spacing w:line="300" w:lineRule="exact"/>
              <w:jc w:val="center"/>
              <w:textAlignment w:val="center"/>
              <w:rPr>
                <w:color w:val="000000"/>
                <w:sz w:val="24"/>
              </w:rPr>
            </w:pPr>
            <w:r>
              <w:rPr>
                <w:rFonts w:hint="eastAsia"/>
                <w:color w:val="000000"/>
                <w:sz w:val="24"/>
              </w:rPr>
              <w:t>攀枝花市仁和区信访局</w:t>
            </w:r>
          </w:p>
        </w:tc>
      </w:tr>
      <w:tr w14:paraId="02AD36F6">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vAlign w:val="center"/>
          </w:tcPr>
          <w:p w14:paraId="7CCFAD84">
            <w:pPr>
              <w:widowControl/>
              <w:spacing w:line="300" w:lineRule="exact"/>
              <w:jc w:val="center"/>
              <w:textAlignment w:val="center"/>
              <w:rPr>
                <w:color w:val="000000"/>
                <w:sz w:val="24"/>
              </w:rPr>
            </w:pPr>
            <w:r>
              <w:rPr>
                <w:color w:val="000000"/>
                <w:kern w:val="0"/>
                <w:sz w:val="24"/>
                <w:lang w:bidi="ar"/>
              </w:rPr>
              <w:t>年度部门整体支出预算</w:t>
            </w: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14:paraId="46408DD3">
            <w:pPr>
              <w:widowControl/>
              <w:spacing w:line="300" w:lineRule="exact"/>
              <w:jc w:val="center"/>
              <w:textAlignment w:val="center"/>
              <w:rPr>
                <w:color w:val="000000"/>
                <w:sz w:val="24"/>
              </w:rPr>
            </w:pPr>
            <w:r>
              <w:rPr>
                <w:color w:val="000000"/>
                <w:kern w:val="0"/>
                <w:sz w:val="24"/>
                <w:lang w:bidi="ar"/>
              </w:rPr>
              <w:t>资金总额</w:t>
            </w:r>
          </w:p>
        </w:tc>
        <w:tc>
          <w:tcPr>
            <w:tcW w:w="2479" w:type="dxa"/>
            <w:gridSpan w:val="2"/>
            <w:tcBorders>
              <w:top w:val="single" w:color="000000" w:sz="4" w:space="0"/>
              <w:left w:val="single" w:color="000000" w:sz="4" w:space="0"/>
              <w:bottom w:val="single" w:color="000000" w:sz="4" w:space="0"/>
              <w:right w:val="single" w:color="000000" w:sz="4" w:space="0"/>
            </w:tcBorders>
            <w:vAlign w:val="center"/>
          </w:tcPr>
          <w:p w14:paraId="358DAEA5">
            <w:pPr>
              <w:widowControl/>
              <w:spacing w:line="300" w:lineRule="exact"/>
              <w:jc w:val="center"/>
              <w:textAlignment w:val="center"/>
              <w:rPr>
                <w:color w:val="000000"/>
                <w:sz w:val="24"/>
              </w:rPr>
            </w:pPr>
            <w:r>
              <w:rPr>
                <w:color w:val="000000"/>
                <w:kern w:val="0"/>
                <w:sz w:val="24"/>
                <w:lang w:bidi="ar"/>
              </w:rPr>
              <w:t>财政拨款</w:t>
            </w:r>
          </w:p>
        </w:tc>
        <w:tc>
          <w:tcPr>
            <w:tcW w:w="4387" w:type="dxa"/>
            <w:gridSpan w:val="3"/>
            <w:tcBorders>
              <w:top w:val="single" w:color="000000" w:sz="4" w:space="0"/>
              <w:left w:val="single" w:color="000000" w:sz="4" w:space="0"/>
              <w:bottom w:val="single" w:color="000000" w:sz="4" w:space="0"/>
              <w:right w:val="single" w:color="000000" w:sz="4" w:space="0"/>
            </w:tcBorders>
            <w:vAlign w:val="center"/>
          </w:tcPr>
          <w:p w14:paraId="1771C55D">
            <w:pPr>
              <w:widowControl/>
              <w:spacing w:line="300" w:lineRule="exact"/>
              <w:jc w:val="center"/>
              <w:textAlignment w:val="center"/>
              <w:rPr>
                <w:color w:val="000000"/>
                <w:sz w:val="24"/>
              </w:rPr>
            </w:pPr>
            <w:r>
              <w:rPr>
                <w:color w:val="000000"/>
                <w:kern w:val="0"/>
                <w:sz w:val="24"/>
                <w:lang w:bidi="ar"/>
              </w:rPr>
              <w:t>其他资金</w:t>
            </w:r>
          </w:p>
        </w:tc>
      </w:tr>
      <w:tr w14:paraId="7F72F018">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4A223B5B">
            <w:pPr>
              <w:widowControl/>
              <w:spacing w:line="300" w:lineRule="exact"/>
              <w:jc w:val="center"/>
              <w:rPr>
                <w:color w:val="000000"/>
                <w:sz w:val="24"/>
              </w:rPr>
            </w:pP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14:paraId="1E4BF08C">
            <w:pPr>
              <w:widowControl/>
              <w:spacing w:line="300" w:lineRule="exact"/>
              <w:jc w:val="center"/>
              <w:textAlignment w:val="center"/>
              <w:rPr>
                <w:color w:val="000000"/>
                <w:sz w:val="24"/>
              </w:rPr>
            </w:pPr>
            <w:r>
              <w:rPr>
                <w:rFonts w:hint="eastAsia"/>
                <w:color w:val="000000"/>
                <w:kern w:val="0"/>
                <w:sz w:val="24"/>
                <w:lang w:bidi="ar"/>
              </w:rPr>
              <w:t>328.88</w:t>
            </w:r>
          </w:p>
        </w:tc>
        <w:tc>
          <w:tcPr>
            <w:tcW w:w="2479" w:type="dxa"/>
            <w:gridSpan w:val="2"/>
            <w:tcBorders>
              <w:top w:val="single" w:color="000000" w:sz="4" w:space="0"/>
              <w:left w:val="single" w:color="000000" w:sz="4" w:space="0"/>
              <w:bottom w:val="single" w:color="000000" w:sz="4" w:space="0"/>
              <w:right w:val="single" w:color="000000" w:sz="4" w:space="0"/>
            </w:tcBorders>
            <w:vAlign w:val="center"/>
          </w:tcPr>
          <w:p w14:paraId="6257F736">
            <w:pPr>
              <w:widowControl/>
              <w:spacing w:line="300" w:lineRule="exact"/>
              <w:jc w:val="center"/>
              <w:textAlignment w:val="center"/>
              <w:rPr>
                <w:color w:val="000000"/>
                <w:sz w:val="24"/>
              </w:rPr>
            </w:pPr>
            <w:r>
              <w:rPr>
                <w:rFonts w:hint="eastAsia"/>
                <w:color w:val="000000"/>
                <w:kern w:val="0"/>
                <w:sz w:val="24"/>
                <w:lang w:bidi="ar"/>
              </w:rPr>
              <w:t>328.88</w:t>
            </w:r>
          </w:p>
        </w:tc>
        <w:tc>
          <w:tcPr>
            <w:tcW w:w="4387" w:type="dxa"/>
            <w:gridSpan w:val="3"/>
            <w:tcBorders>
              <w:top w:val="single" w:color="000000" w:sz="4" w:space="0"/>
              <w:left w:val="single" w:color="000000" w:sz="4" w:space="0"/>
              <w:bottom w:val="single" w:color="000000" w:sz="4" w:space="0"/>
              <w:right w:val="single" w:color="000000" w:sz="4" w:space="0"/>
            </w:tcBorders>
            <w:vAlign w:val="center"/>
          </w:tcPr>
          <w:p w14:paraId="63B3AFFA">
            <w:pPr>
              <w:widowControl/>
              <w:spacing w:line="300" w:lineRule="exact"/>
              <w:jc w:val="center"/>
              <w:textAlignment w:val="center"/>
              <w:rPr>
                <w:color w:val="000000"/>
                <w:sz w:val="24"/>
              </w:rPr>
            </w:pPr>
            <w:r>
              <w:rPr>
                <w:rFonts w:hint="eastAsia"/>
                <w:color w:val="000000"/>
                <w:sz w:val="24"/>
              </w:rPr>
              <w:t>0.00</w:t>
            </w:r>
          </w:p>
        </w:tc>
      </w:tr>
      <w:tr w14:paraId="54A7B1CB">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vAlign w:val="center"/>
          </w:tcPr>
          <w:p w14:paraId="7771C698">
            <w:pPr>
              <w:widowControl/>
              <w:spacing w:line="300" w:lineRule="exact"/>
              <w:jc w:val="center"/>
              <w:textAlignment w:val="center"/>
              <w:rPr>
                <w:color w:val="000000"/>
                <w:kern w:val="0"/>
                <w:sz w:val="24"/>
                <w:lang w:bidi="ar"/>
              </w:rPr>
            </w:pPr>
            <w:r>
              <w:rPr>
                <w:color w:val="000000"/>
                <w:kern w:val="0"/>
                <w:sz w:val="24"/>
                <w:lang w:bidi="ar"/>
              </w:rPr>
              <w:t>年度总体</w:t>
            </w:r>
          </w:p>
          <w:p w14:paraId="62DCBB6A">
            <w:pPr>
              <w:widowControl/>
              <w:spacing w:line="300" w:lineRule="exact"/>
              <w:jc w:val="center"/>
              <w:textAlignment w:val="center"/>
              <w:rPr>
                <w:color w:val="000000"/>
                <w:sz w:val="24"/>
              </w:rPr>
            </w:pPr>
            <w:r>
              <w:rPr>
                <w:color w:val="000000"/>
                <w:kern w:val="0"/>
                <w:sz w:val="24"/>
                <w:lang w:bidi="ar"/>
              </w:rPr>
              <w:t>目标</w:t>
            </w:r>
          </w:p>
        </w:tc>
        <w:tc>
          <w:tcPr>
            <w:tcW w:w="9252" w:type="dxa"/>
            <w:gridSpan w:val="7"/>
            <w:tcBorders>
              <w:top w:val="single" w:color="000000" w:sz="4" w:space="0"/>
              <w:left w:val="single" w:color="000000" w:sz="4" w:space="0"/>
              <w:bottom w:val="single" w:color="000000" w:sz="4" w:space="0"/>
              <w:right w:val="single" w:color="000000" w:sz="4" w:space="0"/>
            </w:tcBorders>
            <w:vAlign w:val="center"/>
          </w:tcPr>
          <w:p w14:paraId="490EB7A3">
            <w:pPr>
              <w:widowControl/>
              <w:spacing w:line="300" w:lineRule="exact"/>
              <w:jc w:val="left"/>
              <w:textAlignment w:val="center"/>
              <w:rPr>
                <w:color w:val="000000"/>
                <w:sz w:val="24"/>
              </w:rPr>
            </w:pPr>
            <w:r>
              <w:rPr>
                <w:rFonts w:hint="eastAsia"/>
                <w:color w:val="000000"/>
                <w:kern w:val="0"/>
                <w:sz w:val="24"/>
                <w:lang w:bidi="ar"/>
              </w:rPr>
              <w:t>保障人员基本工资、津贴补贴、奖金、社会保障缴费、绩效工资、住房公积金、退休费等支出；保障部门正常办公运转。保障2024年仁和区矛盾纠纷排查化解、维稳、信访、驻京驻蓉值班值守、法律顾问、办公场所保洁、信访事项化解等经费支出。保障2024年仁和区群众意见受理中心工作的正常开展，确保各项工作均能顺利开展。</w:t>
            </w:r>
          </w:p>
        </w:tc>
      </w:tr>
      <w:tr w14:paraId="04022D46">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vAlign w:val="center"/>
          </w:tcPr>
          <w:p w14:paraId="405CA0D2">
            <w:pPr>
              <w:widowControl/>
              <w:spacing w:line="300" w:lineRule="exact"/>
              <w:jc w:val="center"/>
              <w:textAlignment w:val="center"/>
              <w:rPr>
                <w:color w:val="000000"/>
                <w:kern w:val="0"/>
                <w:sz w:val="24"/>
                <w:lang w:bidi="ar"/>
              </w:rPr>
            </w:pPr>
            <w:r>
              <w:rPr>
                <w:color w:val="000000"/>
                <w:kern w:val="0"/>
                <w:sz w:val="24"/>
                <w:lang w:bidi="ar"/>
              </w:rPr>
              <w:t>年度主要</w:t>
            </w:r>
          </w:p>
          <w:p w14:paraId="3C927D98">
            <w:pPr>
              <w:widowControl/>
              <w:spacing w:line="300" w:lineRule="exact"/>
              <w:jc w:val="center"/>
              <w:textAlignment w:val="center"/>
              <w:rPr>
                <w:color w:val="000000"/>
                <w:sz w:val="24"/>
              </w:rPr>
            </w:pPr>
            <w:r>
              <w:rPr>
                <w:color w:val="000000"/>
                <w:kern w:val="0"/>
                <w:sz w:val="24"/>
                <w:lang w:bidi="ar"/>
              </w:rPr>
              <w:t>任务</w:t>
            </w: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14:paraId="5AE8F9DF">
            <w:pPr>
              <w:widowControl/>
              <w:spacing w:line="300" w:lineRule="exact"/>
              <w:jc w:val="center"/>
              <w:textAlignment w:val="center"/>
              <w:rPr>
                <w:color w:val="000000"/>
                <w:sz w:val="24"/>
              </w:rPr>
            </w:pPr>
            <w:r>
              <w:rPr>
                <w:color w:val="000000"/>
                <w:kern w:val="0"/>
                <w:sz w:val="24"/>
                <w:lang w:bidi="ar"/>
              </w:rPr>
              <w:t>任务名称</w:t>
            </w:r>
          </w:p>
        </w:tc>
        <w:tc>
          <w:tcPr>
            <w:tcW w:w="6866" w:type="dxa"/>
            <w:gridSpan w:val="5"/>
            <w:tcBorders>
              <w:top w:val="single" w:color="000000" w:sz="4" w:space="0"/>
              <w:left w:val="single" w:color="000000" w:sz="4" w:space="0"/>
              <w:bottom w:val="single" w:color="000000" w:sz="4" w:space="0"/>
              <w:right w:val="single" w:color="000000" w:sz="4" w:space="0"/>
            </w:tcBorders>
            <w:vAlign w:val="center"/>
          </w:tcPr>
          <w:p w14:paraId="36C6CF0E">
            <w:pPr>
              <w:widowControl/>
              <w:spacing w:line="300" w:lineRule="exact"/>
              <w:jc w:val="center"/>
              <w:textAlignment w:val="center"/>
              <w:rPr>
                <w:color w:val="000000"/>
                <w:sz w:val="24"/>
              </w:rPr>
            </w:pPr>
            <w:r>
              <w:rPr>
                <w:color w:val="000000"/>
                <w:kern w:val="0"/>
                <w:sz w:val="24"/>
                <w:lang w:bidi="ar"/>
              </w:rPr>
              <w:t>主要内容</w:t>
            </w:r>
          </w:p>
        </w:tc>
      </w:tr>
      <w:tr w14:paraId="390A1259">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628F7A18">
            <w:pPr>
              <w:widowControl/>
              <w:spacing w:line="300" w:lineRule="exact"/>
              <w:jc w:val="center"/>
              <w:rPr>
                <w:color w:val="000000"/>
                <w:sz w:val="24"/>
              </w:rPr>
            </w:pP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14:paraId="354BD63E">
            <w:pPr>
              <w:widowControl/>
              <w:spacing w:line="300" w:lineRule="exact"/>
              <w:jc w:val="left"/>
              <w:textAlignment w:val="center"/>
              <w:rPr>
                <w:color w:val="000000"/>
                <w:sz w:val="24"/>
              </w:rPr>
            </w:pPr>
            <w:r>
              <w:rPr>
                <w:rFonts w:hint="eastAsia"/>
                <w:color w:val="000000"/>
                <w:sz w:val="24"/>
              </w:rPr>
              <w:t>基本支出</w:t>
            </w:r>
          </w:p>
        </w:tc>
        <w:tc>
          <w:tcPr>
            <w:tcW w:w="6866" w:type="dxa"/>
            <w:gridSpan w:val="5"/>
            <w:tcBorders>
              <w:top w:val="single" w:color="000000" w:sz="4" w:space="0"/>
              <w:left w:val="single" w:color="000000" w:sz="4" w:space="0"/>
              <w:bottom w:val="single" w:color="000000" w:sz="4" w:space="0"/>
              <w:right w:val="single" w:color="000000" w:sz="4" w:space="0"/>
            </w:tcBorders>
            <w:vAlign w:val="center"/>
          </w:tcPr>
          <w:p w14:paraId="3966D51A">
            <w:pPr>
              <w:widowControl/>
              <w:spacing w:line="300" w:lineRule="exact"/>
              <w:jc w:val="left"/>
              <w:textAlignment w:val="center"/>
              <w:rPr>
                <w:color w:val="000000"/>
                <w:sz w:val="24"/>
              </w:rPr>
            </w:pPr>
            <w:r>
              <w:rPr>
                <w:rFonts w:hint="eastAsia"/>
                <w:color w:val="000000"/>
                <w:kern w:val="0"/>
                <w:sz w:val="24"/>
                <w:lang w:bidi="ar"/>
              </w:rPr>
              <w:t>保障人员的工资、保险、公积金等基本支出，以及人员类公用经费支出。</w:t>
            </w:r>
          </w:p>
        </w:tc>
      </w:tr>
      <w:tr w14:paraId="79598ECF">
        <w:tblPrEx>
          <w:tblCellMar>
            <w:top w:w="15" w:type="dxa"/>
            <w:left w:w="15" w:type="dxa"/>
            <w:bottom w:w="15" w:type="dxa"/>
            <w:right w:w="15" w:type="dxa"/>
          </w:tblCellMar>
        </w:tblPrEx>
        <w:trPr>
          <w:trHeight w:val="956"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526EBA3F">
            <w:pPr>
              <w:widowControl/>
              <w:spacing w:line="300" w:lineRule="exact"/>
              <w:jc w:val="center"/>
              <w:rPr>
                <w:color w:val="000000"/>
                <w:sz w:val="24"/>
              </w:rPr>
            </w:pP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14:paraId="7CEBDB86">
            <w:pPr>
              <w:widowControl/>
              <w:spacing w:line="300" w:lineRule="exact"/>
              <w:jc w:val="left"/>
              <w:rPr>
                <w:color w:val="000000"/>
                <w:sz w:val="24"/>
              </w:rPr>
            </w:pPr>
            <w:r>
              <w:rPr>
                <w:rFonts w:hint="eastAsia"/>
                <w:color w:val="000000"/>
                <w:sz w:val="24"/>
              </w:rPr>
              <w:t>项目支出</w:t>
            </w:r>
          </w:p>
        </w:tc>
        <w:tc>
          <w:tcPr>
            <w:tcW w:w="6866" w:type="dxa"/>
            <w:gridSpan w:val="5"/>
            <w:tcBorders>
              <w:top w:val="single" w:color="000000" w:sz="4" w:space="0"/>
              <w:left w:val="single" w:color="000000" w:sz="4" w:space="0"/>
              <w:bottom w:val="single" w:color="000000" w:sz="4" w:space="0"/>
              <w:right w:val="single" w:color="000000" w:sz="4" w:space="0"/>
            </w:tcBorders>
            <w:vAlign w:val="center"/>
          </w:tcPr>
          <w:p w14:paraId="7F519F4F">
            <w:pPr>
              <w:widowControl/>
              <w:spacing w:line="300" w:lineRule="exact"/>
              <w:jc w:val="left"/>
              <w:rPr>
                <w:color w:val="000000"/>
                <w:sz w:val="24"/>
              </w:rPr>
            </w:pPr>
            <w:r>
              <w:rPr>
                <w:rFonts w:hint="eastAsia"/>
                <w:color w:val="000000"/>
                <w:sz w:val="24"/>
              </w:rPr>
              <w:t>保障项目的预算、入库、绩效评价、支付等。</w:t>
            </w:r>
          </w:p>
        </w:tc>
      </w:tr>
      <w:tr w14:paraId="366D647E">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vAlign w:val="center"/>
          </w:tcPr>
          <w:p w14:paraId="7BC897CD">
            <w:pPr>
              <w:widowControl/>
              <w:spacing w:line="300" w:lineRule="exact"/>
              <w:jc w:val="center"/>
              <w:textAlignment w:val="center"/>
              <w:rPr>
                <w:color w:val="000000"/>
                <w:kern w:val="0"/>
                <w:sz w:val="24"/>
                <w:lang w:bidi="ar"/>
              </w:rPr>
            </w:pPr>
            <w:r>
              <w:rPr>
                <w:color w:val="000000"/>
                <w:kern w:val="0"/>
                <w:sz w:val="24"/>
                <w:lang w:bidi="ar"/>
              </w:rPr>
              <w:t>年度绩效</w:t>
            </w:r>
          </w:p>
          <w:p w14:paraId="5974965F">
            <w:pPr>
              <w:widowControl/>
              <w:spacing w:line="300" w:lineRule="exact"/>
              <w:jc w:val="center"/>
              <w:textAlignment w:val="center"/>
              <w:rPr>
                <w:color w:val="000000"/>
                <w:sz w:val="24"/>
              </w:rPr>
            </w:pPr>
            <w:r>
              <w:rPr>
                <w:color w:val="000000"/>
                <w:kern w:val="0"/>
                <w:sz w:val="24"/>
                <w:lang w:bidi="ar"/>
              </w:rPr>
              <w:t>指标</w:t>
            </w:r>
          </w:p>
        </w:tc>
        <w:tc>
          <w:tcPr>
            <w:tcW w:w="1141" w:type="dxa"/>
            <w:tcBorders>
              <w:top w:val="single" w:color="000000" w:sz="4" w:space="0"/>
              <w:left w:val="single" w:color="000000" w:sz="4" w:space="0"/>
              <w:bottom w:val="single" w:color="000000" w:sz="4" w:space="0"/>
              <w:right w:val="single" w:color="000000" w:sz="4" w:space="0"/>
            </w:tcBorders>
            <w:vAlign w:val="center"/>
          </w:tcPr>
          <w:p w14:paraId="68B9A0F0">
            <w:pPr>
              <w:widowControl/>
              <w:spacing w:line="300" w:lineRule="exact"/>
              <w:jc w:val="center"/>
              <w:textAlignment w:val="center"/>
              <w:rPr>
                <w:color w:val="000000"/>
                <w:sz w:val="24"/>
              </w:rPr>
            </w:pPr>
            <w:r>
              <w:rPr>
                <w:color w:val="000000"/>
                <w:kern w:val="0"/>
                <w:sz w:val="24"/>
                <w:lang w:bidi="ar"/>
              </w:rPr>
              <w:t>一级指标</w:t>
            </w:r>
          </w:p>
        </w:tc>
        <w:tc>
          <w:tcPr>
            <w:tcW w:w="1245" w:type="dxa"/>
            <w:tcBorders>
              <w:top w:val="single" w:color="000000" w:sz="4" w:space="0"/>
              <w:left w:val="single" w:color="000000" w:sz="4" w:space="0"/>
              <w:bottom w:val="single" w:color="000000" w:sz="4" w:space="0"/>
              <w:right w:val="single" w:color="000000" w:sz="4" w:space="0"/>
            </w:tcBorders>
            <w:vAlign w:val="center"/>
          </w:tcPr>
          <w:p w14:paraId="345FFCA4">
            <w:pPr>
              <w:widowControl/>
              <w:spacing w:line="300" w:lineRule="exact"/>
              <w:jc w:val="center"/>
              <w:textAlignment w:val="center"/>
              <w:rPr>
                <w:color w:val="000000"/>
                <w:sz w:val="24"/>
              </w:rPr>
            </w:pPr>
            <w:r>
              <w:rPr>
                <w:color w:val="000000"/>
                <w:kern w:val="0"/>
                <w:sz w:val="24"/>
                <w:lang w:bidi="ar"/>
              </w:rPr>
              <w:t>二级指标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616BF72B">
            <w:pPr>
              <w:widowControl/>
              <w:spacing w:line="300" w:lineRule="exact"/>
              <w:jc w:val="center"/>
              <w:textAlignment w:val="center"/>
              <w:rPr>
                <w:color w:val="000000"/>
                <w:sz w:val="24"/>
              </w:rPr>
            </w:pPr>
            <w:r>
              <w:rPr>
                <w:color w:val="000000"/>
                <w:kern w:val="0"/>
                <w:sz w:val="24"/>
                <w:lang w:bidi="ar"/>
              </w:rPr>
              <w:t>三级指标</w:t>
            </w:r>
          </w:p>
        </w:tc>
        <w:tc>
          <w:tcPr>
            <w:tcW w:w="1145" w:type="dxa"/>
            <w:tcBorders>
              <w:top w:val="single" w:color="000000" w:sz="4" w:space="0"/>
              <w:left w:val="single" w:color="000000" w:sz="4" w:space="0"/>
              <w:bottom w:val="single" w:color="000000" w:sz="4" w:space="0"/>
              <w:right w:val="single" w:color="000000" w:sz="4" w:space="0"/>
            </w:tcBorders>
            <w:vAlign w:val="center"/>
          </w:tcPr>
          <w:p w14:paraId="05F6136D">
            <w:pPr>
              <w:widowControl/>
              <w:spacing w:line="300" w:lineRule="exact"/>
              <w:jc w:val="center"/>
              <w:textAlignment w:val="center"/>
              <w:rPr>
                <w:color w:val="000000"/>
                <w:kern w:val="0"/>
                <w:sz w:val="24"/>
                <w:lang w:bidi="ar"/>
              </w:rPr>
            </w:pPr>
            <w:r>
              <w:rPr>
                <w:color w:val="000000"/>
                <w:kern w:val="0"/>
                <w:sz w:val="24"/>
                <w:lang w:bidi="ar"/>
              </w:rPr>
              <w:t>绩效指标</w:t>
            </w:r>
          </w:p>
          <w:p w14:paraId="4C53F82A">
            <w:pPr>
              <w:widowControl/>
              <w:spacing w:line="300" w:lineRule="exact"/>
              <w:jc w:val="center"/>
              <w:textAlignment w:val="center"/>
              <w:rPr>
                <w:color w:val="000000"/>
                <w:sz w:val="24"/>
              </w:rPr>
            </w:pPr>
            <w:r>
              <w:rPr>
                <w:color w:val="000000"/>
                <w:kern w:val="0"/>
                <w:sz w:val="24"/>
                <w:lang w:bidi="ar"/>
              </w:rPr>
              <w:t>性质</w:t>
            </w:r>
          </w:p>
        </w:tc>
        <w:tc>
          <w:tcPr>
            <w:tcW w:w="1289" w:type="dxa"/>
            <w:tcBorders>
              <w:top w:val="single" w:color="000000" w:sz="4" w:space="0"/>
              <w:left w:val="single" w:color="000000" w:sz="4" w:space="0"/>
              <w:bottom w:val="single" w:color="000000" w:sz="4" w:space="0"/>
              <w:right w:val="single" w:color="000000" w:sz="4" w:space="0"/>
            </w:tcBorders>
            <w:vAlign w:val="center"/>
          </w:tcPr>
          <w:p w14:paraId="4C644C9B">
            <w:pPr>
              <w:widowControl/>
              <w:spacing w:line="300" w:lineRule="exact"/>
              <w:jc w:val="center"/>
              <w:textAlignment w:val="center"/>
              <w:rPr>
                <w:color w:val="000000"/>
                <w:sz w:val="24"/>
              </w:rPr>
            </w:pPr>
            <w:r>
              <w:rPr>
                <w:color w:val="000000"/>
                <w:kern w:val="0"/>
                <w:sz w:val="24"/>
                <w:lang w:bidi="ar"/>
              </w:rPr>
              <w:t>绩效指标值</w:t>
            </w:r>
          </w:p>
        </w:tc>
        <w:tc>
          <w:tcPr>
            <w:tcW w:w="1058" w:type="dxa"/>
            <w:tcBorders>
              <w:top w:val="single" w:color="000000" w:sz="4" w:space="0"/>
              <w:left w:val="single" w:color="000000" w:sz="4" w:space="0"/>
              <w:bottom w:val="single" w:color="000000" w:sz="4" w:space="0"/>
              <w:right w:val="single" w:color="000000" w:sz="4" w:space="0"/>
            </w:tcBorders>
            <w:vAlign w:val="center"/>
          </w:tcPr>
          <w:p w14:paraId="3EDBBEFC">
            <w:pPr>
              <w:widowControl/>
              <w:spacing w:line="300" w:lineRule="exact"/>
              <w:jc w:val="center"/>
              <w:textAlignment w:val="center"/>
              <w:rPr>
                <w:color w:val="000000"/>
                <w:sz w:val="24"/>
              </w:rPr>
            </w:pPr>
            <w:r>
              <w:rPr>
                <w:color w:val="000000"/>
                <w:kern w:val="0"/>
                <w:sz w:val="24"/>
                <w:lang w:bidi="ar"/>
              </w:rPr>
              <w:t>绩效度量单位</w:t>
            </w:r>
          </w:p>
        </w:tc>
        <w:tc>
          <w:tcPr>
            <w:tcW w:w="2040" w:type="dxa"/>
            <w:tcBorders>
              <w:top w:val="single" w:color="000000" w:sz="4" w:space="0"/>
              <w:left w:val="single" w:color="000000" w:sz="4" w:space="0"/>
              <w:bottom w:val="single" w:color="000000" w:sz="4" w:space="0"/>
              <w:right w:val="single" w:color="000000" w:sz="4" w:space="0"/>
            </w:tcBorders>
            <w:vAlign w:val="center"/>
          </w:tcPr>
          <w:p w14:paraId="0F3A99E0">
            <w:pPr>
              <w:widowControl/>
              <w:spacing w:line="300" w:lineRule="exact"/>
              <w:jc w:val="center"/>
              <w:textAlignment w:val="center"/>
              <w:rPr>
                <w:color w:val="000000"/>
                <w:kern w:val="0"/>
                <w:sz w:val="24"/>
                <w:lang w:bidi="ar"/>
              </w:rPr>
            </w:pPr>
            <w:r>
              <w:rPr>
                <w:color w:val="000000"/>
                <w:kern w:val="0"/>
                <w:sz w:val="24"/>
                <w:lang w:bidi="ar"/>
              </w:rPr>
              <w:t>实际完成</w:t>
            </w:r>
          </w:p>
          <w:p w14:paraId="562DCF0F">
            <w:pPr>
              <w:widowControl/>
              <w:spacing w:line="300" w:lineRule="exact"/>
              <w:jc w:val="center"/>
              <w:textAlignment w:val="center"/>
              <w:rPr>
                <w:color w:val="000000"/>
                <w:sz w:val="24"/>
              </w:rPr>
            </w:pPr>
            <w:r>
              <w:rPr>
                <w:color w:val="000000"/>
                <w:kern w:val="0"/>
                <w:sz w:val="24"/>
                <w:lang w:bidi="ar"/>
              </w:rPr>
              <w:t>指标值</w:t>
            </w:r>
          </w:p>
        </w:tc>
      </w:tr>
      <w:tr w14:paraId="613BFAA9">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1DB4FAC9">
            <w:pPr>
              <w:widowControl/>
              <w:spacing w:line="300" w:lineRule="exact"/>
              <w:jc w:val="center"/>
              <w:rPr>
                <w:color w:val="000000"/>
                <w:sz w:val="24"/>
              </w:rPr>
            </w:pPr>
          </w:p>
        </w:tc>
        <w:tc>
          <w:tcPr>
            <w:tcW w:w="1141" w:type="dxa"/>
            <w:vMerge w:val="restart"/>
            <w:tcBorders>
              <w:top w:val="single" w:color="000000" w:sz="4" w:space="0"/>
              <w:left w:val="single" w:color="000000" w:sz="4" w:space="0"/>
              <w:bottom w:val="single" w:color="000000" w:sz="4" w:space="0"/>
              <w:right w:val="single" w:color="000000" w:sz="4" w:space="0"/>
            </w:tcBorders>
            <w:vAlign w:val="center"/>
          </w:tcPr>
          <w:p w14:paraId="4305AFA9">
            <w:pPr>
              <w:widowControl/>
              <w:spacing w:line="300" w:lineRule="exact"/>
              <w:jc w:val="center"/>
              <w:textAlignment w:val="center"/>
              <w:rPr>
                <w:color w:val="000000"/>
                <w:sz w:val="24"/>
              </w:rPr>
            </w:pPr>
            <w:r>
              <w:rPr>
                <w:color w:val="000000"/>
                <w:kern w:val="0"/>
                <w:sz w:val="24"/>
                <w:lang w:bidi="ar"/>
              </w:rPr>
              <w:t>产出指标</w:t>
            </w:r>
          </w:p>
        </w:tc>
        <w:tc>
          <w:tcPr>
            <w:tcW w:w="1245" w:type="dxa"/>
            <w:vMerge w:val="restart"/>
            <w:tcBorders>
              <w:top w:val="single" w:color="000000" w:sz="4" w:space="0"/>
              <w:left w:val="single" w:color="000000" w:sz="4" w:space="0"/>
              <w:bottom w:val="single" w:color="000000" w:sz="4" w:space="0"/>
              <w:right w:val="single" w:color="000000" w:sz="4" w:space="0"/>
            </w:tcBorders>
            <w:vAlign w:val="center"/>
          </w:tcPr>
          <w:p w14:paraId="4C30BA8A">
            <w:pPr>
              <w:widowControl/>
              <w:spacing w:line="300" w:lineRule="exact"/>
              <w:jc w:val="center"/>
              <w:textAlignment w:val="center"/>
              <w:rPr>
                <w:color w:val="000000"/>
                <w:sz w:val="24"/>
              </w:rPr>
            </w:pPr>
            <w:r>
              <w:rPr>
                <w:color w:val="000000"/>
                <w:kern w:val="0"/>
                <w:sz w:val="24"/>
                <w:lang w:bidi="ar"/>
              </w:rPr>
              <w:t>数量指标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0471194D">
            <w:pPr>
              <w:widowControl/>
              <w:spacing w:line="300" w:lineRule="exact"/>
              <w:jc w:val="left"/>
              <w:textAlignment w:val="center"/>
              <w:rPr>
                <w:color w:val="000000"/>
                <w:sz w:val="24"/>
              </w:rPr>
            </w:pPr>
            <w:r>
              <w:rPr>
                <w:rFonts w:hint="eastAsia"/>
                <w:color w:val="000000"/>
                <w:sz w:val="24"/>
              </w:rPr>
              <w:t>财政供养人员</w:t>
            </w:r>
          </w:p>
        </w:tc>
        <w:tc>
          <w:tcPr>
            <w:tcW w:w="1145" w:type="dxa"/>
            <w:tcBorders>
              <w:top w:val="single" w:color="000000" w:sz="4" w:space="0"/>
              <w:left w:val="single" w:color="000000" w:sz="4" w:space="0"/>
              <w:bottom w:val="single" w:color="000000" w:sz="4" w:space="0"/>
              <w:right w:val="single" w:color="000000" w:sz="4" w:space="0"/>
            </w:tcBorders>
            <w:vAlign w:val="center"/>
          </w:tcPr>
          <w:p w14:paraId="01E4584C">
            <w:pPr>
              <w:widowControl/>
              <w:spacing w:line="300" w:lineRule="exact"/>
              <w:jc w:val="left"/>
              <w:textAlignment w:val="center"/>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vAlign w:val="center"/>
          </w:tcPr>
          <w:p w14:paraId="301C0D5D">
            <w:pPr>
              <w:widowControl/>
              <w:tabs>
                <w:tab w:val="center" w:pos="629"/>
              </w:tabs>
              <w:spacing w:line="300" w:lineRule="exact"/>
              <w:jc w:val="left"/>
              <w:textAlignment w:val="center"/>
              <w:rPr>
                <w:color w:val="000000"/>
                <w:sz w:val="24"/>
              </w:rPr>
            </w:pPr>
            <w:r>
              <w:rPr>
                <w:rFonts w:hint="eastAsia"/>
                <w:color w:val="000000"/>
                <w:sz w:val="24"/>
              </w:rPr>
              <w:t>11</w:t>
            </w:r>
          </w:p>
        </w:tc>
        <w:tc>
          <w:tcPr>
            <w:tcW w:w="1058" w:type="dxa"/>
            <w:tcBorders>
              <w:top w:val="single" w:color="000000" w:sz="4" w:space="0"/>
              <w:left w:val="single" w:color="000000" w:sz="4" w:space="0"/>
              <w:bottom w:val="single" w:color="000000" w:sz="4" w:space="0"/>
              <w:right w:val="single" w:color="000000" w:sz="4" w:space="0"/>
            </w:tcBorders>
            <w:vAlign w:val="center"/>
          </w:tcPr>
          <w:p w14:paraId="3F3973A4">
            <w:pPr>
              <w:widowControl/>
              <w:spacing w:line="300" w:lineRule="exact"/>
              <w:jc w:val="left"/>
              <w:textAlignment w:val="center"/>
              <w:rPr>
                <w:color w:val="000000"/>
                <w:sz w:val="24"/>
              </w:rPr>
            </w:pPr>
            <w:r>
              <w:rPr>
                <w:rFonts w:hint="eastAsia"/>
                <w:color w:val="000000"/>
                <w:sz w:val="24"/>
              </w:rPr>
              <w:t>人</w:t>
            </w:r>
          </w:p>
        </w:tc>
        <w:tc>
          <w:tcPr>
            <w:tcW w:w="2040" w:type="dxa"/>
            <w:tcBorders>
              <w:top w:val="single" w:color="000000" w:sz="4" w:space="0"/>
              <w:left w:val="single" w:color="000000" w:sz="4" w:space="0"/>
              <w:bottom w:val="single" w:color="000000" w:sz="4" w:space="0"/>
              <w:right w:val="single" w:color="000000" w:sz="4" w:space="0"/>
            </w:tcBorders>
            <w:vAlign w:val="center"/>
          </w:tcPr>
          <w:p w14:paraId="1A1636AB">
            <w:pPr>
              <w:widowControl/>
              <w:spacing w:line="300" w:lineRule="exact"/>
              <w:jc w:val="left"/>
              <w:textAlignment w:val="center"/>
              <w:rPr>
                <w:color w:val="000000"/>
                <w:sz w:val="24"/>
              </w:rPr>
            </w:pPr>
            <w:r>
              <w:rPr>
                <w:rFonts w:hint="eastAsia"/>
                <w:color w:val="000000"/>
                <w:sz w:val="24"/>
              </w:rPr>
              <w:t>11</w:t>
            </w:r>
          </w:p>
        </w:tc>
      </w:tr>
      <w:tr w14:paraId="580FA9C7">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550C1C9B">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14:paraId="4CB23FC6">
            <w:pPr>
              <w:widowControl/>
              <w:spacing w:line="300" w:lineRule="exact"/>
              <w:jc w:val="center"/>
              <w:rPr>
                <w:color w:val="000000"/>
                <w:sz w:val="24"/>
              </w:rPr>
            </w:pPr>
          </w:p>
        </w:tc>
        <w:tc>
          <w:tcPr>
            <w:tcW w:w="1245" w:type="dxa"/>
            <w:vMerge w:val="continue"/>
            <w:tcBorders>
              <w:top w:val="single" w:color="000000" w:sz="4" w:space="0"/>
              <w:left w:val="single" w:color="000000" w:sz="4" w:space="0"/>
              <w:bottom w:val="single" w:color="000000" w:sz="4" w:space="0"/>
              <w:right w:val="single" w:color="000000" w:sz="4" w:space="0"/>
            </w:tcBorders>
            <w:vAlign w:val="center"/>
          </w:tcPr>
          <w:p w14:paraId="6D45641F">
            <w:pPr>
              <w:widowControl/>
              <w:spacing w:line="300" w:lineRule="exact"/>
              <w:jc w:val="center"/>
              <w:rPr>
                <w:color w:val="000000"/>
                <w:sz w:val="24"/>
              </w:rPr>
            </w:pPr>
          </w:p>
        </w:tc>
        <w:tc>
          <w:tcPr>
            <w:tcW w:w="1334" w:type="dxa"/>
            <w:tcBorders>
              <w:top w:val="single" w:color="000000" w:sz="4" w:space="0"/>
              <w:left w:val="single" w:color="000000" w:sz="4" w:space="0"/>
              <w:bottom w:val="single" w:color="000000" w:sz="4" w:space="0"/>
              <w:right w:val="single" w:color="000000" w:sz="4" w:space="0"/>
            </w:tcBorders>
            <w:vAlign w:val="center"/>
          </w:tcPr>
          <w:p w14:paraId="1A1EE742">
            <w:pPr>
              <w:widowControl/>
              <w:spacing w:line="300" w:lineRule="exact"/>
              <w:jc w:val="left"/>
              <w:rPr>
                <w:color w:val="000000"/>
                <w:sz w:val="24"/>
              </w:rPr>
            </w:pPr>
            <w:r>
              <w:rPr>
                <w:rFonts w:hint="eastAsia"/>
                <w:color w:val="000000"/>
                <w:sz w:val="24"/>
              </w:rPr>
              <w:t>常规项目、阶段项目</w:t>
            </w:r>
          </w:p>
        </w:tc>
        <w:tc>
          <w:tcPr>
            <w:tcW w:w="1145" w:type="dxa"/>
            <w:tcBorders>
              <w:top w:val="single" w:color="000000" w:sz="4" w:space="0"/>
              <w:left w:val="single" w:color="000000" w:sz="4" w:space="0"/>
              <w:bottom w:val="single" w:color="000000" w:sz="4" w:space="0"/>
              <w:right w:val="single" w:color="000000" w:sz="4" w:space="0"/>
            </w:tcBorders>
            <w:vAlign w:val="center"/>
          </w:tcPr>
          <w:p w14:paraId="2E9A9B54">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vAlign w:val="center"/>
          </w:tcPr>
          <w:p w14:paraId="7C45C2DF">
            <w:pPr>
              <w:widowControl/>
              <w:spacing w:line="300" w:lineRule="exact"/>
              <w:jc w:val="left"/>
              <w:rPr>
                <w:color w:val="000000"/>
                <w:sz w:val="24"/>
              </w:rPr>
            </w:pPr>
            <w:r>
              <w:rPr>
                <w:rFonts w:hint="eastAsia"/>
                <w:color w:val="000000"/>
                <w:sz w:val="24"/>
              </w:rPr>
              <w:t>5</w:t>
            </w:r>
          </w:p>
        </w:tc>
        <w:tc>
          <w:tcPr>
            <w:tcW w:w="1058" w:type="dxa"/>
            <w:tcBorders>
              <w:top w:val="single" w:color="000000" w:sz="4" w:space="0"/>
              <w:left w:val="single" w:color="000000" w:sz="4" w:space="0"/>
              <w:bottom w:val="single" w:color="000000" w:sz="4" w:space="0"/>
              <w:right w:val="single" w:color="000000" w:sz="4" w:space="0"/>
            </w:tcBorders>
            <w:vAlign w:val="center"/>
          </w:tcPr>
          <w:p w14:paraId="1B51F1A8">
            <w:pPr>
              <w:widowControl/>
              <w:spacing w:line="300" w:lineRule="exact"/>
              <w:jc w:val="left"/>
              <w:rPr>
                <w:color w:val="000000"/>
                <w:sz w:val="24"/>
              </w:rPr>
            </w:pPr>
            <w:r>
              <w:rPr>
                <w:rFonts w:hint="eastAsia"/>
                <w:color w:val="000000"/>
                <w:sz w:val="24"/>
              </w:rPr>
              <w:t>个</w:t>
            </w:r>
          </w:p>
        </w:tc>
        <w:tc>
          <w:tcPr>
            <w:tcW w:w="2040" w:type="dxa"/>
            <w:tcBorders>
              <w:top w:val="single" w:color="000000" w:sz="4" w:space="0"/>
              <w:left w:val="single" w:color="000000" w:sz="4" w:space="0"/>
              <w:bottom w:val="single" w:color="000000" w:sz="4" w:space="0"/>
              <w:right w:val="single" w:color="000000" w:sz="4" w:space="0"/>
            </w:tcBorders>
            <w:vAlign w:val="center"/>
          </w:tcPr>
          <w:p w14:paraId="31B06B43">
            <w:pPr>
              <w:widowControl/>
              <w:spacing w:line="300" w:lineRule="exact"/>
              <w:jc w:val="left"/>
              <w:rPr>
                <w:color w:val="000000"/>
                <w:sz w:val="24"/>
              </w:rPr>
            </w:pPr>
            <w:r>
              <w:rPr>
                <w:rFonts w:hint="eastAsia"/>
                <w:color w:val="000000"/>
                <w:sz w:val="24"/>
              </w:rPr>
              <w:t>5</w:t>
            </w:r>
          </w:p>
        </w:tc>
      </w:tr>
      <w:tr w14:paraId="0747AD49">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6BF11939">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14:paraId="1B61890F">
            <w:pPr>
              <w:widowControl/>
              <w:spacing w:line="300" w:lineRule="exact"/>
              <w:jc w:val="center"/>
              <w:rPr>
                <w:color w:val="000000"/>
                <w:sz w:val="24"/>
              </w:rPr>
            </w:pPr>
          </w:p>
        </w:tc>
        <w:tc>
          <w:tcPr>
            <w:tcW w:w="1245" w:type="dxa"/>
            <w:vMerge w:val="restart"/>
            <w:tcBorders>
              <w:top w:val="single" w:color="000000" w:sz="4" w:space="0"/>
              <w:left w:val="single" w:color="000000" w:sz="4" w:space="0"/>
              <w:right w:val="single" w:color="000000" w:sz="4" w:space="0"/>
            </w:tcBorders>
            <w:vAlign w:val="center"/>
          </w:tcPr>
          <w:p w14:paraId="07D3C6EA">
            <w:pPr>
              <w:widowControl/>
              <w:spacing w:line="300" w:lineRule="exact"/>
              <w:jc w:val="center"/>
              <w:textAlignment w:val="center"/>
              <w:rPr>
                <w:color w:val="000000"/>
                <w:sz w:val="24"/>
              </w:rPr>
            </w:pPr>
            <w:r>
              <w:rPr>
                <w:color w:val="000000"/>
                <w:kern w:val="0"/>
                <w:sz w:val="24"/>
                <w:lang w:bidi="ar"/>
              </w:rPr>
              <w:t>质量指标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6282B6E7">
            <w:pPr>
              <w:widowControl/>
              <w:spacing w:line="300" w:lineRule="exact"/>
              <w:jc w:val="left"/>
              <w:textAlignment w:val="center"/>
              <w:rPr>
                <w:color w:val="000000"/>
                <w:sz w:val="24"/>
              </w:rPr>
            </w:pPr>
            <w:r>
              <w:rPr>
                <w:rFonts w:hint="eastAsia"/>
                <w:color w:val="000000"/>
                <w:sz w:val="24"/>
              </w:rPr>
              <w:t>基本支出</w:t>
            </w:r>
          </w:p>
        </w:tc>
        <w:tc>
          <w:tcPr>
            <w:tcW w:w="1145" w:type="dxa"/>
            <w:tcBorders>
              <w:top w:val="single" w:color="000000" w:sz="4" w:space="0"/>
              <w:left w:val="single" w:color="000000" w:sz="4" w:space="0"/>
              <w:bottom w:val="single" w:color="000000" w:sz="4" w:space="0"/>
              <w:right w:val="single" w:color="000000" w:sz="4" w:space="0"/>
            </w:tcBorders>
            <w:vAlign w:val="center"/>
          </w:tcPr>
          <w:p w14:paraId="4BAFA917">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vAlign w:val="center"/>
          </w:tcPr>
          <w:p w14:paraId="2CF6A3C9">
            <w:pPr>
              <w:widowControl/>
              <w:spacing w:line="300" w:lineRule="exact"/>
              <w:jc w:val="left"/>
              <w:rPr>
                <w:color w:val="000000"/>
                <w:sz w:val="24"/>
              </w:rPr>
            </w:pPr>
            <w:r>
              <w:rPr>
                <w:rFonts w:hint="eastAsia"/>
                <w:color w:val="000000"/>
                <w:sz w:val="24"/>
              </w:rPr>
              <w:t>保障人员经费和公用经费</w:t>
            </w:r>
          </w:p>
        </w:tc>
        <w:tc>
          <w:tcPr>
            <w:tcW w:w="1058" w:type="dxa"/>
            <w:tcBorders>
              <w:top w:val="single" w:color="000000" w:sz="4" w:space="0"/>
              <w:left w:val="single" w:color="000000" w:sz="4" w:space="0"/>
              <w:bottom w:val="single" w:color="000000" w:sz="4" w:space="0"/>
              <w:right w:val="single" w:color="000000" w:sz="4" w:space="0"/>
            </w:tcBorders>
            <w:vAlign w:val="center"/>
          </w:tcPr>
          <w:p w14:paraId="0CF613FD">
            <w:pPr>
              <w:widowControl/>
              <w:spacing w:line="300" w:lineRule="exact"/>
              <w:jc w:val="left"/>
              <w:rPr>
                <w:color w:val="000000"/>
                <w:sz w:val="24"/>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698CB4">
            <w:pPr>
              <w:widowControl/>
              <w:spacing w:line="300" w:lineRule="exact"/>
              <w:jc w:val="left"/>
              <w:rPr>
                <w:color w:val="000000"/>
                <w:sz w:val="24"/>
              </w:rPr>
            </w:pPr>
            <w:r>
              <w:rPr>
                <w:rFonts w:hint="eastAsia"/>
                <w:color w:val="000000"/>
                <w:sz w:val="24"/>
              </w:rPr>
              <w:t>已达预期目标，保障了单位正常运转</w:t>
            </w:r>
          </w:p>
        </w:tc>
      </w:tr>
      <w:tr w14:paraId="2CE69205">
        <w:tblPrEx>
          <w:tblCellMar>
            <w:top w:w="15" w:type="dxa"/>
            <w:left w:w="15" w:type="dxa"/>
            <w:bottom w:w="15" w:type="dxa"/>
            <w:right w:w="15" w:type="dxa"/>
          </w:tblCellMar>
        </w:tblPrEx>
        <w:trPr>
          <w:trHeight w:val="1527"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63CF7F77">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14:paraId="2A59F00B">
            <w:pPr>
              <w:widowControl/>
              <w:spacing w:line="300" w:lineRule="exact"/>
              <w:jc w:val="center"/>
              <w:rPr>
                <w:color w:val="000000"/>
                <w:sz w:val="24"/>
              </w:rPr>
            </w:pPr>
          </w:p>
        </w:tc>
        <w:tc>
          <w:tcPr>
            <w:tcW w:w="1245" w:type="dxa"/>
            <w:vMerge w:val="continue"/>
            <w:tcBorders>
              <w:left w:val="single" w:color="000000" w:sz="4" w:space="0"/>
              <w:bottom w:val="single" w:color="000000" w:sz="4" w:space="0"/>
              <w:right w:val="single" w:color="000000" w:sz="4" w:space="0"/>
            </w:tcBorders>
            <w:vAlign w:val="center"/>
          </w:tcPr>
          <w:p w14:paraId="575A9A7B">
            <w:pPr>
              <w:widowControl/>
              <w:spacing w:line="300" w:lineRule="exact"/>
              <w:jc w:val="center"/>
              <w:textAlignment w:val="center"/>
              <w:rPr>
                <w:color w:val="000000"/>
                <w:sz w:val="24"/>
              </w:rPr>
            </w:pPr>
          </w:p>
        </w:tc>
        <w:tc>
          <w:tcPr>
            <w:tcW w:w="1334" w:type="dxa"/>
            <w:tcBorders>
              <w:top w:val="single" w:color="000000" w:sz="4" w:space="0"/>
              <w:left w:val="single" w:color="000000" w:sz="4" w:space="0"/>
              <w:bottom w:val="single" w:color="000000" w:sz="4" w:space="0"/>
              <w:right w:val="single" w:color="000000" w:sz="4" w:space="0"/>
            </w:tcBorders>
            <w:vAlign w:val="center"/>
          </w:tcPr>
          <w:p w14:paraId="49E53B46">
            <w:pPr>
              <w:widowControl/>
              <w:spacing w:line="300" w:lineRule="exact"/>
              <w:jc w:val="left"/>
              <w:rPr>
                <w:color w:val="000000"/>
                <w:sz w:val="24"/>
              </w:rPr>
            </w:pPr>
            <w:r>
              <w:rPr>
                <w:rFonts w:hint="eastAsia"/>
                <w:color w:val="000000"/>
                <w:sz w:val="24"/>
              </w:rPr>
              <w:t>项目支出</w:t>
            </w:r>
          </w:p>
        </w:tc>
        <w:tc>
          <w:tcPr>
            <w:tcW w:w="1145" w:type="dxa"/>
            <w:tcBorders>
              <w:top w:val="single" w:color="000000" w:sz="4" w:space="0"/>
              <w:left w:val="single" w:color="000000" w:sz="4" w:space="0"/>
              <w:bottom w:val="single" w:color="000000" w:sz="4" w:space="0"/>
              <w:right w:val="single" w:color="000000" w:sz="4" w:space="0"/>
            </w:tcBorders>
            <w:vAlign w:val="center"/>
          </w:tcPr>
          <w:p w14:paraId="7A1FB70E">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vAlign w:val="center"/>
          </w:tcPr>
          <w:p w14:paraId="2DBE90FE">
            <w:pPr>
              <w:widowControl/>
              <w:spacing w:line="300" w:lineRule="exact"/>
              <w:jc w:val="left"/>
              <w:rPr>
                <w:color w:val="000000"/>
                <w:sz w:val="24"/>
              </w:rPr>
            </w:pPr>
            <w:r>
              <w:rPr>
                <w:rFonts w:hint="eastAsia"/>
                <w:color w:val="000000"/>
                <w:kern w:val="0"/>
                <w:sz w:val="24"/>
                <w:lang w:bidi="ar"/>
              </w:rPr>
              <w:t>保障矛盾纠纷排查化解、维稳、信访事项化解等</w:t>
            </w:r>
          </w:p>
        </w:tc>
        <w:tc>
          <w:tcPr>
            <w:tcW w:w="1058" w:type="dxa"/>
            <w:tcBorders>
              <w:top w:val="single" w:color="000000" w:sz="4" w:space="0"/>
              <w:left w:val="single" w:color="000000" w:sz="4" w:space="0"/>
              <w:bottom w:val="single" w:color="000000" w:sz="4" w:space="0"/>
              <w:right w:val="single" w:color="000000" w:sz="4" w:space="0"/>
            </w:tcBorders>
            <w:vAlign w:val="center"/>
          </w:tcPr>
          <w:p w14:paraId="02CD3253">
            <w:pPr>
              <w:widowControl/>
              <w:spacing w:line="300" w:lineRule="exact"/>
              <w:jc w:val="left"/>
              <w:rPr>
                <w:color w:val="000000"/>
                <w:sz w:val="24"/>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1049A9">
            <w:pPr>
              <w:widowControl/>
              <w:spacing w:line="300" w:lineRule="exact"/>
              <w:jc w:val="left"/>
              <w:rPr>
                <w:color w:val="000000"/>
                <w:sz w:val="24"/>
              </w:rPr>
            </w:pPr>
            <w:r>
              <w:rPr>
                <w:rFonts w:hint="eastAsia"/>
                <w:color w:val="000000"/>
                <w:sz w:val="24"/>
              </w:rPr>
              <w:t>已达预期目标</w:t>
            </w:r>
          </w:p>
        </w:tc>
      </w:tr>
      <w:tr w14:paraId="45B32B80">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247C8815">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14:paraId="587D654B">
            <w:pPr>
              <w:widowControl/>
              <w:spacing w:line="300" w:lineRule="exact"/>
              <w:jc w:val="center"/>
              <w:rPr>
                <w:color w:val="000000"/>
                <w:sz w:val="24"/>
              </w:rPr>
            </w:pPr>
          </w:p>
        </w:tc>
        <w:tc>
          <w:tcPr>
            <w:tcW w:w="1245" w:type="dxa"/>
            <w:tcBorders>
              <w:top w:val="single" w:color="000000" w:sz="4" w:space="0"/>
              <w:left w:val="single" w:color="000000" w:sz="4" w:space="0"/>
              <w:bottom w:val="single" w:color="000000" w:sz="4" w:space="0"/>
              <w:right w:val="single" w:color="000000" w:sz="4" w:space="0"/>
            </w:tcBorders>
            <w:vAlign w:val="center"/>
          </w:tcPr>
          <w:p w14:paraId="5DA3DC04">
            <w:pPr>
              <w:widowControl/>
              <w:spacing w:line="300" w:lineRule="exact"/>
              <w:jc w:val="center"/>
              <w:textAlignment w:val="center"/>
              <w:rPr>
                <w:color w:val="000000"/>
                <w:sz w:val="24"/>
              </w:rPr>
            </w:pPr>
            <w:r>
              <w:rPr>
                <w:color w:val="000000"/>
                <w:kern w:val="0"/>
                <w:sz w:val="24"/>
                <w:lang w:bidi="ar"/>
              </w:rPr>
              <w:t>时效指标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723C6343">
            <w:pPr>
              <w:widowControl/>
              <w:spacing w:line="300" w:lineRule="exact"/>
              <w:jc w:val="left"/>
              <w:rPr>
                <w:color w:val="000000"/>
                <w:sz w:val="24"/>
              </w:rPr>
            </w:pPr>
            <w:r>
              <w:rPr>
                <w:rFonts w:hint="eastAsia"/>
                <w:color w:val="000000"/>
                <w:sz w:val="24"/>
              </w:rPr>
              <w:t>2024年1-12月</w:t>
            </w:r>
          </w:p>
        </w:tc>
        <w:tc>
          <w:tcPr>
            <w:tcW w:w="1145" w:type="dxa"/>
            <w:tcBorders>
              <w:top w:val="single" w:color="000000" w:sz="4" w:space="0"/>
              <w:left w:val="single" w:color="000000" w:sz="4" w:space="0"/>
              <w:bottom w:val="single" w:color="000000" w:sz="4" w:space="0"/>
              <w:right w:val="single" w:color="000000" w:sz="4" w:space="0"/>
            </w:tcBorders>
            <w:vAlign w:val="center"/>
          </w:tcPr>
          <w:p w14:paraId="11B8EB11">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vAlign w:val="center"/>
          </w:tcPr>
          <w:p w14:paraId="7E1EAA0A">
            <w:pPr>
              <w:widowControl/>
              <w:spacing w:line="300" w:lineRule="exact"/>
              <w:jc w:val="left"/>
              <w:rPr>
                <w:color w:val="000000"/>
                <w:sz w:val="24"/>
              </w:rPr>
            </w:pPr>
            <w:r>
              <w:rPr>
                <w:rFonts w:hint="eastAsia"/>
                <w:color w:val="000000"/>
                <w:sz w:val="24"/>
              </w:rPr>
              <w:t>12</w:t>
            </w:r>
          </w:p>
        </w:tc>
        <w:tc>
          <w:tcPr>
            <w:tcW w:w="1058" w:type="dxa"/>
            <w:tcBorders>
              <w:top w:val="single" w:color="000000" w:sz="4" w:space="0"/>
              <w:left w:val="single" w:color="000000" w:sz="4" w:space="0"/>
              <w:bottom w:val="single" w:color="000000" w:sz="4" w:space="0"/>
              <w:right w:val="single" w:color="000000" w:sz="4" w:space="0"/>
            </w:tcBorders>
            <w:vAlign w:val="center"/>
          </w:tcPr>
          <w:p w14:paraId="796E2AAE">
            <w:pPr>
              <w:widowControl/>
              <w:spacing w:line="300" w:lineRule="exact"/>
              <w:jc w:val="left"/>
              <w:rPr>
                <w:color w:val="000000"/>
                <w:sz w:val="24"/>
              </w:rPr>
            </w:pPr>
            <w:r>
              <w:rPr>
                <w:rFonts w:hint="eastAsia"/>
                <w:color w:val="000000"/>
                <w:sz w:val="24"/>
              </w:rPr>
              <w:t>月</w:t>
            </w:r>
          </w:p>
        </w:tc>
        <w:tc>
          <w:tcPr>
            <w:tcW w:w="2040" w:type="dxa"/>
            <w:tcBorders>
              <w:top w:val="single" w:color="000000" w:sz="4" w:space="0"/>
              <w:left w:val="single" w:color="000000" w:sz="4" w:space="0"/>
              <w:bottom w:val="single" w:color="000000" w:sz="4" w:space="0"/>
              <w:right w:val="single" w:color="000000" w:sz="4" w:space="0"/>
            </w:tcBorders>
            <w:vAlign w:val="center"/>
          </w:tcPr>
          <w:p w14:paraId="12684887">
            <w:pPr>
              <w:widowControl/>
              <w:spacing w:line="300" w:lineRule="exact"/>
              <w:jc w:val="left"/>
              <w:rPr>
                <w:color w:val="000000"/>
                <w:sz w:val="24"/>
              </w:rPr>
            </w:pPr>
            <w:r>
              <w:rPr>
                <w:rFonts w:hint="eastAsia"/>
                <w:color w:val="000000"/>
                <w:sz w:val="24"/>
              </w:rPr>
              <w:t>12</w:t>
            </w:r>
          </w:p>
        </w:tc>
      </w:tr>
      <w:tr w14:paraId="439C000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059899C8">
            <w:pPr>
              <w:widowControl/>
              <w:spacing w:line="300" w:lineRule="exact"/>
              <w:jc w:val="center"/>
              <w:rPr>
                <w:color w:val="000000"/>
                <w:sz w:val="24"/>
              </w:rPr>
            </w:pPr>
          </w:p>
        </w:tc>
        <w:tc>
          <w:tcPr>
            <w:tcW w:w="1141" w:type="dxa"/>
            <w:vMerge w:val="restart"/>
            <w:tcBorders>
              <w:top w:val="single" w:color="000000" w:sz="4" w:space="0"/>
              <w:left w:val="single" w:color="000000" w:sz="4" w:space="0"/>
              <w:bottom w:val="single" w:color="000000" w:sz="4" w:space="0"/>
              <w:right w:val="single" w:color="000000" w:sz="4" w:space="0"/>
            </w:tcBorders>
            <w:vAlign w:val="center"/>
          </w:tcPr>
          <w:p w14:paraId="4A503DAF">
            <w:pPr>
              <w:widowControl/>
              <w:spacing w:line="300" w:lineRule="exact"/>
              <w:jc w:val="center"/>
              <w:textAlignment w:val="center"/>
              <w:rPr>
                <w:color w:val="000000"/>
                <w:sz w:val="24"/>
              </w:rPr>
            </w:pPr>
            <w:r>
              <w:rPr>
                <w:rFonts w:hint="eastAsia"/>
                <w:color w:val="000000"/>
                <w:kern w:val="0"/>
                <w:sz w:val="24"/>
                <w:lang w:bidi="ar"/>
              </w:rPr>
              <w:t>成本</w:t>
            </w:r>
            <w:r>
              <w:rPr>
                <w:color w:val="000000"/>
                <w:kern w:val="0"/>
                <w:sz w:val="24"/>
                <w:lang w:bidi="ar"/>
              </w:rPr>
              <w:t>指标</w:t>
            </w:r>
          </w:p>
        </w:tc>
        <w:tc>
          <w:tcPr>
            <w:tcW w:w="1245" w:type="dxa"/>
            <w:vMerge w:val="restart"/>
            <w:tcBorders>
              <w:top w:val="single" w:color="000000" w:sz="4" w:space="0"/>
              <w:left w:val="single" w:color="000000" w:sz="4" w:space="0"/>
              <w:right w:val="single" w:color="000000" w:sz="4" w:space="0"/>
            </w:tcBorders>
            <w:vAlign w:val="center"/>
          </w:tcPr>
          <w:p w14:paraId="035B4CFA">
            <w:pPr>
              <w:widowControl/>
              <w:spacing w:line="300" w:lineRule="exact"/>
              <w:jc w:val="center"/>
              <w:textAlignment w:val="center"/>
              <w:rPr>
                <w:color w:val="000000"/>
                <w:kern w:val="0"/>
                <w:sz w:val="24"/>
                <w:lang w:bidi="ar"/>
              </w:rPr>
            </w:pPr>
            <w:r>
              <w:rPr>
                <w:rFonts w:hint="eastAsia"/>
                <w:color w:val="000000"/>
                <w:kern w:val="0"/>
                <w:sz w:val="24"/>
                <w:lang w:bidi="ar"/>
              </w:rPr>
              <w:t>经济成本</w:t>
            </w:r>
          </w:p>
          <w:p w14:paraId="60A4C399">
            <w:pPr>
              <w:widowControl/>
              <w:spacing w:line="300" w:lineRule="exact"/>
              <w:jc w:val="center"/>
              <w:textAlignment w:val="center"/>
              <w:rPr>
                <w:color w:val="000000"/>
                <w:sz w:val="24"/>
              </w:rPr>
            </w:pPr>
            <w:r>
              <w:rPr>
                <w:color w:val="000000"/>
                <w:kern w:val="0"/>
                <w:sz w:val="24"/>
                <w:lang w:bidi="ar"/>
              </w:rPr>
              <w:t>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2BF0A7F0">
            <w:pPr>
              <w:widowControl/>
              <w:spacing w:line="300" w:lineRule="exact"/>
              <w:jc w:val="left"/>
              <w:rPr>
                <w:color w:val="000000"/>
                <w:sz w:val="24"/>
              </w:rPr>
            </w:pPr>
            <w:r>
              <w:rPr>
                <w:rFonts w:hint="eastAsia"/>
                <w:color w:val="000000"/>
                <w:sz w:val="24"/>
              </w:rPr>
              <w:t>基本支出</w:t>
            </w:r>
          </w:p>
        </w:tc>
        <w:tc>
          <w:tcPr>
            <w:tcW w:w="1145" w:type="dxa"/>
            <w:tcBorders>
              <w:top w:val="single" w:color="000000" w:sz="4" w:space="0"/>
              <w:left w:val="single" w:color="000000" w:sz="4" w:space="0"/>
              <w:bottom w:val="single" w:color="000000" w:sz="4" w:space="0"/>
              <w:right w:val="single" w:color="000000" w:sz="4" w:space="0"/>
            </w:tcBorders>
            <w:vAlign w:val="center"/>
          </w:tcPr>
          <w:p w14:paraId="4A67767B">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vAlign w:val="center"/>
          </w:tcPr>
          <w:p w14:paraId="7E3933C8">
            <w:pPr>
              <w:widowControl/>
              <w:spacing w:line="300" w:lineRule="exact"/>
              <w:jc w:val="left"/>
              <w:rPr>
                <w:color w:val="000000"/>
                <w:sz w:val="24"/>
              </w:rPr>
            </w:pPr>
            <w:r>
              <w:rPr>
                <w:rFonts w:hint="eastAsia" w:eastAsia="方正仿宋_GBK"/>
                <w:kern w:val="0"/>
                <w:sz w:val="24"/>
              </w:rPr>
              <w:t>220.27</w:t>
            </w:r>
          </w:p>
        </w:tc>
        <w:tc>
          <w:tcPr>
            <w:tcW w:w="1058" w:type="dxa"/>
            <w:tcBorders>
              <w:top w:val="single" w:color="000000" w:sz="4" w:space="0"/>
              <w:left w:val="single" w:color="000000" w:sz="4" w:space="0"/>
              <w:bottom w:val="single" w:color="000000" w:sz="4" w:space="0"/>
              <w:right w:val="single" w:color="000000" w:sz="4" w:space="0"/>
            </w:tcBorders>
            <w:vAlign w:val="center"/>
          </w:tcPr>
          <w:p w14:paraId="73847D75">
            <w:pPr>
              <w:widowControl/>
              <w:spacing w:line="300" w:lineRule="exact"/>
              <w:jc w:val="left"/>
              <w:rPr>
                <w:color w:val="000000"/>
                <w:sz w:val="24"/>
              </w:rPr>
            </w:pPr>
            <w:r>
              <w:rPr>
                <w:rFonts w:hint="eastAsia"/>
                <w:color w:val="000000"/>
                <w:sz w:val="24"/>
              </w:rPr>
              <w:t>万元</w:t>
            </w:r>
          </w:p>
        </w:tc>
        <w:tc>
          <w:tcPr>
            <w:tcW w:w="2040" w:type="dxa"/>
            <w:tcBorders>
              <w:top w:val="single" w:color="000000" w:sz="4" w:space="0"/>
              <w:left w:val="single" w:color="000000" w:sz="4" w:space="0"/>
              <w:bottom w:val="single" w:color="000000" w:sz="4" w:space="0"/>
              <w:right w:val="single" w:color="000000" w:sz="4" w:space="0"/>
            </w:tcBorders>
            <w:vAlign w:val="center"/>
          </w:tcPr>
          <w:p w14:paraId="3CCDF0CF">
            <w:pPr>
              <w:widowControl/>
              <w:spacing w:line="300" w:lineRule="exact"/>
              <w:jc w:val="left"/>
              <w:rPr>
                <w:color w:val="000000"/>
                <w:sz w:val="24"/>
              </w:rPr>
            </w:pPr>
            <w:r>
              <w:rPr>
                <w:rFonts w:hint="eastAsia" w:eastAsia="方正仿宋_GBK"/>
                <w:kern w:val="0"/>
                <w:sz w:val="24"/>
              </w:rPr>
              <w:t>220.27</w:t>
            </w:r>
          </w:p>
        </w:tc>
      </w:tr>
      <w:tr w14:paraId="7D75DD79">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52BADE2B">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14:paraId="65EA0397">
            <w:pPr>
              <w:widowControl/>
              <w:spacing w:line="300" w:lineRule="exact"/>
              <w:jc w:val="center"/>
              <w:rPr>
                <w:color w:val="000000"/>
                <w:sz w:val="24"/>
              </w:rPr>
            </w:pPr>
          </w:p>
        </w:tc>
        <w:tc>
          <w:tcPr>
            <w:tcW w:w="1245" w:type="dxa"/>
            <w:vMerge w:val="continue"/>
            <w:tcBorders>
              <w:top w:val="single" w:color="000000" w:sz="4" w:space="0"/>
              <w:left w:val="single" w:color="000000" w:sz="4" w:space="0"/>
              <w:right w:val="single" w:color="000000" w:sz="4" w:space="0"/>
            </w:tcBorders>
            <w:vAlign w:val="center"/>
          </w:tcPr>
          <w:p w14:paraId="5D98AE3E">
            <w:pPr>
              <w:widowControl/>
              <w:spacing w:line="300" w:lineRule="exact"/>
              <w:jc w:val="center"/>
              <w:rPr>
                <w:color w:val="000000"/>
                <w:sz w:val="24"/>
              </w:rPr>
            </w:pPr>
          </w:p>
        </w:tc>
        <w:tc>
          <w:tcPr>
            <w:tcW w:w="1334" w:type="dxa"/>
            <w:tcBorders>
              <w:top w:val="single" w:color="000000" w:sz="4" w:space="0"/>
              <w:left w:val="single" w:color="000000" w:sz="4" w:space="0"/>
              <w:bottom w:val="single" w:color="000000" w:sz="4" w:space="0"/>
              <w:right w:val="single" w:color="000000" w:sz="4" w:space="0"/>
            </w:tcBorders>
            <w:vAlign w:val="center"/>
          </w:tcPr>
          <w:p w14:paraId="45615A10">
            <w:pPr>
              <w:widowControl/>
              <w:spacing w:line="300" w:lineRule="exact"/>
              <w:jc w:val="left"/>
              <w:rPr>
                <w:color w:val="000000"/>
                <w:sz w:val="24"/>
              </w:rPr>
            </w:pPr>
            <w:r>
              <w:rPr>
                <w:rFonts w:hint="eastAsia"/>
                <w:color w:val="000000"/>
                <w:sz w:val="24"/>
              </w:rPr>
              <w:t>项目支出</w:t>
            </w:r>
          </w:p>
        </w:tc>
        <w:tc>
          <w:tcPr>
            <w:tcW w:w="1145" w:type="dxa"/>
            <w:tcBorders>
              <w:top w:val="single" w:color="000000" w:sz="4" w:space="0"/>
              <w:left w:val="single" w:color="000000" w:sz="4" w:space="0"/>
              <w:bottom w:val="single" w:color="000000" w:sz="4" w:space="0"/>
              <w:right w:val="single" w:color="000000" w:sz="4" w:space="0"/>
            </w:tcBorders>
            <w:vAlign w:val="center"/>
          </w:tcPr>
          <w:p w14:paraId="42C8F3F9">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vAlign w:val="center"/>
          </w:tcPr>
          <w:p w14:paraId="32448155">
            <w:pPr>
              <w:widowControl/>
              <w:spacing w:line="300" w:lineRule="exact"/>
              <w:jc w:val="left"/>
              <w:rPr>
                <w:color w:val="000000"/>
                <w:sz w:val="24"/>
              </w:rPr>
            </w:pPr>
            <w:r>
              <w:rPr>
                <w:rFonts w:hint="eastAsia"/>
                <w:color w:val="000000"/>
                <w:sz w:val="24"/>
              </w:rPr>
              <w:t>113.61</w:t>
            </w:r>
          </w:p>
        </w:tc>
        <w:tc>
          <w:tcPr>
            <w:tcW w:w="1058" w:type="dxa"/>
            <w:tcBorders>
              <w:top w:val="single" w:color="000000" w:sz="4" w:space="0"/>
              <w:left w:val="single" w:color="000000" w:sz="4" w:space="0"/>
              <w:bottom w:val="single" w:color="000000" w:sz="4" w:space="0"/>
              <w:right w:val="single" w:color="000000" w:sz="4" w:space="0"/>
            </w:tcBorders>
            <w:vAlign w:val="center"/>
          </w:tcPr>
          <w:p w14:paraId="0922669C">
            <w:pPr>
              <w:widowControl/>
              <w:spacing w:line="300" w:lineRule="exact"/>
              <w:jc w:val="left"/>
              <w:rPr>
                <w:color w:val="000000"/>
                <w:sz w:val="24"/>
              </w:rPr>
            </w:pPr>
            <w:r>
              <w:rPr>
                <w:rFonts w:hint="eastAsia"/>
                <w:color w:val="000000"/>
                <w:sz w:val="24"/>
              </w:rPr>
              <w:t>万元</w:t>
            </w:r>
          </w:p>
        </w:tc>
        <w:tc>
          <w:tcPr>
            <w:tcW w:w="2040" w:type="dxa"/>
            <w:tcBorders>
              <w:top w:val="single" w:color="000000" w:sz="4" w:space="0"/>
              <w:left w:val="single" w:color="000000" w:sz="4" w:space="0"/>
              <w:bottom w:val="single" w:color="000000" w:sz="4" w:space="0"/>
              <w:right w:val="single" w:color="000000" w:sz="4" w:space="0"/>
            </w:tcBorders>
            <w:vAlign w:val="center"/>
          </w:tcPr>
          <w:p w14:paraId="07C72227">
            <w:pPr>
              <w:widowControl/>
              <w:spacing w:line="300" w:lineRule="exact"/>
              <w:jc w:val="left"/>
              <w:rPr>
                <w:color w:val="000000"/>
                <w:sz w:val="24"/>
              </w:rPr>
            </w:pPr>
            <w:r>
              <w:rPr>
                <w:rFonts w:hint="eastAsia"/>
                <w:color w:val="000000"/>
                <w:sz w:val="24"/>
              </w:rPr>
              <w:t>113.61</w:t>
            </w:r>
          </w:p>
        </w:tc>
      </w:tr>
      <w:tr w14:paraId="4254B8B3">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14:paraId="2DBE6AB6">
            <w:pPr>
              <w:widowControl/>
              <w:spacing w:line="300" w:lineRule="exact"/>
              <w:jc w:val="center"/>
              <w:rPr>
                <w:color w:val="000000"/>
                <w:sz w:val="24"/>
              </w:rPr>
            </w:pPr>
          </w:p>
        </w:tc>
        <w:tc>
          <w:tcPr>
            <w:tcW w:w="1141" w:type="dxa"/>
            <w:tcBorders>
              <w:top w:val="single" w:color="000000" w:sz="4" w:space="0"/>
              <w:left w:val="single" w:color="000000" w:sz="4" w:space="0"/>
              <w:bottom w:val="single" w:color="000000" w:sz="4" w:space="0"/>
              <w:right w:val="single" w:color="000000" w:sz="4" w:space="0"/>
            </w:tcBorders>
            <w:vAlign w:val="center"/>
          </w:tcPr>
          <w:p w14:paraId="7D10966A">
            <w:pPr>
              <w:widowControl/>
              <w:spacing w:line="300" w:lineRule="exact"/>
              <w:jc w:val="center"/>
              <w:textAlignment w:val="center"/>
              <w:rPr>
                <w:color w:val="000000"/>
                <w:sz w:val="24"/>
              </w:rPr>
            </w:pPr>
            <w:r>
              <w:rPr>
                <w:color w:val="000000"/>
                <w:kern w:val="0"/>
                <w:sz w:val="24"/>
                <w:lang w:bidi="ar"/>
              </w:rPr>
              <w:t>满意度指标</w:t>
            </w:r>
          </w:p>
        </w:tc>
        <w:tc>
          <w:tcPr>
            <w:tcW w:w="1245" w:type="dxa"/>
            <w:tcBorders>
              <w:top w:val="single" w:color="000000" w:sz="4" w:space="0"/>
              <w:left w:val="single" w:color="000000" w:sz="4" w:space="0"/>
              <w:bottom w:val="single" w:color="000000" w:sz="4" w:space="0"/>
              <w:right w:val="single" w:color="000000" w:sz="4" w:space="0"/>
            </w:tcBorders>
            <w:vAlign w:val="center"/>
          </w:tcPr>
          <w:p w14:paraId="00675999">
            <w:pPr>
              <w:widowControl/>
              <w:spacing w:line="300" w:lineRule="exact"/>
              <w:jc w:val="center"/>
              <w:textAlignment w:val="center"/>
              <w:rPr>
                <w:color w:val="000000"/>
                <w:sz w:val="24"/>
              </w:rPr>
            </w:pPr>
            <w:r>
              <w:rPr>
                <w:color w:val="000000"/>
                <w:kern w:val="0"/>
                <w:sz w:val="24"/>
                <w:lang w:bidi="ar"/>
              </w:rPr>
              <w:t>满意度指标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17E4E414">
            <w:pPr>
              <w:widowControl/>
              <w:spacing w:line="300" w:lineRule="exact"/>
              <w:jc w:val="left"/>
              <w:rPr>
                <w:color w:val="000000"/>
                <w:sz w:val="24"/>
              </w:rPr>
            </w:pPr>
            <w:r>
              <w:rPr>
                <w:rFonts w:hint="eastAsia"/>
                <w:color w:val="000000"/>
                <w:sz w:val="24"/>
              </w:rPr>
              <w:t>职工群众满意度</w:t>
            </w:r>
          </w:p>
        </w:tc>
        <w:tc>
          <w:tcPr>
            <w:tcW w:w="1145" w:type="dxa"/>
            <w:tcBorders>
              <w:top w:val="single" w:color="000000" w:sz="4" w:space="0"/>
              <w:left w:val="single" w:color="000000" w:sz="4" w:space="0"/>
              <w:bottom w:val="single" w:color="000000" w:sz="4" w:space="0"/>
              <w:right w:val="single" w:color="000000" w:sz="4" w:space="0"/>
            </w:tcBorders>
            <w:vAlign w:val="center"/>
          </w:tcPr>
          <w:p w14:paraId="430E8E29">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vAlign w:val="center"/>
          </w:tcPr>
          <w:p w14:paraId="20709A43">
            <w:pPr>
              <w:widowControl/>
              <w:spacing w:line="300" w:lineRule="exact"/>
              <w:jc w:val="left"/>
              <w:rPr>
                <w:color w:val="000000"/>
                <w:sz w:val="24"/>
              </w:rPr>
            </w:pPr>
            <w:r>
              <w:rPr>
                <w:rFonts w:hint="eastAsia"/>
                <w:color w:val="000000"/>
                <w:sz w:val="24"/>
              </w:rPr>
              <w:t>90</w:t>
            </w:r>
          </w:p>
        </w:tc>
        <w:tc>
          <w:tcPr>
            <w:tcW w:w="1058" w:type="dxa"/>
            <w:tcBorders>
              <w:top w:val="single" w:color="000000" w:sz="4" w:space="0"/>
              <w:left w:val="single" w:color="000000" w:sz="4" w:space="0"/>
              <w:bottom w:val="single" w:color="000000" w:sz="4" w:space="0"/>
              <w:right w:val="single" w:color="000000" w:sz="4" w:space="0"/>
            </w:tcBorders>
            <w:vAlign w:val="center"/>
          </w:tcPr>
          <w:p w14:paraId="1ADAC074">
            <w:pPr>
              <w:widowControl/>
              <w:spacing w:line="300" w:lineRule="exact"/>
              <w:jc w:val="left"/>
              <w:rPr>
                <w:color w:val="000000"/>
                <w:sz w:val="24"/>
              </w:rPr>
            </w:pPr>
            <w:r>
              <w:rPr>
                <w:rFonts w:hint="eastAsia"/>
                <w:color w:val="000000"/>
                <w:sz w:val="24"/>
              </w:rPr>
              <w:t>%</w:t>
            </w:r>
          </w:p>
        </w:tc>
        <w:tc>
          <w:tcPr>
            <w:tcW w:w="2040" w:type="dxa"/>
            <w:tcBorders>
              <w:top w:val="single" w:color="000000" w:sz="4" w:space="0"/>
              <w:left w:val="single" w:color="000000" w:sz="4" w:space="0"/>
              <w:bottom w:val="single" w:color="000000" w:sz="4" w:space="0"/>
              <w:right w:val="single" w:color="000000" w:sz="4" w:space="0"/>
            </w:tcBorders>
            <w:vAlign w:val="center"/>
          </w:tcPr>
          <w:p w14:paraId="5515D9E3">
            <w:pPr>
              <w:widowControl/>
              <w:spacing w:line="300" w:lineRule="exact"/>
              <w:jc w:val="left"/>
              <w:rPr>
                <w:color w:val="000000"/>
                <w:sz w:val="24"/>
              </w:rPr>
            </w:pPr>
            <w:r>
              <w:rPr>
                <w:rFonts w:hint="eastAsia"/>
                <w:color w:val="000000"/>
                <w:sz w:val="24"/>
              </w:rPr>
              <w:t>90</w:t>
            </w:r>
          </w:p>
        </w:tc>
      </w:tr>
    </w:tbl>
    <w:p w14:paraId="473E7FB2">
      <w:pPr>
        <w:rPr>
          <w:kern w:val="0"/>
          <w:szCs w:val="32"/>
        </w:rPr>
      </w:pPr>
    </w:p>
    <w:p w14:paraId="43B5B33E">
      <w:pPr>
        <w:pStyle w:val="15"/>
        <w:spacing w:before="93" w:line="560" w:lineRule="exact"/>
        <w:ind w:left="0" w:leftChars="0" w:firstLine="0" w:firstLineChars="0"/>
        <w:rPr>
          <w:rFonts w:ascii="Times New Roman"/>
          <w:sz w:val="32"/>
          <w:highlight w:val="yellow"/>
          <w:lang w:val="zh-CN"/>
        </w:rPr>
      </w:pPr>
    </w:p>
    <w:p w14:paraId="2CAA3AB9">
      <w:pPr>
        <w:pStyle w:val="7"/>
        <w:spacing w:before="93"/>
        <w:rPr>
          <w:rFonts w:ascii="Times New Roman" w:cs="宋体"/>
          <w:color w:val="FF0000"/>
          <w:sz w:val="32"/>
          <w:szCs w:val="32"/>
          <w:highlight w:val="yellow"/>
          <w:shd w:val="clear" w:color="auto" w:fill="FFFFFF"/>
          <w:lang w:val="zh-CN"/>
        </w:rPr>
      </w:pPr>
    </w:p>
    <w:p w14:paraId="199BA5F3">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033A0D7C">
      <w:pPr>
        <w:pStyle w:val="7"/>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6523F5FB">
      <w:pPr>
        <w:spacing w:line="600" w:lineRule="exact"/>
        <w:jc w:val="center"/>
        <w:rPr>
          <w:rFonts w:hint="eastAsia" w:ascii="宋体" w:hAnsi="宋体"/>
          <w:sz w:val="36"/>
          <w:szCs w:val="36"/>
        </w:rPr>
      </w:pPr>
      <w:r>
        <w:rPr>
          <w:rFonts w:hint="eastAsia" w:ascii="方正小标宋_GBK" w:hAnsi="黑体" w:eastAsia="方正小标宋_GBK" w:cs="黑体"/>
          <w:sz w:val="36"/>
          <w:szCs w:val="36"/>
        </w:rPr>
        <w:t>攀枝花市仁和区信访局</w:t>
      </w:r>
    </w:p>
    <w:p w14:paraId="2FA09745">
      <w:pPr>
        <w:pStyle w:val="35"/>
        <w:spacing w:line="560" w:lineRule="exact"/>
        <w:jc w:val="center"/>
        <w:rPr>
          <w:rFonts w:hint="eastAsia" w:ascii="方正小标宋简体" w:hAnsi="宋体" w:eastAsia="方正小标宋简体"/>
          <w:sz w:val="36"/>
          <w:szCs w:val="36"/>
        </w:rPr>
      </w:pPr>
      <w:r>
        <w:rPr>
          <w:rFonts w:hint="eastAsia" w:ascii="方正小标宋简体" w:hAnsi="宋体" w:eastAsia="方正小标宋简体"/>
          <w:sz w:val="36"/>
          <w:szCs w:val="36"/>
          <w:lang w:val="en-US"/>
        </w:rPr>
        <w:t>2024年度</w:t>
      </w:r>
      <w:r>
        <w:rPr>
          <w:rFonts w:hint="eastAsia" w:ascii="方正小标宋简体" w:hAnsi="宋体" w:eastAsia="方正小标宋简体"/>
          <w:sz w:val="36"/>
          <w:szCs w:val="36"/>
        </w:rPr>
        <w:t>预算项目支出绩效自评报告</w:t>
      </w:r>
    </w:p>
    <w:p w14:paraId="3ED810ED">
      <w:pPr>
        <w:pStyle w:val="35"/>
        <w:spacing w:line="600" w:lineRule="exact"/>
        <w:jc w:val="center"/>
        <w:rPr>
          <w:rFonts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rPr>
        <w:t>（解决特殊疑难信访问题中央补助资金）</w:t>
      </w:r>
    </w:p>
    <w:p w14:paraId="020E2C4B">
      <w:pPr>
        <w:adjustRightInd w:val="0"/>
        <w:snapToGrid w:val="0"/>
        <w:spacing w:line="600" w:lineRule="exact"/>
        <w:ind w:firstLine="720"/>
        <w:rPr>
          <w:rFonts w:hint="eastAsia" w:asciiTheme="minorEastAsia" w:hAnsiTheme="minorEastAsia" w:eastAsiaTheme="minorEastAsia"/>
          <w:b/>
          <w:bCs/>
          <w:sz w:val="28"/>
          <w:szCs w:val="28"/>
          <w:lang w:val="zh-CN"/>
        </w:rPr>
      </w:pPr>
      <w:r>
        <w:rPr>
          <w:rFonts w:asciiTheme="minorEastAsia" w:hAnsiTheme="minorEastAsia" w:eastAsiaTheme="minorEastAsia"/>
          <w:b/>
          <w:bCs/>
          <w:sz w:val="28"/>
          <w:szCs w:val="28"/>
        </w:rPr>
        <w:t>一、</w:t>
      </w:r>
      <w:r>
        <w:rPr>
          <w:rFonts w:asciiTheme="minorEastAsia" w:hAnsiTheme="minorEastAsia" w:eastAsiaTheme="minorEastAsia"/>
          <w:b/>
          <w:bCs/>
          <w:sz w:val="28"/>
          <w:szCs w:val="28"/>
          <w:lang w:val="zh-CN"/>
        </w:rPr>
        <w:t>项目概况</w:t>
      </w:r>
    </w:p>
    <w:p w14:paraId="74C5E4B4">
      <w:pPr>
        <w:adjustRightInd w:val="0"/>
        <w:snapToGrid w:val="0"/>
        <w:spacing w:line="600" w:lineRule="exact"/>
        <w:ind w:firstLine="720"/>
        <w:rPr>
          <w:rFonts w:hint="eastAsia" w:asciiTheme="minorEastAsia" w:hAnsiTheme="minorEastAsia" w:eastAsiaTheme="minorEastAsia"/>
          <w:b/>
          <w:sz w:val="28"/>
          <w:szCs w:val="28"/>
          <w:lang w:val="zh-CN"/>
        </w:rPr>
      </w:pPr>
      <w:r>
        <w:rPr>
          <w:rFonts w:asciiTheme="minorEastAsia" w:hAnsiTheme="minorEastAsia" w:eastAsiaTheme="minorEastAsia"/>
          <w:b/>
          <w:sz w:val="28"/>
          <w:szCs w:val="28"/>
          <w:lang w:val="zh-CN"/>
        </w:rPr>
        <w:t>（一）项目基本情况</w:t>
      </w:r>
    </w:p>
    <w:p w14:paraId="66E3B4B8">
      <w:pPr>
        <w:adjustRightInd w:val="0"/>
        <w:snapToGrid w:val="0"/>
        <w:spacing w:line="600" w:lineRule="exact"/>
        <w:ind w:firstLine="720"/>
        <w:rPr>
          <w:rFonts w:hint="eastAsia" w:asciiTheme="minorEastAsia" w:hAnsiTheme="minorEastAsia" w:eastAsiaTheme="minorEastAsia"/>
          <w:sz w:val="28"/>
          <w:szCs w:val="28"/>
        </w:rPr>
      </w:pPr>
      <w:r>
        <w:rPr>
          <w:rFonts w:asciiTheme="minorEastAsia" w:hAnsiTheme="minorEastAsia" w:eastAsiaTheme="minorEastAsia"/>
          <w:sz w:val="28"/>
          <w:szCs w:val="28"/>
          <w:lang w:val="zh-CN"/>
        </w:rPr>
        <w:t>1</w:t>
      </w:r>
      <w:r>
        <w:rPr>
          <w:rFonts w:hint="eastAsia" w:asciiTheme="minorEastAsia" w:hAnsiTheme="minorEastAsia" w:eastAsiaTheme="minorEastAsia"/>
          <w:sz w:val="28"/>
          <w:szCs w:val="28"/>
          <w:lang w:val="zh-CN"/>
        </w:rPr>
        <w:t>.</w:t>
      </w:r>
      <w:r>
        <w:rPr>
          <w:rFonts w:hint="eastAsia" w:asciiTheme="minorEastAsia" w:hAnsiTheme="minorEastAsia" w:eastAsiaTheme="minorEastAsia"/>
          <w:sz w:val="28"/>
          <w:szCs w:val="28"/>
        </w:rPr>
        <w:t>仁和区信访局</w:t>
      </w:r>
      <w:r>
        <w:rPr>
          <w:rFonts w:asciiTheme="minorEastAsia" w:hAnsiTheme="minorEastAsia" w:eastAsiaTheme="minorEastAsia"/>
          <w:sz w:val="28"/>
          <w:szCs w:val="28"/>
        </w:rPr>
        <w:t>作为主管部门，负责项目规划和具体实施的监督指导，</w:t>
      </w:r>
      <w:r>
        <w:rPr>
          <w:rFonts w:hint="eastAsia" w:asciiTheme="minorEastAsia" w:hAnsiTheme="minorEastAsia" w:eastAsiaTheme="minorEastAsia"/>
          <w:sz w:val="28"/>
          <w:szCs w:val="28"/>
        </w:rPr>
        <w:t>区信访局</w:t>
      </w:r>
      <w:r>
        <w:rPr>
          <w:rFonts w:asciiTheme="minorEastAsia" w:hAnsiTheme="minorEastAsia" w:eastAsiaTheme="minorEastAsia"/>
          <w:sz w:val="28"/>
          <w:szCs w:val="28"/>
        </w:rPr>
        <w:t>按照项目管理相关要求开展具体工作，确保按时保质保量完成项目绩效目标。</w:t>
      </w:r>
    </w:p>
    <w:p w14:paraId="4898D3D4">
      <w:pPr>
        <w:ind w:firstLine="560" w:firstLineChars="200"/>
        <w:rPr>
          <w:rFonts w:hint="eastAsia" w:asciiTheme="minorEastAsia" w:hAnsiTheme="minorEastAsia" w:eastAsiaTheme="minorEastAsia"/>
          <w:sz w:val="28"/>
          <w:szCs w:val="28"/>
          <w:lang w:val="zh-CN"/>
        </w:rPr>
      </w:pPr>
      <w:r>
        <w:rPr>
          <w:rFonts w:asciiTheme="minorEastAsia" w:hAnsiTheme="minorEastAsia" w:eastAsiaTheme="minorEastAsia"/>
          <w:sz w:val="28"/>
          <w:szCs w:val="28"/>
          <w:lang w:val="zh-CN"/>
        </w:rPr>
        <w:t>2.</w:t>
      </w:r>
      <w:r>
        <w:rPr>
          <w:rFonts w:hint="eastAsia" w:asciiTheme="minorEastAsia" w:hAnsiTheme="minorEastAsia" w:eastAsiaTheme="minorEastAsia"/>
          <w:sz w:val="28"/>
          <w:szCs w:val="28"/>
        </w:rPr>
        <w:t>立项和资金申报依据：</w:t>
      </w:r>
    </w:p>
    <w:p w14:paraId="2A0355D1">
      <w:pPr>
        <w:adjustRightInd w:val="0"/>
        <w:snapToGrid w:val="0"/>
        <w:spacing w:line="600" w:lineRule="exact"/>
        <w:ind w:firstLine="72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仁和区信访局</w:t>
      </w:r>
      <w:r>
        <w:rPr>
          <w:rFonts w:asciiTheme="minorEastAsia" w:hAnsiTheme="minorEastAsia" w:eastAsiaTheme="minorEastAsia"/>
          <w:sz w:val="28"/>
          <w:szCs w:val="28"/>
        </w:rPr>
        <w:t>依据《中华人民共和国预算法》《中华人民共和国政府采购法》等规定，结合</w:t>
      </w:r>
      <w:r>
        <w:rPr>
          <w:rFonts w:hint="eastAsia" w:asciiTheme="minorEastAsia" w:hAnsiTheme="minorEastAsia" w:eastAsiaTheme="minorEastAsia"/>
          <w:sz w:val="28"/>
          <w:szCs w:val="28"/>
        </w:rPr>
        <w:t>仁和区</w:t>
      </w:r>
      <w:r>
        <w:rPr>
          <w:rFonts w:asciiTheme="minorEastAsia" w:hAnsiTheme="minorEastAsia" w:eastAsiaTheme="minorEastAsia"/>
          <w:sz w:val="28"/>
          <w:szCs w:val="28"/>
        </w:rPr>
        <w:t>财经纪律相关要求，制定</w:t>
      </w:r>
      <w:r>
        <w:rPr>
          <w:rFonts w:hint="eastAsia" w:asciiTheme="minorEastAsia" w:hAnsiTheme="minorEastAsia" w:eastAsiaTheme="minorEastAsia"/>
          <w:sz w:val="28"/>
          <w:szCs w:val="28"/>
        </w:rPr>
        <w:t>“</w:t>
      </w:r>
      <w:r>
        <w:rPr>
          <w:rFonts w:asciiTheme="minorEastAsia" w:hAnsiTheme="minorEastAsia" w:eastAsiaTheme="minorEastAsia"/>
          <w:sz w:val="28"/>
          <w:szCs w:val="28"/>
        </w:rPr>
        <w:t>专项资金管理制度</w:t>
      </w:r>
      <w:r>
        <w:rPr>
          <w:rFonts w:hint="eastAsia" w:asciiTheme="minorEastAsia" w:hAnsiTheme="minorEastAsia" w:eastAsiaTheme="minorEastAsia"/>
          <w:sz w:val="28"/>
          <w:szCs w:val="28"/>
        </w:rPr>
        <w:t>”</w:t>
      </w:r>
      <w:r>
        <w:rPr>
          <w:rFonts w:asciiTheme="minorEastAsia" w:hAnsiTheme="minorEastAsia" w:eastAsiaTheme="minorEastAsia"/>
          <w:sz w:val="28"/>
          <w:szCs w:val="28"/>
        </w:rPr>
        <w:t>，明确专项资金预算、审批、监督、支付等要求。</w:t>
      </w:r>
    </w:p>
    <w:p w14:paraId="5CFFF8AF">
      <w:pPr>
        <w:adjustRightInd w:val="0"/>
        <w:snapToGrid w:val="0"/>
        <w:spacing w:line="600" w:lineRule="exact"/>
        <w:ind w:firstLine="720"/>
        <w:rPr>
          <w:rFonts w:hint="eastAsia" w:asciiTheme="minorEastAsia" w:hAnsiTheme="minorEastAsia" w:eastAsiaTheme="minorEastAsia"/>
          <w:sz w:val="28"/>
          <w:szCs w:val="28"/>
          <w:lang w:val="zh-CN"/>
        </w:rPr>
      </w:pPr>
      <w:r>
        <w:rPr>
          <w:rFonts w:hint="eastAsia" w:asciiTheme="minorEastAsia" w:hAnsiTheme="minorEastAsia" w:eastAsiaTheme="minorEastAsia"/>
          <w:sz w:val="28"/>
          <w:szCs w:val="28"/>
        </w:rPr>
        <w:t>3</w:t>
      </w:r>
      <w:r>
        <w:rPr>
          <w:rFonts w:asciiTheme="minorEastAsia" w:hAnsiTheme="minorEastAsia" w:eastAsiaTheme="minorEastAsia"/>
          <w:sz w:val="28"/>
          <w:szCs w:val="28"/>
          <w:lang w:val="zh-CN"/>
        </w:rPr>
        <w:t>.</w:t>
      </w:r>
      <w:r>
        <w:rPr>
          <w:rFonts w:hint="eastAsia" w:asciiTheme="minorEastAsia" w:hAnsiTheme="minorEastAsia" w:eastAsiaTheme="minorEastAsia"/>
          <w:sz w:val="28"/>
          <w:szCs w:val="28"/>
          <w:lang w:val="zh-CN"/>
        </w:rPr>
        <w:t>仁和区信访局</w:t>
      </w:r>
      <w:r>
        <w:rPr>
          <w:rFonts w:asciiTheme="minorEastAsia" w:hAnsiTheme="minorEastAsia" w:eastAsiaTheme="minorEastAsia"/>
          <w:sz w:val="28"/>
          <w:szCs w:val="28"/>
        </w:rPr>
        <w:t>严格落实专项资金管理规定，根据项目实施具体内容，按照对标目标、突出重点、集体决定原则完成项目资金分配，分配主要考虑因素为是否用于</w:t>
      </w:r>
      <w:r>
        <w:rPr>
          <w:rFonts w:hint="eastAsia" w:asciiTheme="minorEastAsia" w:hAnsiTheme="minorEastAsia" w:eastAsiaTheme="minorEastAsia"/>
          <w:sz w:val="28"/>
          <w:szCs w:val="28"/>
        </w:rPr>
        <w:t>解决特殊疑难信访问题</w:t>
      </w:r>
      <w:r>
        <w:rPr>
          <w:rFonts w:asciiTheme="minorEastAsia" w:hAnsiTheme="minorEastAsia" w:eastAsiaTheme="minorEastAsia"/>
          <w:sz w:val="28"/>
          <w:szCs w:val="28"/>
        </w:rPr>
        <w:t>、是否与绩效目标相对应、是否遵守厉行节约原则。</w:t>
      </w:r>
    </w:p>
    <w:p w14:paraId="62F42F88">
      <w:pPr>
        <w:adjustRightInd w:val="0"/>
        <w:snapToGrid w:val="0"/>
        <w:spacing w:line="600" w:lineRule="exact"/>
        <w:ind w:firstLine="720"/>
        <w:rPr>
          <w:rFonts w:hint="eastAsia" w:asciiTheme="minorEastAsia" w:hAnsiTheme="minorEastAsia" w:eastAsiaTheme="minorEastAsia"/>
          <w:b/>
          <w:sz w:val="28"/>
          <w:szCs w:val="28"/>
          <w:lang w:val="zh-CN"/>
        </w:rPr>
      </w:pPr>
      <w:r>
        <w:rPr>
          <w:rFonts w:asciiTheme="minorEastAsia" w:hAnsiTheme="minorEastAsia" w:eastAsiaTheme="minorEastAsia"/>
          <w:b/>
          <w:sz w:val="28"/>
          <w:szCs w:val="28"/>
          <w:lang w:val="zh-CN"/>
        </w:rPr>
        <w:t>（二）项目绩效目标</w:t>
      </w:r>
    </w:p>
    <w:p w14:paraId="4CD06C11">
      <w:pPr>
        <w:ind w:firstLine="560" w:firstLineChars="200"/>
        <w:rPr>
          <w:rFonts w:hint="eastAsia" w:asciiTheme="minorEastAsia" w:hAnsiTheme="minorEastAsia" w:eastAsiaTheme="minorEastAsia"/>
          <w:sz w:val="28"/>
          <w:szCs w:val="28"/>
          <w:lang w:val="zh-CN"/>
        </w:rPr>
      </w:pPr>
      <w:r>
        <w:rPr>
          <w:rFonts w:asciiTheme="minorEastAsia" w:hAnsiTheme="minorEastAsia" w:eastAsiaTheme="minorEastAsia"/>
          <w:sz w:val="28"/>
          <w:szCs w:val="28"/>
          <w:lang w:val="zh-CN"/>
        </w:rPr>
        <w:t>1.项目主要内容</w:t>
      </w:r>
      <w:r>
        <w:rPr>
          <w:rFonts w:hint="eastAsia" w:asciiTheme="minorEastAsia" w:hAnsiTheme="minorEastAsia" w:eastAsiaTheme="minorEastAsia"/>
          <w:sz w:val="28"/>
          <w:szCs w:val="28"/>
          <w:lang w:val="zh-CN"/>
        </w:rPr>
        <w:t>：</w:t>
      </w:r>
      <w:r>
        <w:rPr>
          <w:rFonts w:asciiTheme="minorEastAsia" w:hAnsiTheme="minorEastAsia" w:eastAsiaTheme="minorEastAsia"/>
          <w:sz w:val="28"/>
          <w:szCs w:val="28"/>
        </w:rPr>
        <w:t>完成</w:t>
      </w:r>
      <w:r>
        <w:rPr>
          <w:rFonts w:hint="eastAsia" w:asciiTheme="minorEastAsia" w:hAnsiTheme="minorEastAsia" w:eastAsiaTheme="minorEastAsia"/>
          <w:sz w:val="28"/>
          <w:szCs w:val="28"/>
        </w:rPr>
        <w:t>信访人员的生活困难救助</w:t>
      </w:r>
      <w:r>
        <w:rPr>
          <w:rFonts w:asciiTheme="minorEastAsia" w:hAnsiTheme="minorEastAsia" w:eastAsiaTheme="minorEastAsia"/>
          <w:sz w:val="28"/>
          <w:szCs w:val="28"/>
        </w:rPr>
        <w:t>。</w:t>
      </w:r>
    </w:p>
    <w:p w14:paraId="72CEA516">
      <w:pPr>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lang w:val="zh-CN"/>
        </w:rPr>
        <w:t>2.项目整体、区域</w:t>
      </w:r>
      <w:r>
        <w:rPr>
          <w:rFonts w:asciiTheme="minorEastAsia" w:hAnsiTheme="minorEastAsia" w:eastAsiaTheme="minorEastAsia"/>
          <w:sz w:val="28"/>
          <w:szCs w:val="28"/>
        </w:rPr>
        <w:t>目标。按照</w:t>
      </w:r>
      <w:r>
        <w:rPr>
          <w:rFonts w:hint="eastAsia" w:asciiTheme="minorEastAsia" w:hAnsiTheme="minorEastAsia" w:eastAsiaTheme="minorEastAsia"/>
          <w:sz w:val="28"/>
          <w:szCs w:val="28"/>
        </w:rPr>
        <w:t>相关要求，完成此项工作</w:t>
      </w:r>
      <w:r>
        <w:rPr>
          <w:rFonts w:asciiTheme="minorEastAsia" w:hAnsiTheme="minorEastAsia" w:eastAsiaTheme="minorEastAsia"/>
          <w:sz w:val="28"/>
          <w:szCs w:val="28"/>
        </w:rPr>
        <w:t>。</w:t>
      </w:r>
    </w:p>
    <w:p w14:paraId="7CA01FD2">
      <w:pPr>
        <w:ind w:firstLine="562" w:firstLineChars="200"/>
        <w:rPr>
          <w:rFonts w:hint="eastAsia" w:asciiTheme="minorEastAsia" w:hAnsiTheme="minorEastAsia" w:eastAsiaTheme="minorEastAsia"/>
          <w:b/>
          <w:bCs/>
          <w:sz w:val="28"/>
          <w:szCs w:val="28"/>
          <w:lang w:val="zh-CN"/>
        </w:rPr>
      </w:pPr>
      <w:r>
        <w:rPr>
          <w:rFonts w:hint="eastAsia" w:asciiTheme="minorEastAsia" w:hAnsiTheme="minorEastAsia" w:eastAsiaTheme="minorEastAsia"/>
          <w:b/>
          <w:bCs/>
          <w:sz w:val="28"/>
          <w:szCs w:val="28"/>
        </w:rPr>
        <w:t>3</w:t>
      </w:r>
      <w:r>
        <w:rPr>
          <w:rFonts w:asciiTheme="minorEastAsia" w:hAnsiTheme="minorEastAsia" w:eastAsiaTheme="minorEastAsia"/>
          <w:b/>
          <w:bCs/>
          <w:sz w:val="28"/>
          <w:szCs w:val="28"/>
        </w:rPr>
        <w:t>.</w:t>
      </w:r>
      <w:r>
        <w:rPr>
          <w:rFonts w:asciiTheme="minorEastAsia" w:hAnsiTheme="minorEastAsia" w:eastAsiaTheme="minorEastAsia"/>
          <w:b/>
          <w:bCs/>
          <w:sz w:val="28"/>
          <w:szCs w:val="28"/>
          <w:lang w:val="zh-CN"/>
        </w:rPr>
        <w:t>具体绩效目标</w:t>
      </w:r>
    </w:p>
    <w:p w14:paraId="25F1AB9C">
      <w:pPr>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rPr>
        <w:t>（1）数量指标：</w:t>
      </w:r>
      <w:bookmarkStart w:id="48" w:name="_Hlk198825733"/>
      <w:r>
        <w:rPr>
          <w:rFonts w:asciiTheme="minorEastAsia" w:hAnsiTheme="minorEastAsia" w:eastAsiaTheme="minorEastAsia"/>
          <w:sz w:val="28"/>
          <w:szCs w:val="28"/>
        </w:rPr>
        <w:t>完成</w:t>
      </w:r>
      <w:r>
        <w:rPr>
          <w:rFonts w:hint="eastAsia" w:asciiTheme="minorEastAsia" w:hAnsiTheme="minorEastAsia" w:eastAsiaTheme="minorEastAsia"/>
          <w:sz w:val="28"/>
          <w:szCs w:val="28"/>
        </w:rPr>
        <w:t>3名信访人员生活困难救助</w:t>
      </w:r>
      <w:bookmarkEnd w:id="48"/>
      <w:r>
        <w:rPr>
          <w:rFonts w:asciiTheme="minorEastAsia" w:hAnsiTheme="minorEastAsia" w:eastAsiaTheme="minorEastAsia"/>
          <w:sz w:val="28"/>
          <w:szCs w:val="28"/>
        </w:rPr>
        <w:t>。</w:t>
      </w:r>
    </w:p>
    <w:p w14:paraId="43513DF0">
      <w:pPr>
        <w:pStyle w:val="7"/>
        <w:spacing w:before="93"/>
        <w:ind w:left="840" w:firstLine="560"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sz w:val="28"/>
          <w:szCs w:val="28"/>
          <w:shd w:val="clear" w:color="auto" w:fill="FFFFFF"/>
        </w:rPr>
        <w:t>（2）质量指标：</w:t>
      </w:r>
      <w:r>
        <w:rPr>
          <w:rFonts w:hint="eastAsia" w:asciiTheme="minorEastAsia" w:hAnsiTheme="minorEastAsia" w:eastAsiaTheme="minorEastAsia"/>
          <w:sz w:val="28"/>
          <w:szCs w:val="28"/>
          <w:shd w:val="clear" w:color="auto" w:fill="FFFFFF"/>
        </w:rPr>
        <w:t>按时完成</w:t>
      </w:r>
      <w:r>
        <w:rPr>
          <w:rFonts w:hint="eastAsia" w:asciiTheme="minorEastAsia" w:hAnsiTheme="minorEastAsia" w:eastAsiaTheme="minorEastAsia"/>
          <w:color w:val="000000"/>
          <w:sz w:val="28"/>
          <w:szCs w:val="28"/>
          <w:shd w:val="clear" w:color="auto" w:fill="FFFFFF"/>
        </w:rPr>
        <w:t xml:space="preserve"> </w:t>
      </w:r>
      <w:r>
        <w:rPr>
          <w:rFonts w:asciiTheme="minorEastAsia" w:hAnsiTheme="minorEastAsia" w:eastAsiaTheme="minorEastAsia"/>
          <w:color w:val="000000"/>
          <w:sz w:val="28"/>
          <w:szCs w:val="28"/>
          <w:shd w:val="clear" w:color="auto" w:fill="FFFFFF"/>
        </w:rPr>
        <w:t>。</w:t>
      </w:r>
    </w:p>
    <w:p w14:paraId="1EC1F7DB">
      <w:pPr>
        <w:pStyle w:val="7"/>
        <w:spacing w:before="93"/>
        <w:ind w:left="840" w:firstLine="560"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color w:val="000000"/>
          <w:sz w:val="28"/>
          <w:szCs w:val="28"/>
          <w:shd w:val="clear" w:color="auto" w:fill="FFFFFF"/>
        </w:rPr>
        <w:t>（3）时效指标：时效202</w:t>
      </w:r>
      <w:r>
        <w:rPr>
          <w:rFonts w:hint="eastAsia" w:asciiTheme="minorEastAsia" w:hAnsiTheme="minorEastAsia" w:eastAsiaTheme="minorEastAsia"/>
          <w:color w:val="000000"/>
          <w:sz w:val="28"/>
          <w:szCs w:val="28"/>
          <w:shd w:val="clear" w:color="auto" w:fill="FFFFFF"/>
        </w:rPr>
        <w:t>4</w:t>
      </w:r>
      <w:r>
        <w:rPr>
          <w:rFonts w:asciiTheme="minorEastAsia" w:hAnsiTheme="minorEastAsia" w:eastAsiaTheme="minorEastAsia"/>
          <w:color w:val="000000"/>
          <w:sz w:val="28"/>
          <w:szCs w:val="28"/>
          <w:shd w:val="clear" w:color="auto" w:fill="FFFFFF"/>
        </w:rPr>
        <w:t>年1月至202</w:t>
      </w:r>
      <w:r>
        <w:rPr>
          <w:rFonts w:hint="eastAsia" w:asciiTheme="minorEastAsia" w:hAnsiTheme="minorEastAsia" w:eastAsiaTheme="minorEastAsia"/>
          <w:color w:val="000000"/>
          <w:sz w:val="28"/>
          <w:szCs w:val="28"/>
          <w:shd w:val="clear" w:color="auto" w:fill="FFFFFF"/>
        </w:rPr>
        <w:t>4</w:t>
      </w:r>
      <w:r>
        <w:rPr>
          <w:rFonts w:asciiTheme="minorEastAsia" w:hAnsiTheme="minorEastAsia" w:eastAsiaTheme="minorEastAsia"/>
          <w:color w:val="000000"/>
          <w:sz w:val="28"/>
          <w:szCs w:val="28"/>
          <w:shd w:val="clear" w:color="auto" w:fill="FFFFFF"/>
        </w:rPr>
        <w:t>年</w:t>
      </w:r>
      <w:r>
        <w:rPr>
          <w:rFonts w:hint="eastAsia" w:asciiTheme="minorEastAsia" w:hAnsiTheme="minorEastAsia" w:eastAsiaTheme="minorEastAsia"/>
          <w:color w:val="000000"/>
          <w:sz w:val="28"/>
          <w:szCs w:val="28"/>
          <w:shd w:val="clear" w:color="auto" w:fill="FFFFFF"/>
        </w:rPr>
        <w:t>12</w:t>
      </w:r>
      <w:r>
        <w:rPr>
          <w:rFonts w:asciiTheme="minorEastAsia" w:hAnsiTheme="minorEastAsia" w:eastAsiaTheme="minorEastAsia"/>
          <w:color w:val="000000"/>
          <w:sz w:val="28"/>
          <w:szCs w:val="28"/>
          <w:shd w:val="clear" w:color="auto" w:fill="FFFFFF"/>
        </w:rPr>
        <w:t>月。</w:t>
      </w:r>
    </w:p>
    <w:p w14:paraId="124E53F8">
      <w:pPr>
        <w:pStyle w:val="7"/>
        <w:spacing w:before="93"/>
        <w:ind w:left="840" w:firstLine="560"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color w:val="000000"/>
          <w:sz w:val="28"/>
          <w:szCs w:val="28"/>
          <w:shd w:val="clear" w:color="auto" w:fill="FFFFFF"/>
        </w:rPr>
        <w:t>（4）成本指标：</w:t>
      </w:r>
      <w:r>
        <w:rPr>
          <w:rFonts w:hint="eastAsia" w:asciiTheme="minorEastAsia" w:hAnsiTheme="minorEastAsia" w:eastAsiaTheme="minorEastAsia"/>
          <w:color w:val="000000"/>
          <w:sz w:val="28"/>
          <w:szCs w:val="28"/>
          <w:shd w:val="clear" w:color="auto" w:fill="FFFFFF"/>
        </w:rPr>
        <w:t>6.8万元。</w:t>
      </w:r>
    </w:p>
    <w:p w14:paraId="61F8088A">
      <w:pPr>
        <w:ind w:firstLine="560"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color w:val="000000"/>
          <w:sz w:val="28"/>
          <w:szCs w:val="28"/>
          <w:shd w:val="clear" w:color="auto" w:fill="FFFFFF"/>
        </w:rPr>
        <w:t>（5）社会效益指标：</w:t>
      </w:r>
      <w:bookmarkStart w:id="49" w:name="_Hlk198824849"/>
      <w:r>
        <w:rPr>
          <w:rFonts w:hint="eastAsia" w:asciiTheme="minorEastAsia" w:hAnsiTheme="minorEastAsia" w:eastAsiaTheme="minorEastAsia"/>
          <w:color w:val="000000"/>
          <w:sz w:val="28"/>
          <w:szCs w:val="28"/>
          <w:shd w:val="clear" w:color="auto" w:fill="FFFFFF"/>
        </w:rPr>
        <w:t>促进社会和谐稳定、推动信访问题依法依规妥善解决。</w:t>
      </w:r>
    </w:p>
    <w:bookmarkEnd w:id="49"/>
    <w:p w14:paraId="036C7FDC">
      <w:pPr>
        <w:pStyle w:val="7"/>
        <w:spacing w:before="93"/>
        <w:ind w:left="840" w:firstLine="560" w:firstLineChars="200"/>
        <w:rPr>
          <w:rFonts w:hint="eastAsia" w:asciiTheme="minorEastAsia" w:hAnsiTheme="minorEastAsia" w:eastAsiaTheme="minorEastAsia"/>
          <w:sz w:val="28"/>
          <w:szCs w:val="28"/>
          <w:lang w:val="zh-CN"/>
        </w:rPr>
      </w:pPr>
      <w:r>
        <w:rPr>
          <w:rFonts w:asciiTheme="minorEastAsia" w:hAnsiTheme="minorEastAsia" w:eastAsiaTheme="minorEastAsia"/>
          <w:color w:val="000000"/>
          <w:sz w:val="28"/>
          <w:szCs w:val="28"/>
          <w:shd w:val="clear" w:color="auto" w:fill="FFFFFF"/>
        </w:rPr>
        <w:t>（6）满意度指标：</w:t>
      </w:r>
      <w:r>
        <w:rPr>
          <w:rFonts w:hint="eastAsia" w:asciiTheme="minorEastAsia" w:hAnsiTheme="minorEastAsia" w:eastAsiaTheme="minorEastAsia"/>
          <w:color w:val="000000"/>
          <w:sz w:val="28"/>
          <w:szCs w:val="28"/>
          <w:shd w:val="clear" w:color="auto" w:fill="FFFFFF"/>
        </w:rPr>
        <w:t>信访人员</w:t>
      </w:r>
      <w:r>
        <w:rPr>
          <w:rFonts w:asciiTheme="minorEastAsia" w:hAnsiTheme="minorEastAsia" w:eastAsiaTheme="minorEastAsia"/>
          <w:color w:val="000000"/>
          <w:sz w:val="28"/>
          <w:szCs w:val="28"/>
          <w:shd w:val="clear" w:color="auto" w:fill="FFFFFF"/>
        </w:rPr>
        <w:t>满意度大于等于95%。</w:t>
      </w:r>
    </w:p>
    <w:p w14:paraId="7471D9B5">
      <w:pPr>
        <w:adjustRightInd w:val="0"/>
        <w:snapToGrid w:val="0"/>
        <w:spacing w:line="600" w:lineRule="exact"/>
        <w:ind w:firstLine="720"/>
        <w:rPr>
          <w:rFonts w:hint="eastAsia" w:asciiTheme="minorEastAsia" w:hAnsiTheme="minorEastAsia" w:eastAsiaTheme="minorEastAsia"/>
          <w:sz w:val="28"/>
          <w:szCs w:val="28"/>
        </w:rPr>
      </w:pPr>
      <w:r>
        <w:rPr>
          <w:rFonts w:hint="eastAsia" w:asciiTheme="minorEastAsia" w:hAnsiTheme="minorEastAsia" w:eastAsiaTheme="minorEastAsia"/>
          <w:sz w:val="28"/>
          <w:szCs w:val="28"/>
          <w:lang w:val="zh-CN"/>
        </w:rPr>
        <w:t>4</w:t>
      </w:r>
      <w:r>
        <w:rPr>
          <w:rFonts w:asciiTheme="minorEastAsia" w:hAnsiTheme="minorEastAsia" w:eastAsiaTheme="minorEastAsia"/>
          <w:sz w:val="28"/>
          <w:szCs w:val="28"/>
          <w:lang w:val="zh-CN"/>
        </w:rPr>
        <w:t>.</w:t>
      </w:r>
      <w:r>
        <w:rPr>
          <w:rFonts w:hint="eastAsia" w:asciiTheme="minorEastAsia" w:hAnsiTheme="minorEastAsia" w:eastAsiaTheme="minorEastAsia"/>
          <w:sz w:val="28"/>
          <w:szCs w:val="28"/>
        </w:rPr>
        <w:t>评价申报内容与该项目问题需求相匹配，合理可行。</w:t>
      </w:r>
    </w:p>
    <w:p w14:paraId="4EB9FD33">
      <w:pPr>
        <w:adjustRightInd w:val="0"/>
        <w:snapToGrid w:val="0"/>
        <w:spacing w:line="600" w:lineRule="exact"/>
        <w:ind w:firstLine="720"/>
        <w:rPr>
          <w:rFonts w:hint="eastAsia" w:asciiTheme="minorEastAsia" w:hAnsiTheme="minorEastAsia" w:eastAsiaTheme="minorEastAsia"/>
          <w:b/>
          <w:sz w:val="28"/>
          <w:szCs w:val="28"/>
          <w:lang w:val="zh-CN"/>
        </w:rPr>
      </w:pPr>
      <w:r>
        <w:rPr>
          <w:rFonts w:asciiTheme="minorEastAsia" w:hAnsiTheme="minorEastAsia" w:eastAsiaTheme="minorEastAsia"/>
          <w:b/>
          <w:sz w:val="28"/>
          <w:szCs w:val="28"/>
          <w:lang w:val="zh-CN"/>
        </w:rPr>
        <w:t>（三）项目自评步骤及方法</w:t>
      </w:r>
    </w:p>
    <w:p w14:paraId="50335E86">
      <w:pPr>
        <w:ind w:firstLine="562"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b/>
          <w:bCs/>
          <w:color w:val="000000"/>
          <w:sz w:val="28"/>
          <w:szCs w:val="28"/>
          <w:shd w:val="clear" w:color="auto" w:fill="FFFFFF"/>
          <w:lang w:val="zh-CN"/>
        </w:rPr>
        <w:t>（</w:t>
      </w:r>
      <w:r>
        <w:rPr>
          <w:rFonts w:asciiTheme="minorEastAsia" w:hAnsiTheme="minorEastAsia" w:eastAsiaTheme="minorEastAsia"/>
          <w:b/>
          <w:bCs/>
          <w:color w:val="000000"/>
          <w:sz w:val="28"/>
          <w:szCs w:val="28"/>
          <w:shd w:val="clear" w:color="auto" w:fill="FFFFFF"/>
        </w:rPr>
        <w:t>1）明确目标任务。</w:t>
      </w:r>
      <w:r>
        <w:rPr>
          <w:rFonts w:asciiTheme="minorEastAsia" w:hAnsiTheme="minorEastAsia" w:eastAsiaTheme="minorEastAsia"/>
          <w:color w:val="000000"/>
          <w:sz w:val="28"/>
          <w:szCs w:val="28"/>
          <w:shd w:val="clear" w:color="auto" w:fill="FFFFFF"/>
        </w:rPr>
        <w:t>项目整体目标</w:t>
      </w:r>
      <w:r>
        <w:rPr>
          <w:rFonts w:hint="eastAsia" w:asciiTheme="minorEastAsia" w:hAnsiTheme="minorEastAsia" w:eastAsiaTheme="minorEastAsia"/>
          <w:color w:val="000000"/>
          <w:sz w:val="28"/>
          <w:szCs w:val="28"/>
          <w:shd w:val="clear" w:color="auto" w:fill="FFFFFF"/>
        </w:rPr>
        <w:t>促进社会和谐稳定、推动信访问题依法依规妥善解决。</w:t>
      </w:r>
    </w:p>
    <w:p w14:paraId="5DBE2214">
      <w:pPr>
        <w:adjustRightInd w:val="0"/>
        <w:snapToGrid w:val="0"/>
        <w:spacing w:line="620" w:lineRule="exact"/>
        <w:ind w:firstLine="562"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b/>
          <w:bCs/>
          <w:color w:val="000000"/>
          <w:sz w:val="28"/>
          <w:szCs w:val="28"/>
          <w:shd w:val="clear" w:color="auto" w:fill="FFFFFF"/>
        </w:rPr>
        <w:t>（2）明确责任分工。</w:t>
      </w:r>
      <w:r>
        <w:rPr>
          <w:rFonts w:asciiTheme="minorEastAsia" w:hAnsiTheme="minorEastAsia" w:eastAsiaTheme="minorEastAsia"/>
          <w:color w:val="000000"/>
          <w:sz w:val="28"/>
          <w:szCs w:val="28"/>
          <w:shd w:val="clear" w:color="auto" w:fill="FFFFFF"/>
        </w:rPr>
        <w:t>由</w:t>
      </w:r>
      <w:r>
        <w:rPr>
          <w:rFonts w:hint="eastAsia" w:asciiTheme="minorEastAsia" w:hAnsiTheme="minorEastAsia" w:eastAsiaTheme="minorEastAsia"/>
          <w:color w:val="000000"/>
          <w:sz w:val="28"/>
          <w:szCs w:val="28"/>
          <w:shd w:val="clear" w:color="auto" w:fill="FFFFFF"/>
        </w:rPr>
        <w:t>区信访局群众意见受理中心</w:t>
      </w:r>
      <w:r>
        <w:rPr>
          <w:rFonts w:asciiTheme="minorEastAsia" w:hAnsiTheme="minorEastAsia" w:eastAsiaTheme="minorEastAsia"/>
          <w:color w:val="000000"/>
          <w:sz w:val="28"/>
          <w:szCs w:val="28"/>
          <w:shd w:val="clear" w:color="auto" w:fill="FFFFFF"/>
        </w:rPr>
        <w:t>牵头，负责统筹项目资金使用分配、协调对接、现场监督等事宜。</w:t>
      </w:r>
    </w:p>
    <w:p w14:paraId="622E4C94">
      <w:pPr>
        <w:ind w:firstLine="562"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b/>
          <w:bCs/>
          <w:color w:val="000000"/>
          <w:sz w:val="28"/>
          <w:szCs w:val="28"/>
          <w:shd w:val="clear" w:color="auto" w:fill="FFFFFF"/>
        </w:rPr>
        <w:t>（3）明确自评内容。</w:t>
      </w:r>
      <w:r>
        <w:rPr>
          <w:rFonts w:asciiTheme="minorEastAsia" w:hAnsiTheme="minorEastAsia" w:eastAsiaTheme="minorEastAsia"/>
          <w:color w:val="000000"/>
          <w:sz w:val="28"/>
          <w:szCs w:val="28"/>
          <w:shd w:val="clear" w:color="auto" w:fill="FFFFFF"/>
        </w:rPr>
        <w:t>评价内容包括绩效目标、目标完成质量、资金使用、社会效益、服务对象满意度等。</w:t>
      </w:r>
    </w:p>
    <w:p w14:paraId="253CB883">
      <w:pPr>
        <w:pStyle w:val="7"/>
        <w:spacing w:before="93"/>
        <w:ind w:left="840" w:firstLine="562"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b/>
          <w:bCs/>
          <w:color w:val="000000"/>
          <w:sz w:val="28"/>
          <w:szCs w:val="28"/>
          <w:shd w:val="clear" w:color="auto" w:fill="FFFFFF"/>
        </w:rPr>
        <w:t>（4）明确自评步骤。</w:t>
      </w:r>
      <w:r>
        <w:rPr>
          <w:rFonts w:asciiTheme="minorEastAsia" w:hAnsiTheme="minorEastAsia" w:eastAsiaTheme="minorEastAsia"/>
          <w:color w:val="000000"/>
          <w:sz w:val="28"/>
          <w:szCs w:val="28"/>
          <w:shd w:val="clear" w:color="auto" w:fill="FFFFFF"/>
        </w:rPr>
        <w:t>自评步骤为收集项目完成数据、对比绩效目标分析项目完成情况和存在的问题、针对问题提出改进建议、制定下一步工作计划、撰写自评报告。</w:t>
      </w:r>
    </w:p>
    <w:p w14:paraId="257F3EE7">
      <w:pPr>
        <w:ind w:firstLine="562"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b/>
          <w:bCs/>
          <w:color w:val="000000"/>
          <w:sz w:val="28"/>
          <w:szCs w:val="28"/>
          <w:shd w:val="clear" w:color="auto" w:fill="FFFFFF"/>
        </w:rPr>
        <w:t>（5）完成绩效自评。</w:t>
      </w:r>
      <w:r>
        <w:rPr>
          <w:rFonts w:hint="eastAsia" w:asciiTheme="minorEastAsia" w:hAnsiTheme="minorEastAsia" w:eastAsiaTheme="minorEastAsia"/>
          <w:color w:val="000000"/>
          <w:sz w:val="28"/>
          <w:szCs w:val="28"/>
          <w:shd w:val="clear" w:color="auto" w:fill="FFFFFF"/>
        </w:rPr>
        <w:t>截至</w:t>
      </w:r>
      <w:r>
        <w:rPr>
          <w:rFonts w:asciiTheme="minorEastAsia" w:hAnsiTheme="minorEastAsia" w:eastAsiaTheme="minorEastAsia"/>
          <w:color w:val="000000"/>
          <w:sz w:val="28"/>
          <w:szCs w:val="28"/>
          <w:shd w:val="clear" w:color="auto" w:fill="FFFFFF"/>
        </w:rPr>
        <w:t>202</w:t>
      </w:r>
      <w:r>
        <w:rPr>
          <w:rFonts w:hint="eastAsia" w:asciiTheme="minorEastAsia" w:hAnsiTheme="minorEastAsia" w:eastAsiaTheme="minorEastAsia"/>
          <w:color w:val="000000"/>
          <w:sz w:val="28"/>
          <w:szCs w:val="28"/>
          <w:shd w:val="clear" w:color="auto" w:fill="FFFFFF"/>
        </w:rPr>
        <w:t>4</w:t>
      </w:r>
      <w:r>
        <w:rPr>
          <w:rFonts w:asciiTheme="minorEastAsia" w:hAnsiTheme="minorEastAsia" w:eastAsiaTheme="minorEastAsia"/>
          <w:color w:val="000000"/>
          <w:sz w:val="28"/>
          <w:szCs w:val="28"/>
          <w:shd w:val="clear" w:color="auto" w:fill="FFFFFF"/>
        </w:rPr>
        <w:t>年</w:t>
      </w:r>
      <w:r>
        <w:rPr>
          <w:rFonts w:hint="eastAsia" w:asciiTheme="minorEastAsia" w:hAnsiTheme="minorEastAsia" w:eastAsiaTheme="minorEastAsia"/>
          <w:color w:val="000000"/>
          <w:sz w:val="28"/>
          <w:szCs w:val="28"/>
          <w:shd w:val="clear" w:color="auto" w:fill="FFFFFF"/>
        </w:rPr>
        <w:t>11</w:t>
      </w:r>
      <w:r>
        <w:rPr>
          <w:rFonts w:asciiTheme="minorEastAsia" w:hAnsiTheme="minorEastAsia" w:eastAsiaTheme="minorEastAsia"/>
          <w:color w:val="000000"/>
          <w:sz w:val="28"/>
          <w:szCs w:val="28"/>
          <w:shd w:val="clear" w:color="auto" w:fill="FFFFFF"/>
        </w:rPr>
        <w:t>月，</w:t>
      </w:r>
      <w:r>
        <w:rPr>
          <w:rFonts w:hint="eastAsia" w:asciiTheme="minorEastAsia" w:hAnsiTheme="minorEastAsia" w:eastAsiaTheme="minorEastAsia"/>
          <w:color w:val="000000"/>
          <w:sz w:val="28"/>
          <w:szCs w:val="28"/>
          <w:shd w:val="clear" w:color="auto" w:fill="FFFFFF"/>
        </w:rPr>
        <w:t>已</w:t>
      </w:r>
      <w:r>
        <w:rPr>
          <w:rFonts w:asciiTheme="minorEastAsia" w:hAnsiTheme="minorEastAsia" w:eastAsiaTheme="minorEastAsia"/>
          <w:color w:val="000000"/>
          <w:sz w:val="28"/>
          <w:szCs w:val="28"/>
          <w:shd w:val="clear" w:color="auto" w:fill="FFFFFF"/>
        </w:rPr>
        <w:t>完成</w:t>
      </w:r>
      <w:r>
        <w:rPr>
          <w:rFonts w:hint="eastAsia" w:asciiTheme="minorEastAsia" w:hAnsiTheme="minorEastAsia" w:eastAsiaTheme="minorEastAsia"/>
          <w:color w:val="000000"/>
          <w:sz w:val="28"/>
          <w:szCs w:val="28"/>
          <w:shd w:val="clear" w:color="auto" w:fill="FFFFFF"/>
        </w:rPr>
        <w:t>此项工作</w:t>
      </w:r>
      <w:r>
        <w:rPr>
          <w:rFonts w:asciiTheme="minorEastAsia" w:hAnsiTheme="minorEastAsia" w:eastAsiaTheme="minorEastAsia"/>
          <w:color w:val="000000"/>
          <w:sz w:val="28"/>
          <w:szCs w:val="28"/>
          <w:shd w:val="clear" w:color="auto" w:fill="FFFFFF"/>
        </w:rPr>
        <w:t>。</w:t>
      </w:r>
    </w:p>
    <w:p w14:paraId="1D9CD812">
      <w:pPr>
        <w:adjustRightInd w:val="0"/>
        <w:snapToGrid w:val="0"/>
        <w:spacing w:line="600" w:lineRule="exact"/>
        <w:ind w:firstLine="720"/>
        <w:rPr>
          <w:rFonts w:hint="eastAsia" w:asciiTheme="minorEastAsia" w:hAnsiTheme="minorEastAsia" w:eastAsiaTheme="minorEastAsia"/>
          <w:b/>
          <w:bCs/>
          <w:color w:val="000000"/>
          <w:sz w:val="28"/>
          <w:szCs w:val="28"/>
          <w:shd w:val="clear" w:color="auto" w:fill="FFFFFF"/>
        </w:rPr>
      </w:pPr>
      <w:r>
        <w:rPr>
          <w:rFonts w:asciiTheme="minorEastAsia" w:hAnsiTheme="minorEastAsia" w:eastAsiaTheme="minorEastAsia"/>
          <w:b/>
          <w:bCs/>
          <w:color w:val="000000"/>
          <w:sz w:val="28"/>
          <w:szCs w:val="28"/>
          <w:shd w:val="clear" w:color="auto" w:fill="FFFFFF"/>
        </w:rPr>
        <w:t>二、项目资金申报及使用情况</w:t>
      </w:r>
    </w:p>
    <w:p w14:paraId="2519EE34">
      <w:pPr>
        <w:adjustRightInd w:val="0"/>
        <w:snapToGrid w:val="0"/>
        <w:spacing w:line="600" w:lineRule="exact"/>
        <w:ind w:firstLine="720"/>
        <w:rPr>
          <w:rFonts w:hint="eastAsia" w:asciiTheme="minorEastAsia" w:hAnsiTheme="minorEastAsia" w:eastAsiaTheme="minorEastAsia"/>
          <w:b/>
          <w:sz w:val="28"/>
          <w:szCs w:val="28"/>
          <w:lang w:val="zh-CN"/>
        </w:rPr>
      </w:pPr>
      <w:r>
        <w:rPr>
          <w:rFonts w:asciiTheme="minorEastAsia" w:hAnsiTheme="minorEastAsia" w:eastAsiaTheme="minorEastAsia"/>
          <w:b/>
          <w:sz w:val="28"/>
          <w:szCs w:val="28"/>
          <w:lang w:val="zh-CN"/>
        </w:rPr>
        <w:t>（一）项目资金申报及批复情况</w:t>
      </w:r>
    </w:p>
    <w:p w14:paraId="6ED3F530">
      <w:pPr>
        <w:adjustRightInd w:val="0"/>
        <w:snapToGrid w:val="0"/>
        <w:spacing w:line="600" w:lineRule="exact"/>
        <w:ind w:firstLine="720"/>
        <w:rPr>
          <w:rFonts w:hint="eastAsia" w:asciiTheme="minorEastAsia" w:hAnsiTheme="minorEastAsia" w:eastAsiaTheme="minorEastAsia"/>
          <w:color w:val="000000"/>
          <w:sz w:val="28"/>
          <w:szCs w:val="28"/>
          <w:shd w:val="clear" w:color="auto" w:fill="FFFFFF"/>
        </w:rPr>
      </w:pPr>
      <w:r>
        <w:rPr>
          <w:rFonts w:hint="eastAsia" w:asciiTheme="minorEastAsia" w:hAnsiTheme="minorEastAsia" w:eastAsiaTheme="minorEastAsia"/>
          <w:sz w:val="28"/>
          <w:szCs w:val="28"/>
        </w:rPr>
        <w:t>2024年4月，区信访局向区财政局专项资金项目申报</w:t>
      </w:r>
      <w:bookmarkStart w:id="50" w:name="_Hlk198825248"/>
      <w:r>
        <w:rPr>
          <w:rFonts w:hint="eastAsia" w:asciiTheme="minorEastAsia" w:hAnsiTheme="minorEastAsia" w:eastAsiaTheme="minorEastAsia"/>
          <w:sz w:val="28"/>
          <w:szCs w:val="28"/>
        </w:rPr>
        <w:t>特殊疑难信访问题中央专项补助资金14万元</w:t>
      </w:r>
      <w:bookmarkEnd w:id="50"/>
      <w:r>
        <w:rPr>
          <w:rFonts w:hint="eastAsia" w:asciiTheme="minorEastAsia" w:hAnsiTheme="minorEastAsia" w:eastAsiaTheme="minorEastAsia"/>
          <w:sz w:val="28"/>
          <w:szCs w:val="28"/>
        </w:rPr>
        <w:t>，用于</w:t>
      </w:r>
      <w:r>
        <w:rPr>
          <w:rFonts w:hint="eastAsia" w:asciiTheme="minorEastAsia" w:hAnsiTheme="minorEastAsia" w:eastAsiaTheme="minorEastAsia"/>
          <w:color w:val="000000"/>
          <w:sz w:val="28"/>
          <w:szCs w:val="28"/>
          <w:shd w:val="clear" w:color="auto" w:fill="FFFFFF"/>
        </w:rPr>
        <w:t>促进社会和谐稳定、推动特殊疑难信访问题依法依规妥善解决。</w:t>
      </w:r>
    </w:p>
    <w:p w14:paraId="54722A66">
      <w:pPr>
        <w:adjustRightInd w:val="0"/>
        <w:snapToGrid w:val="0"/>
        <w:spacing w:line="600" w:lineRule="exact"/>
        <w:ind w:firstLine="720"/>
        <w:rPr>
          <w:rFonts w:hint="eastAsia" w:asciiTheme="minorEastAsia" w:hAnsiTheme="minorEastAsia" w:eastAsiaTheme="minorEastAsia"/>
          <w:sz w:val="28"/>
          <w:szCs w:val="28"/>
          <w:lang w:val="zh-CN"/>
        </w:rPr>
      </w:pPr>
      <w:r>
        <w:rPr>
          <w:rFonts w:asciiTheme="minorEastAsia" w:hAnsiTheme="minorEastAsia" w:eastAsiaTheme="minorEastAsia"/>
          <w:b/>
          <w:sz w:val="28"/>
          <w:szCs w:val="28"/>
          <w:lang w:val="zh-CN"/>
        </w:rPr>
        <w:t>（二）资金计划、到位及使用情况</w:t>
      </w:r>
    </w:p>
    <w:p w14:paraId="3AD15D8D">
      <w:pPr>
        <w:adjustRightInd w:val="0"/>
        <w:snapToGrid w:val="0"/>
        <w:spacing w:line="600" w:lineRule="exact"/>
        <w:ind w:firstLine="720"/>
        <w:rPr>
          <w:rFonts w:hint="eastAsia" w:asciiTheme="minorEastAsia" w:hAnsiTheme="minorEastAsia" w:eastAsiaTheme="minorEastAsia"/>
          <w:sz w:val="28"/>
          <w:szCs w:val="28"/>
          <w:lang w:val="zh-CN"/>
        </w:rPr>
      </w:pPr>
      <w:r>
        <w:rPr>
          <w:rFonts w:asciiTheme="minorEastAsia" w:hAnsiTheme="minorEastAsia" w:eastAsiaTheme="minorEastAsia"/>
          <w:sz w:val="28"/>
          <w:szCs w:val="28"/>
          <w:lang w:val="zh-CN"/>
        </w:rPr>
        <w:t>1</w:t>
      </w:r>
      <w:r>
        <w:rPr>
          <w:rFonts w:hint="eastAsia" w:asciiTheme="minorEastAsia" w:hAnsiTheme="minorEastAsia" w:eastAsiaTheme="minorEastAsia"/>
          <w:sz w:val="28"/>
          <w:szCs w:val="28"/>
          <w:lang w:val="zh-CN"/>
        </w:rPr>
        <w:t>.</w:t>
      </w:r>
      <w:r>
        <w:rPr>
          <w:rFonts w:asciiTheme="minorEastAsia" w:hAnsiTheme="minorEastAsia" w:eastAsiaTheme="minorEastAsia"/>
          <w:sz w:val="28"/>
          <w:szCs w:val="28"/>
          <w:lang w:val="zh-CN"/>
        </w:rPr>
        <w:t>资金计划。</w:t>
      </w:r>
      <w:r>
        <w:rPr>
          <w:rFonts w:hint="eastAsia" w:asciiTheme="minorEastAsia" w:hAnsiTheme="minorEastAsia" w:eastAsiaTheme="minorEastAsia"/>
          <w:sz w:val="28"/>
          <w:szCs w:val="28"/>
        </w:rPr>
        <w:t>资金使用计划为特殊疑难信访问题中央专项补助资金14万元</w:t>
      </w:r>
      <w:r>
        <w:rPr>
          <w:rFonts w:asciiTheme="minorEastAsia" w:hAnsiTheme="minorEastAsia" w:eastAsiaTheme="minorEastAsia"/>
          <w:sz w:val="28"/>
          <w:szCs w:val="28"/>
          <w:lang w:val="zh-CN"/>
        </w:rPr>
        <w:t>。</w:t>
      </w:r>
    </w:p>
    <w:p w14:paraId="0CFEC38A">
      <w:pPr>
        <w:adjustRightInd w:val="0"/>
        <w:snapToGrid w:val="0"/>
        <w:spacing w:line="600" w:lineRule="exact"/>
        <w:ind w:firstLine="720"/>
        <w:rPr>
          <w:rFonts w:hint="eastAsia" w:asciiTheme="minorEastAsia" w:hAnsiTheme="minorEastAsia" w:eastAsiaTheme="minorEastAsia"/>
          <w:sz w:val="28"/>
          <w:szCs w:val="28"/>
        </w:rPr>
      </w:pPr>
      <w:r>
        <w:rPr>
          <w:rFonts w:asciiTheme="minorEastAsia" w:hAnsiTheme="minorEastAsia" w:eastAsiaTheme="minorEastAsia"/>
          <w:sz w:val="28"/>
          <w:szCs w:val="28"/>
          <w:lang w:val="zh-CN"/>
        </w:rPr>
        <w:t>2</w:t>
      </w:r>
      <w:r>
        <w:rPr>
          <w:rFonts w:hint="eastAsia" w:asciiTheme="minorEastAsia" w:hAnsiTheme="minorEastAsia" w:eastAsiaTheme="minorEastAsia"/>
          <w:sz w:val="28"/>
          <w:szCs w:val="28"/>
          <w:lang w:val="zh-CN"/>
        </w:rPr>
        <w:t>.</w:t>
      </w:r>
      <w:r>
        <w:rPr>
          <w:rFonts w:asciiTheme="minorEastAsia" w:hAnsiTheme="minorEastAsia" w:eastAsiaTheme="minorEastAsia"/>
          <w:sz w:val="28"/>
          <w:szCs w:val="28"/>
          <w:lang w:val="zh-CN"/>
        </w:rPr>
        <w:t>资金到位。</w:t>
      </w:r>
      <w:r>
        <w:rPr>
          <w:rFonts w:hint="eastAsia" w:asciiTheme="minorEastAsia" w:hAnsiTheme="minorEastAsia" w:eastAsiaTheme="minorEastAsia"/>
          <w:sz w:val="28"/>
          <w:szCs w:val="28"/>
        </w:rPr>
        <w:t>截至2024年6月仁和</w:t>
      </w:r>
      <w:r>
        <w:rPr>
          <w:rFonts w:asciiTheme="minorEastAsia" w:hAnsiTheme="minorEastAsia" w:eastAsiaTheme="minorEastAsia"/>
          <w:sz w:val="28"/>
          <w:szCs w:val="28"/>
        </w:rPr>
        <w:t>区财政局下达</w:t>
      </w:r>
      <w:r>
        <w:rPr>
          <w:rFonts w:hint="eastAsia" w:asciiTheme="minorEastAsia" w:hAnsiTheme="minorEastAsia" w:eastAsiaTheme="minorEastAsia"/>
          <w:sz w:val="28"/>
          <w:szCs w:val="28"/>
        </w:rPr>
        <w:t>特殊疑难信访问题中央专项补助资金14万元。</w:t>
      </w:r>
    </w:p>
    <w:p w14:paraId="24A04C64">
      <w:pPr>
        <w:adjustRightInd w:val="0"/>
        <w:snapToGrid w:val="0"/>
        <w:spacing w:line="600" w:lineRule="exact"/>
        <w:ind w:firstLine="720"/>
        <w:rPr>
          <w:rFonts w:hint="eastAsia" w:asciiTheme="minorEastAsia" w:hAnsiTheme="minorEastAsia" w:eastAsiaTheme="minorEastAsia"/>
          <w:sz w:val="28"/>
          <w:szCs w:val="28"/>
          <w:lang w:val="zh-CN"/>
        </w:rPr>
      </w:pPr>
      <w:r>
        <w:rPr>
          <w:rFonts w:asciiTheme="minorEastAsia" w:hAnsiTheme="minorEastAsia" w:eastAsiaTheme="minorEastAsia"/>
          <w:sz w:val="28"/>
          <w:szCs w:val="28"/>
          <w:lang w:val="zh-CN"/>
        </w:rPr>
        <w:t>3</w:t>
      </w:r>
      <w:r>
        <w:rPr>
          <w:rFonts w:hint="eastAsia" w:asciiTheme="minorEastAsia" w:hAnsiTheme="minorEastAsia" w:eastAsiaTheme="minorEastAsia"/>
          <w:sz w:val="28"/>
          <w:szCs w:val="28"/>
          <w:lang w:val="zh-CN"/>
        </w:rPr>
        <w:t>.</w:t>
      </w:r>
      <w:r>
        <w:rPr>
          <w:rFonts w:asciiTheme="minorEastAsia" w:hAnsiTheme="minorEastAsia" w:eastAsiaTheme="minorEastAsia"/>
          <w:sz w:val="28"/>
          <w:szCs w:val="28"/>
          <w:lang w:val="zh-CN"/>
        </w:rPr>
        <w:t>资金使用。</w:t>
      </w:r>
      <w:r>
        <w:rPr>
          <w:rFonts w:hint="eastAsia" w:asciiTheme="minorEastAsia" w:hAnsiTheme="minorEastAsia" w:eastAsiaTheme="minorEastAsia"/>
          <w:color w:val="000000"/>
          <w:sz w:val="28"/>
          <w:szCs w:val="28"/>
          <w:shd w:val="clear" w:color="auto" w:fill="FFFFFF"/>
        </w:rPr>
        <w:t>截至2024年11月已兑现</w:t>
      </w:r>
      <w:r>
        <w:rPr>
          <w:rFonts w:asciiTheme="minorEastAsia" w:hAnsiTheme="minorEastAsia" w:eastAsiaTheme="minorEastAsia"/>
          <w:sz w:val="28"/>
          <w:szCs w:val="28"/>
        </w:rPr>
        <w:t>完成</w:t>
      </w:r>
      <w:r>
        <w:rPr>
          <w:rFonts w:hint="eastAsia" w:asciiTheme="minorEastAsia" w:hAnsiTheme="minorEastAsia" w:eastAsiaTheme="minorEastAsia"/>
          <w:sz w:val="28"/>
          <w:szCs w:val="28"/>
        </w:rPr>
        <w:t>3名疑难信访人员生活困难救助6.8万元</w:t>
      </w:r>
    </w:p>
    <w:p w14:paraId="349F6834">
      <w:pPr>
        <w:adjustRightInd w:val="0"/>
        <w:snapToGrid w:val="0"/>
        <w:spacing w:line="600" w:lineRule="exact"/>
        <w:ind w:firstLine="720"/>
        <w:rPr>
          <w:rFonts w:hint="eastAsia" w:asciiTheme="minorEastAsia" w:hAnsiTheme="minorEastAsia" w:eastAsiaTheme="minorEastAsia"/>
          <w:b/>
          <w:sz w:val="28"/>
          <w:szCs w:val="28"/>
          <w:lang w:val="zh-CN"/>
        </w:rPr>
      </w:pPr>
      <w:r>
        <w:rPr>
          <w:rFonts w:asciiTheme="minorEastAsia" w:hAnsiTheme="minorEastAsia" w:eastAsiaTheme="minorEastAsia"/>
          <w:b/>
          <w:sz w:val="28"/>
          <w:szCs w:val="28"/>
          <w:lang w:val="zh-CN"/>
        </w:rPr>
        <w:t>（三）项目财务管理情况</w:t>
      </w:r>
    </w:p>
    <w:p w14:paraId="626D5E7E">
      <w:pPr>
        <w:adjustRightInd w:val="0"/>
        <w:snapToGrid w:val="0"/>
        <w:spacing w:line="600" w:lineRule="exact"/>
        <w:ind w:firstLine="720"/>
        <w:rPr>
          <w:rFonts w:hint="eastAsia" w:asciiTheme="minorEastAsia" w:hAnsiTheme="minorEastAsia" w:eastAsiaTheme="minorEastAsia"/>
          <w:sz w:val="28"/>
          <w:szCs w:val="28"/>
          <w:lang w:val="zh-CN"/>
        </w:rPr>
      </w:pPr>
      <w:r>
        <w:rPr>
          <w:rFonts w:hint="eastAsia" w:asciiTheme="minorEastAsia" w:hAnsiTheme="minorEastAsia" w:eastAsiaTheme="minorEastAsia"/>
          <w:sz w:val="28"/>
          <w:szCs w:val="28"/>
        </w:rPr>
        <w:t>项目由攀枝花市仁和区信访局负责实施，</w:t>
      </w:r>
      <w:r>
        <w:rPr>
          <w:rFonts w:asciiTheme="minorEastAsia" w:hAnsiTheme="minorEastAsia" w:eastAsiaTheme="minorEastAsia"/>
          <w:sz w:val="28"/>
          <w:szCs w:val="28"/>
          <w:lang w:val="zh-CN"/>
        </w:rPr>
        <w:t>财务管理制度</w:t>
      </w:r>
      <w:r>
        <w:rPr>
          <w:rFonts w:hint="eastAsia" w:asciiTheme="minorEastAsia" w:hAnsiTheme="minorEastAsia" w:eastAsiaTheme="minorEastAsia"/>
          <w:sz w:val="28"/>
          <w:szCs w:val="28"/>
        </w:rPr>
        <w:t>较</w:t>
      </w:r>
      <w:r>
        <w:rPr>
          <w:rFonts w:asciiTheme="minorEastAsia" w:hAnsiTheme="minorEastAsia" w:eastAsiaTheme="minorEastAsia"/>
          <w:sz w:val="28"/>
          <w:szCs w:val="28"/>
          <w:lang w:val="zh-CN"/>
        </w:rPr>
        <w:t>健全，严格执行</w:t>
      </w:r>
      <w:r>
        <w:rPr>
          <w:rFonts w:hint="eastAsia" w:asciiTheme="minorEastAsia" w:hAnsiTheme="minorEastAsia" w:eastAsiaTheme="minorEastAsia"/>
          <w:sz w:val="28"/>
          <w:szCs w:val="28"/>
        </w:rPr>
        <w:t>了</w:t>
      </w:r>
      <w:r>
        <w:rPr>
          <w:rFonts w:asciiTheme="minorEastAsia" w:hAnsiTheme="minorEastAsia" w:eastAsiaTheme="minorEastAsia"/>
          <w:sz w:val="28"/>
          <w:szCs w:val="28"/>
          <w:lang w:val="zh-CN"/>
        </w:rPr>
        <w:t>财务管理制度，</w:t>
      </w:r>
      <w:r>
        <w:rPr>
          <w:rFonts w:hint="eastAsia" w:asciiTheme="minorEastAsia" w:hAnsiTheme="minorEastAsia" w:eastAsiaTheme="minorEastAsia"/>
          <w:sz w:val="28"/>
          <w:szCs w:val="28"/>
        </w:rPr>
        <w:t>项目审批等流程均合法合规。</w:t>
      </w:r>
    </w:p>
    <w:p w14:paraId="18CEEC2E">
      <w:pPr>
        <w:adjustRightInd w:val="0"/>
        <w:snapToGrid w:val="0"/>
        <w:spacing w:line="600" w:lineRule="exact"/>
        <w:ind w:firstLine="720"/>
        <w:rPr>
          <w:rFonts w:hint="eastAsia" w:asciiTheme="minorEastAsia" w:hAnsiTheme="minorEastAsia" w:eastAsiaTheme="minorEastAsia"/>
          <w:b/>
          <w:bCs/>
          <w:sz w:val="28"/>
          <w:szCs w:val="28"/>
        </w:rPr>
      </w:pPr>
      <w:r>
        <w:rPr>
          <w:rFonts w:asciiTheme="minorEastAsia" w:hAnsiTheme="minorEastAsia" w:eastAsiaTheme="minorEastAsia"/>
          <w:b/>
          <w:bCs/>
          <w:sz w:val="28"/>
          <w:szCs w:val="28"/>
        </w:rPr>
        <w:t>三、项目实施及管理情况</w:t>
      </w:r>
    </w:p>
    <w:p w14:paraId="55476379">
      <w:pPr>
        <w:adjustRightInd w:val="0"/>
        <w:snapToGrid w:val="0"/>
        <w:spacing w:line="600" w:lineRule="exact"/>
        <w:ind w:firstLine="720"/>
        <w:rPr>
          <w:rFonts w:hint="eastAsia" w:asciiTheme="minorEastAsia" w:hAnsiTheme="minorEastAsia" w:eastAsiaTheme="minorEastAsia"/>
          <w:sz w:val="28"/>
          <w:szCs w:val="28"/>
        </w:rPr>
      </w:pPr>
      <w:r>
        <w:rPr>
          <w:rFonts w:asciiTheme="minorEastAsia" w:hAnsiTheme="minorEastAsia" w:eastAsiaTheme="minorEastAsia"/>
          <w:b/>
          <w:sz w:val="28"/>
          <w:szCs w:val="28"/>
          <w:lang w:val="zh-CN"/>
        </w:rPr>
        <w:t>（一）项目组织架构及实施流程。</w:t>
      </w:r>
      <w:r>
        <w:rPr>
          <w:rFonts w:hint="eastAsia" w:asciiTheme="minorEastAsia" w:hAnsiTheme="minorEastAsia" w:eastAsiaTheme="minorEastAsia"/>
          <w:sz w:val="28"/>
          <w:szCs w:val="28"/>
        </w:rPr>
        <w:t>项目由区信访局局长负责统筹规划，</w:t>
      </w:r>
      <w:r>
        <w:rPr>
          <w:rFonts w:hint="eastAsia" w:asciiTheme="minorEastAsia" w:hAnsiTheme="minorEastAsia" w:eastAsiaTheme="minorEastAsia"/>
          <w:color w:val="000000"/>
          <w:sz w:val="28"/>
          <w:szCs w:val="28"/>
          <w:shd w:val="clear" w:color="auto" w:fill="FFFFFF"/>
        </w:rPr>
        <w:t>群众意见受理中心</w:t>
      </w:r>
      <w:r>
        <w:rPr>
          <w:rFonts w:hint="eastAsia" w:asciiTheme="minorEastAsia" w:hAnsiTheme="minorEastAsia" w:eastAsiaTheme="minorEastAsia"/>
          <w:sz w:val="28"/>
          <w:szCs w:val="28"/>
        </w:rPr>
        <w:t>负责实施协调工作。</w:t>
      </w:r>
    </w:p>
    <w:p w14:paraId="2EBFECBA">
      <w:pPr>
        <w:adjustRightInd w:val="0"/>
        <w:snapToGrid w:val="0"/>
        <w:spacing w:line="600" w:lineRule="exact"/>
        <w:ind w:firstLine="720"/>
        <w:rPr>
          <w:rFonts w:hint="eastAsia" w:asciiTheme="minorEastAsia" w:hAnsiTheme="minorEastAsia" w:eastAsiaTheme="minorEastAsia"/>
          <w:sz w:val="28"/>
          <w:szCs w:val="28"/>
        </w:rPr>
      </w:pPr>
      <w:r>
        <w:rPr>
          <w:rFonts w:asciiTheme="minorEastAsia" w:hAnsiTheme="minorEastAsia" w:eastAsiaTheme="minorEastAsia"/>
          <w:b/>
          <w:sz w:val="28"/>
          <w:szCs w:val="28"/>
          <w:lang w:val="zh-CN"/>
        </w:rPr>
        <w:t>（二）项目管理情况。</w:t>
      </w:r>
      <w:r>
        <w:rPr>
          <w:rFonts w:hint="eastAsia" w:asciiTheme="minorEastAsia" w:hAnsiTheme="minorEastAsia" w:eastAsiaTheme="minorEastAsia"/>
          <w:sz w:val="28"/>
          <w:szCs w:val="28"/>
        </w:rPr>
        <w:t>攀枝花市仁和区信访局在项目执行过程中严格按照资金管理制度开展必选工作，项目立项、资金使用均通过相关会议集体讨论通过。</w:t>
      </w:r>
    </w:p>
    <w:p w14:paraId="13E97842">
      <w:pPr>
        <w:adjustRightInd w:val="0"/>
        <w:snapToGrid w:val="0"/>
        <w:spacing w:line="600" w:lineRule="exact"/>
        <w:ind w:firstLine="720"/>
        <w:rPr>
          <w:rFonts w:hint="eastAsia" w:asciiTheme="minorEastAsia" w:hAnsiTheme="minorEastAsia" w:eastAsiaTheme="minorEastAsia"/>
          <w:b/>
          <w:sz w:val="28"/>
          <w:szCs w:val="28"/>
        </w:rPr>
      </w:pPr>
      <w:r>
        <w:rPr>
          <w:rFonts w:asciiTheme="minorEastAsia" w:hAnsiTheme="minorEastAsia" w:eastAsiaTheme="minorEastAsia"/>
          <w:b/>
          <w:sz w:val="28"/>
          <w:szCs w:val="28"/>
          <w:lang w:val="zh-CN"/>
        </w:rPr>
        <w:t>（三）项目监管情况</w:t>
      </w:r>
      <w:r>
        <w:rPr>
          <w:rFonts w:hint="eastAsia" w:asciiTheme="minorEastAsia" w:hAnsiTheme="minorEastAsia" w:eastAsiaTheme="minorEastAsia"/>
          <w:b/>
          <w:sz w:val="28"/>
          <w:szCs w:val="28"/>
          <w:lang w:val="zh-CN"/>
        </w:rPr>
        <w:t>。</w:t>
      </w:r>
      <w:r>
        <w:rPr>
          <w:rFonts w:hint="eastAsia" w:asciiTheme="minorEastAsia" w:hAnsiTheme="minorEastAsia" w:eastAsiaTheme="minorEastAsia"/>
          <w:sz w:val="28"/>
          <w:szCs w:val="28"/>
        </w:rPr>
        <w:t>攀枝花市仁和区信访局作为项目主管单位全流程对项目实施情况进行监管，指派专人负责跟进项目实施，有效保障了项目顺利推进。</w:t>
      </w:r>
    </w:p>
    <w:p w14:paraId="7EB749E6">
      <w:pPr>
        <w:adjustRightInd w:val="0"/>
        <w:snapToGrid w:val="0"/>
        <w:spacing w:line="600" w:lineRule="exact"/>
        <w:ind w:firstLine="720"/>
        <w:rPr>
          <w:rFonts w:hint="eastAsia" w:asciiTheme="minorEastAsia" w:hAnsiTheme="minorEastAsia" w:eastAsiaTheme="minorEastAsia"/>
          <w:sz w:val="28"/>
          <w:szCs w:val="28"/>
          <w:lang w:val="zh-CN"/>
        </w:rPr>
      </w:pPr>
      <w:r>
        <w:rPr>
          <w:rFonts w:asciiTheme="minorEastAsia" w:hAnsiTheme="minorEastAsia" w:eastAsiaTheme="minorEastAsia"/>
          <w:sz w:val="28"/>
          <w:szCs w:val="28"/>
        </w:rPr>
        <w:t>四、项目绩效情况</w:t>
      </w:r>
      <w:r>
        <w:rPr>
          <w:rFonts w:asciiTheme="minorEastAsia" w:hAnsiTheme="minorEastAsia" w:eastAsiaTheme="minorEastAsia"/>
          <w:sz w:val="28"/>
          <w:szCs w:val="28"/>
          <w:lang w:val="zh-CN"/>
        </w:rPr>
        <w:tab/>
      </w:r>
    </w:p>
    <w:p w14:paraId="589AF929">
      <w:pPr>
        <w:adjustRightInd w:val="0"/>
        <w:snapToGrid w:val="0"/>
        <w:spacing w:line="600" w:lineRule="exact"/>
        <w:ind w:firstLine="720"/>
        <w:rPr>
          <w:rFonts w:hint="eastAsia" w:asciiTheme="minorEastAsia" w:hAnsiTheme="minorEastAsia" w:eastAsiaTheme="minorEastAsia"/>
          <w:b/>
          <w:sz w:val="28"/>
          <w:szCs w:val="28"/>
          <w:lang w:val="zh-CN"/>
        </w:rPr>
      </w:pPr>
      <w:r>
        <w:rPr>
          <w:rFonts w:asciiTheme="minorEastAsia" w:hAnsiTheme="minorEastAsia" w:eastAsiaTheme="minorEastAsia"/>
          <w:b/>
          <w:sz w:val="28"/>
          <w:szCs w:val="28"/>
          <w:lang w:val="zh-CN"/>
        </w:rPr>
        <w:t>（一）项目完成情况</w:t>
      </w:r>
    </w:p>
    <w:p w14:paraId="4C55766E">
      <w:pPr>
        <w:adjustRightInd w:val="0"/>
        <w:snapToGrid w:val="0"/>
        <w:spacing w:line="600" w:lineRule="exact"/>
        <w:ind w:firstLine="72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1.数量指标情况：</w:t>
      </w:r>
      <w:r>
        <w:rPr>
          <w:rFonts w:asciiTheme="minorEastAsia" w:hAnsiTheme="minorEastAsia" w:eastAsiaTheme="minorEastAsia"/>
          <w:sz w:val="28"/>
          <w:szCs w:val="28"/>
        </w:rPr>
        <w:t>完成</w:t>
      </w:r>
      <w:r>
        <w:rPr>
          <w:rFonts w:hint="eastAsia" w:asciiTheme="minorEastAsia" w:hAnsiTheme="minorEastAsia" w:eastAsiaTheme="minorEastAsia"/>
          <w:sz w:val="28"/>
          <w:szCs w:val="28"/>
        </w:rPr>
        <w:t>3名信访人员生活困难救助</w:t>
      </w:r>
      <w:r>
        <w:rPr>
          <w:rFonts w:asciiTheme="minorEastAsia" w:hAnsiTheme="minorEastAsia" w:eastAsiaTheme="minorEastAsia"/>
          <w:sz w:val="28"/>
          <w:szCs w:val="28"/>
        </w:rPr>
        <w:t>。</w:t>
      </w:r>
    </w:p>
    <w:p w14:paraId="05AD4051">
      <w:pPr>
        <w:adjustRightInd w:val="0"/>
        <w:snapToGrid w:val="0"/>
        <w:spacing w:line="600" w:lineRule="exact"/>
        <w:ind w:firstLine="72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2.质量指标情况：项目工作推进顺利</w:t>
      </w:r>
      <w:r>
        <w:rPr>
          <w:rFonts w:asciiTheme="minorEastAsia" w:hAnsiTheme="minorEastAsia" w:eastAsiaTheme="minorEastAsia"/>
          <w:color w:val="000000"/>
          <w:sz w:val="28"/>
          <w:szCs w:val="28"/>
          <w:shd w:val="clear" w:color="auto" w:fill="FFFFFF"/>
        </w:rPr>
        <w:t>。</w:t>
      </w:r>
    </w:p>
    <w:p w14:paraId="62891B8C">
      <w:pPr>
        <w:adjustRightInd w:val="0"/>
        <w:snapToGrid w:val="0"/>
        <w:spacing w:line="600" w:lineRule="exact"/>
        <w:ind w:firstLine="72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3.时效指标情况：在规定时间内启动了项目工作，未存在超时情况。</w:t>
      </w:r>
    </w:p>
    <w:p w14:paraId="40F2A592">
      <w:pPr>
        <w:adjustRightInd w:val="0"/>
        <w:snapToGrid w:val="0"/>
        <w:spacing w:line="600" w:lineRule="exact"/>
        <w:ind w:firstLine="72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4.成本指标情况：项目已完成。</w:t>
      </w:r>
    </w:p>
    <w:p w14:paraId="37C6B878">
      <w:pPr>
        <w:adjustRightInd w:val="0"/>
        <w:snapToGrid w:val="0"/>
        <w:spacing w:line="600" w:lineRule="exact"/>
        <w:ind w:firstLine="720"/>
        <w:rPr>
          <w:rFonts w:hint="eastAsia" w:asciiTheme="minorEastAsia" w:hAnsiTheme="minorEastAsia" w:eastAsiaTheme="minorEastAsia"/>
          <w:sz w:val="28"/>
          <w:szCs w:val="28"/>
          <w:lang w:val="zh-CN"/>
        </w:rPr>
      </w:pPr>
      <w:r>
        <w:rPr>
          <w:rFonts w:hint="eastAsia" w:asciiTheme="minorEastAsia" w:hAnsiTheme="minorEastAsia" w:eastAsiaTheme="minorEastAsia"/>
          <w:sz w:val="28"/>
          <w:szCs w:val="28"/>
        </w:rPr>
        <w:t>项目资金将全部用于2024年疑难信访人员生活困难救助，不存在结余情况，所有流程均符合财经制度和纪律要求，无</w:t>
      </w:r>
      <w:r>
        <w:rPr>
          <w:rFonts w:asciiTheme="minorEastAsia" w:hAnsiTheme="minorEastAsia" w:eastAsiaTheme="minorEastAsia"/>
          <w:sz w:val="28"/>
          <w:szCs w:val="28"/>
          <w:lang w:val="zh-CN"/>
        </w:rPr>
        <w:t>违规记录</w:t>
      </w:r>
      <w:r>
        <w:rPr>
          <w:rFonts w:hint="eastAsia" w:asciiTheme="minorEastAsia" w:hAnsiTheme="minorEastAsia" w:eastAsiaTheme="minorEastAsia"/>
          <w:sz w:val="28"/>
          <w:szCs w:val="28"/>
          <w:lang w:val="zh-CN"/>
        </w:rPr>
        <w:t>。</w:t>
      </w:r>
      <w:r>
        <w:rPr>
          <w:rFonts w:asciiTheme="minorEastAsia" w:hAnsiTheme="minorEastAsia" w:eastAsiaTheme="minorEastAsia"/>
          <w:sz w:val="28"/>
          <w:szCs w:val="28"/>
          <w:lang w:val="zh-CN"/>
        </w:rPr>
        <w:t>对照项目计划完成目标，</w:t>
      </w:r>
      <w:r>
        <w:rPr>
          <w:rFonts w:hint="eastAsia" w:asciiTheme="minorEastAsia" w:hAnsiTheme="minorEastAsia" w:eastAsiaTheme="minorEastAsia"/>
          <w:sz w:val="28"/>
          <w:szCs w:val="28"/>
        </w:rPr>
        <w:t>该项目工作进度在正常范围内，2024年内启动并完成了此项目工作，项目推进情况总体良好。</w:t>
      </w:r>
    </w:p>
    <w:p w14:paraId="5D9F92AF">
      <w:pPr>
        <w:adjustRightInd w:val="0"/>
        <w:snapToGrid w:val="0"/>
        <w:spacing w:line="600" w:lineRule="exact"/>
        <w:ind w:firstLine="720"/>
        <w:rPr>
          <w:rFonts w:hint="eastAsia" w:asciiTheme="minorEastAsia" w:hAnsiTheme="minorEastAsia" w:eastAsiaTheme="minorEastAsia"/>
          <w:b/>
          <w:sz w:val="28"/>
          <w:szCs w:val="28"/>
          <w:lang w:val="zh-CN"/>
        </w:rPr>
      </w:pPr>
      <w:r>
        <w:rPr>
          <w:rFonts w:asciiTheme="minorEastAsia" w:hAnsiTheme="minorEastAsia" w:eastAsiaTheme="minorEastAsia"/>
          <w:b/>
          <w:sz w:val="28"/>
          <w:szCs w:val="28"/>
          <w:lang w:val="zh-CN"/>
        </w:rPr>
        <w:t>（二）项目效益情况</w:t>
      </w:r>
    </w:p>
    <w:p w14:paraId="4DCB1B2A">
      <w:pPr>
        <w:ind w:firstLine="560" w:firstLineChars="200"/>
        <w:rPr>
          <w:rFonts w:hint="eastAsia" w:asciiTheme="minorEastAsia" w:hAnsiTheme="minorEastAsia" w:eastAsiaTheme="minorEastAsia"/>
          <w:color w:val="000000"/>
          <w:sz w:val="28"/>
          <w:szCs w:val="28"/>
          <w:shd w:val="clear" w:color="auto" w:fill="FFFFFF"/>
        </w:rPr>
      </w:pPr>
      <w:r>
        <w:rPr>
          <w:rFonts w:hint="eastAsia" w:asciiTheme="minorEastAsia" w:hAnsiTheme="minorEastAsia" w:eastAsiaTheme="minorEastAsia"/>
          <w:color w:val="000000"/>
          <w:sz w:val="28"/>
          <w:szCs w:val="28"/>
          <w:shd w:val="clear" w:color="auto" w:fill="FFFFFF"/>
        </w:rPr>
        <w:t>1.</w:t>
      </w:r>
      <w:r>
        <w:rPr>
          <w:rFonts w:asciiTheme="minorEastAsia" w:hAnsiTheme="minorEastAsia" w:eastAsiaTheme="minorEastAsia"/>
          <w:color w:val="000000"/>
          <w:sz w:val="28"/>
          <w:szCs w:val="28"/>
          <w:shd w:val="clear" w:color="auto" w:fill="FFFFFF"/>
        </w:rPr>
        <w:t>社会效益指标：</w:t>
      </w:r>
      <w:r>
        <w:rPr>
          <w:rFonts w:hint="eastAsia" w:asciiTheme="minorEastAsia" w:hAnsiTheme="minorEastAsia" w:eastAsiaTheme="minorEastAsia"/>
          <w:color w:val="000000"/>
          <w:sz w:val="28"/>
          <w:szCs w:val="28"/>
          <w:shd w:val="clear" w:color="auto" w:fill="FFFFFF"/>
        </w:rPr>
        <w:t>促进社会和谐稳定、推动信访问题依法依规妥善解决。</w:t>
      </w:r>
    </w:p>
    <w:p w14:paraId="03DE0110">
      <w:pPr>
        <w:pStyle w:val="6"/>
        <w:ind w:left="420"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szCs w:val="28"/>
          <w:shd w:val="clear" w:color="auto" w:fill="FFFFFF"/>
        </w:rPr>
        <w:t>2.可持续影响指标：不断促进社会和谐稳定，更好服务信访人员。</w:t>
      </w:r>
    </w:p>
    <w:p w14:paraId="76DB7E61">
      <w:pPr>
        <w:adjustRightInd w:val="0"/>
        <w:snapToGrid w:val="0"/>
        <w:spacing w:line="600" w:lineRule="exact"/>
        <w:ind w:firstLine="720"/>
        <w:rPr>
          <w:rFonts w:hint="eastAsia" w:asciiTheme="minorEastAsia" w:hAnsiTheme="minorEastAsia" w:eastAsiaTheme="minorEastAsia"/>
          <w:color w:val="000000"/>
          <w:sz w:val="28"/>
          <w:szCs w:val="28"/>
          <w:shd w:val="clear" w:color="auto" w:fill="FFFFFF"/>
        </w:rPr>
      </w:pPr>
      <w:r>
        <w:rPr>
          <w:rFonts w:hint="eastAsia" w:asciiTheme="minorEastAsia" w:hAnsiTheme="minorEastAsia" w:eastAsiaTheme="minorEastAsia"/>
          <w:color w:val="000000"/>
          <w:sz w:val="28"/>
          <w:szCs w:val="28"/>
          <w:shd w:val="clear" w:color="auto" w:fill="FFFFFF"/>
        </w:rPr>
        <w:t>3.</w:t>
      </w:r>
      <w:r>
        <w:rPr>
          <w:rFonts w:asciiTheme="minorEastAsia" w:hAnsiTheme="minorEastAsia" w:eastAsiaTheme="minorEastAsia"/>
          <w:color w:val="000000"/>
          <w:sz w:val="28"/>
          <w:szCs w:val="28"/>
          <w:shd w:val="clear" w:color="auto" w:fill="FFFFFF"/>
        </w:rPr>
        <w:t>满意度指标：</w:t>
      </w:r>
      <w:r>
        <w:rPr>
          <w:rFonts w:hint="eastAsia" w:asciiTheme="minorEastAsia" w:hAnsiTheme="minorEastAsia" w:eastAsiaTheme="minorEastAsia"/>
          <w:color w:val="000000"/>
          <w:sz w:val="28"/>
          <w:szCs w:val="28"/>
          <w:shd w:val="clear" w:color="auto" w:fill="FFFFFF"/>
        </w:rPr>
        <w:t>职工</w:t>
      </w:r>
      <w:r>
        <w:rPr>
          <w:rFonts w:asciiTheme="minorEastAsia" w:hAnsiTheme="minorEastAsia" w:eastAsiaTheme="minorEastAsia"/>
          <w:color w:val="000000"/>
          <w:sz w:val="28"/>
          <w:szCs w:val="28"/>
          <w:shd w:val="clear" w:color="auto" w:fill="FFFFFF"/>
        </w:rPr>
        <w:t>满意度大于等于</w:t>
      </w:r>
      <w:r>
        <w:rPr>
          <w:rFonts w:hint="eastAsia" w:asciiTheme="minorEastAsia" w:hAnsiTheme="minorEastAsia" w:eastAsiaTheme="minorEastAsia"/>
          <w:color w:val="000000"/>
          <w:sz w:val="28"/>
          <w:szCs w:val="28"/>
          <w:shd w:val="clear" w:color="auto" w:fill="FFFFFF"/>
        </w:rPr>
        <w:t>95</w:t>
      </w:r>
      <w:r>
        <w:rPr>
          <w:rFonts w:asciiTheme="minorEastAsia" w:hAnsiTheme="minorEastAsia" w:eastAsiaTheme="minorEastAsia"/>
          <w:color w:val="000000"/>
          <w:sz w:val="28"/>
          <w:szCs w:val="28"/>
          <w:shd w:val="clear" w:color="auto" w:fill="FFFFFF"/>
        </w:rPr>
        <w:t>%。</w:t>
      </w:r>
    </w:p>
    <w:p w14:paraId="5D8C3896">
      <w:pPr>
        <w:adjustRightInd w:val="0"/>
        <w:snapToGrid w:val="0"/>
        <w:spacing w:line="600" w:lineRule="exact"/>
        <w:ind w:firstLine="720"/>
        <w:rPr>
          <w:rFonts w:hint="eastAsia" w:asciiTheme="minorEastAsia" w:hAnsiTheme="minorEastAsia" w:eastAsiaTheme="minorEastAsia"/>
          <w:b/>
          <w:bCs/>
          <w:sz w:val="28"/>
          <w:szCs w:val="28"/>
        </w:rPr>
      </w:pPr>
      <w:r>
        <w:rPr>
          <w:rFonts w:asciiTheme="minorEastAsia" w:hAnsiTheme="minorEastAsia" w:eastAsiaTheme="minorEastAsia"/>
          <w:b/>
          <w:bCs/>
          <w:sz w:val="28"/>
          <w:szCs w:val="28"/>
        </w:rPr>
        <w:t>五、评价结论及建议</w:t>
      </w:r>
    </w:p>
    <w:p w14:paraId="6763BB51">
      <w:pPr>
        <w:adjustRightInd w:val="0"/>
        <w:snapToGrid w:val="0"/>
        <w:spacing w:line="600" w:lineRule="exact"/>
        <w:ind w:firstLine="72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b/>
          <w:sz w:val="28"/>
          <w:szCs w:val="28"/>
          <w:lang w:val="zh-CN"/>
        </w:rPr>
        <w:t>（一）评价结论。</w:t>
      </w:r>
      <w:r>
        <w:rPr>
          <w:rFonts w:hint="eastAsia" w:asciiTheme="minorEastAsia" w:hAnsiTheme="minorEastAsia" w:eastAsiaTheme="minorEastAsia"/>
          <w:color w:val="000000"/>
          <w:sz w:val="28"/>
          <w:szCs w:val="28"/>
          <w:shd w:val="clear" w:color="auto" w:fill="FFFFFF"/>
        </w:rPr>
        <w:t>项目总体评价良好，数量、质量、成本、时效指标均在合理范围内，项目绩效目标设定合理，与相关项目要求匹配，达到了项目要求条件,</w:t>
      </w:r>
      <w:r>
        <w:rPr>
          <w:rFonts w:hint="eastAsia" w:asciiTheme="minorEastAsia" w:hAnsiTheme="minorEastAsia" w:eastAsiaTheme="minorEastAsia"/>
          <w:sz w:val="28"/>
          <w:szCs w:val="28"/>
        </w:rPr>
        <w:t xml:space="preserve"> 自评得分98分</w:t>
      </w:r>
      <w:r>
        <w:rPr>
          <w:rFonts w:hint="eastAsia" w:asciiTheme="minorEastAsia" w:hAnsiTheme="minorEastAsia" w:eastAsiaTheme="minorEastAsia"/>
          <w:color w:val="000000"/>
          <w:sz w:val="28"/>
          <w:szCs w:val="28"/>
          <w:shd w:val="clear" w:color="auto" w:fill="FFFFFF"/>
        </w:rPr>
        <w:t>。</w:t>
      </w:r>
    </w:p>
    <w:p w14:paraId="7815F0AF">
      <w:pPr>
        <w:adjustRightInd w:val="0"/>
        <w:snapToGrid w:val="0"/>
        <w:spacing w:line="600" w:lineRule="exact"/>
        <w:ind w:firstLine="562" w:firstLineChars="200"/>
        <w:rPr>
          <w:rFonts w:hint="eastAsia" w:asciiTheme="minorEastAsia" w:hAnsiTheme="minorEastAsia" w:eastAsiaTheme="minorEastAsia"/>
          <w:color w:val="000000"/>
          <w:sz w:val="28"/>
          <w:szCs w:val="28"/>
          <w:shd w:val="clear" w:color="auto" w:fill="FFFFFF"/>
        </w:rPr>
      </w:pPr>
      <w:r>
        <w:rPr>
          <w:rFonts w:asciiTheme="minorEastAsia" w:hAnsiTheme="minorEastAsia" w:eastAsiaTheme="minorEastAsia"/>
          <w:b/>
          <w:sz w:val="28"/>
          <w:szCs w:val="28"/>
          <w:lang w:val="zh-CN"/>
        </w:rPr>
        <w:t>（二）存在的问题。</w:t>
      </w:r>
      <w:r>
        <w:rPr>
          <w:rFonts w:hint="eastAsia" w:asciiTheme="minorEastAsia" w:hAnsiTheme="minorEastAsia" w:eastAsiaTheme="minorEastAsia"/>
          <w:color w:val="000000"/>
          <w:sz w:val="28"/>
          <w:szCs w:val="28"/>
          <w:shd w:val="clear" w:color="auto" w:fill="FFFFFF"/>
        </w:rPr>
        <w:t>项目已经完成，由于财政资金较为紧张，资金未按进度拨付完成。</w:t>
      </w:r>
    </w:p>
    <w:p w14:paraId="7CBF56BE">
      <w:pPr>
        <w:ind w:firstLine="562" w:firstLineChars="200"/>
        <w:rPr>
          <w:rFonts w:hint="eastAsia" w:asciiTheme="minorEastAsia" w:hAnsiTheme="minorEastAsia" w:eastAsiaTheme="minorEastAsia"/>
          <w:sz w:val="28"/>
          <w:szCs w:val="28"/>
        </w:rPr>
      </w:pPr>
      <w:r>
        <w:rPr>
          <w:rFonts w:asciiTheme="minorEastAsia" w:hAnsiTheme="minorEastAsia" w:eastAsiaTheme="minorEastAsia"/>
          <w:b/>
          <w:sz w:val="28"/>
          <w:szCs w:val="28"/>
          <w:lang w:val="zh-CN"/>
        </w:rPr>
        <w:t>（三）相关建议。</w:t>
      </w:r>
      <w:r>
        <w:rPr>
          <w:rFonts w:hint="eastAsia" w:asciiTheme="minorEastAsia" w:hAnsiTheme="minorEastAsia" w:eastAsiaTheme="minorEastAsia"/>
          <w:sz w:val="28"/>
          <w:szCs w:val="28"/>
        </w:rPr>
        <w:t>加强与财政部门的沟通，及时申报拨付计划，加快项目资金拨付。</w:t>
      </w:r>
    </w:p>
    <w:p w14:paraId="536FA9E3">
      <w:pPr>
        <w:adjustRightInd w:val="0"/>
        <w:snapToGrid w:val="0"/>
        <w:spacing w:line="600" w:lineRule="exact"/>
        <w:ind w:firstLine="720"/>
        <w:rPr>
          <w:rFonts w:hint="eastAsia" w:ascii="宋体" w:hAnsi="宋体"/>
        </w:rPr>
      </w:pPr>
    </w:p>
    <w:p w14:paraId="7DD554D5">
      <w:pPr>
        <w:jc w:val="center"/>
        <w:rPr>
          <w:rFonts w:hint="eastAsia" w:ascii="宋体" w:hAnsi="宋体"/>
          <w:b/>
          <w:bCs/>
        </w:rPr>
      </w:pPr>
      <w:r>
        <w:rPr>
          <w:rFonts w:hint="eastAsia" w:ascii="宋体" w:hAnsi="宋体"/>
          <w:b/>
          <w:bCs/>
        </w:rPr>
        <w:t xml:space="preserve">             </w:t>
      </w:r>
    </w:p>
    <w:p w14:paraId="7C247ABE">
      <w:pPr>
        <w:pStyle w:val="14"/>
      </w:pPr>
    </w:p>
    <w:p w14:paraId="1E85C589">
      <w:pPr>
        <w:pStyle w:val="15"/>
        <w:spacing w:before="93"/>
        <w:ind w:left="420"/>
      </w:pPr>
    </w:p>
    <w:p w14:paraId="0CF7CBA6">
      <w:pPr>
        <w:pStyle w:val="35"/>
        <w:spacing w:line="578" w:lineRule="exact"/>
        <w:ind w:firstLine="640"/>
        <w:jc w:val="center"/>
        <w:rPr>
          <w:rFonts w:ascii="Times New Roman" w:hAnsi="Times New Roman"/>
          <w:color w:val="auto"/>
          <w:kern w:val="2"/>
          <w:sz w:val="32"/>
          <w:szCs w:val="32"/>
          <w:lang w:val="en-US"/>
        </w:rPr>
      </w:pPr>
    </w:p>
    <w:p w14:paraId="194C5F99">
      <w:pPr>
        <w:pStyle w:val="35"/>
        <w:spacing w:line="578" w:lineRule="exact"/>
        <w:ind w:firstLine="640"/>
        <w:jc w:val="center"/>
        <w:rPr>
          <w:rFonts w:ascii="Times New Roman" w:hAnsi="Times New Roman"/>
          <w:color w:val="auto"/>
          <w:kern w:val="2"/>
          <w:sz w:val="32"/>
          <w:szCs w:val="32"/>
          <w:lang w:val="en-US"/>
        </w:rPr>
      </w:pPr>
    </w:p>
    <w:p w14:paraId="21FC1E37">
      <w:pPr>
        <w:widowControl/>
        <w:jc w:val="center"/>
        <w:rPr>
          <w:rFonts w:eastAsia="仿宋"/>
        </w:rPr>
      </w:pPr>
      <w:bookmarkStart w:id="51" w:name="_Toc15396618"/>
      <w:r>
        <w:rPr>
          <w:rFonts w:hint="eastAsia" w:eastAsia="黑体"/>
          <w:sz w:val="44"/>
          <w:szCs w:val="44"/>
        </w:rPr>
        <w:t>第</w:t>
      </w:r>
      <w:r>
        <w:rPr>
          <w:rStyle w:val="29"/>
          <w:rFonts w:hint="eastAsia" w:eastAsia="黑体"/>
          <w:b w:val="0"/>
        </w:rPr>
        <w:t>五部分 附表</w:t>
      </w:r>
      <w:bookmarkEnd w:id="46"/>
      <w:bookmarkEnd w:id="51"/>
      <w:bookmarkStart w:id="52" w:name="_Toc15396619"/>
    </w:p>
    <w:p w14:paraId="601FEF35">
      <w:pPr>
        <w:pStyle w:val="16"/>
        <w:adjustRightInd w:val="0"/>
        <w:snapToGrid w:val="0"/>
        <w:spacing w:line="560" w:lineRule="exact"/>
        <w:ind w:firstLine="640"/>
        <w:jc w:val="left"/>
        <w:rPr>
          <w:rFonts w:eastAsia="仿宋_GB2312" w:cs="仿宋_GB2312"/>
          <w:sz w:val="32"/>
          <w:szCs w:val="32"/>
        </w:rPr>
      </w:pPr>
    </w:p>
    <w:p w14:paraId="4428AC2E">
      <w:pPr>
        <w:pStyle w:val="16"/>
        <w:adjustRightInd w:val="0"/>
        <w:snapToGrid w:val="0"/>
        <w:spacing w:line="560" w:lineRule="exact"/>
        <w:ind w:firstLine="640"/>
        <w:jc w:val="left"/>
        <w:rPr>
          <w:rFonts w:eastAsia="仿宋_GB2312" w:cs="仿宋_GB2312"/>
          <w:sz w:val="32"/>
          <w:szCs w:val="32"/>
        </w:rPr>
      </w:pPr>
      <w:r>
        <w:rPr>
          <w:rFonts w:hint="eastAsia" w:eastAsia="仿宋_GB2312" w:cs="仿宋_GB2312"/>
          <w:sz w:val="32"/>
          <w:szCs w:val="32"/>
        </w:rPr>
        <w:t>一、收入支出决算总表</w:t>
      </w:r>
      <w:bookmarkEnd w:id="52"/>
    </w:p>
    <w:p w14:paraId="67623813">
      <w:pPr>
        <w:pStyle w:val="16"/>
        <w:adjustRightInd w:val="0"/>
        <w:snapToGrid w:val="0"/>
        <w:spacing w:line="560" w:lineRule="exact"/>
        <w:ind w:firstLine="640"/>
        <w:jc w:val="left"/>
        <w:rPr>
          <w:rFonts w:eastAsia="仿宋_GB2312" w:cs="仿宋_GB2312"/>
          <w:sz w:val="32"/>
          <w:szCs w:val="32"/>
        </w:rPr>
      </w:pPr>
      <w:bookmarkStart w:id="53" w:name="_Toc15396620"/>
      <w:r>
        <w:rPr>
          <w:rFonts w:hint="eastAsia" w:eastAsia="仿宋_GB2312" w:cs="仿宋_GB2312"/>
          <w:sz w:val="32"/>
          <w:szCs w:val="32"/>
        </w:rPr>
        <w:t>二、收入决算表</w:t>
      </w:r>
      <w:bookmarkEnd w:id="53"/>
    </w:p>
    <w:p w14:paraId="3E0E292A">
      <w:pPr>
        <w:pStyle w:val="16"/>
        <w:adjustRightInd w:val="0"/>
        <w:snapToGrid w:val="0"/>
        <w:spacing w:line="560" w:lineRule="exact"/>
        <w:ind w:firstLine="640"/>
        <w:jc w:val="left"/>
        <w:rPr>
          <w:rFonts w:eastAsia="仿宋_GB2312" w:cs="仿宋_GB2312"/>
          <w:sz w:val="32"/>
          <w:szCs w:val="32"/>
        </w:rPr>
      </w:pPr>
      <w:bookmarkStart w:id="54" w:name="_Toc15396621"/>
      <w:r>
        <w:rPr>
          <w:rFonts w:hint="eastAsia" w:eastAsia="仿宋_GB2312" w:cs="仿宋_GB2312"/>
          <w:sz w:val="32"/>
          <w:szCs w:val="32"/>
        </w:rPr>
        <w:t>三、支出决算表</w:t>
      </w:r>
      <w:bookmarkEnd w:id="54"/>
    </w:p>
    <w:p w14:paraId="404DF830">
      <w:pPr>
        <w:pStyle w:val="16"/>
        <w:adjustRightInd w:val="0"/>
        <w:snapToGrid w:val="0"/>
        <w:spacing w:line="560" w:lineRule="exact"/>
        <w:ind w:firstLine="640"/>
        <w:jc w:val="left"/>
        <w:rPr>
          <w:rFonts w:eastAsia="仿宋_GB2312" w:cs="仿宋_GB2312"/>
          <w:sz w:val="32"/>
          <w:szCs w:val="32"/>
        </w:rPr>
      </w:pPr>
      <w:bookmarkStart w:id="55" w:name="_Toc15396622"/>
      <w:r>
        <w:rPr>
          <w:rFonts w:hint="eastAsia" w:eastAsia="仿宋_GB2312" w:cs="仿宋_GB2312"/>
          <w:sz w:val="32"/>
          <w:szCs w:val="32"/>
        </w:rPr>
        <w:t>四、财政拨款收入支出决算总表</w:t>
      </w:r>
      <w:bookmarkEnd w:id="55"/>
    </w:p>
    <w:p w14:paraId="0A3731AB">
      <w:pPr>
        <w:pStyle w:val="16"/>
        <w:adjustRightInd w:val="0"/>
        <w:snapToGrid w:val="0"/>
        <w:spacing w:line="560" w:lineRule="exact"/>
        <w:ind w:firstLine="640"/>
        <w:jc w:val="left"/>
        <w:rPr>
          <w:rFonts w:eastAsia="仿宋_GB2312" w:cs="仿宋_GB2312"/>
          <w:sz w:val="32"/>
          <w:szCs w:val="32"/>
        </w:rPr>
      </w:pPr>
      <w:bookmarkStart w:id="56" w:name="_Toc15396623"/>
      <w:r>
        <w:rPr>
          <w:rFonts w:hint="eastAsia" w:eastAsia="仿宋_GB2312" w:cs="仿宋_GB2312"/>
          <w:sz w:val="32"/>
          <w:szCs w:val="32"/>
        </w:rPr>
        <w:t>五、财政拨款支出决算明细表</w:t>
      </w:r>
      <w:bookmarkEnd w:id="56"/>
      <w:bookmarkStart w:id="57" w:name="_Toc15396624"/>
    </w:p>
    <w:p w14:paraId="027913A3">
      <w:pPr>
        <w:pStyle w:val="16"/>
        <w:adjustRightInd w:val="0"/>
        <w:snapToGrid w:val="0"/>
        <w:spacing w:line="560" w:lineRule="exact"/>
        <w:ind w:firstLine="640"/>
        <w:jc w:val="left"/>
        <w:rPr>
          <w:rFonts w:eastAsia="仿宋_GB2312" w:cs="仿宋_GB2312"/>
          <w:sz w:val="32"/>
          <w:szCs w:val="32"/>
        </w:rPr>
      </w:pPr>
      <w:r>
        <w:rPr>
          <w:rFonts w:hint="eastAsia" w:eastAsia="仿宋_GB2312" w:cs="仿宋_GB2312"/>
          <w:sz w:val="32"/>
          <w:szCs w:val="32"/>
        </w:rPr>
        <w:t>六、一般公共预算财政拨款支出决算表</w:t>
      </w:r>
      <w:bookmarkEnd w:id="57"/>
    </w:p>
    <w:p w14:paraId="79F315A0">
      <w:pPr>
        <w:pStyle w:val="16"/>
        <w:adjustRightInd w:val="0"/>
        <w:snapToGrid w:val="0"/>
        <w:spacing w:line="560" w:lineRule="exact"/>
        <w:ind w:firstLine="640"/>
        <w:jc w:val="left"/>
        <w:rPr>
          <w:rFonts w:eastAsia="仿宋_GB2312" w:cs="仿宋_GB2312"/>
          <w:sz w:val="32"/>
          <w:szCs w:val="32"/>
        </w:rPr>
      </w:pPr>
      <w:bookmarkStart w:id="58" w:name="_Toc15396625"/>
      <w:r>
        <w:rPr>
          <w:rFonts w:hint="eastAsia" w:eastAsia="仿宋_GB2312" w:cs="仿宋_GB2312"/>
          <w:sz w:val="32"/>
          <w:szCs w:val="32"/>
        </w:rPr>
        <w:t>七、一般公共预算财政拨款支出决算明细表</w:t>
      </w:r>
      <w:bookmarkEnd w:id="58"/>
    </w:p>
    <w:p w14:paraId="7D918AEB">
      <w:pPr>
        <w:pStyle w:val="16"/>
        <w:adjustRightInd w:val="0"/>
        <w:snapToGrid w:val="0"/>
        <w:spacing w:line="560" w:lineRule="exact"/>
        <w:ind w:firstLine="640"/>
        <w:jc w:val="left"/>
        <w:rPr>
          <w:rFonts w:eastAsia="仿宋_GB2312" w:cs="仿宋_GB2312"/>
          <w:sz w:val="32"/>
          <w:szCs w:val="32"/>
        </w:rPr>
      </w:pPr>
      <w:bookmarkStart w:id="59" w:name="_Toc15396626"/>
      <w:r>
        <w:rPr>
          <w:rFonts w:hint="eastAsia" w:eastAsia="仿宋_GB2312" w:cs="仿宋_GB2312"/>
          <w:sz w:val="32"/>
          <w:szCs w:val="32"/>
        </w:rPr>
        <w:t>八、一般公共预算财政拨款基本支出决算表</w:t>
      </w:r>
      <w:bookmarkEnd w:id="59"/>
    </w:p>
    <w:p w14:paraId="538B4A96">
      <w:pPr>
        <w:pStyle w:val="16"/>
        <w:adjustRightInd w:val="0"/>
        <w:snapToGrid w:val="0"/>
        <w:spacing w:line="560" w:lineRule="exact"/>
        <w:ind w:firstLine="640"/>
        <w:jc w:val="left"/>
        <w:rPr>
          <w:rFonts w:eastAsia="仿宋_GB2312" w:cs="仿宋_GB2312"/>
          <w:sz w:val="32"/>
          <w:szCs w:val="32"/>
        </w:rPr>
      </w:pPr>
      <w:bookmarkStart w:id="60" w:name="_Toc15396627"/>
      <w:r>
        <w:rPr>
          <w:rFonts w:hint="eastAsia" w:eastAsia="仿宋_GB2312" w:cs="仿宋_GB2312"/>
          <w:sz w:val="32"/>
          <w:szCs w:val="32"/>
        </w:rPr>
        <w:t>九、一般公共预算财政拨款项目支出决算表</w:t>
      </w:r>
      <w:bookmarkEnd w:id="60"/>
    </w:p>
    <w:p w14:paraId="21B94804">
      <w:pPr>
        <w:pStyle w:val="16"/>
        <w:adjustRightInd w:val="0"/>
        <w:snapToGrid w:val="0"/>
        <w:spacing w:line="560" w:lineRule="exact"/>
        <w:ind w:firstLine="640"/>
        <w:jc w:val="left"/>
        <w:rPr>
          <w:rFonts w:eastAsia="仿宋_GB2312" w:cs="仿宋_GB2312"/>
          <w:sz w:val="32"/>
          <w:szCs w:val="32"/>
        </w:rPr>
      </w:pPr>
      <w:bookmarkStart w:id="61" w:name="_Toc15396628"/>
      <w:r>
        <w:rPr>
          <w:rFonts w:hint="eastAsia" w:eastAsia="仿宋_GB2312" w:cs="仿宋_GB2312"/>
          <w:sz w:val="32"/>
          <w:szCs w:val="32"/>
        </w:rPr>
        <w:t>十、</w:t>
      </w:r>
      <w:bookmarkEnd w:id="61"/>
      <w:r>
        <w:rPr>
          <w:rFonts w:hint="eastAsia" w:eastAsia="仿宋_GB2312" w:cs="仿宋_GB2312"/>
          <w:sz w:val="32"/>
          <w:szCs w:val="32"/>
        </w:rPr>
        <w:t>政府性基金预算财政拨款收入支出决算表</w:t>
      </w:r>
    </w:p>
    <w:p w14:paraId="5C0C8E07">
      <w:pPr>
        <w:pStyle w:val="16"/>
        <w:adjustRightInd w:val="0"/>
        <w:snapToGrid w:val="0"/>
        <w:spacing w:line="560" w:lineRule="exact"/>
        <w:ind w:firstLine="640"/>
        <w:jc w:val="left"/>
        <w:rPr>
          <w:rFonts w:eastAsia="仿宋_GB2312" w:cs="仿宋_GB2312"/>
          <w:sz w:val="32"/>
          <w:szCs w:val="32"/>
        </w:rPr>
      </w:pPr>
      <w:bookmarkStart w:id="62" w:name="_Toc15396629"/>
      <w:r>
        <w:rPr>
          <w:rFonts w:hint="eastAsia" w:eastAsia="仿宋_GB2312" w:cs="仿宋_GB2312"/>
          <w:sz w:val="32"/>
          <w:szCs w:val="32"/>
        </w:rPr>
        <w:t>十一、</w:t>
      </w:r>
      <w:bookmarkEnd w:id="62"/>
      <w:r>
        <w:rPr>
          <w:rFonts w:hint="eastAsia" w:eastAsia="仿宋_GB2312" w:cs="仿宋_GB2312"/>
          <w:sz w:val="32"/>
          <w:szCs w:val="32"/>
        </w:rPr>
        <w:t>国有资本经营预算财政拨款收入支出决算表</w:t>
      </w:r>
    </w:p>
    <w:p w14:paraId="68B194CE">
      <w:pPr>
        <w:pStyle w:val="16"/>
        <w:adjustRightInd w:val="0"/>
        <w:snapToGrid w:val="0"/>
        <w:spacing w:line="560" w:lineRule="exact"/>
        <w:ind w:firstLine="640"/>
        <w:jc w:val="left"/>
        <w:rPr>
          <w:rFonts w:eastAsia="仿宋_GB2312" w:cs="仿宋_GB2312"/>
          <w:sz w:val="32"/>
          <w:szCs w:val="32"/>
        </w:rPr>
      </w:pPr>
      <w:bookmarkStart w:id="63" w:name="_Toc15396630"/>
      <w:r>
        <w:rPr>
          <w:rFonts w:hint="eastAsia" w:eastAsia="仿宋_GB2312" w:cs="仿宋_GB2312"/>
          <w:sz w:val="32"/>
          <w:szCs w:val="32"/>
        </w:rPr>
        <w:t>十二、</w:t>
      </w:r>
      <w:bookmarkEnd w:id="63"/>
      <w:r>
        <w:rPr>
          <w:rFonts w:hint="eastAsia" w:eastAsia="仿宋_GB2312" w:cs="仿宋_GB2312"/>
          <w:sz w:val="32"/>
          <w:szCs w:val="32"/>
        </w:rPr>
        <w:t>国有资本经营预算财政拨款支出决算表</w:t>
      </w:r>
    </w:p>
    <w:p w14:paraId="7FA6A31C">
      <w:pPr>
        <w:pStyle w:val="16"/>
        <w:adjustRightInd w:val="0"/>
        <w:snapToGrid w:val="0"/>
        <w:spacing w:line="560" w:lineRule="exact"/>
        <w:ind w:firstLine="640"/>
        <w:jc w:val="left"/>
        <w:rPr>
          <w:rFonts w:eastAsia="仿宋_GB2312" w:cs="仿宋_GB2312"/>
          <w:sz w:val="32"/>
          <w:szCs w:val="32"/>
        </w:rPr>
      </w:pPr>
      <w:bookmarkStart w:id="64" w:name="_Toc15396631"/>
      <w:r>
        <w:rPr>
          <w:rFonts w:hint="eastAsia" w:eastAsia="仿宋_GB2312" w:cs="仿宋_GB2312"/>
          <w:sz w:val="32"/>
          <w:szCs w:val="32"/>
        </w:rPr>
        <w:t>十三、</w:t>
      </w:r>
      <w:bookmarkEnd w:id="64"/>
      <w:r>
        <w:rPr>
          <w:rFonts w:hint="eastAsia" w:eastAsia="仿宋_GB2312" w:cs="仿宋_GB2312"/>
          <w:sz w:val="32"/>
          <w:szCs w:val="32"/>
        </w:rPr>
        <w:t>财政拨款“三公”经费支出决算表</w:t>
      </w:r>
    </w:p>
    <w:p w14:paraId="36CC682D"/>
    <w:p w14:paraId="632A7FC6">
      <w:pPr>
        <w:adjustRightInd w:val="0"/>
        <w:snapToGrid w:val="0"/>
        <w:spacing w:line="360" w:lineRule="auto"/>
        <w:jc w:val="center"/>
        <w:outlineLvl w:val="0"/>
        <w:rPr>
          <w:rFonts w:eastAsia="仿宋"/>
        </w:rPr>
      </w:pPr>
    </w:p>
    <w:sectPr>
      <w:footerReference r:id="rId8" w:type="first"/>
      <w:footerReference r:id="rId7" w:type="default"/>
      <w:pgSz w:w="11906" w:h="16838"/>
      <w:pgMar w:top="1440" w:right="1800" w:bottom="1440" w:left="1800" w:header="851" w:footer="992" w:gutter="0"/>
      <w:pgNumType w:fmt="numberInDash"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Times New Roman"/>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___WRD_EMBED_SUB_1368">
    <w:altName w:val="仿宋_GB2312"/>
    <w:panose1 w:val="00000000000000000000"/>
    <w:charset w:val="86"/>
    <w:family w:val="modern"/>
    <w:pitch w:val="default"/>
    <w:sig w:usb0="00000000" w:usb1="00000000" w:usb2="00000000" w:usb3="00000000" w:csb0="00040000" w:csb1="00000000"/>
  </w:font>
  <w:font w:name="___WRD_EMBED_SUB_46">
    <w:altName w:val="仿宋_GB2312"/>
    <w:panose1 w:val="00000000000000000000"/>
    <w:charset w:val="86"/>
    <w:family w:val="script"/>
    <w:pitch w:val="default"/>
    <w:sig w:usb0="00000000" w:usb1="00000000" w:usb2="00000000" w:usb3="00000000" w:csb0="00040000" w:csb1="00000000"/>
  </w:font>
  <w:font w:name="Arial Unicode MS">
    <w:altName w:val="Times New Roman"/>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BE310">
    <w:pPr>
      <w:pStyle w:val="11"/>
      <w:jc w:val="center"/>
    </w:pPr>
  </w:p>
  <w:p w14:paraId="69A291A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60331">
    <w:pPr>
      <w:pStyle w:val="11"/>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Content>
                            <w:p w14:paraId="0D3E1E14">
                              <w:pPr>
                                <w:pStyle w:val="11"/>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16</w:t>
                              </w:r>
                              <w:r>
                                <w:rPr>
                                  <w:rFonts w:hint="eastAsia" w:asciiTheme="minorEastAsia" w:hAnsiTheme="minorEastAsia" w:eastAsiaTheme="minorEastAsia" w:cstheme="minorEastAsia"/>
                                  <w:sz w:val="28"/>
                                  <w:szCs w:val="28"/>
                                </w:rPr>
                                <w:fldChar w:fldCharType="end"/>
                              </w:r>
                            </w:p>
                          </w:sdtContent>
                        </w:sdt>
                        <w:p w14:paraId="23149260">
                          <w:pPr>
                            <w:pStyle w:val="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sdt>
                    <w:sdtPr>
                      <w:id w:val="-1"/>
                    </w:sdtPr>
                    <w:sdtContent>
                      <w:p w14:paraId="0D3E1E14">
                        <w:pPr>
                          <w:pStyle w:val="11"/>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16</w:t>
                        </w:r>
                        <w:r>
                          <w:rPr>
                            <w:rFonts w:hint="eastAsia" w:asciiTheme="minorEastAsia" w:hAnsiTheme="minorEastAsia" w:eastAsiaTheme="minorEastAsia" w:cstheme="minorEastAsia"/>
                            <w:sz w:val="28"/>
                            <w:szCs w:val="28"/>
                          </w:rPr>
                          <w:fldChar w:fldCharType="end"/>
                        </w:r>
                      </w:p>
                    </w:sdtContent>
                  </w:sdt>
                  <w:p w14:paraId="23149260">
                    <w:pPr>
                      <w:pStyle w:val="2"/>
                    </w:pPr>
                  </w:p>
                </w:txbxContent>
              </v:textbox>
            </v:shape>
          </w:pict>
        </mc:Fallback>
      </mc:AlternateContent>
    </w:r>
  </w:p>
  <w:p w14:paraId="5EB52CC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5D5C7">
    <w:pPr>
      <w:pStyle w:val="11"/>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05592271"/>
                          </w:sdtPr>
                          <w:sdtContent>
                            <w:p w14:paraId="71E4BB96">
                              <w:pPr>
                                <w:pStyle w:val="11"/>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w:t>
                              </w:r>
                              <w:r>
                                <w:rPr>
                                  <w:rFonts w:hint="eastAsia" w:asciiTheme="minorEastAsia" w:hAnsiTheme="minorEastAsia" w:eastAsiaTheme="minorEastAsia" w:cstheme="minorEastAsia"/>
                                  <w:sz w:val="28"/>
                                  <w:szCs w:val="28"/>
                                </w:rPr>
                                <w:fldChar w:fldCharType="end"/>
                              </w:r>
                            </w:p>
                          </w:sdtContent>
                        </w:sdt>
                        <w:p w14:paraId="6EFD6280">
                          <w:pPr>
                            <w:pStyle w:val="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sdt>
                    <w:sdtPr>
                      <w:id w:val="1205592271"/>
                    </w:sdtPr>
                    <w:sdtContent>
                      <w:p w14:paraId="71E4BB96">
                        <w:pPr>
                          <w:pStyle w:val="11"/>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w:t>
                        </w:r>
                        <w:r>
                          <w:rPr>
                            <w:rFonts w:hint="eastAsia" w:asciiTheme="minorEastAsia" w:hAnsiTheme="minorEastAsia" w:eastAsiaTheme="minorEastAsia" w:cstheme="minorEastAsia"/>
                            <w:sz w:val="28"/>
                            <w:szCs w:val="28"/>
                          </w:rPr>
                          <w:fldChar w:fldCharType="end"/>
                        </w:r>
                      </w:p>
                    </w:sdtContent>
                  </w:sdt>
                  <w:p w14:paraId="6EFD6280">
                    <w:pPr>
                      <w:pStyle w:val="2"/>
                    </w:pPr>
                  </w:p>
                </w:txbxContent>
              </v:textbox>
            </v:shape>
          </w:pict>
        </mc:Fallback>
      </mc:AlternateContent>
    </w:r>
  </w:p>
  <w:p w14:paraId="16770797">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7A91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584BA5"/>
    <w:multiLevelType w:val="multilevel"/>
    <w:tmpl w:val="73584BA5"/>
    <w:lvl w:ilvl="0" w:tentative="0">
      <w:start w:val="1"/>
      <w:numFmt w:val="japaneseCounting"/>
      <w:lvlText w:val="%1、"/>
      <w:lvlJc w:val="left"/>
      <w:pPr>
        <w:ind w:left="648" w:hanging="648"/>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07E5D"/>
    <w:rsid w:val="000222C6"/>
    <w:rsid w:val="0002549F"/>
    <w:rsid w:val="000468DB"/>
    <w:rsid w:val="0006487A"/>
    <w:rsid w:val="00065F8F"/>
    <w:rsid w:val="00070A43"/>
    <w:rsid w:val="000768F2"/>
    <w:rsid w:val="00086F40"/>
    <w:rsid w:val="0009184B"/>
    <w:rsid w:val="00094236"/>
    <w:rsid w:val="0009593C"/>
    <w:rsid w:val="00097322"/>
    <w:rsid w:val="000A6A92"/>
    <w:rsid w:val="000B047F"/>
    <w:rsid w:val="000B5923"/>
    <w:rsid w:val="000B5A48"/>
    <w:rsid w:val="000B6FF3"/>
    <w:rsid w:val="000C3467"/>
    <w:rsid w:val="000C3CA6"/>
    <w:rsid w:val="000D1267"/>
    <w:rsid w:val="000D1D50"/>
    <w:rsid w:val="000D4D73"/>
    <w:rsid w:val="000D5782"/>
    <w:rsid w:val="000E6613"/>
    <w:rsid w:val="000E7119"/>
    <w:rsid w:val="00113895"/>
    <w:rsid w:val="00114E9B"/>
    <w:rsid w:val="00122BF6"/>
    <w:rsid w:val="001415BE"/>
    <w:rsid w:val="00142216"/>
    <w:rsid w:val="00144D6A"/>
    <w:rsid w:val="0014729F"/>
    <w:rsid w:val="00157BAB"/>
    <w:rsid w:val="001654D1"/>
    <w:rsid w:val="001662B0"/>
    <w:rsid w:val="00174518"/>
    <w:rsid w:val="0018106D"/>
    <w:rsid w:val="001877A7"/>
    <w:rsid w:val="00191536"/>
    <w:rsid w:val="00196687"/>
    <w:rsid w:val="001A1DAD"/>
    <w:rsid w:val="001C0962"/>
    <w:rsid w:val="001C4FA6"/>
    <w:rsid w:val="001D1481"/>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A5DBC"/>
    <w:rsid w:val="002B2613"/>
    <w:rsid w:val="002C5004"/>
    <w:rsid w:val="002C5B1D"/>
    <w:rsid w:val="002D6D05"/>
    <w:rsid w:val="002E2993"/>
    <w:rsid w:val="002F1818"/>
    <w:rsid w:val="002F567B"/>
    <w:rsid w:val="003216A9"/>
    <w:rsid w:val="00335A74"/>
    <w:rsid w:val="0035363E"/>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91AD3"/>
    <w:rsid w:val="004A711F"/>
    <w:rsid w:val="004B199D"/>
    <w:rsid w:val="004B4690"/>
    <w:rsid w:val="004C71EE"/>
    <w:rsid w:val="004E0A2D"/>
    <w:rsid w:val="004E206B"/>
    <w:rsid w:val="004E6DF7"/>
    <w:rsid w:val="004F0FBD"/>
    <w:rsid w:val="00505A47"/>
    <w:rsid w:val="00512FDA"/>
    <w:rsid w:val="00520DA0"/>
    <w:rsid w:val="005479E2"/>
    <w:rsid w:val="005533CF"/>
    <w:rsid w:val="00557A31"/>
    <w:rsid w:val="00564941"/>
    <w:rsid w:val="005664BB"/>
    <w:rsid w:val="00566FFA"/>
    <w:rsid w:val="0057481D"/>
    <w:rsid w:val="0058486E"/>
    <w:rsid w:val="00585B33"/>
    <w:rsid w:val="0059014D"/>
    <w:rsid w:val="005B5C64"/>
    <w:rsid w:val="005B6E8A"/>
    <w:rsid w:val="005C5337"/>
    <w:rsid w:val="005C6BD0"/>
    <w:rsid w:val="005D1C8B"/>
    <w:rsid w:val="005D2140"/>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2ACD"/>
    <w:rsid w:val="00683E73"/>
    <w:rsid w:val="006A3141"/>
    <w:rsid w:val="006A5E34"/>
    <w:rsid w:val="006B2422"/>
    <w:rsid w:val="006B2B9A"/>
    <w:rsid w:val="006C1937"/>
    <w:rsid w:val="006E7334"/>
    <w:rsid w:val="006F020C"/>
    <w:rsid w:val="0071021A"/>
    <w:rsid w:val="007127B7"/>
    <w:rsid w:val="0071798E"/>
    <w:rsid w:val="00737F49"/>
    <w:rsid w:val="007416B6"/>
    <w:rsid w:val="00746F48"/>
    <w:rsid w:val="0075404D"/>
    <w:rsid w:val="0076182A"/>
    <w:rsid w:val="00767B7E"/>
    <w:rsid w:val="007770C3"/>
    <w:rsid w:val="00784D24"/>
    <w:rsid w:val="00785FBA"/>
    <w:rsid w:val="00786E4A"/>
    <w:rsid w:val="007875EB"/>
    <w:rsid w:val="0079144A"/>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45DD"/>
    <w:rsid w:val="00885AF4"/>
    <w:rsid w:val="008939CD"/>
    <w:rsid w:val="008B10BE"/>
    <w:rsid w:val="008B768C"/>
    <w:rsid w:val="008C0C07"/>
    <w:rsid w:val="008C4DB1"/>
    <w:rsid w:val="008C4EAF"/>
    <w:rsid w:val="008C5176"/>
    <w:rsid w:val="008C7FD0"/>
    <w:rsid w:val="008C7FD8"/>
    <w:rsid w:val="008E1DE7"/>
    <w:rsid w:val="008E707C"/>
    <w:rsid w:val="00900B08"/>
    <w:rsid w:val="009013B6"/>
    <w:rsid w:val="00902155"/>
    <w:rsid w:val="00902FA3"/>
    <w:rsid w:val="00923564"/>
    <w:rsid w:val="0092392E"/>
    <w:rsid w:val="00924E27"/>
    <w:rsid w:val="009315F9"/>
    <w:rsid w:val="00933499"/>
    <w:rsid w:val="00935C98"/>
    <w:rsid w:val="00946945"/>
    <w:rsid w:val="00951248"/>
    <w:rsid w:val="0095152F"/>
    <w:rsid w:val="00954C49"/>
    <w:rsid w:val="00955E37"/>
    <w:rsid w:val="009631B2"/>
    <w:rsid w:val="0097099F"/>
    <w:rsid w:val="00971997"/>
    <w:rsid w:val="00971FFC"/>
    <w:rsid w:val="00974962"/>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4E0C"/>
    <w:rsid w:val="00AB64C9"/>
    <w:rsid w:val="00AC3C6A"/>
    <w:rsid w:val="00AD2D42"/>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46131"/>
    <w:rsid w:val="00B53C56"/>
    <w:rsid w:val="00B57DAF"/>
    <w:rsid w:val="00B77EA6"/>
    <w:rsid w:val="00B81598"/>
    <w:rsid w:val="00B841F1"/>
    <w:rsid w:val="00B944D6"/>
    <w:rsid w:val="00BB4DF0"/>
    <w:rsid w:val="00BC289F"/>
    <w:rsid w:val="00BC2D50"/>
    <w:rsid w:val="00BC5361"/>
    <w:rsid w:val="00BC5460"/>
    <w:rsid w:val="00BC6B50"/>
    <w:rsid w:val="00BD0E25"/>
    <w:rsid w:val="00BD3C84"/>
    <w:rsid w:val="00BF5BD6"/>
    <w:rsid w:val="00C03E31"/>
    <w:rsid w:val="00C11C9E"/>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33DE"/>
    <w:rsid w:val="00CC666F"/>
    <w:rsid w:val="00CD1E3F"/>
    <w:rsid w:val="00CD55DE"/>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96184"/>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47654"/>
    <w:rsid w:val="00E50624"/>
    <w:rsid w:val="00E568DF"/>
    <w:rsid w:val="00E64269"/>
    <w:rsid w:val="00E82267"/>
    <w:rsid w:val="00E853CE"/>
    <w:rsid w:val="00E867B6"/>
    <w:rsid w:val="00EA010F"/>
    <w:rsid w:val="00EA568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27601"/>
    <w:rsid w:val="00F36D8F"/>
    <w:rsid w:val="00F417B1"/>
    <w:rsid w:val="00F45853"/>
    <w:rsid w:val="00F602DF"/>
    <w:rsid w:val="00F7549D"/>
    <w:rsid w:val="00F754A1"/>
    <w:rsid w:val="00F81FD9"/>
    <w:rsid w:val="00F841AA"/>
    <w:rsid w:val="00F84A94"/>
    <w:rsid w:val="00F87E96"/>
    <w:rsid w:val="00FA23E8"/>
    <w:rsid w:val="00FD3CC1"/>
    <w:rsid w:val="00FF1E02"/>
    <w:rsid w:val="00FF30B4"/>
    <w:rsid w:val="03DC2831"/>
    <w:rsid w:val="081B5E94"/>
    <w:rsid w:val="0A2032A3"/>
    <w:rsid w:val="0B8A37D8"/>
    <w:rsid w:val="0F5FFB2F"/>
    <w:rsid w:val="0FFFCF60"/>
    <w:rsid w:val="10C055FF"/>
    <w:rsid w:val="118107EC"/>
    <w:rsid w:val="11DD6519"/>
    <w:rsid w:val="16BB723D"/>
    <w:rsid w:val="18015F3F"/>
    <w:rsid w:val="1BE8440E"/>
    <w:rsid w:val="1D155CEE"/>
    <w:rsid w:val="1EF26B32"/>
    <w:rsid w:val="1FDBBF84"/>
    <w:rsid w:val="20F57F95"/>
    <w:rsid w:val="240371BF"/>
    <w:rsid w:val="250B5891"/>
    <w:rsid w:val="2546572F"/>
    <w:rsid w:val="25711CC6"/>
    <w:rsid w:val="25C741E6"/>
    <w:rsid w:val="276F80C0"/>
    <w:rsid w:val="27842671"/>
    <w:rsid w:val="29FD04D3"/>
    <w:rsid w:val="2ABE7A3E"/>
    <w:rsid w:val="2AFF09B6"/>
    <w:rsid w:val="2CA234A8"/>
    <w:rsid w:val="2E7969A7"/>
    <w:rsid w:val="2EFA178C"/>
    <w:rsid w:val="2EFDF86C"/>
    <w:rsid w:val="2F9D17E1"/>
    <w:rsid w:val="30B46D73"/>
    <w:rsid w:val="319F7F4E"/>
    <w:rsid w:val="356A28F1"/>
    <w:rsid w:val="357C035A"/>
    <w:rsid w:val="368E000D"/>
    <w:rsid w:val="383D272C"/>
    <w:rsid w:val="39AE70AB"/>
    <w:rsid w:val="3A4DCE41"/>
    <w:rsid w:val="3BCB56FA"/>
    <w:rsid w:val="3C0C0783"/>
    <w:rsid w:val="3DE7294E"/>
    <w:rsid w:val="3E2148E6"/>
    <w:rsid w:val="3EE7C2F4"/>
    <w:rsid w:val="3F371B56"/>
    <w:rsid w:val="3F792ED8"/>
    <w:rsid w:val="3F9F3A96"/>
    <w:rsid w:val="3FECA4B2"/>
    <w:rsid w:val="3FF58C48"/>
    <w:rsid w:val="42FF6694"/>
    <w:rsid w:val="48BF60AB"/>
    <w:rsid w:val="493C27E9"/>
    <w:rsid w:val="496F39ED"/>
    <w:rsid w:val="49FF41D3"/>
    <w:rsid w:val="4BE068DB"/>
    <w:rsid w:val="4BF6002B"/>
    <w:rsid w:val="4BFFC6BE"/>
    <w:rsid w:val="4DC96400"/>
    <w:rsid w:val="4ECE2238"/>
    <w:rsid w:val="51DB4B86"/>
    <w:rsid w:val="51F64DB0"/>
    <w:rsid w:val="54132291"/>
    <w:rsid w:val="55333C3E"/>
    <w:rsid w:val="5F67802D"/>
    <w:rsid w:val="5F7DC4F2"/>
    <w:rsid w:val="5FB36814"/>
    <w:rsid w:val="5FBB8E56"/>
    <w:rsid w:val="5FFB5535"/>
    <w:rsid w:val="61E67129"/>
    <w:rsid w:val="64CA39A1"/>
    <w:rsid w:val="69630ADE"/>
    <w:rsid w:val="69BD5F13"/>
    <w:rsid w:val="69FB0B4B"/>
    <w:rsid w:val="6BFFE1FB"/>
    <w:rsid w:val="6C4A05C8"/>
    <w:rsid w:val="6D3B1A89"/>
    <w:rsid w:val="6DB7D8A3"/>
    <w:rsid w:val="6EC78701"/>
    <w:rsid w:val="6F7A5481"/>
    <w:rsid w:val="6FFE07A9"/>
    <w:rsid w:val="71BF4EC2"/>
    <w:rsid w:val="72734D90"/>
    <w:rsid w:val="73E75B71"/>
    <w:rsid w:val="7412278C"/>
    <w:rsid w:val="74DE527E"/>
    <w:rsid w:val="75DDCDA9"/>
    <w:rsid w:val="75FF44B1"/>
    <w:rsid w:val="77670518"/>
    <w:rsid w:val="777FA627"/>
    <w:rsid w:val="77DF1B5F"/>
    <w:rsid w:val="77EF2D9D"/>
    <w:rsid w:val="79E7B28D"/>
    <w:rsid w:val="7ACFF0C2"/>
    <w:rsid w:val="7AFB9108"/>
    <w:rsid w:val="7BD5340C"/>
    <w:rsid w:val="7BFB19D2"/>
    <w:rsid w:val="7BFD1750"/>
    <w:rsid w:val="7BFDAA1B"/>
    <w:rsid w:val="7CDF9A82"/>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A96F8E89"/>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D1E4A"/>
    <w:rsid w:val="EFFFB194"/>
    <w:rsid w:val="F2E1F9D4"/>
    <w:rsid w:val="F5FF7449"/>
    <w:rsid w:val="F7880819"/>
    <w:rsid w:val="F7AF180D"/>
    <w:rsid w:val="F7BDBFA7"/>
    <w:rsid w:val="F7FAD68F"/>
    <w:rsid w:val="F7FB14CF"/>
    <w:rsid w:val="FB3FC69C"/>
    <w:rsid w:val="FBDFF225"/>
    <w:rsid w:val="FBEF517F"/>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Salutation"/>
    <w:basedOn w:val="1"/>
    <w:next w:val="1"/>
    <w:link w:val="37"/>
    <w:qFormat/>
    <w:uiPriority w:val="0"/>
    <w:pPr>
      <w:spacing w:after="0" w:line="240" w:lineRule="auto"/>
    </w:pPr>
    <w:rPr>
      <w:rFonts w:eastAsia="仿宋_GB2312"/>
      <w:sz w:val="32"/>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qFormat/>
    <w:uiPriority w:val="0"/>
    <w:pPr>
      <w:spacing w:after="120"/>
      <w:ind w:left="200"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link w:val="36"/>
    <w:semiHidden/>
    <w:qFormat/>
    <w:uiPriority w:val="0"/>
    <w:pPr>
      <w:snapToGrid w:val="0"/>
      <w:jc w:val="left"/>
    </w:pPr>
    <w:rPr>
      <w:sz w:val="18"/>
      <w:szCs w:val="18"/>
    </w:rPr>
  </w:style>
  <w:style w:type="paragraph" w:styleId="15">
    <w:name w:val="Body Text First Indent 2"/>
    <w:basedOn w:val="8"/>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字符"/>
    <w:link w:val="12"/>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字符"/>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字符"/>
    <w:link w:val="7"/>
    <w:qFormat/>
    <w:locked/>
    <w:uiPriority w:val="99"/>
    <w:rPr>
      <w:rFonts w:ascii="仿宋_GB2312" w:hAnsi="Times New Roman" w:eastAsia="仿宋_GB2312"/>
      <w:sz w:val="24"/>
    </w:rPr>
  </w:style>
  <w:style w:type="paragraph" w:customStyle="1" w:styleId="27">
    <w:name w:val="Default"/>
    <w:qFormat/>
    <w:uiPriority w:val="0"/>
    <w:pPr>
      <w:widowControl w:val="0"/>
      <w:autoSpaceDE w:val="0"/>
      <w:autoSpaceDN w:val="0"/>
      <w:adjustRightInd w:val="0"/>
      <w:spacing w:after="160" w:line="278" w:lineRule="auto"/>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8"/>
    <w:link w:val="3"/>
    <w:qFormat/>
    <w:uiPriority w:val="9"/>
    <w:rPr>
      <w:rFonts w:ascii="Times New Roman" w:hAnsi="Times New Roman"/>
      <w:b/>
      <w:bCs/>
      <w:kern w:val="44"/>
      <w:sz w:val="44"/>
      <w:szCs w:val="44"/>
    </w:rPr>
  </w:style>
  <w:style w:type="character" w:customStyle="1" w:styleId="30">
    <w:name w:val="标题 2 字符"/>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8"/>
    <w:link w:val="10"/>
    <w:semiHidden/>
    <w:qFormat/>
    <w:uiPriority w:val="99"/>
    <w:rPr>
      <w:rFonts w:ascii="Times New Roman" w:hAnsi="Times New Roman"/>
      <w:kern w:val="2"/>
      <w:sz w:val="18"/>
      <w:szCs w:val="18"/>
    </w:rPr>
  </w:style>
  <w:style w:type="character" w:customStyle="1" w:styleId="33">
    <w:name w:val="标题 3 字符"/>
    <w:basedOn w:val="18"/>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uppressAutoHyphens/>
      <w:spacing w:line="360" w:lineRule="auto"/>
    </w:pPr>
    <w:rPr>
      <w:rFonts w:ascii="??" w:hAnsi="??"/>
      <w:color w:val="000000"/>
      <w:kern w:val="0"/>
      <w:sz w:val="28"/>
      <w:szCs w:val="21"/>
      <w:lang w:val="zh-CN"/>
    </w:rPr>
  </w:style>
  <w:style w:type="character" w:customStyle="1" w:styleId="36">
    <w:name w:val="脚注文本 字符"/>
    <w:basedOn w:val="18"/>
    <w:link w:val="14"/>
    <w:semiHidden/>
    <w:qFormat/>
    <w:uiPriority w:val="0"/>
    <w:rPr>
      <w:rFonts w:ascii="Times New Roman" w:hAnsi="Times New Roman" w:eastAsia="宋体" w:cs="Times New Roman"/>
      <w:kern w:val="2"/>
      <w:sz w:val="18"/>
      <w:szCs w:val="18"/>
    </w:rPr>
  </w:style>
  <w:style w:type="character" w:customStyle="1" w:styleId="37">
    <w:name w:val="称呼 字符"/>
    <w:basedOn w:val="18"/>
    <w:link w:val="6"/>
    <w:qFormat/>
    <w:uiPriority w:val="0"/>
    <w:rPr>
      <w:rFonts w:ascii="Times New Roman" w:hAnsi="Times New Roman" w:eastAsia="仿宋_GB2312" w:cs="Times New Roman"/>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5" b="1" i="0" u="none" strike="noStrike" kern="1200" baseline="0">
                <a:solidFill>
                  <a:srgbClr val="000000">
                    <a:alpha val="100000"/>
                  </a:srgbClr>
                </a:solidFill>
                <a:latin typeface="宋体" charset="-122"/>
                <a:ea typeface="宋体" charset="-122"/>
                <a:cs typeface="宋体" charset="-122"/>
              </a:defRPr>
            </a:pPr>
            <a:r>
              <a:rPr lang="zh-CN" altLang="en-US"/>
              <a:t>收、支决算总计变动情况图</a:t>
            </a:r>
            <a:endParaRPr lang="zh-CN" altLang="en-US" sz="1105" b="1" i="0" u="none" strike="noStrike" baseline="0">
              <a:solidFill>
                <a:srgbClr val="000000">
                  <a:alpha val="100000"/>
                </a:srgbClr>
              </a:solidFill>
              <a:latin typeface="宋体" charset="-122"/>
              <a:ea typeface="宋体" charset="-122"/>
              <a:cs typeface="宋体"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[公开决算比对表.xls]Sheet1!$B$5</c:f>
              <c:strCache>
                <c:ptCount val="1"/>
                <c:pt idx="0">
                  <c:v>2023</c:v>
                </c:pt>
              </c:strCache>
            </c:strRef>
          </c:tx>
          <c:spPr>
            <a:solidFill>
              <a:srgbClr val="9999FF">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[公开决算比对表.xls]Sheet1!$C$4:$D$4</c:f>
              <c:strCache>
                <c:ptCount val="2"/>
                <c:pt idx="0">
                  <c:v>收入</c:v>
                </c:pt>
                <c:pt idx="1">
                  <c:v>支出</c:v>
                </c:pt>
              </c:strCache>
            </c:strRef>
          </c:cat>
          <c:val>
            <c:numRef>
              <c:f>[公开决算比对表.xls]Sheet1!$C$5:$D$5</c:f>
              <c:numCache>
                <c:formatCode>#,##0.00</c:formatCode>
                <c:ptCount val="2"/>
                <c:pt idx="0">
                  <c:v>368.52</c:v>
                </c:pt>
                <c:pt idx="1">
                  <c:v>368.52</c:v>
                </c:pt>
              </c:numCache>
            </c:numRef>
          </c:val>
        </c:ser>
        <c:ser>
          <c:idx val="1"/>
          <c:order val="1"/>
          <c:tx>
            <c:strRef>
              <c:f>[公开决算比对表.xls]Sheet1!$B$6</c:f>
              <c:strCache>
                <c:ptCount val="1"/>
                <c:pt idx="0">
                  <c:v>2024</c:v>
                </c:pt>
              </c:strCache>
            </c:strRef>
          </c:tx>
          <c:spPr>
            <a:solidFill>
              <a:srgbClr val="993366">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[公开决算比对表.xls]Sheet1!$C$4:$D$4</c:f>
              <c:strCache>
                <c:ptCount val="2"/>
                <c:pt idx="0">
                  <c:v>收入</c:v>
                </c:pt>
                <c:pt idx="1">
                  <c:v>支出</c:v>
                </c:pt>
              </c:strCache>
            </c:strRef>
          </c:cat>
          <c:val>
            <c:numRef>
              <c:f>[公开决算比对表.xls]Sheet1!$C$6:$D$6</c:f>
              <c:numCache>
                <c:formatCode>General</c:formatCode>
                <c:ptCount val="2"/>
                <c:pt idx="0">
                  <c:v>333.88</c:v>
                </c:pt>
                <c:pt idx="1">
                  <c:v>333.88</c:v>
                </c:pt>
              </c:numCache>
            </c:numRef>
          </c:val>
        </c:ser>
        <c:dLbls>
          <c:showLegendKey val="0"/>
          <c:showVal val="0"/>
          <c:showCatName val="0"/>
          <c:showSerName val="0"/>
          <c:showPercent val="0"/>
          <c:showBubbleSize val="0"/>
        </c:dLbls>
        <c:gapWidth val="150"/>
        <c:axId val="461056515"/>
        <c:axId val="600164141"/>
      </c:barChart>
      <c:catAx>
        <c:axId val="461056515"/>
        <c:scaling>
          <c:orientation val="minMax"/>
        </c:scaling>
        <c:delete val="0"/>
        <c:axPos val="b"/>
        <c:numFmt formatCode="General" sourceLinked="0"/>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alpha val="100000"/>
                  </a:srgbClr>
                </a:solidFill>
                <a:latin typeface="宋体" charset="-122"/>
                <a:ea typeface="宋体" charset="-122"/>
                <a:cs typeface="宋体" charset="-122"/>
              </a:defRPr>
            </a:pPr>
          </a:p>
        </c:txPr>
        <c:crossAx val="600164141"/>
        <c:crosses val="autoZero"/>
        <c:auto val="1"/>
        <c:lblAlgn val="ctr"/>
        <c:lblOffset val="100"/>
        <c:noMultiLvlLbl val="0"/>
      </c:catAx>
      <c:valAx>
        <c:axId val="600164141"/>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solidFill>
                <a:latin typeface="宋体" charset="-122"/>
                <a:ea typeface="宋体" charset="-122"/>
                <a:cs typeface="宋体" charset="-122"/>
              </a:defRPr>
            </a:pPr>
          </a:p>
        </c:txPr>
        <c:crossAx val="461056515"/>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415"/>
          <c:y val="0.1315"/>
          <c:w val="0.1657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30" b="0" i="0" u="none" strike="noStrike" kern="1200" baseline="0">
              <a:solidFill>
                <a:srgbClr val="000000">
                  <a:alpha val="100000"/>
                </a:srgbClr>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fcfa9356-e025-44a3-ae22-884673ca6073}"/>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30"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25" b="1" i="0" u="none" strike="noStrike" kern="1200" baseline="0">
                <a:solidFill>
                  <a:srgbClr val="000000">
                    <a:alpha val="100000"/>
                  </a:srgbClr>
                </a:solidFill>
                <a:latin typeface="宋体" charset="-122"/>
                <a:ea typeface="宋体" charset="-122"/>
                <a:cs typeface="宋体" charset="-122"/>
              </a:defRPr>
            </a:pPr>
            <a:r>
              <a:rPr lang="zh-CN" altLang="en-US"/>
              <a:t>收入决算结构图</a:t>
            </a:r>
            <a:endParaRPr lang="zh-CN" altLang="en-US" sz="1025" b="1" i="0" u="none" strike="noStrike" baseline="0">
              <a:solidFill>
                <a:srgbClr val="000000">
                  <a:alpha val="100000"/>
                </a:srgbClr>
              </a:solidFill>
              <a:latin typeface="宋体" charset="-122"/>
              <a:ea typeface="宋体" charset="-122"/>
              <a:cs typeface="宋体" charset="-122"/>
            </a:endParaRPr>
          </a:p>
        </c:rich>
      </c:tx>
      <c:layout>
        <c:manualLayout>
          <c:xMode val="edge"/>
          <c:yMode val="edge"/>
          <c:x val="0.0141451527567782"/>
          <c:y val="0.0317376355461518"/>
        </c:manualLayout>
      </c:layout>
      <c:overlay val="0"/>
      <c:spPr>
        <a:noFill/>
        <a:ln w="3175">
          <a:noFill/>
        </a:ln>
      </c:spPr>
    </c:title>
    <c:autoTitleDeleted val="0"/>
    <c:plotArea>
      <c:layout>
        <c:manualLayout>
          <c:layoutTarget val="inner"/>
          <c:xMode val="edge"/>
          <c:yMode val="edge"/>
          <c:x val="0.47"/>
          <c:y val="0.19675"/>
          <c:w val="0.3605"/>
          <c:h val="0.70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Pt>
            <c:idx val="2"/>
            <c:bubble3D val="0"/>
            <c:spPr>
              <a:solidFill>
                <a:srgbClr val="FFFFCC">
                  <a:alpha val="100000"/>
                </a:srgbClr>
              </a:solidFill>
              <a:ln w="12700">
                <a:solidFill>
                  <a:srgbClr val="000000">
                    <a:alpha val="100000"/>
                  </a:srgbClr>
                </a:solidFill>
                <a:prstDash val="solid"/>
              </a:ln>
            </c:spPr>
          </c:dPt>
          <c:dPt>
            <c:idx val="3"/>
            <c:bubble3D val="0"/>
            <c:spPr>
              <a:solidFill>
                <a:srgbClr val="CCFFFF">
                  <a:alpha val="100000"/>
                </a:srgbClr>
              </a:solidFill>
              <a:ln w="12700">
                <a:solidFill>
                  <a:srgbClr val="000000">
                    <a:alpha val="100000"/>
                  </a:srgbClr>
                </a:solidFill>
                <a:prstDash val="solid"/>
              </a:ln>
            </c:spPr>
          </c:dPt>
          <c:dLbls>
            <c:dLbl>
              <c:idx val="0"/>
              <c:layout>
                <c:manualLayout>
                  <c:x val="0.0727751594122539"/>
                  <c:y val="-0.015868817773075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95065151095093"/>
                  <c:y val="-0.00396720444326898"/>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0.0833112933086485"/>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0.023803226659613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[公开决算比对表.xls]Sheet1!$H$4:$K$4</c:f>
              <c:strCache>
                <c:ptCount val="4"/>
                <c:pt idx="0">
                  <c:v>一般公共预算财政拨款收入</c:v>
                </c:pt>
                <c:pt idx="1">
                  <c:v>政府性基金预算财政拨款收入</c:v>
                </c:pt>
                <c:pt idx="2">
                  <c:v>国有资本经营预算财政拨款</c:v>
                </c:pt>
                <c:pt idx="3">
                  <c:v>其他收入</c:v>
                </c:pt>
              </c:strCache>
            </c:strRef>
          </c:cat>
          <c:val>
            <c:numRef>
              <c:f>[公开决算比对表.xls]Sheet1!$H$5:$K$5</c:f>
              <c:numCache>
                <c:formatCode>General</c:formatCode>
                <c:ptCount val="4"/>
                <c:pt idx="0">
                  <c:v>328.88</c:v>
                </c:pt>
                <c:pt idx="1">
                  <c:v>0</c:v>
                </c:pt>
                <c:pt idx="2">
                  <c:v>0</c:v>
                </c:pt>
                <c:pt idx="3">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0300186443027447"/>
          <c:y val="0.19593493784713"/>
          <c:w val="0.31475"/>
          <c:h val="0.22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70" b="0" i="0" u="none" strike="noStrike" kern="1200" baseline="0">
              <a:solidFill>
                <a:srgbClr val="000000">
                  <a:alpha val="100000"/>
                </a:srgbClr>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8515e3f0-58e3-4d16-b131-6eadf68e8ed2}"/>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70"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1" i="0" u="none" strike="noStrike" kern="1200" baseline="0">
                <a:solidFill>
                  <a:srgbClr val="000000">
                    <a:alpha val="100000"/>
                  </a:srgbClr>
                </a:solidFill>
                <a:latin typeface="宋体" charset="-122"/>
                <a:ea typeface="宋体" charset="-122"/>
                <a:cs typeface="宋体" charset="-122"/>
              </a:defRPr>
            </a:pPr>
            <a:r>
              <a:rPr lang="zh-CN" altLang="en-US"/>
              <a:t>支出决算结构图</a:t>
            </a:r>
            <a:endParaRPr lang="zh-CN" altLang="en-US" sz="900" b="1" i="0" u="none" strike="noStrike" baseline="0">
              <a:solidFill>
                <a:srgbClr val="000000">
                  <a:alpha val="100000"/>
                </a:srgbClr>
              </a:solidFill>
              <a:latin typeface="宋体" charset="-122"/>
              <a:ea typeface="宋体" charset="-122"/>
              <a:cs typeface="宋体" charset="-122"/>
            </a:endParaRPr>
          </a:p>
        </c:rich>
      </c:tx>
      <c:layout/>
      <c:overlay val="0"/>
      <c:spPr>
        <a:noFill/>
        <a:ln w="3175">
          <a:noFill/>
        </a:ln>
      </c:spPr>
    </c:title>
    <c:autoTitleDeleted val="0"/>
    <c:plotArea>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Lbls>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[公开决算比对表.xls]Sheet1!$N$4:$O$4</c:f>
              <c:strCache>
                <c:ptCount val="2"/>
                <c:pt idx="0">
                  <c:v>基本支出</c:v>
                </c:pt>
                <c:pt idx="1">
                  <c:v>项目支出</c:v>
                </c:pt>
              </c:strCache>
            </c:strRef>
          </c:cat>
          <c:val>
            <c:numRef>
              <c:f>[公开决算比对表.xls]Sheet1!$N$5:$O$5</c:f>
              <c:numCache>
                <c:formatCode>General</c:formatCode>
                <c:ptCount val="2"/>
                <c:pt idx="0">
                  <c:v>220.28</c:v>
                </c:pt>
                <c:pt idx="1">
                  <c:v>113.6</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b"/>
      <c:layout>
        <c:manualLayout>
          <c:xMode val="edge"/>
          <c:yMode val="edge"/>
          <c:x val="0.389"/>
          <c:y val="0.914"/>
          <c:w val="0.221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80" b="0" i="0" u="none" strike="noStrike" kern="1200" baseline="0">
              <a:solidFill>
                <a:srgbClr val="000000">
                  <a:alpha val="100000"/>
                </a:srgbClr>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4b5b21df-afda-4cdf-b4e9-f7e28229104f}"/>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80"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15" b="1" i="0" u="none" strike="noStrike" kern="1200" baseline="0">
                <a:solidFill>
                  <a:srgbClr val="000000">
                    <a:alpha val="100000"/>
                  </a:srgbClr>
                </a:solidFill>
                <a:latin typeface="宋体" charset="-122"/>
                <a:ea typeface="宋体" charset="-122"/>
                <a:cs typeface="宋体" charset="-122"/>
              </a:defRPr>
            </a:pPr>
            <a:r>
              <a:rPr lang="zh-CN" altLang="en-US"/>
              <a:t>财政拨款收、支决算总计变动情况</a:t>
            </a:r>
            <a:endParaRPr lang="zh-CN" altLang="en-US" sz="1015" b="1" i="0" u="none" strike="noStrike" baseline="0">
              <a:solidFill>
                <a:srgbClr val="000000">
                  <a:alpha val="100000"/>
                </a:srgbClr>
              </a:solidFill>
              <a:latin typeface="宋体" charset="-122"/>
              <a:ea typeface="宋体" charset="-122"/>
              <a:cs typeface="宋体"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[公开决算比对表.xls]Sheet1!$B$28</c:f>
              <c:strCache>
                <c:ptCount val="1"/>
                <c:pt idx="0">
                  <c:v>2023</c:v>
                </c:pt>
              </c:strCache>
            </c:strRef>
          </c:tx>
          <c:spPr>
            <a:solidFill>
              <a:srgbClr val="9999FF">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[公开决算比对表.xls]Sheet1!$C$27:$D$27</c:f>
              <c:strCache>
                <c:ptCount val="2"/>
                <c:pt idx="0">
                  <c:v>收入</c:v>
                </c:pt>
                <c:pt idx="1">
                  <c:v>支出</c:v>
                </c:pt>
              </c:strCache>
            </c:strRef>
          </c:cat>
          <c:val>
            <c:numRef>
              <c:f>[公开决算比对表.xls]Sheet1!$C$28:$D$28</c:f>
              <c:numCache>
                <c:formatCode>#,##0.00</c:formatCode>
                <c:ptCount val="2"/>
                <c:pt idx="0">
                  <c:v>368.52</c:v>
                </c:pt>
                <c:pt idx="1">
                  <c:v>368.52</c:v>
                </c:pt>
              </c:numCache>
            </c:numRef>
          </c:val>
        </c:ser>
        <c:ser>
          <c:idx val="1"/>
          <c:order val="1"/>
          <c:tx>
            <c:strRef>
              <c:f>[公开决算比对表.xls]Sheet1!$B$29</c:f>
              <c:strCache>
                <c:ptCount val="1"/>
                <c:pt idx="0">
                  <c:v>2024</c:v>
                </c:pt>
              </c:strCache>
            </c:strRef>
          </c:tx>
          <c:spPr>
            <a:solidFill>
              <a:srgbClr val="993366">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[公开决算比对表.xls]Sheet1!$C$27:$D$27</c:f>
              <c:strCache>
                <c:ptCount val="2"/>
                <c:pt idx="0">
                  <c:v>收入</c:v>
                </c:pt>
                <c:pt idx="1">
                  <c:v>支出</c:v>
                </c:pt>
              </c:strCache>
            </c:strRef>
          </c:cat>
          <c:val>
            <c:numRef>
              <c:f>[公开决算比对表.xls]Sheet1!$C$29:$D$29</c:f>
              <c:numCache>
                <c:formatCode>General</c:formatCode>
                <c:ptCount val="2"/>
                <c:pt idx="0">
                  <c:v>333.88</c:v>
                </c:pt>
                <c:pt idx="1">
                  <c:v>333.88</c:v>
                </c:pt>
              </c:numCache>
            </c:numRef>
          </c:val>
        </c:ser>
        <c:dLbls>
          <c:showLegendKey val="0"/>
          <c:showVal val="0"/>
          <c:showCatName val="0"/>
          <c:showSerName val="0"/>
          <c:showPercent val="0"/>
          <c:showBubbleSize val="0"/>
        </c:dLbls>
        <c:gapWidth val="150"/>
        <c:axId val="195999122"/>
        <c:axId val="42271425"/>
      </c:barChart>
      <c:catAx>
        <c:axId val="195999122"/>
        <c:scaling>
          <c:orientation val="minMax"/>
        </c:scaling>
        <c:delete val="0"/>
        <c:axPos val="b"/>
        <c:numFmt formatCode="General" sourceLinked="0"/>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charset="-122"/>
                <a:ea typeface="宋体" charset="-122"/>
                <a:cs typeface="宋体" charset="-122"/>
              </a:defRPr>
            </a:pPr>
          </a:p>
        </c:txPr>
        <c:crossAx val="42271425"/>
        <c:crosses val="autoZero"/>
        <c:auto val="1"/>
        <c:lblAlgn val="ctr"/>
        <c:lblOffset val="100"/>
        <c:noMultiLvlLbl val="0"/>
      </c:catAx>
      <c:valAx>
        <c:axId val="42271425"/>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charset="-122"/>
                <a:ea typeface="宋体" charset="-122"/>
                <a:cs typeface="宋体" charset="-122"/>
              </a:defRPr>
            </a:pPr>
          </a:p>
        </c:txPr>
        <c:crossAx val="195999122"/>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5"/>
          <c:y val="0.133"/>
          <c:w val="0.1422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759a8472-6d6d-44b9-a9cc-dd30ae65406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760" b="1" i="0" u="none" strike="noStrike" kern="1200" baseline="0">
                <a:solidFill>
                  <a:srgbClr val="000000">
                    <a:alpha val="100000"/>
                  </a:srgbClr>
                </a:solidFill>
                <a:latin typeface="宋体" charset="-122"/>
                <a:ea typeface="宋体" charset="-122"/>
                <a:cs typeface="宋体" charset="-122"/>
              </a:defRPr>
            </a:pPr>
            <a:r>
              <a:rPr lang="zh-CN" altLang="en-US"/>
              <a:t>一般公共预算财政拨款支出决算变动情况</a:t>
            </a:r>
            <a:endParaRPr lang="zh-CN" altLang="en-US" sz="760" b="1" i="0" u="none" strike="noStrike" baseline="0">
              <a:solidFill>
                <a:srgbClr val="000000">
                  <a:alpha val="100000"/>
                </a:srgbClr>
              </a:solidFill>
              <a:latin typeface="宋体" charset="-122"/>
              <a:ea typeface="宋体" charset="-122"/>
              <a:cs typeface="宋体" charset="-122"/>
            </a:endParaRPr>
          </a:p>
        </c:rich>
      </c:tx>
      <c:layout/>
      <c:overlay val="0"/>
      <c:spPr>
        <a:noFill/>
        <a:ln w="3175">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[公开决算比对表.xls]Sheet1!$H$27:$I$27</c:f>
              <c:numCache>
                <c:formatCode>General</c:formatCode>
                <c:ptCount val="2"/>
                <c:pt idx="0">
                  <c:v>2023</c:v>
                </c:pt>
                <c:pt idx="1">
                  <c:v>2024</c:v>
                </c:pt>
              </c:numCache>
            </c:numRef>
          </c:cat>
          <c:val>
            <c:numRef>
              <c:f>[公开决算比对表.xls]Sheet1!$H$28:$I$28</c:f>
              <c:numCache>
                <c:formatCode>#,##0.00</c:formatCode>
                <c:ptCount val="2"/>
                <c:pt idx="0">
                  <c:v>368.52</c:v>
                </c:pt>
                <c:pt idx="1" c:formatCode="General">
                  <c:v>333.88</c:v>
                </c:pt>
              </c:numCache>
            </c:numRef>
          </c:val>
        </c:ser>
        <c:dLbls>
          <c:showLegendKey val="0"/>
          <c:showVal val="0"/>
          <c:showCatName val="0"/>
          <c:showSerName val="0"/>
          <c:showPercent val="0"/>
          <c:showBubbleSize val="0"/>
        </c:dLbls>
        <c:gapWidth val="150"/>
        <c:axId val="419980704"/>
        <c:axId val="412639251"/>
      </c:barChart>
      <c:catAx>
        <c:axId val="419980704"/>
        <c:scaling>
          <c:orientation val="minMax"/>
        </c:scaling>
        <c:delete val="0"/>
        <c:axPos val="b"/>
        <c:numFmt formatCode="General" sourceLinked="0"/>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charset="-122"/>
                <a:ea typeface="宋体" charset="-122"/>
                <a:cs typeface="宋体" charset="-122"/>
              </a:defRPr>
            </a:pPr>
          </a:p>
        </c:txPr>
        <c:crossAx val="412639251"/>
        <c:crosses val="autoZero"/>
        <c:auto val="1"/>
        <c:lblAlgn val="ctr"/>
        <c:lblOffset val="100"/>
        <c:noMultiLvlLbl val="0"/>
      </c:catAx>
      <c:valAx>
        <c:axId val="412639251"/>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charset="-122"/>
                <a:ea typeface="宋体" charset="-122"/>
                <a:cs typeface="宋体" charset="-122"/>
              </a:defRPr>
            </a:pPr>
          </a:p>
        </c:txPr>
        <c:crossAx val="419980704"/>
        <c:crosses val="autoZero"/>
        <c:crossBetween val="between"/>
      </c:valAx>
      <c:spPr>
        <a:solidFill>
          <a:srgbClr val="C0C0C0">
            <a:alpha val="100000"/>
          </a:srgbClr>
        </a:solidFill>
        <a:ln w="3175">
          <a:solidFill>
            <a:srgbClr val="808080">
              <a:alpha val="100000"/>
            </a:srgbClr>
          </a:solidFill>
          <a:prstDash val="solid"/>
        </a:ln>
      </c:spPr>
    </c:plotArea>
    <c:legend>
      <c:legendPos val="b"/>
      <c:layout>
        <c:manualLayout>
          <c:xMode val="edge"/>
          <c:yMode val="edge"/>
          <c:x val="0.29075"/>
          <c:y val="0.916"/>
          <c:w val="0.469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8a68415d-bf0c-441a-9f5b-f63f60414318}"/>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0" b="1" i="0" u="sng" strike="noStrike" kern="1200" baseline="0">
                <a:solidFill>
                  <a:srgbClr val="000000">
                    <a:alpha val="100000"/>
                  </a:srgbClr>
                </a:solidFill>
                <a:latin typeface="宋体" charset="-122"/>
                <a:ea typeface="宋体" charset="-122"/>
                <a:cs typeface="宋体" charset="-122"/>
              </a:defRPr>
            </a:pPr>
            <a:r>
              <a:rPr lang="zh-CN" altLang="en-US"/>
              <a:t>一般公共预算财政拨款支出决算情况</a:t>
            </a:r>
            <a:endParaRPr lang="zh-CN" altLang="en-US" sz="1420" b="1" i="0" u="sng" strike="noStrike" baseline="0">
              <a:solidFill>
                <a:srgbClr val="000000">
                  <a:alpha val="100000"/>
                </a:srgbClr>
              </a:solidFill>
              <a:latin typeface="宋体" charset="-122"/>
              <a:ea typeface="宋体" charset="-122"/>
              <a:cs typeface="宋体" charset="-122"/>
            </a:endParaRPr>
          </a:p>
        </c:rich>
      </c:tx>
      <c:layout/>
      <c:overlay val="0"/>
      <c:spPr>
        <a:noFill/>
        <a:ln w="3175">
          <a:noFill/>
        </a:ln>
      </c:spPr>
    </c:title>
    <c:autoTitleDeleted val="0"/>
    <c:plotArea>
      <c:layout>
        <c:manualLayout>
          <c:layoutTarget val="inner"/>
          <c:xMode val="edge"/>
          <c:yMode val="edge"/>
          <c:x val="0.24375"/>
          <c:y val="0.29"/>
          <c:w val="0.28825"/>
          <c:h val="0.5152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spPr>
              <a:solidFill>
                <a:schemeClr val="accent1">
                  <a:lumMod val="20000"/>
                  <a:lumOff val="80000"/>
                </a:schemeClr>
              </a:solidFill>
              <a:ln w="12700">
                <a:solidFill>
                  <a:srgbClr val="000000">
                    <a:alpha val="100000"/>
                  </a:srgbClr>
                </a:solidFill>
                <a:prstDash val="solid"/>
              </a:ln>
            </c:spPr>
          </c:dPt>
          <c:dPt>
            <c:idx val="1"/>
            <c:bubble3D val="0"/>
            <c:spPr>
              <a:solidFill>
                <a:srgbClr val="993366">
                  <a:alpha val="100000"/>
                </a:srgbClr>
              </a:solidFill>
              <a:ln w="19050">
                <a:solidFill>
                  <a:srgbClr val="000000">
                    <a:alpha val="100000"/>
                  </a:srgbClr>
                </a:solidFill>
                <a:prstDash val="solid"/>
              </a:ln>
            </c:spPr>
          </c:dPt>
          <c:dPt>
            <c:idx val="2"/>
            <c:bubble3D val="0"/>
            <c:spPr>
              <a:solidFill>
                <a:srgbClr val="FFFFCC">
                  <a:alpha val="100000"/>
                </a:srgbClr>
              </a:solidFill>
              <a:ln w="19050">
                <a:solidFill>
                  <a:srgbClr val="000000">
                    <a:alpha val="100000"/>
                  </a:srgbClr>
                </a:solidFill>
                <a:prstDash val="solid"/>
              </a:ln>
            </c:spPr>
          </c:dPt>
          <c:dPt>
            <c:idx val="3"/>
            <c:bubble3D val="0"/>
            <c:spPr>
              <a:solidFill>
                <a:srgbClr val="CCFFFF">
                  <a:alpha val="100000"/>
                </a:srgbClr>
              </a:solidFill>
              <a:ln w="19050">
                <a:solidFill>
                  <a:srgbClr val="000000">
                    <a:alpha val="100000"/>
                  </a:srgbClr>
                </a:solidFill>
                <a:prstDash val="solid"/>
              </a:ln>
            </c:spPr>
          </c:dPt>
          <c:dLbls>
            <c:dLbl>
              <c:idx val="0"/>
              <c:layout>
                <c:manualLayout>
                  <c:x val="0.124994433874726"/>
                  <c:y val="-0.067081469959167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charset="-122"/>
                      <a:ea typeface="宋体" charset="-122"/>
                      <a:cs typeface="宋体"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698834288525565"/>
                  <c:y val="-0.011853756230085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charset="-122"/>
                      <a:ea typeface="宋体" charset="-122"/>
                      <a:cs typeface="宋体"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965699070836829"/>
                  <c:y val="-0.069025849361714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charset="-122"/>
                      <a:ea typeface="宋体" charset="-122"/>
                      <a:cs typeface="宋体"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796971629951913"/>
                  <c:y val="-0.11650647573475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charset="-122"/>
                      <a:ea typeface="宋体" charset="-122"/>
                      <a:cs typeface="宋体"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alpha val="100000"/>
                      </a:srgbClr>
                    </a:solidFill>
                    <a:latin typeface="宋体" charset="-122"/>
                    <a:ea typeface="宋体" charset="-122"/>
                    <a:cs typeface="宋体"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[公开决算比对表.xls]Sheet1!$M$26:$P$26</c:f>
              <c:strCache>
                <c:ptCount val="4"/>
                <c:pt idx="0">
                  <c:v>一般公共服务支出</c:v>
                </c:pt>
                <c:pt idx="1">
                  <c:v>社会保障和就业支出</c:v>
                </c:pt>
                <c:pt idx="2">
                  <c:v>卫生健康支出</c:v>
                </c:pt>
                <c:pt idx="3">
                  <c:v>住房保障支出</c:v>
                </c:pt>
              </c:strCache>
            </c:strRef>
          </c:cat>
          <c:val>
            <c:numRef>
              <c:f>[公开决算比对表.xls]Sheet1!$M$27:$P$27</c:f>
              <c:numCache>
                <c:formatCode>#,##0.00</c:formatCode>
                <c:ptCount val="4"/>
                <c:pt idx="0">
                  <c:v>281.12</c:v>
                </c:pt>
                <c:pt idx="1" c:formatCode="General">
                  <c:v>22.5</c:v>
                </c:pt>
                <c:pt idx="2" c:formatCode="General">
                  <c:v>12.76</c:v>
                </c:pt>
                <c:pt idx="3" c:formatCode="General">
                  <c:v>17.5</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737257444948425"/>
          <c:y val="0.509041415516236"/>
          <c:w val="0.25375"/>
          <c:h val="0.444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065" b="0" i="0" u="sng" strike="noStrike" kern="1200" baseline="0">
              <a:solidFill>
                <a:srgbClr val="000000">
                  <a:alpha val="100000"/>
                </a:srgbClr>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831a64db-db78-4214-a4ec-f8dd37677f6b}"/>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065" b="0" i="0" u="sng" strike="noStrike" baseline="0">
          <a:solidFill>
            <a:srgbClr val="000000"/>
          </a:solidFill>
          <a:latin typeface="宋体" charset="-122"/>
          <a:ea typeface="宋体" charset="-122"/>
          <a:cs typeface="宋体"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0788908450704225"/>
          <c:y val="0.0209053912588328"/>
        </c:manualLayout>
      </c:layout>
      <c:overlay val="0"/>
      <c:spPr>
        <a:noFill/>
        <a:ln w="3175">
          <a:noFill/>
        </a:ln>
      </c:spPr>
      <c:txPr>
        <a:bodyPr rot="0" spcFirstLastPara="0" vertOverflow="ellipsis" vert="horz" wrap="square" anchor="ctr" anchorCtr="1"/>
        <a:lstStyle/>
        <a:p>
          <a:pPr>
            <a:defRPr lang="zh-CN" sz="920" b="0" i="1" u="none" strike="noStrike" kern="1200" baseline="0">
              <a:solidFill>
                <a:srgbClr val="000000">
                  <a:alpha val="100000"/>
                </a:srgbClr>
              </a:solidFill>
              <a:latin typeface="宋体" charset="-122"/>
              <a:ea typeface="宋体" charset="-122"/>
              <a:cs typeface="宋体" charset="-122"/>
            </a:defRPr>
          </a:pPr>
        </a:p>
      </c:txPr>
    </c:title>
    <c:autoTitleDeleted val="0"/>
    <c:plotArea>
      <c:layout>
        <c:manualLayout>
          <c:layoutTarget val="inner"/>
          <c:xMode val="edge"/>
          <c:yMode val="edge"/>
          <c:x val="0.31975"/>
          <c:y val="0.2935"/>
          <c:w val="0.26575"/>
          <c:h val="0.55975"/>
        </c:manualLayout>
      </c:layout>
      <c:pieChart>
        <c:varyColors val="1"/>
        <c:ser>
          <c:idx val="0"/>
          <c:order val="0"/>
          <c:tx>
            <c:strRef>
              <c:f>"“三公”经费财政拨款支出结构"</c:f>
              <c:strCache>
                <c:ptCount val="1"/>
                <c:pt idx="0">
                  <c:v>“三公”经费财政拨款支出结构</c:v>
                </c:pt>
              </c:strCache>
            </c:strRef>
          </c:tx>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3175">
                <a:solidFill>
                  <a:srgbClr val="000000">
                    <a:alpha val="100000"/>
                  </a:srgbClr>
                </a:solidFill>
                <a:prstDash val="solid"/>
              </a:ln>
            </c:spPr>
          </c:dPt>
          <c:dPt>
            <c:idx val="2"/>
            <c:bubble3D val="0"/>
            <c:spPr>
              <a:solidFill>
                <a:srgbClr val="FFFFCC">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charset="-122"/>
                      <a:ea typeface="宋体" charset="-122"/>
                      <a:cs typeface="宋体"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charset="-122"/>
                      <a:ea typeface="宋体" charset="-122"/>
                      <a:cs typeface="宋体"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charset="-122"/>
                      <a:ea typeface="宋体" charset="-122"/>
                      <a:cs typeface="宋体"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95" b="0" i="1" u="none" strike="noStrike" kern="1200" baseline="0">
                    <a:solidFill>
                      <a:srgbClr val="000000">
                        <a:alpha val="100000"/>
                      </a:srgbClr>
                    </a:solidFill>
                    <a:latin typeface="宋体" charset="-122"/>
                    <a:ea typeface="宋体" charset="-122"/>
                    <a:cs typeface="宋体"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[公开决算比对表.xls]Sheet1!$B$49:$D$49</c:f>
              <c:strCache>
                <c:ptCount val="3"/>
                <c:pt idx="0">
                  <c:v>因公出国（境）费支出决算</c:v>
                </c:pt>
                <c:pt idx="1">
                  <c:v>公务用车购置及运行维护费支出决算</c:v>
                </c:pt>
                <c:pt idx="2">
                  <c:v>公务接待费支出决算</c:v>
                </c:pt>
              </c:strCache>
            </c:strRef>
          </c:cat>
          <c:val>
            <c:numRef>
              <c:f>[公开决算比对表.xls]Sheet1!$B$50:$D$50</c:f>
              <c:numCache>
                <c:formatCode>General</c:formatCode>
                <c:ptCount val="3"/>
                <c:pt idx="0">
                  <c:v>0</c:v>
                </c:pt>
                <c:pt idx="1">
                  <c:v>0</c:v>
                </c:pt>
                <c:pt idx="2">
                  <c:v>0.33</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manualLayout>
          <c:xMode val="edge"/>
          <c:yMode val="edge"/>
          <c:x val="0.673"/>
          <c:y val="0.3825"/>
          <c:w val="0.31175"/>
          <c:h val="0.30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95" b="0" i="1" u="none" strike="noStrike" kern="1200" baseline="0">
              <a:solidFill>
                <a:srgbClr val="000000">
                  <a:alpha val="100000"/>
                </a:srgbClr>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3dbc7bbc-1d4f-441c-9e13-d8ff95ee9e0b}"/>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95" b="0" i="1" u="none" strike="noStrike" baseline="0">
          <a:solidFill>
            <a:srgbClr val="000000"/>
          </a:solidFill>
          <a:latin typeface="宋体" charset="-122"/>
          <a:ea typeface="宋体" charset="-122"/>
          <a:cs typeface="宋体"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35</Pages>
  <Words>1130</Words>
  <Characters>1164</Characters>
  <Lines>508</Lines>
  <Paragraphs>458</Paragraphs>
  <TotalTime>20</TotalTime>
  <ScaleCrop>false</ScaleCrop>
  <LinksUpToDate>false</LinksUpToDate>
  <CharactersWithSpaces>1203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2024-09-14T17:42:00Z</dcterms:created>
  <dc:creator>曹颖</dc:creator>
  <cp:lastModifiedBy>李寅宽</cp:lastModifiedBy>
  <cp:lastPrinted>2023-08-04T10:35:00Z</cp:lastPrinted>
  <dcterms:modified xsi:type="dcterms:W3CDTF">2026-09-19T16:38:01Z</dcterms:modified>
  <dc:title>四川省***</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eyJoZGlkIjoiYzE2YzE4MjE0Y2U2MjYwNGZmMGJhZWIzMWQ5MjQ2ZmUiLCJ1c2VySWQiOiIxNjUwNjk2OTYzIn0=</vt:lpwstr>
  </property>
  <property fmtid="{D5CDD505-2E9C-101B-9397-08002B2CF9AE}" pid="4" name="ICV">
    <vt:lpwstr>965A96CFF91948ED8092F442CEF4A7DD_12</vt:lpwstr>
  </property>
</Properties>
</file>