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5B80AB">
      <w:pPr>
        <w:autoSpaceDE w:val="0"/>
        <w:autoSpaceDN w:val="0"/>
        <w:adjustRightInd w:val="0"/>
        <w:spacing w:line="360" w:lineRule="auto"/>
        <w:jc w:val="center"/>
        <w:rPr>
          <w:rFonts w:ascii="方正小标宋简体" w:eastAsia="方正小标宋简体" w:cs="方正小标宋简体"/>
          <w:sz w:val="72"/>
          <w:szCs w:val="72"/>
          <w:lang w:val="zh-CN"/>
        </w:rPr>
      </w:pPr>
      <w:r>
        <w:rPr>
          <w:rFonts w:ascii="方正小标宋简体" w:eastAsia="方正小标宋简体" w:cs="方正小标宋简体"/>
          <w:sz w:val="72"/>
          <w:szCs w:val="72"/>
          <w:lang w:val="zh-CN"/>
        </w:rPr>
        <w:t>202</w:t>
      </w:r>
      <w:r>
        <w:rPr>
          <w:rFonts w:hint="eastAsia" w:ascii="方正小标宋简体" w:eastAsia="方正小标宋简体" w:cs="方正小标宋简体"/>
          <w:sz w:val="72"/>
          <w:szCs w:val="72"/>
          <w:lang w:val="zh-CN"/>
        </w:rPr>
        <w:t>5年度</w:t>
      </w:r>
    </w:p>
    <w:p w14:paraId="6DD240F2">
      <w:pPr>
        <w:autoSpaceDE w:val="0"/>
        <w:autoSpaceDN w:val="0"/>
        <w:adjustRightInd w:val="0"/>
        <w:spacing w:line="360" w:lineRule="auto"/>
        <w:jc w:val="center"/>
        <w:rPr>
          <w:rFonts w:ascii="方正小标宋简体" w:eastAsia="方正小标宋简体" w:cs="方正小标宋简体"/>
          <w:sz w:val="72"/>
          <w:szCs w:val="72"/>
          <w:lang w:val="zh-CN"/>
        </w:rPr>
      </w:pPr>
      <w:r>
        <w:rPr>
          <w:rFonts w:hint="eastAsia" w:ascii="方正小标宋简体" w:eastAsia="方正小标宋简体" w:cs="方正小标宋简体"/>
          <w:sz w:val="72"/>
          <w:szCs w:val="72"/>
          <w:lang w:val="zh-CN"/>
        </w:rPr>
        <w:t>攀枝花市仁和区林业局部门决算</w:t>
      </w:r>
    </w:p>
    <w:p w14:paraId="4518C594">
      <w:pPr>
        <w:keepNext/>
        <w:keepLines/>
        <w:tabs>
          <w:tab w:val="right" w:leader="dot" w:pos="8296"/>
        </w:tabs>
        <w:autoSpaceDE w:val="0"/>
        <w:autoSpaceDN w:val="0"/>
        <w:adjustRightInd w:val="0"/>
        <w:spacing w:line="576" w:lineRule="exact"/>
        <w:jc w:val="left"/>
        <w:rPr>
          <w:rFonts w:ascii="黑体" w:eastAsia="黑体" w:cs="黑体"/>
          <w:b/>
          <w:bCs/>
          <w:sz w:val="48"/>
          <w:szCs w:val="48"/>
          <w:lang w:val="zh-CN"/>
        </w:rPr>
      </w:pPr>
    </w:p>
    <w:p w14:paraId="4087552F">
      <w:pPr>
        <w:autoSpaceDE w:val="0"/>
        <w:autoSpaceDN w:val="0"/>
        <w:adjustRightInd w:val="0"/>
        <w:jc w:val="center"/>
        <w:rPr>
          <w:rFonts w:ascii="黑体" w:eastAsia="黑体" w:cs="黑体"/>
          <w:sz w:val="48"/>
          <w:szCs w:val="48"/>
          <w:lang w:val="zh-CN"/>
        </w:rPr>
      </w:pPr>
    </w:p>
    <w:p w14:paraId="4993FF20">
      <w:pPr>
        <w:autoSpaceDE w:val="0"/>
        <w:autoSpaceDN w:val="0"/>
        <w:adjustRightInd w:val="0"/>
        <w:jc w:val="center"/>
        <w:rPr>
          <w:rFonts w:ascii="黑体" w:eastAsia="黑体" w:cs="黑体"/>
          <w:sz w:val="48"/>
          <w:szCs w:val="48"/>
          <w:lang w:val="zh-CN"/>
        </w:rPr>
      </w:pPr>
    </w:p>
    <w:p w14:paraId="6D86ECF2">
      <w:pPr>
        <w:autoSpaceDE w:val="0"/>
        <w:autoSpaceDN w:val="0"/>
        <w:adjustRightInd w:val="0"/>
        <w:jc w:val="center"/>
        <w:rPr>
          <w:rFonts w:ascii="黑体" w:eastAsia="黑体" w:cs="黑体"/>
          <w:sz w:val="48"/>
          <w:szCs w:val="48"/>
          <w:lang w:val="zh-CN"/>
        </w:rPr>
      </w:pPr>
    </w:p>
    <w:p w14:paraId="050A11DF">
      <w:pPr>
        <w:autoSpaceDE w:val="0"/>
        <w:autoSpaceDN w:val="0"/>
        <w:adjustRightInd w:val="0"/>
        <w:jc w:val="center"/>
        <w:rPr>
          <w:rFonts w:ascii="黑体" w:eastAsia="黑体" w:cs="黑体"/>
          <w:sz w:val="48"/>
          <w:szCs w:val="48"/>
          <w:lang w:val="zh-CN"/>
        </w:rPr>
      </w:pPr>
    </w:p>
    <w:p w14:paraId="5EAF4E10">
      <w:pPr>
        <w:autoSpaceDE w:val="0"/>
        <w:autoSpaceDN w:val="0"/>
        <w:adjustRightInd w:val="0"/>
        <w:jc w:val="center"/>
        <w:rPr>
          <w:rFonts w:ascii="黑体" w:eastAsia="黑体" w:cs="黑体"/>
          <w:sz w:val="48"/>
          <w:szCs w:val="48"/>
          <w:lang w:val="zh-CN"/>
        </w:rPr>
      </w:pPr>
    </w:p>
    <w:p w14:paraId="4F1B9BDD">
      <w:pPr>
        <w:autoSpaceDE w:val="0"/>
        <w:autoSpaceDN w:val="0"/>
        <w:adjustRightInd w:val="0"/>
        <w:jc w:val="center"/>
        <w:rPr>
          <w:rFonts w:ascii="黑体" w:eastAsia="黑体" w:cs="黑体"/>
          <w:sz w:val="48"/>
          <w:szCs w:val="48"/>
          <w:lang w:val="zh-CN"/>
        </w:rPr>
      </w:pPr>
    </w:p>
    <w:p w14:paraId="7E28D06A">
      <w:pPr>
        <w:autoSpaceDE w:val="0"/>
        <w:autoSpaceDN w:val="0"/>
        <w:adjustRightInd w:val="0"/>
        <w:jc w:val="center"/>
        <w:rPr>
          <w:rFonts w:ascii="黑体" w:eastAsia="黑体" w:cs="黑体"/>
          <w:sz w:val="48"/>
          <w:szCs w:val="48"/>
          <w:lang w:val="zh-CN"/>
        </w:rPr>
      </w:pPr>
    </w:p>
    <w:p w14:paraId="6D29537A">
      <w:pPr>
        <w:autoSpaceDE w:val="0"/>
        <w:autoSpaceDN w:val="0"/>
        <w:adjustRightInd w:val="0"/>
        <w:jc w:val="center"/>
        <w:rPr>
          <w:rFonts w:ascii="黑体" w:eastAsia="黑体" w:cs="黑体"/>
          <w:sz w:val="48"/>
          <w:szCs w:val="48"/>
          <w:lang w:val="zh-CN"/>
        </w:rPr>
      </w:pPr>
    </w:p>
    <w:p w14:paraId="6F7FDB47">
      <w:pPr>
        <w:autoSpaceDE w:val="0"/>
        <w:autoSpaceDN w:val="0"/>
        <w:adjustRightInd w:val="0"/>
        <w:jc w:val="center"/>
        <w:rPr>
          <w:rFonts w:ascii="黑体" w:eastAsia="黑体" w:cs="黑体"/>
          <w:sz w:val="48"/>
          <w:szCs w:val="48"/>
          <w:lang w:val="zh-CN"/>
        </w:rPr>
      </w:pPr>
    </w:p>
    <w:p w14:paraId="1F0EE939">
      <w:pPr>
        <w:autoSpaceDE w:val="0"/>
        <w:autoSpaceDN w:val="0"/>
        <w:adjustRightInd w:val="0"/>
        <w:jc w:val="center"/>
        <w:rPr>
          <w:rFonts w:ascii="黑体" w:eastAsia="黑体" w:cs="黑体"/>
          <w:sz w:val="48"/>
          <w:szCs w:val="48"/>
          <w:lang w:val="zh-CN"/>
        </w:rPr>
      </w:pPr>
    </w:p>
    <w:p w14:paraId="163A13A4">
      <w:pPr>
        <w:autoSpaceDE w:val="0"/>
        <w:autoSpaceDN w:val="0"/>
        <w:adjustRightInd w:val="0"/>
        <w:jc w:val="center"/>
        <w:rPr>
          <w:rFonts w:ascii="黑体" w:eastAsia="黑体" w:cs="黑体"/>
          <w:sz w:val="48"/>
          <w:szCs w:val="48"/>
          <w:lang w:val="zh-CN"/>
        </w:rPr>
      </w:pPr>
    </w:p>
    <w:p w14:paraId="27052274">
      <w:pPr>
        <w:autoSpaceDE w:val="0"/>
        <w:autoSpaceDN w:val="0"/>
        <w:adjustRightInd w:val="0"/>
        <w:jc w:val="center"/>
        <w:rPr>
          <w:rFonts w:ascii="黑体" w:eastAsia="黑体" w:cs="黑体"/>
          <w:sz w:val="48"/>
          <w:szCs w:val="48"/>
          <w:lang w:val="zh-CN"/>
        </w:rPr>
      </w:pPr>
    </w:p>
    <w:p w14:paraId="51F83EE9">
      <w:pPr>
        <w:autoSpaceDE w:val="0"/>
        <w:autoSpaceDN w:val="0"/>
        <w:adjustRightInd w:val="0"/>
        <w:jc w:val="center"/>
        <w:rPr>
          <w:rFonts w:ascii="黑体" w:eastAsia="黑体" w:cs="黑体"/>
          <w:sz w:val="48"/>
          <w:szCs w:val="48"/>
          <w:lang w:val="zh-CN"/>
        </w:rPr>
      </w:pPr>
      <w:r>
        <w:rPr>
          <w:rFonts w:hint="eastAsia" w:ascii="黑体" w:eastAsia="黑体" w:cs="黑体"/>
          <w:sz w:val="48"/>
          <w:szCs w:val="48"/>
          <w:lang w:val="zh-CN"/>
        </w:rPr>
        <w:t>目录</w:t>
      </w:r>
    </w:p>
    <w:p w14:paraId="49D64E5F">
      <w:pPr>
        <w:autoSpaceDE w:val="0"/>
        <w:autoSpaceDN w:val="0"/>
        <w:adjustRightInd w:val="0"/>
        <w:jc w:val="center"/>
        <w:rPr>
          <w:rFonts w:ascii="黑体" w:eastAsia="黑体" w:cs="黑体"/>
          <w:sz w:val="28"/>
          <w:szCs w:val="28"/>
          <w:lang w:val="zh-CN"/>
        </w:rPr>
      </w:pPr>
    </w:p>
    <w:p w14:paraId="4F990867">
      <w:pPr>
        <w:tabs>
          <w:tab w:val="right" w:leader="dot" w:pos="8296"/>
        </w:tabs>
        <w:autoSpaceDE w:val="0"/>
        <w:autoSpaceDN w:val="0"/>
        <w:adjustRightInd w:val="0"/>
        <w:spacing w:before="93"/>
        <w:jc w:val="center"/>
        <w:rPr>
          <w:rFonts w:ascii="仿宋" w:eastAsia="仿宋" w:cs="仿宋"/>
          <w:sz w:val="28"/>
          <w:szCs w:val="28"/>
          <w:lang w:val="zh-CN"/>
        </w:rPr>
      </w:pPr>
      <w:r>
        <w:rPr>
          <w:rFonts w:hint="eastAsia" w:ascii="仿宋" w:eastAsia="仿宋" w:cs="仿宋"/>
          <w:sz w:val="28"/>
          <w:szCs w:val="28"/>
          <w:lang w:val="zh-CN"/>
        </w:rPr>
        <w:t>公开时间：</w:t>
      </w:r>
      <w:r>
        <w:rPr>
          <w:rFonts w:ascii="仿宋" w:eastAsia="仿宋" w:cs="仿宋"/>
          <w:sz w:val="28"/>
          <w:szCs w:val="28"/>
          <w:lang w:val="zh-CN"/>
        </w:rPr>
        <w:t>202</w:t>
      </w:r>
      <w:r>
        <w:rPr>
          <w:rFonts w:hint="eastAsia" w:ascii="仿宋" w:eastAsia="仿宋" w:cs="仿宋"/>
          <w:sz w:val="28"/>
          <w:szCs w:val="28"/>
          <w:lang w:val="zh-CN"/>
        </w:rPr>
        <w:t>6年9月18日</w:t>
      </w:r>
    </w:p>
    <w:p w14:paraId="038ACC37">
      <w:pPr>
        <w:autoSpaceDE w:val="0"/>
        <w:autoSpaceDN w:val="0"/>
        <w:adjustRightInd w:val="0"/>
        <w:rPr>
          <w:rFonts w:ascii="Times New Roman" w:hAnsi="Times New Roman" w:eastAsia="仿宋" w:cs="Times New Roman"/>
          <w:szCs w:val="21"/>
          <w:lang w:val="zh-CN"/>
        </w:rPr>
      </w:pPr>
    </w:p>
    <w:p w14:paraId="5A638E01">
      <w:pPr>
        <w:tabs>
          <w:tab w:val="right" w:leader="dot" w:pos="8296"/>
        </w:tabs>
        <w:autoSpaceDE w:val="0"/>
        <w:autoSpaceDN w:val="0"/>
        <w:adjustRightInd w:val="0"/>
        <w:spacing w:line="440" w:lineRule="exact"/>
        <w:jc w:val="left"/>
        <w:rPr>
          <w:rFonts w:ascii="仿宋" w:hAnsi="Times New Roman" w:eastAsia="仿宋" w:cs="仿宋"/>
          <w:sz w:val="24"/>
          <w:szCs w:val="24"/>
          <w:lang w:val="zh-CN"/>
        </w:rPr>
      </w:pPr>
      <w:r>
        <w:rPr>
          <w:rFonts w:hint="eastAsia" w:ascii="仿宋" w:hAnsi="Times New Roman" w:eastAsia="仿宋" w:cs="仿宋"/>
          <w:sz w:val="24"/>
          <w:szCs w:val="24"/>
          <w:lang w:val="zh-CN"/>
        </w:rPr>
        <w:t>第一部分</w:t>
      </w:r>
      <w:r>
        <w:rPr>
          <w:rFonts w:ascii="仿宋" w:hAnsi="Times New Roman" w:eastAsia="仿宋" w:cs="仿宋"/>
          <w:sz w:val="24"/>
          <w:szCs w:val="24"/>
          <w:lang w:val="zh-CN"/>
        </w:rPr>
        <w:t xml:space="preserve"> </w:t>
      </w:r>
      <w:r>
        <w:rPr>
          <w:rFonts w:hint="eastAsia" w:ascii="仿宋" w:hAnsi="Times New Roman" w:eastAsia="仿宋" w:cs="仿宋"/>
          <w:sz w:val="24"/>
          <w:szCs w:val="24"/>
          <w:lang w:val="zh-CN"/>
        </w:rPr>
        <w:t>部门概况</w:t>
      </w:r>
      <w:r>
        <w:rPr>
          <w:rFonts w:hint="eastAsia"/>
          <w:sz w:val="24"/>
        </w:rPr>
        <w:t>.......... ............. ............. ............. .......... ............. ............. .............4</w:t>
      </w:r>
    </w:p>
    <w:p w14:paraId="3A3D2276">
      <w:pPr>
        <w:tabs>
          <w:tab w:val="right" w:leader="dot" w:pos="8296"/>
        </w:tabs>
        <w:autoSpaceDE w:val="0"/>
        <w:autoSpaceDN w:val="0"/>
        <w:adjustRightInd w:val="0"/>
        <w:spacing w:line="440" w:lineRule="exact"/>
        <w:ind w:left="420"/>
        <w:jc w:val="left"/>
        <w:rPr>
          <w:rFonts w:ascii="仿宋" w:hAnsi="Times New Roman" w:eastAsia="仿宋" w:cs="仿宋"/>
          <w:sz w:val="24"/>
          <w:szCs w:val="24"/>
          <w:lang w:val="zh-CN"/>
        </w:rPr>
      </w:pPr>
      <w:r>
        <w:rPr>
          <w:rFonts w:hint="eastAsia" w:ascii="宋体" w:hAnsi="Times New Roman" w:eastAsia="宋体" w:cs="宋体"/>
          <w:sz w:val="24"/>
          <w:szCs w:val="24"/>
          <w:lang w:val="zh-CN"/>
        </w:rPr>
        <w:t>一、部门职责</w:t>
      </w:r>
      <w:r>
        <w:rPr>
          <w:rFonts w:hint="eastAsia"/>
          <w:sz w:val="24"/>
        </w:rPr>
        <w:t>.......... ............. ............. ............. .......... ............. ............. ............. ..</w:t>
      </w:r>
      <w:r>
        <w:rPr>
          <w:rFonts w:hint="eastAsia" w:ascii="宋体" w:hAnsi="Times New Roman" w:eastAsia="宋体" w:cs="宋体"/>
          <w:sz w:val="24"/>
          <w:szCs w:val="24"/>
          <w:lang w:val="zh-CN"/>
        </w:rPr>
        <w:t>4</w:t>
      </w:r>
    </w:p>
    <w:p w14:paraId="23D390F2">
      <w:pPr>
        <w:tabs>
          <w:tab w:val="right" w:leader="dot" w:pos="8296"/>
        </w:tabs>
        <w:autoSpaceDE w:val="0"/>
        <w:autoSpaceDN w:val="0"/>
        <w:adjustRightInd w:val="0"/>
        <w:spacing w:line="440" w:lineRule="exact"/>
        <w:ind w:left="420"/>
        <w:jc w:val="left"/>
        <w:rPr>
          <w:rFonts w:ascii="仿宋" w:hAnsi="Times New Roman" w:eastAsia="仿宋" w:cs="仿宋"/>
          <w:sz w:val="24"/>
          <w:szCs w:val="24"/>
          <w:lang w:val="zh-CN"/>
        </w:rPr>
      </w:pPr>
      <w:r>
        <w:rPr>
          <w:rFonts w:hint="eastAsia" w:ascii="宋体" w:hAnsi="Times New Roman" w:eastAsia="宋体" w:cs="宋体"/>
          <w:sz w:val="24"/>
          <w:szCs w:val="24"/>
          <w:lang w:val="zh-CN"/>
        </w:rPr>
        <w:t>二、机构设置</w:t>
      </w:r>
      <w:r>
        <w:rPr>
          <w:rFonts w:hint="eastAsia"/>
          <w:sz w:val="24"/>
        </w:rPr>
        <w:t>.......... ............. ............. ............. .......... ............. ............. ............. ..7</w:t>
      </w:r>
    </w:p>
    <w:p w14:paraId="3DD9FB3A">
      <w:pPr>
        <w:tabs>
          <w:tab w:val="right" w:leader="dot" w:pos="8296"/>
        </w:tabs>
        <w:autoSpaceDE w:val="0"/>
        <w:autoSpaceDN w:val="0"/>
        <w:adjustRightInd w:val="0"/>
        <w:spacing w:line="440" w:lineRule="exact"/>
        <w:jc w:val="left"/>
        <w:rPr>
          <w:rFonts w:ascii="仿宋" w:hAnsi="Times New Roman" w:eastAsia="仿宋" w:cs="仿宋"/>
          <w:sz w:val="24"/>
          <w:szCs w:val="24"/>
          <w:lang w:val="zh-CN"/>
        </w:rPr>
      </w:pPr>
      <w:r>
        <w:rPr>
          <w:rFonts w:hint="eastAsia" w:ascii="仿宋" w:hAnsi="Times New Roman" w:eastAsia="仿宋" w:cs="仿宋"/>
          <w:sz w:val="24"/>
          <w:szCs w:val="24"/>
          <w:lang w:val="zh-CN"/>
        </w:rPr>
        <w:t>第二部分</w:t>
      </w:r>
      <w:r>
        <w:rPr>
          <w:rFonts w:ascii="仿宋" w:hAnsi="Times New Roman" w:eastAsia="仿宋" w:cs="仿宋"/>
          <w:sz w:val="24"/>
          <w:szCs w:val="24"/>
          <w:lang w:val="zh-CN"/>
        </w:rPr>
        <w:t xml:space="preserve"> 202</w:t>
      </w:r>
      <w:r>
        <w:rPr>
          <w:rFonts w:hint="eastAsia" w:ascii="仿宋" w:hAnsi="Times New Roman" w:eastAsia="仿宋" w:cs="仿宋"/>
          <w:sz w:val="24"/>
          <w:szCs w:val="24"/>
          <w:lang w:val="zh-CN"/>
        </w:rPr>
        <w:t>5年度部门决算情况说明</w:t>
      </w:r>
      <w:r>
        <w:rPr>
          <w:rFonts w:hint="eastAsia"/>
          <w:sz w:val="24"/>
        </w:rPr>
        <w:t>... ............. .......... ............. ............. ............. ..8</w:t>
      </w:r>
    </w:p>
    <w:p w14:paraId="3A56494A">
      <w:pPr>
        <w:tabs>
          <w:tab w:val="right" w:leader="dot" w:pos="8296"/>
        </w:tabs>
        <w:autoSpaceDE w:val="0"/>
        <w:autoSpaceDN w:val="0"/>
        <w:adjustRightInd w:val="0"/>
        <w:spacing w:line="440" w:lineRule="exact"/>
        <w:ind w:left="420"/>
        <w:jc w:val="left"/>
        <w:rPr>
          <w:rFonts w:ascii="仿宋" w:hAnsi="Times New Roman" w:eastAsia="仿宋" w:cs="仿宋"/>
          <w:sz w:val="24"/>
          <w:szCs w:val="24"/>
          <w:lang w:val="zh-CN"/>
        </w:rPr>
      </w:pPr>
      <w:r>
        <w:rPr>
          <w:rFonts w:hint="eastAsia" w:ascii="宋体" w:hAnsi="Times New Roman" w:eastAsia="宋体" w:cs="宋体"/>
          <w:sz w:val="24"/>
          <w:szCs w:val="24"/>
          <w:lang w:val="zh-CN"/>
        </w:rPr>
        <w:t>一、收入支出决算总体情况说明</w:t>
      </w:r>
      <w:r>
        <w:rPr>
          <w:rFonts w:hint="eastAsia"/>
          <w:sz w:val="24"/>
        </w:rPr>
        <w:t>... ............. .......... ............. ............. ............. .. ..8</w:t>
      </w:r>
    </w:p>
    <w:p w14:paraId="1BF4D3A2">
      <w:pPr>
        <w:tabs>
          <w:tab w:val="right" w:leader="dot" w:pos="8296"/>
        </w:tabs>
        <w:autoSpaceDE w:val="0"/>
        <w:autoSpaceDN w:val="0"/>
        <w:adjustRightInd w:val="0"/>
        <w:spacing w:line="440" w:lineRule="exact"/>
        <w:ind w:left="420"/>
        <w:jc w:val="left"/>
        <w:rPr>
          <w:rFonts w:ascii="仿宋" w:hAnsi="Times New Roman" w:eastAsia="仿宋" w:cs="仿宋"/>
          <w:sz w:val="24"/>
          <w:szCs w:val="24"/>
          <w:lang w:val="zh-CN"/>
        </w:rPr>
      </w:pPr>
      <w:r>
        <w:rPr>
          <w:rFonts w:hint="eastAsia" w:ascii="宋体" w:hAnsi="Times New Roman" w:eastAsia="宋体" w:cs="宋体"/>
          <w:sz w:val="24"/>
          <w:szCs w:val="24"/>
          <w:lang w:val="zh-CN"/>
        </w:rPr>
        <w:t>二、收入决算情况说明</w:t>
      </w:r>
      <w:r>
        <w:rPr>
          <w:rFonts w:hint="eastAsia"/>
          <w:sz w:val="24"/>
        </w:rPr>
        <w:t>... ............. .......... ............. ............. . ............ ...... .... ........8</w:t>
      </w:r>
    </w:p>
    <w:p w14:paraId="2E06AE8B">
      <w:pPr>
        <w:tabs>
          <w:tab w:val="right" w:leader="dot" w:pos="8296"/>
        </w:tabs>
        <w:autoSpaceDE w:val="0"/>
        <w:autoSpaceDN w:val="0"/>
        <w:adjustRightInd w:val="0"/>
        <w:spacing w:line="440" w:lineRule="exact"/>
        <w:ind w:left="420"/>
        <w:jc w:val="left"/>
        <w:rPr>
          <w:rFonts w:ascii="仿宋" w:hAnsi="Times New Roman" w:eastAsia="仿宋" w:cs="仿宋"/>
          <w:sz w:val="24"/>
          <w:szCs w:val="24"/>
          <w:lang w:val="zh-CN"/>
        </w:rPr>
      </w:pPr>
      <w:r>
        <w:rPr>
          <w:rFonts w:hint="eastAsia" w:ascii="宋体" w:hAnsi="Times New Roman" w:eastAsia="宋体" w:cs="宋体"/>
          <w:sz w:val="24"/>
          <w:szCs w:val="24"/>
          <w:lang w:val="zh-CN"/>
        </w:rPr>
        <w:t>三、支出决算情况说明</w:t>
      </w:r>
      <w:r>
        <w:rPr>
          <w:rFonts w:hint="eastAsia"/>
          <w:sz w:val="24"/>
        </w:rPr>
        <w:t>... ............. .......... ............. ............. . ............ ...... .... ........9</w:t>
      </w:r>
    </w:p>
    <w:p w14:paraId="7E9AC8E6">
      <w:pPr>
        <w:tabs>
          <w:tab w:val="right" w:leader="dot" w:pos="8296"/>
        </w:tabs>
        <w:autoSpaceDE w:val="0"/>
        <w:autoSpaceDN w:val="0"/>
        <w:adjustRightInd w:val="0"/>
        <w:spacing w:line="440" w:lineRule="exact"/>
        <w:ind w:left="420"/>
        <w:jc w:val="left"/>
        <w:rPr>
          <w:rFonts w:ascii="仿宋" w:hAnsi="Times New Roman" w:eastAsia="仿宋" w:cs="仿宋"/>
          <w:sz w:val="24"/>
          <w:szCs w:val="24"/>
          <w:lang w:val="zh-CN"/>
        </w:rPr>
      </w:pPr>
      <w:r>
        <w:rPr>
          <w:rFonts w:hint="eastAsia" w:ascii="宋体" w:hAnsi="Times New Roman" w:eastAsia="宋体" w:cs="宋体"/>
          <w:sz w:val="24"/>
          <w:szCs w:val="24"/>
          <w:lang w:val="zh-CN"/>
        </w:rPr>
        <w:t>四、财政拨款收入支出决算总体情况说明</w:t>
      </w:r>
      <w:r>
        <w:rPr>
          <w:rFonts w:hint="eastAsia"/>
          <w:sz w:val="24"/>
        </w:rPr>
        <w:t>......... ............. . ............ ...... .... ........9</w:t>
      </w:r>
    </w:p>
    <w:p w14:paraId="1448FB70">
      <w:pPr>
        <w:tabs>
          <w:tab w:val="right" w:leader="dot" w:pos="8296"/>
        </w:tabs>
        <w:autoSpaceDE w:val="0"/>
        <w:autoSpaceDN w:val="0"/>
        <w:adjustRightInd w:val="0"/>
        <w:spacing w:line="440" w:lineRule="exact"/>
        <w:ind w:left="420"/>
        <w:jc w:val="left"/>
        <w:rPr>
          <w:rFonts w:ascii="仿宋" w:hAnsi="Times New Roman" w:eastAsia="仿宋" w:cs="仿宋"/>
          <w:sz w:val="24"/>
          <w:szCs w:val="24"/>
          <w:lang w:val="zh-CN"/>
        </w:rPr>
      </w:pPr>
      <w:r>
        <w:rPr>
          <w:rFonts w:hint="eastAsia" w:ascii="宋体" w:hAnsi="Times New Roman" w:eastAsia="宋体" w:cs="宋体"/>
          <w:sz w:val="24"/>
          <w:szCs w:val="24"/>
          <w:lang w:val="zh-CN"/>
        </w:rPr>
        <w:t>五、一般公共预算财政拨款支出决算情况说明</w:t>
      </w:r>
      <w:r>
        <w:rPr>
          <w:rFonts w:hint="eastAsia"/>
          <w:sz w:val="24"/>
        </w:rPr>
        <w:t>. ............. . ............ ...... .... ........10</w:t>
      </w:r>
    </w:p>
    <w:p w14:paraId="624D4014">
      <w:pPr>
        <w:tabs>
          <w:tab w:val="right" w:leader="dot" w:pos="8296"/>
        </w:tabs>
        <w:autoSpaceDE w:val="0"/>
        <w:autoSpaceDN w:val="0"/>
        <w:adjustRightInd w:val="0"/>
        <w:spacing w:line="440" w:lineRule="exact"/>
        <w:ind w:left="420"/>
        <w:jc w:val="left"/>
        <w:rPr>
          <w:rFonts w:ascii="仿宋" w:hAnsi="Times New Roman" w:eastAsia="仿宋" w:cs="仿宋"/>
          <w:sz w:val="24"/>
          <w:szCs w:val="24"/>
          <w:lang w:val="zh-CN"/>
        </w:rPr>
      </w:pPr>
      <w:r>
        <w:rPr>
          <w:rFonts w:hint="eastAsia" w:ascii="宋体" w:hAnsi="Times New Roman" w:eastAsia="宋体" w:cs="宋体"/>
          <w:sz w:val="24"/>
          <w:szCs w:val="24"/>
          <w:lang w:val="zh-CN"/>
        </w:rPr>
        <w:t>六、一般公共预算财政拨款基本支出决算情况说明</w:t>
      </w:r>
      <w:r>
        <w:rPr>
          <w:rFonts w:hint="eastAsia"/>
          <w:sz w:val="24"/>
        </w:rPr>
        <w:t>....... . ............ ...... .... ........14</w:t>
      </w:r>
    </w:p>
    <w:p w14:paraId="258E0116">
      <w:pPr>
        <w:tabs>
          <w:tab w:val="right" w:leader="dot" w:pos="8296"/>
        </w:tabs>
        <w:autoSpaceDE w:val="0"/>
        <w:autoSpaceDN w:val="0"/>
        <w:adjustRightInd w:val="0"/>
        <w:spacing w:line="440" w:lineRule="exact"/>
        <w:ind w:left="420"/>
        <w:jc w:val="left"/>
        <w:rPr>
          <w:rFonts w:ascii="仿宋" w:hAnsi="Times New Roman" w:eastAsia="仿宋" w:cs="仿宋"/>
          <w:sz w:val="24"/>
          <w:szCs w:val="24"/>
          <w:lang w:val="zh-CN"/>
        </w:rPr>
      </w:pPr>
      <w:r>
        <w:rPr>
          <w:rFonts w:hint="eastAsia" w:ascii="宋体" w:hAnsi="Times New Roman" w:eastAsia="宋体" w:cs="宋体"/>
          <w:sz w:val="24"/>
          <w:szCs w:val="24"/>
          <w:lang w:val="zh-CN"/>
        </w:rPr>
        <w:t>七、财政拨款</w:t>
      </w:r>
      <w:r>
        <w:rPr>
          <w:rFonts w:ascii="宋体" w:hAnsi="Times New Roman" w:eastAsia="宋体" w:cs="宋体"/>
          <w:sz w:val="24"/>
          <w:szCs w:val="24"/>
          <w:lang w:val="zh-CN"/>
        </w:rPr>
        <w:t>“</w:t>
      </w:r>
      <w:r>
        <w:rPr>
          <w:rFonts w:hint="eastAsia" w:ascii="宋体" w:hAnsi="Times New Roman" w:eastAsia="宋体" w:cs="宋体"/>
          <w:sz w:val="24"/>
          <w:szCs w:val="24"/>
          <w:lang w:val="zh-CN"/>
        </w:rPr>
        <w:t>三公</w:t>
      </w:r>
      <w:r>
        <w:rPr>
          <w:rFonts w:ascii="宋体" w:hAnsi="Times New Roman" w:eastAsia="宋体" w:cs="宋体"/>
          <w:sz w:val="24"/>
          <w:szCs w:val="24"/>
          <w:lang w:val="zh-CN"/>
        </w:rPr>
        <w:t>”</w:t>
      </w:r>
      <w:r>
        <w:rPr>
          <w:rFonts w:hint="eastAsia" w:ascii="宋体" w:hAnsi="Times New Roman" w:eastAsia="宋体" w:cs="宋体"/>
          <w:sz w:val="24"/>
          <w:szCs w:val="24"/>
          <w:lang w:val="zh-CN"/>
        </w:rPr>
        <w:t>经费支出决算情况说明</w:t>
      </w:r>
      <w:r>
        <w:rPr>
          <w:rFonts w:hint="eastAsia"/>
          <w:sz w:val="24"/>
        </w:rPr>
        <w:t>...... ............. . ............ ...... .... ........15</w:t>
      </w:r>
    </w:p>
    <w:p w14:paraId="157569A5">
      <w:pPr>
        <w:tabs>
          <w:tab w:val="right" w:leader="dot" w:pos="8296"/>
        </w:tabs>
        <w:autoSpaceDE w:val="0"/>
        <w:autoSpaceDN w:val="0"/>
        <w:adjustRightInd w:val="0"/>
        <w:spacing w:line="440" w:lineRule="exact"/>
        <w:ind w:left="420"/>
        <w:jc w:val="left"/>
        <w:rPr>
          <w:rFonts w:ascii="仿宋" w:hAnsi="Times New Roman" w:eastAsia="仿宋" w:cs="仿宋"/>
          <w:sz w:val="24"/>
          <w:szCs w:val="24"/>
          <w:lang w:val="zh-CN"/>
        </w:rPr>
      </w:pPr>
      <w:r>
        <w:rPr>
          <w:rFonts w:hint="eastAsia" w:ascii="宋体" w:hAnsi="Times New Roman" w:eastAsia="宋体" w:cs="宋体"/>
          <w:sz w:val="24"/>
          <w:szCs w:val="24"/>
          <w:lang w:val="zh-CN"/>
        </w:rPr>
        <w:t>八、政府性基金预算支出决算情况说明</w:t>
      </w:r>
      <w:r>
        <w:rPr>
          <w:rFonts w:hint="eastAsia"/>
          <w:sz w:val="24"/>
        </w:rPr>
        <w:t>...... ............. . ............ ...... .... ........ .......17</w:t>
      </w:r>
    </w:p>
    <w:p w14:paraId="19C748BD">
      <w:pPr>
        <w:tabs>
          <w:tab w:val="right" w:leader="dot" w:pos="8296"/>
        </w:tabs>
        <w:autoSpaceDE w:val="0"/>
        <w:autoSpaceDN w:val="0"/>
        <w:adjustRightInd w:val="0"/>
        <w:spacing w:line="440" w:lineRule="exact"/>
        <w:ind w:left="420"/>
        <w:jc w:val="left"/>
        <w:rPr>
          <w:rFonts w:ascii="宋体" w:hAnsi="Times New Roman" w:eastAsia="宋体" w:cs="宋体"/>
          <w:sz w:val="24"/>
          <w:szCs w:val="24"/>
          <w:lang w:val="zh-CN"/>
        </w:rPr>
      </w:pPr>
      <w:r>
        <w:rPr>
          <w:rFonts w:hint="eastAsia" w:ascii="宋体" w:hAnsi="Times New Roman" w:eastAsia="宋体" w:cs="宋体"/>
          <w:sz w:val="24"/>
          <w:szCs w:val="24"/>
          <w:lang w:val="zh-CN"/>
        </w:rPr>
        <w:t>九、国有资本经营预算支出决算情况说明</w:t>
      </w:r>
      <w:r>
        <w:rPr>
          <w:rFonts w:hint="eastAsia"/>
          <w:sz w:val="24"/>
        </w:rPr>
        <w:t>.. ............. . ............ ...... .... ........ .......17</w:t>
      </w:r>
    </w:p>
    <w:p w14:paraId="151C7EC8">
      <w:pPr>
        <w:keepNext/>
        <w:keepLines/>
        <w:autoSpaceDE w:val="0"/>
        <w:autoSpaceDN w:val="0"/>
        <w:adjustRightInd w:val="0"/>
        <w:spacing w:line="440" w:lineRule="exact"/>
        <w:ind w:firstLine="420"/>
        <w:jc w:val="left"/>
        <w:rPr>
          <w:rFonts w:ascii="宋体" w:hAnsi="Times New Roman" w:eastAsia="宋体" w:cs="宋体"/>
          <w:sz w:val="24"/>
          <w:szCs w:val="24"/>
          <w:lang w:val="zh-CN"/>
        </w:rPr>
      </w:pPr>
      <w:r>
        <w:rPr>
          <w:rFonts w:hint="eastAsia" w:ascii="宋体" w:hAnsi="Times New Roman" w:eastAsia="宋体" w:cs="宋体"/>
          <w:sz w:val="24"/>
          <w:szCs w:val="24"/>
          <w:lang w:val="zh-CN"/>
        </w:rPr>
        <w:t>十、其他重要事项的情况说明</w:t>
      </w:r>
      <w:r>
        <w:rPr>
          <w:rFonts w:hint="eastAsia"/>
          <w:sz w:val="24"/>
        </w:rPr>
        <w:t>...... .......... ............. ............. . ............ ...... .... .......</w:t>
      </w:r>
      <w:r>
        <w:rPr>
          <w:rFonts w:hint="eastAsia" w:ascii="宋体" w:hAnsi="Times New Roman" w:eastAsia="宋体" w:cs="宋体"/>
          <w:sz w:val="24"/>
          <w:szCs w:val="24"/>
          <w:lang w:val="zh-CN"/>
        </w:rPr>
        <w:t>17</w:t>
      </w:r>
    </w:p>
    <w:p w14:paraId="14167135">
      <w:pPr>
        <w:tabs>
          <w:tab w:val="right" w:leader="dot" w:pos="8296"/>
        </w:tabs>
        <w:autoSpaceDE w:val="0"/>
        <w:autoSpaceDN w:val="0"/>
        <w:adjustRightInd w:val="0"/>
        <w:spacing w:line="440" w:lineRule="exact"/>
        <w:jc w:val="left"/>
        <w:rPr>
          <w:rFonts w:ascii="仿宋" w:hAnsi="Times New Roman" w:eastAsia="仿宋" w:cs="仿宋"/>
          <w:sz w:val="24"/>
          <w:szCs w:val="24"/>
          <w:lang w:val="zh-CN"/>
        </w:rPr>
      </w:pPr>
      <w:r>
        <w:rPr>
          <w:rFonts w:hint="eastAsia" w:ascii="仿宋" w:hAnsi="Times New Roman" w:eastAsia="仿宋" w:cs="仿宋"/>
          <w:sz w:val="24"/>
          <w:szCs w:val="24"/>
          <w:lang w:val="zh-CN"/>
        </w:rPr>
        <w:t>第三部分</w:t>
      </w:r>
      <w:r>
        <w:rPr>
          <w:rFonts w:ascii="仿宋" w:hAnsi="Times New Roman" w:eastAsia="仿宋" w:cs="仿宋"/>
          <w:sz w:val="24"/>
          <w:szCs w:val="24"/>
          <w:lang w:val="zh-CN"/>
        </w:rPr>
        <w:t xml:space="preserve"> </w:t>
      </w:r>
      <w:r>
        <w:rPr>
          <w:rFonts w:hint="eastAsia" w:ascii="仿宋" w:hAnsi="Times New Roman" w:eastAsia="仿宋" w:cs="仿宋"/>
          <w:sz w:val="24"/>
          <w:szCs w:val="24"/>
          <w:lang w:val="zh-CN"/>
        </w:rPr>
        <w:t>名词解释</w:t>
      </w:r>
      <w:r>
        <w:rPr>
          <w:rFonts w:hint="eastAsia"/>
          <w:sz w:val="24"/>
        </w:rPr>
        <w:t>.......... ............. ............. ............. .......... ............. ............. .............20</w:t>
      </w:r>
    </w:p>
    <w:p w14:paraId="0FCDE6F9">
      <w:pPr>
        <w:tabs>
          <w:tab w:val="right" w:leader="dot" w:pos="8296"/>
        </w:tabs>
        <w:autoSpaceDE w:val="0"/>
        <w:autoSpaceDN w:val="0"/>
        <w:adjustRightInd w:val="0"/>
        <w:spacing w:line="440" w:lineRule="exact"/>
        <w:jc w:val="left"/>
        <w:rPr>
          <w:rFonts w:ascii="仿宋" w:hAnsi="Times New Roman" w:eastAsia="仿宋" w:cs="仿宋"/>
          <w:sz w:val="24"/>
          <w:szCs w:val="24"/>
          <w:lang w:val="zh-CN"/>
        </w:rPr>
      </w:pPr>
      <w:r>
        <w:rPr>
          <w:rFonts w:hint="eastAsia" w:ascii="仿宋" w:hAnsi="Times New Roman" w:eastAsia="仿宋" w:cs="仿宋"/>
          <w:sz w:val="24"/>
          <w:szCs w:val="24"/>
          <w:lang w:val="zh-CN"/>
        </w:rPr>
        <w:t>第四部分</w:t>
      </w:r>
      <w:r>
        <w:rPr>
          <w:rFonts w:ascii="仿宋" w:hAnsi="Times New Roman" w:eastAsia="仿宋" w:cs="仿宋"/>
          <w:sz w:val="24"/>
          <w:szCs w:val="24"/>
          <w:lang w:val="zh-CN"/>
        </w:rPr>
        <w:t xml:space="preserve"> </w:t>
      </w:r>
      <w:r>
        <w:rPr>
          <w:rFonts w:hint="eastAsia" w:ascii="仿宋" w:hAnsi="Times New Roman" w:eastAsia="仿宋" w:cs="仿宋"/>
          <w:sz w:val="24"/>
          <w:szCs w:val="24"/>
          <w:lang w:val="zh-CN"/>
        </w:rPr>
        <w:t>附件</w:t>
      </w:r>
      <w:r>
        <w:rPr>
          <w:rFonts w:hint="eastAsia"/>
          <w:sz w:val="24"/>
        </w:rPr>
        <w:t>.......... ............. ............. ............. .......... ............. ............. ............. .. ....25</w:t>
      </w:r>
    </w:p>
    <w:p w14:paraId="3AB59E57">
      <w:pPr>
        <w:tabs>
          <w:tab w:val="right" w:leader="dot" w:pos="8296"/>
        </w:tabs>
        <w:autoSpaceDE w:val="0"/>
        <w:autoSpaceDN w:val="0"/>
        <w:adjustRightInd w:val="0"/>
        <w:spacing w:line="440" w:lineRule="exact"/>
        <w:jc w:val="left"/>
        <w:rPr>
          <w:rFonts w:ascii="仿宋" w:hAnsi="Times New Roman" w:eastAsia="仿宋" w:cs="仿宋"/>
          <w:sz w:val="24"/>
          <w:szCs w:val="24"/>
          <w:lang w:val="zh-CN"/>
        </w:rPr>
      </w:pPr>
      <w:r>
        <w:rPr>
          <w:rFonts w:hint="eastAsia" w:ascii="仿宋" w:hAnsi="Times New Roman" w:eastAsia="仿宋" w:cs="仿宋"/>
          <w:sz w:val="24"/>
          <w:szCs w:val="24"/>
          <w:lang w:val="zh-CN"/>
        </w:rPr>
        <w:t>第五部分</w:t>
      </w:r>
      <w:r>
        <w:rPr>
          <w:rFonts w:ascii="仿宋" w:hAnsi="Times New Roman" w:eastAsia="仿宋" w:cs="仿宋"/>
          <w:sz w:val="24"/>
          <w:szCs w:val="24"/>
          <w:lang w:val="zh-CN"/>
        </w:rPr>
        <w:t xml:space="preserve"> </w:t>
      </w:r>
      <w:r>
        <w:rPr>
          <w:rFonts w:hint="eastAsia" w:ascii="仿宋" w:hAnsi="Times New Roman" w:eastAsia="仿宋" w:cs="仿宋"/>
          <w:sz w:val="24"/>
          <w:szCs w:val="24"/>
          <w:lang w:val="zh-CN"/>
        </w:rPr>
        <w:t>附表</w:t>
      </w:r>
      <w:r>
        <w:rPr>
          <w:rFonts w:hint="eastAsia"/>
          <w:sz w:val="24"/>
        </w:rPr>
        <w:t>.......... ............. ............. ............. .......... ............. ............. ............. .. ....41</w:t>
      </w:r>
    </w:p>
    <w:p w14:paraId="37597918">
      <w:pPr>
        <w:tabs>
          <w:tab w:val="right" w:leader="dot" w:pos="8296"/>
        </w:tabs>
        <w:autoSpaceDE w:val="0"/>
        <w:autoSpaceDN w:val="0"/>
        <w:adjustRightInd w:val="0"/>
        <w:spacing w:line="440" w:lineRule="exact"/>
        <w:ind w:left="420"/>
        <w:jc w:val="left"/>
        <w:rPr>
          <w:rFonts w:ascii="宋体" w:hAnsi="Times New Roman" w:eastAsia="宋体" w:cs="宋体"/>
          <w:sz w:val="24"/>
          <w:szCs w:val="24"/>
          <w:lang w:val="zh-CN"/>
        </w:rPr>
      </w:pPr>
      <w:r>
        <w:rPr>
          <w:rFonts w:hint="eastAsia" w:ascii="宋体" w:hAnsi="Times New Roman" w:eastAsia="宋体" w:cs="宋体"/>
          <w:sz w:val="24"/>
          <w:szCs w:val="24"/>
          <w:lang w:val="zh-CN"/>
        </w:rPr>
        <w:t>一、收入支出决算总表</w:t>
      </w:r>
      <w:r>
        <w:rPr>
          <w:rFonts w:hint="eastAsia"/>
          <w:sz w:val="24"/>
        </w:rPr>
        <w:t>... ............. ............. .......... ............. ............. ............. .. ....41</w:t>
      </w:r>
    </w:p>
    <w:p w14:paraId="6819C658">
      <w:pPr>
        <w:tabs>
          <w:tab w:val="right" w:leader="dot" w:pos="8296"/>
        </w:tabs>
        <w:autoSpaceDE w:val="0"/>
        <w:autoSpaceDN w:val="0"/>
        <w:adjustRightInd w:val="0"/>
        <w:spacing w:line="440" w:lineRule="exact"/>
        <w:ind w:left="420"/>
        <w:jc w:val="left"/>
        <w:rPr>
          <w:rFonts w:ascii="宋体" w:hAnsi="Times New Roman" w:eastAsia="宋体" w:cs="宋体"/>
          <w:sz w:val="24"/>
          <w:szCs w:val="24"/>
          <w:lang w:val="zh-CN"/>
        </w:rPr>
      </w:pPr>
      <w:r>
        <w:rPr>
          <w:rFonts w:hint="eastAsia" w:ascii="宋体" w:hAnsi="Times New Roman" w:eastAsia="宋体" w:cs="宋体"/>
          <w:sz w:val="24"/>
          <w:szCs w:val="24"/>
          <w:lang w:val="zh-CN"/>
        </w:rPr>
        <w:t>二、收入决算表</w:t>
      </w:r>
      <w:r>
        <w:rPr>
          <w:rFonts w:hint="eastAsia"/>
          <w:sz w:val="24"/>
        </w:rPr>
        <w:t>............. ............. ............. .......... ............. ............. ............. .... ....41</w:t>
      </w:r>
    </w:p>
    <w:p w14:paraId="3411C607">
      <w:pPr>
        <w:tabs>
          <w:tab w:val="right" w:leader="dot" w:pos="8296"/>
        </w:tabs>
        <w:autoSpaceDE w:val="0"/>
        <w:autoSpaceDN w:val="0"/>
        <w:adjustRightInd w:val="0"/>
        <w:spacing w:line="440" w:lineRule="exact"/>
        <w:ind w:left="420"/>
        <w:jc w:val="left"/>
        <w:rPr>
          <w:rFonts w:ascii="宋体" w:hAnsi="Times New Roman" w:eastAsia="宋体" w:cs="宋体"/>
          <w:sz w:val="24"/>
          <w:szCs w:val="24"/>
          <w:lang w:val="zh-CN"/>
        </w:rPr>
      </w:pPr>
      <w:r>
        <w:rPr>
          <w:rFonts w:hint="eastAsia" w:ascii="宋体" w:hAnsi="Times New Roman" w:eastAsia="宋体" w:cs="宋体"/>
          <w:sz w:val="24"/>
          <w:szCs w:val="24"/>
          <w:lang w:val="zh-CN"/>
        </w:rPr>
        <w:t>三、支出决算表</w:t>
      </w:r>
      <w:r>
        <w:rPr>
          <w:rFonts w:hint="eastAsia"/>
          <w:sz w:val="24"/>
        </w:rPr>
        <w:t>............. ............. ............. .......... ............. ............. ............. .. .. ....41</w:t>
      </w:r>
    </w:p>
    <w:p w14:paraId="0A431E61">
      <w:pPr>
        <w:tabs>
          <w:tab w:val="right" w:leader="dot" w:pos="8296"/>
        </w:tabs>
        <w:autoSpaceDE w:val="0"/>
        <w:autoSpaceDN w:val="0"/>
        <w:adjustRightInd w:val="0"/>
        <w:spacing w:line="440" w:lineRule="exact"/>
        <w:ind w:left="420"/>
        <w:jc w:val="left"/>
        <w:rPr>
          <w:rFonts w:ascii="宋体" w:hAnsi="Times New Roman" w:eastAsia="宋体" w:cs="宋体"/>
          <w:sz w:val="24"/>
          <w:szCs w:val="24"/>
          <w:lang w:val="zh-CN"/>
        </w:rPr>
      </w:pPr>
      <w:r>
        <w:rPr>
          <w:rFonts w:hint="eastAsia" w:ascii="宋体" w:hAnsi="Times New Roman" w:eastAsia="宋体" w:cs="宋体"/>
          <w:sz w:val="24"/>
          <w:szCs w:val="24"/>
          <w:lang w:val="zh-CN"/>
        </w:rPr>
        <w:t>四、财政拨款收入支出决算总表</w:t>
      </w:r>
      <w:r>
        <w:rPr>
          <w:rFonts w:hint="eastAsia"/>
          <w:sz w:val="24"/>
        </w:rPr>
        <w:t>............. .......... ............. ............. ............. .. .. ....41</w:t>
      </w:r>
    </w:p>
    <w:p w14:paraId="6C574370">
      <w:pPr>
        <w:tabs>
          <w:tab w:val="right" w:leader="dot" w:pos="8296"/>
        </w:tabs>
        <w:autoSpaceDE w:val="0"/>
        <w:autoSpaceDN w:val="0"/>
        <w:adjustRightInd w:val="0"/>
        <w:spacing w:line="440" w:lineRule="exact"/>
        <w:ind w:left="420"/>
        <w:jc w:val="left"/>
        <w:rPr>
          <w:rFonts w:ascii="宋体" w:hAnsi="Times New Roman" w:eastAsia="宋体" w:cs="宋体"/>
          <w:sz w:val="24"/>
          <w:szCs w:val="24"/>
          <w:lang w:val="zh-CN"/>
        </w:rPr>
      </w:pPr>
      <w:r>
        <w:rPr>
          <w:rFonts w:hint="eastAsia" w:ascii="宋体" w:hAnsi="Times New Roman" w:eastAsia="宋体" w:cs="宋体"/>
          <w:sz w:val="24"/>
          <w:szCs w:val="24"/>
          <w:lang w:val="zh-CN"/>
        </w:rPr>
        <w:t>五、财政拨款支出决算明细表</w:t>
      </w:r>
      <w:r>
        <w:rPr>
          <w:rFonts w:hint="eastAsia"/>
          <w:sz w:val="24"/>
        </w:rPr>
        <w:t>.. ............. .......... ............. ............. ............. .. .. ....41</w:t>
      </w:r>
    </w:p>
    <w:p w14:paraId="1596819A">
      <w:pPr>
        <w:tabs>
          <w:tab w:val="right" w:leader="dot" w:pos="8296"/>
        </w:tabs>
        <w:autoSpaceDE w:val="0"/>
        <w:autoSpaceDN w:val="0"/>
        <w:adjustRightInd w:val="0"/>
        <w:spacing w:line="440" w:lineRule="exact"/>
        <w:ind w:left="420"/>
        <w:jc w:val="left"/>
        <w:rPr>
          <w:rFonts w:ascii="宋体" w:hAnsi="Times New Roman" w:eastAsia="宋体" w:cs="宋体"/>
          <w:sz w:val="24"/>
          <w:szCs w:val="24"/>
          <w:lang w:val="zh-CN"/>
        </w:rPr>
      </w:pPr>
      <w:r>
        <w:rPr>
          <w:rFonts w:hint="eastAsia" w:ascii="宋体" w:hAnsi="Times New Roman" w:eastAsia="宋体" w:cs="宋体"/>
          <w:sz w:val="24"/>
          <w:szCs w:val="24"/>
          <w:lang w:val="zh-CN"/>
        </w:rPr>
        <w:t>六、一般公共预算财政拨款支出决算表</w:t>
      </w:r>
      <w:r>
        <w:rPr>
          <w:rFonts w:hint="eastAsia"/>
          <w:sz w:val="24"/>
        </w:rPr>
        <w:t>.......... ............. ............. ............. .. .. ....41</w:t>
      </w:r>
    </w:p>
    <w:p w14:paraId="11DE2F81">
      <w:pPr>
        <w:tabs>
          <w:tab w:val="right" w:leader="dot" w:pos="8296"/>
        </w:tabs>
        <w:autoSpaceDE w:val="0"/>
        <w:autoSpaceDN w:val="0"/>
        <w:adjustRightInd w:val="0"/>
        <w:spacing w:line="440" w:lineRule="exact"/>
        <w:ind w:left="420"/>
        <w:jc w:val="left"/>
        <w:rPr>
          <w:rFonts w:ascii="宋体" w:hAnsi="Times New Roman" w:eastAsia="宋体" w:cs="宋体"/>
          <w:sz w:val="24"/>
          <w:szCs w:val="24"/>
          <w:lang w:val="zh-CN"/>
        </w:rPr>
      </w:pPr>
      <w:r>
        <w:rPr>
          <w:rFonts w:hint="eastAsia" w:ascii="宋体" w:hAnsi="Times New Roman" w:eastAsia="宋体" w:cs="宋体"/>
          <w:sz w:val="24"/>
          <w:szCs w:val="24"/>
          <w:lang w:val="zh-CN"/>
        </w:rPr>
        <w:t>七、一般公共预算财政拨款支出决算明细表</w:t>
      </w:r>
      <w:r>
        <w:rPr>
          <w:rFonts w:hint="eastAsia"/>
          <w:sz w:val="24"/>
        </w:rPr>
        <w:t>.. ............. ............. ............. .. .. ....41</w:t>
      </w:r>
    </w:p>
    <w:p w14:paraId="467316BA">
      <w:pPr>
        <w:tabs>
          <w:tab w:val="right" w:leader="dot" w:pos="8296"/>
        </w:tabs>
        <w:autoSpaceDE w:val="0"/>
        <w:autoSpaceDN w:val="0"/>
        <w:adjustRightInd w:val="0"/>
        <w:spacing w:line="440" w:lineRule="exact"/>
        <w:ind w:left="420"/>
        <w:jc w:val="left"/>
        <w:rPr>
          <w:rFonts w:ascii="宋体" w:hAnsi="Times New Roman" w:eastAsia="宋体" w:cs="宋体"/>
          <w:sz w:val="24"/>
          <w:szCs w:val="24"/>
          <w:lang w:val="zh-CN"/>
        </w:rPr>
      </w:pPr>
      <w:r>
        <w:rPr>
          <w:rFonts w:hint="eastAsia" w:ascii="宋体" w:hAnsi="Times New Roman" w:eastAsia="宋体" w:cs="宋体"/>
          <w:sz w:val="24"/>
          <w:szCs w:val="24"/>
          <w:lang w:val="zh-CN"/>
        </w:rPr>
        <w:t>八、一般公共预算财政拨款基本支出决算明细表</w:t>
      </w:r>
      <w:r>
        <w:rPr>
          <w:rFonts w:hint="eastAsia"/>
          <w:sz w:val="24"/>
        </w:rPr>
        <w:t>........ ............. ............. .. .. ....41</w:t>
      </w:r>
    </w:p>
    <w:p w14:paraId="6C439A2E">
      <w:pPr>
        <w:tabs>
          <w:tab w:val="right" w:leader="dot" w:pos="8296"/>
        </w:tabs>
        <w:autoSpaceDE w:val="0"/>
        <w:autoSpaceDN w:val="0"/>
        <w:adjustRightInd w:val="0"/>
        <w:spacing w:line="440" w:lineRule="exact"/>
        <w:ind w:left="420"/>
        <w:jc w:val="left"/>
        <w:rPr>
          <w:rFonts w:ascii="宋体" w:hAnsi="Times New Roman" w:eastAsia="宋体" w:cs="宋体"/>
          <w:sz w:val="24"/>
          <w:szCs w:val="24"/>
          <w:lang w:val="zh-CN"/>
        </w:rPr>
      </w:pPr>
      <w:r>
        <w:rPr>
          <w:rFonts w:hint="eastAsia" w:ascii="宋体" w:hAnsi="Times New Roman" w:eastAsia="宋体" w:cs="宋体"/>
          <w:sz w:val="24"/>
          <w:szCs w:val="24"/>
          <w:lang w:val="zh-CN"/>
        </w:rPr>
        <w:t>九、一般公共预算财政拨款项目支出决算表</w:t>
      </w:r>
      <w:r>
        <w:rPr>
          <w:rFonts w:hint="eastAsia"/>
          <w:sz w:val="24"/>
        </w:rPr>
        <w:t>........ ............. ......... ... ... .... .. .. ....41</w:t>
      </w:r>
    </w:p>
    <w:p w14:paraId="6CD84E4B">
      <w:pPr>
        <w:tabs>
          <w:tab w:val="right" w:leader="dot" w:pos="8296"/>
        </w:tabs>
        <w:autoSpaceDE w:val="0"/>
        <w:autoSpaceDN w:val="0"/>
        <w:adjustRightInd w:val="0"/>
        <w:spacing w:line="440" w:lineRule="exact"/>
        <w:ind w:left="420"/>
        <w:jc w:val="left"/>
        <w:rPr>
          <w:rFonts w:ascii="宋体" w:hAnsi="Times New Roman" w:eastAsia="宋体" w:cs="宋体"/>
          <w:sz w:val="24"/>
          <w:szCs w:val="24"/>
          <w:lang w:val="zh-CN"/>
        </w:rPr>
      </w:pPr>
      <w:r>
        <w:rPr>
          <w:rFonts w:hint="eastAsia" w:ascii="宋体" w:hAnsi="Times New Roman" w:eastAsia="宋体" w:cs="宋体"/>
          <w:sz w:val="24"/>
          <w:szCs w:val="24"/>
          <w:lang w:val="zh-CN"/>
        </w:rPr>
        <w:t>十、政府性基金预算财政拨款收入支出决算表</w:t>
      </w:r>
      <w:r>
        <w:rPr>
          <w:rFonts w:hint="eastAsia"/>
          <w:sz w:val="24"/>
        </w:rPr>
        <w:t>........ ............. ............. .. .. ....41</w:t>
      </w:r>
    </w:p>
    <w:p w14:paraId="4513D11A">
      <w:pPr>
        <w:tabs>
          <w:tab w:val="right" w:leader="dot" w:pos="8296"/>
        </w:tabs>
        <w:autoSpaceDE w:val="0"/>
        <w:autoSpaceDN w:val="0"/>
        <w:adjustRightInd w:val="0"/>
        <w:spacing w:line="440" w:lineRule="exact"/>
        <w:ind w:left="420"/>
        <w:jc w:val="left"/>
        <w:rPr>
          <w:rFonts w:ascii="宋体" w:hAnsi="Times New Roman" w:eastAsia="宋体" w:cs="宋体"/>
          <w:sz w:val="24"/>
          <w:szCs w:val="24"/>
          <w:lang w:val="zh-CN"/>
        </w:rPr>
      </w:pPr>
      <w:r>
        <w:rPr>
          <w:rFonts w:hint="eastAsia" w:ascii="宋体" w:hAnsi="Times New Roman" w:eastAsia="宋体" w:cs="宋体"/>
          <w:sz w:val="24"/>
          <w:szCs w:val="24"/>
          <w:lang w:val="zh-CN"/>
        </w:rPr>
        <w:t>十一、国有资本经营预算财政拨款收入支出决算表</w:t>
      </w:r>
      <w:r>
        <w:rPr>
          <w:rFonts w:hint="eastAsia"/>
          <w:sz w:val="24"/>
        </w:rPr>
        <w:t>........ ............. ............. .. .. ....41</w:t>
      </w:r>
    </w:p>
    <w:p w14:paraId="14797838">
      <w:pPr>
        <w:tabs>
          <w:tab w:val="right" w:leader="dot" w:pos="8296"/>
        </w:tabs>
        <w:autoSpaceDE w:val="0"/>
        <w:autoSpaceDN w:val="0"/>
        <w:adjustRightInd w:val="0"/>
        <w:spacing w:line="440" w:lineRule="exact"/>
        <w:ind w:left="420"/>
        <w:jc w:val="left"/>
        <w:rPr>
          <w:rFonts w:ascii="宋体" w:hAnsi="Times New Roman" w:eastAsia="宋体" w:cs="宋体"/>
          <w:sz w:val="24"/>
          <w:szCs w:val="24"/>
          <w:lang w:val="zh-CN"/>
        </w:rPr>
      </w:pPr>
      <w:r>
        <w:rPr>
          <w:rFonts w:hint="eastAsia" w:ascii="宋体" w:hAnsi="Times New Roman" w:eastAsia="宋体" w:cs="宋体"/>
          <w:sz w:val="24"/>
          <w:szCs w:val="24"/>
          <w:lang w:val="zh-CN"/>
        </w:rPr>
        <w:t>十二、国有资本经营预算财政拨款支出决算表</w:t>
      </w:r>
      <w:r>
        <w:rPr>
          <w:rFonts w:hint="eastAsia"/>
          <w:sz w:val="24"/>
        </w:rPr>
        <w:t>........ ............. ............. .. .. ....41</w:t>
      </w:r>
    </w:p>
    <w:p w14:paraId="057A7454">
      <w:pPr>
        <w:tabs>
          <w:tab w:val="right" w:leader="dot" w:pos="8296"/>
        </w:tabs>
        <w:autoSpaceDE w:val="0"/>
        <w:autoSpaceDN w:val="0"/>
        <w:adjustRightInd w:val="0"/>
        <w:spacing w:line="440" w:lineRule="exact"/>
        <w:ind w:left="420"/>
        <w:jc w:val="left"/>
        <w:rPr>
          <w:rFonts w:ascii="宋体" w:hAnsi="Times New Roman" w:eastAsia="宋体" w:cs="宋体"/>
          <w:sz w:val="24"/>
          <w:szCs w:val="24"/>
          <w:lang w:val="zh-CN"/>
        </w:rPr>
      </w:pPr>
      <w:r>
        <w:rPr>
          <w:rFonts w:hint="eastAsia" w:ascii="宋体" w:hAnsi="Times New Roman" w:eastAsia="宋体" w:cs="宋体"/>
          <w:sz w:val="24"/>
          <w:szCs w:val="24"/>
          <w:lang w:val="zh-CN"/>
        </w:rPr>
        <w:t>十三、财政拨款</w:t>
      </w:r>
      <w:r>
        <w:rPr>
          <w:rFonts w:ascii="宋体" w:hAnsi="Times New Roman" w:eastAsia="宋体" w:cs="宋体"/>
          <w:sz w:val="24"/>
          <w:szCs w:val="24"/>
          <w:lang w:val="zh-CN"/>
        </w:rPr>
        <w:t>“</w:t>
      </w:r>
      <w:r>
        <w:rPr>
          <w:rFonts w:hint="eastAsia" w:ascii="宋体" w:hAnsi="Times New Roman" w:eastAsia="宋体" w:cs="宋体"/>
          <w:sz w:val="24"/>
          <w:szCs w:val="24"/>
          <w:lang w:val="zh-CN"/>
        </w:rPr>
        <w:t>三公</w:t>
      </w:r>
      <w:r>
        <w:rPr>
          <w:rFonts w:ascii="宋体" w:hAnsi="Times New Roman" w:eastAsia="宋体" w:cs="宋体"/>
          <w:sz w:val="24"/>
          <w:szCs w:val="24"/>
          <w:lang w:val="zh-CN"/>
        </w:rPr>
        <w:t>”</w:t>
      </w:r>
      <w:r>
        <w:rPr>
          <w:rFonts w:hint="eastAsia" w:ascii="宋体" w:hAnsi="Times New Roman" w:eastAsia="宋体" w:cs="宋体"/>
          <w:sz w:val="24"/>
          <w:szCs w:val="24"/>
          <w:lang w:val="zh-CN"/>
        </w:rPr>
        <w:t>经费支出决算表</w:t>
      </w:r>
      <w:r>
        <w:rPr>
          <w:rFonts w:hint="eastAsia"/>
          <w:sz w:val="24"/>
        </w:rPr>
        <w:t>........ ............ . ....... . ............. .. .. ....41</w:t>
      </w:r>
    </w:p>
    <w:p w14:paraId="1DF3572B">
      <w:pPr>
        <w:autoSpaceDE w:val="0"/>
        <w:autoSpaceDN w:val="0"/>
        <w:adjustRightInd w:val="0"/>
        <w:spacing w:line="440" w:lineRule="exact"/>
        <w:jc w:val="left"/>
        <w:rPr>
          <w:rFonts w:ascii="仿宋" w:hAnsi="Times New Roman" w:eastAsia="仿宋" w:cs="仿宋"/>
          <w:kern w:val="44"/>
          <w:sz w:val="24"/>
          <w:szCs w:val="24"/>
          <w:lang w:val="zh-CN"/>
        </w:rPr>
      </w:pPr>
      <w:r>
        <w:rPr>
          <w:rFonts w:ascii="仿宋" w:hAnsi="Times New Roman" w:eastAsia="仿宋" w:cs="仿宋"/>
          <w:b/>
          <w:bCs/>
          <w:sz w:val="24"/>
          <w:szCs w:val="24"/>
          <w:lang w:val="zh-CN"/>
        </w:rPr>
        <w:br w:type="page"/>
      </w:r>
    </w:p>
    <w:p w14:paraId="3E557B8C">
      <w:pPr>
        <w:keepNext/>
        <w:keepLines/>
        <w:autoSpaceDE w:val="0"/>
        <w:autoSpaceDN w:val="0"/>
        <w:adjustRightInd w:val="0"/>
        <w:spacing w:before="340" w:after="330" w:line="576" w:lineRule="auto"/>
        <w:jc w:val="center"/>
        <w:outlineLvl w:val="0"/>
        <w:rPr>
          <w:rFonts w:ascii="黑体" w:hAnsi="Times New Roman" w:eastAsia="黑体" w:cs="黑体"/>
          <w:b/>
          <w:bCs/>
          <w:kern w:val="44"/>
          <w:sz w:val="44"/>
          <w:szCs w:val="44"/>
          <w:lang w:val="zh-CN"/>
        </w:rPr>
      </w:pPr>
      <w:r>
        <w:rPr>
          <w:rFonts w:hint="eastAsia" w:ascii="黑体" w:hAnsi="Times New Roman" w:eastAsia="黑体" w:cs="黑体"/>
          <w:kern w:val="44"/>
          <w:sz w:val="44"/>
          <w:szCs w:val="44"/>
          <w:lang w:val="zh-CN"/>
        </w:rPr>
        <w:t>第一部分</w:t>
      </w:r>
      <w:r>
        <w:rPr>
          <w:rFonts w:ascii="黑体" w:hAnsi="Times New Roman" w:eastAsia="黑体" w:cs="黑体"/>
          <w:kern w:val="44"/>
          <w:sz w:val="44"/>
          <w:szCs w:val="44"/>
          <w:lang w:val="zh-CN"/>
        </w:rPr>
        <w:t xml:space="preserve"> </w:t>
      </w:r>
      <w:r>
        <w:rPr>
          <w:rFonts w:hint="eastAsia" w:ascii="黑体" w:hAnsi="Times New Roman" w:eastAsia="黑体" w:cs="黑体"/>
          <w:kern w:val="44"/>
          <w:sz w:val="44"/>
          <w:szCs w:val="44"/>
          <w:lang w:val="zh-CN"/>
        </w:rPr>
        <w:t>部门概况</w:t>
      </w:r>
    </w:p>
    <w:p w14:paraId="06D518BD">
      <w:pPr>
        <w:pStyle w:val="14"/>
        <w:keepNext/>
        <w:keepLines/>
        <w:numPr>
          <w:ilvl w:val="0"/>
          <w:numId w:val="2"/>
        </w:numPr>
        <w:autoSpaceDE w:val="0"/>
        <w:autoSpaceDN w:val="0"/>
        <w:adjustRightInd w:val="0"/>
        <w:spacing w:before="260" w:after="260" w:line="576" w:lineRule="exact"/>
        <w:ind w:firstLineChars="0"/>
        <w:outlineLvl w:val="1"/>
        <w:rPr>
          <w:rFonts w:ascii="黑体" w:hAnsi="Times New Roman" w:eastAsia="黑体" w:cs="黑体"/>
          <w:sz w:val="32"/>
          <w:szCs w:val="32"/>
          <w:lang w:val="zh-CN"/>
        </w:rPr>
      </w:pPr>
      <w:r>
        <w:rPr>
          <w:rFonts w:hint="eastAsia" w:ascii="黑体" w:hAnsi="Times New Roman" w:eastAsia="黑体" w:cs="黑体"/>
          <w:sz w:val="32"/>
          <w:szCs w:val="32"/>
          <w:lang w:val="zh-CN"/>
        </w:rPr>
        <w:t>部门职责</w:t>
      </w:r>
    </w:p>
    <w:p w14:paraId="1AACE3E0">
      <w:pPr>
        <w:pStyle w:val="5"/>
        <w:adjustRightInd w:val="0"/>
        <w:snapToGrid w:val="0"/>
        <w:spacing w:before="72" w:line="560" w:lineRule="exact"/>
        <w:ind w:firstLine="708" w:firstLineChars="236"/>
        <w:rPr>
          <w:kern w:val="2"/>
          <w:sz w:val="30"/>
          <w:szCs w:val="24"/>
          <w:lang w:val="en-US" w:eastAsia="zh-CN"/>
        </w:rPr>
      </w:pPr>
      <w:r>
        <w:rPr>
          <w:rFonts w:hint="eastAsia"/>
          <w:kern w:val="2"/>
          <w:sz w:val="30"/>
          <w:szCs w:val="24"/>
          <w:lang w:val="en-US" w:eastAsia="zh-CN"/>
        </w:rPr>
        <w:t>1.</w:t>
      </w:r>
      <w:r>
        <w:rPr>
          <w:kern w:val="2"/>
          <w:sz w:val="30"/>
          <w:szCs w:val="24"/>
          <w:lang w:val="en-US" w:eastAsia="zh-CN"/>
        </w:rPr>
        <w:t>负责全区林业及其生态保护修复的监督管理。贯彻执行国家、省、市有关林业的方针政策和法律法规，拟订全区林业及其生态保护修复的相关措施、规划，并组织实施，监督检查规划实施完成情况。组织开展全区森林、湿地、荒漠和陆生野生动植物资源动态监测与评估，推进全区林业数字化建设。</w:t>
      </w:r>
    </w:p>
    <w:p w14:paraId="759E6680">
      <w:pPr>
        <w:pStyle w:val="5"/>
        <w:adjustRightInd w:val="0"/>
        <w:snapToGrid w:val="0"/>
        <w:spacing w:before="72" w:line="560" w:lineRule="exact"/>
        <w:ind w:firstLine="708" w:firstLineChars="236"/>
        <w:rPr>
          <w:kern w:val="2"/>
          <w:sz w:val="30"/>
          <w:szCs w:val="24"/>
          <w:lang w:val="en-US" w:eastAsia="zh-CN"/>
        </w:rPr>
      </w:pPr>
      <w:r>
        <w:rPr>
          <w:rFonts w:hint="eastAsia"/>
          <w:kern w:val="2"/>
          <w:sz w:val="30"/>
          <w:szCs w:val="24"/>
          <w:lang w:val="en-US" w:eastAsia="zh-CN"/>
        </w:rPr>
        <w:t>2.</w:t>
      </w:r>
      <w:r>
        <w:rPr>
          <w:kern w:val="2"/>
          <w:sz w:val="30"/>
          <w:szCs w:val="24"/>
          <w:lang w:val="en-US" w:eastAsia="zh-CN"/>
        </w:rPr>
        <w:t>负责全区林业生态保护修复和造林绿化工作。组织实施林业重点生态保护修复工程，指导公益林和商品林的培育，组织、指导、监督全民义务植树、城乡绿化工作。组织开展全区市区视野区荒山造林绿化工作。承担林业有害生物防治、检疫工作，承担林业应对气候变化的相关工作。</w:t>
      </w:r>
    </w:p>
    <w:p w14:paraId="7800DB76">
      <w:pPr>
        <w:pStyle w:val="5"/>
        <w:adjustRightInd w:val="0"/>
        <w:snapToGrid w:val="0"/>
        <w:spacing w:before="72" w:line="560" w:lineRule="exact"/>
        <w:ind w:firstLine="708" w:firstLineChars="236"/>
        <w:rPr>
          <w:kern w:val="2"/>
          <w:sz w:val="30"/>
          <w:szCs w:val="24"/>
          <w:lang w:val="en-US" w:eastAsia="zh-CN"/>
        </w:rPr>
      </w:pPr>
      <w:r>
        <w:rPr>
          <w:rFonts w:hint="eastAsia"/>
          <w:kern w:val="2"/>
          <w:sz w:val="30"/>
          <w:szCs w:val="24"/>
          <w:lang w:val="en-US" w:eastAsia="zh-CN"/>
        </w:rPr>
        <w:t>3.</w:t>
      </w:r>
      <w:r>
        <w:rPr>
          <w:kern w:val="2"/>
          <w:sz w:val="30"/>
          <w:szCs w:val="24"/>
          <w:lang w:val="en-US" w:eastAsia="zh-CN"/>
        </w:rPr>
        <w:t xml:space="preserve">负责全区森林、湿地资源的监督管理。组织编制并监督执行全区森林采伐限额，监督指导限额采伐制度的执行和林木的凭证采伐、运输，监督木材的经营加工。负责林地管理，拟订林地保护利用规划并组织实施，组织实施公益林划定和管理工作，管理国有森林资源。负责湿地生态保护修复工作，拟订全区湿地保护规划，监督管理湿地的开发利用。 </w:t>
      </w:r>
    </w:p>
    <w:p w14:paraId="1495F2CF">
      <w:pPr>
        <w:pStyle w:val="5"/>
        <w:adjustRightInd w:val="0"/>
        <w:snapToGrid w:val="0"/>
        <w:spacing w:before="72" w:line="560" w:lineRule="exact"/>
        <w:ind w:firstLine="708" w:firstLineChars="236"/>
        <w:rPr>
          <w:kern w:val="2"/>
          <w:sz w:val="30"/>
          <w:szCs w:val="24"/>
          <w:lang w:val="en-US" w:eastAsia="zh-CN"/>
        </w:rPr>
      </w:pPr>
      <w:r>
        <w:rPr>
          <w:rFonts w:hint="eastAsia"/>
          <w:kern w:val="2"/>
          <w:sz w:val="30"/>
          <w:szCs w:val="24"/>
          <w:lang w:val="en-US" w:eastAsia="zh-CN"/>
        </w:rPr>
        <w:t>4.</w:t>
      </w:r>
      <w:r>
        <w:rPr>
          <w:kern w:val="2"/>
          <w:sz w:val="30"/>
          <w:szCs w:val="24"/>
          <w:lang w:val="en-US" w:eastAsia="zh-CN"/>
        </w:rPr>
        <w:t>负责全区荒漠化防治工作的监督管理。组织开展全区石漠化、沙化土地调查，贯彻执行国家、省、市有关防沙治沙、石漠化防治及沙化土地封禁保护区建设规划及其标准和规定，监督管理沙化土地的合理开发利用，组织沙尘暴灾害预测预报和应急处置。</w:t>
      </w:r>
    </w:p>
    <w:p w14:paraId="67257B6E">
      <w:pPr>
        <w:pStyle w:val="5"/>
        <w:adjustRightInd w:val="0"/>
        <w:snapToGrid w:val="0"/>
        <w:spacing w:before="72" w:line="560" w:lineRule="exact"/>
        <w:ind w:firstLine="708" w:firstLineChars="236"/>
        <w:rPr>
          <w:kern w:val="2"/>
          <w:sz w:val="30"/>
          <w:szCs w:val="24"/>
          <w:lang w:val="en-US" w:eastAsia="zh-CN"/>
        </w:rPr>
      </w:pPr>
      <w:r>
        <w:rPr>
          <w:rFonts w:hint="eastAsia"/>
          <w:kern w:val="2"/>
          <w:sz w:val="30"/>
          <w:szCs w:val="24"/>
          <w:lang w:val="en-US" w:eastAsia="zh-CN"/>
        </w:rPr>
        <w:t>5.</w:t>
      </w:r>
      <w:r>
        <w:rPr>
          <w:kern w:val="2"/>
          <w:sz w:val="30"/>
          <w:szCs w:val="24"/>
          <w:lang w:val="en-US" w:eastAsia="zh-CN"/>
        </w:rPr>
        <w:t>负责全区陆生野生动植物资源的监督管理。贯彻执行国家、省、市关于陆生野生动植物保护管理的有关政策、法规；组织开展陆生野生动植物资源调查，依法组织指导陆生野生动植物的救护繁育、栖息地恢复发展、疫源疫病监测，监督管理全区陆生野生动植物猎捕或采集、驯养繁殖或培植、经营利用。</w:t>
      </w:r>
    </w:p>
    <w:p w14:paraId="17402369">
      <w:pPr>
        <w:pStyle w:val="5"/>
        <w:adjustRightInd w:val="0"/>
        <w:snapToGrid w:val="0"/>
        <w:spacing w:before="72" w:line="560" w:lineRule="exact"/>
        <w:ind w:firstLine="708" w:firstLineChars="236"/>
        <w:rPr>
          <w:kern w:val="2"/>
          <w:sz w:val="30"/>
          <w:szCs w:val="24"/>
          <w:lang w:val="en-US" w:eastAsia="zh-CN"/>
        </w:rPr>
      </w:pPr>
      <w:r>
        <w:rPr>
          <w:rFonts w:hint="eastAsia"/>
          <w:kern w:val="2"/>
          <w:sz w:val="30"/>
          <w:szCs w:val="24"/>
          <w:lang w:val="en-US" w:eastAsia="zh-CN"/>
        </w:rPr>
        <w:t>6.</w:t>
      </w:r>
      <w:r>
        <w:rPr>
          <w:kern w:val="2"/>
          <w:sz w:val="30"/>
          <w:szCs w:val="24"/>
          <w:lang w:val="en-US" w:eastAsia="zh-CN"/>
        </w:rPr>
        <w:t>负责全区各类自然保护地的监督管理。贯彻执行国家、省、市自然保护地建设规划及其标准和规定，拟订各类自然保护地规划。负责国家公园申报设立、规划、建设和特许经营等工作，负责区政府直接行使和代理行使全民所有权的国家公园等自然保护地的自然资源资产管理和国土空间用途管制。提出新建、调整各类自然保护地的审核建议并按程序报批，组织审核世界自然遗产的申报，会同有关部门审核自然与文化双重遗产的申报，依法指导全区各类自然保护地的建设管理和开发利用。负责生物多样性保护相关工作。</w:t>
      </w:r>
    </w:p>
    <w:p w14:paraId="36FF0FA8">
      <w:pPr>
        <w:pStyle w:val="5"/>
        <w:adjustRightInd w:val="0"/>
        <w:snapToGrid w:val="0"/>
        <w:spacing w:before="72" w:line="560" w:lineRule="exact"/>
        <w:ind w:firstLine="708" w:firstLineChars="236"/>
        <w:rPr>
          <w:kern w:val="2"/>
          <w:sz w:val="30"/>
          <w:szCs w:val="24"/>
          <w:lang w:val="en-US" w:eastAsia="zh-CN"/>
        </w:rPr>
      </w:pPr>
      <w:r>
        <w:rPr>
          <w:rFonts w:hint="eastAsia"/>
          <w:kern w:val="2"/>
          <w:sz w:val="30"/>
          <w:szCs w:val="24"/>
          <w:lang w:val="en-US" w:eastAsia="zh-CN"/>
        </w:rPr>
        <w:t>7.</w:t>
      </w:r>
      <w:r>
        <w:rPr>
          <w:kern w:val="2"/>
          <w:sz w:val="30"/>
          <w:szCs w:val="24"/>
          <w:lang w:val="en-US" w:eastAsia="zh-CN"/>
        </w:rPr>
        <w:t>负责推进全区林业改革相关工作。贯彻执行国家、省、市有关集体林权制度、国有林区等重大林业改革意见和政策，拟订全区集体林权制度改革和国有林区改革相关政策措施并组织实施。贯彻落实农村林业发展、维护林业经营者合法权益的相关政策措施。指导、监督农村林地承包经营工作。开展退耕还林还草，负责天然林保护工作。</w:t>
      </w:r>
    </w:p>
    <w:p w14:paraId="0A0BAA21">
      <w:pPr>
        <w:pStyle w:val="5"/>
        <w:adjustRightInd w:val="0"/>
        <w:snapToGrid w:val="0"/>
        <w:spacing w:before="72" w:line="560" w:lineRule="exact"/>
        <w:ind w:firstLine="708" w:firstLineChars="236"/>
        <w:rPr>
          <w:kern w:val="2"/>
          <w:sz w:val="30"/>
          <w:szCs w:val="24"/>
          <w:lang w:val="en-US" w:eastAsia="zh-CN"/>
        </w:rPr>
      </w:pPr>
      <w:r>
        <w:rPr>
          <w:rFonts w:hint="eastAsia"/>
          <w:kern w:val="2"/>
          <w:sz w:val="30"/>
          <w:szCs w:val="24"/>
          <w:lang w:val="en-US" w:eastAsia="zh-CN"/>
        </w:rPr>
        <w:t>8.</w:t>
      </w:r>
      <w:r>
        <w:rPr>
          <w:kern w:val="2"/>
          <w:sz w:val="30"/>
          <w:szCs w:val="24"/>
          <w:lang w:val="en-US" w:eastAsia="zh-CN"/>
        </w:rPr>
        <w:t xml:space="preserve">贯彻执行国家、省、市有关林业资源优化配置及木材利用政策，拟订全区林业产业发展规划并监督实施，组织、指导林产品质量监督，指导生态扶贫相关工作。指导林业现代园区建设，发展花卉、特色经济林、森林林下经济、森林康养和生态旅游产业。推进林业绿色产业发展。 </w:t>
      </w:r>
    </w:p>
    <w:p w14:paraId="6C73B1A2">
      <w:pPr>
        <w:pStyle w:val="5"/>
        <w:adjustRightInd w:val="0"/>
        <w:snapToGrid w:val="0"/>
        <w:spacing w:before="72" w:line="560" w:lineRule="exact"/>
        <w:ind w:firstLine="708" w:firstLineChars="236"/>
        <w:rPr>
          <w:kern w:val="2"/>
          <w:sz w:val="30"/>
          <w:szCs w:val="24"/>
          <w:lang w:val="en-US" w:eastAsia="zh-CN"/>
        </w:rPr>
      </w:pPr>
      <w:r>
        <w:rPr>
          <w:rFonts w:hint="eastAsia"/>
          <w:kern w:val="2"/>
          <w:sz w:val="30"/>
          <w:szCs w:val="24"/>
          <w:lang w:val="en-US" w:eastAsia="zh-CN"/>
        </w:rPr>
        <w:t>9.</w:t>
      </w:r>
      <w:r>
        <w:rPr>
          <w:kern w:val="2"/>
          <w:sz w:val="30"/>
          <w:szCs w:val="24"/>
          <w:lang w:val="en-US" w:eastAsia="zh-CN"/>
        </w:rPr>
        <w:t>组织开展林木种质、草种种质资源普查，组织建立种质资源库，负责良种选育推广，管理林木种苗、草种生产经营行为，监管林木种苗、草种质量。监督管理林业生物种质资源、转基因生物安全、植物新品种保护。</w:t>
      </w:r>
    </w:p>
    <w:p w14:paraId="7030004F">
      <w:pPr>
        <w:pStyle w:val="5"/>
        <w:adjustRightInd w:val="0"/>
        <w:snapToGrid w:val="0"/>
        <w:spacing w:before="72" w:line="560" w:lineRule="exact"/>
        <w:ind w:firstLine="708" w:firstLineChars="236"/>
        <w:rPr>
          <w:kern w:val="2"/>
          <w:sz w:val="30"/>
          <w:szCs w:val="24"/>
          <w:lang w:val="en-US" w:eastAsia="zh-CN"/>
        </w:rPr>
      </w:pPr>
      <w:r>
        <w:rPr>
          <w:rFonts w:hint="eastAsia"/>
          <w:kern w:val="2"/>
          <w:sz w:val="30"/>
          <w:szCs w:val="24"/>
          <w:lang w:val="en-US" w:eastAsia="zh-CN"/>
        </w:rPr>
        <w:t>10.</w:t>
      </w:r>
      <w:r>
        <w:rPr>
          <w:kern w:val="2"/>
          <w:sz w:val="30"/>
          <w:szCs w:val="24"/>
          <w:lang w:val="en-US" w:eastAsia="zh-CN"/>
        </w:rPr>
        <w:t>负责落实全区综合防灾减灾规划相关要求，组织编制森林火灾防治规划并指导实施，组织、指导开展防火巡护、火源管理、防火设施建设工作。负责森林火情监测预警、火灾预防工作，发送森林火险信息。</w:t>
      </w:r>
    </w:p>
    <w:p w14:paraId="283FBF09">
      <w:pPr>
        <w:pStyle w:val="5"/>
        <w:adjustRightInd w:val="0"/>
        <w:snapToGrid w:val="0"/>
        <w:spacing w:before="72" w:line="560" w:lineRule="exact"/>
        <w:ind w:firstLine="708" w:firstLineChars="236"/>
        <w:rPr>
          <w:kern w:val="2"/>
          <w:sz w:val="30"/>
          <w:szCs w:val="24"/>
          <w:lang w:val="en-US" w:eastAsia="zh-CN"/>
        </w:rPr>
      </w:pPr>
      <w:r>
        <w:rPr>
          <w:rFonts w:hint="eastAsia"/>
          <w:kern w:val="2"/>
          <w:sz w:val="30"/>
          <w:szCs w:val="24"/>
          <w:lang w:val="en-US" w:eastAsia="zh-CN"/>
        </w:rPr>
        <w:t>11.</w:t>
      </w:r>
      <w:r>
        <w:rPr>
          <w:kern w:val="2"/>
          <w:sz w:val="30"/>
          <w:szCs w:val="24"/>
          <w:lang w:val="en-US" w:eastAsia="zh-CN"/>
        </w:rPr>
        <w:t>监督管理全区林业区级以上资金和国有资产，提出林业预算内投资、区级以上财政性资金安排建议，按区政府规定权限，核报、核准规划内和年度计划内投资项目。参与拟订全区林业经济调节政策，组织实施林业生态补偿工作。</w:t>
      </w:r>
    </w:p>
    <w:p w14:paraId="011996F9">
      <w:pPr>
        <w:pStyle w:val="5"/>
        <w:adjustRightInd w:val="0"/>
        <w:snapToGrid w:val="0"/>
        <w:spacing w:before="72" w:line="560" w:lineRule="exact"/>
        <w:ind w:firstLine="708" w:firstLineChars="236"/>
        <w:rPr>
          <w:kern w:val="2"/>
          <w:sz w:val="30"/>
          <w:szCs w:val="24"/>
          <w:lang w:val="en-US" w:eastAsia="zh-CN"/>
        </w:rPr>
      </w:pPr>
      <w:r>
        <w:rPr>
          <w:rFonts w:hint="eastAsia"/>
          <w:kern w:val="2"/>
          <w:sz w:val="30"/>
          <w:szCs w:val="24"/>
          <w:lang w:val="en-US" w:eastAsia="zh-CN"/>
        </w:rPr>
        <w:t>12.</w:t>
      </w:r>
      <w:r>
        <w:rPr>
          <w:kern w:val="2"/>
          <w:sz w:val="30"/>
          <w:szCs w:val="24"/>
          <w:lang w:val="en-US" w:eastAsia="zh-CN"/>
        </w:rPr>
        <w:t>负责林业科技、教育和对外交流工作，负责全区林业人才队伍的管理。</w:t>
      </w:r>
    </w:p>
    <w:p w14:paraId="08ADF297">
      <w:pPr>
        <w:pStyle w:val="5"/>
        <w:adjustRightInd w:val="0"/>
        <w:snapToGrid w:val="0"/>
        <w:spacing w:before="72" w:line="560" w:lineRule="exact"/>
        <w:ind w:firstLine="708" w:firstLineChars="236"/>
        <w:rPr>
          <w:kern w:val="2"/>
          <w:sz w:val="30"/>
          <w:szCs w:val="24"/>
          <w:lang w:val="en-US" w:eastAsia="zh-CN"/>
        </w:rPr>
      </w:pPr>
      <w:r>
        <w:rPr>
          <w:rFonts w:hint="eastAsia"/>
          <w:kern w:val="2"/>
          <w:sz w:val="30"/>
          <w:szCs w:val="24"/>
          <w:lang w:val="en-US" w:eastAsia="zh-CN"/>
        </w:rPr>
        <w:t>13.</w:t>
      </w:r>
      <w:r>
        <w:rPr>
          <w:kern w:val="2"/>
          <w:sz w:val="30"/>
          <w:szCs w:val="24"/>
          <w:lang w:val="en-US" w:eastAsia="zh-CN"/>
        </w:rPr>
        <w:t>承担职责范围内的安全生产和职业健康、生态环境保护、审批服务便民化等工作。按省市要求，指导推进相对集中行政许可权改革。</w:t>
      </w:r>
    </w:p>
    <w:p w14:paraId="078ACAEF">
      <w:pPr>
        <w:pStyle w:val="5"/>
        <w:adjustRightInd w:val="0"/>
        <w:snapToGrid w:val="0"/>
        <w:spacing w:before="72" w:line="560" w:lineRule="exact"/>
        <w:ind w:firstLine="708" w:firstLineChars="236"/>
        <w:rPr>
          <w:kern w:val="2"/>
          <w:sz w:val="30"/>
          <w:szCs w:val="24"/>
          <w:lang w:val="en-US" w:eastAsia="zh-CN"/>
        </w:rPr>
      </w:pPr>
      <w:r>
        <w:rPr>
          <w:rFonts w:hint="eastAsia"/>
          <w:kern w:val="2"/>
          <w:sz w:val="30"/>
          <w:szCs w:val="24"/>
          <w:lang w:val="en-US" w:eastAsia="zh-CN"/>
        </w:rPr>
        <w:t>14.</w:t>
      </w:r>
      <w:r>
        <w:rPr>
          <w:kern w:val="2"/>
          <w:sz w:val="30"/>
          <w:szCs w:val="24"/>
          <w:lang w:val="en-US" w:eastAsia="zh-CN"/>
        </w:rPr>
        <w:t xml:space="preserve">负责全区林业违法案件的查处和相关行政执法监管工作。 </w:t>
      </w:r>
    </w:p>
    <w:p w14:paraId="16DA879C">
      <w:pPr>
        <w:pStyle w:val="5"/>
        <w:adjustRightInd w:val="0"/>
        <w:snapToGrid w:val="0"/>
        <w:spacing w:before="72" w:line="560" w:lineRule="exact"/>
        <w:ind w:firstLine="708" w:firstLineChars="236"/>
        <w:rPr>
          <w:kern w:val="2"/>
          <w:sz w:val="30"/>
          <w:szCs w:val="24"/>
          <w:lang w:val="en-US" w:eastAsia="zh-CN"/>
        </w:rPr>
      </w:pPr>
      <w:r>
        <w:rPr>
          <w:rFonts w:hint="eastAsia"/>
          <w:kern w:val="2"/>
          <w:sz w:val="30"/>
          <w:szCs w:val="24"/>
          <w:lang w:val="en-US" w:eastAsia="zh-CN"/>
        </w:rPr>
        <w:t>15.</w:t>
      </w:r>
      <w:r>
        <w:rPr>
          <w:kern w:val="2"/>
          <w:sz w:val="30"/>
          <w:szCs w:val="24"/>
          <w:lang w:val="en-US" w:eastAsia="zh-CN"/>
        </w:rPr>
        <w:t>承担主体功能区规划的编制职责。</w:t>
      </w:r>
    </w:p>
    <w:p w14:paraId="5E0921FE">
      <w:pPr>
        <w:pStyle w:val="5"/>
        <w:adjustRightInd w:val="0"/>
        <w:snapToGrid w:val="0"/>
        <w:spacing w:before="72" w:line="560" w:lineRule="exact"/>
        <w:ind w:firstLine="708" w:firstLineChars="236"/>
        <w:rPr>
          <w:kern w:val="2"/>
          <w:sz w:val="30"/>
          <w:szCs w:val="24"/>
          <w:lang w:val="en-US" w:eastAsia="zh-CN"/>
        </w:rPr>
      </w:pPr>
      <w:r>
        <w:rPr>
          <w:rFonts w:hint="eastAsia"/>
          <w:kern w:val="2"/>
          <w:sz w:val="30"/>
          <w:szCs w:val="24"/>
          <w:lang w:val="en-US" w:eastAsia="zh-CN"/>
        </w:rPr>
        <w:t>16.</w:t>
      </w:r>
      <w:r>
        <w:rPr>
          <w:kern w:val="2"/>
          <w:sz w:val="30"/>
          <w:szCs w:val="24"/>
          <w:lang w:val="en-US" w:eastAsia="zh-CN"/>
        </w:rPr>
        <w:t xml:space="preserve">承担全区森林、水资源调查和确权登记管理相应职责。 </w:t>
      </w:r>
    </w:p>
    <w:p w14:paraId="72E9D497">
      <w:pPr>
        <w:keepNext/>
        <w:keepLines/>
        <w:autoSpaceDE w:val="0"/>
        <w:autoSpaceDN w:val="0"/>
        <w:adjustRightInd w:val="0"/>
        <w:spacing w:before="260" w:after="260" w:line="576" w:lineRule="exact"/>
        <w:ind w:firstLine="708" w:firstLineChars="236"/>
        <w:jc w:val="left"/>
        <w:outlineLvl w:val="1"/>
        <w:rPr>
          <w:rFonts w:ascii="仿宋" w:hAnsi="Times New Roman" w:eastAsia="仿宋" w:cs="仿宋"/>
          <w:sz w:val="32"/>
          <w:szCs w:val="32"/>
          <w:lang w:val="zh-CN"/>
        </w:rPr>
      </w:pPr>
      <w:r>
        <w:rPr>
          <w:rFonts w:hint="eastAsia"/>
          <w:sz w:val="30"/>
          <w:szCs w:val="24"/>
        </w:rPr>
        <w:t>17.</w:t>
      </w:r>
      <w:r>
        <w:rPr>
          <w:sz w:val="30"/>
          <w:szCs w:val="24"/>
        </w:rPr>
        <w:t>完成区委、区政府交办的其他任务。</w:t>
      </w:r>
    </w:p>
    <w:p w14:paraId="4F1273A9">
      <w:pPr>
        <w:keepNext/>
        <w:keepLines/>
        <w:autoSpaceDE w:val="0"/>
        <w:autoSpaceDN w:val="0"/>
        <w:adjustRightInd w:val="0"/>
        <w:spacing w:before="260" w:after="260" w:line="576" w:lineRule="exact"/>
        <w:ind w:firstLine="640"/>
        <w:outlineLvl w:val="1"/>
        <w:rPr>
          <w:rFonts w:ascii="Cambria" w:hAnsi="Cambria" w:eastAsia="黑体" w:cs="Cambria"/>
          <w:sz w:val="32"/>
          <w:szCs w:val="32"/>
          <w:lang w:val="zh-CN"/>
        </w:rPr>
      </w:pPr>
      <w:r>
        <w:rPr>
          <w:rFonts w:hint="eastAsia" w:ascii="黑体" w:hAnsi="Times New Roman" w:eastAsia="黑体" w:cs="黑体"/>
          <w:sz w:val="32"/>
          <w:szCs w:val="32"/>
          <w:lang w:val="zh-CN"/>
        </w:rPr>
        <w:t>二、机构设置</w:t>
      </w:r>
    </w:p>
    <w:p w14:paraId="38644339">
      <w:pPr>
        <w:autoSpaceDE w:val="0"/>
        <w:autoSpaceDN w:val="0"/>
        <w:adjustRightInd w:val="0"/>
        <w:spacing w:before="93" w:line="576" w:lineRule="exact"/>
        <w:ind w:firstLine="640"/>
        <w:rPr>
          <w:rFonts w:hint="eastAsia" w:ascii="仿宋_GB2312" w:hAnsi="??" w:eastAsia="仿宋_GB2312"/>
          <w:sz w:val="32"/>
          <w:szCs w:val="32"/>
        </w:rPr>
      </w:pPr>
      <w:r>
        <w:rPr>
          <w:rFonts w:hint="eastAsia" w:ascii="仿宋_GB2312" w:hAnsi="??" w:eastAsia="仿宋_GB2312"/>
          <w:sz w:val="32"/>
          <w:szCs w:val="32"/>
        </w:rPr>
        <w:t>攀枝花市仁和区林业局下设3个股室，1</w:t>
      </w:r>
      <w:r>
        <w:rPr>
          <w:rFonts w:ascii="仿宋_GB2312" w:hAnsi="??" w:eastAsia="仿宋_GB2312"/>
          <w:sz w:val="32"/>
          <w:szCs w:val="32"/>
        </w:rPr>
        <w:t>个参照公务员法管理的事业单位，</w:t>
      </w:r>
      <w:r>
        <w:rPr>
          <w:rFonts w:hint="eastAsia" w:ascii="仿宋_GB2312" w:hAnsi="??" w:eastAsia="仿宋_GB2312"/>
          <w:sz w:val="32"/>
          <w:szCs w:val="32"/>
        </w:rPr>
        <w:t>1</w:t>
      </w:r>
      <w:r>
        <w:rPr>
          <w:rFonts w:ascii="仿宋_GB2312" w:hAnsi="??" w:eastAsia="仿宋_GB2312"/>
          <w:sz w:val="32"/>
          <w:szCs w:val="32"/>
        </w:rPr>
        <w:t>个其他事业单位。主要</w:t>
      </w:r>
      <w:r>
        <w:rPr>
          <w:rFonts w:hint="eastAsia" w:ascii="仿宋_GB2312" w:hAnsi="??" w:eastAsia="仿宋_GB2312"/>
          <w:sz w:val="32"/>
          <w:szCs w:val="32"/>
        </w:rPr>
        <w:t>是</w:t>
      </w:r>
      <w:r>
        <w:rPr>
          <w:rFonts w:ascii="仿宋_GB2312" w:hAnsi="??" w:eastAsia="仿宋_GB2312"/>
          <w:sz w:val="32"/>
          <w:szCs w:val="32"/>
        </w:rPr>
        <w:t>：</w:t>
      </w:r>
      <w:r>
        <w:rPr>
          <w:rFonts w:hint="eastAsia" w:ascii="仿宋_GB2312" w:hAnsi="??" w:eastAsia="仿宋_GB2312"/>
          <w:sz w:val="32"/>
          <w:szCs w:val="32"/>
        </w:rPr>
        <w:t>攀枝花市仁和区林业局森林病虫害防治检疫站、攀枝花市仁和区林业技术服务中心。无独立核算的二级预算单位。</w:t>
      </w:r>
    </w:p>
    <w:p w14:paraId="6E6D558F">
      <w:pPr>
        <w:autoSpaceDE w:val="0"/>
        <w:autoSpaceDN w:val="0"/>
        <w:adjustRightInd w:val="0"/>
        <w:spacing w:before="93" w:line="576" w:lineRule="exact"/>
        <w:ind w:firstLine="640"/>
        <w:rPr>
          <w:rFonts w:hint="eastAsia" w:ascii="仿宋_GB2312" w:hAnsi="??" w:eastAsia="仿宋_GB2312"/>
          <w:sz w:val="32"/>
          <w:szCs w:val="32"/>
        </w:rPr>
      </w:pPr>
    </w:p>
    <w:p w14:paraId="3C60A126">
      <w:pPr>
        <w:autoSpaceDE w:val="0"/>
        <w:autoSpaceDN w:val="0"/>
        <w:adjustRightInd w:val="0"/>
        <w:spacing w:before="93" w:line="576" w:lineRule="exact"/>
        <w:ind w:firstLine="640"/>
        <w:rPr>
          <w:rFonts w:hint="eastAsia" w:ascii="仿宋_GB2312" w:hAnsi="??" w:eastAsia="仿宋_GB2312"/>
          <w:sz w:val="32"/>
          <w:szCs w:val="32"/>
        </w:rPr>
      </w:pPr>
    </w:p>
    <w:p w14:paraId="59331EC9">
      <w:pPr>
        <w:autoSpaceDE w:val="0"/>
        <w:autoSpaceDN w:val="0"/>
        <w:adjustRightInd w:val="0"/>
        <w:spacing w:before="93" w:line="576" w:lineRule="exact"/>
        <w:ind w:firstLine="640"/>
        <w:rPr>
          <w:rFonts w:hint="eastAsia" w:ascii="仿宋_GB2312" w:hAnsi="??" w:eastAsia="仿宋_GB2312"/>
          <w:sz w:val="32"/>
          <w:szCs w:val="32"/>
        </w:rPr>
      </w:pPr>
    </w:p>
    <w:p w14:paraId="68275971">
      <w:pPr>
        <w:autoSpaceDE w:val="0"/>
        <w:autoSpaceDN w:val="0"/>
        <w:adjustRightInd w:val="0"/>
        <w:spacing w:before="93" w:line="576" w:lineRule="exact"/>
        <w:ind w:firstLine="640"/>
        <w:rPr>
          <w:rFonts w:hint="eastAsia" w:ascii="仿宋_GB2312" w:hAnsi="??" w:eastAsia="仿宋_GB2312"/>
          <w:sz w:val="32"/>
          <w:szCs w:val="32"/>
        </w:rPr>
      </w:pPr>
    </w:p>
    <w:p w14:paraId="3835216B">
      <w:pPr>
        <w:autoSpaceDE w:val="0"/>
        <w:autoSpaceDN w:val="0"/>
        <w:adjustRightInd w:val="0"/>
        <w:spacing w:before="93" w:line="576" w:lineRule="exact"/>
        <w:ind w:firstLine="640"/>
        <w:rPr>
          <w:rFonts w:hint="eastAsia" w:ascii="仿宋_GB2312" w:hAnsi="??" w:eastAsia="仿宋_GB2312"/>
          <w:sz w:val="32"/>
          <w:szCs w:val="32"/>
        </w:rPr>
      </w:pPr>
    </w:p>
    <w:p w14:paraId="2FAB445A">
      <w:pPr>
        <w:autoSpaceDE w:val="0"/>
        <w:autoSpaceDN w:val="0"/>
        <w:adjustRightInd w:val="0"/>
        <w:spacing w:before="93" w:line="576" w:lineRule="exact"/>
        <w:ind w:firstLine="640"/>
        <w:rPr>
          <w:rFonts w:hint="eastAsia" w:ascii="仿宋_GB2312" w:hAnsi="??" w:eastAsia="仿宋_GB2312"/>
          <w:sz w:val="32"/>
          <w:szCs w:val="32"/>
        </w:rPr>
      </w:pPr>
      <w:bookmarkStart w:id="1" w:name="_GoBack"/>
      <w:bookmarkEnd w:id="1"/>
    </w:p>
    <w:p w14:paraId="625223F7">
      <w:pPr>
        <w:autoSpaceDE w:val="0"/>
        <w:autoSpaceDN w:val="0"/>
        <w:adjustRightInd w:val="0"/>
        <w:spacing w:before="93" w:line="576" w:lineRule="exact"/>
        <w:ind w:firstLine="640"/>
        <w:rPr>
          <w:rFonts w:hint="eastAsia" w:ascii="仿宋_GB2312" w:hAnsi="??" w:eastAsia="仿宋_GB2312"/>
          <w:sz w:val="32"/>
          <w:szCs w:val="32"/>
        </w:rPr>
      </w:pPr>
    </w:p>
    <w:p w14:paraId="0E82B022">
      <w:pPr>
        <w:autoSpaceDE w:val="0"/>
        <w:autoSpaceDN w:val="0"/>
        <w:adjustRightInd w:val="0"/>
        <w:spacing w:before="93" w:line="576" w:lineRule="exact"/>
        <w:ind w:firstLine="640"/>
        <w:rPr>
          <w:rFonts w:ascii="仿宋" w:hAnsi="Cambria" w:eastAsia="仿宋" w:cs="仿宋"/>
          <w:sz w:val="32"/>
          <w:szCs w:val="32"/>
          <w:lang w:val="zh-CN"/>
        </w:rPr>
      </w:pPr>
    </w:p>
    <w:p w14:paraId="3A386E59">
      <w:pPr>
        <w:keepNext/>
        <w:keepLines/>
        <w:autoSpaceDE w:val="0"/>
        <w:autoSpaceDN w:val="0"/>
        <w:adjustRightInd w:val="0"/>
        <w:spacing w:before="340" w:after="330" w:line="576" w:lineRule="exact"/>
        <w:ind w:right="442" w:firstLine="880"/>
        <w:jc w:val="center"/>
        <w:outlineLvl w:val="0"/>
        <w:rPr>
          <w:rFonts w:ascii="Times New Roman" w:hAnsi="Times New Roman" w:eastAsia="黑体" w:cs="Times New Roman"/>
          <w:b/>
          <w:bCs/>
          <w:kern w:val="44"/>
          <w:sz w:val="44"/>
          <w:szCs w:val="44"/>
          <w:lang w:val="zh-CN"/>
        </w:rPr>
      </w:pPr>
      <w:r>
        <w:rPr>
          <w:rFonts w:hint="eastAsia" w:ascii="黑体" w:hAnsi="Cambria" w:eastAsia="黑体" w:cs="黑体"/>
          <w:kern w:val="44"/>
          <w:sz w:val="44"/>
          <w:szCs w:val="44"/>
          <w:lang w:val="zh-CN"/>
        </w:rPr>
        <w:t>第二部分</w:t>
      </w:r>
      <w:r>
        <w:rPr>
          <w:rFonts w:ascii="黑体" w:hAnsi="Cambria" w:eastAsia="黑体" w:cs="黑体"/>
          <w:b/>
          <w:bCs/>
          <w:kern w:val="44"/>
          <w:sz w:val="44"/>
          <w:szCs w:val="44"/>
          <w:lang w:val="zh-CN"/>
        </w:rPr>
        <w:t xml:space="preserve"> </w:t>
      </w:r>
      <w:r>
        <w:rPr>
          <w:rFonts w:ascii="黑体" w:hAnsi="Cambria" w:eastAsia="黑体" w:cs="黑体"/>
          <w:kern w:val="44"/>
          <w:sz w:val="44"/>
          <w:szCs w:val="44"/>
          <w:lang w:val="zh-CN"/>
        </w:rPr>
        <w:t>202</w:t>
      </w:r>
      <w:r>
        <w:rPr>
          <w:rFonts w:hint="eastAsia" w:ascii="黑体" w:hAnsi="Cambria" w:eastAsia="黑体" w:cs="黑体"/>
          <w:kern w:val="44"/>
          <w:sz w:val="44"/>
          <w:szCs w:val="44"/>
          <w:lang w:val="zh-CN"/>
        </w:rPr>
        <w:t>5年度部门决算情况说明</w:t>
      </w:r>
    </w:p>
    <w:p w14:paraId="18AE36A0">
      <w:pPr>
        <w:keepNext/>
        <w:keepLines/>
        <w:autoSpaceDE w:val="0"/>
        <w:autoSpaceDN w:val="0"/>
        <w:adjustRightInd w:val="0"/>
        <w:spacing w:line="576" w:lineRule="exact"/>
        <w:rPr>
          <w:rFonts w:ascii="黑体" w:hAnsi="Times New Roman" w:eastAsia="黑体" w:cs="黑体"/>
          <w:sz w:val="32"/>
          <w:szCs w:val="32"/>
          <w:lang w:val="zh-CN"/>
        </w:rPr>
      </w:pPr>
      <w:r>
        <w:rPr>
          <w:rFonts w:ascii="黑体" w:hAnsi="Times New Roman" w:eastAsia="黑体" w:cs="黑体"/>
          <w:sz w:val="32"/>
          <w:szCs w:val="32"/>
          <w:lang w:val="zh-CN"/>
        </w:rPr>
        <w:t xml:space="preserve">    </w:t>
      </w:r>
      <w:r>
        <w:rPr>
          <w:rFonts w:hint="eastAsia" w:ascii="黑体" w:hAnsi="Times New Roman" w:eastAsia="黑体" w:cs="黑体"/>
          <w:sz w:val="32"/>
          <w:szCs w:val="32"/>
          <w:lang w:val="zh-CN"/>
        </w:rPr>
        <w:t>一、收入支出决算总体情况说明</w:t>
      </w:r>
    </w:p>
    <w:p w14:paraId="5ECACC03">
      <w:pPr>
        <w:keepNext/>
        <w:keepLines/>
        <w:autoSpaceDE w:val="0"/>
        <w:autoSpaceDN w:val="0"/>
        <w:adjustRightInd w:val="0"/>
        <w:spacing w:line="576" w:lineRule="exact"/>
        <w:ind w:firstLine="640"/>
        <w:rPr>
          <w:rFonts w:ascii="仿宋_GB2312" w:hAnsi="Times New Roman" w:eastAsia="仿宋_GB2312" w:cs="仿宋_GB2312"/>
          <w:sz w:val="32"/>
          <w:szCs w:val="32"/>
          <w:lang w:val="zh-CN"/>
        </w:rPr>
      </w:pPr>
      <w:r>
        <w:rPr>
          <w:rFonts w:ascii="仿宋_GB2312" w:hAnsi="Times New Roman" w:eastAsia="仿宋_GB2312" w:cs="仿宋_GB2312"/>
          <w:sz w:val="32"/>
          <w:szCs w:val="32"/>
          <w:lang w:val="zh-CN"/>
        </w:rPr>
        <w:t>202</w:t>
      </w:r>
      <w:r>
        <w:rPr>
          <w:rFonts w:hint="eastAsia" w:ascii="仿宋_GB2312" w:hAnsi="Times New Roman" w:eastAsia="仿宋_GB2312" w:cs="仿宋_GB2312"/>
          <w:sz w:val="32"/>
          <w:szCs w:val="32"/>
          <w:lang w:val="zh-CN"/>
        </w:rPr>
        <w:t>5年度收、支总计7802.79万元。与</w:t>
      </w:r>
      <w:r>
        <w:rPr>
          <w:rFonts w:ascii="仿宋_GB2312" w:hAnsi="Times New Roman" w:eastAsia="仿宋_GB2312" w:cs="仿宋_GB2312"/>
          <w:sz w:val="32"/>
          <w:szCs w:val="32"/>
          <w:lang w:val="zh-CN"/>
        </w:rPr>
        <w:t>202</w:t>
      </w:r>
      <w:r>
        <w:rPr>
          <w:rFonts w:hint="eastAsia" w:ascii="仿宋_GB2312" w:hAnsi="Times New Roman" w:eastAsia="仿宋_GB2312" w:cs="仿宋_GB2312"/>
          <w:sz w:val="32"/>
          <w:szCs w:val="32"/>
          <w:lang w:val="zh-CN"/>
        </w:rPr>
        <w:t>4年相比，收、支总计各增加4352.54万元，增加55.78</w:t>
      </w:r>
      <w:r>
        <w:rPr>
          <w:rFonts w:ascii="仿宋_GB2312" w:hAnsi="Times New Roman" w:eastAsia="仿宋_GB2312" w:cs="仿宋_GB2312"/>
          <w:sz w:val="32"/>
          <w:szCs w:val="32"/>
          <w:lang w:val="zh-CN"/>
        </w:rPr>
        <w:t>%</w:t>
      </w:r>
      <w:r>
        <w:rPr>
          <w:rFonts w:hint="eastAsia" w:ascii="仿宋_GB2312" w:hAnsi="Times New Roman" w:eastAsia="仿宋_GB2312" w:cs="仿宋_GB2312"/>
          <w:sz w:val="32"/>
          <w:szCs w:val="32"/>
          <w:lang w:val="zh-CN"/>
        </w:rPr>
        <w:t>。</w:t>
      </w:r>
    </w:p>
    <w:p w14:paraId="042430A0">
      <w:pPr>
        <w:autoSpaceDE w:val="0"/>
        <w:autoSpaceDN w:val="0"/>
        <w:adjustRightInd w:val="0"/>
        <w:spacing w:line="600" w:lineRule="exact"/>
        <w:ind w:firstLine="640"/>
        <w:rPr>
          <w:rFonts w:ascii="仿宋" w:hAnsi="Times New Roman" w:eastAsia="仿宋" w:cs="仿宋"/>
          <w:sz w:val="32"/>
          <w:szCs w:val="32"/>
        </w:rPr>
      </w:pPr>
      <w:r>
        <w:rPr>
          <w:rFonts w:hint="eastAsia" w:ascii="仿宋" w:hAnsi="Times New Roman" w:eastAsia="仿宋" w:cs="仿宋"/>
          <w:sz w:val="32"/>
          <w:szCs w:val="32"/>
        </w:rPr>
        <w:t>（图</w:t>
      </w:r>
      <w:r>
        <w:rPr>
          <w:rFonts w:ascii="仿宋" w:hAnsi="Times New Roman" w:eastAsia="仿宋" w:cs="仿宋"/>
          <w:sz w:val="32"/>
          <w:szCs w:val="32"/>
        </w:rPr>
        <w:t>1</w:t>
      </w:r>
      <w:r>
        <w:rPr>
          <w:rFonts w:hint="eastAsia" w:ascii="仿宋" w:hAnsi="Times New Roman" w:eastAsia="仿宋" w:cs="仿宋"/>
          <w:sz w:val="32"/>
          <w:szCs w:val="32"/>
        </w:rPr>
        <w:t>：收、支决算总计变动情况图）（柱状图）</w:t>
      </w:r>
    </w:p>
    <w:p w14:paraId="580AA312">
      <w:pPr>
        <w:autoSpaceDE w:val="0"/>
        <w:autoSpaceDN w:val="0"/>
        <w:adjustRightInd w:val="0"/>
        <w:spacing w:line="720" w:lineRule="auto"/>
        <w:ind w:firstLine="641"/>
        <w:rPr>
          <w:rFonts w:ascii="仿宋" w:hAnsi="Times New Roman" w:eastAsia="仿宋" w:cs="仿宋"/>
          <w:sz w:val="32"/>
          <w:szCs w:val="32"/>
        </w:rPr>
      </w:pPr>
      <w:r>
        <w:drawing>
          <wp:inline distT="0" distB="0" distL="0" distR="0">
            <wp:extent cx="2705100" cy="1790700"/>
            <wp:effectExtent l="0" t="0" r="0" b="0"/>
            <wp:docPr id="2" name="图表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1076657E">
      <w:pPr>
        <w:keepNext/>
        <w:keepLines/>
        <w:autoSpaceDE w:val="0"/>
        <w:autoSpaceDN w:val="0"/>
        <w:adjustRightInd w:val="0"/>
        <w:spacing w:line="576" w:lineRule="exact"/>
        <w:ind w:firstLine="640"/>
        <w:rPr>
          <w:rFonts w:ascii="黑体" w:hAnsi="Times New Roman" w:eastAsia="黑体" w:cs="黑体"/>
          <w:sz w:val="32"/>
          <w:szCs w:val="32"/>
          <w:lang w:val="zh-CN"/>
        </w:rPr>
      </w:pPr>
      <w:r>
        <w:rPr>
          <w:rFonts w:hint="eastAsia" w:ascii="黑体" w:hAnsi="Times New Roman" w:eastAsia="黑体" w:cs="黑体"/>
          <w:sz w:val="32"/>
          <w:szCs w:val="32"/>
          <w:lang w:val="zh-CN"/>
        </w:rPr>
        <w:t>二、收入决算情况说明</w:t>
      </w:r>
    </w:p>
    <w:p w14:paraId="3388D5EE">
      <w:pPr>
        <w:keepNext/>
        <w:keepLines/>
        <w:autoSpaceDE w:val="0"/>
        <w:autoSpaceDN w:val="0"/>
        <w:adjustRightInd w:val="0"/>
        <w:spacing w:line="576" w:lineRule="exact"/>
        <w:ind w:firstLine="640"/>
        <w:rPr>
          <w:rFonts w:ascii="仿宋_GB2312" w:hAnsi="Times New Roman" w:eastAsia="仿宋_GB2312" w:cs="仿宋_GB2312"/>
          <w:sz w:val="32"/>
          <w:szCs w:val="32"/>
          <w:lang w:val="zh-CN"/>
        </w:rPr>
      </w:pPr>
      <w:r>
        <w:rPr>
          <w:rFonts w:ascii="仿宋_GB2312" w:hAnsi="Times New Roman" w:eastAsia="仿宋_GB2312" w:cs="仿宋_GB2312"/>
          <w:sz w:val="32"/>
          <w:szCs w:val="32"/>
          <w:lang w:val="zh-CN"/>
        </w:rPr>
        <w:t>202</w:t>
      </w:r>
      <w:r>
        <w:rPr>
          <w:rFonts w:hint="eastAsia" w:ascii="仿宋_GB2312" w:hAnsi="Times New Roman" w:eastAsia="仿宋_GB2312" w:cs="仿宋_GB2312"/>
          <w:sz w:val="32"/>
          <w:szCs w:val="32"/>
          <w:lang w:val="zh-CN"/>
        </w:rPr>
        <w:t>5年本年收入合计7802.79万元，其中：一般公共预算财政拨款收入5545.04万元，占71.06</w:t>
      </w:r>
      <w:r>
        <w:rPr>
          <w:rFonts w:ascii="仿宋_GB2312" w:hAnsi="Times New Roman" w:eastAsia="仿宋_GB2312" w:cs="仿宋_GB2312"/>
          <w:sz w:val="32"/>
          <w:szCs w:val="32"/>
          <w:lang w:val="zh-CN"/>
        </w:rPr>
        <w:t>%</w:t>
      </w:r>
      <w:r>
        <w:rPr>
          <w:rFonts w:hint="eastAsia" w:ascii="仿宋_GB2312" w:hAnsi="Times New Roman" w:eastAsia="仿宋_GB2312" w:cs="仿宋_GB2312"/>
          <w:sz w:val="32"/>
          <w:szCs w:val="32"/>
          <w:lang w:val="zh-CN"/>
        </w:rPr>
        <w:t>；</w:t>
      </w:r>
      <w:r>
        <w:rPr>
          <w:rFonts w:ascii="仿宋_GB2312" w:hAnsi="Times New Roman" w:eastAsia="仿宋_GB2312" w:cs="仿宋_GB2312"/>
          <w:sz w:val="32"/>
          <w:szCs w:val="32"/>
          <w:lang w:val="zh-CN"/>
        </w:rPr>
        <w:t>政府性基金预算财政拨款收入</w:t>
      </w:r>
      <w:r>
        <w:rPr>
          <w:rFonts w:hint="eastAsia" w:ascii="仿宋_GB2312" w:hAnsi="Times New Roman" w:eastAsia="仿宋_GB2312" w:cs="仿宋_GB2312"/>
          <w:sz w:val="32"/>
          <w:szCs w:val="32"/>
          <w:lang w:val="zh-CN"/>
        </w:rPr>
        <w:t>2257.74万元，占28.94%；国有资本经营预算财政拨款收入</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；上级补助收入</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；事业收入</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；经营收入</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；附属单位上缴收入</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；其他收入</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w:t>
      </w:r>
    </w:p>
    <w:p w14:paraId="76FB1E9D">
      <w:pPr>
        <w:autoSpaceDE w:val="0"/>
        <w:autoSpaceDN w:val="0"/>
        <w:adjustRightInd w:val="0"/>
        <w:spacing w:line="600" w:lineRule="exact"/>
        <w:ind w:firstLine="640"/>
        <w:rPr>
          <w:rFonts w:ascii="仿宋" w:hAnsi="Times New Roman" w:eastAsia="仿宋" w:cs="仿宋"/>
          <w:sz w:val="32"/>
          <w:szCs w:val="32"/>
        </w:rPr>
      </w:pPr>
      <w:r>
        <w:rPr>
          <w:rFonts w:hint="eastAsia" w:ascii="仿宋" w:hAnsi="Times New Roman" w:eastAsia="仿宋" w:cs="仿宋"/>
          <w:sz w:val="32"/>
          <w:szCs w:val="32"/>
        </w:rPr>
        <w:t>（图</w:t>
      </w:r>
      <w:r>
        <w:rPr>
          <w:rFonts w:ascii="仿宋" w:hAnsi="Times New Roman" w:eastAsia="仿宋" w:cs="仿宋"/>
          <w:sz w:val="32"/>
          <w:szCs w:val="32"/>
        </w:rPr>
        <w:t>2</w:t>
      </w:r>
      <w:r>
        <w:rPr>
          <w:rFonts w:hint="eastAsia" w:ascii="仿宋" w:hAnsi="Times New Roman" w:eastAsia="仿宋" w:cs="仿宋"/>
          <w:sz w:val="32"/>
          <w:szCs w:val="32"/>
        </w:rPr>
        <w:t>：收入决算结构图）（饼状图）</w:t>
      </w:r>
    </w:p>
    <w:p w14:paraId="0EB9016B">
      <w:pPr>
        <w:autoSpaceDE w:val="0"/>
        <w:autoSpaceDN w:val="0"/>
        <w:adjustRightInd w:val="0"/>
        <w:spacing w:line="720" w:lineRule="auto"/>
        <w:ind w:firstLine="641"/>
        <w:rPr>
          <w:rFonts w:ascii="仿宋" w:hAnsi="Times New Roman" w:eastAsia="仿宋" w:cs="仿宋"/>
          <w:sz w:val="32"/>
          <w:szCs w:val="32"/>
        </w:rPr>
      </w:pPr>
      <w:r>
        <w:drawing>
          <wp:inline distT="0" distB="0" distL="0" distR="0">
            <wp:extent cx="2733675" cy="1905000"/>
            <wp:effectExtent l="0" t="0" r="0" b="0"/>
            <wp:docPr id="3" name="图表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1F42338">
      <w:pPr>
        <w:keepNext/>
        <w:keepLines/>
        <w:autoSpaceDE w:val="0"/>
        <w:autoSpaceDN w:val="0"/>
        <w:adjustRightInd w:val="0"/>
        <w:spacing w:line="576" w:lineRule="exact"/>
        <w:ind w:firstLine="640"/>
        <w:rPr>
          <w:rFonts w:ascii="黑体" w:hAnsi="Times New Roman" w:eastAsia="黑体" w:cs="黑体"/>
          <w:sz w:val="32"/>
          <w:szCs w:val="32"/>
          <w:lang w:val="zh-CN"/>
        </w:rPr>
      </w:pPr>
      <w:r>
        <w:rPr>
          <w:rFonts w:hint="eastAsia" w:ascii="黑体" w:hAnsi="Times New Roman" w:eastAsia="黑体" w:cs="黑体"/>
          <w:sz w:val="32"/>
          <w:szCs w:val="32"/>
          <w:lang w:val="zh-CN"/>
        </w:rPr>
        <w:t>三、支出决算情况说明</w:t>
      </w:r>
    </w:p>
    <w:p w14:paraId="3DC20B9A">
      <w:pPr>
        <w:keepNext/>
        <w:keepLines/>
        <w:autoSpaceDE w:val="0"/>
        <w:autoSpaceDN w:val="0"/>
        <w:adjustRightInd w:val="0"/>
        <w:spacing w:line="576" w:lineRule="exact"/>
        <w:ind w:firstLine="640"/>
        <w:rPr>
          <w:rFonts w:ascii="仿宋_GB2312" w:hAnsi="Times New Roman" w:eastAsia="仿宋_GB2312" w:cs="仿宋_GB2312"/>
          <w:sz w:val="32"/>
          <w:szCs w:val="32"/>
          <w:lang w:val="zh-CN"/>
        </w:rPr>
      </w:pPr>
      <w:r>
        <w:rPr>
          <w:rFonts w:ascii="仿宋_GB2312" w:hAnsi="Times New Roman" w:eastAsia="仿宋_GB2312" w:cs="仿宋_GB2312"/>
          <w:sz w:val="32"/>
          <w:szCs w:val="32"/>
          <w:lang w:val="zh-CN"/>
        </w:rPr>
        <w:t>202</w:t>
      </w:r>
      <w:r>
        <w:rPr>
          <w:rFonts w:hint="eastAsia" w:ascii="仿宋_GB2312" w:hAnsi="Times New Roman" w:eastAsia="仿宋_GB2312" w:cs="仿宋_GB2312"/>
          <w:sz w:val="32"/>
          <w:szCs w:val="32"/>
          <w:lang w:val="zh-CN"/>
        </w:rPr>
        <w:t>5年本年支出合计7802.79万元，其中：基本支出737.13万元，占9.45</w:t>
      </w:r>
      <w:r>
        <w:rPr>
          <w:rFonts w:ascii="仿宋_GB2312" w:hAnsi="Times New Roman" w:eastAsia="仿宋_GB2312" w:cs="仿宋_GB2312"/>
          <w:sz w:val="32"/>
          <w:szCs w:val="32"/>
          <w:lang w:val="zh-CN"/>
        </w:rPr>
        <w:t>%</w:t>
      </w:r>
      <w:r>
        <w:rPr>
          <w:rFonts w:hint="eastAsia" w:ascii="仿宋_GB2312" w:hAnsi="Times New Roman" w:eastAsia="仿宋_GB2312" w:cs="仿宋_GB2312"/>
          <w:sz w:val="32"/>
          <w:szCs w:val="32"/>
          <w:lang w:val="zh-CN"/>
        </w:rPr>
        <w:t>；项目支出7065.65万元，占90.55</w:t>
      </w:r>
      <w:r>
        <w:rPr>
          <w:rFonts w:ascii="仿宋_GB2312" w:hAnsi="Times New Roman" w:eastAsia="仿宋_GB2312" w:cs="仿宋_GB2312"/>
          <w:sz w:val="32"/>
          <w:szCs w:val="32"/>
          <w:lang w:val="zh-CN"/>
        </w:rPr>
        <w:t>%</w:t>
      </w:r>
      <w:r>
        <w:rPr>
          <w:rFonts w:hint="eastAsia" w:ascii="仿宋_GB2312" w:hAnsi="Times New Roman" w:eastAsia="仿宋_GB2312" w:cs="仿宋_GB2312"/>
          <w:sz w:val="32"/>
          <w:szCs w:val="32"/>
          <w:lang w:val="zh-CN"/>
        </w:rPr>
        <w:t>；上缴上级支出</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；经营支出</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；对附属单位补助支出</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w:t>
      </w:r>
    </w:p>
    <w:p w14:paraId="0D8F900E">
      <w:pPr>
        <w:autoSpaceDE w:val="0"/>
        <w:autoSpaceDN w:val="0"/>
        <w:adjustRightInd w:val="0"/>
        <w:spacing w:line="600" w:lineRule="exact"/>
        <w:ind w:firstLine="640"/>
        <w:rPr>
          <w:rFonts w:ascii="仿宋" w:hAnsi="Times New Roman" w:eastAsia="仿宋" w:cs="仿宋"/>
          <w:sz w:val="32"/>
          <w:szCs w:val="32"/>
        </w:rPr>
      </w:pPr>
      <w:r>
        <w:rPr>
          <w:rFonts w:hint="eastAsia" w:ascii="仿宋" w:hAnsi="Times New Roman" w:eastAsia="仿宋" w:cs="仿宋"/>
          <w:sz w:val="32"/>
          <w:szCs w:val="32"/>
        </w:rPr>
        <w:t>（图</w:t>
      </w:r>
      <w:r>
        <w:rPr>
          <w:rFonts w:ascii="仿宋" w:hAnsi="Times New Roman" w:eastAsia="仿宋" w:cs="仿宋"/>
          <w:sz w:val="32"/>
          <w:szCs w:val="32"/>
        </w:rPr>
        <w:t>3</w:t>
      </w:r>
      <w:r>
        <w:rPr>
          <w:rFonts w:hint="eastAsia" w:ascii="仿宋" w:hAnsi="Times New Roman" w:eastAsia="仿宋" w:cs="仿宋"/>
          <w:sz w:val="32"/>
          <w:szCs w:val="32"/>
        </w:rPr>
        <w:t>：支出决算结构图）（饼状图）</w:t>
      </w:r>
    </w:p>
    <w:p w14:paraId="1A4D695F">
      <w:pPr>
        <w:autoSpaceDE w:val="0"/>
        <w:autoSpaceDN w:val="0"/>
        <w:adjustRightInd w:val="0"/>
        <w:spacing w:line="720" w:lineRule="auto"/>
        <w:ind w:firstLine="641"/>
        <w:rPr>
          <w:rFonts w:ascii="仿宋" w:hAnsi="Times New Roman" w:eastAsia="仿宋" w:cs="仿宋"/>
          <w:sz w:val="32"/>
          <w:szCs w:val="32"/>
        </w:rPr>
      </w:pPr>
      <w:r>
        <w:drawing>
          <wp:inline distT="0" distB="0" distL="0" distR="0">
            <wp:extent cx="2733675" cy="1828800"/>
            <wp:effectExtent l="0" t="0" r="0" b="0"/>
            <wp:docPr id="4" name="图表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299A655">
      <w:pPr>
        <w:keepNext/>
        <w:keepLines/>
        <w:autoSpaceDE w:val="0"/>
        <w:autoSpaceDN w:val="0"/>
        <w:adjustRightInd w:val="0"/>
        <w:spacing w:line="576" w:lineRule="exact"/>
        <w:ind w:firstLine="640"/>
        <w:rPr>
          <w:rFonts w:ascii="黑体" w:hAnsi="Times New Roman" w:eastAsia="黑体" w:cs="黑体"/>
          <w:sz w:val="32"/>
          <w:szCs w:val="32"/>
          <w:lang w:val="zh-CN"/>
        </w:rPr>
      </w:pPr>
      <w:r>
        <w:rPr>
          <w:rFonts w:hint="eastAsia" w:ascii="黑体" w:hAnsi="Times New Roman" w:eastAsia="黑体" w:cs="黑体"/>
          <w:sz w:val="32"/>
          <w:szCs w:val="32"/>
          <w:lang w:val="zh-CN"/>
        </w:rPr>
        <w:t>四、财政拨款收入支出决算总体情况说明</w:t>
      </w:r>
    </w:p>
    <w:p w14:paraId="733155D3">
      <w:pPr>
        <w:autoSpaceDE w:val="0"/>
        <w:autoSpaceDN w:val="0"/>
        <w:adjustRightInd w:val="0"/>
        <w:spacing w:line="576" w:lineRule="exact"/>
        <w:ind w:firstLine="640"/>
        <w:rPr>
          <w:rFonts w:ascii="仿宋_GB2312" w:hAnsi="Times New Roman" w:eastAsia="仿宋_GB2312" w:cs="仿宋_GB2312"/>
          <w:sz w:val="32"/>
          <w:szCs w:val="32"/>
          <w:lang w:val="zh-CN"/>
        </w:rPr>
      </w:pPr>
      <w:r>
        <w:rPr>
          <w:rFonts w:ascii="仿宋_GB2312" w:hAnsi="Times New Roman" w:eastAsia="仿宋_GB2312" w:cs="仿宋_GB2312"/>
          <w:sz w:val="32"/>
          <w:szCs w:val="32"/>
          <w:lang w:val="zh-CN"/>
        </w:rPr>
        <w:t>202</w:t>
      </w:r>
      <w:r>
        <w:rPr>
          <w:rFonts w:hint="eastAsia" w:ascii="仿宋_GB2312" w:hAnsi="Times New Roman" w:eastAsia="仿宋_GB2312" w:cs="仿宋_GB2312"/>
          <w:sz w:val="32"/>
          <w:szCs w:val="32"/>
          <w:lang w:val="zh-CN"/>
        </w:rPr>
        <w:t>5年财政拨款收、支总计7802.79万元。与</w:t>
      </w:r>
      <w:r>
        <w:rPr>
          <w:rFonts w:ascii="仿宋_GB2312" w:hAnsi="Times New Roman" w:eastAsia="仿宋_GB2312" w:cs="仿宋_GB2312"/>
          <w:sz w:val="32"/>
          <w:szCs w:val="32"/>
          <w:lang w:val="zh-CN"/>
        </w:rPr>
        <w:t>202</w:t>
      </w:r>
      <w:r>
        <w:rPr>
          <w:rFonts w:hint="eastAsia" w:ascii="仿宋_GB2312" w:hAnsi="Times New Roman" w:eastAsia="仿宋_GB2312" w:cs="仿宋_GB2312"/>
          <w:sz w:val="32"/>
          <w:szCs w:val="32"/>
          <w:lang w:val="zh-CN"/>
        </w:rPr>
        <w:t>4年相比，财政拨款收、支总计各增加4352.54万元，增加55.78</w:t>
      </w:r>
      <w:r>
        <w:rPr>
          <w:rFonts w:ascii="仿宋_GB2312" w:hAnsi="Times New Roman" w:eastAsia="仿宋_GB2312" w:cs="仿宋_GB2312"/>
          <w:sz w:val="32"/>
          <w:szCs w:val="32"/>
          <w:lang w:val="zh-CN"/>
        </w:rPr>
        <w:t>%</w:t>
      </w:r>
      <w:r>
        <w:rPr>
          <w:rFonts w:hint="eastAsia" w:ascii="仿宋_GB2312" w:hAnsi="Times New Roman" w:eastAsia="仿宋_GB2312" w:cs="仿宋_GB2312"/>
          <w:sz w:val="32"/>
          <w:szCs w:val="32"/>
          <w:lang w:val="zh-CN"/>
        </w:rPr>
        <w:t>。主要变动原因是增加支付了上年度的各项应付款。</w:t>
      </w:r>
    </w:p>
    <w:p w14:paraId="5A97A400">
      <w:pPr>
        <w:autoSpaceDE w:val="0"/>
        <w:autoSpaceDN w:val="0"/>
        <w:adjustRightInd w:val="0"/>
        <w:spacing w:line="600" w:lineRule="exact"/>
        <w:ind w:firstLine="640"/>
        <w:rPr>
          <w:rFonts w:ascii="仿宋" w:hAnsi="Times New Roman" w:eastAsia="仿宋" w:cs="仿宋"/>
          <w:sz w:val="32"/>
          <w:szCs w:val="32"/>
        </w:rPr>
      </w:pPr>
      <w:r>
        <w:rPr>
          <w:rFonts w:hint="eastAsia" w:ascii="仿宋" w:hAnsi="Times New Roman" w:eastAsia="仿宋" w:cs="仿宋"/>
          <w:sz w:val="32"/>
          <w:szCs w:val="32"/>
        </w:rPr>
        <w:t>（图</w:t>
      </w:r>
      <w:r>
        <w:rPr>
          <w:rFonts w:ascii="仿宋" w:hAnsi="Times New Roman" w:eastAsia="仿宋" w:cs="仿宋"/>
          <w:sz w:val="32"/>
          <w:szCs w:val="32"/>
        </w:rPr>
        <w:t>4</w:t>
      </w:r>
      <w:r>
        <w:rPr>
          <w:rFonts w:hint="eastAsia" w:ascii="仿宋" w:hAnsi="Times New Roman" w:eastAsia="仿宋" w:cs="仿宋"/>
          <w:sz w:val="32"/>
          <w:szCs w:val="32"/>
        </w:rPr>
        <w:t>：财政拨款收、支决算总计变动情况）（柱状图）</w:t>
      </w:r>
    </w:p>
    <w:p w14:paraId="7BBC824A">
      <w:pPr>
        <w:autoSpaceDE w:val="0"/>
        <w:autoSpaceDN w:val="0"/>
        <w:adjustRightInd w:val="0"/>
        <w:spacing w:line="720" w:lineRule="auto"/>
        <w:ind w:firstLine="641"/>
        <w:rPr>
          <w:rFonts w:ascii="仿宋" w:hAnsi="Times New Roman" w:eastAsia="仿宋" w:cs="仿宋"/>
          <w:sz w:val="32"/>
          <w:szCs w:val="32"/>
        </w:rPr>
      </w:pPr>
      <w:r>
        <w:drawing>
          <wp:inline distT="0" distB="0" distL="0" distR="0">
            <wp:extent cx="2733675" cy="1828800"/>
            <wp:effectExtent l="0" t="0" r="0" b="0"/>
            <wp:docPr id="5" name="图表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BCB88D4">
      <w:pPr>
        <w:keepNext/>
        <w:keepLines/>
        <w:autoSpaceDE w:val="0"/>
        <w:autoSpaceDN w:val="0"/>
        <w:adjustRightInd w:val="0"/>
        <w:spacing w:line="576" w:lineRule="exact"/>
        <w:ind w:firstLine="640"/>
        <w:rPr>
          <w:rFonts w:ascii="黑体" w:hAnsi="Times New Roman" w:eastAsia="黑体" w:cs="黑体"/>
          <w:sz w:val="32"/>
          <w:szCs w:val="32"/>
          <w:lang w:val="zh-CN"/>
        </w:rPr>
      </w:pPr>
      <w:r>
        <w:rPr>
          <w:rFonts w:hint="eastAsia" w:ascii="黑体" w:hAnsi="Times New Roman" w:eastAsia="黑体" w:cs="黑体"/>
          <w:sz w:val="32"/>
          <w:szCs w:val="32"/>
          <w:lang w:val="zh-CN"/>
        </w:rPr>
        <w:t>五、</w:t>
      </w:r>
      <w:r>
        <w:rPr>
          <w:rFonts w:hint="eastAsia" w:ascii="黑体" w:hAnsi="Times New Roman" w:eastAsia="黑体" w:cs="黑体"/>
          <w:b/>
          <w:bCs/>
          <w:sz w:val="32"/>
          <w:szCs w:val="32"/>
          <w:lang w:val="zh-CN"/>
        </w:rPr>
        <w:t>一</w:t>
      </w:r>
      <w:r>
        <w:rPr>
          <w:rFonts w:hint="eastAsia" w:ascii="黑体" w:hAnsi="Times New Roman" w:eastAsia="黑体" w:cs="黑体"/>
          <w:sz w:val="32"/>
          <w:szCs w:val="32"/>
          <w:lang w:val="zh-CN"/>
        </w:rPr>
        <w:t>般公共预算财政拨款支出决算情况说明</w:t>
      </w:r>
    </w:p>
    <w:p w14:paraId="60E8A71B">
      <w:pPr>
        <w:keepNext/>
        <w:keepLines/>
        <w:autoSpaceDE w:val="0"/>
        <w:autoSpaceDN w:val="0"/>
        <w:adjustRightInd w:val="0"/>
        <w:spacing w:line="576" w:lineRule="exact"/>
        <w:ind w:firstLine="643"/>
        <w:rPr>
          <w:rFonts w:ascii="仿宋_GB2312" w:hAnsi="Times New Roman" w:eastAsia="仿宋_GB2312" w:cs="仿宋_GB2312"/>
          <w:b/>
          <w:bCs/>
          <w:sz w:val="32"/>
          <w:szCs w:val="32"/>
          <w:lang w:val="zh-CN"/>
        </w:rPr>
      </w:pPr>
      <w:r>
        <w:rPr>
          <w:rFonts w:hint="eastAsia" w:ascii="仿宋_GB2312" w:hAnsi="Times New Roman" w:eastAsia="仿宋_GB2312" w:cs="仿宋_GB2312"/>
          <w:b/>
          <w:bCs/>
          <w:sz w:val="32"/>
          <w:szCs w:val="32"/>
          <w:lang w:val="zh-CN"/>
        </w:rPr>
        <w:t>（一）一般公共预算财政拨款支出决算总体情况。</w:t>
      </w:r>
    </w:p>
    <w:p w14:paraId="5DA6FBA0">
      <w:pPr>
        <w:keepNext/>
        <w:keepLines/>
        <w:autoSpaceDE w:val="0"/>
        <w:autoSpaceDN w:val="0"/>
        <w:adjustRightInd w:val="0"/>
        <w:spacing w:line="576" w:lineRule="exact"/>
        <w:ind w:firstLine="640"/>
        <w:rPr>
          <w:rFonts w:ascii="仿宋_GB2312" w:hAnsi="Times New Roman" w:eastAsia="仿宋_GB2312" w:cs="仿宋_GB2312"/>
          <w:sz w:val="32"/>
          <w:szCs w:val="32"/>
          <w:lang w:val="zh-CN"/>
        </w:rPr>
      </w:pPr>
      <w:r>
        <w:rPr>
          <w:rFonts w:ascii="仿宋_GB2312" w:hAnsi="Times New Roman" w:eastAsia="仿宋_GB2312" w:cs="仿宋_GB2312"/>
          <w:sz w:val="32"/>
          <w:szCs w:val="32"/>
          <w:lang w:val="zh-CN"/>
        </w:rPr>
        <w:t>202</w:t>
      </w:r>
      <w:r>
        <w:rPr>
          <w:rFonts w:hint="eastAsia" w:ascii="仿宋_GB2312" w:hAnsi="Times New Roman" w:eastAsia="仿宋_GB2312" w:cs="仿宋_GB2312"/>
          <w:sz w:val="32"/>
          <w:szCs w:val="32"/>
          <w:lang w:val="zh-CN"/>
        </w:rPr>
        <w:t>5年一般公共预算财政拨款支出5545.04万元，占本年支出合计的71.06</w:t>
      </w:r>
      <w:r>
        <w:rPr>
          <w:rFonts w:ascii="仿宋_GB2312" w:hAnsi="Times New Roman" w:eastAsia="仿宋_GB2312" w:cs="仿宋_GB2312"/>
          <w:sz w:val="32"/>
          <w:szCs w:val="32"/>
          <w:lang w:val="zh-CN"/>
        </w:rPr>
        <w:t>%</w:t>
      </w:r>
      <w:r>
        <w:rPr>
          <w:rFonts w:hint="eastAsia" w:ascii="仿宋_GB2312" w:hAnsi="Times New Roman" w:eastAsia="仿宋_GB2312" w:cs="仿宋_GB2312"/>
          <w:sz w:val="32"/>
          <w:szCs w:val="32"/>
          <w:lang w:val="zh-CN"/>
        </w:rPr>
        <w:t>。与</w:t>
      </w:r>
      <w:r>
        <w:rPr>
          <w:rFonts w:ascii="仿宋_GB2312" w:hAnsi="Times New Roman" w:eastAsia="仿宋_GB2312" w:cs="仿宋_GB2312"/>
          <w:sz w:val="32"/>
          <w:szCs w:val="32"/>
          <w:lang w:val="zh-CN"/>
        </w:rPr>
        <w:t>202</w:t>
      </w:r>
      <w:r>
        <w:rPr>
          <w:rFonts w:hint="eastAsia" w:ascii="仿宋_GB2312" w:hAnsi="Times New Roman" w:eastAsia="仿宋_GB2312" w:cs="仿宋_GB2312"/>
          <w:sz w:val="32"/>
          <w:szCs w:val="32"/>
          <w:lang w:val="zh-CN"/>
        </w:rPr>
        <w:t>4年相比，一般公共预算财政拨款支出增加2094.79万元，增加37.77</w:t>
      </w:r>
      <w:r>
        <w:rPr>
          <w:rFonts w:ascii="仿宋_GB2312" w:hAnsi="Times New Roman" w:eastAsia="仿宋_GB2312" w:cs="仿宋_GB2312"/>
          <w:sz w:val="32"/>
          <w:szCs w:val="32"/>
          <w:lang w:val="zh-CN"/>
        </w:rPr>
        <w:t>%</w:t>
      </w:r>
      <w:r>
        <w:rPr>
          <w:rFonts w:hint="eastAsia" w:ascii="仿宋_GB2312" w:hAnsi="Times New Roman" w:eastAsia="仿宋_GB2312" w:cs="仿宋_GB2312"/>
          <w:sz w:val="32"/>
          <w:szCs w:val="32"/>
          <w:lang w:val="zh-CN"/>
        </w:rPr>
        <w:t>。主要变动原因是财政增加了本年度项目资金的支付。</w:t>
      </w:r>
    </w:p>
    <w:p w14:paraId="62424F84">
      <w:pPr>
        <w:autoSpaceDE w:val="0"/>
        <w:autoSpaceDN w:val="0"/>
        <w:adjustRightInd w:val="0"/>
        <w:spacing w:line="600" w:lineRule="exact"/>
        <w:ind w:firstLine="640"/>
        <w:rPr>
          <w:rFonts w:ascii="仿宋" w:hAnsi="Times New Roman" w:eastAsia="仿宋" w:cs="仿宋"/>
          <w:sz w:val="32"/>
          <w:szCs w:val="32"/>
        </w:rPr>
      </w:pPr>
      <w:r>
        <w:rPr>
          <w:rFonts w:hint="eastAsia" w:ascii="仿宋" w:hAnsi="Times New Roman" w:eastAsia="仿宋" w:cs="仿宋"/>
          <w:sz w:val="32"/>
          <w:szCs w:val="32"/>
        </w:rPr>
        <w:t>（图</w:t>
      </w:r>
      <w:r>
        <w:rPr>
          <w:rFonts w:ascii="仿宋" w:hAnsi="Times New Roman" w:eastAsia="仿宋" w:cs="仿宋"/>
          <w:sz w:val="32"/>
          <w:szCs w:val="32"/>
        </w:rPr>
        <w:t>5</w:t>
      </w:r>
      <w:r>
        <w:rPr>
          <w:rFonts w:hint="eastAsia" w:ascii="仿宋" w:hAnsi="Times New Roman" w:eastAsia="仿宋" w:cs="仿宋"/>
          <w:sz w:val="32"/>
          <w:szCs w:val="32"/>
        </w:rPr>
        <w:t>：一般公共预算财政拨款支出决算变动情况）（柱状图）</w:t>
      </w:r>
    </w:p>
    <w:p w14:paraId="2FCC07FF">
      <w:pPr>
        <w:autoSpaceDE w:val="0"/>
        <w:autoSpaceDN w:val="0"/>
        <w:adjustRightInd w:val="0"/>
        <w:spacing w:line="720" w:lineRule="auto"/>
        <w:ind w:firstLine="641"/>
        <w:rPr>
          <w:rFonts w:ascii="仿宋" w:hAnsi="Times New Roman" w:eastAsia="仿宋" w:cs="仿宋"/>
          <w:sz w:val="32"/>
          <w:szCs w:val="32"/>
        </w:rPr>
      </w:pPr>
      <w:r>
        <w:drawing>
          <wp:inline distT="0" distB="0" distL="0" distR="0">
            <wp:extent cx="2733675" cy="1828800"/>
            <wp:effectExtent l="0" t="0" r="0" b="0"/>
            <wp:docPr id="6" name="图表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B850D95">
      <w:pPr>
        <w:keepNext/>
        <w:keepLines/>
        <w:autoSpaceDE w:val="0"/>
        <w:autoSpaceDN w:val="0"/>
        <w:adjustRightInd w:val="0"/>
        <w:spacing w:line="576" w:lineRule="exact"/>
        <w:ind w:firstLine="643"/>
        <w:rPr>
          <w:rFonts w:ascii="仿宋_GB2312" w:hAnsi="Times New Roman" w:eastAsia="仿宋_GB2312" w:cs="仿宋_GB2312"/>
          <w:b/>
          <w:bCs/>
          <w:sz w:val="32"/>
          <w:szCs w:val="32"/>
          <w:lang w:val="zh-CN"/>
        </w:rPr>
      </w:pPr>
      <w:r>
        <w:rPr>
          <w:rFonts w:hint="eastAsia" w:ascii="仿宋_GB2312" w:hAnsi="Times New Roman" w:eastAsia="仿宋_GB2312" w:cs="仿宋_GB2312"/>
          <w:b/>
          <w:bCs/>
          <w:sz w:val="32"/>
          <w:szCs w:val="32"/>
          <w:lang w:val="zh-CN"/>
        </w:rPr>
        <w:t>（二）一般公共预算财政拨款支出决算结构情况。</w:t>
      </w:r>
    </w:p>
    <w:p w14:paraId="1FA2B3FE">
      <w:pPr>
        <w:keepNext/>
        <w:keepLines/>
        <w:autoSpaceDE w:val="0"/>
        <w:autoSpaceDN w:val="0"/>
        <w:adjustRightInd w:val="0"/>
        <w:spacing w:line="576" w:lineRule="exact"/>
        <w:ind w:firstLine="640"/>
        <w:rPr>
          <w:rFonts w:ascii="仿宋_GB2312" w:hAnsi="Times New Roman" w:eastAsia="仿宋_GB2312" w:cs="仿宋_GB2312"/>
          <w:sz w:val="32"/>
          <w:szCs w:val="32"/>
          <w:lang w:val="zh-CN"/>
        </w:rPr>
      </w:pPr>
      <w:r>
        <w:rPr>
          <w:rFonts w:ascii="仿宋_GB2312" w:hAnsi="Times New Roman" w:eastAsia="仿宋_GB2312" w:cs="仿宋_GB2312"/>
          <w:sz w:val="32"/>
          <w:szCs w:val="32"/>
          <w:lang w:val="zh-CN"/>
        </w:rPr>
        <w:t>202</w:t>
      </w:r>
      <w:r>
        <w:rPr>
          <w:rFonts w:hint="eastAsia" w:ascii="仿宋_GB2312" w:hAnsi="Times New Roman" w:eastAsia="仿宋_GB2312" w:cs="仿宋_GB2312"/>
          <w:sz w:val="32"/>
          <w:szCs w:val="32"/>
          <w:lang w:val="zh-CN"/>
        </w:rPr>
        <w:t>5年一般公共预算财政拨款支出5545.04万元，主要用于以下方面</w:t>
      </w:r>
      <w:r>
        <w:rPr>
          <w:rFonts w:ascii="仿宋_GB2312" w:hAnsi="Times New Roman" w:eastAsia="仿宋_GB2312" w:cs="仿宋_GB2312"/>
          <w:sz w:val="32"/>
          <w:szCs w:val="32"/>
          <w:lang w:val="zh-CN"/>
        </w:rPr>
        <w:t xml:space="preserve">: </w:t>
      </w:r>
      <w:r>
        <w:rPr>
          <w:rFonts w:hint="eastAsia" w:ascii="仿宋_GB2312" w:hAnsi="Times New Roman" w:eastAsia="仿宋_GB2312" w:cs="仿宋_GB2312"/>
          <w:sz w:val="32"/>
          <w:szCs w:val="32"/>
          <w:lang w:val="zh-CN"/>
        </w:rPr>
        <w:t>一般公共服务支出0万元，占0</w:t>
      </w:r>
      <w:r>
        <w:rPr>
          <w:rFonts w:ascii="仿宋_GB2312" w:hAnsi="Times New Roman" w:eastAsia="仿宋_GB2312" w:cs="仿宋_GB2312"/>
          <w:sz w:val="32"/>
          <w:szCs w:val="32"/>
          <w:lang w:val="zh-CN"/>
        </w:rPr>
        <w:t>%</w:t>
      </w:r>
      <w:r>
        <w:rPr>
          <w:rFonts w:hint="eastAsia" w:ascii="仿宋_GB2312" w:hAnsi="Times New Roman" w:eastAsia="仿宋_GB2312" w:cs="仿宋_GB2312"/>
          <w:sz w:val="32"/>
          <w:szCs w:val="32"/>
          <w:lang w:val="zh-CN"/>
        </w:rPr>
        <w:t>；外交支出</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；国防支出</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；公共安全支出</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；教育支出</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；科学技术支出</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；文化体育与传媒支出</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；社会保障和就业支出127.46万元，占2.3</w:t>
      </w:r>
      <w:r>
        <w:rPr>
          <w:rFonts w:ascii="仿宋_GB2312" w:hAnsi="Times New Roman" w:eastAsia="仿宋_GB2312" w:cs="仿宋_GB2312"/>
          <w:sz w:val="32"/>
          <w:szCs w:val="32"/>
          <w:lang w:val="zh-CN"/>
        </w:rPr>
        <w:t>%</w:t>
      </w:r>
      <w:r>
        <w:rPr>
          <w:rFonts w:hint="eastAsia" w:ascii="仿宋_GB2312" w:hAnsi="Times New Roman" w:eastAsia="仿宋_GB2312" w:cs="仿宋_GB2312"/>
          <w:sz w:val="32"/>
          <w:szCs w:val="32"/>
          <w:lang w:val="zh-CN"/>
        </w:rPr>
        <w:t>；卫生健康支出35.76万元，占0.6</w:t>
      </w:r>
      <w:r>
        <w:rPr>
          <w:rFonts w:ascii="仿宋_GB2312" w:hAnsi="Times New Roman" w:eastAsia="仿宋_GB2312" w:cs="仿宋_GB2312"/>
          <w:sz w:val="32"/>
          <w:szCs w:val="32"/>
          <w:lang w:val="zh-CN"/>
        </w:rPr>
        <w:t>%</w:t>
      </w:r>
      <w:r>
        <w:rPr>
          <w:rFonts w:hint="eastAsia" w:ascii="仿宋_GB2312" w:hAnsi="Times New Roman" w:eastAsia="仿宋_GB2312" w:cs="仿宋_GB2312"/>
          <w:sz w:val="32"/>
          <w:szCs w:val="32"/>
          <w:lang w:val="zh-CN"/>
        </w:rPr>
        <w:t>；节能环保支出2897.42万元，占52.25</w:t>
      </w:r>
      <w:r>
        <w:rPr>
          <w:rFonts w:ascii="仿宋_GB2312" w:hAnsi="Times New Roman" w:eastAsia="仿宋_GB2312" w:cs="仿宋_GB2312"/>
          <w:sz w:val="32"/>
          <w:szCs w:val="32"/>
          <w:lang w:val="zh-CN"/>
        </w:rPr>
        <w:t>%</w:t>
      </w:r>
      <w:r>
        <w:rPr>
          <w:rFonts w:hint="eastAsia" w:ascii="仿宋_GB2312" w:hAnsi="Times New Roman" w:eastAsia="仿宋_GB2312" w:cs="仿宋_GB2312"/>
          <w:sz w:val="32"/>
          <w:szCs w:val="32"/>
          <w:lang w:val="zh-CN"/>
        </w:rPr>
        <w:t>；城乡社区支出0万元，占0</w:t>
      </w:r>
      <w:r>
        <w:rPr>
          <w:rFonts w:ascii="仿宋_GB2312" w:hAnsi="Times New Roman" w:eastAsia="仿宋_GB2312" w:cs="仿宋_GB2312"/>
          <w:sz w:val="32"/>
          <w:szCs w:val="32"/>
          <w:lang w:val="zh-CN"/>
        </w:rPr>
        <w:t>%</w:t>
      </w:r>
      <w:r>
        <w:rPr>
          <w:rFonts w:hint="eastAsia" w:ascii="仿宋_GB2312" w:hAnsi="Times New Roman" w:eastAsia="仿宋_GB2312" w:cs="仿宋_GB2312"/>
          <w:sz w:val="32"/>
          <w:szCs w:val="32"/>
          <w:lang w:val="zh-CN"/>
        </w:rPr>
        <w:t>；农林水支出1985.76万元，占35.81</w:t>
      </w:r>
      <w:r>
        <w:rPr>
          <w:rFonts w:ascii="仿宋_GB2312" w:hAnsi="Times New Roman" w:eastAsia="仿宋_GB2312" w:cs="仿宋_GB2312"/>
          <w:sz w:val="32"/>
          <w:szCs w:val="32"/>
          <w:lang w:val="zh-CN"/>
        </w:rPr>
        <w:t>%</w:t>
      </w:r>
      <w:r>
        <w:rPr>
          <w:rFonts w:hint="eastAsia" w:ascii="仿宋_GB2312" w:hAnsi="Times New Roman" w:eastAsia="仿宋_GB2312" w:cs="仿宋_GB2312"/>
          <w:sz w:val="32"/>
          <w:szCs w:val="32"/>
          <w:lang w:val="zh-CN"/>
        </w:rPr>
        <w:t>；交通运输支出</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；资源勘探工业信息等支出</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；商业服务业等支出</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；金融支出</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；援助其他地区支出</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；自然资源海洋气象等支出</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；住房保障支出46.08万元，占0.83</w:t>
      </w:r>
      <w:r>
        <w:rPr>
          <w:rFonts w:ascii="仿宋_GB2312" w:hAnsi="Times New Roman" w:eastAsia="仿宋_GB2312" w:cs="仿宋_GB2312"/>
          <w:sz w:val="32"/>
          <w:szCs w:val="32"/>
          <w:lang w:val="zh-CN"/>
        </w:rPr>
        <w:t>%</w:t>
      </w:r>
      <w:r>
        <w:rPr>
          <w:rFonts w:hint="eastAsia" w:ascii="仿宋_GB2312" w:hAnsi="Times New Roman" w:eastAsia="仿宋_GB2312" w:cs="仿宋_GB2312"/>
          <w:sz w:val="32"/>
          <w:szCs w:val="32"/>
          <w:lang w:val="zh-CN"/>
        </w:rPr>
        <w:t>；粮油物资储备支出</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；国有资本经营预算支出</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w:t>
      </w:r>
      <w:bookmarkStart w:id="0" w:name="OLE_LINK1"/>
      <w:r>
        <w:rPr>
          <w:rFonts w:hint="eastAsia" w:ascii="仿宋_GB2312" w:hAnsi="Times New Roman" w:eastAsia="仿宋_GB2312" w:cs="仿宋_GB2312"/>
          <w:sz w:val="32"/>
          <w:szCs w:val="32"/>
          <w:lang w:val="zh-CN"/>
        </w:rPr>
        <w:t>灾害防治及应急管理支出</w:t>
      </w:r>
      <w:bookmarkEnd w:id="0"/>
      <w:r>
        <w:rPr>
          <w:rFonts w:hint="eastAsia" w:ascii="仿宋_GB2312" w:hAnsi="Times New Roman" w:eastAsia="仿宋_GB2312" w:cs="仿宋_GB2312"/>
          <w:sz w:val="32"/>
          <w:szCs w:val="32"/>
          <w:lang w:val="zh-CN"/>
        </w:rPr>
        <w:t>452.57万元，占8.16</w:t>
      </w:r>
      <w:r>
        <w:rPr>
          <w:rFonts w:ascii="仿宋_GB2312" w:hAnsi="Times New Roman" w:eastAsia="仿宋_GB2312" w:cs="仿宋_GB2312"/>
          <w:sz w:val="32"/>
          <w:szCs w:val="32"/>
          <w:lang w:val="zh-CN"/>
        </w:rPr>
        <w:t>%</w:t>
      </w:r>
      <w:r>
        <w:rPr>
          <w:rFonts w:hint="eastAsia" w:ascii="仿宋_GB2312" w:hAnsi="Times New Roman" w:eastAsia="仿宋_GB2312" w:cs="仿宋_GB2312"/>
          <w:sz w:val="32"/>
          <w:szCs w:val="32"/>
          <w:lang w:val="zh-CN"/>
        </w:rPr>
        <w:t>；其他支出</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；债务还本支出</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；债务付息支出</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；抗疫特别国债安排的支出</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万元，占</w:t>
      </w:r>
      <w:r>
        <w:rPr>
          <w:rFonts w:ascii="仿宋_GB2312" w:hAnsi="Times New Roman" w:eastAsia="仿宋_GB2312" w:cs="仿宋_GB2312"/>
          <w:sz w:val="32"/>
          <w:szCs w:val="32"/>
          <w:lang w:val="zh-CN"/>
        </w:rPr>
        <w:t>0%</w:t>
      </w:r>
      <w:r>
        <w:rPr>
          <w:rFonts w:hint="eastAsia" w:ascii="仿宋_GB2312" w:hAnsi="Times New Roman" w:eastAsia="仿宋_GB2312" w:cs="仿宋_GB2312"/>
          <w:sz w:val="32"/>
          <w:szCs w:val="32"/>
          <w:lang w:val="zh-CN"/>
        </w:rPr>
        <w:t>。</w:t>
      </w:r>
    </w:p>
    <w:p w14:paraId="3339D4A7">
      <w:pPr>
        <w:autoSpaceDE w:val="0"/>
        <w:autoSpaceDN w:val="0"/>
        <w:adjustRightInd w:val="0"/>
        <w:spacing w:line="600" w:lineRule="exact"/>
        <w:ind w:firstLine="640"/>
        <w:rPr>
          <w:rFonts w:ascii="仿宋" w:hAnsi="Times New Roman" w:eastAsia="仿宋" w:cs="仿宋"/>
          <w:sz w:val="32"/>
          <w:szCs w:val="32"/>
        </w:rPr>
      </w:pPr>
      <w:r>
        <w:rPr>
          <w:rFonts w:hint="eastAsia" w:ascii="仿宋" w:hAnsi="Times New Roman" w:eastAsia="仿宋" w:cs="仿宋"/>
          <w:sz w:val="32"/>
          <w:szCs w:val="32"/>
        </w:rPr>
        <w:t>（图</w:t>
      </w:r>
      <w:r>
        <w:rPr>
          <w:rFonts w:ascii="仿宋" w:hAnsi="Times New Roman" w:eastAsia="仿宋" w:cs="仿宋"/>
          <w:sz w:val="32"/>
          <w:szCs w:val="32"/>
        </w:rPr>
        <w:t>6</w:t>
      </w:r>
      <w:r>
        <w:rPr>
          <w:rFonts w:hint="eastAsia" w:ascii="仿宋" w:hAnsi="Times New Roman" w:eastAsia="仿宋" w:cs="仿宋"/>
          <w:sz w:val="32"/>
          <w:szCs w:val="32"/>
        </w:rPr>
        <w:t>：一般公共预算财政拨款支出决算结构）（饼状图）</w:t>
      </w:r>
    </w:p>
    <w:p w14:paraId="1BD4ED1D">
      <w:pPr>
        <w:autoSpaceDE w:val="0"/>
        <w:autoSpaceDN w:val="0"/>
        <w:adjustRightInd w:val="0"/>
        <w:spacing w:line="720" w:lineRule="auto"/>
        <w:ind w:firstLine="641"/>
        <w:rPr>
          <w:rFonts w:ascii="仿宋" w:hAnsi="Times New Roman" w:eastAsia="仿宋" w:cs="仿宋"/>
          <w:sz w:val="32"/>
          <w:szCs w:val="32"/>
        </w:rPr>
      </w:pPr>
      <w:r>
        <w:drawing>
          <wp:inline distT="0" distB="0" distL="0" distR="0">
            <wp:extent cx="2867025" cy="2762250"/>
            <wp:effectExtent l="0" t="0" r="0" b="0"/>
            <wp:docPr id="8" name="图表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A7D425B">
      <w:pPr>
        <w:keepNext/>
        <w:keepLines/>
        <w:autoSpaceDE w:val="0"/>
        <w:autoSpaceDN w:val="0"/>
        <w:adjustRightInd w:val="0"/>
        <w:spacing w:line="576" w:lineRule="exact"/>
        <w:ind w:firstLine="643"/>
        <w:rPr>
          <w:rFonts w:ascii="仿宋_GB2312" w:hAnsi="Times New Roman" w:eastAsia="仿宋_GB2312" w:cs="仿宋_GB2312"/>
          <w:b/>
          <w:bCs/>
          <w:sz w:val="32"/>
          <w:szCs w:val="32"/>
          <w:lang w:val="zh-CN"/>
        </w:rPr>
      </w:pPr>
      <w:r>
        <w:rPr>
          <w:rFonts w:hint="eastAsia" w:ascii="仿宋_GB2312" w:hAnsi="Times New Roman" w:eastAsia="仿宋_GB2312" w:cs="仿宋_GB2312"/>
          <w:b/>
          <w:bCs/>
          <w:sz w:val="32"/>
          <w:szCs w:val="32"/>
          <w:lang w:val="zh-CN"/>
        </w:rPr>
        <w:t>（三）一般公共预算财政拨款支出决算具体情况。</w:t>
      </w:r>
    </w:p>
    <w:p w14:paraId="59D55B38">
      <w:pPr>
        <w:keepNext/>
        <w:keepLines/>
        <w:autoSpaceDE w:val="0"/>
        <w:autoSpaceDN w:val="0"/>
        <w:adjustRightInd w:val="0"/>
        <w:spacing w:line="576" w:lineRule="exact"/>
        <w:ind w:firstLine="643"/>
        <w:rPr>
          <w:rFonts w:ascii="仿宋_GB2312" w:hAnsi="Times New Roman" w:eastAsia="仿宋_GB2312" w:cs="仿宋_GB2312"/>
          <w:b/>
          <w:bCs/>
          <w:sz w:val="32"/>
          <w:szCs w:val="32"/>
          <w:lang w:val="zh-CN"/>
        </w:rPr>
      </w:pPr>
      <w:r>
        <w:rPr>
          <w:rFonts w:ascii="仿宋_GB2312" w:hAnsi="Times New Roman" w:eastAsia="仿宋_GB2312" w:cs="仿宋_GB2312"/>
          <w:b/>
          <w:bCs/>
          <w:sz w:val="32"/>
          <w:szCs w:val="32"/>
          <w:lang w:val="zh-CN"/>
        </w:rPr>
        <w:t>202</w:t>
      </w:r>
      <w:r>
        <w:rPr>
          <w:rFonts w:hint="eastAsia" w:ascii="仿宋_GB2312" w:hAnsi="Times New Roman" w:eastAsia="仿宋_GB2312" w:cs="仿宋_GB2312"/>
          <w:b/>
          <w:bCs/>
          <w:sz w:val="32"/>
          <w:szCs w:val="32"/>
          <w:lang w:val="zh-CN"/>
        </w:rPr>
        <w:t>5年一般公共预算支出决算数为5545.04万元</w:t>
      </w:r>
      <w:r>
        <w:rPr>
          <w:rFonts w:hint="eastAsia" w:ascii="仿宋_GB2312" w:hAnsi="Times New Roman" w:eastAsia="仿宋_GB2312" w:cs="仿宋_GB2312"/>
          <w:sz w:val="32"/>
          <w:szCs w:val="32"/>
          <w:lang w:val="zh-CN"/>
        </w:rPr>
        <w:t>，</w:t>
      </w:r>
      <w:r>
        <w:rPr>
          <w:rFonts w:hint="eastAsia" w:ascii="仿宋_GB2312" w:hAnsi="Times New Roman" w:eastAsia="仿宋_GB2312" w:cs="仿宋_GB2312"/>
          <w:b/>
          <w:bCs/>
          <w:sz w:val="32"/>
          <w:szCs w:val="32"/>
          <w:lang w:val="zh-CN"/>
        </w:rPr>
        <w:t>完成预算</w:t>
      </w:r>
      <w:r>
        <w:rPr>
          <w:rFonts w:ascii="仿宋_GB2312" w:hAnsi="Times New Roman" w:eastAsia="仿宋_GB2312" w:cs="仿宋_GB2312"/>
          <w:b/>
          <w:bCs/>
          <w:sz w:val="32"/>
          <w:szCs w:val="32"/>
          <w:lang w:val="zh-CN"/>
        </w:rPr>
        <w:t>100%</w:t>
      </w:r>
      <w:r>
        <w:rPr>
          <w:rFonts w:hint="eastAsia" w:ascii="仿宋_GB2312" w:hAnsi="Times New Roman" w:eastAsia="仿宋_GB2312" w:cs="仿宋_GB2312"/>
          <w:b/>
          <w:bCs/>
          <w:sz w:val="32"/>
          <w:szCs w:val="32"/>
          <w:lang w:val="zh-CN"/>
        </w:rPr>
        <w:t>。其中：</w:t>
      </w:r>
    </w:p>
    <w:p w14:paraId="1C528F54">
      <w:pPr>
        <w:spacing w:line="600" w:lineRule="exact"/>
        <w:ind w:firstLine="643" w:firstLineChars="200"/>
        <w:rPr>
          <w:rFonts w:ascii="仿宋" w:hAnsi="仿宋" w:eastAsia="仿宋"/>
          <w:b/>
          <w:sz w:val="32"/>
          <w:szCs w:val="32"/>
        </w:rPr>
      </w:pPr>
      <w:r>
        <w:rPr>
          <w:rStyle w:val="11"/>
          <w:rFonts w:hint="eastAsia" w:ascii="仿宋" w:hAnsi="仿宋" w:eastAsia="仿宋"/>
          <w:bCs/>
          <w:sz w:val="32"/>
          <w:szCs w:val="32"/>
        </w:rPr>
        <w:t>1</w:t>
      </w:r>
      <w:r>
        <w:rPr>
          <w:rStyle w:val="11"/>
          <w:rFonts w:ascii="仿宋" w:hAnsi="仿宋" w:eastAsia="仿宋"/>
          <w:bCs/>
          <w:sz w:val="32"/>
          <w:szCs w:val="32"/>
        </w:rPr>
        <w:t>.</w:t>
      </w:r>
      <w:r>
        <w:rPr>
          <w:rStyle w:val="11"/>
          <w:rFonts w:hint="eastAsia" w:ascii="仿宋" w:hAnsi="仿宋" w:eastAsia="仿宋"/>
          <w:bCs/>
          <w:sz w:val="32"/>
          <w:szCs w:val="32"/>
        </w:rPr>
        <w:t>社会保障和就业支出（类）行政事业单位养老支出（款）行政单位离退休（项）</w:t>
      </w:r>
      <w:r>
        <w:rPr>
          <w:rStyle w:val="11"/>
          <w:rFonts w:ascii="仿宋" w:hAnsi="仿宋" w:eastAsia="仿宋"/>
          <w:bCs/>
          <w:sz w:val="32"/>
          <w:szCs w:val="32"/>
        </w:rPr>
        <w:t>:</w:t>
      </w:r>
      <w:r>
        <w:rPr>
          <w:rStyle w:val="11"/>
          <w:rFonts w:ascii="仿宋" w:hAnsi="仿宋" w:eastAsia="仿宋"/>
          <w:b w:val="0"/>
          <w:bCs/>
          <w:sz w:val="32"/>
          <w:szCs w:val="32"/>
        </w:rPr>
        <w:t xml:space="preserve"> </w:t>
      </w:r>
      <w:r>
        <w:rPr>
          <w:rStyle w:val="11"/>
          <w:rFonts w:hint="eastAsia" w:ascii="仿宋" w:hAnsi="仿宋" w:eastAsia="仿宋"/>
          <w:b w:val="0"/>
          <w:bCs/>
          <w:sz w:val="32"/>
          <w:szCs w:val="32"/>
        </w:rPr>
        <w:t>支出决算为13.51万元，完成调整预算100</w:t>
      </w:r>
      <w:r>
        <w:rPr>
          <w:rStyle w:val="11"/>
          <w:rFonts w:ascii="仿宋" w:hAnsi="仿宋" w:eastAsia="仿宋"/>
          <w:b w:val="0"/>
          <w:bCs/>
          <w:sz w:val="32"/>
          <w:szCs w:val="32"/>
        </w:rPr>
        <w:t>%</w:t>
      </w:r>
      <w:r>
        <w:rPr>
          <w:rStyle w:val="11"/>
          <w:rFonts w:hint="eastAsia" w:ascii="仿宋" w:hAnsi="仿宋" w:eastAsia="仿宋"/>
          <w:b w:val="0"/>
          <w:bCs/>
          <w:sz w:val="32"/>
          <w:szCs w:val="32"/>
        </w:rPr>
        <w:t>。</w:t>
      </w:r>
    </w:p>
    <w:p w14:paraId="314D59DA">
      <w:pPr>
        <w:spacing w:line="600" w:lineRule="exact"/>
        <w:ind w:firstLine="643" w:firstLineChars="200"/>
        <w:rPr>
          <w:rStyle w:val="11"/>
          <w:rFonts w:ascii="仿宋" w:hAnsi="仿宋" w:eastAsia="仿宋"/>
          <w:b w:val="0"/>
          <w:bCs/>
          <w:sz w:val="32"/>
          <w:szCs w:val="32"/>
        </w:rPr>
      </w:pPr>
      <w:r>
        <w:rPr>
          <w:rStyle w:val="11"/>
          <w:rFonts w:hint="eastAsia" w:ascii="仿宋" w:hAnsi="仿宋" w:eastAsia="仿宋"/>
          <w:bCs/>
          <w:sz w:val="32"/>
          <w:szCs w:val="32"/>
        </w:rPr>
        <w:t>2</w:t>
      </w:r>
      <w:r>
        <w:rPr>
          <w:rStyle w:val="11"/>
          <w:rFonts w:ascii="仿宋" w:hAnsi="仿宋" w:eastAsia="仿宋"/>
          <w:bCs/>
          <w:sz w:val="32"/>
          <w:szCs w:val="32"/>
        </w:rPr>
        <w:t>.</w:t>
      </w:r>
      <w:r>
        <w:rPr>
          <w:rStyle w:val="11"/>
          <w:rFonts w:hint="eastAsia" w:ascii="仿宋" w:hAnsi="仿宋" w:eastAsia="仿宋"/>
          <w:bCs/>
          <w:sz w:val="32"/>
          <w:szCs w:val="32"/>
        </w:rPr>
        <w:t>社会保障和就业支出（类）行政事业单位养老支出（款）事业单位离退休（项）</w:t>
      </w:r>
      <w:r>
        <w:rPr>
          <w:rStyle w:val="11"/>
          <w:rFonts w:ascii="仿宋" w:hAnsi="仿宋" w:eastAsia="仿宋"/>
          <w:bCs/>
          <w:sz w:val="32"/>
          <w:szCs w:val="32"/>
        </w:rPr>
        <w:t>:</w:t>
      </w:r>
      <w:r>
        <w:rPr>
          <w:rStyle w:val="11"/>
          <w:rFonts w:ascii="仿宋" w:hAnsi="仿宋" w:eastAsia="仿宋"/>
          <w:b w:val="0"/>
          <w:bCs/>
          <w:sz w:val="32"/>
          <w:szCs w:val="32"/>
        </w:rPr>
        <w:t xml:space="preserve"> </w:t>
      </w:r>
      <w:r>
        <w:rPr>
          <w:rStyle w:val="11"/>
          <w:rFonts w:hint="eastAsia" w:ascii="仿宋" w:hAnsi="仿宋" w:eastAsia="仿宋"/>
          <w:b w:val="0"/>
          <w:bCs/>
          <w:sz w:val="32"/>
          <w:szCs w:val="32"/>
        </w:rPr>
        <w:t>支出决算为9.64万元，完成调整预算100</w:t>
      </w:r>
      <w:r>
        <w:rPr>
          <w:rStyle w:val="11"/>
          <w:rFonts w:ascii="仿宋" w:hAnsi="仿宋" w:eastAsia="仿宋"/>
          <w:b w:val="0"/>
          <w:bCs/>
          <w:sz w:val="32"/>
          <w:szCs w:val="32"/>
        </w:rPr>
        <w:t>%</w:t>
      </w:r>
      <w:r>
        <w:rPr>
          <w:rStyle w:val="11"/>
          <w:rFonts w:hint="eastAsia" w:ascii="仿宋" w:hAnsi="仿宋" w:eastAsia="仿宋"/>
          <w:b w:val="0"/>
          <w:bCs/>
          <w:sz w:val="32"/>
          <w:szCs w:val="32"/>
        </w:rPr>
        <w:t>。</w:t>
      </w:r>
    </w:p>
    <w:p w14:paraId="1F7EC875">
      <w:pPr>
        <w:spacing w:line="600" w:lineRule="exact"/>
        <w:ind w:firstLine="643" w:firstLineChars="200"/>
        <w:rPr>
          <w:rStyle w:val="11"/>
          <w:rFonts w:ascii="仿宋" w:hAnsi="仿宋" w:eastAsia="仿宋"/>
          <w:b w:val="0"/>
          <w:bCs/>
          <w:sz w:val="32"/>
          <w:szCs w:val="32"/>
        </w:rPr>
      </w:pPr>
      <w:r>
        <w:rPr>
          <w:rStyle w:val="11"/>
          <w:rFonts w:hint="eastAsia" w:ascii="仿宋" w:hAnsi="仿宋" w:eastAsia="仿宋"/>
          <w:bCs/>
          <w:sz w:val="32"/>
          <w:szCs w:val="32"/>
        </w:rPr>
        <w:t>3</w:t>
      </w:r>
      <w:r>
        <w:rPr>
          <w:rStyle w:val="11"/>
          <w:rFonts w:ascii="仿宋" w:hAnsi="仿宋" w:eastAsia="仿宋"/>
          <w:bCs/>
          <w:sz w:val="32"/>
          <w:szCs w:val="32"/>
        </w:rPr>
        <w:t>.</w:t>
      </w:r>
      <w:r>
        <w:rPr>
          <w:rStyle w:val="11"/>
          <w:rFonts w:hint="eastAsia" w:ascii="仿宋" w:hAnsi="仿宋" w:eastAsia="仿宋"/>
          <w:bCs/>
          <w:sz w:val="32"/>
          <w:szCs w:val="32"/>
        </w:rPr>
        <w:t>社会保障和就业支出（类）行政事业单位养老支出（款）机关事业单位基本养老保险缴费支出（项）</w:t>
      </w:r>
      <w:r>
        <w:rPr>
          <w:rStyle w:val="11"/>
          <w:rFonts w:ascii="仿宋" w:hAnsi="仿宋" w:eastAsia="仿宋"/>
          <w:bCs/>
          <w:sz w:val="32"/>
          <w:szCs w:val="32"/>
        </w:rPr>
        <w:t>:</w:t>
      </w:r>
      <w:r>
        <w:rPr>
          <w:rStyle w:val="11"/>
          <w:rFonts w:ascii="仿宋" w:hAnsi="仿宋" w:eastAsia="仿宋"/>
          <w:b w:val="0"/>
          <w:bCs/>
          <w:sz w:val="32"/>
          <w:szCs w:val="32"/>
        </w:rPr>
        <w:t xml:space="preserve"> </w:t>
      </w:r>
      <w:r>
        <w:rPr>
          <w:rStyle w:val="11"/>
          <w:rFonts w:hint="eastAsia" w:ascii="仿宋" w:hAnsi="仿宋" w:eastAsia="仿宋"/>
          <w:b w:val="0"/>
          <w:bCs/>
          <w:sz w:val="32"/>
          <w:szCs w:val="32"/>
        </w:rPr>
        <w:t>支出决算为56.18万元，完成调整预算100</w:t>
      </w:r>
      <w:r>
        <w:rPr>
          <w:rStyle w:val="11"/>
          <w:rFonts w:ascii="仿宋" w:hAnsi="仿宋" w:eastAsia="仿宋"/>
          <w:b w:val="0"/>
          <w:bCs/>
          <w:sz w:val="32"/>
          <w:szCs w:val="32"/>
        </w:rPr>
        <w:t>%</w:t>
      </w:r>
      <w:r>
        <w:rPr>
          <w:rStyle w:val="11"/>
          <w:rFonts w:hint="eastAsia" w:ascii="仿宋" w:hAnsi="仿宋" w:eastAsia="仿宋"/>
          <w:b w:val="0"/>
          <w:bCs/>
          <w:sz w:val="32"/>
          <w:szCs w:val="32"/>
        </w:rPr>
        <w:t>。</w:t>
      </w:r>
    </w:p>
    <w:p w14:paraId="14EC926F">
      <w:pPr>
        <w:spacing w:line="600" w:lineRule="exact"/>
        <w:ind w:firstLine="640" w:firstLineChars="200"/>
        <w:rPr>
          <w:rStyle w:val="11"/>
          <w:rFonts w:ascii="仿宋" w:hAnsi="仿宋" w:eastAsia="仿宋"/>
          <w:b w:val="0"/>
          <w:bCs/>
          <w:sz w:val="32"/>
          <w:szCs w:val="32"/>
        </w:rPr>
      </w:pPr>
      <w:r>
        <w:rPr>
          <w:rStyle w:val="11"/>
          <w:rFonts w:hint="eastAsia" w:ascii="仿宋" w:hAnsi="仿宋" w:eastAsia="仿宋"/>
          <w:b w:val="0"/>
          <w:bCs/>
          <w:sz w:val="32"/>
          <w:szCs w:val="32"/>
        </w:rPr>
        <w:t>4.</w:t>
      </w:r>
      <w:r>
        <w:t xml:space="preserve"> </w:t>
      </w:r>
      <w:r>
        <w:rPr>
          <w:rStyle w:val="11"/>
          <w:rFonts w:hint="eastAsia" w:ascii="仿宋" w:hAnsi="仿宋" w:eastAsia="仿宋"/>
          <w:bCs/>
          <w:sz w:val="32"/>
          <w:szCs w:val="32"/>
        </w:rPr>
        <w:t>社会保障和就业支出（类）行政事业单位养老支出（款）</w:t>
      </w:r>
      <w:r>
        <w:rPr>
          <w:rStyle w:val="11"/>
          <w:rFonts w:ascii="仿宋" w:hAnsi="仿宋" w:eastAsia="仿宋"/>
          <w:bCs/>
          <w:sz w:val="32"/>
          <w:szCs w:val="32"/>
        </w:rPr>
        <w:t>机关事业单位职业年金缴费支出</w:t>
      </w:r>
      <w:r>
        <w:rPr>
          <w:rStyle w:val="11"/>
          <w:rFonts w:hint="eastAsia" w:ascii="仿宋" w:hAnsi="仿宋" w:eastAsia="仿宋"/>
          <w:bCs/>
          <w:sz w:val="32"/>
          <w:szCs w:val="32"/>
        </w:rPr>
        <w:t>（项）:</w:t>
      </w:r>
      <w:r>
        <w:rPr>
          <w:rStyle w:val="11"/>
          <w:rFonts w:hint="eastAsia" w:ascii="仿宋" w:hAnsi="仿宋" w:eastAsia="仿宋"/>
          <w:b w:val="0"/>
          <w:bCs/>
          <w:sz w:val="32"/>
          <w:szCs w:val="32"/>
        </w:rPr>
        <w:t>支出决算为26.68万元，完成调整预算100</w:t>
      </w:r>
      <w:r>
        <w:rPr>
          <w:rStyle w:val="11"/>
          <w:rFonts w:ascii="仿宋" w:hAnsi="仿宋" w:eastAsia="仿宋"/>
          <w:b w:val="0"/>
          <w:bCs/>
          <w:sz w:val="32"/>
          <w:szCs w:val="32"/>
        </w:rPr>
        <w:t>%</w:t>
      </w:r>
      <w:r>
        <w:rPr>
          <w:rStyle w:val="11"/>
          <w:rFonts w:hint="eastAsia" w:ascii="仿宋" w:hAnsi="仿宋" w:eastAsia="仿宋"/>
          <w:b w:val="0"/>
          <w:bCs/>
          <w:sz w:val="32"/>
          <w:szCs w:val="32"/>
        </w:rPr>
        <w:t>。</w:t>
      </w:r>
    </w:p>
    <w:p w14:paraId="5D626929">
      <w:pPr>
        <w:spacing w:line="600" w:lineRule="exact"/>
        <w:ind w:firstLine="643" w:firstLineChars="200"/>
        <w:rPr>
          <w:rStyle w:val="11"/>
          <w:rFonts w:ascii="仿宋" w:hAnsi="仿宋" w:eastAsia="仿宋"/>
          <w:b w:val="0"/>
          <w:bCs/>
          <w:sz w:val="32"/>
          <w:szCs w:val="32"/>
        </w:rPr>
      </w:pPr>
      <w:r>
        <w:rPr>
          <w:rStyle w:val="11"/>
          <w:rFonts w:hint="eastAsia" w:ascii="仿宋" w:hAnsi="仿宋" w:eastAsia="仿宋"/>
          <w:bCs/>
          <w:sz w:val="32"/>
          <w:szCs w:val="32"/>
        </w:rPr>
        <w:t>5</w:t>
      </w:r>
      <w:r>
        <w:rPr>
          <w:rStyle w:val="11"/>
          <w:rFonts w:ascii="仿宋" w:hAnsi="仿宋" w:eastAsia="仿宋"/>
          <w:bCs/>
          <w:sz w:val="32"/>
          <w:szCs w:val="32"/>
        </w:rPr>
        <w:t>.</w:t>
      </w:r>
      <w:r>
        <w:rPr>
          <w:rFonts w:hint="eastAsia" w:ascii="仿宋" w:hAnsi="仿宋" w:eastAsia="仿宋"/>
          <w:b/>
          <w:bCs/>
          <w:sz w:val="32"/>
          <w:szCs w:val="32"/>
        </w:rPr>
        <w:t>卫生健康支出</w:t>
      </w:r>
      <w:r>
        <w:rPr>
          <w:rStyle w:val="11"/>
          <w:rFonts w:hint="eastAsia" w:ascii="仿宋" w:hAnsi="仿宋" w:eastAsia="仿宋"/>
          <w:bCs/>
          <w:sz w:val="32"/>
          <w:szCs w:val="32"/>
        </w:rPr>
        <w:t>（类）行政事业单位医疗（款）行政单位医疗（项）</w:t>
      </w:r>
      <w:r>
        <w:rPr>
          <w:rStyle w:val="11"/>
          <w:rFonts w:ascii="仿宋" w:hAnsi="仿宋" w:eastAsia="仿宋"/>
          <w:bCs/>
          <w:sz w:val="32"/>
          <w:szCs w:val="32"/>
        </w:rPr>
        <w:t>:</w:t>
      </w:r>
      <w:r>
        <w:rPr>
          <w:rStyle w:val="11"/>
          <w:rFonts w:hint="eastAsia" w:ascii="仿宋" w:hAnsi="仿宋" w:eastAsia="仿宋"/>
          <w:b w:val="0"/>
          <w:bCs/>
          <w:sz w:val="32"/>
          <w:szCs w:val="32"/>
        </w:rPr>
        <w:t>支出决算为15.66万元，完成调整预算100</w:t>
      </w:r>
      <w:r>
        <w:rPr>
          <w:rStyle w:val="11"/>
          <w:rFonts w:ascii="仿宋" w:hAnsi="仿宋" w:eastAsia="仿宋"/>
          <w:b w:val="0"/>
          <w:bCs/>
          <w:sz w:val="32"/>
          <w:szCs w:val="32"/>
        </w:rPr>
        <w:t>%</w:t>
      </w:r>
      <w:r>
        <w:rPr>
          <w:rStyle w:val="11"/>
          <w:rFonts w:hint="eastAsia" w:ascii="仿宋" w:hAnsi="仿宋" w:eastAsia="仿宋"/>
          <w:b w:val="0"/>
          <w:bCs/>
          <w:sz w:val="32"/>
          <w:szCs w:val="32"/>
        </w:rPr>
        <w:t>。</w:t>
      </w:r>
    </w:p>
    <w:p w14:paraId="2566751D">
      <w:pPr>
        <w:spacing w:line="600" w:lineRule="exact"/>
        <w:ind w:firstLine="643" w:firstLineChars="200"/>
        <w:rPr>
          <w:rStyle w:val="11"/>
          <w:rFonts w:ascii="仿宋" w:hAnsi="仿宋" w:eastAsia="仿宋"/>
          <w:b w:val="0"/>
          <w:bCs/>
          <w:sz w:val="32"/>
          <w:szCs w:val="32"/>
        </w:rPr>
      </w:pPr>
      <w:r>
        <w:rPr>
          <w:rStyle w:val="11"/>
          <w:rFonts w:hint="eastAsia" w:ascii="仿宋" w:hAnsi="仿宋" w:eastAsia="仿宋"/>
          <w:bCs/>
          <w:sz w:val="32"/>
          <w:szCs w:val="32"/>
        </w:rPr>
        <w:t>6</w:t>
      </w:r>
      <w:r>
        <w:rPr>
          <w:rStyle w:val="11"/>
          <w:rFonts w:ascii="仿宋" w:hAnsi="仿宋" w:eastAsia="仿宋"/>
          <w:bCs/>
          <w:sz w:val="32"/>
          <w:szCs w:val="32"/>
        </w:rPr>
        <w:t>.</w:t>
      </w:r>
      <w:r>
        <w:rPr>
          <w:rFonts w:hint="eastAsia" w:ascii="仿宋" w:hAnsi="仿宋" w:eastAsia="仿宋"/>
          <w:b/>
          <w:bCs/>
          <w:sz w:val="32"/>
          <w:szCs w:val="32"/>
        </w:rPr>
        <w:t>卫生健康支出</w:t>
      </w:r>
      <w:r>
        <w:rPr>
          <w:rStyle w:val="11"/>
          <w:rFonts w:hint="eastAsia" w:ascii="仿宋" w:hAnsi="仿宋" w:eastAsia="仿宋"/>
          <w:bCs/>
          <w:sz w:val="32"/>
          <w:szCs w:val="32"/>
        </w:rPr>
        <w:t>（类）行政事业单位医疗（款）事业单位医疗（项）</w:t>
      </w:r>
      <w:r>
        <w:rPr>
          <w:rStyle w:val="11"/>
          <w:rFonts w:ascii="仿宋" w:hAnsi="仿宋" w:eastAsia="仿宋"/>
          <w:bCs/>
          <w:sz w:val="32"/>
          <w:szCs w:val="32"/>
        </w:rPr>
        <w:t>:</w:t>
      </w:r>
      <w:r>
        <w:rPr>
          <w:rStyle w:val="11"/>
          <w:rFonts w:hint="eastAsia" w:ascii="仿宋" w:hAnsi="仿宋" w:eastAsia="仿宋"/>
          <w:b w:val="0"/>
          <w:bCs/>
          <w:sz w:val="32"/>
          <w:szCs w:val="32"/>
        </w:rPr>
        <w:t>支出决算为14.53万元，完成调整预算100</w:t>
      </w:r>
      <w:r>
        <w:rPr>
          <w:rStyle w:val="11"/>
          <w:rFonts w:ascii="仿宋" w:hAnsi="仿宋" w:eastAsia="仿宋"/>
          <w:b w:val="0"/>
          <w:bCs/>
          <w:sz w:val="32"/>
          <w:szCs w:val="32"/>
        </w:rPr>
        <w:t>%</w:t>
      </w:r>
      <w:r>
        <w:rPr>
          <w:rStyle w:val="11"/>
          <w:rFonts w:hint="eastAsia" w:ascii="仿宋" w:hAnsi="仿宋" w:eastAsia="仿宋"/>
          <w:b w:val="0"/>
          <w:bCs/>
          <w:sz w:val="32"/>
          <w:szCs w:val="32"/>
        </w:rPr>
        <w:t>。</w:t>
      </w:r>
    </w:p>
    <w:p w14:paraId="607CCDE3">
      <w:pPr>
        <w:spacing w:line="600" w:lineRule="exact"/>
        <w:ind w:firstLine="643" w:firstLineChars="200"/>
        <w:rPr>
          <w:rStyle w:val="11"/>
          <w:rFonts w:ascii="仿宋" w:hAnsi="仿宋" w:eastAsia="仿宋"/>
          <w:b w:val="0"/>
          <w:bCs/>
          <w:sz w:val="32"/>
          <w:szCs w:val="32"/>
        </w:rPr>
      </w:pPr>
      <w:r>
        <w:rPr>
          <w:rStyle w:val="11"/>
          <w:rFonts w:hint="eastAsia" w:ascii="仿宋" w:hAnsi="仿宋" w:eastAsia="仿宋"/>
          <w:bCs/>
          <w:sz w:val="32"/>
          <w:szCs w:val="32"/>
        </w:rPr>
        <w:t>7</w:t>
      </w:r>
      <w:r>
        <w:rPr>
          <w:rStyle w:val="11"/>
          <w:rFonts w:ascii="仿宋" w:hAnsi="仿宋" w:eastAsia="仿宋"/>
          <w:bCs/>
          <w:sz w:val="32"/>
          <w:szCs w:val="32"/>
        </w:rPr>
        <w:t>.</w:t>
      </w:r>
      <w:r>
        <w:rPr>
          <w:rFonts w:hint="eastAsia" w:ascii="仿宋" w:hAnsi="仿宋" w:eastAsia="仿宋"/>
          <w:b/>
          <w:bCs/>
          <w:sz w:val="32"/>
          <w:szCs w:val="32"/>
        </w:rPr>
        <w:t>卫生健康支出</w:t>
      </w:r>
      <w:r>
        <w:rPr>
          <w:rStyle w:val="11"/>
          <w:rFonts w:hint="eastAsia" w:ascii="仿宋" w:hAnsi="仿宋" w:eastAsia="仿宋"/>
          <w:bCs/>
          <w:sz w:val="32"/>
          <w:szCs w:val="32"/>
        </w:rPr>
        <w:t>（类）行政事业单位医疗（款）公务员医疗补助（项）</w:t>
      </w:r>
      <w:r>
        <w:rPr>
          <w:rStyle w:val="11"/>
          <w:rFonts w:ascii="仿宋" w:hAnsi="仿宋" w:eastAsia="仿宋"/>
          <w:bCs/>
          <w:sz w:val="32"/>
          <w:szCs w:val="32"/>
        </w:rPr>
        <w:t>:</w:t>
      </w:r>
      <w:r>
        <w:rPr>
          <w:rStyle w:val="11"/>
          <w:rFonts w:hint="eastAsia" w:ascii="仿宋" w:hAnsi="仿宋" w:eastAsia="仿宋"/>
          <w:b w:val="0"/>
          <w:bCs/>
          <w:sz w:val="32"/>
          <w:szCs w:val="32"/>
        </w:rPr>
        <w:t>支出决算为5.57万元，完成调整预算100</w:t>
      </w:r>
      <w:r>
        <w:rPr>
          <w:rStyle w:val="11"/>
          <w:rFonts w:ascii="仿宋" w:hAnsi="仿宋" w:eastAsia="仿宋"/>
          <w:b w:val="0"/>
          <w:bCs/>
          <w:sz w:val="32"/>
          <w:szCs w:val="32"/>
        </w:rPr>
        <w:t>%</w:t>
      </w:r>
      <w:r>
        <w:rPr>
          <w:rStyle w:val="11"/>
          <w:rFonts w:hint="eastAsia" w:ascii="仿宋" w:hAnsi="仿宋" w:eastAsia="仿宋"/>
          <w:b w:val="0"/>
          <w:bCs/>
          <w:sz w:val="32"/>
          <w:szCs w:val="32"/>
        </w:rPr>
        <w:t>。</w:t>
      </w:r>
    </w:p>
    <w:p w14:paraId="1A11E039">
      <w:pPr>
        <w:spacing w:line="600" w:lineRule="exact"/>
        <w:ind w:firstLine="643" w:firstLineChars="200"/>
        <w:rPr>
          <w:rStyle w:val="11"/>
          <w:rFonts w:ascii="仿宋" w:hAnsi="仿宋" w:eastAsia="仿宋"/>
          <w:b w:val="0"/>
          <w:bCs/>
          <w:sz w:val="32"/>
          <w:szCs w:val="32"/>
        </w:rPr>
      </w:pPr>
      <w:r>
        <w:rPr>
          <w:rStyle w:val="11"/>
          <w:rFonts w:hint="eastAsia" w:ascii="仿宋" w:hAnsi="仿宋" w:eastAsia="仿宋"/>
          <w:bCs/>
          <w:sz w:val="32"/>
          <w:szCs w:val="32"/>
        </w:rPr>
        <w:t>8</w:t>
      </w:r>
      <w:r>
        <w:rPr>
          <w:rStyle w:val="11"/>
          <w:rFonts w:ascii="仿宋" w:hAnsi="仿宋" w:eastAsia="仿宋"/>
          <w:bCs/>
          <w:sz w:val="32"/>
          <w:szCs w:val="32"/>
        </w:rPr>
        <w:t>.</w:t>
      </w:r>
      <w:r>
        <w:rPr>
          <w:rStyle w:val="11"/>
          <w:rFonts w:hint="eastAsia" w:ascii="仿宋" w:hAnsi="仿宋" w:eastAsia="仿宋"/>
          <w:bCs/>
          <w:sz w:val="32"/>
          <w:szCs w:val="32"/>
        </w:rPr>
        <w:t>节能环保支出（类）其他节能环保支出（款）其他森林保护修复支出（项）</w:t>
      </w:r>
      <w:r>
        <w:rPr>
          <w:rStyle w:val="11"/>
          <w:rFonts w:ascii="仿宋" w:hAnsi="仿宋" w:eastAsia="仿宋"/>
          <w:bCs/>
          <w:sz w:val="32"/>
          <w:szCs w:val="32"/>
        </w:rPr>
        <w:t>:</w:t>
      </w:r>
      <w:r>
        <w:rPr>
          <w:rStyle w:val="11"/>
          <w:rFonts w:hint="eastAsia" w:ascii="仿宋" w:hAnsi="仿宋" w:eastAsia="仿宋"/>
          <w:b w:val="0"/>
          <w:bCs/>
          <w:sz w:val="32"/>
          <w:szCs w:val="32"/>
        </w:rPr>
        <w:t>支出决算为2674.22万元，完成调整预算100</w:t>
      </w:r>
      <w:r>
        <w:rPr>
          <w:rStyle w:val="11"/>
          <w:rFonts w:ascii="仿宋" w:hAnsi="仿宋" w:eastAsia="仿宋"/>
          <w:b w:val="0"/>
          <w:bCs/>
          <w:sz w:val="32"/>
          <w:szCs w:val="32"/>
        </w:rPr>
        <w:t>%</w:t>
      </w:r>
      <w:r>
        <w:rPr>
          <w:rStyle w:val="11"/>
          <w:rFonts w:hint="eastAsia" w:ascii="仿宋" w:hAnsi="仿宋" w:eastAsia="仿宋"/>
          <w:b w:val="0"/>
          <w:bCs/>
          <w:sz w:val="32"/>
          <w:szCs w:val="32"/>
        </w:rPr>
        <w:t>。</w:t>
      </w:r>
    </w:p>
    <w:p w14:paraId="5475A603">
      <w:pPr>
        <w:spacing w:line="600" w:lineRule="exact"/>
        <w:ind w:firstLine="643" w:firstLineChars="200"/>
        <w:rPr>
          <w:rStyle w:val="11"/>
          <w:rFonts w:ascii="仿宋" w:hAnsi="仿宋" w:eastAsia="仿宋"/>
          <w:b w:val="0"/>
          <w:bCs/>
          <w:sz w:val="32"/>
          <w:szCs w:val="32"/>
        </w:rPr>
      </w:pPr>
      <w:r>
        <w:rPr>
          <w:rStyle w:val="11"/>
          <w:rFonts w:hint="eastAsia" w:ascii="仿宋" w:hAnsi="仿宋" w:eastAsia="仿宋"/>
          <w:bCs/>
          <w:sz w:val="32"/>
          <w:szCs w:val="32"/>
        </w:rPr>
        <w:t>9</w:t>
      </w:r>
      <w:r>
        <w:rPr>
          <w:rStyle w:val="11"/>
          <w:rFonts w:ascii="仿宋" w:hAnsi="仿宋" w:eastAsia="仿宋"/>
          <w:bCs/>
          <w:sz w:val="32"/>
          <w:szCs w:val="32"/>
        </w:rPr>
        <w:t>.</w:t>
      </w:r>
      <w:r>
        <w:rPr>
          <w:rStyle w:val="11"/>
          <w:rFonts w:hint="eastAsia" w:ascii="仿宋" w:hAnsi="仿宋" w:eastAsia="仿宋"/>
          <w:bCs/>
          <w:sz w:val="32"/>
          <w:szCs w:val="32"/>
        </w:rPr>
        <w:t>节能环保支出（类）其他节能环保支出（款）</w:t>
      </w:r>
      <w:r>
        <w:rPr>
          <w:rStyle w:val="11"/>
          <w:rFonts w:ascii="仿宋" w:hAnsi="仿宋" w:eastAsia="仿宋"/>
          <w:bCs/>
          <w:sz w:val="32"/>
          <w:szCs w:val="32"/>
        </w:rPr>
        <w:t>森林管护</w:t>
      </w:r>
      <w:r>
        <w:rPr>
          <w:rStyle w:val="11"/>
          <w:rFonts w:hint="eastAsia" w:ascii="仿宋" w:hAnsi="仿宋" w:eastAsia="仿宋"/>
          <w:bCs/>
          <w:sz w:val="32"/>
          <w:szCs w:val="32"/>
        </w:rPr>
        <w:t>（项）</w:t>
      </w:r>
      <w:r>
        <w:rPr>
          <w:rStyle w:val="11"/>
          <w:rFonts w:ascii="仿宋" w:hAnsi="仿宋" w:eastAsia="仿宋"/>
          <w:bCs/>
          <w:sz w:val="32"/>
          <w:szCs w:val="32"/>
        </w:rPr>
        <w:t>:</w:t>
      </w:r>
      <w:r>
        <w:rPr>
          <w:rStyle w:val="11"/>
          <w:rFonts w:hint="eastAsia" w:ascii="仿宋" w:hAnsi="仿宋" w:eastAsia="仿宋"/>
          <w:b w:val="0"/>
          <w:bCs/>
          <w:sz w:val="32"/>
          <w:szCs w:val="32"/>
        </w:rPr>
        <w:t>支出决算为223.2万元，完成调整预算100</w:t>
      </w:r>
      <w:r>
        <w:rPr>
          <w:rStyle w:val="11"/>
          <w:rFonts w:ascii="仿宋" w:hAnsi="仿宋" w:eastAsia="仿宋"/>
          <w:b w:val="0"/>
          <w:bCs/>
          <w:sz w:val="32"/>
          <w:szCs w:val="32"/>
        </w:rPr>
        <w:t>%</w:t>
      </w:r>
      <w:r>
        <w:rPr>
          <w:rStyle w:val="11"/>
          <w:rFonts w:hint="eastAsia" w:ascii="仿宋" w:hAnsi="仿宋" w:eastAsia="仿宋"/>
          <w:b w:val="0"/>
          <w:bCs/>
          <w:sz w:val="32"/>
          <w:szCs w:val="32"/>
        </w:rPr>
        <w:t>。</w:t>
      </w:r>
    </w:p>
    <w:p w14:paraId="1DC6D531">
      <w:pPr>
        <w:spacing w:line="600" w:lineRule="exact"/>
        <w:ind w:firstLine="643" w:firstLineChars="200"/>
        <w:rPr>
          <w:rStyle w:val="11"/>
          <w:rFonts w:ascii="仿宋" w:hAnsi="仿宋" w:eastAsia="仿宋"/>
          <w:b w:val="0"/>
          <w:bCs/>
          <w:sz w:val="32"/>
          <w:szCs w:val="32"/>
        </w:rPr>
      </w:pPr>
      <w:r>
        <w:rPr>
          <w:rStyle w:val="11"/>
          <w:rFonts w:hint="eastAsia" w:ascii="仿宋" w:hAnsi="仿宋" w:eastAsia="仿宋"/>
          <w:bCs/>
          <w:sz w:val="32"/>
          <w:szCs w:val="32"/>
        </w:rPr>
        <w:t>10</w:t>
      </w:r>
      <w:r>
        <w:rPr>
          <w:rStyle w:val="11"/>
          <w:rFonts w:ascii="仿宋" w:hAnsi="仿宋" w:eastAsia="仿宋"/>
          <w:bCs/>
          <w:sz w:val="32"/>
          <w:szCs w:val="32"/>
        </w:rPr>
        <w:t>.</w:t>
      </w:r>
      <w:r>
        <w:rPr>
          <w:rStyle w:val="11"/>
          <w:rFonts w:hint="eastAsia" w:ascii="仿宋" w:hAnsi="仿宋" w:eastAsia="仿宋"/>
          <w:bCs/>
          <w:sz w:val="32"/>
          <w:szCs w:val="32"/>
        </w:rPr>
        <w:t>农林水支出（类）林业和草原（款）行政运行（项）</w:t>
      </w:r>
      <w:r>
        <w:rPr>
          <w:rStyle w:val="11"/>
          <w:rFonts w:ascii="仿宋" w:hAnsi="仿宋" w:eastAsia="仿宋"/>
          <w:bCs/>
          <w:sz w:val="32"/>
          <w:szCs w:val="32"/>
        </w:rPr>
        <w:t>:</w:t>
      </w:r>
      <w:r>
        <w:rPr>
          <w:rStyle w:val="11"/>
          <w:rFonts w:hint="eastAsia" w:ascii="仿宋" w:hAnsi="仿宋" w:eastAsia="仿宋"/>
          <w:b w:val="0"/>
          <w:bCs/>
          <w:sz w:val="32"/>
          <w:szCs w:val="32"/>
        </w:rPr>
        <w:t>支出决算为263.33万元，完成调整预算100</w:t>
      </w:r>
      <w:r>
        <w:rPr>
          <w:rStyle w:val="11"/>
          <w:rFonts w:ascii="仿宋" w:hAnsi="仿宋" w:eastAsia="仿宋"/>
          <w:b w:val="0"/>
          <w:bCs/>
          <w:sz w:val="32"/>
          <w:szCs w:val="32"/>
        </w:rPr>
        <w:t>%</w:t>
      </w:r>
      <w:r>
        <w:rPr>
          <w:rStyle w:val="11"/>
          <w:rFonts w:hint="eastAsia" w:ascii="仿宋" w:hAnsi="仿宋" w:eastAsia="仿宋"/>
          <w:b w:val="0"/>
          <w:bCs/>
          <w:sz w:val="32"/>
          <w:szCs w:val="32"/>
        </w:rPr>
        <w:t>。</w:t>
      </w:r>
    </w:p>
    <w:p w14:paraId="1EDE4EC2">
      <w:pPr>
        <w:spacing w:line="600" w:lineRule="exact"/>
        <w:ind w:firstLine="643" w:firstLineChars="200"/>
        <w:rPr>
          <w:rStyle w:val="11"/>
          <w:rFonts w:ascii="仿宋" w:hAnsi="仿宋" w:eastAsia="仿宋"/>
          <w:b w:val="0"/>
          <w:bCs/>
          <w:sz w:val="32"/>
          <w:szCs w:val="32"/>
        </w:rPr>
      </w:pPr>
      <w:r>
        <w:rPr>
          <w:rStyle w:val="11"/>
          <w:rFonts w:hint="eastAsia" w:ascii="仿宋" w:hAnsi="仿宋" w:eastAsia="仿宋"/>
          <w:bCs/>
          <w:sz w:val="32"/>
          <w:szCs w:val="32"/>
        </w:rPr>
        <w:t>11</w:t>
      </w:r>
      <w:r>
        <w:rPr>
          <w:rStyle w:val="11"/>
          <w:rFonts w:ascii="仿宋" w:hAnsi="仿宋" w:eastAsia="仿宋"/>
          <w:bCs/>
          <w:sz w:val="32"/>
          <w:szCs w:val="32"/>
        </w:rPr>
        <w:t>.</w:t>
      </w:r>
      <w:r>
        <w:rPr>
          <w:rStyle w:val="11"/>
          <w:rFonts w:hint="eastAsia" w:ascii="仿宋" w:hAnsi="仿宋" w:eastAsia="仿宋"/>
          <w:bCs/>
          <w:sz w:val="32"/>
          <w:szCs w:val="32"/>
        </w:rPr>
        <w:t>农林水支出（类）林业和草原（款）事业机构（项）</w:t>
      </w:r>
      <w:r>
        <w:rPr>
          <w:rStyle w:val="11"/>
          <w:rFonts w:ascii="仿宋" w:hAnsi="仿宋" w:eastAsia="仿宋"/>
          <w:bCs/>
          <w:sz w:val="32"/>
          <w:szCs w:val="32"/>
        </w:rPr>
        <w:t>:</w:t>
      </w:r>
      <w:r>
        <w:rPr>
          <w:rStyle w:val="11"/>
          <w:rFonts w:hint="eastAsia" w:ascii="仿宋" w:hAnsi="仿宋" w:eastAsia="仿宋"/>
          <w:b w:val="0"/>
          <w:bCs/>
          <w:sz w:val="32"/>
          <w:szCs w:val="32"/>
        </w:rPr>
        <w:t>支出决算为264.51万元，完成调整预算100</w:t>
      </w:r>
      <w:r>
        <w:rPr>
          <w:rStyle w:val="11"/>
          <w:rFonts w:ascii="仿宋" w:hAnsi="仿宋" w:eastAsia="仿宋"/>
          <w:b w:val="0"/>
          <w:bCs/>
          <w:sz w:val="32"/>
          <w:szCs w:val="32"/>
        </w:rPr>
        <w:t>%</w:t>
      </w:r>
      <w:r>
        <w:rPr>
          <w:rStyle w:val="11"/>
          <w:rFonts w:hint="eastAsia" w:ascii="仿宋" w:hAnsi="仿宋" w:eastAsia="仿宋"/>
          <w:b w:val="0"/>
          <w:bCs/>
          <w:sz w:val="32"/>
          <w:szCs w:val="32"/>
        </w:rPr>
        <w:t>。</w:t>
      </w:r>
    </w:p>
    <w:p w14:paraId="30CE73B3">
      <w:pPr>
        <w:spacing w:line="600" w:lineRule="exact"/>
        <w:ind w:firstLine="643" w:firstLineChars="200"/>
        <w:rPr>
          <w:rStyle w:val="11"/>
          <w:rFonts w:ascii="仿宋" w:hAnsi="仿宋" w:eastAsia="仿宋"/>
          <w:b w:val="0"/>
          <w:bCs/>
          <w:sz w:val="32"/>
          <w:szCs w:val="32"/>
        </w:rPr>
      </w:pPr>
      <w:r>
        <w:rPr>
          <w:rStyle w:val="11"/>
          <w:rFonts w:hint="eastAsia" w:ascii="仿宋" w:hAnsi="仿宋" w:eastAsia="仿宋"/>
          <w:bCs/>
          <w:sz w:val="32"/>
          <w:szCs w:val="32"/>
        </w:rPr>
        <w:t>12</w:t>
      </w:r>
      <w:r>
        <w:rPr>
          <w:rStyle w:val="11"/>
          <w:rFonts w:ascii="仿宋" w:hAnsi="仿宋" w:eastAsia="仿宋"/>
          <w:bCs/>
          <w:sz w:val="32"/>
          <w:szCs w:val="32"/>
        </w:rPr>
        <w:t>.</w:t>
      </w:r>
      <w:r>
        <w:rPr>
          <w:rStyle w:val="11"/>
          <w:rFonts w:hint="eastAsia" w:ascii="仿宋" w:hAnsi="仿宋" w:eastAsia="仿宋"/>
          <w:bCs/>
          <w:sz w:val="32"/>
          <w:szCs w:val="32"/>
        </w:rPr>
        <w:t>农林水支出（类）林业和草原（款）森林资源培育（项）</w:t>
      </w:r>
      <w:r>
        <w:rPr>
          <w:rStyle w:val="11"/>
          <w:rFonts w:ascii="仿宋" w:hAnsi="仿宋" w:eastAsia="仿宋"/>
          <w:bCs/>
          <w:sz w:val="32"/>
          <w:szCs w:val="32"/>
        </w:rPr>
        <w:t>:</w:t>
      </w:r>
      <w:r>
        <w:rPr>
          <w:rStyle w:val="11"/>
          <w:rFonts w:hint="eastAsia" w:ascii="仿宋" w:hAnsi="仿宋" w:eastAsia="仿宋"/>
          <w:b w:val="0"/>
          <w:bCs/>
          <w:sz w:val="32"/>
          <w:szCs w:val="32"/>
        </w:rPr>
        <w:t>支出决算为312.13万元，完成调整预算100</w:t>
      </w:r>
      <w:r>
        <w:rPr>
          <w:rStyle w:val="11"/>
          <w:rFonts w:ascii="仿宋" w:hAnsi="仿宋" w:eastAsia="仿宋"/>
          <w:b w:val="0"/>
          <w:bCs/>
          <w:sz w:val="32"/>
          <w:szCs w:val="32"/>
        </w:rPr>
        <w:t>%</w:t>
      </w:r>
      <w:r>
        <w:rPr>
          <w:rStyle w:val="11"/>
          <w:rFonts w:hint="eastAsia" w:ascii="仿宋" w:hAnsi="仿宋" w:eastAsia="仿宋"/>
          <w:b w:val="0"/>
          <w:bCs/>
          <w:sz w:val="32"/>
          <w:szCs w:val="32"/>
        </w:rPr>
        <w:t>。</w:t>
      </w:r>
    </w:p>
    <w:p w14:paraId="5A118AE9">
      <w:pPr>
        <w:spacing w:line="600" w:lineRule="exact"/>
        <w:ind w:firstLine="643" w:firstLineChars="200"/>
        <w:rPr>
          <w:rStyle w:val="11"/>
          <w:rFonts w:ascii="仿宋" w:hAnsi="仿宋" w:eastAsia="仿宋"/>
          <w:b w:val="0"/>
          <w:bCs/>
          <w:sz w:val="32"/>
          <w:szCs w:val="32"/>
        </w:rPr>
      </w:pPr>
      <w:r>
        <w:rPr>
          <w:rStyle w:val="11"/>
          <w:rFonts w:hint="eastAsia" w:ascii="仿宋" w:hAnsi="仿宋" w:eastAsia="仿宋"/>
          <w:bCs/>
          <w:sz w:val="32"/>
          <w:szCs w:val="32"/>
        </w:rPr>
        <w:t>13</w:t>
      </w:r>
      <w:r>
        <w:rPr>
          <w:rStyle w:val="11"/>
          <w:rFonts w:ascii="仿宋" w:hAnsi="仿宋" w:eastAsia="仿宋"/>
          <w:bCs/>
          <w:sz w:val="32"/>
          <w:szCs w:val="32"/>
        </w:rPr>
        <w:t>.</w:t>
      </w:r>
      <w:r>
        <w:rPr>
          <w:rStyle w:val="11"/>
          <w:rFonts w:hint="eastAsia" w:ascii="仿宋" w:hAnsi="仿宋" w:eastAsia="仿宋"/>
          <w:bCs/>
          <w:sz w:val="32"/>
          <w:szCs w:val="32"/>
        </w:rPr>
        <w:t>农林水支出（类）林业和草原（款）森林生态效益补偿（项）</w:t>
      </w:r>
      <w:r>
        <w:rPr>
          <w:rStyle w:val="11"/>
          <w:rFonts w:ascii="仿宋" w:hAnsi="仿宋" w:eastAsia="仿宋"/>
          <w:bCs/>
          <w:sz w:val="32"/>
          <w:szCs w:val="32"/>
        </w:rPr>
        <w:t>:</w:t>
      </w:r>
      <w:r>
        <w:rPr>
          <w:rStyle w:val="11"/>
          <w:rFonts w:hint="eastAsia" w:ascii="仿宋" w:hAnsi="仿宋" w:eastAsia="仿宋"/>
          <w:b w:val="0"/>
          <w:bCs/>
          <w:sz w:val="32"/>
          <w:szCs w:val="32"/>
        </w:rPr>
        <w:t>支出决算为389.8万元，完成调整预算100</w:t>
      </w:r>
      <w:r>
        <w:rPr>
          <w:rStyle w:val="11"/>
          <w:rFonts w:ascii="仿宋" w:hAnsi="仿宋" w:eastAsia="仿宋"/>
          <w:b w:val="0"/>
          <w:bCs/>
          <w:sz w:val="32"/>
          <w:szCs w:val="32"/>
        </w:rPr>
        <w:t>%</w:t>
      </w:r>
      <w:r>
        <w:rPr>
          <w:rStyle w:val="11"/>
          <w:rFonts w:hint="eastAsia" w:ascii="仿宋" w:hAnsi="仿宋" w:eastAsia="仿宋"/>
          <w:b w:val="0"/>
          <w:bCs/>
          <w:sz w:val="32"/>
          <w:szCs w:val="32"/>
        </w:rPr>
        <w:t>。</w:t>
      </w:r>
    </w:p>
    <w:p w14:paraId="611AEAE6">
      <w:pPr>
        <w:spacing w:line="600" w:lineRule="exact"/>
        <w:ind w:firstLine="643" w:firstLineChars="200"/>
        <w:rPr>
          <w:rStyle w:val="11"/>
          <w:rFonts w:ascii="仿宋" w:hAnsi="仿宋" w:eastAsia="仿宋"/>
          <w:bCs/>
          <w:sz w:val="32"/>
          <w:szCs w:val="32"/>
        </w:rPr>
      </w:pPr>
      <w:r>
        <w:rPr>
          <w:rStyle w:val="11"/>
          <w:rFonts w:hint="eastAsia" w:ascii="仿宋" w:hAnsi="仿宋" w:eastAsia="仿宋"/>
          <w:bCs/>
          <w:sz w:val="32"/>
          <w:szCs w:val="32"/>
        </w:rPr>
        <w:t>14</w:t>
      </w:r>
      <w:r>
        <w:rPr>
          <w:rStyle w:val="11"/>
          <w:rFonts w:ascii="仿宋" w:hAnsi="仿宋" w:eastAsia="仿宋"/>
          <w:bCs/>
          <w:sz w:val="32"/>
          <w:szCs w:val="32"/>
        </w:rPr>
        <w:t>.</w:t>
      </w:r>
      <w:r>
        <w:rPr>
          <w:rStyle w:val="11"/>
          <w:rFonts w:hint="eastAsia" w:ascii="仿宋" w:hAnsi="仿宋" w:eastAsia="仿宋"/>
          <w:bCs/>
          <w:sz w:val="32"/>
          <w:szCs w:val="32"/>
        </w:rPr>
        <w:t>农林水支出（类）林业和草原（款）产业化管理（项）</w:t>
      </w:r>
      <w:r>
        <w:rPr>
          <w:rStyle w:val="11"/>
          <w:rFonts w:ascii="仿宋" w:hAnsi="仿宋" w:eastAsia="仿宋"/>
          <w:bCs/>
          <w:sz w:val="32"/>
          <w:szCs w:val="32"/>
        </w:rPr>
        <w:t>:</w:t>
      </w:r>
      <w:r>
        <w:rPr>
          <w:rStyle w:val="11"/>
          <w:rFonts w:hint="eastAsia" w:ascii="仿宋" w:hAnsi="仿宋" w:eastAsia="仿宋"/>
          <w:bCs/>
          <w:sz w:val="32"/>
          <w:szCs w:val="32"/>
        </w:rPr>
        <w:t>支出决算为100万元，完成调整预算100</w:t>
      </w:r>
      <w:r>
        <w:rPr>
          <w:rStyle w:val="11"/>
          <w:rFonts w:ascii="仿宋" w:hAnsi="仿宋" w:eastAsia="仿宋"/>
          <w:bCs/>
          <w:sz w:val="32"/>
          <w:szCs w:val="32"/>
        </w:rPr>
        <w:t>%</w:t>
      </w:r>
      <w:r>
        <w:rPr>
          <w:rStyle w:val="11"/>
          <w:rFonts w:hint="eastAsia" w:ascii="仿宋" w:hAnsi="仿宋" w:eastAsia="仿宋"/>
          <w:bCs/>
          <w:sz w:val="32"/>
          <w:szCs w:val="32"/>
        </w:rPr>
        <w:t>。</w:t>
      </w:r>
    </w:p>
    <w:p w14:paraId="67547037">
      <w:pPr>
        <w:spacing w:line="600" w:lineRule="exact"/>
        <w:ind w:firstLine="643" w:firstLineChars="200"/>
        <w:rPr>
          <w:rStyle w:val="11"/>
          <w:rFonts w:ascii="仿宋" w:hAnsi="仿宋" w:eastAsia="仿宋"/>
          <w:b w:val="0"/>
          <w:bCs/>
          <w:sz w:val="32"/>
          <w:szCs w:val="32"/>
        </w:rPr>
      </w:pPr>
      <w:r>
        <w:rPr>
          <w:rStyle w:val="11"/>
          <w:rFonts w:hint="eastAsia" w:ascii="仿宋" w:hAnsi="仿宋" w:eastAsia="仿宋"/>
          <w:bCs/>
          <w:sz w:val="32"/>
          <w:szCs w:val="32"/>
        </w:rPr>
        <w:t>15</w:t>
      </w:r>
      <w:r>
        <w:rPr>
          <w:rStyle w:val="11"/>
          <w:rFonts w:ascii="仿宋" w:hAnsi="仿宋" w:eastAsia="仿宋"/>
          <w:bCs/>
          <w:sz w:val="32"/>
          <w:szCs w:val="32"/>
        </w:rPr>
        <w:t>.</w:t>
      </w:r>
      <w:r>
        <w:rPr>
          <w:rStyle w:val="11"/>
          <w:rFonts w:hint="eastAsia" w:ascii="仿宋" w:hAnsi="仿宋" w:eastAsia="仿宋"/>
          <w:bCs/>
          <w:sz w:val="32"/>
          <w:szCs w:val="32"/>
        </w:rPr>
        <w:t>农林水支出（类）林业和草原（款）林业草原防灾减灾（项）</w:t>
      </w:r>
      <w:r>
        <w:rPr>
          <w:rStyle w:val="11"/>
          <w:rFonts w:ascii="仿宋" w:hAnsi="仿宋" w:eastAsia="仿宋"/>
          <w:bCs/>
          <w:sz w:val="32"/>
          <w:szCs w:val="32"/>
        </w:rPr>
        <w:t>:</w:t>
      </w:r>
      <w:r>
        <w:rPr>
          <w:rStyle w:val="11"/>
          <w:rFonts w:hint="eastAsia" w:ascii="仿宋" w:hAnsi="仿宋" w:eastAsia="仿宋"/>
          <w:b w:val="0"/>
          <w:bCs/>
          <w:sz w:val="32"/>
          <w:szCs w:val="32"/>
        </w:rPr>
        <w:t>支出决算为183.32万元，完成调整预算100</w:t>
      </w:r>
      <w:r>
        <w:rPr>
          <w:rStyle w:val="11"/>
          <w:rFonts w:ascii="仿宋" w:hAnsi="仿宋" w:eastAsia="仿宋"/>
          <w:b w:val="0"/>
          <w:bCs/>
          <w:sz w:val="32"/>
          <w:szCs w:val="32"/>
        </w:rPr>
        <w:t>%</w:t>
      </w:r>
      <w:r>
        <w:rPr>
          <w:rStyle w:val="11"/>
          <w:rFonts w:hint="eastAsia" w:ascii="仿宋" w:hAnsi="仿宋" w:eastAsia="仿宋"/>
          <w:b w:val="0"/>
          <w:bCs/>
          <w:sz w:val="32"/>
          <w:szCs w:val="32"/>
        </w:rPr>
        <w:t>。</w:t>
      </w:r>
    </w:p>
    <w:p w14:paraId="7F93EE9B">
      <w:pPr>
        <w:spacing w:line="600" w:lineRule="exact"/>
        <w:ind w:firstLine="643" w:firstLineChars="200"/>
        <w:rPr>
          <w:rStyle w:val="11"/>
          <w:rFonts w:ascii="仿宋" w:hAnsi="仿宋" w:eastAsia="仿宋"/>
          <w:b w:val="0"/>
          <w:bCs/>
          <w:sz w:val="32"/>
          <w:szCs w:val="32"/>
        </w:rPr>
      </w:pPr>
      <w:r>
        <w:rPr>
          <w:rStyle w:val="11"/>
          <w:rFonts w:hint="eastAsia" w:ascii="仿宋" w:hAnsi="仿宋" w:eastAsia="仿宋"/>
          <w:bCs/>
          <w:sz w:val="32"/>
          <w:szCs w:val="32"/>
        </w:rPr>
        <w:t>16</w:t>
      </w:r>
      <w:r>
        <w:rPr>
          <w:rStyle w:val="11"/>
          <w:rFonts w:ascii="仿宋" w:hAnsi="仿宋" w:eastAsia="仿宋"/>
          <w:bCs/>
          <w:sz w:val="32"/>
          <w:szCs w:val="32"/>
        </w:rPr>
        <w:t>.</w:t>
      </w:r>
      <w:r>
        <w:rPr>
          <w:rStyle w:val="11"/>
          <w:rFonts w:hint="eastAsia" w:ascii="仿宋" w:hAnsi="仿宋" w:eastAsia="仿宋"/>
          <w:bCs/>
          <w:sz w:val="32"/>
          <w:szCs w:val="32"/>
        </w:rPr>
        <w:t>农林水支出（类）林业和草原（款）</w:t>
      </w:r>
      <w:r>
        <w:rPr>
          <w:rStyle w:val="11"/>
          <w:rFonts w:ascii="仿宋" w:hAnsi="仿宋" w:eastAsia="仿宋"/>
          <w:bCs/>
          <w:sz w:val="32"/>
          <w:szCs w:val="32"/>
        </w:rPr>
        <w:t>退耕还林还草</w:t>
      </w:r>
      <w:r>
        <w:rPr>
          <w:rStyle w:val="11"/>
          <w:rFonts w:hint="eastAsia" w:ascii="仿宋" w:hAnsi="仿宋" w:eastAsia="仿宋"/>
          <w:bCs/>
          <w:sz w:val="32"/>
          <w:szCs w:val="32"/>
        </w:rPr>
        <w:t>（项）</w:t>
      </w:r>
      <w:r>
        <w:rPr>
          <w:rStyle w:val="11"/>
          <w:rFonts w:ascii="仿宋" w:hAnsi="仿宋" w:eastAsia="仿宋"/>
          <w:bCs/>
          <w:sz w:val="32"/>
          <w:szCs w:val="32"/>
        </w:rPr>
        <w:t>:</w:t>
      </w:r>
      <w:r>
        <w:rPr>
          <w:rStyle w:val="11"/>
          <w:rFonts w:hint="eastAsia" w:ascii="仿宋" w:hAnsi="仿宋" w:eastAsia="仿宋"/>
          <w:b w:val="0"/>
          <w:bCs/>
          <w:sz w:val="32"/>
          <w:szCs w:val="32"/>
        </w:rPr>
        <w:t>支出决算为0.68万元，完成调整预算100</w:t>
      </w:r>
      <w:r>
        <w:rPr>
          <w:rStyle w:val="11"/>
          <w:rFonts w:ascii="仿宋" w:hAnsi="仿宋" w:eastAsia="仿宋"/>
          <w:b w:val="0"/>
          <w:bCs/>
          <w:sz w:val="32"/>
          <w:szCs w:val="32"/>
        </w:rPr>
        <w:t>%</w:t>
      </w:r>
      <w:r>
        <w:rPr>
          <w:rStyle w:val="11"/>
          <w:rFonts w:hint="eastAsia" w:ascii="仿宋" w:hAnsi="仿宋" w:eastAsia="仿宋"/>
          <w:b w:val="0"/>
          <w:bCs/>
          <w:sz w:val="32"/>
          <w:szCs w:val="32"/>
        </w:rPr>
        <w:t>。</w:t>
      </w:r>
    </w:p>
    <w:p w14:paraId="566648A7">
      <w:pPr>
        <w:spacing w:line="600" w:lineRule="exact"/>
        <w:ind w:firstLine="643" w:firstLineChars="200"/>
        <w:rPr>
          <w:rStyle w:val="11"/>
          <w:rFonts w:ascii="仿宋" w:hAnsi="仿宋" w:eastAsia="仿宋"/>
          <w:b w:val="0"/>
          <w:bCs/>
          <w:sz w:val="32"/>
          <w:szCs w:val="32"/>
        </w:rPr>
      </w:pPr>
      <w:r>
        <w:rPr>
          <w:rStyle w:val="11"/>
          <w:rFonts w:hint="eastAsia" w:ascii="仿宋" w:hAnsi="仿宋" w:eastAsia="仿宋"/>
          <w:bCs/>
          <w:sz w:val="32"/>
          <w:szCs w:val="32"/>
        </w:rPr>
        <w:t>17</w:t>
      </w:r>
      <w:r>
        <w:rPr>
          <w:rStyle w:val="11"/>
          <w:rFonts w:ascii="仿宋" w:hAnsi="仿宋" w:eastAsia="仿宋"/>
          <w:bCs/>
          <w:sz w:val="32"/>
          <w:szCs w:val="32"/>
        </w:rPr>
        <w:t>.</w:t>
      </w:r>
      <w:r>
        <w:rPr>
          <w:rStyle w:val="11"/>
          <w:rFonts w:hint="eastAsia" w:ascii="仿宋" w:hAnsi="仿宋" w:eastAsia="仿宋"/>
          <w:bCs/>
          <w:sz w:val="32"/>
          <w:szCs w:val="32"/>
        </w:rPr>
        <w:t>农林水支出（类）林业和草原（款）其他林业和草原支出（项）</w:t>
      </w:r>
      <w:r>
        <w:rPr>
          <w:rStyle w:val="11"/>
          <w:rFonts w:ascii="仿宋" w:hAnsi="仿宋" w:eastAsia="仿宋"/>
          <w:bCs/>
          <w:sz w:val="32"/>
          <w:szCs w:val="32"/>
        </w:rPr>
        <w:t>:</w:t>
      </w:r>
      <w:r>
        <w:rPr>
          <w:rStyle w:val="11"/>
          <w:rFonts w:hint="eastAsia" w:ascii="仿宋" w:hAnsi="仿宋" w:eastAsia="仿宋"/>
          <w:b w:val="0"/>
          <w:bCs/>
          <w:sz w:val="32"/>
          <w:szCs w:val="32"/>
        </w:rPr>
        <w:t>支出决算为471.99万元，完成调整预算100</w:t>
      </w:r>
      <w:r>
        <w:rPr>
          <w:rStyle w:val="11"/>
          <w:rFonts w:ascii="仿宋" w:hAnsi="仿宋" w:eastAsia="仿宋"/>
          <w:b w:val="0"/>
          <w:bCs/>
          <w:sz w:val="32"/>
          <w:szCs w:val="32"/>
        </w:rPr>
        <w:t>%</w:t>
      </w:r>
      <w:r>
        <w:rPr>
          <w:rStyle w:val="11"/>
          <w:rFonts w:hint="eastAsia" w:ascii="仿宋" w:hAnsi="仿宋" w:eastAsia="仿宋"/>
          <w:b w:val="0"/>
          <w:bCs/>
          <w:sz w:val="32"/>
          <w:szCs w:val="32"/>
        </w:rPr>
        <w:t>。</w:t>
      </w:r>
    </w:p>
    <w:p w14:paraId="7487B3C5">
      <w:pPr>
        <w:spacing w:line="600" w:lineRule="exact"/>
        <w:ind w:firstLine="643" w:firstLineChars="200"/>
        <w:rPr>
          <w:rStyle w:val="11"/>
          <w:rFonts w:ascii="仿宋" w:hAnsi="仿宋" w:eastAsia="仿宋"/>
          <w:b w:val="0"/>
          <w:bCs/>
          <w:sz w:val="32"/>
          <w:szCs w:val="32"/>
        </w:rPr>
      </w:pPr>
      <w:r>
        <w:rPr>
          <w:rStyle w:val="11"/>
          <w:rFonts w:hint="eastAsia" w:ascii="仿宋" w:hAnsi="仿宋" w:eastAsia="仿宋"/>
          <w:bCs/>
          <w:sz w:val="32"/>
          <w:szCs w:val="32"/>
        </w:rPr>
        <w:t>18</w:t>
      </w:r>
      <w:r>
        <w:rPr>
          <w:rStyle w:val="11"/>
          <w:rFonts w:ascii="仿宋" w:hAnsi="仿宋" w:eastAsia="仿宋"/>
          <w:bCs/>
          <w:sz w:val="32"/>
          <w:szCs w:val="32"/>
        </w:rPr>
        <w:t>.</w:t>
      </w:r>
      <w:r>
        <w:rPr>
          <w:rStyle w:val="11"/>
          <w:rFonts w:hint="eastAsia" w:ascii="仿宋" w:hAnsi="仿宋" w:eastAsia="仿宋"/>
          <w:bCs/>
          <w:sz w:val="32"/>
          <w:szCs w:val="32"/>
        </w:rPr>
        <w:t>住房保障支出（类）住房改革支出（款）住房公积金（项）</w:t>
      </w:r>
      <w:r>
        <w:rPr>
          <w:rStyle w:val="11"/>
          <w:rFonts w:ascii="仿宋" w:hAnsi="仿宋" w:eastAsia="仿宋"/>
          <w:bCs/>
          <w:sz w:val="32"/>
          <w:szCs w:val="32"/>
        </w:rPr>
        <w:t>:</w:t>
      </w:r>
      <w:r>
        <w:rPr>
          <w:rStyle w:val="11"/>
          <w:rFonts w:hint="eastAsia" w:ascii="仿宋" w:hAnsi="仿宋" w:eastAsia="仿宋"/>
          <w:b w:val="0"/>
          <w:bCs/>
          <w:sz w:val="32"/>
          <w:szCs w:val="32"/>
        </w:rPr>
        <w:t>支出决算为46.08万元，完成调整预算100</w:t>
      </w:r>
      <w:r>
        <w:rPr>
          <w:rStyle w:val="11"/>
          <w:rFonts w:ascii="仿宋" w:hAnsi="仿宋" w:eastAsia="仿宋"/>
          <w:b w:val="0"/>
          <w:bCs/>
          <w:sz w:val="32"/>
          <w:szCs w:val="32"/>
        </w:rPr>
        <w:t>%</w:t>
      </w:r>
      <w:r>
        <w:rPr>
          <w:rStyle w:val="11"/>
          <w:rFonts w:hint="eastAsia" w:ascii="仿宋" w:hAnsi="仿宋" w:eastAsia="仿宋"/>
          <w:b w:val="0"/>
          <w:bCs/>
          <w:sz w:val="32"/>
          <w:szCs w:val="32"/>
        </w:rPr>
        <w:t>。</w:t>
      </w:r>
    </w:p>
    <w:p w14:paraId="7F1325A4">
      <w:pPr>
        <w:keepNext/>
        <w:keepLines/>
        <w:autoSpaceDE w:val="0"/>
        <w:autoSpaceDN w:val="0"/>
        <w:adjustRightInd w:val="0"/>
        <w:spacing w:line="576" w:lineRule="exact"/>
        <w:ind w:firstLine="640"/>
        <w:rPr>
          <w:rStyle w:val="11"/>
          <w:rFonts w:ascii="仿宋" w:hAnsi="仿宋" w:eastAsia="仿宋"/>
          <w:b w:val="0"/>
          <w:bCs/>
          <w:sz w:val="32"/>
          <w:szCs w:val="32"/>
        </w:rPr>
      </w:pPr>
      <w:r>
        <w:rPr>
          <w:rStyle w:val="11"/>
          <w:rFonts w:hint="eastAsia" w:ascii="仿宋" w:hAnsi="仿宋" w:eastAsia="仿宋"/>
          <w:bCs/>
          <w:sz w:val="32"/>
          <w:szCs w:val="32"/>
        </w:rPr>
        <w:t>19</w:t>
      </w:r>
      <w:r>
        <w:rPr>
          <w:rStyle w:val="11"/>
          <w:rFonts w:ascii="仿宋" w:hAnsi="仿宋" w:eastAsia="仿宋"/>
          <w:bCs/>
          <w:sz w:val="32"/>
          <w:szCs w:val="32"/>
        </w:rPr>
        <w:t>. 灾害防治及应急管理支出</w:t>
      </w:r>
      <w:r>
        <w:rPr>
          <w:rStyle w:val="11"/>
          <w:rFonts w:hint="eastAsia" w:ascii="仿宋" w:hAnsi="仿宋" w:eastAsia="仿宋"/>
          <w:bCs/>
          <w:sz w:val="32"/>
          <w:szCs w:val="32"/>
        </w:rPr>
        <w:t>（类）</w:t>
      </w:r>
      <w:r>
        <w:rPr>
          <w:rStyle w:val="11"/>
          <w:rFonts w:ascii="仿宋" w:hAnsi="仿宋" w:eastAsia="仿宋"/>
          <w:bCs/>
          <w:sz w:val="32"/>
          <w:szCs w:val="32"/>
        </w:rPr>
        <w:t>自然灾害防治</w:t>
      </w:r>
      <w:r>
        <w:rPr>
          <w:rStyle w:val="11"/>
          <w:rFonts w:hint="eastAsia" w:ascii="仿宋" w:hAnsi="仿宋" w:eastAsia="仿宋"/>
          <w:bCs/>
          <w:sz w:val="32"/>
          <w:szCs w:val="32"/>
        </w:rPr>
        <w:t>（款）</w:t>
      </w:r>
      <w:r>
        <w:rPr>
          <w:rStyle w:val="11"/>
          <w:rFonts w:ascii="仿宋" w:hAnsi="仿宋" w:eastAsia="仿宋"/>
          <w:bCs/>
          <w:sz w:val="32"/>
          <w:szCs w:val="32"/>
        </w:rPr>
        <w:t>森林草原防灾减灾</w:t>
      </w:r>
      <w:r>
        <w:rPr>
          <w:rStyle w:val="11"/>
          <w:rFonts w:hint="eastAsia" w:ascii="仿宋" w:hAnsi="仿宋" w:eastAsia="仿宋"/>
          <w:bCs/>
          <w:sz w:val="32"/>
          <w:szCs w:val="32"/>
        </w:rPr>
        <w:t>（项）</w:t>
      </w:r>
      <w:r>
        <w:rPr>
          <w:rStyle w:val="11"/>
          <w:rFonts w:ascii="仿宋" w:hAnsi="仿宋" w:eastAsia="仿宋"/>
          <w:bCs/>
          <w:sz w:val="32"/>
          <w:szCs w:val="32"/>
        </w:rPr>
        <w:t>:</w:t>
      </w:r>
      <w:r>
        <w:rPr>
          <w:rStyle w:val="11"/>
          <w:rFonts w:hint="eastAsia" w:ascii="仿宋" w:hAnsi="仿宋" w:eastAsia="仿宋"/>
          <w:bCs/>
          <w:sz w:val="32"/>
          <w:szCs w:val="32"/>
        </w:rPr>
        <w:t>支出决算为452.57万元，完成调整预算100</w:t>
      </w:r>
      <w:r>
        <w:rPr>
          <w:rStyle w:val="11"/>
          <w:rFonts w:ascii="仿宋" w:hAnsi="仿宋" w:eastAsia="仿宋"/>
          <w:b w:val="0"/>
          <w:bCs/>
          <w:sz w:val="32"/>
          <w:szCs w:val="32"/>
        </w:rPr>
        <w:t>%</w:t>
      </w:r>
      <w:r>
        <w:rPr>
          <w:rStyle w:val="11"/>
          <w:rFonts w:hint="eastAsia" w:ascii="仿宋" w:hAnsi="仿宋" w:eastAsia="仿宋"/>
          <w:b w:val="0"/>
          <w:bCs/>
          <w:sz w:val="32"/>
          <w:szCs w:val="32"/>
        </w:rPr>
        <w:t>。</w:t>
      </w:r>
    </w:p>
    <w:p w14:paraId="365BC4B6">
      <w:pPr>
        <w:keepNext/>
        <w:keepLines/>
        <w:tabs>
          <w:tab w:val="right" w:pos="8306"/>
        </w:tabs>
        <w:autoSpaceDE w:val="0"/>
        <w:autoSpaceDN w:val="0"/>
        <w:adjustRightInd w:val="0"/>
        <w:spacing w:line="576" w:lineRule="exact"/>
        <w:ind w:firstLine="640"/>
        <w:rPr>
          <w:rFonts w:ascii="Cambria" w:hAnsi="Cambria" w:eastAsia="黑体" w:cs="Cambria"/>
          <w:b/>
          <w:bCs/>
          <w:sz w:val="32"/>
          <w:szCs w:val="32"/>
          <w:lang w:val="zh-CN"/>
        </w:rPr>
      </w:pPr>
      <w:r>
        <w:rPr>
          <w:rFonts w:hint="eastAsia" w:ascii="黑体" w:hAnsi="Times New Roman" w:eastAsia="黑体" w:cs="黑体"/>
          <w:sz w:val="32"/>
          <w:szCs w:val="32"/>
          <w:lang w:val="zh-CN"/>
        </w:rPr>
        <w:t>六</w:t>
      </w:r>
      <w:r>
        <w:rPr>
          <w:rFonts w:hint="eastAsia" w:ascii="黑体" w:hAnsi="Times New Roman" w:eastAsia="黑体" w:cs="黑体"/>
          <w:b/>
          <w:bCs/>
          <w:sz w:val="32"/>
          <w:szCs w:val="32"/>
          <w:lang w:val="zh-CN"/>
        </w:rPr>
        <w:t>、一</w:t>
      </w:r>
      <w:r>
        <w:rPr>
          <w:rFonts w:hint="eastAsia" w:ascii="黑体" w:hAnsi="Times New Roman" w:eastAsia="黑体" w:cs="黑体"/>
          <w:sz w:val="32"/>
          <w:szCs w:val="32"/>
          <w:lang w:val="zh-CN"/>
        </w:rPr>
        <w:t>般公共预算财政拨款基本支出决算情况说明</w:t>
      </w:r>
      <w:r>
        <w:rPr>
          <w:rFonts w:ascii="黑体" w:hAnsi="Times New Roman" w:eastAsia="黑体" w:cs="黑体"/>
          <w:sz w:val="32"/>
          <w:szCs w:val="32"/>
          <w:lang w:val="zh-CN"/>
        </w:rPr>
        <w:tab/>
      </w:r>
    </w:p>
    <w:p w14:paraId="3E65080C">
      <w:pPr>
        <w:autoSpaceDE w:val="0"/>
        <w:autoSpaceDN w:val="0"/>
        <w:adjustRightInd w:val="0"/>
        <w:spacing w:line="576" w:lineRule="exact"/>
        <w:ind w:firstLine="640"/>
        <w:rPr>
          <w:rFonts w:ascii="仿宋_GB2312" w:hAnsi="Cambria" w:eastAsia="仿宋_GB2312" w:cs="仿宋_GB2312"/>
          <w:sz w:val="32"/>
          <w:szCs w:val="32"/>
          <w:lang w:val="zh-CN"/>
        </w:rPr>
      </w:pPr>
      <w:r>
        <w:rPr>
          <w:rFonts w:ascii="仿宋_GB2312" w:hAnsi="Cambria" w:eastAsia="仿宋_GB2312" w:cs="仿宋_GB2312"/>
          <w:sz w:val="32"/>
          <w:szCs w:val="32"/>
          <w:lang w:val="zh-CN"/>
        </w:rPr>
        <w:t>202</w:t>
      </w:r>
      <w:r>
        <w:rPr>
          <w:rFonts w:hint="eastAsia" w:ascii="仿宋_GB2312" w:hAnsi="Cambria" w:eastAsia="仿宋_GB2312" w:cs="仿宋_GB2312"/>
          <w:sz w:val="32"/>
          <w:szCs w:val="32"/>
          <w:lang w:val="zh-CN"/>
        </w:rPr>
        <w:t>5年一般公共预算财政拨款基本支出737.13万元，其中：</w:t>
      </w:r>
    </w:p>
    <w:p w14:paraId="5A0B1156">
      <w:pPr>
        <w:autoSpaceDE w:val="0"/>
        <w:autoSpaceDN w:val="0"/>
        <w:adjustRightInd w:val="0"/>
        <w:spacing w:line="576" w:lineRule="exact"/>
        <w:ind w:firstLine="643"/>
        <w:rPr>
          <w:rFonts w:ascii="仿宋_GB2312" w:hAnsi="Cambria" w:eastAsia="仿宋_GB2312" w:cs="仿宋_GB2312"/>
          <w:sz w:val="32"/>
          <w:szCs w:val="32"/>
          <w:lang w:val="zh-CN"/>
        </w:rPr>
      </w:pPr>
      <w:r>
        <w:rPr>
          <w:rFonts w:hint="eastAsia" w:ascii="仿宋_GB2312" w:hAnsi="Cambria" w:eastAsia="仿宋_GB2312" w:cs="仿宋_GB2312"/>
          <w:b/>
          <w:bCs/>
          <w:sz w:val="32"/>
          <w:szCs w:val="32"/>
          <w:lang w:val="zh-CN"/>
        </w:rPr>
        <w:t>人员经费</w:t>
      </w:r>
      <w:r>
        <w:rPr>
          <w:rFonts w:hint="eastAsia" w:ascii="仿宋_GB2312" w:hAnsi="Cambria" w:eastAsia="仿宋_GB2312" w:cs="仿宋_GB2312"/>
          <w:sz w:val="32"/>
          <w:szCs w:val="32"/>
          <w:lang w:val="zh-CN"/>
        </w:rPr>
        <w:t>655.61万元，主要包括：</w:t>
      </w:r>
      <w:r>
        <w:rPr>
          <w:rFonts w:hint="eastAsia" w:ascii="仿宋" w:hAnsi="Cambria" w:eastAsia="仿宋" w:cs="仿宋"/>
          <w:sz w:val="32"/>
          <w:szCs w:val="32"/>
        </w:rPr>
        <w:t>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_GB2312" w:hAnsi="Cambria" w:eastAsia="仿宋_GB2312" w:cs="仿宋_GB2312"/>
          <w:sz w:val="32"/>
          <w:szCs w:val="32"/>
          <w:lang w:val="zh-CN"/>
        </w:rPr>
        <w:t>。</w:t>
      </w:r>
    </w:p>
    <w:p w14:paraId="566D336A">
      <w:pPr>
        <w:autoSpaceDE w:val="0"/>
        <w:autoSpaceDN w:val="0"/>
        <w:adjustRightInd w:val="0"/>
        <w:spacing w:line="576" w:lineRule="exact"/>
        <w:ind w:firstLine="643"/>
        <w:rPr>
          <w:rFonts w:ascii="仿宋_GB2312" w:hAnsi="Cambria" w:eastAsia="仿宋_GB2312" w:cs="仿宋_GB2312"/>
          <w:sz w:val="32"/>
          <w:szCs w:val="32"/>
          <w:lang w:val="zh-CN"/>
        </w:rPr>
      </w:pPr>
      <w:r>
        <w:rPr>
          <w:rFonts w:hint="eastAsia" w:ascii="仿宋_GB2312" w:hAnsi="Cambria" w:eastAsia="仿宋_GB2312" w:cs="仿宋_GB2312"/>
          <w:b/>
          <w:bCs/>
          <w:sz w:val="32"/>
          <w:szCs w:val="32"/>
          <w:lang w:val="zh-CN"/>
        </w:rPr>
        <w:t>公用经费</w:t>
      </w:r>
      <w:r>
        <w:rPr>
          <w:rFonts w:hint="eastAsia" w:ascii="仿宋_GB2312" w:hAnsi="Cambria" w:eastAsia="仿宋_GB2312" w:cs="仿宋_GB2312"/>
          <w:sz w:val="32"/>
          <w:szCs w:val="32"/>
          <w:lang w:val="zh-CN"/>
        </w:rPr>
        <w:t>81.52万元，主要包括：</w:t>
      </w:r>
      <w:r>
        <w:rPr>
          <w:rFonts w:hint="eastAsia" w:ascii="仿宋" w:hAnsi="Cambria" w:eastAsia="仿宋" w:cs="仿宋"/>
          <w:sz w:val="32"/>
          <w:szCs w:val="32"/>
        </w:rPr>
        <w:t>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r>
        <w:rPr>
          <w:rFonts w:hint="eastAsia" w:ascii="仿宋_GB2312" w:hAnsi="Cambria" w:eastAsia="仿宋_GB2312" w:cs="仿宋_GB2312"/>
          <w:sz w:val="32"/>
          <w:szCs w:val="32"/>
          <w:lang w:val="zh-CN"/>
        </w:rPr>
        <w:t>。</w:t>
      </w:r>
    </w:p>
    <w:p w14:paraId="626E229C">
      <w:pPr>
        <w:keepNext/>
        <w:keepLines/>
        <w:autoSpaceDE w:val="0"/>
        <w:autoSpaceDN w:val="0"/>
        <w:adjustRightInd w:val="0"/>
        <w:spacing w:line="576" w:lineRule="exact"/>
        <w:ind w:firstLine="640"/>
        <w:rPr>
          <w:rFonts w:ascii="黑体" w:hAnsi="Cambria" w:eastAsia="黑体" w:cs="黑体"/>
          <w:sz w:val="32"/>
          <w:szCs w:val="32"/>
          <w:lang w:val="zh-CN"/>
        </w:rPr>
      </w:pPr>
      <w:r>
        <w:rPr>
          <w:rFonts w:hint="eastAsia" w:ascii="黑体" w:hAnsi="Cambria" w:eastAsia="黑体" w:cs="黑体"/>
          <w:sz w:val="32"/>
          <w:szCs w:val="32"/>
          <w:lang w:val="zh-CN"/>
        </w:rPr>
        <w:t>七、</w:t>
      </w:r>
      <w:r>
        <w:rPr>
          <w:rFonts w:ascii="黑体" w:hAnsi="Cambria" w:eastAsia="黑体" w:cs="黑体"/>
          <w:b/>
          <w:bCs/>
          <w:sz w:val="32"/>
          <w:szCs w:val="32"/>
          <w:lang w:val="zh-CN"/>
        </w:rPr>
        <w:t>“</w:t>
      </w:r>
      <w:r>
        <w:rPr>
          <w:rFonts w:hint="eastAsia" w:ascii="黑体" w:hAnsi="Cambria" w:eastAsia="黑体" w:cs="黑体"/>
          <w:sz w:val="32"/>
          <w:szCs w:val="32"/>
          <w:lang w:val="zh-CN"/>
        </w:rPr>
        <w:t>三公</w:t>
      </w:r>
      <w:r>
        <w:rPr>
          <w:rFonts w:ascii="黑体" w:hAnsi="Cambria" w:eastAsia="黑体" w:cs="黑体"/>
          <w:sz w:val="32"/>
          <w:szCs w:val="32"/>
          <w:lang w:val="zh-CN"/>
        </w:rPr>
        <w:t>”</w:t>
      </w:r>
      <w:r>
        <w:rPr>
          <w:rFonts w:hint="eastAsia" w:ascii="黑体" w:hAnsi="Cambria" w:eastAsia="黑体" w:cs="黑体"/>
          <w:sz w:val="32"/>
          <w:szCs w:val="32"/>
          <w:lang w:val="zh-CN"/>
        </w:rPr>
        <w:t>经费财政拨款支出决算情况说明</w:t>
      </w:r>
    </w:p>
    <w:p w14:paraId="2A2F6D2C">
      <w:pPr>
        <w:keepNext/>
        <w:keepLines/>
        <w:autoSpaceDE w:val="0"/>
        <w:autoSpaceDN w:val="0"/>
        <w:adjustRightInd w:val="0"/>
        <w:spacing w:line="576" w:lineRule="exact"/>
        <w:ind w:firstLine="643"/>
        <w:rPr>
          <w:rFonts w:ascii="仿宋_GB2312" w:hAnsi="Cambria" w:eastAsia="仿宋_GB2312" w:cs="仿宋_GB2312"/>
          <w:b/>
          <w:bCs/>
          <w:sz w:val="32"/>
          <w:szCs w:val="32"/>
          <w:lang w:val="zh-CN"/>
        </w:rPr>
      </w:pPr>
      <w:r>
        <w:rPr>
          <w:rFonts w:hint="eastAsia" w:ascii="仿宋_GB2312" w:hAnsi="Cambria" w:eastAsia="仿宋_GB2312" w:cs="仿宋_GB2312"/>
          <w:b/>
          <w:bCs/>
          <w:sz w:val="32"/>
          <w:szCs w:val="32"/>
          <w:lang w:val="zh-CN"/>
        </w:rPr>
        <w:t>（一）</w:t>
      </w:r>
      <w:r>
        <w:rPr>
          <w:rFonts w:ascii="仿宋_GB2312" w:hAnsi="Cambria" w:eastAsia="仿宋_GB2312" w:cs="仿宋_GB2312"/>
          <w:b/>
          <w:bCs/>
          <w:sz w:val="32"/>
          <w:szCs w:val="32"/>
          <w:lang w:val="zh-CN"/>
        </w:rPr>
        <w:t>“</w:t>
      </w:r>
      <w:r>
        <w:rPr>
          <w:rFonts w:hint="eastAsia" w:ascii="仿宋_GB2312" w:hAnsi="Cambria" w:eastAsia="仿宋_GB2312" w:cs="仿宋_GB2312"/>
          <w:b/>
          <w:bCs/>
          <w:sz w:val="32"/>
          <w:szCs w:val="32"/>
          <w:lang w:val="zh-CN"/>
        </w:rPr>
        <w:t>三公</w:t>
      </w:r>
      <w:r>
        <w:rPr>
          <w:rFonts w:ascii="仿宋_GB2312" w:hAnsi="Cambria" w:eastAsia="仿宋_GB2312" w:cs="仿宋_GB2312"/>
          <w:b/>
          <w:bCs/>
          <w:sz w:val="32"/>
          <w:szCs w:val="32"/>
          <w:lang w:val="zh-CN"/>
        </w:rPr>
        <w:t>”</w:t>
      </w:r>
      <w:r>
        <w:rPr>
          <w:rFonts w:hint="eastAsia" w:ascii="仿宋_GB2312" w:hAnsi="Cambria" w:eastAsia="仿宋_GB2312" w:cs="仿宋_GB2312"/>
          <w:b/>
          <w:bCs/>
          <w:sz w:val="32"/>
          <w:szCs w:val="32"/>
          <w:lang w:val="zh-CN"/>
        </w:rPr>
        <w:t>经费财政拨款支出决算总体情况说明</w:t>
      </w:r>
    </w:p>
    <w:p w14:paraId="1EAF44E2">
      <w:pPr>
        <w:keepNext/>
        <w:keepLines/>
        <w:autoSpaceDE w:val="0"/>
        <w:autoSpaceDN w:val="0"/>
        <w:adjustRightInd w:val="0"/>
        <w:spacing w:line="576" w:lineRule="exact"/>
        <w:ind w:firstLine="640"/>
        <w:rPr>
          <w:rFonts w:ascii="仿宋_GB2312" w:hAnsi="Cambria" w:eastAsia="仿宋_GB2312" w:cs="仿宋_GB2312"/>
          <w:sz w:val="32"/>
          <w:szCs w:val="32"/>
          <w:lang w:val="zh-CN"/>
        </w:rPr>
      </w:pPr>
      <w:r>
        <w:rPr>
          <w:rFonts w:ascii="仿宋_GB2312" w:hAnsi="Cambria" w:eastAsia="仿宋_GB2312" w:cs="仿宋_GB2312"/>
          <w:sz w:val="32"/>
          <w:szCs w:val="32"/>
          <w:lang w:val="zh-CN"/>
        </w:rPr>
        <w:t>202</w:t>
      </w:r>
      <w:r>
        <w:rPr>
          <w:rFonts w:hint="eastAsia" w:ascii="仿宋_GB2312" w:hAnsi="Cambria" w:eastAsia="仿宋_GB2312" w:cs="仿宋_GB2312"/>
          <w:sz w:val="32"/>
          <w:szCs w:val="32"/>
          <w:lang w:val="zh-CN"/>
        </w:rPr>
        <w:t>5年</w:t>
      </w:r>
      <w:r>
        <w:rPr>
          <w:rFonts w:ascii="仿宋_GB2312" w:hAnsi="Cambria" w:eastAsia="仿宋_GB2312" w:cs="仿宋_GB2312"/>
          <w:sz w:val="32"/>
          <w:szCs w:val="32"/>
          <w:lang w:val="zh-CN"/>
        </w:rPr>
        <w:t>“</w:t>
      </w:r>
      <w:r>
        <w:rPr>
          <w:rFonts w:hint="eastAsia" w:ascii="仿宋_GB2312" w:hAnsi="Cambria" w:eastAsia="仿宋_GB2312" w:cs="仿宋_GB2312"/>
          <w:sz w:val="32"/>
          <w:szCs w:val="32"/>
          <w:lang w:val="zh-CN"/>
        </w:rPr>
        <w:t>三公</w:t>
      </w:r>
      <w:r>
        <w:rPr>
          <w:rFonts w:ascii="仿宋_GB2312" w:hAnsi="Cambria" w:eastAsia="仿宋_GB2312" w:cs="仿宋_GB2312"/>
          <w:sz w:val="32"/>
          <w:szCs w:val="32"/>
          <w:lang w:val="zh-CN"/>
        </w:rPr>
        <w:t>”</w:t>
      </w:r>
      <w:r>
        <w:rPr>
          <w:rFonts w:hint="eastAsia" w:ascii="仿宋_GB2312" w:hAnsi="Cambria" w:eastAsia="仿宋_GB2312" w:cs="仿宋_GB2312"/>
          <w:sz w:val="32"/>
          <w:szCs w:val="32"/>
          <w:lang w:val="zh-CN"/>
        </w:rPr>
        <w:t>经费财政拨款支出决算为37.83万元，完成预算51.6</w:t>
      </w:r>
      <w:r>
        <w:rPr>
          <w:rFonts w:ascii="仿宋_GB2312" w:hAnsi="Cambria" w:eastAsia="仿宋_GB2312" w:cs="仿宋_GB2312"/>
          <w:sz w:val="32"/>
          <w:szCs w:val="32"/>
          <w:lang w:val="zh-CN"/>
        </w:rPr>
        <w:t>%</w:t>
      </w:r>
      <w:r>
        <w:rPr>
          <w:rFonts w:hint="eastAsia" w:ascii="仿宋_GB2312" w:hAnsi="Cambria" w:eastAsia="仿宋_GB2312" w:cs="仿宋_GB2312"/>
          <w:sz w:val="32"/>
          <w:szCs w:val="32"/>
          <w:lang w:val="zh-CN"/>
        </w:rPr>
        <w:t>；较上年减少5.47万元，减少12.63</w:t>
      </w:r>
      <w:r>
        <w:rPr>
          <w:rFonts w:ascii="仿宋_GB2312" w:hAnsi="Cambria" w:eastAsia="仿宋_GB2312" w:cs="仿宋_GB2312"/>
          <w:sz w:val="32"/>
          <w:szCs w:val="32"/>
          <w:lang w:val="zh-CN"/>
        </w:rPr>
        <w:t>%</w:t>
      </w:r>
      <w:r>
        <w:rPr>
          <w:rFonts w:hint="eastAsia" w:ascii="仿宋_GB2312" w:hAnsi="Cambria" w:eastAsia="仿宋_GB2312" w:cs="仿宋_GB2312"/>
          <w:sz w:val="32"/>
          <w:szCs w:val="32"/>
          <w:lang w:val="zh-CN"/>
        </w:rPr>
        <w:t>。决算数小于预算数</w:t>
      </w:r>
      <w:r>
        <w:rPr>
          <w:rFonts w:hint="eastAsia" w:ascii="仿宋" w:hAnsi="仿宋" w:eastAsia="仿宋"/>
          <w:sz w:val="32"/>
          <w:szCs w:val="32"/>
        </w:rPr>
        <w:t>的主要原因是执行国家厉行节约政策，减少不必要的公务活动支出</w:t>
      </w:r>
      <w:r>
        <w:rPr>
          <w:rFonts w:hint="eastAsia" w:ascii="仿宋_GB2312" w:hAnsi="Cambria" w:eastAsia="仿宋_GB2312" w:cs="仿宋_GB2312"/>
          <w:sz w:val="32"/>
          <w:szCs w:val="32"/>
          <w:lang w:val="zh-CN"/>
        </w:rPr>
        <w:t>。</w:t>
      </w:r>
    </w:p>
    <w:p w14:paraId="2DD7D5D5">
      <w:pPr>
        <w:keepNext/>
        <w:keepLines/>
        <w:autoSpaceDE w:val="0"/>
        <w:autoSpaceDN w:val="0"/>
        <w:adjustRightInd w:val="0"/>
        <w:spacing w:line="576" w:lineRule="exact"/>
        <w:ind w:firstLine="643"/>
        <w:rPr>
          <w:rFonts w:ascii="仿宋_GB2312" w:hAnsi="Cambria" w:eastAsia="仿宋_GB2312" w:cs="仿宋_GB2312"/>
          <w:b/>
          <w:bCs/>
          <w:sz w:val="32"/>
          <w:szCs w:val="32"/>
          <w:lang w:val="zh-CN"/>
        </w:rPr>
      </w:pPr>
      <w:r>
        <w:rPr>
          <w:rFonts w:hint="eastAsia" w:ascii="仿宋_GB2312" w:hAnsi="Cambria" w:eastAsia="仿宋_GB2312" w:cs="仿宋_GB2312"/>
          <w:b/>
          <w:bCs/>
          <w:sz w:val="32"/>
          <w:szCs w:val="32"/>
          <w:lang w:val="zh-CN"/>
        </w:rPr>
        <w:t>（二）</w:t>
      </w:r>
      <w:r>
        <w:rPr>
          <w:rFonts w:ascii="仿宋_GB2312" w:hAnsi="Cambria" w:eastAsia="仿宋_GB2312" w:cs="仿宋_GB2312"/>
          <w:b/>
          <w:bCs/>
          <w:sz w:val="32"/>
          <w:szCs w:val="32"/>
          <w:lang w:val="zh-CN"/>
        </w:rPr>
        <w:t>“</w:t>
      </w:r>
      <w:r>
        <w:rPr>
          <w:rFonts w:hint="eastAsia" w:ascii="仿宋_GB2312" w:hAnsi="Cambria" w:eastAsia="仿宋_GB2312" w:cs="仿宋_GB2312"/>
          <w:b/>
          <w:bCs/>
          <w:sz w:val="32"/>
          <w:szCs w:val="32"/>
          <w:lang w:val="zh-CN"/>
        </w:rPr>
        <w:t>三公</w:t>
      </w:r>
      <w:r>
        <w:rPr>
          <w:rFonts w:ascii="仿宋_GB2312" w:hAnsi="Cambria" w:eastAsia="仿宋_GB2312" w:cs="仿宋_GB2312"/>
          <w:b/>
          <w:bCs/>
          <w:sz w:val="32"/>
          <w:szCs w:val="32"/>
          <w:lang w:val="zh-CN"/>
        </w:rPr>
        <w:t>”</w:t>
      </w:r>
      <w:r>
        <w:rPr>
          <w:rFonts w:hint="eastAsia" w:ascii="仿宋_GB2312" w:hAnsi="Cambria" w:eastAsia="仿宋_GB2312" w:cs="仿宋_GB2312"/>
          <w:b/>
          <w:bCs/>
          <w:sz w:val="32"/>
          <w:szCs w:val="32"/>
          <w:lang w:val="zh-CN"/>
        </w:rPr>
        <w:t>经费财政拨款支出决算具体情况说明</w:t>
      </w:r>
    </w:p>
    <w:p w14:paraId="33353AF9">
      <w:pPr>
        <w:keepNext/>
        <w:keepLines/>
        <w:autoSpaceDE w:val="0"/>
        <w:autoSpaceDN w:val="0"/>
        <w:adjustRightInd w:val="0"/>
        <w:spacing w:line="576" w:lineRule="exact"/>
        <w:ind w:firstLine="640"/>
        <w:rPr>
          <w:rFonts w:ascii="仿宋_GB2312" w:hAnsi="Cambria" w:eastAsia="仿宋_GB2312" w:cs="仿宋_GB2312"/>
          <w:sz w:val="32"/>
          <w:szCs w:val="32"/>
          <w:lang w:val="zh-CN"/>
        </w:rPr>
      </w:pPr>
      <w:r>
        <w:rPr>
          <w:rFonts w:ascii="仿宋_GB2312" w:hAnsi="Cambria" w:eastAsia="仿宋_GB2312" w:cs="仿宋_GB2312"/>
          <w:sz w:val="32"/>
          <w:szCs w:val="32"/>
          <w:lang w:val="zh-CN"/>
        </w:rPr>
        <w:t>202</w:t>
      </w:r>
      <w:r>
        <w:rPr>
          <w:rFonts w:hint="eastAsia" w:ascii="仿宋_GB2312" w:hAnsi="Cambria" w:eastAsia="仿宋_GB2312" w:cs="仿宋_GB2312"/>
          <w:sz w:val="32"/>
          <w:szCs w:val="32"/>
          <w:lang w:val="zh-CN"/>
        </w:rPr>
        <w:t>5年</w:t>
      </w:r>
      <w:r>
        <w:rPr>
          <w:rFonts w:ascii="仿宋_GB2312" w:hAnsi="Cambria" w:eastAsia="仿宋_GB2312" w:cs="仿宋_GB2312"/>
          <w:sz w:val="32"/>
          <w:szCs w:val="32"/>
          <w:lang w:val="zh-CN"/>
        </w:rPr>
        <w:t>“</w:t>
      </w:r>
      <w:r>
        <w:rPr>
          <w:rFonts w:hint="eastAsia" w:ascii="仿宋_GB2312" w:hAnsi="Cambria" w:eastAsia="仿宋_GB2312" w:cs="仿宋_GB2312"/>
          <w:sz w:val="32"/>
          <w:szCs w:val="32"/>
          <w:lang w:val="zh-CN"/>
        </w:rPr>
        <w:t>三公</w:t>
      </w:r>
      <w:r>
        <w:rPr>
          <w:rFonts w:ascii="仿宋_GB2312" w:hAnsi="Cambria" w:eastAsia="仿宋_GB2312" w:cs="仿宋_GB2312"/>
          <w:sz w:val="32"/>
          <w:szCs w:val="32"/>
          <w:lang w:val="zh-CN"/>
        </w:rPr>
        <w:t>”</w:t>
      </w:r>
      <w:r>
        <w:rPr>
          <w:rFonts w:hint="eastAsia" w:ascii="仿宋_GB2312" w:hAnsi="Cambria" w:eastAsia="仿宋_GB2312" w:cs="仿宋_GB2312"/>
          <w:sz w:val="32"/>
          <w:szCs w:val="32"/>
          <w:lang w:val="zh-CN"/>
        </w:rPr>
        <w:t>经费财政拨款支出决算中，因公出国（境）费支出决算</w:t>
      </w:r>
      <w:r>
        <w:rPr>
          <w:rFonts w:ascii="仿宋_GB2312" w:hAnsi="Cambria" w:eastAsia="仿宋_GB2312" w:cs="仿宋_GB2312"/>
          <w:sz w:val="32"/>
          <w:szCs w:val="32"/>
          <w:lang w:val="zh-CN"/>
        </w:rPr>
        <w:t>0</w:t>
      </w:r>
      <w:r>
        <w:rPr>
          <w:rFonts w:hint="eastAsia" w:ascii="仿宋_GB2312" w:hAnsi="Cambria" w:eastAsia="仿宋_GB2312" w:cs="仿宋_GB2312"/>
          <w:sz w:val="32"/>
          <w:szCs w:val="32"/>
          <w:lang w:val="zh-CN"/>
        </w:rPr>
        <w:t>万元，占</w:t>
      </w:r>
      <w:r>
        <w:rPr>
          <w:rFonts w:ascii="仿宋_GB2312" w:hAnsi="Cambria" w:eastAsia="仿宋_GB2312" w:cs="仿宋_GB2312"/>
          <w:sz w:val="32"/>
          <w:szCs w:val="32"/>
          <w:lang w:val="zh-CN"/>
        </w:rPr>
        <w:t>0%</w:t>
      </w:r>
      <w:r>
        <w:rPr>
          <w:rFonts w:hint="eastAsia" w:ascii="仿宋_GB2312" w:hAnsi="Cambria" w:eastAsia="仿宋_GB2312" w:cs="仿宋_GB2312"/>
          <w:sz w:val="32"/>
          <w:szCs w:val="32"/>
          <w:lang w:val="zh-CN"/>
        </w:rPr>
        <w:t>；公务用车购置及运行维护费支出决算36.53万元，占96.56</w:t>
      </w:r>
      <w:r>
        <w:rPr>
          <w:rFonts w:ascii="仿宋_GB2312" w:hAnsi="Cambria" w:eastAsia="仿宋_GB2312" w:cs="仿宋_GB2312"/>
          <w:sz w:val="32"/>
          <w:szCs w:val="32"/>
          <w:lang w:val="zh-CN"/>
        </w:rPr>
        <w:t>%</w:t>
      </w:r>
      <w:r>
        <w:rPr>
          <w:rFonts w:hint="eastAsia" w:ascii="仿宋_GB2312" w:hAnsi="Cambria" w:eastAsia="仿宋_GB2312" w:cs="仿宋_GB2312"/>
          <w:sz w:val="32"/>
          <w:szCs w:val="32"/>
          <w:lang w:val="zh-CN"/>
        </w:rPr>
        <w:t>；公务接待费支出决算1.3万元，占3.43</w:t>
      </w:r>
      <w:r>
        <w:rPr>
          <w:rFonts w:ascii="仿宋_GB2312" w:hAnsi="Cambria" w:eastAsia="仿宋_GB2312" w:cs="仿宋_GB2312"/>
          <w:sz w:val="32"/>
          <w:szCs w:val="32"/>
          <w:lang w:val="zh-CN"/>
        </w:rPr>
        <w:t>%</w:t>
      </w:r>
      <w:r>
        <w:rPr>
          <w:rFonts w:hint="eastAsia" w:ascii="仿宋_GB2312" w:hAnsi="Cambria" w:eastAsia="仿宋_GB2312" w:cs="仿宋_GB2312"/>
          <w:sz w:val="32"/>
          <w:szCs w:val="32"/>
          <w:lang w:val="zh-CN"/>
        </w:rPr>
        <w:t>。具体情况如下：</w:t>
      </w:r>
    </w:p>
    <w:p w14:paraId="3CA395A2">
      <w:pPr>
        <w:autoSpaceDE w:val="0"/>
        <w:autoSpaceDN w:val="0"/>
        <w:adjustRightInd w:val="0"/>
        <w:spacing w:line="600" w:lineRule="exact"/>
        <w:ind w:firstLine="640"/>
        <w:rPr>
          <w:rFonts w:ascii="仿宋" w:hAnsi="Cambria" w:eastAsia="仿宋" w:cs="仿宋"/>
          <w:sz w:val="32"/>
          <w:szCs w:val="32"/>
        </w:rPr>
      </w:pPr>
      <w:r>
        <w:rPr>
          <w:rFonts w:hint="eastAsia" w:ascii="仿宋" w:hAnsi="Cambria" w:eastAsia="仿宋" w:cs="仿宋"/>
          <w:sz w:val="32"/>
          <w:szCs w:val="32"/>
        </w:rPr>
        <w:t>（图</w:t>
      </w:r>
      <w:r>
        <w:rPr>
          <w:rFonts w:ascii="仿宋" w:hAnsi="Cambria" w:eastAsia="仿宋" w:cs="仿宋"/>
          <w:sz w:val="32"/>
          <w:szCs w:val="32"/>
        </w:rPr>
        <w:t>7</w:t>
      </w:r>
      <w:r>
        <w:rPr>
          <w:rFonts w:hint="eastAsia" w:ascii="仿宋" w:hAnsi="Cambria" w:eastAsia="仿宋" w:cs="仿宋"/>
          <w:sz w:val="32"/>
          <w:szCs w:val="32"/>
        </w:rPr>
        <w:t>：</w:t>
      </w:r>
      <w:r>
        <w:rPr>
          <w:rFonts w:ascii="仿宋" w:hAnsi="Cambria" w:eastAsia="仿宋" w:cs="仿宋"/>
          <w:sz w:val="32"/>
          <w:szCs w:val="32"/>
        </w:rPr>
        <w:t>“</w:t>
      </w:r>
      <w:r>
        <w:rPr>
          <w:rFonts w:hint="eastAsia" w:ascii="仿宋" w:hAnsi="Cambria" w:eastAsia="仿宋" w:cs="仿宋"/>
          <w:sz w:val="32"/>
          <w:szCs w:val="32"/>
        </w:rPr>
        <w:t>三公</w:t>
      </w:r>
      <w:r>
        <w:rPr>
          <w:rFonts w:ascii="仿宋" w:hAnsi="Cambria" w:eastAsia="仿宋" w:cs="仿宋"/>
          <w:sz w:val="32"/>
          <w:szCs w:val="32"/>
        </w:rPr>
        <w:t>”</w:t>
      </w:r>
      <w:r>
        <w:rPr>
          <w:rFonts w:hint="eastAsia" w:ascii="仿宋" w:hAnsi="Cambria" w:eastAsia="仿宋" w:cs="仿宋"/>
          <w:sz w:val="32"/>
          <w:szCs w:val="32"/>
        </w:rPr>
        <w:t>经费财政拨款支出结构）（饼状图）</w:t>
      </w:r>
    </w:p>
    <w:p w14:paraId="5EFB38D1">
      <w:pPr>
        <w:autoSpaceDE w:val="0"/>
        <w:autoSpaceDN w:val="0"/>
        <w:adjustRightInd w:val="0"/>
        <w:spacing w:line="720" w:lineRule="auto"/>
        <w:ind w:firstLine="641"/>
        <w:rPr>
          <w:rFonts w:ascii="仿宋" w:hAnsi="Cambria" w:eastAsia="仿宋" w:cs="仿宋"/>
          <w:sz w:val="32"/>
          <w:szCs w:val="32"/>
        </w:rPr>
      </w:pPr>
      <w:r>
        <w:drawing>
          <wp:inline distT="0" distB="0" distL="0" distR="0">
            <wp:extent cx="2733675" cy="1828800"/>
            <wp:effectExtent l="0" t="0" r="0" b="0"/>
            <wp:docPr id="9" name="图表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D20BDEC">
      <w:pPr>
        <w:keepNext/>
        <w:keepLines/>
        <w:autoSpaceDE w:val="0"/>
        <w:autoSpaceDN w:val="0"/>
        <w:adjustRightInd w:val="0"/>
        <w:spacing w:line="576" w:lineRule="exact"/>
        <w:ind w:firstLine="643"/>
        <w:rPr>
          <w:rFonts w:ascii="仿宋_GB2312" w:hAnsi="Cambria" w:eastAsia="仿宋_GB2312" w:cs="仿宋_GB2312"/>
          <w:sz w:val="32"/>
          <w:szCs w:val="32"/>
          <w:lang w:val="zh-CN"/>
        </w:rPr>
      </w:pPr>
      <w:r>
        <w:rPr>
          <w:rFonts w:ascii="仿宋_GB2312" w:hAnsi="Cambria" w:eastAsia="仿宋_GB2312" w:cs="仿宋_GB2312"/>
          <w:b/>
          <w:bCs/>
          <w:sz w:val="32"/>
          <w:szCs w:val="32"/>
          <w:lang w:val="zh-CN"/>
        </w:rPr>
        <w:t>1.</w:t>
      </w:r>
      <w:r>
        <w:rPr>
          <w:rFonts w:hint="eastAsia" w:ascii="仿宋_GB2312" w:hAnsi="Cambria" w:eastAsia="仿宋_GB2312" w:cs="仿宋_GB2312"/>
          <w:b/>
          <w:bCs/>
          <w:sz w:val="32"/>
          <w:szCs w:val="32"/>
          <w:lang w:val="zh-CN"/>
        </w:rPr>
        <w:t>因公出国（境）经费</w:t>
      </w:r>
      <w:r>
        <w:rPr>
          <w:rFonts w:hint="eastAsia" w:ascii="仿宋_GB2312" w:hAnsi="Cambria" w:eastAsia="仿宋_GB2312" w:cs="仿宋_GB2312"/>
          <w:sz w:val="32"/>
          <w:szCs w:val="32"/>
          <w:lang w:val="zh-CN"/>
        </w:rPr>
        <w:t>支出</w:t>
      </w:r>
      <w:r>
        <w:rPr>
          <w:rFonts w:ascii="仿宋_GB2312" w:hAnsi="Cambria" w:eastAsia="仿宋_GB2312" w:cs="仿宋_GB2312"/>
          <w:sz w:val="32"/>
          <w:szCs w:val="32"/>
          <w:lang w:val="zh-CN"/>
        </w:rPr>
        <w:t>0</w:t>
      </w:r>
      <w:r>
        <w:rPr>
          <w:rFonts w:hint="eastAsia" w:ascii="仿宋_GB2312" w:hAnsi="Cambria" w:eastAsia="仿宋_GB2312" w:cs="仿宋_GB2312"/>
          <w:sz w:val="32"/>
          <w:szCs w:val="32"/>
          <w:lang w:val="zh-CN"/>
        </w:rPr>
        <w:t>万元，完成预算</w:t>
      </w:r>
      <w:r>
        <w:rPr>
          <w:rFonts w:ascii="仿宋_GB2312" w:hAnsi="Cambria" w:eastAsia="仿宋_GB2312" w:cs="仿宋_GB2312"/>
          <w:sz w:val="32"/>
          <w:szCs w:val="32"/>
          <w:lang w:val="zh-CN"/>
        </w:rPr>
        <w:t>0%</w:t>
      </w:r>
      <w:r>
        <w:rPr>
          <w:rFonts w:hint="eastAsia" w:ascii="仿宋_GB2312" w:hAnsi="Cambria" w:eastAsia="仿宋_GB2312" w:cs="仿宋_GB2312"/>
          <w:sz w:val="32"/>
          <w:szCs w:val="32"/>
          <w:lang w:val="zh-CN"/>
        </w:rPr>
        <w:t>。全年安排因公出国（境）团组</w:t>
      </w:r>
      <w:r>
        <w:rPr>
          <w:rFonts w:ascii="仿宋_GB2312" w:hAnsi="Cambria" w:eastAsia="仿宋_GB2312" w:cs="仿宋_GB2312"/>
          <w:sz w:val="32"/>
          <w:szCs w:val="32"/>
          <w:lang w:val="zh-CN"/>
        </w:rPr>
        <w:t>0</w:t>
      </w:r>
      <w:r>
        <w:rPr>
          <w:rFonts w:hint="eastAsia" w:ascii="仿宋_GB2312" w:hAnsi="Cambria" w:eastAsia="仿宋_GB2312" w:cs="仿宋_GB2312"/>
          <w:sz w:val="32"/>
          <w:szCs w:val="32"/>
          <w:lang w:val="zh-CN"/>
        </w:rPr>
        <w:t>个，出国（境）</w:t>
      </w:r>
      <w:r>
        <w:rPr>
          <w:rFonts w:ascii="仿宋_GB2312" w:hAnsi="Cambria" w:eastAsia="仿宋_GB2312" w:cs="仿宋_GB2312"/>
          <w:sz w:val="32"/>
          <w:szCs w:val="32"/>
          <w:lang w:val="zh-CN"/>
        </w:rPr>
        <w:t>0</w:t>
      </w:r>
      <w:r>
        <w:rPr>
          <w:rFonts w:hint="eastAsia" w:ascii="仿宋_GB2312" w:hAnsi="Cambria" w:eastAsia="仿宋_GB2312" w:cs="仿宋_GB2312"/>
          <w:sz w:val="32"/>
          <w:szCs w:val="32"/>
          <w:lang w:val="zh-CN"/>
        </w:rPr>
        <w:t>人。因公出国（境）支出决算比</w:t>
      </w:r>
      <w:r>
        <w:rPr>
          <w:rFonts w:ascii="仿宋_GB2312" w:hAnsi="Cambria" w:eastAsia="仿宋_GB2312" w:cs="仿宋_GB2312"/>
          <w:sz w:val="32"/>
          <w:szCs w:val="32"/>
          <w:lang w:val="zh-CN"/>
        </w:rPr>
        <w:t>2021</w:t>
      </w:r>
      <w:r>
        <w:rPr>
          <w:rFonts w:hint="eastAsia" w:ascii="仿宋_GB2312" w:hAnsi="Cambria" w:eastAsia="仿宋_GB2312" w:cs="仿宋_GB2312"/>
          <w:sz w:val="32"/>
          <w:szCs w:val="32"/>
          <w:lang w:val="zh-CN"/>
        </w:rPr>
        <w:t>年</w:t>
      </w:r>
      <w:r>
        <w:rPr>
          <w:rFonts w:hint="eastAsia" w:ascii="仿宋_GB2312" w:eastAsia="仿宋_GB2312"/>
          <w:sz w:val="32"/>
          <w:szCs w:val="32"/>
        </w:rPr>
        <w:t>持平</w:t>
      </w:r>
      <w:r>
        <w:rPr>
          <w:rFonts w:hint="eastAsia" w:ascii="仿宋_GB2312" w:hAnsi="Cambria" w:eastAsia="仿宋_GB2312" w:cs="仿宋_GB2312"/>
          <w:sz w:val="32"/>
          <w:szCs w:val="32"/>
          <w:lang w:val="zh-CN"/>
        </w:rPr>
        <w:t>。</w:t>
      </w:r>
    </w:p>
    <w:p w14:paraId="1764A30C">
      <w:pPr>
        <w:keepNext/>
        <w:keepLines/>
        <w:autoSpaceDE w:val="0"/>
        <w:autoSpaceDN w:val="0"/>
        <w:adjustRightInd w:val="0"/>
        <w:spacing w:line="576" w:lineRule="exact"/>
        <w:ind w:firstLine="643"/>
        <w:rPr>
          <w:rFonts w:ascii="仿宋_GB2312" w:hAnsi="Cambria" w:eastAsia="仿宋_GB2312" w:cs="仿宋_GB2312"/>
          <w:sz w:val="32"/>
          <w:szCs w:val="32"/>
          <w:lang w:val="zh-CN"/>
        </w:rPr>
      </w:pPr>
      <w:r>
        <w:rPr>
          <w:rFonts w:ascii="仿宋_GB2312" w:hAnsi="Cambria" w:eastAsia="仿宋_GB2312" w:cs="仿宋_GB2312"/>
          <w:b/>
          <w:bCs/>
          <w:sz w:val="32"/>
          <w:szCs w:val="32"/>
          <w:lang w:val="zh-CN"/>
        </w:rPr>
        <w:t>2.</w:t>
      </w:r>
      <w:r>
        <w:rPr>
          <w:rFonts w:hint="eastAsia" w:ascii="仿宋_GB2312" w:hAnsi="Cambria" w:eastAsia="仿宋_GB2312" w:cs="仿宋_GB2312"/>
          <w:b/>
          <w:bCs/>
          <w:sz w:val="32"/>
          <w:szCs w:val="32"/>
          <w:lang w:val="zh-CN"/>
        </w:rPr>
        <w:t>公务用车购置及运行维护费</w:t>
      </w:r>
      <w:r>
        <w:rPr>
          <w:rFonts w:hint="eastAsia" w:ascii="仿宋_GB2312" w:hAnsi="Cambria" w:eastAsia="仿宋_GB2312" w:cs="仿宋_GB2312"/>
          <w:sz w:val="32"/>
          <w:szCs w:val="32"/>
          <w:lang w:val="zh-CN"/>
        </w:rPr>
        <w:t>支出36.53万元，完成预算57.1</w:t>
      </w:r>
      <w:r>
        <w:rPr>
          <w:rFonts w:ascii="仿宋_GB2312" w:hAnsi="Cambria" w:eastAsia="仿宋_GB2312" w:cs="仿宋_GB2312"/>
          <w:sz w:val="32"/>
          <w:szCs w:val="32"/>
          <w:lang w:val="zh-CN"/>
        </w:rPr>
        <w:t>%</w:t>
      </w:r>
      <w:r>
        <w:rPr>
          <w:rFonts w:hint="eastAsia" w:ascii="仿宋_GB2312" w:hAnsi="Cambria" w:eastAsia="仿宋_GB2312" w:cs="仿宋_GB2312"/>
          <w:sz w:val="32"/>
          <w:szCs w:val="32"/>
          <w:lang w:val="zh-CN"/>
        </w:rPr>
        <w:t>。公务用车购置及运行维护费支出决算比</w:t>
      </w:r>
      <w:r>
        <w:rPr>
          <w:rFonts w:ascii="仿宋_GB2312" w:hAnsi="Cambria" w:eastAsia="仿宋_GB2312" w:cs="仿宋_GB2312"/>
          <w:sz w:val="32"/>
          <w:szCs w:val="32"/>
          <w:lang w:val="zh-CN"/>
        </w:rPr>
        <w:t>202</w:t>
      </w:r>
      <w:r>
        <w:rPr>
          <w:rFonts w:hint="eastAsia" w:ascii="仿宋_GB2312" w:hAnsi="Cambria" w:eastAsia="仿宋_GB2312" w:cs="仿宋_GB2312"/>
          <w:sz w:val="32"/>
          <w:szCs w:val="32"/>
          <w:lang w:val="zh-CN"/>
        </w:rPr>
        <w:t>4年减少4.26万元，减少10.44</w:t>
      </w:r>
      <w:r>
        <w:rPr>
          <w:rFonts w:ascii="仿宋_GB2312" w:hAnsi="Cambria" w:eastAsia="仿宋_GB2312" w:cs="仿宋_GB2312"/>
          <w:sz w:val="32"/>
          <w:szCs w:val="32"/>
          <w:lang w:val="zh-CN"/>
        </w:rPr>
        <w:t>%</w:t>
      </w:r>
      <w:r>
        <w:rPr>
          <w:rFonts w:hint="eastAsia" w:ascii="仿宋_GB2312" w:hAnsi="Cambria" w:eastAsia="仿宋_GB2312" w:cs="仿宋_GB2312"/>
          <w:sz w:val="32"/>
          <w:szCs w:val="32"/>
          <w:lang w:val="zh-CN"/>
        </w:rPr>
        <w:t>。主要原因是公务活动的减少。</w:t>
      </w:r>
    </w:p>
    <w:p w14:paraId="2ED87B3D">
      <w:pPr>
        <w:keepNext/>
        <w:keepLines/>
        <w:autoSpaceDE w:val="0"/>
        <w:autoSpaceDN w:val="0"/>
        <w:adjustRightInd w:val="0"/>
        <w:spacing w:line="576" w:lineRule="exact"/>
        <w:ind w:firstLine="640"/>
        <w:rPr>
          <w:rFonts w:ascii="仿宋_GB2312" w:hAnsi="Cambria" w:eastAsia="仿宋_GB2312" w:cs="仿宋_GB2312"/>
          <w:sz w:val="32"/>
          <w:szCs w:val="32"/>
          <w:lang w:val="zh-CN"/>
        </w:rPr>
      </w:pPr>
      <w:r>
        <w:rPr>
          <w:rFonts w:hint="eastAsia" w:ascii="仿宋_GB2312" w:hAnsi="Cambria" w:eastAsia="仿宋_GB2312" w:cs="仿宋_GB2312"/>
          <w:sz w:val="32"/>
          <w:szCs w:val="32"/>
          <w:lang w:val="zh-CN"/>
        </w:rPr>
        <w:t>其中：</w:t>
      </w:r>
      <w:r>
        <w:rPr>
          <w:rFonts w:hint="eastAsia" w:ascii="仿宋_GB2312" w:hAnsi="Cambria" w:eastAsia="仿宋_GB2312" w:cs="仿宋_GB2312"/>
          <w:b/>
          <w:bCs/>
          <w:sz w:val="32"/>
          <w:szCs w:val="32"/>
          <w:lang w:val="zh-CN"/>
        </w:rPr>
        <w:t>公务用车购置费</w:t>
      </w:r>
      <w:r>
        <w:rPr>
          <w:rFonts w:hint="eastAsia" w:ascii="仿宋_GB2312" w:hAnsi="Cambria" w:eastAsia="仿宋_GB2312" w:cs="仿宋_GB2312"/>
          <w:sz w:val="32"/>
          <w:szCs w:val="32"/>
          <w:lang w:val="zh-CN"/>
        </w:rPr>
        <w:t>支出</w:t>
      </w:r>
      <w:r>
        <w:rPr>
          <w:rFonts w:ascii="仿宋_GB2312" w:hAnsi="Cambria" w:eastAsia="仿宋_GB2312" w:cs="仿宋_GB2312"/>
          <w:sz w:val="32"/>
          <w:szCs w:val="32"/>
          <w:lang w:val="zh-CN"/>
        </w:rPr>
        <w:t>0</w:t>
      </w:r>
      <w:r>
        <w:rPr>
          <w:rFonts w:hint="eastAsia" w:ascii="仿宋_GB2312" w:hAnsi="Cambria" w:eastAsia="仿宋_GB2312" w:cs="仿宋_GB2312"/>
          <w:sz w:val="32"/>
          <w:szCs w:val="32"/>
          <w:lang w:val="zh-CN"/>
        </w:rPr>
        <w:t>万元。全年按规定更新购置公务用车</w:t>
      </w:r>
      <w:r>
        <w:rPr>
          <w:rFonts w:ascii="仿宋_GB2312" w:hAnsi="Cambria" w:eastAsia="仿宋_GB2312" w:cs="仿宋_GB2312"/>
          <w:sz w:val="32"/>
          <w:szCs w:val="32"/>
          <w:lang w:val="zh-CN"/>
        </w:rPr>
        <w:t>0</w:t>
      </w:r>
      <w:r>
        <w:rPr>
          <w:rFonts w:hint="eastAsia" w:ascii="仿宋_GB2312" w:hAnsi="Cambria" w:eastAsia="仿宋_GB2312" w:cs="仿宋_GB2312"/>
          <w:sz w:val="32"/>
          <w:szCs w:val="32"/>
          <w:lang w:val="zh-CN"/>
        </w:rPr>
        <w:t>辆，其中：轿车0辆、金额0万元，越野车0辆、金额0万元，小型载客汽车0辆、金额0万元，大中型载客汽车0辆、金额0万元，其他车型0辆、金额0万元。截至</w:t>
      </w:r>
      <w:r>
        <w:rPr>
          <w:rFonts w:ascii="仿宋_GB2312" w:hAnsi="Cambria" w:eastAsia="仿宋_GB2312" w:cs="仿宋_GB2312"/>
          <w:sz w:val="32"/>
          <w:szCs w:val="32"/>
          <w:lang w:val="zh-CN"/>
        </w:rPr>
        <w:t>202</w:t>
      </w:r>
      <w:r>
        <w:rPr>
          <w:rFonts w:hint="eastAsia" w:ascii="仿宋_GB2312" w:hAnsi="Cambria" w:eastAsia="仿宋_GB2312" w:cs="仿宋_GB2312"/>
          <w:sz w:val="32"/>
          <w:szCs w:val="32"/>
          <w:lang w:val="zh-CN"/>
        </w:rPr>
        <w:t>4年</w:t>
      </w:r>
      <w:r>
        <w:rPr>
          <w:rFonts w:ascii="仿宋_GB2312" w:hAnsi="Cambria" w:eastAsia="仿宋_GB2312" w:cs="仿宋_GB2312"/>
          <w:sz w:val="32"/>
          <w:szCs w:val="32"/>
          <w:lang w:val="zh-CN"/>
        </w:rPr>
        <w:t>12</w:t>
      </w:r>
      <w:r>
        <w:rPr>
          <w:rFonts w:hint="eastAsia" w:ascii="仿宋_GB2312" w:hAnsi="Cambria" w:eastAsia="仿宋_GB2312" w:cs="仿宋_GB2312"/>
          <w:sz w:val="32"/>
          <w:szCs w:val="32"/>
          <w:lang w:val="zh-CN"/>
        </w:rPr>
        <w:t>月底，本部门共有公务用车</w:t>
      </w:r>
      <w:r>
        <w:rPr>
          <w:rFonts w:ascii="仿宋_GB2312" w:hAnsi="Cambria" w:eastAsia="仿宋_GB2312" w:cs="仿宋_GB2312"/>
          <w:sz w:val="32"/>
          <w:szCs w:val="32"/>
          <w:lang w:val="zh-CN"/>
        </w:rPr>
        <w:t>1</w:t>
      </w:r>
      <w:r>
        <w:rPr>
          <w:rFonts w:hint="eastAsia" w:ascii="仿宋_GB2312" w:hAnsi="Cambria" w:eastAsia="仿宋_GB2312" w:cs="仿宋_GB2312"/>
          <w:sz w:val="32"/>
          <w:szCs w:val="32"/>
          <w:lang w:val="zh-CN"/>
        </w:rPr>
        <w:t>6辆，其中：轿车1辆、越野车0辆、小型载客汽车0辆、大中型载客汽车0辆、其他车型15辆。</w:t>
      </w:r>
    </w:p>
    <w:p w14:paraId="0F325451">
      <w:pPr>
        <w:keepNext/>
        <w:keepLines/>
        <w:autoSpaceDE w:val="0"/>
        <w:autoSpaceDN w:val="0"/>
        <w:adjustRightInd w:val="0"/>
        <w:spacing w:line="576" w:lineRule="exact"/>
        <w:ind w:firstLine="643"/>
        <w:rPr>
          <w:rFonts w:ascii="仿宋_GB2312" w:hAnsi="Cambria" w:eastAsia="仿宋_GB2312" w:cs="仿宋_GB2312"/>
          <w:sz w:val="32"/>
          <w:szCs w:val="32"/>
          <w:lang w:val="zh-CN"/>
        </w:rPr>
      </w:pPr>
      <w:r>
        <w:rPr>
          <w:rFonts w:hint="eastAsia" w:ascii="仿宋_GB2312" w:hAnsi="Cambria" w:eastAsia="仿宋_GB2312" w:cs="仿宋_GB2312"/>
          <w:b/>
          <w:bCs/>
          <w:sz w:val="32"/>
          <w:szCs w:val="32"/>
          <w:lang w:val="zh-CN"/>
        </w:rPr>
        <w:t>公务用车运行维护费</w:t>
      </w:r>
      <w:r>
        <w:rPr>
          <w:rFonts w:hint="eastAsia" w:ascii="仿宋_GB2312" w:hAnsi="Cambria" w:eastAsia="仿宋_GB2312" w:cs="仿宋_GB2312"/>
          <w:sz w:val="32"/>
          <w:szCs w:val="32"/>
          <w:lang w:val="zh-CN"/>
        </w:rPr>
        <w:t>支出36.53万元。主要用于公务活动等所需的公务用车燃料费、维修费、过路过桥费、保险费等支出。</w:t>
      </w:r>
    </w:p>
    <w:p w14:paraId="2F9D8394">
      <w:pPr>
        <w:keepNext/>
        <w:keepLines/>
        <w:autoSpaceDE w:val="0"/>
        <w:autoSpaceDN w:val="0"/>
        <w:adjustRightInd w:val="0"/>
        <w:spacing w:line="576" w:lineRule="exact"/>
        <w:ind w:firstLine="643"/>
        <w:rPr>
          <w:rFonts w:ascii="仿宋_GB2312" w:hAnsi="Cambria" w:eastAsia="仿宋_GB2312" w:cs="仿宋_GB2312"/>
          <w:sz w:val="32"/>
          <w:szCs w:val="32"/>
          <w:lang w:val="zh-CN"/>
        </w:rPr>
      </w:pPr>
      <w:r>
        <w:rPr>
          <w:rFonts w:ascii="仿宋_GB2312" w:hAnsi="Cambria" w:eastAsia="仿宋_GB2312" w:cs="仿宋_GB2312"/>
          <w:b/>
          <w:bCs/>
          <w:sz w:val="32"/>
          <w:szCs w:val="32"/>
          <w:lang w:val="zh-CN"/>
        </w:rPr>
        <w:t>3.</w:t>
      </w:r>
      <w:r>
        <w:rPr>
          <w:rFonts w:hint="eastAsia" w:ascii="仿宋_GB2312" w:hAnsi="Cambria" w:eastAsia="仿宋_GB2312" w:cs="仿宋_GB2312"/>
          <w:b/>
          <w:bCs/>
          <w:sz w:val="32"/>
          <w:szCs w:val="32"/>
          <w:lang w:val="zh-CN"/>
        </w:rPr>
        <w:t>公务接待费</w:t>
      </w:r>
      <w:r>
        <w:rPr>
          <w:rFonts w:hint="eastAsia" w:ascii="仿宋_GB2312" w:hAnsi="Cambria" w:eastAsia="仿宋_GB2312" w:cs="仿宋_GB2312"/>
          <w:sz w:val="32"/>
          <w:szCs w:val="32"/>
          <w:lang w:val="zh-CN"/>
        </w:rPr>
        <w:t>支出1.3万元，完成预算26.7</w:t>
      </w:r>
      <w:r>
        <w:rPr>
          <w:rFonts w:ascii="仿宋_GB2312" w:hAnsi="Cambria" w:eastAsia="仿宋_GB2312" w:cs="仿宋_GB2312"/>
          <w:sz w:val="32"/>
          <w:szCs w:val="32"/>
          <w:lang w:val="zh-CN"/>
        </w:rPr>
        <w:t>%</w:t>
      </w:r>
      <w:r>
        <w:rPr>
          <w:rFonts w:hint="eastAsia" w:ascii="仿宋_GB2312" w:hAnsi="Cambria" w:eastAsia="仿宋_GB2312" w:cs="仿宋_GB2312"/>
          <w:sz w:val="32"/>
          <w:szCs w:val="32"/>
          <w:lang w:val="zh-CN"/>
        </w:rPr>
        <w:t>。公务接待费支出决算比</w:t>
      </w:r>
      <w:r>
        <w:rPr>
          <w:rFonts w:ascii="仿宋_GB2312" w:hAnsi="Cambria" w:eastAsia="仿宋_GB2312" w:cs="仿宋_GB2312"/>
          <w:sz w:val="32"/>
          <w:szCs w:val="32"/>
          <w:lang w:val="zh-CN"/>
        </w:rPr>
        <w:t>202</w:t>
      </w:r>
      <w:r>
        <w:rPr>
          <w:rFonts w:hint="eastAsia" w:ascii="仿宋_GB2312" w:hAnsi="Cambria" w:eastAsia="仿宋_GB2312" w:cs="仿宋_GB2312"/>
          <w:sz w:val="32"/>
          <w:szCs w:val="32"/>
          <w:lang w:val="zh-CN"/>
        </w:rPr>
        <w:t>4年减少1.21万元，减少48.2</w:t>
      </w:r>
      <w:r>
        <w:rPr>
          <w:rFonts w:ascii="仿宋_GB2312" w:hAnsi="Cambria" w:eastAsia="仿宋_GB2312" w:cs="仿宋_GB2312"/>
          <w:sz w:val="32"/>
          <w:szCs w:val="32"/>
          <w:lang w:val="zh-CN"/>
        </w:rPr>
        <w:t>%</w:t>
      </w:r>
      <w:r>
        <w:rPr>
          <w:rFonts w:hint="eastAsia" w:ascii="仿宋_GB2312" w:hAnsi="Cambria" w:eastAsia="仿宋_GB2312" w:cs="仿宋_GB2312"/>
          <w:sz w:val="32"/>
          <w:szCs w:val="32"/>
          <w:lang w:val="zh-CN"/>
        </w:rPr>
        <w:t>。主要原因是减少了不必要的接待。其中：</w:t>
      </w:r>
    </w:p>
    <w:p w14:paraId="29CFCB1F">
      <w:pPr>
        <w:keepNext/>
        <w:keepLines/>
        <w:autoSpaceDE w:val="0"/>
        <w:autoSpaceDN w:val="0"/>
        <w:adjustRightInd w:val="0"/>
        <w:spacing w:line="576" w:lineRule="exact"/>
        <w:ind w:firstLine="643"/>
        <w:rPr>
          <w:rFonts w:ascii="仿宋_GB2312" w:hAnsi="Cambria" w:eastAsia="仿宋_GB2312" w:cs="仿宋_GB2312"/>
          <w:sz w:val="32"/>
          <w:szCs w:val="32"/>
        </w:rPr>
      </w:pPr>
      <w:r>
        <w:rPr>
          <w:rFonts w:hint="eastAsia" w:ascii="仿宋_GB2312" w:hAnsi="Cambria" w:eastAsia="仿宋_GB2312" w:cs="仿宋_GB2312"/>
          <w:b/>
          <w:bCs/>
          <w:sz w:val="32"/>
          <w:szCs w:val="32"/>
          <w:lang w:val="zh-CN"/>
        </w:rPr>
        <w:t>国内公务接待</w:t>
      </w:r>
      <w:r>
        <w:rPr>
          <w:rFonts w:hint="eastAsia" w:ascii="仿宋_GB2312" w:hAnsi="Cambria" w:eastAsia="仿宋_GB2312" w:cs="仿宋_GB2312"/>
          <w:sz w:val="32"/>
          <w:szCs w:val="32"/>
          <w:lang w:val="zh-CN"/>
        </w:rPr>
        <w:t>支出1.3万元。主要用于</w:t>
      </w:r>
      <w:r>
        <w:rPr>
          <w:rFonts w:hint="eastAsia" w:ascii="仿宋_GB2312" w:hAnsi="Cambria" w:eastAsia="仿宋_GB2312" w:cs="仿宋_GB2312"/>
          <w:sz w:val="32"/>
          <w:szCs w:val="32"/>
          <w:highlight w:val="white"/>
        </w:rPr>
        <w:t>执行公务、开展业务活动开支的用餐费。</w:t>
      </w:r>
      <w:r>
        <w:rPr>
          <w:rFonts w:hint="eastAsia" w:ascii="仿宋_GB2312" w:hAnsi="Cambria" w:eastAsia="仿宋_GB2312" w:cs="仿宋_GB2312"/>
          <w:sz w:val="32"/>
          <w:szCs w:val="32"/>
          <w:lang w:val="zh-CN"/>
        </w:rPr>
        <w:t>国内公务接待14批次，148人次，共计支出1.3万元</w:t>
      </w:r>
      <w:r>
        <w:rPr>
          <w:rFonts w:hint="eastAsia" w:ascii="仿宋_GB2312" w:hAnsi="Cambria" w:eastAsia="仿宋_GB2312" w:cs="仿宋_GB2312"/>
          <w:sz w:val="32"/>
          <w:szCs w:val="32"/>
          <w:highlight w:val="white"/>
        </w:rPr>
        <w:t>。</w:t>
      </w:r>
    </w:p>
    <w:p w14:paraId="6E7DE0DF">
      <w:pPr>
        <w:keepNext/>
        <w:keepLines/>
        <w:autoSpaceDE w:val="0"/>
        <w:autoSpaceDN w:val="0"/>
        <w:adjustRightInd w:val="0"/>
        <w:spacing w:line="576" w:lineRule="exact"/>
        <w:ind w:firstLine="643"/>
        <w:rPr>
          <w:rFonts w:ascii="仿宋_GB2312" w:hAnsi="Cambria" w:eastAsia="仿宋_GB2312" w:cs="仿宋_GB2312"/>
          <w:sz w:val="32"/>
          <w:szCs w:val="32"/>
        </w:rPr>
      </w:pPr>
      <w:r>
        <w:rPr>
          <w:rFonts w:hint="eastAsia" w:ascii="仿宋_GB2312" w:hAnsi="Cambria" w:eastAsia="仿宋_GB2312" w:cs="仿宋_GB2312"/>
          <w:b/>
          <w:bCs/>
          <w:sz w:val="32"/>
          <w:szCs w:val="32"/>
          <w:lang w:val="zh-CN"/>
        </w:rPr>
        <w:t>外事接待</w:t>
      </w:r>
      <w:r>
        <w:rPr>
          <w:rFonts w:hint="eastAsia" w:ascii="仿宋_GB2312" w:hAnsi="Cambria" w:eastAsia="仿宋_GB2312" w:cs="仿宋_GB2312"/>
          <w:sz w:val="32"/>
          <w:szCs w:val="32"/>
          <w:lang w:val="zh-CN"/>
        </w:rPr>
        <w:t>支出</w:t>
      </w:r>
      <w:r>
        <w:rPr>
          <w:rFonts w:ascii="仿宋_GB2312" w:hAnsi="Cambria" w:eastAsia="仿宋_GB2312" w:cs="仿宋_GB2312"/>
          <w:sz w:val="32"/>
          <w:szCs w:val="32"/>
          <w:lang w:val="zh-CN"/>
        </w:rPr>
        <w:t>0</w:t>
      </w:r>
      <w:r>
        <w:rPr>
          <w:rFonts w:hint="eastAsia" w:ascii="仿宋_GB2312" w:hAnsi="Cambria" w:eastAsia="仿宋_GB2312" w:cs="仿宋_GB2312"/>
          <w:sz w:val="32"/>
          <w:szCs w:val="32"/>
          <w:lang w:val="zh-CN"/>
        </w:rPr>
        <w:t>万元。外事接待</w:t>
      </w:r>
      <w:r>
        <w:rPr>
          <w:rFonts w:ascii="仿宋_GB2312" w:hAnsi="Cambria" w:eastAsia="仿宋_GB2312" w:cs="仿宋_GB2312"/>
          <w:sz w:val="32"/>
          <w:szCs w:val="32"/>
          <w:lang w:val="zh-CN"/>
        </w:rPr>
        <w:t>0</w:t>
      </w:r>
      <w:r>
        <w:rPr>
          <w:rFonts w:hint="eastAsia" w:ascii="仿宋_GB2312" w:hAnsi="Cambria" w:eastAsia="仿宋_GB2312" w:cs="仿宋_GB2312"/>
          <w:sz w:val="32"/>
          <w:szCs w:val="32"/>
          <w:lang w:val="zh-CN"/>
        </w:rPr>
        <w:t>批次，</w:t>
      </w:r>
      <w:r>
        <w:rPr>
          <w:rFonts w:ascii="仿宋_GB2312" w:hAnsi="Cambria" w:eastAsia="仿宋_GB2312" w:cs="仿宋_GB2312"/>
          <w:sz w:val="32"/>
          <w:szCs w:val="32"/>
          <w:lang w:val="zh-CN"/>
        </w:rPr>
        <w:t>0</w:t>
      </w:r>
      <w:r>
        <w:rPr>
          <w:rFonts w:hint="eastAsia" w:ascii="仿宋_GB2312" w:hAnsi="Cambria" w:eastAsia="仿宋_GB2312" w:cs="仿宋_GB2312"/>
          <w:sz w:val="32"/>
          <w:szCs w:val="32"/>
          <w:lang w:val="zh-CN"/>
        </w:rPr>
        <w:t>人，共计支出</w:t>
      </w:r>
      <w:r>
        <w:rPr>
          <w:rFonts w:ascii="仿宋_GB2312" w:hAnsi="Cambria" w:eastAsia="仿宋_GB2312" w:cs="仿宋_GB2312"/>
          <w:sz w:val="32"/>
          <w:szCs w:val="32"/>
          <w:lang w:val="zh-CN"/>
        </w:rPr>
        <w:t>0</w:t>
      </w:r>
      <w:r>
        <w:rPr>
          <w:rFonts w:hint="eastAsia" w:ascii="仿宋_GB2312" w:hAnsi="Cambria" w:eastAsia="仿宋_GB2312" w:cs="仿宋_GB2312"/>
          <w:sz w:val="32"/>
          <w:szCs w:val="32"/>
          <w:lang w:val="zh-CN"/>
        </w:rPr>
        <w:t>万元。</w:t>
      </w:r>
    </w:p>
    <w:p w14:paraId="33EE3EB3">
      <w:pPr>
        <w:keepNext/>
        <w:keepLines/>
        <w:autoSpaceDE w:val="0"/>
        <w:autoSpaceDN w:val="0"/>
        <w:adjustRightInd w:val="0"/>
        <w:spacing w:line="576" w:lineRule="exact"/>
        <w:ind w:firstLine="640"/>
        <w:rPr>
          <w:rFonts w:ascii="黑体" w:hAnsi="Cambria" w:eastAsia="黑体" w:cs="黑体"/>
          <w:b/>
          <w:bCs/>
          <w:sz w:val="32"/>
          <w:szCs w:val="32"/>
          <w:lang w:val="zh-CN"/>
        </w:rPr>
      </w:pPr>
      <w:r>
        <w:rPr>
          <w:rFonts w:hint="eastAsia" w:ascii="黑体" w:hAnsi="Cambria" w:eastAsia="黑体" w:cs="黑体"/>
          <w:sz w:val="32"/>
          <w:szCs w:val="32"/>
          <w:lang w:val="zh-CN"/>
        </w:rPr>
        <w:t>八、政府性基金预算支出决算情况说明</w:t>
      </w:r>
    </w:p>
    <w:p w14:paraId="63FBC2A5">
      <w:pPr>
        <w:autoSpaceDE w:val="0"/>
        <w:autoSpaceDN w:val="0"/>
        <w:adjustRightInd w:val="0"/>
        <w:spacing w:line="576" w:lineRule="exact"/>
        <w:ind w:firstLine="640"/>
        <w:rPr>
          <w:rFonts w:ascii="仿宋_GB2312" w:hAnsi="Cambria" w:eastAsia="仿宋_GB2312" w:cs="仿宋_GB2312"/>
          <w:sz w:val="32"/>
          <w:szCs w:val="32"/>
          <w:lang w:val="zh-CN"/>
        </w:rPr>
      </w:pPr>
      <w:r>
        <w:rPr>
          <w:rFonts w:ascii="仿宋_GB2312" w:hAnsi="Cambria" w:eastAsia="仿宋_GB2312" w:cs="仿宋_GB2312"/>
          <w:sz w:val="32"/>
          <w:szCs w:val="32"/>
          <w:lang w:val="zh-CN"/>
        </w:rPr>
        <w:t>202</w:t>
      </w:r>
      <w:r>
        <w:rPr>
          <w:rFonts w:hint="eastAsia" w:ascii="仿宋_GB2312" w:hAnsi="Cambria" w:eastAsia="仿宋_GB2312" w:cs="仿宋_GB2312"/>
          <w:sz w:val="32"/>
          <w:szCs w:val="32"/>
          <w:lang w:val="zh-CN"/>
        </w:rPr>
        <w:t>5年政府性基金预算拨款支出2257.74万元。</w:t>
      </w:r>
    </w:p>
    <w:p w14:paraId="33C061FF">
      <w:pPr>
        <w:keepNext/>
        <w:keepLines/>
        <w:autoSpaceDE w:val="0"/>
        <w:autoSpaceDN w:val="0"/>
        <w:adjustRightInd w:val="0"/>
        <w:spacing w:line="576" w:lineRule="exact"/>
        <w:ind w:firstLine="640"/>
        <w:rPr>
          <w:rFonts w:ascii="黑体" w:hAnsi="Cambria" w:eastAsia="黑体" w:cs="黑体"/>
          <w:sz w:val="32"/>
          <w:szCs w:val="32"/>
          <w:lang w:val="zh-CN"/>
        </w:rPr>
      </w:pPr>
      <w:r>
        <w:rPr>
          <w:rFonts w:hint="eastAsia" w:ascii="黑体" w:hAnsi="Cambria" w:eastAsia="黑体" w:cs="黑体"/>
          <w:sz w:val="32"/>
          <w:szCs w:val="32"/>
          <w:lang w:val="zh-CN"/>
        </w:rPr>
        <w:t>九、国有资本经营预算支出决算情况说明</w:t>
      </w:r>
    </w:p>
    <w:p w14:paraId="1FF5F0D5">
      <w:pPr>
        <w:autoSpaceDE w:val="0"/>
        <w:autoSpaceDN w:val="0"/>
        <w:adjustRightInd w:val="0"/>
        <w:spacing w:line="576" w:lineRule="exact"/>
        <w:ind w:firstLine="640"/>
        <w:rPr>
          <w:rFonts w:ascii="仿宋_GB2312" w:hAnsi="Cambria" w:eastAsia="仿宋_GB2312" w:cs="仿宋_GB2312"/>
          <w:sz w:val="32"/>
          <w:szCs w:val="32"/>
          <w:lang w:val="zh-CN"/>
        </w:rPr>
      </w:pPr>
      <w:r>
        <w:rPr>
          <w:rFonts w:ascii="仿宋_GB2312" w:hAnsi="Cambria" w:eastAsia="仿宋_GB2312" w:cs="仿宋_GB2312"/>
          <w:sz w:val="32"/>
          <w:szCs w:val="32"/>
          <w:lang w:val="zh-CN"/>
        </w:rPr>
        <w:t>202</w:t>
      </w:r>
      <w:r>
        <w:rPr>
          <w:rFonts w:hint="eastAsia" w:ascii="仿宋_GB2312" w:hAnsi="Cambria" w:eastAsia="仿宋_GB2312" w:cs="仿宋_GB2312"/>
          <w:sz w:val="32"/>
          <w:szCs w:val="32"/>
          <w:lang w:val="zh-CN"/>
        </w:rPr>
        <w:t>5年国有资本经营预算拨款支出</w:t>
      </w:r>
      <w:r>
        <w:rPr>
          <w:rFonts w:ascii="仿宋_GB2312" w:hAnsi="Cambria" w:eastAsia="仿宋_GB2312" w:cs="仿宋_GB2312"/>
          <w:sz w:val="32"/>
          <w:szCs w:val="32"/>
          <w:lang w:val="zh-CN"/>
        </w:rPr>
        <w:t>0</w:t>
      </w:r>
      <w:r>
        <w:rPr>
          <w:rFonts w:hint="eastAsia" w:ascii="仿宋_GB2312" w:hAnsi="Cambria" w:eastAsia="仿宋_GB2312" w:cs="仿宋_GB2312"/>
          <w:sz w:val="32"/>
          <w:szCs w:val="32"/>
          <w:lang w:val="zh-CN"/>
        </w:rPr>
        <w:t>万元。</w:t>
      </w:r>
    </w:p>
    <w:p w14:paraId="125389ED">
      <w:pPr>
        <w:keepNext/>
        <w:keepLines/>
        <w:autoSpaceDE w:val="0"/>
        <w:autoSpaceDN w:val="0"/>
        <w:adjustRightInd w:val="0"/>
        <w:spacing w:line="576" w:lineRule="exact"/>
        <w:ind w:firstLine="640"/>
        <w:rPr>
          <w:rFonts w:ascii="黑体" w:hAnsi="Cambria" w:eastAsia="黑体" w:cs="黑体"/>
          <w:b/>
          <w:bCs/>
          <w:sz w:val="32"/>
          <w:szCs w:val="32"/>
          <w:lang w:val="zh-CN"/>
        </w:rPr>
      </w:pPr>
      <w:r>
        <w:rPr>
          <w:rFonts w:hint="eastAsia" w:ascii="黑体" w:hAnsi="Cambria" w:eastAsia="黑体" w:cs="黑体"/>
          <w:sz w:val="32"/>
          <w:szCs w:val="32"/>
          <w:lang w:val="zh-CN"/>
        </w:rPr>
        <w:t>十</w:t>
      </w:r>
      <w:r>
        <w:rPr>
          <w:rFonts w:hint="eastAsia" w:ascii="黑体" w:hAnsi="Cambria" w:eastAsia="黑体" w:cs="黑体"/>
          <w:b/>
          <w:bCs/>
          <w:sz w:val="32"/>
          <w:szCs w:val="32"/>
          <w:lang w:val="zh-CN"/>
        </w:rPr>
        <w:t>、</w:t>
      </w:r>
      <w:r>
        <w:rPr>
          <w:rFonts w:hint="eastAsia" w:ascii="黑体" w:hAnsi="Cambria" w:eastAsia="黑体" w:cs="黑体"/>
          <w:sz w:val="32"/>
          <w:szCs w:val="32"/>
          <w:lang w:val="zh-CN"/>
        </w:rPr>
        <w:t>其他重要事项的情况说明</w:t>
      </w:r>
    </w:p>
    <w:p w14:paraId="45CC231B">
      <w:pPr>
        <w:keepNext/>
        <w:keepLines/>
        <w:autoSpaceDE w:val="0"/>
        <w:autoSpaceDN w:val="0"/>
        <w:adjustRightInd w:val="0"/>
        <w:spacing w:line="576" w:lineRule="exact"/>
        <w:ind w:firstLine="643"/>
        <w:rPr>
          <w:rFonts w:ascii="仿宋_GB2312" w:hAnsi="Cambria" w:eastAsia="仿宋_GB2312" w:cs="仿宋_GB2312"/>
          <w:sz w:val="32"/>
          <w:szCs w:val="32"/>
          <w:lang w:val="zh-CN"/>
        </w:rPr>
      </w:pPr>
      <w:r>
        <w:rPr>
          <w:rFonts w:hint="eastAsia" w:ascii="仿宋_GB2312" w:hAnsi="Cambria" w:eastAsia="仿宋_GB2312" w:cs="仿宋_GB2312"/>
          <w:b/>
          <w:bCs/>
          <w:sz w:val="32"/>
          <w:szCs w:val="32"/>
          <w:lang w:val="zh-CN"/>
        </w:rPr>
        <w:t>（一）机关运行经费支出情况</w:t>
      </w:r>
    </w:p>
    <w:p w14:paraId="5BC30500">
      <w:pPr>
        <w:autoSpaceDE w:val="0"/>
        <w:autoSpaceDN w:val="0"/>
        <w:adjustRightInd w:val="0"/>
        <w:spacing w:line="576" w:lineRule="exact"/>
        <w:ind w:firstLine="640"/>
        <w:rPr>
          <w:rFonts w:ascii="仿宋_GB2312" w:hAnsi="Cambria" w:eastAsia="仿宋_GB2312" w:cs="仿宋_GB2312"/>
          <w:sz w:val="32"/>
          <w:szCs w:val="32"/>
          <w:lang w:val="zh-CN"/>
        </w:rPr>
      </w:pPr>
      <w:r>
        <w:rPr>
          <w:rFonts w:ascii="仿宋_GB2312" w:hAnsi="Cambria" w:eastAsia="仿宋_GB2312" w:cs="仿宋_GB2312"/>
          <w:sz w:val="32"/>
          <w:szCs w:val="32"/>
          <w:lang w:val="zh-CN"/>
        </w:rPr>
        <w:t>202</w:t>
      </w:r>
      <w:r>
        <w:rPr>
          <w:rFonts w:hint="eastAsia" w:ascii="仿宋_GB2312" w:hAnsi="Cambria" w:eastAsia="仿宋_GB2312" w:cs="仿宋_GB2312"/>
          <w:sz w:val="32"/>
          <w:szCs w:val="32"/>
          <w:lang w:val="zh-CN"/>
        </w:rPr>
        <w:t>5年，攀枝花市仁和区林业局机关运行经费支出81.52万元，比</w:t>
      </w:r>
      <w:r>
        <w:rPr>
          <w:rFonts w:ascii="仿宋_GB2312" w:hAnsi="Cambria" w:eastAsia="仿宋_GB2312" w:cs="仿宋_GB2312"/>
          <w:sz w:val="32"/>
          <w:szCs w:val="32"/>
          <w:lang w:val="zh-CN"/>
        </w:rPr>
        <w:t>202</w:t>
      </w:r>
      <w:r>
        <w:rPr>
          <w:rFonts w:hint="eastAsia" w:ascii="仿宋_GB2312" w:hAnsi="Cambria" w:eastAsia="仿宋_GB2312" w:cs="仿宋_GB2312"/>
          <w:sz w:val="32"/>
          <w:szCs w:val="32"/>
          <w:lang w:val="zh-CN"/>
        </w:rPr>
        <w:t>4年减少1.26万元，减少1.52</w:t>
      </w:r>
      <w:r>
        <w:rPr>
          <w:rFonts w:ascii="仿宋_GB2312" w:hAnsi="Cambria" w:eastAsia="仿宋_GB2312" w:cs="仿宋_GB2312"/>
          <w:sz w:val="32"/>
          <w:szCs w:val="32"/>
          <w:lang w:val="zh-CN"/>
        </w:rPr>
        <w:t>%</w:t>
      </w:r>
      <w:r>
        <w:rPr>
          <w:rFonts w:hint="eastAsia" w:ascii="仿宋_GB2312" w:hAnsi="Cambria" w:eastAsia="仿宋_GB2312" w:cs="仿宋_GB2312"/>
          <w:sz w:val="32"/>
          <w:szCs w:val="32"/>
          <w:lang w:val="zh-CN"/>
        </w:rPr>
        <w:t>。主要原因是减少不必要的公务活动支出。</w:t>
      </w:r>
    </w:p>
    <w:p w14:paraId="676903C2">
      <w:pPr>
        <w:keepNext/>
        <w:keepLines/>
        <w:autoSpaceDE w:val="0"/>
        <w:autoSpaceDN w:val="0"/>
        <w:adjustRightInd w:val="0"/>
        <w:spacing w:line="576" w:lineRule="exact"/>
        <w:ind w:firstLine="643"/>
        <w:rPr>
          <w:rFonts w:ascii="仿宋_GB2312" w:hAnsi="Cambria" w:eastAsia="仿宋_GB2312" w:cs="仿宋_GB2312"/>
          <w:b/>
          <w:bCs/>
          <w:sz w:val="32"/>
          <w:szCs w:val="32"/>
          <w:lang w:val="zh-CN"/>
        </w:rPr>
      </w:pPr>
      <w:r>
        <w:rPr>
          <w:rFonts w:hint="eastAsia" w:ascii="仿宋_GB2312" w:hAnsi="Cambria" w:eastAsia="仿宋_GB2312" w:cs="仿宋_GB2312"/>
          <w:b/>
          <w:bCs/>
          <w:sz w:val="32"/>
          <w:szCs w:val="32"/>
          <w:lang w:val="zh-CN"/>
        </w:rPr>
        <w:t>（二）政府采购支出情况</w:t>
      </w:r>
    </w:p>
    <w:p w14:paraId="124A38D3">
      <w:pPr>
        <w:autoSpaceDE w:val="0"/>
        <w:autoSpaceDN w:val="0"/>
        <w:adjustRightInd w:val="0"/>
        <w:spacing w:line="576" w:lineRule="exact"/>
        <w:ind w:firstLine="640"/>
        <w:rPr>
          <w:rFonts w:ascii="仿宋_GB2312" w:hAnsi="Cambria" w:eastAsia="仿宋_GB2312" w:cs="仿宋_GB2312"/>
          <w:sz w:val="32"/>
          <w:szCs w:val="32"/>
          <w:lang w:val="zh-CN"/>
        </w:rPr>
      </w:pPr>
      <w:r>
        <w:rPr>
          <w:rFonts w:ascii="仿宋_GB2312" w:hAnsi="Cambria" w:eastAsia="仿宋_GB2312" w:cs="仿宋_GB2312"/>
          <w:sz w:val="32"/>
          <w:szCs w:val="32"/>
          <w:lang w:val="zh-CN"/>
        </w:rPr>
        <w:t>202</w:t>
      </w:r>
      <w:r>
        <w:rPr>
          <w:rFonts w:hint="eastAsia" w:ascii="仿宋_GB2312" w:hAnsi="Cambria" w:eastAsia="仿宋_GB2312" w:cs="仿宋_GB2312"/>
          <w:sz w:val="32"/>
          <w:szCs w:val="32"/>
          <w:lang w:val="zh-CN"/>
        </w:rPr>
        <w:t>5年，攀枝花市仁和区林业局政府采购支出总额843.26万元，其中：政府采购货物支出266.87万元、政府采购工程支出</w:t>
      </w:r>
      <w:r>
        <w:rPr>
          <w:rFonts w:ascii="仿宋_GB2312" w:hAnsi="Cambria" w:eastAsia="仿宋_GB2312" w:cs="仿宋_GB2312"/>
          <w:sz w:val="32"/>
          <w:szCs w:val="32"/>
          <w:lang w:val="zh-CN"/>
        </w:rPr>
        <w:t>0</w:t>
      </w:r>
      <w:r>
        <w:rPr>
          <w:rFonts w:hint="eastAsia" w:ascii="仿宋_GB2312" w:hAnsi="Cambria" w:eastAsia="仿宋_GB2312" w:cs="仿宋_GB2312"/>
          <w:sz w:val="32"/>
          <w:szCs w:val="32"/>
          <w:lang w:val="zh-CN"/>
        </w:rPr>
        <w:t>万元、政府采购服务支出576.39万元。主要用于防火物资的采购</w:t>
      </w:r>
      <w:r>
        <w:rPr>
          <w:rFonts w:hint="eastAsia" w:ascii="仿宋_GB2312" w:hAnsi="Cambria" w:eastAsia="仿宋_GB2312" w:cs="仿宋_GB2312"/>
          <w:sz w:val="32"/>
          <w:szCs w:val="32"/>
          <w:highlight w:val="white"/>
          <w:lang w:val="zh-CN"/>
        </w:rPr>
        <w:t>。</w:t>
      </w:r>
      <w:r>
        <w:rPr>
          <w:rFonts w:hint="eastAsia" w:ascii="仿宋_GB2312" w:hAnsi="Cambria" w:eastAsia="仿宋_GB2312" w:cs="仿宋_GB2312"/>
          <w:sz w:val="32"/>
          <w:szCs w:val="32"/>
          <w:lang w:val="zh-CN"/>
        </w:rPr>
        <w:t>授予中小企业合同金额271.99万元，占政府采购支出总额的32.25</w:t>
      </w:r>
      <w:r>
        <w:rPr>
          <w:rFonts w:ascii="仿宋_GB2312" w:hAnsi="Cambria" w:eastAsia="仿宋_GB2312" w:cs="仿宋_GB2312"/>
          <w:sz w:val="32"/>
          <w:szCs w:val="32"/>
          <w:lang w:val="zh-CN"/>
        </w:rPr>
        <w:t>%</w:t>
      </w:r>
      <w:r>
        <w:rPr>
          <w:rFonts w:hint="eastAsia" w:ascii="仿宋_GB2312" w:hAnsi="Cambria" w:eastAsia="仿宋_GB2312" w:cs="仿宋_GB2312"/>
          <w:sz w:val="32"/>
          <w:szCs w:val="32"/>
          <w:lang w:val="zh-CN"/>
        </w:rPr>
        <w:t>，其中：授予小微企业合同金额271.99万元，</w:t>
      </w:r>
      <w:r>
        <w:rPr>
          <w:rFonts w:hint="eastAsia" w:ascii="仿宋_GB2312" w:hAnsi="Cambria" w:eastAsia="仿宋_GB2312" w:cs="仿宋_GB2312"/>
          <w:sz w:val="32"/>
          <w:szCs w:val="32"/>
        </w:rPr>
        <w:t>占政府采购支出总额的</w:t>
      </w:r>
      <w:r>
        <w:rPr>
          <w:rFonts w:hint="eastAsia" w:ascii="仿宋_GB2312" w:hAnsi="Cambria" w:eastAsia="仿宋_GB2312" w:cs="仿宋_GB2312"/>
          <w:sz w:val="32"/>
          <w:szCs w:val="32"/>
          <w:lang w:val="zh-CN"/>
        </w:rPr>
        <w:t>32.25</w:t>
      </w:r>
      <w:r>
        <w:rPr>
          <w:rFonts w:ascii="仿宋_GB2312" w:hAnsi="Cambria" w:eastAsia="仿宋_GB2312" w:cs="仿宋_GB2312"/>
          <w:sz w:val="32"/>
          <w:szCs w:val="32"/>
          <w:lang w:val="zh-CN"/>
        </w:rPr>
        <w:t>%</w:t>
      </w:r>
      <w:r>
        <w:rPr>
          <w:rFonts w:hint="eastAsia" w:ascii="仿宋_GB2312" w:hAnsi="Cambria" w:eastAsia="仿宋_GB2312" w:cs="仿宋_GB2312"/>
          <w:sz w:val="32"/>
          <w:szCs w:val="32"/>
          <w:lang w:val="zh-CN"/>
        </w:rPr>
        <w:t>。</w:t>
      </w:r>
    </w:p>
    <w:p w14:paraId="2CFE21A4">
      <w:pPr>
        <w:autoSpaceDE w:val="0"/>
        <w:autoSpaceDN w:val="0"/>
        <w:adjustRightInd w:val="0"/>
        <w:spacing w:line="600" w:lineRule="exact"/>
        <w:ind w:firstLine="643"/>
        <w:rPr>
          <w:rFonts w:ascii="仿宋" w:hAnsi="Cambria" w:eastAsia="仿宋" w:cs="仿宋"/>
          <w:b/>
          <w:bCs/>
          <w:sz w:val="32"/>
          <w:szCs w:val="32"/>
        </w:rPr>
      </w:pPr>
      <w:r>
        <w:rPr>
          <w:rFonts w:hint="eastAsia" w:ascii="仿宋" w:hAnsi="Cambria" w:eastAsia="仿宋" w:cs="仿宋"/>
          <w:b/>
          <w:bCs/>
          <w:sz w:val="32"/>
          <w:szCs w:val="32"/>
        </w:rPr>
        <w:t>（注：数据来源于财决附</w:t>
      </w:r>
      <w:r>
        <w:rPr>
          <w:rFonts w:ascii="仿宋" w:hAnsi="Cambria" w:eastAsia="仿宋" w:cs="仿宋"/>
          <w:b/>
          <w:bCs/>
          <w:sz w:val="32"/>
          <w:szCs w:val="32"/>
        </w:rPr>
        <w:t>03</w:t>
      </w:r>
      <w:r>
        <w:rPr>
          <w:rFonts w:hint="eastAsia" w:ascii="仿宋" w:hAnsi="Cambria" w:eastAsia="仿宋" w:cs="仿宋"/>
          <w:b/>
          <w:bCs/>
          <w:sz w:val="32"/>
          <w:szCs w:val="32"/>
        </w:rPr>
        <w:t>表）</w:t>
      </w:r>
    </w:p>
    <w:p w14:paraId="292FC21F">
      <w:pPr>
        <w:keepNext/>
        <w:keepLines/>
        <w:autoSpaceDE w:val="0"/>
        <w:autoSpaceDN w:val="0"/>
        <w:adjustRightInd w:val="0"/>
        <w:spacing w:line="576" w:lineRule="exact"/>
        <w:ind w:firstLine="643"/>
        <w:rPr>
          <w:rFonts w:ascii="仿宋_GB2312" w:hAnsi="Cambria" w:eastAsia="仿宋_GB2312" w:cs="仿宋_GB2312"/>
          <w:b/>
          <w:bCs/>
          <w:sz w:val="32"/>
          <w:szCs w:val="32"/>
          <w:lang w:val="zh-CN"/>
        </w:rPr>
      </w:pPr>
      <w:r>
        <w:rPr>
          <w:rFonts w:hint="eastAsia" w:ascii="仿宋_GB2312" w:hAnsi="Cambria" w:eastAsia="仿宋_GB2312" w:cs="仿宋_GB2312"/>
          <w:b/>
          <w:bCs/>
          <w:sz w:val="32"/>
          <w:szCs w:val="32"/>
          <w:lang w:val="zh-CN"/>
        </w:rPr>
        <w:t>（三）国有资产占有使用情况</w:t>
      </w:r>
    </w:p>
    <w:p w14:paraId="7C9CAB45">
      <w:pPr>
        <w:autoSpaceDE w:val="0"/>
        <w:autoSpaceDN w:val="0"/>
        <w:adjustRightInd w:val="0"/>
        <w:spacing w:line="576" w:lineRule="exact"/>
        <w:ind w:firstLine="640"/>
        <w:jc w:val="left"/>
        <w:rPr>
          <w:rFonts w:ascii="仿宋_GB2312" w:hAnsi="Cambria" w:eastAsia="仿宋_GB2312" w:cs="仿宋_GB2312"/>
          <w:sz w:val="32"/>
          <w:szCs w:val="32"/>
          <w:lang w:val="zh-CN"/>
        </w:rPr>
      </w:pPr>
      <w:r>
        <w:rPr>
          <w:rFonts w:hint="eastAsia" w:ascii="仿宋_GB2312" w:hAnsi="Cambria" w:eastAsia="仿宋_GB2312" w:cs="仿宋_GB2312"/>
          <w:sz w:val="32"/>
          <w:szCs w:val="32"/>
          <w:lang w:val="zh-CN"/>
        </w:rPr>
        <w:t>截至</w:t>
      </w:r>
      <w:r>
        <w:rPr>
          <w:rFonts w:ascii="仿宋_GB2312" w:hAnsi="Cambria" w:eastAsia="仿宋_GB2312" w:cs="仿宋_GB2312"/>
          <w:sz w:val="32"/>
          <w:szCs w:val="32"/>
          <w:lang w:val="zh-CN"/>
        </w:rPr>
        <w:t>202</w:t>
      </w:r>
      <w:r>
        <w:rPr>
          <w:rFonts w:hint="eastAsia" w:ascii="仿宋_GB2312" w:hAnsi="Cambria" w:eastAsia="仿宋_GB2312" w:cs="仿宋_GB2312"/>
          <w:sz w:val="32"/>
          <w:szCs w:val="32"/>
          <w:lang w:val="zh-CN"/>
        </w:rPr>
        <w:t>5年</w:t>
      </w:r>
      <w:r>
        <w:rPr>
          <w:rFonts w:ascii="仿宋_GB2312" w:hAnsi="Cambria" w:eastAsia="仿宋_GB2312" w:cs="仿宋_GB2312"/>
          <w:sz w:val="32"/>
          <w:szCs w:val="32"/>
          <w:lang w:val="zh-CN"/>
        </w:rPr>
        <w:t>12</w:t>
      </w:r>
      <w:r>
        <w:rPr>
          <w:rFonts w:hint="eastAsia" w:ascii="仿宋_GB2312" w:hAnsi="Cambria" w:eastAsia="仿宋_GB2312" w:cs="仿宋_GB2312"/>
          <w:sz w:val="32"/>
          <w:szCs w:val="32"/>
          <w:lang w:val="zh-CN"/>
        </w:rPr>
        <w:t>月</w:t>
      </w:r>
      <w:r>
        <w:rPr>
          <w:rFonts w:ascii="仿宋_GB2312" w:hAnsi="Cambria" w:eastAsia="仿宋_GB2312" w:cs="仿宋_GB2312"/>
          <w:sz w:val="32"/>
          <w:szCs w:val="32"/>
          <w:lang w:val="zh-CN"/>
        </w:rPr>
        <w:t>31</w:t>
      </w:r>
      <w:r>
        <w:rPr>
          <w:rFonts w:hint="eastAsia" w:ascii="仿宋_GB2312" w:hAnsi="Cambria" w:eastAsia="仿宋_GB2312" w:cs="仿宋_GB2312"/>
          <w:sz w:val="32"/>
          <w:szCs w:val="32"/>
          <w:lang w:val="zh-CN"/>
        </w:rPr>
        <w:t>日，攀枝花市仁和区林业局共有车辆</w:t>
      </w:r>
      <w:r>
        <w:rPr>
          <w:rFonts w:ascii="仿宋_GB2312" w:hAnsi="Cambria" w:eastAsia="仿宋_GB2312" w:cs="仿宋_GB2312"/>
          <w:sz w:val="32"/>
          <w:szCs w:val="32"/>
          <w:lang w:val="zh-CN"/>
        </w:rPr>
        <w:t>1</w:t>
      </w:r>
      <w:r>
        <w:rPr>
          <w:rFonts w:hint="eastAsia" w:ascii="仿宋_GB2312" w:hAnsi="Cambria" w:eastAsia="仿宋_GB2312" w:cs="仿宋_GB2312"/>
          <w:sz w:val="32"/>
          <w:szCs w:val="32"/>
          <w:lang w:val="zh-CN"/>
        </w:rPr>
        <w:t>6辆，其中：副部（省）级及以上领导用车</w:t>
      </w:r>
      <w:r>
        <w:rPr>
          <w:rFonts w:ascii="仿宋_GB2312" w:hAnsi="Cambria" w:eastAsia="仿宋_GB2312" w:cs="仿宋_GB2312"/>
          <w:sz w:val="32"/>
          <w:szCs w:val="32"/>
          <w:lang w:val="zh-CN"/>
        </w:rPr>
        <w:t>0</w:t>
      </w:r>
      <w:r>
        <w:rPr>
          <w:rFonts w:hint="eastAsia" w:ascii="仿宋_GB2312" w:hAnsi="Cambria" w:eastAsia="仿宋_GB2312" w:cs="仿宋_GB2312"/>
          <w:sz w:val="32"/>
          <w:szCs w:val="32"/>
          <w:lang w:val="zh-CN"/>
        </w:rPr>
        <w:t>辆、主要领导干部用车</w:t>
      </w:r>
      <w:r>
        <w:rPr>
          <w:rFonts w:ascii="仿宋_GB2312" w:hAnsi="Cambria" w:eastAsia="仿宋_GB2312" w:cs="仿宋_GB2312"/>
          <w:sz w:val="32"/>
          <w:szCs w:val="32"/>
          <w:lang w:val="zh-CN"/>
        </w:rPr>
        <w:t>0</w:t>
      </w:r>
      <w:r>
        <w:rPr>
          <w:rFonts w:hint="eastAsia" w:ascii="仿宋_GB2312" w:hAnsi="Cambria" w:eastAsia="仿宋_GB2312" w:cs="仿宋_GB2312"/>
          <w:sz w:val="32"/>
          <w:szCs w:val="32"/>
          <w:lang w:val="zh-CN"/>
        </w:rPr>
        <w:t>辆、机要通信用车</w:t>
      </w:r>
      <w:r>
        <w:rPr>
          <w:rFonts w:ascii="仿宋_GB2312" w:hAnsi="Cambria" w:eastAsia="仿宋_GB2312" w:cs="仿宋_GB2312"/>
          <w:sz w:val="32"/>
          <w:szCs w:val="32"/>
          <w:lang w:val="zh-CN"/>
        </w:rPr>
        <w:t>0</w:t>
      </w:r>
      <w:r>
        <w:rPr>
          <w:rFonts w:hint="eastAsia" w:ascii="仿宋_GB2312" w:hAnsi="Cambria" w:eastAsia="仿宋_GB2312" w:cs="仿宋_GB2312"/>
          <w:sz w:val="32"/>
          <w:szCs w:val="32"/>
          <w:lang w:val="zh-CN"/>
        </w:rPr>
        <w:t>辆、应急保障用车</w:t>
      </w:r>
      <w:r>
        <w:rPr>
          <w:rFonts w:ascii="仿宋_GB2312" w:hAnsi="Cambria" w:eastAsia="仿宋_GB2312" w:cs="仿宋_GB2312"/>
          <w:sz w:val="32"/>
          <w:szCs w:val="32"/>
          <w:lang w:val="zh-CN"/>
        </w:rPr>
        <w:t>0</w:t>
      </w:r>
      <w:r>
        <w:rPr>
          <w:rFonts w:hint="eastAsia" w:ascii="仿宋_GB2312" w:hAnsi="Cambria" w:eastAsia="仿宋_GB2312" w:cs="仿宋_GB2312"/>
          <w:sz w:val="32"/>
          <w:szCs w:val="32"/>
          <w:lang w:val="zh-CN"/>
        </w:rPr>
        <w:t>辆、执法执勤用车</w:t>
      </w:r>
      <w:r>
        <w:rPr>
          <w:rFonts w:ascii="仿宋_GB2312" w:hAnsi="Cambria" w:eastAsia="仿宋_GB2312" w:cs="仿宋_GB2312"/>
          <w:sz w:val="32"/>
          <w:szCs w:val="32"/>
          <w:lang w:val="zh-CN"/>
        </w:rPr>
        <w:t>1</w:t>
      </w:r>
      <w:r>
        <w:rPr>
          <w:rFonts w:hint="eastAsia" w:ascii="仿宋_GB2312" w:hAnsi="Cambria" w:eastAsia="仿宋_GB2312" w:cs="仿宋_GB2312"/>
          <w:sz w:val="32"/>
          <w:szCs w:val="32"/>
          <w:lang w:val="zh-CN"/>
        </w:rPr>
        <w:t>辆、特种专业技术用车</w:t>
      </w:r>
      <w:r>
        <w:rPr>
          <w:rFonts w:ascii="仿宋_GB2312" w:hAnsi="Cambria" w:eastAsia="仿宋_GB2312" w:cs="仿宋_GB2312"/>
          <w:sz w:val="32"/>
          <w:szCs w:val="32"/>
          <w:lang w:val="zh-CN"/>
        </w:rPr>
        <w:t>1</w:t>
      </w:r>
      <w:r>
        <w:rPr>
          <w:rFonts w:hint="eastAsia" w:ascii="仿宋_GB2312" w:hAnsi="Cambria" w:eastAsia="仿宋_GB2312" w:cs="仿宋_GB2312"/>
          <w:sz w:val="32"/>
          <w:szCs w:val="32"/>
          <w:lang w:val="zh-CN"/>
        </w:rPr>
        <w:t>5辆、离退休干部用车</w:t>
      </w:r>
      <w:r>
        <w:rPr>
          <w:rFonts w:ascii="仿宋_GB2312" w:hAnsi="Cambria" w:eastAsia="仿宋_GB2312" w:cs="仿宋_GB2312"/>
          <w:sz w:val="32"/>
          <w:szCs w:val="32"/>
          <w:lang w:val="zh-CN"/>
        </w:rPr>
        <w:t>0</w:t>
      </w:r>
      <w:r>
        <w:rPr>
          <w:rFonts w:hint="eastAsia" w:ascii="仿宋_GB2312" w:hAnsi="Cambria" w:eastAsia="仿宋_GB2312" w:cs="仿宋_GB2312"/>
          <w:sz w:val="32"/>
          <w:szCs w:val="32"/>
          <w:lang w:val="zh-CN"/>
        </w:rPr>
        <w:t>辆、其他用车</w:t>
      </w:r>
      <w:r>
        <w:rPr>
          <w:rFonts w:ascii="仿宋_GB2312" w:hAnsi="Cambria" w:eastAsia="仿宋_GB2312" w:cs="仿宋_GB2312"/>
          <w:sz w:val="32"/>
          <w:szCs w:val="32"/>
          <w:lang w:val="zh-CN"/>
        </w:rPr>
        <w:t>0</w:t>
      </w:r>
      <w:r>
        <w:rPr>
          <w:rFonts w:hint="eastAsia" w:ascii="仿宋_GB2312" w:hAnsi="Cambria" w:eastAsia="仿宋_GB2312" w:cs="仿宋_GB2312"/>
          <w:sz w:val="32"/>
          <w:szCs w:val="32"/>
          <w:lang w:val="zh-CN"/>
        </w:rPr>
        <w:t>辆。单价</w:t>
      </w:r>
      <w:r>
        <w:rPr>
          <w:rFonts w:ascii="仿宋_GB2312" w:hAnsi="Cambria" w:eastAsia="仿宋_GB2312" w:cs="仿宋_GB2312"/>
          <w:sz w:val="32"/>
          <w:szCs w:val="32"/>
          <w:lang w:val="zh-CN"/>
        </w:rPr>
        <w:t>100</w:t>
      </w:r>
      <w:r>
        <w:rPr>
          <w:rFonts w:hint="eastAsia" w:ascii="仿宋_GB2312" w:hAnsi="Cambria" w:eastAsia="仿宋_GB2312" w:cs="仿宋_GB2312"/>
          <w:sz w:val="32"/>
          <w:szCs w:val="32"/>
          <w:lang w:val="zh-CN"/>
        </w:rPr>
        <w:t>万元（含）以上设备</w:t>
      </w:r>
      <w:r>
        <w:rPr>
          <w:rFonts w:ascii="仿宋_GB2312" w:hAnsi="Cambria" w:eastAsia="仿宋_GB2312" w:cs="仿宋_GB2312"/>
          <w:sz w:val="32"/>
          <w:szCs w:val="32"/>
          <w:lang w:val="zh-CN"/>
        </w:rPr>
        <w:t>0</w:t>
      </w:r>
      <w:r>
        <w:rPr>
          <w:rFonts w:hint="eastAsia" w:ascii="仿宋_GB2312" w:hAnsi="Cambria" w:eastAsia="仿宋_GB2312" w:cs="仿宋_GB2312"/>
          <w:sz w:val="32"/>
          <w:szCs w:val="32"/>
          <w:lang w:val="zh-CN"/>
        </w:rPr>
        <w:t>台（套</w:t>
      </w:r>
      <w:r>
        <w:rPr>
          <w:rFonts w:ascii="仿宋_GB2312" w:hAnsi="Cambria" w:eastAsia="仿宋_GB2312" w:cs="仿宋_GB2312"/>
          <w:sz w:val="32"/>
          <w:szCs w:val="32"/>
          <w:lang w:val="zh-CN"/>
        </w:rPr>
        <w:t>)</w:t>
      </w:r>
      <w:r>
        <w:rPr>
          <w:rFonts w:hint="eastAsia" w:ascii="仿宋_GB2312" w:hAnsi="Cambria" w:eastAsia="仿宋_GB2312" w:cs="仿宋_GB2312"/>
          <w:sz w:val="32"/>
          <w:szCs w:val="32"/>
          <w:lang w:val="zh-CN"/>
        </w:rPr>
        <w:t>。</w:t>
      </w:r>
    </w:p>
    <w:p w14:paraId="0893825A">
      <w:pPr>
        <w:keepNext/>
        <w:keepLines/>
        <w:autoSpaceDE w:val="0"/>
        <w:autoSpaceDN w:val="0"/>
        <w:adjustRightInd w:val="0"/>
        <w:spacing w:line="576" w:lineRule="exact"/>
        <w:ind w:firstLine="643"/>
        <w:rPr>
          <w:rFonts w:ascii="仿宋_GB2312" w:hAnsi="Cambria" w:eastAsia="仿宋_GB2312" w:cs="仿宋_GB2312"/>
          <w:b/>
          <w:bCs/>
          <w:sz w:val="32"/>
          <w:szCs w:val="32"/>
          <w:lang w:val="zh-CN"/>
        </w:rPr>
      </w:pPr>
      <w:r>
        <w:rPr>
          <w:rFonts w:hint="eastAsia" w:ascii="仿宋_GB2312" w:hAnsi="Cambria" w:eastAsia="仿宋_GB2312" w:cs="仿宋_GB2312"/>
          <w:b/>
          <w:bCs/>
          <w:sz w:val="32"/>
          <w:szCs w:val="32"/>
          <w:lang w:val="zh-CN"/>
        </w:rPr>
        <w:t>（四）预算绩效管理情况。</w:t>
      </w:r>
    </w:p>
    <w:p w14:paraId="26A55216">
      <w:pPr>
        <w:autoSpaceDE w:val="0"/>
        <w:autoSpaceDN w:val="0"/>
        <w:adjustRightInd w:val="0"/>
        <w:spacing w:line="576" w:lineRule="exact"/>
        <w:ind w:firstLine="640"/>
        <w:rPr>
          <w:rFonts w:ascii="仿宋_GB2312" w:hAnsi="Cambria" w:eastAsia="仿宋_GB2312" w:cs="仿宋_GB2312"/>
          <w:sz w:val="32"/>
          <w:szCs w:val="32"/>
        </w:rPr>
      </w:pPr>
      <w:r>
        <w:rPr>
          <w:rFonts w:hint="eastAsia" w:ascii="仿宋_GB2312" w:hAnsi="Cambria" w:eastAsia="仿宋_GB2312" w:cs="仿宋_GB2312"/>
          <w:sz w:val="32"/>
          <w:szCs w:val="32"/>
        </w:rPr>
        <w:t>根据预算绩效管理要求，本部门在</w:t>
      </w:r>
      <w:r>
        <w:rPr>
          <w:rFonts w:ascii="仿宋_GB2312" w:hAnsi="Cambria" w:eastAsia="仿宋_GB2312" w:cs="仿宋_GB2312"/>
          <w:sz w:val="32"/>
          <w:szCs w:val="32"/>
        </w:rPr>
        <w:t>202</w:t>
      </w:r>
      <w:r>
        <w:rPr>
          <w:rFonts w:hint="eastAsia" w:ascii="仿宋_GB2312" w:hAnsi="Cambria" w:eastAsia="仿宋_GB2312" w:cs="仿宋_GB2312"/>
          <w:sz w:val="32"/>
          <w:szCs w:val="32"/>
        </w:rPr>
        <w:t>5年度预算编制阶段，组织对2025年森林防灭火专项经费项目开展了预算事前绩效评估，对1个项目编制了绩效目标，预算执行过程中，选取32个项目开展绩效监控。</w:t>
      </w:r>
    </w:p>
    <w:p w14:paraId="2EA3B747">
      <w:pPr>
        <w:autoSpaceDE w:val="0"/>
        <w:autoSpaceDN w:val="0"/>
        <w:adjustRightInd w:val="0"/>
        <w:spacing w:line="576" w:lineRule="exact"/>
        <w:ind w:firstLine="643"/>
        <w:rPr>
          <w:rFonts w:ascii="仿宋_GB2312" w:hAnsi="Cambria" w:eastAsia="仿宋_GB2312" w:cs="仿宋_GB2312"/>
          <w:kern w:val="0"/>
          <w:sz w:val="32"/>
          <w:szCs w:val="32"/>
        </w:rPr>
      </w:pPr>
      <w:r>
        <w:rPr>
          <w:rFonts w:hint="eastAsia" w:ascii="仿宋_GB2312" w:hAnsi="仿宋_GB2312" w:eastAsia="仿宋_GB2312" w:cs="仿宋_GB2312"/>
          <w:sz w:val="32"/>
          <w:szCs w:val="32"/>
        </w:rPr>
        <w:t>组织对2025年度一般公共预算、政府性基金预算、国有资本经营预算、社会保险基金预算以及资本资产、债券资金等全面开展绩效自评，形成仁和区林业局部门整体（含部门预算项目）绩效</w:t>
      </w:r>
      <w:r>
        <w:rPr>
          <w:rFonts w:hint="eastAsia" w:ascii="仿宋_GB2312" w:hAnsi="Cambria" w:eastAsia="仿宋_GB2312" w:cs="仿宋_GB2312"/>
          <w:kern w:val="0"/>
          <w:sz w:val="32"/>
          <w:szCs w:val="32"/>
        </w:rPr>
        <w:t>自评报告、2025年防灭火项目等专项预算项目绩效自评报告，其中，仁和区林业局部门整体绩效自评得分为92分，绩效自评综述：保障了机关日常的服务运行，保障了职工日常工作及生活要求，项目实施按照合理需求，进行科学决策，加强项目过程的管理，严把质量关，严格按计划实施，项目完成情况良好，取得了实际效果。通过加强地方专业扑火队伍装备能力建设，发挥了项目资金较好的生态效益和经济效益，综合自评为优，2025年森林草原防灭火专项预算项目绩效自评得分为100分，绩效自评综述：项目实施提升了各乡镇街道火灾预防能力，增强了基层森林草原防灭火积极性，解决了基层防火经费不足的问题，为火灾防控提供了有力的保障，确保了各乡镇街道2025年防火期未发生人为森林草原火灾，取得了良好的生态效益、经济效益和社会效益。绩效自评报告详见附件。</w:t>
      </w:r>
    </w:p>
    <w:p w14:paraId="5EF3495A">
      <w:pPr>
        <w:autoSpaceDE w:val="0"/>
        <w:autoSpaceDN w:val="0"/>
        <w:adjustRightInd w:val="0"/>
        <w:spacing w:line="576" w:lineRule="exact"/>
        <w:ind w:firstLine="643"/>
        <w:rPr>
          <w:rFonts w:ascii="仿宋_GB2312" w:hAnsi="Cambria" w:eastAsia="仿宋_GB2312" w:cs="仿宋_GB2312"/>
          <w:kern w:val="0"/>
          <w:sz w:val="32"/>
          <w:szCs w:val="32"/>
        </w:rPr>
      </w:pPr>
    </w:p>
    <w:p w14:paraId="18949C8B">
      <w:pPr>
        <w:autoSpaceDE w:val="0"/>
        <w:autoSpaceDN w:val="0"/>
        <w:adjustRightInd w:val="0"/>
        <w:spacing w:line="576" w:lineRule="exact"/>
        <w:ind w:firstLine="643"/>
        <w:rPr>
          <w:rFonts w:ascii="仿宋_GB2312" w:hAnsi="Cambria" w:eastAsia="仿宋_GB2312" w:cs="仿宋_GB2312"/>
          <w:b/>
          <w:bCs/>
          <w:sz w:val="32"/>
          <w:szCs w:val="32"/>
          <w:lang w:val="zh-CN"/>
        </w:rPr>
      </w:pPr>
    </w:p>
    <w:p w14:paraId="3A1E4F16">
      <w:pPr>
        <w:autoSpaceDE w:val="0"/>
        <w:autoSpaceDN w:val="0"/>
        <w:adjustRightInd w:val="0"/>
        <w:spacing w:line="576" w:lineRule="exact"/>
        <w:ind w:firstLine="643"/>
        <w:rPr>
          <w:rFonts w:ascii="仿宋_GB2312" w:hAnsi="Cambria" w:eastAsia="仿宋_GB2312" w:cs="仿宋_GB2312"/>
          <w:b/>
          <w:bCs/>
          <w:sz w:val="32"/>
          <w:szCs w:val="32"/>
          <w:lang w:val="zh-CN"/>
        </w:rPr>
      </w:pPr>
    </w:p>
    <w:p w14:paraId="355B132E">
      <w:pPr>
        <w:autoSpaceDE w:val="0"/>
        <w:autoSpaceDN w:val="0"/>
        <w:adjustRightInd w:val="0"/>
        <w:spacing w:line="576" w:lineRule="exact"/>
        <w:ind w:firstLine="643"/>
        <w:rPr>
          <w:rFonts w:ascii="仿宋_GB2312" w:hAnsi="Cambria" w:eastAsia="仿宋_GB2312" w:cs="仿宋_GB2312"/>
          <w:b/>
          <w:bCs/>
          <w:sz w:val="32"/>
          <w:szCs w:val="32"/>
          <w:lang w:val="zh-CN"/>
        </w:rPr>
      </w:pPr>
    </w:p>
    <w:p w14:paraId="137D37F7">
      <w:pPr>
        <w:autoSpaceDE w:val="0"/>
        <w:autoSpaceDN w:val="0"/>
        <w:adjustRightInd w:val="0"/>
        <w:spacing w:line="576" w:lineRule="exact"/>
        <w:ind w:firstLine="643"/>
        <w:rPr>
          <w:rFonts w:ascii="仿宋_GB2312" w:hAnsi="Cambria" w:eastAsia="仿宋_GB2312" w:cs="仿宋_GB2312"/>
          <w:b/>
          <w:bCs/>
          <w:sz w:val="32"/>
          <w:szCs w:val="32"/>
          <w:lang w:val="zh-CN"/>
        </w:rPr>
      </w:pPr>
    </w:p>
    <w:p w14:paraId="33166A9F">
      <w:pPr>
        <w:autoSpaceDE w:val="0"/>
        <w:autoSpaceDN w:val="0"/>
        <w:adjustRightInd w:val="0"/>
        <w:spacing w:line="576" w:lineRule="exact"/>
        <w:ind w:firstLine="643"/>
        <w:rPr>
          <w:rFonts w:ascii="仿宋_GB2312" w:hAnsi="Cambria" w:eastAsia="仿宋_GB2312" w:cs="仿宋_GB2312"/>
          <w:b/>
          <w:bCs/>
          <w:sz w:val="32"/>
          <w:szCs w:val="32"/>
          <w:lang w:val="zh-CN"/>
        </w:rPr>
      </w:pPr>
    </w:p>
    <w:p w14:paraId="1AB36278">
      <w:pPr>
        <w:autoSpaceDE w:val="0"/>
        <w:autoSpaceDN w:val="0"/>
        <w:adjustRightInd w:val="0"/>
        <w:spacing w:line="576" w:lineRule="exact"/>
        <w:ind w:firstLine="643"/>
        <w:rPr>
          <w:rFonts w:ascii="仿宋_GB2312" w:hAnsi="Cambria" w:eastAsia="仿宋_GB2312" w:cs="仿宋_GB2312"/>
          <w:b/>
          <w:bCs/>
          <w:sz w:val="32"/>
          <w:szCs w:val="32"/>
          <w:lang w:val="zh-CN"/>
        </w:rPr>
      </w:pPr>
    </w:p>
    <w:p w14:paraId="5E2698CE">
      <w:pPr>
        <w:autoSpaceDE w:val="0"/>
        <w:autoSpaceDN w:val="0"/>
        <w:adjustRightInd w:val="0"/>
        <w:spacing w:line="576" w:lineRule="exact"/>
        <w:ind w:firstLine="643"/>
        <w:rPr>
          <w:rFonts w:ascii="仿宋_GB2312" w:hAnsi="Cambria" w:eastAsia="仿宋_GB2312" w:cs="仿宋_GB2312"/>
          <w:b/>
          <w:bCs/>
          <w:sz w:val="32"/>
          <w:szCs w:val="32"/>
          <w:lang w:val="zh-CN"/>
        </w:rPr>
      </w:pPr>
    </w:p>
    <w:p w14:paraId="706D3CA6">
      <w:pPr>
        <w:autoSpaceDE w:val="0"/>
        <w:autoSpaceDN w:val="0"/>
        <w:adjustRightInd w:val="0"/>
        <w:spacing w:line="576" w:lineRule="exact"/>
        <w:ind w:firstLine="643"/>
        <w:rPr>
          <w:rFonts w:ascii="仿宋_GB2312" w:hAnsi="Cambria" w:eastAsia="仿宋_GB2312" w:cs="仿宋_GB2312"/>
          <w:b/>
          <w:bCs/>
          <w:sz w:val="32"/>
          <w:szCs w:val="32"/>
          <w:lang w:val="zh-CN"/>
        </w:rPr>
      </w:pPr>
    </w:p>
    <w:p w14:paraId="78FF8B5B">
      <w:pPr>
        <w:autoSpaceDE w:val="0"/>
        <w:autoSpaceDN w:val="0"/>
        <w:adjustRightInd w:val="0"/>
        <w:spacing w:line="576" w:lineRule="exact"/>
        <w:ind w:firstLine="643"/>
        <w:rPr>
          <w:rFonts w:ascii="仿宋_GB2312" w:hAnsi="Cambria" w:eastAsia="仿宋_GB2312" w:cs="仿宋_GB2312"/>
          <w:b/>
          <w:bCs/>
          <w:sz w:val="32"/>
          <w:szCs w:val="32"/>
          <w:lang w:val="zh-CN"/>
        </w:rPr>
      </w:pPr>
    </w:p>
    <w:p w14:paraId="0BB8C661">
      <w:pPr>
        <w:autoSpaceDE w:val="0"/>
        <w:autoSpaceDN w:val="0"/>
        <w:adjustRightInd w:val="0"/>
        <w:spacing w:line="576" w:lineRule="exact"/>
        <w:ind w:firstLine="643"/>
        <w:rPr>
          <w:rFonts w:ascii="仿宋_GB2312" w:hAnsi="Cambria" w:eastAsia="仿宋_GB2312" w:cs="仿宋_GB2312"/>
          <w:b/>
          <w:bCs/>
          <w:sz w:val="32"/>
          <w:szCs w:val="32"/>
          <w:lang w:val="zh-CN"/>
        </w:rPr>
      </w:pPr>
    </w:p>
    <w:p w14:paraId="68585E60">
      <w:pPr>
        <w:autoSpaceDE w:val="0"/>
        <w:autoSpaceDN w:val="0"/>
        <w:adjustRightInd w:val="0"/>
        <w:spacing w:line="576" w:lineRule="exact"/>
        <w:ind w:firstLine="643"/>
        <w:rPr>
          <w:rFonts w:ascii="仿宋_GB2312" w:hAnsi="Cambria" w:eastAsia="仿宋_GB2312" w:cs="仿宋_GB2312"/>
          <w:b/>
          <w:bCs/>
          <w:sz w:val="32"/>
          <w:szCs w:val="32"/>
          <w:lang w:val="zh-CN"/>
        </w:rPr>
      </w:pPr>
    </w:p>
    <w:p w14:paraId="57AE1A1E">
      <w:pPr>
        <w:autoSpaceDE w:val="0"/>
        <w:autoSpaceDN w:val="0"/>
        <w:adjustRightInd w:val="0"/>
        <w:spacing w:line="576" w:lineRule="exact"/>
        <w:ind w:firstLine="643"/>
        <w:rPr>
          <w:rFonts w:ascii="仿宋_GB2312" w:hAnsi="Cambria" w:eastAsia="仿宋_GB2312" w:cs="仿宋_GB2312"/>
          <w:b/>
          <w:bCs/>
          <w:sz w:val="32"/>
          <w:szCs w:val="32"/>
          <w:lang w:val="zh-CN"/>
        </w:rPr>
      </w:pPr>
    </w:p>
    <w:p w14:paraId="434FEFAD">
      <w:pPr>
        <w:autoSpaceDE w:val="0"/>
        <w:autoSpaceDN w:val="0"/>
        <w:adjustRightInd w:val="0"/>
        <w:spacing w:line="576" w:lineRule="exact"/>
        <w:ind w:firstLine="643"/>
        <w:rPr>
          <w:rFonts w:ascii="仿宋_GB2312" w:hAnsi="Cambria" w:eastAsia="仿宋_GB2312" w:cs="仿宋_GB2312"/>
          <w:b/>
          <w:bCs/>
          <w:sz w:val="32"/>
          <w:szCs w:val="32"/>
          <w:lang w:val="zh-CN"/>
        </w:rPr>
      </w:pPr>
    </w:p>
    <w:p w14:paraId="2A843C5C">
      <w:pPr>
        <w:autoSpaceDE w:val="0"/>
        <w:autoSpaceDN w:val="0"/>
        <w:adjustRightInd w:val="0"/>
        <w:spacing w:line="576" w:lineRule="exact"/>
        <w:ind w:firstLine="643"/>
        <w:rPr>
          <w:rFonts w:ascii="仿宋_GB2312" w:hAnsi="Cambria" w:eastAsia="仿宋_GB2312" w:cs="仿宋_GB2312"/>
          <w:b/>
          <w:bCs/>
          <w:sz w:val="32"/>
          <w:szCs w:val="32"/>
          <w:lang w:val="zh-CN"/>
        </w:rPr>
      </w:pPr>
    </w:p>
    <w:p w14:paraId="42E4F0DA">
      <w:pPr>
        <w:autoSpaceDE w:val="0"/>
        <w:autoSpaceDN w:val="0"/>
        <w:adjustRightInd w:val="0"/>
        <w:spacing w:line="576" w:lineRule="exact"/>
        <w:ind w:firstLine="643"/>
        <w:rPr>
          <w:rFonts w:ascii="仿宋_GB2312" w:hAnsi="Cambria" w:eastAsia="仿宋_GB2312" w:cs="仿宋_GB2312"/>
          <w:b/>
          <w:bCs/>
          <w:sz w:val="32"/>
          <w:szCs w:val="32"/>
          <w:lang w:val="zh-CN"/>
        </w:rPr>
      </w:pPr>
    </w:p>
    <w:p w14:paraId="0BD33609">
      <w:pPr>
        <w:autoSpaceDE w:val="0"/>
        <w:autoSpaceDN w:val="0"/>
        <w:adjustRightInd w:val="0"/>
        <w:spacing w:line="576" w:lineRule="exact"/>
        <w:ind w:firstLine="643"/>
        <w:rPr>
          <w:rFonts w:ascii="仿宋_GB2312" w:hAnsi="Cambria" w:eastAsia="仿宋_GB2312" w:cs="仿宋_GB2312"/>
          <w:b/>
          <w:bCs/>
          <w:sz w:val="32"/>
          <w:szCs w:val="32"/>
          <w:lang w:val="zh-CN"/>
        </w:rPr>
      </w:pPr>
    </w:p>
    <w:p w14:paraId="247CD94D">
      <w:pPr>
        <w:autoSpaceDE w:val="0"/>
        <w:autoSpaceDN w:val="0"/>
        <w:adjustRightInd w:val="0"/>
        <w:spacing w:line="576" w:lineRule="exact"/>
        <w:ind w:firstLine="643"/>
        <w:rPr>
          <w:rFonts w:ascii="仿宋_GB2312" w:hAnsi="Cambria" w:eastAsia="仿宋_GB2312" w:cs="仿宋_GB2312"/>
          <w:b/>
          <w:bCs/>
          <w:sz w:val="32"/>
          <w:szCs w:val="32"/>
          <w:lang w:val="zh-CN"/>
        </w:rPr>
      </w:pPr>
    </w:p>
    <w:p w14:paraId="4630524A">
      <w:pPr>
        <w:autoSpaceDE w:val="0"/>
        <w:autoSpaceDN w:val="0"/>
        <w:adjustRightInd w:val="0"/>
        <w:spacing w:line="576" w:lineRule="exact"/>
        <w:ind w:firstLine="643"/>
        <w:rPr>
          <w:rFonts w:ascii="仿宋_GB2312" w:hAnsi="Cambria" w:eastAsia="仿宋_GB2312" w:cs="仿宋_GB2312"/>
          <w:b/>
          <w:bCs/>
          <w:sz w:val="32"/>
          <w:szCs w:val="32"/>
          <w:lang w:val="zh-CN"/>
        </w:rPr>
      </w:pPr>
    </w:p>
    <w:p w14:paraId="10D9F720">
      <w:pPr>
        <w:autoSpaceDE w:val="0"/>
        <w:autoSpaceDN w:val="0"/>
        <w:adjustRightInd w:val="0"/>
        <w:spacing w:line="576" w:lineRule="exact"/>
        <w:ind w:firstLine="643"/>
        <w:rPr>
          <w:rFonts w:ascii="仿宋_GB2312" w:hAnsi="Cambria" w:eastAsia="仿宋_GB2312" w:cs="仿宋_GB2312"/>
          <w:b/>
          <w:bCs/>
          <w:sz w:val="32"/>
          <w:szCs w:val="32"/>
          <w:lang w:val="zh-CN"/>
        </w:rPr>
      </w:pPr>
    </w:p>
    <w:p w14:paraId="1F837FA5">
      <w:pPr>
        <w:autoSpaceDE w:val="0"/>
        <w:autoSpaceDN w:val="0"/>
        <w:adjustRightInd w:val="0"/>
        <w:spacing w:line="576" w:lineRule="exact"/>
        <w:ind w:firstLine="643"/>
        <w:rPr>
          <w:rFonts w:ascii="仿宋_GB2312" w:hAnsi="Cambria" w:eastAsia="仿宋_GB2312" w:cs="仿宋_GB2312"/>
          <w:b/>
          <w:bCs/>
          <w:sz w:val="32"/>
          <w:szCs w:val="32"/>
          <w:lang w:val="zh-CN"/>
        </w:rPr>
      </w:pPr>
    </w:p>
    <w:p w14:paraId="7966DC1A">
      <w:pPr>
        <w:autoSpaceDE w:val="0"/>
        <w:autoSpaceDN w:val="0"/>
        <w:adjustRightInd w:val="0"/>
        <w:spacing w:line="576" w:lineRule="exact"/>
        <w:ind w:firstLine="643"/>
        <w:rPr>
          <w:rFonts w:ascii="仿宋_GB2312" w:hAnsi="Cambria" w:eastAsia="仿宋_GB2312" w:cs="仿宋_GB2312"/>
          <w:b/>
          <w:bCs/>
          <w:sz w:val="32"/>
          <w:szCs w:val="32"/>
          <w:lang w:val="zh-CN"/>
        </w:rPr>
      </w:pPr>
    </w:p>
    <w:p w14:paraId="66A70498">
      <w:pPr>
        <w:autoSpaceDE w:val="0"/>
        <w:autoSpaceDN w:val="0"/>
        <w:adjustRightInd w:val="0"/>
        <w:spacing w:line="576" w:lineRule="exact"/>
        <w:ind w:firstLine="643"/>
        <w:rPr>
          <w:rFonts w:ascii="仿宋_GB2312" w:hAnsi="Cambria" w:eastAsia="仿宋_GB2312" w:cs="仿宋_GB2312"/>
          <w:b/>
          <w:bCs/>
          <w:sz w:val="32"/>
          <w:szCs w:val="32"/>
          <w:lang w:val="zh-CN"/>
        </w:rPr>
      </w:pPr>
    </w:p>
    <w:p w14:paraId="5F074915">
      <w:pPr>
        <w:autoSpaceDE w:val="0"/>
        <w:autoSpaceDN w:val="0"/>
        <w:adjustRightInd w:val="0"/>
        <w:spacing w:line="576" w:lineRule="exact"/>
        <w:ind w:firstLine="643"/>
        <w:rPr>
          <w:rFonts w:ascii="仿宋_GB2312" w:hAnsi="Cambria" w:eastAsia="仿宋_GB2312" w:cs="仿宋_GB2312"/>
          <w:b/>
          <w:bCs/>
          <w:sz w:val="32"/>
          <w:szCs w:val="32"/>
          <w:lang w:val="zh-CN"/>
        </w:rPr>
      </w:pPr>
    </w:p>
    <w:p w14:paraId="112A96D5">
      <w:pPr>
        <w:keepNext/>
        <w:keepLines/>
        <w:autoSpaceDE w:val="0"/>
        <w:autoSpaceDN w:val="0"/>
        <w:adjustRightInd w:val="0"/>
        <w:spacing w:line="576" w:lineRule="exact"/>
        <w:jc w:val="center"/>
        <w:rPr>
          <w:rFonts w:ascii="黑体" w:hAnsi="Cambria" w:eastAsia="黑体" w:cs="黑体"/>
          <w:kern w:val="44"/>
          <w:sz w:val="44"/>
          <w:szCs w:val="44"/>
          <w:lang w:val="zh-CN"/>
        </w:rPr>
      </w:pPr>
      <w:r>
        <w:rPr>
          <w:rFonts w:hint="eastAsia" w:ascii="黑体" w:hAnsi="Cambria" w:eastAsia="黑体" w:cs="黑体"/>
          <w:sz w:val="44"/>
          <w:szCs w:val="44"/>
          <w:lang w:val="zh-CN"/>
        </w:rPr>
        <w:t>第三部分</w:t>
      </w:r>
      <w:r>
        <w:rPr>
          <w:rFonts w:ascii="黑体" w:hAnsi="Cambria" w:eastAsia="黑体" w:cs="黑体"/>
          <w:sz w:val="44"/>
          <w:szCs w:val="44"/>
          <w:lang w:val="zh-CN"/>
        </w:rPr>
        <w:t xml:space="preserve"> </w:t>
      </w:r>
      <w:r>
        <w:rPr>
          <w:rFonts w:hint="eastAsia" w:ascii="黑体" w:hAnsi="Cambria" w:eastAsia="黑体" w:cs="黑体"/>
          <w:sz w:val="44"/>
          <w:szCs w:val="44"/>
          <w:lang w:val="zh-CN"/>
        </w:rPr>
        <w:t>名</w:t>
      </w:r>
      <w:r>
        <w:rPr>
          <w:rFonts w:hint="eastAsia" w:ascii="黑体" w:hAnsi="Cambria" w:eastAsia="黑体" w:cs="黑体"/>
          <w:kern w:val="44"/>
          <w:sz w:val="44"/>
          <w:szCs w:val="44"/>
          <w:lang w:val="zh-CN"/>
        </w:rPr>
        <w:t>词解释</w:t>
      </w:r>
    </w:p>
    <w:p w14:paraId="6C960ECB">
      <w:pPr>
        <w:pStyle w:val="19"/>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5FF16841">
      <w:pPr>
        <w:pStyle w:val="19"/>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0B527B65">
      <w:pPr>
        <w:pStyle w:val="19"/>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2339AD51">
      <w:pPr>
        <w:pStyle w:val="19"/>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其他收入：指单位取得的除上述收入以外的各项收入。主要是上级主管部门拨付的森林病虫害预报测报补助经费1.8万元</w:t>
      </w:r>
    </w:p>
    <w:p w14:paraId="212C4681">
      <w:pPr>
        <w:pStyle w:val="19"/>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eastAsia="仿宋_GB2312"/>
          <w:color w:val="auto"/>
          <w:sz w:val="32"/>
          <w:szCs w:val="32"/>
        </w:rPr>
        <w:t>使用非财政拨款结余：指事业单位使用以前年度积累的非财政拨款结余弥补当年收支差额的金额。</w:t>
      </w:r>
      <w:r>
        <w:rPr>
          <w:rFonts w:ascii="仿宋_GB2312" w:eastAsia="仿宋_GB2312"/>
          <w:color w:val="auto"/>
          <w:sz w:val="32"/>
          <w:szCs w:val="32"/>
        </w:rPr>
        <w:t xml:space="preserve"> </w:t>
      </w:r>
    </w:p>
    <w:p w14:paraId="6280BB7B">
      <w:pPr>
        <w:pStyle w:val="19"/>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4E190DD1">
      <w:pPr>
        <w:pStyle w:val="19"/>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61591226">
      <w:pPr>
        <w:pStyle w:val="19"/>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2806C29F">
      <w:pPr>
        <w:spacing w:line="600" w:lineRule="exact"/>
        <w:ind w:firstLine="640" w:firstLineChars="200"/>
        <w:rPr>
          <w:rStyle w:val="11"/>
          <w:rFonts w:ascii="仿宋" w:hAnsi="仿宋" w:eastAsia="仿宋"/>
          <w:b w:val="0"/>
          <w:bCs/>
          <w:sz w:val="32"/>
          <w:szCs w:val="32"/>
        </w:rPr>
      </w:pPr>
      <w:r>
        <w:rPr>
          <w:rStyle w:val="11"/>
          <w:rFonts w:hint="eastAsia" w:ascii="仿宋" w:hAnsi="仿宋" w:eastAsia="仿宋"/>
          <w:b w:val="0"/>
          <w:bCs/>
          <w:sz w:val="32"/>
          <w:szCs w:val="32"/>
        </w:rPr>
        <w:t>9</w:t>
      </w:r>
      <w:r>
        <w:rPr>
          <w:rStyle w:val="11"/>
          <w:rFonts w:ascii="仿宋" w:hAnsi="仿宋" w:eastAsia="仿宋"/>
          <w:b w:val="0"/>
          <w:bCs/>
          <w:sz w:val="32"/>
          <w:szCs w:val="32"/>
        </w:rPr>
        <w:t>.</w:t>
      </w:r>
      <w:r>
        <w:rPr>
          <w:rStyle w:val="11"/>
          <w:rFonts w:hint="eastAsia" w:ascii="仿宋" w:hAnsi="仿宋" w:eastAsia="仿宋"/>
          <w:b w:val="0"/>
          <w:bCs/>
          <w:sz w:val="32"/>
          <w:szCs w:val="32"/>
        </w:rPr>
        <w:t>一般公共服务（类）财政事务（款）信息化建设（项）</w:t>
      </w:r>
      <w:r>
        <w:rPr>
          <w:rStyle w:val="11"/>
          <w:rFonts w:ascii="仿宋" w:hAnsi="仿宋" w:eastAsia="仿宋"/>
          <w:b w:val="0"/>
          <w:bCs/>
          <w:sz w:val="32"/>
          <w:szCs w:val="32"/>
        </w:rPr>
        <w:t xml:space="preserve">: </w:t>
      </w:r>
      <w:r>
        <w:rPr>
          <w:rStyle w:val="11"/>
          <w:rFonts w:hint="eastAsia" w:ascii="仿宋" w:hAnsi="仿宋" w:eastAsia="仿宋"/>
          <w:b w:val="0"/>
          <w:bCs/>
          <w:sz w:val="32"/>
          <w:szCs w:val="32"/>
        </w:rPr>
        <w:t>指反映财政部门用于信息化建设方面的支出。</w:t>
      </w:r>
    </w:p>
    <w:p w14:paraId="3A609656">
      <w:pPr>
        <w:spacing w:line="600" w:lineRule="exact"/>
        <w:ind w:firstLine="640" w:firstLineChars="200"/>
        <w:rPr>
          <w:rStyle w:val="11"/>
          <w:bCs/>
        </w:rPr>
      </w:pPr>
      <w:r>
        <w:rPr>
          <w:rStyle w:val="11"/>
          <w:rFonts w:hint="eastAsia" w:ascii="仿宋" w:hAnsi="仿宋" w:eastAsia="仿宋"/>
          <w:b w:val="0"/>
          <w:bCs/>
          <w:sz w:val="32"/>
          <w:szCs w:val="32"/>
        </w:rPr>
        <w:t>10</w:t>
      </w:r>
      <w:r>
        <w:rPr>
          <w:rStyle w:val="11"/>
          <w:rFonts w:ascii="仿宋" w:hAnsi="仿宋" w:eastAsia="仿宋"/>
          <w:b w:val="0"/>
          <w:bCs/>
          <w:sz w:val="32"/>
          <w:szCs w:val="32"/>
        </w:rPr>
        <w:t>.</w:t>
      </w:r>
      <w:r>
        <w:rPr>
          <w:rStyle w:val="11"/>
          <w:rFonts w:hint="eastAsia" w:ascii="仿宋" w:hAnsi="仿宋" w:eastAsia="仿宋"/>
          <w:b w:val="0"/>
          <w:bCs/>
          <w:sz w:val="32"/>
          <w:szCs w:val="32"/>
        </w:rPr>
        <w:t>一般公共服务（类）组织事务（款）一般行政管理事务（项）</w:t>
      </w:r>
      <w:r>
        <w:rPr>
          <w:rStyle w:val="11"/>
          <w:rFonts w:ascii="仿宋" w:hAnsi="仿宋" w:eastAsia="仿宋"/>
          <w:b w:val="0"/>
          <w:bCs/>
          <w:sz w:val="32"/>
          <w:szCs w:val="32"/>
        </w:rPr>
        <w:t xml:space="preserve">: </w:t>
      </w:r>
      <w:r>
        <w:rPr>
          <w:rStyle w:val="11"/>
          <w:rFonts w:hint="eastAsia" w:ascii="仿宋" w:hAnsi="仿宋" w:eastAsia="仿宋"/>
          <w:b w:val="0"/>
          <w:bCs/>
          <w:sz w:val="32"/>
          <w:szCs w:val="32"/>
        </w:rPr>
        <w:t>指反映行政单位（包括实行公务员管理的事业单位）未单独设置项级科目的其他项目支出。</w:t>
      </w:r>
    </w:p>
    <w:p w14:paraId="1978399C">
      <w:pPr>
        <w:spacing w:line="600" w:lineRule="exact"/>
        <w:ind w:firstLine="640" w:firstLineChars="200"/>
        <w:rPr>
          <w:rStyle w:val="11"/>
          <w:bCs/>
        </w:rPr>
      </w:pPr>
      <w:r>
        <w:rPr>
          <w:rStyle w:val="11"/>
          <w:rFonts w:hint="eastAsia" w:ascii="仿宋" w:hAnsi="仿宋" w:eastAsia="仿宋"/>
          <w:b w:val="0"/>
          <w:bCs/>
          <w:sz w:val="32"/>
          <w:szCs w:val="32"/>
        </w:rPr>
        <w:t>11</w:t>
      </w:r>
      <w:r>
        <w:rPr>
          <w:rStyle w:val="11"/>
          <w:rFonts w:ascii="仿宋" w:hAnsi="仿宋" w:eastAsia="仿宋"/>
          <w:b w:val="0"/>
          <w:bCs/>
          <w:sz w:val="32"/>
          <w:szCs w:val="32"/>
        </w:rPr>
        <w:t>.</w:t>
      </w:r>
      <w:r>
        <w:rPr>
          <w:rStyle w:val="11"/>
          <w:rFonts w:hint="eastAsia" w:ascii="仿宋" w:hAnsi="仿宋" w:eastAsia="仿宋"/>
          <w:b w:val="0"/>
          <w:bCs/>
          <w:sz w:val="32"/>
          <w:szCs w:val="32"/>
        </w:rPr>
        <w:t>社会保障和就业支出（类）行政事业单位养老支出（款）行政单位离退休（项）</w:t>
      </w:r>
      <w:r>
        <w:rPr>
          <w:rStyle w:val="11"/>
          <w:rFonts w:ascii="仿宋" w:hAnsi="仿宋" w:eastAsia="仿宋"/>
          <w:b w:val="0"/>
          <w:bCs/>
          <w:sz w:val="32"/>
          <w:szCs w:val="32"/>
        </w:rPr>
        <w:t xml:space="preserve">: </w:t>
      </w:r>
      <w:r>
        <w:rPr>
          <w:rStyle w:val="11"/>
          <w:rFonts w:hint="eastAsia" w:ascii="仿宋" w:hAnsi="仿宋" w:eastAsia="仿宋"/>
          <w:b w:val="0"/>
          <w:bCs/>
          <w:sz w:val="32"/>
          <w:szCs w:val="32"/>
        </w:rPr>
        <w:t>指反映行政单位（包括实行公务员管理的事业单位）开支的离退休经费。</w:t>
      </w:r>
    </w:p>
    <w:p w14:paraId="65AF8D1C">
      <w:pPr>
        <w:spacing w:line="600" w:lineRule="exact"/>
        <w:ind w:firstLine="640" w:firstLineChars="200"/>
        <w:rPr>
          <w:rStyle w:val="11"/>
          <w:rFonts w:ascii="仿宋" w:hAnsi="仿宋" w:eastAsia="仿宋"/>
          <w:b w:val="0"/>
          <w:bCs/>
          <w:sz w:val="32"/>
          <w:szCs w:val="32"/>
        </w:rPr>
      </w:pPr>
      <w:r>
        <w:rPr>
          <w:rStyle w:val="11"/>
          <w:rFonts w:hint="eastAsia" w:ascii="仿宋" w:hAnsi="仿宋" w:eastAsia="仿宋"/>
          <w:b w:val="0"/>
          <w:bCs/>
          <w:sz w:val="32"/>
          <w:szCs w:val="32"/>
        </w:rPr>
        <w:t>12</w:t>
      </w:r>
      <w:r>
        <w:rPr>
          <w:rStyle w:val="11"/>
          <w:rFonts w:ascii="仿宋" w:hAnsi="仿宋" w:eastAsia="仿宋"/>
          <w:b w:val="0"/>
          <w:bCs/>
          <w:sz w:val="32"/>
          <w:szCs w:val="32"/>
        </w:rPr>
        <w:t>.</w:t>
      </w:r>
      <w:r>
        <w:rPr>
          <w:rStyle w:val="11"/>
          <w:rFonts w:hint="eastAsia" w:ascii="仿宋" w:hAnsi="仿宋" w:eastAsia="仿宋"/>
          <w:b w:val="0"/>
          <w:bCs/>
          <w:sz w:val="32"/>
          <w:szCs w:val="32"/>
        </w:rPr>
        <w:t>社会保障和就业支出（类）行政事业单位养老支出（款）事业单位离退休（项）</w:t>
      </w:r>
      <w:r>
        <w:rPr>
          <w:rStyle w:val="11"/>
          <w:rFonts w:ascii="仿宋" w:hAnsi="仿宋" w:eastAsia="仿宋"/>
          <w:b w:val="0"/>
          <w:bCs/>
          <w:sz w:val="32"/>
          <w:szCs w:val="32"/>
        </w:rPr>
        <w:t xml:space="preserve">: </w:t>
      </w:r>
      <w:r>
        <w:rPr>
          <w:rStyle w:val="11"/>
          <w:rFonts w:hint="eastAsia" w:ascii="仿宋" w:hAnsi="仿宋" w:eastAsia="仿宋"/>
          <w:b w:val="0"/>
          <w:bCs/>
          <w:sz w:val="32"/>
          <w:szCs w:val="32"/>
        </w:rPr>
        <w:t>指反映事业单位开支的离退休经费。</w:t>
      </w:r>
    </w:p>
    <w:p w14:paraId="64123F4D">
      <w:pPr>
        <w:spacing w:line="600" w:lineRule="exact"/>
        <w:ind w:firstLine="640" w:firstLineChars="200"/>
        <w:rPr>
          <w:rStyle w:val="11"/>
          <w:rFonts w:ascii="仿宋" w:hAnsi="仿宋" w:eastAsia="仿宋"/>
          <w:b w:val="0"/>
          <w:bCs/>
          <w:sz w:val="32"/>
          <w:szCs w:val="32"/>
        </w:rPr>
      </w:pPr>
      <w:r>
        <w:rPr>
          <w:rStyle w:val="11"/>
          <w:rFonts w:hint="eastAsia" w:ascii="仿宋" w:hAnsi="仿宋" w:eastAsia="仿宋"/>
          <w:b w:val="0"/>
          <w:bCs/>
          <w:sz w:val="32"/>
          <w:szCs w:val="32"/>
        </w:rPr>
        <w:t>13</w:t>
      </w:r>
      <w:r>
        <w:rPr>
          <w:rStyle w:val="11"/>
          <w:rFonts w:ascii="仿宋" w:hAnsi="仿宋" w:eastAsia="仿宋"/>
          <w:b w:val="0"/>
          <w:bCs/>
          <w:sz w:val="32"/>
          <w:szCs w:val="32"/>
        </w:rPr>
        <w:t>.</w:t>
      </w:r>
      <w:r>
        <w:rPr>
          <w:rStyle w:val="11"/>
          <w:rFonts w:hint="eastAsia" w:ascii="仿宋" w:hAnsi="仿宋" w:eastAsia="仿宋"/>
          <w:b w:val="0"/>
          <w:bCs/>
          <w:sz w:val="32"/>
          <w:szCs w:val="32"/>
        </w:rPr>
        <w:t>社会保障和就业支出（类）行政事业单位养老支出（款）机关事业单位基本养老保险缴费支出（项）</w:t>
      </w:r>
      <w:r>
        <w:rPr>
          <w:rStyle w:val="11"/>
          <w:rFonts w:ascii="仿宋" w:hAnsi="仿宋" w:eastAsia="仿宋"/>
          <w:b w:val="0"/>
          <w:bCs/>
          <w:sz w:val="32"/>
          <w:szCs w:val="32"/>
        </w:rPr>
        <w:t xml:space="preserve">: </w:t>
      </w:r>
      <w:r>
        <w:rPr>
          <w:rStyle w:val="11"/>
          <w:rFonts w:hint="eastAsia" w:ascii="仿宋" w:hAnsi="仿宋" w:eastAsia="仿宋"/>
          <w:b w:val="0"/>
          <w:bCs/>
          <w:sz w:val="32"/>
          <w:szCs w:val="32"/>
        </w:rPr>
        <w:t>指反映机关事业单位实施养老保险制度由单位缴纳的基本养老保险费支出。</w:t>
      </w:r>
    </w:p>
    <w:p w14:paraId="67B96360">
      <w:pPr>
        <w:spacing w:line="600" w:lineRule="exact"/>
        <w:ind w:firstLine="640" w:firstLineChars="200"/>
        <w:rPr>
          <w:rStyle w:val="11"/>
          <w:rFonts w:ascii="仿宋" w:hAnsi="仿宋" w:eastAsia="仿宋"/>
          <w:b w:val="0"/>
          <w:bCs/>
          <w:sz w:val="32"/>
          <w:szCs w:val="32"/>
        </w:rPr>
      </w:pPr>
      <w:r>
        <w:rPr>
          <w:rStyle w:val="11"/>
          <w:rFonts w:hint="eastAsia" w:ascii="仿宋" w:hAnsi="仿宋" w:eastAsia="仿宋"/>
          <w:b w:val="0"/>
          <w:bCs/>
          <w:sz w:val="32"/>
          <w:szCs w:val="32"/>
        </w:rPr>
        <w:t>14</w:t>
      </w:r>
      <w:r>
        <w:rPr>
          <w:rStyle w:val="11"/>
          <w:rFonts w:ascii="仿宋" w:hAnsi="仿宋" w:eastAsia="仿宋"/>
          <w:b w:val="0"/>
          <w:bCs/>
          <w:sz w:val="32"/>
          <w:szCs w:val="32"/>
        </w:rPr>
        <w:t>.</w:t>
      </w:r>
      <w:r>
        <w:rPr>
          <w:rStyle w:val="11"/>
          <w:rFonts w:hint="eastAsia" w:ascii="仿宋" w:hAnsi="仿宋" w:eastAsia="仿宋"/>
          <w:b w:val="0"/>
          <w:bCs/>
          <w:sz w:val="32"/>
          <w:szCs w:val="32"/>
        </w:rPr>
        <w:t>社会保障和就业支出（类）行政事业单位养老支出（款）机关事业单位职业年金缴费支出（项）</w:t>
      </w:r>
      <w:r>
        <w:rPr>
          <w:rStyle w:val="11"/>
          <w:rFonts w:ascii="仿宋" w:hAnsi="仿宋" w:eastAsia="仿宋"/>
          <w:b w:val="0"/>
          <w:bCs/>
          <w:sz w:val="32"/>
          <w:szCs w:val="32"/>
        </w:rPr>
        <w:t xml:space="preserve">: </w:t>
      </w:r>
      <w:r>
        <w:rPr>
          <w:rStyle w:val="11"/>
          <w:rFonts w:hint="eastAsia" w:ascii="仿宋" w:hAnsi="仿宋" w:eastAsia="仿宋"/>
          <w:b w:val="0"/>
          <w:bCs/>
          <w:sz w:val="32"/>
          <w:szCs w:val="32"/>
        </w:rPr>
        <w:t>指反映机关事业单位实施养老保险制度由单位实际缴纳的职业年金支出。</w:t>
      </w:r>
    </w:p>
    <w:p w14:paraId="479BB337">
      <w:pPr>
        <w:spacing w:line="600" w:lineRule="exact"/>
        <w:ind w:firstLine="640" w:firstLineChars="200"/>
        <w:rPr>
          <w:rStyle w:val="11"/>
          <w:rFonts w:ascii="仿宋" w:hAnsi="仿宋" w:eastAsia="仿宋"/>
          <w:b w:val="0"/>
          <w:bCs/>
          <w:sz w:val="32"/>
          <w:szCs w:val="32"/>
        </w:rPr>
      </w:pPr>
      <w:r>
        <w:rPr>
          <w:rStyle w:val="11"/>
          <w:rFonts w:hint="eastAsia" w:ascii="仿宋" w:hAnsi="仿宋" w:eastAsia="仿宋"/>
          <w:b w:val="0"/>
          <w:bCs/>
          <w:sz w:val="32"/>
          <w:szCs w:val="32"/>
        </w:rPr>
        <w:t>15</w:t>
      </w:r>
      <w:r>
        <w:rPr>
          <w:rStyle w:val="11"/>
          <w:rFonts w:ascii="仿宋" w:hAnsi="仿宋" w:eastAsia="仿宋"/>
          <w:b w:val="0"/>
          <w:bCs/>
          <w:sz w:val="32"/>
          <w:szCs w:val="32"/>
        </w:rPr>
        <w:t>.</w:t>
      </w:r>
      <w:r>
        <w:rPr>
          <w:rStyle w:val="11"/>
          <w:rFonts w:hint="eastAsia" w:ascii="仿宋" w:hAnsi="仿宋" w:eastAsia="仿宋"/>
          <w:b w:val="0"/>
          <w:bCs/>
          <w:sz w:val="32"/>
          <w:szCs w:val="32"/>
        </w:rPr>
        <w:t>卫生健康支出（类）行政事业单位医疗（款）行政单位医疗（项）</w:t>
      </w:r>
      <w:r>
        <w:rPr>
          <w:rStyle w:val="11"/>
          <w:rFonts w:ascii="仿宋" w:hAnsi="仿宋" w:eastAsia="仿宋"/>
          <w:b w:val="0"/>
          <w:bCs/>
          <w:sz w:val="32"/>
          <w:szCs w:val="32"/>
        </w:rPr>
        <w:t>:</w:t>
      </w:r>
      <w:r>
        <w:rPr>
          <w:rStyle w:val="11"/>
          <w:rFonts w:hint="eastAsia" w:ascii="仿宋" w:hAnsi="仿宋" w:eastAsia="仿宋"/>
          <w:b w:val="0"/>
          <w:bCs/>
          <w:sz w:val="32"/>
          <w:szCs w:val="32"/>
        </w:rPr>
        <w:t>指反映财政部门安排的行政单位基本医疗保险缴费经费。</w:t>
      </w:r>
    </w:p>
    <w:p w14:paraId="53068218">
      <w:pPr>
        <w:spacing w:line="600" w:lineRule="exact"/>
        <w:ind w:firstLine="640" w:firstLineChars="200"/>
        <w:rPr>
          <w:rStyle w:val="11"/>
          <w:rFonts w:ascii="仿宋" w:hAnsi="仿宋" w:eastAsia="仿宋"/>
          <w:b w:val="0"/>
          <w:bCs/>
          <w:sz w:val="32"/>
          <w:szCs w:val="32"/>
        </w:rPr>
      </w:pPr>
      <w:r>
        <w:rPr>
          <w:rStyle w:val="11"/>
          <w:rFonts w:hint="eastAsia" w:ascii="仿宋" w:hAnsi="仿宋" w:eastAsia="仿宋"/>
          <w:b w:val="0"/>
          <w:bCs/>
          <w:sz w:val="32"/>
          <w:szCs w:val="32"/>
        </w:rPr>
        <w:t>16</w:t>
      </w:r>
      <w:r>
        <w:rPr>
          <w:rStyle w:val="11"/>
          <w:rFonts w:ascii="仿宋" w:hAnsi="仿宋" w:eastAsia="仿宋"/>
          <w:b w:val="0"/>
          <w:bCs/>
          <w:sz w:val="32"/>
          <w:szCs w:val="32"/>
        </w:rPr>
        <w:t>.</w:t>
      </w:r>
      <w:r>
        <w:rPr>
          <w:rStyle w:val="11"/>
          <w:rFonts w:hint="eastAsia" w:ascii="仿宋" w:hAnsi="仿宋" w:eastAsia="仿宋"/>
          <w:b w:val="0"/>
          <w:bCs/>
          <w:sz w:val="32"/>
          <w:szCs w:val="32"/>
        </w:rPr>
        <w:t>卫生健康支出（类）行政事业单位医疗（款）事业单位医疗（项）</w:t>
      </w:r>
      <w:r>
        <w:rPr>
          <w:rStyle w:val="11"/>
          <w:rFonts w:ascii="仿宋" w:hAnsi="仿宋" w:eastAsia="仿宋"/>
          <w:b w:val="0"/>
          <w:bCs/>
          <w:sz w:val="32"/>
          <w:szCs w:val="32"/>
        </w:rPr>
        <w:t>:</w:t>
      </w:r>
      <w:r>
        <w:rPr>
          <w:rStyle w:val="11"/>
          <w:rFonts w:hint="eastAsia"/>
          <w:b w:val="0"/>
        </w:rPr>
        <w:t xml:space="preserve"> </w:t>
      </w:r>
      <w:r>
        <w:rPr>
          <w:rStyle w:val="11"/>
          <w:rFonts w:hint="eastAsia" w:ascii="仿宋" w:hAnsi="仿宋" w:eastAsia="仿宋"/>
          <w:b w:val="0"/>
          <w:bCs/>
          <w:sz w:val="32"/>
          <w:szCs w:val="32"/>
        </w:rPr>
        <w:t>指反映财政部门安排的事业单位基本医疗保险缴费经费。</w:t>
      </w:r>
    </w:p>
    <w:p w14:paraId="093652A4">
      <w:pPr>
        <w:spacing w:line="600" w:lineRule="exact"/>
        <w:ind w:firstLine="640" w:firstLineChars="200"/>
        <w:rPr>
          <w:rStyle w:val="11"/>
          <w:rFonts w:ascii="仿宋" w:hAnsi="仿宋" w:eastAsia="仿宋"/>
          <w:b w:val="0"/>
          <w:bCs/>
          <w:sz w:val="32"/>
          <w:szCs w:val="32"/>
        </w:rPr>
      </w:pPr>
      <w:r>
        <w:rPr>
          <w:rStyle w:val="11"/>
          <w:rFonts w:hint="eastAsia" w:ascii="仿宋" w:hAnsi="仿宋" w:eastAsia="仿宋"/>
          <w:b w:val="0"/>
          <w:bCs/>
          <w:sz w:val="32"/>
          <w:szCs w:val="32"/>
        </w:rPr>
        <w:t>17</w:t>
      </w:r>
      <w:r>
        <w:rPr>
          <w:rStyle w:val="11"/>
          <w:rFonts w:ascii="仿宋" w:hAnsi="仿宋" w:eastAsia="仿宋"/>
          <w:b w:val="0"/>
          <w:bCs/>
          <w:sz w:val="32"/>
          <w:szCs w:val="32"/>
        </w:rPr>
        <w:t>.</w:t>
      </w:r>
      <w:r>
        <w:rPr>
          <w:rStyle w:val="11"/>
          <w:rFonts w:hint="eastAsia" w:ascii="仿宋" w:hAnsi="仿宋" w:eastAsia="仿宋"/>
          <w:b w:val="0"/>
          <w:bCs/>
          <w:sz w:val="32"/>
          <w:szCs w:val="32"/>
        </w:rPr>
        <w:t>卫生健康支出（类）行政事业单位医疗（款）公务员医疗补助（项）</w:t>
      </w:r>
      <w:r>
        <w:rPr>
          <w:rStyle w:val="11"/>
          <w:rFonts w:ascii="仿宋" w:hAnsi="仿宋" w:eastAsia="仿宋"/>
          <w:b w:val="0"/>
          <w:bCs/>
          <w:sz w:val="32"/>
          <w:szCs w:val="32"/>
        </w:rPr>
        <w:t>:</w:t>
      </w:r>
      <w:r>
        <w:rPr>
          <w:rStyle w:val="11"/>
          <w:rFonts w:hint="eastAsia"/>
          <w:b w:val="0"/>
        </w:rPr>
        <w:t xml:space="preserve"> </w:t>
      </w:r>
      <w:r>
        <w:rPr>
          <w:rStyle w:val="11"/>
          <w:rFonts w:hint="eastAsia" w:ascii="仿宋" w:hAnsi="仿宋" w:eastAsia="仿宋"/>
          <w:b w:val="0"/>
          <w:bCs/>
          <w:sz w:val="32"/>
          <w:szCs w:val="32"/>
        </w:rPr>
        <w:t>指反映财政部门安排的公务员医疗补助经费。</w:t>
      </w:r>
    </w:p>
    <w:p w14:paraId="4DD16CE9">
      <w:pPr>
        <w:spacing w:line="600" w:lineRule="exact"/>
        <w:ind w:firstLine="640" w:firstLineChars="200"/>
        <w:rPr>
          <w:rStyle w:val="11"/>
          <w:rFonts w:ascii="仿宋" w:hAnsi="仿宋" w:eastAsia="仿宋"/>
          <w:b w:val="0"/>
          <w:bCs/>
          <w:sz w:val="32"/>
          <w:szCs w:val="32"/>
        </w:rPr>
      </w:pPr>
      <w:r>
        <w:rPr>
          <w:rStyle w:val="11"/>
          <w:rFonts w:hint="eastAsia" w:ascii="仿宋" w:hAnsi="仿宋" w:eastAsia="仿宋"/>
          <w:b w:val="0"/>
          <w:bCs/>
          <w:sz w:val="32"/>
          <w:szCs w:val="32"/>
        </w:rPr>
        <w:t>18</w:t>
      </w:r>
      <w:r>
        <w:rPr>
          <w:rStyle w:val="11"/>
          <w:rFonts w:ascii="仿宋" w:hAnsi="仿宋" w:eastAsia="仿宋"/>
          <w:b w:val="0"/>
          <w:bCs/>
          <w:sz w:val="32"/>
          <w:szCs w:val="32"/>
        </w:rPr>
        <w:t>.</w:t>
      </w:r>
      <w:r>
        <w:rPr>
          <w:rStyle w:val="11"/>
          <w:rFonts w:hint="eastAsia" w:ascii="仿宋" w:hAnsi="仿宋" w:eastAsia="仿宋"/>
          <w:b w:val="0"/>
          <w:bCs/>
          <w:sz w:val="32"/>
          <w:szCs w:val="32"/>
        </w:rPr>
        <w:t>节能环保支出（类）退耕还林还草（款）退耕现金（项）</w:t>
      </w:r>
      <w:r>
        <w:rPr>
          <w:rStyle w:val="11"/>
          <w:rFonts w:ascii="仿宋" w:hAnsi="仿宋" w:eastAsia="仿宋"/>
          <w:b w:val="0"/>
          <w:bCs/>
          <w:sz w:val="32"/>
          <w:szCs w:val="32"/>
        </w:rPr>
        <w:t>:</w:t>
      </w:r>
      <w:r>
        <w:rPr>
          <w:rStyle w:val="11"/>
          <w:rFonts w:hint="eastAsia" w:ascii="仿宋" w:hAnsi="仿宋" w:eastAsia="仿宋"/>
          <w:b w:val="0"/>
          <w:bCs/>
          <w:sz w:val="32"/>
          <w:szCs w:val="32"/>
        </w:rPr>
        <w:t>指反映用于退耕户的现金补助支出。</w:t>
      </w:r>
    </w:p>
    <w:p w14:paraId="0391B5AF">
      <w:pPr>
        <w:spacing w:line="600" w:lineRule="exact"/>
        <w:ind w:firstLine="640" w:firstLineChars="200"/>
        <w:rPr>
          <w:rStyle w:val="11"/>
          <w:rFonts w:ascii="仿宋" w:hAnsi="仿宋" w:eastAsia="仿宋"/>
          <w:b w:val="0"/>
          <w:bCs/>
          <w:sz w:val="32"/>
          <w:szCs w:val="32"/>
        </w:rPr>
      </w:pPr>
      <w:r>
        <w:rPr>
          <w:rStyle w:val="11"/>
          <w:rFonts w:hint="eastAsia" w:ascii="仿宋" w:hAnsi="仿宋" w:eastAsia="仿宋"/>
          <w:b w:val="0"/>
          <w:bCs/>
          <w:sz w:val="32"/>
          <w:szCs w:val="32"/>
        </w:rPr>
        <w:t>19</w:t>
      </w:r>
      <w:r>
        <w:rPr>
          <w:rStyle w:val="11"/>
          <w:rFonts w:ascii="仿宋" w:hAnsi="仿宋" w:eastAsia="仿宋"/>
          <w:b w:val="0"/>
          <w:bCs/>
          <w:sz w:val="32"/>
          <w:szCs w:val="32"/>
        </w:rPr>
        <w:t>.</w:t>
      </w:r>
      <w:r>
        <w:rPr>
          <w:rStyle w:val="11"/>
          <w:rFonts w:hint="eastAsia" w:ascii="仿宋" w:hAnsi="仿宋" w:eastAsia="仿宋"/>
          <w:b w:val="0"/>
          <w:bCs/>
          <w:sz w:val="32"/>
          <w:szCs w:val="32"/>
        </w:rPr>
        <w:t>节能环保支出（类）退耕还林还草（款）退耕还林粮食费用补贴（项）</w:t>
      </w:r>
      <w:r>
        <w:rPr>
          <w:rStyle w:val="11"/>
          <w:rFonts w:ascii="仿宋" w:hAnsi="仿宋" w:eastAsia="仿宋"/>
          <w:b w:val="0"/>
          <w:bCs/>
          <w:sz w:val="32"/>
          <w:szCs w:val="32"/>
        </w:rPr>
        <w:t>:</w:t>
      </w:r>
      <w:r>
        <w:rPr>
          <w:rStyle w:val="11"/>
          <w:rFonts w:hint="eastAsia" w:ascii="仿宋" w:hAnsi="仿宋" w:eastAsia="仿宋"/>
          <w:b w:val="0"/>
          <w:bCs/>
          <w:sz w:val="32"/>
          <w:szCs w:val="32"/>
        </w:rPr>
        <w:t>指反映地方财政拨付的退耕还林粮食费用补贴。</w:t>
      </w:r>
    </w:p>
    <w:p w14:paraId="7FFD71E3">
      <w:pPr>
        <w:spacing w:line="600" w:lineRule="exact"/>
        <w:ind w:firstLine="640" w:firstLineChars="200"/>
        <w:rPr>
          <w:rStyle w:val="11"/>
          <w:rFonts w:ascii="仿宋" w:hAnsi="仿宋" w:eastAsia="仿宋"/>
          <w:b w:val="0"/>
          <w:bCs/>
          <w:sz w:val="32"/>
          <w:szCs w:val="32"/>
        </w:rPr>
      </w:pPr>
      <w:r>
        <w:rPr>
          <w:rStyle w:val="11"/>
          <w:rFonts w:hint="eastAsia" w:ascii="仿宋" w:hAnsi="仿宋" w:eastAsia="仿宋"/>
          <w:b w:val="0"/>
          <w:bCs/>
          <w:sz w:val="32"/>
          <w:szCs w:val="32"/>
        </w:rPr>
        <w:t>20</w:t>
      </w:r>
      <w:r>
        <w:rPr>
          <w:rStyle w:val="11"/>
          <w:rFonts w:ascii="仿宋" w:hAnsi="仿宋" w:eastAsia="仿宋"/>
          <w:b w:val="0"/>
          <w:bCs/>
          <w:sz w:val="32"/>
          <w:szCs w:val="32"/>
        </w:rPr>
        <w:t>.</w:t>
      </w:r>
      <w:r>
        <w:rPr>
          <w:rStyle w:val="11"/>
          <w:rFonts w:hint="eastAsia" w:ascii="仿宋" w:hAnsi="仿宋" w:eastAsia="仿宋"/>
          <w:b w:val="0"/>
          <w:bCs/>
          <w:sz w:val="32"/>
          <w:szCs w:val="32"/>
        </w:rPr>
        <w:t>节能环保支出（类）退耕还林还草（款）其他退耕还林还草支出（项）</w:t>
      </w:r>
      <w:r>
        <w:rPr>
          <w:rStyle w:val="11"/>
          <w:rFonts w:ascii="仿宋" w:hAnsi="仿宋" w:eastAsia="仿宋"/>
          <w:b w:val="0"/>
          <w:bCs/>
          <w:sz w:val="32"/>
          <w:szCs w:val="32"/>
        </w:rPr>
        <w:t>:</w:t>
      </w:r>
      <w:r>
        <w:rPr>
          <w:rStyle w:val="11"/>
          <w:rFonts w:hint="eastAsia" w:ascii="仿宋" w:hAnsi="仿宋" w:eastAsia="仿宋"/>
          <w:b w:val="0"/>
          <w:bCs/>
          <w:sz w:val="32"/>
          <w:szCs w:val="32"/>
        </w:rPr>
        <w:t>指反映除上述项目以外其他用于退耕还林还草方面的支出。</w:t>
      </w:r>
    </w:p>
    <w:p w14:paraId="24535863">
      <w:pPr>
        <w:spacing w:line="600" w:lineRule="exact"/>
        <w:ind w:firstLine="640" w:firstLineChars="200"/>
        <w:rPr>
          <w:rStyle w:val="11"/>
          <w:rFonts w:ascii="仿宋" w:hAnsi="仿宋" w:eastAsia="仿宋"/>
          <w:b w:val="0"/>
          <w:bCs/>
          <w:sz w:val="32"/>
          <w:szCs w:val="32"/>
        </w:rPr>
      </w:pPr>
      <w:r>
        <w:rPr>
          <w:rStyle w:val="11"/>
          <w:rFonts w:hint="eastAsia" w:ascii="仿宋" w:hAnsi="仿宋" w:eastAsia="仿宋"/>
          <w:b w:val="0"/>
          <w:bCs/>
          <w:sz w:val="32"/>
          <w:szCs w:val="32"/>
        </w:rPr>
        <w:t>21</w:t>
      </w:r>
      <w:r>
        <w:rPr>
          <w:rStyle w:val="11"/>
          <w:rFonts w:ascii="仿宋" w:hAnsi="仿宋" w:eastAsia="仿宋"/>
          <w:b w:val="0"/>
          <w:bCs/>
          <w:sz w:val="32"/>
          <w:szCs w:val="32"/>
        </w:rPr>
        <w:t>.</w:t>
      </w:r>
      <w:r>
        <w:rPr>
          <w:rStyle w:val="11"/>
          <w:rFonts w:hint="eastAsia" w:ascii="仿宋" w:hAnsi="仿宋" w:eastAsia="仿宋"/>
          <w:b w:val="0"/>
          <w:bCs/>
          <w:sz w:val="32"/>
          <w:szCs w:val="32"/>
        </w:rPr>
        <w:t>城乡社区支出（类）城乡社区公共设施（款）其他城乡社区公共设施支出（项）</w:t>
      </w:r>
      <w:r>
        <w:rPr>
          <w:rStyle w:val="11"/>
          <w:rFonts w:ascii="仿宋" w:hAnsi="仿宋" w:eastAsia="仿宋"/>
          <w:b w:val="0"/>
          <w:bCs/>
          <w:sz w:val="32"/>
          <w:szCs w:val="32"/>
        </w:rPr>
        <w:t>:</w:t>
      </w:r>
      <w:r>
        <w:rPr>
          <w:rStyle w:val="11"/>
          <w:rFonts w:hint="eastAsia" w:ascii="仿宋" w:hAnsi="仿宋" w:eastAsia="仿宋"/>
          <w:b w:val="0"/>
          <w:bCs/>
          <w:sz w:val="32"/>
          <w:szCs w:val="32"/>
        </w:rPr>
        <w:t>指反映其他用于城乡社区公共设施方面的支出。</w:t>
      </w:r>
    </w:p>
    <w:p w14:paraId="389504F0">
      <w:pPr>
        <w:spacing w:line="600" w:lineRule="exact"/>
        <w:ind w:firstLine="640" w:firstLineChars="200"/>
        <w:rPr>
          <w:rStyle w:val="11"/>
          <w:rFonts w:ascii="仿宋" w:hAnsi="仿宋" w:eastAsia="仿宋"/>
          <w:b w:val="0"/>
          <w:bCs/>
          <w:sz w:val="32"/>
          <w:szCs w:val="32"/>
        </w:rPr>
      </w:pPr>
      <w:r>
        <w:rPr>
          <w:rStyle w:val="11"/>
          <w:rFonts w:hint="eastAsia" w:ascii="仿宋" w:hAnsi="仿宋" w:eastAsia="仿宋"/>
          <w:b w:val="0"/>
          <w:bCs/>
          <w:sz w:val="32"/>
          <w:szCs w:val="32"/>
        </w:rPr>
        <w:t>22</w:t>
      </w:r>
      <w:r>
        <w:rPr>
          <w:rStyle w:val="11"/>
          <w:rFonts w:ascii="仿宋" w:hAnsi="仿宋" w:eastAsia="仿宋"/>
          <w:b w:val="0"/>
          <w:bCs/>
          <w:sz w:val="32"/>
          <w:szCs w:val="32"/>
        </w:rPr>
        <w:t>.</w:t>
      </w:r>
      <w:r>
        <w:rPr>
          <w:rStyle w:val="11"/>
          <w:rFonts w:hint="eastAsia" w:ascii="仿宋" w:hAnsi="仿宋" w:eastAsia="仿宋"/>
          <w:b w:val="0"/>
          <w:bCs/>
          <w:sz w:val="32"/>
          <w:szCs w:val="32"/>
        </w:rPr>
        <w:t>农林水支出（类）林业和草原（款）行政运行（项）</w:t>
      </w:r>
      <w:r>
        <w:rPr>
          <w:rStyle w:val="11"/>
          <w:rFonts w:ascii="仿宋" w:hAnsi="仿宋" w:eastAsia="仿宋"/>
          <w:b w:val="0"/>
          <w:bCs/>
          <w:sz w:val="32"/>
          <w:szCs w:val="32"/>
        </w:rPr>
        <w:t>:</w:t>
      </w:r>
      <w:r>
        <w:rPr>
          <w:rStyle w:val="11"/>
          <w:rFonts w:hint="eastAsia" w:ascii="仿宋" w:hAnsi="仿宋" w:eastAsia="仿宋"/>
          <w:b w:val="0"/>
          <w:bCs/>
          <w:sz w:val="32"/>
          <w:szCs w:val="32"/>
        </w:rPr>
        <w:t>指反映行政单位的基本支出。</w:t>
      </w:r>
    </w:p>
    <w:p w14:paraId="36D58D7A">
      <w:pPr>
        <w:spacing w:line="600" w:lineRule="exact"/>
        <w:ind w:firstLine="640" w:firstLineChars="200"/>
        <w:rPr>
          <w:rStyle w:val="11"/>
          <w:rFonts w:ascii="仿宋" w:hAnsi="仿宋" w:eastAsia="仿宋"/>
          <w:b w:val="0"/>
          <w:bCs/>
          <w:sz w:val="32"/>
          <w:szCs w:val="32"/>
        </w:rPr>
      </w:pPr>
      <w:r>
        <w:rPr>
          <w:rStyle w:val="11"/>
          <w:rFonts w:hint="eastAsia" w:ascii="仿宋" w:hAnsi="仿宋" w:eastAsia="仿宋"/>
          <w:b w:val="0"/>
          <w:bCs/>
          <w:sz w:val="32"/>
          <w:szCs w:val="32"/>
        </w:rPr>
        <w:t>23</w:t>
      </w:r>
      <w:r>
        <w:rPr>
          <w:rStyle w:val="11"/>
          <w:rFonts w:ascii="仿宋" w:hAnsi="仿宋" w:eastAsia="仿宋"/>
          <w:b w:val="0"/>
          <w:bCs/>
          <w:sz w:val="32"/>
          <w:szCs w:val="32"/>
        </w:rPr>
        <w:t>.</w:t>
      </w:r>
      <w:r>
        <w:rPr>
          <w:rStyle w:val="11"/>
          <w:rFonts w:hint="eastAsia" w:ascii="仿宋" w:hAnsi="仿宋" w:eastAsia="仿宋"/>
          <w:b w:val="0"/>
          <w:bCs/>
          <w:sz w:val="32"/>
          <w:szCs w:val="32"/>
        </w:rPr>
        <w:t>农林水支出（类）林业和草原（款）一般行政管理事务（项）</w:t>
      </w:r>
      <w:r>
        <w:rPr>
          <w:rStyle w:val="11"/>
          <w:rFonts w:ascii="仿宋" w:hAnsi="仿宋" w:eastAsia="仿宋"/>
          <w:b w:val="0"/>
          <w:bCs/>
          <w:sz w:val="32"/>
          <w:szCs w:val="32"/>
        </w:rPr>
        <w:t>:</w:t>
      </w:r>
      <w:r>
        <w:rPr>
          <w:rStyle w:val="11"/>
          <w:rFonts w:hint="eastAsia"/>
          <w:b w:val="0"/>
        </w:rPr>
        <w:t xml:space="preserve"> </w:t>
      </w:r>
      <w:r>
        <w:rPr>
          <w:rStyle w:val="11"/>
          <w:rFonts w:hint="eastAsia" w:ascii="仿宋" w:hAnsi="仿宋" w:eastAsia="仿宋"/>
          <w:b w:val="0"/>
          <w:bCs/>
          <w:sz w:val="32"/>
          <w:szCs w:val="32"/>
        </w:rPr>
        <w:t>指反映行政单位未单独设置项级科目的其他项目支出。</w:t>
      </w:r>
    </w:p>
    <w:p w14:paraId="1DD05843">
      <w:pPr>
        <w:spacing w:line="600" w:lineRule="exact"/>
        <w:ind w:firstLine="640" w:firstLineChars="200"/>
        <w:rPr>
          <w:rStyle w:val="11"/>
          <w:rFonts w:ascii="仿宋" w:hAnsi="仿宋" w:eastAsia="仿宋"/>
          <w:b w:val="0"/>
          <w:bCs/>
          <w:sz w:val="32"/>
          <w:szCs w:val="32"/>
        </w:rPr>
      </w:pPr>
      <w:r>
        <w:rPr>
          <w:rStyle w:val="11"/>
          <w:rFonts w:hint="eastAsia" w:ascii="仿宋" w:hAnsi="仿宋" w:eastAsia="仿宋"/>
          <w:b w:val="0"/>
          <w:bCs/>
          <w:sz w:val="32"/>
          <w:szCs w:val="32"/>
        </w:rPr>
        <w:t>24</w:t>
      </w:r>
      <w:r>
        <w:rPr>
          <w:rStyle w:val="11"/>
          <w:rFonts w:ascii="仿宋" w:hAnsi="仿宋" w:eastAsia="仿宋"/>
          <w:b w:val="0"/>
          <w:bCs/>
          <w:sz w:val="32"/>
          <w:szCs w:val="32"/>
        </w:rPr>
        <w:t>.</w:t>
      </w:r>
      <w:r>
        <w:rPr>
          <w:rStyle w:val="11"/>
          <w:rFonts w:hint="eastAsia" w:ascii="仿宋" w:hAnsi="仿宋" w:eastAsia="仿宋"/>
          <w:b w:val="0"/>
          <w:bCs/>
          <w:sz w:val="32"/>
          <w:szCs w:val="32"/>
        </w:rPr>
        <w:t>农林水支出（类）林业和草原（款）事业机构（项）</w:t>
      </w:r>
      <w:r>
        <w:rPr>
          <w:rStyle w:val="11"/>
          <w:rFonts w:ascii="仿宋" w:hAnsi="仿宋" w:eastAsia="仿宋"/>
          <w:b w:val="0"/>
          <w:bCs/>
          <w:sz w:val="32"/>
          <w:szCs w:val="32"/>
        </w:rPr>
        <w:t>:</w:t>
      </w:r>
      <w:r>
        <w:rPr>
          <w:rStyle w:val="11"/>
          <w:rFonts w:hint="eastAsia" w:ascii="仿宋" w:hAnsi="仿宋" w:eastAsia="仿宋"/>
          <w:b w:val="0"/>
          <w:bCs/>
          <w:sz w:val="32"/>
          <w:szCs w:val="32"/>
        </w:rPr>
        <w:t>指反映用于农业事业单位基本支出。</w:t>
      </w:r>
    </w:p>
    <w:p w14:paraId="686EC49D">
      <w:pPr>
        <w:spacing w:line="600" w:lineRule="exact"/>
        <w:ind w:firstLine="640" w:firstLineChars="200"/>
        <w:rPr>
          <w:rStyle w:val="11"/>
          <w:rFonts w:ascii="仿宋" w:hAnsi="仿宋" w:eastAsia="仿宋"/>
          <w:b w:val="0"/>
          <w:bCs/>
          <w:sz w:val="32"/>
          <w:szCs w:val="32"/>
        </w:rPr>
      </w:pPr>
      <w:r>
        <w:rPr>
          <w:rStyle w:val="11"/>
          <w:rFonts w:hint="eastAsia" w:ascii="仿宋" w:hAnsi="仿宋" w:eastAsia="仿宋"/>
          <w:b w:val="0"/>
          <w:bCs/>
          <w:sz w:val="32"/>
          <w:szCs w:val="32"/>
        </w:rPr>
        <w:t>25</w:t>
      </w:r>
      <w:r>
        <w:rPr>
          <w:rStyle w:val="11"/>
          <w:rFonts w:ascii="仿宋" w:hAnsi="仿宋" w:eastAsia="仿宋"/>
          <w:b w:val="0"/>
          <w:bCs/>
          <w:sz w:val="32"/>
          <w:szCs w:val="32"/>
        </w:rPr>
        <w:t>.</w:t>
      </w:r>
      <w:r>
        <w:rPr>
          <w:rStyle w:val="11"/>
          <w:rFonts w:hint="eastAsia" w:ascii="仿宋" w:hAnsi="仿宋" w:eastAsia="仿宋"/>
          <w:b w:val="0"/>
          <w:bCs/>
          <w:sz w:val="32"/>
          <w:szCs w:val="32"/>
        </w:rPr>
        <w:t>农林水支出（类）林业和草原（款）森林资源培育（项）</w:t>
      </w:r>
      <w:r>
        <w:rPr>
          <w:rStyle w:val="11"/>
          <w:rFonts w:ascii="仿宋" w:hAnsi="仿宋" w:eastAsia="仿宋"/>
          <w:b w:val="0"/>
          <w:bCs/>
          <w:sz w:val="32"/>
          <w:szCs w:val="32"/>
        </w:rPr>
        <w:t>:</w:t>
      </w:r>
      <w:r>
        <w:rPr>
          <w:rStyle w:val="11"/>
          <w:rFonts w:hint="eastAsia" w:ascii="仿宋" w:hAnsi="仿宋" w:eastAsia="仿宋"/>
          <w:b w:val="0"/>
          <w:bCs/>
          <w:sz w:val="32"/>
          <w:szCs w:val="32"/>
        </w:rPr>
        <w:t>指反映育苗（种）、造林、抚育、退货林修复、义务植树以及生物质能源建设等方面的支出。</w:t>
      </w:r>
    </w:p>
    <w:p w14:paraId="398D0808">
      <w:pPr>
        <w:spacing w:line="600" w:lineRule="exact"/>
        <w:ind w:firstLine="640" w:firstLineChars="200"/>
        <w:rPr>
          <w:rStyle w:val="11"/>
          <w:rFonts w:ascii="仿宋" w:hAnsi="仿宋" w:eastAsia="仿宋"/>
          <w:b w:val="0"/>
          <w:bCs/>
          <w:sz w:val="32"/>
          <w:szCs w:val="32"/>
        </w:rPr>
      </w:pPr>
      <w:r>
        <w:rPr>
          <w:rStyle w:val="11"/>
          <w:rFonts w:hint="eastAsia" w:ascii="仿宋" w:hAnsi="仿宋" w:eastAsia="仿宋"/>
          <w:b w:val="0"/>
          <w:bCs/>
          <w:sz w:val="32"/>
          <w:szCs w:val="32"/>
        </w:rPr>
        <w:t>26</w:t>
      </w:r>
      <w:r>
        <w:rPr>
          <w:rStyle w:val="11"/>
          <w:rFonts w:ascii="仿宋" w:hAnsi="仿宋" w:eastAsia="仿宋"/>
          <w:b w:val="0"/>
          <w:bCs/>
          <w:sz w:val="32"/>
          <w:szCs w:val="32"/>
        </w:rPr>
        <w:t>.</w:t>
      </w:r>
      <w:r>
        <w:rPr>
          <w:rStyle w:val="11"/>
          <w:rFonts w:hint="eastAsia" w:ascii="仿宋" w:hAnsi="仿宋" w:eastAsia="仿宋"/>
          <w:b w:val="0"/>
          <w:bCs/>
          <w:sz w:val="32"/>
          <w:szCs w:val="32"/>
        </w:rPr>
        <w:t>农林水支出（类）林业和草原（款）技术推广与转化（项）</w:t>
      </w:r>
      <w:r>
        <w:rPr>
          <w:rStyle w:val="11"/>
          <w:rFonts w:ascii="仿宋" w:hAnsi="仿宋" w:eastAsia="仿宋"/>
          <w:b w:val="0"/>
          <w:bCs/>
          <w:sz w:val="32"/>
          <w:szCs w:val="32"/>
        </w:rPr>
        <w:t>:</w:t>
      </w:r>
      <w:r>
        <w:rPr>
          <w:rStyle w:val="11"/>
          <w:rFonts w:hint="eastAsia" w:ascii="仿宋" w:hAnsi="仿宋" w:eastAsia="仿宋"/>
          <w:b w:val="0"/>
          <w:bCs/>
          <w:sz w:val="32"/>
          <w:szCs w:val="32"/>
        </w:rPr>
        <w:t>指反映良种繁育、新技术引进、区域化试验等方面的支出。</w:t>
      </w:r>
    </w:p>
    <w:p w14:paraId="1083428D">
      <w:pPr>
        <w:spacing w:line="600" w:lineRule="exact"/>
        <w:ind w:firstLine="640" w:firstLineChars="200"/>
        <w:rPr>
          <w:rStyle w:val="11"/>
          <w:rFonts w:ascii="仿宋" w:hAnsi="仿宋" w:eastAsia="仿宋"/>
          <w:b w:val="0"/>
          <w:bCs/>
          <w:sz w:val="32"/>
          <w:szCs w:val="32"/>
        </w:rPr>
      </w:pPr>
      <w:r>
        <w:rPr>
          <w:rStyle w:val="11"/>
          <w:rFonts w:hint="eastAsia" w:ascii="仿宋" w:hAnsi="仿宋" w:eastAsia="仿宋"/>
          <w:b w:val="0"/>
          <w:bCs/>
          <w:sz w:val="32"/>
          <w:szCs w:val="32"/>
        </w:rPr>
        <w:t>27</w:t>
      </w:r>
      <w:r>
        <w:rPr>
          <w:rStyle w:val="11"/>
          <w:rFonts w:ascii="仿宋" w:hAnsi="仿宋" w:eastAsia="仿宋"/>
          <w:b w:val="0"/>
          <w:bCs/>
          <w:sz w:val="32"/>
          <w:szCs w:val="32"/>
        </w:rPr>
        <w:t>.</w:t>
      </w:r>
      <w:r>
        <w:rPr>
          <w:rStyle w:val="11"/>
          <w:rFonts w:hint="eastAsia" w:ascii="仿宋" w:hAnsi="仿宋" w:eastAsia="仿宋"/>
          <w:b w:val="0"/>
          <w:bCs/>
          <w:sz w:val="32"/>
          <w:szCs w:val="32"/>
        </w:rPr>
        <w:t>农林水支出（类）林业和草原（款）森林资源管理（项）</w:t>
      </w:r>
      <w:r>
        <w:rPr>
          <w:rStyle w:val="11"/>
          <w:rFonts w:ascii="仿宋" w:hAnsi="仿宋" w:eastAsia="仿宋"/>
          <w:b w:val="0"/>
          <w:bCs/>
          <w:sz w:val="32"/>
          <w:szCs w:val="32"/>
        </w:rPr>
        <w:t>:</w:t>
      </w:r>
      <w:r>
        <w:rPr>
          <w:rStyle w:val="11"/>
          <w:rFonts w:hint="eastAsia" w:ascii="仿宋" w:hAnsi="仿宋" w:eastAsia="仿宋"/>
          <w:b w:val="0"/>
          <w:bCs/>
          <w:sz w:val="32"/>
          <w:szCs w:val="32"/>
        </w:rPr>
        <w:t>指反映森林资源核查、监测、评估、经营利用等方面的支出。</w:t>
      </w:r>
    </w:p>
    <w:p w14:paraId="005AB616">
      <w:pPr>
        <w:spacing w:line="600" w:lineRule="exact"/>
        <w:ind w:firstLine="640" w:firstLineChars="200"/>
        <w:rPr>
          <w:rStyle w:val="11"/>
          <w:rFonts w:ascii="仿宋" w:hAnsi="仿宋" w:eastAsia="仿宋"/>
          <w:b w:val="0"/>
          <w:bCs/>
          <w:sz w:val="32"/>
          <w:szCs w:val="32"/>
        </w:rPr>
      </w:pPr>
      <w:r>
        <w:rPr>
          <w:rStyle w:val="11"/>
          <w:rFonts w:hint="eastAsia" w:ascii="仿宋" w:hAnsi="仿宋" w:eastAsia="仿宋"/>
          <w:b w:val="0"/>
          <w:bCs/>
          <w:sz w:val="32"/>
          <w:szCs w:val="32"/>
        </w:rPr>
        <w:t>28</w:t>
      </w:r>
      <w:r>
        <w:rPr>
          <w:rStyle w:val="11"/>
          <w:rFonts w:ascii="仿宋" w:hAnsi="仿宋" w:eastAsia="仿宋"/>
          <w:b w:val="0"/>
          <w:bCs/>
          <w:sz w:val="32"/>
          <w:szCs w:val="32"/>
        </w:rPr>
        <w:t>.</w:t>
      </w:r>
      <w:r>
        <w:rPr>
          <w:rStyle w:val="11"/>
          <w:rFonts w:hint="eastAsia" w:ascii="仿宋" w:hAnsi="仿宋" w:eastAsia="仿宋"/>
          <w:b w:val="0"/>
          <w:bCs/>
          <w:sz w:val="32"/>
          <w:szCs w:val="32"/>
        </w:rPr>
        <w:t>农林水支出（类）林业和草原（款）自然保护区等管理（项）</w:t>
      </w:r>
      <w:r>
        <w:rPr>
          <w:rStyle w:val="11"/>
          <w:rFonts w:ascii="仿宋" w:hAnsi="仿宋" w:eastAsia="仿宋"/>
          <w:b w:val="0"/>
          <w:bCs/>
          <w:sz w:val="32"/>
          <w:szCs w:val="32"/>
        </w:rPr>
        <w:t>:</w:t>
      </w:r>
      <w:r>
        <w:rPr>
          <w:rStyle w:val="11"/>
          <w:rFonts w:hint="eastAsia" w:ascii="仿宋" w:hAnsi="仿宋" w:eastAsia="仿宋"/>
          <w:b w:val="0"/>
          <w:bCs/>
          <w:sz w:val="32"/>
          <w:szCs w:val="32"/>
        </w:rPr>
        <w:t>指除国家公园外的自然保护区等自然保护地建设、调查、规划、监测、宣传等方面的支出。</w:t>
      </w:r>
    </w:p>
    <w:p w14:paraId="0B4A4FC6">
      <w:pPr>
        <w:spacing w:line="600" w:lineRule="exact"/>
        <w:ind w:firstLine="640" w:firstLineChars="200"/>
        <w:rPr>
          <w:rStyle w:val="11"/>
          <w:rFonts w:ascii="仿宋" w:hAnsi="仿宋" w:eastAsia="仿宋"/>
          <w:b w:val="0"/>
          <w:bCs/>
          <w:sz w:val="32"/>
          <w:szCs w:val="32"/>
        </w:rPr>
      </w:pPr>
      <w:r>
        <w:rPr>
          <w:rStyle w:val="11"/>
          <w:rFonts w:hint="eastAsia" w:ascii="仿宋" w:hAnsi="仿宋" w:eastAsia="仿宋"/>
          <w:b w:val="0"/>
          <w:bCs/>
          <w:sz w:val="32"/>
          <w:szCs w:val="32"/>
        </w:rPr>
        <w:t>29</w:t>
      </w:r>
      <w:r>
        <w:rPr>
          <w:rStyle w:val="11"/>
          <w:rFonts w:ascii="仿宋" w:hAnsi="仿宋" w:eastAsia="仿宋"/>
          <w:b w:val="0"/>
          <w:bCs/>
          <w:sz w:val="32"/>
          <w:szCs w:val="32"/>
        </w:rPr>
        <w:t>.</w:t>
      </w:r>
      <w:r>
        <w:rPr>
          <w:rStyle w:val="11"/>
          <w:rFonts w:hint="eastAsia" w:ascii="仿宋" w:hAnsi="仿宋" w:eastAsia="仿宋"/>
          <w:b w:val="0"/>
          <w:bCs/>
          <w:sz w:val="32"/>
          <w:szCs w:val="32"/>
        </w:rPr>
        <w:t>农林水支出（类）林业和草原（款）林业草原防灾减灾（项）</w:t>
      </w:r>
      <w:r>
        <w:rPr>
          <w:rStyle w:val="11"/>
          <w:rFonts w:ascii="仿宋" w:hAnsi="仿宋" w:eastAsia="仿宋"/>
          <w:b w:val="0"/>
          <w:bCs/>
          <w:sz w:val="32"/>
          <w:szCs w:val="32"/>
        </w:rPr>
        <w:t>:</w:t>
      </w:r>
      <w:r>
        <w:rPr>
          <w:rStyle w:val="11"/>
          <w:rFonts w:hint="eastAsia" w:ascii="仿宋" w:hAnsi="仿宋" w:eastAsia="仿宋"/>
          <w:b w:val="0"/>
          <w:bCs/>
          <w:sz w:val="32"/>
          <w:szCs w:val="32"/>
        </w:rPr>
        <w:t>指反映病虫害等有害生物灾害等方面的支出。</w:t>
      </w:r>
    </w:p>
    <w:p w14:paraId="6D6E483C">
      <w:pPr>
        <w:spacing w:line="600" w:lineRule="exact"/>
        <w:ind w:firstLine="640" w:firstLineChars="200"/>
        <w:rPr>
          <w:rStyle w:val="11"/>
          <w:rFonts w:ascii="仿宋" w:hAnsi="仿宋" w:eastAsia="仿宋"/>
          <w:b w:val="0"/>
          <w:bCs/>
          <w:sz w:val="32"/>
          <w:szCs w:val="32"/>
        </w:rPr>
      </w:pPr>
      <w:r>
        <w:rPr>
          <w:rStyle w:val="11"/>
          <w:rFonts w:hint="eastAsia" w:ascii="仿宋" w:hAnsi="仿宋" w:eastAsia="仿宋"/>
          <w:b w:val="0"/>
          <w:bCs/>
          <w:sz w:val="32"/>
          <w:szCs w:val="32"/>
        </w:rPr>
        <w:t>30</w:t>
      </w:r>
      <w:r>
        <w:rPr>
          <w:rStyle w:val="11"/>
          <w:rFonts w:ascii="仿宋" w:hAnsi="仿宋" w:eastAsia="仿宋"/>
          <w:b w:val="0"/>
          <w:bCs/>
          <w:sz w:val="32"/>
          <w:szCs w:val="32"/>
        </w:rPr>
        <w:t>.</w:t>
      </w:r>
      <w:r>
        <w:rPr>
          <w:rStyle w:val="11"/>
          <w:rFonts w:hint="eastAsia" w:ascii="仿宋" w:hAnsi="仿宋" w:eastAsia="仿宋"/>
          <w:b w:val="0"/>
          <w:bCs/>
          <w:sz w:val="32"/>
          <w:szCs w:val="32"/>
        </w:rPr>
        <w:t>农林水支出（类）林业和草原（款）其他林业和草原支出（项）</w:t>
      </w:r>
      <w:r>
        <w:rPr>
          <w:rStyle w:val="11"/>
          <w:rFonts w:ascii="仿宋" w:hAnsi="仿宋" w:eastAsia="仿宋"/>
          <w:b w:val="0"/>
          <w:bCs/>
          <w:sz w:val="32"/>
          <w:szCs w:val="32"/>
        </w:rPr>
        <w:t>:</w:t>
      </w:r>
      <w:r>
        <w:rPr>
          <w:rStyle w:val="11"/>
          <w:rFonts w:hint="eastAsia" w:ascii="仿宋" w:hAnsi="仿宋" w:eastAsia="仿宋"/>
          <w:b w:val="0"/>
          <w:bCs/>
          <w:sz w:val="32"/>
          <w:szCs w:val="32"/>
        </w:rPr>
        <w:t>指除上述项目以外其他用于林业和草原方面的支出。</w:t>
      </w:r>
    </w:p>
    <w:p w14:paraId="6B5111F7">
      <w:pPr>
        <w:spacing w:line="600" w:lineRule="exact"/>
        <w:ind w:firstLine="640" w:firstLineChars="200"/>
        <w:rPr>
          <w:rStyle w:val="11"/>
          <w:rFonts w:ascii="仿宋" w:hAnsi="仿宋" w:eastAsia="仿宋"/>
          <w:b w:val="0"/>
          <w:bCs/>
          <w:sz w:val="32"/>
          <w:szCs w:val="32"/>
        </w:rPr>
      </w:pPr>
      <w:r>
        <w:rPr>
          <w:rStyle w:val="11"/>
          <w:rFonts w:hint="eastAsia" w:ascii="仿宋" w:hAnsi="仿宋" w:eastAsia="仿宋"/>
          <w:b w:val="0"/>
          <w:bCs/>
          <w:sz w:val="32"/>
          <w:szCs w:val="32"/>
        </w:rPr>
        <w:t>31</w:t>
      </w:r>
      <w:r>
        <w:rPr>
          <w:rStyle w:val="11"/>
          <w:rFonts w:ascii="仿宋" w:hAnsi="仿宋" w:eastAsia="仿宋"/>
          <w:b w:val="0"/>
          <w:bCs/>
          <w:sz w:val="32"/>
          <w:szCs w:val="32"/>
        </w:rPr>
        <w:t>.</w:t>
      </w:r>
      <w:r>
        <w:rPr>
          <w:rStyle w:val="11"/>
          <w:rFonts w:hint="eastAsia" w:ascii="仿宋" w:hAnsi="仿宋" w:eastAsia="仿宋"/>
          <w:b w:val="0"/>
          <w:bCs/>
          <w:sz w:val="32"/>
          <w:szCs w:val="32"/>
        </w:rPr>
        <w:t>住房保障支出（类）住房改革支出（款）住房公积金（项）</w:t>
      </w:r>
      <w:r>
        <w:rPr>
          <w:rStyle w:val="11"/>
          <w:rFonts w:ascii="仿宋" w:hAnsi="仿宋" w:eastAsia="仿宋"/>
          <w:b w:val="0"/>
          <w:bCs/>
          <w:sz w:val="32"/>
          <w:szCs w:val="32"/>
        </w:rPr>
        <w:t>:</w:t>
      </w:r>
      <w:r>
        <w:rPr>
          <w:rStyle w:val="11"/>
          <w:rFonts w:hint="eastAsia" w:ascii="仿宋" w:hAnsi="仿宋" w:eastAsia="仿宋"/>
          <w:b w:val="0"/>
          <w:bCs/>
          <w:sz w:val="32"/>
          <w:szCs w:val="32"/>
        </w:rPr>
        <w:t>指反映行政事业单位按人力资源和社会保障部规定的基本工资和津贴补贴以及规定比例为职工缴纳的住房公积金。</w:t>
      </w:r>
    </w:p>
    <w:p w14:paraId="1E116654">
      <w:pPr>
        <w:ind w:firstLine="640" w:firstLineChars="200"/>
        <w:rPr>
          <w:rFonts w:ascii="仿宋_GB2312" w:eastAsia="仿宋_GB2312"/>
          <w:sz w:val="32"/>
          <w:szCs w:val="32"/>
        </w:rPr>
      </w:pPr>
      <w:r>
        <w:rPr>
          <w:rStyle w:val="11"/>
          <w:rFonts w:hint="eastAsia" w:ascii="仿宋" w:hAnsi="仿宋" w:eastAsia="仿宋"/>
          <w:b w:val="0"/>
          <w:bCs/>
          <w:sz w:val="32"/>
          <w:szCs w:val="32"/>
        </w:rPr>
        <w:t>32</w:t>
      </w:r>
      <w:r>
        <w:rPr>
          <w:rStyle w:val="11"/>
          <w:rFonts w:ascii="仿宋" w:hAnsi="仿宋" w:eastAsia="仿宋"/>
          <w:b w:val="0"/>
          <w:bCs/>
          <w:sz w:val="32"/>
          <w:szCs w:val="32"/>
        </w:rPr>
        <w:t>.</w:t>
      </w:r>
      <w:r>
        <w:rPr>
          <w:rStyle w:val="11"/>
          <w:rFonts w:hint="eastAsia" w:ascii="仿宋" w:hAnsi="仿宋" w:eastAsia="仿宋"/>
          <w:b w:val="0"/>
          <w:bCs/>
          <w:sz w:val="32"/>
          <w:szCs w:val="32"/>
        </w:rPr>
        <w:t>灾害防治及应急管理支出（类）其他灾害防治及应急管理支出（款）灾害防治及应急管理支出（项）</w:t>
      </w:r>
      <w:r>
        <w:rPr>
          <w:rStyle w:val="11"/>
          <w:rFonts w:ascii="仿宋" w:hAnsi="仿宋" w:eastAsia="仿宋"/>
          <w:b w:val="0"/>
          <w:bCs/>
          <w:sz w:val="32"/>
          <w:szCs w:val="32"/>
        </w:rPr>
        <w:t>:</w:t>
      </w:r>
      <w:r>
        <w:rPr>
          <w:rStyle w:val="11"/>
          <w:rFonts w:hint="eastAsia" w:ascii="仿宋" w:hAnsi="仿宋" w:eastAsia="仿宋"/>
          <w:b w:val="0"/>
          <w:bCs/>
          <w:sz w:val="32"/>
          <w:szCs w:val="32"/>
        </w:rPr>
        <w:t>指除上</w:t>
      </w:r>
      <w:r>
        <w:rPr>
          <w:rFonts w:hint="eastAsia" w:ascii="仿宋_GB2312" w:eastAsia="仿宋_GB2312"/>
          <w:sz w:val="32"/>
          <w:szCs w:val="32"/>
        </w:rPr>
        <w:t>述项目以外其他用于灾害防治及应急管理的支出。</w:t>
      </w:r>
    </w:p>
    <w:p w14:paraId="41866FB2">
      <w:pPr>
        <w:ind w:firstLine="640" w:firstLineChars="200"/>
        <w:rPr>
          <w:rFonts w:ascii="仿宋_GB2312" w:eastAsia="仿宋_GB2312"/>
          <w:sz w:val="32"/>
          <w:szCs w:val="32"/>
        </w:rPr>
      </w:pPr>
      <w:r>
        <w:rPr>
          <w:rFonts w:hint="eastAsia" w:ascii="仿宋_GB2312" w:eastAsia="仿宋_GB2312"/>
          <w:sz w:val="32"/>
          <w:szCs w:val="32"/>
        </w:rPr>
        <w:t>33</w:t>
      </w:r>
      <w:r>
        <w:rPr>
          <w:rFonts w:ascii="仿宋_GB2312" w:eastAsia="仿宋_GB2312"/>
          <w:sz w:val="32"/>
          <w:szCs w:val="32"/>
        </w:rPr>
        <w:t>.</w:t>
      </w:r>
      <w:r>
        <w:rPr>
          <w:rFonts w:hint="eastAsia" w:ascii="仿宋_GB2312" w:eastAsia="仿宋_GB2312"/>
          <w:sz w:val="32"/>
          <w:szCs w:val="32"/>
        </w:rPr>
        <w:t>基本支出：指为保障机构正常运转、完成日常工作任务而发生的人员支出和公用支出。</w:t>
      </w:r>
    </w:p>
    <w:p w14:paraId="21918A71">
      <w:pPr>
        <w:ind w:firstLine="640" w:firstLineChars="200"/>
        <w:rPr>
          <w:rFonts w:ascii="仿宋_GB2312" w:eastAsia="仿宋_GB2312"/>
          <w:sz w:val="32"/>
          <w:szCs w:val="32"/>
        </w:rPr>
      </w:pPr>
      <w:r>
        <w:rPr>
          <w:rFonts w:hint="eastAsia" w:ascii="仿宋_GB2312" w:eastAsia="仿宋_GB2312"/>
          <w:sz w:val="32"/>
          <w:szCs w:val="32"/>
        </w:rPr>
        <w:t>34</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3BB278A6">
      <w:pPr>
        <w:ind w:firstLine="640" w:firstLineChars="200"/>
        <w:rPr>
          <w:rFonts w:ascii="仿宋_GB2312" w:eastAsia="仿宋_GB2312"/>
          <w:sz w:val="32"/>
          <w:szCs w:val="32"/>
        </w:rPr>
      </w:pPr>
      <w:r>
        <w:rPr>
          <w:rFonts w:hint="eastAsia" w:ascii="仿宋_GB2312" w:eastAsia="仿宋_GB2312"/>
          <w:sz w:val="32"/>
          <w:szCs w:val="32"/>
        </w:rPr>
        <w:t>35</w:t>
      </w:r>
      <w:r>
        <w:rPr>
          <w:rFonts w:ascii="仿宋_GB2312" w:eastAsia="仿宋_GB2312"/>
          <w:sz w:val="32"/>
          <w:szCs w:val="32"/>
        </w:rPr>
        <w:t>.</w:t>
      </w:r>
      <w:r>
        <w:rPr>
          <w:rFonts w:hint="eastAsia" w:ascii="仿宋_GB2312" w:eastAsia="仿宋_GB2312"/>
          <w:sz w:val="32"/>
          <w:szCs w:val="32"/>
        </w:rPr>
        <w:t>经营支出：指事业单位在专业业务活动及其辅助活动之外开展非独立核算经营活动发生的支出。</w:t>
      </w:r>
    </w:p>
    <w:p w14:paraId="6A301EF7">
      <w:pPr>
        <w:pStyle w:val="19"/>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36</w:t>
      </w:r>
      <w:r>
        <w:rPr>
          <w:rFonts w:ascii="仿宋_GB2312" w:eastAsia="仿宋_GB2312"/>
          <w:color w:val="auto"/>
          <w:sz w:val="32"/>
          <w:szCs w:val="32"/>
        </w:rPr>
        <w:t>.</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84E54F0">
      <w:pPr>
        <w:autoSpaceDE w:val="0"/>
        <w:autoSpaceDN w:val="0"/>
        <w:adjustRightInd w:val="0"/>
        <w:ind w:firstLine="643"/>
        <w:rPr>
          <w:rFonts w:ascii="仿宋" w:hAnsi="Cambria" w:eastAsia="仿宋" w:cs="仿宋"/>
          <w:b/>
          <w:bCs/>
          <w:sz w:val="32"/>
          <w:szCs w:val="32"/>
        </w:rPr>
      </w:pPr>
      <w:r>
        <w:rPr>
          <w:rFonts w:ascii="仿宋_GB2312" w:eastAsia="仿宋_GB2312"/>
          <w:sz w:val="32"/>
          <w:szCs w:val="32"/>
        </w:rPr>
        <w:t>3</w:t>
      </w:r>
      <w:r>
        <w:rPr>
          <w:rFonts w:hint="eastAsia" w:ascii="仿宋_GB2312" w:eastAsia="仿宋_GB2312"/>
          <w:sz w:val="32"/>
          <w:szCs w:val="32"/>
        </w:rPr>
        <w:t>7</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6F3D502">
      <w:pPr>
        <w:keepNext/>
        <w:keepLines/>
        <w:autoSpaceDE w:val="0"/>
        <w:autoSpaceDN w:val="0"/>
        <w:adjustRightInd w:val="0"/>
        <w:spacing w:line="576" w:lineRule="exact"/>
        <w:jc w:val="center"/>
        <w:rPr>
          <w:rFonts w:ascii="黑体" w:hAnsi="Cambria" w:eastAsia="黑体" w:cs="黑体"/>
          <w:kern w:val="44"/>
          <w:sz w:val="44"/>
          <w:szCs w:val="44"/>
          <w:lang w:val="zh-CN"/>
        </w:rPr>
      </w:pPr>
    </w:p>
    <w:p w14:paraId="4C4A43E9">
      <w:pPr>
        <w:keepNext/>
        <w:keepLines/>
        <w:autoSpaceDE w:val="0"/>
        <w:autoSpaceDN w:val="0"/>
        <w:adjustRightInd w:val="0"/>
        <w:spacing w:line="576" w:lineRule="exact"/>
        <w:jc w:val="center"/>
        <w:rPr>
          <w:rFonts w:ascii="黑体" w:hAnsi="Cambria" w:eastAsia="黑体" w:cs="黑体"/>
          <w:kern w:val="44"/>
          <w:sz w:val="44"/>
          <w:szCs w:val="44"/>
          <w:lang w:val="zh-CN"/>
        </w:rPr>
      </w:pPr>
    </w:p>
    <w:p w14:paraId="11BE0C40">
      <w:pPr>
        <w:keepNext/>
        <w:keepLines/>
        <w:autoSpaceDE w:val="0"/>
        <w:autoSpaceDN w:val="0"/>
        <w:adjustRightInd w:val="0"/>
        <w:spacing w:line="576" w:lineRule="exact"/>
        <w:jc w:val="center"/>
        <w:rPr>
          <w:rFonts w:ascii="黑体" w:hAnsi="Cambria" w:eastAsia="黑体" w:cs="黑体"/>
          <w:kern w:val="44"/>
          <w:sz w:val="44"/>
          <w:szCs w:val="44"/>
          <w:lang w:val="zh-CN"/>
        </w:rPr>
      </w:pPr>
    </w:p>
    <w:p w14:paraId="050DC01A">
      <w:pPr>
        <w:keepNext/>
        <w:keepLines/>
        <w:autoSpaceDE w:val="0"/>
        <w:autoSpaceDN w:val="0"/>
        <w:adjustRightInd w:val="0"/>
        <w:spacing w:line="576" w:lineRule="exact"/>
        <w:jc w:val="center"/>
        <w:rPr>
          <w:rFonts w:ascii="黑体" w:hAnsi="Cambria" w:eastAsia="黑体" w:cs="黑体"/>
          <w:kern w:val="44"/>
          <w:sz w:val="44"/>
          <w:szCs w:val="44"/>
          <w:lang w:val="zh-CN"/>
        </w:rPr>
      </w:pPr>
    </w:p>
    <w:p w14:paraId="5A1A1D98">
      <w:pPr>
        <w:autoSpaceDE w:val="0"/>
        <w:autoSpaceDN w:val="0"/>
        <w:adjustRightInd w:val="0"/>
        <w:spacing w:line="600" w:lineRule="exact"/>
        <w:jc w:val="center"/>
        <w:rPr>
          <w:rFonts w:ascii="黑体" w:hAnsi="Cambria" w:eastAsia="黑体" w:cs="黑体"/>
          <w:sz w:val="44"/>
          <w:szCs w:val="44"/>
        </w:rPr>
      </w:pPr>
    </w:p>
    <w:p w14:paraId="7A7C26FB">
      <w:pPr>
        <w:autoSpaceDE w:val="0"/>
        <w:autoSpaceDN w:val="0"/>
        <w:adjustRightInd w:val="0"/>
        <w:spacing w:line="600" w:lineRule="exact"/>
        <w:jc w:val="center"/>
        <w:rPr>
          <w:rFonts w:ascii="黑体" w:hAnsi="Cambria" w:eastAsia="黑体" w:cs="黑体"/>
          <w:sz w:val="44"/>
          <w:szCs w:val="44"/>
        </w:rPr>
      </w:pPr>
    </w:p>
    <w:p w14:paraId="44C73B9E">
      <w:pPr>
        <w:autoSpaceDE w:val="0"/>
        <w:autoSpaceDN w:val="0"/>
        <w:adjustRightInd w:val="0"/>
        <w:spacing w:line="600" w:lineRule="exact"/>
        <w:jc w:val="center"/>
        <w:rPr>
          <w:rFonts w:ascii="黑体" w:hAnsi="Cambria" w:eastAsia="黑体" w:cs="黑体"/>
          <w:sz w:val="44"/>
          <w:szCs w:val="44"/>
        </w:rPr>
      </w:pPr>
    </w:p>
    <w:p w14:paraId="2151DE20">
      <w:pPr>
        <w:autoSpaceDE w:val="0"/>
        <w:autoSpaceDN w:val="0"/>
        <w:adjustRightInd w:val="0"/>
        <w:spacing w:line="600" w:lineRule="exact"/>
        <w:jc w:val="center"/>
        <w:rPr>
          <w:rFonts w:ascii="黑体" w:hAnsi="Cambria" w:eastAsia="黑体" w:cs="黑体"/>
          <w:sz w:val="44"/>
          <w:szCs w:val="44"/>
        </w:rPr>
      </w:pPr>
    </w:p>
    <w:p w14:paraId="3F172E99">
      <w:pPr>
        <w:autoSpaceDE w:val="0"/>
        <w:autoSpaceDN w:val="0"/>
        <w:adjustRightInd w:val="0"/>
        <w:spacing w:line="600" w:lineRule="exact"/>
        <w:jc w:val="center"/>
        <w:rPr>
          <w:rFonts w:ascii="黑体" w:hAnsi="Cambria" w:eastAsia="黑体" w:cs="黑体"/>
          <w:sz w:val="44"/>
          <w:szCs w:val="44"/>
        </w:rPr>
      </w:pPr>
    </w:p>
    <w:p w14:paraId="2F6712C4">
      <w:pPr>
        <w:autoSpaceDE w:val="0"/>
        <w:autoSpaceDN w:val="0"/>
        <w:adjustRightInd w:val="0"/>
        <w:spacing w:line="600" w:lineRule="exact"/>
        <w:jc w:val="center"/>
        <w:rPr>
          <w:rFonts w:ascii="黑体" w:hAnsi="Cambria" w:eastAsia="黑体" w:cs="黑体"/>
          <w:sz w:val="44"/>
          <w:szCs w:val="44"/>
        </w:rPr>
      </w:pPr>
    </w:p>
    <w:p w14:paraId="1D6CC125">
      <w:pPr>
        <w:autoSpaceDE w:val="0"/>
        <w:autoSpaceDN w:val="0"/>
        <w:adjustRightInd w:val="0"/>
        <w:spacing w:line="600" w:lineRule="exact"/>
        <w:jc w:val="center"/>
        <w:rPr>
          <w:rFonts w:ascii="黑体" w:hAnsi="Cambria" w:eastAsia="黑体" w:cs="黑体"/>
          <w:sz w:val="44"/>
          <w:szCs w:val="44"/>
        </w:rPr>
      </w:pPr>
    </w:p>
    <w:p w14:paraId="52532FFF">
      <w:pPr>
        <w:autoSpaceDE w:val="0"/>
        <w:autoSpaceDN w:val="0"/>
        <w:adjustRightInd w:val="0"/>
        <w:spacing w:line="600" w:lineRule="exact"/>
        <w:jc w:val="center"/>
        <w:rPr>
          <w:rFonts w:ascii="黑体" w:hAnsi="Cambria" w:eastAsia="黑体" w:cs="黑体"/>
          <w:sz w:val="44"/>
          <w:szCs w:val="44"/>
        </w:rPr>
      </w:pPr>
    </w:p>
    <w:p w14:paraId="75B5E897">
      <w:pPr>
        <w:autoSpaceDE w:val="0"/>
        <w:autoSpaceDN w:val="0"/>
        <w:adjustRightInd w:val="0"/>
        <w:spacing w:line="600" w:lineRule="exact"/>
        <w:jc w:val="center"/>
        <w:rPr>
          <w:rFonts w:ascii="黑体" w:hAnsi="Cambria" w:eastAsia="黑体" w:cs="黑体"/>
          <w:sz w:val="44"/>
          <w:szCs w:val="44"/>
        </w:rPr>
      </w:pPr>
    </w:p>
    <w:p w14:paraId="58021A10">
      <w:pPr>
        <w:autoSpaceDE w:val="0"/>
        <w:autoSpaceDN w:val="0"/>
        <w:adjustRightInd w:val="0"/>
        <w:spacing w:line="600" w:lineRule="exact"/>
        <w:jc w:val="center"/>
        <w:rPr>
          <w:rFonts w:ascii="黑体" w:hAnsi="Cambria" w:eastAsia="黑体" w:cs="黑体"/>
          <w:sz w:val="44"/>
          <w:szCs w:val="44"/>
        </w:rPr>
      </w:pPr>
    </w:p>
    <w:p w14:paraId="0E96F717">
      <w:pPr>
        <w:autoSpaceDE w:val="0"/>
        <w:autoSpaceDN w:val="0"/>
        <w:adjustRightInd w:val="0"/>
        <w:spacing w:line="600" w:lineRule="exact"/>
        <w:jc w:val="center"/>
        <w:rPr>
          <w:rFonts w:ascii="黑体" w:hAnsi="Cambria" w:eastAsia="黑体" w:cs="黑体"/>
          <w:sz w:val="44"/>
          <w:szCs w:val="44"/>
        </w:rPr>
      </w:pPr>
    </w:p>
    <w:p w14:paraId="4ADF4D46">
      <w:pPr>
        <w:autoSpaceDE w:val="0"/>
        <w:autoSpaceDN w:val="0"/>
        <w:adjustRightInd w:val="0"/>
        <w:spacing w:line="600" w:lineRule="exact"/>
        <w:jc w:val="center"/>
        <w:rPr>
          <w:rFonts w:ascii="黑体" w:hAnsi="Cambria" w:eastAsia="黑体" w:cs="黑体"/>
          <w:sz w:val="44"/>
          <w:szCs w:val="44"/>
        </w:rPr>
      </w:pPr>
    </w:p>
    <w:p w14:paraId="5FA6BED5">
      <w:pPr>
        <w:autoSpaceDE w:val="0"/>
        <w:autoSpaceDN w:val="0"/>
        <w:adjustRightInd w:val="0"/>
        <w:spacing w:line="600" w:lineRule="exact"/>
        <w:jc w:val="center"/>
        <w:rPr>
          <w:rFonts w:ascii="黑体" w:hAnsi="Cambria" w:eastAsia="黑体" w:cs="黑体"/>
          <w:sz w:val="44"/>
          <w:szCs w:val="44"/>
        </w:rPr>
      </w:pPr>
    </w:p>
    <w:p w14:paraId="60FDFDFB">
      <w:pPr>
        <w:autoSpaceDE w:val="0"/>
        <w:autoSpaceDN w:val="0"/>
        <w:adjustRightInd w:val="0"/>
        <w:spacing w:line="600" w:lineRule="exact"/>
        <w:jc w:val="center"/>
        <w:rPr>
          <w:rFonts w:ascii="黑体" w:hAnsi="Cambria" w:eastAsia="黑体" w:cs="黑体"/>
          <w:sz w:val="44"/>
          <w:szCs w:val="44"/>
        </w:rPr>
      </w:pPr>
    </w:p>
    <w:p w14:paraId="2C667B6E">
      <w:pPr>
        <w:autoSpaceDE w:val="0"/>
        <w:autoSpaceDN w:val="0"/>
        <w:adjustRightInd w:val="0"/>
        <w:spacing w:line="600" w:lineRule="exact"/>
        <w:jc w:val="center"/>
        <w:rPr>
          <w:rFonts w:ascii="黑体" w:hAnsi="Cambria" w:eastAsia="黑体" w:cs="黑体"/>
          <w:sz w:val="44"/>
          <w:szCs w:val="44"/>
        </w:rPr>
      </w:pPr>
    </w:p>
    <w:p w14:paraId="068709EB">
      <w:pPr>
        <w:autoSpaceDE w:val="0"/>
        <w:autoSpaceDN w:val="0"/>
        <w:adjustRightInd w:val="0"/>
        <w:spacing w:line="600" w:lineRule="exact"/>
        <w:jc w:val="center"/>
        <w:rPr>
          <w:rFonts w:ascii="黑体" w:hAnsi="Cambria" w:eastAsia="黑体" w:cs="黑体"/>
          <w:sz w:val="44"/>
          <w:szCs w:val="44"/>
        </w:rPr>
      </w:pPr>
    </w:p>
    <w:p w14:paraId="14F2D98F">
      <w:pPr>
        <w:autoSpaceDE w:val="0"/>
        <w:autoSpaceDN w:val="0"/>
        <w:adjustRightInd w:val="0"/>
        <w:spacing w:line="600" w:lineRule="exact"/>
        <w:jc w:val="center"/>
        <w:rPr>
          <w:rFonts w:ascii="黑体" w:hAnsi="Cambria" w:eastAsia="黑体" w:cs="黑体"/>
          <w:kern w:val="44"/>
          <w:sz w:val="44"/>
          <w:szCs w:val="44"/>
        </w:rPr>
      </w:pPr>
      <w:r>
        <w:rPr>
          <w:rFonts w:hint="eastAsia" w:ascii="黑体" w:hAnsi="Cambria" w:eastAsia="黑体" w:cs="黑体"/>
          <w:sz w:val="44"/>
          <w:szCs w:val="44"/>
        </w:rPr>
        <w:t>第</w:t>
      </w:r>
      <w:r>
        <w:rPr>
          <w:rFonts w:hint="eastAsia" w:ascii="黑体" w:hAnsi="Cambria" w:eastAsia="黑体" w:cs="黑体"/>
          <w:kern w:val="44"/>
          <w:sz w:val="44"/>
          <w:szCs w:val="44"/>
        </w:rPr>
        <w:t>四部分</w:t>
      </w:r>
      <w:r>
        <w:rPr>
          <w:rFonts w:ascii="黑体" w:hAnsi="Cambria" w:eastAsia="黑体" w:cs="黑体"/>
          <w:kern w:val="44"/>
          <w:sz w:val="44"/>
          <w:szCs w:val="44"/>
        </w:rPr>
        <w:t xml:space="preserve"> </w:t>
      </w:r>
      <w:r>
        <w:rPr>
          <w:rFonts w:hint="eastAsia" w:ascii="黑体" w:hAnsi="Cambria" w:eastAsia="黑体" w:cs="黑体"/>
          <w:kern w:val="44"/>
          <w:sz w:val="44"/>
          <w:szCs w:val="44"/>
        </w:rPr>
        <w:t>附件</w:t>
      </w:r>
    </w:p>
    <w:p w14:paraId="43F80DA4">
      <w:pPr>
        <w:keepNext/>
        <w:keepLines/>
        <w:autoSpaceDE w:val="0"/>
        <w:autoSpaceDN w:val="0"/>
        <w:adjustRightInd w:val="0"/>
        <w:spacing w:line="572" w:lineRule="exact"/>
        <w:jc w:val="left"/>
        <w:rPr>
          <w:rFonts w:ascii="方正小标宋简体" w:hAnsi="Cambria" w:eastAsia="方正小标宋简体" w:cs="方正小标宋简体"/>
          <w:sz w:val="44"/>
          <w:szCs w:val="44"/>
        </w:rPr>
      </w:pPr>
    </w:p>
    <w:p w14:paraId="5E277C6C">
      <w:pPr>
        <w:widowControl/>
        <w:spacing w:line="578" w:lineRule="exact"/>
        <w:contextualSpacing/>
        <w:jc w:val="center"/>
        <w:rPr>
          <w:rFonts w:eastAsia="方正小标宋简体"/>
          <w:bCs/>
          <w:sz w:val="44"/>
          <w:szCs w:val="44"/>
          <w:shd w:val="clear" w:color="auto" w:fill="FFFFFF"/>
        </w:rPr>
      </w:pPr>
      <w:r>
        <w:rPr>
          <w:rFonts w:hint="eastAsia" w:eastAsia="方正小标宋简体"/>
          <w:bCs/>
          <w:sz w:val="44"/>
          <w:szCs w:val="44"/>
          <w:shd w:val="clear" w:color="auto" w:fill="FFFFFF"/>
        </w:rPr>
        <w:t>攀枝花市仁和区林业局2025年度</w:t>
      </w:r>
      <w:r>
        <w:rPr>
          <w:rFonts w:eastAsia="方正小标宋简体"/>
          <w:bCs/>
          <w:sz w:val="44"/>
          <w:szCs w:val="44"/>
          <w:shd w:val="clear" w:color="auto" w:fill="FFFFFF"/>
        </w:rPr>
        <w:t>部门预算</w:t>
      </w:r>
    </w:p>
    <w:p w14:paraId="004DC209">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绩效</w:t>
      </w:r>
      <w:r>
        <w:rPr>
          <w:rFonts w:hint="eastAsia" w:eastAsia="方正小标宋简体"/>
          <w:bCs/>
          <w:sz w:val="44"/>
          <w:szCs w:val="44"/>
          <w:shd w:val="clear" w:color="auto" w:fill="FFFFFF"/>
        </w:rPr>
        <w:t>自评</w:t>
      </w:r>
      <w:r>
        <w:rPr>
          <w:rFonts w:eastAsia="方正小标宋简体"/>
          <w:bCs/>
          <w:sz w:val="44"/>
          <w:szCs w:val="44"/>
          <w:shd w:val="clear" w:color="auto" w:fill="FFFFFF"/>
        </w:rPr>
        <w:t>报告</w:t>
      </w:r>
    </w:p>
    <w:p w14:paraId="7A304F11">
      <w:pPr>
        <w:widowControl/>
        <w:adjustRightInd w:val="0"/>
        <w:snapToGrid w:val="0"/>
        <w:spacing w:line="578" w:lineRule="exact"/>
        <w:ind w:firstLine="480" w:firstLineChars="200"/>
        <w:contextualSpacing/>
        <w:jc w:val="left"/>
        <w:rPr>
          <w:rFonts w:eastAsia="黑体"/>
          <w:kern w:val="0"/>
          <w:sz w:val="24"/>
          <w:szCs w:val="32"/>
          <w:shd w:val="clear" w:color="auto" w:fill="FFFFFF"/>
        </w:rPr>
      </w:pPr>
    </w:p>
    <w:p w14:paraId="6A2357AA">
      <w:pPr>
        <w:widowControl/>
        <w:adjustRightInd w:val="0"/>
        <w:snapToGrid w:val="0"/>
        <w:spacing w:line="578" w:lineRule="exact"/>
        <w:ind w:firstLine="600" w:firstLineChars="200"/>
        <w:contextualSpacing/>
        <w:jc w:val="left"/>
        <w:rPr>
          <w:sz w:val="30"/>
          <w:szCs w:val="30"/>
        </w:rPr>
      </w:pPr>
      <w:r>
        <w:rPr>
          <w:rFonts w:eastAsia="黑体"/>
          <w:kern w:val="0"/>
          <w:sz w:val="30"/>
          <w:szCs w:val="30"/>
          <w:shd w:val="clear" w:color="auto" w:fill="FFFFFF"/>
          <w:lang w:val="zh-CN"/>
        </w:rPr>
        <w:t>一、部门（单位）基本情况</w:t>
      </w:r>
    </w:p>
    <w:p w14:paraId="701065DD">
      <w:pPr>
        <w:widowControl/>
        <w:adjustRightInd w:val="0"/>
        <w:snapToGrid w:val="0"/>
        <w:spacing w:line="578" w:lineRule="exact"/>
        <w:ind w:firstLine="602" w:firstLineChars="200"/>
        <w:contextualSpacing/>
        <w:jc w:val="left"/>
        <w:rPr>
          <w:rFonts w:eastAsia="楷体_GB2312"/>
          <w:b/>
          <w:bCs/>
          <w:kern w:val="0"/>
          <w:sz w:val="30"/>
          <w:szCs w:val="30"/>
          <w:shd w:val="clear" w:color="auto" w:fill="FFFFFF"/>
          <w:lang w:val="zh-CN"/>
        </w:rPr>
      </w:pPr>
      <w:r>
        <w:rPr>
          <w:rFonts w:eastAsia="楷体_GB2312"/>
          <w:b/>
          <w:bCs/>
          <w:kern w:val="0"/>
          <w:sz w:val="30"/>
          <w:szCs w:val="30"/>
          <w:shd w:val="clear" w:color="auto" w:fill="FFFFFF"/>
          <w:lang w:val="zh-CN"/>
        </w:rPr>
        <w:t>（一）机构组成。</w:t>
      </w:r>
    </w:p>
    <w:p w14:paraId="0FBEC646">
      <w:pPr>
        <w:widowControl/>
        <w:adjustRightInd w:val="0"/>
        <w:snapToGrid w:val="0"/>
        <w:spacing w:line="578" w:lineRule="exact"/>
        <w:ind w:firstLine="600" w:firstLineChars="200"/>
        <w:contextualSpacing/>
        <w:jc w:val="left"/>
        <w:rPr>
          <w:rFonts w:hint="eastAsia" w:ascii="仿宋_GB2312" w:hAnsi="??"/>
          <w:sz w:val="30"/>
          <w:szCs w:val="30"/>
        </w:rPr>
      </w:pPr>
      <w:r>
        <w:rPr>
          <w:rFonts w:hint="eastAsia" w:ascii="仿宋_GB2312" w:hAnsi="??"/>
          <w:sz w:val="30"/>
          <w:szCs w:val="30"/>
        </w:rPr>
        <w:t>仁和区林业局属一级预算单位，下设</w:t>
      </w:r>
      <w:r>
        <w:rPr>
          <w:rFonts w:ascii="仿宋_GB2312" w:hAnsi="??"/>
          <w:sz w:val="30"/>
          <w:szCs w:val="30"/>
        </w:rPr>
        <w:t>非独立核算单位</w:t>
      </w:r>
      <w:r>
        <w:rPr>
          <w:rFonts w:hint="eastAsia" w:ascii="仿宋_GB2312" w:hAnsi="??"/>
          <w:sz w:val="30"/>
          <w:szCs w:val="30"/>
        </w:rPr>
        <w:t>2</w:t>
      </w:r>
      <w:r>
        <w:rPr>
          <w:rFonts w:ascii="仿宋_GB2312" w:hAnsi="??"/>
          <w:sz w:val="30"/>
          <w:szCs w:val="30"/>
        </w:rPr>
        <w:t>个，其中参照公务员法管理的事业单位</w:t>
      </w:r>
      <w:r>
        <w:rPr>
          <w:rFonts w:hint="eastAsia" w:ascii="仿宋_GB2312" w:hAnsi="??"/>
          <w:sz w:val="30"/>
          <w:szCs w:val="30"/>
        </w:rPr>
        <w:t>1</w:t>
      </w:r>
      <w:r>
        <w:rPr>
          <w:rFonts w:ascii="仿宋_GB2312" w:hAnsi="??"/>
          <w:sz w:val="30"/>
          <w:szCs w:val="30"/>
        </w:rPr>
        <w:t>个，其他事业单位</w:t>
      </w:r>
      <w:r>
        <w:rPr>
          <w:rFonts w:hint="eastAsia" w:ascii="仿宋_GB2312" w:hAnsi="??"/>
          <w:sz w:val="30"/>
          <w:szCs w:val="30"/>
        </w:rPr>
        <w:t>1</w:t>
      </w:r>
      <w:r>
        <w:rPr>
          <w:rFonts w:ascii="仿宋_GB2312" w:hAnsi="??"/>
          <w:sz w:val="30"/>
          <w:szCs w:val="30"/>
        </w:rPr>
        <w:t>个。主要包括：</w:t>
      </w:r>
      <w:r>
        <w:rPr>
          <w:rFonts w:hint="eastAsia" w:ascii="仿宋_GB2312" w:hAnsi="??"/>
          <w:sz w:val="30"/>
          <w:szCs w:val="30"/>
        </w:rPr>
        <w:t>攀枝花市仁和区林业局森林病虫害防治检疫站、攀枝花市仁和区林业技术服务中心。</w:t>
      </w:r>
    </w:p>
    <w:p w14:paraId="5E84E7DF">
      <w:pPr>
        <w:pStyle w:val="5"/>
        <w:adjustRightInd w:val="0"/>
        <w:snapToGrid w:val="0"/>
        <w:spacing w:before="72" w:line="560" w:lineRule="exact"/>
        <w:ind w:firstLine="632" w:firstLineChars="210"/>
        <w:rPr>
          <w:rFonts w:eastAsia="楷体_GB2312"/>
          <w:b/>
          <w:bCs/>
          <w:sz w:val="30"/>
          <w:szCs w:val="30"/>
          <w:shd w:val="clear" w:color="auto" w:fill="FFFFFF"/>
          <w:lang w:val="zh-CN"/>
        </w:rPr>
      </w:pPr>
      <w:r>
        <w:rPr>
          <w:rFonts w:eastAsia="楷体_GB2312"/>
          <w:b/>
          <w:bCs/>
          <w:sz w:val="30"/>
          <w:szCs w:val="30"/>
          <w:shd w:val="clear" w:color="auto" w:fill="FFFFFF"/>
          <w:lang w:val="zh-CN"/>
        </w:rPr>
        <w:t>（二）机构职能。</w:t>
      </w:r>
    </w:p>
    <w:p w14:paraId="68C3DCE1">
      <w:pPr>
        <w:pStyle w:val="5"/>
        <w:adjustRightInd w:val="0"/>
        <w:snapToGrid w:val="0"/>
        <w:spacing w:before="72" w:line="560" w:lineRule="exact"/>
        <w:ind w:firstLine="630" w:firstLineChars="210"/>
        <w:rPr>
          <w:sz w:val="30"/>
          <w:szCs w:val="30"/>
        </w:rPr>
      </w:pPr>
      <w:r>
        <w:rPr>
          <w:rFonts w:hint="eastAsia"/>
          <w:sz w:val="30"/>
          <w:szCs w:val="30"/>
        </w:rPr>
        <w:t>1.</w:t>
      </w:r>
      <w:r>
        <w:rPr>
          <w:sz w:val="30"/>
          <w:szCs w:val="30"/>
        </w:rPr>
        <w:t xml:space="preserve">负责全区林业及其生态保护修复的监督管理。贯彻执行国家、省、市有关林业的方针政策和法律法规， 拟订全区林业及其生态保护修复的相关措施、规划，并组 织实施，监督检查规划实施完成情况。组织开展全区森林、湿地、荒漠和陆生野生动植物资源动态监测与评估，推进 全区林业数字化建设。 </w:t>
      </w:r>
    </w:p>
    <w:p w14:paraId="7D3549D3">
      <w:pPr>
        <w:pStyle w:val="5"/>
        <w:adjustRightInd w:val="0"/>
        <w:snapToGrid w:val="0"/>
        <w:spacing w:before="72" w:line="560" w:lineRule="exact"/>
        <w:ind w:firstLine="630" w:firstLineChars="210"/>
        <w:rPr>
          <w:sz w:val="30"/>
          <w:szCs w:val="30"/>
        </w:rPr>
      </w:pPr>
      <w:r>
        <w:rPr>
          <w:rFonts w:hint="eastAsia"/>
          <w:sz w:val="30"/>
          <w:szCs w:val="30"/>
        </w:rPr>
        <w:t>2.</w:t>
      </w:r>
      <w:r>
        <w:rPr>
          <w:sz w:val="30"/>
          <w:szCs w:val="30"/>
        </w:rPr>
        <w:t>负责全区林业生态保护修复和造林绿化工作。 组织实施林业重点生态保护修复工程，指导公益林和商品 林的培育，组织、指导、监督全民义务植树、城乡绿化工 作。组织开展全区市区视野区荒山造林绿化工作。承担林 业有害生物防治、检疫工作，承担林业应对气候变化的相关工作。</w:t>
      </w:r>
    </w:p>
    <w:p w14:paraId="00F83D73">
      <w:pPr>
        <w:pStyle w:val="5"/>
        <w:adjustRightInd w:val="0"/>
        <w:snapToGrid w:val="0"/>
        <w:spacing w:before="72" w:line="560" w:lineRule="exact"/>
        <w:ind w:firstLine="630" w:firstLineChars="210"/>
        <w:rPr>
          <w:sz w:val="30"/>
          <w:szCs w:val="30"/>
        </w:rPr>
      </w:pPr>
      <w:r>
        <w:rPr>
          <w:rFonts w:hint="eastAsia"/>
          <w:sz w:val="30"/>
          <w:szCs w:val="30"/>
        </w:rPr>
        <w:t>3.</w:t>
      </w:r>
      <w:r>
        <w:rPr>
          <w:sz w:val="30"/>
          <w:szCs w:val="30"/>
        </w:rPr>
        <w:t xml:space="preserve">负责全区森林、湿地资源的监督管理。组织编制并监督执行全区森林采伐限额，监督指导限额采伐制度的执行和林木的凭证采伐、运输，监督木材的经营加工。负责林地管理，拟订林地保护利用规划并组织实施，组织实施公益林划定和管理工作，管理国有森林资源。负责湿地生态保护修复工作，拟订全区湿地保护规划，监督管理湿地的开发利用。 </w:t>
      </w:r>
    </w:p>
    <w:p w14:paraId="7EF36161">
      <w:pPr>
        <w:pStyle w:val="5"/>
        <w:adjustRightInd w:val="0"/>
        <w:snapToGrid w:val="0"/>
        <w:spacing w:before="72" w:line="560" w:lineRule="exact"/>
        <w:ind w:firstLine="630" w:firstLineChars="210"/>
        <w:rPr>
          <w:sz w:val="30"/>
          <w:szCs w:val="30"/>
        </w:rPr>
      </w:pPr>
      <w:r>
        <w:rPr>
          <w:rFonts w:hint="eastAsia"/>
          <w:sz w:val="30"/>
          <w:szCs w:val="30"/>
        </w:rPr>
        <w:t>4.</w:t>
      </w:r>
      <w:r>
        <w:rPr>
          <w:sz w:val="30"/>
          <w:szCs w:val="30"/>
        </w:rPr>
        <w:t>负责全区荒漠化防治工作的监督管理。组织开 展全区石漠化、沙化土地调查，贯彻执行国家、省、市有关防沙治沙、石漠化防治及沙化土地封禁保护区建设规划及其标准和规定，监督管理沙化土地的合理开发利用，组织沙尘暴灾害预测预报和应急处置。</w:t>
      </w:r>
    </w:p>
    <w:p w14:paraId="25409C5E">
      <w:pPr>
        <w:pStyle w:val="5"/>
        <w:adjustRightInd w:val="0"/>
        <w:snapToGrid w:val="0"/>
        <w:spacing w:before="72" w:line="560" w:lineRule="exact"/>
        <w:ind w:firstLine="630" w:firstLineChars="210"/>
        <w:rPr>
          <w:sz w:val="30"/>
          <w:szCs w:val="30"/>
        </w:rPr>
      </w:pPr>
      <w:r>
        <w:rPr>
          <w:rFonts w:hint="eastAsia"/>
          <w:sz w:val="30"/>
          <w:szCs w:val="30"/>
        </w:rPr>
        <w:t>5.</w:t>
      </w:r>
      <w:r>
        <w:rPr>
          <w:sz w:val="30"/>
          <w:szCs w:val="30"/>
        </w:rPr>
        <w:t>负责全区陆生野生动植物资源的监督管理。贯彻执行国家、省、市关于陆生野生动植物保护管理的有关政策、法规；组织开展陆生野生动植物资源调查，依法组织指导陆生野生动植物的救护繁育、栖息地恢复发展、疫源疫病监测，监督管理全区陆生野生动植物猎捕或采集、 驯养繁殖或培植、经营利用。</w:t>
      </w:r>
    </w:p>
    <w:p w14:paraId="42DB3E39">
      <w:pPr>
        <w:pStyle w:val="5"/>
        <w:adjustRightInd w:val="0"/>
        <w:snapToGrid w:val="0"/>
        <w:spacing w:before="72" w:line="560" w:lineRule="exact"/>
        <w:ind w:firstLine="630" w:firstLineChars="210"/>
        <w:rPr>
          <w:sz w:val="30"/>
          <w:szCs w:val="30"/>
        </w:rPr>
      </w:pPr>
      <w:r>
        <w:rPr>
          <w:rFonts w:hint="eastAsia"/>
          <w:sz w:val="30"/>
          <w:szCs w:val="30"/>
        </w:rPr>
        <w:t>6.</w:t>
      </w:r>
      <w:r>
        <w:rPr>
          <w:sz w:val="30"/>
          <w:szCs w:val="30"/>
        </w:rPr>
        <w:t>负责全区各类自然保护地的监督管理。贯彻执行国家、省、市自然保护地建设规划及其标准和规定，拟订各类自然保护地规划。负责国家公园申报设立、规划、建设和特许经营等工作，负责区政府直接行使和代理行使全民所有权的国家公园等自然保护地的自然资源资产管理 和国土空间用途管制。提出新建、调整各类自然保护地的审核建议并按程序报批，组织审核世界自然遗产的申报， 会同有关部门审核自然与文化双重遗产的申报，依法指导 全区各类自然保护地的建设管理和开发利用。负责生物多 样性保护相关工作。</w:t>
      </w:r>
    </w:p>
    <w:p w14:paraId="2FF46F3E">
      <w:pPr>
        <w:pStyle w:val="5"/>
        <w:adjustRightInd w:val="0"/>
        <w:snapToGrid w:val="0"/>
        <w:spacing w:before="72" w:line="560" w:lineRule="exact"/>
        <w:ind w:firstLine="630" w:firstLineChars="210"/>
        <w:rPr>
          <w:sz w:val="30"/>
          <w:szCs w:val="30"/>
        </w:rPr>
      </w:pPr>
      <w:r>
        <w:rPr>
          <w:rFonts w:hint="eastAsia"/>
          <w:sz w:val="30"/>
          <w:szCs w:val="30"/>
        </w:rPr>
        <w:t>7.</w:t>
      </w:r>
      <w:r>
        <w:rPr>
          <w:sz w:val="30"/>
          <w:szCs w:val="30"/>
        </w:rPr>
        <w:t>负责推进全区林业改革相关工作。贯彻执行国家、省、市有关集体林权制度、国有林区等重大林业改革 意见和政策，拟订全区集体林权制度改革和国有林区改革相关政策措施并组织实施。贯彻落实农村林业发展、维护林业经营者合法权益的相关政策措施。指导、监督农村林地承包经营工作。开展退耕还林还草，负责天然林保护工作。</w:t>
      </w:r>
    </w:p>
    <w:p w14:paraId="38D0791D">
      <w:pPr>
        <w:pStyle w:val="5"/>
        <w:adjustRightInd w:val="0"/>
        <w:snapToGrid w:val="0"/>
        <w:spacing w:before="72" w:line="560" w:lineRule="exact"/>
        <w:ind w:firstLine="630" w:firstLineChars="210"/>
        <w:rPr>
          <w:sz w:val="30"/>
          <w:szCs w:val="30"/>
        </w:rPr>
      </w:pPr>
      <w:r>
        <w:rPr>
          <w:rFonts w:hint="eastAsia"/>
          <w:sz w:val="30"/>
          <w:szCs w:val="30"/>
        </w:rPr>
        <w:t>8.</w:t>
      </w:r>
      <w:r>
        <w:rPr>
          <w:sz w:val="30"/>
          <w:szCs w:val="30"/>
        </w:rPr>
        <w:t xml:space="preserve">贯彻执行国家、省、市有关林业资源优化配置 及木材利用政策，拟订全区林业产业发展规划并监督实施，组织、指导林产品质量监督，指导生态扶贫相关工作。指导林业现代园区建设，发展花卉、特色经济林、森林林下经济、森林康养和生态旅游产业。推进林业绿色产业发展。 </w:t>
      </w:r>
    </w:p>
    <w:p w14:paraId="31599AE7">
      <w:pPr>
        <w:pStyle w:val="5"/>
        <w:adjustRightInd w:val="0"/>
        <w:snapToGrid w:val="0"/>
        <w:spacing w:before="72" w:line="560" w:lineRule="exact"/>
        <w:ind w:firstLine="630" w:firstLineChars="210"/>
        <w:rPr>
          <w:sz w:val="30"/>
          <w:szCs w:val="30"/>
        </w:rPr>
      </w:pPr>
      <w:r>
        <w:rPr>
          <w:rFonts w:hint="eastAsia"/>
          <w:sz w:val="30"/>
          <w:szCs w:val="30"/>
        </w:rPr>
        <w:t>9.</w:t>
      </w:r>
      <w:r>
        <w:rPr>
          <w:sz w:val="30"/>
          <w:szCs w:val="30"/>
        </w:rPr>
        <w:t>组织开展林木种质、草种种质资源普查，组织 建立种质资源库，负责良种选育推广，管理林木种苗、草种生产经营行为，监管林木种苗、草种质量。监督管理林业生物种质资源、转基因生物安全、植物新品种保护。</w:t>
      </w:r>
    </w:p>
    <w:p w14:paraId="5D119640">
      <w:pPr>
        <w:pStyle w:val="5"/>
        <w:adjustRightInd w:val="0"/>
        <w:snapToGrid w:val="0"/>
        <w:spacing w:before="72" w:line="560" w:lineRule="exact"/>
        <w:ind w:firstLine="630" w:firstLineChars="210"/>
        <w:rPr>
          <w:sz w:val="30"/>
          <w:szCs w:val="30"/>
        </w:rPr>
      </w:pPr>
      <w:r>
        <w:rPr>
          <w:rFonts w:hint="eastAsia"/>
          <w:sz w:val="30"/>
          <w:szCs w:val="30"/>
        </w:rPr>
        <w:t>10.</w:t>
      </w:r>
      <w:r>
        <w:rPr>
          <w:sz w:val="30"/>
          <w:szCs w:val="30"/>
        </w:rPr>
        <w:t>负责落实全区综合防灾减灾规划相关要求，组织编制森林火灾防治规划并指导实施，组织、指导开展防火巡护、火源管理、防火设施建设工作。负责森林火情监测预警、火灾预防工作，发送森林火险信息。</w:t>
      </w:r>
    </w:p>
    <w:p w14:paraId="1F334703">
      <w:pPr>
        <w:pStyle w:val="5"/>
        <w:adjustRightInd w:val="0"/>
        <w:snapToGrid w:val="0"/>
        <w:spacing w:before="72" w:line="560" w:lineRule="exact"/>
        <w:ind w:firstLine="630" w:firstLineChars="210"/>
        <w:rPr>
          <w:sz w:val="30"/>
          <w:szCs w:val="30"/>
        </w:rPr>
      </w:pPr>
      <w:r>
        <w:rPr>
          <w:rFonts w:hint="eastAsia"/>
          <w:sz w:val="30"/>
          <w:szCs w:val="30"/>
        </w:rPr>
        <w:t>11.</w:t>
      </w:r>
      <w:r>
        <w:rPr>
          <w:sz w:val="30"/>
          <w:szCs w:val="30"/>
        </w:rPr>
        <w:t>监督管理全区林业区级以上资金和国有资产，提出林业预算内投资、区级以上财政性资金安排建议，按区政府规定权限，核报、核准规划内和年度计划内投资项目。参与拟订全区林业经济调节政策，组织实施林业生态补偿工作。</w:t>
      </w:r>
    </w:p>
    <w:p w14:paraId="4F8BDA97">
      <w:pPr>
        <w:pStyle w:val="5"/>
        <w:adjustRightInd w:val="0"/>
        <w:snapToGrid w:val="0"/>
        <w:spacing w:before="72" w:line="560" w:lineRule="exact"/>
        <w:ind w:firstLine="630" w:firstLineChars="210"/>
        <w:rPr>
          <w:sz w:val="30"/>
          <w:szCs w:val="30"/>
        </w:rPr>
      </w:pPr>
      <w:r>
        <w:rPr>
          <w:rFonts w:hint="eastAsia"/>
          <w:sz w:val="30"/>
          <w:szCs w:val="30"/>
        </w:rPr>
        <w:t>12.</w:t>
      </w:r>
      <w:r>
        <w:rPr>
          <w:sz w:val="30"/>
          <w:szCs w:val="30"/>
        </w:rPr>
        <w:t>负责林业科技、教育和对外交流工作，负责全区林业人才队伍的管理。</w:t>
      </w:r>
    </w:p>
    <w:p w14:paraId="2CF9C442">
      <w:pPr>
        <w:pStyle w:val="5"/>
        <w:adjustRightInd w:val="0"/>
        <w:snapToGrid w:val="0"/>
        <w:spacing w:before="72" w:line="560" w:lineRule="exact"/>
        <w:ind w:firstLine="630" w:firstLineChars="210"/>
        <w:rPr>
          <w:sz w:val="30"/>
          <w:szCs w:val="30"/>
        </w:rPr>
      </w:pPr>
      <w:r>
        <w:rPr>
          <w:rFonts w:hint="eastAsia"/>
          <w:sz w:val="30"/>
          <w:szCs w:val="30"/>
        </w:rPr>
        <w:t>13.</w:t>
      </w:r>
      <w:r>
        <w:rPr>
          <w:sz w:val="30"/>
          <w:szCs w:val="30"/>
        </w:rPr>
        <w:t>承担职责范围内的安全生产和职业健康、生态环境保护、审批服务便民化等工作。按省市要求，指导推进相对集中行政许可权改革。</w:t>
      </w:r>
    </w:p>
    <w:p w14:paraId="2F31A24D">
      <w:pPr>
        <w:pStyle w:val="5"/>
        <w:adjustRightInd w:val="0"/>
        <w:snapToGrid w:val="0"/>
        <w:spacing w:before="72" w:line="560" w:lineRule="exact"/>
        <w:ind w:firstLine="630" w:firstLineChars="210"/>
        <w:rPr>
          <w:sz w:val="30"/>
          <w:szCs w:val="30"/>
        </w:rPr>
      </w:pPr>
      <w:r>
        <w:rPr>
          <w:rFonts w:hint="eastAsia"/>
          <w:sz w:val="30"/>
          <w:szCs w:val="30"/>
        </w:rPr>
        <w:t>14.</w:t>
      </w:r>
      <w:r>
        <w:rPr>
          <w:sz w:val="30"/>
          <w:szCs w:val="30"/>
        </w:rPr>
        <w:t xml:space="preserve">负责全区林业违法案件的查处和相关行政执 法监管工作。 </w:t>
      </w:r>
    </w:p>
    <w:p w14:paraId="24BD43E3">
      <w:pPr>
        <w:pStyle w:val="5"/>
        <w:adjustRightInd w:val="0"/>
        <w:snapToGrid w:val="0"/>
        <w:spacing w:before="72" w:line="560" w:lineRule="exact"/>
        <w:ind w:firstLine="630" w:firstLineChars="210"/>
        <w:rPr>
          <w:sz w:val="30"/>
          <w:szCs w:val="30"/>
        </w:rPr>
      </w:pPr>
      <w:r>
        <w:rPr>
          <w:rFonts w:hint="eastAsia"/>
          <w:sz w:val="30"/>
          <w:szCs w:val="30"/>
        </w:rPr>
        <w:t>15.</w:t>
      </w:r>
      <w:r>
        <w:rPr>
          <w:sz w:val="30"/>
          <w:szCs w:val="30"/>
        </w:rPr>
        <w:t>承担主体功能区规划的编制职责。</w:t>
      </w:r>
    </w:p>
    <w:p w14:paraId="42C3C9C6">
      <w:pPr>
        <w:pStyle w:val="5"/>
        <w:adjustRightInd w:val="0"/>
        <w:snapToGrid w:val="0"/>
        <w:spacing w:before="72" w:line="560" w:lineRule="exact"/>
        <w:ind w:firstLine="630" w:firstLineChars="210"/>
        <w:rPr>
          <w:sz w:val="30"/>
          <w:szCs w:val="30"/>
        </w:rPr>
      </w:pPr>
      <w:r>
        <w:rPr>
          <w:rFonts w:hint="eastAsia"/>
          <w:sz w:val="30"/>
          <w:szCs w:val="30"/>
        </w:rPr>
        <w:t>16.</w:t>
      </w:r>
      <w:r>
        <w:rPr>
          <w:sz w:val="30"/>
          <w:szCs w:val="30"/>
        </w:rPr>
        <w:t xml:space="preserve">承担全区森林、水资源调查和确权登记管理 相应职责。 </w:t>
      </w:r>
    </w:p>
    <w:p w14:paraId="23BA7A7A">
      <w:pPr>
        <w:widowControl/>
        <w:adjustRightInd w:val="0"/>
        <w:snapToGrid w:val="0"/>
        <w:spacing w:line="578" w:lineRule="exact"/>
        <w:ind w:firstLine="600" w:firstLineChars="200"/>
        <w:contextualSpacing/>
        <w:jc w:val="left"/>
        <w:rPr>
          <w:sz w:val="30"/>
          <w:szCs w:val="30"/>
          <w:lang w:val="zh-CN"/>
        </w:rPr>
      </w:pPr>
      <w:r>
        <w:rPr>
          <w:rFonts w:hint="eastAsia"/>
          <w:sz w:val="30"/>
          <w:szCs w:val="30"/>
        </w:rPr>
        <w:t>17.</w:t>
      </w:r>
      <w:r>
        <w:rPr>
          <w:sz w:val="30"/>
          <w:szCs w:val="30"/>
        </w:rPr>
        <w:t>完成区委、区政府交办的其他任务。</w:t>
      </w:r>
    </w:p>
    <w:p w14:paraId="0F76296F">
      <w:pPr>
        <w:spacing w:line="600" w:lineRule="exact"/>
        <w:ind w:firstLine="602" w:firstLineChars="200"/>
        <w:rPr>
          <w:rFonts w:eastAsia="楷体_GB2312"/>
          <w:b/>
          <w:bCs/>
          <w:kern w:val="0"/>
          <w:sz w:val="30"/>
          <w:szCs w:val="30"/>
          <w:shd w:val="clear" w:color="auto" w:fill="FFFFFF"/>
          <w:lang w:val="zh-CN"/>
        </w:rPr>
      </w:pPr>
      <w:r>
        <w:rPr>
          <w:rFonts w:eastAsia="楷体_GB2312"/>
          <w:b/>
          <w:bCs/>
          <w:kern w:val="0"/>
          <w:sz w:val="30"/>
          <w:szCs w:val="30"/>
          <w:shd w:val="clear" w:color="auto" w:fill="FFFFFF"/>
          <w:lang w:val="zh-CN"/>
        </w:rPr>
        <w:t>（三）人员概况。</w:t>
      </w:r>
    </w:p>
    <w:p w14:paraId="0D98C797">
      <w:pPr>
        <w:spacing w:line="600" w:lineRule="exact"/>
        <w:ind w:firstLine="600" w:firstLineChars="200"/>
        <w:rPr>
          <w:sz w:val="30"/>
          <w:szCs w:val="30"/>
        </w:rPr>
      </w:pPr>
      <w:r>
        <w:rPr>
          <w:rFonts w:hint="eastAsia" w:ascii="楷体" w:hAnsi="楷体" w:eastAsia="楷体" w:cs="仿宋_GB2312"/>
          <w:sz w:val="30"/>
          <w:szCs w:val="30"/>
        </w:rPr>
        <w:t>仁和区林业局实有在职人数为29人，其中：机关在职人数为13名（行政12名，工勤1名），参公在职人数为2名，事业在职人数14名（管理人员和专业技术10名，工勤4名）。退休人员18名。</w:t>
      </w:r>
    </w:p>
    <w:p w14:paraId="0FD16555">
      <w:pPr>
        <w:widowControl/>
        <w:adjustRightInd w:val="0"/>
        <w:snapToGrid w:val="0"/>
        <w:spacing w:line="578" w:lineRule="exact"/>
        <w:ind w:firstLine="600" w:firstLineChars="200"/>
        <w:contextualSpacing/>
        <w:jc w:val="left"/>
        <w:rPr>
          <w:rFonts w:eastAsia="黑体"/>
          <w:kern w:val="0"/>
          <w:sz w:val="30"/>
          <w:szCs w:val="30"/>
          <w:shd w:val="clear" w:color="auto" w:fill="FFFFFF"/>
        </w:rPr>
      </w:pPr>
      <w:r>
        <w:rPr>
          <w:rFonts w:eastAsia="黑体"/>
          <w:kern w:val="0"/>
          <w:sz w:val="30"/>
          <w:szCs w:val="30"/>
          <w:shd w:val="clear" w:color="auto" w:fill="FFFFFF"/>
        </w:rPr>
        <w:t>二、部门资金收支情况</w:t>
      </w:r>
    </w:p>
    <w:p w14:paraId="44514F80">
      <w:pPr>
        <w:widowControl/>
        <w:adjustRightInd w:val="0"/>
        <w:snapToGrid w:val="0"/>
        <w:spacing w:line="578" w:lineRule="exact"/>
        <w:ind w:firstLine="602" w:firstLineChars="200"/>
        <w:contextualSpacing/>
        <w:jc w:val="left"/>
        <w:rPr>
          <w:rFonts w:eastAsia="楷体_GB2312"/>
          <w:b/>
          <w:bCs/>
          <w:kern w:val="0"/>
          <w:sz w:val="30"/>
          <w:szCs w:val="30"/>
          <w:shd w:val="clear" w:color="auto" w:fill="FFFFFF"/>
          <w:lang w:val="zh-CN"/>
        </w:rPr>
      </w:pPr>
      <w:r>
        <w:rPr>
          <w:rFonts w:eastAsia="楷体_GB2312"/>
          <w:b/>
          <w:bCs/>
          <w:kern w:val="0"/>
          <w:sz w:val="30"/>
          <w:szCs w:val="30"/>
          <w:shd w:val="clear" w:color="auto" w:fill="FFFFFF"/>
          <w:lang w:val="zh-CN"/>
        </w:rPr>
        <w:t>（一）收入情况。</w:t>
      </w:r>
    </w:p>
    <w:p w14:paraId="14048FC1">
      <w:pPr>
        <w:widowControl/>
        <w:adjustRightInd w:val="0"/>
        <w:snapToGrid w:val="0"/>
        <w:spacing w:line="578" w:lineRule="exact"/>
        <w:ind w:firstLine="600" w:firstLineChars="200"/>
        <w:contextualSpacing/>
        <w:jc w:val="left"/>
        <w:rPr>
          <w:rFonts w:eastAsia="楷体_GB2312"/>
          <w:b/>
          <w:bCs/>
          <w:kern w:val="0"/>
          <w:sz w:val="30"/>
          <w:szCs w:val="30"/>
          <w:shd w:val="clear" w:color="auto" w:fill="FFFFFF"/>
        </w:rPr>
      </w:pPr>
      <w:r>
        <w:rPr>
          <w:rFonts w:hint="eastAsia"/>
          <w:sz w:val="30"/>
          <w:szCs w:val="30"/>
        </w:rPr>
        <w:t>仁和区林业局2025年年初预算收入1269.93万元，决算收入合计7802.79万元。</w:t>
      </w:r>
    </w:p>
    <w:p w14:paraId="73AF6028">
      <w:pPr>
        <w:widowControl/>
        <w:adjustRightInd w:val="0"/>
        <w:snapToGrid w:val="0"/>
        <w:spacing w:line="578" w:lineRule="exact"/>
        <w:ind w:firstLine="602" w:firstLineChars="200"/>
        <w:contextualSpacing/>
        <w:jc w:val="left"/>
        <w:rPr>
          <w:sz w:val="30"/>
          <w:szCs w:val="30"/>
          <w:lang w:val="zh-CN"/>
        </w:rPr>
      </w:pPr>
      <w:r>
        <w:rPr>
          <w:rFonts w:eastAsia="楷体_GB2312"/>
          <w:b/>
          <w:bCs/>
          <w:kern w:val="0"/>
          <w:sz w:val="30"/>
          <w:szCs w:val="30"/>
          <w:shd w:val="clear" w:color="auto" w:fill="FFFFFF"/>
          <w:lang w:val="zh-CN"/>
        </w:rPr>
        <w:t>（二）支出情况。</w:t>
      </w:r>
      <w:r>
        <w:rPr>
          <w:rFonts w:hint="eastAsia" w:eastAsia="楷体_GB2312"/>
          <w:bCs/>
          <w:kern w:val="0"/>
          <w:sz w:val="30"/>
          <w:szCs w:val="30"/>
          <w:shd w:val="clear" w:color="auto" w:fill="FFFFFF"/>
          <w:lang w:val="zh-CN"/>
        </w:rPr>
        <w:t>仁和区林业局2025年年初预算支出1269.93万元，其中：基本支出719.93万元，项目支出550万元。决算支出7802.79万元，其中：基本支出737.13万元，项目支出7065.65万元。</w:t>
      </w:r>
    </w:p>
    <w:p w14:paraId="251667A1">
      <w:pPr>
        <w:widowControl/>
        <w:adjustRightInd w:val="0"/>
        <w:snapToGrid w:val="0"/>
        <w:spacing w:line="578" w:lineRule="exact"/>
        <w:ind w:firstLine="602" w:firstLineChars="200"/>
        <w:contextualSpacing/>
        <w:jc w:val="left"/>
        <w:rPr>
          <w:kern w:val="0"/>
          <w:sz w:val="30"/>
          <w:szCs w:val="30"/>
          <w:shd w:val="clear" w:color="auto" w:fill="FFFFFF"/>
          <w:lang w:val="zh-CN"/>
        </w:rPr>
      </w:pPr>
      <w:r>
        <w:rPr>
          <w:rFonts w:eastAsia="楷体_GB2312"/>
          <w:b/>
          <w:bCs/>
          <w:kern w:val="0"/>
          <w:sz w:val="30"/>
          <w:szCs w:val="30"/>
          <w:shd w:val="clear" w:color="auto" w:fill="FFFFFF"/>
          <w:lang w:val="zh-CN"/>
        </w:rPr>
        <w:t>（三）</w:t>
      </w:r>
      <w:r>
        <w:rPr>
          <w:rFonts w:eastAsia="楷体_GB2312"/>
          <w:b/>
          <w:sz w:val="30"/>
          <w:szCs w:val="30"/>
        </w:rPr>
        <w:t>结余分配和结转结余情况。</w:t>
      </w:r>
      <w:r>
        <w:rPr>
          <w:rFonts w:hint="eastAsia"/>
          <w:sz w:val="30"/>
          <w:szCs w:val="30"/>
        </w:rPr>
        <w:t>2025年决算结转结余资金0万元。</w:t>
      </w:r>
    </w:p>
    <w:p w14:paraId="47CB8AA2">
      <w:pPr>
        <w:widowControl/>
        <w:adjustRightInd w:val="0"/>
        <w:snapToGrid w:val="0"/>
        <w:spacing w:line="578" w:lineRule="exact"/>
        <w:ind w:firstLine="600" w:firstLineChars="200"/>
        <w:contextualSpacing/>
        <w:jc w:val="left"/>
        <w:rPr>
          <w:rFonts w:eastAsia="黑体"/>
          <w:kern w:val="0"/>
          <w:sz w:val="30"/>
          <w:szCs w:val="30"/>
          <w:shd w:val="clear" w:color="auto" w:fill="FFFFFF"/>
        </w:rPr>
      </w:pPr>
      <w:r>
        <w:rPr>
          <w:rFonts w:eastAsia="黑体"/>
          <w:kern w:val="0"/>
          <w:sz w:val="30"/>
          <w:szCs w:val="30"/>
          <w:shd w:val="clear" w:color="auto" w:fill="FFFFFF"/>
        </w:rPr>
        <w:t>三、部门预算绩效分析</w:t>
      </w:r>
    </w:p>
    <w:p w14:paraId="3337259F">
      <w:pPr>
        <w:adjustRightInd w:val="0"/>
        <w:snapToGrid w:val="0"/>
        <w:spacing w:line="578" w:lineRule="exact"/>
        <w:ind w:firstLine="602" w:firstLineChars="200"/>
        <w:contextualSpacing/>
        <w:jc w:val="left"/>
        <w:rPr>
          <w:kern w:val="0"/>
          <w:sz w:val="30"/>
          <w:szCs w:val="30"/>
          <w:shd w:val="clear" w:color="auto" w:fill="FFFFFF"/>
          <w:lang w:val="zh-CN"/>
        </w:rPr>
      </w:pPr>
      <w:r>
        <w:rPr>
          <w:rFonts w:eastAsia="楷体_GB2312"/>
          <w:b/>
          <w:bCs/>
          <w:kern w:val="0"/>
          <w:sz w:val="30"/>
          <w:szCs w:val="30"/>
          <w:shd w:val="clear" w:color="auto" w:fill="FFFFFF"/>
          <w:lang w:val="zh-CN"/>
        </w:rPr>
        <w:t>（一）部门预算总体绩效分析。</w:t>
      </w:r>
    </w:p>
    <w:p w14:paraId="227E59C7">
      <w:pPr>
        <w:adjustRightInd w:val="0"/>
        <w:snapToGrid w:val="0"/>
        <w:spacing w:line="578" w:lineRule="exact"/>
        <w:ind w:firstLine="600" w:firstLineChars="200"/>
        <w:contextualSpacing/>
        <w:jc w:val="left"/>
        <w:rPr>
          <w:kern w:val="0"/>
          <w:sz w:val="30"/>
          <w:szCs w:val="30"/>
          <w:shd w:val="clear" w:color="auto" w:fill="FFFFFF"/>
          <w:lang w:val="zh-CN"/>
        </w:rPr>
      </w:pPr>
      <w:r>
        <w:rPr>
          <w:rFonts w:eastAsia="楷体_GB2312"/>
          <w:kern w:val="0"/>
          <w:sz w:val="30"/>
          <w:szCs w:val="30"/>
          <w:shd w:val="clear" w:color="auto" w:fill="FFFFFF"/>
        </w:rPr>
        <w:t>1.</w:t>
      </w:r>
      <w:r>
        <w:rPr>
          <w:rFonts w:eastAsia="楷体_GB2312"/>
          <w:kern w:val="0"/>
          <w:sz w:val="30"/>
          <w:szCs w:val="30"/>
          <w:shd w:val="clear" w:color="auto" w:fill="FFFFFF"/>
          <w:lang w:val="zh-CN"/>
        </w:rPr>
        <w:t>履职效能。</w:t>
      </w:r>
      <w:r>
        <w:rPr>
          <w:rFonts w:hint="eastAsia"/>
          <w:kern w:val="0"/>
          <w:sz w:val="30"/>
          <w:szCs w:val="30"/>
          <w:shd w:val="clear" w:color="auto" w:fill="FFFFFF"/>
          <w:lang w:val="zh-CN"/>
        </w:rPr>
        <w:t>辖区内森林环境得到有效保护，生物多样性得到保护，公众自然保护意识得到提高，自然环境管理能力、管理质量和管理水平得到提高，发挥了辖区内生态环境保护宣传教育、自然科学普及作用。自评得分15分。</w:t>
      </w:r>
    </w:p>
    <w:p w14:paraId="6EB64851">
      <w:pPr>
        <w:adjustRightInd w:val="0"/>
        <w:snapToGrid w:val="0"/>
        <w:spacing w:line="578" w:lineRule="exact"/>
        <w:ind w:firstLine="600" w:firstLineChars="200"/>
        <w:contextualSpacing/>
        <w:jc w:val="left"/>
        <w:rPr>
          <w:kern w:val="0"/>
          <w:sz w:val="30"/>
          <w:szCs w:val="30"/>
          <w:shd w:val="clear" w:color="auto" w:fill="FFFFFF"/>
          <w:lang w:val="zh-CN"/>
        </w:rPr>
      </w:pPr>
      <w:r>
        <w:rPr>
          <w:rFonts w:eastAsia="楷体_GB2312"/>
          <w:kern w:val="0"/>
          <w:sz w:val="30"/>
          <w:szCs w:val="30"/>
          <w:shd w:val="clear" w:color="auto" w:fill="FFFFFF"/>
        </w:rPr>
        <w:t>2.</w:t>
      </w:r>
      <w:r>
        <w:rPr>
          <w:rFonts w:eastAsia="楷体_GB2312"/>
          <w:kern w:val="0"/>
          <w:sz w:val="30"/>
          <w:szCs w:val="30"/>
          <w:shd w:val="clear" w:color="auto" w:fill="FFFFFF"/>
          <w:lang w:val="zh-CN"/>
        </w:rPr>
        <w:t>预算管理。</w:t>
      </w:r>
      <w:r>
        <w:rPr>
          <w:rFonts w:hint="eastAsia"/>
          <w:kern w:val="0"/>
          <w:sz w:val="30"/>
          <w:szCs w:val="30"/>
          <w:shd w:val="clear" w:color="auto" w:fill="FFFFFF"/>
          <w:lang w:val="zh-CN"/>
        </w:rPr>
        <w:t>严格按照《预算法》相关要求编制年初部门预算，年初预算编制的科学性较好。预算执行情况未能达到</w:t>
      </w:r>
      <w:r>
        <w:rPr>
          <w:kern w:val="0"/>
          <w:sz w:val="30"/>
          <w:szCs w:val="30"/>
          <w:shd w:val="clear" w:color="auto" w:fill="FFFFFF"/>
          <w:lang w:val="zh-CN"/>
        </w:rPr>
        <w:t>100%</w:t>
      </w:r>
      <w:r>
        <w:rPr>
          <w:rFonts w:hint="eastAsia"/>
          <w:kern w:val="0"/>
          <w:sz w:val="30"/>
          <w:szCs w:val="30"/>
          <w:shd w:val="clear" w:color="auto" w:fill="FFFFFF"/>
          <w:lang w:val="zh-CN"/>
        </w:rPr>
        <w:t>，整体年终预算结余较少。严格控制“三公”经费、培训、差旅、办公设备购置、等一般性支出情况，未超额度支出。自评得分23分。</w:t>
      </w:r>
    </w:p>
    <w:p w14:paraId="06897CED">
      <w:pPr>
        <w:adjustRightInd w:val="0"/>
        <w:snapToGrid w:val="0"/>
        <w:spacing w:line="578" w:lineRule="exact"/>
        <w:ind w:firstLine="600" w:firstLineChars="200"/>
        <w:contextualSpacing/>
        <w:jc w:val="left"/>
        <w:rPr>
          <w:rFonts w:eastAsia="楷体_GB2312"/>
          <w:kern w:val="0"/>
          <w:sz w:val="30"/>
          <w:szCs w:val="30"/>
          <w:shd w:val="clear" w:color="auto" w:fill="FFFFFF"/>
          <w:lang w:val="zh-CN"/>
        </w:rPr>
      </w:pPr>
      <w:r>
        <w:rPr>
          <w:rFonts w:eastAsia="楷体_GB2312"/>
          <w:kern w:val="0"/>
          <w:sz w:val="30"/>
          <w:szCs w:val="30"/>
          <w:shd w:val="clear" w:color="auto" w:fill="FFFFFF"/>
        </w:rPr>
        <w:t>3.</w:t>
      </w:r>
      <w:r>
        <w:rPr>
          <w:rFonts w:eastAsia="楷体_GB2312"/>
          <w:kern w:val="0"/>
          <w:sz w:val="30"/>
          <w:szCs w:val="30"/>
          <w:shd w:val="clear" w:color="auto" w:fill="FFFFFF"/>
          <w:lang w:val="zh-CN"/>
        </w:rPr>
        <w:t>财务管理。</w:t>
      </w:r>
      <w:r>
        <w:rPr>
          <w:rFonts w:hint="eastAsia"/>
          <w:kern w:val="0"/>
          <w:sz w:val="30"/>
          <w:szCs w:val="30"/>
          <w:shd w:val="clear" w:color="auto" w:fill="FFFFFF"/>
          <w:lang w:val="zh-CN"/>
        </w:rPr>
        <w:t>严格遵守单位项目管理制度、内控制度、财务管理制度、政府采购管理制度，严格财经纪律，财务报账实行项目管理、分管领导、单位负责人联签制管理，同时主动接受上级主管部门、财政和纪检监察部门的监督管理。自评得分10分。</w:t>
      </w:r>
    </w:p>
    <w:p w14:paraId="1559CCF9">
      <w:pPr>
        <w:adjustRightInd w:val="0"/>
        <w:snapToGrid w:val="0"/>
        <w:spacing w:line="578" w:lineRule="exact"/>
        <w:ind w:firstLine="600" w:firstLineChars="200"/>
        <w:contextualSpacing/>
        <w:jc w:val="left"/>
        <w:rPr>
          <w:kern w:val="0"/>
          <w:sz w:val="30"/>
          <w:szCs w:val="30"/>
          <w:shd w:val="clear" w:color="auto" w:fill="FFFFFF"/>
          <w:lang w:val="zh-CN"/>
        </w:rPr>
      </w:pPr>
      <w:r>
        <w:rPr>
          <w:rFonts w:eastAsia="楷体_GB2312"/>
          <w:kern w:val="0"/>
          <w:sz w:val="30"/>
          <w:szCs w:val="30"/>
          <w:shd w:val="clear" w:color="auto" w:fill="FFFFFF"/>
        </w:rPr>
        <w:t>4.</w:t>
      </w:r>
      <w:r>
        <w:rPr>
          <w:rFonts w:eastAsia="楷体_GB2312"/>
          <w:kern w:val="0"/>
          <w:sz w:val="30"/>
          <w:szCs w:val="30"/>
          <w:shd w:val="clear" w:color="auto" w:fill="FFFFFF"/>
          <w:lang w:val="zh-CN"/>
        </w:rPr>
        <w:t>资产管理。</w:t>
      </w:r>
      <w:r>
        <w:rPr>
          <w:rFonts w:hint="eastAsia"/>
          <w:kern w:val="0"/>
          <w:sz w:val="30"/>
          <w:szCs w:val="30"/>
          <w:shd w:val="clear" w:color="auto" w:fill="FFFFFF"/>
          <w:lang w:val="zh-CN"/>
        </w:rPr>
        <w:t>单位资产均为在用，无闲置资产。自评得分9分。</w:t>
      </w:r>
    </w:p>
    <w:p w14:paraId="0A583174">
      <w:pPr>
        <w:adjustRightInd w:val="0"/>
        <w:snapToGrid w:val="0"/>
        <w:spacing w:line="578" w:lineRule="exact"/>
        <w:ind w:firstLine="600" w:firstLineChars="200"/>
        <w:contextualSpacing/>
        <w:jc w:val="left"/>
        <w:rPr>
          <w:rFonts w:eastAsia="楷体_GB2312"/>
          <w:kern w:val="0"/>
          <w:sz w:val="30"/>
          <w:szCs w:val="30"/>
          <w:shd w:val="clear" w:color="auto" w:fill="FFFFFF"/>
          <w:lang w:val="zh-CN"/>
        </w:rPr>
      </w:pPr>
      <w:r>
        <w:rPr>
          <w:rFonts w:eastAsia="楷体_GB2312"/>
          <w:kern w:val="0"/>
          <w:sz w:val="30"/>
          <w:szCs w:val="30"/>
          <w:shd w:val="clear" w:color="auto" w:fill="FFFFFF"/>
        </w:rPr>
        <w:t>5.</w:t>
      </w:r>
      <w:r>
        <w:rPr>
          <w:rFonts w:eastAsia="楷体_GB2312"/>
          <w:kern w:val="0"/>
          <w:sz w:val="30"/>
          <w:szCs w:val="30"/>
          <w:shd w:val="clear" w:color="auto" w:fill="FFFFFF"/>
          <w:lang w:val="zh-CN"/>
        </w:rPr>
        <w:t>采购管理。</w:t>
      </w:r>
      <w:r>
        <w:rPr>
          <w:rFonts w:hint="eastAsia"/>
          <w:kern w:val="0"/>
          <w:sz w:val="30"/>
          <w:szCs w:val="30"/>
          <w:shd w:val="clear" w:color="auto" w:fill="FFFFFF"/>
          <w:lang w:val="zh-CN"/>
        </w:rPr>
        <w:t>单位严格执行政府采购，促进中小企业发展相关管理办法，对中小企业预留100%的采购份额。自评得分5分。</w:t>
      </w:r>
    </w:p>
    <w:p w14:paraId="40798CAA">
      <w:pPr>
        <w:widowControl/>
        <w:adjustRightInd w:val="0"/>
        <w:snapToGrid w:val="0"/>
        <w:spacing w:line="578" w:lineRule="exact"/>
        <w:ind w:firstLine="602" w:firstLineChars="200"/>
        <w:contextualSpacing/>
        <w:jc w:val="left"/>
        <w:rPr>
          <w:kern w:val="0"/>
          <w:sz w:val="30"/>
          <w:szCs w:val="30"/>
          <w:shd w:val="clear" w:color="auto" w:fill="FFFFFF"/>
        </w:rPr>
      </w:pPr>
      <w:r>
        <w:rPr>
          <w:rFonts w:eastAsia="楷体_GB2312"/>
          <w:b/>
          <w:bCs/>
          <w:kern w:val="0"/>
          <w:sz w:val="30"/>
          <w:szCs w:val="30"/>
          <w:shd w:val="clear" w:color="auto" w:fill="FFFFFF"/>
          <w:lang w:val="zh-CN"/>
        </w:rPr>
        <w:t>（二）部门预算项目绩效分析。</w:t>
      </w:r>
      <w:r>
        <w:rPr>
          <w:kern w:val="0"/>
          <w:sz w:val="30"/>
          <w:szCs w:val="30"/>
          <w:shd w:val="clear" w:color="auto" w:fill="FFFFFF"/>
          <w:lang w:val="zh-CN"/>
        </w:rPr>
        <w:t>填报以下数据，并根据部门预算绩效评价指标体系“项目绩效”涉及二、三级指标进行逐项绩效分析并评分，依次包括项目</w:t>
      </w:r>
      <w:r>
        <w:rPr>
          <w:kern w:val="0"/>
          <w:sz w:val="30"/>
          <w:szCs w:val="30"/>
          <w:shd w:val="clear" w:color="auto" w:fill="FFFFFF"/>
        </w:rPr>
        <w:t>决策、项目执行、目标实现等情况。</w:t>
      </w:r>
    </w:p>
    <w:p w14:paraId="7953CAA6">
      <w:pPr>
        <w:adjustRightInd w:val="0"/>
        <w:snapToGrid w:val="0"/>
        <w:spacing w:line="578" w:lineRule="exact"/>
        <w:ind w:firstLine="600" w:firstLineChars="200"/>
        <w:contextualSpacing/>
        <w:jc w:val="left"/>
        <w:rPr>
          <w:kern w:val="0"/>
          <w:sz w:val="30"/>
          <w:szCs w:val="30"/>
          <w:shd w:val="clear" w:color="auto" w:fill="FFFFFF"/>
          <w:lang w:val="zh-CN"/>
        </w:rPr>
      </w:pPr>
      <w:r>
        <w:rPr>
          <w:kern w:val="0"/>
          <w:sz w:val="30"/>
          <w:szCs w:val="30"/>
          <w:shd w:val="clear" w:color="auto" w:fill="FFFFFF"/>
        </w:rPr>
        <w:t>常年项目绩效分析。</w:t>
      </w:r>
      <w:r>
        <w:rPr>
          <w:kern w:val="0"/>
          <w:sz w:val="30"/>
          <w:szCs w:val="30"/>
          <w:shd w:val="clear" w:color="auto" w:fill="FFFFFF"/>
          <w:lang w:val="zh-CN"/>
        </w:rPr>
        <w:t>该类项目总数</w:t>
      </w:r>
      <w:r>
        <w:rPr>
          <w:rFonts w:hint="eastAsia"/>
          <w:kern w:val="0"/>
          <w:sz w:val="30"/>
          <w:szCs w:val="30"/>
          <w:shd w:val="clear" w:color="auto" w:fill="FFFFFF"/>
        </w:rPr>
        <w:t>1</w:t>
      </w:r>
      <w:r>
        <w:rPr>
          <w:kern w:val="0"/>
          <w:sz w:val="30"/>
          <w:szCs w:val="30"/>
          <w:shd w:val="clear" w:color="auto" w:fill="FFFFFF"/>
          <w:lang w:val="zh-CN"/>
        </w:rPr>
        <w:t>个，涉及预算总金额</w:t>
      </w:r>
      <w:r>
        <w:rPr>
          <w:rFonts w:hint="eastAsia"/>
          <w:kern w:val="0"/>
          <w:sz w:val="30"/>
          <w:szCs w:val="30"/>
          <w:shd w:val="clear" w:color="auto" w:fill="FFFFFF"/>
        </w:rPr>
        <w:t>385</w:t>
      </w:r>
      <w:r>
        <w:rPr>
          <w:kern w:val="0"/>
          <w:sz w:val="30"/>
          <w:szCs w:val="30"/>
          <w:shd w:val="clear" w:color="auto" w:fill="FFFFFF"/>
          <w:lang w:val="zh-CN"/>
        </w:rPr>
        <w:t>万元，1</w:t>
      </w:r>
      <w:r>
        <w:rPr>
          <w:rFonts w:hint="eastAsia"/>
          <w:kern w:val="0"/>
          <w:sz w:val="30"/>
          <w:szCs w:val="30"/>
          <w:shd w:val="clear" w:color="auto" w:fill="FFFFFF"/>
          <w:lang w:val="zh-CN"/>
        </w:rPr>
        <w:t>—</w:t>
      </w:r>
      <w:r>
        <w:rPr>
          <w:kern w:val="0"/>
          <w:sz w:val="30"/>
          <w:szCs w:val="30"/>
          <w:shd w:val="clear" w:color="auto" w:fill="FFFFFF"/>
          <w:lang w:val="zh-CN"/>
        </w:rPr>
        <w:t>1</w:t>
      </w:r>
      <w:r>
        <w:rPr>
          <w:kern w:val="0"/>
          <w:sz w:val="30"/>
          <w:szCs w:val="30"/>
          <w:shd w:val="clear" w:color="auto" w:fill="FFFFFF"/>
        </w:rPr>
        <w:t>2</w:t>
      </w:r>
      <w:r>
        <w:rPr>
          <w:kern w:val="0"/>
          <w:sz w:val="30"/>
          <w:szCs w:val="30"/>
          <w:shd w:val="clear" w:color="auto" w:fill="FFFFFF"/>
          <w:lang w:val="zh-CN"/>
        </w:rPr>
        <w:t>月预算执行总体进度为</w:t>
      </w:r>
      <w:r>
        <w:rPr>
          <w:rFonts w:hint="eastAsia"/>
          <w:kern w:val="0"/>
          <w:sz w:val="30"/>
          <w:szCs w:val="30"/>
          <w:shd w:val="clear" w:color="auto" w:fill="FFFFFF"/>
        </w:rPr>
        <w:t>12.9</w:t>
      </w:r>
      <w:r>
        <w:rPr>
          <w:kern w:val="0"/>
          <w:sz w:val="30"/>
          <w:szCs w:val="30"/>
          <w:shd w:val="clear" w:color="auto" w:fill="FFFFFF"/>
          <w:lang w:val="zh-CN"/>
        </w:rPr>
        <w:t>%，其中：预算结余率大于</w:t>
      </w:r>
      <w:r>
        <w:rPr>
          <w:kern w:val="0"/>
          <w:sz w:val="30"/>
          <w:szCs w:val="30"/>
          <w:shd w:val="clear" w:color="auto" w:fill="FFFFFF"/>
        </w:rPr>
        <w:t>10%</w:t>
      </w:r>
      <w:r>
        <w:rPr>
          <w:kern w:val="0"/>
          <w:sz w:val="30"/>
          <w:szCs w:val="30"/>
          <w:shd w:val="clear" w:color="auto" w:fill="FFFFFF"/>
          <w:lang w:val="zh-CN"/>
        </w:rPr>
        <w:t>的项目共计</w:t>
      </w:r>
      <w:r>
        <w:rPr>
          <w:rFonts w:hint="eastAsia"/>
          <w:kern w:val="0"/>
          <w:sz w:val="30"/>
          <w:szCs w:val="30"/>
          <w:shd w:val="clear" w:color="auto" w:fill="FFFFFF"/>
        </w:rPr>
        <w:t>1</w:t>
      </w:r>
      <w:r>
        <w:rPr>
          <w:kern w:val="0"/>
          <w:sz w:val="30"/>
          <w:szCs w:val="30"/>
          <w:shd w:val="clear" w:color="auto" w:fill="FFFFFF"/>
          <w:lang w:val="zh-CN"/>
        </w:rPr>
        <w:t>个。</w:t>
      </w:r>
    </w:p>
    <w:p w14:paraId="78DDF288">
      <w:pPr>
        <w:adjustRightInd w:val="0"/>
        <w:snapToGrid w:val="0"/>
        <w:spacing w:line="578" w:lineRule="exact"/>
        <w:ind w:firstLine="600" w:firstLineChars="200"/>
        <w:contextualSpacing/>
        <w:jc w:val="left"/>
        <w:rPr>
          <w:kern w:val="0"/>
          <w:sz w:val="30"/>
          <w:szCs w:val="30"/>
          <w:shd w:val="clear" w:color="auto" w:fill="FFFFFF"/>
          <w:lang w:val="zh-CN"/>
        </w:rPr>
      </w:pPr>
      <w:r>
        <w:rPr>
          <w:kern w:val="0"/>
          <w:sz w:val="30"/>
          <w:szCs w:val="30"/>
          <w:shd w:val="clear" w:color="auto" w:fill="FFFFFF"/>
        </w:rPr>
        <w:t>阶段（</w:t>
      </w:r>
      <w:r>
        <w:rPr>
          <w:rFonts w:hint="eastAsia"/>
          <w:kern w:val="0"/>
          <w:sz w:val="30"/>
          <w:szCs w:val="30"/>
          <w:shd w:val="clear" w:color="auto" w:fill="FFFFFF"/>
        </w:rPr>
        <w:t>含</w:t>
      </w:r>
      <w:r>
        <w:rPr>
          <w:kern w:val="0"/>
          <w:sz w:val="30"/>
          <w:szCs w:val="30"/>
          <w:shd w:val="clear" w:color="auto" w:fill="FFFFFF"/>
        </w:rPr>
        <w:t>一次性）项目绩效分析。</w:t>
      </w:r>
      <w:r>
        <w:rPr>
          <w:kern w:val="0"/>
          <w:sz w:val="30"/>
          <w:szCs w:val="30"/>
          <w:shd w:val="clear" w:color="auto" w:fill="FFFFFF"/>
          <w:lang w:val="zh-CN"/>
        </w:rPr>
        <w:t>该类项目总数</w:t>
      </w:r>
      <w:r>
        <w:rPr>
          <w:rFonts w:hint="eastAsia"/>
          <w:kern w:val="0"/>
          <w:sz w:val="30"/>
          <w:szCs w:val="30"/>
          <w:shd w:val="clear" w:color="auto" w:fill="FFFFFF"/>
        </w:rPr>
        <w:t>2</w:t>
      </w:r>
      <w:r>
        <w:rPr>
          <w:kern w:val="0"/>
          <w:sz w:val="30"/>
          <w:szCs w:val="30"/>
          <w:shd w:val="clear" w:color="auto" w:fill="FFFFFF"/>
          <w:lang w:val="zh-CN"/>
        </w:rPr>
        <w:t>个，涉及预算总金额</w:t>
      </w:r>
      <w:r>
        <w:rPr>
          <w:rFonts w:hint="eastAsia"/>
          <w:kern w:val="0"/>
          <w:sz w:val="30"/>
          <w:szCs w:val="30"/>
          <w:shd w:val="clear" w:color="auto" w:fill="FFFFFF"/>
        </w:rPr>
        <w:t>56.92</w:t>
      </w:r>
      <w:r>
        <w:rPr>
          <w:kern w:val="0"/>
          <w:sz w:val="30"/>
          <w:szCs w:val="30"/>
          <w:shd w:val="clear" w:color="auto" w:fill="FFFFFF"/>
          <w:lang w:val="zh-CN"/>
        </w:rPr>
        <w:t>万元，1</w:t>
      </w:r>
      <w:r>
        <w:rPr>
          <w:rFonts w:hint="eastAsia"/>
          <w:kern w:val="0"/>
          <w:sz w:val="30"/>
          <w:szCs w:val="30"/>
          <w:shd w:val="clear" w:color="auto" w:fill="FFFFFF"/>
          <w:lang w:val="zh-CN"/>
        </w:rPr>
        <w:t>—</w:t>
      </w:r>
      <w:r>
        <w:rPr>
          <w:kern w:val="0"/>
          <w:sz w:val="30"/>
          <w:szCs w:val="30"/>
          <w:shd w:val="clear" w:color="auto" w:fill="FFFFFF"/>
          <w:lang w:val="zh-CN"/>
        </w:rPr>
        <w:t>1</w:t>
      </w:r>
      <w:r>
        <w:rPr>
          <w:kern w:val="0"/>
          <w:sz w:val="30"/>
          <w:szCs w:val="30"/>
          <w:shd w:val="clear" w:color="auto" w:fill="FFFFFF"/>
        </w:rPr>
        <w:t>2</w:t>
      </w:r>
      <w:r>
        <w:rPr>
          <w:kern w:val="0"/>
          <w:sz w:val="30"/>
          <w:szCs w:val="30"/>
          <w:shd w:val="clear" w:color="auto" w:fill="FFFFFF"/>
          <w:lang w:val="zh-CN"/>
        </w:rPr>
        <w:t>月预算执行总体进度为</w:t>
      </w:r>
      <w:r>
        <w:rPr>
          <w:rFonts w:hint="eastAsia"/>
          <w:kern w:val="0"/>
          <w:sz w:val="30"/>
          <w:szCs w:val="30"/>
          <w:shd w:val="clear" w:color="auto" w:fill="FFFFFF"/>
        </w:rPr>
        <w:t>37.75</w:t>
      </w:r>
      <w:r>
        <w:rPr>
          <w:kern w:val="0"/>
          <w:sz w:val="30"/>
          <w:szCs w:val="30"/>
          <w:shd w:val="clear" w:color="auto" w:fill="FFFFFF"/>
          <w:lang w:val="zh-CN"/>
        </w:rPr>
        <w:t>%，其中：预算结余率大于</w:t>
      </w:r>
      <w:r>
        <w:rPr>
          <w:kern w:val="0"/>
          <w:sz w:val="30"/>
          <w:szCs w:val="30"/>
          <w:shd w:val="clear" w:color="auto" w:fill="FFFFFF"/>
        </w:rPr>
        <w:t>10%</w:t>
      </w:r>
      <w:r>
        <w:rPr>
          <w:kern w:val="0"/>
          <w:sz w:val="30"/>
          <w:szCs w:val="30"/>
          <w:shd w:val="clear" w:color="auto" w:fill="FFFFFF"/>
          <w:lang w:val="zh-CN"/>
        </w:rPr>
        <w:t>的项目共计</w:t>
      </w:r>
      <w:r>
        <w:rPr>
          <w:rFonts w:hint="eastAsia"/>
          <w:kern w:val="0"/>
          <w:sz w:val="30"/>
          <w:szCs w:val="30"/>
          <w:shd w:val="clear" w:color="auto" w:fill="FFFFFF"/>
        </w:rPr>
        <w:t>1</w:t>
      </w:r>
      <w:r>
        <w:rPr>
          <w:kern w:val="0"/>
          <w:sz w:val="30"/>
          <w:szCs w:val="30"/>
          <w:shd w:val="clear" w:color="auto" w:fill="FFFFFF"/>
          <w:lang w:val="zh-CN"/>
        </w:rPr>
        <w:t>个。</w:t>
      </w:r>
    </w:p>
    <w:p w14:paraId="68B22EFD">
      <w:pPr>
        <w:adjustRightInd w:val="0"/>
        <w:snapToGrid w:val="0"/>
        <w:spacing w:line="578" w:lineRule="exact"/>
        <w:ind w:firstLine="600" w:firstLineChars="200"/>
        <w:contextualSpacing/>
        <w:jc w:val="left"/>
        <w:rPr>
          <w:kern w:val="0"/>
          <w:sz w:val="30"/>
          <w:szCs w:val="30"/>
          <w:shd w:val="clear" w:color="auto" w:fill="FFFFFF"/>
          <w:lang w:val="zh-CN"/>
        </w:rPr>
      </w:pPr>
      <w:r>
        <w:rPr>
          <w:rFonts w:eastAsia="楷体_GB2312"/>
          <w:kern w:val="0"/>
          <w:sz w:val="30"/>
          <w:szCs w:val="30"/>
          <w:shd w:val="clear" w:color="auto" w:fill="FFFFFF"/>
        </w:rPr>
        <w:t>1.</w:t>
      </w:r>
      <w:r>
        <w:rPr>
          <w:rFonts w:eastAsia="楷体_GB2312"/>
          <w:kern w:val="0"/>
          <w:sz w:val="30"/>
          <w:szCs w:val="30"/>
          <w:shd w:val="clear" w:color="auto" w:fill="FFFFFF"/>
          <w:lang w:val="zh-CN"/>
        </w:rPr>
        <w:t>项目决策。</w:t>
      </w:r>
      <w:r>
        <w:rPr>
          <w:rFonts w:hint="eastAsia"/>
          <w:kern w:val="0"/>
          <w:sz w:val="30"/>
          <w:szCs w:val="30"/>
          <w:shd w:val="clear" w:color="auto" w:fill="FFFFFF"/>
          <w:lang w:val="zh-CN"/>
        </w:rPr>
        <w:t>部门预算项目绩效目标与计划期内的任务量、预算安排的资金量匹配度高，绩效目标设置科学合理、规范完整，进行了量化细化。在规定时间完成了项目入库。自评得分12分。</w:t>
      </w:r>
    </w:p>
    <w:p w14:paraId="356D1BDD">
      <w:pPr>
        <w:adjustRightInd w:val="0"/>
        <w:snapToGrid w:val="0"/>
        <w:spacing w:line="578" w:lineRule="exact"/>
        <w:ind w:firstLine="600" w:firstLineChars="200"/>
        <w:contextualSpacing/>
        <w:jc w:val="left"/>
        <w:rPr>
          <w:rFonts w:eastAsia="楷体_GB2312"/>
          <w:kern w:val="0"/>
          <w:sz w:val="30"/>
          <w:szCs w:val="30"/>
          <w:shd w:val="clear" w:color="auto" w:fill="FFFFFF"/>
          <w:lang w:val="zh-CN"/>
        </w:rPr>
      </w:pPr>
      <w:r>
        <w:rPr>
          <w:rFonts w:eastAsia="楷体_GB2312"/>
          <w:kern w:val="0"/>
          <w:sz w:val="30"/>
          <w:szCs w:val="30"/>
          <w:shd w:val="clear" w:color="auto" w:fill="FFFFFF"/>
        </w:rPr>
        <w:t>2.项目执行</w:t>
      </w:r>
      <w:r>
        <w:rPr>
          <w:rFonts w:eastAsia="楷体_GB2312"/>
          <w:kern w:val="0"/>
          <w:sz w:val="30"/>
          <w:szCs w:val="30"/>
          <w:shd w:val="clear" w:color="auto" w:fill="FFFFFF"/>
          <w:lang w:val="zh-CN"/>
        </w:rPr>
        <w:t>。</w:t>
      </w:r>
      <w:r>
        <w:rPr>
          <w:rFonts w:hint="eastAsia"/>
          <w:kern w:val="0"/>
          <w:sz w:val="30"/>
          <w:szCs w:val="30"/>
          <w:shd w:val="clear" w:color="auto" w:fill="FFFFFF"/>
          <w:lang w:val="zh-CN"/>
        </w:rPr>
        <w:t>部门预算项目实际列支内容与绩效目标设置方向相符，未进行相关调整。预算执行情况良好，执行率达100%。自评得分12分。</w:t>
      </w:r>
    </w:p>
    <w:p w14:paraId="2FB64D2E">
      <w:pPr>
        <w:adjustRightInd w:val="0"/>
        <w:snapToGrid w:val="0"/>
        <w:spacing w:line="578" w:lineRule="exact"/>
        <w:ind w:firstLine="600" w:firstLineChars="200"/>
        <w:contextualSpacing/>
        <w:jc w:val="left"/>
        <w:rPr>
          <w:rFonts w:eastAsia="楷体_GB2312"/>
          <w:kern w:val="0"/>
          <w:sz w:val="30"/>
          <w:szCs w:val="30"/>
          <w:shd w:val="clear" w:color="auto" w:fill="FFFFFF"/>
          <w:lang w:val="zh-CN"/>
        </w:rPr>
      </w:pPr>
      <w:r>
        <w:rPr>
          <w:rFonts w:eastAsia="楷体_GB2312"/>
          <w:kern w:val="0"/>
          <w:sz w:val="30"/>
          <w:szCs w:val="30"/>
          <w:shd w:val="clear" w:color="auto" w:fill="FFFFFF"/>
        </w:rPr>
        <w:t>3.</w:t>
      </w:r>
      <w:r>
        <w:rPr>
          <w:rFonts w:eastAsia="楷体_GB2312"/>
          <w:kern w:val="0"/>
          <w:sz w:val="30"/>
          <w:szCs w:val="30"/>
          <w:shd w:val="clear" w:color="auto" w:fill="FFFFFF"/>
          <w:lang w:val="zh-CN"/>
        </w:rPr>
        <w:t>目标实现。</w:t>
      </w:r>
      <w:r>
        <w:rPr>
          <w:rFonts w:hint="eastAsia"/>
          <w:kern w:val="0"/>
          <w:sz w:val="30"/>
          <w:szCs w:val="30"/>
          <w:shd w:val="clear" w:color="auto" w:fill="FFFFFF"/>
          <w:lang w:val="zh-CN"/>
        </w:rPr>
        <w:t>绩效目标数量指标全部完成，指标实现程度与预期目标无偏离，效益指标实施情况良好，自评得分11分。</w:t>
      </w:r>
    </w:p>
    <w:p w14:paraId="5D752F27">
      <w:pPr>
        <w:snapToGrid w:val="0"/>
        <w:spacing w:line="600" w:lineRule="exact"/>
        <w:ind w:firstLine="602" w:firstLineChars="200"/>
        <w:rPr>
          <w:rFonts w:eastAsia="楷体_GB2312"/>
          <w:b/>
          <w:bCs/>
          <w:sz w:val="30"/>
          <w:szCs w:val="30"/>
          <w:lang w:val="zh-CN"/>
        </w:rPr>
      </w:pPr>
      <w:r>
        <w:rPr>
          <w:rFonts w:eastAsia="楷体_GB2312"/>
          <w:b/>
          <w:bCs/>
          <w:kern w:val="0"/>
          <w:sz w:val="30"/>
          <w:szCs w:val="30"/>
          <w:shd w:val="clear" w:color="auto" w:fill="FFFFFF"/>
          <w:lang w:val="zh-CN"/>
        </w:rPr>
        <w:t>（三）</w:t>
      </w:r>
      <w:r>
        <w:rPr>
          <w:rFonts w:eastAsia="楷体_GB2312"/>
          <w:b/>
          <w:bCs/>
          <w:sz w:val="30"/>
          <w:szCs w:val="30"/>
          <w:lang w:val="zh-CN"/>
        </w:rPr>
        <w:t>绩效结果应用情况。</w:t>
      </w:r>
    </w:p>
    <w:p w14:paraId="7DF116B9">
      <w:pPr>
        <w:snapToGrid w:val="0"/>
        <w:spacing w:line="600" w:lineRule="exact"/>
        <w:ind w:firstLine="600" w:firstLineChars="200"/>
        <w:rPr>
          <w:b/>
          <w:sz w:val="30"/>
          <w:szCs w:val="30"/>
        </w:rPr>
      </w:pPr>
      <w:r>
        <w:rPr>
          <w:rFonts w:hint="eastAsia"/>
          <w:kern w:val="0"/>
          <w:sz w:val="30"/>
          <w:szCs w:val="30"/>
          <w:shd w:val="clear" w:color="auto" w:fill="FFFFFF"/>
          <w:lang w:val="zh-CN"/>
        </w:rPr>
        <w:t>绩效自评结果将用于我单位下一年绩效目标的科学合理设定，针对绩效自评结果，查找原因，改进工作方法，提高工作效率，争取提高绩效目标完成率。下一步，将按照相关规定，进一步规范预算管理及执行，加强对部门预算整体绩效评价和绩效运行监控，总结2025年经验，取长补短，严格执行预算管理，严格执行预算支出。</w:t>
      </w:r>
    </w:p>
    <w:p w14:paraId="63C6A4B3">
      <w:pPr>
        <w:widowControl/>
        <w:adjustRightInd w:val="0"/>
        <w:snapToGrid w:val="0"/>
        <w:spacing w:line="578" w:lineRule="exact"/>
        <w:ind w:firstLine="600" w:firstLineChars="200"/>
        <w:contextualSpacing/>
        <w:jc w:val="left"/>
        <w:rPr>
          <w:rFonts w:eastAsia="黑体"/>
          <w:kern w:val="0"/>
          <w:sz w:val="30"/>
          <w:szCs w:val="30"/>
          <w:shd w:val="clear" w:color="auto" w:fill="FFFFFF"/>
        </w:rPr>
      </w:pPr>
      <w:r>
        <w:rPr>
          <w:rFonts w:eastAsia="黑体"/>
          <w:kern w:val="0"/>
          <w:sz w:val="30"/>
          <w:szCs w:val="30"/>
          <w:shd w:val="clear" w:color="auto" w:fill="FFFFFF"/>
        </w:rPr>
        <w:t>四、评价结论及建议</w:t>
      </w:r>
    </w:p>
    <w:p w14:paraId="0C64A0B9">
      <w:pPr>
        <w:widowControl/>
        <w:adjustRightInd w:val="0"/>
        <w:snapToGrid w:val="0"/>
        <w:spacing w:line="578" w:lineRule="exact"/>
        <w:ind w:firstLine="602" w:firstLineChars="200"/>
        <w:contextualSpacing/>
        <w:jc w:val="left"/>
        <w:rPr>
          <w:rFonts w:eastAsia="楷体_GB2312"/>
          <w:b/>
          <w:bCs/>
          <w:kern w:val="0"/>
          <w:sz w:val="30"/>
          <w:szCs w:val="30"/>
          <w:shd w:val="clear" w:color="auto" w:fill="FFFFFF"/>
          <w:lang w:val="zh-CN"/>
        </w:rPr>
      </w:pPr>
      <w:r>
        <w:rPr>
          <w:rFonts w:eastAsia="楷体_GB2312"/>
          <w:b/>
          <w:bCs/>
          <w:kern w:val="0"/>
          <w:sz w:val="30"/>
          <w:szCs w:val="30"/>
          <w:shd w:val="clear" w:color="auto" w:fill="FFFFFF"/>
          <w:lang w:val="zh-CN"/>
        </w:rPr>
        <w:t>（一）评价结论。</w:t>
      </w:r>
    </w:p>
    <w:p w14:paraId="14DF46A1">
      <w:pPr>
        <w:widowControl/>
        <w:adjustRightInd w:val="0"/>
        <w:snapToGrid w:val="0"/>
        <w:spacing w:line="578" w:lineRule="exact"/>
        <w:ind w:firstLine="600" w:firstLineChars="200"/>
        <w:contextualSpacing/>
        <w:jc w:val="left"/>
        <w:rPr>
          <w:rFonts w:eastAsia="楷体_GB2312"/>
          <w:b/>
          <w:bCs/>
          <w:kern w:val="0"/>
          <w:sz w:val="30"/>
          <w:szCs w:val="30"/>
          <w:shd w:val="clear" w:color="auto" w:fill="FFFFFF"/>
        </w:rPr>
      </w:pPr>
      <w:r>
        <w:rPr>
          <w:rFonts w:hint="eastAsia"/>
          <w:kern w:val="0"/>
          <w:sz w:val="30"/>
          <w:szCs w:val="30"/>
        </w:rPr>
        <w:t>2025年度我单位部门整体绩效目标编制完整、合理，项目绩效目标编制明确、量化。部门预算费用按照相关要求执行，存在资金支付进度未达100%的情况，但预算执行情况整体良好，自评得分97分。</w:t>
      </w:r>
    </w:p>
    <w:p w14:paraId="51E7AC38">
      <w:pPr>
        <w:widowControl/>
        <w:adjustRightInd w:val="0"/>
        <w:snapToGrid w:val="0"/>
        <w:spacing w:line="578" w:lineRule="exact"/>
        <w:ind w:firstLine="602" w:firstLineChars="200"/>
        <w:contextualSpacing/>
        <w:jc w:val="left"/>
        <w:rPr>
          <w:rFonts w:eastAsia="楷体_GB2312"/>
          <w:b/>
          <w:bCs/>
          <w:kern w:val="0"/>
          <w:sz w:val="30"/>
          <w:szCs w:val="30"/>
          <w:shd w:val="clear" w:color="auto" w:fill="FFFFFF"/>
          <w:lang w:val="zh-CN"/>
        </w:rPr>
      </w:pPr>
      <w:r>
        <w:rPr>
          <w:rFonts w:eastAsia="楷体_GB2312"/>
          <w:b/>
          <w:bCs/>
          <w:kern w:val="0"/>
          <w:sz w:val="30"/>
          <w:szCs w:val="30"/>
          <w:shd w:val="clear" w:color="auto" w:fill="FFFFFF"/>
          <w:lang w:val="zh-CN"/>
        </w:rPr>
        <w:t>（二）存在问题。</w:t>
      </w:r>
    </w:p>
    <w:p w14:paraId="0A287C55">
      <w:pPr>
        <w:widowControl/>
        <w:adjustRightInd w:val="0"/>
        <w:snapToGrid w:val="0"/>
        <w:spacing w:line="580" w:lineRule="exact"/>
        <w:ind w:firstLine="570" w:firstLineChars="200"/>
        <w:contextualSpacing/>
        <w:jc w:val="left"/>
        <w:rPr>
          <w:rFonts w:ascii="仿宋_GB2312" w:hAnsi="Cambria" w:eastAsia="仿宋_GB2312" w:cs="仿宋_GB2312"/>
          <w:kern w:val="0"/>
          <w:sz w:val="32"/>
          <w:szCs w:val="32"/>
        </w:rPr>
      </w:pPr>
      <w:r>
        <w:rPr>
          <w:rFonts w:hint="eastAsia"/>
          <w:w w:val="95"/>
          <w:kern w:val="0"/>
          <w:sz w:val="30"/>
          <w:szCs w:val="30"/>
        </w:rPr>
        <w:t>由于财政资金紧张，调度资金不畅，项目资金支付得不到保障，项目建设和支付进度受到不同程度影响。</w:t>
      </w:r>
    </w:p>
    <w:p w14:paraId="08056EC1">
      <w:pPr>
        <w:widowControl/>
        <w:adjustRightInd w:val="0"/>
        <w:snapToGrid w:val="0"/>
        <w:spacing w:line="580" w:lineRule="exact"/>
        <w:ind w:firstLine="640" w:firstLineChars="200"/>
        <w:contextualSpacing/>
        <w:jc w:val="left"/>
        <w:rPr>
          <w:rFonts w:ascii="仿宋_GB2312" w:hAnsi="Cambria" w:eastAsia="仿宋_GB2312" w:cs="仿宋_GB2312"/>
          <w:sz w:val="32"/>
          <w:szCs w:val="32"/>
        </w:rPr>
      </w:pPr>
      <w:r>
        <w:rPr>
          <w:rFonts w:hint="eastAsia" w:ascii="仿宋_GB2312" w:hAnsi="Cambria" w:eastAsia="仿宋_GB2312" w:cs="仿宋_GB2312"/>
          <w:sz w:val="32"/>
          <w:szCs w:val="32"/>
          <w:lang w:val="zh-CN"/>
        </w:rPr>
        <w:t>附表：</w:t>
      </w:r>
      <w:r>
        <w:rPr>
          <w:rFonts w:hint="eastAsia" w:ascii="仿宋_GB2312" w:hAnsi="Cambria" w:eastAsia="仿宋_GB2312" w:cs="仿宋_GB2312"/>
          <w:sz w:val="32"/>
          <w:szCs w:val="32"/>
        </w:rPr>
        <w:t>部门预算项目支出绩效自评表（</w:t>
      </w:r>
      <w:r>
        <w:rPr>
          <w:rFonts w:ascii="仿宋_GB2312" w:hAnsi="Cambria" w:eastAsia="仿宋_GB2312" w:cs="仿宋_GB2312"/>
          <w:sz w:val="32"/>
          <w:szCs w:val="32"/>
        </w:rPr>
        <w:t>202</w:t>
      </w:r>
      <w:r>
        <w:rPr>
          <w:rFonts w:hint="eastAsia" w:ascii="仿宋_GB2312" w:hAnsi="Cambria" w:eastAsia="仿宋_GB2312" w:cs="仿宋_GB2312"/>
          <w:sz w:val="32"/>
          <w:szCs w:val="32"/>
        </w:rPr>
        <w:t>5年度）（备注：按照绩效自评工作安排，各部门已在预算管理一体化系统绩效自评模块上传</w:t>
      </w:r>
      <w:r>
        <w:rPr>
          <w:rFonts w:ascii="仿宋_GB2312" w:hAnsi="Cambria" w:eastAsia="仿宋_GB2312" w:cs="仿宋_GB2312"/>
          <w:sz w:val="32"/>
          <w:szCs w:val="32"/>
        </w:rPr>
        <w:t>“</w:t>
      </w:r>
      <w:r>
        <w:rPr>
          <w:rFonts w:hint="eastAsia" w:ascii="仿宋_GB2312" w:hAnsi="Cambria" w:eastAsia="仿宋_GB2312" w:cs="仿宋_GB2312"/>
          <w:sz w:val="32"/>
          <w:szCs w:val="32"/>
        </w:rPr>
        <w:t>部门预算项目支出绩效自评表（</w:t>
      </w:r>
      <w:r>
        <w:rPr>
          <w:rFonts w:ascii="仿宋_GB2312" w:hAnsi="Cambria" w:eastAsia="仿宋_GB2312" w:cs="仿宋_GB2312"/>
          <w:sz w:val="32"/>
          <w:szCs w:val="32"/>
        </w:rPr>
        <w:t>202</w:t>
      </w:r>
      <w:r>
        <w:rPr>
          <w:rFonts w:hint="eastAsia" w:ascii="仿宋_GB2312" w:hAnsi="Cambria" w:eastAsia="仿宋_GB2312" w:cs="仿宋_GB2312"/>
          <w:sz w:val="32"/>
          <w:szCs w:val="32"/>
        </w:rPr>
        <w:t>5年度）</w:t>
      </w:r>
      <w:r>
        <w:rPr>
          <w:rFonts w:ascii="仿宋_GB2312" w:hAnsi="Cambria" w:eastAsia="仿宋_GB2312" w:cs="仿宋_GB2312"/>
          <w:sz w:val="32"/>
          <w:szCs w:val="32"/>
        </w:rPr>
        <w:t>”</w:t>
      </w:r>
      <w:r>
        <w:rPr>
          <w:rFonts w:hint="eastAsia" w:ascii="仿宋_GB2312" w:hAnsi="Cambria" w:eastAsia="仿宋_GB2312" w:cs="仿宋_GB2312"/>
          <w:sz w:val="32"/>
          <w:szCs w:val="32"/>
        </w:rPr>
        <w:t>，该表格应作为附表予以公开。）</w:t>
      </w:r>
    </w:p>
    <w:p w14:paraId="69EAE47E">
      <w:pPr>
        <w:widowControl/>
        <w:adjustRightInd w:val="0"/>
        <w:snapToGrid w:val="0"/>
        <w:spacing w:line="580" w:lineRule="exact"/>
        <w:ind w:firstLine="640" w:firstLineChars="200"/>
        <w:contextualSpacing/>
        <w:jc w:val="left"/>
        <w:rPr>
          <w:rFonts w:ascii="仿宋_GB2312" w:hAnsi="Cambria" w:eastAsia="仿宋_GB2312" w:cs="仿宋_GB2312"/>
          <w:sz w:val="32"/>
          <w:szCs w:val="32"/>
        </w:rPr>
      </w:pPr>
    </w:p>
    <w:p w14:paraId="4845C59C">
      <w:pPr>
        <w:widowControl/>
        <w:adjustRightInd w:val="0"/>
        <w:snapToGrid w:val="0"/>
        <w:spacing w:line="580" w:lineRule="exact"/>
        <w:ind w:firstLine="640" w:firstLineChars="200"/>
        <w:contextualSpacing/>
        <w:jc w:val="left"/>
        <w:rPr>
          <w:rFonts w:ascii="仿宋_GB2312" w:hAnsi="Cambria" w:eastAsia="仿宋_GB2312" w:cs="仿宋_GB2312"/>
          <w:sz w:val="32"/>
          <w:szCs w:val="32"/>
        </w:rPr>
      </w:pPr>
    </w:p>
    <w:p w14:paraId="6B5A5890">
      <w:pPr>
        <w:widowControl/>
        <w:adjustRightInd w:val="0"/>
        <w:snapToGrid w:val="0"/>
        <w:spacing w:line="580" w:lineRule="exact"/>
        <w:ind w:firstLine="640" w:firstLineChars="200"/>
        <w:contextualSpacing/>
        <w:jc w:val="left"/>
        <w:rPr>
          <w:rFonts w:ascii="仿宋_GB2312" w:hAnsi="Cambria" w:eastAsia="仿宋_GB2312" w:cs="仿宋_GB2312"/>
          <w:sz w:val="32"/>
          <w:szCs w:val="32"/>
        </w:rPr>
      </w:pPr>
    </w:p>
    <w:p w14:paraId="603F40B6">
      <w:pPr>
        <w:widowControl/>
        <w:adjustRightInd w:val="0"/>
        <w:snapToGrid w:val="0"/>
        <w:spacing w:line="580" w:lineRule="exact"/>
        <w:ind w:firstLine="640" w:firstLineChars="200"/>
        <w:contextualSpacing/>
        <w:jc w:val="left"/>
        <w:rPr>
          <w:rFonts w:ascii="仿宋_GB2312" w:hAnsi="Cambria" w:eastAsia="仿宋_GB2312" w:cs="仿宋_GB2312"/>
          <w:sz w:val="32"/>
          <w:szCs w:val="32"/>
        </w:rPr>
      </w:pPr>
    </w:p>
    <w:p w14:paraId="2B3C1B39">
      <w:pPr>
        <w:widowControl/>
        <w:adjustRightInd w:val="0"/>
        <w:snapToGrid w:val="0"/>
        <w:spacing w:line="580" w:lineRule="exact"/>
        <w:contextualSpacing/>
        <w:jc w:val="left"/>
        <w:rPr>
          <w:rFonts w:ascii="仿宋_GB2312" w:hAnsi="Cambria" w:eastAsia="仿宋_GB2312" w:cs="仿宋_GB2312"/>
          <w:sz w:val="32"/>
          <w:szCs w:val="32"/>
          <w:lang w:val="zh-CN"/>
        </w:rPr>
      </w:pPr>
    </w:p>
    <w:p w14:paraId="354919CD">
      <w:pPr>
        <w:autoSpaceDE w:val="0"/>
        <w:autoSpaceDN w:val="0"/>
        <w:adjustRightInd w:val="0"/>
        <w:rPr>
          <w:rFonts w:ascii="仿宋_GB2312" w:hAnsi="Cambria" w:eastAsia="仿宋_GB2312" w:cs="仿宋_GB2312"/>
          <w:kern w:val="0"/>
          <w:sz w:val="32"/>
          <w:szCs w:val="32"/>
        </w:rPr>
      </w:pPr>
      <w:r>
        <w:rPr>
          <w:rFonts w:hint="eastAsia" w:ascii="仿宋_GB2312" w:hAnsi="Cambria" w:eastAsia="仿宋_GB2312" w:cs="仿宋_GB2312"/>
          <w:kern w:val="0"/>
          <w:sz w:val="32"/>
          <w:szCs w:val="32"/>
          <w:lang w:val="zh-CN"/>
        </w:rPr>
        <w:t>附件</w:t>
      </w:r>
      <w:r>
        <w:rPr>
          <w:rFonts w:ascii="仿宋_GB2312" w:hAnsi="Cambria" w:eastAsia="仿宋_GB2312" w:cs="仿宋_GB2312"/>
          <w:kern w:val="0"/>
          <w:sz w:val="32"/>
          <w:szCs w:val="32"/>
        </w:rPr>
        <w:t>2</w:t>
      </w:r>
    </w:p>
    <w:p w14:paraId="4C00C381">
      <w:pPr>
        <w:pStyle w:val="2"/>
        <w:spacing w:before="240" w:after="120" w:line="640" w:lineRule="exact"/>
        <w:jc w:val="center"/>
        <w:rPr>
          <w:rFonts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仁和区2025年度森林草原防灭火项目</w:t>
      </w:r>
    </w:p>
    <w:p w14:paraId="3F8FAC7B">
      <w:pPr>
        <w:pStyle w:val="2"/>
        <w:spacing w:before="240" w:after="120" w:line="64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color w:val="000000"/>
          <w:sz w:val="44"/>
          <w:szCs w:val="44"/>
        </w:rPr>
        <w:t>支出绩效自评报告</w:t>
      </w:r>
    </w:p>
    <w:p w14:paraId="4CC62510">
      <w:pPr>
        <w:spacing w:after="120"/>
        <w:jc w:val="center"/>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（区林业局自评）</w:t>
      </w:r>
    </w:p>
    <w:p w14:paraId="49D57DC0">
      <w:pPr>
        <w:adjustRightInd w:val="0"/>
        <w:snapToGrid w:val="0"/>
        <w:spacing w:line="600" w:lineRule="exact"/>
        <w:ind w:firstLine="720"/>
        <w:rPr>
          <w:rFonts w:ascii="Times New Roman" w:hAnsi="Times New Roman" w:eastAsia="黑体" w:cs="Times New Roman"/>
          <w:sz w:val="32"/>
          <w:szCs w:val="32"/>
        </w:rPr>
      </w:pPr>
      <w:r>
        <w:rPr>
          <w:rFonts w:hint="eastAsia" w:ascii="Times New Roman" w:hAnsi="Times New Roman" w:eastAsia="黑体" w:cs="Times New Roman"/>
          <w:sz w:val="32"/>
          <w:szCs w:val="32"/>
        </w:rPr>
        <w:t>一、项目概况</w:t>
      </w:r>
    </w:p>
    <w:p w14:paraId="15D3BAF4">
      <w:pPr>
        <w:adjustRightInd w:val="0"/>
        <w:snapToGrid w:val="0"/>
        <w:spacing w:line="600" w:lineRule="exact"/>
        <w:ind w:firstLine="720"/>
        <w:rPr>
          <w:rFonts w:ascii="Times New Roman" w:hAnsi="Times New Roman" w:eastAsia="楷体_GB2312" w:cs="Times New Roman"/>
          <w:b/>
          <w:sz w:val="32"/>
          <w:szCs w:val="32"/>
          <w:lang w:val="zh-CN"/>
        </w:rPr>
      </w:pPr>
      <w:r>
        <w:rPr>
          <w:rFonts w:hint="eastAsia" w:ascii="Times New Roman" w:hAnsi="Times New Roman" w:eastAsia="楷体_GB2312" w:cs="Times New Roman"/>
          <w:b/>
          <w:sz w:val="32"/>
          <w:szCs w:val="32"/>
          <w:lang w:val="zh-CN"/>
        </w:rPr>
        <w:t>（一）项目基本情况</w:t>
      </w:r>
    </w:p>
    <w:p w14:paraId="5352C525">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区林业局作为项目主管部门，主要工作职能为负责全区森林草原防火相关工作，负责森林火灾防治规划编制工作并指导实施；组织、指导开展防火宣传教育、野外火源管控、日常巡护、隐患排查整治、监测预警、发送森林火险信息、基础设施建设、专业防火队伍组建管理、未达到森林火灾应急预案中启动应急响应条件的初期火情火灾处置、牵头灾损评估等工作。负责督促检查全区森林防火工作，负责落实全区综合防灾减灾规划相关要求。</w:t>
      </w:r>
    </w:p>
    <w:p w14:paraId="5B9771F4">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项目立项、资金申报的依据。依据《森林防火条例》《草原防火条例》《四川省森林防火条例》《攀枝花市森林草原防灭火条例》以及四川省森林草原防灭火指挥部印发的《关于全面加强新形势下森林草原防灭火工作的若干措施》、《关于加快解决两个普遍性突出问题的若干措施》、攀枝花市森林草原防灭火指挥部印发的《关于全面加强新形势下森林草原防灭火工作的若干措施》等法规政策文件要求。结合仁和区林区面积大、地形复杂、防火任务艰巨的实际，设立2025年度森林草原防灭火项目。</w:t>
      </w:r>
    </w:p>
    <w:p w14:paraId="2319F2D2">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3.区林业局负责资金的管理和使用，明确了资金管理相关规定，资金支持2025年度仁和区森林草原防灭火工作，通过加强森林草原火灾防控，增加预防和扑救的投入，支持火情预警监测、防火宣传教育、应急值班值守、灭火物资保障、应急演练、基础设施运维等方面工作开展，确保实现2025年全区无人为森林草原火灾发生，持续巩固森林草原防灭火工作成果。</w:t>
      </w:r>
    </w:p>
    <w:p w14:paraId="2E91D349">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4.资金分配的原则及考虑因素。资金分配按照火灾预防和扑救各环节工作实际需要进行合理分配，充分考虑了区、乡两级森林草原防灭火工作的不同重点、具体措施等因素科学分配资金。</w:t>
      </w:r>
    </w:p>
    <w:p w14:paraId="30069D9E">
      <w:pPr>
        <w:adjustRightInd w:val="0"/>
        <w:snapToGrid w:val="0"/>
        <w:spacing w:line="600" w:lineRule="exact"/>
        <w:ind w:firstLine="720"/>
        <w:rPr>
          <w:rFonts w:ascii="Times New Roman" w:hAnsi="Times New Roman" w:eastAsia="楷体_GB2312" w:cs="Times New Roman"/>
          <w:b/>
          <w:sz w:val="32"/>
          <w:szCs w:val="32"/>
          <w:lang w:val="zh-CN"/>
        </w:rPr>
      </w:pPr>
      <w:r>
        <w:rPr>
          <w:rFonts w:hint="eastAsia" w:ascii="Times New Roman" w:hAnsi="Times New Roman" w:eastAsia="楷体_GB2312" w:cs="Times New Roman"/>
          <w:b/>
          <w:sz w:val="32"/>
          <w:szCs w:val="32"/>
          <w:lang w:val="zh-CN"/>
        </w:rPr>
        <w:t>（二）项目绩效目标</w:t>
      </w:r>
    </w:p>
    <w:p w14:paraId="07D95EB8">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项目主要内容。防火宣传、林火预警监测、瞭望塔火情观测、火灾扑救应急演练、地方扑火队伍营房和瞭望塔基础设施运行维护、防火物资装备采购、无人机巡查宣传、林火视频监控系统运行维护、违法用火有奖举报、乡镇街道年度防火经费补助等项目。</w:t>
      </w:r>
    </w:p>
    <w:p w14:paraId="7DA0C0A2">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项目实现的具体绩效目标。确保仁和区2025年不发生重大、特别重大森林草原火灾，力争不发生人为森林草原火灾，全面实现不发生扑火人员死亡事故，确保林区人民群众生命财产和重要设施不遭受重大损失。全区森林草原火灾受害率控制在0.9‰以下。</w:t>
      </w:r>
    </w:p>
    <w:p w14:paraId="4D1BD60A">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3.申报内容与实际相符的评价，申报目标是否合理可行。2025年度森林草原防灭火项目申报内容与具体实施内容相符，申报的2025年森林草原防灭火工作绩效目标符合工作实际。</w:t>
      </w:r>
    </w:p>
    <w:p w14:paraId="36817A2F">
      <w:pPr>
        <w:adjustRightInd w:val="0"/>
        <w:snapToGrid w:val="0"/>
        <w:spacing w:line="600" w:lineRule="exact"/>
        <w:ind w:firstLine="720"/>
        <w:rPr>
          <w:rFonts w:ascii="Times New Roman" w:hAnsi="Times New Roman" w:eastAsia="楷体_GB2312" w:cs="Times New Roman"/>
          <w:b/>
          <w:sz w:val="32"/>
          <w:szCs w:val="32"/>
          <w:lang w:val="zh-CN"/>
        </w:rPr>
      </w:pPr>
      <w:r>
        <w:rPr>
          <w:rFonts w:hint="eastAsia" w:ascii="Times New Roman" w:hAnsi="Times New Roman" w:eastAsia="楷体_GB2312" w:cs="Times New Roman"/>
          <w:b/>
          <w:sz w:val="32"/>
          <w:szCs w:val="32"/>
          <w:lang w:val="zh-CN"/>
        </w:rPr>
        <w:t>（三）项目自评步骤及方法</w:t>
      </w:r>
    </w:p>
    <w:p w14:paraId="1F802432">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项目绩效自评采用具体经办业务股室对照年初预算及明细账目，逐项比对，确定支出范围是否合规，然后根据年度目标完成情况开展项目绩效评价。采取的评价方法为数量评价、质量评价、时效评价、成本评价、效益评价、群众满意度评价等。</w:t>
      </w:r>
    </w:p>
    <w:p w14:paraId="71461D0F">
      <w:pPr>
        <w:adjustRightInd w:val="0"/>
        <w:snapToGrid w:val="0"/>
        <w:spacing w:line="600" w:lineRule="exact"/>
        <w:ind w:firstLine="720"/>
        <w:rPr>
          <w:rFonts w:ascii="Times New Roman" w:hAnsi="Times New Roman" w:eastAsia="黑体" w:cs="Times New Roman"/>
          <w:sz w:val="32"/>
          <w:szCs w:val="32"/>
        </w:rPr>
      </w:pPr>
      <w:r>
        <w:rPr>
          <w:rFonts w:hint="eastAsia" w:ascii="Times New Roman" w:hAnsi="Times New Roman" w:eastAsia="黑体" w:cs="Times New Roman"/>
          <w:sz w:val="32"/>
          <w:szCs w:val="32"/>
        </w:rPr>
        <w:t>二、项目资金申报及使用情况</w:t>
      </w:r>
    </w:p>
    <w:p w14:paraId="7244CA50">
      <w:pPr>
        <w:adjustRightInd w:val="0"/>
        <w:snapToGrid w:val="0"/>
        <w:spacing w:line="600" w:lineRule="exact"/>
        <w:ind w:firstLine="720"/>
        <w:rPr>
          <w:rFonts w:ascii="Times New Roman" w:hAnsi="Times New Roman" w:eastAsia="楷体_GB2312" w:cs="Times New Roman"/>
          <w:b/>
          <w:sz w:val="32"/>
          <w:szCs w:val="32"/>
          <w:lang w:val="zh-CN"/>
        </w:rPr>
      </w:pPr>
      <w:r>
        <w:rPr>
          <w:rFonts w:hint="eastAsia" w:ascii="Times New Roman" w:hAnsi="Times New Roman" w:eastAsia="楷体_GB2312" w:cs="Times New Roman"/>
          <w:b/>
          <w:sz w:val="32"/>
          <w:szCs w:val="32"/>
          <w:lang w:val="zh-CN"/>
        </w:rPr>
        <w:t>（一）项目资金申报及批复情况</w:t>
      </w:r>
    </w:p>
    <w:p w14:paraId="10F8608F">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项目资金由区林业局纳入年度林业项目预算统一向区财政局申报，经区委区政府分管领导审核同意，由财政局统筹安排年度预算资金，并及时下达资金预算文件。</w:t>
      </w:r>
    </w:p>
    <w:p w14:paraId="7CB598C7">
      <w:pPr>
        <w:adjustRightInd w:val="0"/>
        <w:snapToGrid w:val="0"/>
        <w:spacing w:line="600" w:lineRule="exact"/>
        <w:ind w:firstLine="720"/>
        <w:rPr>
          <w:rFonts w:ascii="Times New Roman" w:hAnsi="Times New Roman" w:eastAsia="楷体_GB2312" w:cs="Times New Roman"/>
          <w:b/>
          <w:sz w:val="32"/>
          <w:szCs w:val="32"/>
          <w:lang w:val="zh-CN"/>
        </w:rPr>
      </w:pPr>
      <w:r>
        <w:rPr>
          <w:rFonts w:hint="eastAsia" w:ascii="Times New Roman" w:hAnsi="Times New Roman" w:eastAsia="楷体_GB2312" w:cs="Times New Roman"/>
          <w:b/>
          <w:sz w:val="32"/>
          <w:szCs w:val="32"/>
          <w:lang w:val="zh-CN"/>
        </w:rPr>
        <w:t>（二）资金计划、到位及使用情况</w:t>
      </w:r>
    </w:p>
    <w:p w14:paraId="6F6F3E0C">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资金计划。该项目资金为区财政预算的2025年区级森林草原防灭火经费，预算项目编码为51041125T000013488872。</w:t>
      </w:r>
    </w:p>
    <w:p w14:paraId="30ACD3B7">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资金到位。截至评价时点，该经费计划由区财政统筹安排，资金预算400万元及时下达划拨到位。</w:t>
      </w:r>
    </w:p>
    <w:p w14:paraId="7E9D1E97">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资金使用。区林业局按照预算项目支出2025年度森林草原防灭火项目资金，根据财务支出明细账统计，项目实际支出按支出类别分类如下：</w:t>
      </w:r>
    </w:p>
    <w:tbl>
      <w:tblPr>
        <w:tblStyle w:val="9"/>
        <w:tblW w:w="0" w:type="auto"/>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0" w:type="dxa"/>
          <w:left w:w="108" w:type="dxa"/>
          <w:bottom w:w="0" w:type="dxa"/>
          <w:right w:w="108" w:type="dxa"/>
        </w:tblCellMar>
      </w:tblPr>
      <w:tblGrid>
        <w:gridCol w:w="2878"/>
        <w:gridCol w:w="2878"/>
        <w:gridCol w:w="2878"/>
      </w:tblGrid>
      <w:tr w14:paraId="339F4ADD">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2878" w:type="dxa"/>
          </w:tcPr>
          <w:p w14:paraId="5B04D3E0">
            <w:pPr>
              <w:pStyle w:val="4"/>
              <w:numPr>
                <w:ilvl w:val="0"/>
                <w:numId w:val="0"/>
              </w:numPr>
              <w:spacing w:after="120" w:line="288" w:lineRule="auto"/>
              <w:ind w:firstLine="480" w:firstLineChars="200"/>
              <w:rPr>
                <w:rFonts w:ascii="宋体" w:hAnsi="宋体" w:eastAsia="宋体" w:cs="宋体"/>
                <w:sz w:val="24"/>
                <w:szCs w:val="24"/>
              </w:rPr>
            </w:pPr>
            <w:r>
              <w:rPr>
                <w:rFonts w:hint="eastAsia" w:ascii="宋体" w:hAnsi="宋体" w:eastAsia="宋体" w:cs="宋体"/>
                <w:sz w:val="24"/>
                <w:szCs w:val="24"/>
              </w:rPr>
              <w:t>支出类别</w:t>
            </w:r>
          </w:p>
        </w:tc>
        <w:tc>
          <w:tcPr>
            <w:tcW w:w="2878" w:type="dxa"/>
          </w:tcPr>
          <w:p w14:paraId="1D63F4E1">
            <w:pPr>
              <w:pStyle w:val="4"/>
              <w:numPr>
                <w:ilvl w:val="0"/>
                <w:numId w:val="0"/>
              </w:numPr>
              <w:spacing w:after="120" w:line="288" w:lineRule="auto"/>
              <w:ind w:firstLine="480" w:firstLineChars="200"/>
              <w:rPr>
                <w:rFonts w:ascii="宋体" w:hAnsi="宋体" w:eastAsia="宋体" w:cs="宋体"/>
                <w:sz w:val="24"/>
                <w:szCs w:val="24"/>
              </w:rPr>
            </w:pPr>
            <w:r>
              <w:rPr>
                <w:rFonts w:hint="eastAsia" w:ascii="宋体" w:hAnsi="宋体" w:eastAsia="宋体" w:cs="宋体"/>
                <w:sz w:val="24"/>
                <w:szCs w:val="24"/>
              </w:rPr>
              <w:t>支出金额（元）</w:t>
            </w:r>
          </w:p>
        </w:tc>
        <w:tc>
          <w:tcPr>
            <w:tcW w:w="2878" w:type="dxa"/>
          </w:tcPr>
          <w:p w14:paraId="63C60206">
            <w:pPr>
              <w:pStyle w:val="4"/>
              <w:numPr>
                <w:ilvl w:val="0"/>
                <w:numId w:val="0"/>
              </w:numPr>
              <w:spacing w:after="120" w:line="288" w:lineRule="auto"/>
              <w:ind w:firstLine="480" w:firstLineChars="200"/>
              <w:rPr>
                <w:rFonts w:ascii="宋体" w:hAnsi="宋体" w:eastAsia="宋体" w:cs="宋体"/>
                <w:sz w:val="24"/>
                <w:szCs w:val="24"/>
              </w:rPr>
            </w:pPr>
            <w:r>
              <w:rPr>
                <w:rFonts w:hint="eastAsia" w:ascii="宋体" w:hAnsi="宋体" w:eastAsia="宋体" w:cs="宋体"/>
                <w:sz w:val="24"/>
                <w:szCs w:val="24"/>
              </w:rPr>
              <w:t>主要支出内容</w:t>
            </w:r>
          </w:p>
        </w:tc>
      </w:tr>
      <w:tr w14:paraId="46D4F123">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2878" w:type="dxa"/>
            <w:vAlign w:val="center"/>
          </w:tcPr>
          <w:p w14:paraId="2267C755">
            <w:pPr>
              <w:pStyle w:val="4"/>
              <w:numPr>
                <w:ilvl w:val="0"/>
                <w:numId w:val="0"/>
              </w:numPr>
              <w:spacing w:after="120" w:line="288" w:lineRule="auto"/>
              <w:jc w:val="both"/>
              <w:rPr>
                <w:rFonts w:ascii="宋体" w:hAnsi="宋体" w:eastAsia="宋体" w:cs="宋体"/>
                <w:sz w:val="24"/>
                <w:szCs w:val="24"/>
                <w:lang w:eastAsia="zh-CN"/>
              </w:rPr>
            </w:pPr>
            <w:r>
              <w:rPr>
                <w:rFonts w:hint="eastAsia" w:ascii="宋体" w:hAnsi="宋体" w:eastAsia="宋体" w:cs="宋体"/>
                <w:color w:val="000000"/>
                <w:sz w:val="24"/>
                <w:szCs w:val="24"/>
                <w:lang w:eastAsia="zh-CN" w:bidi="ar"/>
              </w:rPr>
              <w:t>森林草原火情监测即报系统和林火视频监控系统管理人员</w:t>
            </w:r>
            <w:r>
              <w:rPr>
                <w:rFonts w:hint="eastAsia" w:ascii="宋体" w:hAnsi="宋体" w:eastAsia="宋体" w:cs="宋体"/>
                <w:sz w:val="24"/>
                <w:szCs w:val="24"/>
                <w:lang w:eastAsia="zh-CN"/>
              </w:rPr>
              <w:t>工资保险和</w:t>
            </w:r>
            <w:r>
              <w:rPr>
                <w:rFonts w:hint="eastAsia" w:ascii="宋体" w:hAnsi="宋体" w:eastAsia="宋体" w:cs="宋体"/>
                <w:color w:val="000000"/>
                <w:sz w:val="24"/>
                <w:szCs w:val="24"/>
                <w:lang w:eastAsia="zh-CN" w:bidi="ar"/>
              </w:rPr>
              <w:t>啊喇营盘山瞭望塔、前进普达瞭望塔承包管护，务本大黑山、平地小尖山、太平旗子山聘用人员经费</w:t>
            </w:r>
          </w:p>
        </w:tc>
        <w:tc>
          <w:tcPr>
            <w:tcW w:w="2878" w:type="dxa"/>
            <w:vAlign w:val="center"/>
          </w:tcPr>
          <w:p w14:paraId="38911479">
            <w:pPr>
              <w:pStyle w:val="4"/>
              <w:numPr>
                <w:ilvl w:val="0"/>
                <w:numId w:val="0"/>
              </w:numPr>
              <w:spacing w:after="120" w:line="288"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527259.59</w:t>
            </w:r>
          </w:p>
        </w:tc>
        <w:tc>
          <w:tcPr>
            <w:tcW w:w="2878" w:type="dxa"/>
            <w:vAlign w:val="center"/>
          </w:tcPr>
          <w:p w14:paraId="69E0C699">
            <w:pPr>
              <w:pStyle w:val="4"/>
              <w:numPr>
                <w:ilvl w:val="0"/>
                <w:numId w:val="0"/>
              </w:numPr>
              <w:spacing w:after="120" w:line="288" w:lineRule="auto"/>
              <w:jc w:val="both"/>
              <w:rPr>
                <w:rFonts w:ascii="宋体" w:hAnsi="宋体" w:eastAsia="宋体" w:cs="宋体"/>
                <w:sz w:val="24"/>
                <w:szCs w:val="24"/>
                <w:lang w:eastAsia="zh-CN"/>
              </w:rPr>
            </w:pPr>
            <w:r>
              <w:rPr>
                <w:rFonts w:hint="eastAsia" w:ascii="宋体" w:hAnsi="宋体" w:eastAsia="宋体" w:cs="宋体"/>
                <w:sz w:val="24"/>
                <w:szCs w:val="24"/>
                <w:lang w:eastAsia="zh-CN"/>
              </w:rPr>
              <w:t>火情监测即报人员和瞭望塔值守人员工资、医保、社保解缴及瞭望塔承包管护费</w:t>
            </w:r>
          </w:p>
        </w:tc>
      </w:tr>
      <w:tr w14:paraId="3504F68A">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2878" w:type="dxa"/>
            <w:vAlign w:val="center"/>
          </w:tcPr>
          <w:p w14:paraId="22E91C6D">
            <w:pPr>
              <w:pStyle w:val="4"/>
              <w:numPr>
                <w:ilvl w:val="0"/>
                <w:numId w:val="0"/>
              </w:numPr>
              <w:spacing w:after="120" w:line="288" w:lineRule="auto"/>
              <w:jc w:val="both"/>
              <w:rPr>
                <w:rFonts w:ascii="宋体" w:hAnsi="宋体" w:eastAsia="宋体" w:cs="宋体"/>
                <w:sz w:val="24"/>
                <w:szCs w:val="24"/>
                <w:lang w:eastAsia="zh-CN"/>
              </w:rPr>
            </w:pPr>
            <w:r>
              <w:rPr>
                <w:rFonts w:hint="eastAsia" w:ascii="宋体" w:hAnsi="宋体" w:eastAsia="宋体" w:cs="宋体"/>
                <w:color w:val="000000"/>
                <w:sz w:val="24"/>
                <w:szCs w:val="24"/>
                <w:lang w:eastAsia="zh-CN" w:bidi="ar"/>
              </w:rPr>
              <w:t>森林草原防火宣传经费</w:t>
            </w:r>
          </w:p>
        </w:tc>
        <w:tc>
          <w:tcPr>
            <w:tcW w:w="2878" w:type="dxa"/>
            <w:vAlign w:val="center"/>
          </w:tcPr>
          <w:p w14:paraId="23631BEE">
            <w:pPr>
              <w:pStyle w:val="4"/>
              <w:numPr>
                <w:ilvl w:val="0"/>
                <w:numId w:val="0"/>
              </w:numPr>
              <w:spacing w:after="120" w:line="288"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328160.74</w:t>
            </w:r>
          </w:p>
        </w:tc>
        <w:tc>
          <w:tcPr>
            <w:tcW w:w="2878" w:type="dxa"/>
            <w:vAlign w:val="center"/>
          </w:tcPr>
          <w:p w14:paraId="6453AB26">
            <w:pPr>
              <w:pStyle w:val="4"/>
              <w:numPr>
                <w:ilvl w:val="0"/>
                <w:numId w:val="0"/>
              </w:numPr>
              <w:spacing w:after="120" w:line="288" w:lineRule="auto"/>
              <w:jc w:val="both"/>
              <w:rPr>
                <w:rFonts w:ascii="宋体" w:hAnsi="宋体" w:eastAsia="宋体" w:cs="宋体"/>
                <w:sz w:val="24"/>
                <w:szCs w:val="24"/>
                <w:lang w:eastAsia="zh-CN"/>
              </w:rPr>
            </w:pPr>
            <w:r>
              <w:rPr>
                <w:rFonts w:hint="eastAsia" w:ascii="宋体" w:hAnsi="宋体" w:eastAsia="宋体" w:cs="宋体"/>
                <w:sz w:val="24"/>
                <w:szCs w:val="24"/>
                <w:lang w:eastAsia="zh-CN"/>
              </w:rPr>
              <w:t>宣传袋制作、防火命令宣传设计、宣传短信服务、防火资料印制等</w:t>
            </w:r>
          </w:p>
        </w:tc>
      </w:tr>
      <w:tr w14:paraId="4098C013">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2878" w:type="dxa"/>
            <w:vAlign w:val="center"/>
          </w:tcPr>
          <w:p w14:paraId="1F394ACA">
            <w:pPr>
              <w:pStyle w:val="4"/>
              <w:numPr>
                <w:ilvl w:val="0"/>
                <w:numId w:val="0"/>
              </w:numPr>
              <w:spacing w:after="120" w:line="288" w:lineRule="auto"/>
              <w:jc w:val="both"/>
              <w:rPr>
                <w:rFonts w:ascii="宋体" w:hAnsi="宋体" w:eastAsia="宋体" w:cs="宋体"/>
                <w:sz w:val="24"/>
                <w:szCs w:val="24"/>
                <w:lang w:eastAsia="zh-CN"/>
              </w:rPr>
            </w:pPr>
            <w:r>
              <w:rPr>
                <w:rFonts w:hint="eastAsia" w:ascii="宋体" w:hAnsi="宋体" w:eastAsia="宋体" w:cs="宋体"/>
                <w:color w:val="000000"/>
                <w:sz w:val="24"/>
                <w:szCs w:val="24"/>
                <w:lang w:eastAsia="zh-CN" w:bidi="ar"/>
              </w:rPr>
              <w:t>全区森林草原火灾扑救综合应急演练</w:t>
            </w:r>
          </w:p>
        </w:tc>
        <w:tc>
          <w:tcPr>
            <w:tcW w:w="2878" w:type="dxa"/>
            <w:vAlign w:val="center"/>
          </w:tcPr>
          <w:p w14:paraId="6A3BC3AE">
            <w:pPr>
              <w:pStyle w:val="4"/>
              <w:numPr>
                <w:ilvl w:val="0"/>
                <w:numId w:val="0"/>
              </w:numPr>
              <w:spacing w:after="120" w:line="288"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102645</w:t>
            </w:r>
          </w:p>
        </w:tc>
        <w:tc>
          <w:tcPr>
            <w:tcW w:w="2878" w:type="dxa"/>
            <w:vAlign w:val="center"/>
          </w:tcPr>
          <w:p w14:paraId="27F667D7">
            <w:pPr>
              <w:pStyle w:val="4"/>
              <w:numPr>
                <w:ilvl w:val="0"/>
                <w:numId w:val="0"/>
              </w:numPr>
              <w:spacing w:after="120" w:line="288" w:lineRule="auto"/>
              <w:jc w:val="both"/>
              <w:rPr>
                <w:rFonts w:ascii="宋体" w:hAnsi="宋体" w:eastAsia="宋体" w:cs="宋体"/>
                <w:sz w:val="24"/>
                <w:szCs w:val="24"/>
                <w:lang w:eastAsia="zh-CN"/>
              </w:rPr>
            </w:pPr>
            <w:r>
              <w:rPr>
                <w:rFonts w:hint="eastAsia" w:ascii="宋体" w:hAnsi="宋体" w:eastAsia="宋体" w:cs="宋体"/>
                <w:sz w:val="24"/>
                <w:szCs w:val="24"/>
                <w:lang w:eastAsia="zh-CN"/>
              </w:rPr>
              <w:t>一山一图一策实战演练策划执行、演练助燃材料、场地平整等</w:t>
            </w:r>
          </w:p>
        </w:tc>
      </w:tr>
      <w:tr w14:paraId="5A344D06">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2878" w:type="dxa"/>
            <w:vAlign w:val="center"/>
          </w:tcPr>
          <w:p w14:paraId="008C1BF5">
            <w:pPr>
              <w:pStyle w:val="4"/>
              <w:numPr>
                <w:ilvl w:val="0"/>
                <w:numId w:val="0"/>
              </w:numPr>
              <w:spacing w:after="120" w:line="288" w:lineRule="auto"/>
              <w:jc w:val="both"/>
              <w:rPr>
                <w:rFonts w:ascii="宋体" w:hAnsi="宋体" w:eastAsia="宋体" w:cs="宋体"/>
                <w:sz w:val="24"/>
                <w:szCs w:val="24"/>
                <w:lang w:eastAsia="zh-CN"/>
              </w:rPr>
            </w:pPr>
            <w:r>
              <w:rPr>
                <w:rFonts w:hint="eastAsia" w:ascii="宋体" w:hAnsi="宋体" w:eastAsia="宋体" w:cs="宋体"/>
                <w:color w:val="000000"/>
                <w:sz w:val="24"/>
                <w:szCs w:val="24"/>
                <w:lang w:eastAsia="zh-CN" w:bidi="ar"/>
              </w:rPr>
              <w:t>区综合应急救援队伍灭火机具、单兵装备购置及灭火机具、以水灭火装备和个人防护用品配件及维修费用</w:t>
            </w:r>
          </w:p>
        </w:tc>
        <w:tc>
          <w:tcPr>
            <w:tcW w:w="2878" w:type="dxa"/>
            <w:vAlign w:val="center"/>
          </w:tcPr>
          <w:p w14:paraId="07791252">
            <w:pPr>
              <w:pStyle w:val="4"/>
              <w:numPr>
                <w:ilvl w:val="0"/>
                <w:numId w:val="0"/>
              </w:numPr>
              <w:spacing w:after="120" w:line="288"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81330</w:t>
            </w:r>
          </w:p>
        </w:tc>
        <w:tc>
          <w:tcPr>
            <w:tcW w:w="2878" w:type="dxa"/>
            <w:vAlign w:val="center"/>
          </w:tcPr>
          <w:p w14:paraId="27697AFF">
            <w:pPr>
              <w:pStyle w:val="4"/>
              <w:numPr>
                <w:ilvl w:val="0"/>
                <w:numId w:val="0"/>
              </w:numPr>
              <w:spacing w:after="120" w:line="288" w:lineRule="auto"/>
              <w:jc w:val="both"/>
              <w:rPr>
                <w:rFonts w:ascii="宋体" w:hAnsi="宋体" w:eastAsia="宋体" w:cs="宋体"/>
                <w:sz w:val="24"/>
                <w:szCs w:val="24"/>
                <w:lang w:eastAsia="zh-CN"/>
              </w:rPr>
            </w:pPr>
            <w:r>
              <w:rPr>
                <w:rFonts w:hint="eastAsia" w:ascii="宋体" w:hAnsi="宋体" w:eastAsia="宋体" w:cs="宋体"/>
                <w:sz w:val="24"/>
                <w:szCs w:val="24"/>
                <w:lang w:eastAsia="zh-CN"/>
              </w:rPr>
              <w:t>巡山护林员巡护装备、防火物资采购、床上用品等</w:t>
            </w:r>
          </w:p>
        </w:tc>
      </w:tr>
      <w:tr w14:paraId="743F7F50">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2878" w:type="dxa"/>
            <w:vAlign w:val="center"/>
          </w:tcPr>
          <w:p w14:paraId="3795A932">
            <w:pPr>
              <w:pStyle w:val="4"/>
              <w:numPr>
                <w:ilvl w:val="0"/>
                <w:numId w:val="0"/>
              </w:numPr>
              <w:spacing w:after="120" w:line="288" w:lineRule="auto"/>
              <w:jc w:val="both"/>
              <w:rPr>
                <w:rFonts w:ascii="宋体" w:hAnsi="宋体" w:eastAsia="宋体" w:cs="宋体"/>
                <w:sz w:val="24"/>
                <w:szCs w:val="24"/>
              </w:rPr>
            </w:pPr>
            <w:r>
              <w:rPr>
                <w:rFonts w:hint="eastAsia" w:ascii="宋体" w:hAnsi="宋体" w:eastAsia="宋体" w:cs="宋体"/>
                <w:color w:val="000000"/>
                <w:sz w:val="24"/>
                <w:szCs w:val="24"/>
                <w:lang w:eastAsia="zh-CN" w:bidi="ar"/>
              </w:rPr>
              <w:t>智能无人机巡护服务</w:t>
            </w:r>
          </w:p>
        </w:tc>
        <w:tc>
          <w:tcPr>
            <w:tcW w:w="2878" w:type="dxa"/>
            <w:vAlign w:val="center"/>
          </w:tcPr>
          <w:p w14:paraId="6E0791E8">
            <w:pPr>
              <w:pStyle w:val="4"/>
              <w:numPr>
                <w:ilvl w:val="0"/>
                <w:numId w:val="0"/>
              </w:numPr>
              <w:spacing w:after="120" w:line="288"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151500</w:t>
            </w:r>
          </w:p>
        </w:tc>
        <w:tc>
          <w:tcPr>
            <w:tcW w:w="2878" w:type="dxa"/>
            <w:vAlign w:val="center"/>
          </w:tcPr>
          <w:p w14:paraId="27D45298">
            <w:pPr>
              <w:pStyle w:val="4"/>
              <w:numPr>
                <w:ilvl w:val="0"/>
                <w:numId w:val="0"/>
              </w:numPr>
              <w:spacing w:after="120" w:line="288" w:lineRule="auto"/>
              <w:jc w:val="both"/>
              <w:rPr>
                <w:rFonts w:ascii="宋体" w:hAnsi="宋体" w:eastAsia="宋体" w:cs="宋体"/>
                <w:sz w:val="24"/>
                <w:szCs w:val="24"/>
                <w:lang w:eastAsia="zh-CN"/>
              </w:rPr>
            </w:pPr>
            <w:r>
              <w:rPr>
                <w:rFonts w:hint="eastAsia" w:ascii="宋体" w:hAnsi="宋体" w:eastAsia="宋体" w:cs="宋体"/>
                <w:sz w:val="24"/>
                <w:szCs w:val="24"/>
                <w:lang w:eastAsia="zh-CN"/>
              </w:rPr>
              <w:t>无人机巡查服务费、巡飞劳务报酬</w:t>
            </w:r>
          </w:p>
        </w:tc>
      </w:tr>
      <w:tr w14:paraId="2B54CF42">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2878" w:type="dxa"/>
            <w:vAlign w:val="center"/>
          </w:tcPr>
          <w:p w14:paraId="0D97E1DC">
            <w:pPr>
              <w:pStyle w:val="4"/>
              <w:numPr>
                <w:ilvl w:val="0"/>
                <w:numId w:val="0"/>
              </w:numPr>
              <w:spacing w:after="120" w:line="288" w:lineRule="auto"/>
              <w:jc w:val="both"/>
              <w:rPr>
                <w:rFonts w:ascii="宋体" w:hAnsi="宋体" w:eastAsia="宋体" w:cs="宋体"/>
                <w:sz w:val="24"/>
                <w:szCs w:val="24"/>
                <w:lang w:eastAsia="zh-CN"/>
              </w:rPr>
            </w:pPr>
            <w:r>
              <w:rPr>
                <w:rFonts w:hint="eastAsia" w:ascii="宋体" w:hAnsi="宋体" w:eastAsia="宋体" w:cs="宋体"/>
                <w:color w:val="000000"/>
                <w:sz w:val="24"/>
                <w:szCs w:val="24"/>
                <w:lang w:eastAsia="zh-CN" w:bidi="ar"/>
              </w:rPr>
              <w:t>林火视频监控系统运行维护服务</w:t>
            </w:r>
          </w:p>
        </w:tc>
        <w:tc>
          <w:tcPr>
            <w:tcW w:w="2878" w:type="dxa"/>
            <w:vAlign w:val="center"/>
          </w:tcPr>
          <w:p w14:paraId="0B5B150C">
            <w:pPr>
              <w:pStyle w:val="4"/>
              <w:numPr>
                <w:ilvl w:val="0"/>
                <w:numId w:val="0"/>
              </w:numPr>
              <w:spacing w:after="120" w:line="288"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274568.21</w:t>
            </w:r>
          </w:p>
        </w:tc>
        <w:tc>
          <w:tcPr>
            <w:tcW w:w="2878" w:type="dxa"/>
            <w:vAlign w:val="center"/>
          </w:tcPr>
          <w:p w14:paraId="4FDC5D90">
            <w:pPr>
              <w:pStyle w:val="4"/>
              <w:numPr>
                <w:ilvl w:val="0"/>
                <w:numId w:val="0"/>
              </w:numPr>
              <w:spacing w:after="120" w:line="288" w:lineRule="auto"/>
              <w:jc w:val="both"/>
              <w:rPr>
                <w:rFonts w:ascii="宋体" w:hAnsi="宋体" w:eastAsia="宋体" w:cs="宋体"/>
                <w:sz w:val="24"/>
                <w:szCs w:val="24"/>
                <w:lang w:eastAsia="zh-CN"/>
              </w:rPr>
            </w:pPr>
            <w:r>
              <w:rPr>
                <w:rFonts w:hint="eastAsia" w:ascii="宋体" w:hAnsi="宋体" w:eastAsia="宋体" w:cs="宋体"/>
                <w:sz w:val="24"/>
                <w:szCs w:val="24"/>
                <w:lang w:eastAsia="zh-CN"/>
              </w:rPr>
              <w:t>林火视频监控运行维修费、运行维护项目款</w:t>
            </w:r>
          </w:p>
        </w:tc>
      </w:tr>
      <w:tr w14:paraId="53ED5571">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2878" w:type="dxa"/>
            <w:vAlign w:val="center"/>
          </w:tcPr>
          <w:p w14:paraId="1F100F40">
            <w:pPr>
              <w:pStyle w:val="4"/>
              <w:numPr>
                <w:ilvl w:val="0"/>
                <w:numId w:val="0"/>
              </w:numPr>
              <w:spacing w:after="120" w:line="288" w:lineRule="auto"/>
              <w:jc w:val="both"/>
              <w:rPr>
                <w:rFonts w:ascii="宋体" w:hAnsi="宋体" w:eastAsia="宋体" w:cs="宋体"/>
                <w:sz w:val="24"/>
                <w:szCs w:val="24"/>
                <w:lang w:eastAsia="zh-CN"/>
              </w:rPr>
            </w:pPr>
            <w:r>
              <w:rPr>
                <w:rFonts w:hint="eastAsia" w:ascii="宋体" w:hAnsi="宋体" w:eastAsia="宋体" w:cs="宋体"/>
                <w:color w:val="000000"/>
                <w:sz w:val="24"/>
                <w:szCs w:val="24"/>
                <w:lang w:eastAsia="zh-CN" w:bidi="ar"/>
              </w:rPr>
              <w:t>防火瞭望塔建筑、附属设施日常维修费，电力设施和用电费用，视频会议系统专线网络及故障维修</w:t>
            </w:r>
          </w:p>
        </w:tc>
        <w:tc>
          <w:tcPr>
            <w:tcW w:w="2878" w:type="dxa"/>
            <w:vAlign w:val="center"/>
          </w:tcPr>
          <w:p w14:paraId="4F8C596D">
            <w:pPr>
              <w:pStyle w:val="4"/>
              <w:numPr>
                <w:ilvl w:val="0"/>
                <w:numId w:val="0"/>
              </w:numPr>
              <w:spacing w:after="120" w:line="288"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4269.6</w:t>
            </w:r>
          </w:p>
        </w:tc>
        <w:tc>
          <w:tcPr>
            <w:tcW w:w="2878" w:type="dxa"/>
            <w:vAlign w:val="center"/>
          </w:tcPr>
          <w:p w14:paraId="74422434">
            <w:pPr>
              <w:pStyle w:val="4"/>
              <w:numPr>
                <w:ilvl w:val="0"/>
                <w:numId w:val="0"/>
              </w:numPr>
              <w:spacing w:after="120" w:line="288" w:lineRule="auto"/>
              <w:ind w:firstLine="480" w:firstLineChars="200"/>
              <w:jc w:val="both"/>
              <w:rPr>
                <w:rFonts w:ascii="宋体" w:hAnsi="宋体" w:eastAsia="宋体" w:cs="宋体"/>
                <w:sz w:val="24"/>
                <w:szCs w:val="24"/>
              </w:rPr>
            </w:pPr>
            <w:r>
              <w:rPr>
                <w:rFonts w:hint="eastAsia" w:ascii="宋体" w:hAnsi="宋体" w:eastAsia="宋体" w:cs="宋体"/>
                <w:sz w:val="24"/>
                <w:szCs w:val="24"/>
              </w:rPr>
              <w:t>大黑山瞭望塔电费</w:t>
            </w:r>
          </w:p>
        </w:tc>
      </w:tr>
      <w:tr w14:paraId="390B253D">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2878" w:type="dxa"/>
            <w:vAlign w:val="center"/>
          </w:tcPr>
          <w:p w14:paraId="60BEAA48">
            <w:pPr>
              <w:pStyle w:val="4"/>
              <w:numPr>
                <w:ilvl w:val="0"/>
                <w:numId w:val="0"/>
              </w:numPr>
              <w:spacing w:after="120" w:line="288" w:lineRule="auto"/>
              <w:jc w:val="both"/>
              <w:rPr>
                <w:rFonts w:ascii="宋体" w:hAnsi="宋体" w:eastAsia="宋体" w:cs="宋体"/>
                <w:sz w:val="24"/>
                <w:szCs w:val="24"/>
                <w:lang w:eastAsia="zh-CN"/>
              </w:rPr>
            </w:pPr>
            <w:r>
              <w:rPr>
                <w:rFonts w:hint="eastAsia" w:ascii="宋体" w:hAnsi="宋体" w:eastAsia="宋体" w:cs="宋体"/>
                <w:color w:val="000000"/>
                <w:sz w:val="24"/>
                <w:szCs w:val="24"/>
                <w:lang w:eastAsia="zh-CN" w:bidi="ar"/>
              </w:rPr>
              <w:t>区综合应急救援队标准化营房建设</w:t>
            </w:r>
          </w:p>
        </w:tc>
        <w:tc>
          <w:tcPr>
            <w:tcW w:w="2878" w:type="dxa"/>
            <w:vAlign w:val="center"/>
          </w:tcPr>
          <w:p w14:paraId="4CBD1206">
            <w:pPr>
              <w:pStyle w:val="4"/>
              <w:numPr>
                <w:ilvl w:val="0"/>
                <w:numId w:val="0"/>
              </w:numPr>
              <w:spacing w:after="120" w:line="288"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157163.9</w:t>
            </w:r>
          </w:p>
        </w:tc>
        <w:tc>
          <w:tcPr>
            <w:tcW w:w="2878" w:type="dxa"/>
            <w:vAlign w:val="center"/>
          </w:tcPr>
          <w:p w14:paraId="6B0BB4EB">
            <w:pPr>
              <w:pStyle w:val="4"/>
              <w:numPr>
                <w:ilvl w:val="0"/>
                <w:numId w:val="0"/>
              </w:numPr>
              <w:spacing w:after="120" w:line="288"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打火队营房屋面防水维修、前进镇营房维修、房门更换、水电费</w:t>
            </w:r>
          </w:p>
        </w:tc>
      </w:tr>
      <w:tr w14:paraId="3CD79705">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1040" w:hRule="atLeast"/>
          <w:jc w:val="center"/>
        </w:trPr>
        <w:tc>
          <w:tcPr>
            <w:tcW w:w="2878" w:type="dxa"/>
            <w:vAlign w:val="center"/>
          </w:tcPr>
          <w:p w14:paraId="2041A89B">
            <w:pPr>
              <w:pStyle w:val="4"/>
              <w:numPr>
                <w:ilvl w:val="0"/>
                <w:numId w:val="0"/>
              </w:numPr>
              <w:spacing w:after="120" w:line="288" w:lineRule="auto"/>
              <w:jc w:val="both"/>
              <w:rPr>
                <w:rFonts w:ascii="宋体" w:hAnsi="宋体" w:eastAsia="宋体" w:cs="宋体"/>
                <w:sz w:val="24"/>
                <w:szCs w:val="24"/>
                <w:lang w:eastAsia="zh-CN"/>
              </w:rPr>
            </w:pPr>
            <w:r>
              <w:rPr>
                <w:rFonts w:hint="eastAsia" w:ascii="宋体" w:hAnsi="宋体" w:eastAsia="宋体" w:cs="宋体"/>
                <w:color w:val="000000"/>
                <w:sz w:val="24"/>
                <w:szCs w:val="24"/>
                <w:lang w:eastAsia="zh-CN" w:bidi="ar"/>
              </w:rPr>
              <w:t>各乡镇街道、区南山循环经济发展区管委会防火补助经费</w:t>
            </w:r>
          </w:p>
        </w:tc>
        <w:tc>
          <w:tcPr>
            <w:tcW w:w="2878" w:type="dxa"/>
            <w:vAlign w:val="center"/>
          </w:tcPr>
          <w:p w14:paraId="21EA8BC3">
            <w:pPr>
              <w:pStyle w:val="4"/>
              <w:numPr>
                <w:ilvl w:val="0"/>
                <w:numId w:val="0"/>
              </w:numPr>
              <w:spacing w:after="120" w:line="288"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1900000</w:t>
            </w:r>
          </w:p>
        </w:tc>
        <w:tc>
          <w:tcPr>
            <w:tcW w:w="2878" w:type="dxa"/>
            <w:vAlign w:val="center"/>
          </w:tcPr>
          <w:p w14:paraId="378C7981">
            <w:pPr>
              <w:pStyle w:val="4"/>
              <w:numPr>
                <w:ilvl w:val="0"/>
                <w:numId w:val="0"/>
              </w:numPr>
              <w:spacing w:after="120" w:line="288" w:lineRule="auto"/>
              <w:jc w:val="both"/>
              <w:rPr>
                <w:rFonts w:ascii="宋体" w:hAnsi="宋体" w:eastAsia="宋体" w:cs="宋体"/>
                <w:sz w:val="24"/>
                <w:szCs w:val="24"/>
              </w:rPr>
            </w:pPr>
          </w:p>
        </w:tc>
      </w:tr>
      <w:tr w14:paraId="0FC42B4E">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trHeight w:val="1040" w:hRule="atLeast"/>
          <w:jc w:val="center"/>
        </w:trPr>
        <w:tc>
          <w:tcPr>
            <w:tcW w:w="2878" w:type="dxa"/>
            <w:vAlign w:val="center"/>
          </w:tcPr>
          <w:p w14:paraId="50FC2E9D">
            <w:pPr>
              <w:pStyle w:val="4"/>
              <w:numPr>
                <w:ilvl w:val="0"/>
                <w:numId w:val="0"/>
              </w:numPr>
              <w:spacing w:after="120" w:line="288" w:lineRule="auto"/>
              <w:jc w:val="both"/>
              <w:rPr>
                <w:rFonts w:ascii="宋体" w:hAnsi="宋体" w:eastAsia="宋体" w:cs="宋体"/>
                <w:color w:val="000000"/>
                <w:sz w:val="24"/>
                <w:szCs w:val="24"/>
                <w:lang w:eastAsia="zh-CN" w:bidi="ar"/>
              </w:rPr>
            </w:pPr>
            <w:r>
              <w:rPr>
                <w:rFonts w:hint="eastAsia" w:ascii="宋体" w:hAnsi="宋体" w:eastAsia="宋体" w:cs="宋体"/>
                <w:color w:val="000000"/>
                <w:sz w:val="24"/>
                <w:szCs w:val="24"/>
                <w:lang w:eastAsia="zh-CN" w:bidi="ar"/>
              </w:rPr>
              <w:t>其他</w:t>
            </w:r>
          </w:p>
        </w:tc>
        <w:tc>
          <w:tcPr>
            <w:tcW w:w="2878" w:type="dxa"/>
            <w:vAlign w:val="center"/>
          </w:tcPr>
          <w:p w14:paraId="1AEA0718">
            <w:pPr>
              <w:pStyle w:val="4"/>
              <w:numPr>
                <w:ilvl w:val="0"/>
                <w:numId w:val="0"/>
              </w:numPr>
              <w:spacing w:after="120" w:line="288"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35788.8</w:t>
            </w:r>
          </w:p>
        </w:tc>
        <w:tc>
          <w:tcPr>
            <w:tcW w:w="2878" w:type="dxa"/>
            <w:vAlign w:val="center"/>
          </w:tcPr>
          <w:p w14:paraId="06B248B5">
            <w:pPr>
              <w:pStyle w:val="4"/>
              <w:numPr>
                <w:ilvl w:val="0"/>
                <w:numId w:val="0"/>
              </w:numPr>
              <w:spacing w:after="120" w:line="288" w:lineRule="auto"/>
              <w:jc w:val="both"/>
              <w:rPr>
                <w:rFonts w:ascii="宋体" w:hAnsi="宋体" w:eastAsia="宋体" w:cs="宋体"/>
                <w:sz w:val="24"/>
                <w:szCs w:val="24"/>
                <w:lang w:eastAsia="zh-CN"/>
              </w:rPr>
            </w:pPr>
            <w:r>
              <w:rPr>
                <w:rFonts w:hint="eastAsia" w:ascii="宋体" w:hAnsi="宋体" w:eastAsia="宋体" w:cs="宋体"/>
                <w:sz w:val="24"/>
                <w:szCs w:val="24"/>
                <w:lang w:eastAsia="zh-CN"/>
              </w:rPr>
              <w:t>防火下沉租车费，退回打火队员一次性伤残补助金及劳动能力鉴定费</w:t>
            </w:r>
          </w:p>
        </w:tc>
      </w:tr>
      <w:tr w14:paraId="30E71969">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2878" w:type="dxa"/>
            <w:vAlign w:val="center"/>
          </w:tcPr>
          <w:p w14:paraId="6E082CED">
            <w:pPr>
              <w:pStyle w:val="4"/>
              <w:numPr>
                <w:ilvl w:val="0"/>
                <w:numId w:val="0"/>
              </w:numPr>
              <w:spacing w:after="120" w:line="288" w:lineRule="auto"/>
              <w:ind w:firstLine="480" w:firstLineChars="200"/>
              <w:jc w:val="both"/>
              <w:rPr>
                <w:rFonts w:ascii="宋体" w:hAnsi="宋体" w:eastAsia="宋体" w:cs="宋体"/>
                <w:sz w:val="24"/>
                <w:szCs w:val="24"/>
              </w:rPr>
            </w:pPr>
            <w:r>
              <w:rPr>
                <w:rFonts w:hint="eastAsia" w:ascii="宋体" w:hAnsi="宋体" w:eastAsia="宋体" w:cs="宋体"/>
                <w:sz w:val="24"/>
                <w:szCs w:val="24"/>
              </w:rPr>
              <w:t>合 计</w:t>
            </w:r>
          </w:p>
        </w:tc>
        <w:tc>
          <w:tcPr>
            <w:tcW w:w="2878" w:type="dxa"/>
            <w:vAlign w:val="center"/>
          </w:tcPr>
          <w:p w14:paraId="54A63F6F">
            <w:pPr>
              <w:pStyle w:val="4"/>
              <w:numPr>
                <w:ilvl w:val="0"/>
                <w:numId w:val="0"/>
              </w:numPr>
              <w:spacing w:after="120" w:line="288" w:lineRule="auto"/>
              <w:ind w:firstLine="480" w:firstLineChars="200"/>
              <w:jc w:val="both"/>
              <w:rPr>
                <w:rFonts w:ascii="宋体" w:hAnsi="宋体" w:eastAsia="宋体" w:cs="宋体"/>
                <w:sz w:val="24"/>
                <w:szCs w:val="24"/>
                <w:lang w:eastAsia="zh-CN"/>
              </w:rPr>
            </w:pPr>
            <w:r>
              <w:rPr>
                <w:rFonts w:hint="eastAsia" w:ascii="宋体" w:hAnsi="宋体" w:eastAsia="宋体" w:cs="宋体"/>
                <w:sz w:val="24"/>
                <w:szCs w:val="24"/>
                <w:lang w:eastAsia="zh-CN"/>
              </w:rPr>
              <w:t>3562685.84</w:t>
            </w:r>
          </w:p>
        </w:tc>
        <w:tc>
          <w:tcPr>
            <w:tcW w:w="2878" w:type="dxa"/>
            <w:vAlign w:val="center"/>
          </w:tcPr>
          <w:p w14:paraId="253D1A0B">
            <w:pPr>
              <w:pStyle w:val="4"/>
              <w:numPr>
                <w:ilvl w:val="0"/>
                <w:numId w:val="0"/>
              </w:numPr>
              <w:spacing w:after="120" w:line="288" w:lineRule="auto"/>
              <w:ind w:firstLine="480" w:firstLineChars="200"/>
              <w:jc w:val="both"/>
              <w:rPr>
                <w:rFonts w:ascii="宋体" w:hAnsi="宋体" w:eastAsia="宋体" w:cs="宋体"/>
                <w:sz w:val="24"/>
                <w:szCs w:val="24"/>
              </w:rPr>
            </w:pPr>
            <w:r>
              <w:rPr>
                <w:rFonts w:hint="eastAsia" w:ascii="宋体" w:hAnsi="宋体" w:eastAsia="宋体" w:cs="宋体"/>
                <w:sz w:val="24"/>
                <w:szCs w:val="24"/>
              </w:rPr>
              <w:t>—</w:t>
            </w:r>
          </w:p>
        </w:tc>
      </w:tr>
    </w:tbl>
    <w:p w14:paraId="687B7B52">
      <w:pPr>
        <w:pStyle w:val="4"/>
        <w:numPr>
          <w:ilvl w:val="0"/>
          <w:numId w:val="0"/>
        </w:numPr>
        <w:spacing w:after="120" w:line="288" w:lineRule="auto"/>
        <w:ind w:firstLine="643" w:firstLineChars="200"/>
        <w:rPr>
          <w:rFonts w:ascii="Times New Roman" w:hAnsi="Times New Roman" w:eastAsia="楷体_GB2312" w:cs="Times New Roman"/>
          <w:b/>
          <w:kern w:val="2"/>
          <w:sz w:val="32"/>
          <w:szCs w:val="32"/>
          <w:lang w:val="zh-CN" w:eastAsia="zh-CN"/>
        </w:rPr>
      </w:pPr>
      <w:r>
        <w:rPr>
          <w:rFonts w:hint="eastAsia" w:ascii="Times New Roman" w:hAnsi="Times New Roman" w:eastAsia="楷体_GB2312" w:cs="Times New Roman"/>
          <w:b/>
          <w:kern w:val="2"/>
          <w:sz w:val="32"/>
          <w:szCs w:val="32"/>
          <w:lang w:val="zh-CN" w:eastAsia="zh-CN"/>
        </w:rPr>
        <w:t>（三）项目财务管理情况</w:t>
      </w:r>
    </w:p>
    <w:p w14:paraId="2FFAF640">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区林业局财务管理制度健全，严格执行资金支付内控制度和财务管理制度，账务处理及时，会计核算准确规范，项目资金专款专用，支出凭证齐全。</w:t>
      </w:r>
    </w:p>
    <w:p w14:paraId="329D1D9C">
      <w:pPr>
        <w:adjustRightInd w:val="0"/>
        <w:snapToGrid w:val="0"/>
        <w:spacing w:line="600" w:lineRule="exact"/>
        <w:ind w:firstLine="720"/>
        <w:rPr>
          <w:rFonts w:ascii="Times New Roman" w:hAnsi="Times New Roman" w:eastAsia="黑体" w:cs="Times New Roman"/>
          <w:sz w:val="32"/>
          <w:szCs w:val="32"/>
        </w:rPr>
      </w:pPr>
      <w:r>
        <w:rPr>
          <w:rFonts w:hint="eastAsia" w:ascii="Times New Roman" w:hAnsi="Times New Roman" w:eastAsia="黑体" w:cs="Times New Roman"/>
          <w:sz w:val="32"/>
          <w:szCs w:val="32"/>
        </w:rPr>
        <w:t>三、项目实施及管理情况</w:t>
      </w:r>
    </w:p>
    <w:p w14:paraId="6D0A0F42">
      <w:pPr>
        <w:adjustRightInd w:val="0"/>
        <w:snapToGrid w:val="0"/>
        <w:spacing w:line="600" w:lineRule="exact"/>
        <w:ind w:firstLine="720"/>
        <w:rPr>
          <w:rFonts w:ascii="Times New Roman" w:hAnsi="Times New Roman" w:eastAsia="楷体_GB2312" w:cs="Times New Roman"/>
          <w:b/>
          <w:sz w:val="32"/>
          <w:szCs w:val="32"/>
          <w:lang w:val="zh-CN"/>
        </w:rPr>
      </w:pPr>
      <w:r>
        <w:rPr>
          <w:rFonts w:hint="eastAsia" w:ascii="Times New Roman" w:hAnsi="Times New Roman" w:eastAsia="楷体_GB2312" w:cs="Times New Roman"/>
          <w:b/>
          <w:sz w:val="32"/>
          <w:szCs w:val="32"/>
          <w:lang w:val="zh-CN"/>
        </w:rPr>
        <w:t>（一）项目组织架构及实施流程</w:t>
      </w:r>
    </w:p>
    <w:p w14:paraId="6125AA01">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项目明确由区林业局森林防火股负责组织实施，根据年度森林草原防灭火工作需要合理安排资金使用，重要项目实施区林业局均编制了资金使用方案，上报区人民政府审定，由区级相关领导签字审批同意后开展工作。</w:t>
      </w:r>
    </w:p>
    <w:p w14:paraId="116B6DC1">
      <w:pPr>
        <w:adjustRightInd w:val="0"/>
        <w:snapToGrid w:val="0"/>
        <w:spacing w:line="600" w:lineRule="exact"/>
        <w:ind w:firstLine="720"/>
        <w:rPr>
          <w:rFonts w:ascii="Times New Roman" w:hAnsi="Times New Roman" w:eastAsia="楷体_GB2312" w:cs="Times New Roman"/>
          <w:b/>
          <w:sz w:val="32"/>
          <w:szCs w:val="32"/>
          <w:lang w:val="zh-CN"/>
        </w:rPr>
      </w:pPr>
      <w:r>
        <w:rPr>
          <w:rFonts w:hint="eastAsia" w:ascii="Times New Roman" w:hAnsi="Times New Roman" w:eastAsia="楷体_GB2312" w:cs="Times New Roman"/>
          <w:b/>
          <w:sz w:val="32"/>
          <w:szCs w:val="32"/>
          <w:lang w:val="zh-CN"/>
        </w:rPr>
        <w:t>（二）项目管理情况</w:t>
      </w:r>
    </w:p>
    <w:p w14:paraId="1DEC0B9A">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区林业局依法依规管理项目，科学组织实施项目，严格执行国家、省市森林草原防灭火安排部署和政府采购相关法律法规，对达到采购限额标准的物资采购、服务采购均按规定履行政府采购程序，及时进行项目公示。</w:t>
      </w:r>
    </w:p>
    <w:p w14:paraId="4AE13B57">
      <w:pPr>
        <w:adjustRightInd w:val="0"/>
        <w:snapToGrid w:val="0"/>
        <w:spacing w:line="600" w:lineRule="exact"/>
        <w:ind w:firstLine="720"/>
        <w:rPr>
          <w:rFonts w:ascii="Times New Roman" w:hAnsi="Times New Roman" w:eastAsia="楷体_GB2312" w:cs="Times New Roman"/>
          <w:b/>
          <w:sz w:val="32"/>
          <w:szCs w:val="32"/>
          <w:lang w:val="zh-CN"/>
        </w:rPr>
      </w:pPr>
      <w:r>
        <w:rPr>
          <w:rFonts w:hint="eastAsia" w:ascii="Times New Roman" w:hAnsi="Times New Roman" w:eastAsia="楷体_GB2312" w:cs="Times New Roman"/>
          <w:b/>
          <w:sz w:val="32"/>
          <w:szCs w:val="32"/>
          <w:lang w:val="zh-CN"/>
        </w:rPr>
        <w:t>（三）项目监管情况</w:t>
      </w:r>
    </w:p>
    <w:p w14:paraId="11D6E66C">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在项目实施过程中严格按照"三重一大"集体决策制度，落实项目审核、过程监管、事后检查，取得明显绩效。</w:t>
      </w:r>
    </w:p>
    <w:p w14:paraId="438F1552">
      <w:pPr>
        <w:adjustRightInd w:val="0"/>
        <w:snapToGrid w:val="0"/>
        <w:spacing w:line="600" w:lineRule="exact"/>
        <w:ind w:firstLine="720"/>
        <w:rPr>
          <w:rFonts w:ascii="Times New Roman" w:hAnsi="Times New Roman" w:eastAsia="黑体" w:cs="Times New Roman"/>
          <w:sz w:val="32"/>
          <w:szCs w:val="32"/>
        </w:rPr>
      </w:pPr>
      <w:r>
        <w:rPr>
          <w:rFonts w:hint="eastAsia" w:ascii="Times New Roman" w:hAnsi="Times New Roman" w:eastAsia="黑体" w:cs="Times New Roman"/>
          <w:sz w:val="32"/>
          <w:szCs w:val="32"/>
        </w:rPr>
        <w:t>四、项目绩效情况</w:t>
      </w:r>
    </w:p>
    <w:p w14:paraId="6FD9F467">
      <w:pPr>
        <w:adjustRightInd w:val="0"/>
        <w:snapToGrid w:val="0"/>
        <w:spacing w:line="600" w:lineRule="exact"/>
        <w:ind w:firstLine="720"/>
        <w:rPr>
          <w:rFonts w:ascii="Times New Roman" w:hAnsi="Times New Roman" w:eastAsia="楷体_GB2312" w:cs="Times New Roman"/>
          <w:b/>
          <w:sz w:val="32"/>
          <w:szCs w:val="32"/>
          <w:lang w:val="zh-CN"/>
        </w:rPr>
      </w:pPr>
      <w:r>
        <w:rPr>
          <w:rFonts w:hint="eastAsia" w:ascii="Times New Roman" w:hAnsi="Times New Roman" w:eastAsia="楷体_GB2312" w:cs="Times New Roman"/>
          <w:b/>
          <w:sz w:val="32"/>
          <w:szCs w:val="32"/>
          <w:lang w:val="zh-CN"/>
        </w:rPr>
        <w:t>（一）项目完成情况</w:t>
      </w:r>
    </w:p>
    <w:p w14:paraId="7D6B00DF">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项目已按照预算科目内容完成了防火宣传、火情监测、物资采购、应急演练、设施设备维护等各项工作。主要完成情况如下：</w:t>
      </w:r>
    </w:p>
    <w:p w14:paraId="669C0CB6">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人员工资保险保障到位。全年按时发放林火监测人员1—12月工资，及时解缴医保、社保，保障了防火值班队伍稳定，确保防火期24小时值班值守工作正常运转。</w:t>
      </w:r>
    </w:p>
    <w:p w14:paraId="128D327F">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防火宣传广泛深入。开展了防火宣传袋制作、防火命令宣传设计制作、防火宣传短信发送、森林草原防火资料印制等多项宣传工作，有效提升了全民防火意识。</w:t>
      </w:r>
    </w:p>
    <w:p w14:paraId="426794C7">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应急演练扎实开展。组织开展了2025年森林草原火灾"一山一图一策"实战演练，完成了演练策划执行、助燃材料采购、场地道路平整等工作，提升了应急救援队伍实战能力。</w:t>
      </w:r>
    </w:p>
    <w:p w14:paraId="6CD75A7E">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防火物资装备及时采购。为巡山护林员配备了巡护装备，采购了防火物资，保障了一线巡护和扑救工作需要。</w:t>
      </w:r>
    </w:p>
    <w:p w14:paraId="2A63DB04">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科技防火手段持续强化。开展了重点区域防火无人机巡查服务，采购了防火无人机，实施了林火视频监控系统运行维护，提升了火情监测预警能力。</w:t>
      </w:r>
    </w:p>
    <w:p w14:paraId="27E3335F">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基础设施运行维护正常。完成了瞭望塔承包管护、营房屋面防水及室内维修、营房水电费缴纳等保障工作，确保了防火基础设施正常运行。</w:t>
      </w:r>
    </w:p>
    <w:p w14:paraId="3AA19056">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仁和区取得了全年无人为森林草原火灾、无扑火人员伤亡的良好成绩，防火工作持续保持良好态势。</w:t>
      </w:r>
    </w:p>
    <w:p w14:paraId="32B6EC4C">
      <w:pPr>
        <w:adjustRightInd w:val="0"/>
        <w:snapToGrid w:val="0"/>
        <w:spacing w:line="600" w:lineRule="exact"/>
        <w:ind w:firstLine="720"/>
        <w:rPr>
          <w:rFonts w:ascii="Times New Roman" w:hAnsi="Times New Roman" w:eastAsia="楷体_GB2312" w:cs="Times New Roman"/>
          <w:b/>
          <w:sz w:val="32"/>
          <w:szCs w:val="32"/>
          <w:lang w:val="zh-CN"/>
        </w:rPr>
      </w:pPr>
      <w:r>
        <w:rPr>
          <w:rFonts w:hint="eastAsia" w:ascii="Times New Roman" w:hAnsi="Times New Roman" w:eastAsia="楷体_GB2312" w:cs="Times New Roman"/>
          <w:b/>
          <w:sz w:val="32"/>
          <w:szCs w:val="32"/>
          <w:lang w:val="zh-CN"/>
        </w:rPr>
        <w:t>（二）项目效益情况</w:t>
      </w:r>
    </w:p>
    <w:p w14:paraId="553B25F4">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生态效益。项目发挥了保护森林草原资源、杜绝森林草原火灾发生的重要作用，有效保护了林区生态环境，森林草原生态系统持续改善。</w:t>
      </w:r>
    </w:p>
    <w:p w14:paraId="1F568832">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社会效益。实现了全区无人为森林草原火灾，有效保护了林区人民群众生命财产和重要设施安全，维护了林区社会秩序稳定。</w:t>
      </w:r>
    </w:p>
    <w:p w14:paraId="6268FBCF">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经济效益。避免了森林草原火灾造成的林木资源损失和扑救费用支出，以较小的预防投入避免了潜在的巨大经济损失。</w:t>
      </w:r>
    </w:p>
    <w:p w14:paraId="38CA6D8E">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可持续影响。通过持续的防火宣传、基础设施建设和队伍能力提升，建立了长效的森林草原火灾防控机制，为后续年度防火工作奠定了坚实基础。</w:t>
      </w:r>
    </w:p>
    <w:p w14:paraId="5C7C6134">
      <w:pPr>
        <w:adjustRightInd w:val="0"/>
        <w:snapToGrid w:val="0"/>
        <w:spacing w:line="600" w:lineRule="exact"/>
        <w:ind w:firstLine="720"/>
        <w:rPr>
          <w:rFonts w:ascii="Times New Roman" w:hAnsi="Times New Roman" w:eastAsia="黑体" w:cs="Times New Roman"/>
          <w:sz w:val="32"/>
          <w:szCs w:val="32"/>
        </w:rPr>
      </w:pPr>
      <w:r>
        <w:rPr>
          <w:rFonts w:hint="eastAsia" w:ascii="Times New Roman" w:hAnsi="Times New Roman" w:eastAsia="黑体" w:cs="Times New Roman"/>
          <w:sz w:val="32"/>
          <w:szCs w:val="32"/>
        </w:rPr>
        <w:t>五、评价结论及建议</w:t>
      </w:r>
    </w:p>
    <w:p w14:paraId="6E0A60C7">
      <w:pPr>
        <w:adjustRightInd w:val="0"/>
        <w:snapToGrid w:val="0"/>
        <w:spacing w:line="600" w:lineRule="exact"/>
        <w:ind w:firstLine="720"/>
        <w:rPr>
          <w:rFonts w:ascii="Times New Roman" w:hAnsi="Times New Roman" w:eastAsia="楷体_GB2312" w:cs="Times New Roman"/>
          <w:b/>
          <w:sz w:val="32"/>
          <w:szCs w:val="32"/>
          <w:lang w:val="zh-CN"/>
        </w:rPr>
      </w:pPr>
      <w:r>
        <w:rPr>
          <w:rFonts w:hint="eastAsia" w:ascii="Times New Roman" w:hAnsi="Times New Roman" w:eastAsia="楷体_GB2312" w:cs="Times New Roman"/>
          <w:b/>
          <w:sz w:val="32"/>
          <w:szCs w:val="32"/>
          <w:lang w:val="zh-CN"/>
        </w:rPr>
        <w:t>（一）评价结论</w:t>
      </w:r>
    </w:p>
    <w:p w14:paraId="00B54FD8">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经综合评价，仁和区2025年度森林草原防灭火项目绩效自评结论为良好。项目数量指标、质量指标、时效指标、成本指标、社会效益指标、经济效益指标、生态效益指标、群众满意度指标全部完成预算目标。</w:t>
      </w:r>
    </w:p>
    <w:p w14:paraId="2F062725">
      <w:pPr>
        <w:adjustRightInd w:val="0"/>
        <w:snapToGrid w:val="0"/>
        <w:spacing w:line="600" w:lineRule="exact"/>
        <w:ind w:firstLine="720"/>
        <w:rPr>
          <w:rFonts w:ascii="Times New Roman" w:hAnsi="Times New Roman" w:eastAsia="楷体_GB2312" w:cs="Times New Roman"/>
          <w:b/>
          <w:sz w:val="32"/>
          <w:szCs w:val="32"/>
          <w:lang w:val="zh-CN"/>
        </w:rPr>
      </w:pPr>
      <w:r>
        <w:rPr>
          <w:rFonts w:hint="eastAsia" w:ascii="Times New Roman" w:hAnsi="Times New Roman" w:eastAsia="楷体_GB2312" w:cs="Times New Roman"/>
          <w:b/>
          <w:sz w:val="32"/>
          <w:szCs w:val="32"/>
          <w:lang w:val="zh-CN"/>
        </w:rPr>
        <w:t>（二）存在的问题</w:t>
      </w:r>
    </w:p>
    <w:p w14:paraId="6DA8D3E1">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由于区财政资金调度紧张，部分项目在完成后未及时支付资金，部分支出存在跨年度支付的情况。</w:t>
      </w:r>
    </w:p>
    <w:p w14:paraId="16DD743A">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防火物资装备更新换代较快，现有物资储备种类和数量仍需进一步充实，以适应新形势下森林草原防灭火工作的需要。</w:t>
      </w:r>
    </w:p>
    <w:p w14:paraId="67B5B0C2">
      <w:pPr>
        <w:adjustRightInd w:val="0"/>
        <w:snapToGrid w:val="0"/>
        <w:spacing w:line="600" w:lineRule="exact"/>
        <w:ind w:firstLine="720"/>
        <w:rPr>
          <w:rFonts w:ascii="Times New Roman" w:hAnsi="Times New Roman" w:eastAsia="楷体_GB2312" w:cs="Times New Roman"/>
          <w:b/>
          <w:sz w:val="32"/>
          <w:szCs w:val="32"/>
          <w:lang w:val="zh-CN"/>
        </w:rPr>
      </w:pPr>
      <w:r>
        <w:rPr>
          <w:rFonts w:hint="eastAsia" w:ascii="Times New Roman" w:hAnsi="Times New Roman" w:eastAsia="楷体_GB2312" w:cs="Times New Roman"/>
          <w:b/>
          <w:sz w:val="32"/>
          <w:szCs w:val="32"/>
          <w:lang w:val="zh-CN"/>
        </w:rPr>
        <w:t>（三）相关建议</w:t>
      </w:r>
    </w:p>
    <w:p w14:paraId="0D27FF3A">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请区财政局高度重视森林草原防灭火工作，进一步加强森林草原防火工作项目经费保障，确保资金及时足额到位，充分满足全区森林草原火灾预防和扑救工作需要。</w:t>
      </w:r>
    </w:p>
    <w:p w14:paraId="050BC796">
      <w:pPr>
        <w:pStyle w:val="4"/>
        <w:numPr>
          <w:ilvl w:val="0"/>
          <w:numId w:val="0"/>
        </w:numPr>
        <w:spacing w:after="120" w:line="288" w:lineRule="auto"/>
        <w:ind w:firstLine="640" w:firstLineChars="200"/>
        <w:rPr>
          <w:rFonts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建议进一步优化项目预算编制，提前谋划、细化各项支出计划，提高资金使用效率和预算执行率。</w:t>
      </w:r>
    </w:p>
    <w:p w14:paraId="36432934">
      <w:pPr>
        <w:autoSpaceDE w:val="0"/>
        <w:autoSpaceDN w:val="0"/>
        <w:adjustRightInd w:val="0"/>
        <w:spacing w:line="600" w:lineRule="exact"/>
        <w:ind w:firstLine="640"/>
        <w:rPr>
          <w:rFonts w:ascii="仿宋" w:hAnsi="Cambria" w:eastAsia="仿宋" w:cs="仿宋"/>
          <w:b/>
          <w:bCs/>
          <w:sz w:val="30"/>
          <w:szCs w:val="30"/>
        </w:rPr>
      </w:pPr>
      <w:r>
        <w:rPr>
          <w:rFonts w:hint="eastAsia" w:ascii="方正仿宋_GB2312" w:hAnsi="方正仿宋_GB2312" w:eastAsia="方正仿宋_GB2312" w:cs="方正仿宋_GB2312"/>
          <w:sz w:val="32"/>
          <w:szCs w:val="32"/>
        </w:rPr>
        <w:t>持续加强防火物资装备建设，逐步更新补充现代化防灭火装备，提升科技防火水平。</w:t>
      </w:r>
    </w:p>
    <w:p w14:paraId="6EBEB3D2">
      <w:pPr>
        <w:autoSpaceDE w:val="0"/>
        <w:autoSpaceDN w:val="0"/>
        <w:adjustRightInd w:val="0"/>
        <w:spacing w:line="580" w:lineRule="exact"/>
        <w:rPr>
          <w:rFonts w:ascii="黑体" w:hAnsi="Cambria" w:eastAsia="黑体" w:cs="黑体"/>
          <w:kern w:val="44"/>
          <w:sz w:val="44"/>
          <w:szCs w:val="44"/>
        </w:rPr>
      </w:pPr>
    </w:p>
    <w:p w14:paraId="6DD3F595">
      <w:pPr>
        <w:autoSpaceDE w:val="0"/>
        <w:autoSpaceDN w:val="0"/>
        <w:adjustRightInd w:val="0"/>
        <w:jc w:val="left"/>
        <w:rPr>
          <w:rFonts w:ascii="黑体" w:hAnsi="Cambria" w:eastAsia="黑体" w:cs="黑体"/>
          <w:kern w:val="44"/>
          <w:sz w:val="44"/>
          <w:szCs w:val="44"/>
        </w:rPr>
      </w:pPr>
      <w:r>
        <w:rPr>
          <w:rFonts w:ascii="黑体" w:hAnsi="Cambria" w:eastAsia="黑体" w:cs="黑体"/>
          <w:kern w:val="44"/>
          <w:sz w:val="44"/>
          <w:szCs w:val="44"/>
        </w:rPr>
        <w:br w:type="page"/>
      </w:r>
    </w:p>
    <w:p w14:paraId="026E7BDE">
      <w:pPr>
        <w:autoSpaceDE w:val="0"/>
        <w:autoSpaceDN w:val="0"/>
        <w:adjustRightInd w:val="0"/>
        <w:spacing w:line="600" w:lineRule="exact"/>
        <w:jc w:val="center"/>
        <w:rPr>
          <w:rFonts w:ascii="黑体" w:hAnsi="Cambria" w:eastAsia="黑体" w:cs="黑体"/>
          <w:kern w:val="44"/>
          <w:sz w:val="44"/>
          <w:szCs w:val="44"/>
        </w:rPr>
      </w:pPr>
      <w:r>
        <w:rPr>
          <w:rFonts w:hint="eastAsia" w:ascii="黑体" w:hAnsi="Cambria" w:eastAsia="黑体" w:cs="黑体"/>
          <w:sz w:val="44"/>
          <w:szCs w:val="44"/>
        </w:rPr>
        <w:t>第</w:t>
      </w:r>
      <w:r>
        <w:rPr>
          <w:rFonts w:hint="eastAsia" w:ascii="黑体" w:hAnsi="Cambria" w:eastAsia="黑体" w:cs="黑体"/>
          <w:kern w:val="44"/>
          <w:sz w:val="44"/>
          <w:szCs w:val="44"/>
        </w:rPr>
        <w:t>五部分</w:t>
      </w:r>
      <w:r>
        <w:rPr>
          <w:rFonts w:ascii="黑体" w:hAnsi="Cambria" w:eastAsia="黑体" w:cs="黑体"/>
          <w:kern w:val="44"/>
          <w:sz w:val="44"/>
          <w:szCs w:val="44"/>
        </w:rPr>
        <w:t xml:space="preserve"> </w:t>
      </w:r>
      <w:r>
        <w:rPr>
          <w:rFonts w:hint="eastAsia" w:ascii="黑体" w:hAnsi="Cambria" w:eastAsia="黑体" w:cs="黑体"/>
          <w:kern w:val="44"/>
          <w:sz w:val="44"/>
          <w:szCs w:val="44"/>
        </w:rPr>
        <w:t>附表</w:t>
      </w:r>
    </w:p>
    <w:p w14:paraId="333DA064">
      <w:pPr>
        <w:autoSpaceDE w:val="0"/>
        <w:autoSpaceDN w:val="0"/>
        <w:adjustRightInd w:val="0"/>
        <w:spacing w:line="600" w:lineRule="exact"/>
        <w:jc w:val="left"/>
        <w:rPr>
          <w:rFonts w:ascii="仿宋" w:hAnsi="Cambria" w:eastAsia="仿宋" w:cs="仿宋"/>
          <w:sz w:val="32"/>
          <w:szCs w:val="32"/>
        </w:rPr>
      </w:pPr>
      <w:r>
        <w:rPr>
          <w:rFonts w:hint="eastAsia" w:ascii="仿宋" w:hAnsi="Cambria" w:eastAsia="仿宋" w:cs="仿宋"/>
          <w:sz w:val="32"/>
          <w:szCs w:val="32"/>
        </w:rPr>
        <w:t>一、收入支出决算总表</w:t>
      </w:r>
    </w:p>
    <w:p w14:paraId="71536FAA">
      <w:pPr>
        <w:autoSpaceDE w:val="0"/>
        <w:autoSpaceDN w:val="0"/>
        <w:adjustRightInd w:val="0"/>
        <w:spacing w:line="600" w:lineRule="exact"/>
        <w:jc w:val="left"/>
        <w:rPr>
          <w:rFonts w:ascii="仿宋" w:hAnsi="Cambria" w:eastAsia="仿宋" w:cs="仿宋"/>
          <w:b/>
          <w:bCs/>
          <w:sz w:val="32"/>
          <w:szCs w:val="32"/>
        </w:rPr>
      </w:pPr>
      <w:r>
        <w:rPr>
          <w:rFonts w:hint="eastAsia" w:ascii="仿宋" w:hAnsi="Cambria" w:eastAsia="仿宋" w:cs="仿宋"/>
          <w:sz w:val="32"/>
          <w:szCs w:val="32"/>
        </w:rPr>
        <w:t>二、收入决算表</w:t>
      </w:r>
    </w:p>
    <w:p w14:paraId="0F52ABD4">
      <w:pPr>
        <w:keepNext/>
        <w:keepLines/>
        <w:autoSpaceDE w:val="0"/>
        <w:autoSpaceDN w:val="0"/>
        <w:adjustRightInd w:val="0"/>
        <w:spacing w:before="260" w:after="260" w:line="408" w:lineRule="auto"/>
        <w:outlineLvl w:val="1"/>
        <w:rPr>
          <w:rFonts w:ascii="仿宋" w:hAnsi="Cambria" w:eastAsia="仿宋" w:cs="仿宋"/>
          <w:b/>
          <w:bCs/>
          <w:sz w:val="32"/>
          <w:szCs w:val="32"/>
        </w:rPr>
      </w:pPr>
      <w:r>
        <w:rPr>
          <w:rFonts w:hint="eastAsia" w:ascii="仿宋" w:hAnsi="Cambria" w:eastAsia="仿宋" w:cs="仿宋"/>
          <w:sz w:val="32"/>
          <w:szCs w:val="32"/>
        </w:rPr>
        <w:t>三、支出决算表</w:t>
      </w:r>
    </w:p>
    <w:p w14:paraId="26DC2275">
      <w:pPr>
        <w:keepNext/>
        <w:keepLines/>
        <w:autoSpaceDE w:val="0"/>
        <w:autoSpaceDN w:val="0"/>
        <w:adjustRightInd w:val="0"/>
        <w:spacing w:before="260" w:after="260" w:line="408" w:lineRule="auto"/>
        <w:outlineLvl w:val="1"/>
        <w:rPr>
          <w:rFonts w:ascii="仿宋" w:hAnsi="Cambria" w:eastAsia="仿宋" w:cs="仿宋"/>
          <w:sz w:val="32"/>
          <w:szCs w:val="32"/>
        </w:rPr>
      </w:pPr>
      <w:r>
        <w:rPr>
          <w:rFonts w:hint="eastAsia" w:ascii="仿宋" w:hAnsi="Cambria" w:eastAsia="仿宋" w:cs="仿宋"/>
          <w:sz w:val="32"/>
          <w:szCs w:val="32"/>
        </w:rPr>
        <w:t>四、财政拨款收入支出决算总表</w:t>
      </w:r>
    </w:p>
    <w:p w14:paraId="3B9D390F">
      <w:pPr>
        <w:keepNext/>
        <w:keepLines/>
        <w:autoSpaceDE w:val="0"/>
        <w:autoSpaceDN w:val="0"/>
        <w:adjustRightInd w:val="0"/>
        <w:spacing w:before="260" w:after="260" w:line="408" w:lineRule="auto"/>
        <w:outlineLvl w:val="1"/>
        <w:rPr>
          <w:rFonts w:ascii="仿宋" w:hAnsi="Cambria" w:eastAsia="仿宋" w:cs="仿宋"/>
          <w:sz w:val="32"/>
          <w:szCs w:val="32"/>
        </w:rPr>
      </w:pPr>
      <w:r>
        <w:rPr>
          <w:rFonts w:hint="eastAsia" w:ascii="仿宋" w:hAnsi="Cambria" w:eastAsia="仿宋" w:cs="仿宋"/>
          <w:sz w:val="32"/>
          <w:szCs w:val="32"/>
        </w:rPr>
        <w:t>五、财政拨款支出决算明细表</w:t>
      </w:r>
    </w:p>
    <w:p w14:paraId="3841FB29">
      <w:pPr>
        <w:keepNext/>
        <w:keepLines/>
        <w:autoSpaceDE w:val="0"/>
        <w:autoSpaceDN w:val="0"/>
        <w:adjustRightInd w:val="0"/>
        <w:spacing w:before="260" w:after="260" w:line="408" w:lineRule="auto"/>
        <w:outlineLvl w:val="1"/>
        <w:rPr>
          <w:rFonts w:ascii="仿宋" w:hAnsi="Cambria" w:eastAsia="仿宋" w:cs="仿宋"/>
          <w:b/>
          <w:bCs/>
          <w:sz w:val="32"/>
          <w:szCs w:val="32"/>
        </w:rPr>
      </w:pPr>
      <w:r>
        <w:rPr>
          <w:rFonts w:hint="eastAsia" w:ascii="仿宋" w:hAnsi="Cambria" w:eastAsia="仿宋" w:cs="仿宋"/>
          <w:sz w:val="32"/>
          <w:szCs w:val="32"/>
        </w:rPr>
        <w:t>六、一般公共预算财政拨款支出决算表</w:t>
      </w:r>
    </w:p>
    <w:p w14:paraId="1499F16D">
      <w:pPr>
        <w:keepNext/>
        <w:keepLines/>
        <w:autoSpaceDE w:val="0"/>
        <w:autoSpaceDN w:val="0"/>
        <w:adjustRightInd w:val="0"/>
        <w:spacing w:before="260" w:after="260" w:line="408" w:lineRule="auto"/>
        <w:outlineLvl w:val="1"/>
        <w:rPr>
          <w:rFonts w:ascii="仿宋" w:hAnsi="Cambria" w:eastAsia="仿宋" w:cs="仿宋"/>
          <w:b/>
          <w:bCs/>
          <w:sz w:val="32"/>
          <w:szCs w:val="32"/>
        </w:rPr>
      </w:pPr>
      <w:r>
        <w:rPr>
          <w:rFonts w:hint="eastAsia" w:ascii="仿宋" w:hAnsi="Cambria" w:eastAsia="仿宋" w:cs="仿宋"/>
          <w:sz w:val="32"/>
          <w:szCs w:val="32"/>
        </w:rPr>
        <w:t>七、一般公共预算财政拨款支出决算明细表</w:t>
      </w:r>
    </w:p>
    <w:p w14:paraId="4171CF2F">
      <w:pPr>
        <w:keepNext/>
        <w:keepLines/>
        <w:autoSpaceDE w:val="0"/>
        <w:autoSpaceDN w:val="0"/>
        <w:adjustRightInd w:val="0"/>
        <w:spacing w:before="260" w:after="260" w:line="408" w:lineRule="auto"/>
        <w:outlineLvl w:val="1"/>
        <w:rPr>
          <w:rFonts w:ascii="仿宋" w:hAnsi="Cambria" w:eastAsia="仿宋" w:cs="仿宋"/>
          <w:b/>
          <w:bCs/>
          <w:sz w:val="32"/>
          <w:szCs w:val="32"/>
        </w:rPr>
      </w:pPr>
      <w:r>
        <w:rPr>
          <w:rFonts w:hint="eastAsia" w:ascii="仿宋" w:hAnsi="Cambria" w:eastAsia="仿宋" w:cs="仿宋"/>
          <w:sz w:val="32"/>
          <w:szCs w:val="32"/>
        </w:rPr>
        <w:t>八、一般公共预算财政拨款基本支出决算表</w:t>
      </w:r>
    </w:p>
    <w:p w14:paraId="484A88C3">
      <w:pPr>
        <w:keepNext/>
        <w:keepLines/>
        <w:autoSpaceDE w:val="0"/>
        <w:autoSpaceDN w:val="0"/>
        <w:adjustRightInd w:val="0"/>
        <w:spacing w:before="260" w:after="260" w:line="408" w:lineRule="auto"/>
        <w:outlineLvl w:val="1"/>
        <w:rPr>
          <w:rFonts w:ascii="仿宋" w:hAnsi="Cambria" w:eastAsia="仿宋" w:cs="仿宋"/>
          <w:b/>
          <w:bCs/>
          <w:sz w:val="32"/>
          <w:szCs w:val="32"/>
        </w:rPr>
      </w:pPr>
      <w:r>
        <w:rPr>
          <w:rFonts w:hint="eastAsia" w:ascii="仿宋" w:hAnsi="Cambria" w:eastAsia="仿宋" w:cs="仿宋"/>
          <w:sz w:val="32"/>
          <w:szCs w:val="32"/>
        </w:rPr>
        <w:t>九、一般公共预算财政拨款项目支出决算表</w:t>
      </w:r>
    </w:p>
    <w:p w14:paraId="4EB002C6">
      <w:pPr>
        <w:keepNext/>
        <w:keepLines/>
        <w:autoSpaceDE w:val="0"/>
        <w:autoSpaceDN w:val="0"/>
        <w:adjustRightInd w:val="0"/>
        <w:spacing w:before="260" w:after="260" w:line="408" w:lineRule="auto"/>
        <w:outlineLvl w:val="1"/>
        <w:rPr>
          <w:rFonts w:ascii="仿宋" w:hAnsi="Cambria" w:eastAsia="仿宋" w:cs="仿宋"/>
          <w:b/>
          <w:bCs/>
          <w:sz w:val="32"/>
          <w:szCs w:val="32"/>
        </w:rPr>
      </w:pPr>
      <w:r>
        <w:rPr>
          <w:rFonts w:hint="eastAsia" w:ascii="仿宋" w:hAnsi="Cambria" w:eastAsia="仿宋" w:cs="仿宋"/>
          <w:sz w:val="32"/>
          <w:szCs w:val="32"/>
        </w:rPr>
        <w:t>十、政府性基金预算财政拨款收入支出决算表</w:t>
      </w:r>
    </w:p>
    <w:p w14:paraId="39172A8C">
      <w:pPr>
        <w:keepNext/>
        <w:keepLines/>
        <w:autoSpaceDE w:val="0"/>
        <w:autoSpaceDN w:val="0"/>
        <w:adjustRightInd w:val="0"/>
        <w:spacing w:before="260" w:after="260" w:line="408" w:lineRule="auto"/>
        <w:outlineLvl w:val="1"/>
        <w:rPr>
          <w:rFonts w:ascii="仿宋" w:hAnsi="Cambria" w:eastAsia="仿宋" w:cs="仿宋"/>
          <w:b/>
          <w:bCs/>
          <w:sz w:val="32"/>
          <w:szCs w:val="32"/>
        </w:rPr>
      </w:pPr>
      <w:r>
        <w:rPr>
          <w:rFonts w:hint="eastAsia" w:ascii="仿宋" w:hAnsi="Cambria" w:eastAsia="仿宋" w:cs="仿宋"/>
          <w:sz w:val="32"/>
          <w:szCs w:val="32"/>
        </w:rPr>
        <w:t>十一、国有资本经营预算财政拨款收入支出决算表</w:t>
      </w:r>
    </w:p>
    <w:p w14:paraId="249EF4FA">
      <w:pPr>
        <w:keepNext/>
        <w:keepLines/>
        <w:autoSpaceDE w:val="0"/>
        <w:autoSpaceDN w:val="0"/>
        <w:adjustRightInd w:val="0"/>
        <w:spacing w:before="260" w:after="260" w:line="408" w:lineRule="auto"/>
        <w:outlineLvl w:val="1"/>
        <w:rPr>
          <w:rFonts w:ascii="仿宋" w:hAnsi="Cambria" w:eastAsia="仿宋" w:cs="仿宋"/>
          <w:b/>
          <w:bCs/>
          <w:sz w:val="32"/>
          <w:szCs w:val="32"/>
        </w:rPr>
      </w:pPr>
      <w:r>
        <w:rPr>
          <w:rFonts w:hint="eastAsia" w:ascii="仿宋" w:hAnsi="Cambria" w:eastAsia="仿宋" w:cs="仿宋"/>
          <w:sz w:val="32"/>
          <w:szCs w:val="32"/>
        </w:rPr>
        <w:t>十二、国有资本经营预算财政拨款支出决算表</w:t>
      </w:r>
    </w:p>
    <w:p w14:paraId="0FE8EA50">
      <w:pPr>
        <w:keepNext/>
        <w:keepLines/>
        <w:autoSpaceDE w:val="0"/>
        <w:autoSpaceDN w:val="0"/>
        <w:adjustRightInd w:val="0"/>
        <w:spacing w:before="260" w:after="260" w:line="408" w:lineRule="auto"/>
        <w:outlineLvl w:val="1"/>
        <w:rPr>
          <w:rFonts w:ascii="仿宋" w:hAnsi="Cambria" w:eastAsia="仿宋" w:cs="仿宋"/>
          <w:b/>
          <w:bCs/>
          <w:sz w:val="32"/>
          <w:szCs w:val="32"/>
        </w:rPr>
      </w:pPr>
      <w:r>
        <w:rPr>
          <w:rFonts w:hint="eastAsia" w:ascii="仿宋" w:hAnsi="Cambria" w:eastAsia="仿宋" w:cs="仿宋"/>
          <w:sz w:val="32"/>
          <w:szCs w:val="32"/>
        </w:rPr>
        <w:t>十三、财政拨款</w:t>
      </w:r>
      <w:r>
        <w:rPr>
          <w:rFonts w:ascii="仿宋" w:hAnsi="Cambria" w:eastAsia="仿宋" w:cs="仿宋"/>
          <w:sz w:val="32"/>
          <w:szCs w:val="32"/>
        </w:rPr>
        <w:t>“</w:t>
      </w:r>
      <w:r>
        <w:rPr>
          <w:rFonts w:hint="eastAsia" w:ascii="仿宋" w:hAnsi="Cambria" w:eastAsia="仿宋" w:cs="仿宋"/>
          <w:sz w:val="32"/>
          <w:szCs w:val="32"/>
        </w:rPr>
        <w:t>三公</w:t>
      </w:r>
      <w:r>
        <w:rPr>
          <w:rFonts w:ascii="仿宋" w:hAnsi="Cambria" w:eastAsia="仿宋" w:cs="仿宋"/>
          <w:sz w:val="32"/>
          <w:szCs w:val="32"/>
        </w:rPr>
        <w:t>”</w:t>
      </w:r>
      <w:r>
        <w:rPr>
          <w:rFonts w:hint="eastAsia" w:ascii="仿宋" w:hAnsi="Cambria" w:eastAsia="仿宋" w:cs="仿宋"/>
          <w:sz w:val="32"/>
          <w:szCs w:val="32"/>
        </w:rPr>
        <w:t>经费支出决算表</w:t>
      </w:r>
    </w:p>
    <w:p w14:paraId="0656FCF1"/>
    <w:sectPr>
      <w:footerReference r:id="rId3" w:type="default"/>
      <w:pgSz w:w="12240" w:h="15840"/>
      <w:pgMar w:top="1440" w:right="1800" w:bottom="1135"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9EBA753-A3BD-4351-BAFC-F4DBDA6242E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73093CE-83AC-4CD7-B484-F8E9F14155D5}"/>
  </w:font>
  <w:font w:name="方正小标宋简体">
    <w:panose1 w:val="03000509000000000000"/>
    <w:charset w:val="86"/>
    <w:family w:val="auto"/>
    <w:pitch w:val="default"/>
    <w:sig w:usb0="00000001" w:usb1="080E0000" w:usb2="00000000" w:usb3="00000000" w:csb0="00040000" w:csb1="00000000"/>
    <w:embedRegular r:id="rId3" w:fontKey="{D2FBF51A-3FE0-45BD-A30C-12B88B94F2FC}"/>
  </w:font>
  <w:font w:name="仿宋_GB2312">
    <w:panose1 w:val="02010609030101010101"/>
    <w:charset w:val="86"/>
    <w:family w:val="modern"/>
    <w:pitch w:val="default"/>
    <w:sig w:usb0="00000001" w:usb1="080E0000" w:usb2="00000000" w:usb3="00000000" w:csb0="00040000" w:csb1="00000000"/>
    <w:embedRegular r:id="rId4" w:fontKey="{58C73B3A-FC6D-425E-8BD7-8ABE1419B8BF}"/>
  </w:font>
  <w:font w:name="仿宋">
    <w:panose1 w:val="02010609060101010101"/>
    <w:charset w:val="86"/>
    <w:family w:val="modern"/>
    <w:pitch w:val="default"/>
    <w:sig w:usb0="800002BF" w:usb1="38CF7CFA" w:usb2="00000016" w:usb3="00000000" w:csb0="00040001" w:csb1="00000000"/>
    <w:embedRegular r:id="rId5" w:fontKey="{BCC44865-F296-4451-9A13-8DD4A94056C1}"/>
  </w:font>
  <w:font w:name="??">
    <w:altName w:val="Times New Roman"/>
    <w:panose1 w:val="00000000000000000000"/>
    <w:charset w:val="00"/>
    <w:family w:val="roman"/>
    <w:pitch w:val="default"/>
    <w:sig w:usb0="00000000" w:usb1="00000000" w:usb2="00000000" w:usb3="00000000" w:csb0="00000000" w:csb1="00000000"/>
    <w:embedRegular r:id="rId6" w:fontKey="{D7F4F5EE-7EA3-40C6-AC60-DA0806C82504}"/>
  </w:font>
  <w:font w:name="Cambria">
    <w:panose1 w:val="02040503050406030204"/>
    <w:charset w:val="00"/>
    <w:family w:val="roman"/>
    <w:pitch w:val="default"/>
    <w:sig w:usb0="E00006FF" w:usb1="420024FF" w:usb2="02000000" w:usb3="00000000" w:csb0="2000019F" w:csb1="00000000"/>
    <w:embedRegular r:id="rId7" w:fontKey="{399F4080-C148-43EB-8D79-8DA2F5A50C57}"/>
  </w:font>
  <w:font w:name="楷体_GB2312">
    <w:panose1 w:val="02010609030101010101"/>
    <w:charset w:val="86"/>
    <w:family w:val="modern"/>
    <w:pitch w:val="default"/>
    <w:sig w:usb0="00000001" w:usb1="080E0000" w:usb2="00000000" w:usb3="00000000" w:csb0="00040000" w:csb1="00000000"/>
    <w:embedRegular r:id="rId8" w:fontKey="{1ECBE3B4-E8D3-400B-8B1B-A469B1C88A41}"/>
  </w:font>
  <w:font w:name="楷体">
    <w:panose1 w:val="02010609060101010101"/>
    <w:charset w:val="86"/>
    <w:family w:val="modern"/>
    <w:pitch w:val="default"/>
    <w:sig w:usb0="800002BF" w:usb1="38CF7CFA" w:usb2="00000016" w:usb3="00000000" w:csb0="00040001" w:csb1="00000000"/>
    <w:embedRegular r:id="rId9" w:fontKey="{4B966319-4210-427C-9FFF-F17708F08AFB}"/>
  </w:font>
  <w:font w:name="方正小标宋_GBK">
    <w:panose1 w:val="03000509000000000000"/>
    <w:charset w:val="86"/>
    <w:family w:val="script"/>
    <w:pitch w:val="default"/>
    <w:sig w:usb0="00000001" w:usb1="080E0000" w:usb2="00000000" w:usb3="00000000" w:csb0="00040000" w:csb1="00000000"/>
    <w:embedRegular r:id="rId10" w:fontKey="{3033BE0C-047B-4167-B621-4F9BA7CEFB5F}"/>
  </w:font>
  <w:font w:name="方正仿宋_GB2312">
    <w:panose1 w:val="02000000000000000000"/>
    <w:charset w:val="86"/>
    <w:family w:val="auto"/>
    <w:pitch w:val="default"/>
    <w:sig w:usb0="A00002BF" w:usb1="184F6CFA" w:usb2="00000012" w:usb3="00000000" w:csb0="00040001" w:csb1="00000000"/>
    <w:embedRegular r:id="rId11" w:fontKey="{FB2D816F-215C-48D4-B68C-BFCFF038696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41314701"/>
      <w:docPartObj>
        <w:docPartGallery w:val="autotext"/>
      </w:docPartObj>
    </w:sdtPr>
    <w:sdtContent>
      <w:p w14:paraId="5EC6DC5D">
        <w:pPr>
          <w:pStyle w:val="7"/>
        </w:pPr>
        <w:r>
          <w:fldChar w:fldCharType="begin"/>
        </w:r>
        <w:r>
          <w:instrText xml:space="preserve">PAGE   \* MERGEFORMAT</w:instrText>
        </w:r>
        <w:r>
          <w:fldChar w:fldCharType="separate"/>
        </w:r>
        <w:r>
          <w:rPr>
            <w:lang w:val="zh-CN"/>
          </w:rPr>
          <w:t>2</w:t>
        </w:r>
        <w:r>
          <w:fldChar w:fldCharType="end"/>
        </w:r>
      </w:p>
    </w:sdtContent>
  </w:sdt>
  <w:p w14:paraId="0AAAEEF1">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8"/>
    <w:multiLevelType w:val="singleLevel"/>
    <w:tmpl w:val="FFFFFF88"/>
    <w:lvl w:ilvl="0" w:tentative="0">
      <w:start w:val="1"/>
      <w:numFmt w:val="decimal"/>
      <w:pStyle w:val="4"/>
      <w:lvlText w:val="%1."/>
      <w:lvlJc w:val="left"/>
      <w:pPr>
        <w:tabs>
          <w:tab w:val="left" w:pos="360"/>
        </w:tabs>
        <w:ind w:left="360" w:hanging="360"/>
      </w:pPr>
    </w:lvl>
  </w:abstractNum>
  <w:abstractNum w:abstractNumId="1">
    <w:nsid w:val="04962A8A"/>
    <w:multiLevelType w:val="multilevel"/>
    <w:tmpl w:val="04962A8A"/>
    <w:lvl w:ilvl="0" w:tentative="0">
      <w:start w:val="1"/>
      <w:numFmt w:val="japaneseCounting"/>
      <w:lvlText w:val="%1、"/>
      <w:lvlJc w:val="left"/>
      <w:pPr>
        <w:ind w:left="1300" w:hanging="660"/>
      </w:pPr>
      <w:rPr>
        <w:rFonts w:hint="default"/>
        <w:color w:val="00000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326E"/>
    <w:rsid w:val="000007DE"/>
    <w:rsid w:val="00034DAC"/>
    <w:rsid w:val="00057A32"/>
    <w:rsid w:val="00063881"/>
    <w:rsid w:val="00072DCC"/>
    <w:rsid w:val="00083054"/>
    <w:rsid w:val="000872ED"/>
    <w:rsid w:val="000C0EBB"/>
    <w:rsid w:val="000C4D57"/>
    <w:rsid w:val="000D34C2"/>
    <w:rsid w:val="00104E25"/>
    <w:rsid w:val="001158C9"/>
    <w:rsid w:val="00144A7E"/>
    <w:rsid w:val="00150455"/>
    <w:rsid w:val="00154F1F"/>
    <w:rsid w:val="00156D62"/>
    <w:rsid w:val="00195932"/>
    <w:rsid w:val="001A2839"/>
    <w:rsid w:val="001B56E1"/>
    <w:rsid w:val="001D22C1"/>
    <w:rsid w:val="001D77FB"/>
    <w:rsid w:val="001E3D30"/>
    <w:rsid w:val="001F1ABA"/>
    <w:rsid w:val="00214315"/>
    <w:rsid w:val="00242C8F"/>
    <w:rsid w:val="00244510"/>
    <w:rsid w:val="00250280"/>
    <w:rsid w:val="00296B26"/>
    <w:rsid w:val="002F2B09"/>
    <w:rsid w:val="00323163"/>
    <w:rsid w:val="00332A50"/>
    <w:rsid w:val="0033464C"/>
    <w:rsid w:val="0034083C"/>
    <w:rsid w:val="0034758B"/>
    <w:rsid w:val="00347654"/>
    <w:rsid w:val="00360C52"/>
    <w:rsid w:val="00366EE8"/>
    <w:rsid w:val="003678B3"/>
    <w:rsid w:val="0037334E"/>
    <w:rsid w:val="003823BE"/>
    <w:rsid w:val="003B326E"/>
    <w:rsid w:val="003C57D8"/>
    <w:rsid w:val="003D6DE1"/>
    <w:rsid w:val="003E1C92"/>
    <w:rsid w:val="00417F66"/>
    <w:rsid w:val="004365D0"/>
    <w:rsid w:val="004409AF"/>
    <w:rsid w:val="00452A29"/>
    <w:rsid w:val="0046318B"/>
    <w:rsid w:val="00463B42"/>
    <w:rsid w:val="004663E6"/>
    <w:rsid w:val="0048401D"/>
    <w:rsid w:val="004E204D"/>
    <w:rsid w:val="004F1B06"/>
    <w:rsid w:val="00510120"/>
    <w:rsid w:val="0052002E"/>
    <w:rsid w:val="005338E4"/>
    <w:rsid w:val="00566ED2"/>
    <w:rsid w:val="00571F0E"/>
    <w:rsid w:val="00581970"/>
    <w:rsid w:val="0059094E"/>
    <w:rsid w:val="005919D0"/>
    <w:rsid w:val="005B1473"/>
    <w:rsid w:val="005B7F3A"/>
    <w:rsid w:val="005C1189"/>
    <w:rsid w:val="005C2EE2"/>
    <w:rsid w:val="005C49C1"/>
    <w:rsid w:val="005C7B48"/>
    <w:rsid w:val="005D50B2"/>
    <w:rsid w:val="005E1EB3"/>
    <w:rsid w:val="005E280A"/>
    <w:rsid w:val="005F29A7"/>
    <w:rsid w:val="006178DD"/>
    <w:rsid w:val="0063736C"/>
    <w:rsid w:val="00684109"/>
    <w:rsid w:val="00694265"/>
    <w:rsid w:val="00697166"/>
    <w:rsid w:val="006A338A"/>
    <w:rsid w:val="006A43E7"/>
    <w:rsid w:val="006C2937"/>
    <w:rsid w:val="006D7851"/>
    <w:rsid w:val="006E0F8D"/>
    <w:rsid w:val="006E6232"/>
    <w:rsid w:val="007115EF"/>
    <w:rsid w:val="00711861"/>
    <w:rsid w:val="00752719"/>
    <w:rsid w:val="0077369C"/>
    <w:rsid w:val="00775B1B"/>
    <w:rsid w:val="007B12F0"/>
    <w:rsid w:val="007B7007"/>
    <w:rsid w:val="007C0D27"/>
    <w:rsid w:val="007D5137"/>
    <w:rsid w:val="007E283C"/>
    <w:rsid w:val="007F02B7"/>
    <w:rsid w:val="007F55ED"/>
    <w:rsid w:val="00805D51"/>
    <w:rsid w:val="008304C9"/>
    <w:rsid w:val="00832B56"/>
    <w:rsid w:val="0084648D"/>
    <w:rsid w:val="00850A83"/>
    <w:rsid w:val="0087716C"/>
    <w:rsid w:val="008811EF"/>
    <w:rsid w:val="008A5B3A"/>
    <w:rsid w:val="008C631C"/>
    <w:rsid w:val="008C74D7"/>
    <w:rsid w:val="00902DB9"/>
    <w:rsid w:val="00916EE7"/>
    <w:rsid w:val="00921E67"/>
    <w:rsid w:val="0092440B"/>
    <w:rsid w:val="00933DAC"/>
    <w:rsid w:val="00934070"/>
    <w:rsid w:val="0094444C"/>
    <w:rsid w:val="00970247"/>
    <w:rsid w:val="00984390"/>
    <w:rsid w:val="00990406"/>
    <w:rsid w:val="009B33EB"/>
    <w:rsid w:val="009D0B2E"/>
    <w:rsid w:val="009E0065"/>
    <w:rsid w:val="009F67EA"/>
    <w:rsid w:val="00A17101"/>
    <w:rsid w:val="00A24923"/>
    <w:rsid w:val="00A420E7"/>
    <w:rsid w:val="00A65CF5"/>
    <w:rsid w:val="00A733F7"/>
    <w:rsid w:val="00A737F6"/>
    <w:rsid w:val="00A87F2E"/>
    <w:rsid w:val="00AA22A9"/>
    <w:rsid w:val="00AD3268"/>
    <w:rsid w:val="00B04710"/>
    <w:rsid w:val="00B05D62"/>
    <w:rsid w:val="00B3784D"/>
    <w:rsid w:val="00B51F2C"/>
    <w:rsid w:val="00B52ED7"/>
    <w:rsid w:val="00B5742A"/>
    <w:rsid w:val="00B65013"/>
    <w:rsid w:val="00B8368A"/>
    <w:rsid w:val="00B838F0"/>
    <w:rsid w:val="00B87427"/>
    <w:rsid w:val="00B9092D"/>
    <w:rsid w:val="00B96232"/>
    <w:rsid w:val="00BA38EB"/>
    <w:rsid w:val="00BA3F29"/>
    <w:rsid w:val="00BB63DF"/>
    <w:rsid w:val="00BC6065"/>
    <w:rsid w:val="00BD6E24"/>
    <w:rsid w:val="00BF211E"/>
    <w:rsid w:val="00C07D26"/>
    <w:rsid w:val="00C11567"/>
    <w:rsid w:val="00C363EC"/>
    <w:rsid w:val="00C37404"/>
    <w:rsid w:val="00C40607"/>
    <w:rsid w:val="00C65234"/>
    <w:rsid w:val="00C72939"/>
    <w:rsid w:val="00C7366D"/>
    <w:rsid w:val="00C75E07"/>
    <w:rsid w:val="00CB00EE"/>
    <w:rsid w:val="00CC2AB4"/>
    <w:rsid w:val="00CD5B3B"/>
    <w:rsid w:val="00CE3E17"/>
    <w:rsid w:val="00CE53D8"/>
    <w:rsid w:val="00D232EA"/>
    <w:rsid w:val="00D41ACB"/>
    <w:rsid w:val="00D60950"/>
    <w:rsid w:val="00D60A14"/>
    <w:rsid w:val="00D64A43"/>
    <w:rsid w:val="00D679B6"/>
    <w:rsid w:val="00D947EB"/>
    <w:rsid w:val="00DB2E8D"/>
    <w:rsid w:val="00DB333A"/>
    <w:rsid w:val="00DB402B"/>
    <w:rsid w:val="00DC385A"/>
    <w:rsid w:val="00DC6000"/>
    <w:rsid w:val="00DE4A95"/>
    <w:rsid w:val="00DF241A"/>
    <w:rsid w:val="00E5160B"/>
    <w:rsid w:val="00E644C9"/>
    <w:rsid w:val="00E65306"/>
    <w:rsid w:val="00E752F7"/>
    <w:rsid w:val="00ED7BEB"/>
    <w:rsid w:val="00EE6000"/>
    <w:rsid w:val="00F0357A"/>
    <w:rsid w:val="00F13D00"/>
    <w:rsid w:val="00F57C43"/>
    <w:rsid w:val="00F674B0"/>
    <w:rsid w:val="00F758F9"/>
    <w:rsid w:val="00F8472F"/>
    <w:rsid w:val="00F85AC0"/>
    <w:rsid w:val="00F9432B"/>
    <w:rsid w:val="00FA75F5"/>
    <w:rsid w:val="04006C5A"/>
    <w:rsid w:val="07972AF0"/>
    <w:rsid w:val="0C8A2C23"/>
    <w:rsid w:val="0CBB4B8B"/>
    <w:rsid w:val="225E44DE"/>
    <w:rsid w:val="271E248E"/>
    <w:rsid w:val="27E86D24"/>
    <w:rsid w:val="29AD17D4"/>
    <w:rsid w:val="2B7B7EAF"/>
    <w:rsid w:val="381B0A50"/>
    <w:rsid w:val="3D385C00"/>
    <w:rsid w:val="3ED656D0"/>
    <w:rsid w:val="3FB11C9A"/>
    <w:rsid w:val="4B0709C0"/>
    <w:rsid w:val="4E125FF9"/>
    <w:rsid w:val="500F0A42"/>
    <w:rsid w:val="5305612D"/>
    <w:rsid w:val="578D049F"/>
    <w:rsid w:val="57D8141A"/>
    <w:rsid w:val="5F830B05"/>
    <w:rsid w:val="68A65864"/>
    <w:rsid w:val="731F249B"/>
    <w:rsid w:val="737361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99"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99"/>
    <w:pPr>
      <w:autoSpaceDE w:val="0"/>
      <w:autoSpaceDN w:val="0"/>
      <w:adjustRightInd w:val="0"/>
      <w:jc w:val="left"/>
      <w:outlineLvl w:val="0"/>
    </w:pPr>
    <w:rPr>
      <w:rFonts w:ascii="方正小标宋简体" w:eastAsia="方正小标宋简体"/>
      <w:kern w:val="0"/>
      <w:sz w:val="24"/>
      <w:szCs w:val="24"/>
    </w:rPr>
  </w:style>
  <w:style w:type="paragraph" w:styleId="3">
    <w:name w:val="heading 2"/>
    <w:basedOn w:val="1"/>
    <w:next w:val="1"/>
    <w:link w:val="13"/>
    <w:qFormat/>
    <w:uiPriority w:val="99"/>
    <w:pPr>
      <w:autoSpaceDE w:val="0"/>
      <w:autoSpaceDN w:val="0"/>
      <w:adjustRightInd w:val="0"/>
      <w:jc w:val="left"/>
      <w:outlineLvl w:val="1"/>
    </w:pPr>
    <w:rPr>
      <w:rFonts w:ascii="方正小标宋简体" w:eastAsia="方正小标宋简体"/>
      <w:kern w:val="0"/>
      <w:sz w:val="24"/>
      <w:szCs w:val="24"/>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List Number"/>
    <w:basedOn w:val="1"/>
    <w:unhideWhenUsed/>
    <w:qFormat/>
    <w:uiPriority w:val="99"/>
    <w:pPr>
      <w:widowControl/>
      <w:numPr>
        <w:ilvl w:val="0"/>
        <w:numId w:val="1"/>
      </w:numPr>
      <w:spacing w:after="200" w:line="276" w:lineRule="auto"/>
      <w:contextualSpacing/>
      <w:jc w:val="left"/>
    </w:pPr>
    <w:rPr>
      <w:kern w:val="0"/>
      <w:sz w:val="22"/>
      <w:lang w:eastAsia="en-US"/>
    </w:rPr>
  </w:style>
  <w:style w:type="paragraph" w:styleId="5">
    <w:name w:val="Body Text"/>
    <w:basedOn w:val="1"/>
    <w:link w:val="15"/>
    <w:qFormat/>
    <w:uiPriority w:val="99"/>
    <w:pPr>
      <w:spacing w:beforeLines="30"/>
    </w:pPr>
    <w:rPr>
      <w:rFonts w:ascii="仿宋_GB2312" w:hAnsi="Times New Roman" w:eastAsia="仿宋_GB2312" w:cs="Times New Roman"/>
      <w:kern w:val="0"/>
      <w:sz w:val="24"/>
      <w:szCs w:val="20"/>
      <w:lang w:val="zh-CN" w:eastAsia="zh-CN"/>
    </w:rPr>
  </w:style>
  <w:style w:type="paragraph" w:styleId="6">
    <w:name w:val="Balloon Text"/>
    <w:basedOn w:val="1"/>
    <w:link w:val="16"/>
    <w:semiHidden/>
    <w:unhideWhenUsed/>
    <w:uiPriority w:val="99"/>
    <w:rPr>
      <w:sz w:val="18"/>
      <w:szCs w:val="18"/>
    </w:rPr>
  </w:style>
  <w:style w:type="paragraph" w:styleId="7">
    <w:name w:val="footer"/>
    <w:basedOn w:val="1"/>
    <w:link w:val="18"/>
    <w:unhideWhenUsed/>
    <w:uiPriority w:val="99"/>
    <w:pPr>
      <w:tabs>
        <w:tab w:val="center" w:pos="4153"/>
        <w:tab w:val="right" w:pos="8306"/>
      </w:tabs>
      <w:snapToGrid w:val="0"/>
      <w:jc w:val="left"/>
    </w:pPr>
    <w:rPr>
      <w:sz w:val="18"/>
      <w:szCs w:val="18"/>
    </w:rPr>
  </w:style>
  <w:style w:type="paragraph" w:styleId="8">
    <w:name w:val="header"/>
    <w:basedOn w:val="1"/>
    <w:link w:val="17"/>
    <w:unhideWhenUsed/>
    <w:uiPriority w:val="99"/>
    <w:pPr>
      <w:pBdr>
        <w:bottom w:val="single" w:color="auto" w:sz="6" w:space="1"/>
      </w:pBdr>
      <w:tabs>
        <w:tab w:val="center" w:pos="4153"/>
        <w:tab w:val="right" w:pos="8306"/>
      </w:tabs>
      <w:snapToGrid w:val="0"/>
      <w:jc w:val="center"/>
    </w:pPr>
    <w:rPr>
      <w:sz w:val="18"/>
      <w:szCs w:val="18"/>
    </w:rPr>
  </w:style>
  <w:style w:type="character" w:styleId="11">
    <w:name w:val="Strong"/>
    <w:qFormat/>
    <w:uiPriority w:val="99"/>
    <w:rPr>
      <w:rFonts w:cs="Times New Roman"/>
      <w:b/>
    </w:rPr>
  </w:style>
  <w:style w:type="character" w:customStyle="1" w:styleId="12">
    <w:name w:val="标题 1 Char"/>
    <w:basedOn w:val="10"/>
    <w:link w:val="2"/>
    <w:uiPriority w:val="99"/>
    <w:rPr>
      <w:rFonts w:ascii="方正小标宋简体" w:eastAsia="方正小标宋简体"/>
      <w:kern w:val="0"/>
      <w:sz w:val="24"/>
      <w:szCs w:val="24"/>
    </w:rPr>
  </w:style>
  <w:style w:type="character" w:customStyle="1" w:styleId="13">
    <w:name w:val="标题 2 Char"/>
    <w:basedOn w:val="10"/>
    <w:link w:val="3"/>
    <w:uiPriority w:val="99"/>
    <w:rPr>
      <w:rFonts w:ascii="方正小标宋简体" w:eastAsia="方正小标宋简体"/>
      <w:kern w:val="0"/>
      <w:sz w:val="24"/>
      <w:szCs w:val="24"/>
    </w:rPr>
  </w:style>
  <w:style w:type="paragraph" w:styleId="14">
    <w:name w:val="List Paragraph"/>
    <w:basedOn w:val="1"/>
    <w:qFormat/>
    <w:uiPriority w:val="34"/>
    <w:pPr>
      <w:ind w:firstLine="420" w:firstLineChars="200"/>
    </w:pPr>
  </w:style>
  <w:style w:type="character" w:customStyle="1" w:styleId="15">
    <w:name w:val="正文文本 Char"/>
    <w:basedOn w:val="10"/>
    <w:link w:val="5"/>
    <w:qFormat/>
    <w:uiPriority w:val="99"/>
    <w:rPr>
      <w:rFonts w:ascii="仿宋_GB2312" w:hAnsi="Times New Roman" w:eastAsia="仿宋_GB2312" w:cs="Times New Roman"/>
      <w:kern w:val="0"/>
      <w:sz w:val="24"/>
      <w:szCs w:val="20"/>
      <w:lang w:val="zh-CN" w:eastAsia="zh-CN"/>
    </w:rPr>
  </w:style>
  <w:style w:type="character" w:customStyle="1" w:styleId="16">
    <w:name w:val="批注框文本 Char"/>
    <w:basedOn w:val="10"/>
    <w:link w:val="6"/>
    <w:semiHidden/>
    <w:uiPriority w:val="99"/>
    <w:rPr>
      <w:sz w:val="18"/>
      <w:szCs w:val="18"/>
    </w:rPr>
  </w:style>
  <w:style w:type="character" w:customStyle="1" w:styleId="17">
    <w:name w:val="页眉 Char"/>
    <w:basedOn w:val="10"/>
    <w:link w:val="8"/>
    <w:uiPriority w:val="99"/>
    <w:rPr>
      <w:sz w:val="18"/>
      <w:szCs w:val="18"/>
    </w:rPr>
  </w:style>
  <w:style w:type="character" w:customStyle="1" w:styleId="18">
    <w:name w:val="页脚 Char"/>
    <w:basedOn w:val="10"/>
    <w:link w:val="7"/>
    <w:uiPriority w:val="99"/>
    <w:rPr>
      <w:sz w:val="18"/>
      <w:szCs w:val="18"/>
    </w:rPr>
  </w:style>
  <w:style w:type="paragraph" w:customStyle="1" w:styleId="19">
    <w:name w:val="Default"/>
    <w:qFormat/>
    <w:uiPriority w:val="99"/>
    <w:pPr>
      <w:widowControl w:val="0"/>
      <w:autoSpaceDE w:val="0"/>
      <w:autoSpaceDN w:val="0"/>
      <w:adjustRightInd w:val="0"/>
    </w:pPr>
    <w:rPr>
      <w:rFonts w:ascii="仿宋" w:hAnsi="Calibri" w:eastAsia="仿宋" w:cs="仿宋"/>
      <w:color w:val="000000"/>
      <w:kern w:val="0"/>
      <w:sz w:val="24"/>
      <w:szCs w:val="24"/>
      <w:lang w:val="en-US" w:eastAsia="zh-CN" w:bidi="ar-SA"/>
    </w:rPr>
  </w:style>
  <w:style w:type="paragraph" w:customStyle="1" w:styleId="20">
    <w:name w:val="四号正文"/>
    <w:basedOn w:val="1"/>
    <w:qFormat/>
    <w:uiPriority w:val="0"/>
    <w:pPr>
      <w:spacing w:line="360" w:lineRule="auto"/>
    </w:pPr>
    <w:rPr>
      <w:rFonts w:ascii="??" w:hAnsi="??" w:eastAsia="宋体" w:cs="宋体"/>
      <w:color w:val="000000"/>
      <w:sz w:val="28"/>
      <w:szCs w:val="21"/>
    </w:rPr>
  </w:style>
</w:styles>
</file>

<file path=word/_rels/document.xml.rels><?xml version="1.0" encoding="UTF-8" standalone="yes"?>
<Relationships xmlns="http://schemas.openxmlformats.org/package/2006/relationships"><Relationship Id="rId9" Type="http://schemas.openxmlformats.org/officeDocument/2006/relationships/chart" Target="charts/chart5.xml"/><Relationship Id="rId8" Type="http://schemas.openxmlformats.org/officeDocument/2006/relationships/chart" Target="charts/chart4.xml"/><Relationship Id="rId7" Type="http://schemas.openxmlformats.org/officeDocument/2006/relationships/chart" Target="charts/chart3.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hart" Target="charts/chart7.xml"/><Relationship Id="rId10" Type="http://schemas.openxmlformats.org/officeDocument/2006/relationships/chart" Target="charts/chart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6934306569343"/>
          <c:y val="0.0674157303370786"/>
          <c:w val="0.452554744525547"/>
          <c:h val="0.752808988764045"/>
        </c:manualLayout>
      </c:layout>
      <c:barChart>
        <c:barDir val="col"/>
        <c:grouping val="clustered"/>
        <c:varyColors val="0"/>
        <c:ser>
          <c:idx val="0"/>
          <c:order val="0"/>
          <c:tx>
            <c:strRef>
              <c:f>Sheet1!$A$2</c:f>
              <c:strCache>
                <c:ptCount val="1"/>
                <c:pt idx="0">
                  <c:v>收入支出总额</c:v>
                </c:pt>
              </c:strCache>
            </c:strRef>
          </c:tx>
          <c:spPr>
            <a:solidFill>
              <a:srgbClr val="9999FF"/>
            </a:solidFill>
            <a:ln w="12699">
              <a:solidFill>
                <a:srgbClr val="000000"/>
              </a:solidFill>
              <a:prstDash val="solid"/>
            </a:ln>
          </c:spPr>
          <c:invertIfNegative val="0"/>
          <c:dLbls>
            <c:delete val="1"/>
          </c:dLbls>
          <c:cat>
            <c:strRef>
              <c:f>Sheet1!$B$1:$C$1</c:f>
              <c:strCache>
                <c:ptCount val="2"/>
                <c:pt idx="0">
                  <c:v>2024年</c:v>
                </c:pt>
                <c:pt idx="1">
                  <c:v>2025年</c:v>
                </c:pt>
              </c:strCache>
            </c:strRef>
          </c:cat>
          <c:val>
            <c:numRef>
              <c:f>Sheet1!$B$2:$C$2</c:f>
              <c:numCache>
                <c:formatCode>General</c:formatCode>
                <c:ptCount val="2"/>
                <c:pt idx="0">
                  <c:v>3450.25</c:v>
                </c:pt>
                <c:pt idx="1">
                  <c:v>7802.79</c:v>
                </c:pt>
              </c:numCache>
            </c:numRef>
          </c:val>
        </c:ser>
        <c:dLbls>
          <c:showLegendKey val="0"/>
          <c:showVal val="0"/>
          <c:showCatName val="0"/>
          <c:showSerName val="0"/>
          <c:showPercent val="0"/>
          <c:showBubbleSize val="0"/>
        </c:dLbls>
        <c:gapWidth val="150"/>
        <c:axId val="237183744"/>
        <c:axId val="237185280"/>
      </c:barChart>
      <c:catAx>
        <c:axId val="237183744"/>
        <c:scaling>
          <c:orientation val="minMax"/>
        </c:scaling>
        <c:delete val="0"/>
        <c:axPos val="b"/>
        <c:numFmt formatCode="General" sourceLinked="1"/>
        <c:majorTickMark val="in"/>
        <c:minorTickMark val="none"/>
        <c:tickLblPos val="low"/>
        <c:spPr>
          <a:ln w="3175" cap="flat" cmpd="sng" algn="ctr">
            <a:solidFill>
              <a:srgbClr val="000000"/>
            </a:solidFill>
            <a:prstDash val="solid"/>
            <a:round/>
          </a:ln>
        </c:spPr>
        <c:txPr>
          <a:bodyPr rot="0" spcFirstLastPara="0" vertOverflow="ellipsis" vert="horz" wrap="square" anchor="ctr" anchorCtr="1"/>
          <a:lstStyle/>
          <a:p>
            <a:pPr>
              <a:defRPr lang="zh-CN" sz="8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237185280"/>
        <c:crosses val="autoZero"/>
        <c:auto val="1"/>
        <c:lblAlgn val="ctr"/>
        <c:lblOffset val="100"/>
        <c:tickLblSkip val="1"/>
        <c:noMultiLvlLbl val="0"/>
      </c:catAx>
      <c:valAx>
        <c:axId val="237185280"/>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8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237183744"/>
        <c:crosses val="autoZero"/>
        <c:crossBetween val="between"/>
      </c:valAx>
      <c:spPr>
        <a:solidFill>
          <a:srgbClr val="C0C0C0"/>
        </a:solidFill>
        <a:ln w="12700">
          <a:solidFill>
            <a:srgbClr val="808080"/>
          </a:solidFill>
          <a:prstDash val="solid"/>
        </a:ln>
        <a:effectLst/>
      </c:spPr>
    </c:plotArea>
    <c:legend>
      <c:legendPos val="r"/>
      <c:layout>
        <c:manualLayout>
          <c:xMode val="edge"/>
          <c:yMode val="edge"/>
          <c:x val="0.64963503649635"/>
          <c:y val="0.449438202247191"/>
          <c:w val="0.335766423357664"/>
          <c:h val="0.101123595505618"/>
        </c:manualLayout>
      </c:layout>
      <c:overlay val="0"/>
      <c:spPr>
        <a:noFill/>
        <a:ln w="3175">
          <a:solidFill>
            <a:srgbClr val="000000"/>
          </a:solidFill>
          <a:prstDash val="solid"/>
        </a:ln>
      </c:spPr>
      <c:txPr>
        <a:bodyPr rot="0" spcFirstLastPara="0" vertOverflow="ellipsis" vert="horz" wrap="square" anchor="ctr" anchorCtr="1"/>
        <a:lstStyle/>
        <a:p>
          <a:pPr>
            <a:defRPr lang="zh-CN" sz="80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de94f71a-8de5-4656-8b28-d7eeba4cfe88}"/>
      </c:ext>
    </c:extLst>
  </c:chart>
  <c:spPr>
    <a:noFill/>
    <a:ln w="9525" cap="flat" cmpd="sng" algn="ctr">
      <a:noFill/>
      <a:prstDash val="solid"/>
      <a:round/>
    </a:ln>
  </c:spPr>
  <c:txPr>
    <a:bodyPr/>
    <a:lstStyle/>
    <a:p>
      <a:pPr>
        <a:defRPr lang="zh-CN" sz="87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55395683453237"/>
          <c:y val="0.131578947368421"/>
          <c:w val="0.507194244604317"/>
          <c:h val="0.742105263157895"/>
        </c:manualLayout>
      </c:layout>
      <c:pieChart>
        <c:varyColors val="1"/>
        <c:ser>
          <c:idx val="0"/>
          <c:order val="0"/>
          <c:tx>
            <c:strRef>
              <c:f>Sheet1!$A$2</c:f>
              <c:strCache>
                <c:ptCount val="1"/>
                <c:pt idx="0">
                  <c:v>收入总计</c:v>
                </c:pt>
              </c:strCache>
            </c:strRef>
          </c:tx>
          <c:spPr>
            <a:solidFill>
              <a:srgbClr val="9999FF"/>
            </a:solidFill>
            <a:ln w="12656">
              <a:solidFill>
                <a:srgbClr val="000000"/>
              </a:solidFill>
              <a:prstDash val="solid"/>
            </a:ln>
          </c:spPr>
          <c:explosion val="0"/>
          <c:dPt>
            <c:idx val="0"/>
            <c:bubble3D val="0"/>
            <c:spPr>
              <a:solidFill>
                <a:srgbClr val="9999FF"/>
              </a:solidFill>
              <a:ln w="12656">
                <a:solidFill>
                  <a:srgbClr val="000000"/>
                </a:solidFill>
                <a:prstDash val="solid"/>
              </a:ln>
            </c:spPr>
          </c:dPt>
          <c:dPt>
            <c:idx val="1"/>
            <c:bubble3D val="0"/>
            <c:spPr>
              <a:solidFill>
                <a:srgbClr val="993366"/>
              </a:solidFill>
              <a:ln w="12656">
                <a:solidFill>
                  <a:srgbClr val="000000"/>
                </a:solidFill>
                <a:prstDash val="solid"/>
              </a:ln>
            </c:spPr>
          </c:dPt>
          <c:dLbls>
            <c:delete val="1"/>
          </c:dLbls>
          <c:cat>
            <c:strRef>
              <c:f>Sheet1!$B$1:$C$1</c:f>
              <c:strCache>
                <c:ptCount val="2"/>
                <c:pt idx="0">
                  <c:v>一般公共预算财政拨款收入1252.74万元</c:v>
                </c:pt>
                <c:pt idx="1">
                  <c:v>政府性基金预算财政拨款收入2257.74万元</c:v>
                </c:pt>
              </c:strCache>
            </c:strRef>
          </c:cat>
          <c:val>
            <c:numRef>
              <c:f>Sheet1!$B$2:$C$2</c:f>
              <c:numCache>
                <c:formatCode>General</c:formatCode>
                <c:ptCount val="2"/>
                <c:pt idx="0">
                  <c:v>5545.04</c:v>
                </c:pt>
                <c:pt idx="1">
                  <c:v>2257.74</c:v>
                </c:pt>
              </c:numCache>
            </c:numRef>
          </c:val>
        </c:ser>
        <c:dLbls>
          <c:showLegendKey val="0"/>
          <c:showVal val="0"/>
          <c:showCatName val="0"/>
          <c:showSerName val="0"/>
          <c:showPercent val="0"/>
          <c:showBubbleSize val="0"/>
          <c:showLeaderLines val="1"/>
        </c:dLbls>
        <c:firstSliceAng val="0"/>
      </c:pieChart>
      <c:spPr>
        <a:solidFill>
          <a:srgbClr val="C0C0C0"/>
        </a:solidFill>
        <a:ln w="12656">
          <a:solidFill>
            <a:srgbClr val="808080"/>
          </a:solidFill>
          <a:prstDash val="solid"/>
        </a:ln>
      </c:spPr>
    </c:plotArea>
    <c:legend>
      <c:legendPos val="r"/>
      <c:layout>
        <c:manualLayout>
          <c:xMode val="edge"/>
          <c:yMode val="edge"/>
          <c:x val="0.654676258992806"/>
          <c:y val="0.257894736842105"/>
          <c:w val="0.330935251798561"/>
          <c:h val="0.478947368421053"/>
        </c:manualLayout>
      </c:layout>
      <c:overlay val="0"/>
      <c:spPr>
        <a:noFill/>
        <a:ln w="3164">
          <a:solidFill>
            <a:srgbClr val="000000"/>
          </a:solidFill>
          <a:prstDash val="solid"/>
        </a:ln>
      </c:spPr>
      <c:txPr>
        <a:bodyPr rot="0" spcFirstLastPara="0" vertOverflow="ellipsis" vert="horz" wrap="square" anchor="ctr" anchorCtr="1"/>
        <a:lstStyle/>
        <a:p>
          <a:pPr>
            <a:defRPr lang="zh-CN" sz="82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ee74feaf-2bcb-4f0c-b311-f622b8f2e59d}"/>
      </c:ext>
    </c:extLst>
  </c:chart>
  <c:spPr>
    <a:noFill/>
    <a:ln w="9525" cap="flat" cmpd="sng" algn="ctr">
      <a:noFill/>
      <a:prstDash val="solid"/>
      <a:round/>
    </a:ln>
  </c:spPr>
  <c:txPr>
    <a:bodyPr/>
    <a:lstStyle/>
    <a:p>
      <a:pPr>
        <a:defRPr lang="zh-CN" sz="89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27338129496403"/>
          <c:y val="0.115384615384615"/>
          <c:w val="0.510791366906475"/>
          <c:h val="0.78021978021978"/>
        </c:manualLayout>
      </c:layout>
      <c:pieChart>
        <c:varyColors val="1"/>
        <c:ser>
          <c:idx val="0"/>
          <c:order val="0"/>
          <c:tx>
            <c:strRef>
              <c:f>Sheet1!$A$2</c:f>
              <c:strCache>
                <c:ptCount val="1"/>
                <c:pt idx="0">
                  <c:v>本年支出</c:v>
                </c:pt>
              </c:strCache>
            </c:strRef>
          </c:tx>
          <c:spPr>
            <a:solidFill>
              <a:srgbClr val="9999FF"/>
            </a:solidFill>
            <a:ln w="12656">
              <a:solidFill>
                <a:srgbClr val="000000"/>
              </a:solidFill>
              <a:prstDash val="solid"/>
            </a:ln>
          </c:spPr>
          <c:explosion val="0"/>
          <c:dPt>
            <c:idx val="0"/>
            <c:bubble3D val="0"/>
            <c:spPr>
              <a:solidFill>
                <a:srgbClr val="9999FF"/>
              </a:solidFill>
              <a:ln w="12656">
                <a:solidFill>
                  <a:srgbClr val="000000"/>
                </a:solidFill>
                <a:prstDash val="solid"/>
              </a:ln>
            </c:spPr>
          </c:dPt>
          <c:dPt>
            <c:idx val="1"/>
            <c:bubble3D val="0"/>
            <c:spPr>
              <a:solidFill>
                <a:srgbClr val="993366"/>
              </a:solidFill>
              <a:ln w="12656">
                <a:solidFill>
                  <a:srgbClr val="000000"/>
                </a:solidFill>
                <a:prstDash val="solid"/>
              </a:ln>
            </c:spPr>
          </c:dPt>
          <c:dLbls>
            <c:delete val="1"/>
          </c:dLbls>
          <c:cat>
            <c:strRef>
              <c:f>Sheet1!$B$1:$C$1</c:f>
              <c:strCache>
                <c:ptCount val="2"/>
                <c:pt idx="0">
                  <c:v>基本支出737.13万元</c:v>
                </c:pt>
                <c:pt idx="1">
                  <c:v>项目支出7065.65万元</c:v>
                </c:pt>
              </c:strCache>
            </c:strRef>
          </c:cat>
          <c:val>
            <c:numRef>
              <c:f>Sheet1!$B$2:$C$2</c:f>
              <c:numCache>
                <c:formatCode>General</c:formatCode>
                <c:ptCount val="2"/>
                <c:pt idx="0">
                  <c:v>737.13</c:v>
                </c:pt>
                <c:pt idx="1">
                  <c:v>7065.65</c:v>
                </c:pt>
              </c:numCache>
            </c:numRef>
          </c:val>
        </c:ser>
        <c:dLbls>
          <c:showLegendKey val="0"/>
          <c:showVal val="0"/>
          <c:showCatName val="0"/>
          <c:showSerName val="0"/>
          <c:showPercent val="0"/>
          <c:showBubbleSize val="0"/>
          <c:showLeaderLines val="1"/>
        </c:dLbls>
        <c:firstSliceAng val="0"/>
      </c:pieChart>
      <c:spPr>
        <a:solidFill>
          <a:srgbClr val="C0C0C0"/>
        </a:solidFill>
        <a:ln w="12656">
          <a:solidFill>
            <a:srgbClr val="808080"/>
          </a:solidFill>
          <a:prstDash val="solid"/>
        </a:ln>
      </c:spPr>
    </c:plotArea>
    <c:legend>
      <c:legendPos val="r"/>
      <c:layout>
        <c:manualLayout>
          <c:xMode val="edge"/>
          <c:yMode val="edge"/>
          <c:x val="0.676258992805755"/>
          <c:y val="0.32967032967033"/>
          <c:w val="0.309352517985612"/>
          <c:h val="0.346153846153846"/>
        </c:manualLayout>
      </c:layout>
      <c:overlay val="0"/>
      <c:spPr>
        <a:noFill/>
        <a:ln w="3164">
          <a:solidFill>
            <a:srgbClr val="000000"/>
          </a:solidFill>
          <a:prstDash val="solid"/>
        </a:ln>
      </c:spPr>
      <c:txPr>
        <a:bodyPr rot="0" spcFirstLastPara="0" vertOverflow="ellipsis" vert="horz" wrap="square" anchor="ctr" anchorCtr="1"/>
        <a:lstStyle/>
        <a:p>
          <a:pPr>
            <a:defRPr lang="zh-CN" sz="82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f989b423-0e7a-4b1b-8306-d939dbab6f5e}"/>
      </c:ext>
    </c:extLst>
  </c:chart>
  <c:spPr>
    <a:noFill/>
    <a:ln w="9525" cap="flat" cmpd="sng" algn="ctr">
      <a:noFill/>
      <a:prstDash val="solid"/>
      <a:round/>
    </a:ln>
  </c:spPr>
  <c:txPr>
    <a:bodyPr/>
    <a:lstStyle/>
    <a:p>
      <a:pPr>
        <a:defRPr lang="zh-CN" sz="89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4676258992806"/>
          <c:y val="0.0549450549450549"/>
          <c:w val="0.460431654676259"/>
          <c:h val="0.769230769230769"/>
        </c:manualLayout>
      </c:layout>
      <c:barChart>
        <c:barDir val="col"/>
        <c:grouping val="clustered"/>
        <c:varyColors val="0"/>
        <c:ser>
          <c:idx val="0"/>
          <c:order val="0"/>
          <c:tx>
            <c:strRef>
              <c:f>Sheet1!$A$2</c:f>
              <c:strCache>
                <c:ptCount val="1"/>
                <c:pt idx="0">
                  <c:v>2024年收支总计3450.25</c:v>
                </c:pt>
              </c:strCache>
            </c:strRef>
          </c:tx>
          <c:spPr>
            <a:solidFill>
              <a:srgbClr val="9999FF"/>
            </a:solidFill>
            <a:ln w="12656">
              <a:solidFill>
                <a:srgbClr val="000000"/>
              </a:solidFill>
              <a:prstDash val="solid"/>
            </a:ln>
          </c:spPr>
          <c:invertIfNegative val="0"/>
          <c:dLbls>
            <c:delete val="1"/>
          </c:dLbls>
          <c:cat>
            <c:strRef>
              <c:f>Sheet1!$B$1:$B$1</c:f>
              <c:strCache>
                <c:ptCount val="1"/>
                <c:pt idx="0">
                  <c:v>收支总计</c:v>
                </c:pt>
              </c:strCache>
            </c:strRef>
          </c:cat>
          <c:val>
            <c:numRef>
              <c:f>Sheet1!$B$2:$B$2</c:f>
              <c:numCache>
                <c:formatCode>General</c:formatCode>
                <c:ptCount val="1"/>
                <c:pt idx="0">
                  <c:v>3450.25</c:v>
                </c:pt>
              </c:numCache>
            </c:numRef>
          </c:val>
        </c:ser>
        <c:ser>
          <c:idx val="1"/>
          <c:order val="1"/>
          <c:tx>
            <c:strRef>
              <c:f>Sheet1!$A$3</c:f>
              <c:strCache>
                <c:ptCount val="1"/>
                <c:pt idx="0">
                  <c:v>2025年收支总计7802.79</c:v>
                </c:pt>
              </c:strCache>
            </c:strRef>
          </c:tx>
          <c:spPr>
            <a:solidFill>
              <a:srgbClr val="993366"/>
            </a:solidFill>
            <a:ln w="12656">
              <a:solidFill>
                <a:srgbClr val="000000"/>
              </a:solidFill>
              <a:prstDash val="solid"/>
            </a:ln>
          </c:spPr>
          <c:invertIfNegative val="0"/>
          <c:dLbls>
            <c:delete val="1"/>
          </c:dLbls>
          <c:cat>
            <c:strRef>
              <c:f>Sheet1!$B$1:$B$1</c:f>
              <c:strCache>
                <c:ptCount val="1"/>
                <c:pt idx="0">
                  <c:v>收支总计</c:v>
                </c:pt>
              </c:strCache>
            </c:strRef>
          </c:cat>
          <c:val>
            <c:numRef>
              <c:f>Sheet1!$B$3:$B$3</c:f>
              <c:numCache>
                <c:formatCode>General</c:formatCode>
                <c:ptCount val="1"/>
                <c:pt idx="0">
                  <c:v>7802.79</c:v>
                </c:pt>
              </c:numCache>
            </c:numRef>
          </c:val>
        </c:ser>
        <c:dLbls>
          <c:showLegendKey val="0"/>
          <c:showVal val="0"/>
          <c:showCatName val="0"/>
          <c:showSerName val="0"/>
          <c:showPercent val="0"/>
          <c:showBubbleSize val="0"/>
        </c:dLbls>
        <c:gapWidth val="150"/>
        <c:axId val="240221184"/>
        <c:axId val="240222976"/>
      </c:barChart>
      <c:catAx>
        <c:axId val="240221184"/>
        <c:scaling>
          <c:orientation val="minMax"/>
        </c:scaling>
        <c:delete val="0"/>
        <c:axPos val="b"/>
        <c:numFmt formatCode="General" sourceLinked="1"/>
        <c:majorTickMark val="in"/>
        <c:minorTickMark val="none"/>
        <c:tickLblPos val="low"/>
        <c:spPr>
          <a:ln w="3164" cap="flat" cmpd="sng" algn="ctr">
            <a:solidFill>
              <a:srgbClr val="000000"/>
            </a:solidFill>
            <a:prstDash val="solid"/>
            <a:round/>
          </a:ln>
        </c:spPr>
        <c:txPr>
          <a:bodyPr rot="0" spcFirstLastPara="0" vertOverflow="ellipsis" vert="horz" wrap="square" anchor="ctr" anchorCtr="1"/>
          <a:lstStyle/>
          <a:p>
            <a:pPr>
              <a:defRPr lang="zh-CN" sz="89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240222976"/>
        <c:crosses val="autoZero"/>
        <c:auto val="1"/>
        <c:lblAlgn val="ctr"/>
        <c:lblOffset val="100"/>
        <c:tickLblSkip val="1"/>
        <c:noMultiLvlLbl val="0"/>
      </c:catAx>
      <c:valAx>
        <c:axId val="240222976"/>
        <c:scaling>
          <c:orientation val="minMax"/>
        </c:scaling>
        <c:delete val="0"/>
        <c:axPos val="l"/>
        <c:majorGridlines>
          <c:spPr>
            <a:ln w="3164" cap="flat" cmpd="sng" algn="ctr">
              <a:solidFill>
                <a:srgbClr val="000000"/>
              </a:solidFill>
              <a:prstDash val="solid"/>
              <a:round/>
            </a:ln>
          </c:spPr>
        </c:majorGridlines>
        <c:numFmt formatCode="General" sourceLinked="1"/>
        <c:majorTickMark val="in"/>
        <c:minorTickMark val="none"/>
        <c:tickLblPos val="nextTo"/>
        <c:spPr>
          <a:ln w="3164" cap="flat" cmpd="sng" algn="ctr">
            <a:solidFill>
              <a:srgbClr val="000000"/>
            </a:solidFill>
            <a:prstDash val="solid"/>
            <a:round/>
          </a:ln>
        </c:spPr>
        <c:txPr>
          <a:bodyPr rot="0" spcFirstLastPara="0" vertOverflow="ellipsis" vert="horz" wrap="square" anchor="ctr" anchorCtr="1"/>
          <a:lstStyle/>
          <a:p>
            <a:pPr>
              <a:defRPr lang="zh-CN" sz="89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240221184"/>
        <c:crosses val="autoZero"/>
        <c:crossBetween val="between"/>
      </c:valAx>
      <c:spPr>
        <a:solidFill>
          <a:srgbClr val="C0C0C0"/>
        </a:solidFill>
        <a:ln w="12700">
          <a:solidFill>
            <a:srgbClr val="808080"/>
          </a:solidFill>
          <a:prstDash val="solid"/>
        </a:ln>
        <a:effectLst/>
      </c:spPr>
    </c:plotArea>
    <c:legend>
      <c:legendPos val="r"/>
      <c:layout>
        <c:manualLayout>
          <c:xMode val="edge"/>
          <c:yMode val="edge"/>
          <c:x val="0.654676258992806"/>
          <c:y val="0.32967032967033"/>
          <c:w val="0.330935251798561"/>
          <c:h val="0.346153846153846"/>
        </c:manualLayout>
      </c:layout>
      <c:overlay val="0"/>
      <c:spPr>
        <a:noFill/>
        <a:ln w="3164">
          <a:solidFill>
            <a:srgbClr val="000000"/>
          </a:solidFill>
          <a:prstDash val="solid"/>
        </a:ln>
      </c:spPr>
      <c:txPr>
        <a:bodyPr rot="0" spcFirstLastPara="0" vertOverflow="ellipsis" vert="horz" wrap="square" anchor="ctr" anchorCtr="1"/>
        <a:lstStyle/>
        <a:p>
          <a:pPr>
            <a:defRPr lang="zh-CN" sz="82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a5c02e8d-0140-4c77-8fe5-7dbc210a031d}"/>
      </c:ext>
    </c:extLst>
  </c:chart>
  <c:spPr>
    <a:noFill/>
    <a:ln w="9525" cap="flat" cmpd="sng" algn="ctr">
      <a:noFill/>
      <a:prstDash val="solid"/>
      <a:round/>
    </a:ln>
  </c:spPr>
  <c:txPr>
    <a:bodyPr/>
    <a:lstStyle/>
    <a:p>
      <a:pPr>
        <a:defRPr lang="zh-CN" sz="89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093525179856"/>
          <c:y val="0.0494505494505494"/>
          <c:w val="0.503597122302158"/>
          <c:h val="0.692307692307692"/>
        </c:manualLayout>
      </c:layout>
      <c:barChart>
        <c:barDir val="col"/>
        <c:grouping val="clustered"/>
        <c:varyColors val="0"/>
        <c:ser>
          <c:idx val="0"/>
          <c:order val="0"/>
          <c:tx>
            <c:strRef>
              <c:f>Sheet1!$A$2</c:f>
              <c:strCache>
                <c:ptCount val="1"/>
                <c:pt idx="0">
                  <c:v>2024年支出3450.25万元</c:v>
                </c:pt>
              </c:strCache>
            </c:strRef>
          </c:tx>
          <c:spPr>
            <a:solidFill>
              <a:srgbClr val="9999FF"/>
            </a:solidFill>
            <a:ln w="12656">
              <a:solidFill>
                <a:srgbClr val="000000"/>
              </a:solidFill>
              <a:prstDash val="solid"/>
            </a:ln>
          </c:spPr>
          <c:invertIfNegative val="0"/>
          <c:dLbls>
            <c:delete val="1"/>
          </c:dLbls>
          <c:cat>
            <c:strRef>
              <c:f>Sheet1!$B$1:$B$1</c:f>
              <c:strCache>
                <c:ptCount val="1"/>
                <c:pt idx="0">
                  <c:v>一般公共预算财政拨款支出</c:v>
                </c:pt>
              </c:strCache>
            </c:strRef>
          </c:cat>
          <c:val>
            <c:numRef>
              <c:f>Sheet1!$B$2:$B$2</c:f>
              <c:numCache>
                <c:formatCode>General</c:formatCode>
                <c:ptCount val="1"/>
                <c:pt idx="0">
                  <c:v>3450.25</c:v>
                </c:pt>
              </c:numCache>
            </c:numRef>
          </c:val>
        </c:ser>
        <c:ser>
          <c:idx val="1"/>
          <c:order val="1"/>
          <c:tx>
            <c:strRef>
              <c:f>Sheet1!$A$3</c:f>
              <c:strCache>
                <c:ptCount val="1"/>
                <c:pt idx="0">
                  <c:v>2025年支出5545.04万元</c:v>
                </c:pt>
              </c:strCache>
            </c:strRef>
          </c:tx>
          <c:spPr>
            <a:solidFill>
              <a:srgbClr val="993366"/>
            </a:solidFill>
            <a:ln w="12656">
              <a:solidFill>
                <a:srgbClr val="000000"/>
              </a:solidFill>
              <a:prstDash val="solid"/>
            </a:ln>
          </c:spPr>
          <c:invertIfNegative val="0"/>
          <c:dLbls>
            <c:delete val="1"/>
          </c:dLbls>
          <c:cat>
            <c:strRef>
              <c:f>Sheet1!$B$1:$B$1</c:f>
              <c:strCache>
                <c:ptCount val="1"/>
                <c:pt idx="0">
                  <c:v>一般公共预算财政拨款支出</c:v>
                </c:pt>
              </c:strCache>
            </c:strRef>
          </c:cat>
          <c:val>
            <c:numRef>
              <c:f>Sheet1!$B$3:$B$3</c:f>
              <c:numCache>
                <c:formatCode>General</c:formatCode>
                <c:ptCount val="1"/>
                <c:pt idx="0">
                  <c:v>5545.04</c:v>
                </c:pt>
              </c:numCache>
            </c:numRef>
          </c:val>
        </c:ser>
        <c:dLbls>
          <c:showLegendKey val="0"/>
          <c:showVal val="0"/>
          <c:showCatName val="0"/>
          <c:showSerName val="0"/>
          <c:showPercent val="0"/>
          <c:showBubbleSize val="0"/>
        </c:dLbls>
        <c:gapWidth val="150"/>
        <c:axId val="237782528"/>
        <c:axId val="237784064"/>
      </c:barChart>
      <c:catAx>
        <c:axId val="237782528"/>
        <c:scaling>
          <c:orientation val="minMax"/>
        </c:scaling>
        <c:delete val="0"/>
        <c:axPos val="b"/>
        <c:numFmt formatCode="General" sourceLinked="1"/>
        <c:majorTickMark val="in"/>
        <c:minorTickMark val="none"/>
        <c:tickLblPos val="low"/>
        <c:spPr>
          <a:ln w="3164" cap="flat" cmpd="sng" algn="ctr">
            <a:solidFill>
              <a:srgbClr val="000000"/>
            </a:solidFill>
            <a:prstDash val="solid"/>
            <a:round/>
          </a:ln>
        </c:spPr>
        <c:txPr>
          <a:bodyPr rot="0" spcFirstLastPara="0" vertOverflow="ellipsis" vert="horz" wrap="square" anchor="ctr" anchorCtr="1"/>
          <a:lstStyle/>
          <a:p>
            <a:pPr>
              <a:defRPr lang="zh-CN" sz="89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237784064"/>
        <c:crosses val="autoZero"/>
        <c:auto val="1"/>
        <c:lblAlgn val="ctr"/>
        <c:lblOffset val="100"/>
        <c:tickLblSkip val="1"/>
        <c:noMultiLvlLbl val="0"/>
      </c:catAx>
      <c:valAx>
        <c:axId val="237784064"/>
        <c:scaling>
          <c:orientation val="minMax"/>
        </c:scaling>
        <c:delete val="0"/>
        <c:axPos val="l"/>
        <c:majorGridlines>
          <c:spPr>
            <a:ln w="3164" cap="flat" cmpd="sng" algn="ctr">
              <a:solidFill>
                <a:srgbClr val="000000"/>
              </a:solidFill>
              <a:prstDash val="solid"/>
              <a:round/>
            </a:ln>
          </c:spPr>
        </c:majorGridlines>
        <c:numFmt formatCode="General" sourceLinked="1"/>
        <c:majorTickMark val="in"/>
        <c:minorTickMark val="none"/>
        <c:tickLblPos val="nextTo"/>
        <c:spPr>
          <a:ln w="3164" cap="flat" cmpd="sng" algn="ctr">
            <a:solidFill>
              <a:srgbClr val="000000"/>
            </a:solidFill>
            <a:prstDash val="solid"/>
            <a:round/>
          </a:ln>
        </c:spPr>
        <c:txPr>
          <a:bodyPr rot="0" spcFirstLastPara="0" vertOverflow="ellipsis" vert="horz" wrap="square" anchor="ctr" anchorCtr="1"/>
          <a:lstStyle/>
          <a:p>
            <a:pPr>
              <a:defRPr lang="zh-CN" sz="89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237782528"/>
        <c:crosses val="autoZero"/>
        <c:crossBetween val="between"/>
      </c:valAx>
      <c:spPr>
        <a:solidFill>
          <a:srgbClr val="C0C0C0"/>
        </a:solidFill>
        <a:ln w="12700">
          <a:solidFill>
            <a:srgbClr val="808080"/>
          </a:solidFill>
          <a:prstDash val="solid"/>
        </a:ln>
        <a:effectLst/>
      </c:spPr>
    </c:plotArea>
    <c:legend>
      <c:legendPos val="r"/>
      <c:layout>
        <c:manualLayout>
          <c:xMode val="edge"/>
          <c:yMode val="edge"/>
          <c:x val="0.676258992805755"/>
          <c:y val="0.32967032967033"/>
          <c:w val="0.309352517985612"/>
          <c:h val="0.346153846153846"/>
        </c:manualLayout>
      </c:layout>
      <c:overlay val="0"/>
      <c:spPr>
        <a:noFill/>
        <a:ln w="3164">
          <a:solidFill>
            <a:srgbClr val="000000"/>
          </a:solidFill>
          <a:prstDash val="solid"/>
        </a:ln>
      </c:spPr>
      <c:txPr>
        <a:bodyPr rot="0" spcFirstLastPara="0" vertOverflow="ellipsis" vert="horz" wrap="square" anchor="ctr" anchorCtr="1"/>
        <a:lstStyle/>
        <a:p>
          <a:pPr>
            <a:defRPr lang="zh-CN" sz="82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55747f66-0445-4fd0-b2f9-a4a91464bdd8}"/>
      </c:ext>
    </c:extLst>
  </c:chart>
  <c:spPr>
    <a:noFill/>
    <a:ln w="9525" cap="flat" cmpd="sng" algn="ctr">
      <a:noFill/>
      <a:prstDash val="solid"/>
      <a:round/>
    </a:ln>
  </c:spPr>
  <c:txPr>
    <a:bodyPr/>
    <a:lstStyle/>
    <a:p>
      <a:pPr>
        <a:defRPr lang="zh-CN" sz="89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19178082191781"/>
          <c:y val="0.235714285714286"/>
          <c:w val="0.51027397260274"/>
          <c:h val="0.532142857142857"/>
        </c:manualLayout>
      </c:layout>
      <c:pieChart>
        <c:varyColors val="1"/>
        <c:ser>
          <c:idx val="0"/>
          <c:order val="0"/>
          <c:tx>
            <c:strRef>
              <c:f>Sheet1!$A$2</c:f>
              <c:strCache>
                <c:ptCount val="1"/>
                <c:pt idx="0">
                  <c:v>一般公共预算财政拨款支出</c:v>
                </c:pt>
              </c:strCache>
            </c:strRef>
          </c:tx>
          <c:spPr>
            <a:solidFill>
              <a:srgbClr val="9999FF"/>
            </a:solidFill>
            <a:ln w="12658">
              <a:solidFill>
                <a:srgbClr val="000000"/>
              </a:solidFill>
              <a:prstDash val="solid"/>
            </a:ln>
          </c:spPr>
          <c:explosion val="0"/>
          <c:dPt>
            <c:idx val="0"/>
            <c:bubble3D val="0"/>
            <c:spPr>
              <a:solidFill>
                <a:srgbClr val="9999FF"/>
              </a:solidFill>
              <a:ln w="12658">
                <a:solidFill>
                  <a:srgbClr val="000000"/>
                </a:solidFill>
                <a:prstDash val="solid"/>
              </a:ln>
            </c:spPr>
          </c:dPt>
          <c:dPt>
            <c:idx val="1"/>
            <c:bubble3D val="0"/>
            <c:spPr>
              <a:solidFill>
                <a:srgbClr val="993366"/>
              </a:solidFill>
              <a:ln w="12658">
                <a:solidFill>
                  <a:srgbClr val="000000"/>
                </a:solidFill>
                <a:prstDash val="solid"/>
              </a:ln>
            </c:spPr>
          </c:dPt>
          <c:dPt>
            <c:idx val="2"/>
            <c:bubble3D val="0"/>
            <c:spPr>
              <a:solidFill>
                <a:srgbClr val="FFFFCC"/>
              </a:solidFill>
              <a:ln w="12658">
                <a:solidFill>
                  <a:srgbClr val="000000"/>
                </a:solidFill>
                <a:prstDash val="solid"/>
              </a:ln>
            </c:spPr>
          </c:dPt>
          <c:dPt>
            <c:idx val="3"/>
            <c:bubble3D val="0"/>
            <c:spPr>
              <a:solidFill>
                <a:srgbClr val="CCFFFF"/>
              </a:solidFill>
              <a:ln w="12658">
                <a:solidFill>
                  <a:srgbClr val="000000"/>
                </a:solidFill>
                <a:prstDash val="solid"/>
              </a:ln>
            </c:spPr>
          </c:dPt>
          <c:dPt>
            <c:idx val="4"/>
            <c:bubble3D val="0"/>
            <c:spPr>
              <a:solidFill>
                <a:srgbClr val="660066"/>
              </a:solidFill>
              <a:ln w="12658">
                <a:solidFill>
                  <a:srgbClr val="000000"/>
                </a:solidFill>
                <a:prstDash val="solid"/>
              </a:ln>
            </c:spPr>
          </c:dPt>
          <c:dPt>
            <c:idx val="5"/>
            <c:bubble3D val="0"/>
            <c:spPr>
              <a:solidFill>
                <a:srgbClr val="FF8080"/>
              </a:solidFill>
              <a:ln w="12658">
                <a:solidFill>
                  <a:srgbClr val="000000"/>
                </a:solidFill>
                <a:prstDash val="solid"/>
              </a:ln>
            </c:spPr>
          </c:dPt>
          <c:dLbls>
            <c:delete val="1"/>
          </c:dLbls>
          <c:cat>
            <c:strRef>
              <c:f>Sheet1!$B$1:$G$1</c:f>
              <c:strCache>
                <c:ptCount val="6"/>
                <c:pt idx="0">
                  <c:v>社会保障和就业支出</c:v>
                </c:pt>
                <c:pt idx="1">
                  <c:v>卫生健康支出</c:v>
                </c:pt>
                <c:pt idx="2">
                  <c:v>农林水支出</c:v>
                </c:pt>
                <c:pt idx="3">
                  <c:v>住房保障支出</c:v>
                </c:pt>
                <c:pt idx="4">
                  <c:v>节能环保支出</c:v>
                </c:pt>
                <c:pt idx="5">
                  <c:v>灾害防治及应急管理支出</c:v>
                </c:pt>
              </c:strCache>
            </c:strRef>
          </c:cat>
          <c:val>
            <c:numRef>
              <c:f>Sheet1!$B$2:$G$2</c:f>
              <c:numCache>
                <c:formatCode>General</c:formatCode>
                <c:ptCount val="6"/>
                <c:pt idx="0">
                  <c:v>127.46</c:v>
                </c:pt>
                <c:pt idx="1">
                  <c:v>35.76</c:v>
                </c:pt>
                <c:pt idx="2">
                  <c:v>1985.76</c:v>
                </c:pt>
                <c:pt idx="3">
                  <c:v>46.08</c:v>
                </c:pt>
                <c:pt idx="4">
                  <c:v>2897.42</c:v>
                </c:pt>
                <c:pt idx="5">
                  <c:v>452.57</c:v>
                </c:pt>
              </c:numCache>
            </c:numRef>
          </c:val>
        </c:ser>
        <c:dLbls>
          <c:showLegendKey val="0"/>
          <c:showVal val="0"/>
          <c:showCatName val="0"/>
          <c:showSerName val="0"/>
          <c:showPercent val="0"/>
          <c:showBubbleSize val="0"/>
          <c:showLeaderLines val="1"/>
        </c:dLbls>
        <c:firstSliceAng val="0"/>
      </c:pieChart>
      <c:spPr>
        <a:solidFill>
          <a:srgbClr val="C0C0C0"/>
        </a:solidFill>
        <a:ln w="12658">
          <a:solidFill>
            <a:srgbClr val="808080"/>
          </a:solidFill>
          <a:prstDash val="solid"/>
        </a:ln>
      </c:spPr>
    </c:plotArea>
    <c:legend>
      <c:legendPos val="r"/>
      <c:layout>
        <c:manualLayout>
          <c:xMode val="edge"/>
          <c:yMode val="edge"/>
          <c:x val="0.650684931506849"/>
          <c:y val="0.025"/>
          <c:w val="0.335616438356164"/>
          <c:h val="0.946428571428571"/>
        </c:manualLayout>
      </c:layout>
      <c:overlay val="0"/>
      <c:spPr>
        <a:noFill/>
        <a:ln w="3165">
          <a:solidFill>
            <a:srgbClr val="000000"/>
          </a:solidFill>
          <a:prstDash val="solid"/>
        </a:ln>
      </c:spPr>
      <c:txPr>
        <a:bodyPr rot="0" spcFirstLastPara="0" vertOverflow="ellipsis" vert="horz" wrap="square" anchor="ctr" anchorCtr="1"/>
        <a:lstStyle/>
        <a:p>
          <a:pPr>
            <a:defRPr lang="zh-CN" sz="86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fd70ab6d-2c1d-4e24-bee0-bf1176deb110}"/>
      </c:ext>
    </c:extLst>
  </c:chart>
  <c:spPr>
    <a:noFill/>
    <a:ln w="9525" cap="flat" cmpd="sng" algn="ctr">
      <a:noFill/>
      <a:prstDash val="solid"/>
      <a:round/>
    </a:ln>
  </c:spPr>
  <c:txPr>
    <a:bodyPr/>
    <a:lstStyle/>
    <a:p>
      <a:pPr>
        <a:defRPr lang="zh-CN" sz="94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55395683453237"/>
          <c:y val="0.115384615384615"/>
          <c:w val="0.507194244604317"/>
          <c:h val="0.774725274725275"/>
        </c:manualLayout>
      </c:layout>
      <c:pieChart>
        <c:varyColors val="1"/>
        <c:ser>
          <c:idx val="0"/>
          <c:order val="0"/>
          <c:tx>
            <c:strRef>
              <c:f>Sheet1!$A$2</c:f>
              <c:strCache>
                <c:ptCount val="1"/>
                <c:pt idx="0">
                  <c:v>三公经费支出</c:v>
                </c:pt>
              </c:strCache>
            </c:strRef>
          </c:tx>
          <c:spPr>
            <a:solidFill>
              <a:srgbClr val="9999FF"/>
            </a:solidFill>
            <a:ln w="12656">
              <a:solidFill>
                <a:srgbClr val="000000"/>
              </a:solidFill>
              <a:prstDash val="solid"/>
            </a:ln>
          </c:spPr>
          <c:explosion val="0"/>
          <c:dPt>
            <c:idx val="0"/>
            <c:bubble3D val="0"/>
            <c:spPr>
              <a:solidFill>
                <a:srgbClr val="9999FF"/>
              </a:solidFill>
              <a:ln w="12656">
                <a:solidFill>
                  <a:srgbClr val="000000"/>
                </a:solidFill>
                <a:prstDash val="solid"/>
              </a:ln>
            </c:spPr>
          </c:dPt>
          <c:dPt>
            <c:idx val="1"/>
            <c:bubble3D val="0"/>
            <c:spPr>
              <a:solidFill>
                <a:srgbClr val="993366"/>
              </a:solidFill>
              <a:ln w="12656">
                <a:solidFill>
                  <a:srgbClr val="000000"/>
                </a:solidFill>
                <a:prstDash val="solid"/>
              </a:ln>
            </c:spPr>
          </c:dPt>
          <c:dLbls>
            <c:spPr>
              <a:noFill/>
              <a:ln>
                <a:noFill/>
              </a:ln>
              <a:effectLst/>
            </c:spPr>
            <c:txPr>
              <a:bodyPr rot="0" spcFirstLastPara="0" vertOverflow="ellipsis" vert="horz" wrap="square" lIns="38100" tIns="19050" rIns="38100" bIns="19050" anchor="ctr" anchorCtr="1"/>
              <a:lstStyle/>
              <a:p>
                <a:pPr>
                  <a:defRPr lang="zh-CN" sz="89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Sheet1!$B$1:$C$1</c:f>
              <c:strCache>
                <c:ptCount val="2"/>
                <c:pt idx="0">
                  <c:v>公务用车购置及运行维护费</c:v>
                </c:pt>
                <c:pt idx="1">
                  <c:v>公务接待费</c:v>
                </c:pt>
              </c:strCache>
            </c:strRef>
          </c:cat>
          <c:val>
            <c:numRef>
              <c:f>Sheet1!$B$2:$C$2</c:f>
              <c:numCache>
                <c:formatCode>General</c:formatCode>
                <c:ptCount val="2"/>
                <c:pt idx="0">
                  <c:v>36.53</c:v>
                </c:pt>
                <c:pt idx="1">
                  <c:v>1.3</c:v>
                </c:pt>
              </c:numCache>
            </c:numRef>
          </c:val>
        </c:ser>
        <c:dLbls>
          <c:showLegendKey val="0"/>
          <c:showVal val="0"/>
          <c:showCatName val="0"/>
          <c:showSerName val="0"/>
          <c:showPercent val="0"/>
          <c:showBubbleSize val="0"/>
          <c:showLeaderLines val="1"/>
        </c:dLbls>
        <c:firstSliceAng val="0"/>
      </c:pieChart>
      <c:spPr>
        <a:solidFill>
          <a:srgbClr val="C0C0C0"/>
        </a:solidFill>
        <a:ln w="12656">
          <a:solidFill>
            <a:srgbClr val="808080"/>
          </a:solidFill>
          <a:prstDash val="solid"/>
        </a:ln>
      </c:spPr>
    </c:plotArea>
    <c:legend>
      <c:legendPos val="r"/>
      <c:layout>
        <c:manualLayout>
          <c:xMode val="edge"/>
          <c:yMode val="edge"/>
          <c:x val="0.654676258992806"/>
          <c:y val="0.324175824175824"/>
          <c:w val="0.330935251798561"/>
          <c:h val="0.346153846153846"/>
        </c:manualLayout>
      </c:layout>
      <c:overlay val="0"/>
      <c:spPr>
        <a:noFill/>
        <a:ln w="3164">
          <a:solidFill>
            <a:srgbClr val="000000"/>
          </a:solidFill>
          <a:prstDash val="solid"/>
        </a:ln>
      </c:spPr>
      <c:txPr>
        <a:bodyPr rot="0" spcFirstLastPara="0" vertOverflow="ellipsis" vert="horz" wrap="square" anchor="ctr" anchorCtr="1"/>
        <a:lstStyle/>
        <a:p>
          <a:pPr>
            <a:defRPr lang="zh-CN" sz="82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fea6de9a-7d08-4d5e-8fb5-4ccf64bf1013}"/>
      </c:ext>
    </c:extLst>
  </c:chart>
  <c:spPr>
    <a:noFill/>
    <a:ln w="9525" cap="flat" cmpd="sng" algn="ctr">
      <a:noFill/>
      <a:prstDash val="solid"/>
      <a:round/>
    </a:ln>
  </c:spPr>
  <c:txPr>
    <a:bodyPr/>
    <a:lstStyle/>
    <a:p>
      <a:pPr>
        <a:defRPr lang="zh-CN" sz="89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40</Pages>
  <Words>11524</Words>
  <Characters>14248</Characters>
  <Lines>135</Lines>
  <Paragraphs>38</Paragraphs>
  <TotalTime>6481</TotalTime>
  <ScaleCrop>false</ScaleCrop>
  <LinksUpToDate>false</LinksUpToDate>
  <CharactersWithSpaces>14519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2023-09-12T03:45:00Z</dcterms:created>
  <dc:creator>HUAWEI</dc:creator>
  <cp:lastModifiedBy>张文燕</cp:lastModifiedBy>
  <cp:lastPrinted>2026-09-15T09:05:00Z</cp:lastPrinted>
  <dcterms:modified xsi:type="dcterms:W3CDTF">2026-09-18T10:16:22Z</dcterms:modified>
  <cp:revision>109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eyJoZGlkIjoiNWY2MGI5ZDdiYzJhYmMyMDM0ZTJhMzBiZjQ3YmRlYzAiLCJ1c2VySWQiOiIxNjQ4MzY5MTM2In0=</vt:lpwstr>
  </property>
  <property fmtid="{D5CDD505-2E9C-101B-9397-08002B2CF9AE}" pid="3" name="KSOProductBuildVer">
    <vt:lpwstr>2052-12.1.0.28043</vt:lpwstr>
  </property>
  <property fmtid="{D5CDD505-2E9C-101B-9397-08002B2CF9AE}" pid="4" name="ICV">
    <vt:lpwstr>6024013572D54B2EBD676851B5666822_12</vt:lpwstr>
  </property>
</Properties>
</file>