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82792">
      <w:pPr>
        <w:pStyle w:val="13"/>
        <w:rPr>
          <w:rFonts w:eastAsia="黑体"/>
          <w:sz w:val="48"/>
          <w:szCs w:val="48"/>
        </w:rPr>
      </w:pPr>
    </w:p>
    <w:p w14:paraId="7CF6870D">
      <w:pPr>
        <w:pStyle w:val="7"/>
        <w:rPr>
          <w:rFonts w:eastAsia="黑体"/>
          <w:sz w:val="48"/>
          <w:szCs w:val="48"/>
        </w:rPr>
      </w:pPr>
    </w:p>
    <w:p w14:paraId="5E1C35AA">
      <w:pPr>
        <w:pStyle w:val="7"/>
        <w:ind w:left="0" w:leftChars="0" w:firstLine="0" w:firstLineChars="0"/>
        <w:rPr>
          <w:rFonts w:eastAsia="黑体"/>
          <w:sz w:val="48"/>
          <w:szCs w:val="48"/>
        </w:rPr>
      </w:pPr>
    </w:p>
    <w:p w14:paraId="66E540DE">
      <w:pPr>
        <w:rPr>
          <w:rFonts w:eastAsia="黑体"/>
          <w:sz w:val="48"/>
          <w:szCs w:val="48"/>
        </w:rPr>
      </w:pPr>
    </w:p>
    <w:p w14:paraId="72B96688">
      <w:pPr>
        <w:pStyle w:val="13"/>
        <w:rPr>
          <w:rFonts w:eastAsia="黑体"/>
          <w:sz w:val="48"/>
          <w:szCs w:val="48"/>
        </w:rPr>
      </w:pPr>
    </w:p>
    <w:p w14:paraId="526F1F36">
      <w:pPr>
        <w:pStyle w:val="5"/>
        <w:spacing w:before="93"/>
        <w:jc w:val="center"/>
        <w:rPr>
          <w:rFonts w:hint="eastAsia" w:ascii="Times New Roman" w:eastAsia="方正小标宋简体"/>
          <w:kern w:val="2"/>
          <w:sz w:val="44"/>
          <w:szCs w:val="44"/>
        </w:rPr>
      </w:pPr>
      <w:r>
        <w:rPr>
          <w:rFonts w:hint="eastAsia" w:eastAsia="黑体"/>
          <w:sz w:val="48"/>
          <w:szCs w:val="48"/>
          <w:lang w:eastAsia="zh-CN"/>
        </w:rPr>
        <w:tab/>
      </w:r>
      <w:bookmarkStart w:id="0" w:name="_Toc15377194"/>
      <w:bookmarkStart w:id="1" w:name="_Toc15377426"/>
      <w:bookmarkStart w:id="2" w:name="_Toc15396476"/>
      <w:bookmarkStart w:id="3" w:name="_Toc15396598"/>
      <w:bookmarkStart w:id="4" w:name="_Toc15378442"/>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年度四川省</w:t>
      </w:r>
      <w:bookmarkStart w:id="5" w:name="_Toc15306268"/>
    </w:p>
    <w:p w14:paraId="4B10B9CE">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lang w:val="en-US" w:eastAsia="zh-CN"/>
        </w:rPr>
        <w:t>攀枝花市仁和区档案馆</w:t>
      </w:r>
      <w:r>
        <w:rPr>
          <w:rFonts w:hint="eastAsia" w:ascii="Times New Roman" w:eastAsia="方正小标宋简体"/>
          <w:kern w:val="2"/>
          <w:sz w:val="44"/>
          <w:szCs w:val="44"/>
        </w:rPr>
        <w:t>决算</w:t>
      </w:r>
      <w:bookmarkEnd w:id="0"/>
      <w:bookmarkEnd w:id="1"/>
      <w:bookmarkEnd w:id="2"/>
      <w:bookmarkEnd w:id="3"/>
      <w:bookmarkEnd w:id="4"/>
      <w:bookmarkEnd w:id="5"/>
    </w:p>
    <w:p w14:paraId="39AA4AB6">
      <w:pPr>
        <w:pStyle w:val="13"/>
        <w:sectPr>
          <w:headerReference r:id="rId4" w:type="first"/>
          <w:footerReference r:id="rId6" w:type="first"/>
          <w:headerReference r:id="rId3" w:type="default"/>
          <w:footerReference r:id="rId5" w:type="default"/>
          <w:pgSz w:w="11906" w:h="16838"/>
          <w:pgMar w:top="1440" w:right="1800" w:bottom="1440" w:left="1800" w:header="851" w:footer="992" w:gutter="0"/>
          <w:pgNumType w:start="1"/>
          <w:cols w:space="425" w:num="1"/>
          <w:titlePg/>
          <w:docGrid w:type="lines" w:linePitch="312" w:charSpace="0"/>
        </w:sectPr>
      </w:pPr>
    </w:p>
    <w:p w14:paraId="5B396081">
      <w:pPr>
        <w:widowControl/>
        <w:jc w:val="center"/>
        <w:rPr>
          <w:rFonts w:eastAsia="黑体"/>
          <w:sz w:val="48"/>
          <w:szCs w:val="48"/>
        </w:rPr>
      </w:pPr>
      <w:r>
        <w:rPr>
          <w:rFonts w:hint="eastAsia" w:eastAsia="黑体"/>
          <w:sz w:val="48"/>
          <w:szCs w:val="48"/>
        </w:rPr>
        <w:t>目录</w:t>
      </w:r>
    </w:p>
    <w:p w14:paraId="50499807">
      <w:pPr>
        <w:widowControl/>
        <w:jc w:val="center"/>
        <w:rPr>
          <w:rFonts w:eastAsia="黑体" w:cstheme="minorBidi"/>
          <w:sz w:val="28"/>
          <w:szCs w:val="28"/>
        </w:rPr>
      </w:pPr>
    </w:p>
    <w:p w14:paraId="239CB359">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18</w:t>
      </w:r>
      <w:r>
        <w:rPr>
          <w:rFonts w:hint="eastAsia" w:ascii="Times New Roman" w:hAnsi="Times New Roman" w:eastAsia="仿宋_GB2312" w:cs="仿宋_GB2312"/>
          <w:sz w:val="32"/>
          <w:szCs w:val="32"/>
        </w:rPr>
        <w:t xml:space="preserve"> 日</w:t>
      </w:r>
    </w:p>
    <w:p w14:paraId="4823CF50"/>
    <w:p w14:paraId="01698227">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4CF9B1B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p>
    <w:p w14:paraId="59C9EB2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5D5EC758">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14:paraId="3196C92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109E4F1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77E2C8F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306DB92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7D54148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61EB66C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48C5A9E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6F65523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551B7DF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5E78145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19519674">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178E8388">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45517BE0">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5B2FF03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0469209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6057018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295DE6D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4634590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6601C28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4CF5F84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415EB8D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4F6A095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4B43C29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793A40A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552144B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695276D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46C688F5">
      <w:pPr>
        <w:pStyle w:val="2"/>
        <w:jc w:val="center"/>
        <w:rPr>
          <w:rFonts w:hint="eastAsia" w:ascii="Times New Roman" w:hAnsi="Times New Roman" w:eastAsia="方正小标宋简体" w:cs="方正小标宋简体"/>
          <w:b w:val="0"/>
        </w:rPr>
      </w:pPr>
      <w:bookmarkStart w:id="6" w:name="_Toc15396599"/>
      <w:bookmarkStart w:id="7" w:name="_Toc15377196"/>
    </w:p>
    <w:p w14:paraId="0E460FE8">
      <w:pPr>
        <w:rPr>
          <w:rFonts w:hint="eastAsia" w:ascii="Times New Roman" w:hAnsi="Times New Roman" w:eastAsia="方正小标宋简体" w:cs="方正小标宋简体"/>
          <w:b w:val="0"/>
        </w:rPr>
      </w:pPr>
    </w:p>
    <w:p w14:paraId="13D0B8DB">
      <w:pPr>
        <w:pStyle w:val="13"/>
        <w:rPr>
          <w:rFonts w:hint="eastAsia" w:ascii="Times New Roman" w:hAnsi="Times New Roman" w:eastAsia="方正小标宋简体" w:cs="方正小标宋简体"/>
          <w:b w:val="0"/>
        </w:rPr>
      </w:pPr>
    </w:p>
    <w:p w14:paraId="46C160D0">
      <w:pPr>
        <w:pStyle w:val="7"/>
        <w:rPr>
          <w:rFonts w:hint="eastAsia" w:ascii="Times New Roman" w:hAnsi="Times New Roman" w:eastAsia="方正小标宋简体" w:cs="方正小标宋简体"/>
          <w:b w:val="0"/>
        </w:rPr>
      </w:pPr>
    </w:p>
    <w:p w14:paraId="3BD10ED0">
      <w:pPr>
        <w:pStyle w:val="2"/>
        <w:jc w:val="both"/>
        <w:rPr>
          <w:rFonts w:hint="eastAsia" w:ascii="Times New Roman" w:hAnsi="Times New Roman" w:eastAsia="方正小标宋简体" w:cs="方正小标宋简体"/>
          <w:b w:val="0"/>
        </w:rPr>
      </w:pPr>
    </w:p>
    <w:p w14:paraId="1641EC2F">
      <w:pPr>
        <w:pStyle w:val="2"/>
        <w:jc w:val="both"/>
        <w:rPr>
          <w:rFonts w:hint="eastAsia" w:ascii="Times New Roman" w:hAnsi="Times New Roman" w:eastAsia="方正小标宋简体" w:cs="方正小标宋简体"/>
          <w:b w:val="0"/>
        </w:rPr>
      </w:pPr>
    </w:p>
    <w:p w14:paraId="176A3129">
      <w:pPr>
        <w:rPr>
          <w:rFonts w:hint="eastAsia" w:ascii="Times New Roman" w:hAnsi="Times New Roman" w:eastAsia="方正小标宋简体" w:cs="方正小标宋简体"/>
          <w:b w:val="0"/>
        </w:rPr>
      </w:pPr>
    </w:p>
    <w:p w14:paraId="04687742">
      <w:pPr>
        <w:rPr>
          <w:rFonts w:hint="eastAsia" w:ascii="Times New Roman" w:hAnsi="Times New Roman" w:eastAsia="方正小标宋简体" w:cs="方正小标宋简体"/>
          <w:b w:val="0"/>
        </w:rPr>
      </w:pPr>
    </w:p>
    <w:p w14:paraId="44EC445E">
      <w:pPr>
        <w:rPr>
          <w:rFonts w:hint="eastAsia" w:ascii="Times New Roman" w:hAnsi="Times New Roman" w:eastAsia="方正小标宋简体" w:cs="方正小标宋简体"/>
          <w:b w:val="0"/>
        </w:rPr>
      </w:pPr>
    </w:p>
    <w:p w14:paraId="124CD1D7">
      <w:pPr>
        <w:rPr>
          <w:rFonts w:hint="eastAsia" w:ascii="Times New Roman" w:hAnsi="Times New Roman" w:eastAsia="方正小标宋简体" w:cs="方正小标宋简体"/>
          <w:b w:val="0"/>
        </w:rPr>
      </w:pPr>
    </w:p>
    <w:p w14:paraId="3DBD8D21">
      <w:pPr>
        <w:rPr>
          <w:rFonts w:hint="eastAsia" w:ascii="Times New Roman" w:hAnsi="Times New Roman" w:eastAsia="方正小标宋简体" w:cs="方正小标宋简体"/>
          <w:b w:val="0"/>
        </w:rPr>
      </w:pPr>
    </w:p>
    <w:p w14:paraId="3F2C2C5E">
      <w:pPr>
        <w:rPr>
          <w:rFonts w:hint="eastAsia" w:ascii="Times New Roman" w:hAnsi="Times New Roman" w:eastAsia="方正小标宋简体" w:cs="方正小标宋简体"/>
          <w:b w:val="0"/>
        </w:rPr>
      </w:pPr>
    </w:p>
    <w:p w14:paraId="30172302">
      <w:pPr>
        <w:pStyle w:val="2"/>
        <w:numPr>
          <w:ilvl w:val="0"/>
          <w:numId w:val="1"/>
        </w:numPr>
        <w:jc w:val="center"/>
        <w:rPr>
          <w:rFonts w:hint="eastAsia" w:ascii="Times New Roman" w:hAnsi="Times New Roman" w:eastAsia="方正小标宋简体" w:cs="方正小标宋简体"/>
          <w:b w:val="0"/>
        </w:rPr>
      </w:pPr>
      <w:r>
        <w:rPr>
          <w:rFonts w:hint="eastAsia" w:ascii="Times New Roman" w:hAnsi="Times New Roman" w:eastAsia="方正小标宋简体" w:cs="方正小标宋简体"/>
          <w:b w:val="0"/>
        </w:rPr>
        <w:t xml:space="preserve"> 部门概况</w:t>
      </w:r>
      <w:bookmarkEnd w:id="6"/>
      <w:bookmarkEnd w:id="7"/>
    </w:p>
    <w:p w14:paraId="0BF77167">
      <w:pPr>
        <w:numPr>
          <w:numId w:val="0"/>
        </w:numPr>
        <w:rPr>
          <w:rFonts w:hint="eastAsia"/>
        </w:rPr>
      </w:pPr>
    </w:p>
    <w:p w14:paraId="34014B23">
      <w:pPr>
        <w:pStyle w:val="2"/>
        <w:numPr>
          <w:numId w:val="0"/>
        </w:numPr>
        <w:jc w:val="center"/>
        <w:rPr>
          <w:rFonts w:hint="eastAsia" w:ascii="Times New Roman" w:hAnsi="Times New Roman" w:eastAsia="方正小标宋简体" w:cs="方正小标宋简体"/>
          <w:b w:val="0"/>
        </w:rPr>
      </w:pPr>
      <w:r>
        <w:rPr>
          <w:rFonts w:hint="eastAsia" w:ascii="Times New Roman" w:hAnsi="Times New Roman" w:eastAsia="方正小标宋简体" w:cs="方正小标宋简体"/>
          <w:b w:val="0"/>
          <w:lang w:eastAsia="zh-CN"/>
        </w:rPr>
        <w:t>一、</w:t>
      </w:r>
      <w:r>
        <w:rPr>
          <w:rFonts w:hint="eastAsia" w:ascii="Times New Roman" w:hAnsi="Times New Roman" w:eastAsia="方正小标宋简体" w:cs="方正小标宋简体"/>
          <w:b w:val="0"/>
        </w:rPr>
        <w:t>部门职责</w:t>
      </w:r>
    </w:p>
    <w:p w14:paraId="48C3C8AD">
      <w:pPr>
        <w:ind w:firstLine="660" w:firstLineChars="200"/>
        <w:rPr>
          <w:rFonts w:hint="eastAsia" w:ascii="黑体" w:hAnsi="黑体" w:eastAsia="黑体" w:cs="黑体"/>
          <w:b w:val="0"/>
          <w:bCs w:val="0"/>
          <w:color w:val="auto"/>
          <w:kern w:val="2"/>
          <w:sz w:val="32"/>
          <w:szCs w:val="32"/>
          <w:lang w:eastAsia="zh-CN"/>
        </w:rPr>
      </w:pPr>
      <w:r>
        <w:rPr>
          <w:rFonts w:hint="default" w:ascii="Times New Roman" w:hAnsi="Times New Roman" w:eastAsia="方正仿宋_GBK" w:cs="Times New Roman"/>
          <w:b w:val="0"/>
          <w:bCs w:val="0"/>
          <w:color w:val="auto"/>
          <w:kern w:val="2"/>
          <w:sz w:val="33"/>
          <w:szCs w:val="33"/>
        </w:rPr>
        <w:t>负责接收和保管仁和区党政机关、人民团体、国有企业事业单位和其他组织等本馆保管范围内对党、国家和社会有保存价值的各类档案（包括电子档案、名人档案等）、资料和政府公开信息，并提供利用。负责组织征集整理散存在社会上的反映我区各个历史时期、具有重要价值和历史研究价值的档案资料；通过接受捐献、代存等方式收集档案。负责我区重要会议、重要活动、重大事件档案资料的收集、整理并提供利用。配合区委和区政府重大活动，开展档案展览、陈列、编纂出版工作。负责本馆档案信息化建设，负责推动档案数字资源跨区域、跨部门共享利用。对重要电子档案进行异地备份工作。负责馆藏档案安全，维护档案完整，保守党和国家机密。承担馆藏档案资料的修复、缩微等抢救保护工作。组织档案形成单位依法依规开展馆藏档案解密、开放鉴定、销毁工作。依法对馆藏档</w:t>
      </w:r>
      <w:r>
        <w:rPr>
          <w:rFonts w:hint="default" w:ascii="Times New Roman" w:hAnsi="Times New Roman" w:eastAsia="方正仿宋_GBK" w:cs="Times New Roman"/>
          <w:b w:val="0"/>
          <w:bCs w:val="0"/>
          <w:color w:val="auto"/>
          <w:kern w:val="2"/>
          <w:sz w:val="33"/>
          <w:szCs w:val="33"/>
          <w:lang w:eastAsia="zh-CN"/>
        </w:rPr>
        <w:t>案向社会开放。完成区委交办的其他任务。</w:t>
      </w:r>
    </w:p>
    <w:p w14:paraId="6908A6A2">
      <w:pPr>
        <w:numPr>
          <w:numId w:val="0"/>
        </w:numPr>
        <w:rPr>
          <w:rFonts w:hint="eastAsia"/>
        </w:rPr>
      </w:pPr>
    </w:p>
    <w:p w14:paraId="12721948">
      <w:pPr>
        <w:pStyle w:val="2"/>
        <w:jc w:val="center"/>
        <w:rPr>
          <w:rFonts w:hint="eastAsia" w:ascii="Times New Roman" w:hAnsi="Times New Roman" w:eastAsia="方正小标宋简体" w:cs="方正小标宋简体"/>
          <w:b w:val="0"/>
        </w:rPr>
      </w:pPr>
      <w:bookmarkStart w:id="8" w:name="_Toc15396601"/>
      <w:bookmarkStart w:id="9" w:name="_Toc15377200"/>
      <w:r>
        <w:rPr>
          <w:rFonts w:hint="eastAsia" w:ascii="Times New Roman" w:hAnsi="Times New Roman" w:eastAsia="方正小标宋简体" w:cs="方正小标宋简体"/>
          <w:b w:val="0"/>
        </w:rPr>
        <w:t>二、机构设置</w:t>
      </w:r>
      <w:bookmarkEnd w:id="8"/>
      <w:bookmarkEnd w:id="9"/>
    </w:p>
    <w:p w14:paraId="7182BF1B">
      <w:pPr>
        <w:ind w:firstLine="640" w:firstLineChars="200"/>
        <w:rPr>
          <w:rFonts w:hint="eastAsia" w:ascii="Times New Roman" w:hAnsi="Times New Roman" w:eastAsia="方正仿宋_GBK" w:cs="Times New Roman"/>
          <w:b w:val="0"/>
          <w:bCs w:val="0"/>
          <w:color w:val="auto"/>
          <w:kern w:val="2"/>
          <w:sz w:val="33"/>
          <w:szCs w:val="33"/>
          <w:lang w:eastAsia="zh-CN"/>
        </w:rPr>
      </w:pPr>
      <w:r>
        <w:rPr>
          <w:rFonts w:hint="eastAsia" w:ascii="仿宋_GB2312" w:hAnsi="仿宋_GB2312" w:eastAsia="仿宋_GB2312" w:cs="仿宋_GB2312"/>
          <w:sz w:val="32"/>
          <w:szCs w:val="32"/>
        </w:rPr>
        <w:t>攀枝花市仁和区档案馆</w:t>
      </w:r>
      <w:r>
        <w:rPr>
          <w:rFonts w:hint="eastAsia" w:ascii="Times New Roman" w:hAnsi="Times New Roman" w:eastAsia="方正仿宋_GBK" w:cs="Times New Roman"/>
          <w:b w:val="0"/>
          <w:bCs w:val="0"/>
          <w:color w:val="auto"/>
          <w:kern w:val="2"/>
          <w:sz w:val="33"/>
          <w:szCs w:val="33"/>
          <w:lang w:eastAsia="zh-CN"/>
        </w:rPr>
        <w:t>攀枝花市仁和区档案馆</w:t>
      </w:r>
      <w:r>
        <w:rPr>
          <w:rFonts w:hint="default" w:ascii="Times New Roman" w:hAnsi="Times New Roman" w:eastAsia="方正仿宋_GBK" w:cs="Times New Roman"/>
          <w:b w:val="0"/>
          <w:bCs w:val="0"/>
          <w:color w:val="auto"/>
          <w:kern w:val="2"/>
          <w:sz w:val="33"/>
          <w:szCs w:val="33"/>
          <w:lang w:eastAsia="zh-CN"/>
        </w:rPr>
        <w:t>为区委直属事业单位，参照公务员法管理，无下属二级单位。</w:t>
      </w:r>
    </w:p>
    <w:p w14:paraId="00224508">
      <w:pPr>
        <w:pStyle w:val="2"/>
        <w:jc w:val="center"/>
        <w:rPr>
          <w:rFonts w:eastAsia="方正小标宋简体" w:cs="方正小标宋简体"/>
          <w:b w:val="0"/>
        </w:rPr>
      </w:pPr>
      <w:bookmarkStart w:id="10" w:name="_Toc15396602"/>
      <w:bookmarkStart w:id="11" w:name="_Toc15377204"/>
      <w:r>
        <w:rPr>
          <w:rFonts w:hint="eastAsia" w:eastAsia="方正小标宋简体" w:cs="方正小标宋简体"/>
          <w:b w:val="0"/>
        </w:rPr>
        <w:t>第二部分  2025年度部门决算情况说明</w:t>
      </w:r>
      <w:bookmarkEnd w:id="10"/>
      <w:bookmarkEnd w:id="11"/>
    </w:p>
    <w:p w14:paraId="19B1CB0B"/>
    <w:p w14:paraId="3FCCFAC9">
      <w:pPr>
        <w:pStyle w:val="27"/>
        <w:spacing w:line="600" w:lineRule="exact"/>
        <w:ind w:firstLine="640"/>
        <w:outlineLvl w:val="1"/>
        <w:rPr>
          <w:rStyle w:val="29"/>
          <w:rFonts w:ascii="Times New Roman" w:hAnsi="Times New Roman" w:eastAsia="黑体"/>
          <w:b w:val="0"/>
          <w:highlight w:val="none"/>
        </w:rPr>
      </w:pPr>
      <w:bookmarkStart w:id="12" w:name="_Toc15377205"/>
      <w:bookmarkStart w:id="13" w:name="_Toc15396603"/>
      <w:r>
        <w:rPr>
          <w:rFonts w:hint="eastAsia" w:eastAsia="黑体"/>
          <w:sz w:val="32"/>
          <w:szCs w:val="32"/>
          <w:highlight w:val="none"/>
        </w:rPr>
        <w:t>一、收</w:t>
      </w:r>
      <w:r>
        <w:rPr>
          <w:rStyle w:val="29"/>
          <w:rFonts w:hint="eastAsia" w:ascii="Times New Roman" w:hAnsi="Times New Roman" w:eastAsia="黑体"/>
          <w:b w:val="0"/>
          <w:highlight w:val="none"/>
        </w:rPr>
        <w:t>入支出决算总体情况说明</w:t>
      </w:r>
      <w:bookmarkEnd w:id="12"/>
      <w:bookmarkEnd w:id="13"/>
    </w:p>
    <w:p w14:paraId="33F10578">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2025年度收入、支出总计均为</w:t>
      </w:r>
      <w:r>
        <w:rPr>
          <w:rFonts w:hint="eastAsia" w:ascii="仿宋_GB2312" w:hAnsi="仿宋_GB2312" w:eastAsia="仿宋_GB2312" w:cs="仿宋_GB2312"/>
          <w:sz w:val="32"/>
          <w:szCs w:val="32"/>
          <w:highlight w:val="none"/>
        </w:rPr>
        <w:t>248.66</w:t>
      </w:r>
      <w:r>
        <w:rPr>
          <w:rFonts w:hint="eastAsia" w:eastAsia="仿宋_GB2312" w:cs="仿宋_GB2312"/>
          <w:sz w:val="32"/>
          <w:szCs w:val="32"/>
          <w:highlight w:val="none"/>
        </w:rPr>
        <w:t>万元。与上年度相比，收入、支出总计各增加36.35万元，增长17.1%。主要变动原因是</w:t>
      </w:r>
      <w:r>
        <w:rPr>
          <w:rFonts w:eastAsia="仿宋_GB2312" w:cs="仿宋_GB2312"/>
          <w:sz w:val="32"/>
          <w:szCs w:val="32"/>
          <w:highlight w:val="none"/>
        </w:rPr>
        <w:t>本年度人员、公用经费增多、项目支出增多</w:t>
      </w:r>
      <w:r>
        <w:rPr>
          <w:rFonts w:hint="eastAsia" w:eastAsia="仿宋_GB2312" w:cs="仿宋_GB2312"/>
          <w:sz w:val="32"/>
          <w:szCs w:val="32"/>
          <w:highlight w:val="none"/>
        </w:rPr>
        <w:t>。</w:t>
      </w:r>
    </w:p>
    <w:p w14:paraId="1FAB8FF9">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（图1：收入、支出决算总计变动情况图）（柱状图）</w:t>
      </w:r>
    </w:p>
    <w:p w14:paraId="537A8B58">
      <w:pPr>
        <w:ind w:firstLine="640" w:firstLineChars="200"/>
        <w:rPr>
          <w:rFonts w:eastAsia="仿宋_GB2312" w:cs="仿宋_GB2312"/>
          <w:sz w:val="32"/>
          <w:szCs w:val="32"/>
          <w:highlight w:val="yellow"/>
        </w:rPr>
      </w:pPr>
      <w:r>
        <w:rPr>
          <w:rFonts w:eastAsia="仿宋_GB2312" w:cs="仿宋_GB2312"/>
          <w:sz w:val="32"/>
          <w:szCs w:val="32"/>
        </w:rPr>
        <w:drawing>
          <wp:inline distT="0" distB="0" distL="0" distR="0">
            <wp:extent cx="4743450" cy="2581275"/>
            <wp:effectExtent l="19050" t="0" r="1905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5C11F73">
      <w:pPr>
        <w:pStyle w:val="27"/>
        <w:spacing w:line="600" w:lineRule="exact"/>
        <w:ind w:firstLine="640"/>
        <w:outlineLvl w:val="1"/>
        <w:rPr>
          <w:rFonts w:eastAsia="黑体"/>
          <w:sz w:val="32"/>
          <w:szCs w:val="32"/>
          <w:highlight w:val="none"/>
        </w:rPr>
      </w:pPr>
      <w:bookmarkStart w:id="14" w:name="_Toc15377206"/>
      <w:bookmarkStart w:id="15" w:name="_Toc15396604"/>
      <w:r>
        <w:rPr>
          <w:rFonts w:hint="eastAsia" w:eastAsia="黑体"/>
          <w:sz w:val="32"/>
          <w:szCs w:val="32"/>
          <w:highlight w:val="none"/>
        </w:rPr>
        <w:t>二、收入决算情况说明</w:t>
      </w:r>
      <w:bookmarkEnd w:id="14"/>
      <w:bookmarkEnd w:id="15"/>
    </w:p>
    <w:p w14:paraId="180920CA">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2025年度本年收入合计</w:t>
      </w:r>
      <w:r>
        <w:rPr>
          <w:rFonts w:hint="eastAsia" w:ascii="仿宋_GB2312" w:hAnsi="仿宋_GB2312" w:eastAsia="仿宋_GB2312" w:cs="仿宋_GB2312"/>
          <w:sz w:val="32"/>
          <w:szCs w:val="32"/>
          <w:highlight w:val="none"/>
        </w:rPr>
        <w:t>190.81</w:t>
      </w:r>
      <w:r>
        <w:rPr>
          <w:rFonts w:hint="eastAsia"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rPr>
        <w:t>190.81</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100</w:t>
      </w:r>
      <w:r>
        <w:rPr>
          <w:rFonts w:hint="eastAsia" w:eastAsia="仿宋_GB2312" w:cs="仿宋_GB2312"/>
          <w:sz w:val="32"/>
          <w:szCs w:val="32"/>
          <w:highlight w:val="none"/>
        </w:rPr>
        <w:t>%；政府性基金预算财政拨款收入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%；国有资本经营预算财政拨款收入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%；上级补助收入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%；事业收入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%；经营收入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%；附属单位上缴收入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%；其他收入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%。（图2：收入决算结构图）（饼状图）</w:t>
      </w:r>
    </w:p>
    <w:p w14:paraId="12B2D501">
      <w:pPr>
        <w:ind w:firstLine="800" w:firstLineChars="250"/>
        <w:rPr>
          <w:rFonts w:eastAsia="仿宋_GB2312" w:cs="仿宋_GB2312"/>
          <w:sz w:val="32"/>
          <w:szCs w:val="32"/>
          <w:highlight w:val="yellow"/>
        </w:rPr>
      </w:pPr>
      <w:r>
        <w:rPr>
          <w:rFonts w:eastAsia="仿宋_GB2312" w:cs="仿宋_GB2312"/>
          <w:sz w:val="32"/>
          <w:szCs w:val="32"/>
        </w:rPr>
        <w:drawing>
          <wp:inline distT="0" distB="0" distL="0" distR="0">
            <wp:extent cx="4581525" cy="2400300"/>
            <wp:effectExtent l="19050" t="0" r="9525"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3A71293">
      <w:pPr>
        <w:pStyle w:val="27"/>
        <w:spacing w:line="600" w:lineRule="exact"/>
        <w:ind w:firstLine="640"/>
        <w:outlineLvl w:val="1"/>
        <w:rPr>
          <w:rStyle w:val="29"/>
          <w:rFonts w:ascii="Times New Roman" w:hAnsi="Times New Roman" w:eastAsia="黑体"/>
          <w:b w:val="0"/>
          <w:highlight w:val="none"/>
        </w:rPr>
      </w:pPr>
      <w:bookmarkStart w:id="16" w:name="_Toc15396605"/>
      <w:bookmarkStart w:id="17" w:name="_Toc15377207"/>
      <w:r>
        <w:rPr>
          <w:rFonts w:hint="eastAsia" w:eastAsia="黑体"/>
          <w:sz w:val="32"/>
          <w:szCs w:val="32"/>
          <w:highlight w:val="none"/>
        </w:rPr>
        <w:t>三、支</w:t>
      </w:r>
      <w:r>
        <w:rPr>
          <w:rStyle w:val="29"/>
          <w:rFonts w:hint="eastAsia" w:ascii="Times New Roman" w:hAnsi="Times New Roman" w:eastAsia="黑体"/>
          <w:b w:val="0"/>
          <w:highlight w:val="none"/>
        </w:rPr>
        <w:t>出决算情况说明</w:t>
      </w:r>
      <w:bookmarkEnd w:id="16"/>
      <w:bookmarkEnd w:id="17"/>
    </w:p>
    <w:p w14:paraId="6FE5C66A">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2025年度本年支出合计</w:t>
      </w:r>
      <w:r>
        <w:rPr>
          <w:rFonts w:hint="eastAsia" w:ascii="仿宋_GB2312" w:hAnsi="仿宋_GB2312" w:eastAsia="仿宋_GB2312" w:cs="仿宋_GB2312"/>
          <w:sz w:val="32"/>
          <w:szCs w:val="32"/>
          <w:highlight w:val="none"/>
        </w:rPr>
        <w:t>248.66</w:t>
      </w:r>
      <w:r>
        <w:rPr>
          <w:rFonts w:hint="eastAsia" w:eastAsia="仿宋_GB2312" w:cs="仿宋_GB2312"/>
          <w:sz w:val="32"/>
          <w:szCs w:val="32"/>
          <w:highlight w:val="none"/>
        </w:rPr>
        <w:t>万元，其中：基本支出</w:t>
      </w:r>
      <w:r>
        <w:rPr>
          <w:rFonts w:hint="eastAsia" w:ascii="仿宋_GB2312" w:hAnsi="仿宋_GB2312" w:eastAsia="仿宋_GB2312" w:cs="仿宋_GB2312"/>
          <w:sz w:val="32"/>
          <w:szCs w:val="32"/>
          <w:highlight w:val="none"/>
        </w:rPr>
        <w:t>166.89</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67.11</w:t>
      </w:r>
      <w:r>
        <w:rPr>
          <w:rFonts w:hint="eastAsia" w:eastAsia="仿宋_GB2312" w:cs="仿宋_GB2312"/>
          <w:sz w:val="32"/>
          <w:szCs w:val="32"/>
          <w:highlight w:val="none"/>
        </w:rPr>
        <w:t>%；项目支出</w:t>
      </w:r>
      <w:r>
        <w:rPr>
          <w:rFonts w:hint="eastAsia" w:ascii="仿宋_GB2312" w:hAnsi="仿宋_GB2312" w:eastAsia="仿宋_GB2312" w:cs="仿宋_GB2312"/>
          <w:sz w:val="32"/>
          <w:szCs w:val="32"/>
          <w:highlight w:val="none"/>
        </w:rPr>
        <w:t>81.77</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32.88</w:t>
      </w:r>
      <w:r>
        <w:rPr>
          <w:rFonts w:hint="eastAsia" w:eastAsia="仿宋_GB2312" w:cs="仿宋_GB2312"/>
          <w:sz w:val="32"/>
          <w:szCs w:val="32"/>
          <w:highlight w:val="none"/>
        </w:rPr>
        <w:t>%；上缴上级支出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%；经营支出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%；对附属单位补助支出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%。（图3：支出决算结构图）（饼状图）</w:t>
      </w:r>
    </w:p>
    <w:p w14:paraId="74901AE4">
      <w:pPr>
        <w:ind w:firstLine="800" w:firstLineChars="250"/>
        <w:rPr>
          <w:rFonts w:eastAsia="仿宋_GB2312" w:cs="仿宋_GB2312"/>
          <w:sz w:val="32"/>
          <w:szCs w:val="32"/>
          <w:highlight w:val="yellow"/>
        </w:rPr>
      </w:pPr>
      <w:r>
        <w:rPr>
          <w:rFonts w:eastAsia="仿宋_GB2312" w:cs="仿宋_GB2312"/>
          <w:sz w:val="32"/>
          <w:szCs w:val="32"/>
        </w:rPr>
        <w:drawing>
          <wp:inline distT="0" distB="0" distL="0" distR="0">
            <wp:extent cx="4505325" cy="2124075"/>
            <wp:effectExtent l="19050" t="0" r="9525"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ECCD71">
      <w:pPr>
        <w:spacing w:line="600" w:lineRule="exact"/>
        <w:ind w:firstLine="640" w:firstLineChars="200"/>
        <w:outlineLvl w:val="1"/>
        <w:rPr>
          <w:rStyle w:val="29"/>
          <w:rFonts w:ascii="Times New Roman" w:hAnsi="Times New Roman" w:eastAsia="黑体"/>
          <w:b w:val="0"/>
          <w:highlight w:val="none"/>
        </w:rPr>
      </w:pPr>
      <w:bookmarkStart w:id="18" w:name="_Toc15396606"/>
      <w:bookmarkStart w:id="19" w:name="_Toc15377208"/>
      <w:r>
        <w:rPr>
          <w:rFonts w:hint="eastAsia" w:eastAsia="黑体"/>
          <w:sz w:val="32"/>
          <w:szCs w:val="32"/>
          <w:highlight w:val="none"/>
        </w:rPr>
        <w:t>四、财</w:t>
      </w:r>
      <w:r>
        <w:rPr>
          <w:rStyle w:val="29"/>
          <w:rFonts w:hint="eastAsia" w:ascii="Times New Roman" w:hAnsi="Times New Roman" w:eastAsia="黑体"/>
          <w:b w:val="0"/>
          <w:highlight w:val="none"/>
        </w:rPr>
        <w:t>政拨款收入支出决算总体情况说明</w:t>
      </w:r>
      <w:bookmarkEnd w:id="18"/>
      <w:bookmarkEnd w:id="19"/>
    </w:p>
    <w:p w14:paraId="69843670">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2025年度财政拨款收入、支出总计均为</w:t>
      </w:r>
      <w:r>
        <w:rPr>
          <w:rFonts w:hint="eastAsia" w:ascii="仿宋_GB2312" w:hAnsi="仿宋_GB2312" w:eastAsia="仿宋_GB2312" w:cs="仿宋_GB2312"/>
          <w:sz w:val="32"/>
          <w:szCs w:val="32"/>
          <w:highlight w:val="none"/>
        </w:rPr>
        <w:t>248.66</w:t>
      </w:r>
      <w:r>
        <w:rPr>
          <w:rFonts w:hint="eastAsia" w:eastAsia="仿宋_GB2312" w:cs="仿宋_GB2312"/>
          <w:sz w:val="32"/>
          <w:szCs w:val="32"/>
          <w:highlight w:val="none"/>
        </w:rPr>
        <w:t>万元。与上年度相比，财政拨款收入、支出总计各增加36.35万元，增长17.1%。主要变动原因是</w:t>
      </w:r>
      <w:r>
        <w:rPr>
          <w:rFonts w:eastAsia="仿宋_GB2312" w:cs="仿宋_GB2312"/>
          <w:sz w:val="32"/>
          <w:szCs w:val="32"/>
          <w:highlight w:val="none"/>
        </w:rPr>
        <w:t>本年度人员、公用经费增多、项目支出增多</w:t>
      </w:r>
      <w:r>
        <w:rPr>
          <w:rFonts w:hint="eastAsia" w:eastAsia="仿宋_GB2312" w:cs="仿宋_GB2312"/>
          <w:sz w:val="32"/>
          <w:szCs w:val="32"/>
          <w:highlight w:val="none"/>
        </w:rPr>
        <w:t>。（图4：财政拨款收、支决算总计变动情况）（柱状图）</w:t>
      </w:r>
    </w:p>
    <w:p w14:paraId="3895304F">
      <w:pPr>
        <w:spacing w:line="600" w:lineRule="exact"/>
        <w:ind w:firstLine="640"/>
        <w:rPr>
          <w:rFonts w:eastAsia="仿宋_GB2312" w:cs="仿宋_GB2312"/>
          <w:sz w:val="32"/>
          <w:szCs w:val="32"/>
        </w:rPr>
      </w:pPr>
    </w:p>
    <w:p w14:paraId="112F2DBE">
      <w:pPr>
        <w:pStyle w:val="13"/>
        <w:rPr>
          <w:highlight w:val="yellow"/>
        </w:rPr>
      </w:pPr>
      <w:r>
        <w:drawing>
          <wp:inline distT="0" distB="0" distL="0" distR="0">
            <wp:extent cx="5038725" cy="2371725"/>
            <wp:effectExtent l="19050" t="0" r="9525"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75255A7">
      <w:pPr>
        <w:spacing w:line="600" w:lineRule="exact"/>
        <w:ind w:firstLine="640" w:firstLineChars="200"/>
        <w:outlineLvl w:val="1"/>
        <w:rPr>
          <w:rStyle w:val="29"/>
          <w:rFonts w:ascii="Times New Roman" w:hAnsi="Times New Roman" w:eastAsia="黑体"/>
          <w:b w:val="0"/>
          <w:highlight w:val="none"/>
        </w:rPr>
      </w:pPr>
      <w:bookmarkStart w:id="20" w:name="_Toc15377209"/>
      <w:bookmarkStart w:id="21" w:name="_Toc15396607"/>
      <w:r>
        <w:rPr>
          <w:rFonts w:hint="eastAsia" w:eastAsia="黑体"/>
          <w:sz w:val="32"/>
          <w:szCs w:val="32"/>
          <w:highlight w:val="none"/>
        </w:rPr>
        <w:t>五、</w:t>
      </w:r>
      <w:r>
        <w:rPr>
          <w:rFonts w:hint="eastAsia" w:eastAsia="黑体"/>
          <w:b/>
          <w:sz w:val="32"/>
          <w:szCs w:val="32"/>
          <w:highlight w:val="none"/>
        </w:rPr>
        <w:t>一</w:t>
      </w:r>
      <w:r>
        <w:rPr>
          <w:rStyle w:val="29"/>
          <w:rFonts w:hint="eastAsia" w:ascii="Times New Roman" w:hAnsi="Times New Roman" w:eastAsia="黑体"/>
          <w:b w:val="0"/>
          <w:highlight w:val="none"/>
        </w:rPr>
        <w:t>般公共预算财政拨款支出决算情况说明</w:t>
      </w:r>
      <w:bookmarkEnd w:id="20"/>
      <w:bookmarkEnd w:id="21"/>
    </w:p>
    <w:p w14:paraId="1D0DB270">
      <w:pPr>
        <w:spacing w:line="600" w:lineRule="exact"/>
        <w:ind w:firstLine="643" w:firstLineChars="200"/>
        <w:outlineLvl w:val="2"/>
        <w:rPr>
          <w:rFonts w:eastAsia="楷体_GB2312" w:cs="楷体_GB2312"/>
          <w:b/>
          <w:sz w:val="32"/>
          <w:szCs w:val="32"/>
          <w:highlight w:val="none"/>
        </w:rPr>
      </w:pPr>
      <w:bookmarkStart w:id="22" w:name="_Toc15377210"/>
      <w:r>
        <w:rPr>
          <w:rFonts w:hint="eastAsia" w:eastAsia="楷体_GB2312" w:cs="楷体_GB2312"/>
          <w:b/>
          <w:sz w:val="32"/>
          <w:szCs w:val="32"/>
          <w:highlight w:val="none"/>
        </w:rPr>
        <w:t>（一）一般公共预算财政拨款支出决算总体情况</w:t>
      </w:r>
      <w:bookmarkEnd w:id="22"/>
    </w:p>
    <w:p w14:paraId="76B0EF12">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2025年度一般公共预算财政拨款支出</w:t>
      </w:r>
      <w:r>
        <w:rPr>
          <w:rFonts w:hint="eastAsia" w:ascii="仿宋_GB2312" w:hAnsi="仿宋_GB2312" w:eastAsia="仿宋_GB2312" w:cs="仿宋_GB2312"/>
          <w:sz w:val="32"/>
          <w:szCs w:val="32"/>
          <w:highlight w:val="none"/>
        </w:rPr>
        <w:t>248.66</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100</w:t>
      </w:r>
      <w:r>
        <w:rPr>
          <w:rFonts w:hint="eastAsia" w:eastAsia="仿宋_GB2312" w:cs="仿宋_GB2312"/>
          <w:sz w:val="32"/>
          <w:szCs w:val="32"/>
          <w:highlight w:val="none"/>
        </w:rPr>
        <w:t>%。与上年度相比，一般公共预算财政拨款支出增加36.35万元，增长17.1%。主要变动原因是</w:t>
      </w:r>
      <w:r>
        <w:rPr>
          <w:rFonts w:eastAsia="仿宋_GB2312" w:cs="仿宋_GB2312"/>
          <w:sz w:val="32"/>
          <w:szCs w:val="32"/>
          <w:highlight w:val="none"/>
        </w:rPr>
        <w:t>本年度人员、公用经费增多、项目支出增多</w:t>
      </w:r>
      <w:r>
        <w:rPr>
          <w:rFonts w:hint="eastAsia" w:eastAsia="仿宋_GB2312" w:cs="仿宋_GB2312"/>
          <w:sz w:val="32"/>
          <w:szCs w:val="32"/>
          <w:highlight w:val="none"/>
        </w:rPr>
        <w:t>。（图5：一般公共预算财政拨款支出决算变动情况）（柱状图）</w:t>
      </w:r>
    </w:p>
    <w:p w14:paraId="044881CF">
      <w:pPr>
        <w:spacing w:line="600" w:lineRule="exact"/>
        <w:ind w:firstLine="640"/>
        <w:rPr>
          <w:rFonts w:eastAsia="仿宋_GB2312" w:cs="仿宋_GB2312"/>
          <w:sz w:val="32"/>
          <w:szCs w:val="32"/>
          <w:highlight w:val="yellow"/>
        </w:rPr>
      </w:pPr>
    </w:p>
    <w:p w14:paraId="28FFCD52">
      <w:pPr>
        <w:pStyle w:val="13"/>
        <w:rPr>
          <w:highlight w:val="yellow"/>
        </w:rPr>
      </w:pPr>
      <w:r>
        <w:drawing>
          <wp:inline distT="0" distB="0" distL="0" distR="0">
            <wp:extent cx="4200525" cy="2362200"/>
            <wp:effectExtent l="19050" t="0" r="9525"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329C61">
      <w:pPr>
        <w:spacing w:line="600" w:lineRule="exact"/>
        <w:ind w:firstLine="643" w:firstLineChars="200"/>
        <w:outlineLvl w:val="2"/>
        <w:rPr>
          <w:rFonts w:eastAsia="楷体_GB2312" w:cs="楷体_GB2312"/>
          <w:b/>
          <w:sz w:val="32"/>
          <w:szCs w:val="32"/>
          <w:highlight w:val="none"/>
        </w:rPr>
      </w:pPr>
      <w:bookmarkStart w:id="23" w:name="_Toc15377211"/>
      <w:r>
        <w:rPr>
          <w:rFonts w:hint="eastAsia" w:eastAsia="楷体_GB2312" w:cs="楷体_GB2312"/>
          <w:b/>
          <w:sz w:val="32"/>
          <w:szCs w:val="32"/>
          <w:highlight w:val="none"/>
        </w:rPr>
        <w:t>（二）一般公共预算财政拨款支出决算结构情况</w:t>
      </w:r>
      <w:bookmarkEnd w:id="23"/>
    </w:p>
    <w:p w14:paraId="4DC08BE3">
      <w:pPr>
        <w:spacing w:line="600" w:lineRule="exact"/>
        <w:ind w:firstLine="640"/>
        <w:rPr>
          <w:rFonts w:eastAsia="仿宋_GB2312" w:cs="仿宋_GB2312"/>
          <w:b/>
          <w:bCs/>
          <w:sz w:val="32"/>
          <w:szCs w:val="32"/>
          <w:highlight w:val="none"/>
        </w:rPr>
      </w:pPr>
      <w:r>
        <w:rPr>
          <w:rFonts w:hint="eastAsia" w:eastAsia="仿宋_GB2312" w:cs="仿宋_GB2312"/>
          <w:sz w:val="32"/>
          <w:szCs w:val="32"/>
          <w:highlight w:val="none"/>
        </w:rPr>
        <w:t>2025年度一般公共预算财政拨款支出</w:t>
      </w:r>
      <w:r>
        <w:rPr>
          <w:rFonts w:hint="eastAsia" w:ascii="仿宋_GB2312" w:hAnsi="仿宋_GB2312" w:eastAsia="仿宋_GB2312" w:cs="仿宋_GB2312"/>
          <w:sz w:val="32"/>
          <w:szCs w:val="32"/>
          <w:highlight w:val="none"/>
        </w:rPr>
        <w:t>248.66</w:t>
      </w:r>
      <w:r>
        <w:rPr>
          <w:rFonts w:hint="eastAsia" w:eastAsia="仿宋_GB2312" w:cs="仿宋_GB2312"/>
          <w:sz w:val="32"/>
          <w:szCs w:val="32"/>
          <w:highlight w:val="none"/>
        </w:rPr>
        <w:t>万元，主要用于以下方面：一般公共服务支出210.74万元，占84.8%；教育支出0万元，占0%；科学技术支出0万元，占0%；文化旅游体育与传媒支出0万元，占0%；社会保障和就业支出</w:t>
      </w:r>
      <w:r>
        <w:rPr>
          <w:rFonts w:eastAsia="仿宋_GB2312" w:cs="仿宋_GB2312"/>
          <w:sz w:val="32"/>
          <w:szCs w:val="32"/>
          <w:highlight w:val="none"/>
        </w:rPr>
        <w:t>19.25</w:t>
      </w:r>
      <w:r>
        <w:rPr>
          <w:rFonts w:hint="eastAsia" w:eastAsia="仿宋_GB2312" w:cs="仿宋_GB2312"/>
          <w:sz w:val="32"/>
          <w:szCs w:val="32"/>
          <w:highlight w:val="none"/>
        </w:rPr>
        <w:t>万元，占7.7%；卫生健康支出8.19万元，占3.3%；住房保障支出10.47万元，占4.2%。</w:t>
      </w:r>
    </w:p>
    <w:p w14:paraId="4537758F">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（图6：一般公共预算财政拨款支出决算结构）（饼状图）</w:t>
      </w:r>
    </w:p>
    <w:p w14:paraId="785BD2EC">
      <w:pPr>
        <w:spacing w:line="600" w:lineRule="exact"/>
        <w:ind w:firstLine="640"/>
        <w:rPr>
          <w:rFonts w:eastAsia="仿宋_GB2312" w:cs="仿宋_GB2312"/>
          <w:sz w:val="32"/>
          <w:szCs w:val="32"/>
          <w:highlight w:val="none"/>
        </w:rPr>
      </w:pPr>
    </w:p>
    <w:p w14:paraId="74D2CD02">
      <w:pPr>
        <w:pStyle w:val="13"/>
        <w:rPr>
          <w:highlight w:val="yellow"/>
        </w:rPr>
      </w:pPr>
      <w:r>
        <w:drawing>
          <wp:inline distT="0" distB="0" distL="0" distR="0">
            <wp:extent cx="5274310" cy="2889250"/>
            <wp:effectExtent l="19050" t="0" r="21590" b="5718"/>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EC381AE">
      <w:pPr>
        <w:spacing w:line="600" w:lineRule="exact"/>
        <w:ind w:firstLine="643" w:firstLineChars="200"/>
        <w:outlineLvl w:val="2"/>
        <w:rPr>
          <w:rFonts w:eastAsia="楷体_GB2312" w:cs="楷体_GB2312"/>
          <w:b/>
          <w:sz w:val="32"/>
          <w:szCs w:val="32"/>
          <w:highlight w:val="none"/>
        </w:rPr>
      </w:pPr>
      <w:bookmarkStart w:id="24" w:name="_Toc15377212"/>
      <w:r>
        <w:rPr>
          <w:rFonts w:hint="eastAsia" w:eastAsia="楷体_GB2312" w:cs="楷体_GB2312"/>
          <w:b/>
          <w:sz w:val="32"/>
          <w:szCs w:val="32"/>
          <w:highlight w:val="none"/>
        </w:rPr>
        <w:t>（三）一般公共预算财政拨款支出决算具体情况</w:t>
      </w:r>
      <w:bookmarkEnd w:id="24"/>
    </w:p>
    <w:p w14:paraId="1897BA04">
      <w:pPr>
        <w:spacing w:line="600" w:lineRule="exact"/>
        <w:ind w:firstLine="640"/>
        <w:rPr>
          <w:rFonts w:eastAsia="仿宋_GB2312" w:cs="仿宋_GB2312"/>
          <w:sz w:val="32"/>
          <w:szCs w:val="32"/>
          <w:highlight w:val="none"/>
        </w:rPr>
      </w:pPr>
      <w:bookmarkStart w:id="25" w:name="_Toc15378460"/>
      <w:bookmarkStart w:id="26" w:name="_Toc15377213"/>
      <w:bookmarkStart w:id="27" w:name="_Toc15377444"/>
      <w:r>
        <w:rPr>
          <w:rFonts w:hint="eastAsia" w:eastAsia="仿宋_GB2312" w:cs="仿宋_GB2312"/>
          <w:sz w:val="32"/>
          <w:szCs w:val="32"/>
          <w:highlight w:val="none"/>
        </w:rPr>
        <w:t>2025年度一般公共预算支出决算数为</w:t>
      </w:r>
      <w:r>
        <w:rPr>
          <w:rFonts w:hint="eastAsia" w:ascii="仿宋_GB2312" w:hAnsi="仿宋_GB2312" w:eastAsia="仿宋_GB2312" w:cs="仿宋_GB2312"/>
          <w:sz w:val="32"/>
          <w:szCs w:val="32"/>
          <w:highlight w:val="none"/>
        </w:rPr>
        <w:t>248.66</w:t>
      </w:r>
      <w:r>
        <w:rPr>
          <w:rFonts w:hint="eastAsia" w:eastAsia="仿宋_GB2312" w:cs="仿宋_GB2312"/>
          <w:sz w:val="32"/>
          <w:szCs w:val="32"/>
          <w:highlight w:val="none"/>
        </w:rPr>
        <w:t>，完成预算100%。其中：</w:t>
      </w:r>
      <w:bookmarkEnd w:id="25"/>
      <w:bookmarkEnd w:id="26"/>
      <w:bookmarkEnd w:id="27"/>
    </w:p>
    <w:p w14:paraId="4C6BF9CB">
      <w:pPr>
        <w:spacing w:line="600" w:lineRule="exact"/>
        <w:ind w:firstLine="640"/>
        <w:rPr>
          <w:rFonts w:eastAsia="仿宋_GB2312" w:cs="仿宋_GB2312"/>
          <w:sz w:val="32"/>
          <w:szCs w:val="32"/>
          <w:highlight w:val="none"/>
        </w:rPr>
      </w:pPr>
      <w:bookmarkStart w:id="28" w:name="_Toc15377214"/>
      <w:bookmarkStart w:id="29" w:name="_Toc15396608"/>
      <w:r>
        <w:rPr>
          <w:rFonts w:hint="eastAsia" w:eastAsia="仿宋_GB2312" w:cs="仿宋_GB2312"/>
          <w:sz w:val="32"/>
          <w:szCs w:val="32"/>
          <w:highlight w:val="none"/>
        </w:rPr>
        <w:t>1.一般公共服务支出（类）档案事务（款）行政运行（项）: 支出决算为128.97万元，完成预算100%，决算数等于预算数。</w:t>
      </w:r>
    </w:p>
    <w:p w14:paraId="325453B6">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 一般公共服务支出（类）档案事务（款）档案馆（项）:支出决算为23.92万元，完成预算100%，决算数等于预算数。</w:t>
      </w:r>
    </w:p>
    <w:p w14:paraId="5B1A9A96">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3. 一般公共服务支出（类）档案事务（款）其他档案事务支出（项）:支出决算为57.84万元，完成预算100%，决算数等于预算数。</w:t>
      </w:r>
    </w:p>
    <w:p w14:paraId="083A0D2C">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4.社会保障和就业支出（类）行政事业单位养老支出（款）行政单位离退休（项）: 支出决算为5.86万元，完成预算100%，决算数等于预算数。</w:t>
      </w:r>
    </w:p>
    <w:p w14:paraId="57481DD7">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5. 社会保障和就业支出（类）行政事业单位养老支出（款）事业单位离退休（项）: 支出决算为1.35万元，完成预算100%，决算数等于预算数。</w:t>
      </w:r>
    </w:p>
    <w:p w14:paraId="2D02F7E9">
      <w:pPr>
        <w:spacing w:line="600" w:lineRule="exact"/>
        <w:ind w:firstLine="640" w:firstLineChars="200"/>
        <w:rPr>
          <w:rFonts w:eastAsia="仿宋_GB2312" w:cs="仿宋_GB2312"/>
          <w:sz w:val="32"/>
          <w:szCs w:val="32"/>
          <w:highlight w:val="none"/>
        </w:rPr>
      </w:pPr>
      <w:r>
        <w:rPr>
          <w:rFonts w:hint="eastAsia" w:eastAsia="仿宋_GB2312" w:cs="仿宋_GB2312"/>
          <w:sz w:val="32"/>
          <w:szCs w:val="32"/>
          <w:highlight w:val="none"/>
        </w:rPr>
        <w:t>6.社会保障和就业支出（类）行政事业单位养老支出（款）机关事业单位基本养老保险缴费支出（项）:支出决算为13.22万元，完成预算100%，决算数等于预算数。</w:t>
      </w:r>
    </w:p>
    <w:p w14:paraId="6E328B5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7.卫生健康支出（类）行政事业单位医疗（款）行政单位医疗（项）:支出决算为6.75万元，完成预算100%，决算数等于预算数。</w:t>
      </w:r>
    </w:p>
    <w:p w14:paraId="2DC19AC9">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8.卫生健康支出（类）行政事业单位医疗（款）公务员医疗补助（项）:支出决算为1.44万元，完成预算100%，决算数等于预算数。</w:t>
      </w:r>
    </w:p>
    <w:p w14:paraId="4596A5F0">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9.</w:t>
      </w:r>
      <w:r>
        <w:rPr>
          <w:rFonts w:eastAsia="仿宋_GB2312" w:cs="仿宋_GB2312"/>
          <w:sz w:val="32"/>
          <w:szCs w:val="32"/>
          <w:highlight w:val="none"/>
        </w:rPr>
        <w:t xml:space="preserve"> </w:t>
      </w:r>
      <w:r>
        <w:rPr>
          <w:rFonts w:hint="eastAsia" w:eastAsia="仿宋_GB2312" w:cs="仿宋_GB2312"/>
          <w:sz w:val="32"/>
          <w:szCs w:val="32"/>
          <w:highlight w:val="none"/>
        </w:rPr>
        <w:t>住房保障支出（类）住房改革支出（款）住房公积金（项）:支出决算为10.47万元，完成预算100%，决算数等于预算数。</w:t>
      </w:r>
    </w:p>
    <w:p w14:paraId="5328290C">
      <w:pPr>
        <w:tabs>
          <w:tab w:val="right" w:pos="8306"/>
        </w:tabs>
        <w:spacing w:line="600" w:lineRule="exact"/>
        <w:ind w:firstLine="640"/>
        <w:outlineLvl w:val="1"/>
        <w:rPr>
          <w:rStyle w:val="29"/>
          <w:rFonts w:ascii="Times New Roman" w:hAnsi="Times New Roman"/>
          <w:highlight w:val="none"/>
        </w:rPr>
      </w:pPr>
      <w:r>
        <w:rPr>
          <w:rFonts w:hint="eastAsia" w:eastAsia="黑体"/>
          <w:sz w:val="32"/>
          <w:szCs w:val="32"/>
          <w:highlight w:val="none"/>
        </w:rPr>
        <w:t>六</w:t>
      </w:r>
      <w:r>
        <w:rPr>
          <w:rFonts w:hint="eastAsia" w:eastAsia="黑体"/>
          <w:b/>
          <w:sz w:val="32"/>
          <w:szCs w:val="32"/>
          <w:highlight w:val="none"/>
        </w:rPr>
        <w:t>、一</w:t>
      </w:r>
      <w:r>
        <w:rPr>
          <w:rStyle w:val="29"/>
          <w:rFonts w:hint="eastAsia" w:ascii="Times New Roman" w:hAnsi="Times New Roman" w:eastAsia="黑体"/>
          <w:b w:val="0"/>
          <w:highlight w:val="none"/>
        </w:rPr>
        <w:t>般公共预算财政拨款基本支出决算情况说明</w:t>
      </w:r>
      <w:bookmarkEnd w:id="28"/>
      <w:bookmarkEnd w:id="29"/>
      <w:r>
        <w:rPr>
          <w:rStyle w:val="29"/>
          <w:rFonts w:ascii="Times New Roman" w:hAnsi="Times New Roman" w:eastAsia="黑体"/>
          <w:b w:val="0"/>
          <w:highlight w:val="none"/>
        </w:rPr>
        <w:tab/>
      </w:r>
    </w:p>
    <w:p w14:paraId="02F34DE7">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2025年度一般公共预算财政拨款基本支出</w:t>
      </w:r>
      <w:r>
        <w:rPr>
          <w:rFonts w:hint="eastAsia" w:ascii="仿宋_GB2312" w:hAnsi="仿宋_GB2312" w:eastAsia="仿宋_GB2312" w:cs="仿宋_GB2312"/>
          <w:sz w:val="32"/>
          <w:szCs w:val="32"/>
          <w:highlight w:val="none"/>
        </w:rPr>
        <w:t>166.89</w:t>
      </w:r>
      <w:r>
        <w:rPr>
          <w:rFonts w:hint="eastAsia" w:eastAsia="仿宋_GB2312" w:cs="仿宋_GB2312"/>
          <w:sz w:val="32"/>
          <w:szCs w:val="32"/>
          <w:highlight w:val="none"/>
        </w:rPr>
        <w:t>万元，其中：</w:t>
      </w:r>
    </w:p>
    <w:p w14:paraId="2A023859">
      <w:pPr>
        <w:pStyle w:val="35"/>
        <w:ind w:firstLine="640" w:firstLineChars="200"/>
        <w:rPr>
          <w:highlight w:val="none"/>
        </w:rPr>
      </w:pPr>
      <w:r>
        <w:rPr>
          <w:rFonts w:hint="eastAsia" w:eastAsia="仿宋_GB2312" w:cs="仿宋_GB2312"/>
          <w:kern w:val="2"/>
          <w:sz w:val="32"/>
          <w:szCs w:val="32"/>
          <w:highlight w:val="none"/>
        </w:rPr>
        <w:t>人员经费149.13万元，主要包括：基本工资、津贴补贴、奖金、机关事业单位基本养老保险缴费、职工基本医疗保险缴费、公务员医疗补助缴费、其他社会保障缴费、其他工资福利支出、医疗费、生活补助、医疗费补助、住房公积金、等。</w:t>
      </w:r>
      <w:r>
        <w:rPr>
          <w:rFonts w:hint="eastAsia" w:eastAsia="仿宋_GB2312" w:cs="仿宋_GB2312"/>
          <w:kern w:val="2"/>
          <w:sz w:val="32"/>
          <w:szCs w:val="32"/>
          <w:highlight w:val="none"/>
        </w:rPr>
        <w:br w:type="textWrapping"/>
      </w:r>
      <w:r>
        <w:rPr>
          <w:rFonts w:hint="eastAsia" w:eastAsia="仿宋_GB2312" w:cs="仿宋_GB2312"/>
          <w:kern w:val="2"/>
          <w:sz w:val="32"/>
          <w:szCs w:val="32"/>
          <w:highlight w:val="none"/>
        </w:rPr>
        <w:t>　　公用经费</w:t>
      </w:r>
      <w:r>
        <w:rPr>
          <w:rFonts w:hint="eastAsia" w:ascii="仿宋_GB2312" w:hAnsi="仿宋_GB2312" w:eastAsia="仿宋_GB2312" w:cs="仿宋_GB2312"/>
          <w:sz w:val="32"/>
          <w:szCs w:val="32"/>
          <w:highlight w:val="none"/>
        </w:rPr>
        <w:t>17.76</w:t>
      </w:r>
      <w:r>
        <w:rPr>
          <w:rFonts w:hint="eastAsia" w:eastAsia="仿宋_GB2312" w:cs="仿宋_GB2312"/>
          <w:kern w:val="2"/>
          <w:sz w:val="32"/>
          <w:szCs w:val="32"/>
          <w:highlight w:val="none"/>
        </w:rPr>
        <w:t>万元，主要包括：办公费、水费、电费、邮电费、差旅费、委托业务费、工会经费、福利费、其他交通费、其他商品和服务支出等。</w:t>
      </w:r>
    </w:p>
    <w:p w14:paraId="497E41F2">
      <w:pPr>
        <w:spacing w:line="600" w:lineRule="exact"/>
        <w:ind w:firstLine="640"/>
        <w:rPr>
          <w:rFonts w:eastAsia="仿宋_GB2312" w:cs="仿宋_GB2312"/>
          <w:sz w:val="32"/>
          <w:szCs w:val="32"/>
          <w:highlight w:val="none"/>
        </w:rPr>
      </w:pPr>
    </w:p>
    <w:p w14:paraId="1082ED98">
      <w:pPr>
        <w:spacing w:line="600" w:lineRule="exact"/>
        <w:ind w:firstLine="640"/>
        <w:outlineLvl w:val="1"/>
        <w:rPr>
          <w:rStyle w:val="29"/>
          <w:rFonts w:ascii="Times New Roman" w:hAnsi="Times New Roman" w:eastAsia="黑体"/>
          <w:b w:val="0"/>
          <w:highlight w:val="none"/>
        </w:rPr>
      </w:pPr>
      <w:bookmarkStart w:id="30" w:name="_Toc15396609"/>
      <w:bookmarkStart w:id="31" w:name="_Toc15377215"/>
      <w:r>
        <w:rPr>
          <w:rFonts w:hint="eastAsia" w:eastAsia="黑体"/>
          <w:sz w:val="32"/>
          <w:szCs w:val="32"/>
          <w:highlight w:val="none"/>
        </w:rPr>
        <w:t>七、</w:t>
      </w:r>
      <w:r>
        <w:rPr>
          <w:rStyle w:val="29"/>
          <w:rFonts w:hint="eastAsia" w:ascii="Times New Roman" w:hAnsi="Times New Roman" w:eastAsia="黑体"/>
          <w:b w:val="0"/>
          <w:highlight w:val="none"/>
        </w:rPr>
        <w:t>财政拨款</w:t>
      </w:r>
      <w:r>
        <w:rPr>
          <w:rStyle w:val="29"/>
          <w:rFonts w:hint="eastAsia" w:ascii="Times New Roman" w:hAnsi="Times New Roman" w:eastAsia="黑体"/>
          <w:highlight w:val="none"/>
        </w:rPr>
        <w:t>“</w:t>
      </w:r>
      <w:r>
        <w:rPr>
          <w:rStyle w:val="29"/>
          <w:rFonts w:hint="eastAsia" w:ascii="Times New Roman" w:hAnsi="Times New Roman" w:eastAsia="黑体"/>
          <w:b w:val="0"/>
          <w:highlight w:val="none"/>
        </w:rPr>
        <w:t>三公”经费支出决算情况说明</w:t>
      </w:r>
      <w:bookmarkEnd w:id="30"/>
      <w:bookmarkEnd w:id="31"/>
    </w:p>
    <w:p w14:paraId="2BFB83D3">
      <w:pPr>
        <w:spacing w:line="600" w:lineRule="exact"/>
        <w:ind w:firstLine="643" w:firstLineChars="200"/>
        <w:outlineLvl w:val="2"/>
        <w:rPr>
          <w:rFonts w:eastAsia="楷体_GB2312" w:cs="楷体_GB2312"/>
          <w:b/>
          <w:sz w:val="32"/>
          <w:szCs w:val="32"/>
          <w:highlight w:val="none"/>
        </w:rPr>
      </w:pPr>
      <w:bookmarkStart w:id="32" w:name="_Toc15377216"/>
      <w:r>
        <w:rPr>
          <w:rFonts w:hint="eastAsia" w:eastAsia="楷体_GB2312" w:cs="楷体_GB2312"/>
          <w:b/>
          <w:sz w:val="32"/>
          <w:szCs w:val="32"/>
          <w:highlight w:val="none"/>
        </w:rPr>
        <w:t>（一）财政拨款“三公”经费支出决算总体情况说明</w:t>
      </w:r>
      <w:bookmarkEnd w:id="32"/>
    </w:p>
    <w:p w14:paraId="4EF5AA3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2025年度财政拨款“三公”经费支出决算为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万元，完成预算</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%，较上年度7减少0.17万元，下降100%。决算数与预算数持平。</w:t>
      </w:r>
    </w:p>
    <w:p w14:paraId="3EAD860E">
      <w:pPr>
        <w:spacing w:line="600" w:lineRule="exact"/>
        <w:ind w:firstLine="643" w:firstLineChars="200"/>
        <w:outlineLvl w:val="2"/>
        <w:rPr>
          <w:rFonts w:eastAsia="楷体_GB2312" w:cs="楷体_GB2312"/>
          <w:b/>
          <w:sz w:val="32"/>
          <w:szCs w:val="32"/>
          <w:highlight w:val="none"/>
        </w:rPr>
      </w:pPr>
      <w:bookmarkStart w:id="33" w:name="_Toc15377217"/>
      <w:r>
        <w:rPr>
          <w:rFonts w:hint="eastAsia" w:eastAsia="楷体_GB2312" w:cs="楷体_GB2312"/>
          <w:b/>
          <w:sz w:val="32"/>
          <w:szCs w:val="32"/>
          <w:highlight w:val="none"/>
        </w:rPr>
        <w:t>（二）财政拨款“三公”经费支出决算具体情况说明</w:t>
      </w:r>
      <w:bookmarkEnd w:id="33"/>
    </w:p>
    <w:p w14:paraId="69915B7A">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2025年度财政拨款“三公”经费支出决算中，因公出国（境）费支出决算</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万元，占0%；公务用车购置及运行维护费支出决算</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万元，占0%；公务接待费支出决算</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万元，占0%。具体情况如下：</w:t>
      </w:r>
    </w:p>
    <w:p w14:paraId="1B8F0A2F">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（图7：财政拨款“三公”经费支出结构）（饼状图）</w:t>
      </w:r>
    </w:p>
    <w:p w14:paraId="2E414148">
      <w:pPr>
        <w:pStyle w:val="13"/>
        <w:rPr>
          <w:highlight w:val="yellow"/>
        </w:rPr>
      </w:pPr>
      <w:r>
        <w:drawing>
          <wp:inline distT="0" distB="0" distL="0" distR="0">
            <wp:extent cx="4429125" cy="2171700"/>
            <wp:effectExtent l="19050" t="0" r="9525"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B71D6A">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1.因公出国（境）经费支出</w:t>
      </w:r>
      <w:r>
        <w:rPr>
          <w:rFonts w:hint="eastAsia" w:ascii="仿宋_GB2312" w:hAnsi="仿宋_GB2312" w:eastAsia="仿宋_GB2312" w:cs="仿宋_GB2312"/>
          <w:sz w:val="32"/>
          <w:szCs w:val="32"/>
          <w:highlight w:val="none"/>
        </w:rPr>
        <w:t>0</w:t>
      </w:r>
      <w:r>
        <w:rPr>
          <w:rFonts w:hint="eastAsia" w:eastAsia="仿宋_GB2312" w:cs="仿宋_GB2312"/>
          <w:b/>
          <w:bCs/>
          <w:sz w:val="32"/>
          <w:szCs w:val="32"/>
          <w:highlight w:val="none"/>
        </w:rPr>
        <w:t>万元，完成预算**%。</w:t>
      </w:r>
      <w:r>
        <w:rPr>
          <w:rFonts w:hint="eastAsia" w:eastAsia="仿宋_GB2312" w:cs="仿宋_GB2312"/>
          <w:sz w:val="32"/>
          <w:szCs w:val="32"/>
          <w:highlight w:val="none"/>
        </w:rPr>
        <w:t>全年安排因公出国（境）团组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次，出国（境）</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人。因公出国（境）支出决算比上年度增加/减少0万元，增长/下降0%。</w:t>
      </w:r>
    </w:p>
    <w:p w14:paraId="51E6BCD6">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2.公务用车购置及运行维护费支出</w:t>
      </w:r>
      <w:r>
        <w:rPr>
          <w:rFonts w:hint="eastAsia" w:ascii="仿宋_GB2312" w:hAnsi="仿宋_GB2312" w:eastAsia="仿宋_GB2312" w:cs="仿宋_GB2312"/>
          <w:b/>
          <w:bCs/>
          <w:sz w:val="32"/>
          <w:szCs w:val="32"/>
          <w:highlight w:val="none"/>
        </w:rPr>
        <w:t>0</w:t>
      </w:r>
      <w:r>
        <w:rPr>
          <w:rFonts w:hint="eastAsia" w:eastAsia="仿宋_GB2312" w:cs="仿宋_GB2312"/>
          <w:b/>
          <w:bCs/>
          <w:sz w:val="32"/>
          <w:szCs w:val="32"/>
          <w:highlight w:val="none"/>
        </w:rPr>
        <w:t>万元，完成预算0%。</w:t>
      </w:r>
      <w:r>
        <w:rPr>
          <w:rFonts w:hint="eastAsia" w:eastAsia="仿宋_GB2312" w:cs="仿宋_GB2312"/>
          <w:sz w:val="32"/>
          <w:szCs w:val="32"/>
          <w:highlight w:val="none"/>
        </w:rPr>
        <w:t>公务用车购置及运行维护费支出决算比上年度增加/减少0万元，增长/下降0%。</w:t>
      </w:r>
    </w:p>
    <w:p w14:paraId="29B5B2B8">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其中：公务用车购置支出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万元。全年按规定更新购置公务用车0辆，其中：轿车0辆、金额0万元，越野车0辆、金额0万元，载客汽车0辆、金额0万元。截至2025年12月31日，单位共有公务用车0辆，其中：轿车0辆、越野车0辆、载客汽车0辆。</w:t>
      </w:r>
    </w:p>
    <w:p w14:paraId="08859A63">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公务用车运行维护费支出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w:t>
      </w:r>
    </w:p>
    <w:p w14:paraId="0A534060">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3.公务接待费支出</w:t>
      </w:r>
      <w:r>
        <w:rPr>
          <w:rFonts w:hint="eastAsia" w:ascii="仿宋_GB2312" w:hAnsi="仿宋_GB2312" w:eastAsia="仿宋_GB2312" w:cs="仿宋_GB2312"/>
          <w:b/>
          <w:bCs/>
          <w:sz w:val="32"/>
          <w:szCs w:val="32"/>
          <w:highlight w:val="none"/>
        </w:rPr>
        <w:t>0</w:t>
      </w:r>
      <w:r>
        <w:rPr>
          <w:rFonts w:hint="eastAsia" w:eastAsia="仿宋_GB2312" w:cs="仿宋_GB2312"/>
          <w:b/>
          <w:bCs/>
          <w:sz w:val="32"/>
          <w:szCs w:val="32"/>
          <w:highlight w:val="none"/>
        </w:rPr>
        <w:t>万元，完成预算0%。</w:t>
      </w:r>
      <w:r>
        <w:rPr>
          <w:rFonts w:hint="eastAsia" w:eastAsia="仿宋_GB2312" w:cs="仿宋_GB2312"/>
          <w:sz w:val="32"/>
          <w:szCs w:val="32"/>
          <w:highlight w:val="none"/>
        </w:rPr>
        <w:t>公务接待费支出决算比上年度增加/减少0.17万元，增长/下降100%。主要原因是本年度例行节约减少不必要开支。其中：</w:t>
      </w:r>
    </w:p>
    <w:p w14:paraId="70968F77">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国内公务接待支出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万元。国内公务接待</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批次，</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人次（不包括陪同人员），共计支出0万元。</w:t>
      </w:r>
    </w:p>
    <w:p w14:paraId="49AF0ADC">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外事接待支出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万元。外事接待</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批次，</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人次（不包括陪同人员），共计支出0万元。</w:t>
      </w:r>
    </w:p>
    <w:p w14:paraId="4C5AED38">
      <w:pPr>
        <w:spacing w:line="600" w:lineRule="exact"/>
        <w:ind w:firstLine="640"/>
        <w:rPr>
          <w:rFonts w:eastAsia="仿宋_GB2312" w:cs="仿宋_GB2312"/>
          <w:sz w:val="32"/>
          <w:szCs w:val="32"/>
          <w:highlight w:val="none"/>
        </w:rPr>
      </w:pPr>
      <w:bookmarkStart w:id="34" w:name="_Toc15377218"/>
      <w:bookmarkStart w:id="35" w:name="_Toc15396610"/>
    </w:p>
    <w:p w14:paraId="59DA0129">
      <w:pPr>
        <w:spacing w:line="600" w:lineRule="exact"/>
        <w:ind w:firstLine="640"/>
        <w:outlineLvl w:val="1"/>
        <w:rPr>
          <w:rStyle w:val="29"/>
          <w:rFonts w:ascii="Times New Roman" w:hAnsi="Times New Roman" w:eastAsia="黑体"/>
          <w:highlight w:val="none"/>
        </w:rPr>
      </w:pPr>
      <w:r>
        <w:rPr>
          <w:rFonts w:hint="eastAsia" w:eastAsia="黑体"/>
          <w:sz w:val="32"/>
          <w:szCs w:val="32"/>
          <w:highlight w:val="none"/>
        </w:rPr>
        <w:t>八、</w:t>
      </w:r>
      <w:r>
        <w:rPr>
          <w:rStyle w:val="29"/>
          <w:rFonts w:hint="eastAsia" w:ascii="Times New Roman" w:hAnsi="Times New Roman" w:eastAsia="黑体"/>
          <w:b w:val="0"/>
          <w:highlight w:val="none"/>
        </w:rPr>
        <w:t>政府性基金预算支出决算情况说明</w:t>
      </w:r>
      <w:bookmarkEnd w:id="34"/>
      <w:bookmarkEnd w:id="35"/>
    </w:p>
    <w:p w14:paraId="25DCE886">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2025年度政府性基金预算财政拨款支出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%。与上年度相比，政府性基金预算财政拨款支出增加/减少0万元，增长/下降0%。</w:t>
      </w:r>
    </w:p>
    <w:p w14:paraId="06D5C5A3">
      <w:pPr>
        <w:spacing w:line="600" w:lineRule="exact"/>
        <w:ind w:left="630"/>
        <w:outlineLvl w:val="1"/>
        <w:rPr>
          <w:rStyle w:val="29"/>
          <w:rFonts w:ascii="Times New Roman" w:hAnsi="Times New Roman" w:eastAsia="黑体"/>
          <w:b w:val="0"/>
          <w:highlight w:val="none"/>
        </w:rPr>
      </w:pPr>
      <w:bookmarkStart w:id="36" w:name="_Toc15377219"/>
      <w:bookmarkStart w:id="37" w:name="_Toc15396611"/>
      <w:r>
        <w:rPr>
          <w:rStyle w:val="29"/>
          <w:rFonts w:hint="eastAsia" w:ascii="Times New Roman" w:hAnsi="Times New Roman" w:eastAsia="黑体"/>
          <w:b w:val="0"/>
          <w:highlight w:val="none"/>
        </w:rPr>
        <w:t>九、国有资本经营预算支出决算情况说明</w:t>
      </w:r>
      <w:bookmarkEnd w:id="36"/>
      <w:bookmarkEnd w:id="37"/>
    </w:p>
    <w:p w14:paraId="7D2D198D">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2025年度国有资本经营预算财政拨款支出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%。与上年度相比，国有资本经营预算财政拨款支出增加/减少0万元，增长/下降0%。</w:t>
      </w:r>
    </w:p>
    <w:p w14:paraId="254DE3C4">
      <w:pPr>
        <w:spacing w:line="600" w:lineRule="exact"/>
        <w:ind w:left="630"/>
        <w:outlineLvl w:val="1"/>
        <w:rPr>
          <w:rStyle w:val="29"/>
          <w:rFonts w:ascii="Times New Roman" w:hAnsi="Times New Roman" w:eastAsia="黑体"/>
          <w:b w:val="0"/>
          <w:highlight w:val="none"/>
        </w:rPr>
      </w:pPr>
      <w:bookmarkStart w:id="38" w:name="_Toc15396612"/>
      <w:bookmarkStart w:id="39" w:name="_Toc15377221"/>
      <w:r>
        <w:rPr>
          <w:rStyle w:val="29"/>
          <w:rFonts w:hint="eastAsia" w:ascii="Times New Roman" w:hAnsi="Times New Roman" w:eastAsia="黑体"/>
          <w:b w:val="0"/>
          <w:highlight w:val="none"/>
        </w:rPr>
        <w:t>十、其他重要事项的情况说明</w:t>
      </w:r>
      <w:bookmarkEnd w:id="38"/>
      <w:bookmarkEnd w:id="39"/>
    </w:p>
    <w:p w14:paraId="21692A4A">
      <w:pPr>
        <w:spacing w:line="600" w:lineRule="exact"/>
        <w:ind w:firstLine="643" w:firstLineChars="200"/>
        <w:outlineLvl w:val="2"/>
        <w:rPr>
          <w:rFonts w:eastAsia="楷体_GB2312" w:cs="楷体_GB2312"/>
          <w:b/>
          <w:sz w:val="32"/>
          <w:szCs w:val="32"/>
          <w:highlight w:val="none"/>
        </w:rPr>
      </w:pPr>
      <w:bookmarkStart w:id="40" w:name="_Toc15377222"/>
      <w:r>
        <w:rPr>
          <w:rFonts w:hint="eastAsia" w:eastAsia="楷体_GB2312" w:cs="楷体_GB2312"/>
          <w:b/>
          <w:sz w:val="32"/>
          <w:szCs w:val="32"/>
          <w:highlight w:val="none"/>
        </w:rPr>
        <w:t>（一）机关运行经费支出情况</w:t>
      </w:r>
      <w:bookmarkEnd w:id="40"/>
    </w:p>
    <w:p w14:paraId="760DA6E3">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w:t>
      </w:r>
      <w:r>
        <w:rPr>
          <w:rFonts w:hint="eastAsia" w:ascii="仿宋_GB2312" w:hAnsi="仿宋_GB2312" w:eastAsia="仿宋_GB2312" w:cs="仿宋_GB2312"/>
          <w:sz w:val="32"/>
          <w:szCs w:val="32"/>
          <w:highlight w:val="none"/>
        </w:rPr>
        <w:t>攀枝花市仁和区档案馆</w:t>
      </w:r>
      <w:r>
        <w:rPr>
          <w:rFonts w:hint="eastAsia" w:eastAsia="仿宋_GB2312" w:cs="仿宋_GB2312"/>
          <w:sz w:val="32"/>
          <w:szCs w:val="32"/>
          <w:highlight w:val="none"/>
        </w:rPr>
        <w:t>机关运行经费支出</w:t>
      </w:r>
      <w:r>
        <w:rPr>
          <w:rFonts w:hint="eastAsia" w:ascii="仿宋_GB2312" w:hAnsi="仿宋_GB2312" w:eastAsia="仿宋_GB2312" w:cs="仿宋_GB2312"/>
          <w:sz w:val="32"/>
          <w:szCs w:val="32"/>
          <w:highlight w:val="none"/>
        </w:rPr>
        <w:t>17.76</w:t>
      </w:r>
      <w:r>
        <w:rPr>
          <w:rFonts w:hint="eastAsia" w:eastAsia="仿宋_GB2312" w:cs="仿宋_GB2312"/>
          <w:sz w:val="32"/>
          <w:szCs w:val="32"/>
          <w:highlight w:val="none"/>
        </w:rPr>
        <w:t>万元，比上年度增加12.36万元，增长228.57%。主要</w:t>
      </w:r>
      <w:r>
        <w:rPr>
          <w:rFonts w:hint="eastAsia" w:ascii="仿宋_GB2312" w:hAnsi="仿宋_GB2312" w:eastAsia="仿宋_GB2312" w:cs="仿宋_GB2312"/>
          <w:sz w:val="32"/>
          <w:szCs w:val="32"/>
          <w:highlight w:val="none"/>
        </w:rPr>
        <w:t>原因是</w:t>
      </w:r>
      <w:r>
        <w:rPr>
          <w:rFonts w:ascii="仿宋_GB2312" w:hAnsi="仿宋_GB2312" w:eastAsia="仿宋_GB2312" w:cs="仿宋_GB2312"/>
          <w:sz w:val="32"/>
          <w:szCs w:val="32"/>
          <w:highlight w:val="none"/>
        </w:rPr>
        <w:t>本年度日常公用经费增多</w:t>
      </w:r>
      <w:r>
        <w:rPr>
          <w:rFonts w:hint="eastAsia" w:ascii="仿宋_GB2312" w:hAnsi="仿宋_GB2312" w:eastAsia="仿宋_GB2312" w:cs="仿宋_GB2312"/>
          <w:sz w:val="32"/>
          <w:szCs w:val="32"/>
          <w:highlight w:val="none"/>
        </w:rPr>
        <w:t>。</w:t>
      </w:r>
    </w:p>
    <w:p w14:paraId="5E6A554F">
      <w:pPr>
        <w:spacing w:line="600" w:lineRule="exact"/>
        <w:ind w:firstLine="640"/>
        <w:rPr>
          <w:rFonts w:eastAsia="仿宋_GB2312" w:cs="仿宋_GB2312"/>
          <w:sz w:val="32"/>
          <w:szCs w:val="32"/>
          <w:highlight w:val="none"/>
        </w:rPr>
      </w:pPr>
    </w:p>
    <w:p w14:paraId="0C6BBF1B">
      <w:pPr>
        <w:spacing w:line="600" w:lineRule="exact"/>
        <w:ind w:firstLine="643" w:firstLineChars="200"/>
        <w:outlineLvl w:val="2"/>
        <w:rPr>
          <w:rFonts w:eastAsia="楷体_GB2312" w:cs="楷体_GB2312"/>
          <w:b/>
          <w:sz w:val="32"/>
          <w:szCs w:val="32"/>
          <w:highlight w:val="none"/>
        </w:rPr>
      </w:pPr>
      <w:bookmarkStart w:id="41" w:name="_Toc15377223"/>
      <w:r>
        <w:rPr>
          <w:rFonts w:hint="eastAsia" w:eastAsia="楷体_GB2312" w:cs="楷体_GB2312"/>
          <w:b/>
          <w:sz w:val="32"/>
          <w:szCs w:val="32"/>
          <w:highlight w:val="none"/>
        </w:rPr>
        <w:t>（二）政府采购支出情况</w:t>
      </w:r>
      <w:bookmarkEnd w:id="41"/>
    </w:p>
    <w:p w14:paraId="07FB513B">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w:t>
      </w:r>
      <w:r>
        <w:rPr>
          <w:rFonts w:hint="eastAsia" w:ascii="仿宋_GB2312" w:hAnsi="仿宋_GB2312" w:eastAsia="仿宋_GB2312" w:cs="仿宋_GB2312"/>
          <w:sz w:val="32"/>
          <w:szCs w:val="32"/>
          <w:highlight w:val="none"/>
        </w:rPr>
        <w:t>攀枝花市仁和区档案馆</w:t>
      </w:r>
      <w:r>
        <w:rPr>
          <w:rFonts w:hint="eastAsia" w:eastAsia="仿宋_GB2312" w:cs="仿宋_GB2312"/>
          <w:sz w:val="32"/>
          <w:szCs w:val="32"/>
          <w:highlight w:val="none"/>
        </w:rPr>
        <w:t>政府采购支出总额</w:t>
      </w:r>
      <w:r>
        <w:rPr>
          <w:rFonts w:hint="eastAsia" w:ascii="仿宋_GB2312" w:hAnsi="仿宋_GB2312" w:eastAsia="仿宋_GB2312" w:cs="仿宋_GB2312"/>
          <w:sz w:val="32"/>
          <w:szCs w:val="32"/>
          <w:highlight w:val="none"/>
        </w:rPr>
        <w:t>19.43</w:t>
      </w:r>
      <w:r>
        <w:rPr>
          <w:rFonts w:hint="eastAsia" w:eastAsia="仿宋_GB2312" w:cs="仿宋_GB2312"/>
          <w:sz w:val="32"/>
          <w:szCs w:val="32"/>
          <w:highlight w:val="none"/>
        </w:rPr>
        <w:t>万元，其中：政府采购货物支出</w:t>
      </w:r>
      <w:r>
        <w:rPr>
          <w:rFonts w:hint="eastAsia" w:ascii="仿宋_GB2312" w:hAnsi="仿宋_GB2312" w:eastAsia="仿宋_GB2312" w:cs="仿宋_GB2312"/>
          <w:sz w:val="32"/>
          <w:szCs w:val="32"/>
          <w:highlight w:val="none"/>
        </w:rPr>
        <w:t>19.43</w:t>
      </w:r>
      <w:r>
        <w:rPr>
          <w:rFonts w:hint="eastAsia" w:eastAsia="仿宋_GB2312" w:cs="仿宋_GB2312"/>
          <w:sz w:val="32"/>
          <w:szCs w:val="32"/>
          <w:highlight w:val="none"/>
        </w:rPr>
        <w:t>万元、政府采购工程支出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万元、政府采购服务支出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w:t>
      </w:r>
      <w:r>
        <w:rPr>
          <w:rFonts w:hint="eastAsia" w:ascii="仿宋_GB2312" w:hAnsi="仿宋_GB2312" w:eastAsia="仿宋_GB2312" w:cs="仿宋_GB2312"/>
          <w:color w:val="auto"/>
          <w:sz w:val="32"/>
          <w:szCs w:val="32"/>
          <w:highlight w:val="none"/>
        </w:rPr>
        <w:t>于</w:t>
      </w:r>
      <w:r>
        <w:rPr>
          <w:rFonts w:hint="eastAsia" w:ascii="仿宋_GB2312" w:hAnsi="仿宋_GB2312" w:eastAsia="仿宋_GB2312" w:cs="仿宋_GB2312"/>
          <w:color w:val="auto"/>
          <w:sz w:val="32"/>
          <w:szCs w:val="32"/>
          <w:highlight w:val="none"/>
          <w:lang w:eastAsia="zh-CN"/>
        </w:rPr>
        <w:t>档案安全保管保护、</w:t>
      </w:r>
      <w:r>
        <w:rPr>
          <w:rFonts w:hint="default" w:ascii="Times New Roman" w:hAnsi="Times New Roman" w:eastAsia="方正仿宋_GBK" w:cs="Times New Roman"/>
          <w:color w:val="auto"/>
          <w:kern w:val="2"/>
          <w:sz w:val="33"/>
          <w:szCs w:val="33"/>
          <w:highlight w:val="none"/>
        </w:rPr>
        <w:t>档案馆运行</w:t>
      </w:r>
      <w:r>
        <w:rPr>
          <w:rFonts w:hint="eastAsia" w:ascii="Times New Roman" w:hAnsi="Times New Roman" w:eastAsia="方正仿宋_GBK" w:cs="Times New Roman"/>
          <w:color w:val="auto"/>
          <w:kern w:val="2"/>
          <w:sz w:val="33"/>
          <w:szCs w:val="33"/>
          <w:highlight w:val="none"/>
          <w:lang w:eastAsia="zh-CN"/>
        </w:rPr>
        <w:t>等</w:t>
      </w:r>
      <w:r>
        <w:rPr>
          <w:rFonts w:hint="eastAsia" w:eastAsia="仿宋_GB2312" w:cs="仿宋_GB2312"/>
          <w:sz w:val="32"/>
          <w:szCs w:val="32"/>
          <w:highlight w:val="none"/>
        </w:rPr>
        <w:t>。授予中小企业合同金额</w:t>
      </w:r>
      <w:r>
        <w:rPr>
          <w:rFonts w:hint="eastAsia" w:ascii="仿宋_GB2312" w:hAnsi="仿宋_GB2312" w:eastAsia="仿宋_GB2312" w:cs="仿宋_GB2312"/>
          <w:sz w:val="32"/>
          <w:szCs w:val="32"/>
          <w:highlight w:val="none"/>
        </w:rPr>
        <w:t>19.43</w:t>
      </w:r>
      <w:r>
        <w:rPr>
          <w:rFonts w:hint="eastAsia"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rPr>
        <w:t>100</w:t>
      </w:r>
      <w:r>
        <w:rPr>
          <w:rFonts w:hint="eastAsia" w:eastAsia="仿宋_GB2312" w:cs="仿宋_GB2312"/>
          <w:sz w:val="32"/>
          <w:szCs w:val="32"/>
          <w:highlight w:val="none"/>
        </w:rPr>
        <w:t>%，其中：授予小微企业合同金额</w:t>
      </w:r>
      <w:r>
        <w:rPr>
          <w:rFonts w:hint="eastAsia" w:ascii="仿宋_GB2312" w:hAnsi="仿宋_GB2312" w:eastAsia="仿宋_GB2312" w:cs="仿宋_GB2312"/>
          <w:sz w:val="32"/>
          <w:szCs w:val="32"/>
          <w:highlight w:val="none"/>
        </w:rPr>
        <w:t>19.43</w:t>
      </w:r>
      <w:r>
        <w:rPr>
          <w:rFonts w:hint="eastAsia"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rPr>
        <w:t>100</w:t>
      </w:r>
      <w:r>
        <w:rPr>
          <w:rFonts w:hint="eastAsia" w:eastAsia="仿宋_GB2312" w:cs="仿宋_GB2312"/>
          <w:sz w:val="32"/>
          <w:szCs w:val="32"/>
          <w:highlight w:val="none"/>
        </w:rPr>
        <w:t>%。</w:t>
      </w:r>
    </w:p>
    <w:p w14:paraId="1CA919A9">
      <w:pPr>
        <w:spacing w:line="600" w:lineRule="exact"/>
        <w:ind w:firstLine="640"/>
        <w:rPr>
          <w:rFonts w:eastAsia="仿宋_GB2312" w:cs="仿宋_GB2312"/>
          <w:sz w:val="32"/>
          <w:szCs w:val="32"/>
          <w:highlight w:val="none"/>
        </w:rPr>
      </w:pPr>
    </w:p>
    <w:p w14:paraId="1311E416">
      <w:pPr>
        <w:spacing w:line="600" w:lineRule="exact"/>
        <w:ind w:firstLine="643" w:firstLineChars="200"/>
        <w:outlineLvl w:val="2"/>
        <w:rPr>
          <w:rFonts w:eastAsia="楷体_GB2312" w:cs="楷体_GB2312"/>
          <w:b/>
          <w:sz w:val="32"/>
          <w:szCs w:val="32"/>
          <w:highlight w:val="none"/>
        </w:rPr>
      </w:pPr>
      <w:bookmarkStart w:id="42" w:name="_Toc15377224"/>
      <w:r>
        <w:rPr>
          <w:rFonts w:hint="eastAsia" w:eastAsia="楷体_GB2312" w:cs="楷体_GB2312"/>
          <w:b/>
          <w:sz w:val="32"/>
          <w:szCs w:val="32"/>
          <w:highlight w:val="none"/>
        </w:rPr>
        <w:t>（三）国有资产占有使用情况</w:t>
      </w:r>
      <w:bookmarkEnd w:id="42"/>
    </w:p>
    <w:p w14:paraId="40238838">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截至2025年12月31日，</w:t>
      </w:r>
      <w:r>
        <w:rPr>
          <w:rFonts w:hint="eastAsia" w:ascii="仿宋_GB2312" w:hAnsi="仿宋_GB2312" w:eastAsia="仿宋_GB2312" w:cs="仿宋_GB2312"/>
          <w:sz w:val="32"/>
          <w:szCs w:val="32"/>
          <w:highlight w:val="none"/>
        </w:rPr>
        <w:t>攀枝花市仁和区档案馆</w:t>
      </w:r>
      <w:r>
        <w:rPr>
          <w:rFonts w:hint="eastAsia" w:eastAsia="仿宋_GB2312" w:cs="仿宋_GB2312"/>
          <w:sz w:val="32"/>
          <w:szCs w:val="32"/>
          <w:highlight w:val="none"/>
        </w:rPr>
        <w:t>共有车辆</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辆，其中：副部（省）级及以上领导用车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辆、主要负责人用车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辆、机要通信用车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辆、应急保障用车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辆、执法执勤用车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辆、特种专业技术用车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辆、离退休干部服务用车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辆、其他用车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辆。单价100万元（含）以上设备（不含车辆）</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台（套）。</w:t>
      </w:r>
    </w:p>
    <w:p w14:paraId="7DD4D3FA">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5C938CDF">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仁和区档案馆</w:t>
      </w:r>
      <w:r>
        <w:rPr>
          <w:rFonts w:hint="eastAsia" w:eastAsia="仿宋_GB2312" w:cs="仿宋_GB2312"/>
          <w:sz w:val="32"/>
          <w:szCs w:val="32"/>
        </w:rPr>
        <w:t>在202</w:t>
      </w:r>
      <w:r>
        <w:rPr>
          <w:rFonts w:hint="eastAsia" w:eastAsia="仿宋_GB2312" w:cs="仿宋_GB2312"/>
          <w:sz w:val="32"/>
          <w:szCs w:val="32"/>
          <w:lang w:val="en-US" w:eastAsia="zh-CN"/>
        </w:rPr>
        <w:t>5</w:t>
      </w:r>
      <w:r>
        <w:rPr>
          <w:rFonts w:hint="eastAsia" w:eastAsia="仿宋_GB2312" w:cs="仿宋_GB2312"/>
          <w:sz w:val="32"/>
          <w:szCs w:val="32"/>
        </w:rPr>
        <w:t>年度</w:t>
      </w:r>
      <w:r>
        <w:rPr>
          <w:rFonts w:hint="eastAsia" w:eastAsia="仿宋_GB2312" w:cs="仿宋_GB2312"/>
          <w:sz w:val="32"/>
          <w:szCs w:val="32"/>
          <w:lang w:eastAsia="zh-CN"/>
        </w:rPr>
        <w:t>，</w:t>
      </w:r>
      <w:r>
        <w:rPr>
          <w:rFonts w:hint="eastAsia" w:eastAsia="仿宋_GB2312" w:cs="仿宋_GB2312"/>
          <w:sz w:val="32"/>
          <w:szCs w:val="32"/>
        </w:rPr>
        <w:t>组织对</w:t>
      </w:r>
      <w:r>
        <w:rPr>
          <w:rFonts w:hint="default" w:ascii="Times New Roman" w:hAnsi="Times New Roman" w:eastAsia="仿宋_GB2312" w:cs="Times New Roman"/>
          <w:color w:val="auto"/>
          <w:sz w:val="32"/>
          <w:szCs w:val="32"/>
          <w:lang w:eastAsia="zh-CN"/>
        </w:rPr>
        <w:t>档案馆运行经费、</w:t>
      </w:r>
      <w:r>
        <w:rPr>
          <w:rFonts w:hint="eastAsia" w:ascii="Times New Roman" w:hAnsi="Times New Roman" w:eastAsia="仿宋_GB2312" w:cs="Times New Roman"/>
          <w:color w:val="auto"/>
          <w:sz w:val="32"/>
          <w:szCs w:val="32"/>
          <w:lang w:eastAsia="zh-CN"/>
        </w:rPr>
        <w:t>安保经费（</w:t>
      </w:r>
      <w:r>
        <w:rPr>
          <w:rFonts w:hint="default" w:ascii="Times New Roman" w:hAnsi="Times New Roman" w:eastAsia="仿宋_GB2312" w:cs="Times New Roman"/>
          <w:color w:val="auto"/>
          <w:sz w:val="32"/>
          <w:szCs w:val="32"/>
        </w:rPr>
        <w:t>物业管理经费</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、消防</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空调系统维保经费、</w:t>
      </w:r>
      <w:r>
        <w:rPr>
          <w:rFonts w:hint="eastAsia" w:eastAsia="仿宋_GB2312" w:cs="仿宋_GB2312"/>
          <w:sz w:val="32"/>
          <w:szCs w:val="32"/>
          <w:lang w:eastAsia="zh-CN"/>
        </w:rPr>
        <w:t>国有企业退休人员人事档案管理及数字档案馆建设工作经费、</w:t>
      </w:r>
      <w:r>
        <w:rPr>
          <w:rFonts w:hint="default" w:ascii="Times New Roman" w:hAnsi="Times New Roman" w:eastAsia="仿宋_GB2312" w:cs="Times New Roman"/>
          <w:color w:val="auto"/>
          <w:sz w:val="32"/>
          <w:szCs w:val="32"/>
          <w:lang w:eastAsia="zh-CN"/>
        </w:rPr>
        <w:t>档案事业发展专项资金</w:t>
      </w:r>
      <w:r>
        <w:rPr>
          <w:rFonts w:hint="eastAsia" w:eastAsia="仿宋_GB2312" w:cs="仿宋_GB2312"/>
          <w:sz w:val="32"/>
          <w:szCs w:val="32"/>
        </w:rPr>
        <w:t>等</w:t>
      </w:r>
      <w:r>
        <w:rPr>
          <w:rFonts w:hint="eastAsia" w:eastAsia="仿宋_GB2312" w:cs="仿宋_GB2312"/>
          <w:sz w:val="32"/>
          <w:szCs w:val="32"/>
          <w:lang w:val="en-US" w:eastAsia="zh-CN"/>
        </w:rPr>
        <w:t>5</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5</w:t>
      </w:r>
      <w:r>
        <w:rPr>
          <w:rFonts w:hint="eastAsia" w:eastAsia="仿宋_GB2312" w:cs="仿宋_GB2312"/>
          <w:sz w:val="32"/>
          <w:szCs w:val="32"/>
        </w:rPr>
        <w:t>个项目编制了绩效目标，预算执行过程中，</w:t>
      </w:r>
      <w:r>
        <w:rPr>
          <w:rFonts w:hint="eastAsia" w:eastAsia="仿宋_GB2312" w:cs="仿宋_GB2312"/>
          <w:color w:val="auto"/>
          <w:sz w:val="32"/>
          <w:szCs w:val="32"/>
        </w:rPr>
        <w:t>选取</w:t>
      </w:r>
      <w:r>
        <w:rPr>
          <w:rFonts w:hint="eastAsia" w:eastAsia="仿宋_GB2312" w:cs="仿宋_GB2312"/>
          <w:color w:val="auto"/>
          <w:sz w:val="32"/>
          <w:szCs w:val="32"/>
          <w:lang w:val="en-US" w:eastAsia="zh-CN"/>
        </w:rPr>
        <w:t>5</w:t>
      </w:r>
      <w:r>
        <w:rPr>
          <w:rFonts w:hint="eastAsia" w:eastAsia="仿宋_GB2312" w:cs="仿宋_GB2312"/>
          <w:color w:val="auto"/>
          <w:sz w:val="32"/>
          <w:szCs w:val="32"/>
        </w:rPr>
        <w:t>个项目开展</w:t>
      </w:r>
      <w:r>
        <w:rPr>
          <w:rFonts w:hint="eastAsia" w:eastAsia="仿宋_GB2312" w:cs="仿宋_GB2312"/>
          <w:sz w:val="32"/>
          <w:szCs w:val="32"/>
        </w:rPr>
        <w:t>绩效监控。</w:t>
      </w:r>
    </w:p>
    <w:p w14:paraId="7444DA8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eastAsia="仿宋_GB2312" w:cs="仿宋_GB2312"/>
          <w:sz w:val="32"/>
          <w:szCs w:val="32"/>
        </w:rPr>
        <w:t>组织对202</w:t>
      </w:r>
      <w:r>
        <w:rPr>
          <w:rFonts w:hint="eastAsia" w:eastAsia="仿宋_GB2312" w:cs="仿宋_GB2312"/>
          <w:sz w:val="32"/>
          <w:szCs w:val="32"/>
          <w:lang w:val="en-US" w:eastAsia="zh-CN"/>
        </w:rPr>
        <w:t>5</w:t>
      </w:r>
      <w:r>
        <w:rPr>
          <w:rFonts w:hint="eastAsia" w:eastAsia="仿宋_GB2312" w:cs="仿宋_GB2312"/>
          <w:sz w:val="32"/>
          <w:szCs w:val="32"/>
        </w:rPr>
        <w:t>年度一般公共预算、政府性基金预算、国有资本经营预算、社会保险基金预算以及资本资产、债券资金等全面开展绩效自评，形成</w:t>
      </w:r>
      <w:r>
        <w:rPr>
          <w:rFonts w:hint="eastAsia" w:eastAsia="仿宋_GB2312" w:cs="仿宋_GB2312"/>
          <w:sz w:val="32"/>
          <w:szCs w:val="32"/>
          <w:lang w:eastAsia="zh-CN"/>
        </w:rPr>
        <w:t>仁和区档案馆</w:t>
      </w:r>
      <w:r>
        <w:rPr>
          <w:rFonts w:hint="eastAsia" w:eastAsia="仿宋_GB2312" w:cs="仿宋_GB2312"/>
          <w:sz w:val="32"/>
          <w:szCs w:val="32"/>
        </w:rPr>
        <w:t>部门整体（含部门预算项目）绩效自评报告、</w:t>
      </w:r>
      <w:r>
        <w:rPr>
          <w:rFonts w:hint="default" w:ascii="Times New Roman" w:hAnsi="Times New Roman" w:eastAsia="方正仿宋_GBK" w:cs="Times New Roman"/>
          <w:color w:val="auto"/>
          <w:kern w:val="2"/>
          <w:sz w:val="33"/>
          <w:szCs w:val="33"/>
        </w:rPr>
        <w:t>档案馆运行经费</w:t>
      </w:r>
      <w:r>
        <w:rPr>
          <w:rFonts w:hint="eastAsia" w:ascii="Times New Roman" w:hAnsi="Times New Roman" w:eastAsia="方正仿宋_GBK" w:cs="Times New Roman"/>
          <w:color w:val="auto"/>
          <w:kern w:val="2"/>
          <w:sz w:val="33"/>
          <w:szCs w:val="33"/>
          <w:lang w:eastAsia="zh-CN"/>
        </w:rPr>
        <w:t>、</w:t>
      </w:r>
      <w:r>
        <w:rPr>
          <w:rFonts w:hint="default" w:ascii="Times New Roman" w:hAnsi="Times New Roman" w:eastAsia="方正仿宋_GBK" w:cs="Times New Roman"/>
          <w:color w:val="auto"/>
          <w:kern w:val="2"/>
          <w:sz w:val="33"/>
          <w:szCs w:val="33"/>
        </w:rPr>
        <w:t>物业管理经费</w:t>
      </w:r>
      <w:r>
        <w:rPr>
          <w:rFonts w:hint="default" w:ascii="Times New Roman" w:hAnsi="Times New Roman" w:eastAsia="仿宋_GB2312" w:cs="Times New Roman"/>
          <w:color w:val="auto"/>
          <w:sz w:val="32"/>
          <w:szCs w:val="32"/>
        </w:rPr>
        <w:t>等专项预算项目绩效自评报告，</w:t>
      </w:r>
      <w:r>
        <w:rPr>
          <w:rFonts w:hint="eastAsia" w:eastAsia="仿宋_GB2312" w:cs="仿宋_GB2312"/>
          <w:sz w:val="32"/>
          <w:szCs w:val="32"/>
        </w:rPr>
        <w:t>其中，</w:t>
      </w:r>
      <w:r>
        <w:rPr>
          <w:rFonts w:hint="eastAsia" w:eastAsia="仿宋_GB2312" w:cs="仿宋_GB2312"/>
          <w:sz w:val="32"/>
          <w:szCs w:val="32"/>
          <w:lang w:eastAsia="zh-CN"/>
        </w:rPr>
        <w:t>仁和区档案</w:t>
      </w:r>
      <w:r>
        <w:rPr>
          <w:rFonts w:hint="eastAsia" w:eastAsia="仿宋_GB2312" w:cs="仿宋_GB2312"/>
          <w:sz w:val="32"/>
          <w:szCs w:val="32"/>
        </w:rPr>
        <w:t>部门整体（含部门预算项目）绩效自评得分为</w:t>
      </w:r>
      <w:r>
        <w:rPr>
          <w:rFonts w:hint="eastAsia" w:eastAsia="仿宋_GB2312" w:cs="仿宋_GB2312"/>
          <w:sz w:val="32"/>
          <w:szCs w:val="32"/>
          <w:lang w:val="en-US" w:eastAsia="zh-CN"/>
        </w:rPr>
        <w:t>95</w:t>
      </w:r>
      <w:r>
        <w:rPr>
          <w:rFonts w:hint="eastAsia" w:eastAsia="仿宋_GB2312" w:cs="仿宋_GB2312"/>
          <w:sz w:val="32"/>
          <w:szCs w:val="32"/>
        </w:rPr>
        <w:t>分，绩效自评综述</w:t>
      </w:r>
      <w:r>
        <w:rPr>
          <w:rFonts w:hint="eastAsia" w:eastAsia="仿宋_GB2312" w:cs="仿宋_GB2312"/>
          <w:sz w:val="32"/>
          <w:szCs w:val="32"/>
          <w:lang w:eastAsia="zh-CN"/>
        </w:rPr>
        <w:t>：</w:t>
      </w:r>
      <w:r>
        <w:rPr>
          <w:rFonts w:hint="default" w:ascii="Times New Roman" w:hAnsi="Times New Roman" w:eastAsia="方正仿宋_GBK" w:cs="Times New Roman"/>
          <w:color w:val="auto"/>
          <w:kern w:val="2"/>
          <w:sz w:val="33"/>
          <w:szCs w:val="33"/>
        </w:rPr>
        <w:t>本单位绩效目标编制要素完整，绩效指标细化量化准确</w:t>
      </w:r>
      <w:r>
        <w:rPr>
          <w:rFonts w:hint="eastAsia" w:eastAsia="仿宋_GB2312" w:cs="仿宋_GB2312"/>
          <w:sz w:val="32"/>
          <w:szCs w:val="32"/>
          <w:lang w:eastAsia="zh-CN"/>
        </w:rPr>
        <w:t>，整体上完成了年初设定的绩效目标，保障了部门的正常</w:t>
      </w:r>
      <w:r>
        <w:rPr>
          <w:rFonts w:hint="eastAsia" w:ascii="Times New Roman" w:hAnsi="Times New Roman" w:eastAsia="仿宋_GB2312" w:cs="仿宋_GB2312"/>
          <w:sz w:val="32"/>
          <w:szCs w:val="32"/>
          <w:lang w:eastAsia="zh-CN"/>
        </w:rPr>
        <w:t>运转。</w:t>
      </w:r>
      <w:r>
        <w:rPr>
          <w:rFonts w:hint="default" w:ascii="Times New Roman" w:hAnsi="Times New Roman" w:eastAsia="仿宋_GB2312" w:cs="仿宋_GB2312"/>
          <w:sz w:val="32"/>
          <w:szCs w:val="32"/>
        </w:rPr>
        <w:t>档案馆运行经费</w:t>
      </w:r>
      <w:r>
        <w:rPr>
          <w:rFonts w:hint="eastAsia" w:ascii="Times New Roman" w:hAnsi="Times New Roman" w:eastAsia="仿宋_GB2312" w:cs="仿宋_GB2312"/>
          <w:sz w:val="32"/>
          <w:szCs w:val="32"/>
        </w:rPr>
        <w:t>专项预算项目绩效自评得分为</w:t>
      </w:r>
      <w:r>
        <w:rPr>
          <w:rFonts w:hint="eastAsia" w:ascii="Times New Roman" w:hAnsi="Times New Roman" w:eastAsia="仿宋_GB2312" w:cs="仿宋_GB2312"/>
          <w:sz w:val="32"/>
          <w:szCs w:val="32"/>
          <w:lang w:val="en-US" w:eastAsia="zh-CN"/>
        </w:rPr>
        <w:t>100</w:t>
      </w:r>
      <w:r>
        <w:rPr>
          <w:rFonts w:hint="eastAsia" w:ascii="Times New Roman" w:hAnsi="Times New Roman" w:eastAsia="仿宋_GB2312" w:cs="仿宋_GB2312"/>
          <w:sz w:val="32"/>
          <w:szCs w:val="32"/>
        </w:rPr>
        <w:t>分，绩效自评综述</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保障档案馆日常正常运行和确保档案馆设施设备正常运行，设施设备维护。</w:t>
      </w:r>
      <w:r>
        <w:rPr>
          <w:rFonts w:hint="eastAsia" w:ascii="Times New Roman" w:hAnsi="Times New Roman" w:eastAsia="仿宋_GB2312" w:cs="Times New Roman"/>
          <w:color w:val="auto"/>
          <w:sz w:val="32"/>
          <w:szCs w:val="32"/>
          <w:lang w:eastAsia="zh-CN"/>
        </w:rPr>
        <w:t>安保经费（</w:t>
      </w:r>
      <w:r>
        <w:rPr>
          <w:rFonts w:hint="default" w:ascii="Times New Roman" w:hAnsi="Times New Roman" w:eastAsia="仿宋_GB2312" w:cs="Times New Roman"/>
          <w:color w:val="auto"/>
          <w:sz w:val="32"/>
          <w:szCs w:val="32"/>
        </w:rPr>
        <w:t>物业管理经费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仿宋_GB2312"/>
          <w:sz w:val="32"/>
          <w:szCs w:val="32"/>
        </w:rPr>
        <w:t>专项预算项目绩效自评得分为</w:t>
      </w:r>
      <w:r>
        <w:rPr>
          <w:rFonts w:hint="eastAsia" w:ascii="Times New Roman" w:hAnsi="Times New Roman" w:eastAsia="仿宋_GB2312" w:cs="仿宋_GB2312"/>
          <w:sz w:val="32"/>
          <w:szCs w:val="32"/>
          <w:lang w:val="en-US" w:eastAsia="zh-CN"/>
        </w:rPr>
        <w:t>100</w:t>
      </w:r>
      <w:r>
        <w:rPr>
          <w:rFonts w:hint="eastAsia" w:ascii="Times New Roman" w:hAnsi="Times New Roman" w:eastAsia="仿宋_GB2312" w:cs="仿宋_GB2312"/>
          <w:sz w:val="32"/>
          <w:szCs w:val="32"/>
        </w:rPr>
        <w:t>分，绩效自评综述</w:t>
      </w:r>
      <w:r>
        <w:rPr>
          <w:rFonts w:hint="eastAsia" w:ascii="Times New Roman" w:hAnsi="Times New Roman" w:eastAsia="仿宋_GB2312" w:cs="仿宋_GB2312"/>
          <w:sz w:val="32"/>
          <w:szCs w:val="32"/>
          <w:lang w:eastAsia="zh-CN"/>
        </w:rPr>
        <w:t>：档案馆</w:t>
      </w:r>
      <w:r>
        <w:rPr>
          <w:rFonts w:hint="default" w:ascii="Times New Roman" w:hAnsi="Times New Roman" w:eastAsia="方正仿宋_GB2312" w:cs="Times New Roman"/>
          <w:b w:val="0"/>
          <w:bCs w:val="0"/>
          <w:color w:val="auto"/>
          <w:sz w:val="32"/>
          <w:szCs w:val="32"/>
          <w:lang w:val="en-US" w:eastAsia="zh-CN"/>
        </w:rPr>
        <w:t>全</w:t>
      </w:r>
      <w:r>
        <w:rPr>
          <w:rFonts w:hint="default" w:ascii="Times New Roman" w:hAnsi="Times New Roman" w:eastAsia="方正仿宋_GB2312" w:cs="Times New Roman"/>
          <w:color w:val="auto"/>
          <w:sz w:val="32"/>
          <w:szCs w:val="32"/>
          <w:lang w:val="en-US" w:eastAsia="zh-CN"/>
        </w:rPr>
        <w:t>年轮流</w:t>
      </w:r>
      <w:r>
        <w:rPr>
          <w:rFonts w:hint="default" w:ascii="Times New Roman" w:hAnsi="Times New Roman" w:eastAsia="方正仿宋_GB2312" w:cs="Times New Roman"/>
          <w:b w:val="0"/>
          <w:bCs w:val="0"/>
          <w:color w:val="auto"/>
          <w:sz w:val="32"/>
          <w:szCs w:val="32"/>
          <w:lang w:val="en-US" w:eastAsia="zh-CN"/>
        </w:rPr>
        <w:t>24</w:t>
      </w:r>
      <w:r>
        <w:rPr>
          <w:rFonts w:hint="default" w:ascii="Times New Roman" w:hAnsi="Times New Roman" w:eastAsia="方正仿宋_GB2312" w:cs="Times New Roman"/>
          <w:color w:val="auto"/>
          <w:sz w:val="32"/>
          <w:szCs w:val="32"/>
          <w:lang w:val="en-US" w:eastAsia="zh-CN"/>
        </w:rPr>
        <w:t>小时值守，日常、不定期卫生保洁；馆库内部及周围环境做到干净卫生，电梯设备运行正常，达到档案安全保管“十防”要求，确保馆藏档案安全，为</w:t>
      </w:r>
      <w:r>
        <w:rPr>
          <w:rFonts w:hint="default" w:ascii="Times New Roman" w:hAnsi="Times New Roman" w:eastAsia="方正仿宋_GB2312" w:cs="Times New Roman"/>
          <w:b w:val="0"/>
          <w:bCs w:val="0"/>
          <w:color w:val="auto"/>
          <w:sz w:val="32"/>
          <w:szCs w:val="32"/>
          <w:lang w:val="en-US" w:eastAsia="zh-CN"/>
        </w:rPr>
        <w:t>5000</w:t>
      </w:r>
      <w:r>
        <w:rPr>
          <w:rFonts w:hint="default" w:ascii="Times New Roman" w:hAnsi="Times New Roman" w:eastAsia="方正仿宋_GB2312" w:cs="Times New Roman"/>
          <w:color w:val="auto"/>
          <w:sz w:val="32"/>
          <w:szCs w:val="32"/>
          <w:lang w:val="en-US" w:eastAsia="zh-CN"/>
        </w:rPr>
        <w:t>余人次档案查借阅利用者提供优质服务。</w:t>
      </w:r>
      <w:r>
        <w:rPr>
          <w:rFonts w:hint="eastAsia" w:ascii="Times New Roman" w:hAnsi="Times New Roman" w:eastAsia="仿宋_GB2312" w:cs="仿宋_GB2312"/>
          <w:sz w:val="32"/>
          <w:szCs w:val="32"/>
          <w:lang w:val="en-US" w:eastAsia="zh-CN"/>
        </w:rPr>
        <w:t>国有企业退休人员人事档案管理经费及数字档案馆建设工作经费</w:t>
      </w:r>
      <w:r>
        <w:rPr>
          <w:rFonts w:hint="eastAsia" w:ascii="Times New Roman" w:hAnsi="Times New Roman" w:eastAsia="仿宋_GB2312" w:cs="仿宋_GB2312"/>
          <w:sz w:val="32"/>
          <w:szCs w:val="32"/>
        </w:rPr>
        <w:t>专项预算项目绩效自评得分为</w:t>
      </w:r>
      <w:r>
        <w:rPr>
          <w:rFonts w:hint="eastAsia" w:ascii="Times New Roman" w:hAnsi="Times New Roman" w:eastAsia="仿宋_GB2312" w:cs="仿宋_GB2312"/>
          <w:sz w:val="32"/>
          <w:szCs w:val="32"/>
          <w:lang w:val="en-US" w:eastAsia="zh-CN"/>
        </w:rPr>
        <w:t>100</w:t>
      </w:r>
      <w:r>
        <w:rPr>
          <w:rFonts w:hint="eastAsia" w:ascii="Times New Roman" w:hAnsi="Times New Roman" w:eastAsia="仿宋_GB2312" w:cs="仿宋_GB2312"/>
          <w:sz w:val="32"/>
          <w:szCs w:val="32"/>
        </w:rPr>
        <w:t>分，绩效自评综述</w:t>
      </w:r>
      <w:r>
        <w:rPr>
          <w:rFonts w:hint="eastAsia" w:ascii="Times New Roman" w:hAnsi="Times New Roman" w:eastAsia="仿宋_GB2312" w:cs="仿宋_GB2312"/>
          <w:sz w:val="32"/>
          <w:szCs w:val="32"/>
          <w:lang w:eastAsia="zh-CN"/>
        </w:rPr>
        <w:t>：</w:t>
      </w:r>
      <w:r>
        <w:rPr>
          <w:rFonts w:hint="default" w:ascii="Times New Roman" w:hAnsi="Times New Roman" w:eastAsia="方正仿宋_GB2312" w:cs="Times New Roman"/>
          <w:b w:val="0"/>
          <w:bCs w:val="0"/>
          <w:color w:val="auto"/>
          <w:sz w:val="32"/>
          <w:szCs w:val="32"/>
          <w:lang w:val="en-US" w:eastAsia="zh-CN"/>
        </w:rPr>
        <w:t>做好国有企业退休人员人事档案常态化接收、消杀、保管、安全、查阅、借阅和省级数字档案馆建设项目工作。</w:t>
      </w:r>
      <w:r>
        <w:rPr>
          <w:rFonts w:hint="eastAsia" w:ascii="Times New Roman" w:hAnsi="Times New Roman" w:eastAsia="仿宋_GB2312" w:cs="仿宋_GB2312"/>
          <w:sz w:val="32"/>
          <w:szCs w:val="32"/>
          <w:lang w:val="en-US" w:eastAsia="zh-CN"/>
        </w:rPr>
        <w:t>消防、空调系统维保经费专项预算项目绩效自评得分为100分，绩效自评综述：定期对档案馆七氟丙烷气体灭火系统、消防控制室、消防水泵房、管道式恒温空调等设备进行维护和保养，确保消防系统和库房恒温空调系统正常运行，保证档案安全。档案事业发展专项资金专项预算项目绩效自评得分为100分，绩效自评综述：2025年，我馆完成数字档案馆建设资源配置、数据机房改造、数据库管理系统布置、设施设备采购等工作。经省档案局组织专家组审核验收，仁和区档案馆被认定为“四川省数字档案馆”。</w:t>
      </w:r>
    </w:p>
    <w:p w14:paraId="6A7C4A9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sz w:val="32"/>
          <w:szCs w:val="32"/>
          <w:lang w:val="en-US" w:eastAsia="zh-CN"/>
        </w:rPr>
      </w:pPr>
    </w:p>
    <w:p w14:paraId="6F0EDD6F">
      <w:pPr>
        <w:spacing w:line="600" w:lineRule="exact"/>
        <w:ind w:firstLine="640"/>
        <w:rPr>
          <w:rFonts w:eastAsia="仿宋_GB2312" w:cs="仿宋_GB2312"/>
          <w:sz w:val="32"/>
          <w:szCs w:val="32"/>
        </w:rPr>
      </w:pPr>
    </w:p>
    <w:p w14:paraId="45B1CE90">
      <w:pPr>
        <w:spacing w:line="600" w:lineRule="exact"/>
        <w:jc w:val="center"/>
        <w:outlineLvl w:val="0"/>
        <w:rPr>
          <w:rFonts w:eastAsia="黑体"/>
          <w:sz w:val="44"/>
          <w:szCs w:val="44"/>
        </w:rPr>
      </w:pPr>
      <w:bookmarkStart w:id="43" w:name="_Toc15377225"/>
      <w:bookmarkStart w:id="44" w:name="_Toc15396613"/>
      <w:r>
        <w:rPr>
          <w:rFonts w:hint="eastAsia" w:eastAsia="黑体"/>
          <w:sz w:val="44"/>
          <w:szCs w:val="44"/>
        </w:rPr>
        <w:t>第三部分  名词解释</w:t>
      </w:r>
      <w:bookmarkEnd w:id="43"/>
      <w:bookmarkEnd w:id="44"/>
    </w:p>
    <w:p w14:paraId="5DFAFD7C">
      <w:pPr>
        <w:spacing w:line="600" w:lineRule="exact"/>
        <w:jc w:val="left"/>
        <w:rPr>
          <w:b/>
          <w:sz w:val="44"/>
          <w:szCs w:val="44"/>
        </w:rPr>
      </w:pPr>
    </w:p>
    <w:p w14:paraId="6D3740CD">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4FD71E0E">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08809B07">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617D23D0">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6746B173">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70CA3B79">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1A61D534">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5ABD3DAB">
      <w:pPr>
        <w:spacing w:line="600" w:lineRule="exact"/>
        <w:ind w:firstLine="640"/>
        <w:rPr>
          <w:rFonts w:eastAsia="仿宋_GB2312" w:cs="仿宋_GB2312"/>
          <w:sz w:val="32"/>
          <w:szCs w:val="32"/>
          <w:highlight w:val="none"/>
        </w:rPr>
      </w:pPr>
      <w:r>
        <w:rPr>
          <w:rFonts w:hint="eastAsia" w:eastAsia="仿宋_GB2312" w:cs="仿宋_GB2312"/>
          <w:sz w:val="32"/>
          <w:szCs w:val="32"/>
        </w:rPr>
        <w:t>8.年末结转和结余：指单位按有关规定结转到下年或以后</w:t>
      </w:r>
      <w:bookmarkStart w:id="62" w:name="_GoBack"/>
      <w:r>
        <w:rPr>
          <w:rFonts w:hint="eastAsia" w:eastAsia="仿宋_GB2312" w:cs="仿宋_GB2312"/>
          <w:sz w:val="32"/>
          <w:szCs w:val="32"/>
          <w:highlight w:val="none"/>
        </w:rPr>
        <w:t>年度继续使用的资金。</w:t>
      </w:r>
    </w:p>
    <w:p w14:paraId="4601ED75">
      <w:pPr>
        <w:ind w:firstLine="640" w:firstLineChars="200"/>
        <w:jc w:val="both"/>
        <w:rPr>
          <w:rFonts w:hint="default" w:ascii="Times New Roman" w:hAnsi="Times New Roman" w:eastAsia="方正仿宋_GBK" w:cs="Times New Roman"/>
          <w:b w:val="0"/>
          <w:bCs w:val="0"/>
          <w:color w:val="auto"/>
          <w:kern w:val="2"/>
          <w:sz w:val="33"/>
          <w:szCs w:val="33"/>
          <w:highlight w:val="none"/>
        </w:rPr>
      </w:pPr>
      <w:r>
        <w:rPr>
          <w:rFonts w:hint="eastAsia" w:eastAsia="仿宋_GB2312" w:cs="仿宋_GB2312"/>
          <w:color w:val="FF0000"/>
          <w:sz w:val="32"/>
          <w:szCs w:val="32"/>
          <w:highlight w:val="none"/>
        </w:rPr>
        <w:t>9. 一般公共服务支出（类）档案事务（款）行政运行（项）: 指</w:t>
      </w:r>
      <w:r>
        <w:rPr>
          <w:rFonts w:hint="default" w:ascii="Times New Roman" w:hAnsi="Times New Roman" w:eastAsia="方正仿宋_GBK" w:cs="Times New Roman"/>
          <w:b w:val="0"/>
          <w:bCs w:val="0"/>
          <w:color w:val="auto"/>
          <w:kern w:val="2"/>
          <w:sz w:val="33"/>
          <w:szCs w:val="33"/>
          <w:highlight w:val="none"/>
        </w:rPr>
        <w:t>档案馆用于办公费、公务接待、福利费等支出。</w:t>
      </w:r>
    </w:p>
    <w:p w14:paraId="1ADF66A7">
      <w:pPr>
        <w:ind w:firstLine="640" w:firstLineChars="200"/>
        <w:jc w:val="both"/>
        <w:rPr>
          <w:rFonts w:hint="default" w:ascii="Times New Roman" w:hAnsi="Times New Roman" w:eastAsia="方正仿宋_GBK" w:cs="Times New Roman"/>
          <w:b w:val="0"/>
          <w:bCs w:val="0"/>
          <w:color w:val="auto"/>
          <w:kern w:val="2"/>
          <w:sz w:val="33"/>
          <w:szCs w:val="33"/>
          <w:highlight w:val="none"/>
        </w:rPr>
      </w:pPr>
      <w:r>
        <w:rPr>
          <w:rFonts w:hint="eastAsia" w:eastAsia="仿宋_GB2312" w:cs="仿宋_GB2312"/>
          <w:color w:val="FF0000"/>
          <w:sz w:val="32"/>
          <w:szCs w:val="32"/>
          <w:highlight w:val="none"/>
        </w:rPr>
        <w:t>10. 一般公共服务支出（类）档案事务（款）档案馆（项）: 指</w:t>
      </w:r>
      <w:r>
        <w:rPr>
          <w:rFonts w:hint="default" w:ascii="Times New Roman" w:hAnsi="Times New Roman" w:eastAsia="方正仿宋_GBK" w:cs="Times New Roman"/>
          <w:b w:val="0"/>
          <w:bCs w:val="0"/>
          <w:color w:val="auto"/>
          <w:kern w:val="2"/>
          <w:sz w:val="33"/>
          <w:szCs w:val="33"/>
          <w:highlight w:val="none"/>
        </w:rPr>
        <w:t>设备运行、利用服务、物业管理等支出。</w:t>
      </w:r>
    </w:p>
    <w:p w14:paraId="3E95AC48">
      <w:pPr>
        <w:spacing w:line="600" w:lineRule="exact"/>
        <w:ind w:firstLine="640" w:firstLineChars="200"/>
        <w:outlineLvl w:val="2"/>
        <w:rPr>
          <w:rFonts w:hint="eastAsia" w:ascii="仿宋_GB2312" w:eastAsia="仿宋_GB2312" w:cs="仿宋_GB2312"/>
          <w:b w:val="0"/>
          <w:bCs w:val="0"/>
          <w:color w:val="auto"/>
          <w:sz w:val="32"/>
          <w:szCs w:val="32"/>
          <w:highlight w:val="none"/>
          <w:lang w:eastAsia="zh-CN"/>
        </w:rPr>
      </w:pPr>
      <w:r>
        <w:rPr>
          <w:rFonts w:hint="eastAsia" w:eastAsia="仿宋_GB2312" w:cs="仿宋_GB2312"/>
          <w:color w:val="FF0000"/>
          <w:sz w:val="32"/>
          <w:szCs w:val="32"/>
          <w:highlight w:val="none"/>
        </w:rPr>
        <w:t>11. 一般公共服务支出（类）档案事务（款）其他档案事务支出（项）: 指</w:t>
      </w:r>
      <w:r>
        <w:rPr>
          <w:rFonts w:hint="eastAsia" w:ascii="仿宋_GB2312" w:eastAsia="仿宋_GB2312" w:cs="仿宋_GB2312"/>
          <w:b w:val="0"/>
          <w:bCs w:val="0"/>
          <w:color w:val="auto"/>
          <w:sz w:val="32"/>
          <w:szCs w:val="32"/>
          <w:highlight w:val="none"/>
          <w:lang w:eastAsia="zh-CN"/>
        </w:rPr>
        <w:t>档案事业发展专项等支出。</w:t>
      </w:r>
    </w:p>
    <w:p w14:paraId="282E73BE">
      <w:pPr>
        <w:ind w:firstLine="640" w:firstLineChars="200"/>
        <w:jc w:val="both"/>
        <w:rPr>
          <w:rFonts w:eastAsia="仿宋_GB2312" w:cs="仿宋_GB2312"/>
          <w:color w:val="FF0000"/>
          <w:sz w:val="32"/>
          <w:szCs w:val="32"/>
          <w:highlight w:val="none"/>
        </w:rPr>
      </w:pPr>
      <w:r>
        <w:rPr>
          <w:rFonts w:hint="eastAsia" w:eastAsia="仿宋_GB2312" w:cs="仿宋_GB2312"/>
          <w:color w:val="FF0000"/>
          <w:sz w:val="32"/>
          <w:szCs w:val="32"/>
          <w:highlight w:val="none"/>
        </w:rPr>
        <w:t>12. 社会保障和就业支出（类）行政事业单位养老支出（款）事业单位离退休（项）: 指</w:t>
      </w:r>
      <w:r>
        <w:rPr>
          <w:rFonts w:hint="default" w:ascii="Times New Roman" w:hAnsi="Times New Roman" w:eastAsia="方正仿宋_GBK" w:cs="Times New Roman"/>
          <w:b w:val="0"/>
          <w:bCs w:val="0"/>
          <w:color w:val="auto"/>
          <w:kern w:val="2"/>
          <w:sz w:val="33"/>
          <w:szCs w:val="33"/>
          <w:highlight w:val="none"/>
        </w:rPr>
        <w:t>退休人员工资福利等支出。</w:t>
      </w:r>
    </w:p>
    <w:p w14:paraId="3E572600">
      <w:pPr>
        <w:keepNext/>
        <w:keepLines/>
        <w:spacing w:line="576" w:lineRule="exact"/>
        <w:ind w:firstLine="643"/>
        <w:rPr>
          <w:rFonts w:hint="default" w:ascii="Times New Roman" w:hAnsi="Times New Roman" w:eastAsia="方正仿宋_GBK" w:cs="Times New Roman"/>
          <w:b w:val="0"/>
          <w:bCs w:val="0"/>
          <w:color w:val="auto"/>
          <w:kern w:val="2"/>
          <w:sz w:val="33"/>
          <w:szCs w:val="33"/>
          <w:highlight w:val="none"/>
        </w:rPr>
      </w:pPr>
      <w:r>
        <w:rPr>
          <w:rFonts w:hint="eastAsia" w:eastAsia="仿宋_GB2312" w:cs="仿宋_GB2312"/>
          <w:color w:val="FF0000"/>
          <w:sz w:val="32"/>
          <w:szCs w:val="32"/>
          <w:highlight w:val="none"/>
        </w:rPr>
        <w:t>1</w:t>
      </w:r>
      <w:r>
        <w:rPr>
          <w:rFonts w:hint="eastAsia" w:eastAsia="仿宋_GB2312" w:cs="仿宋_GB2312"/>
          <w:color w:val="FF0000"/>
          <w:sz w:val="32"/>
          <w:szCs w:val="32"/>
          <w:highlight w:val="none"/>
          <w:lang w:val="en-US" w:eastAsia="zh-CN"/>
        </w:rPr>
        <w:t>3</w:t>
      </w:r>
      <w:r>
        <w:rPr>
          <w:rFonts w:hint="eastAsia" w:eastAsia="仿宋_GB2312" w:cs="仿宋_GB2312"/>
          <w:color w:val="FF0000"/>
          <w:sz w:val="32"/>
          <w:szCs w:val="32"/>
          <w:highlight w:val="none"/>
        </w:rPr>
        <w:t>.社会保障和就业支出（类）行政事业单位养老支出（款）机关事业单位基本养老保险缴费支出（项）: 指</w:t>
      </w:r>
      <w:r>
        <w:rPr>
          <w:rFonts w:hint="default" w:ascii="Times New Roman" w:hAnsi="Times New Roman" w:eastAsia="方正仿宋_GBK" w:cs="Times New Roman"/>
          <w:b w:val="0"/>
          <w:bCs w:val="0"/>
          <w:color w:val="auto"/>
          <w:kern w:val="2"/>
          <w:sz w:val="33"/>
          <w:szCs w:val="33"/>
          <w:highlight w:val="none"/>
        </w:rPr>
        <w:t>养老保险费缴纳等支出。</w:t>
      </w:r>
    </w:p>
    <w:p w14:paraId="2D952A45">
      <w:pPr>
        <w:keepNext/>
        <w:keepLines/>
        <w:spacing w:line="576" w:lineRule="exact"/>
        <w:ind w:firstLine="643"/>
        <w:rPr>
          <w:rFonts w:hint="default" w:ascii="Times New Roman" w:hAnsi="Times New Roman" w:eastAsia="方正仿宋_GBK" w:cs="Times New Roman"/>
          <w:b w:val="0"/>
          <w:bCs w:val="0"/>
          <w:color w:val="auto"/>
          <w:kern w:val="2"/>
          <w:sz w:val="33"/>
          <w:szCs w:val="33"/>
          <w:highlight w:val="none"/>
        </w:rPr>
      </w:pPr>
      <w:r>
        <w:rPr>
          <w:rFonts w:hint="eastAsia" w:ascii="仿宋_GB2312" w:eastAsia="仿宋_GB2312" w:cs="仿宋_GB2312"/>
          <w:b w:val="0"/>
          <w:bCs w:val="0"/>
          <w:color w:val="auto"/>
          <w:sz w:val="32"/>
          <w:szCs w:val="32"/>
          <w:highlight w:val="none"/>
        </w:rPr>
        <w:t>1</w:t>
      </w:r>
      <w:r>
        <w:rPr>
          <w:rFonts w:hint="eastAsia" w:ascii="仿宋_GB2312" w:eastAsia="仿宋_GB2312" w:cs="仿宋_GB2312"/>
          <w:b w:val="0"/>
          <w:bCs w:val="0"/>
          <w:color w:val="auto"/>
          <w:sz w:val="32"/>
          <w:szCs w:val="32"/>
          <w:highlight w:val="none"/>
          <w:lang w:val="en-US" w:eastAsia="zh-CN"/>
        </w:rPr>
        <w:t>4</w:t>
      </w:r>
      <w:r>
        <w:rPr>
          <w:rFonts w:hint="eastAsia" w:ascii="仿宋_GB2312" w:eastAsia="仿宋_GB2312" w:cs="仿宋_GB2312"/>
          <w:b w:val="0"/>
          <w:bCs w:val="0"/>
          <w:color w:val="auto"/>
          <w:sz w:val="32"/>
          <w:szCs w:val="32"/>
          <w:highlight w:val="none"/>
        </w:rPr>
        <w:t>.</w:t>
      </w:r>
      <w:r>
        <w:rPr>
          <w:b w:val="0"/>
          <w:bCs w:val="0"/>
          <w:color w:val="auto"/>
          <w:highlight w:val="none"/>
        </w:rPr>
        <w:t xml:space="preserve"> </w:t>
      </w:r>
      <w:r>
        <w:rPr>
          <w:rFonts w:hint="eastAsia" w:ascii="仿宋_GB2312" w:eastAsia="仿宋_GB2312" w:cs="仿宋_GB2312"/>
          <w:b w:val="0"/>
          <w:bCs w:val="0"/>
          <w:color w:val="auto"/>
          <w:sz w:val="32"/>
          <w:szCs w:val="32"/>
          <w:highlight w:val="none"/>
        </w:rPr>
        <w:t>社会保障和就业支出（类）行政事业单位养老支出（款）机关事业单位职业年金缴费支出（项）</w:t>
      </w:r>
      <w:r>
        <w:rPr>
          <w:rFonts w:ascii="仿宋_GB2312"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rPr>
        <w:t xml:space="preserve"> 指</w:t>
      </w:r>
      <w:r>
        <w:rPr>
          <w:rFonts w:hint="eastAsia" w:eastAsia="方正仿宋_GBK" w:cs="Times New Roman"/>
          <w:b w:val="0"/>
          <w:bCs w:val="0"/>
          <w:color w:val="auto"/>
          <w:kern w:val="2"/>
          <w:sz w:val="33"/>
          <w:szCs w:val="33"/>
          <w:highlight w:val="none"/>
          <w:lang w:eastAsia="zh-CN"/>
        </w:rPr>
        <w:t>职业年金</w:t>
      </w:r>
      <w:r>
        <w:rPr>
          <w:rFonts w:hint="default" w:ascii="Times New Roman" w:hAnsi="Times New Roman" w:eastAsia="方正仿宋_GBK" w:cs="Times New Roman"/>
          <w:b w:val="0"/>
          <w:bCs w:val="0"/>
          <w:color w:val="auto"/>
          <w:kern w:val="2"/>
          <w:sz w:val="33"/>
          <w:szCs w:val="33"/>
          <w:highlight w:val="none"/>
        </w:rPr>
        <w:t>费缴纳等支出。</w:t>
      </w:r>
    </w:p>
    <w:p w14:paraId="655EDF0B">
      <w:pPr>
        <w:pStyle w:val="13"/>
        <w:rPr>
          <w:highlight w:val="none"/>
        </w:rPr>
      </w:pPr>
    </w:p>
    <w:p w14:paraId="098ECB6C">
      <w:pPr>
        <w:numPr>
          <w:ilvl w:val="0"/>
          <w:numId w:val="2"/>
        </w:numPr>
        <w:spacing w:line="600" w:lineRule="exact"/>
        <w:ind w:firstLine="640"/>
        <w:rPr>
          <w:rFonts w:hint="default" w:ascii="Times New Roman" w:hAnsi="Times New Roman" w:eastAsia="方正仿宋_GBK" w:cs="Times New Roman"/>
          <w:b w:val="0"/>
          <w:bCs w:val="0"/>
          <w:color w:val="auto"/>
          <w:kern w:val="2"/>
          <w:sz w:val="33"/>
          <w:szCs w:val="33"/>
          <w:highlight w:val="none"/>
        </w:rPr>
      </w:pPr>
      <w:r>
        <w:rPr>
          <w:rFonts w:hint="eastAsia" w:eastAsia="仿宋_GB2312" w:cs="仿宋_GB2312"/>
          <w:color w:val="FF0000"/>
          <w:sz w:val="32"/>
          <w:szCs w:val="32"/>
          <w:highlight w:val="none"/>
        </w:rPr>
        <w:t>卫生健康支出（类）行政事业单位医疗（款）行政单位医疗（项）: 指</w:t>
      </w:r>
      <w:r>
        <w:rPr>
          <w:rFonts w:hint="default" w:ascii="Times New Roman" w:hAnsi="Times New Roman" w:eastAsia="方正仿宋_GBK" w:cs="Times New Roman"/>
          <w:b w:val="0"/>
          <w:bCs w:val="0"/>
          <w:color w:val="auto"/>
          <w:kern w:val="2"/>
          <w:sz w:val="33"/>
          <w:szCs w:val="33"/>
          <w:highlight w:val="none"/>
        </w:rPr>
        <w:t>医疗保险费等支出。</w:t>
      </w:r>
    </w:p>
    <w:p w14:paraId="2459CC1B">
      <w:pPr>
        <w:numPr>
          <w:numId w:val="0"/>
        </w:numPr>
        <w:spacing w:line="600" w:lineRule="exact"/>
        <w:ind w:firstLine="640" w:firstLineChars="200"/>
        <w:rPr>
          <w:rFonts w:eastAsia="仿宋_GB2312" w:cs="仿宋_GB2312"/>
          <w:color w:val="FF0000"/>
          <w:sz w:val="32"/>
          <w:szCs w:val="32"/>
          <w:highlight w:val="none"/>
        </w:rPr>
      </w:pPr>
      <w:r>
        <w:rPr>
          <w:rFonts w:hint="eastAsia" w:eastAsia="仿宋_GB2312" w:cs="仿宋_GB2312"/>
          <w:color w:val="FF0000"/>
          <w:sz w:val="32"/>
          <w:szCs w:val="32"/>
          <w:highlight w:val="none"/>
        </w:rPr>
        <w:t>16.卫生健康支出（类）行政事业单位医疗（款）公务员医疗补助（项）: 指</w:t>
      </w:r>
      <w:r>
        <w:rPr>
          <w:rFonts w:hint="default" w:ascii="Times New Roman" w:hAnsi="Times New Roman" w:eastAsia="方正仿宋_GBK" w:cs="Times New Roman"/>
          <w:b w:val="0"/>
          <w:bCs w:val="0"/>
          <w:color w:val="auto"/>
          <w:kern w:val="2"/>
          <w:sz w:val="33"/>
          <w:szCs w:val="33"/>
          <w:highlight w:val="none"/>
        </w:rPr>
        <w:t>医疗补助费用等支出。</w:t>
      </w:r>
    </w:p>
    <w:p w14:paraId="3A770009">
      <w:pPr>
        <w:spacing w:line="600" w:lineRule="exact"/>
        <w:ind w:firstLine="640"/>
        <w:rPr>
          <w:rFonts w:hint="default" w:ascii="Times New Roman" w:hAnsi="Times New Roman" w:eastAsia="方正仿宋_GBK" w:cs="Times New Roman"/>
          <w:b w:val="0"/>
          <w:bCs w:val="0"/>
          <w:color w:val="auto"/>
          <w:kern w:val="2"/>
          <w:sz w:val="33"/>
          <w:szCs w:val="33"/>
          <w:highlight w:val="none"/>
        </w:rPr>
      </w:pPr>
      <w:r>
        <w:rPr>
          <w:rFonts w:hint="eastAsia" w:eastAsia="仿宋_GB2312" w:cs="仿宋_GB2312"/>
          <w:color w:val="FF0000"/>
          <w:sz w:val="32"/>
          <w:szCs w:val="32"/>
          <w:highlight w:val="none"/>
        </w:rPr>
        <w:t>17.</w:t>
      </w:r>
      <w:r>
        <w:rPr>
          <w:rFonts w:eastAsia="仿宋_GB2312" w:cs="仿宋_GB2312"/>
          <w:color w:val="FF0000"/>
          <w:sz w:val="32"/>
          <w:szCs w:val="32"/>
          <w:highlight w:val="none"/>
        </w:rPr>
        <w:t xml:space="preserve"> </w:t>
      </w:r>
      <w:r>
        <w:rPr>
          <w:rFonts w:hint="eastAsia" w:eastAsia="仿宋_GB2312" w:cs="仿宋_GB2312"/>
          <w:color w:val="FF0000"/>
          <w:sz w:val="32"/>
          <w:szCs w:val="32"/>
          <w:highlight w:val="none"/>
        </w:rPr>
        <w:t>住房保障支出（类）住房改革支出（款）住房公积金（项）:指</w:t>
      </w:r>
      <w:r>
        <w:rPr>
          <w:rFonts w:hint="default" w:ascii="Times New Roman" w:hAnsi="Times New Roman" w:eastAsia="方正仿宋_GBK" w:cs="Times New Roman"/>
          <w:b w:val="0"/>
          <w:bCs w:val="0"/>
          <w:color w:val="auto"/>
          <w:kern w:val="2"/>
          <w:sz w:val="33"/>
          <w:szCs w:val="33"/>
          <w:highlight w:val="none"/>
        </w:rPr>
        <w:t>缴纳住房公积金等支出。</w:t>
      </w:r>
    </w:p>
    <w:p w14:paraId="5102172D">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18.基本支出：指为保障机构正常运转、完成日常工作任务而发生的人员支出和公用支出。</w:t>
      </w:r>
    </w:p>
    <w:p w14:paraId="41963592">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 xml:space="preserve">19.项目支出：指在基本支出之外为完成特定行政任务和事业发展目标所发生的支出。 </w:t>
      </w:r>
    </w:p>
    <w:p w14:paraId="55710FBF">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20.经营支出：指事业单位在专业业务活动及其辅助活动之外开展非独立核算经营活动发生的支出。</w:t>
      </w:r>
    </w:p>
    <w:p w14:paraId="5AECC304">
      <w:pPr>
        <w:spacing w:line="600" w:lineRule="exact"/>
        <w:ind w:firstLine="640"/>
        <w:rPr>
          <w:rFonts w:eastAsia="仿宋_GB2312" w:cs="仿宋_GB2312"/>
          <w:sz w:val="32"/>
          <w:szCs w:val="32"/>
        </w:rPr>
      </w:pPr>
      <w:r>
        <w:rPr>
          <w:rFonts w:hint="eastAsia" w:eastAsia="仿宋_GB2312" w:cs="仿宋_GB2312"/>
          <w:sz w:val="32"/>
          <w:szCs w:val="32"/>
          <w:highlight w:val="none"/>
        </w:rPr>
        <w:t>21.“三公”经费：指部门用财政拨款安排的因公出国（境）费、公务用车购置及运行费和公务接待费</w:t>
      </w:r>
      <w:bookmarkEnd w:id="62"/>
      <w:r>
        <w:rPr>
          <w:rFonts w:hint="eastAsia" w:eastAsia="仿宋_GB2312" w:cs="仿宋_GB2312"/>
          <w:sz w:val="32"/>
          <w:szCs w:val="32"/>
        </w:rPr>
        <w:t>。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05468EE">
      <w:pPr>
        <w:spacing w:line="600" w:lineRule="exact"/>
        <w:ind w:firstLine="640"/>
        <w:rPr>
          <w:rFonts w:eastAsia="仿宋_GB2312" w:cs="仿宋_GB2312"/>
          <w:sz w:val="32"/>
          <w:szCs w:val="32"/>
        </w:rPr>
      </w:pPr>
      <w:r>
        <w:rPr>
          <w:rFonts w:hint="eastAsia" w:eastAsia="仿宋_GB2312" w:cs="仿宋_GB2312"/>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A70F9E">
      <w:pPr>
        <w:spacing w:line="600" w:lineRule="exact"/>
        <w:jc w:val="center"/>
        <w:rPr>
          <w:rStyle w:val="28"/>
          <w:rFonts w:eastAsia="黑体"/>
          <w:b w:val="0"/>
        </w:rPr>
      </w:pPr>
      <w:bookmarkStart w:id="45" w:name="_Toc15377226"/>
      <w:r>
        <w:rPr>
          <w:rFonts w:hint="eastAsia" w:eastAsia="仿宋_GB2312" w:cs="仿宋_GB2312"/>
          <w:sz w:val="32"/>
          <w:szCs w:val="32"/>
        </w:rPr>
        <w:br w:type="page"/>
      </w:r>
      <w:bookmarkStart w:id="46" w:name="_Toc15396614"/>
      <w:r>
        <w:rPr>
          <w:rFonts w:hint="eastAsia" w:eastAsia="黑体"/>
          <w:sz w:val="44"/>
          <w:szCs w:val="44"/>
        </w:rPr>
        <w:t>第四部分  附件</w:t>
      </w:r>
      <w:bookmarkEnd w:id="46"/>
    </w:p>
    <w:p w14:paraId="5C43A0D5">
      <w:pPr>
        <w:widowControl/>
        <w:spacing w:line="578" w:lineRule="exact"/>
        <w:contextualSpacing/>
        <w:jc w:val="center"/>
        <w:rPr>
          <w:rFonts w:eastAsia="方正小标宋简体"/>
          <w:bCs/>
          <w:sz w:val="44"/>
          <w:szCs w:val="44"/>
          <w:shd w:val="clear" w:color="auto" w:fill="FFFFFF"/>
        </w:rPr>
      </w:pPr>
    </w:p>
    <w:p w14:paraId="17D0D4D1">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报告范本</w:t>
      </w:r>
    </w:p>
    <w:p w14:paraId="1067935A">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048BB189">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75F8852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default" w:ascii="Times New Roman" w:hAnsi="Times New Roman" w:eastAsia="方正仿宋_GBK" w:cs="Times New Roman"/>
          <w:color w:val="auto"/>
          <w:sz w:val="33"/>
          <w:szCs w:val="33"/>
          <w:lang w:val="zh-CN" w:eastAsia="zh-CN"/>
        </w:rPr>
        <w:t>仁</w:t>
      </w:r>
      <w:r>
        <w:rPr>
          <w:rFonts w:hint="default" w:ascii="Times New Roman" w:hAnsi="Times New Roman" w:eastAsia="方正仿宋_GBK" w:cs="Times New Roman"/>
          <w:color w:val="auto"/>
          <w:sz w:val="33"/>
          <w:szCs w:val="33"/>
        </w:rPr>
        <w:t>和区档案馆是区委直属参照公务员法管理事业单位，单位内设</w:t>
      </w:r>
      <w:r>
        <w:rPr>
          <w:rFonts w:hint="default" w:ascii="Times New Roman" w:hAnsi="Times New Roman" w:eastAsia="方正仿宋_GBK" w:cs="Times New Roman"/>
          <w:color w:val="auto"/>
          <w:sz w:val="33"/>
          <w:szCs w:val="33"/>
          <w:lang w:val="en-US" w:eastAsia="zh-CN"/>
        </w:rPr>
        <w:t>3</w:t>
      </w:r>
      <w:r>
        <w:rPr>
          <w:rFonts w:hint="default" w:ascii="Times New Roman" w:hAnsi="Times New Roman" w:eastAsia="方正仿宋_GBK" w:cs="Times New Roman"/>
          <w:color w:val="auto"/>
          <w:sz w:val="33"/>
          <w:szCs w:val="33"/>
        </w:rPr>
        <w:t>个股室(业务一股、业务二股、业务三股)。</w:t>
      </w:r>
    </w:p>
    <w:p w14:paraId="30CD713B">
      <w:pPr>
        <w:widowControl/>
        <w:adjustRightInd w:val="0"/>
        <w:snapToGrid w:val="0"/>
        <w:spacing w:line="578" w:lineRule="exact"/>
        <w:ind w:firstLine="643" w:firstLineChars="200"/>
        <w:contextualSpacing/>
        <w:jc w:val="left"/>
        <w:rPr>
          <w:rFonts w:eastAsia="楷体_GB2312"/>
          <w:b/>
          <w:bCs/>
          <w:color w:val="000000"/>
          <w:kern w:val="0"/>
          <w:szCs w:val="32"/>
          <w:shd w:val="clear" w:color="auto" w:fill="FFFFFF"/>
          <w:lang w:val="zh-CN"/>
        </w:rPr>
      </w:pPr>
      <w:r>
        <w:rPr>
          <w:rFonts w:eastAsia="楷体_GB2312" w:cs="楷体_GB2312"/>
          <w:b/>
          <w:sz w:val="32"/>
          <w:szCs w:val="32"/>
          <w:lang w:val="zh-CN"/>
        </w:rPr>
        <w:t>（二）机构职能</w:t>
      </w:r>
      <w:r>
        <w:rPr>
          <w:rFonts w:hint="eastAsia" w:eastAsia="楷体_GB2312" w:cs="楷体_GB2312"/>
          <w:b/>
          <w:sz w:val="32"/>
          <w:szCs w:val="32"/>
          <w:lang w:val="zh-CN"/>
        </w:rPr>
        <w:t>。</w:t>
      </w:r>
      <w:r>
        <w:rPr>
          <w:rFonts w:hint="default" w:ascii="Times New Roman" w:hAnsi="Times New Roman" w:eastAsia="方正仿宋_GBK" w:cs="Times New Roman"/>
          <w:color w:val="auto"/>
          <w:sz w:val="33"/>
          <w:szCs w:val="33"/>
        </w:rPr>
        <w:t>负责接收和保管仁和区党政机关、人民团体、国有企业事业单位和其他组织等本馆保管范围内对党、国家和社会有保存价值的各类档案（包括电子档案、名人档案等）、资料和政府公开信息，并提供利用；负责组织征集整理散存在社会上的反映我区各个历史时期、具有重要价值和历史研究价值的档案资料；通过接受捐献、代存等方式收集档案；负责我区重要会议、重要活动、重大事件档案资料的收集、整理并提供利用；配合区委和区政府重大活动，开展档案展览、陈列、编纂出版工作；负责本馆档案信息化建设，负责推动档案数字资源跨区域、跨部门共享利用。对重要电子档案进行异地备份；负责馆藏档案安全，维护档案完整，保守党和国家机密。承担馆藏档案资料的修复、缩微等抢救保护工作；组织档案形成单位依法依规开展馆藏档案解密、开放鉴定、销毁工作。依法对馆藏档案向社会开放；完成区委交办的其他任务。</w:t>
      </w:r>
    </w:p>
    <w:p w14:paraId="3D748B4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r>
        <w:rPr>
          <w:rFonts w:eastAsia="仿宋_GB2312"/>
          <w:sz w:val="32"/>
          <w:szCs w:val="32"/>
        </w:rPr>
        <w:t>截至202</w:t>
      </w:r>
      <w:r>
        <w:rPr>
          <w:rFonts w:hint="eastAsia" w:eastAsia="仿宋_GB2312"/>
          <w:sz w:val="32"/>
          <w:szCs w:val="32"/>
        </w:rPr>
        <w:t>5</w:t>
      </w:r>
      <w:r>
        <w:rPr>
          <w:rFonts w:eastAsia="仿宋_GB2312"/>
          <w:sz w:val="32"/>
          <w:szCs w:val="32"/>
        </w:rPr>
        <w:t>年末，</w:t>
      </w:r>
      <w:r>
        <w:rPr>
          <w:rFonts w:hint="default" w:ascii="Times New Roman" w:hAnsi="Times New Roman" w:eastAsia="方正仿宋_GBK" w:cs="Times New Roman"/>
          <w:color w:val="auto"/>
          <w:sz w:val="33"/>
          <w:szCs w:val="33"/>
        </w:rPr>
        <w:t>仁和区档案馆</w:t>
      </w:r>
      <w:r>
        <w:rPr>
          <w:rFonts w:hint="default" w:ascii="Times New Roman" w:hAnsi="Times New Roman" w:eastAsia="方正仿宋_GBK" w:cs="Times New Roman"/>
          <w:color w:val="auto"/>
          <w:sz w:val="33"/>
          <w:szCs w:val="33"/>
          <w:lang w:val="en-US" w:eastAsia="zh-CN"/>
        </w:rPr>
        <w:t>共有参公编制</w:t>
      </w:r>
      <w:r>
        <w:rPr>
          <w:rFonts w:hint="default" w:ascii="Times New Roman" w:hAnsi="Times New Roman" w:eastAsia="方正仿宋_GBK" w:cs="Times New Roman"/>
          <w:b w:val="0"/>
          <w:bCs w:val="0"/>
          <w:color w:val="auto"/>
          <w:sz w:val="33"/>
          <w:szCs w:val="33"/>
          <w:lang w:val="en-US" w:eastAsia="zh-CN"/>
        </w:rPr>
        <w:t>7</w:t>
      </w:r>
      <w:r>
        <w:rPr>
          <w:rFonts w:hint="default" w:ascii="Times New Roman" w:hAnsi="Times New Roman" w:eastAsia="方正仿宋_GBK" w:cs="Times New Roman"/>
          <w:color w:val="auto"/>
          <w:sz w:val="33"/>
          <w:szCs w:val="33"/>
          <w:lang w:val="en-US" w:eastAsia="zh-CN"/>
        </w:rPr>
        <w:t>人</w:t>
      </w:r>
      <w:r>
        <w:rPr>
          <w:rFonts w:hint="eastAsia" w:ascii="Times New Roman" w:hAnsi="Times New Roman" w:eastAsia="方正仿宋_GBK" w:cs="Times New Roman"/>
          <w:color w:val="auto"/>
          <w:sz w:val="33"/>
          <w:szCs w:val="33"/>
          <w:lang w:val="en-US" w:eastAsia="zh-CN"/>
        </w:rPr>
        <w:t>，</w:t>
      </w:r>
      <w:r>
        <w:rPr>
          <w:rFonts w:hint="default" w:ascii="Times New Roman" w:hAnsi="Times New Roman" w:eastAsia="方正仿宋_GBK" w:cs="Times New Roman"/>
          <w:color w:val="auto"/>
          <w:sz w:val="33"/>
          <w:szCs w:val="33"/>
          <w:lang w:val="en-US" w:eastAsia="zh-CN"/>
        </w:rPr>
        <w:t>实有在岗人员共</w:t>
      </w:r>
      <w:r>
        <w:rPr>
          <w:rFonts w:hint="default" w:ascii="Times New Roman" w:hAnsi="Times New Roman" w:eastAsia="方正仿宋_GBK" w:cs="Times New Roman"/>
          <w:b w:val="0"/>
          <w:bCs w:val="0"/>
          <w:color w:val="auto"/>
          <w:sz w:val="33"/>
          <w:szCs w:val="33"/>
          <w:lang w:val="en-US" w:eastAsia="zh-CN"/>
        </w:rPr>
        <w:t>7</w:t>
      </w:r>
      <w:r>
        <w:rPr>
          <w:rFonts w:hint="default" w:ascii="Times New Roman" w:hAnsi="Times New Roman" w:eastAsia="方正仿宋_GBK" w:cs="Times New Roman"/>
          <w:color w:val="auto"/>
          <w:sz w:val="33"/>
          <w:szCs w:val="33"/>
          <w:lang w:val="en-US" w:eastAsia="zh-CN"/>
        </w:rPr>
        <w:t>人，退休人员5人。</w:t>
      </w:r>
    </w:p>
    <w:p w14:paraId="4BBA931C">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5EE21982">
      <w:pPr>
        <w:widowControl/>
        <w:adjustRightInd w:val="0"/>
        <w:snapToGrid w:val="0"/>
        <w:spacing w:line="578" w:lineRule="exact"/>
        <w:ind w:firstLine="643" w:firstLineChars="200"/>
        <w:contextualSpacing/>
        <w:jc w:val="left"/>
        <w:rPr>
          <w:rFonts w:hint="eastAsia" w:ascii="Times New Roman" w:hAnsi="Times New Roman" w:eastAsia="方正仿宋_GBK" w:cs="Times New Roman"/>
          <w:color w:val="auto"/>
          <w:sz w:val="33"/>
          <w:szCs w:val="33"/>
          <w:lang w:eastAsia="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eastAsia" w:eastAsia="仿宋_GB2312" w:cs="仿宋_GB2312"/>
          <w:sz w:val="32"/>
          <w:szCs w:val="32"/>
          <w:lang w:eastAsia="zh-CN"/>
        </w:rPr>
        <w:t>仁和区档案馆</w:t>
      </w:r>
      <w:r>
        <w:rPr>
          <w:rFonts w:hint="eastAsia" w:eastAsia="仿宋_GB2312"/>
          <w:sz w:val="32"/>
          <w:szCs w:val="32"/>
        </w:rPr>
        <w:t>2025年年初预算收入</w:t>
      </w:r>
      <w:r>
        <w:rPr>
          <w:rFonts w:hint="eastAsia" w:eastAsia="仿宋_GB2312"/>
          <w:sz w:val="32"/>
          <w:szCs w:val="32"/>
          <w:lang w:val="en-US" w:eastAsia="zh-CN"/>
        </w:rPr>
        <w:t>248.66</w:t>
      </w:r>
      <w:r>
        <w:rPr>
          <w:rFonts w:hint="default" w:ascii="Times New Roman" w:hAnsi="Times New Roman" w:eastAsia="方正仿宋_GBK" w:cs="Times New Roman"/>
          <w:color w:val="auto"/>
          <w:sz w:val="33"/>
          <w:szCs w:val="33"/>
        </w:rPr>
        <w:t>万元</w:t>
      </w:r>
      <w:r>
        <w:rPr>
          <w:rFonts w:hint="eastAsia" w:ascii="Times New Roman" w:hAnsi="Times New Roman" w:eastAsia="方正仿宋_GBK" w:cs="Times New Roman"/>
          <w:color w:val="auto"/>
          <w:sz w:val="33"/>
          <w:szCs w:val="33"/>
          <w:lang w:eastAsia="zh-CN"/>
        </w:rPr>
        <w:t>。</w:t>
      </w:r>
    </w:p>
    <w:p w14:paraId="00BEB478">
      <w:pPr>
        <w:widowControl/>
        <w:adjustRightInd w:val="0"/>
        <w:snapToGrid w:val="0"/>
        <w:spacing w:line="578" w:lineRule="exact"/>
        <w:ind w:firstLine="643" w:firstLineChars="200"/>
        <w:contextualSpacing/>
        <w:jc w:val="left"/>
        <w:rPr>
          <w:rFonts w:hint="eastAsia" w:ascii="Times New Roman" w:hAnsi="Times New Roman" w:eastAsia="方正仿宋_GBK" w:cs="Times New Roman"/>
          <w:color w:val="auto"/>
          <w:sz w:val="33"/>
          <w:szCs w:val="33"/>
          <w:lang w:eastAsia="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eastAsia="仿宋_GB2312" w:cs="仿宋_GB2312"/>
          <w:sz w:val="32"/>
          <w:szCs w:val="32"/>
          <w:lang w:eastAsia="zh-CN"/>
        </w:rPr>
        <w:t>仁和区档案馆</w:t>
      </w:r>
      <w:r>
        <w:rPr>
          <w:rFonts w:hint="eastAsia" w:eastAsia="仿宋_GB2312"/>
          <w:sz w:val="32"/>
          <w:szCs w:val="32"/>
        </w:rPr>
        <w:t>2025年年初预算支出</w:t>
      </w:r>
      <w:r>
        <w:rPr>
          <w:rFonts w:hint="eastAsia" w:eastAsia="仿宋_GB2312"/>
          <w:sz w:val="32"/>
          <w:szCs w:val="32"/>
          <w:lang w:val="en-US" w:eastAsia="zh-CN"/>
        </w:rPr>
        <w:t>248.66</w:t>
      </w:r>
      <w:r>
        <w:rPr>
          <w:rFonts w:hint="default" w:ascii="Times New Roman" w:hAnsi="Times New Roman" w:eastAsia="方正仿宋_GBK" w:cs="Times New Roman"/>
          <w:color w:val="auto"/>
          <w:sz w:val="33"/>
          <w:szCs w:val="33"/>
        </w:rPr>
        <w:t>万元</w:t>
      </w:r>
      <w:r>
        <w:rPr>
          <w:rFonts w:hint="eastAsia" w:ascii="Times New Roman" w:hAnsi="Times New Roman" w:eastAsia="方正仿宋_GBK" w:cs="Times New Roman"/>
          <w:color w:val="auto"/>
          <w:sz w:val="33"/>
          <w:szCs w:val="33"/>
          <w:lang w:eastAsia="zh-CN"/>
        </w:rPr>
        <w:t>。</w:t>
      </w:r>
    </w:p>
    <w:p w14:paraId="12E61C73">
      <w:pPr>
        <w:widowControl/>
        <w:adjustRightInd w:val="0"/>
        <w:snapToGrid w:val="0"/>
        <w:spacing w:line="578" w:lineRule="exact"/>
        <w:ind w:firstLine="643" w:firstLineChars="200"/>
        <w:contextualSpacing/>
        <w:jc w:val="left"/>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025</w:t>
      </w:r>
      <w:r>
        <w:rPr>
          <w:rFonts w:hint="eastAsia" w:eastAsia="仿宋_GB2312"/>
          <w:sz w:val="32"/>
          <w:szCs w:val="32"/>
        </w:rPr>
        <w:t>年决算</w:t>
      </w:r>
      <w:r>
        <w:rPr>
          <w:rFonts w:hint="eastAsia" w:eastAsia="仿宋_GB2312"/>
          <w:sz w:val="32"/>
          <w:szCs w:val="32"/>
          <w:lang w:eastAsia="zh-CN"/>
        </w:rPr>
        <w:t>无</w:t>
      </w:r>
      <w:r>
        <w:rPr>
          <w:rFonts w:eastAsia="仿宋_GB2312"/>
          <w:sz w:val="32"/>
          <w:szCs w:val="32"/>
        </w:rPr>
        <w:t>结转结余</w:t>
      </w:r>
      <w:r>
        <w:rPr>
          <w:rFonts w:hint="eastAsia" w:eastAsia="仿宋_GB2312"/>
          <w:sz w:val="32"/>
          <w:szCs w:val="32"/>
        </w:rPr>
        <w:t>情况</w:t>
      </w:r>
      <w:r>
        <w:rPr>
          <w:rFonts w:eastAsia="仿宋_GB2312"/>
          <w:sz w:val="32"/>
          <w:szCs w:val="32"/>
        </w:rPr>
        <w:t>。</w:t>
      </w:r>
    </w:p>
    <w:p w14:paraId="2A4DED31">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14:paraId="3875877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14:paraId="6B7A07EF">
      <w:pPr>
        <w:keepNext w:val="0"/>
        <w:keepLines w:val="0"/>
        <w:pageBreakBefore w:val="0"/>
        <w:widowControl w:val="0"/>
        <w:kinsoku/>
        <w:wordWrap/>
        <w:overflowPunct/>
        <w:topLinePunct w:val="0"/>
        <w:autoSpaceDE/>
        <w:autoSpaceDN/>
        <w:bidi w:val="0"/>
        <w:adjustRightInd/>
        <w:snapToGrid/>
        <w:spacing w:line="576" w:lineRule="exact"/>
        <w:ind w:firstLine="660" w:firstLineChars="200"/>
        <w:textAlignment w:val="auto"/>
        <w:rPr>
          <w:rFonts w:hint="eastAsia" w:ascii="Times New Roman" w:hAnsi="Times New Roman" w:eastAsia="方正仿宋_GBK" w:cs="Times New Roman"/>
          <w:color w:val="auto"/>
          <w:sz w:val="33"/>
          <w:szCs w:val="33"/>
          <w:lang w:val="zh-CN"/>
        </w:rPr>
      </w:pPr>
      <w:r>
        <w:rPr>
          <w:rFonts w:hint="eastAsia" w:ascii="Times New Roman" w:hAnsi="Times New Roman" w:eastAsia="方正仿宋_GBK" w:cs="Times New Roman"/>
          <w:color w:val="auto"/>
          <w:sz w:val="33"/>
          <w:szCs w:val="33"/>
          <w:lang w:val="zh-CN"/>
        </w:rPr>
        <w:t>人员经费全年支出</w:t>
      </w:r>
      <w:r>
        <w:rPr>
          <w:rFonts w:hint="eastAsia" w:ascii="Times New Roman" w:hAnsi="Times New Roman" w:eastAsia="方正仿宋_GBK" w:cs="Times New Roman"/>
          <w:color w:val="auto"/>
          <w:sz w:val="33"/>
          <w:szCs w:val="33"/>
          <w:lang w:val="en-US" w:eastAsia="zh-CN"/>
        </w:rPr>
        <w:t>149.13</w:t>
      </w:r>
      <w:r>
        <w:rPr>
          <w:rFonts w:hint="eastAsia" w:ascii="Times New Roman" w:hAnsi="Times New Roman" w:eastAsia="方正仿宋_GBK" w:cs="Times New Roman"/>
          <w:color w:val="auto"/>
          <w:sz w:val="33"/>
          <w:szCs w:val="33"/>
          <w:lang w:val="zh-CN"/>
        </w:rPr>
        <w:t>万元。用于保障单位正常运转人员支出，包括职工个人的工资、津贴补贴、奖金和其他各项补助、退休人员生活补助及医疗费等，人员类支出按定员定额编制预算，资金支出按进度执行，无违规记录，预算执行率 100%，无结余。</w:t>
      </w:r>
    </w:p>
    <w:p w14:paraId="7D716080">
      <w:pPr>
        <w:keepNext w:val="0"/>
        <w:keepLines w:val="0"/>
        <w:pageBreakBefore w:val="0"/>
        <w:widowControl w:val="0"/>
        <w:kinsoku/>
        <w:wordWrap/>
        <w:overflowPunct/>
        <w:topLinePunct w:val="0"/>
        <w:autoSpaceDE/>
        <w:autoSpaceDN/>
        <w:bidi w:val="0"/>
        <w:adjustRightInd/>
        <w:snapToGrid/>
        <w:spacing w:line="576" w:lineRule="exact"/>
        <w:ind w:firstLine="660" w:firstLineChars="200"/>
        <w:textAlignment w:val="auto"/>
        <w:rPr>
          <w:rFonts w:hint="eastAsia" w:ascii="Times New Roman" w:hAnsi="Times New Roman" w:eastAsia="方正仿宋_GBK" w:cs="Times New Roman"/>
          <w:color w:val="auto"/>
          <w:sz w:val="33"/>
          <w:szCs w:val="33"/>
          <w:lang w:val="zh-CN"/>
        </w:rPr>
      </w:pPr>
      <w:r>
        <w:rPr>
          <w:rFonts w:hint="eastAsia" w:ascii="Times New Roman" w:hAnsi="Times New Roman" w:eastAsia="方正仿宋_GBK" w:cs="Times New Roman"/>
          <w:color w:val="auto"/>
          <w:sz w:val="33"/>
          <w:szCs w:val="33"/>
          <w:lang w:val="zh-CN"/>
        </w:rPr>
        <w:t xml:space="preserve">公用经费全年支出 </w:t>
      </w:r>
      <w:r>
        <w:rPr>
          <w:rFonts w:hint="eastAsia" w:ascii="Times New Roman" w:hAnsi="Times New Roman" w:eastAsia="方正仿宋_GBK" w:cs="Times New Roman"/>
          <w:color w:val="auto"/>
          <w:sz w:val="33"/>
          <w:szCs w:val="33"/>
          <w:lang w:val="en-US" w:eastAsia="zh-CN"/>
        </w:rPr>
        <w:t>17.76</w:t>
      </w:r>
      <w:r>
        <w:rPr>
          <w:rFonts w:hint="eastAsia" w:ascii="Times New Roman" w:hAnsi="Times New Roman" w:eastAsia="方正仿宋_GBK" w:cs="Times New Roman"/>
          <w:color w:val="auto"/>
          <w:sz w:val="33"/>
          <w:szCs w:val="33"/>
          <w:lang w:val="zh-CN"/>
        </w:rPr>
        <w:t>万元。用于保障正常运转的</w:t>
      </w:r>
    </w:p>
    <w:p w14:paraId="3E6CCD7A">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Times New Roman" w:hAnsi="Times New Roman" w:eastAsia="方正仿宋_GBK" w:cs="Times New Roman"/>
          <w:color w:val="auto"/>
          <w:sz w:val="33"/>
          <w:szCs w:val="33"/>
          <w:lang w:val="zh-CN"/>
        </w:rPr>
      </w:pPr>
      <w:r>
        <w:rPr>
          <w:rFonts w:hint="eastAsia" w:ascii="Times New Roman" w:hAnsi="Times New Roman" w:eastAsia="方正仿宋_GBK" w:cs="Times New Roman"/>
          <w:color w:val="auto"/>
          <w:sz w:val="33"/>
          <w:szCs w:val="33"/>
          <w:lang w:val="zh-CN"/>
        </w:rPr>
        <w:t>日常公用支出，包括办公费、邮电费、差旅费、</w:t>
      </w:r>
      <w:r>
        <w:rPr>
          <w:rFonts w:hint="eastAsia" w:eastAsia="仿宋_GB2312" w:cs="仿宋_GB2312"/>
          <w:color w:val="auto"/>
          <w:sz w:val="32"/>
          <w:szCs w:val="32"/>
        </w:rPr>
        <w:t>维修（护）费、培训费、公务接待费、委托业务费、工会经费、福利费、办公设备购置等。</w:t>
      </w:r>
      <w:r>
        <w:rPr>
          <w:rFonts w:hint="eastAsia" w:ascii="Times New Roman" w:hAnsi="Times New Roman" w:eastAsia="方正仿宋_GBK" w:cs="Times New Roman"/>
          <w:color w:val="auto"/>
          <w:sz w:val="33"/>
          <w:szCs w:val="33"/>
          <w:lang w:val="zh-CN"/>
        </w:rPr>
        <w:t>严格按照财政下达部门预算运转类批复使用资金，严格执行国库集中支付制度，无违规记录，预算执行率达 100%，无结余。</w:t>
      </w:r>
    </w:p>
    <w:p w14:paraId="055E98B6">
      <w:pPr>
        <w:keepNext w:val="0"/>
        <w:keepLines w:val="0"/>
        <w:pageBreakBefore w:val="0"/>
        <w:widowControl w:val="0"/>
        <w:kinsoku/>
        <w:wordWrap/>
        <w:overflowPunct/>
        <w:topLinePunct w:val="0"/>
        <w:autoSpaceDE/>
        <w:autoSpaceDN/>
        <w:bidi w:val="0"/>
        <w:adjustRightInd/>
        <w:snapToGrid/>
        <w:spacing w:line="576" w:lineRule="exact"/>
        <w:ind w:firstLine="660" w:firstLineChars="200"/>
        <w:textAlignment w:val="auto"/>
        <w:rPr>
          <w:rFonts w:hint="default" w:ascii="Times New Roman" w:hAnsi="Times New Roman" w:eastAsia="方正仿宋_GBK" w:cs="Times New Roman"/>
          <w:color w:val="auto"/>
          <w:sz w:val="33"/>
          <w:szCs w:val="33"/>
          <w:lang w:val="zh-CN"/>
        </w:rPr>
      </w:pPr>
      <w:r>
        <w:rPr>
          <w:rFonts w:hint="eastAsia" w:ascii="Times New Roman" w:hAnsi="Times New Roman" w:eastAsia="方正仿宋_GBK" w:cs="Times New Roman"/>
          <w:color w:val="auto"/>
          <w:sz w:val="33"/>
          <w:szCs w:val="33"/>
          <w:lang w:val="zh-CN"/>
        </w:rPr>
        <w:t>项目经费全年支出合计</w:t>
      </w:r>
      <w:r>
        <w:rPr>
          <w:rFonts w:hint="eastAsia" w:ascii="Times New Roman" w:hAnsi="Times New Roman" w:eastAsia="方正仿宋_GBK" w:cs="Times New Roman"/>
          <w:color w:val="auto"/>
          <w:sz w:val="33"/>
          <w:szCs w:val="33"/>
          <w:lang w:val="en-US" w:eastAsia="zh-CN"/>
        </w:rPr>
        <w:t>81.76</w:t>
      </w:r>
      <w:r>
        <w:rPr>
          <w:rFonts w:hint="eastAsia" w:ascii="Times New Roman" w:hAnsi="Times New Roman" w:eastAsia="方正仿宋_GBK" w:cs="Times New Roman"/>
          <w:color w:val="auto"/>
          <w:sz w:val="33"/>
          <w:szCs w:val="33"/>
          <w:lang w:val="zh-CN"/>
        </w:rPr>
        <w:t>万元。主要包括：</w:t>
      </w:r>
      <w:r>
        <w:rPr>
          <w:rFonts w:hint="default" w:ascii="Times New Roman" w:hAnsi="Times New Roman" w:eastAsia="方正仿宋_GBK" w:cs="Times New Roman"/>
          <w:color w:val="auto"/>
          <w:kern w:val="2"/>
          <w:sz w:val="33"/>
          <w:szCs w:val="33"/>
        </w:rPr>
        <w:t>档案馆运行经费</w:t>
      </w:r>
      <w:r>
        <w:rPr>
          <w:rFonts w:hint="default" w:ascii="Times New Roman" w:hAnsi="Times New Roman" w:eastAsia="方正仿宋_GBK" w:cs="Times New Roman"/>
          <w:color w:val="auto"/>
          <w:kern w:val="2"/>
          <w:sz w:val="33"/>
          <w:szCs w:val="33"/>
          <w:lang w:eastAsia="zh-CN"/>
        </w:rPr>
        <w:t>、</w:t>
      </w:r>
      <w:r>
        <w:rPr>
          <w:rFonts w:hint="default" w:ascii="Times New Roman" w:hAnsi="Times New Roman" w:eastAsia="方正仿宋_GBK" w:cs="Times New Roman"/>
          <w:color w:val="auto"/>
          <w:kern w:val="2"/>
          <w:sz w:val="33"/>
          <w:szCs w:val="33"/>
        </w:rPr>
        <w:t>物业管理经费、</w:t>
      </w:r>
      <w:r>
        <w:rPr>
          <w:rFonts w:hint="default" w:ascii="Times New Roman" w:hAnsi="Times New Roman" w:eastAsia="仿宋_GB2312" w:cs="Times New Roman"/>
          <w:color w:val="auto"/>
          <w:sz w:val="32"/>
          <w:szCs w:val="32"/>
          <w:lang w:eastAsia="zh-CN"/>
        </w:rPr>
        <w:t>消防</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空调系统维保经费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仿宋_GB2312"/>
          <w:sz w:val="32"/>
          <w:szCs w:val="32"/>
          <w:lang w:val="en-US" w:eastAsia="zh-CN"/>
        </w:rPr>
        <w:t>国有企业退休人员人事档案管理经费及数字档案馆建设工作经费、档案事业发展专项资金。</w:t>
      </w:r>
      <w:r>
        <w:rPr>
          <w:rFonts w:hint="default" w:ascii="Times New Roman" w:hAnsi="Times New Roman" w:eastAsia="方正仿宋_GBK" w:cs="Times New Roman"/>
          <w:color w:val="auto"/>
          <w:kern w:val="2"/>
          <w:sz w:val="33"/>
          <w:szCs w:val="33"/>
        </w:rPr>
        <w:t>较好了完成了当年的绩效目标。</w:t>
      </w:r>
      <w:r>
        <w:rPr>
          <w:rFonts w:hint="eastAsia" w:ascii="Times New Roman" w:hAnsi="Times New Roman" w:eastAsia="方正仿宋_GBK" w:cs="Times New Roman"/>
          <w:color w:val="auto"/>
          <w:sz w:val="33"/>
          <w:szCs w:val="33"/>
          <w:lang w:val="zh-CN"/>
        </w:rPr>
        <w:t>项目预算执行率 100%，无结余。</w:t>
      </w:r>
    </w:p>
    <w:p w14:paraId="49FE60A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zh-CN" w:eastAsia="zh-CN"/>
        </w:rPr>
        <w:t>履职效能。202</w:t>
      </w:r>
      <w:r>
        <w:rPr>
          <w:rFonts w:hint="eastAsia" w:ascii="Times New Roman" w:hAnsi="Times New Roman" w:eastAsia="仿宋_GB2312" w:cs="仿宋_GB2312"/>
          <w:sz w:val="32"/>
          <w:szCs w:val="32"/>
          <w:lang w:val="en-US" w:eastAsia="zh-CN"/>
        </w:rPr>
        <w:t>5年我馆</w:t>
      </w:r>
      <w:r>
        <w:rPr>
          <w:rFonts w:hint="eastAsia" w:ascii="Times New Roman" w:hAnsi="Times New Roman" w:eastAsia="仿宋_GB2312" w:cs="仿宋_GB2312"/>
          <w:sz w:val="32"/>
          <w:szCs w:val="32"/>
          <w:lang w:val="zh-CN" w:eastAsia="zh-CN"/>
        </w:rPr>
        <w:t>顺利完了项目预算执行任务，通过各项指标的监测和分析，工作效率和工作质量得到了提高。</w:t>
      </w:r>
      <w:r>
        <w:rPr>
          <w:rFonts w:hint="eastAsia" w:ascii="Times New Roman" w:hAnsi="Times New Roman" w:eastAsia="仿宋_GB2312" w:cs="仿宋_GB2312"/>
          <w:sz w:val="32"/>
          <w:szCs w:val="32"/>
          <w:lang w:val="en-US" w:eastAsia="zh-CN"/>
        </w:rPr>
        <w:t>仁和区档案馆使用面积3696平米，是区级重点消防单位，配有七氟丙烷气体灭火系统，需专业人员24小时值班。</w:t>
      </w:r>
      <w:r>
        <w:rPr>
          <w:rFonts w:hint="eastAsia" w:ascii="Times New Roman" w:hAnsi="Times New Roman" w:eastAsia="仿宋_GB2312" w:cs="仿宋_GB2312"/>
          <w:sz w:val="32"/>
          <w:szCs w:val="32"/>
          <w:lang w:val="zh-CN" w:eastAsia="zh-CN"/>
        </w:rPr>
        <w:t>保证档案馆消防灭火系统、恒温空调、电梯、低温冷冻杀虫柜等设施设备正常运行，</w:t>
      </w:r>
      <w:r>
        <w:rPr>
          <w:rFonts w:hint="eastAsia" w:ascii="Times New Roman" w:hAnsi="Times New Roman" w:eastAsia="仿宋_GB2312" w:cs="仿宋_GB2312"/>
          <w:sz w:val="32"/>
          <w:szCs w:val="32"/>
          <w:lang w:val="en-US" w:eastAsia="zh-CN"/>
        </w:rPr>
        <w:t>达到档案安全保管“十防”要求，</w:t>
      </w:r>
      <w:r>
        <w:rPr>
          <w:rFonts w:hint="eastAsia" w:ascii="Times New Roman" w:hAnsi="Times New Roman" w:eastAsia="仿宋_GB2312" w:cs="仿宋_GB2312"/>
          <w:sz w:val="32"/>
          <w:szCs w:val="32"/>
          <w:lang w:val="zh-CN" w:eastAsia="zh-CN"/>
        </w:rPr>
        <w:t>确保馆藏档案温湿度控制在标准范围内，延长档案寿命，</w:t>
      </w:r>
      <w:r>
        <w:rPr>
          <w:rFonts w:hint="eastAsia" w:ascii="Times New Roman" w:hAnsi="Times New Roman" w:eastAsia="仿宋_GB2312" w:cs="仿宋_GB2312"/>
          <w:sz w:val="32"/>
          <w:szCs w:val="32"/>
          <w:lang w:val="en-US" w:eastAsia="zh-CN"/>
        </w:rPr>
        <w:t>确保馆藏档案安全，为5000余人次档案查借阅利用者提供优质服务。建成涵盖全部馆藏目录数据库和全文、照片、音视频数据库，馆藏数字化率100%。2025年，我馆完成数字档案馆建设资源配置、数据机房改造、数据库管理系统布置、设施设备采购等工作。经省档案局组织专家组审核验收，仁和区档案馆被认定为“四川省数字档案馆”。</w:t>
      </w:r>
    </w:p>
    <w:p w14:paraId="71ED174D">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en-US" w:eastAsia="zh-CN"/>
        </w:rPr>
        <w:t>2</w:t>
      </w:r>
      <w:r>
        <w:rPr>
          <w:rFonts w:hint="eastAsia" w:eastAsia="仿宋_GB2312" w:cs="仿宋_GB2312"/>
          <w:sz w:val="32"/>
          <w:szCs w:val="32"/>
        </w:rPr>
        <w:t>.</w:t>
      </w:r>
      <w:r>
        <w:rPr>
          <w:rFonts w:eastAsia="仿宋_GB2312" w:cs="仿宋_GB2312"/>
          <w:sz w:val="32"/>
          <w:szCs w:val="32"/>
          <w:lang w:val="zh-CN"/>
        </w:rPr>
        <w:t>预算管理</w:t>
      </w:r>
      <w:r>
        <w:rPr>
          <w:rFonts w:hint="eastAsia" w:eastAsia="仿宋_GB2312" w:cs="仿宋_GB2312"/>
          <w:sz w:val="32"/>
          <w:szCs w:val="32"/>
          <w:lang w:val="zh-CN"/>
        </w:rPr>
        <w:t>。仁和区档案馆202</w:t>
      </w:r>
      <w:r>
        <w:rPr>
          <w:rFonts w:hint="eastAsia" w:eastAsia="仿宋_GB2312" w:cs="仿宋_GB2312"/>
          <w:sz w:val="32"/>
          <w:szCs w:val="32"/>
          <w:lang w:val="en-US" w:eastAsia="zh-CN"/>
        </w:rPr>
        <w:t>5</w:t>
      </w:r>
      <w:r>
        <w:rPr>
          <w:rFonts w:hint="eastAsia" w:eastAsia="仿宋_GB2312" w:cs="仿宋_GB2312"/>
          <w:sz w:val="32"/>
          <w:szCs w:val="32"/>
          <w:lang w:val="zh-CN"/>
        </w:rPr>
        <w:t>年预算编报依据充分、项目细化、绩效设置完整，与部门职责和年度工作重点相符，合理安排资金使用计划，切实加强部门预算支出执行管理和监督工作，确保资金及时、足额到位，充分发挥财政资金的使用效益，确保各项工作高质量完成。</w:t>
      </w:r>
    </w:p>
    <w:p w14:paraId="1173AE37">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lang w:val="en-US" w:eastAsia="zh-CN"/>
        </w:rPr>
        <w:t>3</w:t>
      </w:r>
      <w:r>
        <w:rPr>
          <w:rFonts w:hint="eastAsia" w:eastAsia="仿宋_GB2312" w:cs="仿宋_GB2312"/>
          <w:sz w:val="32"/>
          <w:szCs w:val="32"/>
        </w:rPr>
        <w:t>.</w:t>
      </w:r>
      <w:r>
        <w:rPr>
          <w:rFonts w:eastAsia="仿宋_GB2312" w:cs="仿宋_GB2312"/>
          <w:sz w:val="32"/>
          <w:szCs w:val="32"/>
          <w:lang w:val="zh-CN"/>
        </w:rPr>
        <w:t>财务管理</w:t>
      </w:r>
      <w:r>
        <w:rPr>
          <w:rFonts w:hint="eastAsia" w:eastAsia="仿宋_GB2312" w:cs="仿宋_GB2312"/>
          <w:sz w:val="32"/>
          <w:szCs w:val="32"/>
          <w:lang w:val="zh-CN"/>
        </w:rPr>
        <w:t>。制定出切合单位实际财务支出审批制度，不超标准和范围合理安排资金、资金管理使用的各个环节是严格按照资金管理办法的规定执行；围绕财务管理制度、财务岗位设置、资金使用规范</w:t>
      </w:r>
      <w:r>
        <w:rPr>
          <w:rFonts w:eastAsia="仿宋_GB2312" w:cs="仿宋_GB2312"/>
          <w:sz w:val="32"/>
          <w:szCs w:val="32"/>
          <w:lang w:val="zh-CN"/>
        </w:rPr>
        <w:t>进行绩效分析</w:t>
      </w:r>
      <w:r>
        <w:rPr>
          <w:rFonts w:hint="eastAsia" w:eastAsia="仿宋_GB2312" w:cs="仿宋_GB2312"/>
          <w:sz w:val="32"/>
          <w:szCs w:val="32"/>
          <w:lang w:val="zh-CN"/>
        </w:rPr>
        <w:t>。</w:t>
      </w:r>
    </w:p>
    <w:p w14:paraId="0F523F20">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en-US" w:eastAsia="zh-CN"/>
        </w:rPr>
        <w:t>4</w:t>
      </w:r>
      <w:r>
        <w:rPr>
          <w:rFonts w:hint="eastAsia" w:eastAsia="仿宋_GB2312" w:cs="仿宋_GB2312"/>
          <w:sz w:val="32"/>
          <w:szCs w:val="32"/>
        </w:rPr>
        <w:t>.</w:t>
      </w:r>
      <w:r>
        <w:rPr>
          <w:rFonts w:eastAsia="仿宋_GB2312" w:cs="仿宋_GB2312"/>
          <w:sz w:val="32"/>
          <w:szCs w:val="32"/>
          <w:lang w:val="zh-CN"/>
        </w:rPr>
        <w:t>资产管理</w:t>
      </w:r>
      <w:r>
        <w:rPr>
          <w:rFonts w:hint="eastAsia" w:eastAsia="仿宋_GB2312" w:cs="仿宋_GB2312"/>
          <w:sz w:val="32"/>
          <w:szCs w:val="32"/>
          <w:lang w:val="zh-CN"/>
        </w:rPr>
        <w:t>。加强国有资产日常管理工作，严格落实国有资产清查、登记、上报制度，建立固定资产台账，定期进行清查，及时更新国有资产管理系统，定期完成国有资产月报工作。及时通过固定资产明细账、固定资产卡片进行会计核算，确保固定资产账实相符。</w:t>
      </w:r>
    </w:p>
    <w:p w14:paraId="4EE63DB2">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en-US" w:eastAsia="zh-CN"/>
        </w:rPr>
        <w:t>5.</w:t>
      </w:r>
      <w:r>
        <w:rPr>
          <w:rFonts w:eastAsia="仿宋_GB2312" w:cs="仿宋_GB2312"/>
          <w:sz w:val="32"/>
          <w:szCs w:val="32"/>
          <w:lang w:val="zh-CN"/>
        </w:rPr>
        <w:t>采购管理</w:t>
      </w:r>
      <w:r>
        <w:rPr>
          <w:rFonts w:hint="eastAsia" w:eastAsia="仿宋_GB2312" w:cs="仿宋_GB2312"/>
          <w:sz w:val="32"/>
          <w:szCs w:val="32"/>
          <w:lang w:val="zh-CN"/>
        </w:rPr>
        <w:t>。建立了国有资产的采购、管理和核算内部控制体系，明确资产配置、使用、处置等程序和审核审批权限。</w:t>
      </w:r>
    </w:p>
    <w:p w14:paraId="3AB263E3">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14:paraId="5FE80D83">
      <w:pPr>
        <w:spacing w:line="578" w:lineRule="exact"/>
        <w:ind w:firstLine="643" w:firstLineChars="200"/>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p>
    <w:p w14:paraId="0E964E03">
      <w:pPr>
        <w:keepNext w:val="0"/>
        <w:keepLines w:val="0"/>
        <w:pageBreakBefore w:val="0"/>
        <w:widowControl w:val="0"/>
        <w:kinsoku/>
        <w:wordWrap/>
        <w:overflowPunct/>
        <w:topLinePunct w:val="0"/>
        <w:autoSpaceDE/>
        <w:autoSpaceDN/>
        <w:bidi w:val="0"/>
        <w:adjustRightInd/>
        <w:snapToGrid/>
        <w:spacing w:line="576" w:lineRule="exact"/>
        <w:ind w:firstLine="660" w:firstLineChars="200"/>
        <w:textAlignment w:val="auto"/>
        <w:rPr>
          <w:rFonts w:hint="default" w:ascii="Times New Roman" w:hAnsi="Times New Roman" w:eastAsia="方正仿宋_GBK" w:cs="Times New Roman"/>
          <w:b w:val="0"/>
          <w:bCs w:val="0"/>
          <w:color w:val="auto"/>
          <w:sz w:val="33"/>
          <w:szCs w:val="33"/>
          <w:lang w:val="en-US" w:eastAsia="zh-CN"/>
        </w:rPr>
      </w:pPr>
      <w:r>
        <w:rPr>
          <w:rFonts w:hint="default" w:ascii="Times New Roman" w:hAnsi="Times New Roman" w:eastAsia="方正仿宋_GBK" w:cs="Times New Roman"/>
          <w:b w:val="0"/>
          <w:bCs w:val="0"/>
          <w:color w:val="auto"/>
          <w:sz w:val="33"/>
          <w:szCs w:val="33"/>
          <w:lang w:val="en-US" w:eastAsia="zh-CN"/>
        </w:rPr>
        <w:t>202</w:t>
      </w:r>
      <w:r>
        <w:rPr>
          <w:rFonts w:hint="eastAsia" w:ascii="Times New Roman" w:hAnsi="Times New Roman" w:eastAsia="方正仿宋_GBK" w:cs="Times New Roman"/>
          <w:b w:val="0"/>
          <w:bCs w:val="0"/>
          <w:color w:val="auto"/>
          <w:sz w:val="33"/>
          <w:szCs w:val="33"/>
          <w:lang w:val="en-US" w:eastAsia="zh-CN"/>
        </w:rPr>
        <w:t>5</w:t>
      </w:r>
      <w:r>
        <w:rPr>
          <w:rFonts w:hint="default" w:ascii="Times New Roman" w:hAnsi="Times New Roman" w:eastAsia="方正仿宋_GBK" w:cs="Times New Roman"/>
          <w:b w:val="0"/>
          <w:bCs w:val="0"/>
          <w:color w:val="auto"/>
          <w:sz w:val="33"/>
          <w:szCs w:val="33"/>
          <w:lang w:val="en-US" w:eastAsia="zh-CN"/>
        </w:rPr>
        <w:t>年度部门整体支出绩效良好，基本支出保证了正常运行。根据部门整体工作开展情况的相关资料、通过实地核查并结合202</w:t>
      </w:r>
      <w:r>
        <w:rPr>
          <w:rFonts w:hint="eastAsia" w:ascii="Times New Roman" w:hAnsi="Times New Roman" w:eastAsia="方正仿宋_GBK" w:cs="Times New Roman"/>
          <w:b w:val="0"/>
          <w:bCs w:val="0"/>
          <w:color w:val="auto"/>
          <w:sz w:val="33"/>
          <w:szCs w:val="33"/>
          <w:lang w:val="en-US" w:eastAsia="zh-CN"/>
        </w:rPr>
        <w:t>5</w:t>
      </w:r>
      <w:r>
        <w:rPr>
          <w:rFonts w:hint="default" w:ascii="Times New Roman" w:hAnsi="Times New Roman" w:eastAsia="方正仿宋_GBK" w:cs="Times New Roman"/>
          <w:b w:val="0"/>
          <w:bCs w:val="0"/>
          <w:color w:val="auto"/>
          <w:sz w:val="33"/>
          <w:szCs w:val="33"/>
          <w:lang w:val="en-US" w:eastAsia="zh-CN"/>
        </w:rPr>
        <w:t>年实际履职情况，依据设定的评价指标逐一进行评分，自评总得分为</w:t>
      </w:r>
      <w:r>
        <w:rPr>
          <w:rFonts w:hint="eastAsia" w:ascii="Times New Roman" w:hAnsi="Times New Roman" w:eastAsia="方正仿宋_GBK" w:cs="Times New Roman"/>
          <w:b w:val="0"/>
          <w:bCs w:val="0"/>
          <w:color w:val="auto"/>
          <w:sz w:val="33"/>
          <w:szCs w:val="33"/>
          <w:lang w:val="en-US" w:eastAsia="zh-CN"/>
        </w:rPr>
        <w:t>95</w:t>
      </w:r>
      <w:r>
        <w:rPr>
          <w:rFonts w:hint="default" w:ascii="Times New Roman" w:hAnsi="Times New Roman" w:eastAsia="方正仿宋_GBK" w:cs="Times New Roman"/>
          <w:b w:val="0"/>
          <w:bCs w:val="0"/>
          <w:color w:val="auto"/>
          <w:sz w:val="33"/>
          <w:szCs w:val="33"/>
          <w:lang w:val="en-US" w:eastAsia="zh-CN"/>
        </w:rPr>
        <w:t>分。</w:t>
      </w:r>
    </w:p>
    <w:p w14:paraId="4AEDA772">
      <w:pPr>
        <w:widowControl/>
        <w:numPr>
          <w:ilvl w:val="0"/>
          <w:numId w:val="3"/>
        </w:numPr>
        <w:adjustRightInd w:val="0"/>
        <w:snapToGrid w:val="0"/>
        <w:spacing w:line="578"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存在问题。</w:t>
      </w:r>
    </w:p>
    <w:p w14:paraId="6E616604">
      <w:pPr>
        <w:pStyle w:val="13"/>
        <w:ind w:firstLine="660" w:firstLineChars="200"/>
        <w:rPr>
          <w:rFonts w:hint="default" w:ascii="Times New Roman" w:hAnsi="Times New Roman" w:eastAsia="方正仿宋_GBK" w:cs="Times New Roman"/>
          <w:b w:val="0"/>
          <w:bCs w:val="0"/>
          <w:color w:val="auto"/>
          <w:sz w:val="33"/>
          <w:szCs w:val="33"/>
          <w:lang w:val="en-US" w:eastAsia="zh-CN"/>
        </w:rPr>
      </w:pPr>
      <w:r>
        <w:rPr>
          <w:rFonts w:hint="default" w:ascii="Times New Roman" w:hAnsi="Times New Roman" w:eastAsia="方正仿宋_GBK" w:cs="Times New Roman"/>
          <w:b w:val="0"/>
          <w:bCs w:val="0"/>
          <w:color w:val="auto"/>
          <w:sz w:val="33"/>
          <w:szCs w:val="33"/>
          <w:lang w:val="en-US" w:eastAsia="zh-CN"/>
        </w:rPr>
        <w:t>在开展了预算绩效管理工作，部门整体支出绩效自评不够全面，</w:t>
      </w:r>
      <w:r>
        <w:rPr>
          <w:rFonts w:hint="eastAsia" w:ascii="Times New Roman" w:hAnsi="Times New Roman" w:eastAsia="方正仿宋_GBK" w:cs="Times New Roman"/>
          <w:b w:val="0"/>
          <w:bCs w:val="0"/>
          <w:color w:val="auto"/>
          <w:sz w:val="33"/>
          <w:szCs w:val="33"/>
          <w:lang w:val="zh-CN" w:eastAsia="zh-CN"/>
        </w:rPr>
        <w:t>预算管理不够精，</w:t>
      </w:r>
      <w:r>
        <w:rPr>
          <w:rFonts w:hint="default" w:ascii="Times New Roman" w:hAnsi="Times New Roman" w:eastAsia="方正仿宋_GBK" w:cs="Times New Roman"/>
          <w:b w:val="0"/>
          <w:bCs w:val="0"/>
          <w:color w:val="auto"/>
          <w:sz w:val="33"/>
          <w:szCs w:val="33"/>
          <w:lang w:val="en-US" w:eastAsia="zh-CN"/>
        </w:rPr>
        <w:t>资金使用预见性、使用效益有待进一步提高。</w:t>
      </w:r>
    </w:p>
    <w:p w14:paraId="5248DE5C">
      <w:pPr>
        <w:widowControl/>
        <w:numPr>
          <w:ilvl w:val="0"/>
          <w:numId w:val="3"/>
        </w:numPr>
        <w:adjustRightInd w:val="0"/>
        <w:snapToGrid w:val="0"/>
        <w:spacing w:line="578" w:lineRule="exact"/>
        <w:ind w:left="0" w:leftChars="0"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改进建议。</w:t>
      </w:r>
      <w:bookmarkStart w:id="47" w:name="_Hlk110546638"/>
    </w:p>
    <w:p w14:paraId="09B711BD">
      <w:pPr>
        <w:keepNext w:val="0"/>
        <w:keepLines w:val="0"/>
        <w:pageBreakBefore w:val="0"/>
        <w:widowControl w:val="0"/>
        <w:kinsoku/>
        <w:wordWrap/>
        <w:overflowPunct/>
        <w:topLinePunct w:val="0"/>
        <w:autoSpaceDE/>
        <w:autoSpaceDN/>
        <w:bidi w:val="0"/>
        <w:adjustRightInd/>
        <w:snapToGrid/>
        <w:spacing w:line="576" w:lineRule="exact"/>
        <w:ind w:firstLine="660" w:firstLineChars="200"/>
        <w:textAlignment w:val="auto"/>
        <w:rPr>
          <w:rFonts w:eastAsia="仿宋_GB2312"/>
          <w:sz w:val="32"/>
          <w:szCs w:val="32"/>
        </w:rPr>
      </w:pPr>
      <w:r>
        <w:rPr>
          <w:rFonts w:hint="eastAsia" w:ascii="Times New Roman" w:hAnsi="Times New Roman" w:eastAsia="方正仿宋_GBK" w:cs="Times New Roman"/>
          <w:b w:val="0"/>
          <w:bCs w:val="0"/>
          <w:color w:val="auto"/>
          <w:sz w:val="33"/>
          <w:szCs w:val="33"/>
          <w:lang w:val="zh-CN" w:eastAsia="zh-CN"/>
        </w:rPr>
        <w:t>预算编制和预算管理还需进一步细化和加强，遵循先有预算、后有支出的原则，严格开支范围和标准，严格审核各项经费的支出，提高资金使用效率。</w:t>
      </w:r>
    </w:p>
    <w:bookmarkEnd w:id="47"/>
    <w:p w14:paraId="6C10D346">
      <w:pPr>
        <w:ind w:firstLine="640" w:firstLineChars="200"/>
        <w:jc w:val="both"/>
        <w:rPr>
          <w:rFonts w:hint="eastAsia" w:ascii="Times New Roman" w:eastAsia="仿宋_GB2312"/>
          <w:sz w:val="32"/>
          <w:lang w:val="zh-CN"/>
        </w:rPr>
      </w:pPr>
    </w:p>
    <w:p w14:paraId="4C0E29EF">
      <w:pPr>
        <w:pStyle w:val="7"/>
        <w:spacing w:line="560" w:lineRule="exact"/>
        <w:ind w:left="0" w:leftChars="0" w:firstLine="640"/>
        <w:rPr>
          <w:rFonts w:ascii="Times New Roman" w:eastAsia="仿宋_GB2312"/>
          <w:sz w:val="32"/>
          <w:lang w:val="zh-CN"/>
        </w:rPr>
      </w:pPr>
    </w:p>
    <w:p w14:paraId="530A519E">
      <w:pPr>
        <w:pStyle w:val="7"/>
        <w:spacing w:line="560" w:lineRule="exact"/>
        <w:ind w:left="0" w:leftChars="0" w:firstLine="640"/>
        <w:rPr>
          <w:rFonts w:ascii="Times New Roman" w:eastAsia="仿宋_GB2312"/>
          <w:sz w:val="32"/>
          <w:lang w:val="zh-CN"/>
        </w:rPr>
      </w:pPr>
      <w:r>
        <w:rPr>
          <w:rFonts w:hint="eastAsia" w:ascii="Times New Roman" w:eastAsia="仿宋_GB2312"/>
          <w:sz w:val="32"/>
          <w:lang w:val="zh-CN"/>
        </w:rPr>
        <w:t>附表：</w:t>
      </w:r>
      <w:r>
        <w:rPr>
          <w:rFonts w:hint="eastAsia" w:ascii="Times New Roman" w:eastAsia="仿宋_GB2312"/>
          <w:sz w:val="32"/>
        </w:rPr>
        <w:t>部门预算项目支出绩效自评表（2025年度）</w:t>
      </w:r>
    </w:p>
    <w:p w14:paraId="446C84FE">
      <w:pPr>
        <w:pStyle w:val="7"/>
        <w:spacing w:line="560" w:lineRule="exact"/>
        <w:ind w:left="0" w:leftChars="0" w:firstLine="0" w:firstLineChars="0"/>
        <w:rPr>
          <w:rFonts w:ascii="Times New Roman"/>
          <w:sz w:val="32"/>
          <w:highlight w:val="yellow"/>
          <w:lang w:val="zh-CN"/>
        </w:rPr>
      </w:pPr>
    </w:p>
    <w:p w14:paraId="7EC3126A">
      <w:pPr>
        <w:pStyle w:val="5"/>
        <w:spacing w:before="93"/>
        <w:rPr>
          <w:rFonts w:ascii="Times New Roman" w:cs="宋体"/>
          <w:color w:val="FF0000"/>
          <w:sz w:val="32"/>
          <w:szCs w:val="32"/>
          <w:highlight w:val="yellow"/>
          <w:shd w:val="clear" w:color="auto" w:fill="FFFFFF"/>
          <w:lang w:val="zh-CN"/>
        </w:rPr>
      </w:pPr>
    </w:p>
    <w:p w14:paraId="3CDB30DA">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34F0BAD0">
      <w:pPr>
        <w:pStyle w:val="5"/>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537B2AE1">
      <w:pPr>
        <w:pStyle w:val="34"/>
        <w:spacing w:line="578" w:lineRule="exact"/>
        <w:jc w:val="center"/>
        <w:rPr>
          <w:rFonts w:ascii="Times New Roman" w:hAnsi="Times New Roman" w:eastAsia="方正小标宋简体" w:cs="方正小标宋简体"/>
          <w:color w:val="auto"/>
          <w:kern w:val="2"/>
          <w:sz w:val="44"/>
          <w:szCs w:val="44"/>
          <w:lang w:val="en-US"/>
        </w:rPr>
      </w:pPr>
    </w:p>
    <w:p w14:paraId="0BC5B8D2">
      <w:pPr>
        <w:jc w:val="center"/>
        <w:rPr>
          <w:rFonts w:hint="default" w:ascii="Times New Roman" w:hAnsi="Times New Roman" w:eastAsia="方正黑体_GBK" w:cs="Times New Roman"/>
          <w:color w:val="auto"/>
          <w:kern w:val="2"/>
          <w:sz w:val="33"/>
          <w:szCs w:val="33"/>
        </w:rPr>
      </w:pPr>
      <w:r>
        <w:rPr>
          <w:rFonts w:hint="default" w:ascii="Times New Roman" w:hAnsi="Times New Roman" w:eastAsia="方正黑体_GBK" w:cs="Times New Roman"/>
          <w:color w:val="auto"/>
          <w:kern w:val="2"/>
          <w:sz w:val="33"/>
          <w:szCs w:val="33"/>
        </w:rPr>
        <w:t>仁和区档案馆202</w:t>
      </w:r>
      <w:r>
        <w:rPr>
          <w:rFonts w:hint="eastAsia" w:eastAsia="方正黑体_GBK" w:cs="Times New Roman"/>
          <w:color w:val="auto"/>
          <w:kern w:val="2"/>
          <w:sz w:val="33"/>
          <w:szCs w:val="33"/>
          <w:lang w:val="en-US" w:eastAsia="zh-CN"/>
        </w:rPr>
        <w:t>5</w:t>
      </w:r>
      <w:r>
        <w:rPr>
          <w:rFonts w:hint="default" w:ascii="Times New Roman" w:hAnsi="Times New Roman" w:eastAsia="方正黑体_GBK" w:cs="Times New Roman"/>
          <w:color w:val="auto"/>
          <w:kern w:val="2"/>
          <w:sz w:val="33"/>
          <w:szCs w:val="33"/>
        </w:rPr>
        <w:t>年专项资金预算项目绩效自评报告</w:t>
      </w:r>
    </w:p>
    <w:p w14:paraId="29DC0CE5">
      <w:pPr>
        <w:pStyle w:val="34"/>
        <w:keepNext w:val="0"/>
        <w:keepLines w:val="0"/>
        <w:pageBreakBefore w:val="0"/>
        <w:kinsoku/>
        <w:wordWrap/>
        <w:overflowPunct/>
        <w:topLinePunct w:val="0"/>
        <w:autoSpaceDE/>
        <w:autoSpaceDN/>
        <w:bidi w:val="0"/>
        <w:adjustRightInd/>
        <w:spacing w:line="240" w:lineRule="auto"/>
        <w:ind w:firstLine="660" w:firstLineChars="200"/>
        <w:jc w:val="center"/>
        <w:textAlignment w:val="auto"/>
        <w:rPr>
          <w:rFonts w:hint="eastAsia" w:eastAsia="方正黑体_GBK"/>
          <w:lang w:eastAsia="zh-CN"/>
        </w:rPr>
      </w:pPr>
      <w:r>
        <w:rPr>
          <w:rFonts w:hint="eastAsia" w:ascii="Times New Roman" w:hAnsi="Times New Roman" w:eastAsia="方正黑体_GBK" w:cs="Times New Roman"/>
          <w:color w:val="auto"/>
          <w:kern w:val="2"/>
          <w:sz w:val="33"/>
          <w:szCs w:val="33"/>
          <w:lang w:eastAsia="zh-CN"/>
        </w:rPr>
        <w:t>安保经费（</w:t>
      </w:r>
      <w:r>
        <w:rPr>
          <w:rFonts w:hint="default" w:ascii="Times New Roman" w:hAnsi="Times New Roman" w:eastAsia="方正黑体_GBK" w:cs="Times New Roman"/>
          <w:color w:val="auto"/>
          <w:sz w:val="33"/>
          <w:szCs w:val="33"/>
          <w:lang w:val="en-US"/>
        </w:rPr>
        <w:t>物业管理经费</w:t>
      </w:r>
      <w:r>
        <w:rPr>
          <w:rFonts w:hint="eastAsia" w:ascii="Times New Roman" w:hAnsi="Times New Roman" w:eastAsia="方正黑体_GBK" w:cs="Times New Roman"/>
          <w:color w:val="auto"/>
          <w:kern w:val="2"/>
          <w:sz w:val="33"/>
          <w:szCs w:val="33"/>
          <w:lang w:eastAsia="zh-CN"/>
        </w:rPr>
        <w:t>）</w:t>
      </w:r>
    </w:p>
    <w:p w14:paraId="7E3D8C4A">
      <w:pPr>
        <w:snapToGrid w:val="0"/>
        <w:ind w:firstLine="720"/>
        <w:jc w:val="both"/>
        <w:rPr>
          <w:rFonts w:hint="default" w:ascii="Times New Roman" w:hAnsi="Times New Roman" w:eastAsia="方正黑体_GBK" w:cs="Times New Roman"/>
          <w:color w:val="auto"/>
          <w:sz w:val="33"/>
          <w:szCs w:val="33"/>
          <w:lang w:val="zh-CN"/>
        </w:rPr>
      </w:pPr>
      <w:r>
        <w:rPr>
          <w:rFonts w:hint="default" w:ascii="Times New Roman" w:hAnsi="Times New Roman" w:eastAsia="方正黑体_GBK" w:cs="Times New Roman"/>
          <w:color w:val="auto"/>
          <w:sz w:val="33"/>
          <w:szCs w:val="33"/>
        </w:rPr>
        <w:t>一、</w:t>
      </w:r>
      <w:r>
        <w:rPr>
          <w:rFonts w:hint="default" w:ascii="Times New Roman" w:hAnsi="Times New Roman" w:eastAsia="方正黑体_GBK" w:cs="Times New Roman"/>
          <w:color w:val="auto"/>
          <w:sz w:val="33"/>
          <w:szCs w:val="33"/>
          <w:lang w:val="zh-CN"/>
        </w:rPr>
        <w:t>项目概况</w:t>
      </w:r>
    </w:p>
    <w:p w14:paraId="46AC50DE">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default" w:ascii="Times New Roman" w:hAnsi="Times New Roman" w:eastAsia="方正楷体_GBK" w:cs="Times New Roman"/>
          <w:b/>
          <w:bCs/>
          <w:color w:val="auto"/>
          <w:sz w:val="33"/>
          <w:szCs w:val="33"/>
          <w:lang w:val="zh-CN"/>
        </w:rPr>
        <w:t>（一）项目资金申报及批复情况。</w:t>
      </w:r>
    </w:p>
    <w:p w14:paraId="0463C0B1">
      <w:pPr>
        <w:pStyle w:val="34"/>
        <w:keepNext w:val="0"/>
        <w:keepLines w:val="0"/>
        <w:pageBreakBefore w:val="0"/>
        <w:kinsoku/>
        <w:wordWrap/>
        <w:overflowPunct/>
        <w:topLinePunct w:val="0"/>
        <w:autoSpaceDE/>
        <w:autoSpaceDN/>
        <w:bidi w:val="0"/>
        <w:adjustRightInd/>
        <w:spacing w:line="240" w:lineRule="auto"/>
        <w:ind w:firstLine="660" w:firstLineChars="200"/>
        <w:jc w:val="both"/>
        <w:textAlignment w:val="auto"/>
        <w:rPr>
          <w:rFonts w:hint="default" w:ascii="Times New Roman" w:hAnsi="Times New Roman" w:eastAsia="方正仿宋_GBK" w:cs="Times New Roman"/>
          <w:color w:val="auto"/>
          <w:sz w:val="33"/>
          <w:szCs w:val="33"/>
          <w:lang w:val="zh-CN"/>
        </w:rPr>
      </w:pPr>
      <w:r>
        <w:rPr>
          <w:rFonts w:hint="eastAsia" w:ascii="Times New Roman" w:hAnsi="Times New Roman" w:eastAsia="方正仿宋_GBK" w:cs="Times New Roman"/>
          <w:color w:val="auto"/>
          <w:kern w:val="2"/>
          <w:sz w:val="33"/>
          <w:szCs w:val="33"/>
          <w:lang w:val="zh-CN" w:eastAsia="zh-CN"/>
        </w:rPr>
        <w:t>安保经费（</w:t>
      </w:r>
      <w:r>
        <w:rPr>
          <w:rFonts w:hint="default" w:ascii="Times New Roman" w:hAnsi="Times New Roman" w:eastAsia="方正仿宋_GBK" w:cs="Times New Roman"/>
          <w:color w:val="auto"/>
          <w:kern w:val="2"/>
          <w:sz w:val="33"/>
          <w:szCs w:val="33"/>
          <w:lang w:val="en-US"/>
        </w:rPr>
        <w:t>物业管理经费</w:t>
      </w:r>
      <w:r>
        <w:rPr>
          <w:rFonts w:hint="eastAsia" w:ascii="Times New Roman" w:hAnsi="Times New Roman" w:eastAsia="方正仿宋_GBK" w:cs="Times New Roman"/>
          <w:color w:val="auto"/>
          <w:kern w:val="2"/>
          <w:sz w:val="33"/>
          <w:szCs w:val="33"/>
          <w:lang w:val="zh-CN" w:eastAsia="zh-CN"/>
        </w:rPr>
        <w:t>）</w:t>
      </w:r>
      <w:r>
        <w:rPr>
          <w:rFonts w:hint="default" w:ascii="Times New Roman" w:hAnsi="Times New Roman" w:eastAsia="方正仿宋_GBK" w:cs="Times New Roman"/>
          <w:color w:val="auto"/>
          <w:kern w:val="2"/>
          <w:sz w:val="33"/>
          <w:szCs w:val="33"/>
          <w:lang w:val="zh-CN"/>
        </w:rPr>
        <w:t>项目按要求编制预算，附项目相关证明文件，报区财政局审定后予以批复，资金管理做到专人管理，资金做到专款专用。</w:t>
      </w:r>
    </w:p>
    <w:p w14:paraId="2C9900CC">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eastAsia" w:ascii="Times New Roman" w:hAnsi="Times New Roman" w:eastAsia="方正楷体_GBK" w:cs="Times New Roman"/>
          <w:b/>
          <w:bCs/>
          <w:color w:val="auto"/>
          <w:sz w:val="33"/>
          <w:szCs w:val="33"/>
          <w:lang w:val="zh-CN"/>
        </w:rPr>
        <w:t>（二）</w:t>
      </w:r>
      <w:r>
        <w:rPr>
          <w:rFonts w:hint="default" w:ascii="Times New Roman" w:hAnsi="Times New Roman" w:eastAsia="方正楷体_GBK" w:cs="Times New Roman"/>
          <w:b/>
          <w:bCs/>
          <w:color w:val="auto"/>
          <w:sz w:val="33"/>
          <w:szCs w:val="33"/>
          <w:lang w:val="zh-CN"/>
        </w:rPr>
        <w:t>项目绩效目标。</w:t>
      </w:r>
    </w:p>
    <w:p w14:paraId="1D7F5D7B">
      <w:pPr>
        <w:widowControl/>
        <w:ind w:firstLine="640" w:firstLineChars="200"/>
        <w:jc w:val="both"/>
        <w:rPr>
          <w:rFonts w:hint="eastAsia" w:ascii="Times New Roman" w:hAnsi="Times New Roman" w:eastAsia="方正仿宋_GBK" w:cs="Times New Roman"/>
          <w:color w:val="auto"/>
          <w:kern w:val="2"/>
          <w:sz w:val="33"/>
          <w:szCs w:val="33"/>
          <w:lang w:val="en-US" w:eastAsia="zh-CN"/>
        </w:rPr>
      </w:pPr>
      <w:r>
        <w:rPr>
          <w:rFonts w:hint="default" w:ascii="Times New Roman" w:hAnsi="Times New Roman" w:eastAsia="方正仿宋_GB2312" w:cs="Times New Roman"/>
          <w:b w:val="0"/>
          <w:bCs w:val="0"/>
          <w:color w:val="auto"/>
          <w:sz w:val="32"/>
          <w:szCs w:val="32"/>
          <w:lang w:val="en-US" w:eastAsia="zh-CN"/>
        </w:rPr>
        <w:t>仁和区档案馆使用面积</w:t>
      </w:r>
      <w:r>
        <w:rPr>
          <w:rFonts w:hint="default" w:ascii="Times New Roman" w:hAnsi="Times New Roman" w:eastAsia="方正仿宋_GB2312" w:cs="Times New Roman"/>
          <w:sz w:val="32"/>
          <w:szCs w:val="32"/>
          <w:lang w:val="en-US" w:eastAsia="zh-CN"/>
        </w:rPr>
        <w:t>3696</w:t>
      </w:r>
      <w:r>
        <w:rPr>
          <w:rFonts w:hint="default" w:ascii="Times New Roman" w:hAnsi="Times New Roman" w:eastAsia="方正仿宋_GB2312" w:cs="Times New Roman"/>
          <w:sz w:val="32"/>
          <w:szCs w:val="32"/>
          <w:lang w:eastAsia="zh-CN"/>
        </w:rPr>
        <w:t>平方米</w:t>
      </w:r>
      <w:r>
        <w:rPr>
          <w:rFonts w:hint="default" w:ascii="Times New Roman" w:hAnsi="Times New Roman" w:eastAsia="方正仿宋_GB2312" w:cs="Times New Roman"/>
          <w:b w:val="0"/>
          <w:bCs w:val="0"/>
          <w:color w:val="auto"/>
          <w:sz w:val="32"/>
          <w:szCs w:val="32"/>
          <w:lang w:val="en-US" w:eastAsia="zh-CN"/>
        </w:rPr>
        <w:t>，是区级重点消防单位，配有七氟丙烷气体灭火系统，</w:t>
      </w:r>
      <w:r>
        <w:rPr>
          <w:rFonts w:hint="eastAsia" w:ascii="Times New Roman" w:hAnsi="Times New Roman" w:eastAsia="方正仿宋_GBK" w:cs="Times New Roman"/>
          <w:color w:val="auto"/>
          <w:kern w:val="2"/>
          <w:sz w:val="33"/>
          <w:szCs w:val="33"/>
          <w:lang w:val="en-US" w:eastAsia="zh-CN"/>
        </w:rPr>
        <w:t>为保障设施设备运行正常，达到档案安全保管“十防”要求，确保馆藏档案安全，需专业人员24小时值班。</w:t>
      </w:r>
      <w:r>
        <w:rPr>
          <w:rFonts w:hint="default" w:ascii="Times New Roman" w:hAnsi="Times New Roman" w:eastAsia="方正仿宋_GBK" w:cs="Times New Roman"/>
          <w:color w:val="auto"/>
          <w:kern w:val="2"/>
          <w:sz w:val="33"/>
          <w:szCs w:val="33"/>
          <w:lang w:val="zh-CN"/>
        </w:rPr>
        <w:t>档案库房专用空调、电梯、消防设备、电源变压器等设备需维保、年检。</w:t>
      </w:r>
    </w:p>
    <w:p w14:paraId="5E908E56">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eastAsia" w:ascii="Times New Roman" w:hAnsi="Times New Roman" w:eastAsia="方正楷体_GBK" w:cs="Times New Roman"/>
          <w:b/>
          <w:bCs/>
          <w:color w:val="auto"/>
          <w:sz w:val="33"/>
          <w:szCs w:val="33"/>
          <w:lang w:val="zh-CN"/>
        </w:rPr>
        <w:t>（三）</w:t>
      </w:r>
      <w:r>
        <w:rPr>
          <w:rFonts w:hint="default" w:ascii="Times New Roman" w:hAnsi="Times New Roman" w:eastAsia="方正楷体_GBK" w:cs="Times New Roman"/>
          <w:b/>
          <w:bCs/>
          <w:color w:val="auto"/>
          <w:sz w:val="33"/>
          <w:szCs w:val="33"/>
          <w:lang w:val="zh-CN"/>
        </w:rPr>
        <w:t>项目资金申报相符性。</w:t>
      </w:r>
    </w:p>
    <w:p w14:paraId="4B4467FC">
      <w:pPr>
        <w:widowControl/>
        <w:ind w:firstLine="660" w:firstLineChars="200"/>
        <w:jc w:val="both"/>
        <w:rPr>
          <w:rFonts w:hint="default" w:ascii="Times New Roman" w:hAnsi="Times New Roman" w:eastAsia="方正仿宋_GBK" w:cs="Times New Roman"/>
          <w:color w:val="auto"/>
          <w:kern w:val="2"/>
          <w:sz w:val="33"/>
          <w:szCs w:val="33"/>
          <w:lang w:val="zh-CN"/>
        </w:rPr>
      </w:pPr>
      <w:r>
        <w:rPr>
          <w:rFonts w:hint="default" w:ascii="Times New Roman" w:hAnsi="Times New Roman" w:eastAsia="方正仿宋_GBK" w:cs="Times New Roman"/>
          <w:color w:val="auto"/>
          <w:kern w:val="2"/>
          <w:sz w:val="33"/>
          <w:szCs w:val="33"/>
          <w:lang w:val="zh-CN"/>
        </w:rPr>
        <w:t>申报内容与实际相符，申报目标合理可行。</w:t>
      </w:r>
    </w:p>
    <w:p w14:paraId="2CFC6B2E">
      <w:pPr>
        <w:snapToGrid w:val="0"/>
        <w:ind w:firstLine="720"/>
        <w:jc w:val="both"/>
        <w:rPr>
          <w:rFonts w:hint="default" w:ascii="Times New Roman" w:hAnsi="Times New Roman" w:eastAsia="方正黑体_GBK" w:cs="Times New Roman"/>
          <w:color w:val="auto"/>
          <w:sz w:val="33"/>
          <w:szCs w:val="33"/>
          <w:lang w:val="zh-CN"/>
        </w:rPr>
      </w:pPr>
      <w:r>
        <w:rPr>
          <w:rFonts w:hint="default" w:ascii="Times New Roman" w:hAnsi="Times New Roman" w:eastAsia="方正黑体_GBK" w:cs="Times New Roman"/>
          <w:color w:val="auto"/>
          <w:sz w:val="33"/>
          <w:szCs w:val="33"/>
          <w:lang w:val="zh-CN"/>
        </w:rPr>
        <w:t>二、项目实施及管理情况</w:t>
      </w:r>
    </w:p>
    <w:p w14:paraId="63DEF837">
      <w:pPr>
        <w:widowControl/>
        <w:ind w:firstLine="663" w:firstLineChars="200"/>
        <w:jc w:val="both"/>
        <w:rPr>
          <w:rFonts w:hint="eastAsia" w:ascii="Times New Roman" w:hAnsi="Times New Roman" w:eastAsia="方正楷体_GBK" w:cs="Times New Roman"/>
          <w:b/>
          <w:bCs/>
          <w:color w:val="auto"/>
          <w:sz w:val="33"/>
          <w:szCs w:val="33"/>
          <w:lang w:val="zh-CN"/>
        </w:rPr>
      </w:pPr>
      <w:r>
        <w:rPr>
          <w:rFonts w:hint="default" w:ascii="Times New Roman" w:hAnsi="Times New Roman" w:eastAsia="方正楷体_GBK" w:cs="Times New Roman"/>
          <w:b/>
          <w:bCs/>
          <w:color w:val="auto"/>
          <w:sz w:val="33"/>
          <w:szCs w:val="33"/>
          <w:lang w:val="zh-CN"/>
        </w:rPr>
        <w:t>（一）资金计划、到位及使用情况</w:t>
      </w:r>
      <w:r>
        <w:rPr>
          <w:rFonts w:hint="eastAsia" w:ascii="Times New Roman" w:hAnsi="Times New Roman" w:eastAsia="方正楷体_GBK" w:cs="Times New Roman"/>
          <w:b/>
          <w:bCs/>
          <w:color w:val="auto"/>
          <w:sz w:val="33"/>
          <w:szCs w:val="33"/>
          <w:lang w:val="zh-CN"/>
        </w:rPr>
        <w:t>。</w:t>
      </w:r>
    </w:p>
    <w:p w14:paraId="63C24E10">
      <w:pPr>
        <w:widowControl/>
        <w:ind w:firstLine="660" w:firstLineChars="200"/>
        <w:jc w:val="both"/>
        <w:rPr>
          <w:rFonts w:hint="default" w:ascii="Times New Roman" w:hAnsi="Times New Roman" w:eastAsia="方正仿宋_GBK" w:cs="Times New Roman"/>
          <w:color w:val="auto"/>
          <w:kern w:val="2"/>
          <w:sz w:val="33"/>
          <w:szCs w:val="33"/>
          <w:lang w:val="zh-CN"/>
        </w:rPr>
      </w:pPr>
      <w:r>
        <w:rPr>
          <w:rFonts w:hint="eastAsia" w:ascii="Times New Roman" w:hAnsi="Times New Roman" w:eastAsia="方正仿宋_GBK" w:cs="Times New Roman"/>
          <w:color w:val="auto"/>
          <w:kern w:val="2"/>
          <w:sz w:val="33"/>
          <w:szCs w:val="33"/>
          <w:lang w:val="en-US" w:eastAsia="zh-CN"/>
        </w:rPr>
        <w:t>2025年，</w:t>
      </w:r>
      <w:r>
        <w:rPr>
          <w:rFonts w:hint="default" w:ascii="Times New Roman" w:hAnsi="Times New Roman" w:eastAsia="方正仿宋_GBK" w:cs="Times New Roman"/>
          <w:color w:val="auto"/>
          <w:kern w:val="2"/>
          <w:sz w:val="33"/>
          <w:szCs w:val="33"/>
          <w:lang w:val="zh-CN"/>
        </w:rPr>
        <w:t>共需资金15万元</w:t>
      </w:r>
      <w:r>
        <w:rPr>
          <w:rFonts w:hint="eastAsia" w:ascii="Times New Roman" w:hAnsi="Times New Roman" w:eastAsia="方正仿宋_GBK" w:cs="Times New Roman"/>
          <w:color w:val="auto"/>
          <w:kern w:val="2"/>
          <w:sz w:val="33"/>
          <w:szCs w:val="33"/>
          <w:lang w:val="zh-CN"/>
        </w:rPr>
        <w:t>，</w:t>
      </w:r>
      <w:r>
        <w:rPr>
          <w:rFonts w:hint="default" w:ascii="Times New Roman" w:hAnsi="Times New Roman" w:eastAsia="方正仿宋_GBK" w:cs="Times New Roman"/>
          <w:color w:val="auto"/>
          <w:kern w:val="2"/>
          <w:sz w:val="33"/>
          <w:szCs w:val="33"/>
          <w:lang w:val="zh-CN"/>
        </w:rPr>
        <w:t>区级财政预算资金到位15万元</w:t>
      </w:r>
      <w:r>
        <w:rPr>
          <w:rFonts w:hint="eastAsia" w:ascii="Times New Roman" w:hAnsi="Times New Roman" w:eastAsia="方正仿宋_GBK" w:cs="Times New Roman"/>
          <w:color w:val="auto"/>
          <w:kern w:val="2"/>
          <w:sz w:val="33"/>
          <w:szCs w:val="33"/>
          <w:lang w:val="zh-CN"/>
        </w:rPr>
        <w:t>，</w:t>
      </w:r>
      <w:r>
        <w:rPr>
          <w:rFonts w:hint="eastAsia" w:ascii="Times New Roman" w:hAnsi="Times New Roman" w:eastAsia="方正仿宋_GBK" w:cs="Times New Roman"/>
          <w:color w:val="auto"/>
          <w:kern w:val="2"/>
          <w:sz w:val="33"/>
          <w:szCs w:val="33"/>
          <w:lang w:val="en-US" w:eastAsia="zh-CN"/>
        </w:rPr>
        <w:t>共</w:t>
      </w:r>
      <w:r>
        <w:rPr>
          <w:rFonts w:hint="default" w:ascii="Times New Roman" w:hAnsi="Times New Roman" w:eastAsia="方正仿宋_GBK" w:cs="Times New Roman"/>
          <w:color w:val="auto"/>
          <w:kern w:val="2"/>
          <w:sz w:val="33"/>
          <w:szCs w:val="33"/>
          <w:lang w:val="zh-CN"/>
        </w:rPr>
        <w:t>支付区级财政预算资金</w:t>
      </w:r>
      <w:r>
        <w:rPr>
          <w:rFonts w:hint="eastAsia" w:ascii="Times New Roman" w:hAnsi="Times New Roman" w:eastAsia="方正仿宋_GBK" w:cs="Times New Roman"/>
          <w:color w:val="auto"/>
          <w:kern w:val="2"/>
          <w:sz w:val="33"/>
          <w:szCs w:val="33"/>
          <w:lang w:val="en-US" w:eastAsia="zh-CN"/>
        </w:rPr>
        <w:t>14.9</w:t>
      </w:r>
      <w:r>
        <w:rPr>
          <w:rFonts w:hint="default" w:ascii="Times New Roman" w:hAnsi="Times New Roman" w:eastAsia="方正仿宋_GBK" w:cs="Times New Roman"/>
          <w:color w:val="auto"/>
          <w:kern w:val="2"/>
          <w:sz w:val="33"/>
          <w:szCs w:val="33"/>
          <w:lang w:val="zh-CN"/>
        </w:rPr>
        <w:t>万元</w:t>
      </w:r>
      <w:r>
        <w:rPr>
          <w:rFonts w:hint="eastAsia" w:ascii="Times New Roman" w:hAnsi="Times New Roman" w:eastAsia="方正仿宋_GBK" w:cs="Times New Roman"/>
          <w:color w:val="auto"/>
          <w:kern w:val="2"/>
          <w:sz w:val="33"/>
          <w:szCs w:val="33"/>
          <w:lang w:val="zh-CN"/>
        </w:rPr>
        <w:t>（签订合同价</w:t>
      </w:r>
      <w:r>
        <w:rPr>
          <w:rFonts w:hint="eastAsia" w:ascii="Times New Roman" w:hAnsi="Times New Roman" w:eastAsia="方正仿宋_GBK" w:cs="Times New Roman"/>
          <w:color w:val="auto"/>
          <w:kern w:val="2"/>
          <w:sz w:val="33"/>
          <w:szCs w:val="33"/>
          <w:lang w:val="en-US" w:eastAsia="zh-CN"/>
        </w:rPr>
        <w:t>14.9万元</w:t>
      </w:r>
      <w:r>
        <w:rPr>
          <w:rFonts w:hint="eastAsia" w:ascii="Times New Roman" w:hAnsi="Times New Roman" w:eastAsia="方正仿宋_GBK" w:cs="Times New Roman"/>
          <w:color w:val="auto"/>
          <w:kern w:val="2"/>
          <w:sz w:val="33"/>
          <w:szCs w:val="33"/>
          <w:lang w:val="zh-CN"/>
        </w:rPr>
        <w:t>）</w:t>
      </w:r>
      <w:r>
        <w:rPr>
          <w:rFonts w:hint="default" w:ascii="Times New Roman" w:hAnsi="Times New Roman" w:eastAsia="方正仿宋_GBK" w:cs="Times New Roman"/>
          <w:color w:val="auto"/>
          <w:kern w:val="2"/>
          <w:sz w:val="33"/>
          <w:szCs w:val="33"/>
          <w:lang w:val="zh-CN"/>
        </w:rPr>
        <w:t>。</w:t>
      </w:r>
    </w:p>
    <w:p w14:paraId="2617BBED">
      <w:pPr>
        <w:widowControl/>
        <w:ind w:firstLine="663" w:firstLineChars="200"/>
        <w:jc w:val="both"/>
        <w:rPr>
          <w:rFonts w:hint="eastAsia" w:ascii="Times New Roman" w:hAnsi="Times New Roman" w:eastAsia="方正楷体_GBK" w:cs="Times New Roman"/>
          <w:b/>
          <w:bCs/>
          <w:color w:val="auto"/>
          <w:sz w:val="33"/>
          <w:szCs w:val="33"/>
          <w:lang w:val="zh-CN"/>
        </w:rPr>
      </w:pPr>
      <w:r>
        <w:rPr>
          <w:rFonts w:hint="default" w:ascii="Times New Roman" w:hAnsi="Times New Roman" w:eastAsia="方正楷体_GBK" w:cs="Times New Roman"/>
          <w:b/>
          <w:bCs/>
          <w:color w:val="auto"/>
          <w:sz w:val="33"/>
          <w:szCs w:val="33"/>
          <w:lang w:val="zh-CN"/>
        </w:rPr>
        <w:t>（二）项目管理情况</w:t>
      </w:r>
      <w:r>
        <w:rPr>
          <w:rFonts w:hint="eastAsia" w:ascii="Times New Roman" w:hAnsi="Times New Roman" w:eastAsia="方正楷体_GBK" w:cs="Times New Roman"/>
          <w:b/>
          <w:bCs/>
          <w:color w:val="auto"/>
          <w:sz w:val="33"/>
          <w:szCs w:val="33"/>
          <w:lang w:val="zh-CN"/>
        </w:rPr>
        <w:t>。</w:t>
      </w:r>
    </w:p>
    <w:p w14:paraId="4C77F33F">
      <w:pPr>
        <w:widowControl/>
        <w:ind w:firstLine="660" w:firstLineChars="200"/>
        <w:jc w:val="both"/>
        <w:rPr>
          <w:rFonts w:hint="default" w:ascii="Times New Roman" w:hAnsi="Times New Roman" w:eastAsia="方正仿宋_GBK" w:cs="Times New Roman"/>
          <w:color w:val="auto"/>
          <w:kern w:val="2"/>
          <w:sz w:val="33"/>
          <w:szCs w:val="33"/>
          <w:lang w:val="zh-CN"/>
        </w:rPr>
      </w:pPr>
      <w:r>
        <w:rPr>
          <w:rFonts w:hint="eastAsia" w:ascii="Times New Roman" w:hAnsi="Times New Roman" w:eastAsia="方正仿宋_GBK" w:cs="Times New Roman"/>
          <w:color w:val="auto"/>
          <w:kern w:val="2"/>
          <w:sz w:val="33"/>
          <w:szCs w:val="33"/>
          <w:lang w:val="zh-CN"/>
        </w:rPr>
        <w:t>按照合同约定推进相关工作。</w:t>
      </w:r>
    </w:p>
    <w:p w14:paraId="6417A1A3">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default" w:ascii="Times New Roman" w:hAnsi="Times New Roman" w:eastAsia="方正楷体_GBK" w:cs="Times New Roman"/>
          <w:b/>
          <w:bCs/>
          <w:color w:val="auto"/>
          <w:sz w:val="33"/>
          <w:szCs w:val="33"/>
          <w:lang w:val="zh-CN"/>
        </w:rPr>
        <w:t>（三）项目组织实施情况</w:t>
      </w:r>
      <w:r>
        <w:rPr>
          <w:rFonts w:hint="eastAsia" w:ascii="Times New Roman" w:hAnsi="Times New Roman" w:eastAsia="方正楷体_GBK" w:cs="Times New Roman"/>
          <w:b/>
          <w:bCs/>
          <w:color w:val="auto"/>
          <w:sz w:val="33"/>
          <w:szCs w:val="33"/>
          <w:lang w:val="zh-CN"/>
        </w:rPr>
        <w:t>。</w:t>
      </w:r>
    </w:p>
    <w:p w14:paraId="44C03694">
      <w:pPr>
        <w:widowControl/>
        <w:ind w:firstLine="660" w:firstLineChars="200"/>
        <w:jc w:val="both"/>
        <w:rPr>
          <w:rFonts w:hint="default" w:ascii="Times New Roman" w:hAnsi="Times New Roman" w:eastAsia="方正仿宋_GBK" w:cs="Times New Roman"/>
          <w:color w:val="auto"/>
          <w:kern w:val="2"/>
          <w:sz w:val="33"/>
          <w:szCs w:val="33"/>
          <w:lang w:val="zh-CN"/>
        </w:rPr>
      </w:pPr>
      <w:r>
        <w:rPr>
          <w:rFonts w:hint="default" w:ascii="Times New Roman" w:hAnsi="Times New Roman" w:eastAsia="方正仿宋_GBK" w:cs="Times New Roman"/>
          <w:color w:val="auto"/>
          <w:kern w:val="2"/>
          <w:sz w:val="33"/>
          <w:szCs w:val="33"/>
          <w:lang w:val="zh-CN"/>
        </w:rPr>
        <w:t>设施设备正常维保、年检、运行</w:t>
      </w:r>
      <w:r>
        <w:rPr>
          <w:rFonts w:hint="eastAsia" w:ascii="Times New Roman" w:hAnsi="Times New Roman" w:eastAsia="方正仿宋_GBK" w:cs="Times New Roman"/>
          <w:color w:val="auto"/>
          <w:kern w:val="2"/>
          <w:sz w:val="33"/>
          <w:szCs w:val="33"/>
          <w:lang w:val="zh-CN"/>
        </w:rPr>
        <w:t>，未发生安全故事，</w:t>
      </w:r>
      <w:r>
        <w:rPr>
          <w:rFonts w:hint="default" w:ascii="Times New Roman" w:hAnsi="Times New Roman" w:eastAsia="方正仿宋_GBK" w:cs="Times New Roman"/>
          <w:color w:val="auto"/>
          <w:kern w:val="2"/>
          <w:sz w:val="33"/>
          <w:szCs w:val="33"/>
          <w:lang w:val="zh-CN"/>
        </w:rPr>
        <w:t>在项目实施期间，不定期抽查和督导，项目完成后进行审查及资金支付。</w:t>
      </w:r>
    </w:p>
    <w:p w14:paraId="621921B9">
      <w:pPr>
        <w:snapToGrid w:val="0"/>
        <w:ind w:firstLine="720"/>
        <w:jc w:val="both"/>
        <w:rPr>
          <w:rFonts w:hint="default" w:ascii="Times New Roman" w:hAnsi="Times New Roman" w:eastAsia="方正黑体_GBK" w:cs="Times New Roman"/>
          <w:color w:val="auto"/>
          <w:sz w:val="33"/>
          <w:szCs w:val="33"/>
          <w:lang w:val="zh-CN"/>
        </w:rPr>
      </w:pPr>
      <w:r>
        <w:rPr>
          <w:rFonts w:hint="default" w:ascii="Times New Roman" w:hAnsi="Times New Roman" w:eastAsia="方正黑体_GBK" w:cs="Times New Roman"/>
          <w:color w:val="auto"/>
          <w:sz w:val="33"/>
          <w:szCs w:val="33"/>
          <w:lang w:val="zh-CN"/>
        </w:rPr>
        <w:t>三、项目绩效情况</w:t>
      </w:r>
      <w:r>
        <w:rPr>
          <w:rFonts w:hint="default" w:ascii="Times New Roman" w:hAnsi="Times New Roman" w:eastAsia="方正黑体_GBK" w:cs="Times New Roman"/>
          <w:color w:val="auto"/>
          <w:sz w:val="33"/>
          <w:szCs w:val="33"/>
          <w:lang w:val="zh-CN"/>
        </w:rPr>
        <w:tab/>
      </w:r>
    </w:p>
    <w:p w14:paraId="7C5B27DE">
      <w:pPr>
        <w:widowControl/>
        <w:ind w:firstLine="663" w:firstLineChars="200"/>
        <w:jc w:val="both"/>
        <w:rPr>
          <w:rFonts w:hint="default" w:ascii="Times New Roman" w:hAnsi="Times New Roman" w:eastAsia="方正仿宋_GBK" w:cs="Times New Roman"/>
          <w:color w:val="auto"/>
          <w:kern w:val="2"/>
          <w:sz w:val="33"/>
          <w:szCs w:val="33"/>
          <w:lang w:val="zh-CN"/>
        </w:rPr>
      </w:pPr>
      <w:r>
        <w:rPr>
          <w:rFonts w:hint="default" w:ascii="Times New Roman" w:hAnsi="Times New Roman" w:eastAsia="方正楷体_GBK" w:cs="Times New Roman"/>
          <w:b/>
          <w:bCs/>
          <w:color w:val="auto"/>
          <w:sz w:val="33"/>
          <w:szCs w:val="33"/>
          <w:lang w:val="zh-CN"/>
        </w:rPr>
        <w:t>（一）项目完成情况。</w:t>
      </w:r>
      <w:r>
        <w:rPr>
          <w:rFonts w:hint="default" w:ascii="Times New Roman" w:hAnsi="Times New Roman" w:eastAsia="方正仿宋_GBK" w:cs="Times New Roman"/>
          <w:color w:val="auto"/>
          <w:kern w:val="2"/>
          <w:sz w:val="33"/>
          <w:szCs w:val="33"/>
          <w:lang w:val="zh-CN"/>
        </w:rPr>
        <w:t>保证了馆藏档案安全，达到安全保管保护和防火防尘要求。保证了办公环境干净整洁，为每年5000余人次档案查借阅利用者提供优美的环境。设施设备运行正常。</w:t>
      </w:r>
    </w:p>
    <w:p w14:paraId="1D62C25A">
      <w:pPr>
        <w:widowControl/>
        <w:ind w:firstLine="663" w:firstLineChars="200"/>
        <w:jc w:val="both"/>
        <w:rPr>
          <w:rFonts w:hint="default" w:ascii="Times New Roman" w:hAnsi="Times New Roman" w:eastAsia="方正仿宋_GBK" w:cs="Times New Roman"/>
          <w:color w:val="auto"/>
          <w:kern w:val="2"/>
          <w:sz w:val="33"/>
          <w:szCs w:val="33"/>
          <w:lang w:val="zh-CN"/>
        </w:rPr>
      </w:pPr>
      <w:r>
        <w:rPr>
          <w:rFonts w:hint="default" w:ascii="Times New Roman" w:hAnsi="Times New Roman" w:eastAsia="方正楷体_GBK" w:cs="Times New Roman"/>
          <w:b/>
          <w:bCs/>
          <w:color w:val="auto"/>
          <w:sz w:val="33"/>
          <w:szCs w:val="33"/>
          <w:lang w:val="zh-CN"/>
        </w:rPr>
        <w:t>（二）项目效益情况。</w:t>
      </w:r>
      <w:r>
        <w:rPr>
          <w:rFonts w:hint="default" w:ascii="Times New Roman" w:hAnsi="Times New Roman" w:eastAsia="方正仿宋_GBK" w:cs="Times New Roman"/>
          <w:color w:val="auto"/>
          <w:kern w:val="2"/>
          <w:sz w:val="33"/>
          <w:szCs w:val="33"/>
          <w:lang w:val="zh-CN"/>
        </w:rPr>
        <w:t xml:space="preserve">确保馆藏档案安全，达到安全保管保护和防火防尘要求。保证办公环境干净整洁，为每年5000余人次档案查借阅利用者提供优美的环境。   </w:t>
      </w:r>
    </w:p>
    <w:p w14:paraId="1CDAEC7E">
      <w:pPr>
        <w:snapToGrid w:val="0"/>
        <w:ind w:firstLine="720"/>
        <w:jc w:val="both"/>
        <w:rPr>
          <w:rFonts w:hint="default" w:ascii="Times New Roman" w:hAnsi="Times New Roman" w:eastAsia="方正黑体_GBK" w:cs="Times New Roman"/>
          <w:color w:val="auto"/>
          <w:sz w:val="33"/>
          <w:szCs w:val="33"/>
          <w:lang w:val="zh-CN"/>
        </w:rPr>
      </w:pPr>
      <w:r>
        <w:rPr>
          <w:rFonts w:hint="default" w:ascii="Times New Roman" w:hAnsi="Times New Roman" w:eastAsia="方正黑体_GBK" w:cs="Times New Roman"/>
          <w:color w:val="auto"/>
          <w:sz w:val="33"/>
          <w:szCs w:val="33"/>
          <w:lang w:val="zh-CN"/>
        </w:rPr>
        <w:t>四、问题及建议</w:t>
      </w:r>
    </w:p>
    <w:p w14:paraId="62823943">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default" w:ascii="Times New Roman" w:hAnsi="Times New Roman" w:eastAsia="方正楷体_GBK" w:cs="Times New Roman"/>
          <w:b/>
          <w:bCs/>
          <w:color w:val="auto"/>
          <w:sz w:val="33"/>
          <w:szCs w:val="33"/>
          <w:lang w:val="zh-CN"/>
        </w:rPr>
        <w:t>（一）存在的问题。</w:t>
      </w:r>
    </w:p>
    <w:p w14:paraId="6735BBDD">
      <w:pPr>
        <w:widowControl/>
        <w:ind w:firstLine="660" w:firstLineChars="200"/>
        <w:jc w:val="both"/>
        <w:rPr>
          <w:rFonts w:hint="default" w:ascii="Times New Roman" w:hAnsi="Times New Roman" w:eastAsia="方正仿宋_GBK" w:cs="Times New Roman"/>
          <w:color w:val="auto"/>
          <w:kern w:val="2"/>
          <w:sz w:val="33"/>
          <w:szCs w:val="33"/>
          <w:lang w:val="zh-CN"/>
        </w:rPr>
      </w:pPr>
      <w:r>
        <w:rPr>
          <w:rFonts w:hint="eastAsia" w:ascii="Times New Roman" w:hAnsi="Times New Roman" w:eastAsia="方正仿宋_GBK" w:cs="Times New Roman"/>
          <w:color w:val="auto"/>
          <w:kern w:val="2"/>
          <w:sz w:val="33"/>
          <w:szCs w:val="33"/>
          <w:lang w:val="zh-CN"/>
        </w:rPr>
        <w:t>无。</w:t>
      </w:r>
    </w:p>
    <w:p w14:paraId="38B888BF">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eastAsia" w:ascii="Times New Roman" w:hAnsi="Times New Roman" w:eastAsia="方正楷体_GBK" w:cs="Times New Roman"/>
          <w:b/>
          <w:bCs/>
          <w:color w:val="auto"/>
          <w:sz w:val="33"/>
          <w:szCs w:val="33"/>
          <w:lang w:val="zh-CN"/>
        </w:rPr>
        <w:t>（二）</w:t>
      </w:r>
      <w:r>
        <w:rPr>
          <w:rFonts w:hint="default" w:ascii="Times New Roman" w:hAnsi="Times New Roman" w:eastAsia="方正楷体_GBK" w:cs="Times New Roman"/>
          <w:b/>
          <w:bCs/>
          <w:color w:val="auto"/>
          <w:sz w:val="33"/>
          <w:szCs w:val="33"/>
          <w:lang w:val="zh-CN"/>
        </w:rPr>
        <w:t>相关建议。</w:t>
      </w:r>
    </w:p>
    <w:p w14:paraId="56759A04">
      <w:pPr>
        <w:widowControl/>
        <w:ind w:firstLine="660" w:firstLineChars="200"/>
        <w:jc w:val="both"/>
        <w:rPr>
          <w:rFonts w:hint="eastAsia" w:ascii="Times New Roman" w:hAnsi="Times New Roman" w:eastAsia="方正仿宋_GBK" w:cs="Times New Roman"/>
          <w:color w:val="auto"/>
          <w:kern w:val="2"/>
          <w:sz w:val="33"/>
          <w:szCs w:val="33"/>
          <w:lang w:val="en-US" w:eastAsia="zh-CN"/>
        </w:rPr>
      </w:pPr>
      <w:r>
        <w:rPr>
          <w:rFonts w:hint="eastAsia" w:ascii="Times New Roman" w:hAnsi="Times New Roman" w:eastAsia="方正仿宋_GBK" w:cs="Times New Roman"/>
          <w:color w:val="auto"/>
          <w:kern w:val="2"/>
          <w:sz w:val="33"/>
          <w:szCs w:val="33"/>
          <w:lang w:val="zh-CN"/>
        </w:rPr>
        <w:t>无</w:t>
      </w:r>
      <w:r>
        <w:rPr>
          <w:rFonts w:hint="eastAsia" w:ascii="Times New Roman" w:hAnsi="Times New Roman" w:eastAsia="方正仿宋_GBK" w:cs="Times New Roman"/>
          <w:color w:val="auto"/>
          <w:kern w:val="2"/>
          <w:sz w:val="33"/>
          <w:szCs w:val="33"/>
          <w:lang w:val="en-US" w:eastAsia="zh-CN"/>
        </w:rPr>
        <w:t xml:space="preserve"> 。</w:t>
      </w:r>
    </w:p>
    <w:p w14:paraId="257EB558">
      <w:pPr>
        <w:widowControl/>
        <w:ind w:firstLine="660" w:firstLineChars="200"/>
        <w:jc w:val="both"/>
        <w:rPr>
          <w:rFonts w:hint="default" w:ascii="Times New Roman" w:hAnsi="Times New Roman" w:eastAsia="方正仿宋_GBK" w:cs="Times New Roman"/>
          <w:color w:val="auto"/>
          <w:kern w:val="2"/>
          <w:sz w:val="33"/>
          <w:szCs w:val="33"/>
          <w:lang w:val="zh-CN"/>
        </w:rPr>
      </w:pPr>
    </w:p>
    <w:p w14:paraId="34131EC6">
      <w:pPr>
        <w:jc w:val="center"/>
        <w:rPr>
          <w:rFonts w:hint="default" w:ascii="Times New Roman" w:hAnsi="Times New Roman" w:eastAsia="方正黑体_GBK" w:cs="Times New Roman"/>
          <w:color w:val="auto"/>
          <w:kern w:val="2"/>
          <w:sz w:val="33"/>
          <w:szCs w:val="33"/>
        </w:rPr>
      </w:pPr>
    </w:p>
    <w:p w14:paraId="16E1F90E">
      <w:pPr>
        <w:jc w:val="center"/>
        <w:rPr>
          <w:rFonts w:hint="default" w:ascii="Times New Roman" w:hAnsi="Times New Roman" w:eastAsia="方正黑体_GBK" w:cs="Times New Roman"/>
          <w:color w:val="auto"/>
          <w:kern w:val="2"/>
          <w:sz w:val="33"/>
          <w:szCs w:val="33"/>
        </w:rPr>
      </w:pPr>
    </w:p>
    <w:p w14:paraId="0397D3BF">
      <w:pPr>
        <w:jc w:val="both"/>
        <w:rPr>
          <w:rFonts w:hint="default" w:ascii="Times New Roman" w:hAnsi="Times New Roman" w:eastAsia="方正黑体_GBK" w:cs="Times New Roman"/>
          <w:color w:val="auto"/>
          <w:kern w:val="2"/>
          <w:sz w:val="33"/>
          <w:szCs w:val="33"/>
        </w:rPr>
      </w:pPr>
    </w:p>
    <w:p w14:paraId="52A320D7">
      <w:pPr>
        <w:jc w:val="center"/>
        <w:rPr>
          <w:rFonts w:hint="default" w:ascii="Times New Roman" w:hAnsi="Times New Roman" w:eastAsia="方正黑体_GBK" w:cs="Times New Roman"/>
          <w:color w:val="auto"/>
          <w:kern w:val="2"/>
          <w:sz w:val="33"/>
          <w:szCs w:val="33"/>
        </w:rPr>
      </w:pPr>
      <w:r>
        <w:rPr>
          <w:rFonts w:hint="default" w:ascii="Times New Roman" w:hAnsi="Times New Roman" w:eastAsia="方正黑体_GBK" w:cs="Times New Roman"/>
          <w:color w:val="auto"/>
          <w:kern w:val="2"/>
          <w:sz w:val="33"/>
          <w:szCs w:val="33"/>
        </w:rPr>
        <w:t>仁和区档案馆202</w:t>
      </w:r>
      <w:r>
        <w:rPr>
          <w:rFonts w:hint="eastAsia" w:ascii="Times New Roman" w:hAnsi="Times New Roman" w:eastAsia="方正黑体_GBK" w:cs="Times New Roman"/>
          <w:color w:val="auto"/>
          <w:kern w:val="2"/>
          <w:sz w:val="33"/>
          <w:szCs w:val="33"/>
          <w:lang w:val="en-US" w:eastAsia="zh-CN"/>
        </w:rPr>
        <w:t>4</w:t>
      </w:r>
      <w:r>
        <w:rPr>
          <w:rFonts w:hint="default" w:ascii="Times New Roman" w:hAnsi="Times New Roman" w:eastAsia="方正黑体_GBK" w:cs="Times New Roman"/>
          <w:color w:val="auto"/>
          <w:kern w:val="2"/>
          <w:sz w:val="33"/>
          <w:szCs w:val="33"/>
        </w:rPr>
        <w:t>年专项资金预算项目绩效自评报告</w:t>
      </w:r>
    </w:p>
    <w:p w14:paraId="50989E0E">
      <w:pPr>
        <w:pStyle w:val="34"/>
        <w:keepNext w:val="0"/>
        <w:keepLines w:val="0"/>
        <w:pageBreakBefore w:val="0"/>
        <w:kinsoku/>
        <w:wordWrap/>
        <w:overflowPunct/>
        <w:topLinePunct w:val="0"/>
        <w:autoSpaceDE/>
        <w:autoSpaceDN/>
        <w:bidi w:val="0"/>
        <w:adjustRightInd/>
        <w:spacing w:line="240" w:lineRule="auto"/>
        <w:ind w:firstLine="660" w:firstLineChars="200"/>
        <w:jc w:val="center"/>
        <w:textAlignment w:val="auto"/>
        <w:rPr>
          <w:rFonts w:hint="eastAsia" w:ascii="Times New Roman" w:hAnsi="Times New Roman" w:eastAsia="方正黑体_GBK" w:cs="Times New Roman"/>
          <w:color w:val="auto"/>
          <w:kern w:val="2"/>
          <w:sz w:val="33"/>
          <w:szCs w:val="33"/>
          <w:lang w:val="en-US" w:eastAsia="zh-CN" w:bidi="ar-SA"/>
        </w:rPr>
      </w:pPr>
      <w:r>
        <w:rPr>
          <w:rFonts w:hint="eastAsia" w:ascii="Times New Roman" w:hAnsi="Times New Roman" w:eastAsia="方正黑体_GBK" w:cs="Times New Roman"/>
          <w:color w:val="auto"/>
          <w:kern w:val="2"/>
          <w:sz w:val="33"/>
          <w:szCs w:val="33"/>
          <w:lang w:val="en-US" w:eastAsia="zh-CN" w:bidi="ar-SA"/>
        </w:rPr>
        <w:t>（</w:t>
      </w:r>
      <w:r>
        <w:rPr>
          <w:rFonts w:hint="default" w:ascii="Times New Roman" w:hAnsi="Times New Roman" w:eastAsia="方正仿宋_GB2312" w:cs="Times New Roman"/>
          <w:color w:val="auto"/>
          <w:sz w:val="32"/>
          <w:szCs w:val="32"/>
          <w:lang w:val="en-US" w:eastAsia="zh-CN"/>
        </w:rPr>
        <w:t>档案馆运行经费</w:t>
      </w:r>
      <w:r>
        <w:rPr>
          <w:rFonts w:hint="eastAsia" w:ascii="Times New Roman" w:hAnsi="Times New Roman" w:eastAsia="方正黑体_GBK" w:cs="Times New Roman"/>
          <w:color w:val="auto"/>
          <w:kern w:val="2"/>
          <w:sz w:val="33"/>
          <w:szCs w:val="33"/>
          <w:lang w:val="en-US" w:eastAsia="zh-CN" w:bidi="ar-SA"/>
        </w:rPr>
        <w:t>）</w:t>
      </w:r>
    </w:p>
    <w:p w14:paraId="7F7DD472">
      <w:pPr>
        <w:snapToGrid w:val="0"/>
        <w:ind w:firstLine="720"/>
        <w:jc w:val="both"/>
        <w:rPr>
          <w:rFonts w:hint="default" w:ascii="Times New Roman" w:hAnsi="Times New Roman" w:eastAsia="方正黑体_GBK" w:cs="Times New Roman"/>
          <w:color w:val="auto"/>
          <w:sz w:val="33"/>
          <w:szCs w:val="33"/>
        </w:rPr>
      </w:pPr>
    </w:p>
    <w:p w14:paraId="2D7EBFF5">
      <w:pPr>
        <w:snapToGrid w:val="0"/>
        <w:ind w:firstLine="720"/>
        <w:jc w:val="both"/>
        <w:rPr>
          <w:rFonts w:hint="default" w:ascii="Times New Roman" w:hAnsi="Times New Roman" w:eastAsia="方正黑体_GBK" w:cs="Times New Roman"/>
          <w:color w:val="auto"/>
          <w:sz w:val="33"/>
          <w:szCs w:val="33"/>
          <w:lang w:val="zh-CN"/>
        </w:rPr>
      </w:pPr>
      <w:r>
        <w:rPr>
          <w:rFonts w:hint="default" w:ascii="Times New Roman" w:hAnsi="Times New Roman" w:eastAsia="方正黑体_GBK" w:cs="Times New Roman"/>
          <w:color w:val="auto"/>
          <w:sz w:val="33"/>
          <w:szCs w:val="33"/>
        </w:rPr>
        <w:t>一、</w:t>
      </w:r>
      <w:r>
        <w:rPr>
          <w:rFonts w:hint="default" w:ascii="Times New Roman" w:hAnsi="Times New Roman" w:eastAsia="方正黑体_GBK" w:cs="Times New Roman"/>
          <w:color w:val="auto"/>
          <w:sz w:val="33"/>
          <w:szCs w:val="33"/>
          <w:lang w:val="zh-CN"/>
        </w:rPr>
        <w:t>项目概况</w:t>
      </w:r>
    </w:p>
    <w:p w14:paraId="7B949E68">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default" w:ascii="Times New Roman" w:hAnsi="Times New Roman" w:eastAsia="方正楷体_GBK" w:cs="Times New Roman"/>
          <w:b/>
          <w:bCs/>
          <w:color w:val="auto"/>
          <w:sz w:val="33"/>
          <w:szCs w:val="33"/>
          <w:lang w:val="zh-CN"/>
        </w:rPr>
        <w:t>（一）项目资金申报及批复情况。</w:t>
      </w:r>
    </w:p>
    <w:p w14:paraId="0E212EEE">
      <w:pPr>
        <w:widowControl/>
        <w:ind w:firstLine="640" w:firstLineChars="200"/>
        <w:jc w:val="both"/>
        <w:rPr>
          <w:rFonts w:hint="default" w:ascii="Times New Roman" w:hAnsi="Times New Roman" w:eastAsia="方正仿宋_GBK" w:cs="Times New Roman"/>
          <w:color w:val="auto"/>
          <w:sz w:val="33"/>
          <w:szCs w:val="33"/>
          <w:lang w:val="zh-CN"/>
        </w:rPr>
      </w:pPr>
      <w:r>
        <w:rPr>
          <w:rFonts w:hint="default" w:ascii="Times New Roman" w:hAnsi="Times New Roman" w:eastAsia="方正仿宋_GB2312" w:cs="Times New Roman"/>
          <w:color w:val="auto"/>
          <w:sz w:val="32"/>
          <w:szCs w:val="32"/>
          <w:lang w:val="en-US" w:eastAsia="zh-CN"/>
        </w:rPr>
        <w:t>档案馆运行</w:t>
      </w:r>
      <w:r>
        <w:rPr>
          <w:rFonts w:hint="default" w:ascii="Times New Roman" w:hAnsi="Times New Roman" w:eastAsia="方正仿宋_GBK" w:cs="Times New Roman"/>
          <w:color w:val="auto"/>
          <w:kern w:val="2"/>
          <w:sz w:val="33"/>
          <w:szCs w:val="33"/>
          <w:lang w:val="zh-CN"/>
        </w:rPr>
        <w:t>经费项目按要求编制预算，附项目相关证明文件，报区财政局审定后予以批复，资金管理做到专人管理，资金做到专款专用。</w:t>
      </w:r>
    </w:p>
    <w:p w14:paraId="0A45C22D">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eastAsia" w:ascii="Times New Roman" w:hAnsi="Times New Roman" w:eastAsia="方正楷体_GBK" w:cs="Times New Roman"/>
          <w:b/>
          <w:bCs/>
          <w:color w:val="auto"/>
          <w:sz w:val="33"/>
          <w:szCs w:val="33"/>
          <w:lang w:val="zh-CN"/>
        </w:rPr>
        <w:t>（二）</w:t>
      </w:r>
      <w:r>
        <w:rPr>
          <w:rFonts w:hint="default" w:ascii="Times New Roman" w:hAnsi="Times New Roman" w:eastAsia="方正楷体_GBK" w:cs="Times New Roman"/>
          <w:b/>
          <w:bCs/>
          <w:color w:val="auto"/>
          <w:sz w:val="33"/>
          <w:szCs w:val="33"/>
          <w:lang w:val="zh-CN"/>
        </w:rPr>
        <w:t>项目绩效目标。</w:t>
      </w:r>
    </w:p>
    <w:p w14:paraId="1ABF6BE2">
      <w:pPr>
        <w:widowControl/>
        <w:ind w:firstLine="640" w:firstLineChars="200"/>
        <w:jc w:val="both"/>
        <w:rPr>
          <w:rFonts w:hint="eastAsia" w:ascii="Times New Roman" w:hAnsi="Times New Roman" w:eastAsia="方正仿宋_GBK" w:cs="Times New Roman"/>
          <w:color w:val="auto"/>
          <w:kern w:val="2"/>
          <w:sz w:val="33"/>
          <w:szCs w:val="33"/>
          <w:lang w:val="en-US" w:eastAsia="zh-CN"/>
        </w:rPr>
      </w:pPr>
      <w:r>
        <w:rPr>
          <w:rFonts w:hint="default" w:ascii="Times New Roman" w:hAnsi="Times New Roman" w:eastAsia="方正仿宋_GB2312" w:cs="Times New Roman"/>
          <w:color w:val="auto"/>
          <w:sz w:val="32"/>
          <w:szCs w:val="32"/>
          <w:lang w:val="en-US" w:eastAsia="zh-CN"/>
        </w:rPr>
        <w:t>仁和区档案馆消防灭火系统1套、稳压给水设备</w:t>
      </w:r>
      <w:r>
        <w:rPr>
          <w:rFonts w:hint="default" w:ascii="Times New Roman" w:hAnsi="Times New Roman" w:eastAsia="方正仿宋_GB2312" w:cs="Times New Roman"/>
          <w:b w:val="0"/>
          <w:bCs w:val="0"/>
          <w:color w:val="auto"/>
          <w:sz w:val="32"/>
          <w:szCs w:val="32"/>
          <w:lang w:val="en-US" w:eastAsia="zh-CN"/>
        </w:rPr>
        <w:t>1</w:t>
      </w:r>
      <w:r>
        <w:rPr>
          <w:rFonts w:hint="default" w:ascii="Times New Roman" w:hAnsi="Times New Roman" w:eastAsia="方正仿宋_GB2312" w:cs="Times New Roman"/>
          <w:color w:val="auto"/>
          <w:sz w:val="32"/>
          <w:szCs w:val="32"/>
          <w:lang w:val="en-US" w:eastAsia="zh-CN"/>
        </w:rPr>
        <w:t>台、混流风机</w:t>
      </w:r>
      <w:r>
        <w:rPr>
          <w:rFonts w:hint="default" w:ascii="Times New Roman" w:hAnsi="Times New Roman" w:eastAsia="方正仿宋_GB2312" w:cs="Times New Roman"/>
          <w:b w:val="0"/>
          <w:bCs w:val="0"/>
          <w:color w:val="auto"/>
          <w:sz w:val="32"/>
          <w:szCs w:val="32"/>
          <w:lang w:val="en-US" w:eastAsia="zh-CN"/>
        </w:rPr>
        <w:t>5</w:t>
      </w:r>
      <w:r>
        <w:rPr>
          <w:rFonts w:hint="default" w:ascii="Times New Roman" w:hAnsi="Times New Roman" w:eastAsia="方正仿宋_GB2312" w:cs="Times New Roman"/>
          <w:color w:val="auto"/>
          <w:sz w:val="32"/>
          <w:szCs w:val="32"/>
          <w:lang w:val="en-US" w:eastAsia="zh-CN"/>
        </w:rPr>
        <w:t>台、管道式恒温空调</w:t>
      </w:r>
      <w:r>
        <w:rPr>
          <w:rFonts w:hint="default" w:ascii="Times New Roman" w:hAnsi="Times New Roman" w:eastAsia="方正仿宋_GB2312" w:cs="Times New Roman"/>
          <w:b w:val="0"/>
          <w:bCs w:val="0"/>
          <w:color w:val="auto"/>
          <w:sz w:val="32"/>
          <w:szCs w:val="32"/>
          <w:lang w:val="en-US" w:eastAsia="zh-CN"/>
        </w:rPr>
        <w:t>6</w:t>
      </w:r>
      <w:r>
        <w:rPr>
          <w:rFonts w:hint="default" w:ascii="Times New Roman" w:hAnsi="Times New Roman" w:eastAsia="方正仿宋_GB2312" w:cs="Times New Roman"/>
          <w:color w:val="auto"/>
          <w:sz w:val="32"/>
          <w:szCs w:val="32"/>
          <w:lang w:val="en-US" w:eastAsia="zh-CN"/>
        </w:rPr>
        <w:t>台、电梯</w:t>
      </w:r>
      <w:r>
        <w:rPr>
          <w:rFonts w:hint="default" w:ascii="Times New Roman" w:hAnsi="Times New Roman" w:eastAsia="方正仿宋_GB2312" w:cs="Times New Roman"/>
          <w:b w:val="0"/>
          <w:bCs w:val="0"/>
          <w:color w:val="auto"/>
          <w:sz w:val="32"/>
          <w:szCs w:val="32"/>
          <w:lang w:val="en-US" w:eastAsia="zh-CN"/>
        </w:rPr>
        <w:t>1</w:t>
      </w:r>
      <w:r>
        <w:rPr>
          <w:rFonts w:hint="default" w:ascii="Times New Roman" w:hAnsi="Times New Roman" w:eastAsia="方正仿宋_GB2312" w:cs="Times New Roman"/>
          <w:color w:val="auto"/>
          <w:sz w:val="32"/>
          <w:szCs w:val="32"/>
          <w:lang w:val="en-US" w:eastAsia="zh-CN"/>
        </w:rPr>
        <w:t>部、磁盘阵列</w:t>
      </w:r>
      <w:r>
        <w:rPr>
          <w:rFonts w:hint="default" w:ascii="Times New Roman" w:hAnsi="Times New Roman" w:eastAsia="方正仿宋_GB2312" w:cs="Times New Roman"/>
          <w:b w:val="0"/>
          <w:bCs w:val="0"/>
          <w:color w:val="auto"/>
          <w:sz w:val="32"/>
          <w:szCs w:val="32"/>
          <w:lang w:val="en-US" w:eastAsia="zh-CN"/>
        </w:rPr>
        <w:t>1</w:t>
      </w:r>
      <w:r>
        <w:rPr>
          <w:rFonts w:hint="default" w:ascii="Times New Roman" w:hAnsi="Times New Roman" w:eastAsia="方正仿宋_GB2312" w:cs="Times New Roman"/>
          <w:color w:val="auto"/>
          <w:sz w:val="32"/>
          <w:szCs w:val="32"/>
          <w:lang w:val="en-US" w:eastAsia="zh-CN"/>
        </w:rPr>
        <w:t>套、服务器</w:t>
      </w:r>
      <w:r>
        <w:rPr>
          <w:rFonts w:hint="default" w:ascii="Times New Roman" w:hAnsi="Times New Roman" w:eastAsia="方正仿宋_GB2312" w:cs="Times New Roman"/>
          <w:b w:val="0"/>
          <w:bCs w:val="0"/>
          <w:color w:val="auto"/>
          <w:sz w:val="32"/>
          <w:szCs w:val="32"/>
          <w:lang w:val="en-US" w:eastAsia="zh-CN"/>
        </w:rPr>
        <w:t>1</w:t>
      </w:r>
      <w:r>
        <w:rPr>
          <w:rFonts w:hint="default" w:ascii="Times New Roman" w:hAnsi="Times New Roman" w:eastAsia="方正仿宋_GB2312" w:cs="Times New Roman"/>
          <w:color w:val="auto"/>
          <w:sz w:val="32"/>
          <w:szCs w:val="32"/>
          <w:lang w:val="en-US" w:eastAsia="zh-CN"/>
        </w:rPr>
        <w:t>台、除湿机</w:t>
      </w:r>
      <w:r>
        <w:rPr>
          <w:rFonts w:hint="default" w:ascii="Times New Roman" w:hAnsi="Times New Roman" w:eastAsia="方正仿宋_GB2312" w:cs="Times New Roman"/>
          <w:b w:val="0"/>
          <w:bCs w:val="0"/>
          <w:color w:val="auto"/>
          <w:sz w:val="32"/>
          <w:szCs w:val="32"/>
          <w:lang w:val="en-US" w:eastAsia="zh-CN"/>
        </w:rPr>
        <w:t>5</w:t>
      </w:r>
      <w:r>
        <w:rPr>
          <w:rFonts w:hint="default" w:ascii="Times New Roman" w:hAnsi="Times New Roman" w:eastAsia="方正仿宋_GB2312" w:cs="Times New Roman"/>
          <w:color w:val="auto"/>
          <w:sz w:val="32"/>
          <w:szCs w:val="32"/>
          <w:lang w:val="en-US" w:eastAsia="zh-CN"/>
        </w:rPr>
        <w:t>台、低温冷冻杀虫柜</w:t>
      </w:r>
      <w:r>
        <w:rPr>
          <w:rFonts w:hint="default" w:ascii="Times New Roman" w:hAnsi="Times New Roman" w:eastAsia="方正仿宋_GB2312" w:cs="Times New Roman"/>
          <w:b w:val="0"/>
          <w:bCs w:val="0"/>
          <w:color w:val="auto"/>
          <w:sz w:val="32"/>
          <w:szCs w:val="32"/>
          <w:lang w:val="en-US" w:eastAsia="zh-CN"/>
        </w:rPr>
        <w:t>2</w:t>
      </w:r>
      <w:r>
        <w:rPr>
          <w:rFonts w:hint="default" w:ascii="Times New Roman" w:hAnsi="Times New Roman" w:eastAsia="方正仿宋_GB2312" w:cs="Times New Roman"/>
          <w:color w:val="auto"/>
          <w:sz w:val="32"/>
          <w:szCs w:val="32"/>
          <w:lang w:val="en-US" w:eastAsia="zh-CN"/>
        </w:rPr>
        <w:t>台、密集档案柜</w:t>
      </w:r>
      <w:r>
        <w:rPr>
          <w:rFonts w:hint="default" w:ascii="Times New Roman" w:hAnsi="Times New Roman" w:eastAsia="方正仿宋_GB2312" w:cs="Times New Roman"/>
          <w:b w:val="0"/>
          <w:bCs w:val="0"/>
          <w:color w:val="auto"/>
          <w:sz w:val="32"/>
          <w:szCs w:val="32"/>
          <w:lang w:val="en-US" w:eastAsia="zh-CN"/>
        </w:rPr>
        <w:t>518</w:t>
      </w:r>
      <w:r>
        <w:rPr>
          <w:rFonts w:hint="default" w:ascii="Times New Roman" w:hAnsi="Times New Roman" w:eastAsia="方正仿宋_GB2312" w:cs="Times New Roman"/>
          <w:color w:val="auto"/>
          <w:sz w:val="32"/>
          <w:szCs w:val="32"/>
          <w:lang w:val="en-US" w:eastAsia="zh-CN"/>
        </w:rPr>
        <w:t>立方米、铁皮档案柜</w:t>
      </w:r>
      <w:r>
        <w:rPr>
          <w:rFonts w:hint="default" w:ascii="Times New Roman" w:hAnsi="Times New Roman" w:eastAsia="方正仿宋_GB2312" w:cs="Times New Roman"/>
          <w:b w:val="0"/>
          <w:bCs w:val="0"/>
          <w:color w:val="auto"/>
          <w:sz w:val="32"/>
          <w:szCs w:val="32"/>
          <w:lang w:val="en-US" w:eastAsia="zh-CN"/>
        </w:rPr>
        <w:t>300</w:t>
      </w:r>
      <w:r>
        <w:rPr>
          <w:rFonts w:hint="default" w:ascii="Times New Roman" w:hAnsi="Times New Roman" w:eastAsia="方正仿宋_GB2312" w:cs="Times New Roman"/>
          <w:color w:val="auto"/>
          <w:sz w:val="32"/>
          <w:szCs w:val="32"/>
          <w:lang w:val="en-US" w:eastAsia="zh-CN"/>
        </w:rPr>
        <w:t>套等设施设备，保障档案馆日常正常运行和确保档案馆设施设备正常运行，设施设备维护</w:t>
      </w:r>
      <w:r>
        <w:rPr>
          <w:rFonts w:hint="default" w:ascii="Times New Roman" w:hAnsi="Times New Roman" w:eastAsia="方正仿宋_GB2312" w:cs="Times New Roman"/>
          <w:b w:val="0"/>
          <w:bCs w:val="0"/>
          <w:color w:val="auto"/>
          <w:sz w:val="32"/>
          <w:szCs w:val="32"/>
          <w:lang w:val="en-US" w:eastAsia="zh-CN"/>
        </w:rPr>
        <w:t>。</w:t>
      </w:r>
    </w:p>
    <w:p w14:paraId="7BF526EC">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eastAsia" w:ascii="Times New Roman" w:hAnsi="Times New Roman" w:eastAsia="方正楷体_GBK" w:cs="Times New Roman"/>
          <w:b/>
          <w:bCs/>
          <w:color w:val="auto"/>
          <w:sz w:val="33"/>
          <w:szCs w:val="33"/>
          <w:lang w:val="en-US" w:eastAsia="zh-CN"/>
        </w:rPr>
        <w:t>（三）</w:t>
      </w:r>
      <w:r>
        <w:rPr>
          <w:rFonts w:hint="default" w:ascii="Times New Roman" w:hAnsi="Times New Roman" w:eastAsia="方正楷体_GBK" w:cs="Times New Roman"/>
          <w:b/>
          <w:bCs/>
          <w:color w:val="auto"/>
          <w:sz w:val="33"/>
          <w:szCs w:val="33"/>
          <w:lang w:val="zh-CN"/>
        </w:rPr>
        <w:t>项目资金申报相符性。</w:t>
      </w:r>
    </w:p>
    <w:p w14:paraId="10213A63">
      <w:pPr>
        <w:widowControl/>
        <w:ind w:firstLine="660" w:firstLineChars="200"/>
        <w:jc w:val="both"/>
        <w:rPr>
          <w:rFonts w:hint="default" w:ascii="Times New Roman" w:hAnsi="Times New Roman" w:eastAsia="方正仿宋_GBK" w:cs="Times New Roman"/>
          <w:color w:val="auto"/>
          <w:kern w:val="2"/>
          <w:sz w:val="33"/>
          <w:szCs w:val="33"/>
          <w:lang w:val="zh-CN" w:eastAsia="zh-CN"/>
        </w:rPr>
      </w:pPr>
      <w:r>
        <w:rPr>
          <w:rFonts w:hint="default" w:ascii="Times New Roman" w:hAnsi="Times New Roman" w:eastAsia="方正仿宋_GBK" w:cs="Times New Roman"/>
          <w:color w:val="auto"/>
          <w:kern w:val="2"/>
          <w:sz w:val="33"/>
          <w:szCs w:val="33"/>
          <w:lang w:val="zh-CN" w:eastAsia="zh-CN"/>
        </w:rPr>
        <w:t>申报内容与实际相符，申报目标合理可行。</w:t>
      </w:r>
    </w:p>
    <w:p w14:paraId="55E89414">
      <w:pPr>
        <w:snapToGrid w:val="0"/>
        <w:ind w:firstLine="720"/>
        <w:jc w:val="both"/>
        <w:rPr>
          <w:rFonts w:hint="default" w:ascii="Times New Roman" w:hAnsi="Times New Roman" w:eastAsia="方正黑体_GBK" w:cs="Times New Roman"/>
          <w:color w:val="auto"/>
          <w:sz w:val="33"/>
          <w:szCs w:val="33"/>
        </w:rPr>
      </w:pPr>
      <w:r>
        <w:rPr>
          <w:rFonts w:hint="default" w:ascii="Times New Roman" w:hAnsi="Times New Roman" w:eastAsia="方正黑体_GBK" w:cs="Times New Roman"/>
          <w:color w:val="auto"/>
          <w:sz w:val="33"/>
          <w:szCs w:val="33"/>
        </w:rPr>
        <w:t>二、项目实施及管理情况</w:t>
      </w:r>
    </w:p>
    <w:p w14:paraId="21D2F047">
      <w:pPr>
        <w:widowControl/>
        <w:ind w:firstLine="663" w:firstLineChars="200"/>
        <w:jc w:val="both"/>
        <w:rPr>
          <w:rFonts w:hint="eastAsia" w:ascii="Times New Roman" w:hAnsi="Times New Roman" w:eastAsia="方正楷体_GBK" w:cs="Times New Roman"/>
          <w:b/>
          <w:bCs/>
          <w:color w:val="auto"/>
          <w:sz w:val="33"/>
          <w:szCs w:val="33"/>
          <w:lang w:val="zh-CN" w:eastAsia="zh-CN"/>
        </w:rPr>
      </w:pPr>
      <w:r>
        <w:rPr>
          <w:rFonts w:hint="default" w:ascii="Times New Roman" w:hAnsi="Times New Roman" w:eastAsia="方正楷体_GBK" w:cs="Times New Roman"/>
          <w:b/>
          <w:bCs/>
          <w:color w:val="auto"/>
          <w:sz w:val="33"/>
          <w:szCs w:val="33"/>
          <w:lang w:val="zh-CN" w:eastAsia="zh-CN"/>
        </w:rPr>
        <w:t>（一）资金计划、到位及使用情况</w:t>
      </w:r>
      <w:r>
        <w:rPr>
          <w:rFonts w:hint="eastAsia" w:ascii="Times New Roman" w:hAnsi="Times New Roman" w:eastAsia="方正楷体_GBK" w:cs="Times New Roman"/>
          <w:b/>
          <w:bCs/>
          <w:color w:val="auto"/>
          <w:sz w:val="33"/>
          <w:szCs w:val="33"/>
          <w:lang w:val="zh-CN" w:eastAsia="zh-CN"/>
        </w:rPr>
        <w:t>。</w:t>
      </w:r>
    </w:p>
    <w:p w14:paraId="002492E9">
      <w:pPr>
        <w:keepNext w:val="0"/>
        <w:keepLines w:val="0"/>
        <w:pageBreakBefore w:val="0"/>
        <w:widowControl w:val="0"/>
        <w:kinsoku/>
        <w:wordWrap/>
        <w:overflowPunct/>
        <w:topLinePunct w:val="0"/>
        <w:autoSpaceDE/>
        <w:autoSpaceDN/>
        <w:bidi w:val="0"/>
        <w:adjustRightInd/>
        <w:snapToGrid/>
        <w:spacing w:line="576" w:lineRule="exact"/>
        <w:ind w:firstLine="660" w:firstLineChars="200"/>
        <w:textAlignment w:val="auto"/>
        <w:rPr>
          <w:rFonts w:hint="default" w:ascii="Times New Roman" w:hAnsi="Times New Roman" w:eastAsia="方正仿宋_GBK" w:cs="Times New Roman"/>
          <w:color w:val="auto"/>
          <w:kern w:val="2"/>
          <w:sz w:val="33"/>
          <w:szCs w:val="33"/>
          <w:lang w:val="zh-CN" w:eastAsia="zh-CN"/>
        </w:rPr>
      </w:pPr>
      <w:r>
        <w:rPr>
          <w:rFonts w:hint="eastAsia" w:ascii="Times New Roman" w:hAnsi="Times New Roman" w:eastAsia="方正仿宋_GBK" w:cs="Times New Roman"/>
          <w:color w:val="auto"/>
          <w:kern w:val="2"/>
          <w:sz w:val="33"/>
          <w:szCs w:val="33"/>
          <w:lang w:val="en-US" w:eastAsia="zh-CN"/>
        </w:rPr>
        <w:t>2025年，</w:t>
      </w:r>
      <w:r>
        <w:rPr>
          <w:rFonts w:hint="default" w:ascii="Times New Roman" w:hAnsi="Times New Roman" w:eastAsia="方正仿宋_GBK" w:cs="Times New Roman"/>
          <w:color w:val="auto"/>
          <w:kern w:val="2"/>
          <w:sz w:val="33"/>
          <w:szCs w:val="33"/>
          <w:lang w:val="zh-CN" w:eastAsia="zh-CN"/>
        </w:rPr>
        <w:t>共需资金</w:t>
      </w:r>
      <w:r>
        <w:rPr>
          <w:rFonts w:hint="eastAsia" w:ascii="Times New Roman" w:hAnsi="Times New Roman" w:eastAsia="方正仿宋_GBK" w:cs="Times New Roman"/>
          <w:color w:val="auto"/>
          <w:kern w:val="2"/>
          <w:sz w:val="33"/>
          <w:szCs w:val="33"/>
          <w:lang w:val="en-US" w:eastAsia="zh-CN"/>
        </w:rPr>
        <w:t>10</w:t>
      </w:r>
      <w:r>
        <w:rPr>
          <w:rFonts w:hint="default" w:ascii="Times New Roman" w:hAnsi="Times New Roman" w:eastAsia="方正仿宋_GBK" w:cs="Times New Roman"/>
          <w:color w:val="auto"/>
          <w:kern w:val="2"/>
          <w:sz w:val="33"/>
          <w:szCs w:val="33"/>
          <w:lang w:val="zh-CN" w:eastAsia="zh-CN"/>
        </w:rPr>
        <w:t>万元</w:t>
      </w:r>
      <w:r>
        <w:rPr>
          <w:rFonts w:hint="eastAsia" w:ascii="Times New Roman" w:hAnsi="Times New Roman" w:eastAsia="方正仿宋_GBK" w:cs="Times New Roman"/>
          <w:color w:val="auto"/>
          <w:kern w:val="2"/>
          <w:sz w:val="33"/>
          <w:szCs w:val="33"/>
          <w:lang w:val="zh-CN" w:eastAsia="zh-CN"/>
        </w:rPr>
        <w:t>，</w:t>
      </w:r>
      <w:r>
        <w:rPr>
          <w:rFonts w:hint="default" w:ascii="Times New Roman" w:hAnsi="Times New Roman" w:eastAsia="方正仿宋_GBK" w:cs="Times New Roman"/>
          <w:color w:val="auto"/>
          <w:kern w:val="2"/>
          <w:sz w:val="33"/>
          <w:szCs w:val="33"/>
          <w:lang w:val="zh-CN" w:eastAsia="zh-CN"/>
        </w:rPr>
        <w:t>区级财政预算资金到位</w:t>
      </w:r>
      <w:r>
        <w:rPr>
          <w:rFonts w:hint="eastAsia" w:ascii="Times New Roman" w:hAnsi="Times New Roman" w:eastAsia="方正仿宋_GBK" w:cs="Times New Roman"/>
          <w:color w:val="auto"/>
          <w:kern w:val="2"/>
          <w:sz w:val="33"/>
          <w:szCs w:val="33"/>
          <w:lang w:val="en-US" w:eastAsia="zh-CN"/>
        </w:rPr>
        <w:t>9.02</w:t>
      </w:r>
      <w:r>
        <w:rPr>
          <w:rFonts w:hint="default" w:ascii="Times New Roman" w:hAnsi="Times New Roman" w:eastAsia="方正仿宋_GBK" w:cs="Times New Roman"/>
          <w:color w:val="auto"/>
          <w:kern w:val="2"/>
          <w:sz w:val="33"/>
          <w:szCs w:val="33"/>
          <w:lang w:val="zh-CN" w:eastAsia="zh-CN"/>
        </w:rPr>
        <w:t>万元</w:t>
      </w:r>
      <w:r>
        <w:rPr>
          <w:rFonts w:hint="eastAsia" w:ascii="Times New Roman" w:hAnsi="Times New Roman" w:eastAsia="方正仿宋_GBK" w:cs="Times New Roman"/>
          <w:color w:val="auto"/>
          <w:kern w:val="2"/>
          <w:sz w:val="33"/>
          <w:szCs w:val="33"/>
          <w:lang w:val="zh-CN" w:eastAsia="zh-CN"/>
        </w:rPr>
        <w:t>，</w:t>
      </w:r>
      <w:r>
        <w:rPr>
          <w:rFonts w:hint="default" w:ascii="Times New Roman" w:hAnsi="Times New Roman" w:eastAsia="方正仿宋_GB2312" w:cs="Times New Roman"/>
          <w:b w:val="0"/>
          <w:bCs w:val="0"/>
          <w:color w:val="auto"/>
          <w:sz w:val="32"/>
          <w:szCs w:val="32"/>
          <w:lang w:val="en-US" w:eastAsia="zh-CN"/>
        </w:rPr>
        <w:t>财政资金调度困难，</w:t>
      </w:r>
      <w:r>
        <w:rPr>
          <w:rFonts w:hint="eastAsia" w:ascii="Times New Roman" w:hAnsi="Times New Roman" w:eastAsia="方正仿宋_GB2312" w:cs="Times New Roman"/>
          <w:b w:val="0"/>
          <w:bCs w:val="0"/>
          <w:color w:val="auto"/>
          <w:sz w:val="32"/>
          <w:szCs w:val="32"/>
          <w:lang w:val="en-US" w:eastAsia="zh-CN"/>
        </w:rPr>
        <w:t>支付进度缓慢，</w:t>
      </w:r>
      <w:r>
        <w:rPr>
          <w:rFonts w:hint="default" w:ascii="Times New Roman" w:hAnsi="Times New Roman" w:eastAsia="方正仿宋_GB2312" w:cs="Times New Roman"/>
          <w:b w:val="0"/>
          <w:bCs w:val="0"/>
          <w:color w:val="auto"/>
          <w:sz w:val="32"/>
          <w:szCs w:val="32"/>
          <w:lang w:val="en-US" w:eastAsia="zh-CN"/>
        </w:rPr>
        <w:t>未实现</w:t>
      </w:r>
      <w:r>
        <w:rPr>
          <w:rFonts w:hint="eastAsia" w:ascii="Times New Roman" w:hAnsi="Times New Roman" w:eastAsia="方正仿宋_GB2312" w:cs="Times New Roman"/>
          <w:b w:val="0"/>
          <w:bCs w:val="0"/>
          <w:color w:val="auto"/>
          <w:sz w:val="32"/>
          <w:szCs w:val="32"/>
          <w:lang w:val="en-US" w:eastAsia="zh-CN"/>
        </w:rPr>
        <w:t>支付</w:t>
      </w:r>
      <w:r>
        <w:rPr>
          <w:rFonts w:hint="default" w:ascii="Times New Roman" w:hAnsi="Times New Roman" w:eastAsia="方正仿宋_GB2312" w:cs="Times New Roman"/>
          <w:b w:val="0"/>
          <w:bCs w:val="0"/>
          <w:color w:val="auto"/>
          <w:sz w:val="32"/>
          <w:szCs w:val="32"/>
          <w:lang w:val="en-US" w:eastAsia="zh-CN"/>
        </w:rPr>
        <w:t>进度目标。</w:t>
      </w:r>
    </w:p>
    <w:p w14:paraId="40F943C7">
      <w:pPr>
        <w:widowControl/>
        <w:ind w:firstLine="663" w:firstLineChars="200"/>
        <w:jc w:val="both"/>
        <w:rPr>
          <w:rFonts w:hint="eastAsia" w:ascii="Times New Roman" w:hAnsi="Times New Roman" w:eastAsia="方正楷体_GBK" w:cs="Times New Roman"/>
          <w:b/>
          <w:bCs/>
          <w:color w:val="auto"/>
          <w:sz w:val="33"/>
          <w:szCs w:val="33"/>
          <w:lang w:val="zh-CN" w:eastAsia="zh-CN"/>
        </w:rPr>
      </w:pPr>
      <w:r>
        <w:rPr>
          <w:rFonts w:hint="default" w:ascii="Times New Roman" w:hAnsi="Times New Roman" w:eastAsia="方正楷体_GBK" w:cs="Times New Roman"/>
          <w:b/>
          <w:bCs/>
          <w:color w:val="auto"/>
          <w:sz w:val="33"/>
          <w:szCs w:val="33"/>
          <w:lang w:val="zh-CN" w:eastAsia="zh-CN"/>
        </w:rPr>
        <w:t>（二）项目管理情况</w:t>
      </w:r>
      <w:r>
        <w:rPr>
          <w:rFonts w:hint="eastAsia" w:ascii="Times New Roman" w:hAnsi="Times New Roman" w:eastAsia="方正楷体_GBK" w:cs="Times New Roman"/>
          <w:b/>
          <w:bCs/>
          <w:color w:val="auto"/>
          <w:sz w:val="33"/>
          <w:szCs w:val="33"/>
          <w:lang w:val="zh-CN" w:eastAsia="zh-CN"/>
        </w:rPr>
        <w:t>。</w:t>
      </w:r>
    </w:p>
    <w:p w14:paraId="428D93A7">
      <w:pPr>
        <w:widowControl/>
        <w:ind w:firstLine="660" w:firstLineChars="200"/>
        <w:jc w:val="both"/>
        <w:rPr>
          <w:rFonts w:hint="default" w:ascii="Times New Roman" w:hAnsi="Times New Roman" w:eastAsia="方正仿宋_GBK" w:cs="Times New Roman"/>
          <w:color w:val="auto"/>
          <w:kern w:val="2"/>
          <w:sz w:val="33"/>
          <w:szCs w:val="33"/>
          <w:lang w:val="zh-CN" w:eastAsia="zh-CN"/>
        </w:rPr>
      </w:pPr>
      <w:r>
        <w:rPr>
          <w:rFonts w:hint="eastAsia" w:ascii="Times New Roman" w:hAnsi="Times New Roman" w:eastAsia="方正仿宋_GBK" w:cs="Times New Roman"/>
          <w:color w:val="auto"/>
          <w:kern w:val="2"/>
          <w:sz w:val="33"/>
          <w:szCs w:val="33"/>
          <w:lang w:val="zh-CN" w:eastAsia="zh-CN"/>
        </w:rPr>
        <w:t>按计划推进相关工作。</w:t>
      </w:r>
    </w:p>
    <w:p w14:paraId="09EE15BF">
      <w:pPr>
        <w:snapToGrid w:val="0"/>
        <w:ind w:firstLine="720"/>
        <w:jc w:val="both"/>
        <w:rPr>
          <w:rFonts w:hint="default" w:ascii="Times New Roman" w:hAnsi="Times New Roman" w:eastAsia="方正楷体_GB2312" w:cs="Times New Roman"/>
          <w:b/>
          <w:bCs/>
          <w:color w:val="auto"/>
          <w:sz w:val="33"/>
          <w:szCs w:val="33"/>
          <w:lang w:val="zh-CN"/>
        </w:rPr>
      </w:pPr>
      <w:r>
        <w:rPr>
          <w:rFonts w:hint="default" w:ascii="Times New Roman" w:hAnsi="Times New Roman" w:eastAsia="方正楷体_GBK" w:cs="Times New Roman"/>
          <w:b/>
          <w:bCs/>
          <w:color w:val="auto"/>
          <w:sz w:val="33"/>
          <w:szCs w:val="33"/>
          <w:lang w:val="zh-CN"/>
        </w:rPr>
        <w:t>（三）项目组织实施情况</w:t>
      </w:r>
      <w:r>
        <w:rPr>
          <w:rFonts w:hint="eastAsia" w:eastAsia="方正楷体_GBK" w:cs="Times New Roman"/>
          <w:b/>
          <w:bCs/>
          <w:color w:val="auto"/>
          <w:sz w:val="33"/>
          <w:szCs w:val="33"/>
          <w:lang w:val="zh-CN"/>
        </w:rPr>
        <w:t>。</w:t>
      </w:r>
    </w:p>
    <w:p w14:paraId="2E67AEE8">
      <w:pPr>
        <w:widowControl/>
        <w:ind w:firstLine="640" w:firstLineChars="200"/>
        <w:jc w:val="both"/>
        <w:rPr>
          <w:rFonts w:hint="default" w:ascii="Times New Roman" w:hAnsi="Times New Roman" w:eastAsia="方正仿宋_GBK" w:cs="Times New Roman"/>
          <w:color w:val="auto"/>
          <w:kern w:val="2"/>
          <w:sz w:val="33"/>
          <w:szCs w:val="33"/>
          <w:lang w:val="zh-CN"/>
        </w:rPr>
      </w:pPr>
      <w:r>
        <w:rPr>
          <w:rFonts w:hint="default" w:ascii="Times New Roman" w:hAnsi="Times New Roman" w:eastAsia="方正仿宋_GB2312" w:cs="Times New Roman"/>
          <w:color w:val="auto"/>
          <w:sz w:val="32"/>
          <w:szCs w:val="32"/>
          <w:lang w:val="en-US" w:eastAsia="zh-CN"/>
        </w:rPr>
        <w:t>保障档案馆日常正常运行和确保档案馆设施设备正常运行，设施设备维护</w:t>
      </w:r>
      <w:r>
        <w:rPr>
          <w:rFonts w:hint="default" w:ascii="Times New Roman" w:hAnsi="Times New Roman" w:eastAsia="方正仿宋_GB2312" w:cs="Times New Roman"/>
          <w:b w:val="0"/>
          <w:bCs w:val="0"/>
          <w:color w:val="auto"/>
          <w:sz w:val="32"/>
          <w:szCs w:val="32"/>
          <w:lang w:val="en-US" w:eastAsia="zh-CN"/>
        </w:rPr>
        <w:t>。</w:t>
      </w:r>
    </w:p>
    <w:p w14:paraId="78C484DE">
      <w:pPr>
        <w:snapToGrid w:val="0"/>
        <w:ind w:firstLine="720"/>
        <w:jc w:val="both"/>
        <w:rPr>
          <w:rFonts w:hint="default" w:ascii="Times New Roman" w:hAnsi="Times New Roman" w:cs="Times New Roman"/>
          <w:color w:val="auto"/>
          <w:sz w:val="33"/>
          <w:szCs w:val="33"/>
          <w:lang w:val="zh-CN"/>
        </w:rPr>
      </w:pPr>
      <w:r>
        <w:rPr>
          <w:rFonts w:hint="default" w:ascii="Times New Roman" w:hAnsi="Times New Roman" w:eastAsia="方正黑体_GBK" w:cs="Times New Roman"/>
          <w:color w:val="auto"/>
          <w:sz w:val="33"/>
          <w:szCs w:val="33"/>
        </w:rPr>
        <w:t>三、项目绩效情况</w:t>
      </w:r>
      <w:r>
        <w:rPr>
          <w:rFonts w:hint="default" w:ascii="Times New Roman" w:hAnsi="Times New Roman" w:cs="Times New Roman"/>
          <w:color w:val="auto"/>
          <w:sz w:val="33"/>
          <w:szCs w:val="33"/>
          <w:lang w:val="zh-CN"/>
        </w:rPr>
        <w:tab/>
      </w:r>
    </w:p>
    <w:p w14:paraId="10E6A687">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default" w:ascii="Times New Roman" w:hAnsi="Times New Roman" w:eastAsia="方正楷体_GBK" w:cs="Times New Roman"/>
          <w:b/>
          <w:bCs/>
          <w:color w:val="auto"/>
          <w:sz w:val="33"/>
          <w:szCs w:val="33"/>
          <w:lang w:val="zh-CN"/>
        </w:rPr>
        <w:t>（一）项目完成情况。</w:t>
      </w:r>
    </w:p>
    <w:p w14:paraId="7F997149">
      <w:pPr>
        <w:widowControl/>
        <w:ind w:firstLine="640" w:firstLineChars="200"/>
        <w:jc w:val="both"/>
        <w:rPr>
          <w:rFonts w:hint="eastAsia"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color w:val="auto"/>
          <w:sz w:val="32"/>
          <w:szCs w:val="32"/>
          <w:lang w:val="en-US" w:eastAsia="zh-CN"/>
        </w:rPr>
        <w:t>档案馆日常正常运行</w:t>
      </w:r>
      <w:r>
        <w:rPr>
          <w:rFonts w:hint="eastAsia" w:ascii="Times New Roman" w:hAnsi="Times New Roman" w:eastAsia="方正仿宋_GB2312" w:cs="Times New Roman"/>
          <w:color w:val="auto"/>
          <w:sz w:val="32"/>
          <w:szCs w:val="32"/>
          <w:lang w:val="en-US" w:eastAsia="zh-CN"/>
        </w:rPr>
        <w:t>。</w:t>
      </w:r>
    </w:p>
    <w:p w14:paraId="24B4B99B">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eastAsia" w:ascii="Times New Roman" w:hAnsi="Times New Roman" w:eastAsia="方正楷体_GBK" w:cs="Times New Roman"/>
          <w:b/>
          <w:bCs/>
          <w:color w:val="auto"/>
          <w:sz w:val="33"/>
          <w:szCs w:val="33"/>
          <w:lang w:val="zh-CN"/>
        </w:rPr>
        <w:t>（二）</w:t>
      </w:r>
      <w:r>
        <w:rPr>
          <w:rFonts w:hint="default" w:ascii="Times New Roman" w:hAnsi="Times New Roman" w:eastAsia="方正楷体_GBK" w:cs="Times New Roman"/>
          <w:b/>
          <w:bCs/>
          <w:color w:val="auto"/>
          <w:sz w:val="33"/>
          <w:szCs w:val="33"/>
          <w:lang w:val="zh-CN"/>
        </w:rPr>
        <w:t>项目效益情况。</w:t>
      </w:r>
    </w:p>
    <w:p w14:paraId="2AFB1573">
      <w:pPr>
        <w:widowControl/>
        <w:ind w:firstLine="640" w:firstLineChars="200"/>
        <w:jc w:val="both"/>
        <w:rPr>
          <w:rFonts w:hint="default" w:ascii="Times New Roman" w:hAnsi="Times New Roman" w:eastAsia="方正仿宋_GBK" w:cs="Times New Roman"/>
          <w:color w:val="auto"/>
          <w:kern w:val="2"/>
          <w:sz w:val="33"/>
          <w:szCs w:val="33"/>
          <w:lang w:val="zh-CN"/>
        </w:rPr>
      </w:pPr>
      <w:r>
        <w:rPr>
          <w:rFonts w:hint="default" w:ascii="Times New Roman" w:hAnsi="Times New Roman" w:eastAsia="方正仿宋_GB2312" w:cs="Times New Roman"/>
          <w:color w:val="auto"/>
          <w:sz w:val="32"/>
          <w:szCs w:val="32"/>
          <w:lang w:val="en-US" w:eastAsia="zh-CN"/>
        </w:rPr>
        <w:t>保障档案馆日常正常运行和确保档案馆设施设备正常运行，设施设备维护</w:t>
      </w:r>
      <w:r>
        <w:rPr>
          <w:rFonts w:hint="eastAsia" w:ascii="Times New Roman" w:hAnsi="Times New Roman" w:eastAsia="方正仿宋_GB2312" w:cs="Times New Roman"/>
          <w:color w:val="auto"/>
          <w:sz w:val="32"/>
          <w:szCs w:val="32"/>
          <w:lang w:val="en-US" w:eastAsia="zh-CN"/>
        </w:rPr>
        <w:t>，</w:t>
      </w:r>
      <w:r>
        <w:rPr>
          <w:rFonts w:hint="default" w:ascii="Times New Roman" w:hAnsi="Times New Roman" w:eastAsia="方正仿宋_GBK" w:cs="Times New Roman"/>
          <w:color w:val="auto"/>
          <w:kern w:val="2"/>
          <w:sz w:val="33"/>
          <w:szCs w:val="33"/>
          <w:lang w:val="zh-CN"/>
        </w:rPr>
        <w:t>确保馆藏档案安全，</w:t>
      </w:r>
      <w:r>
        <w:rPr>
          <w:rFonts w:hint="eastAsia" w:ascii="Times New Roman" w:hAnsi="Times New Roman" w:eastAsia="方正仿宋_GBK" w:cs="Times New Roman"/>
          <w:color w:val="auto"/>
          <w:kern w:val="2"/>
          <w:sz w:val="33"/>
          <w:szCs w:val="33"/>
          <w:lang w:val="zh-CN"/>
        </w:rPr>
        <w:t>延长档案寿命</w:t>
      </w:r>
      <w:r>
        <w:rPr>
          <w:rFonts w:hint="default" w:ascii="Times New Roman" w:hAnsi="Times New Roman" w:eastAsia="方正仿宋_GBK" w:cs="Times New Roman"/>
          <w:color w:val="auto"/>
          <w:kern w:val="2"/>
          <w:sz w:val="33"/>
          <w:szCs w:val="33"/>
          <w:lang w:val="zh-CN"/>
        </w:rPr>
        <w:t>，为档案查借阅利用者提供</w:t>
      </w:r>
      <w:r>
        <w:rPr>
          <w:rFonts w:hint="eastAsia" w:ascii="Times New Roman" w:hAnsi="Times New Roman" w:eastAsia="方正仿宋_GBK" w:cs="Times New Roman"/>
          <w:color w:val="auto"/>
          <w:kern w:val="2"/>
          <w:sz w:val="33"/>
          <w:szCs w:val="33"/>
          <w:lang w:val="zh-CN"/>
        </w:rPr>
        <w:t>优质服务</w:t>
      </w:r>
      <w:r>
        <w:rPr>
          <w:rFonts w:hint="default" w:ascii="Times New Roman" w:hAnsi="Times New Roman" w:eastAsia="方正仿宋_GBK" w:cs="Times New Roman"/>
          <w:color w:val="auto"/>
          <w:kern w:val="2"/>
          <w:sz w:val="33"/>
          <w:szCs w:val="33"/>
          <w:lang w:val="zh-CN"/>
        </w:rPr>
        <w:t xml:space="preserve">。   </w:t>
      </w:r>
    </w:p>
    <w:p w14:paraId="322C85CC">
      <w:pPr>
        <w:widowControl/>
        <w:ind w:firstLine="660" w:firstLineChars="200"/>
        <w:jc w:val="both"/>
        <w:rPr>
          <w:rFonts w:hint="default" w:ascii="Times New Roman" w:hAnsi="Times New Roman" w:eastAsia="方正仿宋_GBK" w:cs="Times New Roman"/>
          <w:color w:val="auto"/>
          <w:kern w:val="2"/>
          <w:sz w:val="33"/>
          <w:szCs w:val="33"/>
          <w:lang w:val="zh-CN"/>
        </w:rPr>
      </w:pPr>
      <w:r>
        <w:rPr>
          <w:rFonts w:hint="default" w:ascii="Times New Roman" w:hAnsi="Times New Roman" w:eastAsia="方正仿宋_GBK" w:cs="Times New Roman"/>
          <w:color w:val="auto"/>
          <w:kern w:val="2"/>
          <w:sz w:val="33"/>
          <w:szCs w:val="33"/>
          <w:lang w:val="zh-CN"/>
        </w:rPr>
        <w:t>四、问题及建议</w:t>
      </w:r>
    </w:p>
    <w:p w14:paraId="0FEDFE3A">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default" w:ascii="Times New Roman" w:hAnsi="Times New Roman" w:eastAsia="方正楷体_GBK" w:cs="Times New Roman"/>
          <w:b/>
          <w:bCs/>
          <w:color w:val="auto"/>
          <w:sz w:val="33"/>
          <w:szCs w:val="33"/>
          <w:lang w:val="zh-CN"/>
        </w:rPr>
        <w:t>（一）存在的问题。</w:t>
      </w:r>
    </w:p>
    <w:p w14:paraId="0C78CF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kern w:val="2"/>
          <w:sz w:val="33"/>
          <w:szCs w:val="33"/>
          <w:lang w:val="zh-CN" w:eastAsia="zh-CN"/>
        </w:rPr>
      </w:pPr>
      <w:r>
        <w:rPr>
          <w:rFonts w:hint="default" w:ascii="Times New Roman" w:hAnsi="Times New Roman" w:eastAsia="方正仿宋_GB2312" w:cs="Times New Roman"/>
          <w:b w:val="0"/>
          <w:bCs w:val="0"/>
          <w:color w:val="auto"/>
          <w:sz w:val="32"/>
          <w:szCs w:val="32"/>
          <w:lang w:val="en-US" w:eastAsia="zh-CN"/>
        </w:rPr>
        <w:t>财政资金调度困难，</w:t>
      </w:r>
      <w:r>
        <w:rPr>
          <w:rFonts w:hint="eastAsia" w:ascii="Times New Roman" w:hAnsi="Times New Roman" w:eastAsia="方正仿宋_GB2312" w:cs="Times New Roman"/>
          <w:b w:val="0"/>
          <w:bCs w:val="0"/>
          <w:color w:val="auto"/>
          <w:sz w:val="32"/>
          <w:szCs w:val="32"/>
          <w:lang w:val="en-US" w:eastAsia="zh-CN"/>
        </w:rPr>
        <w:t>支付进度缓慢，</w:t>
      </w:r>
      <w:r>
        <w:rPr>
          <w:rFonts w:hint="default" w:ascii="Times New Roman" w:hAnsi="Times New Roman" w:eastAsia="方正仿宋_GB2312" w:cs="Times New Roman"/>
          <w:b w:val="0"/>
          <w:bCs w:val="0"/>
          <w:color w:val="auto"/>
          <w:sz w:val="32"/>
          <w:szCs w:val="32"/>
          <w:lang w:val="en-US" w:eastAsia="zh-CN"/>
        </w:rPr>
        <w:t>未实现</w:t>
      </w:r>
      <w:r>
        <w:rPr>
          <w:rFonts w:hint="eastAsia" w:ascii="Times New Roman" w:hAnsi="Times New Roman" w:eastAsia="方正仿宋_GB2312" w:cs="Times New Roman"/>
          <w:b w:val="0"/>
          <w:bCs w:val="0"/>
          <w:color w:val="auto"/>
          <w:sz w:val="32"/>
          <w:szCs w:val="32"/>
          <w:lang w:val="en-US" w:eastAsia="zh-CN"/>
        </w:rPr>
        <w:t>支付</w:t>
      </w:r>
      <w:r>
        <w:rPr>
          <w:rFonts w:hint="default" w:ascii="Times New Roman" w:hAnsi="Times New Roman" w:eastAsia="方正仿宋_GB2312" w:cs="Times New Roman"/>
          <w:b w:val="0"/>
          <w:bCs w:val="0"/>
          <w:color w:val="auto"/>
          <w:sz w:val="32"/>
          <w:szCs w:val="32"/>
          <w:lang w:val="en-US" w:eastAsia="zh-CN"/>
        </w:rPr>
        <w:t>进度目标。</w:t>
      </w:r>
    </w:p>
    <w:p w14:paraId="77EB2CA9">
      <w:pPr>
        <w:widowControl/>
        <w:ind w:firstLine="663" w:firstLineChars="200"/>
        <w:jc w:val="both"/>
        <w:rPr>
          <w:rFonts w:hint="default" w:ascii="Times New Roman" w:hAnsi="Times New Roman" w:eastAsia="方正楷体_GBK" w:cs="Times New Roman"/>
          <w:b/>
          <w:bCs/>
          <w:color w:val="auto"/>
          <w:sz w:val="33"/>
          <w:szCs w:val="33"/>
          <w:lang w:val="zh-CN"/>
        </w:rPr>
      </w:pPr>
      <w:r>
        <w:rPr>
          <w:rFonts w:hint="eastAsia" w:ascii="Times New Roman" w:hAnsi="Times New Roman" w:eastAsia="方正楷体_GBK" w:cs="Times New Roman"/>
          <w:b/>
          <w:bCs/>
          <w:color w:val="auto"/>
          <w:sz w:val="33"/>
          <w:szCs w:val="33"/>
          <w:lang w:val="zh-CN"/>
        </w:rPr>
        <w:t>（二）</w:t>
      </w:r>
      <w:r>
        <w:rPr>
          <w:rFonts w:hint="default" w:ascii="Times New Roman" w:hAnsi="Times New Roman" w:eastAsia="方正楷体_GBK" w:cs="Times New Roman"/>
          <w:b/>
          <w:bCs/>
          <w:color w:val="auto"/>
          <w:sz w:val="33"/>
          <w:szCs w:val="33"/>
          <w:lang w:val="zh-CN"/>
        </w:rPr>
        <w:t>相关建议。</w:t>
      </w:r>
    </w:p>
    <w:p w14:paraId="0DFB85FD">
      <w:pPr>
        <w:widowControl/>
        <w:numPr>
          <w:ilvl w:val="0"/>
          <w:numId w:val="0"/>
        </w:numPr>
        <w:ind w:firstLine="660" w:firstLineChars="200"/>
        <w:jc w:val="both"/>
        <w:rPr>
          <w:rFonts w:hint="eastAsia" w:ascii="Times New Roman" w:hAnsi="Times New Roman" w:eastAsia="方正仿宋_GBK" w:cs="Times New Roman"/>
          <w:color w:val="auto"/>
          <w:kern w:val="2"/>
          <w:sz w:val="33"/>
          <w:szCs w:val="33"/>
          <w:lang w:val="en-US" w:eastAsia="zh-CN"/>
        </w:rPr>
      </w:pPr>
      <w:r>
        <w:rPr>
          <w:rFonts w:hint="eastAsia" w:eastAsia="方正仿宋_GBK" w:cs="Times New Roman"/>
          <w:color w:val="auto"/>
          <w:kern w:val="2"/>
          <w:sz w:val="33"/>
          <w:szCs w:val="33"/>
          <w:lang w:val="zh-CN"/>
        </w:rPr>
        <w:t>无</w:t>
      </w:r>
      <w:r>
        <w:rPr>
          <w:rFonts w:hint="eastAsia" w:eastAsia="方正仿宋_GBK" w:cs="Times New Roman"/>
          <w:color w:val="auto"/>
          <w:kern w:val="2"/>
          <w:sz w:val="33"/>
          <w:szCs w:val="33"/>
          <w:lang w:val="en-US" w:eastAsia="zh-CN"/>
        </w:rPr>
        <w:t xml:space="preserve"> 。</w:t>
      </w:r>
    </w:p>
    <w:p w14:paraId="32E77B42">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auto"/>
          <w:kern w:val="2"/>
          <w:sz w:val="33"/>
          <w:szCs w:val="33"/>
          <w:lang w:val="en-US"/>
        </w:rPr>
      </w:pPr>
    </w:p>
    <w:p w14:paraId="5F825D20">
      <w:pPr>
        <w:keepNext w:val="0"/>
        <w:keepLines w:val="0"/>
        <w:pageBreakBefore w:val="0"/>
        <w:widowControl w:val="0"/>
        <w:kinsoku/>
        <w:wordWrap/>
        <w:overflowPunct/>
        <w:topLinePunct w:val="0"/>
        <w:autoSpaceDE/>
        <w:autoSpaceDN/>
        <w:bidi w:val="0"/>
        <w:adjustRightInd/>
        <w:snapToGrid/>
        <w:spacing w:line="576" w:lineRule="exact"/>
        <w:ind w:firstLine="660" w:firstLineChars="200"/>
        <w:textAlignment w:val="auto"/>
        <w:rPr>
          <w:rFonts w:hint="default" w:ascii="Times New Roman" w:hAnsi="Times New Roman" w:eastAsia="方正黑体_GBK" w:cs="Times New Roman"/>
          <w:color w:val="auto"/>
          <w:kern w:val="2"/>
          <w:sz w:val="33"/>
          <w:szCs w:val="33"/>
          <w:lang w:val="en-US"/>
        </w:rPr>
      </w:pPr>
    </w:p>
    <w:p w14:paraId="0E31AC65"/>
    <w:p w14:paraId="76EE1C93">
      <w:pPr>
        <w:spacing w:line="578" w:lineRule="exact"/>
        <w:ind w:firstLine="640"/>
        <w:rPr>
          <w:rFonts w:eastAsia="仿宋_GB2312" w:cs="仿宋_GB2312"/>
          <w:kern w:val="0"/>
          <w:sz w:val="32"/>
          <w:szCs w:val="32"/>
        </w:rPr>
      </w:pPr>
      <w:bookmarkStart w:id="48" w:name="_Toc15396618"/>
      <w:r>
        <w:rPr>
          <w:rFonts w:hint="eastAsia" w:eastAsia="仿宋_GB2312" w:cs="仿宋_GB2312"/>
          <w:kern w:val="0"/>
          <w:sz w:val="32"/>
          <w:szCs w:val="32"/>
        </w:rPr>
        <w:br w:type="page"/>
      </w:r>
    </w:p>
    <w:p w14:paraId="22D35A2B">
      <w:pPr>
        <w:widowControl/>
        <w:jc w:val="center"/>
        <w:rPr>
          <w:rFonts w:eastAsia="仿宋"/>
        </w:rPr>
      </w:pPr>
      <w:r>
        <w:rPr>
          <w:rFonts w:hint="eastAsia" w:eastAsia="黑体"/>
          <w:sz w:val="44"/>
          <w:szCs w:val="44"/>
        </w:rPr>
        <w:t>第</w:t>
      </w:r>
      <w:r>
        <w:rPr>
          <w:rStyle w:val="28"/>
          <w:rFonts w:hint="eastAsia" w:eastAsia="黑体"/>
          <w:b w:val="0"/>
        </w:rPr>
        <w:t>五部分 附表</w:t>
      </w:r>
      <w:bookmarkEnd w:id="45"/>
      <w:bookmarkEnd w:id="48"/>
      <w:bookmarkStart w:id="49" w:name="_Toc15396619"/>
    </w:p>
    <w:p w14:paraId="1F21CBBB">
      <w:pPr>
        <w:pStyle w:val="14"/>
        <w:adjustRightInd w:val="0"/>
        <w:snapToGrid w:val="0"/>
        <w:spacing w:line="560" w:lineRule="exact"/>
        <w:jc w:val="left"/>
        <w:rPr>
          <w:rFonts w:eastAsia="仿宋_GB2312" w:cs="仿宋_GB2312"/>
          <w:sz w:val="32"/>
          <w:szCs w:val="32"/>
        </w:rPr>
      </w:pPr>
    </w:p>
    <w:p w14:paraId="6BAD94B9">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9"/>
    </w:p>
    <w:p w14:paraId="32A6436B">
      <w:pPr>
        <w:pStyle w:val="14"/>
        <w:adjustRightInd w:val="0"/>
        <w:snapToGrid w:val="0"/>
        <w:spacing w:line="560" w:lineRule="exact"/>
        <w:jc w:val="left"/>
        <w:rPr>
          <w:rFonts w:eastAsia="仿宋_GB2312" w:cs="仿宋_GB2312"/>
          <w:sz w:val="32"/>
          <w:szCs w:val="32"/>
        </w:rPr>
      </w:pPr>
      <w:bookmarkStart w:id="50" w:name="_Toc15396620"/>
      <w:r>
        <w:rPr>
          <w:rFonts w:hint="eastAsia" w:eastAsia="仿宋_GB2312" w:cs="仿宋_GB2312"/>
          <w:sz w:val="32"/>
          <w:szCs w:val="32"/>
        </w:rPr>
        <w:t>二、收入决算表</w:t>
      </w:r>
      <w:bookmarkEnd w:id="50"/>
    </w:p>
    <w:p w14:paraId="79F37E56">
      <w:pPr>
        <w:pStyle w:val="14"/>
        <w:adjustRightInd w:val="0"/>
        <w:snapToGrid w:val="0"/>
        <w:spacing w:line="560" w:lineRule="exact"/>
        <w:jc w:val="left"/>
        <w:rPr>
          <w:rFonts w:eastAsia="仿宋_GB2312" w:cs="仿宋_GB2312"/>
          <w:sz w:val="32"/>
          <w:szCs w:val="32"/>
        </w:rPr>
      </w:pPr>
      <w:bookmarkStart w:id="51" w:name="_Toc15396621"/>
      <w:r>
        <w:rPr>
          <w:rFonts w:hint="eastAsia" w:eastAsia="仿宋_GB2312" w:cs="仿宋_GB2312"/>
          <w:sz w:val="32"/>
          <w:szCs w:val="32"/>
        </w:rPr>
        <w:t>三、支出决算表</w:t>
      </w:r>
      <w:bookmarkEnd w:id="51"/>
    </w:p>
    <w:p w14:paraId="01BD5FC0">
      <w:pPr>
        <w:pStyle w:val="14"/>
        <w:adjustRightInd w:val="0"/>
        <w:snapToGrid w:val="0"/>
        <w:spacing w:line="560" w:lineRule="exact"/>
        <w:jc w:val="left"/>
        <w:rPr>
          <w:rFonts w:eastAsia="仿宋_GB2312" w:cs="仿宋_GB2312"/>
          <w:sz w:val="32"/>
          <w:szCs w:val="32"/>
        </w:rPr>
      </w:pPr>
      <w:bookmarkStart w:id="52" w:name="_Toc15396622"/>
      <w:r>
        <w:rPr>
          <w:rFonts w:hint="eastAsia" w:eastAsia="仿宋_GB2312" w:cs="仿宋_GB2312"/>
          <w:sz w:val="32"/>
          <w:szCs w:val="32"/>
        </w:rPr>
        <w:t>四、财政拨款收入支出决算总表</w:t>
      </w:r>
      <w:bookmarkEnd w:id="52"/>
    </w:p>
    <w:p w14:paraId="40783DF2">
      <w:pPr>
        <w:pStyle w:val="14"/>
        <w:adjustRightInd w:val="0"/>
        <w:snapToGrid w:val="0"/>
        <w:spacing w:line="560" w:lineRule="exact"/>
        <w:jc w:val="left"/>
        <w:rPr>
          <w:rFonts w:eastAsia="仿宋_GB2312" w:cs="仿宋_GB2312"/>
          <w:sz w:val="32"/>
          <w:szCs w:val="32"/>
        </w:rPr>
      </w:pPr>
      <w:bookmarkStart w:id="53" w:name="_Toc15396623"/>
      <w:r>
        <w:rPr>
          <w:rFonts w:hint="eastAsia" w:eastAsia="仿宋_GB2312" w:cs="仿宋_GB2312"/>
          <w:sz w:val="32"/>
          <w:szCs w:val="32"/>
        </w:rPr>
        <w:t>五、财政拨款支出决算明细表</w:t>
      </w:r>
      <w:bookmarkEnd w:id="53"/>
      <w:bookmarkStart w:id="54" w:name="_Toc15396624"/>
    </w:p>
    <w:p w14:paraId="147F5988">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4"/>
    </w:p>
    <w:p w14:paraId="713843D2">
      <w:pPr>
        <w:pStyle w:val="14"/>
        <w:adjustRightInd w:val="0"/>
        <w:snapToGrid w:val="0"/>
        <w:spacing w:line="560" w:lineRule="exact"/>
        <w:jc w:val="left"/>
        <w:rPr>
          <w:rFonts w:eastAsia="仿宋_GB2312" w:cs="仿宋_GB2312"/>
          <w:sz w:val="32"/>
          <w:szCs w:val="32"/>
        </w:rPr>
      </w:pPr>
      <w:bookmarkStart w:id="55" w:name="_Toc15396625"/>
      <w:r>
        <w:rPr>
          <w:rFonts w:hint="eastAsia" w:eastAsia="仿宋_GB2312" w:cs="仿宋_GB2312"/>
          <w:sz w:val="32"/>
          <w:szCs w:val="32"/>
        </w:rPr>
        <w:t>七、一般公共预算财政拨款支出决算明细表</w:t>
      </w:r>
      <w:bookmarkEnd w:id="55"/>
    </w:p>
    <w:p w14:paraId="5829C842">
      <w:pPr>
        <w:pStyle w:val="14"/>
        <w:adjustRightInd w:val="0"/>
        <w:snapToGrid w:val="0"/>
        <w:spacing w:line="560" w:lineRule="exact"/>
        <w:jc w:val="left"/>
        <w:rPr>
          <w:rFonts w:eastAsia="仿宋_GB2312" w:cs="仿宋_GB2312"/>
          <w:sz w:val="32"/>
          <w:szCs w:val="32"/>
        </w:rPr>
      </w:pPr>
      <w:bookmarkStart w:id="56" w:name="_Toc15396626"/>
      <w:r>
        <w:rPr>
          <w:rFonts w:hint="eastAsia" w:eastAsia="仿宋_GB2312" w:cs="仿宋_GB2312"/>
          <w:sz w:val="32"/>
          <w:szCs w:val="32"/>
        </w:rPr>
        <w:t>八、一般公共预算财政拨款基本支出决算表</w:t>
      </w:r>
      <w:bookmarkEnd w:id="56"/>
    </w:p>
    <w:p w14:paraId="59931DD0">
      <w:pPr>
        <w:pStyle w:val="14"/>
        <w:adjustRightInd w:val="0"/>
        <w:snapToGrid w:val="0"/>
        <w:spacing w:line="560" w:lineRule="exact"/>
        <w:jc w:val="left"/>
        <w:rPr>
          <w:rFonts w:eastAsia="仿宋_GB2312" w:cs="仿宋_GB2312"/>
          <w:sz w:val="32"/>
          <w:szCs w:val="32"/>
        </w:rPr>
      </w:pPr>
      <w:bookmarkStart w:id="57" w:name="_Toc15396627"/>
      <w:r>
        <w:rPr>
          <w:rFonts w:hint="eastAsia" w:eastAsia="仿宋_GB2312" w:cs="仿宋_GB2312"/>
          <w:sz w:val="32"/>
          <w:szCs w:val="32"/>
        </w:rPr>
        <w:t>九、一般公共预算财政拨款项目支出决算表</w:t>
      </w:r>
      <w:bookmarkEnd w:id="57"/>
    </w:p>
    <w:p w14:paraId="58812A21">
      <w:pPr>
        <w:pStyle w:val="14"/>
        <w:adjustRightInd w:val="0"/>
        <w:snapToGrid w:val="0"/>
        <w:spacing w:line="560" w:lineRule="exact"/>
        <w:jc w:val="left"/>
        <w:rPr>
          <w:rFonts w:eastAsia="仿宋_GB2312" w:cs="仿宋_GB2312"/>
          <w:sz w:val="32"/>
          <w:szCs w:val="32"/>
        </w:rPr>
      </w:pPr>
      <w:bookmarkStart w:id="58" w:name="_Toc15396628"/>
      <w:r>
        <w:rPr>
          <w:rFonts w:hint="eastAsia" w:eastAsia="仿宋_GB2312" w:cs="仿宋_GB2312"/>
          <w:sz w:val="32"/>
          <w:szCs w:val="32"/>
        </w:rPr>
        <w:t>十、</w:t>
      </w:r>
      <w:bookmarkEnd w:id="58"/>
      <w:r>
        <w:rPr>
          <w:rFonts w:hint="eastAsia" w:eastAsia="仿宋_GB2312" w:cs="仿宋_GB2312"/>
          <w:sz w:val="32"/>
          <w:szCs w:val="32"/>
        </w:rPr>
        <w:t>政府性基金预算财政拨款收入支出决算表</w:t>
      </w:r>
    </w:p>
    <w:p w14:paraId="691D52EB">
      <w:pPr>
        <w:pStyle w:val="14"/>
        <w:adjustRightInd w:val="0"/>
        <w:snapToGrid w:val="0"/>
        <w:spacing w:line="560" w:lineRule="exact"/>
        <w:jc w:val="left"/>
        <w:rPr>
          <w:rFonts w:eastAsia="仿宋_GB2312" w:cs="仿宋_GB2312"/>
          <w:sz w:val="32"/>
          <w:szCs w:val="32"/>
        </w:rPr>
      </w:pPr>
      <w:bookmarkStart w:id="59" w:name="_Toc15396629"/>
      <w:r>
        <w:rPr>
          <w:rFonts w:hint="eastAsia" w:eastAsia="仿宋_GB2312" w:cs="仿宋_GB2312"/>
          <w:sz w:val="32"/>
          <w:szCs w:val="32"/>
        </w:rPr>
        <w:t>十一、</w:t>
      </w:r>
      <w:bookmarkEnd w:id="59"/>
      <w:r>
        <w:rPr>
          <w:rFonts w:hint="eastAsia" w:eastAsia="仿宋_GB2312" w:cs="仿宋_GB2312"/>
          <w:sz w:val="32"/>
          <w:szCs w:val="32"/>
        </w:rPr>
        <w:t>国有资本经营预算财政拨款收入支出决算表</w:t>
      </w:r>
    </w:p>
    <w:p w14:paraId="4CFE0AF0">
      <w:pPr>
        <w:pStyle w:val="14"/>
        <w:adjustRightInd w:val="0"/>
        <w:snapToGrid w:val="0"/>
        <w:spacing w:line="560" w:lineRule="exact"/>
        <w:jc w:val="left"/>
        <w:rPr>
          <w:rFonts w:eastAsia="仿宋_GB2312" w:cs="仿宋_GB2312"/>
          <w:sz w:val="32"/>
          <w:szCs w:val="32"/>
        </w:rPr>
      </w:pPr>
      <w:bookmarkStart w:id="60" w:name="_Toc15396630"/>
      <w:r>
        <w:rPr>
          <w:rFonts w:hint="eastAsia" w:eastAsia="仿宋_GB2312" w:cs="仿宋_GB2312"/>
          <w:sz w:val="32"/>
          <w:szCs w:val="32"/>
        </w:rPr>
        <w:t>十二、</w:t>
      </w:r>
      <w:bookmarkEnd w:id="60"/>
      <w:r>
        <w:rPr>
          <w:rFonts w:hint="eastAsia" w:eastAsia="仿宋_GB2312" w:cs="仿宋_GB2312"/>
          <w:sz w:val="32"/>
          <w:szCs w:val="32"/>
        </w:rPr>
        <w:t>国有资本经营预算财政拨款支出决算表</w:t>
      </w:r>
    </w:p>
    <w:p w14:paraId="2A7644B9">
      <w:pPr>
        <w:pStyle w:val="14"/>
        <w:adjustRightInd w:val="0"/>
        <w:snapToGrid w:val="0"/>
        <w:spacing w:line="560" w:lineRule="exact"/>
        <w:jc w:val="left"/>
        <w:rPr>
          <w:rFonts w:eastAsia="仿宋_GB2312" w:cs="仿宋_GB2312"/>
          <w:sz w:val="32"/>
          <w:szCs w:val="32"/>
        </w:rPr>
      </w:pPr>
      <w:bookmarkStart w:id="61" w:name="_Toc15396631"/>
      <w:r>
        <w:rPr>
          <w:rFonts w:hint="eastAsia" w:eastAsia="仿宋_GB2312" w:cs="仿宋_GB2312"/>
          <w:sz w:val="32"/>
          <w:szCs w:val="32"/>
        </w:rPr>
        <w:t>十三、</w:t>
      </w:r>
      <w:bookmarkEnd w:id="61"/>
      <w:r>
        <w:rPr>
          <w:rFonts w:hint="eastAsia" w:eastAsia="仿宋_GB2312" w:cs="仿宋_GB2312"/>
          <w:sz w:val="32"/>
          <w:szCs w:val="32"/>
        </w:rPr>
        <w:t>财政拨款“三公”经费支出决算表</w:t>
      </w:r>
    </w:p>
    <w:p w14:paraId="238CCA8D"/>
    <w:sectPr>
      <w:footerReference r:id="rId8" w:type="first"/>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9515">
    <w:pPr>
      <w:pStyle w:val="10"/>
      <w:jc w:val="center"/>
    </w:pPr>
  </w:p>
  <w:p w14:paraId="50CA547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C3F2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7389B">
    <w:pPr>
      <w:pStyle w:val="10"/>
      <w:jc w:val="center"/>
    </w:pPr>
  </w:p>
  <w:p w14:paraId="74B07005">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8B1C7">
    <w:pPr>
      <w:pStyle w:val="10"/>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14:paraId="7E0924A1">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BB6D6">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E4FEB">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67F8D3"/>
    <w:multiLevelType w:val="singleLevel"/>
    <w:tmpl w:val="8B67F8D3"/>
    <w:lvl w:ilvl="0" w:tentative="0">
      <w:start w:val="2"/>
      <w:numFmt w:val="chineseCounting"/>
      <w:suff w:val="nothing"/>
      <w:lvlText w:val="（%1）"/>
      <w:lvlJc w:val="left"/>
      <w:rPr>
        <w:rFonts w:hint="eastAsia"/>
      </w:rPr>
    </w:lvl>
  </w:abstractNum>
  <w:abstractNum w:abstractNumId="1">
    <w:nsid w:val="A4A9AAC1"/>
    <w:multiLevelType w:val="singleLevel"/>
    <w:tmpl w:val="A4A9AAC1"/>
    <w:lvl w:ilvl="0" w:tentative="0">
      <w:start w:val="15"/>
      <w:numFmt w:val="decimal"/>
      <w:lvlText w:val="%1."/>
      <w:lvlJc w:val="left"/>
      <w:pPr>
        <w:tabs>
          <w:tab w:val="left" w:pos="312"/>
        </w:tabs>
      </w:pPr>
    </w:lvl>
  </w:abstractNum>
  <w:abstractNum w:abstractNumId="2">
    <w:nsid w:val="CA14D522"/>
    <w:multiLevelType w:val="singleLevel"/>
    <w:tmpl w:val="CA14D522"/>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468DB"/>
    <w:rsid w:val="000475BC"/>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C5778"/>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8281F"/>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D286D"/>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02E"/>
    <w:rsid w:val="006748A4"/>
    <w:rsid w:val="00681A31"/>
    <w:rsid w:val="00683E73"/>
    <w:rsid w:val="006A3141"/>
    <w:rsid w:val="006A5E34"/>
    <w:rsid w:val="006B2422"/>
    <w:rsid w:val="006B2B9A"/>
    <w:rsid w:val="006C1937"/>
    <w:rsid w:val="006E6ECC"/>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0BE8"/>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04055"/>
    <w:rsid w:val="00923564"/>
    <w:rsid w:val="0092392E"/>
    <w:rsid w:val="009315F9"/>
    <w:rsid w:val="00933499"/>
    <w:rsid w:val="00935C98"/>
    <w:rsid w:val="00946945"/>
    <w:rsid w:val="00951248"/>
    <w:rsid w:val="0095152F"/>
    <w:rsid w:val="00953CBE"/>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D5823"/>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1EEC"/>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5276"/>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D4AC3"/>
    <w:rsid w:val="00FF1E02"/>
    <w:rsid w:val="00FF30B4"/>
    <w:rsid w:val="015975B8"/>
    <w:rsid w:val="01A23516"/>
    <w:rsid w:val="02317B1B"/>
    <w:rsid w:val="02FEBE30"/>
    <w:rsid w:val="061E35DE"/>
    <w:rsid w:val="066E0107"/>
    <w:rsid w:val="06CB49BC"/>
    <w:rsid w:val="07996F6E"/>
    <w:rsid w:val="07DFD8BA"/>
    <w:rsid w:val="08DB07E4"/>
    <w:rsid w:val="09867E8F"/>
    <w:rsid w:val="0A2032A3"/>
    <w:rsid w:val="0C6C4794"/>
    <w:rsid w:val="0CA8290A"/>
    <w:rsid w:val="0D35B1ED"/>
    <w:rsid w:val="0DE07E2B"/>
    <w:rsid w:val="0F98263C"/>
    <w:rsid w:val="101860EC"/>
    <w:rsid w:val="10C055FF"/>
    <w:rsid w:val="11772AA4"/>
    <w:rsid w:val="118107EC"/>
    <w:rsid w:val="12966EC3"/>
    <w:rsid w:val="13957196"/>
    <w:rsid w:val="13D50BC4"/>
    <w:rsid w:val="14022904"/>
    <w:rsid w:val="152F2A07"/>
    <w:rsid w:val="165E0673"/>
    <w:rsid w:val="16BB723D"/>
    <w:rsid w:val="16F13FCB"/>
    <w:rsid w:val="186504BB"/>
    <w:rsid w:val="1938089F"/>
    <w:rsid w:val="19A445FC"/>
    <w:rsid w:val="1B527002"/>
    <w:rsid w:val="1B6376C3"/>
    <w:rsid w:val="1B7D550C"/>
    <w:rsid w:val="1BE8440E"/>
    <w:rsid w:val="1D155CEE"/>
    <w:rsid w:val="1DE178F3"/>
    <w:rsid w:val="1E740ACF"/>
    <w:rsid w:val="1FF35744"/>
    <w:rsid w:val="1FF6BC77"/>
    <w:rsid w:val="21962A9E"/>
    <w:rsid w:val="21AE7C77"/>
    <w:rsid w:val="22BC3C41"/>
    <w:rsid w:val="23860B96"/>
    <w:rsid w:val="240371BF"/>
    <w:rsid w:val="250630DF"/>
    <w:rsid w:val="260F557C"/>
    <w:rsid w:val="281408E2"/>
    <w:rsid w:val="298D7761"/>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2935FF"/>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002BDB"/>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4641D9"/>
    <w:rsid w:val="698D0931"/>
    <w:rsid w:val="6A993CED"/>
    <w:rsid w:val="6AA47B81"/>
    <w:rsid w:val="6B053271"/>
    <w:rsid w:val="6BCE6674"/>
    <w:rsid w:val="6C4A05C8"/>
    <w:rsid w:val="6C8742B8"/>
    <w:rsid w:val="6C8A170F"/>
    <w:rsid w:val="6CB54609"/>
    <w:rsid w:val="6DBF5E93"/>
    <w:rsid w:val="6DFF077E"/>
    <w:rsid w:val="6E7E3605"/>
    <w:rsid w:val="6E7FDCC7"/>
    <w:rsid w:val="6EA762C9"/>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346CA2"/>
    <w:rsid w:val="76E3355F"/>
    <w:rsid w:val="76FF5125"/>
    <w:rsid w:val="776F6FFA"/>
    <w:rsid w:val="778769C8"/>
    <w:rsid w:val="77DC22F5"/>
    <w:rsid w:val="79086DAD"/>
    <w:rsid w:val="79974F09"/>
    <w:rsid w:val="79D7FD79"/>
    <w:rsid w:val="79EE5BA4"/>
    <w:rsid w:val="7A894339"/>
    <w:rsid w:val="7AFF7572"/>
    <w:rsid w:val="7B5C14CC"/>
    <w:rsid w:val="7B6C7DFB"/>
    <w:rsid w:val="7BBFBED0"/>
    <w:rsid w:val="7BC3E394"/>
    <w:rsid w:val="7C1F3737"/>
    <w:rsid w:val="7CBFC87B"/>
    <w:rsid w:val="7CFE0F48"/>
    <w:rsid w:val="7CFE1373"/>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0"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0"/>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0"/>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p0"/>
    <w:basedOn w:val="1"/>
    <w:qFormat/>
    <w:uiPriority w:val="0"/>
    <w:pPr>
      <w:widowControl/>
    </w:pPr>
    <w:rPr>
      <w:kern w:val="0"/>
      <w:szCs w:val="21"/>
    </w:rPr>
  </w:style>
  <w:style w:type="paragraph" w:customStyle="1" w:styleId="36">
    <w:name w:val="Body Text"/>
    <w:basedOn w:val="1"/>
    <w:qFormat/>
    <w:uiPriority w:val="0"/>
    <w:pPr>
      <w:spacing w:beforeLines="30"/>
    </w:pPr>
    <w:rPr>
      <w:rFonts w:ascii="仿宋_GB2312" w:eastAsia="仿宋_GB2312"/>
      <w:sz w:val="24"/>
    </w:rPr>
  </w:style>
  <w:style w:type="character" w:customStyle="1" w:styleId="37">
    <w:name w:val="正文首行缩进 2 Char"/>
    <w:basedOn w:val="16"/>
    <w:link w:val="38"/>
    <w:qFormat/>
    <w:uiPriority w:val="0"/>
    <w:rPr>
      <w:rFonts w:ascii="仿宋_GB2312"/>
      <w:kern w:val="2"/>
      <w:sz w:val="21"/>
      <w:szCs w:val="32"/>
    </w:rPr>
  </w:style>
  <w:style w:type="paragraph" w:customStyle="1" w:styleId="38">
    <w:name w:val="Body Text First Indent 2"/>
    <w:basedOn w:val="1"/>
    <w:next w:val="1"/>
    <w:link w:val="37"/>
    <w:qFormat/>
    <w:uiPriority w:val="0"/>
    <w:pPr>
      <w:spacing w:after="120"/>
      <w:ind w:left="200" w:leftChars="200" w:firstLine="420" w:firstLineChars="200"/>
    </w:pPr>
    <w:rPr>
      <w:rFonts w:ascii="仿宋_GB231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收、支决算总计变动情况图（单位：万元）</a:t>
            </a:r>
            <a:endParaRPr lang="zh-CN" altLang="en-US"/>
          </a:p>
        </c:rich>
      </c:tx>
      <c:layout>
        <c:manualLayout>
          <c:xMode val="edge"/>
          <c:yMode val="edge"/>
          <c:x val="0.188708678796066"/>
          <c:y val="0.0369655295233889"/>
        </c:manualLayout>
      </c:layout>
      <c:overlay val="0"/>
      <c:spPr>
        <a:noFill/>
        <a:ln w="25400">
          <a:noFill/>
        </a:ln>
      </c:spPr>
    </c:title>
    <c:autoTitleDeleted val="0"/>
    <c:plotArea>
      <c:layout>
        <c:manualLayout>
          <c:layoutTarget val="inner"/>
          <c:xMode val="edge"/>
          <c:yMode val="edge"/>
          <c:x val="0.146550356937371"/>
          <c:y val="0.292027683234773"/>
          <c:w val="0.825098584948758"/>
          <c:h val="0.56926915466019"/>
        </c:manualLayout>
      </c:layout>
      <c:barChart>
        <c:barDir val="col"/>
        <c:grouping val="clustered"/>
        <c:varyColors val="0"/>
        <c:ser>
          <c:idx val="0"/>
          <c:order val="0"/>
          <c:tx>
            <c:strRef>
              <c:f>Sheet1!$B$5</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Sheet1!$C$5:$D$5</c:f>
              <c:numCache>
                <c:formatCode>General</c:formatCode>
                <c:ptCount val="2"/>
                <c:pt idx="0">
                  <c:v>212.31</c:v>
                </c:pt>
                <c:pt idx="1">
                  <c:v>212.31</c:v>
                </c:pt>
              </c:numCache>
            </c:numRef>
          </c:val>
        </c:ser>
        <c:ser>
          <c:idx val="1"/>
          <c:order val="1"/>
          <c:tx>
            <c:strRef>
              <c:f>Sheet1!$B$6</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Sheet1!$C$6:$D$6</c:f>
              <c:numCache>
                <c:formatCode>General</c:formatCode>
                <c:ptCount val="2"/>
                <c:pt idx="0">
                  <c:v>248.66</c:v>
                </c:pt>
                <c:pt idx="1">
                  <c:v>248.66</c:v>
                </c:pt>
              </c:numCache>
            </c:numRef>
          </c:val>
        </c:ser>
        <c:dLbls>
          <c:showLegendKey val="0"/>
          <c:showVal val="1"/>
          <c:showCatName val="0"/>
          <c:showSerName val="0"/>
          <c:showPercent val="0"/>
          <c:showBubbleSize val="0"/>
        </c:dLbls>
        <c:gapWidth val="150"/>
        <c:axId val="134235264"/>
        <c:axId val="134247936"/>
      </c:barChart>
      <c:catAx>
        <c:axId val="134235264"/>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4247936"/>
        <c:crosses val="autoZero"/>
        <c:auto val="1"/>
        <c:lblAlgn val="ctr"/>
        <c:lblOffset val="100"/>
        <c:tickLblSkip val="1"/>
        <c:noMultiLvlLbl val="0"/>
      </c:catAx>
      <c:valAx>
        <c:axId val="134247936"/>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4235264"/>
        <c:crosses val="autoZero"/>
        <c:crossBetween val="between"/>
      </c:valAx>
      <c:spPr>
        <a:solidFill>
          <a:srgbClr val="C0C0C0"/>
        </a:solidFill>
        <a:ln w="3175">
          <a:solidFill>
            <a:srgbClr val="808080"/>
          </a:solidFill>
          <a:prstDash val="solid"/>
        </a:ln>
      </c:spPr>
    </c:plotArea>
    <c:legend>
      <c:legendPos val="t"/>
      <c:layout>
        <c:manualLayout>
          <c:xMode val="edge"/>
          <c:yMode val="edge"/>
          <c:x val="0.475786775262423"/>
          <c:y val="0.147862118093556"/>
          <c:w val="0.166625748298654"/>
          <c:h val="0.070234506094439"/>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0100348-7168-4727-a8d1-ea2517240096}"/>
      </c:ext>
    </c:extLst>
  </c:chart>
  <c:spPr>
    <a:solidFill>
      <a:srgbClr val="FFFFFF"/>
    </a:solidFill>
    <a:ln w="3175" cap="flat" cmpd="sng" algn="ctr">
      <a:solidFill>
        <a:srgbClr val="000000"/>
      </a:solidFill>
      <a:prstDash val="solid"/>
      <a:round/>
    </a:ln>
  </c:spPr>
  <c:txPr>
    <a:bodyPr/>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收入决算结构图（单位：万元）</a:t>
            </a:r>
            <a:endParaRPr lang="zh-CN" altLang="en-US"/>
          </a:p>
        </c:rich>
      </c:tx>
      <c:layout>
        <c:manualLayout>
          <c:xMode val="edge"/>
          <c:yMode val="edge"/>
          <c:x val="0.0104010155210271"/>
          <c:y val="0.0595264142811723"/>
        </c:manualLayout>
      </c:layout>
      <c:overlay val="0"/>
      <c:spPr>
        <a:noFill/>
        <a:ln w="25400">
          <a:noFill/>
        </a:ln>
      </c:spPr>
    </c:title>
    <c:autoTitleDeleted val="0"/>
    <c:plotArea>
      <c:layout>
        <c:manualLayout>
          <c:layoutTarget val="inner"/>
          <c:xMode val="edge"/>
          <c:yMode val="edge"/>
          <c:x val="0.468045698446221"/>
          <c:y val="0.21429509141222"/>
          <c:w val="0.353634527714923"/>
          <c:h val="0.674632695186619"/>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Lbls>
            <c:numFmt formatCode="0.0%" sourceLinked="0"/>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Sheet1!$H$4:$K$4</c:f>
              <c:strCache>
                <c:ptCount val="4"/>
                <c:pt idx="0">
                  <c:v>一般公共预算财政拨款收入</c:v>
                </c:pt>
                <c:pt idx="1">
                  <c:v>政府性基金预算财政拨款收入</c:v>
                </c:pt>
                <c:pt idx="2">
                  <c:v>国有资本经营预算财政拨款</c:v>
                </c:pt>
                <c:pt idx="3">
                  <c:v>其他收入</c:v>
                </c:pt>
              </c:strCache>
            </c:strRef>
          </c:cat>
          <c:val>
            <c:numRef>
              <c:f>Sheet1!$H$5:$K$5</c:f>
              <c:numCache>
                <c:formatCode>General</c:formatCode>
                <c:ptCount val="4"/>
                <c:pt idx="0">
                  <c:v>190.81</c:v>
                </c:pt>
                <c:pt idx="1">
                  <c:v>0</c:v>
                </c:pt>
                <c:pt idx="2">
                  <c:v>0</c:v>
                </c:pt>
                <c:pt idx="3">
                  <c:v>0</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0124812186252326"/>
          <c:y val="0.42065332758695"/>
          <c:w val="0.307870059422404"/>
          <c:h val="0.257947795218413"/>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c0e78044-4719-4538-9763-7ef6f2f28ad9}"/>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00"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支出决算结构图（单位：万元）</a:t>
            </a:r>
            <a:endParaRPr lang="zh-CN" altLang="en-US"/>
          </a:p>
        </c:rich>
      </c:tx>
      <c:layout>
        <c:manualLayout>
          <c:xMode val="edge"/>
          <c:yMode val="edge"/>
          <c:x val="0.304439746300211"/>
          <c:y val="0.0403588327644005"/>
        </c:manualLayout>
      </c:layout>
      <c:overlay val="0"/>
      <c:spPr>
        <a:noFill/>
        <a:ln w="25400">
          <a:noFill/>
        </a:ln>
      </c:spPr>
    </c:title>
    <c:autoTitleDeleted val="0"/>
    <c:plotArea>
      <c:layout>
        <c:manualLayout>
          <c:layoutTarget val="inner"/>
          <c:xMode val="edge"/>
          <c:yMode val="edge"/>
          <c:x val="0.41014799154334"/>
          <c:y val="0.322870662115205"/>
          <c:w val="0.181818181818182"/>
          <c:h val="0.385651068637605"/>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Lbls>
            <c:numFmt formatCode="0.0%" sourceLinked="0"/>
            <c:spPr>
              <a:noFill/>
              <a:ln w="25400">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Sheet1!$N$4:$O$4</c:f>
              <c:strCache>
                <c:ptCount val="2"/>
                <c:pt idx="0">
                  <c:v>基本支出</c:v>
                </c:pt>
                <c:pt idx="1">
                  <c:v>项目支出</c:v>
                </c:pt>
              </c:strCache>
            </c:strRef>
          </c:cat>
          <c:val>
            <c:numRef>
              <c:f>Sheet1!$N$5:$O$5</c:f>
              <c:numCache>
                <c:formatCode>General</c:formatCode>
                <c:ptCount val="2"/>
                <c:pt idx="0">
                  <c:v>166.89</c:v>
                </c:pt>
                <c:pt idx="1">
                  <c:v>81.77</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b"/>
      <c:layout>
        <c:manualLayout>
          <c:xMode val="edge"/>
          <c:yMode val="edge"/>
          <c:x val="0.389006342494715"/>
          <c:y val="0.887894320816811"/>
          <c:w val="0.221987315010571"/>
          <c:h val="0.0807176655288011"/>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61387032-a20e-4b86-9b9d-3b70b4f211f8}"/>
      </c:ext>
    </c:extLst>
  </c:chart>
  <c:spPr>
    <a:solidFill>
      <a:srgbClr val="FFFFFF"/>
    </a:solidFill>
    <a:ln w="3175" cap="flat" cmpd="sng" algn="ctr">
      <a:solidFill>
        <a:srgbClr val="000000"/>
      </a:solidFill>
      <a:prstDash val="solid"/>
      <a:round/>
    </a:ln>
  </c:spPr>
  <c:txPr>
    <a:bodyPr/>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财政拨款收、支决算总计变动情况（单位：万元）</a:t>
            </a:r>
            <a:endParaRPr lang="zh-CN" altLang="en-US"/>
          </a:p>
        </c:rich>
      </c:tx>
      <c:layout>
        <c:manualLayout>
          <c:xMode val="edge"/>
          <c:yMode val="edge"/>
          <c:x val="0.185352503282507"/>
          <c:y val="0.0401624211716884"/>
        </c:manualLayout>
      </c:layout>
      <c:overlay val="0"/>
      <c:spPr>
        <a:noFill/>
        <a:ln w="25400">
          <a:noFill/>
        </a:ln>
      </c:spPr>
    </c:title>
    <c:autoTitleDeleted val="0"/>
    <c:plotArea>
      <c:layout>
        <c:manualLayout>
          <c:layoutTarget val="inner"/>
          <c:xMode val="edge"/>
          <c:yMode val="edge"/>
          <c:x val="0.122937884830234"/>
          <c:y val="0.31326688513917"/>
          <c:w val="0.851108433440085"/>
          <c:h val="0.534160201583454"/>
        </c:manualLayout>
      </c:layout>
      <c:barChart>
        <c:barDir val="col"/>
        <c:grouping val="clustered"/>
        <c:varyColors val="0"/>
        <c:ser>
          <c:idx val="0"/>
          <c:order val="0"/>
          <c:tx>
            <c:strRef>
              <c:f>Sheet1!$B$28</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Sheet1!$C$28:$D$28</c:f>
              <c:numCache>
                <c:formatCode>General</c:formatCode>
                <c:ptCount val="2"/>
                <c:pt idx="0">
                  <c:v>212.31</c:v>
                </c:pt>
                <c:pt idx="1">
                  <c:v>212.31</c:v>
                </c:pt>
              </c:numCache>
            </c:numRef>
          </c:val>
        </c:ser>
        <c:ser>
          <c:idx val="1"/>
          <c:order val="1"/>
          <c:tx>
            <c:strRef>
              <c:f>Sheet1!$B$29</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Sheet1!$C$29:$D$29</c:f>
              <c:numCache>
                <c:formatCode>General</c:formatCode>
                <c:ptCount val="2"/>
                <c:pt idx="0">
                  <c:v>248.66</c:v>
                </c:pt>
                <c:pt idx="1">
                  <c:v>248.66</c:v>
                </c:pt>
              </c:numCache>
            </c:numRef>
          </c:val>
        </c:ser>
        <c:dLbls>
          <c:showLegendKey val="0"/>
          <c:showVal val="1"/>
          <c:showCatName val="0"/>
          <c:showSerName val="0"/>
          <c:showPercent val="0"/>
          <c:showBubbleSize val="0"/>
        </c:dLbls>
        <c:gapWidth val="150"/>
        <c:axId val="135430144"/>
        <c:axId val="135431680"/>
      </c:barChart>
      <c:catAx>
        <c:axId val="135430144"/>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5431680"/>
        <c:crosses val="autoZero"/>
        <c:auto val="1"/>
        <c:lblAlgn val="ctr"/>
        <c:lblOffset val="100"/>
        <c:tickLblSkip val="1"/>
        <c:noMultiLvlLbl val="0"/>
      </c:catAx>
      <c:valAx>
        <c:axId val="135431680"/>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5430144"/>
        <c:crosses val="autoZero"/>
        <c:crossBetween val="between"/>
      </c:valAx>
      <c:spPr>
        <a:solidFill>
          <a:srgbClr val="C0C0C0"/>
        </a:solidFill>
        <a:ln w="3175">
          <a:solidFill>
            <a:srgbClr val="808080"/>
          </a:solidFill>
          <a:prstDash val="solid"/>
        </a:ln>
      </c:spPr>
    </c:plotArea>
    <c:legend>
      <c:legendPos val="t"/>
      <c:layout>
        <c:manualLayout>
          <c:xMode val="edge"/>
          <c:yMode val="edge"/>
          <c:x val="0.476620722726447"/>
          <c:y val="0.156633442569585"/>
          <c:w val="0.141851405573347"/>
          <c:h val="0.0763086002262078"/>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8308a7c-42fc-4c33-b08a-814d7ca237d7}"/>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77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一般公共预算财政拨款支出决算变动情况（单位：万元）</a:t>
            </a:r>
            <a:endParaRPr lang="zh-CN" altLang="en-US"/>
          </a:p>
        </c:rich>
      </c:tx>
      <c:layout>
        <c:manualLayout>
          <c:xMode val="edge"/>
          <c:yMode val="edge"/>
          <c:x val="0.186001933828223"/>
          <c:y val="0.0403243736193669"/>
        </c:manualLayout>
      </c:layout>
      <c:overlay val="0"/>
      <c:spPr>
        <a:noFill/>
        <a:ln w="25400">
          <a:noFill/>
        </a:ln>
      </c:spPr>
    </c:title>
    <c:autoTitleDeleted val="0"/>
    <c:plotArea>
      <c:layout>
        <c:manualLayout>
          <c:layoutTarget val="inner"/>
          <c:xMode val="edge"/>
          <c:yMode val="edge"/>
          <c:x val="0.14744055730286"/>
          <c:y val="0.209686742820708"/>
          <c:w val="0.821130488363619"/>
          <c:h val="0.544379043861453"/>
        </c:manualLayout>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Sheet1!$H$27:$I$27</c:f>
              <c:numCache>
                <c:formatCode>General</c:formatCode>
                <c:ptCount val="2"/>
                <c:pt idx="0">
                  <c:v>2024</c:v>
                </c:pt>
                <c:pt idx="1">
                  <c:v>2025</c:v>
                </c:pt>
              </c:numCache>
            </c:numRef>
          </c:cat>
          <c:val>
            <c:numRef>
              <c:f>Sheet1!$H$28:$I$28</c:f>
              <c:numCache>
                <c:formatCode>General</c:formatCode>
                <c:ptCount val="2"/>
                <c:pt idx="0">
                  <c:v>212.31</c:v>
                </c:pt>
                <c:pt idx="1">
                  <c:v>248.66</c:v>
                </c:pt>
              </c:numCache>
            </c:numRef>
          </c:val>
        </c:ser>
        <c:dLbls>
          <c:showLegendKey val="0"/>
          <c:showVal val="1"/>
          <c:showCatName val="0"/>
          <c:showSerName val="0"/>
          <c:showPercent val="0"/>
          <c:showBubbleSize val="0"/>
        </c:dLbls>
        <c:gapWidth val="150"/>
        <c:axId val="135452160"/>
        <c:axId val="135453696"/>
      </c:barChart>
      <c:catAx>
        <c:axId val="135452160"/>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5453696"/>
        <c:crosses val="autoZero"/>
        <c:auto val="1"/>
        <c:lblAlgn val="ctr"/>
        <c:lblOffset val="100"/>
        <c:tickLblSkip val="1"/>
        <c:noMultiLvlLbl val="0"/>
      </c:catAx>
      <c:valAx>
        <c:axId val="135453696"/>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5452160"/>
        <c:crosses val="autoZero"/>
        <c:crossBetween val="between"/>
      </c:valAx>
      <c:spPr>
        <a:solidFill>
          <a:srgbClr val="C0C0C0"/>
        </a:solidFill>
        <a:ln w="3175">
          <a:solidFill>
            <a:srgbClr val="808080"/>
          </a:solidFill>
          <a:prstDash val="solid"/>
        </a:ln>
      </c:spPr>
    </c:plotArea>
    <c:legend>
      <c:legendPos val="b"/>
      <c:layout>
        <c:manualLayout>
          <c:xMode val="edge"/>
          <c:yMode val="edge"/>
          <c:x val="0.331174174864886"/>
          <c:y val="0.895201094349944"/>
          <c:w val="0.453663253239568"/>
          <c:h val="0.076616309876797"/>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44fefcf9-d54c-4691-9580-3ab213fb3701}"/>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t>一般公共预算财政拨款支出决算情况（单位：万元）</a:t>
            </a:r>
            <a:endParaRPr lang="zh-CN"/>
          </a:p>
        </c:rich>
      </c:tx>
      <c:layout>
        <c:manualLayout>
          <c:xMode val="edge"/>
          <c:yMode val="edge"/>
          <c:x val="0.155484558040469"/>
          <c:y val="0.00388726919339164"/>
        </c:manualLayout>
      </c:layout>
      <c:overlay val="0"/>
    </c:title>
    <c:autoTitleDeleted val="0"/>
    <c:plotArea>
      <c:layout>
        <c:manualLayout>
          <c:layoutTarget val="inner"/>
          <c:xMode val="edge"/>
          <c:yMode val="edge"/>
          <c:x val="0.246006389776358"/>
          <c:y val="0.297376516627923"/>
          <c:w val="0.271565495207668"/>
          <c:h val="0.495627527713204"/>
        </c:manualLayout>
      </c:layout>
      <c:pieChart>
        <c:varyColors val="1"/>
        <c:ser>
          <c:idx val="0"/>
          <c:order val="0"/>
          <c:explosion val="0"/>
          <c:dPt>
            <c:idx val="0"/>
            <c:bubble3D val="0"/>
          </c:dPt>
          <c:dPt>
            <c:idx val="1"/>
            <c:bubble3D val="0"/>
          </c:dPt>
          <c:dPt>
            <c:idx val="2"/>
            <c:bubble3D val="0"/>
          </c:dPt>
          <c:dPt>
            <c:idx val="3"/>
            <c:bubble3D val="0"/>
          </c:dPt>
          <c:dLbls>
            <c:dLbl>
              <c:idx val="0"/>
              <c:layout>
                <c:manualLayout>
                  <c:x val="-0.115015974440895"/>
                  <c:y val="-0.0038872691933916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393251322817875"/>
                  <c:y val="-0.0459622139069352"/>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489882854100106"/>
                  <c:y val="-0.069970845481049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0223642172524"/>
                  <c:y val="0"/>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Sheet1!$M$26:$P$26</c:f>
              <c:strCache>
                <c:ptCount val="4"/>
                <c:pt idx="0">
                  <c:v>一般公共服务支出</c:v>
                </c:pt>
                <c:pt idx="1">
                  <c:v>社会保障和就业支出</c:v>
                </c:pt>
                <c:pt idx="2">
                  <c:v>卫生健康支出</c:v>
                </c:pt>
                <c:pt idx="3">
                  <c:v>住房保障支出</c:v>
                </c:pt>
              </c:strCache>
            </c:strRef>
          </c:cat>
          <c:val>
            <c:numRef>
              <c:f>Sheet1!$M$27:$P$27</c:f>
              <c:numCache>
                <c:formatCode>General</c:formatCode>
                <c:ptCount val="4"/>
                <c:pt idx="0">
                  <c:v>210.74</c:v>
                </c:pt>
                <c:pt idx="1">
                  <c:v>19.25</c:v>
                </c:pt>
                <c:pt idx="2">
                  <c:v>8.19</c:v>
                </c:pt>
                <c:pt idx="3">
                  <c:v>10.47</c:v>
                </c:pt>
              </c:numCache>
            </c:numRef>
          </c:val>
        </c:ser>
        <c:dLbls>
          <c:showLegendKey val="0"/>
          <c:showVal val="1"/>
          <c:showCatName val="0"/>
          <c:showSerName val="0"/>
          <c:showPercent val="1"/>
          <c:showBubbleSize val="0"/>
          <c:showLeaderLines val="1"/>
        </c:dLbls>
        <c:firstSliceAng val="0"/>
      </c:pieChart>
    </c:plotArea>
    <c:legend>
      <c:legendPos val="r"/>
      <c:layout>
        <c:manualLayout>
          <c:xMode val="edge"/>
          <c:yMode val="edge"/>
          <c:x val="0.70447284345048"/>
          <c:y val="0.317784708945525"/>
          <c:w val="0.227868984428065"/>
          <c:h val="0.281172608525975"/>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27090f4d-59d8-4323-a5e4-0673924c0cee}"/>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“三公”经费财政拨款支出结构（单位：万元）</a:t>
            </a:r>
            <a:endParaRPr lang="zh-CN" altLang="en-US"/>
          </a:p>
        </c:rich>
      </c:tx>
      <c:layout>
        <c:manualLayout>
          <c:xMode val="edge"/>
          <c:yMode val="edge"/>
          <c:x val="0.0107529431675276"/>
          <c:y val="0.0351407942818996"/>
        </c:manualLayout>
      </c:layout>
      <c:overlay val="0"/>
      <c:spPr>
        <a:noFill/>
        <a:ln w="25400">
          <a:noFill/>
        </a:ln>
      </c:spPr>
    </c:title>
    <c:autoTitleDeleted val="0"/>
    <c:plotArea>
      <c:layout>
        <c:manualLayout>
          <c:layoutTarget val="inner"/>
          <c:xMode val="edge"/>
          <c:yMode val="edge"/>
          <c:x val="0.324738883659333"/>
          <c:y val="0.320659747822334"/>
          <c:w val="0.253769458753651"/>
          <c:h val="0.518326715658019"/>
        </c:manualLayout>
      </c:layout>
      <c:pieChart>
        <c:varyColors val="1"/>
        <c:ser>
          <c:idx val="0"/>
          <c:order val="0"/>
          <c:tx>
            <c:strRef>
              <c:f>“三公”经费财政拨款支出结构</c:f>
              <c:strCache>
                <c:ptCount val="1"/>
                <c:pt idx="0">
                  <c:v>“三公”经费财政拨款支出结构</c:v>
                </c:pt>
              </c:strCache>
            </c:strRef>
          </c:tx>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Lbls>
            <c:dLbl>
              <c:idx val="0"/>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dLbl>
              <c:idx val="1"/>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dLbl>
              <c:idx val="2"/>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0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Sheet1!$B$49:$D$49</c:f>
              <c:strCache>
                <c:ptCount val="3"/>
                <c:pt idx="0">
                  <c:v>因公出国（境）费支出决算</c:v>
                </c:pt>
                <c:pt idx="1">
                  <c:v>公务用车购置及运行维护费支出决算</c:v>
                </c:pt>
                <c:pt idx="2">
                  <c:v>公务接待费支出决算</c:v>
                </c:pt>
              </c:strCache>
            </c:strRef>
          </c:cat>
          <c:val>
            <c:numRef>
              <c:f>Sheet1!$B$50:$D$50</c:f>
              <c:numCache>
                <c:formatCode>General</c:formatCode>
                <c:ptCount val="3"/>
                <c:pt idx="0">
                  <c:v>0</c:v>
                </c:pt>
                <c:pt idx="1">
                  <c:v>0</c:v>
                </c:pt>
                <c:pt idx="2">
                  <c:v>0</c:v>
                </c:pt>
              </c:numCache>
            </c:numRef>
          </c:val>
        </c:ser>
        <c:dLbls>
          <c:showLegendKey val="1"/>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6623812991197"/>
          <c:y val="0.37776353853042"/>
          <c:w val="0.329040060926344"/>
          <c:h val="0.360193141389471"/>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4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362b4cbc-ef20-4a67-9c23-67ecbe9a6e2d}"/>
      </c:ext>
    </c:extLst>
  </c:chart>
  <c:spPr>
    <a:solidFill>
      <a:srgbClr val="FFFFFF"/>
    </a:solidFill>
    <a:ln w="3175" cap="flat" cmpd="sng" algn="ctr">
      <a:solidFill>
        <a:srgbClr val="000000"/>
      </a:solidFill>
      <a:prstDash val="solid"/>
      <a:round/>
    </a:ln>
  </c:spPr>
  <c:txPr>
    <a:bodyPr/>
    <a:lstStyle/>
    <a:p>
      <a:pPr>
        <a:defRPr lang="zh-CN" sz="700"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4905</Words>
  <Characters>5351</Characters>
  <Lines>59</Lines>
  <Paragraphs>16</Paragraphs>
  <TotalTime>2</TotalTime>
  <ScaleCrop>false</ScaleCrop>
  <LinksUpToDate>false</LinksUpToDate>
  <CharactersWithSpaces>5396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殷国艳</cp:lastModifiedBy>
  <cp:lastPrinted>2026-08-03T09:27:00Z</cp:lastPrinted>
  <dcterms:modified xsi:type="dcterms:W3CDTF">2026-09-18T09:42:27Z</dcterms:modified>
  <dc:title>四川省***</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eyJoZGlkIjoiOWExOGI4NDUwNGUyM2NjODNmZDJlZDkyN2NhYjMwZTMiLCJ1c2VySWQiOiIxNjUyMzMwNzU2In0=</vt:lpwstr>
  </property>
</Properties>
</file>