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ECD0A">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06267"/>
      <w:bookmarkStart w:id="3" w:name="_Toc15396475"/>
      <w:bookmarkStart w:id="4" w:name="_Toc15396597"/>
      <w:bookmarkStart w:id="5" w:name="_Toc15377425"/>
    </w:p>
    <w:p w14:paraId="3ABAD9AA">
      <w:pPr>
        <w:pStyle w:val="5"/>
        <w:rPr>
          <w:rFonts w:hint="eastAsia" w:ascii="Times New Roman" w:hAnsi="Times New Roman" w:eastAsia="方正小标宋简体" w:cs="Times New Roman"/>
          <w:color w:val="auto"/>
          <w:kern w:val="2"/>
          <w:sz w:val="72"/>
          <w:szCs w:val="72"/>
          <w:highlight w:val="none"/>
          <w:lang w:val="en-US" w:eastAsia="zh-CN" w:bidi="ar-SA"/>
        </w:rPr>
      </w:pPr>
    </w:p>
    <w:p w14:paraId="7EEEE150">
      <w:pPr>
        <w:pStyle w:val="5"/>
        <w:rPr>
          <w:rFonts w:hint="eastAsia" w:ascii="Times New Roman" w:hAnsi="Times New Roman" w:eastAsia="方正小标宋简体" w:cs="Times New Roman"/>
          <w:color w:val="auto"/>
          <w:kern w:val="2"/>
          <w:sz w:val="72"/>
          <w:szCs w:val="72"/>
          <w:highlight w:val="none"/>
          <w:lang w:val="en-US" w:eastAsia="zh-CN" w:bidi="ar-SA"/>
        </w:rPr>
      </w:pPr>
    </w:p>
    <w:p w14:paraId="29A398C3">
      <w:pPr>
        <w:pStyle w:val="5"/>
        <w:rPr>
          <w:rFonts w:hint="eastAsia" w:ascii="Times New Roman" w:hAnsi="Times New Roman" w:eastAsia="方正小标宋简体" w:cs="Times New Roman"/>
          <w:color w:val="auto"/>
          <w:kern w:val="2"/>
          <w:sz w:val="72"/>
          <w:szCs w:val="72"/>
          <w:highlight w:val="none"/>
          <w:lang w:val="en-US" w:eastAsia="zh-CN" w:bidi="ar-SA"/>
        </w:rPr>
      </w:pPr>
    </w:p>
    <w:p w14:paraId="64080EEF">
      <w:pPr>
        <w:pStyle w:val="5"/>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14:paraId="495C683E">
      <w:pPr>
        <w:pStyle w:val="5"/>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中共攀枝花市仁和区委社会工作部</w:t>
      </w:r>
    </w:p>
    <w:p w14:paraId="08F8DFB1">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r>
        <w:rPr>
          <w:rFonts w:hint="eastAsia" w:ascii="Times New Roman" w:eastAsia="方正小标宋简体" w:cs="Times New Roman"/>
          <w:color w:val="auto"/>
          <w:kern w:val="2"/>
          <w:sz w:val="44"/>
          <w:szCs w:val="44"/>
          <w:highlight w:val="none"/>
          <w:lang w:val="en-US" w:eastAsia="zh-CN" w:bidi="ar-SA"/>
        </w:rPr>
        <w:t>编制说明</w:t>
      </w:r>
    </w:p>
    <w:p w14:paraId="1B6EE158">
      <w:pPr>
        <w:spacing w:line="600" w:lineRule="exact"/>
        <w:jc w:val="center"/>
        <w:outlineLvl w:val="0"/>
        <w:rPr>
          <w:rFonts w:ascii="Times New Roman" w:hAnsi="Times New Roman" w:eastAsia="方正小标宋简体"/>
          <w:color w:val="auto"/>
          <w:sz w:val="72"/>
          <w:szCs w:val="72"/>
          <w:highlight w:val="none"/>
        </w:rPr>
      </w:pPr>
    </w:p>
    <w:p w14:paraId="4092CCAD">
      <w:pPr>
        <w:pStyle w:val="2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C721D2A">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89312A3">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2D0F896">
      <w:pPr>
        <w:widowControl/>
        <w:jc w:val="center"/>
        <w:rPr>
          <w:rFonts w:ascii="Times New Roman" w:hAnsi="Times New Roman" w:eastAsia="黑体" w:cstheme="minorBidi"/>
          <w:color w:val="auto"/>
          <w:sz w:val="28"/>
          <w:szCs w:val="28"/>
          <w:highlight w:val="none"/>
        </w:rPr>
      </w:pPr>
    </w:p>
    <w:p w14:paraId="7607FFF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32FEB31B">
      <w:pPr>
        <w:rPr>
          <w:rFonts w:ascii="Times New Roman" w:hAnsi="Times New Roman"/>
          <w:color w:val="auto"/>
          <w:highlight w:val="none"/>
        </w:rPr>
      </w:pPr>
    </w:p>
    <w:p w14:paraId="4958D5BE">
      <w:pPr>
        <w:keepNext w:val="0"/>
        <w:keepLines w:val="0"/>
        <w:widowControl/>
        <w:suppressLineNumbers w:val="0"/>
        <w:jc w:val="left"/>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_GB2312" w:cs="Times New Roman"/>
          <w:color w:val="auto"/>
          <w:kern w:val="2"/>
          <w:sz w:val="32"/>
          <w:szCs w:val="32"/>
          <w:highlight w:val="none"/>
          <w:lang w:val="en-US" w:eastAsia="zh-CN" w:bidi="ar-SA"/>
        </w:rPr>
        <w:t>4</w:t>
      </w:r>
    </w:p>
    <w:p w14:paraId="4059E506">
      <w:pPr>
        <w:keepNext w:val="0"/>
        <w:keepLines w:val="0"/>
        <w:widowControl/>
        <w:suppressLineNumbers w:val="0"/>
        <w:ind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_GB2312" w:cs="Times New Roman"/>
          <w:color w:val="auto"/>
          <w:kern w:val="2"/>
          <w:sz w:val="32"/>
          <w:szCs w:val="32"/>
          <w:highlight w:val="none"/>
          <w:lang w:val="en-US" w:eastAsia="zh-CN" w:bidi="ar-SA"/>
        </w:rPr>
        <w:t>4</w:t>
      </w:r>
    </w:p>
    <w:p w14:paraId="6F4D754A">
      <w:pPr>
        <w:keepNext w:val="0"/>
        <w:keepLines w:val="0"/>
        <w:widowControl/>
        <w:suppressLineNumbers w:val="0"/>
        <w:ind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_GB2312" w:cs="Times New Roman"/>
          <w:color w:val="auto"/>
          <w:kern w:val="2"/>
          <w:sz w:val="32"/>
          <w:szCs w:val="32"/>
          <w:highlight w:val="none"/>
          <w:lang w:val="en-US" w:eastAsia="zh-CN" w:bidi="ar-SA"/>
        </w:rPr>
        <w:t>4</w:t>
      </w:r>
    </w:p>
    <w:p w14:paraId="6775AC0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仿宋_GB2312" w:cs="Times New Roman"/>
          <w:color w:val="auto"/>
          <w:kern w:val="2"/>
          <w:sz w:val="32"/>
          <w:szCs w:val="32"/>
          <w:highlight w:val="none"/>
          <w:lang w:val="en-US" w:eastAsia="zh-CN" w:bidi="ar-SA"/>
        </w:rPr>
        <w:t>5</w:t>
      </w:r>
    </w:p>
    <w:p w14:paraId="65201163">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仿宋_GB2312"/>
          <w:color w:val="auto"/>
          <w:sz w:val="32"/>
          <w:szCs w:val="32"/>
          <w:highlight w:val="none"/>
        </w:rPr>
        <w:t>二、收入决算情况说明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仿宋_GB2312" w:cs="Times New Roman"/>
          <w:color w:val="auto"/>
          <w:kern w:val="2"/>
          <w:sz w:val="32"/>
          <w:szCs w:val="32"/>
          <w:highlight w:val="none"/>
          <w:lang w:val="en-US" w:eastAsia="zh-CN" w:bidi="ar-SA"/>
        </w:rPr>
        <w:t>5</w:t>
      </w:r>
    </w:p>
    <w:p w14:paraId="409238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eastAsia="仿宋_GB2312" w:cs="Times New Roman"/>
          <w:color w:val="auto"/>
          <w:kern w:val="2"/>
          <w:sz w:val="32"/>
          <w:szCs w:val="32"/>
          <w:highlight w:val="none"/>
          <w:lang w:val="en-US" w:eastAsia="zh-CN" w:bidi="ar-SA"/>
        </w:rPr>
        <w:t>6</w:t>
      </w:r>
    </w:p>
    <w:p w14:paraId="4636AB1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eastAsia="仿宋_GB2312" w:cs="Times New Roman"/>
          <w:color w:val="auto"/>
          <w:kern w:val="2"/>
          <w:sz w:val="32"/>
          <w:szCs w:val="32"/>
          <w:highlight w:val="none"/>
          <w:lang w:val="en-US" w:eastAsia="zh-CN" w:bidi="ar-SA"/>
        </w:rPr>
        <w:t>6</w:t>
      </w:r>
    </w:p>
    <w:p w14:paraId="00EF51D0">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eastAsia="仿宋_GB2312" w:cs="Times New Roman"/>
          <w:color w:val="auto"/>
          <w:kern w:val="2"/>
          <w:sz w:val="32"/>
          <w:szCs w:val="32"/>
          <w:highlight w:val="none"/>
          <w:lang w:val="en-US" w:eastAsia="zh-CN" w:bidi="ar-SA"/>
        </w:rPr>
        <w:t>7</w:t>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eastAsia="zh-CN"/>
        </w:rPr>
        <w:t>…</w:t>
      </w:r>
      <w:r>
        <w:rPr>
          <w:rFonts w:hint="eastAsia" w:cs="Times New Roman"/>
          <w:color w:val="000000"/>
          <w:kern w:val="0"/>
          <w:sz w:val="31"/>
          <w:szCs w:val="31"/>
          <w:lang w:val="en-US" w:eastAsia="zh-CN" w:bidi="ar"/>
        </w:rPr>
        <w:t>10</w:t>
      </w:r>
    </w:p>
    <w:p w14:paraId="7E4364E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10</w:t>
      </w:r>
    </w:p>
    <w:p w14:paraId="0285308C">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12</w:t>
      </w: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12</w:t>
      </w:r>
    </w:p>
    <w:p w14:paraId="17ABFA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13</w:t>
      </w:r>
    </w:p>
    <w:p w14:paraId="28586E1A">
      <w:pPr>
        <w:keepNext w:val="0"/>
        <w:keepLines w:val="0"/>
        <w:widowControl/>
        <w:suppressLineNumbers w:val="0"/>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15</w:t>
      </w:r>
    </w:p>
    <w:p w14:paraId="0967BF04">
      <w:pPr>
        <w:keepNext w:val="0"/>
        <w:keepLines w:val="0"/>
        <w:widowControl/>
        <w:suppressLineNumbers w:val="0"/>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18</w:t>
      </w:r>
      <w:r>
        <w:rPr>
          <w:rFonts w:hint="eastAsia" w:ascii="Times New Roman" w:hAnsi="Times New Roman" w:eastAsia="黑体" w:cs="黑体"/>
          <w:color w:val="auto"/>
          <w:sz w:val="32"/>
          <w:szCs w:val="32"/>
          <w:highlight w:val="none"/>
        </w:rPr>
        <w:t>第五部分 附表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p>
    <w:p w14:paraId="6ADCA0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1D6B1A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BCC59A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89133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F04C0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748CF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31D7E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BF425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03441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45998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E8CC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E9FF7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5BE00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A77650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744A20B3">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14:paraId="0ADE576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val="en-US" w:eastAsia="zh-CN"/>
        </w:rPr>
        <w:t>一、</w:t>
      </w:r>
      <w:r>
        <w:rPr>
          <w:rFonts w:hint="default" w:ascii="Times New Roman" w:hAnsi="Times New Roman" w:eastAsia="黑体" w:cs="Times New Roman"/>
          <w:color w:val="auto"/>
          <w:sz w:val="32"/>
          <w:szCs w:val="32"/>
          <w:highlight w:val="none"/>
          <w:lang w:eastAsia="zh-CN"/>
        </w:rPr>
        <w:t>部门职责</w:t>
      </w:r>
    </w:p>
    <w:p w14:paraId="04B44C3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中共攀枝花市仁和区委社会工作部主要职能是指导人民信访工作、推进党建引领基层治理和基层政权建设、指导全区性社会组织党建工作、指导“两企三新”党建工作、推动志愿服务和社会工作人才队伍建设工作等。</w:t>
      </w:r>
    </w:p>
    <w:p w14:paraId="0AD76D5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8" w:name="_Toc15377200"/>
      <w:bookmarkStart w:id="9" w:name="_Toc15396601"/>
      <w:r>
        <w:rPr>
          <w:rFonts w:hint="default" w:ascii="Times New Roman" w:hAnsi="Times New Roman" w:eastAsia="黑体" w:cs="Times New Roman"/>
          <w:color w:val="auto"/>
          <w:sz w:val="32"/>
          <w:szCs w:val="32"/>
          <w:highlight w:val="none"/>
          <w:lang w:eastAsia="zh-CN"/>
        </w:rPr>
        <w:t>二、机构设置</w:t>
      </w:r>
      <w:bookmarkEnd w:id="8"/>
      <w:bookmarkEnd w:id="9"/>
    </w:p>
    <w:p w14:paraId="3A29D76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小标宋简体" w:cs="Times New Roman"/>
          <w:b w:val="0"/>
          <w:color w:val="auto"/>
          <w:highlight w:val="none"/>
          <w:lang w:val="en-US"/>
        </w:rPr>
      </w:pPr>
      <w:r>
        <w:rPr>
          <w:rFonts w:hint="default" w:ascii="Times New Roman" w:hAnsi="Times New Roman" w:eastAsia="方正仿宋_GBK" w:cs="Times New Roman"/>
          <w:color w:val="auto"/>
          <w:sz w:val="32"/>
          <w:szCs w:val="32"/>
          <w:highlight w:val="none"/>
          <w:lang w:val="en-US" w:eastAsia="zh-CN"/>
        </w:rPr>
        <w:t>中共攀枝花市仁和区委社会工作部</w:t>
      </w:r>
      <w:r>
        <w:rPr>
          <w:rFonts w:hint="eastAsia" w:eastAsia="方正仿宋_GBK" w:cs="Times New Roman"/>
          <w:color w:val="auto"/>
          <w:sz w:val="32"/>
          <w:szCs w:val="32"/>
          <w:highlight w:val="none"/>
          <w:lang w:val="en-US" w:eastAsia="zh-CN"/>
        </w:rPr>
        <w:t>属于一级预算单位，下设股室3个</w:t>
      </w:r>
      <w:r>
        <w:rPr>
          <w:rFonts w:hint="default" w:ascii="Times New Roman" w:hAnsi="Times New Roman" w:eastAsia="方正仿宋_GBK" w:cs="Times New Roman"/>
          <w:color w:val="auto"/>
          <w:sz w:val="32"/>
          <w:szCs w:val="32"/>
          <w:highlight w:val="none"/>
          <w:lang w:val="en-US" w:eastAsia="zh-CN"/>
        </w:rPr>
        <w:t>。</w:t>
      </w:r>
      <w:r>
        <w:rPr>
          <w:rFonts w:hint="eastAsia" w:eastAsia="方正仿宋_GBK" w:cs="Times New Roman"/>
          <w:color w:val="auto"/>
          <w:sz w:val="32"/>
          <w:szCs w:val="32"/>
          <w:highlight w:val="none"/>
          <w:lang w:val="en-US" w:eastAsia="zh-CN"/>
        </w:rPr>
        <w:t>财务统一管理，无单独核算的二级预算单位。纳入中共攀枝花市仁和区委社会工作部部门决算编制范围的独立机构包括：中共攀枝花市仁和区委社会工作部，攀枝花市仁和区城乡基层治理工作中心。</w:t>
      </w:r>
    </w:p>
    <w:p w14:paraId="0E861AEC">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198F544">
      <w:pPr>
        <w:pStyle w:val="2"/>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4CB5B17E">
      <w:pPr>
        <w:rPr>
          <w:rFonts w:ascii="Times New Roman" w:hAnsi="Times New Roman"/>
          <w:color w:val="auto"/>
          <w:highlight w:val="none"/>
        </w:rPr>
      </w:pPr>
    </w:p>
    <w:p w14:paraId="08F5901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2"/>
      <w:bookmarkEnd w:id="13"/>
    </w:p>
    <w:p w14:paraId="3176F4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2025年度收入、支出总计均为264.56万元。与上年度相比，收入、支出总计各增加178.03万元，增长205.7%。</w:t>
      </w:r>
      <w:r>
        <w:rPr>
          <w:rFonts w:hint="eastAsia" w:eastAsia="仿宋_GB2312" w:cs="仿宋_GB2312"/>
          <w:color w:val="auto"/>
          <w:kern w:val="2"/>
          <w:sz w:val="32"/>
          <w:szCs w:val="32"/>
          <w:highlight w:val="none"/>
          <w:lang w:val="en-US" w:eastAsia="zh-CN" w:bidi="ar-SA"/>
        </w:rPr>
        <w:t>区委社会工作部2024年5月成立运行7个月，2025年运行12个月，</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项目收入支出增加。</w:t>
      </w:r>
    </w:p>
    <w:p w14:paraId="7C5D22F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E9BCE5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yellow"/>
        </w:rPr>
      </w:pPr>
      <w:r>
        <w:drawing>
          <wp:inline distT="0" distB="0" distL="114300" distR="114300">
            <wp:extent cx="4747895" cy="2577465"/>
            <wp:effectExtent l="4445" t="4445" r="10160" b="8890"/>
            <wp:docPr id="177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45B5F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51633F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本年收入合计264.56万元，其中：一般公共预算财政拨款收入264.56万元，占100%；政府性基金预算财政拨款收入0万元，占0%；国有资本经营预算财政拨款收入0万元，占0%；上级补助收入0万元，占0%；事业收入0万元，占0%；经营收入0万元，占0%；附属单位上缴收入0万元，占0%；其他收入0万元，占0%。</w:t>
      </w:r>
    </w:p>
    <w:p w14:paraId="5D66114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1229CA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yellow"/>
          <w:lang w:eastAsia="zh-CN"/>
        </w:rPr>
      </w:pPr>
    </w:p>
    <w:p w14:paraId="39E8CFE2">
      <w:pPr>
        <w:ind w:firstLine="525" w:firstLineChars="250"/>
        <w:rPr>
          <w:rFonts w:hint="eastAsia" w:ascii="Times New Roman" w:hAnsi="Times New Roman" w:eastAsia="仿宋_GB2312" w:cs="仿宋_GB2312"/>
          <w:color w:val="auto"/>
          <w:sz w:val="32"/>
          <w:szCs w:val="32"/>
          <w:highlight w:val="yellow"/>
          <w:lang w:eastAsia="zh-CN"/>
        </w:rPr>
      </w:pPr>
      <w:r>
        <w:drawing>
          <wp:inline distT="0" distB="0" distL="114300" distR="114300">
            <wp:extent cx="4583430" cy="2400935"/>
            <wp:effectExtent l="4445" t="4445" r="22225" b="13970"/>
            <wp:docPr id="177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2FABA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6"/>
      <w:bookmarkEnd w:id="17"/>
    </w:p>
    <w:p w14:paraId="1E9C8F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2025年度本年支出合计264.56万元，其中：基本支出184.68万元，占69.8%；项目支出79.88万元，占30.2%；上缴上级支出0万元，占0%；经营支出0万元，占0%；对附属单位补助支出0万元，占0%。</w:t>
      </w:r>
    </w:p>
    <w:p w14:paraId="607D2F5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2C7460F">
      <w:pPr>
        <w:ind w:firstLine="525" w:firstLineChars="250"/>
        <w:rPr>
          <w:rFonts w:hint="eastAsia" w:ascii="Times New Roman" w:hAnsi="Times New Roman" w:eastAsia="仿宋_GB2312" w:cs="仿宋_GB2312"/>
          <w:color w:val="auto"/>
          <w:sz w:val="32"/>
          <w:szCs w:val="32"/>
          <w:highlight w:val="yellow"/>
          <w:lang w:eastAsia="zh-CN"/>
        </w:rPr>
      </w:pPr>
      <w:r>
        <w:drawing>
          <wp:inline distT="0" distB="0" distL="114300" distR="114300">
            <wp:extent cx="4618355" cy="2125980"/>
            <wp:effectExtent l="4445" t="5080" r="6350" b="21590"/>
            <wp:docPr id="177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584CC7">
      <w:pPr>
        <w:spacing w:line="600" w:lineRule="exact"/>
        <w:ind w:firstLine="640" w:firstLineChars="200"/>
        <w:outlineLvl w:val="1"/>
        <w:rPr>
          <w:rStyle w:val="32"/>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8"/>
      <w:bookmarkEnd w:id="19"/>
    </w:p>
    <w:p w14:paraId="79D569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2025年度财政拨款收入、支出总计均为264.56万元。与上年度相比，财政拨款收入、支出总计各增加178.03万元，增长205.7%。主要变动原因是本年度项目收入支出增加。</w:t>
      </w:r>
    </w:p>
    <w:p w14:paraId="4D51C51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02C4622">
      <w:pPr>
        <w:rPr>
          <w:rFonts w:hint="eastAsia" w:ascii="Times New Roman" w:hAnsi="Times New Roman" w:eastAsia="仿宋_GB2312" w:cs="仿宋_GB2312"/>
          <w:color w:val="auto"/>
          <w:kern w:val="2"/>
          <w:sz w:val="32"/>
          <w:szCs w:val="32"/>
          <w:highlight w:val="yellow"/>
          <w:lang w:val="en-US" w:eastAsia="zh-CN" w:bidi="ar-SA"/>
        </w:rPr>
      </w:pPr>
      <w:r>
        <w:drawing>
          <wp:inline distT="0" distB="0" distL="114300" distR="114300">
            <wp:extent cx="5086985" cy="2809240"/>
            <wp:effectExtent l="4445" t="4445" r="13970" b="5715"/>
            <wp:docPr id="177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03229B4">
      <w:pPr>
        <w:rPr>
          <w:rFonts w:hint="eastAsia"/>
          <w:lang w:val="en-US" w:eastAsia="zh-CN"/>
        </w:rPr>
      </w:pPr>
    </w:p>
    <w:p w14:paraId="12E314CD">
      <w:pPr>
        <w:rPr>
          <w:rFonts w:hint="eastAsia"/>
          <w:lang w:val="en-US" w:eastAsia="zh-CN"/>
        </w:rPr>
      </w:pPr>
    </w:p>
    <w:p w14:paraId="1AF3D269">
      <w:pPr>
        <w:spacing w:line="600" w:lineRule="exact"/>
        <w:ind w:firstLine="640" w:firstLineChars="200"/>
        <w:outlineLvl w:val="1"/>
        <w:rPr>
          <w:rStyle w:val="32"/>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0"/>
      <w:bookmarkEnd w:id="21"/>
    </w:p>
    <w:p w14:paraId="78E11B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7568DC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2025年度一般公共预算财政拨款支出264.56万元，占本年支出合计的100%。与上年度相比，一般公共预算财政拨款支出增加178.03万元，增长205.7%。主要变动原因是本年度项目收入增加。</w:t>
      </w:r>
    </w:p>
    <w:p w14:paraId="5F8F7A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6ED2E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9A4C742">
      <w:pPr>
        <w:rPr>
          <w:rFonts w:hint="eastAsia" w:ascii="Times New Roman" w:hAnsi="Times New Roman" w:eastAsia="仿宋_GB2312" w:cs="仿宋_GB2312"/>
          <w:color w:val="auto"/>
          <w:kern w:val="2"/>
          <w:sz w:val="32"/>
          <w:szCs w:val="32"/>
          <w:highlight w:val="yellow"/>
          <w:lang w:val="en-US" w:eastAsia="zh-CN" w:bidi="ar-SA"/>
        </w:rPr>
      </w:pPr>
    </w:p>
    <w:p w14:paraId="5AA182F9">
      <w:pPr>
        <w:jc w:val="center"/>
        <w:rPr>
          <w:rFonts w:hint="eastAsia" w:ascii="Times New Roman" w:hAnsi="Times New Roman" w:eastAsia="仿宋_GB2312" w:cs="仿宋_GB2312"/>
          <w:color w:val="auto"/>
          <w:kern w:val="2"/>
          <w:sz w:val="32"/>
          <w:szCs w:val="32"/>
          <w:highlight w:val="yellow"/>
          <w:lang w:val="en-US" w:eastAsia="zh-CN" w:bidi="ar-SA"/>
        </w:rPr>
      </w:pPr>
      <w:r>
        <w:drawing>
          <wp:inline distT="0" distB="0" distL="114300" distR="114300">
            <wp:extent cx="4202430" cy="2362200"/>
            <wp:effectExtent l="4445" t="4445" r="22225" b="14605"/>
            <wp:docPr id="177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52EC953">
      <w:pPr>
        <w:rPr>
          <w:rFonts w:hint="eastAsia"/>
          <w:lang w:val="en-US" w:eastAsia="zh-CN"/>
        </w:rPr>
      </w:pPr>
    </w:p>
    <w:p w14:paraId="5B00EE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36E407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264.56万元，主要用于以下方面：一般公共服务支出222.47万元，占84.1%；教育支出0万元，占0%；科学技术支出0万元，占0%；文化旅游体育与传媒支出0万元，占0%；社会保障和就业支出17.33万元，占6.6%；卫生健康支出10.43万元，占3.9%；住房保障支出14.32万元，占5.4%。</w:t>
      </w:r>
    </w:p>
    <w:p w14:paraId="31556B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D6168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6D0A96">
      <w:pPr>
        <w:spacing w:line="600" w:lineRule="exact"/>
        <w:outlineLvl w:val="2"/>
        <w:rPr>
          <w:rFonts w:hint="eastAsia" w:ascii="Times New Roman" w:hAnsi="Times New Roman" w:eastAsia="楷体_GB2312" w:cs="楷体_GB2312"/>
          <w:b/>
          <w:color w:val="auto"/>
          <w:sz w:val="32"/>
          <w:szCs w:val="32"/>
          <w:highlight w:val="yellow"/>
        </w:rPr>
      </w:pPr>
      <w:bookmarkStart w:id="24" w:name="_Toc15377212"/>
    </w:p>
    <w:p w14:paraId="12D4ADB7">
      <w:pPr>
        <w:pStyle w:val="19"/>
        <w:rPr>
          <w:rFonts w:hint="eastAsia" w:ascii="Times New Roman" w:hAnsi="Times New Roman" w:eastAsia="楷体_GB2312" w:cs="楷体_GB2312"/>
          <w:b/>
          <w:color w:val="auto"/>
          <w:sz w:val="32"/>
          <w:szCs w:val="32"/>
          <w:highlight w:val="yellow"/>
        </w:rPr>
      </w:pPr>
    </w:p>
    <w:p w14:paraId="3D91A046">
      <w:pPr>
        <w:pStyle w:val="20"/>
        <w:rPr>
          <w:rFonts w:hint="eastAsia" w:ascii="Times New Roman" w:hAnsi="Times New Roman" w:eastAsia="楷体_GB2312" w:cs="楷体_GB2312"/>
          <w:b/>
          <w:color w:val="auto"/>
          <w:sz w:val="32"/>
          <w:szCs w:val="32"/>
          <w:highlight w:val="yellow"/>
        </w:rPr>
      </w:pPr>
    </w:p>
    <w:p w14:paraId="0BF90B54">
      <w:pPr>
        <w:rPr>
          <w:rFonts w:hint="eastAsia" w:ascii="Times New Roman" w:hAnsi="Times New Roman" w:eastAsia="楷体_GB2312" w:cs="楷体_GB2312"/>
          <w:b/>
          <w:color w:val="auto"/>
          <w:sz w:val="32"/>
          <w:szCs w:val="32"/>
          <w:highlight w:val="yellow"/>
        </w:rPr>
      </w:pPr>
    </w:p>
    <w:p w14:paraId="7B0B9A03">
      <w:pPr>
        <w:pStyle w:val="19"/>
        <w:rPr>
          <w:rFonts w:hint="eastAsia" w:ascii="Times New Roman" w:hAnsi="Times New Roman" w:eastAsia="楷体_GB2312" w:cs="楷体_GB2312"/>
          <w:b/>
          <w:color w:val="auto"/>
          <w:sz w:val="32"/>
          <w:szCs w:val="32"/>
          <w:highlight w:val="yellow"/>
        </w:rPr>
      </w:pPr>
    </w:p>
    <w:p w14:paraId="3FEE48D2">
      <w:pPr>
        <w:pStyle w:val="20"/>
        <w:rPr>
          <w:rFonts w:hint="eastAsia" w:ascii="Times New Roman" w:hAnsi="Times New Roman" w:eastAsia="楷体_GB2312" w:cs="楷体_GB2312"/>
          <w:b/>
          <w:color w:val="auto"/>
          <w:sz w:val="32"/>
          <w:szCs w:val="32"/>
          <w:highlight w:val="yellow"/>
        </w:rPr>
      </w:pPr>
    </w:p>
    <w:p w14:paraId="1C4321C7">
      <w:pPr>
        <w:rPr>
          <w:rFonts w:hint="eastAsia" w:ascii="Times New Roman" w:hAnsi="Times New Roman" w:eastAsia="楷体_GB2312" w:cs="楷体_GB2312"/>
          <w:b/>
          <w:color w:val="auto"/>
          <w:sz w:val="32"/>
          <w:szCs w:val="32"/>
          <w:highlight w:val="yellow"/>
        </w:rPr>
      </w:pPr>
      <w:r>
        <w:drawing>
          <wp:inline distT="0" distB="0" distL="114300" distR="114300">
            <wp:extent cx="5268595" cy="2887345"/>
            <wp:effectExtent l="4445" t="4445" r="22860" b="22860"/>
            <wp:docPr id="1358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3C30FC">
      <w:pPr>
        <w:pStyle w:val="19"/>
        <w:rPr>
          <w:rFonts w:hint="eastAsia"/>
        </w:rPr>
      </w:pPr>
    </w:p>
    <w:p w14:paraId="6AE348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084CE81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ascii="Times New Roman" w:hAnsi="Times New Roman" w:eastAsia="仿宋_GB2312" w:cs="仿宋_GB2312"/>
          <w:color w:val="auto"/>
          <w:kern w:val="2"/>
          <w:sz w:val="32"/>
          <w:szCs w:val="32"/>
          <w:highlight w:val="none"/>
          <w:lang w:val="en-US" w:eastAsia="zh-CN" w:bidi="ar-SA"/>
        </w:rPr>
        <w:t>2025年度一般公共预算支出决算数为264.56，完成预算100%。其中：</w:t>
      </w:r>
      <w:bookmarkEnd w:id="25"/>
      <w:bookmarkEnd w:id="26"/>
      <w:bookmarkEnd w:id="27"/>
    </w:p>
    <w:p w14:paraId="22012FA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1.一般公共服务（类）社会工作事务（款）行政运行（项）：支出决算为75.31万元，完成预算100%，决算数等于预算数。</w:t>
      </w:r>
    </w:p>
    <w:p w14:paraId="31A8BD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2.一般公共服务（类）社会工作事务（款）事业运行（项）：支出决算为67.28万元，完成预算100%，决算数等于预算数。</w:t>
      </w:r>
    </w:p>
    <w:p w14:paraId="535F99B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3.一般公共服务（类）社会工作事务（款）其他社会工作事务支出（项）：支出决算为79.88万元，完成预算100%，决算数等于预算数。</w:t>
      </w:r>
    </w:p>
    <w:p w14:paraId="6543BF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4.社会保障和就业（类）行政事业单位养老支出（款）机关事业单位基本养老保险缴费支出（项）：支出决算为17.33万元，完成预算100%，决算数等于预算数。</w:t>
      </w:r>
    </w:p>
    <w:p w14:paraId="0AD915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5.卫生健康（类）行政事业单位医疗（款）行政单位医疗（项）：支出决算为4.8万元，完成预算100%，决算数等于预算数。</w:t>
      </w:r>
    </w:p>
    <w:p w14:paraId="5F3D1B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6.卫生健康（类）行政事业单位医疗（款）事业单位医疗（项）：支出决算为4.47万元，完成预算100%，决算数等于预算数。</w:t>
      </w:r>
    </w:p>
    <w:p w14:paraId="0DD4505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7.卫生健康（类）行政事业单位医疗（款）公务员医疗补助（项）：支出决算为1.17万元，完成预算100%，决算数等于预算数。</w:t>
      </w:r>
    </w:p>
    <w:p w14:paraId="177D25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8.住房保障（类）住房改革支出（款）住房公积金（项）：支出决算为14.32万元，完成预算100%，决算数等于预算数。</w:t>
      </w:r>
    </w:p>
    <w:p w14:paraId="75B3BFE4">
      <w:pPr>
        <w:tabs>
          <w:tab w:val="right" w:pos="8306"/>
        </w:tabs>
        <w:spacing w:line="600" w:lineRule="exact"/>
        <w:ind w:firstLine="640"/>
        <w:outlineLvl w:val="1"/>
        <w:rPr>
          <w:rStyle w:val="32"/>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8"/>
      <w:bookmarkEnd w:id="29"/>
      <w:r>
        <w:rPr>
          <w:rStyle w:val="32"/>
          <w:rFonts w:ascii="Times New Roman" w:hAnsi="Times New Roman" w:eastAsia="黑体"/>
          <w:b w:val="0"/>
          <w:color w:val="auto"/>
          <w:highlight w:val="none"/>
        </w:rPr>
        <w:tab/>
      </w:r>
    </w:p>
    <w:p w14:paraId="10DA39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2025年度一般公共预算财政拨款基本支出184.68万元，其中：</w:t>
      </w:r>
    </w:p>
    <w:p w14:paraId="4F9BD5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170.94万元，主要包括：基本工资、津贴补贴、奖金、绩效工资、机关事业单位基本养老保险缴费、职工基本医疗保险缴费、公务员医疗补助缴费、其他社会保障缴费、其他工资福利支出、住房公积金、医疗费、其他工资福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公用经费13.74万元，主要包括：办公费、邮电费、差旅费、维修（护）费、培训费、公务接待费、劳务费、委托业务费、工会经费、其他交通费、其他商品和服务支出。</w:t>
      </w:r>
    </w:p>
    <w:p w14:paraId="47C5A6DB">
      <w:pPr>
        <w:spacing w:line="600" w:lineRule="exact"/>
        <w:ind w:firstLine="640"/>
        <w:outlineLvl w:val="1"/>
        <w:rPr>
          <w:rStyle w:val="32"/>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0"/>
      <w:bookmarkEnd w:id="31"/>
    </w:p>
    <w:p w14:paraId="292ED19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F096D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2025年度财政拨款“三公”经费支出决算为0.15万元，完成预算100%，较上年度减少0.26万元，下降62.5%。决算数与预算数持平。</w:t>
      </w:r>
    </w:p>
    <w:p w14:paraId="1646F77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7C7222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2025年度财政拨款“三公”经费支出决算中，因公出国（境）费支出决算0万元，占0%；公务用车购置及运行维护费支出决算0万元，占0%；公务接待费支出决算0.15万元，占100%。具体情况如下：</w:t>
      </w:r>
    </w:p>
    <w:p w14:paraId="0C0FA214">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AEE573B">
      <w:pPr>
        <w:rPr>
          <w:rFonts w:hint="eastAsia" w:ascii="Times New Roman" w:hAnsi="Times New Roman" w:eastAsia="仿宋_GB2312" w:cs="仿宋_GB2312"/>
          <w:color w:val="auto"/>
          <w:kern w:val="2"/>
          <w:sz w:val="32"/>
          <w:szCs w:val="32"/>
          <w:highlight w:val="yellow"/>
          <w:lang w:val="en-US" w:eastAsia="zh-CN" w:bidi="ar-SA"/>
        </w:rPr>
      </w:pPr>
    </w:p>
    <w:p w14:paraId="5B6ED146">
      <w:pPr>
        <w:rPr>
          <w:rFonts w:hint="eastAsia" w:ascii="Times New Roman" w:hAnsi="Times New Roman" w:eastAsia="仿宋_GB2312" w:cs="仿宋_GB2312"/>
          <w:color w:val="auto"/>
          <w:kern w:val="2"/>
          <w:sz w:val="32"/>
          <w:szCs w:val="32"/>
          <w:highlight w:val="yellow"/>
          <w:lang w:val="en-US" w:eastAsia="zh-CN" w:bidi="ar-SA"/>
        </w:rPr>
      </w:pPr>
      <w:r>
        <w:drawing>
          <wp:inline distT="0" distB="0" distL="114300" distR="114300">
            <wp:extent cx="4508500" cy="2426335"/>
            <wp:effectExtent l="4445" t="4445" r="20955" b="7620"/>
            <wp:docPr id="177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AB2FE0">
      <w:pPr>
        <w:rPr>
          <w:rFonts w:hint="eastAsia"/>
          <w:lang w:val="en-US" w:eastAsia="zh-CN"/>
        </w:rPr>
      </w:pPr>
    </w:p>
    <w:p w14:paraId="5245AE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全年安排因公出国（境）团组0次，出国（境）0人。因公出国（境）支出决算比上年度增加/减少0万元，增长/下降0%。</w:t>
      </w:r>
    </w:p>
    <w:p w14:paraId="55FC9D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2.公务用车购置及运行维护费支出0万元，完成预算0%。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公务用车购置及运行维护费支出决算比上年度增加/减少0万元，增长/下降0%。</w:t>
      </w:r>
    </w:p>
    <w:p w14:paraId="7571D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41BB69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公务用车运行维护费支出0万元。</w:t>
      </w:r>
    </w:p>
    <w:p w14:paraId="3B4AE2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%。主要原因是本年度</w:t>
      </w:r>
      <w:r>
        <w:rPr>
          <w:rFonts w:hint="eastAsia" w:eastAsia="仿宋_GB2312" w:cs="仿宋_GB2312"/>
          <w:color w:val="auto"/>
          <w:kern w:val="2"/>
          <w:sz w:val="32"/>
          <w:szCs w:val="32"/>
          <w:highlight w:val="none"/>
          <w:lang w:val="en-US" w:eastAsia="zh-CN" w:bidi="ar-SA"/>
        </w:rPr>
        <w:t>厉行节约</w:t>
      </w:r>
      <w:r>
        <w:rPr>
          <w:rFonts w:hint="eastAsia" w:ascii="Times New Roman" w:hAnsi="Times New Roman" w:eastAsia="仿宋_GB2312" w:cs="仿宋_GB2312"/>
          <w:color w:val="auto"/>
          <w:kern w:val="2"/>
          <w:sz w:val="32"/>
          <w:szCs w:val="32"/>
          <w:highlight w:val="none"/>
          <w:lang w:val="en-US" w:eastAsia="zh-CN" w:bidi="ar-SA"/>
        </w:rPr>
        <w:t>减少不必要的开支。其中：</w:t>
      </w:r>
    </w:p>
    <w:p w14:paraId="0FBD79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国内公务接待支出0.15万元，主要用于公务接待。国内公务接待1批次，6人次（不包括陪同人员），共计支出0.15万元，具体内容包括：市委社会工作部到仁和区调研接待费。</w:t>
      </w:r>
    </w:p>
    <w:p w14:paraId="400116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bookmarkStart w:id="34" w:name="_Toc15377218"/>
      <w:bookmarkStart w:id="35" w:name="_Toc15396610"/>
    </w:p>
    <w:p w14:paraId="5E5858D6">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4"/>
      <w:bookmarkEnd w:id="35"/>
    </w:p>
    <w:p w14:paraId="7984BBA4">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政府性基金预算财政拨款支出0万元，占本年支出合计的0%。与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3578D3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6" w:name="_Toc15377219"/>
      <w:bookmarkStart w:id="37"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6"/>
      <w:bookmarkEnd w:id="37"/>
    </w:p>
    <w:p w14:paraId="0EC8A8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2025年度国有资本经营预算财政拨款支出0万元，占本年支出合计的0%。与上年度相比，国有资本经营预算财政拨款支出增加/减少0万元，增长/下降0%。</w:t>
      </w:r>
    </w:p>
    <w:p w14:paraId="40FA24BD">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483834D2">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38" w:name="_Toc15396612"/>
      <w:bookmarkStart w:id="39"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8"/>
      <w:bookmarkEnd w:id="39"/>
    </w:p>
    <w:p w14:paraId="0102DE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03F2BD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中共攀枝花市</w:t>
      </w:r>
      <w:r>
        <w:rPr>
          <w:rFonts w:hint="eastAsia" w:ascii="Times New Roman" w:hAnsi="Times New Roman" w:eastAsia="仿宋_GB2312" w:cs="仿宋_GB2312"/>
          <w:color w:val="auto"/>
          <w:kern w:val="2"/>
          <w:sz w:val="32"/>
          <w:szCs w:val="32"/>
          <w:highlight w:val="none"/>
          <w:lang w:val="en-US" w:eastAsia="zh-CN" w:bidi="ar-SA"/>
        </w:rPr>
        <w:t>仁和区委社会工作部机关运行经费支出13.74万元，比上年度增加10.39万元，增长310.9%。主要原因是本年度公用经费支出增加。</w:t>
      </w:r>
    </w:p>
    <w:p w14:paraId="0C175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DBD13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中共攀枝花市仁和区委社会工作部政府采购支出总额169.5万元，其中：政府采购货物支出8.28万元、政府采购工程支出0万元、政府采购服务支出161.22万元。主要用于办公电脑、家具和村（社区）开展基层治理服务活动项目采购。授予中小企业合同金额8.28万元，占政府采购支出总额的4.9%，其中：授予小微企业合同金额8.28万元，占政府采购支出总额的4.9%。</w:t>
      </w:r>
    </w:p>
    <w:p w14:paraId="47D0479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88F94FA">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中共攀枝花市仁和区委社会工作部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14:paraId="012B514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AC831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区委社会工作部</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村（社区）换届工作经费、村干部保险经费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593.67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39963F6">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default" w:ascii="Times New Roman" w:hAnsi="Times New Roman" w:eastAsia="仿宋_GB2312" w:cs="仿宋_GB2312"/>
          <w:color w:val="auto"/>
          <w:kern w:val="2"/>
          <w:sz w:val="32"/>
          <w:szCs w:val="32"/>
          <w:highlight w:val="none"/>
          <w:lang w:val="en-US" w:eastAsia="zh-CN" w:bidi="ar-SA"/>
        </w:rPr>
        <w:t>中共攀枝花市仁和区委社会工作部部门整体（含部门预算项目）绩效自评报告</w:t>
      </w:r>
      <w:r>
        <w:rPr>
          <w:rFonts w:hint="eastAsia" w:ascii="Times New Roman" w:hAnsi="Times New Roman" w:eastAsia="仿宋_GB2312" w:cs="仿宋_GB2312"/>
          <w:color w:val="auto"/>
          <w:kern w:val="2"/>
          <w:sz w:val="32"/>
          <w:szCs w:val="32"/>
          <w:highlight w:val="none"/>
          <w:lang w:val="en-US" w:eastAsia="zh-CN" w:bidi="ar-SA"/>
        </w:rPr>
        <w:t>、中共攀枝</w:t>
      </w:r>
      <w:r>
        <w:rPr>
          <w:rFonts w:hint="eastAsia" w:eastAsia="仿宋_GB2312" w:cs="仿宋_GB2312"/>
          <w:color w:val="auto"/>
          <w:kern w:val="2"/>
          <w:sz w:val="32"/>
          <w:szCs w:val="32"/>
          <w:highlight w:val="none"/>
          <w:lang w:val="en-US" w:eastAsia="zh-CN" w:bidi="ar-SA"/>
        </w:rPr>
        <w:t>花市</w:t>
      </w:r>
      <w:r>
        <w:rPr>
          <w:rFonts w:hint="eastAsia" w:ascii="Times New Roman" w:hAnsi="Times New Roman" w:eastAsia="仿宋_GB2312" w:cs="仿宋_GB2312"/>
          <w:color w:val="auto"/>
          <w:kern w:val="2"/>
          <w:sz w:val="32"/>
          <w:szCs w:val="32"/>
          <w:highlight w:val="none"/>
          <w:lang w:val="en-US" w:eastAsia="zh-CN" w:bidi="ar-SA"/>
        </w:rPr>
        <w:t>仁和区委社会工作部专项预算项目支出绩效自评报告，其中</w:t>
      </w:r>
      <w:r>
        <w:rPr>
          <w:rFonts w:hint="default" w:ascii="Times New Roman" w:hAnsi="Times New Roman" w:eastAsia="仿宋_GB2312" w:cs="仿宋_GB2312"/>
          <w:color w:val="auto"/>
          <w:kern w:val="2"/>
          <w:sz w:val="32"/>
          <w:szCs w:val="32"/>
          <w:highlight w:val="none"/>
          <w:lang w:val="en-US" w:eastAsia="zh-CN" w:bidi="ar-SA"/>
        </w:rPr>
        <w:t>中共攀枝花市仁和区委社会工作部部门整体（含部门预算项目）绩效自评得分为9</w:t>
      </w:r>
      <w:r>
        <w:rPr>
          <w:rFonts w:hint="eastAsia"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en-US" w:eastAsia="zh-CN" w:bidi="ar-SA"/>
        </w:rPr>
        <w:t>分，绩效自评综述中共攀枝花市仁和区委社会工作部202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部门整体支出情况良好，从预算到执行和收入、支出、资产管理及信息公开，都严格按相关制度要求进行，全年收支平衡。有效保证了机构运转，圆满完成了上级下达决策部署和目标任务。取得了较大的经济效益和社会效益，得到了社会公众的认可</w:t>
      </w:r>
      <w:r>
        <w:rPr>
          <w:rFonts w:hint="eastAsia" w:ascii="Times New Roman" w:hAnsi="Times New Roman" w:eastAsia="仿宋_GB2312" w:cs="仿宋_GB2312"/>
          <w:color w:val="auto"/>
          <w:kern w:val="2"/>
          <w:sz w:val="32"/>
          <w:szCs w:val="32"/>
          <w:highlight w:val="none"/>
          <w:lang w:val="en-US" w:eastAsia="zh-CN" w:bidi="ar-SA"/>
        </w:rPr>
        <w:t>；省级基层治理专项预算项目绩效自评得分为9</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分，绩效自评综述省级基层治理项目进一步</w:t>
      </w:r>
      <w:r>
        <w:rPr>
          <w:rFonts w:hint="eastAsia" w:ascii="方正仿宋_GBK" w:hAnsi="方正仿宋_GBK" w:eastAsia="方正仿宋_GBK" w:cs="方正仿宋_GBK"/>
          <w:sz w:val="32"/>
          <w:szCs w:val="32"/>
          <w:lang w:val="en-US" w:eastAsia="zh-CN"/>
        </w:rPr>
        <w:t>提升社区服务阵地、优化社区服务内容，形成“服务创新型”“智慧科技型”“幸福和睦型”“人文生态型”等特色社区治理品牌，形成一批能学习、可复制的社区治理示范成果，以点带面、以优促建，切实提升仁和区城乡社区治理及服务水平。</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5863EF26">
      <w:pPr>
        <w:numPr>
          <w:ilvl w:val="0"/>
          <w:numId w:val="0"/>
        </w:numPr>
        <w:spacing w:line="600" w:lineRule="exact"/>
        <w:jc w:val="both"/>
        <w:outlineLvl w:val="0"/>
        <w:rPr>
          <w:rFonts w:hint="eastAsia" w:ascii="Times New Roman" w:hAnsi="Times New Roman" w:eastAsia="黑体"/>
          <w:color w:val="auto"/>
          <w:sz w:val="44"/>
          <w:szCs w:val="44"/>
          <w:highlight w:val="none"/>
        </w:rPr>
      </w:pPr>
      <w:bookmarkStart w:id="43" w:name="_Toc15377225"/>
      <w:bookmarkStart w:id="44" w:name="_Toc15396613"/>
    </w:p>
    <w:bookmarkEnd w:id="43"/>
    <w:bookmarkEnd w:id="44"/>
    <w:p w14:paraId="507AF73D">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45" w:name="_Toc15377226"/>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p>
    <w:p w14:paraId="38D4F470">
      <w:pPr>
        <w:spacing w:line="600" w:lineRule="exact"/>
        <w:jc w:val="left"/>
        <w:rPr>
          <w:rFonts w:hint="default" w:ascii="Times New Roman" w:hAnsi="Times New Roman" w:cs="Times New Roman"/>
          <w:b/>
          <w:color w:val="auto"/>
          <w:sz w:val="44"/>
          <w:szCs w:val="44"/>
          <w:highlight w:val="none"/>
        </w:rPr>
      </w:pPr>
    </w:p>
    <w:p w14:paraId="2FE4A51B">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409362E7">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2.一般公共服务支出（类）组织事务（款）一般行政管理事务（项）：指反映行政单位（包括实行公务员管理的事业单位）未单独设置项级科目的其他项目支出。</w:t>
      </w:r>
    </w:p>
    <w:p w14:paraId="65A5CB17">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3.一般公共服务支出（类）社会工作事务（款）行政运行（项）：反映行政单位（包括实行公务员管理的事业单位）的基本支出。</w:t>
      </w:r>
    </w:p>
    <w:p w14:paraId="664C4BFE">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4.一般公共服务支出（类）社会工作事务（款）事业运行（项）：反映事业单位的基本支出，不包括行政单位（包括实行公务员管理的事业单位）后勤服务中心、医务室等附属事业单位。</w:t>
      </w:r>
    </w:p>
    <w:p w14:paraId="55321829">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5.一般公共服务支出（类）社会工作事务（款）其他社会工作事务支出（项）：反映除上述项目以外其他用于社会工作事务的支出。</w:t>
      </w:r>
    </w:p>
    <w:p w14:paraId="6C6EA816">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6.社会保障和就业支出（类）行政事业单位养老支出（款）机关事业单位基本养老保险缴费支出（项）：反映机关事业单位实施养老保险制度由单位实际缴纳的基本养老保险费支出。</w:t>
      </w:r>
    </w:p>
    <w:p w14:paraId="0D20BC8F">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卫生健康支出（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14:paraId="23CBBDAD">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8.卫生健康支出（类）行政事业单位医疗（款）公务员医疗补助（项）：反映财政部门安排的公务员医疗补助经费。</w:t>
      </w:r>
    </w:p>
    <w:p w14:paraId="04361CF9">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9.住房保障支出（类）住房改革支出（款）住房公积金（项）：反映行政事业单位按人力资源和社会保障部、财政部规定的基本工资和津贴补贴以及规定比例为职工缴纳的住房公积金。</w:t>
      </w:r>
    </w:p>
    <w:p w14:paraId="440E4750">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10基本支出：指为保障机构正常运转、完成日常工作任务而发生的人员支出和公用支出。</w:t>
      </w:r>
    </w:p>
    <w:p w14:paraId="1B068E3C">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000000"/>
          <w:kern w:val="2"/>
          <w:sz w:val="32"/>
          <w:lang w:val="en-US"/>
        </w:rPr>
      </w:pPr>
      <w:r>
        <w:rPr>
          <w:rFonts w:hint="default" w:ascii="Times New Roman" w:hAnsi="Times New Roman" w:eastAsia="仿宋_GB2312" w:cs="Times New Roman"/>
          <w:color w:val="auto"/>
          <w:kern w:val="2"/>
          <w:sz w:val="32"/>
          <w:szCs w:val="32"/>
          <w:highlight w:val="none"/>
          <w:lang w:val="en-US" w:eastAsia="zh-CN" w:bidi="ar-SA"/>
        </w:rPr>
        <w:t>11项目支出</w:t>
      </w:r>
      <w:r>
        <w:rPr>
          <w:rFonts w:hint="default" w:ascii="Times New Roman" w:hAnsi="Times New Roman" w:eastAsia="仿宋_GB2312" w:cs="Times New Roman"/>
          <w:color w:val="000000"/>
          <w:kern w:val="2"/>
          <w:sz w:val="32"/>
          <w:lang w:val="en-US"/>
        </w:rPr>
        <w:t xml:space="preserve">：指在基本支出之外为完成特定行政任务和事业发展目标所发生的支出。 </w:t>
      </w:r>
    </w:p>
    <w:p w14:paraId="7AE50F49">
      <w:pPr>
        <w:pageBreakBefore w:val="0"/>
        <w:kinsoku/>
        <w:wordWrap/>
        <w:overflowPunct/>
        <w:topLinePunct w:val="0"/>
        <w:bidi w:val="0"/>
        <w:spacing w:line="240" w:lineRule="auto"/>
        <w:ind w:firstLine="640" w:firstLineChars="200"/>
        <w:rPr>
          <w:rFonts w:hint="default" w:ascii="Times New Roman" w:hAnsi="Times New Roman" w:eastAsia="仿宋_GB2312" w:cs="Times New Roman"/>
          <w:color w:val="000000"/>
          <w:sz w:val="32"/>
          <w:lang w:val="en-US"/>
        </w:rPr>
      </w:pPr>
      <w:r>
        <w:rPr>
          <w:rFonts w:hint="default" w:ascii="Times New Roman" w:hAnsi="Times New Roman"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000000"/>
          <w:sz w:val="32"/>
          <w:lang w:val="en-US"/>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B070092">
      <w:pPr>
        <w:pageBreakBefore w:val="0"/>
        <w:kinsoku/>
        <w:wordWrap/>
        <w:overflowPunct/>
        <w:topLinePunct w:val="0"/>
        <w:bidi w:val="0"/>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w:t>
      </w:r>
      <w:r>
        <w:rPr>
          <w:rFonts w:hint="default" w:ascii="Times New Roman" w:hAnsi="Times New Roman" w:eastAsia="仿宋_GB2312" w:cs="Times New Roman"/>
          <w:color w:val="000000"/>
          <w:sz w:val="32"/>
          <w:lang w:val="en-US"/>
        </w:rPr>
        <w:t>机关运行经费：</w:t>
      </w:r>
      <w:r>
        <w:rPr>
          <w:rFonts w:hint="default" w:ascii="Times New Roman" w:hAnsi="Times New Roman" w:eastAsia="仿宋_GB2312" w:cs="Times New Roman"/>
          <w:color w:val="auto"/>
          <w:sz w:val="32"/>
          <w:lang w:val="en-US"/>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FBC861">
      <w:pPr>
        <w:rPr>
          <w:rFonts w:hint="eastAsia" w:ascii="Times New Roman" w:hAnsi="Times New Roman" w:eastAsia="仿宋_GB2312" w:cs="仿宋_GB2312"/>
          <w:color w:val="auto"/>
          <w:kern w:val="2"/>
          <w:sz w:val="32"/>
          <w:szCs w:val="32"/>
          <w:highlight w:val="none"/>
          <w:lang w:val="en-US" w:eastAsia="zh-CN" w:bidi="ar-SA"/>
        </w:rPr>
      </w:pPr>
    </w:p>
    <w:p w14:paraId="2C66B3F2">
      <w:pPr>
        <w:rPr>
          <w:rFonts w:hint="eastAsia" w:ascii="Times New Roman" w:hAnsi="Times New Roman" w:eastAsia="仿宋_GB2312" w:cs="仿宋_GB2312"/>
          <w:color w:val="auto"/>
          <w:kern w:val="2"/>
          <w:sz w:val="32"/>
          <w:szCs w:val="32"/>
          <w:highlight w:val="none"/>
          <w:lang w:val="en-US" w:eastAsia="zh-CN" w:bidi="ar-SA"/>
        </w:rPr>
      </w:pPr>
    </w:p>
    <w:p w14:paraId="379054E3">
      <w:pPr>
        <w:rPr>
          <w:rFonts w:hint="eastAsia" w:ascii="Times New Roman" w:hAnsi="Times New Roman" w:eastAsia="仿宋_GB2312" w:cs="仿宋_GB2312"/>
          <w:color w:val="auto"/>
          <w:kern w:val="2"/>
          <w:sz w:val="32"/>
          <w:szCs w:val="32"/>
          <w:highlight w:val="none"/>
          <w:lang w:val="en-US" w:eastAsia="zh-CN" w:bidi="ar-SA"/>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p>
    <w:p w14:paraId="47FA3952">
      <w:pPr>
        <w:widowControl/>
        <w:numPr>
          <w:ilvl w:val="0"/>
          <w:numId w:val="1"/>
        </w:numPr>
        <w:spacing w:line="578" w:lineRule="exact"/>
        <w:jc w:val="center"/>
        <w:rPr>
          <w:rFonts w:eastAsia="方正小标宋简体"/>
          <w:bCs/>
          <w:sz w:val="44"/>
          <w:szCs w:val="44"/>
          <w:shd w:val="clear" w:color="auto" w:fill="FFFFFF"/>
        </w:rPr>
      </w:pPr>
      <w:r>
        <w:rPr>
          <w:rFonts w:hint="eastAsia" w:eastAsia="黑体"/>
          <w:sz w:val="44"/>
          <w:szCs w:val="44"/>
        </w:rPr>
        <w:t xml:space="preserve"> 附件</w:t>
      </w:r>
      <w:bookmarkEnd w:id="46"/>
    </w:p>
    <w:p w14:paraId="2592CEEB">
      <w:pPr>
        <w:spacing w:line="572" w:lineRule="exact"/>
        <w:jc w:val="left"/>
        <w:outlineLvl w:val="0"/>
        <w:rPr>
          <w:rFonts w:hint="eastAsia" w:eastAsia="方正小标宋简体"/>
          <w:bCs/>
          <w:sz w:val="44"/>
          <w:szCs w:val="44"/>
          <w:shd w:val="clear" w:color="auto" w:fill="FFFFFF"/>
          <w:lang w:val="en-US" w:eastAsia="zh-CN"/>
        </w:rPr>
      </w:pPr>
      <w:r>
        <w:rPr>
          <w:rFonts w:hint="eastAsia" w:eastAsia="黑体" w:cs="黑体"/>
          <w:sz w:val="32"/>
          <w:szCs w:val="32"/>
        </w:rPr>
        <w:t>附件1</w:t>
      </w:r>
    </w:p>
    <w:p w14:paraId="0EE1691B">
      <w:pPr>
        <w:widowControl/>
        <w:numPr>
          <w:ilvl w:val="0"/>
          <w:numId w:val="0"/>
        </w:numPr>
        <w:spacing w:line="578" w:lineRule="exact"/>
        <w:jc w:val="left"/>
        <w:rPr>
          <w:rFonts w:hint="eastAsia" w:eastAsia="方正小标宋简体"/>
          <w:bCs/>
          <w:sz w:val="44"/>
          <w:szCs w:val="44"/>
          <w:shd w:val="clear" w:color="auto" w:fill="FFFFFF"/>
          <w:lang w:val="en-US" w:eastAsia="zh-CN"/>
        </w:rPr>
      </w:pPr>
    </w:p>
    <w:p w14:paraId="4F272AB7">
      <w:pPr>
        <w:widowControl/>
        <w:numPr>
          <w:ilvl w:val="0"/>
          <w:numId w:val="0"/>
        </w:numPr>
        <w:spacing w:line="578" w:lineRule="exact"/>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中共攀枝花仁和区委社会工作部</w:t>
      </w:r>
    </w:p>
    <w:p w14:paraId="5D2FA49E">
      <w:pPr>
        <w:widowControl/>
        <w:spacing w:line="578" w:lineRule="exact"/>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38D42BEC">
      <w:pPr>
        <w:widowControl/>
        <w:adjustRightInd w:val="0"/>
        <w:snapToGrid w:val="0"/>
        <w:spacing w:line="578" w:lineRule="exact"/>
        <w:ind w:firstLine="480" w:firstLineChars="200"/>
        <w:jc w:val="left"/>
        <w:rPr>
          <w:rFonts w:eastAsia="黑体"/>
          <w:color w:val="000000"/>
          <w:kern w:val="0"/>
          <w:sz w:val="24"/>
          <w:szCs w:val="32"/>
          <w:shd w:val="clear" w:color="auto" w:fill="FFFFFF"/>
        </w:rPr>
      </w:pPr>
    </w:p>
    <w:p w14:paraId="135A90F1">
      <w:pPr>
        <w:pageBreakBefore w:val="0"/>
        <w:kinsoku/>
        <w:wordWrap/>
        <w:overflowPunct/>
        <w:topLinePunct w:val="0"/>
        <w:bidi w:val="0"/>
        <w:spacing w:line="240" w:lineRule="auto"/>
        <w:ind w:firstLine="640"/>
        <w:rPr>
          <w:rFonts w:hint="eastAsia" w:ascii="方正黑体_GBK" w:hAnsi="方正黑体_GBK" w:eastAsia="方正黑体_GBK" w:cs="方正黑体_GBK"/>
          <w:color w:val="auto"/>
          <w:kern w:val="2"/>
          <w:sz w:val="32"/>
          <w:szCs w:val="32"/>
          <w:highlight w:val="none"/>
          <w:lang w:val="en-US" w:eastAsia="zh-CN" w:bidi="ar-SA"/>
        </w:rPr>
      </w:pPr>
      <w:bookmarkStart w:id="47" w:name="_Hlk110546638"/>
      <w:r>
        <w:rPr>
          <w:rFonts w:hint="eastAsia" w:ascii="方正黑体_GBK" w:hAnsi="方正黑体_GBK" w:eastAsia="方正黑体_GBK" w:cs="方正黑体_GBK"/>
          <w:color w:val="auto"/>
          <w:kern w:val="2"/>
          <w:sz w:val="32"/>
          <w:szCs w:val="32"/>
          <w:highlight w:val="none"/>
          <w:lang w:val="zh-CN" w:eastAsia="zh-CN" w:bidi="ar-SA"/>
        </w:rPr>
        <w:t>一、部门（单位）基本情况</w:t>
      </w:r>
    </w:p>
    <w:p w14:paraId="62E2956E">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方正楷体_GB2312" w:hAnsi="方正楷体_GB2312" w:eastAsia="方正楷体_GB2312" w:cs="方正楷体_GB2312"/>
          <w:b/>
          <w:bCs/>
          <w:color w:val="auto"/>
          <w:kern w:val="2"/>
          <w:sz w:val="32"/>
          <w:szCs w:val="32"/>
          <w:highlight w:val="none"/>
          <w:lang w:val="zh-CN" w:eastAsia="zh-CN" w:bidi="ar-SA"/>
        </w:rPr>
        <w:t>（一）机构组成。</w:t>
      </w:r>
      <w:r>
        <w:rPr>
          <w:rFonts w:hint="default" w:ascii="Times New Roman" w:hAnsi="Times New Roman" w:eastAsia="仿宋_GB2312" w:cs="Times New Roman"/>
          <w:color w:val="auto"/>
          <w:kern w:val="2"/>
          <w:sz w:val="32"/>
          <w:szCs w:val="32"/>
          <w:highlight w:val="none"/>
          <w:lang w:val="en-US" w:eastAsia="zh-CN" w:bidi="ar-SA"/>
        </w:rPr>
        <w:t>中共攀枝花市仁和区委社会工作部，代管非独立核算单位1个，其中其他事业单位1个，为攀枝花市仁和区城乡基层治理工作中心。内设机构有办公室、业务一股、业务二股。</w:t>
      </w:r>
    </w:p>
    <w:p w14:paraId="6D83F91A">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（二）机构职能。</w:t>
      </w:r>
      <w:r>
        <w:rPr>
          <w:rFonts w:hint="default" w:ascii="Times New Roman" w:hAnsi="Times New Roman" w:eastAsia="仿宋_GB2312" w:cs="Times New Roman"/>
          <w:color w:val="auto"/>
          <w:kern w:val="2"/>
          <w:sz w:val="32"/>
          <w:szCs w:val="32"/>
          <w:highlight w:val="none"/>
          <w:lang w:val="en-US" w:eastAsia="zh-CN" w:bidi="ar-SA"/>
        </w:rPr>
        <w:t>中共攀枝花市仁和区委社会工作部主要职能是指导人民信访工作、推进党建引领基层治理和基层政权建设、指导全区性社会组织党建工作、指导“两企三新”党建工作、推动志愿服务和社会工作人才队伍建设工作等。</w:t>
      </w:r>
    </w:p>
    <w:p w14:paraId="34018F4A">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（三）人员概况。</w:t>
      </w:r>
      <w:r>
        <w:rPr>
          <w:rFonts w:hint="default" w:ascii="Times New Roman" w:hAnsi="Times New Roman" w:eastAsia="仿宋_GB2312" w:cs="Times New Roman"/>
          <w:color w:val="auto"/>
          <w:kern w:val="2"/>
          <w:sz w:val="32"/>
          <w:szCs w:val="32"/>
          <w:highlight w:val="none"/>
          <w:lang w:val="en-US" w:eastAsia="zh-CN" w:bidi="ar-SA"/>
        </w:rPr>
        <w:t>截至2025年末区委社会工作部编制数12人，其中行政编制6人，事业编制6人，行政编实有人数6人，事业编实有人数5人。</w:t>
      </w:r>
    </w:p>
    <w:p w14:paraId="203385DB">
      <w:pPr>
        <w:pageBreakBefore w:val="0"/>
        <w:kinsoku/>
        <w:wordWrap/>
        <w:overflowPunct/>
        <w:topLinePunct w:val="0"/>
        <w:bidi w:val="0"/>
        <w:spacing w:line="240" w:lineRule="auto"/>
        <w:ind w:firstLine="640"/>
        <w:rPr>
          <w:rFonts w:hint="default" w:ascii="方正黑体_GBK" w:hAnsi="方正黑体_GBK" w:eastAsia="方正黑体_GBK" w:cs="方正黑体_GBK"/>
          <w:color w:val="auto"/>
          <w:kern w:val="2"/>
          <w:sz w:val="32"/>
          <w:szCs w:val="32"/>
          <w:highlight w:val="none"/>
          <w:lang w:val="zh-CN" w:eastAsia="zh-CN" w:bidi="ar-SA"/>
        </w:rPr>
      </w:pPr>
      <w:r>
        <w:rPr>
          <w:rFonts w:hint="default" w:ascii="方正黑体_GBK" w:hAnsi="方正黑体_GBK" w:eastAsia="方正黑体_GBK" w:cs="方正黑体_GBK"/>
          <w:color w:val="auto"/>
          <w:kern w:val="2"/>
          <w:sz w:val="32"/>
          <w:szCs w:val="32"/>
          <w:highlight w:val="none"/>
          <w:lang w:val="zh-CN" w:eastAsia="zh-CN" w:bidi="ar-SA"/>
        </w:rPr>
        <w:t>二、部门资金收支情况</w:t>
      </w:r>
    </w:p>
    <w:p w14:paraId="665FCAF1">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（一）收入情况。</w:t>
      </w:r>
      <w:r>
        <w:rPr>
          <w:rFonts w:hint="default" w:ascii="Times New Roman" w:hAnsi="Times New Roman" w:eastAsia="仿宋_GB2312" w:cs="Times New Roman"/>
          <w:color w:val="auto"/>
          <w:kern w:val="2"/>
          <w:sz w:val="32"/>
          <w:szCs w:val="32"/>
          <w:highlight w:val="none"/>
          <w:lang w:val="en-US" w:eastAsia="zh-CN" w:bidi="ar-SA"/>
        </w:rPr>
        <w:t>中共攀枝花市仁和区委社会工作部2025年年初预算收入682.42万元，2025年决算报表收入682.42万元。</w:t>
      </w:r>
    </w:p>
    <w:p w14:paraId="376C427E">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本年一般公共预算财政拨款收入682.42万元，占100%；政府性基金预算拨款收入0万元，占0%；上年结转收入0万元，占0%。一般公共服务支出610万元，占89.39%；社会保障和就业支出49.2万元，占7.21%；卫生健康支出9.74万元，占1.43%；住房保障支出13.49万元，占1.98%。</w:t>
      </w:r>
    </w:p>
    <w:p w14:paraId="38D78424">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（二）支出情况。</w:t>
      </w:r>
      <w:r>
        <w:rPr>
          <w:rFonts w:hint="default" w:ascii="Times New Roman" w:hAnsi="Times New Roman" w:eastAsia="仿宋_GB2312" w:cs="Times New Roman"/>
          <w:color w:val="auto"/>
          <w:kern w:val="2"/>
          <w:sz w:val="32"/>
          <w:szCs w:val="32"/>
          <w:highlight w:val="none"/>
          <w:lang w:val="en-US" w:eastAsia="zh-CN" w:bidi="ar-SA"/>
        </w:rPr>
        <w:t>中共攀枝花市仁和区委社会工作部2025年支出预算682.42万元，其中：基本支出205.47万元，占30.11%；项目支出476.95万元，占69.89%。主要完成任务：维持单位基本运行，确保日常行政管理、内部协调、文书处理、财务核算等工作正常开展。推进重点项目实施，对项目进行全过程管理，确保资金使用合规、高效。达成效果：按时足额发放工资、缴纳社保及公积金，职工满意度达95%以上。预算执行率及资金支付合规率达100%。所有计划内项目按进度完成，验收合格率不低于95%。通过严格的项目支出管理，降低资金闲置或挪用风险，提升财政资金使用透明度。</w:t>
      </w:r>
    </w:p>
    <w:p w14:paraId="021F7EFE">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（三）</w:t>
      </w:r>
      <w:r>
        <w:rPr>
          <w:rFonts w:hint="default" w:ascii="方正楷体_GB2312" w:hAnsi="方正楷体_GB2312" w:eastAsia="方正楷体_GB2312" w:cs="方正楷体_GB2312"/>
          <w:b/>
          <w:bCs/>
          <w:color w:val="auto"/>
          <w:kern w:val="2"/>
          <w:sz w:val="32"/>
          <w:szCs w:val="32"/>
          <w:highlight w:val="none"/>
          <w:lang w:val="en-US" w:eastAsia="zh-CN" w:bidi="ar-SA"/>
        </w:rPr>
        <w:t>结余分配和结转结余情况。</w:t>
      </w:r>
      <w:r>
        <w:rPr>
          <w:rFonts w:hint="default" w:ascii="Times New Roman" w:hAnsi="Times New Roman" w:eastAsia="仿宋_GB2312" w:cs="Times New Roman"/>
          <w:color w:val="auto"/>
          <w:kern w:val="2"/>
          <w:sz w:val="32"/>
          <w:szCs w:val="32"/>
          <w:highlight w:val="none"/>
          <w:lang w:val="en-US" w:eastAsia="zh-CN" w:bidi="ar-SA"/>
        </w:rPr>
        <w:t>区委社会工作部2025年决算报表上年结转180万元。</w:t>
      </w:r>
    </w:p>
    <w:p w14:paraId="617F9D86">
      <w:pPr>
        <w:pageBreakBefore w:val="0"/>
        <w:kinsoku/>
        <w:wordWrap/>
        <w:overflowPunct/>
        <w:topLinePunct w:val="0"/>
        <w:bidi w:val="0"/>
        <w:spacing w:line="240" w:lineRule="auto"/>
        <w:ind w:firstLine="640"/>
        <w:rPr>
          <w:rFonts w:hint="default" w:ascii="方正黑体_GBK" w:hAnsi="方正黑体_GBK" w:eastAsia="方正黑体_GBK" w:cs="方正黑体_GBK"/>
          <w:color w:val="auto"/>
          <w:kern w:val="2"/>
          <w:sz w:val="32"/>
          <w:szCs w:val="32"/>
          <w:highlight w:val="none"/>
          <w:lang w:val="zh-CN" w:eastAsia="zh-CN" w:bidi="ar-SA"/>
        </w:rPr>
      </w:pPr>
      <w:r>
        <w:rPr>
          <w:rFonts w:hint="default" w:ascii="方正黑体_GBK" w:hAnsi="方正黑体_GBK" w:eastAsia="方正黑体_GBK" w:cs="方正黑体_GBK"/>
          <w:color w:val="auto"/>
          <w:kern w:val="2"/>
          <w:sz w:val="32"/>
          <w:szCs w:val="32"/>
          <w:highlight w:val="none"/>
          <w:lang w:val="zh-CN" w:eastAsia="zh-CN" w:bidi="ar-SA"/>
        </w:rPr>
        <w:t>三、部门预算绩效分析</w:t>
      </w:r>
    </w:p>
    <w:p w14:paraId="10B94431">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（一）部门预算总体绩效分析。</w:t>
      </w:r>
      <w:r>
        <w:rPr>
          <w:rFonts w:hint="default" w:ascii="Times New Roman" w:hAnsi="Times New Roman" w:eastAsia="仿宋_GB2312" w:cs="Times New Roman"/>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14:paraId="4E7002D3">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1.</w:t>
      </w:r>
      <w:r>
        <w:rPr>
          <w:rFonts w:hint="default" w:ascii="Times New Roman" w:hAnsi="Times New Roman" w:eastAsia="仿宋_GB2312" w:cs="Times New Roman"/>
          <w:b/>
          <w:bCs/>
          <w:color w:val="auto"/>
          <w:kern w:val="2"/>
          <w:sz w:val="32"/>
          <w:szCs w:val="32"/>
          <w:highlight w:val="none"/>
          <w:lang w:val="zh-CN" w:eastAsia="zh-CN" w:bidi="ar-SA"/>
        </w:rPr>
        <w:t>履职效能。</w:t>
      </w:r>
      <w:r>
        <w:rPr>
          <w:rFonts w:hint="default" w:ascii="Times New Roman" w:hAnsi="Times New Roman" w:eastAsia="仿宋_GB2312" w:cs="Times New Roman"/>
          <w:color w:val="auto"/>
          <w:kern w:val="2"/>
          <w:sz w:val="32"/>
          <w:szCs w:val="32"/>
          <w:highlight w:val="none"/>
          <w:lang w:val="en-US" w:eastAsia="zh-CN" w:bidi="ar-SA"/>
        </w:rPr>
        <w:t>全区社工队伍和社会工作人才队伍的专业素养和实践能力得到提高，基层治理水平提升，补齐了短板和问题，相关任务有序落地落实。自评得分15分。</w:t>
      </w:r>
    </w:p>
    <w:p w14:paraId="3906E61D">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2.</w:t>
      </w:r>
      <w:r>
        <w:rPr>
          <w:rFonts w:hint="default" w:ascii="Times New Roman" w:hAnsi="Times New Roman" w:eastAsia="仿宋_GB2312" w:cs="Times New Roman"/>
          <w:b/>
          <w:bCs/>
          <w:color w:val="auto"/>
          <w:kern w:val="2"/>
          <w:sz w:val="32"/>
          <w:szCs w:val="32"/>
          <w:highlight w:val="none"/>
          <w:lang w:val="zh-CN" w:eastAsia="zh-CN" w:bidi="ar-SA"/>
        </w:rPr>
        <w:t>预算管理。</w:t>
      </w:r>
      <w:r>
        <w:rPr>
          <w:rFonts w:hint="default" w:ascii="Times New Roman" w:hAnsi="Times New Roman" w:eastAsia="仿宋_GB2312" w:cs="Times New Roman"/>
          <w:color w:val="auto"/>
          <w:kern w:val="2"/>
          <w:sz w:val="32"/>
          <w:szCs w:val="32"/>
          <w:highlight w:val="none"/>
          <w:lang w:val="zh-CN" w:eastAsia="zh-CN" w:bidi="ar-SA"/>
        </w:rPr>
        <w:t>严格按照《预算法》相关要求编制年初部门预算，年初预算编制的科学性较好。预算执行情况未能达到100%，整体年终预算结余较少。严格控制“三公”经费、培训、差旅、办公设备购置等一般性支出情况，未超额度支出。自评得分2</w:t>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zh-CN" w:eastAsia="zh-CN" w:bidi="ar-SA"/>
        </w:rPr>
        <w:t>分。</w:t>
      </w:r>
    </w:p>
    <w:p w14:paraId="79F9A0F1">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仿宋_GB2312" w:cs="Times New Roman"/>
          <w:b/>
          <w:bCs/>
          <w:color w:val="auto"/>
          <w:kern w:val="2"/>
          <w:sz w:val="32"/>
          <w:szCs w:val="32"/>
          <w:highlight w:val="none"/>
          <w:lang w:val="zh-CN" w:eastAsia="zh-CN" w:bidi="ar-SA"/>
        </w:rPr>
        <w:t>财务管理。</w:t>
      </w:r>
      <w:r>
        <w:rPr>
          <w:rFonts w:hint="default" w:ascii="Times New Roman" w:hAnsi="Times New Roman" w:eastAsia="仿宋_GB2312" w:cs="Times New Roman"/>
          <w:color w:val="auto"/>
          <w:kern w:val="2"/>
          <w:sz w:val="32"/>
          <w:szCs w:val="32"/>
          <w:highlight w:val="none"/>
          <w:lang w:val="zh-CN" w:eastAsia="zh-CN" w:bidi="ar-SA"/>
        </w:rPr>
        <w:t>严格遵守单位项目管理制度、财务管理制度、政府采购管理制度，严格财经纪律，对财务报账实行项目管理，同时主动接受上级主管部门、财政和纪检监察部门的监督管理。自评得分10分。</w:t>
      </w:r>
    </w:p>
    <w:p w14:paraId="3DDD0B78">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4.</w:t>
      </w:r>
      <w:r>
        <w:rPr>
          <w:rFonts w:hint="default" w:ascii="Times New Roman" w:hAnsi="Times New Roman" w:eastAsia="仿宋_GB2312" w:cs="Times New Roman"/>
          <w:b/>
          <w:bCs/>
          <w:color w:val="auto"/>
          <w:kern w:val="2"/>
          <w:sz w:val="32"/>
          <w:szCs w:val="32"/>
          <w:highlight w:val="none"/>
          <w:lang w:val="zh-CN" w:eastAsia="zh-CN" w:bidi="ar-SA"/>
        </w:rPr>
        <w:t>资产管理。</w:t>
      </w:r>
      <w:r>
        <w:rPr>
          <w:rFonts w:hint="default" w:ascii="Times New Roman" w:hAnsi="Times New Roman" w:eastAsia="仿宋_GB2312" w:cs="Times New Roman"/>
          <w:color w:val="auto"/>
          <w:kern w:val="2"/>
          <w:sz w:val="32"/>
          <w:szCs w:val="32"/>
          <w:highlight w:val="none"/>
          <w:lang w:val="zh-CN" w:eastAsia="zh-CN" w:bidi="ar-SA"/>
        </w:rPr>
        <w:t>资产规模与人员规模同步变化，配置合理。建立了“专人管理、集体决策”机制，资产配置、处置均按规定权限报批。定期进行资产盘点，做到了账账相符、账实相符、账证相符。资产月报、年报均及时准确报送。自评得分</w:t>
      </w:r>
      <w:r>
        <w:rPr>
          <w:rFonts w:hint="default"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zh-CN" w:eastAsia="zh-CN" w:bidi="ar-SA"/>
        </w:rPr>
        <w:t>分。</w:t>
      </w:r>
    </w:p>
    <w:p w14:paraId="36734664">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5.</w:t>
      </w:r>
      <w:r>
        <w:rPr>
          <w:rFonts w:hint="default" w:ascii="Times New Roman" w:hAnsi="Times New Roman" w:eastAsia="仿宋_GB2312" w:cs="Times New Roman"/>
          <w:b/>
          <w:bCs/>
          <w:color w:val="auto"/>
          <w:kern w:val="2"/>
          <w:sz w:val="32"/>
          <w:szCs w:val="32"/>
          <w:highlight w:val="none"/>
          <w:lang w:val="zh-CN" w:eastAsia="zh-CN" w:bidi="ar-SA"/>
        </w:rPr>
        <w:t>采购管理。</w:t>
      </w:r>
      <w:r>
        <w:rPr>
          <w:rFonts w:hint="default" w:ascii="Times New Roman" w:hAnsi="Times New Roman" w:eastAsia="仿宋_GB2312" w:cs="Times New Roman"/>
          <w:color w:val="auto"/>
          <w:kern w:val="2"/>
          <w:sz w:val="32"/>
          <w:szCs w:val="32"/>
          <w:highlight w:val="none"/>
          <w:lang w:val="zh-CN" w:eastAsia="zh-CN" w:bidi="ar-SA"/>
        </w:rPr>
        <w:t>单位严格执行政府采购，促进中小企业发展相关管理办法，对中小企业预留100%的采购份额。自评得分</w:t>
      </w:r>
      <w:r>
        <w:rPr>
          <w:rFonts w:hint="default"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zh-CN" w:eastAsia="zh-CN" w:bidi="ar-SA"/>
        </w:rPr>
        <w:t>分。</w:t>
      </w:r>
    </w:p>
    <w:p w14:paraId="26DEBDEA">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（二）部门预算项目绩效分析。</w:t>
      </w:r>
    </w:p>
    <w:p w14:paraId="28EC9D24">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常年项目绩效分析。</w:t>
      </w:r>
      <w:r>
        <w:rPr>
          <w:rFonts w:hint="default" w:ascii="Times New Roman" w:hAnsi="Times New Roman" w:eastAsia="仿宋_GB2312" w:cs="Times New Roman"/>
          <w:color w:val="auto"/>
          <w:kern w:val="2"/>
          <w:sz w:val="32"/>
          <w:szCs w:val="32"/>
          <w:highlight w:val="none"/>
          <w:lang w:val="zh-CN" w:eastAsia="zh-CN" w:bidi="ar-SA"/>
        </w:rPr>
        <w:t>该类项目总数</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个，涉及预算总金额</w:t>
      </w:r>
      <w:r>
        <w:rPr>
          <w:rFonts w:hint="default" w:ascii="Times New Roman" w:hAnsi="Times New Roman" w:eastAsia="仿宋_GB2312" w:cs="Times New Roman"/>
          <w:color w:val="auto"/>
          <w:kern w:val="2"/>
          <w:sz w:val="32"/>
          <w:szCs w:val="32"/>
          <w:highlight w:val="none"/>
          <w:lang w:val="en-US" w:eastAsia="zh-CN" w:bidi="ar-SA"/>
        </w:rPr>
        <w:t xml:space="preserve">   0</w:t>
      </w:r>
      <w:r>
        <w:rPr>
          <w:rFonts w:hint="default" w:ascii="Times New Roman" w:hAnsi="Times New Roman" w:eastAsia="仿宋_GB2312" w:cs="Times New Roman"/>
          <w:color w:val="auto"/>
          <w:kern w:val="2"/>
          <w:sz w:val="32"/>
          <w:szCs w:val="32"/>
          <w:highlight w:val="none"/>
          <w:lang w:val="zh-CN" w:eastAsia="zh-CN" w:bidi="ar-SA"/>
        </w:rPr>
        <w:t>万元，1—1</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月预算执行总体进度为</w:t>
      </w:r>
      <w:r>
        <w:rPr>
          <w:rFonts w:hint="default" w:ascii="Times New Roman" w:hAnsi="Times New Roman" w:eastAsia="仿宋_GB2312" w:cs="Times New Roman"/>
          <w:color w:val="auto"/>
          <w:kern w:val="2"/>
          <w:sz w:val="32"/>
          <w:szCs w:val="32"/>
          <w:highlight w:val="none"/>
          <w:lang w:val="en-US" w:eastAsia="zh-CN" w:bidi="ar-SA"/>
        </w:rPr>
        <w:t xml:space="preserve">100 </w:t>
      </w:r>
      <w:r>
        <w:rPr>
          <w:rFonts w:hint="default" w:ascii="Times New Roman" w:hAnsi="Times New Roman" w:eastAsia="仿宋_GB2312" w:cs="Times New Roman"/>
          <w:color w:val="auto"/>
          <w:kern w:val="2"/>
          <w:sz w:val="32"/>
          <w:szCs w:val="32"/>
          <w:highlight w:val="none"/>
          <w:lang w:val="zh-CN" w:eastAsia="zh-CN" w:bidi="ar-SA"/>
        </w:rPr>
        <w:t>%，其中：预算结余率大于</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的项目共计</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个。</w:t>
      </w:r>
    </w:p>
    <w:p w14:paraId="781DDE40">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阶段（含一次性）项目绩效分析。</w:t>
      </w:r>
      <w:r>
        <w:rPr>
          <w:rFonts w:hint="default" w:ascii="Times New Roman" w:hAnsi="Times New Roman" w:eastAsia="仿宋_GB2312" w:cs="Times New Roman"/>
          <w:color w:val="auto"/>
          <w:kern w:val="2"/>
          <w:sz w:val="32"/>
          <w:szCs w:val="32"/>
          <w:highlight w:val="none"/>
          <w:lang w:val="zh-CN" w:eastAsia="zh-CN" w:bidi="ar-SA"/>
        </w:rPr>
        <w:t>该类项目总数</w:t>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zh-CN" w:eastAsia="zh-CN" w:bidi="ar-SA"/>
        </w:rPr>
        <w:t>个，涉及预算总金额</w:t>
      </w:r>
      <w:r>
        <w:rPr>
          <w:rFonts w:hint="default" w:ascii="Times New Roman" w:hAnsi="Times New Roman" w:eastAsia="仿宋_GB2312" w:cs="Times New Roman"/>
          <w:color w:val="auto"/>
          <w:kern w:val="2"/>
          <w:sz w:val="32"/>
          <w:szCs w:val="32"/>
          <w:highlight w:val="none"/>
          <w:lang w:val="en-US" w:eastAsia="zh-CN" w:bidi="ar-SA"/>
        </w:rPr>
        <w:t>73.64</w:t>
      </w:r>
      <w:r>
        <w:rPr>
          <w:rFonts w:hint="default" w:ascii="Times New Roman" w:hAnsi="Times New Roman" w:eastAsia="仿宋_GB2312" w:cs="Times New Roman"/>
          <w:color w:val="auto"/>
          <w:kern w:val="2"/>
          <w:sz w:val="32"/>
          <w:szCs w:val="32"/>
          <w:highlight w:val="none"/>
          <w:lang w:val="zh-CN" w:eastAsia="zh-CN" w:bidi="ar-SA"/>
        </w:rPr>
        <w:t>万元，1—1</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月预算执行总体进度为</w:t>
      </w:r>
      <w:r>
        <w:rPr>
          <w:rFonts w:hint="default" w:ascii="Times New Roman" w:hAnsi="Times New Roman" w:eastAsia="仿宋_GB2312" w:cs="Times New Roman"/>
          <w:color w:val="auto"/>
          <w:kern w:val="2"/>
          <w:sz w:val="32"/>
          <w:szCs w:val="32"/>
          <w:highlight w:val="none"/>
          <w:lang w:val="en-US" w:eastAsia="zh-CN" w:bidi="ar-SA"/>
        </w:rPr>
        <w:t>90.07</w:t>
      </w:r>
      <w:r>
        <w:rPr>
          <w:rFonts w:hint="default" w:ascii="Times New Roman" w:hAnsi="Times New Roman" w:eastAsia="仿宋_GB2312" w:cs="Times New Roman"/>
          <w:color w:val="auto"/>
          <w:kern w:val="2"/>
          <w:sz w:val="32"/>
          <w:szCs w:val="32"/>
          <w:highlight w:val="none"/>
          <w:lang w:val="zh-CN" w:eastAsia="zh-CN" w:bidi="ar-SA"/>
        </w:rPr>
        <w:t>%，其中：预算结余率大于</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的项目共计</w:t>
      </w:r>
      <w:r>
        <w:rPr>
          <w:rFonts w:hint="default" w:ascii="Times New Roman" w:hAnsi="Times New Roman" w:eastAsia="仿宋_GB2312" w:cs="Times New Roman"/>
          <w:color w:val="auto"/>
          <w:kern w:val="2"/>
          <w:sz w:val="32"/>
          <w:szCs w:val="32"/>
          <w:highlight w:val="none"/>
          <w:lang w:val="en-US" w:eastAsia="zh-CN" w:bidi="ar-SA"/>
        </w:rPr>
        <w:t xml:space="preserve"> 1 </w:t>
      </w:r>
      <w:r>
        <w:rPr>
          <w:rFonts w:hint="default" w:ascii="Times New Roman" w:hAnsi="Times New Roman" w:eastAsia="仿宋_GB2312" w:cs="Times New Roman"/>
          <w:color w:val="auto"/>
          <w:kern w:val="2"/>
          <w:sz w:val="32"/>
          <w:szCs w:val="32"/>
          <w:highlight w:val="none"/>
          <w:lang w:val="zh-CN" w:eastAsia="zh-CN" w:bidi="ar-SA"/>
        </w:rPr>
        <w:t>个。</w:t>
      </w:r>
    </w:p>
    <w:p w14:paraId="1AC44212">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1.</w:t>
      </w:r>
      <w:r>
        <w:rPr>
          <w:rFonts w:hint="default" w:ascii="Times New Roman" w:hAnsi="Times New Roman" w:eastAsia="仿宋_GB2312" w:cs="Times New Roman"/>
          <w:b/>
          <w:bCs/>
          <w:color w:val="auto"/>
          <w:kern w:val="2"/>
          <w:sz w:val="32"/>
          <w:szCs w:val="32"/>
          <w:highlight w:val="none"/>
          <w:lang w:val="zh-CN" w:eastAsia="zh-CN" w:bidi="ar-SA"/>
        </w:rPr>
        <w:t>项目决策。</w:t>
      </w:r>
      <w:r>
        <w:rPr>
          <w:rFonts w:hint="default" w:ascii="Times New Roman" w:hAnsi="Times New Roman" w:eastAsia="仿宋_GB2312" w:cs="Times New Roman"/>
          <w:color w:val="auto"/>
          <w:kern w:val="2"/>
          <w:sz w:val="32"/>
          <w:szCs w:val="32"/>
          <w:highlight w:val="none"/>
          <w:lang w:val="zh-CN" w:eastAsia="zh-CN" w:bidi="ar-SA"/>
        </w:rPr>
        <w:t>部门预算项目绩效目标与计划期内的任务量、预算安排的资金量匹配度高，绩效目标设置科学合理、规范完整，进行了量化细化。在规定时</w:t>
      </w:r>
      <w:r>
        <w:rPr>
          <w:rFonts w:hint="eastAsia" w:eastAsia="仿宋_GB2312" w:cs="Times New Roman"/>
          <w:color w:val="auto"/>
          <w:kern w:val="2"/>
          <w:sz w:val="32"/>
          <w:szCs w:val="32"/>
          <w:highlight w:val="none"/>
          <w:lang w:val="zh-CN" w:eastAsia="zh-CN" w:bidi="ar-SA"/>
        </w:rPr>
        <w:t>间内</w:t>
      </w:r>
      <w:r>
        <w:rPr>
          <w:rFonts w:hint="default" w:ascii="Times New Roman" w:hAnsi="Times New Roman" w:eastAsia="仿宋_GB2312" w:cs="Times New Roman"/>
          <w:color w:val="auto"/>
          <w:kern w:val="2"/>
          <w:sz w:val="32"/>
          <w:szCs w:val="32"/>
          <w:highlight w:val="none"/>
          <w:lang w:val="zh-CN" w:eastAsia="zh-CN" w:bidi="ar-SA"/>
        </w:rPr>
        <w:t>完成了项目入库。自评得分12分。</w:t>
      </w:r>
    </w:p>
    <w:p w14:paraId="4E6EA6F6">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en-US" w:eastAsia="zh-CN" w:bidi="ar-SA"/>
        </w:rPr>
        <w:t>2.项目执行</w:t>
      </w:r>
      <w:r>
        <w:rPr>
          <w:rFonts w:hint="default" w:ascii="Times New Roman" w:hAnsi="Times New Roman" w:eastAsia="仿宋_GB2312" w:cs="Times New Roman"/>
          <w:b/>
          <w:bCs/>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部门预算项目实际列支内容与绩效目标设置方向相符，未进行相关调整。预算执行情况良好，执行率达</w:t>
      </w:r>
      <w:r>
        <w:rPr>
          <w:rFonts w:hint="default" w:ascii="Times New Roman" w:hAnsi="Times New Roman" w:eastAsia="仿宋_GB2312" w:cs="Times New Roman"/>
          <w:color w:val="auto"/>
          <w:kern w:val="2"/>
          <w:sz w:val="32"/>
          <w:szCs w:val="32"/>
          <w:highlight w:val="none"/>
          <w:lang w:val="en-US" w:eastAsia="zh-CN" w:bidi="ar-SA"/>
        </w:rPr>
        <w:t>80</w:t>
      </w:r>
      <w:r>
        <w:rPr>
          <w:rFonts w:hint="default" w:ascii="Times New Roman" w:hAnsi="Times New Roman" w:eastAsia="仿宋_GB2312" w:cs="Times New Roman"/>
          <w:color w:val="auto"/>
          <w:kern w:val="2"/>
          <w:sz w:val="32"/>
          <w:szCs w:val="32"/>
          <w:highlight w:val="none"/>
          <w:lang w:val="zh-CN" w:eastAsia="zh-CN" w:bidi="ar-SA"/>
        </w:rPr>
        <w:t>%。自评得分1</w:t>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分。</w:t>
      </w:r>
    </w:p>
    <w:p w14:paraId="408FA931">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仿宋_GB2312" w:cs="Times New Roman"/>
          <w:b/>
          <w:bCs/>
          <w:color w:val="auto"/>
          <w:kern w:val="2"/>
          <w:sz w:val="32"/>
          <w:szCs w:val="32"/>
          <w:highlight w:val="none"/>
          <w:lang w:val="zh-CN" w:eastAsia="zh-CN" w:bidi="ar-SA"/>
        </w:rPr>
        <w:t>目标实现。</w:t>
      </w:r>
      <w:r>
        <w:rPr>
          <w:rFonts w:hint="default" w:ascii="Times New Roman" w:hAnsi="Times New Roman" w:eastAsia="仿宋_GB2312" w:cs="Times New Roman"/>
          <w:color w:val="auto"/>
          <w:kern w:val="2"/>
          <w:sz w:val="32"/>
          <w:szCs w:val="32"/>
          <w:highlight w:val="none"/>
          <w:lang w:val="zh-CN" w:eastAsia="zh-CN" w:bidi="ar-SA"/>
        </w:rPr>
        <w:t>绩效目标数量指标全部完成，指标实现程度与预期目标无偏离，效益指标实施情况良好，自评得分1</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分。</w:t>
      </w:r>
    </w:p>
    <w:p w14:paraId="5785CDD2">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（三）绩效结果应用情况。</w:t>
      </w:r>
      <w:r>
        <w:rPr>
          <w:rFonts w:hint="default" w:ascii="Times New Roman" w:hAnsi="Times New Roman" w:eastAsia="仿宋_GB2312" w:cs="Times New Roman"/>
          <w:color w:val="auto"/>
          <w:kern w:val="2"/>
          <w:sz w:val="32"/>
          <w:szCs w:val="32"/>
          <w:highlight w:val="none"/>
          <w:lang w:val="zh-CN" w:eastAsia="zh-CN" w:bidi="ar-SA"/>
        </w:rPr>
        <w:t>绩效自评结果将用于我</w:t>
      </w:r>
      <w:r>
        <w:rPr>
          <w:rFonts w:hint="default" w:ascii="Times New Roman" w:hAnsi="Times New Roman" w:eastAsia="仿宋_GB2312" w:cs="Times New Roman"/>
          <w:color w:val="auto"/>
          <w:kern w:val="2"/>
          <w:sz w:val="32"/>
          <w:szCs w:val="32"/>
          <w:highlight w:val="none"/>
          <w:lang w:val="en-US" w:eastAsia="zh-CN" w:bidi="ar-SA"/>
        </w:rPr>
        <w:t>部</w:t>
      </w:r>
      <w:r>
        <w:rPr>
          <w:rFonts w:hint="default" w:ascii="Times New Roman" w:hAnsi="Times New Roman" w:eastAsia="仿宋_GB2312" w:cs="Times New Roman"/>
          <w:color w:val="auto"/>
          <w:kern w:val="2"/>
          <w:sz w:val="32"/>
          <w:szCs w:val="32"/>
          <w:highlight w:val="none"/>
          <w:lang w:val="zh-CN" w:eastAsia="zh-CN" w:bidi="ar-SA"/>
        </w:rPr>
        <w:t>下一年绩效目标的科学合理设定，针对绩效自评结果，查找原因，改进工作方法，提高工作效率，争取提高绩效目标完成率。下一步，将按照相关规定，进一步规范预算管理及执行，加强对部门预算整体绩效评价和绩效运行监控，总结202</w:t>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zh-CN" w:eastAsia="zh-CN" w:bidi="ar-SA"/>
        </w:rPr>
        <w:t>年经验，取长补短，严格执行预算管理，严格执行预算支出。</w:t>
      </w:r>
    </w:p>
    <w:p w14:paraId="68F1C8D0">
      <w:pPr>
        <w:pageBreakBefore w:val="0"/>
        <w:kinsoku/>
        <w:wordWrap/>
        <w:overflowPunct/>
        <w:topLinePunct w:val="0"/>
        <w:bidi w:val="0"/>
        <w:spacing w:line="240" w:lineRule="auto"/>
        <w:ind w:firstLine="640"/>
        <w:rPr>
          <w:rFonts w:hint="default" w:ascii="方正黑体_GBK" w:hAnsi="方正黑体_GBK" w:eastAsia="方正黑体_GBK" w:cs="方正黑体_GBK"/>
          <w:color w:val="auto"/>
          <w:kern w:val="2"/>
          <w:sz w:val="32"/>
          <w:szCs w:val="32"/>
          <w:highlight w:val="none"/>
          <w:lang w:val="zh-CN" w:eastAsia="zh-CN" w:bidi="ar-SA"/>
        </w:rPr>
      </w:pPr>
      <w:r>
        <w:rPr>
          <w:rFonts w:hint="default" w:ascii="方正黑体_GBK" w:hAnsi="方正黑体_GBK" w:eastAsia="方正黑体_GBK" w:cs="方正黑体_GBK"/>
          <w:color w:val="auto"/>
          <w:kern w:val="2"/>
          <w:sz w:val="32"/>
          <w:szCs w:val="32"/>
          <w:highlight w:val="none"/>
          <w:lang w:val="zh-CN" w:eastAsia="zh-CN" w:bidi="ar-SA"/>
        </w:rPr>
        <w:t>四、评价结论及建议</w:t>
      </w:r>
    </w:p>
    <w:p w14:paraId="539D8767">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（一）评价结论。</w:t>
      </w:r>
      <w:r>
        <w:rPr>
          <w:rFonts w:hint="default" w:ascii="Times New Roman" w:hAnsi="Times New Roman" w:eastAsia="仿宋_GB2312" w:cs="Times New Roman"/>
          <w:color w:val="auto"/>
          <w:kern w:val="2"/>
          <w:sz w:val="32"/>
          <w:szCs w:val="32"/>
          <w:highlight w:val="none"/>
          <w:lang w:val="zh-CN" w:eastAsia="zh-CN" w:bidi="ar-SA"/>
        </w:rPr>
        <w:t>202</w:t>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zh-CN" w:eastAsia="zh-CN" w:bidi="ar-SA"/>
        </w:rPr>
        <w:t>年度我单位部门整体绩效目标编制完整、合理，项目绩效目标编制明确、量化。部门预算费用按照相关要求执行，存在资金支付进度未达100%的情况，但预算执行情况整体良好，自评得分9</w:t>
      </w:r>
      <w:r>
        <w:rPr>
          <w:rFonts w:hint="eastAsia"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zh-CN" w:eastAsia="zh-CN" w:bidi="ar-SA"/>
        </w:rPr>
        <w:t>分。</w:t>
      </w:r>
    </w:p>
    <w:p w14:paraId="1BEDF955">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方正楷体_GB2312" w:hAnsi="方正楷体_GB2312" w:eastAsia="方正楷体_GB2312" w:cs="方正楷体_GB2312"/>
          <w:b/>
          <w:bCs/>
          <w:color w:val="auto"/>
          <w:kern w:val="2"/>
          <w:sz w:val="32"/>
          <w:szCs w:val="32"/>
          <w:highlight w:val="none"/>
          <w:lang w:val="zh-CN" w:eastAsia="zh-CN" w:bidi="ar-SA"/>
        </w:rPr>
        <w:t>（二）存在问题。</w:t>
      </w:r>
      <w:r>
        <w:rPr>
          <w:rFonts w:hint="default" w:ascii="Times New Roman" w:hAnsi="Times New Roman" w:eastAsia="仿宋_GB2312" w:cs="Times New Roman"/>
          <w:color w:val="auto"/>
          <w:kern w:val="2"/>
          <w:sz w:val="32"/>
          <w:szCs w:val="32"/>
          <w:highlight w:val="none"/>
          <w:lang w:val="zh-CN" w:eastAsia="zh-CN" w:bidi="ar-SA"/>
        </w:rPr>
        <w:t>由于财政资金紧张，调度资金不畅，项目资金支付得不到保障，项目支付进度受到</w:t>
      </w:r>
      <w:r>
        <w:rPr>
          <w:rFonts w:hint="default" w:ascii="Times New Roman" w:hAnsi="Times New Roman" w:eastAsia="仿宋_GB2312" w:cs="Times New Roman"/>
          <w:color w:val="auto"/>
          <w:kern w:val="2"/>
          <w:sz w:val="32"/>
          <w:szCs w:val="32"/>
          <w:highlight w:val="none"/>
          <w:lang w:val="en-US" w:eastAsia="zh-CN" w:bidi="ar-SA"/>
        </w:rPr>
        <w:t>相应</w:t>
      </w:r>
      <w:r>
        <w:rPr>
          <w:rFonts w:hint="default" w:ascii="Times New Roman" w:hAnsi="Times New Roman" w:eastAsia="仿宋_GB2312" w:cs="Times New Roman"/>
          <w:color w:val="auto"/>
          <w:kern w:val="2"/>
          <w:sz w:val="32"/>
          <w:szCs w:val="32"/>
          <w:highlight w:val="none"/>
          <w:lang w:val="zh-CN" w:eastAsia="zh-CN" w:bidi="ar-SA"/>
        </w:rPr>
        <w:t>程度影响。</w:t>
      </w:r>
    </w:p>
    <w:bookmarkEnd w:id="47"/>
    <w:p w14:paraId="741F14F9">
      <w:pPr>
        <w:pStyle w:val="20"/>
        <w:spacing w:line="560" w:lineRule="exact"/>
        <w:ind w:left="0" w:leftChars="0" w:firstLine="640"/>
        <w:rPr>
          <w:rFonts w:ascii="Times New Roman" w:eastAsia="仿宋_GB2312"/>
          <w:sz w:val="32"/>
          <w:lang w:val="zh-CN"/>
        </w:rPr>
      </w:pPr>
    </w:p>
    <w:p w14:paraId="04AD72CD">
      <w:pPr>
        <w:pageBreakBefore w:val="0"/>
        <w:kinsoku/>
        <w:wordWrap/>
        <w:overflowPunct/>
        <w:topLinePunct w:val="0"/>
        <w:bidi w:val="0"/>
        <w:spacing w:line="240" w:lineRule="auto"/>
        <w:ind w:firstLine="640"/>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eastAsia="仿宋_GB2312"/>
          <w:sz w:val="32"/>
          <w:lang w:val="zh-CN"/>
        </w:rPr>
        <w:t>附表：</w:t>
      </w:r>
      <w:r>
        <w:rPr>
          <w:rFonts w:hint="eastAsia" w:ascii="Times New Roman" w:hAnsi="Times New Roman" w:eastAsia="仿宋_GB2312" w:cs="Times New Roman"/>
          <w:color w:val="auto"/>
          <w:kern w:val="2"/>
          <w:sz w:val="32"/>
          <w:szCs w:val="32"/>
          <w:highlight w:val="none"/>
          <w:lang w:val="zh-CN" w:eastAsia="zh-CN" w:bidi="ar-SA"/>
        </w:rPr>
        <w:t>1</w:t>
      </w: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部门预算绩效自评打分表</w:t>
      </w:r>
    </w:p>
    <w:p w14:paraId="4927959D">
      <w:pPr>
        <w:pageBreakBefore w:val="0"/>
        <w:kinsoku/>
        <w:wordWrap/>
        <w:overflowPunct/>
        <w:topLinePunct w:val="0"/>
        <w:bidi w:val="0"/>
        <w:spacing w:line="240" w:lineRule="auto"/>
        <w:ind w:firstLine="1609" w:firstLineChars="503"/>
        <w:rPr>
          <w:rFonts w:hint="default"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zh-CN" w:eastAsia="zh-CN" w:bidi="ar-SA"/>
        </w:rPr>
        <w:t>部门整体绩效目标完成情况自评表</w:t>
      </w:r>
    </w:p>
    <w:p w14:paraId="7253FA24">
      <w:pPr>
        <w:pStyle w:val="20"/>
        <w:spacing w:line="560" w:lineRule="exact"/>
        <w:ind w:left="0" w:leftChars="0" w:firstLine="640"/>
        <w:rPr>
          <w:rFonts w:ascii="Times New Roman" w:eastAsia="仿宋_GB2312"/>
          <w:sz w:val="32"/>
          <w:lang w:val="zh-CN"/>
        </w:rPr>
      </w:pPr>
    </w:p>
    <w:p w14:paraId="00D1C22A">
      <w:pPr>
        <w:widowControl/>
        <w:spacing w:line="600" w:lineRule="exact"/>
        <w:jc w:val="center"/>
        <w:textAlignment w:val="center"/>
        <w:rPr>
          <w:rFonts w:hint="eastAsia" w:eastAsia="方正小标宋简体"/>
          <w:color w:val="000000"/>
          <w:kern w:val="0"/>
          <w:sz w:val="44"/>
          <w:szCs w:val="44"/>
        </w:rPr>
      </w:pPr>
    </w:p>
    <w:p w14:paraId="49301B93">
      <w:pPr>
        <w:widowControl/>
        <w:spacing w:line="600" w:lineRule="exact"/>
        <w:jc w:val="center"/>
        <w:textAlignment w:val="center"/>
        <w:rPr>
          <w:rFonts w:hint="eastAsia" w:eastAsia="方正小标宋简体"/>
          <w:color w:val="000000"/>
          <w:kern w:val="0"/>
          <w:sz w:val="44"/>
          <w:szCs w:val="44"/>
        </w:rPr>
      </w:pPr>
    </w:p>
    <w:p w14:paraId="597E20E1">
      <w:pPr>
        <w:widowControl/>
        <w:spacing w:line="600" w:lineRule="exact"/>
        <w:jc w:val="center"/>
        <w:textAlignment w:val="center"/>
        <w:rPr>
          <w:rFonts w:hint="eastAsia" w:eastAsia="方正小标宋简体"/>
          <w:color w:val="000000"/>
          <w:kern w:val="0"/>
          <w:sz w:val="44"/>
          <w:szCs w:val="44"/>
        </w:rPr>
      </w:pPr>
    </w:p>
    <w:p w14:paraId="17C3511B">
      <w:pPr>
        <w:widowControl/>
        <w:spacing w:line="600" w:lineRule="exact"/>
        <w:jc w:val="center"/>
        <w:textAlignment w:val="center"/>
        <w:rPr>
          <w:rFonts w:hint="eastAsia" w:eastAsia="方正小标宋简体"/>
          <w:color w:val="000000"/>
          <w:kern w:val="0"/>
          <w:sz w:val="44"/>
          <w:szCs w:val="44"/>
        </w:rPr>
      </w:pPr>
    </w:p>
    <w:p w14:paraId="65981961">
      <w:pPr>
        <w:widowControl/>
        <w:spacing w:line="600" w:lineRule="exact"/>
        <w:jc w:val="center"/>
        <w:textAlignment w:val="center"/>
        <w:rPr>
          <w:rFonts w:hint="eastAsia" w:eastAsia="方正小标宋简体"/>
          <w:color w:val="000000"/>
          <w:kern w:val="0"/>
          <w:sz w:val="44"/>
          <w:szCs w:val="44"/>
        </w:rPr>
      </w:pPr>
    </w:p>
    <w:p w14:paraId="340896FE">
      <w:pPr>
        <w:widowControl/>
        <w:spacing w:line="600" w:lineRule="exact"/>
        <w:jc w:val="center"/>
        <w:textAlignment w:val="center"/>
        <w:rPr>
          <w:rFonts w:hint="eastAsia" w:eastAsia="方正小标宋简体"/>
          <w:color w:val="000000"/>
          <w:kern w:val="0"/>
          <w:sz w:val="44"/>
          <w:szCs w:val="44"/>
        </w:rPr>
      </w:pPr>
    </w:p>
    <w:p w14:paraId="0F79602B">
      <w:pPr>
        <w:widowControl/>
        <w:spacing w:line="600" w:lineRule="exact"/>
        <w:jc w:val="center"/>
        <w:textAlignment w:val="center"/>
        <w:rPr>
          <w:rFonts w:hint="eastAsia" w:eastAsia="方正小标宋简体"/>
          <w:color w:val="000000"/>
          <w:kern w:val="0"/>
          <w:sz w:val="44"/>
          <w:szCs w:val="44"/>
        </w:rPr>
      </w:pPr>
    </w:p>
    <w:p w14:paraId="56C2D85C">
      <w:pPr>
        <w:widowControl/>
        <w:spacing w:line="600" w:lineRule="exact"/>
        <w:jc w:val="center"/>
        <w:textAlignment w:val="center"/>
        <w:rPr>
          <w:rFonts w:hint="eastAsia" w:eastAsia="方正小标宋简体"/>
          <w:color w:val="000000"/>
          <w:kern w:val="0"/>
          <w:sz w:val="44"/>
          <w:szCs w:val="44"/>
        </w:rPr>
      </w:pPr>
    </w:p>
    <w:p w14:paraId="514CA9BF">
      <w:pPr>
        <w:widowControl/>
        <w:spacing w:line="600" w:lineRule="exact"/>
        <w:jc w:val="center"/>
        <w:textAlignment w:val="center"/>
        <w:rPr>
          <w:rFonts w:hint="eastAsia" w:eastAsia="方正小标宋简体"/>
          <w:color w:val="000000"/>
          <w:kern w:val="0"/>
          <w:sz w:val="44"/>
          <w:szCs w:val="44"/>
        </w:rPr>
      </w:pPr>
    </w:p>
    <w:p w14:paraId="28B54691">
      <w:pPr>
        <w:widowControl/>
        <w:spacing w:line="600" w:lineRule="exact"/>
        <w:jc w:val="center"/>
        <w:textAlignment w:val="center"/>
        <w:rPr>
          <w:rFonts w:hint="eastAsia" w:eastAsia="方正小标宋简体"/>
          <w:color w:val="000000"/>
          <w:kern w:val="0"/>
          <w:sz w:val="44"/>
          <w:szCs w:val="44"/>
        </w:rPr>
      </w:pPr>
    </w:p>
    <w:p w14:paraId="074FAEC6">
      <w:pPr>
        <w:widowControl/>
        <w:spacing w:line="600" w:lineRule="exact"/>
        <w:jc w:val="left"/>
        <w:textAlignment w:val="center"/>
        <w:rPr>
          <w:rFonts w:hint="eastAsia" w:ascii="宋体" w:hAnsi="宋体" w:eastAsia="宋体" w:cs="宋体"/>
          <w:color w:val="000000"/>
          <w:kern w:val="0"/>
          <w:sz w:val="28"/>
          <w:szCs w:val="28"/>
          <w:lang w:val="en-US" w:eastAsia="zh-CN"/>
        </w:rPr>
      </w:pPr>
    </w:p>
    <w:p w14:paraId="579F142D">
      <w:pPr>
        <w:spacing w:line="578" w:lineRule="exact"/>
        <w:jc w:val="left"/>
        <w:rPr>
          <w:rFonts w:hint="default" w:eastAsia="黑体"/>
          <w:sz w:val="32"/>
          <w:szCs w:val="32"/>
          <w:lang w:val="en-US" w:eastAsia="zh-CN"/>
        </w:rPr>
      </w:pPr>
      <w:r>
        <w:rPr>
          <w:rFonts w:eastAsia="黑体"/>
          <w:sz w:val="32"/>
          <w:szCs w:val="32"/>
        </w:rPr>
        <w:t>附表</w:t>
      </w:r>
      <w:r>
        <w:rPr>
          <w:rFonts w:hint="eastAsia" w:eastAsia="黑体"/>
          <w:sz w:val="32"/>
          <w:szCs w:val="32"/>
        </w:rPr>
        <w:t>1</w:t>
      </w:r>
      <w:r>
        <w:rPr>
          <w:rFonts w:hint="eastAsia" w:eastAsia="黑体"/>
          <w:sz w:val="32"/>
          <w:szCs w:val="32"/>
          <w:lang w:val="en-US" w:eastAsia="zh-CN"/>
        </w:rPr>
        <w:t>-1</w:t>
      </w:r>
    </w:p>
    <w:p w14:paraId="2AFBFD6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1462"/>
        <w:gridCol w:w="1665"/>
        <w:gridCol w:w="720"/>
        <w:gridCol w:w="4734"/>
        <w:gridCol w:w="756"/>
        <w:gridCol w:w="478"/>
      </w:tblGrid>
      <w:tr w14:paraId="35DB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A721F5">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w:t>
            </w:r>
            <w:r>
              <w:rPr>
                <w:rFonts w:hint="eastAsia" w:ascii="黑体" w:eastAsia="黑体" w:cs="黑体"/>
                <w:color w:val="000000"/>
                <w:kern w:val="0"/>
                <w:sz w:val="24"/>
                <w:lang w:eastAsia="zh-CN"/>
              </w:rPr>
              <w:t>指标</w:t>
            </w:r>
            <w:r>
              <w:rPr>
                <w:rFonts w:hint="eastAsia" w:ascii="黑体" w:eastAsia="黑体" w:cs="黑体"/>
                <w:color w:val="000000"/>
                <w:kern w:val="0"/>
                <w:sz w:val="24"/>
              </w:rPr>
              <w:t>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872F7">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594A42B5">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9D0B04A">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14:paraId="43975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07923CC9">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012D">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A1C">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F8F4">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2A3AD"/>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22D77C5F"/>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150CC83A"/>
        </w:tc>
      </w:tr>
      <w:tr w14:paraId="0EB2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01297">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w:t>
            </w:r>
            <w:r>
              <w:rPr>
                <w:rFonts w:hint="eastAsia" w:ascii="宋体" w:eastAsia="宋体" w:cs="宋体"/>
                <w:b/>
                <w:color w:val="000000"/>
                <w:kern w:val="0"/>
                <w:sz w:val="24"/>
              </w:rPr>
              <w:br w:type="textWrapping"/>
            </w:r>
            <w:r>
              <w:rPr>
                <w:rFonts w:hint="eastAsia" w:ascii="宋体" w:eastAsia="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2B7E">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履职效能</w:t>
            </w:r>
            <w:r>
              <w:rPr>
                <w:rFonts w:hint="eastAsia" w:ascii="宋体" w:eastAsia="宋体" w:cs="宋体"/>
                <w:b/>
                <w:color w:val="000000"/>
                <w:kern w:val="0"/>
                <w:sz w:val="24"/>
              </w:rPr>
              <w:br w:type="textWrapping"/>
            </w:r>
            <w:r>
              <w:rPr>
                <w:rFonts w:hint="eastAsia" w:ascii="宋体" w:eastAsia="宋体" w:cs="宋体"/>
                <w:b/>
                <w:color w:val="000000"/>
                <w:kern w:val="0"/>
                <w:sz w:val="24"/>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199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1BA21E8D">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2209">
            <w:pPr>
              <w:widowControl/>
              <w:spacing w:line="240" w:lineRule="exact"/>
              <w:jc w:val="left"/>
              <w:textAlignment w:val="center"/>
              <w:rPr>
                <w:rFonts w:ascii="宋体" w:eastAsia="宋体" w:cs="宋体"/>
                <w:color w:val="000000"/>
                <w:sz w:val="24"/>
              </w:rPr>
            </w:pPr>
            <w:r>
              <w:rPr>
                <w:rFonts w:ascii="宋体" w:eastAsia="宋体" w:cs="宋体"/>
                <w:color w:val="000000"/>
                <w:sz w:val="24"/>
              </w:rPr>
              <w:t>部门整体绩效目标中选定3</w:t>
            </w:r>
            <w:r>
              <w:rPr>
                <w:rFonts w:hint="eastAsia" w:ascii="宋体" w:eastAsia="宋体" w:cs="宋体"/>
                <w:color w:val="000000"/>
                <w:sz w:val="24"/>
                <w:lang w:eastAsia="zh-CN"/>
              </w:rPr>
              <w:t>—</w:t>
            </w:r>
            <w:r>
              <w:rPr>
                <w:rFonts w:ascii="宋体" w:eastAsia="宋体" w:cs="宋体"/>
                <w:color w:val="000000"/>
                <w:sz w:val="24"/>
              </w:rPr>
              <w:t>5个核心职能目标，反映该项职能目标完成效果情况，请将履职效果改成核心职能目标。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0F98">
            <w:pPr>
              <w:widowControl/>
              <w:spacing w:line="240" w:lineRule="exact"/>
              <w:jc w:val="center"/>
              <w:textAlignment w:val="center"/>
              <w:rPr>
                <w:rFonts w:hint="default" w:ascii="宋体" w:eastAsia="宋体" w:cs="宋体"/>
                <w:color w:val="000000"/>
                <w:kern w:val="0"/>
                <w:sz w:val="24"/>
                <w:lang w:val="en-US" w:eastAsia="zh-CN"/>
              </w:rPr>
            </w:pPr>
            <w:r>
              <w:rPr>
                <w:rFonts w:hint="eastAsia" w:asci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2EE1">
            <w:pPr>
              <w:widowControl/>
              <w:spacing w:line="240" w:lineRule="exact"/>
              <w:jc w:val="left"/>
              <w:textAlignment w:val="center"/>
              <w:rPr>
                <w:rFonts w:ascii="宋体" w:eastAsia="宋体" w:cs="宋体"/>
                <w:color w:val="000000"/>
                <w:kern w:val="0"/>
                <w:sz w:val="24"/>
              </w:rPr>
            </w:pPr>
          </w:p>
        </w:tc>
      </w:tr>
      <w:tr w14:paraId="36B9D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06010"/>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0B0AA">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预算管理</w:t>
            </w:r>
            <w:r>
              <w:rPr>
                <w:rFonts w:hint="eastAsia" w:ascii="宋体" w:eastAsia="宋体" w:cs="宋体"/>
                <w:b/>
                <w:color w:val="000000"/>
                <w:kern w:val="0"/>
                <w:sz w:val="24"/>
              </w:rPr>
              <w:br w:type="textWrapping"/>
            </w:r>
            <w:r>
              <w:rPr>
                <w:rFonts w:hint="eastAsia" w:ascii="宋体" w:eastAsia="宋体" w:cs="宋体"/>
                <w:b/>
                <w:color w:val="000000"/>
                <w:kern w:val="0"/>
                <w:sz w:val="24"/>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C92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3C9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9DB2">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2E5C">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A17F">
            <w:pPr>
              <w:widowControl/>
              <w:spacing w:line="240" w:lineRule="exact"/>
              <w:jc w:val="left"/>
              <w:textAlignment w:val="center"/>
              <w:rPr>
                <w:rFonts w:ascii="宋体" w:eastAsia="宋体" w:cs="宋体"/>
                <w:color w:val="000000"/>
                <w:kern w:val="0"/>
                <w:sz w:val="24"/>
              </w:rPr>
            </w:pPr>
          </w:p>
        </w:tc>
      </w:tr>
      <w:tr w14:paraId="3B65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4C20F"/>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A4C88"/>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1D3B">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C4B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E477">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8215">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58BB">
            <w:pPr>
              <w:widowControl/>
              <w:spacing w:line="240" w:lineRule="exact"/>
              <w:jc w:val="left"/>
              <w:textAlignment w:val="center"/>
              <w:rPr>
                <w:rFonts w:ascii="宋体" w:eastAsia="宋体" w:cs="宋体"/>
                <w:color w:val="000000"/>
                <w:kern w:val="0"/>
                <w:sz w:val="24"/>
              </w:rPr>
            </w:pPr>
          </w:p>
        </w:tc>
      </w:tr>
      <w:tr w14:paraId="61D8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2C9C3"/>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4D54B"/>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F6B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2AE1">
            <w:pPr>
              <w:widowControl/>
              <w:spacing w:line="240" w:lineRule="exact"/>
              <w:jc w:val="center"/>
              <w:textAlignment w:val="center"/>
              <w:rPr>
                <w:rFonts w:ascii="宋体" w:eastAsia="宋体" w:cs="宋体"/>
                <w:color w:val="000000"/>
                <w:sz w:val="24"/>
              </w:rPr>
            </w:pPr>
            <w:r>
              <w:rPr>
                <w:rFonts w:ascii="宋体" w:eastAsia="宋体" w:cs="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524C">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2FBA">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EBCD">
            <w:pPr>
              <w:widowControl/>
              <w:spacing w:line="240" w:lineRule="exact"/>
              <w:jc w:val="left"/>
              <w:textAlignment w:val="center"/>
              <w:rPr>
                <w:rFonts w:ascii="宋体" w:eastAsia="宋体" w:cs="宋体"/>
                <w:color w:val="000000"/>
                <w:kern w:val="0"/>
                <w:sz w:val="24"/>
              </w:rPr>
            </w:pPr>
          </w:p>
        </w:tc>
      </w:tr>
      <w:tr w14:paraId="4C7B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EC0E5"/>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35398"/>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FB0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38FC">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D1E4">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0186">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D622">
            <w:pPr>
              <w:widowControl/>
              <w:spacing w:line="240" w:lineRule="exact"/>
              <w:jc w:val="left"/>
              <w:textAlignment w:val="center"/>
              <w:rPr>
                <w:rFonts w:ascii="宋体" w:eastAsia="宋体" w:cs="宋体"/>
                <w:color w:val="000000"/>
                <w:kern w:val="0"/>
                <w:sz w:val="24"/>
              </w:rPr>
            </w:pPr>
          </w:p>
        </w:tc>
      </w:tr>
      <w:tr w14:paraId="1A46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667EA"/>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45CF1">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财务管理</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3C51">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F690">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61A7">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6512">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17EA">
            <w:pPr>
              <w:widowControl/>
              <w:spacing w:line="240" w:lineRule="exact"/>
              <w:jc w:val="left"/>
              <w:textAlignment w:val="center"/>
              <w:rPr>
                <w:rFonts w:ascii="宋体" w:eastAsia="宋体" w:cs="宋体"/>
                <w:color w:val="000000"/>
                <w:kern w:val="0"/>
                <w:sz w:val="24"/>
              </w:rPr>
            </w:pPr>
          </w:p>
        </w:tc>
      </w:tr>
      <w:tr w14:paraId="6793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46D02"/>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6066"/>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4F20">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AFB5">
            <w:pPr>
              <w:widowControl/>
              <w:spacing w:line="240" w:lineRule="exact"/>
              <w:jc w:val="center"/>
              <w:textAlignment w:val="center"/>
              <w:rPr>
                <w:rFonts w:ascii="宋体" w:eastAsia="宋体" w:cs="宋体"/>
                <w:color w:val="000000"/>
                <w:sz w:val="24"/>
              </w:rPr>
            </w:pPr>
            <w:r>
              <w:rPr>
                <w:rFonts w:ascii="宋体" w:eastAsia="宋体" w:cs="宋体"/>
                <w:color w:val="00000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F9B9">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A0D3">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0A57">
            <w:pPr>
              <w:widowControl/>
              <w:spacing w:line="240" w:lineRule="exact"/>
              <w:jc w:val="left"/>
              <w:textAlignment w:val="center"/>
              <w:rPr>
                <w:rFonts w:ascii="宋体" w:eastAsia="宋体" w:cs="宋体"/>
                <w:color w:val="000000"/>
                <w:kern w:val="0"/>
                <w:sz w:val="24"/>
              </w:rPr>
            </w:pPr>
          </w:p>
        </w:tc>
      </w:tr>
      <w:tr w14:paraId="2E0F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4BDBA"/>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76C92"/>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713F">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26F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C23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13DF">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F782">
            <w:pPr>
              <w:widowControl/>
              <w:spacing w:line="240" w:lineRule="exact"/>
              <w:jc w:val="left"/>
              <w:textAlignment w:val="center"/>
              <w:rPr>
                <w:rFonts w:ascii="宋体" w:eastAsia="宋体" w:cs="宋体"/>
                <w:color w:val="000000"/>
                <w:kern w:val="0"/>
                <w:sz w:val="24"/>
              </w:rPr>
            </w:pPr>
          </w:p>
        </w:tc>
      </w:tr>
      <w:tr w14:paraId="63A7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13171"/>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D733F">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617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51C0">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E808">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7EEF">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1339">
            <w:pPr>
              <w:widowControl/>
              <w:spacing w:line="240" w:lineRule="exact"/>
              <w:jc w:val="left"/>
              <w:textAlignment w:val="center"/>
              <w:rPr>
                <w:rFonts w:ascii="宋体" w:eastAsia="宋体" w:cs="宋体"/>
                <w:color w:val="000000"/>
                <w:kern w:val="0"/>
                <w:sz w:val="24"/>
              </w:rPr>
            </w:pPr>
          </w:p>
        </w:tc>
      </w:tr>
      <w:tr w14:paraId="7522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1F5DC"/>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96B61"/>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B129">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92F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D675">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E92E">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C5DC">
            <w:pPr>
              <w:widowControl/>
              <w:spacing w:line="240" w:lineRule="exact"/>
              <w:jc w:val="left"/>
              <w:textAlignment w:val="center"/>
              <w:rPr>
                <w:rFonts w:ascii="宋体" w:eastAsia="宋体" w:cs="宋体"/>
                <w:color w:val="000000"/>
                <w:kern w:val="0"/>
                <w:sz w:val="24"/>
              </w:rPr>
            </w:pPr>
          </w:p>
        </w:tc>
      </w:tr>
      <w:tr w14:paraId="6E97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139DC">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w:t>
            </w:r>
            <w:r>
              <w:rPr>
                <w:rFonts w:hint="eastAsia" w:ascii="宋体" w:eastAsia="宋体" w:cs="宋体"/>
                <w:b/>
                <w:color w:val="000000"/>
                <w:kern w:val="0"/>
                <w:sz w:val="24"/>
              </w:rPr>
              <w:br w:type="textWrapping"/>
            </w:r>
            <w:r>
              <w:rPr>
                <w:rFonts w:hint="eastAsia" w:ascii="宋体" w:eastAsia="宋体" w:cs="宋体"/>
                <w:b/>
                <w:color w:val="000000"/>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576B">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CF6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D1F1">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FE6D">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7DB6">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B436">
            <w:pPr>
              <w:widowControl/>
              <w:spacing w:line="240" w:lineRule="exact"/>
              <w:jc w:val="left"/>
              <w:textAlignment w:val="center"/>
              <w:rPr>
                <w:rFonts w:ascii="宋体" w:eastAsia="宋体" w:cs="宋体"/>
                <w:color w:val="000000"/>
                <w:kern w:val="0"/>
                <w:sz w:val="24"/>
              </w:rPr>
            </w:pPr>
          </w:p>
        </w:tc>
      </w:tr>
      <w:tr w14:paraId="104A3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DF174"/>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8B6EE">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采购管理</w:t>
            </w:r>
            <w:r>
              <w:rPr>
                <w:rFonts w:hint="eastAsia" w:ascii="宋体" w:eastAsia="宋体" w:cs="宋体"/>
                <w:b/>
                <w:color w:val="000000"/>
                <w:kern w:val="0"/>
                <w:sz w:val="24"/>
              </w:rPr>
              <w:br w:type="textWrapping"/>
            </w:r>
            <w:r>
              <w:rPr>
                <w:rFonts w:hint="eastAsia" w:ascii="宋体" w:eastAsia="宋体" w:cs="宋体"/>
                <w:b/>
                <w:color w:val="000000"/>
                <w:kern w:val="0"/>
                <w:sz w:val="24"/>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C1EC">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4DF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CB85">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64B5">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2C6A">
            <w:pPr>
              <w:widowControl/>
              <w:spacing w:line="240" w:lineRule="exact"/>
              <w:jc w:val="left"/>
              <w:textAlignment w:val="center"/>
              <w:rPr>
                <w:rFonts w:ascii="宋体" w:eastAsia="宋体" w:cs="宋体"/>
                <w:color w:val="000000"/>
                <w:kern w:val="0"/>
                <w:sz w:val="24"/>
              </w:rPr>
            </w:pPr>
          </w:p>
        </w:tc>
      </w:tr>
      <w:tr w14:paraId="49DE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CF971"/>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7A24B"/>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17C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B9CA">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17B9">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4628">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AF39">
            <w:pPr>
              <w:widowControl/>
              <w:spacing w:line="240" w:lineRule="exact"/>
              <w:jc w:val="left"/>
              <w:textAlignment w:val="center"/>
              <w:rPr>
                <w:rFonts w:ascii="宋体" w:eastAsia="宋体" w:cs="宋体"/>
                <w:color w:val="000000"/>
                <w:kern w:val="0"/>
                <w:sz w:val="24"/>
              </w:rPr>
            </w:pPr>
          </w:p>
        </w:tc>
      </w:tr>
      <w:tr w14:paraId="633DE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F9E74">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项目绩效</w:t>
            </w:r>
            <w:r>
              <w:rPr>
                <w:rFonts w:hint="eastAsia" w:ascii="宋体" w:eastAsia="宋体" w:cs="宋体"/>
                <w:b/>
                <w:color w:val="000000"/>
                <w:kern w:val="0"/>
                <w:sz w:val="24"/>
              </w:rPr>
              <w:br w:type="textWrapping"/>
            </w:r>
            <w:r>
              <w:rPr>
                <w:rFonts w:hint="eastAsia" w:ascii="宋体" w:eastAsia="宋体" w:cs="宋体"/>
                <w:b/>
                <w:color w:val="000000"/>
                <w:kern w:val="0"/>
                <w:sz w:val="24"/>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35CAA4A9">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项目决策</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F7C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491E">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2CFE">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FB39">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DCE1">
            <w:pPr>
              <w:widowControl/>
              <w:spacing w:line="240" w:lineRule="exact"/>
              <w:jc w:val="left"/>
              <w:textAlignment w:val="center"/>
              <w:rPr>
                <w:rFonts w:ascii="宋体" w:eastAsia="宋体" w:cs="宋体"/>
                <w:color w:val="000000"/>
                <w:kern w:val="0"/>
                <w:sz w:val="24"/>
              </w:rPr>
            </w:pPr>
          </w:p>
        </w:tc>
      </w:tr>
      <w:tr w14:paraId="6FF4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5E4A9"/>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A38E98B"/>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371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C4E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9F3D">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1355">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0879">
            <w:pPr>
              <w:widowControl/>
              <w:spacing w:line="240" w:lineRule="exact"/>
              <w:jc w:val="left"/>
              <w:textAlignment w:val="center"/>
              <w:rPr>
                <w:rFonts w:ascii="宋体" w:eastAsia="宋体" w:cs="宋体"/>
                <w:color w:val="000000"/>
                <w:kern w:val="0"/>
                <w:sz w:val="24"/>
              </w:rPr>
            </w:pPr>
          </w:p>
        </w:tc>
      </w:tr>
      <w:tr w14:paraId="456E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D9E04"/>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7E7C5EB1"/>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8C0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CA2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EE03">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部门预算项目是否在规定时</w:t>
            </w:r>
            <w:r>
              <w:rPr>
                <w:rFonts w:hint="eastAsia" w:ascii="宋体" w:eastAsia="宋体" w:cs="宋体"/>
                <w:color w:val="000000"/>
                <w:kern w:val="0"/>
                <w:sz w:val="24"/>
                <w:lang w:eastAsia="zh-CN"/>
              </w:rPr>
              <w:t>间内</w:t>
            </w:r>
            <w:r>
              <w:rPr>
                <w:rFonts w:hint="eastAsia" w:ascii="宋体" w:eastAsia="宋体" w:cs="宋体"/>
                <w:color w:val="000000"/>
                <w:kern w:val="0"/>
                <w:sz w:val="24"/>
              </w:rPr>
              <w:t>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1436">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7EAB">
            <w:pPr>
              <w:widowControl/>
              <w:spacing w:line="240" w:lineRule="exact"/>
              <w:jc w:val="left"/>
              <w:textAlignment w:val="center"/>
              <w:rPr>
                <w:rFonts w:ascii="宋体" w:eastAsia="宋体" w:cs="宋体"/>
                <w:color w:val="000000"/>
                <w:kern w:val="0"/>
                <w:sz w:val="24"/>
              </w:rPr>
            </w:pPr>
          </w:p>
        </w:tc>
      </w:tr>
      <w:tr w14:paraId="36AE1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58B2E"/>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0F5E0553">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项目执行</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6FD1">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671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827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330D">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9FD0">
            <w:pPr>
              <w:widowControl/>
              <w:spacing w:line="240" w:lineRule="exact"/>
              <w:jc w:val="left"/>
              <w:textAlignment w:val="center"/>
              <w:rPr>
                <w:rFonts w:ascii="宋体" w:eastAsia="宋体" w:cs="宋体"/>
                <w:color w:val="000000"/>
                <w:kern w:val="0"/>
                <w:sz w:val="24"/>
              </w:rPr>
            </w:pPr>
          </w:p>
        </w:tc>
      </w:tr>
      <w:tr w14:paraId="3C38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287D3"/>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34898F4"/>
        </w:tc>
        <w:tc>
          <w:tcPr>
            <w:tcW w:w="1665" w:type="dxa"/>
            <w:tcBorders>
              <w:top w:val="single" w:color="000000" w:sz="4" w:space="0"/>
              <w:left w:val="single" w:color="000000" w:sz="4" w:space="0"/>
              <w:bottom w:val="nil"/>
              <w:right w:val="single" w:color="000000" w:sz="4" w:space="0"/>
            </w:tcBorders>
            <w:shd w:val="clear" w:color="auto" w:fill="auto"/>
            <w:vAlign w:val="center"/>
          </w:tcPr>
          <w:p w14:paraId="7BEF852F">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36E1">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AC35">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244C">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B471">
            <w:pPr>
              <w:widowControl/>
              <w:spacing w:line="240" w:lineRule="exact"/>
              <w:jc w:val="left"/>
              <w:textAlignment w:val="center"/>
              <w:rPr>
                <w:rFonts w:ascii="宋体" w:eastAsia="宋体" w:cs="宋体"/>
                <w:color w:val="000000"/>
                <w:kern w:val="0"/>
                <w:sz w:val="24"/>
              </w:rPr>
            </w:pPr>
          </w:p>
        </w:tc>
      </w:tr>
      <w:tr w14:paraId="5F01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03DC8"/>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1AD224C"/>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4B8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867A">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95F2">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133A">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1C3E">
            <w:pPr>
              <w:widowControl/>
              <w:spacing w:line="240" w:lineRule="exact"/>
              <w:jc w:val="left"/>
              <w:textAlignment w:val="center"/>
              <w:rPr>
                <w:rFonts w:ascii="宋体" w:eastAsia="宋体" w:cs="宋体"/>
                <w:color w:val="000000"/>
                <w:kern w:val="0"/>
                <w:sz w:val="24"/>
              </w:rPr>
            </w:pPr>
          </w:p>
        </w:tc>
      </w:tr>
      <w:tr w14:paraId="58AB9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728F2"/>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E1CB9">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目标实现</w:t>
            </w:r>
            <w:r>
              <w:rPr>
                <w:rFonts w:hint="eastAsia" w:ascii="宋体" w:eastAsia="宋体" w:cs="宋体"/>
                <w:b/>
                <w:color w:val="000000"/>
                <w:kern w:val="0"/>
                <w:sz w:val="24"/>
              </w:rPr>
              <w:br w:type="textWrapping"/>
            </w:r>
            <w:r>
              <w:rPr>
                <w:rFonts w:hint="eastAsia" w:ascii="宋体" w:eastAsia="宋体" w:cs="宋体"/>
                <w:b/>
                <w:color w:val="000000"/>
                <w:kern w:val="0"/>
                <w:sz w:val="24"/>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B52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C187">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A88E">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A943">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DAC2">
            <w:pPr>
              <w:widowControl/>
              <w:spacing w:line="240" w:lineRule="exact"/>
              <w:jc w:val="left"/>
              <w:textAlignment w:val="center"/>
              <w:rPr>
                <w:rFonts w:ascii="宋体" w:eastAsia="宋体" w:cs="宋体"/>
                <w:color w:val="000000"/>
                <w:kern w:val="0"/>
                <w:sz w:val="24"/>
              </w:rPr>
            </w:pPr>
          </w:p>
        </w:tc>
      </w:tr>
      <w:tr w14:paraId="31B0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F2086"/>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D1872"/>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5688">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8AB4">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2560">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A07A">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BE66">
            <w:pPr>
              <w:widowControl/>
              <w:spacing w:line="240" w:lineRule="exact"/>
              <w:jc w:val="left"/>
              <w:textAlignment w:val="center"/>
              <w:rPr>
                <w:rFonts w:ascii="宋体" w:eastAsia="宋体" w:cs="宋体"/>
                <w:color w:val="000000"/>
                <w:kern w:val="0"/>
                <w:sz w:val="24"/>
              </w:rPr>
            </w:pPr>
          </w:p>
        </w:tc>
      </w:tr>
      <w:tr w14:paraId="1E150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4A0D0"/>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8AF93"/>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287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B365">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13C3">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92DE">
            <w:pPr>
              <w:widowControl/>
              <w:spacing w:line="240" w:lineRule="exact"/>
              <w:jc w:val="center"/>
              <w:textAlignment w:val="center"/>
              <w:rPr>
                <w:rFonts w:hint="eastAsia" w:ascii="宋体" w:eastAsia="宋体" w:cs="宋体"/>
                <w:color w:val="000000"/>
                <w:kern w:val="0"/>
                <w:sz w:val="24"/>
                <w:lang w:val="en-US" w:eastAsia="zh-CN"/>
              </w:rPr>
            </w:pPr>
            <w:r>
              <w:rPr>
                <w:rFonts w:hint="eastAsia" w:asci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BB83">
            <w:pPr>
              <w:widowControl/>
              <w:spacing w:line="240" w:lineRule="exact"/>
              <w:jc w:val="left"/>
              <w:textAlignment w:val="center"/>
              <w:rPr>
                <w:rFonts w:ascii="宋体" w:eastAsia="宋体" w:cs="宋体"/>
                <w:color w:val="000000"/>
                <w:kern w:val="0"/>
                <w:sz w:val="24"/>
              </w:rPr>
            </w:pPr>
          </w:p>
        </w:tc>
      </w:tr>
      <w:tr w14:paraId="11512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CDF5">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扣分项</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00F46">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9BB3">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DC1A">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824C">
            <w:pPr>
              <w:widowControl/>
              <w:spacing w:line="240" w:lineRule="exact"/>
              <w:jc w:val="center"/>
              <w:textAlignment w:val="center"/>
              <w:rPr>
                <w:rFonts w:asci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7BA9">
            <w:pPr>
              <w:widowControl/>
              <w:spacing w:line="240" w:lineRule="exact"/>
              <w:jc w:val="left"/>
              <w:textAlignment w:val="center"/>
              <w:rPr>
                <w:rFonts w:ascii="宋体" w:eastAsia="宋体" w:cs="宋体"/>
                <w:color w:val="000000"/>
                <w:kern w:val="0"/>
                <w:sz w:val="24"/>
              </w:rPr>
            </w:pPr>
          </w:p>
        </w:tc>
      </w:tr>
    </w:tbl>
    <w:p w14:paraId="285315C6">
      <w:pPr>
        <w:pStyle w:val="20"/>
        <w:spacing w:line="560" w:lineRule="exact"/>
        <w:ind w:left="0" w:leftChars="0" w:firstLine="0" w:firstLineChars="0"/>
        <w:rPr>
          <w:rFonts w:ascii="Times New Roman"/>
          <w:sz w:val="32"/>
          <w:highlight w:val="yellow"/>
          <w:lang w:val="zh-CN"/>
        </w:rPr>
      </w:pPr>
    </w:p>
    <w:p w14:paraId="700EADF2">
      <w:pPr>
        <w:rPr>
          <w:rFonts w:ascii="Times New Roman"/>
          <w:sz w:val="32"/>
          <w:highlight w:val="yellow"/>
          <w:lang w:val="zh-CN"/>
        </w:rPr>
      </w:pPr>
    </w:p>
    <w:p w14:paraId="1A60EB5C">
      <w:pPr>
        <w:rPr>
          <w:rFonts w:ascii="Times New Roman"/>
          <w:sz w:val="32"/>
          <w:highlight w:val="yellow"/>
          <w:lang w:val="zh-CN"/>
        </w:rPr>
      </w:pPr>
    </w:p>
    <w:p w14:paraId="0D6E2CE4">
      <w:pPr>
        <w:rPr>
          <w:rFonts w:ascii="Times New Roman"/>
          <w:sz w:val="32"/>
          <w:highlight w:val="yellow"/>
          <w:lang w:val="zh-CN"/>
        </w:rPr>
      </w:pPr>
    </w:p>
    <w:p w14:paraId="636875D5">
      <w:pPr>
        <w:rPr>
          <w:rFonts w:ascii="Times New Roman"/>
          <w:sz w:val="32"/>
          <w:highlight w:val="yellow"/>
          <w:lang w:val="zh-CN"/>
        </w:rPr>
      </w:pPr>
    </w:p>
    <w:p w14:paraId="73AD4A6B">
      <w:pPr>
        <w:rPr>
          <w:rFonts w:ascii="Times New Roman"/>
          <w:sz w:val="32"/>
          <w:highlight w:val="yellow"/>
          <w:lang w:val="zh-CN"/>
        </w:rPr>
      </w:pPr>
    </w:p>
    <w:p w14:paraId="4D510DAA">
      <w:pPr>
        <w:rPr>
          <w:rFonts w:ascii="Times New Roman"/>
          <w:sz w:val="32"/>
          <w:highlight w:val="yellow"/>
          <w:lang w:val="zh-CN"/>
        </w:rPr>
      </w:pPr>
    </w:p>
    <w:p w14:paraId="02805D15">
      <w:pPr>
        <w:rPr>
          <w:rFonts w:ascii="Times New Roman"/>
          <w:sz w:val="32"/>
          <w:highlight w:val="yellow"/>
          <w:lang w:val="zh-CN"/>
        </w:rPr>
      </w:pPr>
    </w:p>
    <w:p w14:paraId="37CFC0E6">
      <w:pPr>
        <w:rPr>
          <w:rFonts w:ascii="Times New Roman"/>
          <w:sz w:val="32"/>
          <w:highlight w:val="yellow"/>
          <w:lang w:val="zh-CN"/>
        </w:rPr>
      </w:pPr>
    </w:p>
    <w:p w14:paraId="1337521F">
      <w:pPr>
        <w:rPr>
          <w:rFonts w:ascii="Times New Roman"/>
          <w:sz w:val="32"/>
          <w:highlight w:val="yellow"/>
          <w:lang w:val="zh-CN"/>
        </w:rPr>
      </w:pPr>
    </w:p>
    <w:p w14:paraId="2ECD01E4">
      <w:pPr>
        <w:rPr>
          <w:rFonts w:ascii="Times New Roman"/>
          <w:sz w:val="32"/>
          <w:highlight w:val="yellow"/>
          <w:lang w:val="zh-CN"/>
        </w:rPr>
      </w:pPr>
    </w:p>
    <w:p w14:paraId="172EC44E">
      <w:pPr>
        <w:rPr>
          <w:rFonts w:ascii="Times New Roman"/>
          <w:sz w:val="32"/>
          <w:highlight w:val="yellow"/>
          <w:lang w:val="zh-CN"/>
        </w:rPr>
      </w:pPr>
    </w:p>
    <w:p w14:paraId="59A90B9C">
      <w:pPr>
        <w:rPr>
          <w:rFonts w:ascii="Times New Roman"/>
          <w:sz w:val="32"/>
          <w:highlight w:val="yellow"/>
          <w:lang w:val="zh-CN"/>
        </w:rPr>
      </w:pPr>
    </w:p>
    <w:p w14:paraId="7738DB47">
      <w:pPr>
        <w:rPr>
          <w:rFonts w:ascii="Times New Roman"/>
          <w:sz w:val="32"/>
          <w:highlight w:val="yellow"/>
          <w:lang w:val="zh-CN"/>
        </w:rPr>
      </w:pPr>
    </w:p>
    <w:p w14:paraId="76C4F7B5">
      <w:pPr>
        <w:rPr>
          <w:rFonts w:ascii="Times New Roman"/>
          <w:sz w:val="32"/>
          <w:highlight w:val="yellow"/>
          <w:lang w:val="zh-CN"/>
        </w:rPr>
      </w:pPr>
    </w:p>
    <w:p w14:paraId="18FC33F4">
      <w:pPr>
        <w:rPr>
          <w:rFonts w:ascii="Times New Roman"/>
          <w:sz w:val="32"/>
          <w:highlight w:val="yellow"/>
          <w:lang w:val="zh-CN"/>
        </w:rPr>
      </w:pPr>
    </w:p>
    <w:p w14:paraId="694E8D7B">
      <w:pPr>
        <w:rPr>
          <w:rFonts w:ascii="Times New Roman"/>
          <w:sz w:val="32"/>
          <w:highlight w:val="yellow"/>
          <w:lang w:val="zh-CN"/>
        </w:rPr>
      </w:pPr>
    </w:p>
    <w:p w14:paraId="4BEC6DC8">
      <w:pPr>
        <w:rPr>
          <w:rFonts w:hint="eastAsia" w:ascii="黑体" w:hAnsi="黑体" w:eastAsia="黑体" w:cs="黑体"/>
          <w:sz w:val="32"/>
          <w:highlight w:val="none"/>
          <w:lang w:val="en-US" w:eastAsia="zh-CN"/>
        </w:rPr>
      </w:pPr>
      <w:r>
        <w:rPr>
          <w:rFonts w:hint="eastAsia" w:ascii="黑体" w:hAnsi="黑体" w:eastAsia="黑体" w:cs="黑体"/>
          <w:sz w:val="32"/>
          <w:highlight w:val="none"/>
          <w:lang w:val="en-US" w:eastAsia="zh-CN"/>
        </w:rPr>
        <w:t>附件1-2</w:t>
      </w:r>
    </w:p>
    <w:tbl>
      <w:tblPr>
        <w:tblStyle w:val="15"/>
        <w:tblW w:w="10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47"/>
        <w:gridCol w:w="1387"/>
        <w:gridCol w:w="1313"/>
        <w:gridCol w:w="1133"/>
        <w:gridCol w:w="1180"/>
        <w:gridCol w:w="1328"/>
        <w:gridCol w:w="1090"/>
        <w:gridCol w:w="2102"/>
      </w:tblGrid>
      <w:tr w14:paraId="2F6C3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43" w:hRule="exact"/>
          <w:jc w:val="center"/>
        </w:trPr>
        <w:tc>
          <w:tcPr>
            <w:tcW w:w="10880" w:type="dxa"/>
            <w:gridSpan w:val="8"/>
            <w:shd w:val="clear" w:color="auto" w:fill="auto"/>
            <w:vAlign w:val="center"/>
          </w:tcPr>
          <w:p w14:paraId="14D1CE11">
            <w:pPr>
              <w:widowControl/>
              <w:spacing w:line="600" w:lineRule="exact"/>
              <w:jc w:val="center"/>
              <w:textAlignment w:val="center"/>
              <w:rPr>
                <w:rFonts w:eastAsia="黑体"/>
                <w:color w:val="000000"/>
                <w:sz w:val="28"/>
                <w:szCs w:val="28"/>
              </w:rPr>
            </w:pPr>
            <w:r>
              <w:rPr>
                <w:rFonts w:eastAsia="方正小标宋简体"/>
                <w:color w:val="000000"/>
                <w:kern w:val="0"/>
                <w:sz w:val="44"/>
                <w:szCs w:val="44"/>
              </w:rPr>
              <w:t>部门整体绩效目标完成情况自评表</w:t>
            </w:r>
          </w:p>
        </w:tc>
      </w:tr>
      <w:tr w14:paraId="5066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8" w:hRule="atLeast"/>
          <w:jc w:val="center"/>
        </w:trPr>
        <w:tc>
          <w:tcPr>
            <w:tcW w:w="10880" w:type="dxa"/>
            <w:gridSpan w:val="8"/>
            <w:shd w:val="clear" w:color="auto" w:fill="auto"/>
            <w:vAlign w:val="center"/>
          </w:tcPr>
          <w:p w14:paraId="358ACDCE">
            <w:pPr>
              <w:widowControl/>
              <w:spacing w:line="300" w:lineRule="exact"/>
              <w:jc w:val="center"/>
              <w:textAlignment w:val="center"/>
              <w:rPr>
                <w:rFonts w:eastAsia="宋体"/>
                <w:color w:val="000000"/>
                <w:sz w:val="28"/>
                <w:szCs w:val="28"/>
              </w:rPr>
            </w:pPr>
            <w:r>
              <w:rPr>
                <w:rFonts w:eastAsia="宋体"/>
                <w:color w:val="000000"/>
                <w:kern w:val="0"/>
                <w:sz w:val="28"/>
                <w:szCs w:val="28"/>
              </w:rPr>
              <w:t>（2025年度）</w:t>
            </w:r>
          </w:p>
        </w:tc>
      </w:tr>
      <w:tr w14:paraId="0F4F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8" w:hRule="atLeast"/>
          <w:jc w:val="center"/>
        </w:trPr>
        <w:tc>
          <w:tcPr>
            <w:tcW w:w="10880" w:type="dxa"/>
            <w:gridSpan w:val="8"/>
            <w:tcBorders>
              <w:bottom w:val="single" w:color="000000" w:sz="4" w:space="0"/>
            </w:tcBorders>
            <w:shd w:val="clear" w:color="auto" w:fill="auto"/>
            <w:vAlign w:val="center"/>
          </w:tcPr>
          <w:p w14:paraId="42AB92E7">
            <w:pPr>
              <w:widowControl/>
              <w:spacing w:line="300" w:lineRule="exact"/>
              <w:jc w:val="right"/>
              <w:textAlignment w:val="center"/>
              <w:rPr>
                <w:rFonts w:eastAsia="宋体"/>
                <w:color w:val="000000"/>
                <w:sz w:val="21"/>
                <w:szCs w:val="21"/>
              </w:rPr>
            </w:pPr>
            <w:r>
              <w:rPr>
                <w:rFonts w:eastAsia="宋体"/>
                <w:color w:val="000000"/>
                <w:kern w:val="0"/>
                <w:sz w:val="21"/>
                <w:szCs w:val="21"/>
              </w:rPr>
              <w:t>单位：万元</w:t>
            </w:r>
          </w:p>
        </w:tc>
      </w:tr>
      <w:tr w14:paraId="69649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40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ECB45">
            <w:pPr>
              <w:widowControl/>
              <w:spacing w:line="300" w:lineRule="exact"/>
              <w:jc w:val="center"/>
              <w:textAlignment w:val="center"/>
              <w:rPr>
                <w:rFonts w:eastAsia="宋体"/>
                <w:color w:val="000000"/>
                <w:sz w:val="24"/>
              </w:rPr>
            </w:pPr>
            <w:r>
              <w:rPr>
                <w:rFonts w:eastAsia="宋体"/>
                <w:color w:val="000000"/>
                <w:kern w:val="0"/>
                <w:sz w:val="24"/>
              </w:rPr>
              <w:t>部门名称</w:t>
            </w:r>
          </w:p>
        </w:tc>
        <w:tc>
          <w:tcPr>
            <w:tcW w:w="68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C19731">
            <w:pPr>
              <w:widowControl/>
              <w:spacing w:line="300" w:lineRule="exact"/>
              <w:jc w:val="center"/>
              <w:textAlignment w:val="center"/>
              <w:rPr>
                <w:rFonts w:eastAsia="宋体"/>
                <w:color w:val="000000"/>
                <w:sz w:val="24"/>
              </w:rPr>
            </w:pPr>
            <w:r>
              <w:rPr>
                <w:rFonts w:hint="eastAsia" w:eastAsia="宋体"/>
                <w:color w:val="000000"/>
                <w:kern w:val="0"/>
                <w:sz w:val="24"/>
                <w:lang w:eastAsia="zh-CN" w:bidi="ar"/>
              </w:rPr>
              <w:t>中共攀枝花市仁和区委社会工作部</w:t>
            </w:r>
          </w:p>
        </w:tc>
      </w:tr>
      <w:tr w14:paraId="7C53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967BA">
            <w:pPr>
              <w:widowControl/>
              <w:spacing w:line="300" w:lineRule="exact"/>
              <w:jc w:val="center"/>
              <w:textAlignment w:val="center"/>
              <w:rPr>
                <w:rFonts w:eastAsia="宋体"/>
                <w:color w:val="000000"/>
                <w:sz w:val="24"/>
              </w:rPr>
            </w:pPr>
            <w:r>
              <w:rPr>
                <w:rFonts w:eastAsia="宋体"/>
                <w:color w:val="000000"/>
                <w:kern w:val="0"/>
                <w:sz w:val="24"/>
              </w:rPr>
              <w:t>年度部门整体支出预算</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5A908">
            <w:pPr>
              <w:widowControl/>
              <w:spacing w:line="300" w:lineRule="exact"/>
              <w:jc w:val="center"/>
              <w:textAlignment w:val="center"/>
              <w:rPr>
                <w:rFonts w:eastAsia="宋体"/>
                <w:color w:val="000000"/>
                <w:sz w:val="24"/>
              </w:rPr>
            </w:pPr>
            <w:r>
              <w:rPr>
                <w:rFonts w:eastAsia="宋体"/>
                <w:color w:val="000000"/>
                <w:kern w:val="0"/>
                <w:sz w:val="24"/>
              </w:rPr>
              <w:t>资金总额</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AE484">
            <w:pPr>
              <w:widowControl/>
              <w:spacing w:line="300" w:lineRule="exact"/>
              <w:jc w:val="center"/>
              <w:textAlignment w:val="center"/>
              <w:rPr>
                <w:rFonts w:eastAsia="宋体"/>
                <w:color w:val="000000"/>
                <w:sz w:val="24"/>
              </w:rPr>
            </w:pPr>
            <w:r>
              <w:rPr>
                <w:rFonts w:eastAsia="宋体"/>
                <w:color w:val="000000"/>
                <w:kern w:val="0"/>
                <w:sz w:val="24"/>
              </w:rPr>
              <w:t>财政拨款</w:t>
            </w:r>
          </w:p>
        </w:tc>
        <w:tc>
          <w:tcPr>
            <w:tcW w:w="4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E0232">
            <w:pPr>
              <w:widowControl/>
              <w:spacing w:line="300" w:lineRule="exact"/>
              <w:jc w:val="center"/>
              <w:textAlignment w:val="center"/>
              <w:rPr>
                <w:rFonts w:eastAsia="宋体"/>
                <w:color w:val="000000"/>
                <w:sz w:val="24"/>
              </w:rPr>
            </w:pPr>
            <w:r>
              <w:rPr>
                <w:rFonts w:eastAsia="宋体"/>
                <w:color w:val="000000"/>
                <w:kern w:val="0"/>
                <w:sz w:val="24"/>
              </w:rPr>
              <w:t>其他资金</w:t>
            </w:r>
          </w:p>
        </w:tc>
      </w:tr>
      <w:tr w14:paraId="342FE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AAE9B"/>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7B6B1">
            <w:pPr>
              <w:widowControl/>
              <w:spacing w:line="300" w:lineRule="exact"/>
              <w:jc w:val="center"/>
              <w:textAlignment w:val="center"/>
              <w:rPr>
                <w:rFonts w:hint="default" w:eastAsia="宋体"/>
                <w:color w:val="000000"/>
                <w:sz w:val="24"/>
                <w:lang w:val="en-US" w:eastAsia="zh-CN"/>
              </w:rPr>
            </w:pPr>
            <w:r>
              <w:rPr>
                <w:rFonts w:hint="eastAsia" w:eastAsia="宋体"/>
                <w:color w:val="000000"/>
                <w:kern w:val="0"/>
                <w:sz w:val="24"/>
                <w:lang w:val="en-US" w:eastAsia="zh-CN"/>
              </w:rPr>
              <w:t>682.42</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36AF8">
            <w:pPr>
              <w:widowControl/>
              <w:spacing w:line="300" w:lineRule="exact"/>
              <w:jc w:val="center"/>
              <w:textAlignment w:val="center"/>
              <w:rPr>
                <w:rFonts w:hint="default" w:eastAsia="宋体"/>
                <w:color w:val="000000"/>
                <w:sz w:val="24"/>
                <w:lang w:val="en-US" w:eastAsia="zh-CN"/>
              </w:rPr>
            </w:pPr>
            <w:r>
              <w:rPr>
                <w:rFonts w:hint="eastAsia" w:eastAsia="宋体"/>
                <w:color w:val="000000"/>
                <w:kern w:val="0"/>
                <w:sz w:val="24"/>
                <w:lang w:val="en-US" w:eastAsia="zh-CN"/>
              </w:rPr>
              <w:t>682.42</w:t>
            </w:r>
          </w:p>
        </w:tc>
        <w:tc>
          <w:tcPr>
            <w:tcW w:w="4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ADF69">
            <w:pPr>
              <w:widowControl/>
              <w:spacing w:line="300" w:lineRule="exact"/>
              <w:jc w:val="center"/>
              <w:textAlignment w:val="center"/>
              <w:rPr>
                <w:rFonts w:hint="eastAsia" w:eastAsia="宋体"/>
                <w:color w:val="000000"/>
                <w:sz w:val="24"/>
                <w:lang w:eastAsia="zh-CN"/>
              </w:rPr>
            </w:pPr>
            <w:r>
              <w:rPr>
                <w:rFonts w:hint="eastAsia" w:eastAsia="宋体"/>
                <w:color w:val="000000"/>
                <w:kern w:val="0"/>
                <w:sz w:val="24"/>
                <w:lang w:val="en-US" w:eastAsia="zh-CN"/>
              </w:rPr>
              <w:t>0</w:t>
            </w:r>
          </w:p>
        </w:tc>
      </w:tr>
      <w:tr w14:paraId="5818A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24" w:hRule="atLeast"/>
          <w:jc w:val="center"/>
        </w:trPr>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EC12">
            <w:pPr>
              <w:widowControl/>
              <w:spacing w:line="300" w:lineRule="exact"/>
              <w:jc w:val="center"/>
              <w:textAlignment w:val="center"/>
              <w:rPr>
                <w:rFonts w:eastAsia="宋体"/>
                <w:color w:val="000000"/>
                <w:kern w:val="0"/>
                <w:sz w:val="24"/>
              </w:rPr>
            </w:pPr>
            <w:r>
              <w:rPr>
                <w:rFonts w:eastAsia="宋体"/>
                <w:color w:val="000000"/>
                <w:kern w:val="0"/>
                <w:sz w:val="24"/>
              </w:rPr>
              <w:t>年度总体</w:t>
            </w:r>
          </w:p>
          <w:p w14:paraId="642E7CA3">
            <w:pPr>
              <w:widowControl/>
              <w:spacing w:line="300" w:lineRule="exact"/>
              <w:jc w:val="center"/>
              <w:textAlignment w:val="center"/>
              <w:rPr>
                <w:rFonts w:eastAsia="宋体"/>
                <w:color w:val="000000"/>
                <w:sz w:val="24"/>
              </w:rPr>
            </w:pPr>
            <w:r>
              <w:rPr>
                <w:rFonts w:eastAsia="宋体"/>
                <w:color w:val="000000"/>
                <w:kern w:val="0"/>
                <w:sz w:val="24"/>
              </w:rPr>
              <w:t>目标</w:t>
            </w:r>
          </w:p>
        </w:tc>
        <w:tc>
          <w:tcPr>
            <w:tcW w:w="953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55EAC2">
            <w:pPr>
              <w:pStyle w:val="5"/>
              <w:adjustRightInd w:val="0"/>
              <w:snapToGrid w:val="0"/>
              <w:spacing w:line="240" w:lineRule="auto"/>
              <w:ind w:firstLine="504" w:firstLineChars="210"/>
              <w:rPr>
                <w:rFonts w:eastAsia="宋体"/>
                <w:color w:val="000000"/>
                <w:sz w:val="24"/>
              </w:rPr>
            </w:pPr>
            <w:r>
              <w:rPr>
                <w:rFonts w:hint="default" w:ascii="Times New Roman" w:hAnsi="Times New Roman" w:eastAsia="宋体" w:cs="Times New Roman"/>
                <w:color w:val="000000"/>
                <w:kern w:val="0"/>
                <w:sz w:val="24"/>
                <w:szCs w:val="24"/>
                <w:lang w:val="en-US" w:eastAsia="zh-CN" w:bidi="ar-SA"/>
              </w:rPr>
              <w:t>2025年，中共攀枝花市仁和区委社会工作部将聚焦强基固本，深化推进基层治理和基层政权建设、聚焦党建引领，巩固提升“两企三新”“两个覆盖”、聚焦颜色品牌，不断提升志愿服务和社会人才水平、聚焦民意脉搏，统筹指导人民信访助推共同富裕质效、聚焦自身建设，着力锻造社会工作模范机关过硬队伍。</w:t>
            </w:r>
          </w:p>
        </w:tc>
      </w:tr>
      <w:tr w14:paraId="7A1B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3230D">
            <w:pPr>
              <w:widowControl/>
              <w:spacing w:line="300" w:lineRule="exact"/>
              <w:jc w:val="center"/>
              <w:textAlignment w:val="center"/>
              <w:rPr>
                <w:rFonts w:eastAsia="宋体"/>
                <w:color w:val="000000"/>
                <w:kern w:val="0"/>
                <w:sz w:val="24"/>
              </w:rPr>
            </w:pPr>
            <w:r>
              <w:rPr>
                <w:rFonts w:eastAsia="宋体"/>
                <w:color w:val="000000"/>
                <w:kern w:val="0"/>
                <w:sz w:val="24"/>
              </w:rPr>
              <w:t>年度主要</w:t>
            </w:r>
          </w:p>
          <w:p w14:paraId="2C8B878E">
            <w:pPr>
              <w:widowControl/>
              <w:spacing w:line="300" w:lineRule="exact"/>
              <w:jc w:val="center"/>
              <w:textAlignment w:val="center"/>
              <w:rPr>
                <w:rFonts w:eastAsia="宋体"/>
                <w:color w:val="000000"/>
                <w:sz w:val="24"/>
              </w:rPr>
            </w:pPr>
            <w:r>
              <w:rPr>
                <w:rFonts w:eastAsia="宋体"/>
                <w:color w:val="000000"/>
                <w:kern w:val="0"/>
                <w:sz w:val="24"/>
              </w:rPr>
              <w:t>任务</w:t>
            </w:r>
          </w:p>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41A66">
            <w:pPr>
              <w:widowControl/>
              <w:spacing w:line="300" w:lineRule="exact"/>
              <w:jc w:val="center"/>
              <w:textAlignment w:val="center"/>
              <w:rPr>
                <w:rFonts w:eastAsia="宋体"/>
                <w:color w:val="000000"/>
                <w:sz w:val="24"/>
              </w:rPr>
            </w:pPr>
            <w:r>
              <w:rPr>
                <w:rFonts w:eastAsia="宋体"/>
                <w:color w:val="000000"/>
                <w:kern w:val="0"/>
                <w:sz w:val="24"/>
              </w:rPr>
              <w:t>任务名称</w:t>
            </w:r>
          </w:p>
        </w:tc>
        <w:tc>
          <w:tcPr>
            <w:tcW w:w="68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D8C6B">
            <w:pPr>
              <w:widowControl/>
              <w:spacing w:line="300" w:lineRule="exact"/>
              <w:jc w:val="center"/>
              <w:textAlignment w:val="center"/>
              <w:rPr>
                <w:rFonts w:eastAsia="宋体"/>
                <w:color w:val="000000"/>
                <w:sz w:val="24"/>
              </w:rPr>
            </w:pPr>
            <w:r>
              <w:rPr>
                <w:rFonts w:eastAsia="宋体"/>
                <w:color w:val="000000"/>
                <w:kern w:val="0"/>
                <w:sz w:val="24"/>
              </w:rPr>
              <w:t>主要内容</w:t>
            </w:r>
          </w:p>
        </w:tc>
      </w:tr>
      <w:tr w14:paraId="3E79E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FC930"/>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11C48">
            <w:pPr>
              <w:widowControl/>
              <w:spacing w:line="300" w:lineRule="exact"/>
              <w:jc w:val="left"/>
              <w:textAlignment w:val="center"/>
              <w:rPr>
                <w:rFonts w:eastAsia="宋体"/>
                <w:color w:val="000000"/>
                <w:sz w:val="24"/>
              </w:rPr>
            </w:pPr>
            <w:r>
              <w:rPr>
                <w:rFonts w:hint="eastAsia" w:eastAsia="宋体"/>
                <w:color w:val="000000"/>
                <w:kern w:val="0"/>
                <w:sz w:val="24"/>
                <w:lang w:val="en-US" w:eastAsia="zh-CN" w:bidi="ar"/>
              </w:rPr>
              <w:t>人员经费保障</w:t>
            </w:r>
          </w:p>
        </w:tc>
        <w:tc>
          <w:tcPr>
            <w:tcW w:w="68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51983F">
            <w:pPr>
              <w:widowControl/>
              <w:spacing w:line="300" w:lineRule="exact"/>
              <w:jc w:val="left"/>
              <w:textAlignment w:val="center"/>
              <w:rPr>
                <w:rFonts w:eastAsia="宋体"/>
                <w:color w:val="000000"/>
                <w:sz w:val="24"/>
              </w:rPr>
            </w:pPr>
            <w:r>
              <w:rPr>
                <w:rFonts w:hint="eastAsia" w:eastAsia="宋体"/>
                <w:color w:val="000000"/>
                <w:kern w:val="0"/>
                <w:sz w:val="24"/>
                <w:lang w:val="en-US" w:eastAsia="zh-CN" w:bidi="ar"/>
              </w:rPr>
              <w:t>保障人员的工资、保险、公积金等</w:t>
            </w:r>
          </w:p>
        </w:tc>
      </w:tr>
      <w:tr w14:paraId="6333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2D3B7"/>
        </w:tc>
        <w:tc>
          <w:tcPr>
            <w:tcW w:w="2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6F203">
            <w:pPr>
              <w:widowControl/>
              <w:spacing w:line="300" w:lineRule="exact"/>
              <w:jc w:val="left"/>
              <w:rPr>
                <w:rFonts w:eastAsia="宋体"/>
                <w:color w:val="000000"/>
                <w:sz w:val="24"/>
              </w:rPr>
            </w:pPr>
            <w:r>
              <w:rPr>
                <w:rFonts w:hint="eastAsia" w:eastAsia="宋体"/>
                <w:color w:val="000000"/>
                <w:sz w:val="24"/>
                <w:lang w:val="en-US" w:eastAsia="zh-CN"/>
              </w:rPr>
              <w:t>项目建设</w:t>
            </w:r>
          </w:p>
        </w:tc>
        <w:tc>
          <w:tcPr>
            <w:tcW w:w="68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EDD86">
            <w:pPr>
              <w:widowControl/>
              <w:spacing w:line="300" w:lineRule="exact"/>
              <w:jc w:val="left"/>
              <w:rPr>
                <w:rFonts w:eastAsia="宋体"/>
                <w:color w:val="000000"/>
                <w:sz w:val="24"/>
              </w:rPr>
            </w:pPr>
            <w:r>
              <w:rPr>
                <w:rFonts w:hint="eastAsia" w:eastAsia="宋体"/>
                <w:color w:val="000000"/>
                <w:sz w:val="24"/>
                <w:lang w:val="en-US" w:eastAsia="zh-CN"/>
              </w:rPr>
              <w:t>推动基层治理、“两企三新”志愿服务和社工队伍建设等相关工作有序开展。</w:t>
            </w:r>
          </w:p>
        </w:tc>
      </w:tr>
      <w:tr w14:paraId="74E46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jc w:val="center"/>
        </w:trPr>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B56D3">
            <w:pPr>
              <w:widowControl/>
              <w:spacing w:line="300" w:lineRule="exact"/>
              <w:jc w:val="center"/>
              <w:textAlignment w:val="center"/>
              <w:rPr>
                <w:rFonts w:eastAsia="宋体"/>
                <w:color w:val="000000"/>
                <w:kern w:val="0"/>
                <w:sz w:val="24"/>
              </w:rPr>
            </w:pPr>
            <w:r>
              <w:rPr>
                <w:rFonts w:eastAsia="宋体"/>
                <w:color w:val="000000"/>
                <w:kern w:val="0"/>
                <w:sz w:val="24"/>
              </w:rPr>
              <w:t>年度绩效</w:t>
            </w:r>
          </w:p>
          <w:p w14:paraId="7BF07499">
            <w:pPr>
              <w:widowControl/>
              <w:spacing w:line="300" w:lineRule="exact"/>
              <w:jc w:val="center"/>
              <w:textAlignment w:val="center"/>
              <w:rPr>
                <w:rFonts w:eastAsia="宋体"/>
                <w:color w:val="000000"/>
                <w:sz w:val="24"/>
              </w:rPr>
            </w:pPr>
            <w:r>
              <w:rPr>
                <w:rFonts w:eastAsia="宋体"/>
                <w:color w:val="000000"/>
                <w:kern w:val="0"/>
                <w:sz w:val="24"/>
              </w:rPr>
              <w:t>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3876">
            <w:pPr>
              <w:widowControl/>
              <w:spacing w:line="300" w:lineRule="exact"/>
              <w:jc w:val="center"/>
              <w:textAlignment w:val="center"/>
              <w:rPr>
                <w:rFonts w:eastAsia="宋体"/>
                <w:color w:val="000000"/>
                <w:sz w:val="24"/>
              </w:rPr>
            </w:pPr>
            <w:r>
              <w:rPr>
                <w:rFonts w:eastAsia="宋体"/>
                <w:color w:val="000000"/>
                <w:kern w:val="0"/>
                <w:sz w:val="24"/>
              </w:rPr>
              <w:t>一级指标</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14A1">
            <w:pPr>
              <w:widowControl/>
              <w:spacing w:line="300" w:lineRule="exact"/>
              <w:jc w:val="center"/>
              <w:textAlignment w:val="center"/>
              <w:rPr>
                <w:rFonts w:eastAsia="宋体"/>
                <w:color w:val="000000"/>
                <w:sz w:val="24"/>
              </w:rPr>
            </w:pPr>
            <w:r>
              <w:rPr>
                <w:rFonts w:eastAsia="宋体"/>
                <w:color w:val="000000"/>
                <w:kern w:val="0"/>
                <w:sz w:val="24"/>
              </w:rPr>
              <w:t>二级指标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9896">
            <w:pPr>
              <w:widowControl/>
              <w:spacing w:line="300" w:lineRule="exact"/>
              <w:jc w:val="center"/>
              <w:textAlignment w:val="center"/>
              <w:rPr>
                <w:rFonts w:eastAsia="宋体"/>
                <w:color w:val="000000"/>
                <w:sz w:val="24"/>
              </w:rPr>
            </w:pPr>
            <w:r>
              <w:rPr>
                <w:rFonts w:eastAsia="宋体"/>
                <w:color w:val="000000"/>
                <w:kern w:val="0"/>
                <w:sz w:val="24"/>
              </w:rPr>
              <w:t>三级指标</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87D8">
            <w:pPr>
              <w:widowControl/>
              <w:spacing w:line="300" w:lineRule="exact"/>
              <w:jc w:val="center"/>
              <w:textAlignment w:val="center"/>
              <w:rPr>
                <w:rFonts w:eastAsia="宋体"/>
                <w:color w:val="000000"/>
                <w:kern w:val="0"/>
                <w:sz w:val="24"/>
              </w:rPr>
            </w:pPr>
            <w:r>
              <w:rPr>
                <w:rFonts w:eastAsia="宋体"/>
                <w:color w:val="000000"/>
                <w:kern w:val="0"/>
                <w:sz w:val="24"/>
              </w:rPr>
              <w:t>绩效指标</w:t>
            </w:r>
          </w:p>
          <w:p w14:paraId="08FC40BF">
            <w:pPr>
              <w:widowControl/>
              <w:spacing w:line="300" w:lineRule="exact"/>
              <w:jc w:val="center"/>
              <w:textAlignment w:val="center"/>
              <w:rPr>
                <w:rFonts w:eastAsia="宋体"/>
                <w:color w:val="000000"/>
                <w:sz w:val="24"/>
              </w:rPr>
            </w:pPr>
            <w:r>
              <w:rPr>
                <w:rFonts w:eastAsia="宋体"/>
                <w:color w:val="000000"/>
                <w:kern w:val="0"/>
                <w:sz w:val="24"/>
              </w:rPr>
              <w:t>性质</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7906">
            <w:pPr>
              <w:widowControl/>
              <w:spacing w:line="300" w:lineRule="exact"/>
              <w:jc w:val="center"/>
              <w:textAlignment w:val="center"/>
              <w:rPr>
                <w:rFonts w:eastAsia="宋体"/>
                <w:color w:val="000000"/>
                <w:sz w:val="24"/>
              </w:rPr>
            </w:pPr>
            <w:r>
              <w:rPr>
                <w:rFonts w:eastAsia="宋体"/>
                <w:color w:val="000000"/>
                <w:kern w:val="0"/>
                <w:sz w:val="24"/>
              </w:rPr>
              <w:t>绩效指标值</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E22E">
            <w:pPr>
              <w:widowControl/>
              <w:spacing w:line="300" w:lineRule="exact"/>
              <w:jc w:val="center"/>
              <w:textAlignment w:val="center"/>
              <w:rPr>
                <w:rFonts w:eastAsia="宋体"/>
                <w:color w:val="000000"/>
                <w:sz w:val="24"/>
              </w:rPr>
            </w:pPr>
            <w:r>
              <w:rPr>
                <w:rFonts w:eastAsia="宋体"/>
                <w:color w:val="000000"/>
                <w:kern w:val="0"/>
                <w:sz w:val="24"/>
              </w:rPr>
              <w:t>绩效度量单位</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EB79">
            <w:pPr>
              <w:widowControl/>
              <w:spacing w:line="300" w:lineRule="exact"/>
              <w:jc w:val="center"/>
              <w:textAlignment w:val="center"/>
              <w:rPr>
                <w:rFonts w:eastAsia="宋体"/>
                <w:color w:val="000000"/>
                <w:kern w:val="0"/>
                <w:sz w:val="24"/>
              </w:rPr>
            </w:pPr>
            <w:r>
              <w:rPr>
                <w:rFonts w:eastAsia="宋体"/>
                <w:color w:val="000000"/>
                <w:kern w:val="0"/>
                <w:sz w:val="24"/>
              </w:rPr>
              <w:t>实际完成</w:t>
            </w:r>
          </w:p>
          <w:p w14:paraId="07B590ED">
            <w:pPr>
              <w:widowControl/>
              <w:spacing w:line="300" w:lineRule="exact"/>
              <w:jc w:val="center"/>
              <w:textAlignment w:val="center"/>
              <w:rPr>
                <w:rFonts w:eastAsia="宋体"/>
                <w:color w:val="000000"/>
                <w:sz w:val="24"/>
              </w:rPr>
            </w:pPr>
            <w:r>
              <w:rPr>
                <w:rFonts w:eastAsia="宋体"/>
                <w:color w:val="000000"/>
                <w:kern w:val="0"/>
                <w:sz w:val="24"/>
              </w:rPr>
              <w:t>指标值</w:t>
            </w:r>
          </w:p>
        </w:tc>
      </w:tr>
      <w:tr w14:paraId="4D5F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59392"/>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4835A">
            <w:pPr>
              <w:widowControl/>
              <w:spacing w:line="300" w:lineRule="exact"/>
              <w:jc w:val="center"/>
              <w:textAlignment w:val="center"/>
              <w:rPr>
                <w:rFonts w:eastAsia="宋体"/>
                <w:color w:val="000000"/>
                <w:sz w:val="24"/>
              </w:rPr>
            </w:pPr>
            <w:r>
              <w:rPr>
                <w:rFonts w:eastAsia="宋体"/>
                <w:color w:val="000000"/>
                <w:kern w:val="0"/>
                <w:sz w:val="24"/>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E8B72">
            <w:pPr>
              <w:widowControl/>
              <w:spacing w:line="300" w:lineRule="exact"/>
              <w:jc w:val="center"/>
              <w:textAlignment w:val="center"/>
              <w:rPr>
                <w:rFonts w:eastAsia="宋体"/>
                <w:color w:val="000000"/>
                <w:sz w:val="24"/>
              </w:rPr>
            </w:pPr>
            <w:r>
              <w:rPr>
                <w:rFonts w:eastAsia="宋体"/>
                <w:color w:val="000000"/>
                <w:kern w:val="0"/>
                <w:sz w:val="24"/>
              </w:rPr>
              <w:t>数量指标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135C">
            <w:pPr>
              <w:widowControl/>
              <w:spacing w:line="300" w:lineRule="exact"/>
              <w:jc w:val="center"/>
              <w:textAlignment w:val="center"/>
              <w:rPr>
                <w:rFonts w:eastAsia="宋体"/>
                <w:color w:val="000000"/>
                <w:sz w:val="24"/>
              </w:rPr>
            </w:pPr>
            <w:r>
              <w:rPr>
                <w:rFonts w:hint="eastAsia" w:eastAsia="宋体"/>
                <w:color w:val="000000"/>
                <w:kern w:val="0"/>
                <w:sz w:val="24"/>
                <w:lang w:val="en-US" w:eastAsia="zh-CN" w:bidi="ar"/>
              </w:rPr>
              <w:t>保障人员</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801F">
            <w:pPr>
              <w:widowControl/>
              <w:spacing w:line="300" w:lineRule="exact"/>
              <w:jc w:val="center"/>
              <w:textAlignment w:val="center"/>
              <w:rPr>
                <w:rFonts w:eastAsia="宋体"/>
                <w:color w:val="000000"/>
                <w:sz w:val="24"/>
              </w:rPr>
            </w:pPr>
            <w:r>
              <w:rPr>
                <w:rFonts w:hint="eastAsia" w:eastAsia="宋体"/>
                <w:color w:val="000000"/>
                <w:kern w:val="0"/>
                <w:sz w:val="24"/>
                <w:lang w:val="en-US" w:eastAsia="zh-CN" w:bidi="ar"/>
              </w:rPr>
              <w:t>人数</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2F66">
            <w:pPr>
              <w:widowControl/>
              <w:spacing w:line="300" w:lineRule="exact"/>
              <w:jc w:val="center"/>
              <w:textAlignment w:val="center"/>
              <w:rPr>
                <w:rFonts w:hint="default" w:eastAsia="宋体"/>
                <w:color w:val="000000"/>
                <w:sz w:val="24"/>
                <w:lang w:val="en-US"/>
              </w:rPr>
            </w:pPr>
            <w:r>
              <w:rPr>
                <w:rFonts w:hint="eastAsia" w:eastAsia="宋体"/>
                <w:color w:val="000000"/>
                <w:kern w:val="0"/>
                <w:sz w:val="24"/>
                <w:lang w:val="en-US" w:eastAsia="zh-CN" w:bidi="ar"/>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FDCD">
            <w:pPr>
              <w:widowControl/>
              <w:spacing w:line="300" w:lineRule="exact"/>
              <w:jc w:val="center"/>
              <w:textAlignment w:val="center"/>
              <w:rPr>
                <w:rFonts w:eastAsia="宋体"/>
                <w:color w:val="000000"/>
                <w:sz w:val="24"/>
              </w:rPr>
            </w:pPr>
            <w:r>
              <w:rPr>
                <w:rFonts w:hint="eastAsia" w:eastAsia="宋体"/>
                <w:color w:val="000000"/>
                <w:kern w:val="0"/>
                <w:sz w:val="24"/>
                <w:lang w:val="en-US" w:eastAsia="zh-CN" w:bidi="ar"/>
              </w:rPr>
              <w:t>人</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F2D9">
            <w:pPr>
              <w:widowControl/>
              <w:spacing w:line="300" w:lineRule="exact"/>
              <w:jc w:val="center"/>
              <w:textAlignment w:val="center"/>
              <w:rPr>
                <w:rFonts w:eastAsia="宋体"/>
                <w:color w:val="000000"/>
                <w:sz w:val="24"/>
              </w:rPr>
            </w:pPr>
            <w:r>
              <w:rPr>
                <w:rFonts w:hint="eastAsia" w:eastAsia="宋体"/>
                <w:color w:val="000000"/>
                <w:kern w:val="0"/>
                <w:sz w:val="24"/>
                <w:lang w:val="en-US" w:eastAsia="zh-CN" w:bidi="ar"/>
              </w:rPr>
              <w:t>11人</w:t>
            </w:r>
          </w:p>
        </w:tc>
      </w:tr>
      <w:tr w14:paraId="6072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8CF89"/>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33C43"/>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7B056"/>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6180">
            <w:pPr>
              <w:widowControl/>
              <w:spacing w:line="300" w:lineRule="exact"/>
              <w:jc w:val="left"/>
              <w:rPr>
                <w:rFonts w:eastAsia="宋体"/>
                <w:color w:val="000000"/>
                <w:sz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7316">
            <w:pPr>
              <w:widowControl/>
              <w:spacing w:line="300" w:lineRule="exact"/>
              <w:jc w:val="left"/>
              <w:rPr>
                <w:rFonts w:eastAsia="宋体"/>
                <w:color w:val="000000"/>
                <w:sz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471E">
            <w:pPr>
              <w:widowControl/>
              <w:spacing w:line="300" w:lineRule="exact"/>
              <w:jc w:val="left"/>
              <w:rPr>
                <w:rFonts w:eastAsia="宋体"/>
                <w:color w:val="000000"/>
                <w:sz w:val="24"/>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C05D">
            <w:pPr>
              <w:widowControl/>
              <w:spacing w:line="300" w:lineRule="exact"/>
              <w:jc w:val="left"/>
              <w:rPr>
                <w:rFonts w:eastAsia="宋体"/>
                <w:color w:val="000000"/>
                <w:sz w:val="24"/>
              </w:rPr>
            </w:pP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01AA">
            <w:pPr>
              <w:widowControl/>
              <w:spacing w:line="300" w:lineRule="exact"/>
              <w:jc w:val="center"/>
              <w:rPr>
                <w:rFonts w:eastAsia="宋体"/>
                <w:color w:val="000000"/>
                <w:sz w:val="24"/>
              </w:rPr>
            </w:pPr>
          </w:p>
        </w:tc>
      </w:tr>
      <w:tr w14:paraId="3A2F2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1AB7B"/>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5F106"/>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9C6F">
            <w:pPr>
              <w:widowControl/>
              <w:spacing w:line="300" w:lineRule="exact"/>
              <w:jc w:val="center"/>
              <w:textAlignment w:val="center"/>
              <w:rPr>
                <w:rFonts w:eastAsia="宋体"/>
                <w:color w:val="000000"/>
                <w:sz w:val="24"/>
              </w:rPr>
            </w:pPr>
            <w:r>
              <w:rPr>
                <w:rFonts w:eastAsia="宋体"/>
                <w:color w:val="000000"/>
                <w:kern w:val="0"/>
                <w:sz w:val="24"/>
              </w:rPr>
              <w:t>质量指标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B9B6">
            <w:pPr>
              <w:widowControl/>
              <w:spacing w:line="300" w:lineRule="exact"/>
              <w:jc w:val="left"/>
              <w:rPr>
                <w:rFonts w:ascii="Times New Roman" w:hAnsi="Times New Roman" w:eastAsia="宋体" w:cs="Times New Roman"/>
                <w:color w:val="000000"/>
                <w:kern w:val="2"/>
                <w:sz w:val="24"/>
                <w:szCs w:val="24"/>
                <w:lang w:val="en-US" w:eastAsia="zh-CN" w:bidi="ar-SA"/>
              </w:rPr>
            </w:pPr>
            <w:r>
              <w:rPr>
                <w:rFonts w:hint="eastAsia" w:eastAsia="宋体"/>
                <w:color w:val="000000"/>
                <w:sz w:val="24"/>
              </w:rPr>
              <w:t>经费保障率</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660A">
            <w:pPr>
              <w:widowControl/>
              <w:spacing w:line="300" w:lineRule="exact"/>
              <w:jc w:val="left"/>
              <w:rPr>
                <w:rFonts w:ascii="Times New Roman" w:hAnsi="Times New Roman" w:eastAsia="宋体" w:cs="Times New Roman"/>
                <w:color w:val="000000"/>
                <w:kern w:val="2"/>
                <w:sz w:val="24"/>
                <w:szCs w:val="24"/>
                <w:lang w:val="en-US" w:eastAsia="zh-CN" w:bidi="ar-SA"/>
              </w:rPr>
            </w:pPr>
            <w:r>
              <w:rPr>
                <w:rFonts w:hint="eastAsia" w:eastAsia="宋体"/>
                <w:color w:val="000000"/>
                <w:sz w:val="24"/>
              </w:rPr>
              <w:t>保障率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E3D1">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100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531C">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E853">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100%</w:t>
            </w:r>
          </w:p>
        </w:tc>
      </w:tr>
      <w:tr w14:paraId="6099F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B6992"/>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B8853"/>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2CCF9">
            <w:pPr>
              <w:widowControl/>
              <w:spacing w:line="300" w:lineRule="exact"/>
              <w:jc w:val="center"/>
              <w:textAlignment w:val="center"/>
              <w:rPr>
                <w:rFonts w:eastAsia="宋体"/>
                <w:color w:val="000000"/>
                <w:sz w:val="24"/>
              </w:rPr>
            </w:pPr>
            <w:r>
              <w:rPr>
                <w:rFonts w:eastAsia="宋体"/>
                <w:color w:val="000000"/>
                <w:kern w:val="0"/>
                <w:sz w:val="24"/>
              </w:rPr>
              <w:t>时效指标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E881">
            <w:pPr>
              <w:widowControl/>
              <w:spacing w:line="300" w:lineRule="exact"/>
              <w:jc w:val="left"/>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时效指标</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DC06">
            <w:pPr>
              <w:widowControl/>
              <w:spacing w:line="300" w:lineRule="exact"/>
              <w:jc w:val="left"/>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时效</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1C2B">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E454">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年</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4C00">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1年</w:t>
            </w:r>
          </w:p>
        </w:tc>
      </w:tr>
      <w:tr w14:paraId="1834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2D15C"/>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658A7"/>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7FD2">
            <w:pPr>
              <w:widowControl/>
              <w:spacing w:line="300" w:lineRule="exact"/>
              <w:jc w:val="center"/>
              <w:textAlignment w:val="center"/>
              <w:rPr>
                <w:rFonts w:eastAsia="宋体"/>
                <w:color w:val="000000"/>
                <w:sz w:val="24"/>
              </w:rPr>
            </w:pPr>
            <w:r>
              <w:rPr>
                <w:rFonts w:eastAsia="宋体"/>
                <w:color w:val="000000"/>
                <w:kern w:val="0"/>
                <w:sz w:val="24"/>
              </w:rPr>
              <w:t>……</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8FBE">
            <w:pPr>
              <w:widowControl/>
              <w:spacing w:line="300" w:lineRule="exact"/>
              <w:jc w:val="left"/>
              <w:rPr>
                <w:rFonts w:eastAsia="宋体"/>
                <w:color w:val="000000"/>
                <w:sz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F4E0">
            <w:pPr>
              <w:widowControl/>
              <w:spacing w:line="300" w:lineRule="exact"/>
              <w:jc w:val="left"/>
              <w:rPr>
                <w:rFonts w:eastAsia="宋体"/>
                <w:color w:val="000000"/>
                <w:sz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79A6">
            <w:pPr>
              <w:widowControl/>
              <w:spacing w:line="300" w:lineRule="exact"/>
              <w:jc w:val="center"/>
              <w:rPr>
                <w:rFonts w:eastAsia="宋体"/>
                <w:color w:val="000000"/>
                <w:sz w:val="24"/>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678B">
            <w:pPr>
              <w:widowControl/>
              <w:spacing w:line="300" w:lineRule="exact"/>
              <w:jc w:val="center"/>
              <w:rPr>
                <w:rFonts w:eastAsia="宋体"/>
                <w:color w:val="000000"/>
                <w:sz w:val="24"/>
              </w:rPr>
            </w:pP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1661">
            <w:pPr>
              <w:widowControl/>
              <w:spacing w:line="300" w:lineRule="exact"/>
              <w:jc w:val="center"/>
              <w:rPr>
                <w:rFonts w:eastAsia="宋体"/>
                <w:color w:val="000000"/>
                <w:sz w:val="24"/>
              </w:rPr>
            </w:pPr>
          </w:p>
        </w:tc>
      </w:tr>
      <w:tr w14:paraId="5D90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539EA"/>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6FC24">
            <w:pPr>
              <w:widowControl/>
              <w:spacing w:line="300" w:lineRule="exact"/>
              <w:jc w:val="center"/>
              <w:textAlignment w:val="center"/>
              <w:rPr>
                <w:rFonts w:eastAsia="宋体"/>
                <w:color w:val="000000"/>
                <w:sz w:val="24"/>
              </w:rPr>
            </w:pPr>
            <w:r>
              <w:rPr>
                <w:rFonts w:eastAsia="宋体"/>
                <w:color w:val="000000"/>
                <w:kern w:val="0"/>
                <w:sz w:val="24"/>
              </w:rPr>
              <w:t>效益指标</w:t>
            </w:r>
          </w:p>
        </w:tc>
        <w:tc>
          <w:tcPr>
            <w:tcW w:w="1313" w:type="dxa"/>
            <w:vMerge w:val="restart"/>
            <w:tcBorders>
              <w:top w:val="single" w:color="000000" w:sz="4" w:space="0"/>
              <w:left w:val="single" w:color="000000" w:sz="4" w:space="0"/>
              <w:right w:val="single" w:color="000000" w:sz="4" w:space="0"/>
            </w:tcBorders>
            <w:shd w:val="clear" w:color="auto" w:fill="auto"/>
            <w:vAlign w:val="center"/>
          </w:tcPr>
          <w:p w14:paraId="0C7EE23C">
            <w:pPr>
              <w:widowControl/>
              <w:spacing w:line="300" w:lineRule="exact"/>
              <w:jc w:val="center"/>
              <w:textAlignment w:val="center"/>
              <w:rPr>
                <w:rFonts w:eastAsia="宋体"/>
                <w:color w:val="000000"/>
                <w:kern w:val="0"/>
                <w:sz w:val="24"/>
              </w:rPr>
            </w:pPr>
            <w:r>
              <w:rPr>
                <w:rFonts w:eastAsia="宋体"/>
                <w:color w:val="000000"/>
                <w:kern w:val="0"/>
                <w:sz w:val="24"/>
              </w:rPr>
              <w:t>社会效益</w:t>
            </w:r>
          </w:p>
          <w:p w14:paraId="3EEAF5DB">
            <w:pPr>
              <w:widowControl/>
              <w:spacing w:line="300" w:lineRule="exact"/>
              <w:jc w:val="center"/>
              <w:textAlignment w:val="center"/>
              <w:rPr>
                <w:rFonts w:eastAsia="宋体"/>
                <w:color w:val="000000"/>
                <w:sz w:val="24"/>
              </w:rPr>
            </w:pPr>
            <w:r>
              <w:rPr>
                <w:rFonts w:eastAsia="宋体"/>
                <w:color w:val="000000"/>
                <w:kern w:val="0"/>
                <w:sz w:val="24"/>
              </w:rPr>
              <w:t>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6E25">
            <w:pPr>
              <w:widowControl/>
              <w:spacing w:line="300" w:lineRule="exact"/>
              <w:jc w:val="center"/>
              <w:textAlignment w:val="center"/>
              <w:rPr>
                <w:rFonts w:ascii="Times New Roman" w:hAnsi="Times New Roman" w:eastAsia="宋体" w:cs="Times New Roman"/>
                <w:color w:val="000000"/>
                <w:kern w:val="2"/>
                <w:sz w:val="24"/>
                <w:szCs w:val="24"/>
                <w:lang w:val="en-US" w:eastAsia="zh-CN" w:bidi="ar-SA"/>
              </w:rPr>
            </w:pPr>
            <w:r>
              <w:rPr>
                <w:rFonts w:eastAsia="宋体"/>
                <w:color w:val="000000"/>
                <w:kern w:val="0"/>
                <w:sz w:val="24"/>
                <w:lang w:bidi="ar"/>
              </w:rPr>
              <w:t>社会效益</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5F66">
            <w:pPr>
              <w:widowControl/>
              <w:spacing w:line="300" w:lineRule="exact"/>
              <w:jc w:val="left"/>
              <w:rPr>
                <w:rFonts w:ascii="Times New Roman" w:hAnsi="Times New Roman" w:eastAsia="宋体" w:cs="Times New Roman"/>
                <w:color w:val="000000"/>
                <w:kern w:val="2"/>
                <w:sz w:val="24"/>
                <w:szCs w:val="24"/>
                <w:lang w:val="en-US" w:eastAsia="zh-CN" w:bidi="ar-SA"/>
              </w:rPr>
            </w:pPr>
            <w:r>
              <w:rPr>
                <w:rFonts w:hint="eastAsia" w:eastAsia="宋体"/>
                <w:color w:val="000000"/>
                <w:sz w:val="24"/>
              </w:rPr>
              <w:t>定性</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87D2">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良好</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A061">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项</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E82E">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良好</w:t>
            </w:r>
          </w:p>
        </w:tc>
      </w:tr>
      <w:tr w14:paraId="649A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90E8D"/>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2D8D9"/>
        </w:tc>
        <w:tc>
          <w:tcPr>
            <w:tcW w:w="1313" w:type="dxa"/>
            <w:vMerge w:val="continue"/>
            <w:tcBorders>
              <w:top w:val="single" w:color="000000" w:sz="4" w:space="0"/>
              <w:left w:val="single" w:color="000000" w:sz="4" w:space="0"/>
              <w:right w:val="single" w:color="000000" w:sz="4" w:space="0"/>
            </w:tcBorders>
            <w:shd w:val="clear" w:color="auto" w:fill="auto"/>
            <w:vAlign w:val="center"/>
          </w:tcPr>
          <w:p w14:paraId="6A933666"/>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26FE">
            <w:pPr>
              <w:widowControl/>
              <w:spacing w:line="300" w:lineRule="exact"/>
              <w:jc w:val="left"/>
              <w:rPr>
                <w:rFonts w:eastAsia="宋体"/>
                <w:color w:val="000000"/>
                <w:sz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2E7E">
            <w:pPr>
              <w:widowControl/>
              <w:spacing w:line="300" w:lineRule="exact"/>
              <w:jc w:val="left"/>
              <w:rPr>
                <w:rFonts w:eastAsia="宋体"/>
                <w:color w:val="000000"/>
                <w:sz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BCC">
            <w:pPr>
              <w:widowControl/>
              <w:spacing w:line="300" w:lineRule="exact"/>
              <w:jc w:val="center"/>
              <w:rPr>
                <w:rFonts w:eastAsia="宋体"/>
                <w:color w:val="000000"/>
                <w:sz w:val="24"/>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ACAB">
            <w:pPr>
              <w:widowControl/>
              <w:spacing w:line="300" w:lineRule="exact"/>
              <w:jc w:val="center"/>
              <w:rPr>
                <w:rFonts w:eastAsia="宋体"/>
                <w:color w:val="000000"/>
                <w:sz w:val="24"/>
              </w:rPr>
            </w:pP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22D3">
            <w:pPr>
              <w:widowControl/>
              <w:spacing w:line="300" w:lineRule="exact"/>
              <w:jc w:val="center"/>
              <w:rPr>
                <w:rFonts w:eastAsia="宋体"/>
                <w:color w:val="000000"/>
                <w:sz w:val="24"/>
              </w:rPr>
            </w:pPr>
          </w:p>
        </w:tc>
      </w:tr>
      <w:tr w14:paraId="06094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9"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CF0CA"/>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09BE1"/>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6740">
            <w:pPr>
              <w:widowControl/>
              <w:spacing w:line="300" w:lineRule="exact"/>
              <w:jc w:val="center"/>
              <w:textAlignment w:val="center"/>
              <w:rPr>
                <w:rFonts w:eastAsia="宋体"/>
                <w:color w:val="000000"/>
                <w:sz w:val="24"/>
              </w:rPr>
            </w:pPr>
            <w:r>
              <w:rPr>
                <w:rFonts w:eastAsia="宋体"/>
                <w:color w:val="000000"/>
                <w:kern w:val="0"/>
                <w:sz w:val="24"/>
              </w:rPr>
              <w:t>……</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057D">
            <w:pPr>
              <w:widowControl/>
              <w:spacing w:line="300" w:lineRule="exact"/>
              <w:jc w:val="left"/>
              <w:rPr>
                <w:rFonts w:eastAsia="宋体"/>
                <w:color w:val="000000"/>
                <w:sz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AC75">
            <w:pPr>
              <w:widowControl/>
              <w:spacing w:line="300" w:lineRule="exact"/>
              <w:jc w:val="left"/>
              <w:rPr>
                <w:rFonts w:eastAsia="宋体"/>
                <w:color w:val="000000"/>
                <w:sz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EA4D">
            <w:pPr>
              <w:widowControl/>
              <w:spacing w:line="300" w:lineRule="exact"/>
              <w:jc w:val="left"/>
              <w:rPr>
                <w:rFonts w:eastAsia="宋体"/>
                <w:color w:val="000000"/>
                <w:sz w:val="24"/>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776F">
            <w:pPr>
              <w:widowControl/>
              <w:spacing w:line="300" w:lineRule="exact"/>
              <w:jc w:val="left"/>
              <w:rPr>
                <w:rFonts w:eastAsia="宋体"/>
                <w:color w:val="000000"/>
                <w:sz w:val="24"/>
              </w:rPr>
            </w:pP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FD63">
            <w:pPr>
              <w:widowControl/>
              <w:spacing w:line="300" w:lineRule="exact"/>
              <w:jc w:val="center"/>
              <w:rPr>
                <w:rFonts w:eastAsia="宋体"/>
                <w:color w:val="000000"/>
                <w:sz w:val="24"/>
              </w:rPr>
            </w:pPr>
          </w:p>
        </w:tc>
      </w:tr>
      <w:tr w14:paraId="2FBCD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5" w:hRule="atLeast"/>
          <w:jc w:val="center"/>
        </w:trPr>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AF9E"/>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003A">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5393">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6AC3">
            <w:pPr>
              <w:widowControl/>
              <w:spacing w:line="300" w:lineRule="exact"/>
              <w:jc w:val="left"/>
              <w:rPr>
                <w:rFonts w:ascii="Times New Roman" w:hAnsi="Times New Roman" w:eastAsia="宋体" w:cs="Times New Roman"/>
                <w:color w:val="000000"/>
                <w:kern w:val="2"/>
                <w:sz w:val="24"/>
                <w:szCs w:val="24"/>
                <w:lang w:val="en-US" w:eastAsia="zh-CN" w:bidi="ar-SA"/>
              </w:rPr>
            </w:pPr>
            <w:r>
              <w:rPr>
                <w:rFonts w:hint="eastAsia" w:eastAsia="宋体"/>
                <w:color w:val="000000"/>
                <w:sz w:val="24"/>
              </w:rPr>
              <w:t>公众满意度</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1FA7">
            <w:pPr>
              <w:widowControl/>
              <w:spacing w:line="300" w:lineRule="exact"/>
              <w:jc w:val="left"/>
              <w:rPr>
                <w:rFonts w:ascii="Times New Roman" w:hAnsi="Times New Roman" w:eastAsia="宋体" w:cs="Times New Roman"/>
                <w:color w:val="000000"/>
                <w:kern w:val="2"/>
                <w:sz w:val="24"/>
                <w:szCs w:val="24"/>
                <w:lang w:val="en-US" w:eastAsia="zh-CN" w:bidi="ar-SA"/>
              </w:rPr>
            </w:pPr>
            <w:r>
              <w:rPr>
                <w:rFonts w:hint="eastAsia" w:eastAsia="宋体"/>
                <w:color w:val="000000"/>
                <w:sz w:val="24"/>
              </w:rPr>
              <w:t>满意度≥</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76C1">
            <w:pPr>
              <w:widowControl/>
              <w:spacing w:line="300" w:lineRule="exact"/>
              <w:jc w:val="center"/>
              <w:rPr>
                <w:rFonts w:hint="default" w:ascii="Times New Roman" w:hAnsi="Times New Roman" w:eastAsia="宋体" w:cs="Times New Roman"/>
                <w:color w:val="000000"/>
                <w:kern w:val="2"/>
                <w:sz w:val="24"/>
                <w:szCs w:val="24"/>
                <w:lang w:val="en-US" w:eastAsia="zh-CN" w:bidi="ar-SA"/>
              </w:rPr>
            </w:pPr>
            <w:r>
              <w:rPr>
                <w:rFonts w:hint="eastAsia" w:eastAsia="宋体"/>
                <w:color w:val="000000"/>
                <w:sz w:val="24"/>
                <w:lang w:val="en-US" w:eastAsia="zh-CN"/>
              </w:rPr>
              <w:t>93</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6C95">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w:t>
            </w:r>
          </w:p>
        </w:tc>
        <w:tc>
          <w:tcPr>
            <w:tcW w:w="2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D47E">
            <w:pPr>
              <w:widowControl/>
              <w:spacing w:line="300" w:lineRule="exact"/>
              <w:jc w:val="center"/>
              <w:rPr>
                <w:rFonts w:ascii="Times New Roman" w:hAnsi="Times New Roman" w:eastAsia="宋体" w:cs="Times New Roman"/>
                <w:color w:val="000000"/>
                <w:kern w:val="2"/>
                <w:sz w:val="24"/>
                <w:szCs w:val="24"/>
                <w:lang w:val="en-US" w:eastAsia="zh-CN" w:bidi="ar-SA"/>
              </w:rPr>
            </w:pPr>
            <w:r>
              <w:rPr>
                <w:rFonts w:hint="eastAsia" w:eastAsia="宋体"/>
                <w:color w:val="000000"/>
                <w:sz w:val="24"/>
              </w:rPr>
              <w:t>≥</w:t>
            </w:r>
            <w:r>
              <w:rPr>
                <w:rFonts w:hint="eastAsia" w:eastAsia="宋体"/>
                <w:color w:val="000000"/>
                <w:sz w:val="24"/>
                <w:lang w:val="en-US" w:eastAsia="zh-CN"/>
              </w:rPr>
              <w:t>93</w:t>
            </w:r>
            <w:r>
              <w:rPr>
                <w:rFonts w:hint="eastAsia" w:eastAsia="宋体"/>
                <w:color w:val="000000"/>
                <w:sz w:val="24"/>
              </w:rPr>
              <w:t>%</w:t>
            </w:r>
          </w:p>
        </w:tc>
      </w:tr>
    </w:tbl>
    <w:p w14:paraId="118A598E">
      <w:pPr>
        <w:pStyle w:val="38"/>
        <w:spacing w:before="93" w:beforeLines="0"/>
        <w:rPr>
          <w:rFonts w:ascii="Times New Roman" w:cs="宋体"/>
          <w:color w:val="FF0000"/>
          <w:sz w:val="32"/>
          <w:szCs w:val="32"/>
          <w:highlight w:val="yellow"/>
          <w:shd w:val="clear" w:color="auto" w:fill="FFFFFF"/>
          <w:lang w:val="zh-CN"/>
        </w:rPr>
      </w:pPr>
    </w:p>
    <w:p w14:paraId="6EB7FA81">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44ABEDDD">
      <w:pPr>
        <w:keepNext w:val="0"/>
        <w:keepLines w:val="0"/>
        <w:widowControl/>
        <w:suppressLineNumbers w:val="0"/>
        <w:jc w:val="left"/>
        <w:rPr>
          <w:rStyle w:val="31"/>
          <w:rFonts w:eastAsia="黑体"/>
          <w:b w:val="0"/>
        </w:rPr>
      </w:pPr>
      <w:r>
        <w:rPr>
          <w:rFonts w:ascii="方正黑体_GBK" w:hAnsi="方正黑体_GBK" w:eastAsia="方正黑体_GBK" w:cs="方正黑体_GBK"/>
          <w:color w:val="000000"/>
          <w:kern w:val="0"/>
          <w:sz w:val="31"/>
          <w:szCs w:val="31"/>
          <w:lang w:val="en-US" w:eastAsia="zh-CN" w:bidi="ar"/>
        </w:rPr>
        <w:t>附表：部门预算项目支出绩效自评表（2025年度）</w:t>
      </w:r>
    </w:p>
    <w:tbl>
      <w:tblPr>
        <w:tblStyle w:val="15"/>
        <w:tblW w:w="90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161"/>
        <w:gridCol w:w="1016"/>
        <w:gridCol w:w="1299"/>
        <w:gridCol w:w="680"/>
        <w:gridCol w:w="750"/>
        <w:gridCol w:w="600"/>
        <w:gridCol w:w="705"/>
        <w:gridCol w:w="525"/>
        <w:gridCol w:w="435"/>
        <w:gridCol w:w="1273"/>
      </w:tblGrid>
      <w:tr w14:paraId="26381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 w:hRule="atLeast"/>
        </w:trPr>
        <w:tc>
          <w:tcPr>
            <w:tcW w:w="90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616B18">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0F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35C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E611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51041125T000013539205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村（社区）换届工作经费</w:t>
            </w:r>
          </w:p>
        </w:tc>
      </w:tr>
      <w:tr w14:paraId="799E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C8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A7E8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中共攀枝花市仁和区委社会工作部部门</w:t>
            </w:r>
          </w:p>
        </w:tc>
        <w:tc>
          <w:tcPr>
            <w:tcW w:w="705" w:type="dxa"/>
            <w:tcBorders>
              <w:top w:val="nil"/>
              <w:left w:val="nil"/>
              <w:bottom w:val="nil"/>
              <w:right w:val="nil"/>
            </w:tcBorders>
            <w:shd w:val="clear" w:color="auto" w:fill="auto"/>
            <w:vAlign w:val="center"/>
          </w:tcPr>
          <w:p w14:paraId="2A73039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36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w:t>
            </w:r>
          </w:p>
        </w:tc>
      </w:tr>
      <w:tr w14:paraId="45AC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0F5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20C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A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23E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707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A099">
            <w:pPr>
              <w:rPr>
                <w:rFonts w:hint="eastAsia" w:ascii="宋体" w:hAnsi="宋体" w:eastAsia="宋体" w:cs="宋体"/>
                <w:i w:val="0"/>
                <w:iCs w:val="0"/>
                <w:color w:val="000000"/>
                <w:sz w:val="18"/>
                <w:szCs w:val="18"/>
                <w:u w:val="none"/>
              </w:rPr>
            </w:pP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81448">
            <w:pPr>
              <w:rPr>
                <w:rFonts w:hint="eastAsia" w:ascii="宋体" w:hAnsi="宋体" w:eastAsia="宋体" w:cs="宋体"/>
                <w:i w:val="0"/>
                <w:iCs w:val="0"/>
                <w:color w:val="000000"/>
                <w:sz w:val="18"/>
                <w:szCs w:val="18"/>
                <w:u w:val="none"/>
              </w:rPr>
            </w:pPr>
          </w:p>
        </w:tc>
        <w:tc>
          <w:tcPr>
            <w:tcW w:w="43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F2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中华人民共和国村民委员会组织法》《中华人民共和国城市居民委员会组织法》，按照省、市、区委工作安排，启动第十二届13个乡镇（街道）81个村（社区）换届工作，涉及人数980余名村（社区）、组干部。</w:t>
            </w:r>
          </w:p>
        </w:tc>
        <w:tc>
          <w:tcPr>
            <w:tcW w:w="29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4E9B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iCs/>
                <w:color w:val="000000"/>
                <w:kern w:val="0"/>
                <w:sz w:val="18"/>
                <w:szCs w:val="18"/>
                <w:u w:val="none"/>
                <w:lang w:val="en-US" w:eastAsia="zh-CN" w:bidi="ar"/>
              </w:rPr>
              <w:t>项目各项筹备任务已全面完成</w:t>
            </w:r>
          </w:p>
        </w:tc>
      </w:tr>
      <w:tr w14:paraId="7670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BF1A5">
            <w:pP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BD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2E9325">
            <w:pPr>
              <w:rPr>
                <w:rFonts w:hint="eastAsia" w:ascii="宋体" w:hAnsi="宋体" w:eastAsia="宋体" w:cs="宋体"/>
                <w:i w:val="0"/>
                <w:iCs w:val="0"/>
                <w:color w:val="000000"/>
                <w:sz w:val="18"/>
                <w:szCs w:val="18"/>
                <w:u w:val="none"/>
              </w:rPr>
            </w:pPr>
          </w:p>
        </w:tc>
      </w:tr>
      <w:tr w14:paraId="7BAAC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6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1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3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F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48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D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3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6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0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136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0056">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A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2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7.31</w:t>
            </w: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0A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A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C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D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0DBF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项目各项筹备任务已全面完成，社会效益显著，但因资金尚未支付到位，预算执行率不达标，建议尽快落实资金支付。</w:t>
            </w:r>
          </w:p>
        </w:tc>
      </w:tr>
      <w:tr w14:paraId="7707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93447">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2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1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9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7.31</w:t>
            </w: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4D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5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D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EDA1B">
            <w:pPr>
              <w:rPr>
                <w:rFonts w:hint="eastAsia" w:ascii="黑体" w:hAnsi="黑体" w:eastAsia="黑体" w:cs="黑体"/>
                <w:i/>
                <w:iCs/>
                <w:color w:val="000000"/>
                <w:sz w:val="18"/>
                <w:szCs w:val="18"/>
                <w:u w:val="none"/>
              </w:rPr>
            </w:pPr>
          </w:p>
        </w:tc>
      </w:tr>
      <w:tr w14:paraId="47376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C4DED">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3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D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2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82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6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A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8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A2637">
            <w:pPr>
              <w:rPr>
                <w:rFonts w:hint="eastAsia" w:ascii="黑体" w:hAnsi="黑体" w:eastAsia="黑体" w:cs="黑体"/>
                <w:i/>
                <w:iCs/>
                <w:color w:val="000000"/>
                <w:sz w:val="18"/>
                <w:szCs w:val="18"/>
                <w:u w:val="none"/>
              </w:rPr>
            </w:pPr>
          </w:p>
        </w:tc>
      </w:tr>
      <w:tr w14:paraId="540DE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A5D1">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5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9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50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B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5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8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F92FE">
            <w:pPr>
              <w:rPr>
                <w:rFonts w:hint="eastAsia" w:ascii="黑体" w:hAnsi="黑体" w:eastAsia="黑体" w:cs="黑体"/>
                <w:i/>
                <w:iCs/>
                <w:color w:val="000000"/>
                <w:sz w:val="18"/>
                <w:szCs w:val="18"/>
                <w:u w:val="none"/>
              </w:rPr>
            </w:pPr>
          </w:p>
        </w:tc>
      </w:tr>
      <w:tr w14:paraId="0C33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AC4A2">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5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B4A9">
            <w:pPr>
              <w:jc w:val="center"/>
              <w:rPr>
                <w:rFonts w:hint="eastAsia" w:ascii="微软雅黑" w:hAnsi="微软雅黑" w:eastAsia="微软雅黑" w:cs="微软雅黑"/>
                <w:i/>
                <w:iCs/>
                <w:color w:val="000000"/>
                <w:sz w:val="16"/>
                <w:szCs w:val="16"/>
                <w:u w:val="none"/>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1308">
            <w:pPr>
              <w:jc w:val="center"/>
              <w:rPr>
                <w:rFonts w:hint="eastAsia" w:ascii="微软雅黑" w:hAnsi="微软雅黑" w:eastAsia="微软雅黑" w:cs="微软雅黑"/>
                <w:i/>
                <w:iCs/>
                <w:color w:val="000000"/>
                <w:sz w:val="16"/>
                <w:szCs w:val="16"/>
                <w:u w:val="none"/>
              </w:rPr>
            </w:pPr>
          </w:p>
        </w:tc>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50042">
            <w:pPr>
              <w:jc w:val="center"/>
              <w:rPr>
                <w:rFonts w:hint="eastAsia" w:ascii="微软雅黑" w:hAnsi="微软雅黑" w:eastAsia="微软雅黑" w:cs="微软雅黑"/>
                <w:i/>
                <w:iCs/>
                <w:color w:val="000000"/>
                <w:sz w:val="16"/>
                <w:szCs w:val="16"/>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BE18">
            <w:pPr>
              <w:jc w:val="center"/>
              <w:rPr>
                <w:rFonts w:hint="eastAsia" w:ascii="微软雅黑" w:hAnsi="微软雅黑" w:eastAsia="微软雅黑" w:cs="微软雅黑"/>
                <w:i/>
                <w:iCs/>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1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0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C2A2E">
            <w:pPr>
              <w:rPr>
                <w:rFonts w:hint="eastAsia" w:ascii="黑体" w:hAnsi="黑体" w:eastAsia="黑体" w:cs="黑体"/>
                <w:i/>
                <w:iCs/>
                <w:color w:val="000000"/>
                <w:sz w:val="18"/>
                <w:szCs w:val="18"/>
                <w:u w:val="none"/>
              </w:rPr>
            </w:pPr>
          </w:p>
        </w:tc>
      </w:tr>
      <w:tr w14:paraId="2F12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5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E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4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D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6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4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E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F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9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9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1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2F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93860">
            <w:pPr>
              <w:jc w:val="center"/>
              <w:rPr>
                <w:rFonts w:hint="eastAsia" w:ascii="宋体" w:hAnsi="宋体" w:eastAsia="宋体" w:cs="宋体"/>
                <w:i w:val="0"/>
                <w:iCs w:val="0"/>
                <w:color w:val="000000"/>
                <w:sz w:val="18"/>
                <w:szCs w:val="18"/>
                <w:u w:val="none"/>
              </w:rPr>
            </w:pPr>
          </w:p>
        </w:tc>
        <w:tc>
          <w:tcPr>
            <w:tcW w:w="1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A7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B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9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村（社区）、组换届涉及干部人数</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9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5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C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42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9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8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0F24">
            <w:pPr>
              <w:jc w:val="center"/>
              <w:rPr>
                <w:rFonts w:hint="eastAsia" w:ascii="微软雅黑" w:hAnsi="微软雅黑" w:eastAsia="微软雅黑" w:cs="微软雅黑"/>
                <w:i/>
                <w:iCs/>
                <w:color w:val="000000"/>
                <w:sz w:val="16"/>
                <w:szCs w:val="16"/>
                <w:u w:val="none"/>
              </w:rPr>
            </w:pPr>
          </w:p>
        </w:tc>
      </w:tr>
      <w:tr w14:paraId="6EB6D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52AE">
            <w:pPr>
              <w:jc w:val="center"/>
              <w:rPr>
                <w:rFonts w:hint="eastAsia" w:ascii="宋体" w:hAnsi="宋体" w:eastAsia="宋体" w:cs="宋体"/>
                <w:i w:val="0"/>
                <w:iCs w:val="0"/>
                <w:color w:val="000000"/>
                <w:sz w:val="18"/>
                <w:szCs w:val="18"/>
                <w:u w:val="none"/>
              </w:rPr>
            </w:pP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B7287">
            <w:pPr>
              <w:jc w:val="center"/>
              <w:rPr>
                <w:rFonts w:hint="eastAsia" w:ascii="宋体" w:hAnsi="宋体" w:eastAsia="宋体" w:cs="宋体"/>
                <w:i w:val="0"/>
                <w:iCs w:val="0"/>
                <w:color w:val="000000"/>
                <w:sz w:val="18"/>
                <w:szCs w:val="18"/>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2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6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考核合格率</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4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D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60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5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0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6146">
            <w:pPr>
              <w:jc w:val="center"/>
              <w:rPr>
                <w:rFonts w:hint="eastAsia" w:ascii="微软雅黑" w:hAnsi="微软雅黑" w:eastAsia="微软雅黑" w:cs="微软雅黑"/>
                <w:i/>
                <w:iCs/>
                <w:color w:val="000000"/>
                <w:sz w:val="16"/>
                <w:szCs w:val="16"/>
                <w:u w:val="none"/>
              </w:rPr>
            </w:pPr>
          </w:p>
        </w:tc>
      </w:tr>
      <w:tr w14:paraId="10C7D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D9ABE">
            <w:pPr>
              <w:jc w:val="center"/>
              <w:rPr>
                <w:rFonts w:hint="eastAsia" w:ascii="宋体" w:hAnsi="宋体" w:eastAsia="宋体" w:cs="宋体"/>
                <w:i w:val="0"/>
                <w:iCs w:val="0"/>
                <w:color w:val="000000"/>
                <w:sz w:val="18"/>
                <w:szCs w:val="18"/>
                <w:u w:val="none"/>
              </w:rPr>
            </w:pP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315B0">
            <w:pPr>
              <w:jc w:val="center"/>
              <w:rPr>
                <w:rFonts w:hint="eastAsia" w:ascii="宋体" w:hAnsi="宋体" w:eastAsia="宋体" w:cs="宋体"/>
                <w:i w:val="0"/>
                <w:iCs w:val="0"/>
                <w:color w:val="000000"/>
                <w:sz w:val="18"/>
                <w:szCs w:val="18"/>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9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2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4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F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D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BE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D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C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A2E4">
            <w:pPr>
              <w:jc w:val="center"/>
              <w:rPr>
                <w:rFonts w:hint="eastAsia" w:ascii="微软雅黑" w:hAnsi="微软雅黑" w:eastAsia="微软雅黑" w:cs="微软雅黑"/>
                <w:i/>
                <w:iCs/>
                <w:color w:val="000000"/>
                <w:sz w:val="16"/>
                <w:szCs w:val="16"/>
                <w:u w:val="none"/>
              </w:rPr>
            </w:pPr>
          </w:p>
        </w:tc>
      </w:tr>
      <w:tr w14:paraId="76FE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8F108">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C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B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C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推动村（社区）、组换届工作</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B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3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推动村（社区）组换届工作</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C3F3">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C1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推动村（社区）组换届工作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3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5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r>
              <w:rPr>
                <w:rFonts w:hint="eastAsia" w:ascii="宋体" w:hAnsi="宋体" w:cs="宋体"/>
                <w:i w:val="0"/>
                <w:iCs w:val="0"/>
                <w:color w:val="000000"/>
                <w:kern w:val="0"/>
                <w:sz w:val="18"/>
                <w:szCs w:val="18"/>
                <w:u w:val="none"/>
                <w:lang w:val="en-US" w:eastAsia="zh-CN" w:bidi="ar"/>
              </w:rPr>
              <w:t>9</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1309">
            <w:pPr>
              <w:jc w:val="center"/>
              <w:rPr>
                <w:rFonts w:hint="eastAsia" w:ascii="微软雅黑" w:hAnsi="微软雅黑" w:eastAsia="微软雅黑" w:cs="微软雅黑"/>
                <w:i/>
                <w:iCs/>
                <w:color w:val="000000"/>
                <w:sz w:val="16"/>
                <w:szCs w:val="16"/>
                <w:u w:val="none"/>
              </w:rPr>
            </w:pPr>
          </w:p>
        </w:tc>
      </w:tr>
      <w:tr w14:paraId="381C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C500A">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C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3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0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考核对象满意度</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6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A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0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48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8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CBB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B307">
            <w:pPr>
              <w:jc w:val="center"/>
              <w:rPr>
                <w:rFonts w:hint="eastAsia" w:ascii="微软雅黑" w:hAnsi="微软雅黑" w:eastAsia="微软雅黑" w:cs="微软雅黑"/>
                <w:i/>
                <w:iCs/>
                <w:color w:val="000000"/>
                <w:sz w:val="16"/>
                <w:szCs w:val="16"/>
                <w:u w:val="none"/>
              </w:rPr>
            </w:pPr>
          </w:p>
        </w:tc>
      </w:tr>
      <w:tr w14:paraId="0735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4DA8D">
            <w:pPr>
              <w:jc w:val="center"/>
              <w:rPr>
                <w:rFonts w:hint="eastAsia" w:ascii="宋体" w:hAnsi="宋体" w:eastAsia="宋体" w:cs="宋体"/>
                <w:i w:val="0"/>
                <w:iCs w:val="0"/>
                <w:color w:val="000000"/>
                <w:sz w:val="18"/>
                <w:szCs w:val="18"/>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A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8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E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换届工作业务培训，到乡镇村（社区）开展业务指导，监督检查，宣传、氛围营造等工作</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9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F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9D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2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3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B659">
            <w:pPr>
              <w:jc w:val="center"/>
              <w:rPr>
                <w:rFonts w:hint="eastAsia" w:ascii="微软雅黑" w:hAnsi="微软雅黑" w:eastAsia="微软雅黑" w:cs="微软雅黑"/>
                <w:i/>
                <w:iCs/>
                <w:color w:val="000000"/>
                <w:sz w:val="16"/>
                <w:szCs w:val="16"/>
                <w:u w:val="none"/>
              </w:rPr>
            </w:pPr>
          </w:p>
        </w:tc>
      </w:tr>
      <w:tr w14:paraId="5C37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78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671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2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34A1">
            <w:pPr>
              <w:keepNext w:val="0"/>
              <w:keepLines w:val="0"/>
              <w:widowControl/>
              <w:suppressLineNumbers w:val="0"/>
              <w:jc w:val="right"/>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95</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3009">
            <w:pPr>
              <w:rPr>
                <w:rFonts w:hint="eastAsia" w:ascii="宋体" w:hAnsi="宋体" w:eastAsia="宋体" w:cs="宋体"/>
                <w:i w:val="0"/>
                <w:iCs w:val="0"/>
                <w:color w:val="000000"/>
                <w:sz w:val="18"/>
                <w:szCs w:val="18"/>
                <w:u w:val="none"/>
              </w:rPr>
            </w:pPr>
          </w:p>
        </w:tc>
      </w:tr>
      <w:tr w14:paraId="6490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3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2EDB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自评总分95分，截至2025年12月，仁和区所辖13个乡镇（街道）81个村（社区）的换届筹备工作已全部完成。通过项目实施，全面实现了“底数清、人选优、审计严、风气正、风险控”的筹备目标，为正式换届选举奠定了坚实基础。项目整体完成率达到100%。项目各项筹备任务已全面完成，社会效益显著，但因资金尚未支付到位，预算执行率不达标，综合评价为“良好”，建议尽快落实资金支付。</w:t>
            </w:r>
          </w:p>
        </w:tc>
      </w:tr>
      <w:tr w14:paraId="4C71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4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0C32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一是资金支付进度滞后，项目已完成但资金尚未到位；二是个别村财务审计历史遗留问题整改难度大；三是少数村风险化解仍需持续用力；四是对常年在外人员等特殊群体的政策宣传存在盲区。</w:t>
            </w:r>
          </w:p>
        </w:tc>
      </w:tr>
      <w:tr w14:paraId="043E0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C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44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930C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是加快资金拨付，确保项目资金及时到位；二是持续化解风险，巩固重点难点村整治成果；三是分类开展培训，增强针对性和实效性；四是规范档案管理，实现全程留痕；五是下沉监督力量，消除监督盲区；六是健全长效机制，推动后备培养和离任关怀制度化。</w:t>
            </w:r>
          </w:p>
        </w:tc>
      </w:tr>
      <w:tr w14:paraId="226D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47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EC0D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项目负责人：张浩洁</w:t>
            </w:r>
          </w:p>
        </w:tc>
        <w:tc>
          <w:tcPr>
            <w:tcW w:w="42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50F9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财务负责人：张宝瑞</w:t>
            </w:r>
          </w:p>
        </w:tc>
      </w:tr>
    </w:tbl>
    <w:p w14:paraId="6C926542">
      <w:pPr>
        <w:spacing w:line="572" w:lineRule="exact"/>
        <w:jc w:val="left"/>
        <w:outlineLvl w:val="0"/>
        <w:rPr>
          <w:rFonts w:eastAsia="黑体" w:cs="黑体"/>
          <w:color w:val="FF0000"/>
          <w:sz w:val="32"/>
          <w:szCs w:val="32"/>
        </w:rPr>
      </w:pPr>
    </w:p>
    <w:p w14:paraId="7AA8FEEB">
      <w:pPr>
        <w:spacing w:line="572" w:lineRule="exact"/>
        <w:jc w:val="left"/>
        <w:outlineLvl w:val="0"/>
        <w:rPr>
          <w:rFonts w:eastAsia="黑体" w:cs="黑体"/>
          <w:color w:val="FF0000"/>
          <w:sz w:val="32"/>
          <w:szCs w:val="32"/>
        </w:rPr>
      </w:pPr>
    </w:p>
    <w:p w14:paraId="69CE44BA">
      <w:pPr>
        <w:spacing w:line="572" w:lineRule="exact"/>
        <w:jc w:val="left"/>
        <w:outlineLvl w:val="0"/>
        <w:rPr>
          <w:rFonts w:eastAsia="黑体" w:cs="黑体"/>
          <w:color w:val="FF0000"/>
          <w:sz w:val="32"/>
          <w:szCs w:val="32"/>
        </w:rPr>
      </w:pPr>
    </w:p>
    <w:p w14:paraId="683FFAAD">
      <w:pPr>
        <w:spacing w:line="572" w:lineRule="exact"/>
        <w:jc w:val="left"/>
        <w:outlineLvl w:val="0"/>
        <w:rPr>
          <w:rFonts w:eastAsia="黑体" w:cs="黑体"/>
          <w:color w:val="FF0000"/>
          <w:sz w:val="32"/>
          <w:szCs w:val="32"/>
        </w:rPr>
      </w:pPr>
    </w:p>
    <w:p w14:paraId="1A519544">
      <w:pPr>
        <w:spacing w:line="572" w:lineRule="exact"/>
        <w:jc w:val="left"/>
        <w:outlineLvl w:val="0"/>
        <w:rPr>
          <w:rFonts w:eastAsia="黑体" w:cs="黑体"/>
          <w:color w:val="FF0000"/>
          <w:sz w:val="32"/>
          <w:szCs w:val="32"/>
        </w:rPr>
      </w:pPr>
    </w:p>
    <w:p w14:paraId="198DE4B4">
      <w:pPr>
        <w:spacing w:line="572" w:lineRule="exact"/>
        <w:jc w:val="left"/>
        <w:outlineLvl w:val="0"/>
        <w:rPr>
          <w:rFonts w:eastAsia="黑体" w:cs="黑体"/>
          <w:color w:val="FF0000"/>
          <w:sz w:val="32"/>
          <w:szCs w:val="32"/>
        </w:rPr>
      </w:pPr>
    </w:p>
    <w:p w14:paraId="0259B65B">
      <w:pPr>
        <w:spacing w:line="572" w:lineRule="exact"/>
        <w:jc w:val="left"/>
        <w:outlineLvl w:val="0"/>
        <w:rPr>
          <w:rFonts w:eastAsia="黑体" w:cs="黑体"/>
          <w:color w:val="FF0000"/>
          <w:sz w:val="32"/>
          <w:szCs w:val="32"/>
        </w:rPr>
      </w:pPr>
    </w:p>
    <w:p w14:paraId="1B17A362">
      <w:pPr>
        <w:spacing w:line="572" w:lineRule="exact"/>
        <w:jc w:val="left"/>
        <w:outlineLvl w:val="0"/>
        <w:rPr>
          <w:rFonts w:eastAsia="黑体" w:cs="黑体"/>
          <w:color w:val="FF0000"/>
          <w:sz w:val="32"/>
          <w:szCs w:val="32"/>
        </w:rPr>
      </w:pPr>
    </w:p>
    <w:p w14:paraId="4816C6EE">
      <w:pPr>
        <w:spacing w:line="572" w:lineRule="exact"/>
        <w:jc w:val="left"/>
        <w:outlineLvl w:val="0"/>
        <w:rPr>
          <w:rFonts w:eastAsia="黑体" w:cs="黑体"/>
          <w:color w:val="FF0000"/>
          <w:sz w:val="32"/>
          <w:szCs w:val="32"/>
        </w:rPr>
      </w:pPr>
    </w:p>
    <w:p w14:paraId="62AC7B7B">
      <w:pPr>
        <w:spacing w:line="572" w:lineRule="exact"/>
        <w:jc w:val="left"/>
        <w:outlineLvl w:val="0"/>
        <w:rPr>
          <w:rFonts w:eastAsia="黑体" w:cs="黑体"/>
          <w:color w:val="FF0000"/>
          <w:sz w:val="32"/>
          <w:szCs w:val="32"/>
        </w:rPr>
      </w:pPr>
    </w:p>
    <w:p w14:paraId="1AB51399">
      <w:pPr>
        <w:spacing w:line="572" w:lineRule="exact"/>
        <w:jc w:val="left"/>
        <w:outlineLvl w:val="0"/>
        <w:rPr>
          <w:rFonts w:eastAsia="黑体" w:cs="黑体"/>
          <w:color w:val="FF0000"/>
          <w:sz w:val="32"/>
          <w:szCs w:val="32"/>
        </w:rPr>
      </w:pPr>
    </w:p>
    <w:tbl>
      <w:tblPr>
        <w:tblStyle w:val="15"/>
        <w:tblW w:w="93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291"/>
        <w:gridCol w:w="925"/>
        <w:gridCol w:w="1307"/>
        <w:gridCol w:w="708"/>
        <w:gridCol w:w="672"/>
        <w:gridCol w:w="618"/>
        <w:gridCol w:w="1035"/>
        <w:gridCol w:w="569"/>
        <w:gridCol w:w="483"/>
        <w:gridCol w:w="1161"/>
      </w:tblGrid>
      <w:tr w14:paraId="667B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34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5EE34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349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1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DF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D127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51041125T000013225504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村干部保险经费</w:t>
            </w:r>
          </w:p>
        </w:tc>
      </w:tr>
      <w:tr w14:paraId="76CA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DC8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2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137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中共攀枝花市仁和区委社会工作部部门</w:t>
            </w:r>
          </w:p>
        </w:tc>
        <w:tc>
          <w:tcPr>
            <w:tcW w:w="1035" w:type="dxa"/>
            <w:tcBorders>
              <w:top w:val="nil"/>
              <w:left w:val="nil"/>
              <w:bottom w:val="nil"/>
              <w:right w:val="nil"/>
            </w:tcBorders>
            <w:shd w:val="clear" w:color="auto" w:fill="auto"/>
            <w:vAlign w:val="center"/>
          </w:tcPr>
          <w:p w14:paraId="3B3B14C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3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w:t>
            </w:r>
          </w:p>
        </w:tc>
      </w:tr>
      <w:tr w14:paraId="09F1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EAE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7DB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2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07A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B9476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FE2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9B112">
            <w:pP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1993A">
            <w:pPr>
              <w:rPr>
                <w:rFonts w:hint="eastAsia" w:ascii="宋体" w:hAnsi="宋体" w:eastAsia="宋体" w:cs="宋体"/>
                <w:i w:val="0"/>
                <w:iCs w:val="0"/>
                <w:color w:val="000000"/>
                <w:sz w:val="18"/>
                <w:szCs w:val="18"/>
                <w:u w:val="none"/>
              </w:rPr>
            </w:pPr>
          </w:p>
        </w:tc>
        <w:tc>
          <w:tcPr>
            <w:tcW w:w="42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DD8E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提高村干部报酬和保障水平，全额补助村干部参加“花城保”，作为大病保障补充</w:t>
            </w:r>
          </w:p>
        </w:tc>
        <w:tc>
          <w:tcPr>
            <w:tcW w:w="32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4764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村组干部共计291名，实际购买人数291名，全部参保</w:t>
            </w:r>
            <w:r>
              <w:rPr>
                <w:rFonts w:hint="eastAsia" w:ascii="黑体" w:hAnsi="黑体" w:eastAsia="黑体" w:cs="黑体"/>
                <w:i w:val="0"/>
                <w:iCs w:val="0"/>
                <w:color w:val="000000"/>
                <w:kern w:val="0"/>
                <w:sz w:val="18"/>
                <w:szCs w:val="18"/>
                <w:u w:val="none"/>
                <w:lang w:val="en-US" w:eastAsia="zh-CN" w:bidi="ar"/>
              </w:rPr>
              <w:t>。</w:t>
            </w:r>
          </w:p>
        </w:tc>
      </w:tr>
      <w:tr w14:paraId="1ED84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A746D">
            <w:pP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80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8BE2B1">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村组干部291名，购买“花城保”</w:t>
            </w:r>
          </w:p>
        </w:tc>
      </w:tr>
      <w:tr w14:paraId="28B05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60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D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5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5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4E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F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9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8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2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17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4E446">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A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F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C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B5B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1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3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3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B2517">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607E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AD2BD">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3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1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9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FA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B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A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C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45EE">
            <w:pPr>
              <w:rPr>
                <w:rFonts w:hint="eastAsia" w:ascii="黑体" w:hAnsi="黑体" w:eastAsia="黑体" w:cs="黑体"/>
                <w:i/>
                <w:iCs/>
                <w:color w:val="000000"/>
                <w:sz w:val="18"/>
                <w:szCs w:val="18"/>
                <w:u w:val="none"/>
              </w:rPr>
            </w:pPr>
          </w:p>
        </w:tc>
      </w:tr>
      <w:tr w14:paraId="1C96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93B76">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8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9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1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4F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8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9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D48F1">
            <w:pPr>
              <w:rPr>
                <w:rFonts w:hint="eastAsia" w:ascii="黑体" w:hAnsi="黑体" w:eastAsia="黑体" w:cs="黑体"/>
                <w:i/>
                <w:iCs/>
                <w:color w:val="000000"/>
                <w:sz w:val="18"/>
                <w:szCs w:val="18"/>
                <w:u w:val="none"/>
              </w:rPr>
            </w:pPr>
          </w:p>
        </w:tc>
      </w:tr>
      <w:tr w14:paraId="7E1E0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C076">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0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8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9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05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A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8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9203C">
            <w:pPr>
              <w:rPr>
                <w:rFonts w:hint="eastAsia" w:ascii="黑体" w:hAnsi="黑体" w:eastAsia="黑体" w:cs="黑体"/>
                <w:i/>
                <w:iCs/>
                <w:color w:val="000000"/>
                <w:sz w:val="18"/>
                <w:szCs w:val="18"/>
                <w:u w:val="none"/>
              </w:rPr>
            </w:pPr>
          </w:p>
        </w:tc>
      </w:tr>
      <w:tr w14:paraId="1DAE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1CF5">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C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4792">
            <w:pPr>
              <w:jc w:val="center"/>
              <w:rPr>
                <w:rFonts w:hint="eastAsia" w:ascii="微软雅黑" w:hAnsi="微软雅黑" w:eastAsia="微软雅黑" w:cs="微软雅黑"/>
                <w:i/>
                <w:iCs/>
                <w:color w:val="000000"/>
                <w:sz w:val="16"/>
                <w:szCs w:val="16"/>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D0CA">
            <w:pPr>
              <w:jc w:val="center"/>
              <w:rPr>
                <w:rFonts w:hint="eastAsia" w:ascii="微软雅黑" w:hAnsi="微软雅黑" w:eastAsia="微软雅黑" w:cs="微软雅黑"/>
                <w:i/>
                <w:iCs/>
                <w:color w:val="000000"/>
                <w:sz w:val="16"/>
                <w:szCs w:val="16"/>
                <w:u w:val="none"/>
              </w:rPr>
            </w:pPr>
          </w:p>
        </w:tc>
        <w:tc>
          <w:tcPr>
            <w:tcW w:w="19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223E3">
            <w:pPr>
              <w:jc w:val="center"/>
              <w:rPr>
                <w:rFonts w:hint="eastAsia" w:ascii="微软雅黑" w:hAnsi="微软雅黑" w:eastAsia="微软雅黑" w:cs="微软雅黑"/>
                <w:i/>
                <w:iCs/>
                <w:color w:val="000000"/>
                <w:sz w:val="16"/>
                <w:szCs w:val="16"/>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EFC3">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7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E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6D75">
            <w:pPr>
              <w:rPr>
                <w:rFonts w:hint="eastAsia" w:ascii="黑体" w:hAnsi="黑体" w:eastAsia="黑体" w:cs="黑体"/>
                <w:i/>
                <w:iCs/>
                <w:color w:val="000000"/>
                <w:sz w:val="18"/>
                <w:szCs w:val="18"/>
                <w:u w:val="none"/>
              </w:rPr>
            </w:pPr>
          </w:p>
        </w:tc>
      </w:tr>
      <w:tr w14:paraId="32B9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8B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E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9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C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1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0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0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4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1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C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D2A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65803">
            <w:pPr>
              <w:jc w:val="center"/>
              <w:rPr>
                <w:rFonts w:hint="eastAsia" w:ascii="宋体" w:hAnsi="宋体" w:eastAsia="宋体" w:cs="宋体"/>
                <w:i w:val="0"/>
                <w:iCs w:val="0"/>
                <w:color w:val="000000"/>
                <w:sz w:val="18"/>
                <w:szCs w:val="18"/>
                <w:u w:val="none"/>
              </w:rPr>
            </w:pP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70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90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0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9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C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D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9CCE">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D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B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78C8">
            <w:pPr>
              <w:jc w:val="center"/>
              <w:rPr>
                <w:rFonts w:hint="eastAsia" w:ascii="微软雅黑" w:hAnsi="微软雅黑" w:eastAsia="微软雅黑" w:cs="微软雅黑"/>
                <w:i/>
                <w:iCs/>
                <w:color w:val="000000"/>
                <w:sz w:val="16"/>
                <w:szCs w:val="16"/>
                <w:u w:val="none"/>
              </w:rPr>
            </w:pPr>
          </w:p>
        </w:tc>
      </w:tr>
      <w:tr w14:paraId="0F53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60A2B">
            <w:pPr>
              <w:jc w:val="cente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69280">
            <w:pPr>
              <w:jc w:val="center"/>
              <w:rPr>
                <w:rFonts w:hint="eastAsia" w:ascii="宋体" w:hAnsi="宋体" w:eastAsia="宋体" w:cs="宋体"/>
                <w:i w:val="0"/>
                <w:iCs w:val="0"/>
                <w:color w:val="000000"/>
                <w:sz w:val="18"/>
                <w:szCs w:val="18"/>
                <w:u w:val="none"/>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2ED5E">
            <w:pPr>
              <w:jc w:val="center"/>
              <w:rPr>
                <w:rFonts w:hint="eastAsia" w:ascii="宋体" w:hAnsi="宋体" w:eastAsia="宋体" w:cs="宋体"/>
                <w:i w:val="0"/>
                <w:iCs w:val="0"/>
                <w:color w:val="000000"/>
                <w:sz w:val="18"/>
                <w:szCs w:val="18"/>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8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村干部职数</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E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4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291</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E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ACF8">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6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98A4">
            <w:pPr>
              <w:jc w:val="center"/>
              <w:rPr>
                <w:rFonts w:hint="eastAsia" w:ascii="微软雅黑" w:hAnsi="微软雅黑" w:eastAsia="微软雅黑" w:cs="微软雅黑"/>
                <w:i/>
                <w:iCs/>
                <w:color w:val="000000"/>
                <w:sz w:val="16"/>
                <w:szCs w:val="16"/>
                <w:u w:val="none"/>
              </w:rPr>
            </w:pPr>
          </w:p>
        </w:tc>
      </w:tr>
      <w:tr w14:paraId="0ACEE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F1155">
            <w:pPr>
              <w:jc w:val="cente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7AC03">
            <w:pPr>
              <w:jc w:val="center"/>
              <w:rPr>
                <w:rFonts w:hint="eastAsia" w:ascii="宋体" w:hAnsi="宋体" w:eastAsia="宋体" w:cs="宋体"/>
                <w:i w:val="0"/>
                <w:iCs w:val="0"/>
                <w:color w:val="000000"/>
                <w:sz w:val="18"/>
                <w:szCs w:val="18"/>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3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1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覆盖率</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D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9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7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C074">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1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0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452B">
            <w:pPr>
              <w:jc w:val="center"/>
              <w:rPr>
                <w:rFonts w:hint="eastAsia" w:ascii="微软雅黑" w:hAnsi="微软雅黑" w:eastAsia="微软雅黑" w:cs="微软雅黑"/>
                <w:i/>
                <w:iCs/>
                <w:color w:val="000000"/>
                <w:sz w:val="16"/>
                <w:szCs w:val="16"/>
                <w:u w:val="none"/>
              </w:rPr>
            </w:pPr>
          </w:p>
        </w:tc>
      </w:tr>
      <w:tr w14:paraId="03693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55A6D">
            <w:pPr>
              <w:jc w:val="cente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A9D2">
            <w:pPr>
              <w:jc w:val="center"/>
              <w:rPr>
                <w:rFonts w:hint="eastAsia" w:ascii="宋体" w:hAnsi="宋体" w:eastAsia="宋体" w:cs="宋体"/>
                <w:i w:val="0"/>
                <w:iCs w:val="0"/>
                <w:color w:val="000000"/>
                <w:sz w:val="18"/>
                <w:szCs w:val="18"/>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2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A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1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C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63B6">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3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6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C54A">
            <w:pPr>
              <w:jc w:val="center"/>
              <w:rPr>
                <w:rFonts w:hint="eastAsia" w:ascii="微软雅黑" w:hAnsi="微软雅黑" w:eastAsia="微软雅黑" w:cs="微软雅黑"/>
                <w:i/>
                <w:iCs/>
                <w:color w:val="000000"/>
                <w:sz w:val="16"/>
                <w:szCs w:val="16"/>
                <w:u w:val="none"/>
              </w:rPr>
            </w:pPr>
          </w:p>
        </w:tc>
      </w:tr>
      <w:tr w14:paraId="2502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50BDC">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2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5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2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提高村干部报酬和保障水平，促进村干部积极性</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8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B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提高村干部报酬和保障水平</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0788">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937D">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2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1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DC03">
            <w:pPr>
              <w:jc w:val="center"/>
              <w:rPr>
                <w:rFonts w:hint="eastAsia" w:ascii="微软雅黑" w:hAnsi="微软雅黑" w:eastAsia="微软雅黑" w:cs="微软雅黑"/>
                <w:i/>
                <w:iCs/>
                <w:color w:val="000000"/>
                <w:sz w:val="16"/>
                <w:szCs w:val="16"/>
                <w:u w:val="none"/>
              </w:rPr>
            </w:pPr>
          </w:p>
        </w:tc>
      </w:tr>
      <w:tr w14:paraId="58A48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A7A55">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7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F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受众满意度</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6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7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FBB0">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5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E15F">
            <w:pPr>
              <w:jc w:val="center"/>
              <w:rPr>
                <w:rFonts w:hint="eastAsia" w:ascii="微软雅黑" w:hAnsi="微软雅黑" w:eastAsia="微软雅黑" w:cs="微软雅黑"/>
                <w:i/>
                <w:iCs/>
                <w:color w:val="000000"/>
                <w:sz w:val="16"/>
                <w:szCs w:val="16"/>
                <w:u w:val="none"/>
              </w:rPr>
            </w:pPr>
          </w:p>
        </w:tc>
      </w:tr>
      <w:tr w14:paraId="3FF2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74619">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9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1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291名村干部，79元/年/人，共计22989元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E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9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79元/年/人</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21A6">
            <w:pPr>
              <w:jc w:val="center"/>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C9DF">
            <w:pPr>
              <w:jc w:val="center"/>
              <w:rPr>
                <w:rFonts w:hint="eastAsia" w:ascii="微软雅黑" w:hAnsi="微软雅黑" w:eastAsia="微软雅黑" w:cs="微软雅黑"/>
                <w:i/>
                <w:iCs/>
                <w:color w:val="000000"/>
                <w:sz w:val="16"/>
                <w:szCs w:val="16"/>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4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D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2201">
            <w:pPr>
              <w:jc w:val="center"/>
              <w:rPr>
                <w:rFonts w:hint="eastAsia" w:ascii="微软雅黑" w:hAnsi="微软雅黑" w:eastAsia="微软雅黑" w:cs="微软雅黑"/>
                <w:i/>
                <w:iCs/>
                <w:color w:val="000000"/>
                <w:sz w:val="16"/>
                <w:szCs w:val="16"/>
                <w:u w:val="none"/>
              </w:rPr>
            </w:pPr>
          </w:p>
        </w:tc>
      </w:tr>
      <w:tr w14:paraId="7B8E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exact"/>
        </w:trPr>
        <w:tc>
          <w:tcPr>
            <w:tcW w:w="713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939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6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C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F0F1">
            <w:pPr>
              <w:rPr>
                <w:rFonts w:hint="eastAsia" w:ascii="宋体" w:hAnsi="宋体" w:eastAsia="宋体" w:cs="宋体"/>
                <w:i w:val="0"/>
                <w:iCs w:val="0"/>
                <w:color w:val="000000"/>
                <w:sz w:val="18"/>
                <w:szCs w:val="18"/>
                <w:u w:val="none"/>
              </w:rPr>
            </w:pPr>
          </w:p>
        </w:tc>
      </w:tr>
      <w:tr w14:paraId="11081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exac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4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7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9DE6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项目自评98分，为村组干部提高报酬和保障水平，促进村干部积极性，乡村工作有序开展。</w:t>
            </w:r>
          </w:p>
        </w:tc>
      </w:tr>
      <w:tr w14:paraId="698B8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exac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6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7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8989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06F2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exac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C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7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9A51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7781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48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4886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项目负责人：张浩洁</w:t>
            </w:r>
          </w:p>
        </w:tc>
        <w:tc>
          <w:tcPr>
            <w:tcW w:w="45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A9DB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财务负责人：张宝瑞</w:t>
            </w:r>
          </w:p>
        </w:tc>
      </w:tr>
    </w:tbl>
    <w:p w14:paraId="5E2473AE">
      <w:pPr>
        <w:spacing w:line="572" w:lineRule="exact"/>
        <w:jc w:val="left"/>
        <w:outlineLvl w:val="0"/>
        <w:rPr>
          <w:rFonts w:eastAsia="黑体" w:cs="黑体"/>
          <w:color w:val="FF0000"/>
          <w:sz w:val="32"/>
          <w:szCs w:val="32"/>
        </w:rPr>
      </w:pPr>
    </w:p>
    <w:p w14:paraId="3844AED2">
      <w:pPr>
        <w:spacing w:line="572" w:lineRule="exact"/>
        <w:jc w:val="left"/>
        <w:outlineLvl w:val="0"/>
        <w:rPr>
          <w:rFonts w:eastAsia="黑体" w:cs="黑体"/>
          <w:color w:val="FF0000"/>
          <w:sz w:val="32"/>
          <w:szCs w:val="32"/>
        </w:rPr>
      </w:pPr>
    </w:p>
    <w:p w14:paraId="380B8695">
      <w:pPr>
        <w:spacing w:line="572" w:lineRule="exact"/>
        <w:jc w:val="left"/>
        <w:outlineLvl w:val="0"/>
        <w:rPr>
          <w:rFonts w:eastAsia="黑体" w:cs="黑体"/>
          <w:color w:val="FF0000"/>
          <w:sz w:val="32"/>
          <w:szCs w:val="32"/>
        </w:rPr>
      </w:pPr>
    </w:p>
    <w:p w14:paraId="701AA47E">
      <w:pPr>
        <w:spacing w:line="572" w:lineRule="exact"/>
        <w:jc w:val="left"/>
        <w:outlineLvl w:val="0"/>
        <w:rPr>
          <w:rFonts w:eastAsia="黑体" w:cs="黑体"/>
          <w:color w:val="FF0000"/>
          <w:sz w:val="32"/>
          <w:szCs w:val="32"/>
        </w:rPr>
      </w:pPr>
    </w:p>
    <w:p w14:paraId="17B68E6D">
      <w:pPr>
        <w:spacing w:line="572" w:lineRule="exact"/>
        <w:jc w:val="left"/>
        <w:outlineLvl w:val="0"/>
        <w:rPr>
          <w:rFonts w:eastAsia="黑体" w:cs="黑体"/>
          <w:color w:val="FF0000"/>
          <w:sz w:val="32"/>
          <w:szCs w:val="32"/>
        </w:rPr>
      </w:pPr>
    </w:p>
    <w:p w14:paraId="0A4AB434">
      <w:pPr>
        <w:spacing w:line="572" w:lineRule="exact"/>
        <w:jc w:val="left"/>
        <w:outlineLvl w:val="0"/>
        <w:rPr>
          <w:rFonts w:eastAsia="黑体" w:cs="黑体"/>
          <w:color w:val="FF0000"/>
          <w:sz w:val="32"/>
          <w:szCs w:val="32"/>
        </w:rPr>
      </w:pPr>
    </w:p>
    <w:p w14:paraId="4D167311">
      <w:pPr>
        <w:spacing w:line="572" w:lineRule="exact"/>
        <w:jc w:val="left"/>
        <w:outlineLvl w:val="0"/>
        <w:rPr>
          <w:rFonts w:eastAsia="黑体" w:cs="黑体"/>
          <w:color w:val="FF0000"/>
          <w:sz w:val="32"/>
          <w:szCs w:val="32"/>
        </w:rPr>
      </w:pPr>
    </w:p>
    <w:p w14:paraId="3B041819">
      <w:pPr>
        <w:spacing w:line="572" w:lineRule="exact"/>
        <w:jc w:val="left"/>
        <w:outlineLvl w:val="0"/>
        <w:rPr>
          <w:rFonts w:eastAsia="黑体" w:cs="黑体"/>
          <w:color w:val="FF0000"/>
          <w:sz w:val="32"/>
          <w:szCs w:val="32"/>
        </w:rPr>
      </w:pPr>
    </w:p>
    <w:p w14:paraId="39DAFE42">
      <w:pPr>
        <w:spacing w:line="572" w:lineRule="exact"/>
        <w:jc w:val="left"/>
        <w:outlineLvl w:val="0"/>
        <w:rPr>
          <w:rFonts w:eastAsia="黑体" w:cs="黑体"/>
          <w:color w:val="FF0000"/>
          <w:sz w:val="32"/>
          <w:szCs w:val="32"/>
        </w:rPr>
      </w:pPr>
    </w:p>
    <w:p w14:paraId="0409F6A1">
      <w:pPr>
        <w:spacing w:line="572" w:lineRule="exact"/>
        <w:jc w:val="left"/>
        <w:outlineLvl w:val="0"/>
        <w:rPr>
          <w:rFonts w:eastAsia="黑体" w:cs="黑体"/>
          <w:color w:val="FF0000"/>
          <w:sz w:val="32"/>
          <w:szCs w:val="32"/>
        </w:rPr>
      </w:pPr>
    </w:p>
    <w:p w14:paraId="409DB5D4">
      <w:pPr>
        <w:spacing w:line="572" w:lineRule="exact"/>
        <w:jc w:val="left"/>
        <w:outlineLvl w:val="0"/>
        <w:rPr>
          <w:rFonts w:eastAsia="黑体" w:cs="黑体"/>
          <w:color w:val="FF0000"/>
          <w:sz w:val="32"/>
          <w:szCs w:val="32"/>
        </w:rPr>
      </w:pPr>
    </w:p>
    <w:p w14:paraId="4FB73AE1">
      <w:pPr>
        <w:spacing w:line="572" w:lineRule="exact"/>
        <w:jc w:val="left"/>
        <w:outlineLvl w:val="0"/>
        <w:rPr>
          <w:rFonts w:eastAsia="黑体" w:cs="黑体"/>
          <w:color w:val="FF0000"/>
          <w:sz w:val="32"/>
          <w:szCs w:val="32"/>
        </w:rPr>
      </w:pPr>
    </w:p>
    <w:p w14:paraId="0A198C3B">
      <w:pPr>
        <w:spacing w:line="572" w:lineRule="exact"/>
        <w:jc w:val="left"/>
        <w:outlineLvl w:val="0"/>
        <w:rPr>
          <w:rFonts w:eastAsia="黑体" w:cs="黑体"/>
          <w:color w:val="FF0000"/>
          <w:sz w:val="32"/>
          <w:szCs w:val="32"/>
        </w:rPr>
      </w:pPr>
    </w:p>
    <w:p w14:paraId="208B1704">
      <w:pPr>
        <w:spacing w:line="572" w:lineRule="exact"/>
        <w:jc w:val="left"/>
        <w:outlineLvl w:val="0"/>
        <w:rPr>
          <w:rFonts w:eastAsia="黑体" w:cs="黑体"/>
          <w:color w:val="FF0000"/>
          <w:sz w:val="32"/>
          <w:szCs w:val="32"/>
        </w:rPr>
      </w:pPr>
    </w:p>
    <w:p w14:paraId="31FCF7D6">
      <w:pPr>
        <w:spacing w:line="572" w:lineRule="exact"/>
        <w:jc w:val="left"/>
        <w:outlineLvl w:val="0"/>
        <w:rPr>
          <w:rFonts w:eastAsia="黑体" w:cs="黑体"/>
          <w:color w:val="FF0000"/>
          <w:sz w:val="32"/>
          <w:szCs w:val="32"/>
        </w:rPr>
      </w:pPr>
    </w:p>
    <w:p w14:paraId="79D6555E">
      <w:pPr>
        <w:spacing w:line="572" w:lineRule="exact"/>
        <w:jc w:val="left"/>
        <w:outlineLvl w:val="0"/>
        <w:rPr>
          <w:rFonts w:eastAsia="黑体" w:cs="黑体"/>
          <w:color w:val="FF0000"/>
          <w:sz w:val="32"/>
          <w:szCs w:val="32"/>
        </w:rPr>
      </w:pPr>
    </w:p>
    <w:p w14:paraId="06B42604">
      <w:pPr>
        <w:spacing w:line="572" w:lineRule="exact"/>
        <w:jc w:val="left"/>
        <w:outlineLvl w:val="0"/>
        <w:rPr>
          <w:rFonts w:eastAsia="黑体" w:cs="黑体"/>
          <w:color w:val="FF0000"/>
          <w:sz w:val="32"/>
          <w:szCs w:val="32"/>
        </w:rPr>
      </w:pPr>
    </w:p>
    <w:p w14:paraId="67ABBFB8">
      <w:pPr>
        <w:spacing w:line="572" w:lineRule="exact"/>
        <w:jc w:val="left"/>
        <w:outlineLvl w:val="0"/>
        <w:rPr>
          <w:rFonts w:eastAsia="黑体" w:cs="黑体"/>
          <w:color w:val="FF0000"/>
          <w:sz w:val="32"/>
          <w:szCs w:val="32"/>
        </w:rPr>
      </w:pPr>
    </w:p>
    <w:p w14:paraId="79964773">
      <w:pPr>
        <w:spacing w:line="572" w:lineRule="exact"/>
        <w:jc w:val="left"/>
        <w:outlineLvl w:val="0"/>
        <w:rPr>
          <w:rFonts w:eastAsia="黑体" w:cs="黑体"/>
          <w:color w:val="FF0000"/>
          <w:sz w:val="32"/>
          <w:szCs w:val="32"/>
        </w:rPr>
      </w:pPr>
    </w:p>
    <w:tbl>
      <w:tblPr>
        <w:tblStyle w:val="15"/>
        <w:tblW w:w="9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021"/>
        <w:gridCol w:w="1024"/>
        <w:gridCol w:w="1245"/>
        <w:gridCol w:w="583"/>
        <w:gridCol w:w="58"/>
        <w:gridCol w:w="915"/>
        <w:gridCol w:w="576"/>
        <w:gridCol w:w="56"/>
        <w:gridCol w:w="930"/>
        <w:gridCol w:w="28"/>
        <w:gridCol w:w="10"/>
        <w:gridCol w:w="462"/>
        <w:gridCol w:w="23"/>
        <w:gridCol w:w="5"/>
        <w:gridCol w:w="397"/>
        <w:gridCol w:w="18"/>
        <w:gridCol w:w="2"/>
        <w:gridCol w:w="1311"/>
      </w:tblGrid>
      <w:tr w14:paraId="38693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924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E4D8AC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04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15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B6C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643"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8E004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51041125T000013539001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仁和区社区工作者报酬</w:t>
            </w:r>
          </w:p>
        </w:tc>
      </w:tr>
      <w:tr w14:paraId="172DB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15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EEE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4A03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中共攀枝花市仁和区委社会工作部部门</w:t>
            </w:r>
          </w:p>
        </w:tc>
        <w:tc>
          <w:tcPr>
            <w:tcW w:w="986" w:type="dxa"/>
            <w:gridSpan w:val="2"/>
            <w:tcBorders>
              <w:top w:val="nil"/>
              <w:left w:val="nil"/>
              <w:bottom w:val="nil"/>
              <w:right w:val="nil"/>
            </w:tcBorders>
            <w:shd w:val="clear" w:color="auto" w:fill="auto"/>
            <w:vAlign w:val="center"/>
          </w:tcPr>
          <w:p w14:paraId="5A4AD59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5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D83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w:t>
            </w:r>
          </w:p>
        </w:tc>
      </w:tr>
      <w:tr w14:paraId="28676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9D8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141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0FB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17BEC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5D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1B410">
            <w:pPr>
              <w:rPr>
                <w:rFonts w:hint="eastAsia" w:ascii="宋体" w:hAnsi="宋体" w:eastAsia="宋体" w:cs="宋体"/>
                <w:i w:val="0"/>
                <w:iCs w:val="0"/>
                <w:color w:val="000000"/>
                <w:sz w:val="18"/>
                <w:szCs w:val="18"/>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2730D">
            <w:pPr>
              <w:rPr>
                <w:rFonts w:hint="eastAsia" w:ascii="宋体" w:hAnsi="宋体" w:eastAsia="宋体" w:cs="宋体"/>
                <w:i w:val="0"/>
                <w:iCs w:val="0"/>
                <w:color w:val="000000"/>
                <w:sz w:val="18"/>
                <w:szCs w:val="18"/>
                <w:u w:val="none"/>
              </w:rPr>
            </w:pPr>
          </w:p>
        </w:tc>
        <w:tc>
          <w:tcPr>
            <w:tcW w:w="44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782A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中央办公厅、国务院办公厅关于加强社区工作者队伍建设的意见》明确“每万城镇常住人口拥有社区工作者18人”，根据市统计局《2023年常住人口及城镇化率》，仁和区常住人口：26.75万人，含金江镇2.07万人，城镇化率60.1%，城镇常住人口为14.83万人，需配备社区工作者267名，2021年换届确定全区社区工作者职数为245名，2025年需新增22名社区工作者。</w:t>
            </w:r>
          </w:p>
        </w:tc>
        <w:tc>
          <w:tcPr>
            <w:tcW w:w="324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5709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025年新招录22名社区工作者薪酬，22人全部按时报到。薪酬、社会保险（五险一金）按规定缴纳。</w:t>
            </w:r>
          </w:p>
        </w:tc>
      </w:tr>
      <w:tr w14:paraId="5682A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13202">
            <w:pP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0D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643"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2DF21D1">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该项目为2025年新招录22名社区工作者薪酬，22人全部按时报到。薪酬按月按相应岗位的基本报酬加薪级报酬的80%发放，社会保险（五险一金）按规定缴纳。</w:t>
            </w:r>
          </w:p>
        </w:tc>
      </w:tr>
      <w:tr w14:paraId="4572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F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6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0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8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46C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94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03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35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C5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0C0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0F53C">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5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9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148.67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4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61.04</w:t>
            </w: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108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61.04</w:t>
            </w: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D5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74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28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F6F0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5122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AD0DE">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F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148.67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6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61.04</w:t>
            </w: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24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61.04</w:t>
            </w: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33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60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32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B8AFE">
            <w:pPr>
              <w:rPr>
                <w:rFonts w:hint="eastAsia" w:ascii="黑体" w:hAnsi="黑体" w:eastAsia="黑体" w:cs="黑体"/>
                <w:i/>
                <w:iCs/>
                <w:color w:val="000000"/>
                <w:sz w:val="18"/>
                <w:szCs w:val="18"/>
                <w:u w:val="none"/>
              </w:rPr>
            </w:pPr>
          </w:p>
        </w:tc>
      </w:tr>
      <w:tr w14:paraId="62944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BDA81">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1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3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B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4D6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87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4F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2C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50791">
            <w:pPr>
              <w:rPr>
                <w:rFonts w:hint="eastAsia" w:ascii="黑体" w:hAnsi="黑体" w:eastAsia="黑体" w:cs="黑体"/>
                <w:i/>
                <w:iCs/>
                <w:color w:val="000000"/>
                <w:sz w:val="18"/>
                <w:szCs w:val="18"/>
                <w:u w:val="none"/>
              </w:rPr>
            </w:pPr>
          </w:p>
        </w:tc>
      </w:tr>
      <w:tr w14:paraId="4F9E0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302C8">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1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0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B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604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B1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E1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A6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E6161">
            <w:pPr>
              <w:rPr>
                <w:rFonts w:hint="eastAsia" w:ascii="黑体" w:hAnsi="黑体" w:eastAsia="黑体" w:cs="黑体"/>
                <w:i/>
                <w:iCs/>
                <w:color w:val="000000"/>
                <w:sz w:val="18"/>
                <w:szCs w:val="18"/>
                <w:u w:val="none"/>
              </w:rPr>
            </w:pPr>
          </w:p>
        </w:tc>
      </w:tr>
      <w:tr w14:paraId="5A29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exac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6035A">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E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5761">
            <w:pPr>
              <w:jc w:val="center"/>
              <w:rPr>
                <w:rFonts w:hint="eastAsia" w:ascii="微软雅黑" w:hAnsi="微软雅黑" w:eastAsia="微软雅黑" w:cs="微软雅黑"/>
                <w:i/>
                <w:iCs/>
                <w:color w:val="000000"/>
                <w:sz w:val="16"/>
                <w:szCs w:val="16"/>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1D37">
            <w:pPr>
              <w:jc w:val="center"/>
              <w:rPr>
                <w:rFonts w:hint="eastAsia" w:ascii="微软雅黑" w:hAnsi="微软雅黑" w:eastAsia="微软雅黑" w:cs="微软雅黑"/>
                <w:i/>
                <w:iCs/>
                <w:color w:val="000000"/>
                <w:sz w:val="16"/>
                <w:szCs w:val="16"/>
                <w:u w:val="none"/>
              </w:rPr>
            </w:pPr>
          </w:p>
        </w:tc>
        <w:tc>
          <w:tcPr>
            <w:tcW w:w="21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962D2E">
            <w:pPr>
              <w:jc w:val="center"/>
              <w:rPr>
                <w:rFonts w:hint="eastAsia" w:ascii="微软雅黑" w:hAnsi="微软雅黑" w:eastAsia="微软雅黑" w:cs="微软雅黑"/>
                <w:i/>
                <w:iCs/>
                <w:color w:val="000000"/>
                <w:sz w:val="16"/>
                <w:szCs w:val="16"/>
                <w:u w:val="none"/>
              </w:rPr>
            </w:pPr>
          </w:p>
        </w:tc>
        <w:tc>
          <w:tcPr>
            <w:tcW w:w="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FF18D">
            <w:pPr>
              <w:jc w:val="center"/>
              <w:rPr>
                <w:rFonts w:hint="eastAsia" w:ascii="微软雅黑" w:hAnsi="微软雅黑" w:eastAsia="微软雅黑" w:cs="微软雅黑"/>
                <w:i/>
                <w:iCs/>
                <w:color w:val="000000"/>
                <w:sz w:val="16"/>
                <w:szCs w:val="16"/>
                <w:u w:val="none"/>
              </w:rPr>
            </w:pPr>
          </w:p>
        </w:tc>
        <w:tc>
          <w:tcPr>
            <w:tcW w:w="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79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74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A9305">
            <w:pPr>
              <w:rPr>
                <w:rFonts w:hint="eastAsia" w:ascii="黑体" w:hAnsi="黑体" w:eastAsia="黑体" w:cs="黑体"/>
                <w:i/>
                <w:iCs/>
                <w:color w:val="000000"/>
                <w:sz w:val="18"/>
                <w:szCs w:val="18"/>
                <w:u w:val="none"/>
              </w:rPr>
            </w:pPr>
          </w:p>
        </w:tc>
      </w:tr>
      <w:tr w14:paraId="72F3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9C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9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E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B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2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4B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7E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C4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70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75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1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065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exac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87E8C">
            <w:pPr>
              <w:jc w:val="center"/>
              <w:rPr>
                <w:rFonts w:hint="eastAsia" w:ascii="宋体" w:hAnsi="宋体" w:eastAsia="宋体" w:cs="宋体"/>
                <w:i w:val="0"/>
                <w:iCs w:val="0"/>
                <w:color w:val="000000"/>
                <w:sz w:val="18"/>
                <w:szCs w:val="18"/>
                <w:u w:val="none"/>
              </w:rPr>
            </w:pP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BE133">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B247">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BDFE">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2025年新增社区工作者人数</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923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8E2AE">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6E41D">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名</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4C572">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E7213">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454AF">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0086">
            <w:pPr>
              <w:rPr>
                <w:rFonts w:hint="eastAsia" w:ascii="宋体" w:hAnsi="宋体" w:eastAsia="宋体" w:cs="宋体"/>
                <w:i w:val="0"/>
                <w:iCs w:val="0"/>
                <w:color w:val="000000"/>
                <w:kern w:val="0"/>
                <w:sz w:val="18"/>
                <w:szCs w:val="18"/>
                <w:u w:val="none"/>
                <w:lang w:val="en-US" w:eastAsia="zh-CN" w:bidi="ar"/>
              </w:rPr>
            </w:pPr>
          </w:p>
        </w:tc>
      </w:tr>
      <w:tr w14:paraId="788C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E28E2">
            <w:pPr>
              <w:jc w:val="center"/>
              <w:rPr>
                <w:rFonts w:hint="eastAsia" w:ascii="宋体" w:hAnsi="宋体" w:eastAsia="宋体" w:cs="宋体"/>
                <w:i w:val="0"/>
                <w:iCs w:val="0"/>
                <w:color w:val="000000"/>
                <w:sz w:val="18"/>
                <w:szCs w:val="18"/>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68DBF">
            <w:pPr>
              <w:rPr>
                <w:rFonts w:hint="eastAsia" w:ascii="宋体" w:hAnsi="宋体" w:eastAsia="宋体" w:cs="宋体"/>
                <w:i w:val="0"/>
                <w:iCs w:val="0"/>
                <w:color w:val="000000"/>
                <w:kern w:val="0"/>
                <w:sz w:val="18"/>
                <w:szCs w:val="18"/>
                <w:u w:val="none"/>
                <w:lang w:val="en-US" w:eastAsia="zh-CN" w:bidi="ar"/>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572F">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3427">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考核合格率</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79E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B997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4F1B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394C4">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A8783">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8A012">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256A">
            <w:pPr>
              <w:rPr>
                <w:rFonts w:hint="eastAsia" w:ascii="宋体" w:hAnsi="宋体" w:eastAsia="宋体" w:cs="宋体"/>
                <w:i w:val="0"/>
                <w:iCs w:val="0"/>
                <w:color w:val="000000"/>
                <w:kern w:val="0"/>
                <w:sz w:val="18"/>
                <w:szCs w:val="18"/>
                <w:u w:val="none"/>
                <w:lang w:val="en-US" w:eastAsia="zh-CN" w:bidi="ar"/>
              </w:rPr>
            </w:pPr>
          </w:p>
        </w:tc>
      </w:tr>
      <w:tr w14:paraId="4590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exac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37999">
            <w:pPr>
              <w:jc w:val="center"/>
              <w:rPr>
                <w:rFonts w:hint="eastAsia" w:ascii="宋体" w:hAnsi="宋体" w:eastAsia="宋体" w:cs="宋体"/>
                <w:i w:val="0"/>
                <w:iCs w:val="0"/>
                <w:color w:val="000000"/>
                <w:sz w:val="18"/>
                <w:szCs w:val="18"/>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676AD">
            <w:pPr>
              <w:rPr>
                <w:rFonts w:hint="eastAsia" w:ascii="宋体" w:hAnsi="宋体" w:eastAsia="宋体" w:cs="宋体"/>
                <w:i w:val="0"/>
                <w:iCs w:val="0"/>
                <w:color w:val="000000"/>
                <w:kern w:val="0"/>
                <w:sz w:val="18"/>
                <w:szCs w:val="18"/>
                <w:u w:val="none"/>
                <w:lang w:val="en-US" w:eastAsia="zh-CN" w:bidi="ar"/>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914C">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698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完成时限</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48C2">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65038">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6D0F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02E8C">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F12ED">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B270F">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F495">
            <w:pPr>
              <w:rPr>
                <w:rFonts w:hint="eastAsia" w:ascii="宋体" w:hAnsi="宋体" w:eastAsia="宋体" w:cs="宋体"/>
                <w:i w:val="0"/>
                <w:iCs w:val="0"/>
                <w:color w:val="000000"/>
                <w:kern w:val="0"/>
                <w:sz w:val="18"/>
                <w:szCs w:val="18"/>
                <w:u w:val="none"/>
                <w:lang w:val="en-US" w:eastAsia="zh-CN" w:bidi="ar"/>
              </w:rPr>
            </w:pPr>
          </w:p>
        </w:tc>
      </w:tr>
      <w:tr w14:paraId="37BF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7D49">
            <w:pPr>
              <w:jc w:val="center"/>
              <w:rPr>
                <w:rFonts w:hint="eastAsia" w:ascii="宋体" w:hAnsi="宋体" w:eastAsia="宋体" w:cs="宋体"/>
                <w:i w:val="0"/>
                <w:iCs w:val="0"/>
                <w:color w:val="000000"/>
                <w:sz w:val="18"/>
                <w:szCs w:val="18"/>
                <w:u w:val="none"/>
              </w:rPr>
            </w:pP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DCDA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4CE0B">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EC2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促进村（社区）干部积极性</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134D">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F1908">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切实为村（社区）赋能，基层干部工作积极性、主动性有效提高</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C7B08">
            <w:pPr>
              <w:rPr>
                <w:rFonts w:hint="eastAsia" w:ascii="宋体" w:hAnsi="宋体" w:eastAsia="宋体" w:cs="宋体"/>
                <w:i w:val="0"/>
                <w:iCs w:val="0"/>
                <w:color w:val="000000"/>
                <w:kern w:val="0"/>
                <w:sz w:val="18"/>
                <w:szCs w:val="18"/>
                <w:u w:val="none"/>
                <w:lang w:val="en-US" w:eastAsia="zh-CN" w:bidi="ar"/>
              </w:rPr>
            </w:pP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6DEE8">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切实为村（社区）赋能，基层干部工作积极性、主动性有效提高</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1F64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69BE2">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FD36">
            <w:pPr>
              <w:rPr>
                <w:rFonts w:hint="eastAsia" w:ascii="宋体" w:hAnsi="宋体" w:eastAsia="宋体" w:cs="宋体"/>
                <w:i w:val="0"/>
                <w:iCs w:val="0"/>
                <w:color w:val="000000"/>
                <w:kern w:val="0"/>
                <w:sz w:val="18"/>
                <w:szCs w:val="18"/>
                <w:u w:val="none"/>
                <w:lang w:val="en-US" w:eastAsia="zh-CN" w:bidi="ar"/>
              </w:rPr>
            </w:pPr>
          </w:p>
        </w:tc>
      </w:tr>
      <w:tr w14:paraId="3721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D4033">
            <w:pPr>
              <w:jc w:val="center"/>
              <w:rPr>
                <w:rFonts w:hint="eastAsia" w:ascii="宋体" w:hAnsi="宋体" w:eastAsia="宋体" w:cs="宋体"/>
                <w:i w:val="0"/>
                <w:iCs w:val="0"/>
                <w:color w:val="000000"/>
                <w:sz w:val="18"/>
                <w:szCs w:val="18"/>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48D04">
            <w:pPr>
              <w:rPr>
                <w:rFonts w:hint="eastAsia" w:ascii="宋体" w:hAnsi="宋体" w:eastAsia="宋体" w:cs="宋体"/>
                <w:i w:val="0"/>
                <w:iCs w:val="0"/>
                <w:color w:val="000000"/>
                <w:kern w:val="0"/>
                <w:sz w:val="18"/>
                <w:szCs w:val="18"/>
                <w:u w:val="none"/>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0043">
            <w:pPr>
              <w:rPr>
                <w:rFonts w:hint="eastAsia" w:ascii="宋体" w:hAnsi="宋体" w:eastAsia="宋体" w:cs="宋体"/>
                <w:i w:val="0"/>
                <w:iCs w:val="0"/>
                <w:color w:val="000000"/>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1D45">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社区工作者职业体系</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606C">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80213">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基本形成并不断完善优化</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C37F5">
            <w:pPr>
              <w:rPr>
                <w:rFonts w:hint="eastAsia" w:ascii="宋体" w:hAnsi="宋体" w:eastAsia="宋体" w:cs="宋体"/>
                <w:i w:val="0"/>
                <w:iCs w:val="0"/>
                <w:color w:val="000000"/>
                <w:kern w:val="0"/>
                <w:sz w:val="18"/>
                <w:szCs w:val="18"/>
                <w:u w:val="none"/>
                <w:lang w:val="en-US" w:eastAsia="zh-CN" w:bidi="ar"/>
              </w:rPr>
            </w:pP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1C3B0">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基本形成并不断完善优化</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2CF3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3B208">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7FD6">
            <w:pPr>
              <w:rPr>
                <w:rFonts w:hint="eastAsia" w:ascii="宋体" w:hAnsi="宋体" w:eastAsia="宋体" w:cs="宋体"/>
                <w:i w:val="0"/>
                <w:iCs w:val="0"/>
                <w:color w:val="000000"/>
                <w:kern w:val="0"/>
                <w:sz w:val="18"/>
                <w:szCs w:val="18"/>
                <w:u w:val="none"/>
                <w:lang w:val="en-US" w:eastAsia="zh-CN" w:bidi="ar"/>
              </w:rPr>
            </w:pPr>
          </w:p>
        </w:tc>
      </w:tr>
      <w:tr w14:paraId="17C5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E7E9E">
            <w:pPr>
              <w:jc w:val="center"/>
              <w:rPr>
                <w:rFonts w:hint="eastAsia" w:ascii="宋体" w:hAnsi="宋体" w:eastAsia="宋体" w:cs="宋体"/>
                <w:i w:val="0"/>
                <w:iCs w:val="0"/>
                <w:color w:val="000000"/>
                <w:sz w:val="18"/>
                <w:szCs w:val="18"/>
                <w:u w:val="none"/>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3E9CD">
            <w:pPr>
              <w:rPr>
                <w:rFonts w:hint="eastAsia" w:ascii="宋体" w:hAnsi="宋体" w:eastAsia="宋体" w:cs="宋体"/>
                <w:i w:val="0"/>
                <w:iCs w:val="0"/>
                <w:color w:val="000000"/>
                <w:kern w:val="0"/>
                <w:sz w:val="18"/>
                <w:szCs w:val="18"/>
                <w:u w:val="none"/>
                <w:lang w:val="en-US" w:eastAsia="zh-CN" w:bidi="ar"/>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D0E4">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A9F9">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破解“小马拉大车”突出问题</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3F3B">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49D0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社区工作者力量配备进一步加强，到2025年底，城镇每万名常住人口配备18名社区工作者</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D8082">
            <w:pPr>
              <w:rPr>
                <w:rFonts w:hint="eastAsia" w:ascii="宋体" w:hAnsi="宋体" w:eastAsia="宋体" w:cs="宋体"/>
                <w:i w:val="0"/>
                <w:iCs w:val="0"/>
                <w:color w:val="000000"/>
                <w:kern w:val="0"/>
                <w:sz w:val="18"/>
                <w:szCs w:val="18"/>
                <w:u w:val="none"/>
                <w:lang w:val="en-US" w:eastAsia="zh-CN" w:bidi="ar"/>
              </w:rPr>
            </w:pP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DB2FE">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社区工作者力量配备进一步加强，到2025年底，城镇每万名常住人口配备18名社区工作者</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EE6C9">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4F52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97F2">
            <w:pPr>
              <w:rPr>
                <w:rFonts w:hint="eastAsia" w:ascii="宋体" w:hAnsi="宋体" w:eastAsia="宋体" w:cs="宋体"/>
                <w:i w:val="0"/>
                <w:iCs w:val="0"/>
                <w:color w:val="000000"/>
                <w:kern w:val="0"/>
                <w:sz w:val="18"/>
                <w:szCs w:val="18"/>
                <w:u w:val="none"/>
                <w:lang w:val="en-US" w:eastAsia="zh-CN" w:bidi="ar"/>
              </w:rPr>
            </w:pPr>
          </w:p>
        </w:tc>
      </w:tr>
      <w:tr w14:paraId="2B2F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F4980">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CEC4">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BC8B">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B179">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8C9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92FAF">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1D43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E68CB">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A356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5418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ADD3">
            <w:pPr>
              <w:rPr>
                <w:rFonts w:hint="eastAsia" w:ascii="宋体" w:hAnsi="宋体" w:eastAsia="宋体" w:cs="宋体"/>
                <w:i w:val="0"/>
                <w:iCs w:val="0"/>
                <w:color w:val="000000"/>
                <w:kern w:val="0"/>
                <w:sz w:val="18"/>
                <w:szCs w:val="18"/>
                <w:u w:val="none"/>
                <w:lang w:val="en-US" w:eastAsia="zh-CN" w:bidi="ar"/>
              </w:rPr>
            </w:pPr>
          </w:p>
        </w:tc>
      </w:tr>
      <w:tr w14:paraId="60C4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38B3">
            <w:pPr>
              <w:jc w:val="center"/>
              <w:rPr>
                <w:rFonts w:hint="eastAsia" w:ascii="宋体" w:hAnsi="宋体" w:eastAsia="宋体" w:cs="宋体"/>
                <w:i w:val="0"/>
                <w:iCs w:val="0"/>
                <w:color w:val="000000"/>
                <w:sz w:val="18"/>
                <w:szCs w:val="18"/>
                <w:u w:val="none"/>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3A7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AA69">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E1F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22名社区工作者报酬</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D97C">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957F2">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月基本报酬4000元/人，五险一金单位承担部分每月1631.28元/人</w:t>
            </w: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E2D0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元/人</w:t>
            </w:r>
          </w:p>
        </w:tc>
        <w:tc>
          <w:tcPr>
            <w:tcW w:w="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BD1E6">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社区工作者月基本报酬4000元/人，五险一金单位承担部分每月1631.28元/人</w:t>
            </w:r>
          </w:p>
        </w:tc>
        <w:tc>
          <w:tcPr>
            <w:tcW w:w="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67339">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ADFFB">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8176">
            <w:pPr>
              <w:rPr>
                <w:rFonts w:hint="eastAsia" w:ascii="宋体" w:hAnsi="宋体" w:eastAsia="宋体" w:cs="宋体"/>
                <w:i w:val="0"/>
                <w:iCs w:val="0"/>
                <w:color w:val="000000"/>
                <w:kern w:val="0"/>
                <w:sz w:val="18"/>
                <w:szCs w:val="18"/>
                <w:u w:val="none"/>
                <w:lang w:val="en-US" w:eastAsia="zh-CN" w:bidi="ar"/>
              </w:rPr>
            </w:pPr>
          </w:p>
        </w:tc>
      </w:tr>
      <w:tr w14:paraId="38D6C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701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0EB9AE">
            <w:pPr>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A2393">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05A50">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1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C7D23">
            <w:pPr>
              <w:rPr>
                <w:rFonts w:hint="eastAsia" w:ascii="宋体" w:hAnsi="宋体" w:eastAsia="宋体" w:cs="宋体"/>
                <w:i w:val="0"/>
                <w:iCs w:val="0"/>
                <w:color w:val="000000"/>
                <w:kern w:val="0"/>
                <w:sz w:val="18"/>
                <w:szCs w:val="18"/>
                <w:u w:val="none"/>
                <w:lang w:val="en-US" w:eastAsia="zh-CN" w:bidi="ar"/>
              </w:rPr>
            </w:pPr>
          </w:p>
        </w:tc>
      </w:tr>
      <w:tr w14:paraId="506D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B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6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0956FB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自评总分98分，项目资金足额拨付，有效保障了社区工作者的薪酬待遇，解决了基层服务队伍的稳定性问题。“三岗十二级”薪酬体系的全面落地，有效解决了社区工作者“薪酬低、晋升难”等突出问题。稳定的社区工作者队伍为基层治理创新提供了人才保障。项目经费全额纳入财政预算，预算执行率达到100%。社区工作者队伍的稳定和专业素质提升，减少了人员流动带来的招聘培训成本。</w:t>
            </w:r>
          </w:p>
        </w:tc>
      </w:tr>
      <w:tr w14:paraId="0665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F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6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28D083A">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1970F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6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BA21281">
            <w:pP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r w14:paraId="369C3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45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A4B5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项目负责人：张浩洁</w:t>
            </w:r>
          </w:p>
        </w:tc>
        <w:tc>
          <w:tcPr>
            <w:tcW w:w="473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36F7F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财务负责人：张宝瑞</w:t>
            </w:r>
          </w:p>
        </w:tc>
      </w:tr>
    </w:tbl>
    <w:p w14:paraId="773AC547">
      <w:pPr>
        <w:spacing w:line="572" w:lineRule="exact"/>
        <w:jc w:val="left"/>
        <w:outlineLvl w:val="0"/>
        <w:rPr>
          <w:rFonts w:eastAsia="黑体" w:cs="黑体"/>
          <w:color w:val="FF0000"/>
          <w:sz w:val="32"/>
          <w:szCs w:val="32"/>
        </w:rPr>
      </w:pPr>
    </w:p>
    <w:p w14:paraId="7423E586">
      <w:pPr>
        <w:pStyle w:val="19"/>
      </w:pPr>
    </w:p>
    <w:p w14:paraId="1F5695FC">
      <w:pPr>
        <w:pStyle w:val="20"/>
      </w:pPr>
    </w:p>
    <w:p w14:paraId="05D1CEC8"/>
    <w:tbl>
      <w:tblPr>
        <w:tblStyle w:val="15"/>
        <w:tblW w:w="9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142"/>
        <w:gridCol w:w="1014"/>
        <w:gridCol w:w="1355"/>
        <w:gridCol w:w="645"/>
        <w:gridCol w:w="870"/>
        <w:gridCol w:w="660"/>
        <w:gridCol w:w="620"/>
        <w:gridCol w:w="486"/>
        <w:gridCol w:w="396"/>
        <w:gridCol w:w="1376"/>
      </w:tblGrid>
      <w:tr w14:paraId="5BBDA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27321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0A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3F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2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58DF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51041125T000013538987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仁和区志愿服务和社工队伍建设经费</w:t>
            </w:r>
          </w:p>
        </w:tc>
      </w:tr>
      <w:tr w14:paraId="3F89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1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1C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60E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中共攀枝花市仁和区委社会工作部部门</w:t>
            </w:r>
          </w:p>
        </w:tc>
        <w:tc>
          <w:tcPr>
            <w:tcW w:w="620" w:type="dxa"/>
            <w:tcBorders>
              <w:top w:val="nil"/>
              <w:left w:val="nil"/>
              <w:bottom w:val="nil"/>
              <w:right w:val="nil"/>
            </w:tcBorders>
            <w:shd w:val="clear" w:color="auto" w:fill="auto"/>
            <w:vAlign w:val="center"/>
          </w:tcPr>
          <w:p w14:paraId="7E3D929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3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w:t>
            </w:r>
          </w:p>
        </w:tc>
      </w:tr>
      <w:tr w14:paraId="683D3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D6D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AF1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BB1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BDEE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DD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C1A6C">
            <w:pP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0EF06">
            <w:pPr>
              <w:rPr>
                <w:rFonts w:hint="eastAsia" w:ascii="宋体" w:hAnsi="宋体" w:eastAsia="宋体" w:cs="宋体"/>
                <w:i w:val="0"/>
                <w:iCs w:val="0"/>
                <w:color w:val="000000"/>
                <w:sz w:val="18"/>
                <w:szCs w:val="18"/>
                <w:u w:val="none"/>
              </w:rPr>
            </w:pPr>
          </w:p>
        </w:tc>
        <w:tc>
          <w:tcPr>
            <w:tcW w:w="45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B83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深入开展学习贯彻习近平新时代中国特色社会主义思想主题教育，加强全区社工队伍建设，进一步提升我区社会工作人才队伍的专业素养和实践能力，着力提升基层治理水平，补齐问题短板。</w:t>
            </w:r>
          </w:p>
        </w:tc>
        <w:tc>
          <w:tcPr>
            <w:tcW w:w="28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CD7A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承接市级大型集中志愿服务活动1次，开展社工考试集中培训1次，招考社工71人，完成了相关任务落地落实。</w:t>
            </w:r>
          </w:p>
        </w:tc>
      </w:tr>
      <w:tr w14:paraId="0478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D57DE">
            <w:pP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6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2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008729">
            <w:pPr>
              <w:rPr>
                <w:rFonts w:hint="eastAsia" w:ascii="宋体" w:hAnsi="宋体" w:eastAsia="宋体" w:cs="宋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开展市级大型集中志愿服务活动1次，开展社工考试集中培训1次，招考社工71人</w:t>
            </w:r>
          </w:p>
        </w:tc>
      </w:tr>
      <w:tr w14:paraId="1EB20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68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D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2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1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E0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8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D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6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C21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C1BF9">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A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3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3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2A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8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A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2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711DF">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B77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7747A">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A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B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76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E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B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C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70E75">
            <w:pPr>
              <w:rPr>
                <w:rFonts w:hint="eastAsia" w:ascii="黑体" w:hAnsi="黑体" w:eastAsia="黑体" w:cs="黑体"/>
                <w:i/>
                <w:iCs/>
                <w:color w:val="000000"/>
                <w:sz w:val="18"/>
                <w:szCs w:val="18"/>
                <w:u w:val="none"/>
              </w:rPr>
            </w:pPr>
          </w:p>
        </w:tc>
      </w:tr>
      <w:tr w14:paraId="4401F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6964">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9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3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D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0F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1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2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4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1911">
            <w:pPr>
              <w:rPr>
                <w:rFonts w:hint="eastAsia" w:ascii="黑体" w:hAnsi="黑体" w:eastAsia="黑体" w:cs="黑体"/>
                <w:i/>
                <w:iCs/>
                <w:color w:val="000000"/>
                <w:sz w:val="18"/>
                <w:szCs w:val="18"/>
                <w:u w:val="none"/>
              </w:rPr>
            </w:pPr>
          </w:p>
        </w:tc>
      </w:tr>
      <w:tr w14:paraId="715AB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5F3CA">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9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0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A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DE4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D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3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5C941">
            <w:pPr>
              <w:rPr>
                <w:rFonts w:hint="eastAsia" w:ascii="黑体" w:hAnsi="黑体" w:eastAsia="黑体" w:cs="黑体"/>
                <w:i/>
                <w:iCs/>
                <w:color w:val="000000"/>
                <w:sz w:val="18"/>
                <w:szCs w:val="18"/>
                <w:u w:val="none"/>
              </w:rPr>
            </w:pPr>
          </w:p>
        </w:tc>
      </w:tr>
      <w:tr w14:paraId="003DD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E11C7">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4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D311">
            <w:pPr>
              <w:jc w:val="center"/>
              <w:rPr>
                <w:rFonts w:hint="eastAsia" w:ascii="微软雅黑" w:hAnsi="微软雅黑" w:eastAsia="微软雅黑" w:cs="微软雅黑"/>
                <w:i/>
                <w:iCs/>
                <w:color w:val="000000"/>
                <w:sz w:val="16"/>
                <w:szCs w:val="16"/>
                <w:u w:val="none"/>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7C04">
            <w:pPr>
              <w:jc w:val="center"/>
              <w:rPr>
                <w:rFonts w:hint="eastAsia" w:ascii="微软雅黑" w:hAnsi="微软雅黑" w:eastAsia="微软雅黑" w:cs="微软雅黑"/>
                <w:i/>
                <w:iCs/>
                <w:color w:val="000000"/>
                <w:sz w:val="16"/>
                <w:szCs w:val="16"/>
                <w:u w:val="none"/>
              </w:rPr>
            </w:pP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EDE63">
            <w:pPr>
              <w:jc w:val="center"/>
              <w:rPr>
                <w:rFonts w:hint="eastAsia" w:ascii="微软雅黑" w:hAnsi="微软雅黑" w:eastAsia="微软雅黑" w:cs="微软雅黑"/>
                <w:i/>
                <w:iCs/>
                <w:color w:val="000000"/>
                <w:sz w:val="16"/>
                <w:szCs w:val="16"/>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DF9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6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3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9460">
            <w:pPr>
              <w:rPr>
                <w:rFonts w:hint="eastAsia" w:ascii="黑体" w:hAnsi="黑体" w:eastAsia="黑体" w:cs="黑体"/>
                <w:i/>
                <w:iCs/>
                <w:color w:val="000000"/>
                <w:sz w:val="18"/>
                <w:szCs w:val="18"/>
                <w:u w:val="none"/>
              </w:rPr>
            </w:pPr>
          </w:p>
        </w:tc>
      </w:tr>
      <w:tr w14:paraId="1FAB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06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3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B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7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D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A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5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9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1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7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17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B5117">
            <w:pPr>
              <w:jc w:val="center"/>
              <w:rPr>
                <w:rFonts w:hint="eastAsia" w:ascii="宋体" w:hAnsi="宋体" w:eastAsia="宋体" w:cs="宋体"/>
                <w:i w:val="0"/>
                <w:iCs w:val="0"/>
                <w:color w:val="000000"/>
                <w:sz w:val="18"/>
                <w:szCs w:val="18"/>
                <w:u w:val="none"/>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BA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82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56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志愿服务活动开展惠及人数</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7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4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74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万人</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BC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4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6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949F">
            <w:pPr>
              <w:jc w:val="center"/>
              <w:rPr>
                <w:rFonts w:hint="eastAsia" w:ascii="微软雅黑" w:hAnsi="微软雅黑" w:eastAsia="微软雅黑" w:cs="微软雅黑"/>
                <w:i/>
                <w:iCs/>
                <w:color w:val="000000"/>
                <w:sz w:val="16"/>
                <w:szCs w:val="16"/>
                <w:u w:val="none"/>
              </w:rPr>
            </w:pPr>
          </w:p>
        </w:tc>
      </w:tr>
      <w:tr w14:paraId="513B1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4ED47">
            <w:pPr>
              <w:jc w:val="cente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AB7B7">
            <w:pPr>
              <w:jc w:val="center"/>
              <w:rPr>
                <w:rFonts w:hint="eastAsia" w:ascii="宋体" w:hAnsi="宋体" w:eastAsia="宋体" w:cs="宋体"/>
                <w:i w:val="0"/>
                <w:iCs w:val="0"/>
                <w:color w:val="000000"/>
                <w:sz w:val="18"/>
                <w:szCs w:val="18"/>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45CA3">
            <w:pPr>
              <w:jc w:val="center"/>
              <w:rPr>
                <w:rFonts w:hint="eastAsia" w:ascii="宋体" w:hAnsi="宋体" w:eastAsia="宋体" w:cs="宋体"/>
                <w:i w:val="0"/>
                <w:iCs w:val="0"/>
                <w:color w:val="000000"/>
                <w:sz w:val="18"/>
                <w:szCs w:val="18"/>
                <w:u w:val="none"/>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3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社区工作者招录及职业水平考前培训</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C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C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E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34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7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2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4AB9">
            <w:pPr>
              <w:jc w:val="center"/>
              <w:rPr>
                <w:rFonts w:hint="eastAsia" w:ascii="微软雅黑" w:hAnsi="微软雅黑" w:eastAsia="微软雅黑" w:cs="微软雅黑"/>
                <w:i/>
                <w:iCs/>
                <w:color w:val="000000"/>
                <w:sz w:val="16"/>
                <w:szCs w:val="16"/>
                <w:u w:val="none"/>
              </w:rPr>
            </w:pPr>
          </w:p>
        </w:tc>
      </w:tr>
      <w:tr w14:paraId="09D96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2923C">
            <w:pPr>
              <w:jc w:val="cente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EEA99">
            <w:pPr>
              <w:jc w:val="center"/>
              <w:rPr>
                <w:rFonts w:hint="eastAsia" w:ascii="宋体" w:hAnsi="宋体" w:eastAsia="宋体" w:cs="宋体"/>
                <w:i w:val="0"/>
                <w:iCs w:val="0"/>
                <w:color w:val="000000"/>
                <w:sz w:val="18"/>
                <w:szCs w:val="18"/>
                <w:u w:val="none"/>
              </w:rPr>
            </w:pP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82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志愿服务工作规范化发展</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9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D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壮大志愿服务队伍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FF8">
            <w:pPr>
              <w:jc w:val="center"/>
              <w:rPr>
                <w:rFonts w:hint="eastAsia" w:ascii="宋体" w:hAnsi="宋体" w:eastAsia="宋体" w:cs="宋体"/>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53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全面壮大志愿服务队伍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22FF">
            <w:pPr>
              <w:jc w:val="center"/>
              <w:rPr>
                <w:rFonts w:hint="eastAsia" w:ascii="微软雅黑" w:hAnsi="微软雅黑" w:eastAsia="微软雅黑" w:cs="微软雅黑"/>
                <w:i/>
                <w:iCs/>
                <w:color w:val="000000"/>
                <w:sz w:val="16"/>
                <w:szCs w:val="16"/>
                <w:u w:val="none"/>
              </w:rPr>
            </w:pPr>
          </w:p>
        </w:tc>
      </w:tr>
      <w:tr w14:paraId="3B36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CF2E">
            <w:pPr>
              <w:jc w:val="cente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12877">
            <w:pPr>
              <w:jc w:val="center"/>
              <w:rPr>
                <w:rFonts w:hint="eastAsia" w:ascii="宋体" w:hAnsi="宋体" w:eastAsia="宋体" w:cs="宋体"/>
                <w:i w:val="0"/>
                <w:iCs w:val="0"/>
                <w:color w:val="000000"/>
                <w:sz w:val="18"/>
                <w:szCs w:val="18"/>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C25D3">
            <w:pPr>
              <w:jc w:val="center"/>
              <w:rPr>
                <w:rFonts w:hint="eastAsia" w:ascii="宋体" w:hAnsi="宋体" w:eastAsia="宋体" w:cs="宋体"/>
                <w:i w:val="0"/>
                <w:iCs w:val="0"/>
                <w:color w:val="000000"/>
                <w:sz w:val="18"/>
                <w:szCs w:val="18"/>
                <w:u w:val="none"/>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9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社工人才服务能力</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F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2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2B9C">
            <w:pPr>
              <w:jc w:val="center"/>
              <w:rPr>
                <w:rFonts w:hint="eastAsia" w:ascii="宋体" w:hAnsi="宋体" w:eastAsia="宋体" w:cs="宋体"/>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3A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显著提升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6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5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0DDE">
            <w:pPr>
              <w:jc w:val="center"/>
              <w:rPr>
                <w:rFonts w:hint="eastAsia" w:ascii="微软雅黑" w:hAnsi="微软雅黑" w:eastAsia="微软雅黑" w:cs="微软雅黑"/>
                <w:i/>
                <w:iCs/>
                <w:color w:val="000000"/>
                <w:sz w:val="16"/>
                <w:szCs w:val="16"/>
                <w:u w:val="none"/>
              </w:rPr>
            </w:pPr>
          </w:p>
        </w:tc>
      </w:tr>
      <w:tr w14:paraId="45EE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ABAA">
            <w:pPr>
              <w:jc w:val="cente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C0ACE">
            <w:pPr>
              <w:jc w:val="center"/>
              <w:rPr>
                <w:rFonts w:hint="eastAsia" w:ascii="宋体" w:hAnsi="宋体" w:eastAsia="宋体" w:cs="宋体"/>
                <w:i w:val="0"/>
                <w:iCs w:val="0"/>
                <w:color w:val="000000"/>
                <w:sz w:val="18"/>
                <w:szCs w:val="18"/>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1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8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目标任务完成及时率</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D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7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7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1D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3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A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B14A">
            <w:pPr>
              <w:jc w:val="center"/>
              <w:rPr>
                <w:rFonts w:hint="eastAsia" w:ascii="微软雅黑" w:hAnsi="微软雅黑" w:eastAsia="微软雅黑" w:cs="微软雅黑"/>
                <w:i/>
                <w:iCs/>
                <w:color w:val="000000"/>
                <w:sz w:val="16"/>
                <w:szCs w:val="16"/>
                <w:u w:val="none"/>
              </w:rPr>
            </w:pPr>
          </w:p>
        </w:tc>
      </w:tr>
      <w:tr w14:paraId="0E39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FAFAB">
            <w:pPr>
              <w:jc w:val="center"/>
              <w:rPr>
                <w:rFonts w:hint="eastAsia" w:ascii="宋体" w:hAnsi="宋体" w:eastAsia="宋体" w:cs="宋体"/>
                <w:i w:val="0"/>
                <w:iCs w:val="0"/>
                <w:color w:val="000000"/>
                <w:sz w:val="18"/>
                <w:szCs w:val="18"/>
                <w:u w:val="none"/>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D2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BD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7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社会工作人才队伍、志愿服务人才队伍建设</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5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9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推动社区工作者职业水平、志愿者队伍能力不断提升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441A">
            <w:pPr>
              <w:jc w:val="center"/>
              <w:rPr>
                <w:rFonts w:hint="eastAsia" w:ascii="宋体" w:hAnsi="宋体" w:eastAsia="宋体" w:cs="宋体"/>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122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水平能力提升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D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A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27BE">
            <w:pPr>
              <w:jc w:val="center"/>
              <w:rPr>
                <w:rFonts w:hint="eastAsia" w:ascii="微软雅黑" w:hAnsi="微软雅黑" w:eastAsia="微软雅黑" w:cs="微软雅黑"/>
                <w:i/>
                <w:iCs/>
                <w:color w:val="000000"/>
                <w:sz w:val="16"/>
                <w:szCs w:val="16"/>
                <w:u w:val="none"/>
              </w:rPr>
            </w:pPr>
          </w:p>
        </w:tc>
      </w:tr>
      <w:tr w14:paraId="2216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7CE0C">
            <w:pPr>
              <w:jc w:val="center"/>
              <w:rPr>
                <w:rFonts w:hint="eastAsia" w:ascii="宋体" w:hAnsi="宋体" w:eastAsia="宋体" w:cs="宋体"/>
                <w:i w:val="0"/>
                <w:iCs w:val="0"/>
                <w:color w:val="000000"/>
                <w:sz w:val="18"/>
                <w:szCs w:val="18"/>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39BF">
            <w:pPr>
              <w:jc w:val="center"/>
              <w:rPr>
                <w:rFonts w:hint="eastAsia" w:ascii="宋体" w:hAnsi="宋体" w:eastAsia="宋体" w:cs="宋体"/>
                <w:i w:val="0"/>
                <w:iCs w:val="0"/>
                <w:color w:val="000000"/>
                <w:sz w:val="18"/>
                <w:szCs w:val="18"/>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467A5">
            <w:pPr>
              <w:jc w:val="center"/>
              <w:rPr>
                <w:rFonts w:hint="eastAsia" w:ascii="宋体" w:hAnsi="宋体" w:eastAsia="宋体" w:cs="宋体"/>
                <w:i w:val="0"/>
                <w:iCs w:val="0"/>
                <w:color w:val="000000"/>
                <w:sz w:val="18"/>
                <w:szCs w:val="18"/>
                <w:u w:val="none"/>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0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志愿服务体系建设</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F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6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打造主题志愿服务系列活动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2420">
            <w:pPr>
              <w:jc w:val="center"/>
              <w:rPr>
                <w:rFonts w:hint="eastAsia" w:ascii="宋体" w:hAnsi="宋体" w:eastAsia="宋体" w:cs="宋体"/>
                <w:i w:val="0"/>
                <w:iCs w:val="0"/>
                <w:color w:val="000000"/>
                <w:sz w:val="18"/>
                <w:szCs w:val="18"/>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FD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打造主题志愿服务系列活动</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7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F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C57A">
            <w:pPr>
              <w:jc w:val="center"/>
              <w:rPr>
                <w:rFonts w:hint="eastAsia" w:ascii="微软雅黑" w:hAnsi="微软雅黑" w:eastAsia="微软雅黑" w:cs="微软雅黑"/>
                <w:i/>
                <w:iCs/>
                <w:color w:val="000000"/>
                <w:sz w:val="16"/>
                <w:szCs w:val="16"/>
                <w:u w:val="none"/>
              </w:rPr>
            </w:pPr>
          </w:p>
        </w:tc>
      </w:tr>
      <w:tr w14:paraId="5EAB8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6DF8C">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0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9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3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C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2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B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B9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7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5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5893">
            <w:pPr>
              <w:jc w:val="center"/>
              <w:rPr>
                <w:rFonts w:hint="eastAsia" w:ascii="微软雅黑" w:hAnsi="微软雅黑" w:eastAsia="微软雅黑" w:cs="微软雅黑"/>
                <w:i/>
                <w:iCs/>
                <w:color w:val="000000"/>
                <w:sz w:val="16"/>
                <w:szCs w:val="16"/>
                <w:u w:val="none"/>
              </w:rPr>
            </w:pPr>
          </w:p>
        </w:tc>
      </w:tr>
      <w:tr w14:paraId="06E23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8B030">
            <w:pPr>
              <w:jc w:val="center"/>
              <w:rPr>
                <w:rFonts w:hint="eastAsia" w:ascii="宋体" w:hAnsi="宋体" w:eastAsia="宋体" w:cs="宋体"/>
                <w:i w:val="0"/>
                <w:iCs w:val="0"/>
                <w:color w:val="000000"/>
                <w:sz w:val="18"/>
                <w:szCs w:val="18"/>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7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2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9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加强社工队伍建设和开展志愿服务活动经费</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8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5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1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BBA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0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A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92DD">
            <w:pPr>
              <w:jc w:val="center"/>
              <w:rPr>
                <w:rFonts w:hint="eastAsia" w:ascii="微软雅黑" w:hAnsi="微软雅黑" w:eastAsia="微软雅黑" w:cs="微软雅黑"/>
                <w:i/>
                <w:iCs/>
                <w:color w:val="000000"/>
                <w:sz w:val="16"/>
                <w:szCs w:val="16"/>
                <w:u w:val="none"/>
              </w:rPr>
            </w:pPr>
          </w:p>
        </w:tc>
      </w:tr>
      <w:tr w14:paraId="1BC0E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88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15B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B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FEB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C56">
            <w:pPr>
              <w:rPr>
                <w:rFonts w:hint="eastAsia" w:ascii="宋体" w:hAnsi="宋体" w:eastAsia="宋体" w:cs="宋体"/>
                <w:i w:val="0"/>
                <w:iCs w:val="0"/>
                <w:color w:val="000000"/>
                <w:sz w:val="18"/>
                <w:szCs w:val="18"/>
                <w:u w:val="none"/>
              </w:rPr>
            </w:pPr>
          </w:p>
        </w:tc>
      </w:tr>
      <w:tr w14:paraId="2CEC9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38EC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自评总分95分。经费使用合规：经费使用支出范围、审批流程、票据管理等均符合财政及单位财务规定，无挪用、超标准支付；经费投入达到预期目标，按期设立并运行；预算编制科学，严格审批；经费使用合规高效，管理全程规范，完成志愿服务和社工队伍建设目标。</w:t>
            </w:r>
          </w:p>
        </w:tc>
      </w:tr>
      <w:tr w14:paraId="30A3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5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724E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目前，志愿服务活动、社工考前培训、社工招考各项工作都已开展完成，截至2025年12月财政仍未进行支付审批。指标年底被收回，相关费用无列支项目。</w:t>
            </w:r>
          </w:p>
        </w:tc>
      </w:tr>
      <w:tr w14:paraId="4001A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2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B7F5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及时完成报账，对接财政，结转相关指标，保证资金及时支付。</w:t>
            </w:r>
          </w:p>
        </w:tc>
      </w:tr>
      <w:tr w14:paraId="134A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47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3505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项目负责人：张浩洁</w:t>
            </w:r>
          </w:p>
        </w:tc>
        <w:tc>
          <w:tcPr>
            <w:tcW w:w="44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34B6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财务负责人：张宝瑞</w:t>
            </w:r>
          </w:p>
        </w:tc>
      </w:tr>
    </w:tbl>
    <w:p w14:paraId="54B30D38">
      <w:pPr>
        <w:spacing w:line="572" w:lineRule="exact"/>
        <w:jc w:val="left"/>
        <w:outlineLvl w:val="0"/>
        <w:rPr>
          <w:rFonts w:hint="eastAsia" w:eastAsia="黑体" w:cs="黑体"/>
          <w:sz w:val="32"/>
          <w:szCs w:val="32"/>
        </w:rPr>
      </w:pPr>
    </w:p>
    <w:p w14:paraId="7FE733AF">
      <w:pPr>
        <w:spacing w:line="572" w:lineRule="exact"/>
        <w:jc w:val="left"/>
        <w:outlineLvl w:val="0"/>
        <w:rPr>
          <w:rFonts w:hint="eastAsia" w:eastAsia="黑体" w:cs="黑体"/>
          <w:sz w:val="32"/>
          <w:szCs w:val="32"/>
        </w:rPr>
      </w:pPr>
    </w:p>
    <w:p w14:paraId="4193184E">
      <w:pPr>
        <w:spacing w:line="572" w:lineRule="exact"/>
        <w:jc w:val="left"/>
        <w:outlineLvl w:val="0"/>
        <w:rPr>
          <w:rFonts w:hint="eastAsia" w:eastAsia="黑体" w:cs="黑体"/>
          <w:sz w:val="32"/>
          <w:szCs w:val="32"/>
        </w:rPr>
      </w:pPr>
    </w:p>
    <w:p w14:paraId="248AA205">
      <w:pPr>
        <w:spacing w:line="572" w:lineRule="exact"/>
        <w:jc w:val="left"/>
        <w:outlineLvl w:val="0"/>
        <w:rPr>
          <w:rFonts w:hint="eastAsia" w:eastAsia="黑体" w:cs="黑体"/>
          <w:sz w:val="32"/>
          <w:szCs w:val="32"/>
        </w:rPr>
      </w:pPr>
    </w:p>
    <w:p w14:paraId="5215D60E">
      <w:pPr>
        <w:spacing w:line="572" w:lineRule="exact"/>
        <w:jc w:val="left"/>
        <w:outlineLvl w:val="0"/>
        <w:rPr>
          <w:rFonts w:hint="eastAsia" w:eastAsia="黑体" w:cs="黑体"/>
          <w:sz w:val="32"/>
          <w:szCs w:val="32"/>
        </w:rPr>
      </w:pPr>
    </w:p>
    <w:p w14:paraId="3069448C">
      <w:pPr>
        <w:spacing w:line="572" w:lineRule="exact"/>
        <w:jc w:val="left"/>
        <w:outlineLvl w:val="0"/>
        <w:rPr>
          <w:rFonts w:hint="eastAsia" w:eastAsia="黑体" w:cs="黑体"/>
          <w:sz w:val="32"/>
          <w:szCs w:val="32"/>
        </w:rPr>
      </w:pPr>
    </w:p>
    <w:p w14:paraId="0FBA232E">
      <w:pPr>
        <w:pStyle w:val="38"/>
        <w:spacing w:before="93" w:beforeLines="0"/>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07A22212">
      <w:pPr>
        <w:pStyle w:val="37"/>
        <w:spacing w:line="578" w:lineRule="exact"/>
        <w:jc w:val="center"/>
        <w:rPr>
          <w:rFonts w:ascii="Times New Roman" w:hAnsi="Times New Roman" w:eastAsia="方正小标宋简体" w:cs="方正小标宋简体"/>
          <w:color w:val="auto"/>
          <w:kern w:val="2"/>
          <w:sz w:val="44"/>
          <w:szCs w:val="44"/>
          <w:lang w:val="en-US"/>
        </w:rPr>
      </w:pPr>
    </w:p>
    <w:p w14:paraId="50B28D7B">
      <w:pPr>
        <w:keepNext w:val="0"/>
        <w:keepLines w:val="0"/>
        <w:pageBreakBefore w:val="0"/>
        <w:widowControl/>
        <w:kinsoku/>
        <w:wordWrap/>
        <w:overflowPunct/>
        <w:topLinePunct w:val="0"/>
        <w:autoSpaceDE/>
        <w:autoSpaceDN/>
        <w:bidi w:val="0"/>
        <w:adjustRightInd/>
        <w:snapToGrid w:val="0"/>
        <w:spacing w:line="0" w:lineRule="atLeast"/>
        <w:contextualSpacing/>
        <w:jc w:val="center"/>
        <w:textAlignment w:val="auto"/>
        <w:rPr>
          <w:rFonts w:hint="eastAsia" w:ascii="方正小标宋_GBK" w:hAnsi="方正小标宋_GBK" w:eastAsia="方正小标宋_GBK" w:cs="方正小标宋_GBK"/>
          <w:bCs/>
          <w:sz w:val="38"/>
          <w:szCs w:val="38"/>
          <w:shd w:val="clear" w:color="auto" w:fill="FFFFFF"/>
          <w:lang w:val="en-US" w:eastAsia="zh-CN"/>
        </w:rPr>
      </w:pPr>
      <w:r>
        <w:rPr>
          <w:rFonts w:hint="eastAsia" w:ascii="方正小标宋_GBK" w:hAnsi="方正小标宋_GBK" w:eastAsia="方正小标宋_GBK" w:cs="方正小标宋_GBK"/>
          <w:bCs/>
          <w:sz w:val="38"/>
          <w:szCs w:val="38"/>
          <w:shd w:val="clear" w:color="auto" w:fill="FFFFFF"/>
          <w:lang w:val="en-US" w:eastAsia="zh-CN"/>
        </w:rPr>
        <w:t>中共攀枝花仁和区委社会工作部</w:t>
      </w:r>
    </w:p>
    <w:p w14:paraId="54DDC836">
      <w:pPr>
        <w:pStyle w:val="37"/>
        <w:keepNext w:val="0"/>
        <w:keepLines w:val="0"/>
        <w:pageBreakBefore w:val="0"/>
        <w:kinsoku/>
        <w:wordWrap/>
        <w:overflowPunct/>
        <w:topLinePunct w:val="0"/>
        <w:autoSpaceDE/>
        <w:autoSpaceDN/>
        <w:bidi w:val="0"/>
        <w:adjustRightInd/>
        <w:spacing w:line="0" w:lineRule="atLeast"/>
        <w:jc w:val="center"/>
        <w:textAlignment w:val="auto"/>
        <w:rPr>
          <w:rFonts w:hint="eastAsia" w:ascii="方正小标宋_GBK" w:hAnsi="方正小标宋_GBK" w:eastAsia="方正小标宋_GBK" w:cs="方正小标宋_GBK"/>
          <w:bCs/>
          <w:color w:val="auto"/>
          <w:kern w:val="2"/>
          <w:sz w:val="38"/>
          <w:szCs w:val="38"/>
          <w:shd w:val="clear" w:color="auto" w:fill="FFFFFF"/>
          <w:lang w:val="en-US" w:eastAsia="zh-CN" w:bidi="ar-SA"/>
        </w:rPr>
      </w:pPr>
      <w:r>
        <w:rPr>
          <w:rFonts w:hint="eastAsia" w:ascii="方正小标宋_GBK" w:hAnsi="方正小标宋_GBK" w:eastAsia="方正小标宋_GBK" w:cs="方正小标宋_GBK"/>
          <w:bCs/>
          <w:color w:val="auto"/>
          <w:kern w:val="2"/>
          <w:sz w:val="38"/>
          <w:szCs w:val="38"/>
          <w:shd w:val="clear" w:color="auto" w:fill="FFFFFF"/>
          <w:lang w:val="en-US" w:eastAsia="zh-CN" w:bidi="ar-SA"/>
        </w:rPr>
        <w:t>专项预算项目支出绩效自评报告</w:t>
      </w:r>
    </w:p>
    <w:p w14:paraId="1D3E6697">
      <w:pPr>
        <w:pStyle w:val="37"/>
        <w:keepNext w:val="0"/>
        <w:keepLines w:val="0"/>
        <w:pageBreakBefore w:val="0"/>
        <w:kinsoku/>
        <w:wordWrap/>
        <w:overflowPunct/>
        <w:topLinePunct w:val="0"/>
        <w:autoSpaceDE/>
        <w:autoSpaceDN/>
        <w:bidi w:val="0"/>
        <w:adjustRightInd/>
        <w:spacing w:line="240" w:lineRule="auto"/>
        <w:jc w:val="center"/>
        <w:textAlignment w:val="auto"/>
        <w:rPr>
          <w:rFonts w:hint="eastAsia" w:ascii="方正仿宋_GBK" w:hAnsi="方正仿宋_GBK" w:eastAsia="方正仿宋_GBK" w:cs="方正仿宋_GBK"/>
          <w:color w:val="auto"/>
          <w:kern w:val="2"/>
          <w:sz w:val="32"/>
          <w:szCs w:val="32"/>
          <w:lang w:val="en-US" w:eastAsia="zh-CN" w:bidi="ar-SA"/>
        </w:rPr>
      </w:pPr>
      <w:r>
        <w:rPr>
          <w:rFonts w:hint="eastAsia" w:ascii="方正仿宋_GBK" w:hAnsi="方正仿宋_GBK" w:eastAsia="方正仿宋_GBK" w:cs="方正仿宋_GBK"/>
          <w:color w:val="auto"/>
          <w:kern w:val="2"/>
          <w:sz w:val="32"/>
          <w:szCs w:val="32"/>
          <w:lang w:val="en-US" w:eastAsia="zh-CN" w:bidi="ar-SA"/>
        </w:rPr>
        <w:t>（省级基层治理专项资金）</w:t>
      </w:r>
    </w:p>
    <w:p w14:paraId="2C4CF59E">
      <w:pPr>
        <w:pStyle w:val="37"/>
        <w:keepNext w:val="0"/>
        <w:keepLines w:val="0"/>
        <w:pageBreakBefore w:val="0"/>
        <w:kinsoku/>
        <w:wordWrap/>
        <w:overflowPunct/>
        <w:topLinePunct w:val="0"/>
        <w:autoSpaceDE/>
        <w:autoSpaceDN/>
        <w:bidi w:val="0"/>
        <w:adjustRightInd/>
        <w:spacing w:line="240" w:lineRule="auto"/>
        <w:ind w:firstLine="640"/>
        <w:jc w:val="center"/>
        <w:textAlignment w:val="auto"/>
        <w:rPr>
          <w:rFonts w:ascii="Times New Roman" w:hAnsi="Times New Roman"/>
          <w:color w:val="auto"/>
          <w:kern w:val="2"/>
          <w:sz w:val="32"/>
          <w:szCs w:val="32"/>
        </w:rPr>
      </w:pPr>
    </w:p>
    <w:p w14:paraId="660AD4E6">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eastAsia="黑体"/>
          <w:sz w:val="32"/>
          <w:szCs w:val="32"/>
          <w:lang w:val="zh-CN"/>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zh-CN"/>
        </w:rPr>
        <w:t>项目概况</w:t>
      </w:r>
    </w:p>
    <w:p w14:paraId="7A0501BE">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（一）项目基本情况</w:t>
      </w:r>
    </w:p>
    <w:p w14:paraId="72D03D3E">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根据省委、市委关于城乡社区治理工作的决策部署及有关文件要求，认真落实城乡社区治理“特色创优”、城乡社区综合服务设施“补短板”、综合服务“提能力”项目各项任务，确保省级基层治理项目组织保障到位、项目管理规范、项目效益明显。</w:t>
      </w:r>
    </w:p>
    <w:p w14:paraId="5962BD1E">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w:t>
      </w:r>
      <w:r>
        <w:rPr>
          <w:rFonts w:hint="eastAsia" w:ascii="方正楷体_GBK" w:hAnsi="方正楷体_GBK" w:eastAsia="方正楷体_GBK" w:cs="方正楷体_GBK"/>
          <w:b/>
          <w:sz w:val="32"/>
          <w:szCs w:val="32"/>
          <w:lang w:val="en-US" w:eastAsia="zh-CN"/>
        </w:rPr>
        <w:t>二</w:t>
      </w:r>
      <w:r>
        <w:rPr>
          <w:rFonts w:hint="eastAsia" w:ascii="方正楷体_GBK" w:hAnsi="方正楷体_GBK" w:eastAsia="方正楷体_GBK" w:cs="方正楷体_GBK"/>
          <w:b/>
          <w:sz w:val="32"/>
          <w:szCs w:val="32"/>
          <w:lang w:val="zh-CN"/>
        </w:rPr>
        <w:t>）项目绩效目标</w:t>
      </w:r>
    </w:p>
    <w:p w14:paraId="7437CAD3">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以省级城乡社区治理“特色创优”“补短板”“提能力”工作为契机，统筹整合各方面资金资源，打造一批“服务创新型”“人文生态型”“贴心关爱型”“智慧科技型”“幸福和睦型”特色社区，推动城乡社区治理主体更加多元、治理方式更加多样、治理手段更加创新，社区治理水平和社会治理能力得到有效提升，推动制度创新和能力建设取得新成效，激发城乡社区治理新活力。</w:t>
      </w:r>
    </w:p>
    <w:p w14:paraId="275707CC">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（三）项目资金申报相符性</w:t>
      </w:r>
    </w:p>
    <w:p w14:paraId="502DC51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firstLine="640" w:firstLineChars="200"/>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lang w:val="zh-CN"/>
        </w:rPr>
        <w:t>项目申报内容与具体实施内容相符、申报目标合理可行。</w:t>
      </w:r>
    </w:p>
    <w:p w14:paraId="44406BE5">
      <w:pPr>
        <w:keepNext w:val="0"/>
        <w:keepLines w:val="0"/>
        <w:pageBreakBefore w:val="0"/>
        <w:widowControl w:val="0"/>
        <w:kinsoku/>
        <w:wordWrap/>
        <w:overflowPunct/>
        <w:topLinePunct w:val="0"/>
        <w:autoSpaceDE/>
        <w:autoSpaceDN/>
        <w:bidi w:val="0"/>
        <w:adjustRightInd w:val="0"/>
        <w:snapToGrid/>
        <w:spacing w:line="240" w:lineRule="auto"/>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二、项目资金申报及使用情况</w:t>
      </w:r>
    </w:p>
    <w:p w14:paraId="1B75DE87">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（一）项目资金申报及批复情况</w:t>
      </w:r>
    </w:p>
    <w:p w14:paraId="4F326925">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eastAsia" w:ascii="方正仿宋_GBK" w:hAnsi="方正仿宋_GBK" w:eastAsia="方正仿宋_GBK" w:cs="方正仿宋_GBK"/>
          <w:color w:val="auto"/>
          <w:kern w:val="2"/>
          <w:sz w:val="32"/>
          <w:szCs w:val="32"/>
          <w:lang w:val="en-US" w:eastAsia="zh-CN" w:bidi="ar-SA"/>
        </w:rPr>
        <w:t>省级基层治理专项资金</w:t>
      </w:r>
      <w:r>
        <w:rPr>
          <w:rFonts w:hint="default" w:ascii="Times New Roman" w:hAnsi="Times New Roman" w:eastAsia="方正仿宋_GBK" w:cs="Times New Roman"/>
          <w:sz w:val="32"/>
          <w:szCs w:val="32"/>
          <w:lang w:val="en-US" w:eastAsia="zh-CN"/>
        </w:rPr>
        <w:t>申报金额</w:t>
      </w:r>
      <w:r>
        <w:rPr>
          <w:rFonts w:hint="eastAsia" w:eastAsia="方正仿宋_GBK" w:cs="Times New Roman"/>
          <w:sz w:val="32"/>
          <w:szCs w:val="32"/>
          <w:lang w:val="en-US" w:eastAsia="zh-CN"/>
        </w:rPr>
        <w:t>420</w:t>
      </w:r>
      <w:r>
        <w:rPr>
          <w:rFonts w:hint="default" w:ascii="Times New Roman" w:hAnsi="Times New Roman" w:eastAsia="方正仿宋_GBK" w:cs="Times New Roman"/>
          <w:sz w:val="32"/>
          <w:szCs w:val="32"/>
          <w:lang w:val="en-US" w:eastAsia="zh-CN"/>
        </w:rPr>
        <w:t>万元，批复数为</w:t>
      </w:r>
      <w:r>
        <w:rPr>
          <w:rFonts w:hint="eastAsia" w:eastAsia="方正仿宋_GBK" w:cs="Times New Roman"/>
          <w:sz w:val="32"/>
          <w:szCs w:val="32"/>
          <w:lang w:val="en-US" w:eastAsia="zh-CN"/>
        </w:rPr>
        <w:t>420</w:t>
      </w:r>
      <w:r>
        <w:rPr>
          <w:rFonts w:hint="default" w:ascii="Times New Roman" w:hAnsi="Times New Roman" w:eastAsia="方正仿宋_GBK" w:cs="Times New Roman"/>
          <w:sz w:val="32"/>
          <w:szCs w:val="32"/>
          <w:lang w:val="en-US" w:eastAsia="zh-CN"/>
        </w:rPr>
        <w:t>万元。</w:t>
      </w:r>
    </w:p>
    <w:p w14:paraId="29DB08C7">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（二）资金计划、到位及使用情况</w:t>
      </w:r>
    </w:p>
    <w:p w14:paraId="3FAB9E0D">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zh-CN" w:eastAsia="zh-CN"/>
        </w:rPr>
        <w:t>资金到位。</w:t>
      </w:r>
      <w:r>
        <w:rPr>
          <w:rFonts w:hint="eastAsia" w:eastAsia="方正仿宋_GBK" w:cs="Times New Roman"/>
          <w:sz w:val="32"/>
          <w:szCs w:val="32"/>
          <w:lang w:val="en-US" w:eastAsia="zh-CN"/>
        </w:rPr>
        <w:t>该项目为省级专项资金，</w:t>
      </w:r>
      <w:r>
        <w:rPr>
          <w:rFonts w:hint="eastAsia" w:ascii="Times New Roman" w:hAnsi="Times New Roman" w:eastAsia="方正仿宋_GBK" w:cs="Times New Roman"/>
          <w:sz w:val="32"/>
          <w:szCs w:val="32"/>
          <w:lang w:val="en-US" w:eastAsia="zh-CN"/>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年</w:t>
      </w:r>
      <w:r>
        <w:rPr>
          <w:rFonts w:hint="eastAsia" w:eastAsia="方正仿宋_GBK" w:cs="Times New Roman"/>
          <w:sz w:val="32"/>
          <w:szCs w:val="32"/>
          <w:lang w:val="en-US" w:eastAsia="zh-CN"/>
        </w:rPr>
        <w:t>共计</w:t>
      </w:r>
      <w:r>
        <w:rPr>
          <w:rFonts w:hint="eastAsia" w:ascii="Times New Roman" w:hAnsi="Times New Roman" w:eastAsia="方正仿宋_GBK" w:cs="Times New Roman"/>
          <w:sz w:val="32"/>
          <w:szCs w:val="32"/>
          <w:lang w:val="en-US" w:eastAsia="zh-CN"/>
        </w:rPr>
        <w:t>下达资金指标</w:t>
      </w:r>
      <w:r>
        <w:rPr>
          <w:rFonts w:hint="eastAsia" w:eastAsia="方正仿宋_GBK" w:cs="Times New Roman"/>
          <w:sz w:val="32"/>
          <w:szCs w:val="32"/>
          <w:lang w:val="en-US" w:eastAsia="zh-CN"/>
        </w:rPr>
        <w:t>420</w:t>
      </w:r>
      <w:r>
        <w:rPr>
          <w:rFonts w:hint="eastAsia" w:ascii="Times New Roman" w:hAnsi="Times New Roman" w:eastAsia="方正仿宋_GBK" w:cs="Times New Roman"/>
          <w:sz w:val="32"/>
          <w:szCs w:val="32"/>
          <w:lang w:val="en-US" w:eastAsia="zh-CN"/>
        </w:rPr>
        <w:t>万元。</w:t>
      </w:r>
    </w:p>
    <w:p w14:paraId="0C3999AC">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资金使用。</w:t>
      </w:r>
      <w:r>
        <w:rPr>
          <w:rFonts w:hint="eastAsia" w:eastAsia="方正仿宋_GBK" w:cs="Times New Roman"/>
          <w:sz w:val="32"/>
          <w:szCs w:val="32"/>
          <w:lang w:val="en-US" w:eastAsia="zh-CN"/>
        </w:rPr>
        <w:t>180万</w:t>
      </w:r>
      <w:r>
        <w:rPr>
          <w:rFonts w:hint="eastAsia" w:ascii="Times New Roman" w:hAnsi="Times New Roman" w:eastAsia="方正仿宋_GBK" w:cs="Times New Roman"/>
          <w:sz w:val="32"/>
          <w:szCs w:val="32"/>
          <w:lang w:val="en-US" w:eastAsia="zh-CN"/>
        </w:rPr>
        <w:t>在6个村（社区）实施城乡社区“创特色”</w:t>
      </w:r>
      <w:r>
        <w:rPr>
          <w:rFonts w:hint="eastAsia" w:eastAsia="方正仿宋_GBK" w:cs="Times New Roman"/>
          <w:sz w:val="32"/>
          <w:szCs w:val="32"/>
          <w:lang w:val="en-US" w:eastAsia="zh-CN"/>
        </w:rPr>
        <w:t>购买服务</w:t>
      </w:r>
      <w:r>
        <w:rPr>
          <w:rFonts w:hint="eastAsia" w:ascii="Times New Roman" w:hAnsi="Times New Roman" w:eastAsia="方正仿宋_GBK" w:cs="Times New Roman"/>
          <w:sz w:val="32"/>
          <w:szCs w:val="32"/>
          <w:lang w:val="en-US" w:eastAsia="zh-CN"/>
        </w:rPr>
        <w:t>项目</w:t>
      </w:r>
      <w:r>
        <w:rPr>
          <w:rFonts w:hint="eastAsia" w:eastAsia="方正仿宋_GBK" w:cs="Times New Roman"/>
          <w:sz w:val="32"/>
          <w:szCs w:val="32"/>
          <w:lang w:val="en-US" w:eastAsia="zh-CN"/>
        </w:rPr>
        <w:t>，120万在4个村（社区）实施城乡社区综合服务设施“补短板”项目，120万在3个村（社区）实施城乡社区综合服务“提能力”项目。</w:t>
      </w:r>
    </w:p>
    <w:p w14:paraId="3EB78626">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（三）项目财务管理情况</w:t>
      </w:r>
    </w:p>
    <w:p w14:paraId="1805868A">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方正仿宋_GBK" w:cs="Times New Roman"/>
          <w:b w:val="0"/>
          <w:bCs w:val="0"/>
          <w:color w:val="auto"/>
          <w:kern w:val="0"/>
          <w:sz w:val="32"/>
          <w:szCs w:val="32"/>
          <w:lang w:val="zh-CN"/>
        </w:rPr>
      </w:pPr>
      <w:r>
        <w:rPr>
          <w:rFonts w:hint="default" w:ascii="Times New Roman" w:hAnsi="Times New Roman" w:eastAsia="方正仿宋_GBK" w:cs="Times New Roman"/>
          <w:b w:val="0"/>
          <w:bCs w:val="0"/>
          <w:color w:val="auto"/>
          <w:kern w:val="0"/>
          <w:sz w:val="32"/>
          <w:szCs w:val="32"/>
          <w:lang w:val="zh-CN"/>
        </w:rPr>
        <w:t>通过对</w:t>
      </w:r>
      <w:r>
        <w:rPr>
          <w:rFonts w:hint="default" w:ascii="Times New Roman" w:hAnsi="Times New Roman" w:eastAsia="方正仿宋_GBK" w:cs="Times New Roman"/>
          <w:b w:val="0"/>
          <w:bCs w:val="0"/>
          <w:color w:val="auto"/>
          <w:kern w:val="0"/>
          <w:sz w:val="32"/>
          <w:szCs w:val="32"/>
          <w:lang w:val="en-US" w:eastAsia="zh-CN"/>
        </w:rPr>
        <w:t>202</w:t>
      </w:r>
      <w:r>
        <w:rPr>
          <w:rFonts w:hint="eastAsia"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zh-CN"/>
        </w:rPr>
        <w:t>年单位项目预算执行进行全面的控制和管理，费用支出做到依法依规、专款专用，财务处理及时、会计核算规范，未出现资金违规使用情况。</w:t>
      </w:r>
    </w:p>
    <w:p w14:paraId="3612E410">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方正仿宋_GBK" w:cs="Times New Roman"/>
          <w:b w:val="0"/>
          <w:bCs w:val="0"/>
          <w:color w:val="auto"/>
          <w:kern w:val="0"/>
          <w:sz w:val="32"/>
          <w:szCs w:val="32"/>
          <w:lang w:val="zh-CN"/>
        </w:rPr>
      </w:pPr>
      <w:r>
        <w:rPr>
          <w:rFonts w:hint="default" w:ascii="Times New Roman" w:hAnsi="Times New Roman" w:eastAsia="方正仿宋_GBK" w:cs="Times New Roman"/>
          <w:b w:val="0"/>
          <w:bCs w:val="0"/>
          <w:color w:val="auto"/>
          <w:kern w:val="0"/>
          <w:sz w:val="32"/>
          <w:szCs w:val="32"/>
          <w:lang w:val="zh-CN"/>
        </w:rPr>
        <w:t>该项目支出纳入区财政预算统一管理，在项目实施过程中，我</w:t>
      </w:r>
      <w:r>
        <w:rPr>
          <w:rFonts w:hint="default" w:ascii="Times New Roman" w:hAnsi="Times New Roman" w:eastAsia="方正仿宋_GBK" w:cs="Times New Roman"/>
          <w:b w:val="0"/>
          <w:bCs w:val="0"/>
          <w:color w:val="auto"/>
          <w:kern w:val="0"/>
          <w:sz w:val="32"/>
          <w:szCs w:val="32"/>
          <w:lang w:val="en-US" w:eastAsia="zh-CN"/>
        </w:rPr>
        <w:t>部</w:t>
      </w:r>
      <w:r>
        <w:rPr>
          <w:rFonts w:hint="default" w:ascii="Times New Roman" w:hAnsi="Times New Roman" w:eastAsia="方正仿宋_GBK" w:cs="Times New Roman"/>
          <w:b w:val="0"/>
          <w:bCs w:val="0"/>
          <w:color w:val="auto"/>
          <w:kern w:val="0"/>
          <w:sz w:val="32"/>
          <w:szCs w:val="32"/>
          <w:lang w:val="zh-CN"/>
        </w:rPr>
        <w:t>严格依据《中华人民共和国会计法</w:t>
      </w:r>
      <w:r>
        <w:rPr>
          <w:rFonts w:hint="eastAsia" w:eastAsia="方正仿宋_GBK" w:cs="Times New Roman"/>
          <w:b w:val="0"/>
          <w:bCs w:val="0"/>
          <w:color w:val="auto"/>
          <w:kern w:val="0"/>
          <w:sz w:val="32"/>
          <w:szCs w:val="32"/>
          <w:lang w:val="zh-CN"/>
        </w:rPr>
        <w:t>》和</w:t>
      </w:r>
      <w:r>
        <w:rPr>
          <w:rFonts w:hint="default" w:ascii="Times New Roman" w:hAnsi="Times New Roman" w:eastAsia="方正仿宋_GBK" w:cs="Times New Roman"/>
          <w:b w:val="0"/>
          <w:bCs w:val="0"/>
          <w:color w:val="auto"/>
          <w:kern w:val="0"/>
          <w:sz w:val="32"/>
          <w:szCs w:val="32"/>
          <w:lang w:val="zh-CN"/>
        </w:rPr>
        <w:t>《中华人民共和国预算法》做好项目实施的日常工作实施和监管，提前做好项目资金核算和预算编制，各环节的工作程序合理合法，工作开展依法依规，项目实施公开、透明，</w:t>
      </w:r>
      <w:r>
        <w:rPr>
          <w:rFonts w:hint="eastAsia" w:eastAsia="方正仿宋_GBK" w:cs="Times New Roman"/>
          <w:b w:val="0"/>
          <w:bCs w:val="0"/>
          <w:color w:val="auto"/>
          <w:kern w:val="0"/>
          <w:sz w:val="32"/>
          <w:szCs w:val="32"/>
          <w:lang w:val="zh-CN"/>
        </w:rPr>
        <w:t>资金支付与工作管理、</w:t>
      </w:r>
      <w:r>
        <w:rPr>
          <w:rFonts w:hint="default" w:ascii="Times New Roman" w:hAnsi="Times New Roman" w:eastAsia="方正仿宋_GBK" w:cs="Times New Roman"/>
          <w:b w:val="0"/>
          <w:bCs w:val="0"/>
          <w:color w:val="auto"/>
          <w:kern w:val="0"/>
          <w:sz w:val="32"/>
          <w:szCs w:val="32"/>
          <w:lang w:val="zh-CN"/>
        </w:rPr>
        <w:t>要求相符。</w:t>
      </w:r>
    </w:p>
    <w:p w14:paraId="50DAE271">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三、项目实施及管理情况</w:t>
      </w:r>
    </w:p>
    <w:p w14:paraId="6D2E4DE5">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仿宋_GBK" w:hAnsi="方正仿宋_GBK" w:eastAsia="方正仿宋_GBK" w:cs="方正仿宋_GBK"/>
          <w:b w:val="0"/>
          <w:bCs w:val="0"/>
          <w:color w:val="auto"/>
          <w:kern w:val="0"/>
          <w:sz w:val="32"/>
          <w:szCs w:val="32"/>
          <w:lang w:val="en-US" w:eastAsia="zh-CN"/>
        </w:rPr>
      </w:pPr>
      <w:r>
        <w:rPr>
          <w:rFonts w:hint="eastAsia" w:ascii="方正楷体_GBK" w:hAnsi="方正楷体_GBK" w:eastAsia="方正楷体_GBK" w:cs="方正楷体_GBK"/>
          <w:b/>
          <w:sz w:val="32"/>
          <w:szCs w:val="32"/>
          <w:lang w:val="zh-CN"/>
        </w:rPr>
        <w:t>（</w:t>
      </w:r>
      <w:r>
        <w:rPr>
          <w:rFonts w:hint="eastAsia" w:ascii="方正楷体_GBK" w:hAnsi="方正楷体_GBK" w:eastAsia="方正楷体_GBK" w:cs="方正楷体_GBK"/>
          <w:b/>
          <w:sz w:val="32"/>
          <w:szCs w:val="32"/>
          <w:lang w:val="en-US" w:eastAsia="zh-CN"/>
        </w:rPr>
        <w:t>一</w:t>
      </w:r>
      <w:r>
        <w:rPr>
          <w:rFonts w:hint="eastAsia" w:ascii="方正楷体_GBK" w:hAnsi="方正楷体_GBK" w:eastAsia="方正楷体_GBK" w:cs="方正楷体_GBK"/>
          <w:b/>
          <w:sz w:val="32"/>
          <w:szCs w:val="32"/>
          <w:lang w:val="zh-CN"/>
        </w:rPr>
        <w:t>）项目管理情况。</w:t>
      </w:r>
      <w:r>
        <w:rPr>
          <w:rFonts w:hint="eastAsia" w:ascii="方正仿宋_GBK" w:hAnsi="方正仿宋_GBK" w:eastAsia="方正仿宋_GBK" w:cs="方正仿宋_GBK"/>
          <w:b w:val="0"/>
          <w:bCs w:val="0"/>
          <w:color w:val="auto"/>
          <w:kern w:val="0"/>
          <w:sz w:val="32"/>
          <w:szCs w:val="32"/>
          <w:lang w:val="zh-CN"/>
        </w:rPr>
        <w:t>根据实际需求编制详细经费预算，明确开支类别，提交</w:t>
      </w:r>
      <w:r>
        <w:rPr>
          <w:rFonts w:hint="eastAsia" w:ascii="方正仿宋_GBK" w:hAnsi="方正仿宋_GBK" w:eastAsia="方正仿宋_GBK" w:cs="方正仿宋_GBK"/>
          <w:b w:val="0"/>
          <w:bCs w:val="0"/>
          <w:color w:val="auto"/>
          <w:kern w:val="0"/>
          <w:sz w:val="32"/>
          <w:szCs w:val="32"/>
          <w:lang w:val="en-US" w:eastAsia="zh-CN"/>
        </w:rPr>
        <w:t>财政局和区政府常务会议审批，确保合理性和合规性，大额支出按程序审批，保留合同、发票等凭证，按照政府采购流程进行服务项目的采购。项目完成后，组织验收并核对实际支付。</w:t>
      </w:r>
    </w:p>
    <w:p w14:paraId="440755B5">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仿宋_GBK" w:hAnsi="方正仿宋_GBK" w:eastAsia="方正仿宋_GBK" w:cs="方正仿宋_GBK"/>
          <w:b w:val="0"/>
          <w:bCs w:val="0"/>
          <w:color w:val="auto"/>
          <w:kern w:val="0"/>
          <w:sz w:val="32"/>
          <w:szCs w:val="32"/>
          <w:lang w:val="en-US" w:eastAsia="zh-CN"/>
        </w:rPr>
      </w:pPr>
      <w:r>
        <w:rPr>
          <w:rFonts w:hint="eastAsia" w:ascii="方正楷体_GBK" w:hAnsi="方正楷体_GBK" w:eastAsia="方正楷体_GBK" w:cs="方正楷体_GBK"/>
          <w:b/>
          <w:sz w:val="32"/>
          <w:szCs w:val="32"/>
          <w:lang w:val="zh-CN"/>
        </w:rPr>
        <w:t>（</w:t>
      </w:r>
      <w:r>
        <w:rPr>
          <w:rFonts w:hint="eastAsia" w:ascii="方正楷体_GBK" w:hAnsi="方正楷体_GBK" w:eastAsia="方正楷体_GBK" w:cs="方正楷体_GBK"/>
          <w:b/>
          <w:sz w:val="32"/>
          <w:szCs w:val="32"/>
          <w:lang w:val="en-US" w:eastAsia="zh-CN"/>
        </w:rPr>
        <w:t>二</w:t>
      </w:r>
      <w:r>
        <w:rPr>
          <w:rFonts w:hint="eastAsia" w:ascii="方正楷体_GBK" w:hAnsi="方正楷体_GBK" w:eastAsia="方正楷体_GBK" w:cs="方正楷体_GBK"/>
          <w:b/>
          <w:sz w:val="32"/>
          <w:szCs w:val="32"/>
          <w:lang w:val="zh-CN"/>
        </w:rPr>
        <w:t>）项目监管情况。</w:t>
      </w:r>
      <w:r>
        <w:rPr>
          <w:rFonts w:hint="eastAsia" w:ascii="方正仿宋_GBK" w:hAnsi="方正仿宋_GBK" w:eastAsia="方正仿宋_GBK" w:cs="方正仿宋_GBK"/>
          <w:b w:val="0"/>
          <w:bCs w:val="0"/>
          <w:color w:val="auto"/>
          <w:kern w:val="0"/>
          <w:sz w:val="32"/>
          <w:szCs w:val="32"/>
          <w:lang w:val="en-US" w:eastAsia="zh-CN"/>
        </w:rPr>
        <w:t>严格遵循《会计法》《预算法》及单位内部财务制度，明确开支范围和标准，大额支出需集体决策。确保支出与开办直接相关，禁止挪用或超范围使用。</w:t>
      </w:r>
    </w:p>
    <w:p w14:paraId="532F3456">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sz w:val="32"/>
          <w:szCs w:val="32"/>
          <w:lang w:val="zh-CN"/>
        </w:rPr>
      </w:pPr>
      <w:r>
        <w:rPr>
          <w:rFonts w:hint="eastAsia" w:ascii="方正黑体_GBK" w:hAnsi="方正黑体_GBK" w:eastAsia="方正黑体_GBK" w:cs="方正黑体_GBK"/>
          <w:sz w:val="32"/>
          <w:szCs w:val="32"/>
        </w:rPr>
        <w:t>四、项目绩效情况</w:t>
      </w:r>
      <w:r>
        <w:rPr>
          <w:sz w:val="32"/>
          <w:szCs w:val="32"/>
          <w:lang w:val="zh-CN"/>
        </w:rPr>
        <w:tab/>
      </w:r>
    </w:p>
    <w:p w14:paraId="4512853E">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（一）项目完成情况</w:t>
      </w:r>
    </w:p>
    <w:p w14:paraId="2DAEC87B">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6个村（社区）实施城乡社区“创特色”</w:t>
      </w:r>
      <w:r>
        <w:rPr>
          <w:rFonts w:hint="eastAsia" w:eastAsia="方正仿宋_GBK" w:cs="Times New Roman"/>
          <w:sz w:val="32"/>
          <w:szCs w:val="32"/>
          <w:lang w:val="en-US" w:eastAsia="zh-CN"/>
        </w:rPr>
        <w:t>购买服务</w:t>
      </w:r>
      <w:r>
        <w:rPr>
          <w:rFonts w:hint="eastAsia" w:ascii="Times New Roman" w:hAnsi="Times New Roman" w:eastAsia="方正仿宋_GBK" w:cs="Times New Roman"/>
          <w:sz w:val="32"/>
          <w:szCs w:val="32"/>
          <w:lang w:val="en-US" w:eastAsia="zh-CN"/>
        </w:rPr>
        <w:t>项目</w:t>
      </w:r>
      <w:r>
        <w:rPr>
          <w:rFonts w:hint="eastAsia" w:eastAsia="方正仿宋_GBK" w:cs="Times New Roman"/>
          <w:sz w:val="32"/>
          <w:szCs w:val="32"/>
          <w:lang w:val="en-US" w:eastAsia="zh-CN"/>
        </w:rPr>
        <w:t>已完成采购，服务项目已完成，待支付。硬件建设由各乡镇（街道）作为主体部门开展项目实施，项目有序推进中。城乡社区综合服务设施“补短板”项目，城乡社区综合服务“提能力”项目为2025项目，资金年底下达，实施时间为2026年，资金结转至下一年支付。</w:t>
      </w:r>
    </w:p>
    <w:p w14:paraId="0EE77D67">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（二）项目效益情况</w:t>
      </w:r>
    </w:p>
    <w:p w14:paraId="5689C426">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建强社区服务阵地、优化社区服务内容，形成“服务创新型”“智慧科技型”“幸福和睦型”“人文生态型”等特色社区治理品牌，形成一批能学习、可复制的社区治理示范成果，以点带面、以优促建，切实提升仁和区城乡社区治理及服务水平。</w:t>
      </w:r>
    </w:p>
    <w:p w14:paraId="7C692003">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五、评价结论及建议</w:t>
      </w:r>
    </w:p>
    <w:p w14:paraId="2C7B4090">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（一）评价结论</w:t>
      </w:r>
    </w:p>
    <w:p w14:paraId="432337C6">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方正仿宋_GBK" w:hAnsi="方正仿宋_GBK" w:eastAsia="方正仿宋_GBK" w:cs="方正仿宋_GBK"/>
          <w:sz w:val="32"/>
          <w:szCs w:val="32"/>
          <w:bdr w:val="single" w:color="auto" w:sz="4" w:space="0"/>
          <w:lang w:val="en-US" w:eastAsia="zh-CN"/>
        </w:rPr>
      </w:pPr>
      <w:r>
        <w:rPr>
          <w:rFonts w:hint="eastAsia" w:ascii="方正仿宋_GBK" w:hAnsi="方正仿宋_GBK" w:eastAsia="方正仿宋_GBK" w:cs="方正仿宋_GBK"/>
          <w:sz w:val="32"/>
          <w:szCs w:val="32"/>
          <w:lang w:val="en-US" w:eastAsia="zh-CN"/>
        </w:rPr>
        <w:t>经费使用合规：经费使用支出范围、审批流程、票据管理等均符合财政及单位财务规定，无挪用、超标准支付</w:t>
      </w:r>
      <w:r>
        <w:rPr>
          <w:rFonts w:hint="eastAsia"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lang w:val="en-US" w:eastAsia="zh-CN"/>
        </w:rPr>
        <w:t>经费投入达到预期目标，按期设立并运行；预算编制科学，严格审批；经费使用合规高效，管理全程规范。</w:t>
      </w:r>
    </w:p>
    <w:p w14:paraId="3F8508C1">
      <w:pPr>
        <w:keepNext w:val="0"/>
        <w:keepLines w:val="0"/>
        <w:pageBreakBefore w:val="0"/>
        <w:widowControl w:val="0"/>
        <w:kinsoku/>
        <w:wordWrap/>
        <w:overflowPunct/>
        <w:topLinePunct w:val="0"/>
        <w:autoSpaceDE/>
        <w:autoSpaceDN/>
        <w:bidi w:val="0"/>
        <w:adjustRightInd w:val="0"/>
        <w:snapToGrid/>
        <w:spacing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w:t>
      </w:r>
      <w:r>
        <w:rPr>
          <w:rFonts w:hint="eastAsia" w:ascii="方正楷体_GBK" w:hAnsi="方正楷体_GBK" w:eastAsia="方正楷体_GBK" w:cs="方正楷体_GBK"/>
          <w:b/>
          <w:sz w:val="32"/>
          <w:szCs w:val="32"/>
          <w:lang w:val="en-US" w:eastAsia="zh-CN"/>
        </w:rPr>
        <w:t>二</w:t>
      </w:r>
      <w:r>
        <w:rPr>
          <w:rFonts w:hint="eastAsia" w:ascii="方正楷体_GBK" w:hAnsi="方正楷体_GBK" w:eastAsia="方正楷体_GBK" w:cs="方正楷体_GBK"/>
          <w:b/>
          <w:sz w:val="32"/>
          <w:szCs w:val="32"/>
          <w:lang w:val="zh-CN"/>
        </w:rPr>
        <w:t>）相关建议</w:t>
      </w:r>
    </w:p>
    <w:p w14:paraId="58439051">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及时完成报账，对接财政，结转相关指标，保证资金及时支付。</w:t>
      </w:r>
    </w:p>
    <w:p w14:paraId="3AE0B27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B6BF0F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部门预算项目支出绩效自评表（2025年度）</w:t>
      </w:r>
    </w:p>
    <w:p w14:paraId="68AB970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p>
    <w:p w14:paraId="795E214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F455D2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5E77BD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C5279E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08B78B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98A6D87">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DCF133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901D3B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D379C69">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5"/>
        <w:tblW w:w="9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249"/>
        <w:gridCol w:w="1088"/>
        <w:gridCol w:w="1392"/>
        <w:gridCol w:w="396"/>
        <w:gridCol w:w="1032"/>
        <w:gridCol w:w="396"/>
        <w:gridCol w:w="1018"/>
        <w:gridCol w:w="532"/>
        <w:gridCol w:w="413"/>
        <w:gridCol w:w="1368"/>
      </w:tblGrid>
      <w:tr w14:paraId="2368C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trPr>
        <w:tc>
          <w:tcPr>
            <w:tcW w:w="94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38D2C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0F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CFE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B3D2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51041125T000013330367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省级基层治理专项资金</w:t>
            </w:r>
          </w:p>
        </w:tc>
      </w:tr>
      <w:tr w14:paraId="7BB5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9C7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D69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中共攀枝花市仁和区委社会工作部部门</w:t>
            </w:r>
          </w:p>
        </w:tc>
        <w:tc>
          <w:tcPr>
            <w:tcW w:w="1018" w:type="dxa"/>
            <w:tcBorders>
              <w:top w:val="nil"/>
              <w:left w:val="nil"/>
              <w:bottom w:val="nil"/>
              <w:right w:val="nil"/>
            </w:tcBorders>
            <w:shd w:val="clear" w:color="auto" w:fill="auto"/>
            <w:vAlign w:val="center"/>
          </w:tcPr>
          <w:p w14:paraId="2BEEEAC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3A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中共攀枝花市仁和区委社会工作部</w:t>
            </w:r>
          </w:p>
        </w:tc>
      </w:tr>
      <w:tr w14:paraId="7E926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CF0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8C3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DCF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3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62A0E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614C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EC54B">
            <w:pPr>
              <w:rPr>
                <w:rFonts w:hint="eastAsia" w:ascii="宋体" w:hAnsi="宋体" w:eastAsia="宋体" w:cs="宋体"/>
                <w:i w:val="0"/>
                <w:iCs w:val="0"/>
                <w:color w:val="000000"/>
                <w:sz w:val="18"/>
                <w:szCs w:val="18"/>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D594C">
            <w:pPr>
              <w:rPr>
                <w:rFonts w:hint="eastAsia" w:ascii="宋体" w:hAnsi="宋体" w:eastAsia="宋体" w:cs="宋体"/>
                <w:i w:val="0"/>
                <w:iCs w:val="0"/>
                <w:color w:val="000000"/>
                <w:sz w:val="18"/>
                <w:szCs w:val="18"/>
                <w:u w:val="none"/>
              </w:rPr>
            </w:pPr>
          </w:p>
        </w:tc>
        <w:tc>
          <w:tcPr>
            <w:tcW w:w="43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7807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省委、市委关于城乡社区治理工作的决策部署及有关文件要求，认真落实城乡社区治理“特色创优”、城乡社区综合服务设施“补短板”、综合服务“提能力”项目各项任务，确保省级基层治理项目组织保障到位、项目管理规范、项目效益明显。</w:t>
            </w:r>
            <w:r>
              <w:rPr>
                <w:rFonts w:ascii="宋体" w:hAnsi="宋体" w:eastAsia="宋体" w:cs="宋体"/>
                <w:i w:val="0"/>
                <w:iCs w:val="0"/>
                <w:color w:val="000000"/>
                <w:kern w:val="0"/>
                <w:sz w:val="18"/>
                <w:szCs w:val="18"/>
                <w:u w:val="none"/>
                <w:lang w:val="en-US" w:eastAsia="zh-CN" w:bidi="ar"/>
              </w:rPr>
              <w:t>以省级城乡社区治理工作为契机，统筹整合各方面资金资源，打造一批“服务创新型”“人文生态型”“贴心关爱型”“智慧科技型”“幸福和睦型”特色社区，推动城乡社区治理主体更加多元、治理方式更加多样、治理手段更加创新，社区治理水平和社会治理能力得到有效提升，推动制度创新和能力建设取得新成效，激发城乡社区治理新活力。</w:t>
            </w:r>
          </w:p>
        </w:tc>
        <w:tc>
          <w:tcPr>
            <w:tcW w:w="33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795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村（社区）实施城乡社区“创特色”购买服务项目已完成采购，服务项目已完成，待支付。城乡社区综合服务设施“补短板”项目，城乡社区综合服务“提能力”项目为2025项目，资金年底下达，实施时间为2026年。</w:t>
            </w:r>
          </w:p>
        </w:tc>
      </w:tr>
      <w:tr w14:paraId="3165C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B3005">
            <w:pP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05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138E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6个村（社区）实施城乡社区“创特色”购买服务项目</w:t>
            </w:r>
          </w:p>
        </w:tc>
      </w:tr>
      <w:tr w14:paraId="6CBCE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98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5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6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BE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A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8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D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2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43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FEF0">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70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02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DF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420.00</w:t>
            </w: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66C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55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2.14%</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72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68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E96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个村（社区）实施城乡社区“创特色”购买服务项目已完成采购，服务项目已完成，待验收支付。城乡社区综合服务设施“补短板”项目，城乡社区综合服务“提能力”项目为2025项目，资金年底下达，实施时间为2026年。</w:t>
            </w:r>
          </w:p>
        </w:tc>
      </w:tr>
      <w:tr w14:paraId="0E9F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CFD0A">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C32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D7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12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420.00</w:t>
            </w: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42A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F4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2.14%</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92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A5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BDF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7BF1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34DE7">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E6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E8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34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80F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28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FB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A7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A4A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3121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3002F">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42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A9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99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259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55F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10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58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93B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494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D3A50">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32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其他资金</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11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E2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D044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EA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E7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AD5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55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9C06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7"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CA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AF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98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BF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97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28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C7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9B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F9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2E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52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6FC4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BEAB3">
            <w:pPr>
              <w:jc w:val="center"/>
              <w:rPr>
                <w:rFonts w:hint="eastAsia" w:ascii="宋体" w:hAnsi="宋体" w:eastAsia="宋体" w:cs="宋体"/>
                <w:i w:val="0"/>
                <w:iCs w:val="0"/>
                <w:color w:val="000000"/>
                <w:sz w:val="18"/>
                <w:szCs w:val="18"/>
                <w:u w:val="none"/>
              </w:rPr>
            </w:pP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11D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F9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68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在6个村（社区）实施城乡社区“创特色”工程项目</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E6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7C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89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DFB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A7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ED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71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8BE5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6DCE7">
            <w:pPr>
              <w:jc w:val="center"/>
              <w:rPr>
                <w:rFonts w:hint="eastAsia" w:ascii="宋体" w:hAnsi="宋体" w:eastAsia="宋体" w:cs="宋体"/>
                <w:i w:val="0"/>
                <w:iCs w:val="0"/>
                <w:color w:val="000000"/>
                <w:sz w:val="18"/>
                <w:szCs w:val="18"/>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3FF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76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AE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目标任务完成率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DE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C8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F0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5C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42.86</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F2F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9C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16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城乡社区综合服务设施“补短板”项目，城乡社区综合服务“提能力”项目为2025项目，资金年底下达，实施时间为2026年。</w:t>
            </w:r>
          </w:p>
        </w:tc>
      </w:tr>
      <w:tr w14:paraId="76B62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FF5AF">
            <w:pPr>
              <w:jc w:val="center"/>
              <w:rPr>
                <w:rFonts w:hint="eastAsia" w:ascii="宋体" w:hAnsi="宋体" w:eastAsia="宋体" w:cs="宋体"/>
                <w:i w:val="0"/>
                <w:iCs w:val="0"/>
                <w:color w:val="000000"/>
                <w:sz w:val="18"/>
                <w:szCs w:val="18"/>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F71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5F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37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目标任务完成时限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37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43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AE9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70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3C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24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C9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6A9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329A9">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6AB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C0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1D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提升城乡社区治理水平</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14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19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切实提升仁和区城乡社区治理及服务水平</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F2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78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切实提升仁和区城乡社区治理及服务水平</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66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3D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5A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1E0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62354">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37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A5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E1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1C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18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4A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D6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B1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19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6D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DD7C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8E74">
            <w:pPr>
              <w:jc w:val="center"/>
              <w:rPr>
                <w:rFonts w:hint="eastAsia" w:ascii="宋体" w:hAnsi="宋体" w:eastAsia="宋体" w:cs="宋体"/>
                <w:i w:val="0"/>
                <w:iCs w:val="0"/>
                <w:color w:val="000000"/>
                <w:sz w:val="18"/>
                <w:szCs w:val="18"/>
                <w:u w:val="none"/>
              </w:rPr>
            </w:pP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D0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0D4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C1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实施村（社区）多元治理主体培育等</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D36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A7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37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41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180</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68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9DB3">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6F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7932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71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5CF5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83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2B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94</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21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98F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C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4178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自评得分94分。建强社区服务阵地、优化社区服务内容，形成“服务创新型”“智慧科技型”“幸福和睦型”“人文生态型”等特色社区治理品牌，形成一批能学习、可复制的社区治理示范成果，以点带面、以优促建，切实提升仁和区城乡社区治理及服务水平。</w:t>
            </w:r>
          </w:p>
        </w:tc>
      </w:tr>
      <w:tr w14:paraId="452E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0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9833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资金未及时支付完成。</w:t>
            </w:r>
          </w:p>
        </w:tc>
      </w:tr>
      <w:tr w14:paraId="60910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E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8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D887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及时完成报账，对接财政，结转相关指标，保证资金及时支付。</w:t>
            </w:r>
          </w:p>
        </w:tc>
      </w:tr>
      <w:tr w14:paraId="26379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7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F4C5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项目负责人：张浩洁</w:t>
            </w:r>
          </w:p>
        </w:tc>
        <w:tc>
          <w:tcPr>
            <w:tcW w:w="47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BB9C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财务负责人：张宝瑞</w:t>
            </w:r>
          </w:p>
        </w:tc>
      </w:tr>
    </w:tbl>
    <w:p w14:paraId="4D69A473">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633FEBA">
      <w:pPr>
        <w:widowControl/>
        <w:jc w:val="center"/>
        <w:rPr>
          <w:rFonts w:hint="eastAsia" w:ascii="Times New Roman" w:hAnsi="Times New Roman" w:eastAsia="黑体"/>
          <w:color w:val="auto"/>
          <w:sz w:val="44"/>
          <w:szCs w:val="44"/>
          <w:highlight w:val="none"/>
        </w:rPr>
      </w:pPr>
    </w:p>
    <w:p w14:paraId="5CF323C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5"/>
      <w:bookmarkEnd w:id="48"/>
      <w:bookmarkStart w:id="49" w:name="_Toc15396619"/>
    </w:p>
    <w:p w14:paraId="0118E1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865FAD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695826F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439976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5F4404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4ACBA5C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3741FA7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33EB008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1BD1043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44B6C1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4B522A9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4A0CF1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A7EE3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67CFEB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24FA6F90">
      <w:pPr>
        <w:rPr>
          <w:rFonts w:hint="eastAsia" w:ascii="Times New Roman" w:hAnsi="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AB0847-3FE8-4549-96B6-ED61CF258E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D6897825-B837-44F3-8CB0-0F76DC7B155D}"/>
  </w:font>
  <w:font w:name="仿宋">
    <w:panose1 w:val="02010609060101010101"/>
    <w:charset w:val="86"/>
    <w:family w:val="modern"/>
    <w:pitch w:val="default"/>
    <w:sig w:usb0="800002BF" w:usb1="38CF7CFA" w:usb2="00000016" w:usb3="00000000" w:csb0="00040001" w:csb1="00000000"/>
    <w:embedRegular r:id="rId3" w:fontKey="{28D73C0E-0C30-4AA0-8D1D-C27829364D3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D8C13108-53B6-4E2E-9CCA-DD6A75ED27A2}"/>
  </w:font>
  <w:font w:name="方正仿宋_GBK">
    <w:panose1 w:val="03000509000000000000"/>
    <w:charset w:val="86"/>
    <w:family w:val="auto"/>
    <w:pitch w:val="default"/>
    <w:sig w:usb0="00000001" w:usb1="080E0000" w:usb2="00000000" w:usb3="00000000" w:csb0="00040000" w:csb1="00000000"/>
    <w:embedRegular r:id="rId5" w:fontKey="{923D1192-FEAA-4556-A914-BDAAB0F8C6D8}"/>
  </w:font>
  <w:font w:name="楷体_GB2312">
    <w:altName w:val="楷体"/>
    <w:panose1 w:val="02010609030101010101"/>
    <w:charset w:val="86"/>
    <w:family w:val="auto"/>
    <w:pitch w:val="default"/>
    <w:sig w:usb0="00000000" w:usb1="00000000" w:usb2="00000000" w:usb3="00000000" w:csb0="00040000" w:csb1="00000000"/>
    <w:embedRegular r:id="rId6" w:fontKey="{744668B6-CE0D-4199-9812-C8C32D208BC8}"/>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embedRegular r:id="rId7" w:fontKey="{9CAF3015-69EF-4CA7-AADA-FE91E2DD9848}"/>
  </w:font>
  <w:font w:name="方正楷体_GB2312">
    <w:panose1 w:val="02000000000000000000"/>
    <w:charset w:val="86"/>
    <w:family w:val="auto"/>
    <w:pitch w:val="default"/>
    <w:sig w:usb0="A00002BF" w:usb1="184F6CFA" w:usb2="00000012" w:usb3="00000000" w:csb0="00040001" w:csb1="00000000"/>
    <w:embedRegular r:id="rId8" w:fontKey="{2009F883-84EF-4E14-BA1D-EEDA96A0BB8E}"/>
  </w:font>
  <w:font w:name="微软雅黑">
    <w:panose1 w:val="020B0503020204020204"/>
    <w:charset w:val="86"/>
    <w:family w:val="auto"/>
    <w:pitch w:val="default"/>
    <w:sig w:usb0="80000287" w:usb1="2ACF3C50" w:usb2="00000016" w:usb3="00000000" w:csb0="0004001F" w:csb1="00000000"/>
    <w:embedRegular r:id="rId9" w:fontKey="{DE8C4626-4746-459C-B909-FC74DEF03ED6}"/>
  </w:font>
  <w:font w:name="方正小标宋_GBK">
    <w:panose1 w:val="03000509000000000000"/>
    <w:charset w:val="86"/>
    <w:family w:val="script"/>
    <w:pitch w:val="default"/>
    <w:sig w:usb0="00000001" w:usb1="080E0000" w:usb2="00000000" w:usb3="00000000" w:csb0="00040000" w:csb1="00000000"/>
    <w:embedRegular r:id="rId10" w:fontKey="{851DF7B5-D3E7-4A87-8CD3-9BB98C4BE396}"/>
  </w:font>
  <w:font w:name="方正楷体_GBK">
    <w:panose1 w:val="03000509000000000000"/>
    <w:charset w:val="86"/>
    <w:family w:val="auto"/>
    <w:pitch w:val="default"/>
    <w:sig w:usb0="00000001" w:usb1="080E0000" w:usb2="00000000" w:usb3="00000000" w:csb0="00040000" w:csb1="00000000"/>
    <w:embedRegular r:id="rId11" w:fontKey="{8895EF7F-540B-4A30-97C2-847FAE7FDD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95141">
    <w:pPr>
      <w:pStyle w:val="10"/>
      <w:jc w:val="center"/>
    </w:pPr>
  </w:p>
  <w:p w14:paraId="30AF137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EA359">
    <w:pPr>
      <w:pStyle w:val="10"/>
      <w:jc w:val="center"/>
    </w:pPr>
  </w:p>
  <w:p w14:paraId="191DDF4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A85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4BF2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04BF2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D3F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BFEDA"/>
    <w:multiLevelType w:val="singleLevel"/>
    <w:tmpl w:val="BE6BFEDA"/>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E1A9A"/>
    <w:rsid w:val="015975B8"/>
    <w:rsid w:val="01A23516"/>
    <w:rsid w:val="0203505F"/>
    <w:rsid w:val="02317B1B"/>
    <w:rsid w:val="02532A52"/>
    <w:rsid w:val="02FEBE30"/>
    <w:rsid w:val="061E35DE"/>
    <w:rsid w:val="062E3114"/>
    <w:rsid w:val="066E0107"/>
    <w:rsid w:val="078B5EF9"/>
    <w:rsid w:val="07996F6E"/>
    <w:rsid w:val="07DFD8BA"/>
    <w:rsid w:val="08211CDA"/>
    <w:rsid w:val="088D3110"/>
    <w:rsid w:val="08DB07E4"/>
    <w:rsid w:val="09867E8F"/>
    <w:rsid w:val="0A2032A3"/>
    <w:rsid w:val="0AD45054"/>
    <w:rsid w:val="0B574F31"/>
    <w:rsid w:val="0BB82942"/>
    <w:rsid w:val="0C66480D"/>
    <w:rsid w:val="0C6C4794"/>
    <w:rsid w:val="0CA8290A"/>
    <w:rsid w:val="0D35B1ED"/>
    <w:rsid w:val="0DE07E2B"/>
    <w:rsid w:val="0E72396F"/>
    <w:rsid w:val="0F98263C"/>
    <w:rsid w:val="0F9D3C82"/>
    <w:rsid w:val="101860EC"/>
    <w:rsid w:val="10C055FF"/>
    <w:rsid w:val="11772AA4"/>
    <w:rsid w:val="118107EC"/>
    <w:rsid w:val="12993BC0"/>
    <w:rsid w:val="1301536A"/>
    <w:rsid w:val="137D703E"/>
    <w:rsid w:val="13957196"/>
    <w:rsid w:val="13D50BC4"/>
    <w:rsid w:val="14022904"/>
    <w:rsid w:val="152F2A07"/>
    <w:rsid w:val="165E0673"/>
    <w:rsid w:val="16BB723D"/>
    <w:rsid w:val="16E82DF1"/>
    <w:rsid w:val="16F13FCB"/>
    <w:rsid w:val="1740285C"/>
    <w:rsid w:val="181F06C4"/>
    <w:rsid w:val="186504BB"/>
    <w:rsid w:val="18BA4824"/>
    <w:rsid w:val="1938089F"/>
    <w:rsid w:val="194A1A92"/>
    <w:rsid w:val="19A445FC"/>
    <w:rsid w:val="19DC3AAE"/>
    <w:rsid w:val="1B7D550C"/>
    <w:rsid w:val="1BE8440E"/>
    <w:rsid w:val="1CB564E4"/>
    <w:rsid w:val="1D155CEE"/>
    <w:rsid w:val="1DE178F3"/>
    <w:rsid w:val="1E033DED"/>
    <w:rsid w:val="1E740ACF"/>
    <w:rsid w:val="1ED76371"/>
    <w:rsid w:val="1FF35744"/>
    <w:rsid w:val="1FF6BC77"/>
    <w:rsid w:val="20CE2C87"/>
    <w:rsid w:val="21962A9E"/>
    <w:rsid w:val="21AE7C77"/>
    <w:rsid w:val="21D7200F"/>
    <w:rsid w:val="22252D7A"/>
    <w:rsid w:val="22BC3C41"/>
    <w:rsid w:val="23860B96"/>
    <w:rsid w:val="240371BF"/>
    <w:rsid w:val="249D12EE"/>
    <w:rsid w:val="25DD38CE"/>
    <w:rsid w:val="260F557C"/>
    <w:rsid w:val="271A002E"/>
    <w:rsid w:val="27AC6415"/>
    <w:rsid w:val="280F6FAD"/>
    <w:rsid w:val="281408E2"/>
    <w:rsid w:val="29192782"/>
    <w:rsid w:val="295464C2"/>
    <w:rsid w:val="29FD04D3"/>
    <w:rsid w:val="2A1771F1"/>
    <w:rsid w:val="2A3A736B"/>
    <w:rsid w:val="2BFF7BC6"/>
    <w:rsid w:val="2C8A61B5"/>
    <w:rsid w:val="2C950AFD"/>
    <w:rsid w:val="2D2E01CF"/>
    <w:rsid w:val="2D464C36"/>
    <w:rsid w:val="2DE57862"/>
    <w:rsid w:val="2DF04E50"/>
    <w:rsid w:val="2E9545B0"/>
    <w:rsid w:val="2F040D46"/>
    <w:rsid w:val="2FAE5751"/>
    <w:rsid w:val="2FAF0127"/>
    <w:rsid w:val="2FB1A395"/>
    <w:rsid w:val="2FD9A7D8"/>
    <w:rsid w:val="30782C0F"/>
    <w:rsid w:val="312D281B"/>
    <w:rsid w:val="313E1763"/>
    <w:rsid w:val="319F7F4E"/>
    <w:rsid w:val="31E16592"/>
    <w:rsid w:val="31F301F2"/>
    <w:rsid w:val="320826B7"/>
    <w:rsid w:val="321B2544"/>
    <w:rsid w:val="32990C1B"/>
    <w:rsid w:val="3304709D"/>
    <w:rsid w:val="335718BE"/>
    <w:rsid w:val="336F5D12"/>
    <w:rsid w:val="33B40DF6"/>
    <w:rsid w:val="341D3752"/>
    <w:rsid w:val="34281836"/>
    <w:rsid w:val="349D6851"/>
    <w:rsid w:val="35BA6CAF"/>
    <w:rsid w:val="35D37231"/>
    <w:rsid w:val="35E8633D"/>
    <w:rsid w:val="36320551"/>
    <w:rsid w:val="364D14C1"/>
    <w:rsid w:val="364D3534"/>
    <w:rsid w:val="36AA5135"/>
    <w:rsid w:val="36BE0DA7"/>
    <w:rsid w:val="376B6AA6"/>
    <w:rsid w:val="376D39B2"/>
    <w:rsid w:val="378E685F"/>
    <w:rsid w:val="37E16F03"/>
    <w:rsid w:val="37F53A3B"/>
    <w:rsid w:val="38500D2A"/>
    <w:rsid w:val="386A0303"/>
    <w:rsid w:val="389B6C89"/>
    <w:rsid w:val="38D469F0"/>
    <w:rsid w:val="391159AF"/>
    <w:rsid w:val="39627CCD"/>
    <w:rsid w:val="397BAF1F"/>
    <w:rsid w:val="3A207A79"/>
    <w:rsid w:val="3AB79AF3"/>
    <w:rsid w:val="3B7EF35A"/>
    <w:rsid w:val="3B88339A"/>
    <w:rsid w:val="3B9FDB6C"/>
    <w:rsid w:val="3BC46549"/>
    <w:rsid w:val="3BF5BC2F"/>
    <w:rsid w:val="3C3D6192"/>
    <w:rsid w:val="3CEBA265"/>
    <w:rsid w:val="3D98207C"/>
    <w:rsid w:val="3D9B0D99"/>
    <w:rsid w:val="3DEE7CF3"/>
    <w:rsid w:val="3DF02244"/>
    <w:rsid w:val="3E78745D"/>
    <w:rsid w:val="3FD32264"/>
    <w:rsid w:val="3FF4CAE0"/>
    <w:rsid w:val="3FF7B227"/>
    <w:rsid w:val="400C4B76"/>
    <w:rsid w:val="406B3DDC"/>
    <w:rsid w:val="40E54C45"/>
    <w:rsid w:val="41313393"/>
    <w:rsid w:val="41A35612"/>
    <w:rsid w:val="41E621D5"/>
    <w:rsid w:val="426B5405"/>
    <w:rsid w:val="43077BF5"/>
    <w:rsid w:val="43A407DF"/>
    <w:rsid w:val="44515BEA"/>
    <w:rsid w:val="44E268DA"/>
    <w:rsid w:val="453F7E5B"/>
    <w:rsid w:val="456A54EE"/>
    <w:rsid w:val="45AD4CB1"/>
    <w:rsid w:val="45EB44C1"/>
    <w:rsid w:val="46653037"/>
    <w:rsid w:val="47411F97"/>
    <w:rsid w:val="47523D62"/>
    <w:rsid w:val="486A6C7A"/>
    <w:rsid w:val="49176D9B"/>
    <w:rsid w:val="494006BD"/>
    <w:rsid w:val="4A627F82"/>
    <w:rsid w:val="4B0E749A"/>
    <w:rsid w:val="4B29302C"/>
    <w:rsid w:val="4B4F25DA"/>
    <w:rsid w:val="4BDA0CFB"/>
    <w:rsid w:val="4BE068DB"/>
    <w:rsid w:val="4C594737"/>
    <w:rsid w:val="4C8F3363"/>
    <w:rsid w:val="4D3C0CCC"/>
    <w:rsid w:val="4D577224"/>
    <w:rsid w:val="4DBF1CEB"/>
    <w:rsid w:val="4DCC45CE"/>
    <w:rsid w:val="4E745E92"/>
    <w:rsid w:val="4EAB630A"/>
    <w:rsid w:val="4ECE2238"/>
    <w:rsid w:val="4F833267"/>
    <w:rsid w:val="4FE9BD67"/>
    <w:rsid w:val="4FFB052F"/>
    <w:rsid w:val="503B242E"/>
    <w:rsid w:val="510A2FB8"/>
    <w:rsid w:val="51260C40"/>
    <w:rsid w:val="52310016"/>
    <w:rsid w:val="53083A92"/>
    <w:rsid w:val="537E6D0A"/>
    <w:rsid w:val="539B1FD4"/>
    <w:rsid w:val="53AF27A2"/>
    <w:rsid w:val="53F74C96"/>
    <w:rsid w:val="541F6D7A"/>
    <w:rsid w:val="54AD75F7"/>
    <w:rsid w:val="551366CC"/>
    <w:rsid w:val="56E47B74"/>
    <w:rsid w:val="57BD3DD4"/>
    <w:rsid w:val="58360B36"/>
    <w:rsid w:val="58DC16DE"/>
    <w:rsid w:val="599A3B6B"/>
    <w:rsid w:val="5AF92295"/>
    <w:rsid w:val="5BDD79E6"/>
    <w:rsid w:val="5BF561CA"/>
    <w:rsid w:val="5BFF5DFC"/>
    <w:rsid w:val="5C2313D1"/>
    <w:rsid w:val="5C643EC4"/>
    <w:rsid w:val="5CD71FC4"/>
    <w:rsid w:val="5D1F11B5"/>
    <w:rsid w:val="5D880229"/>
    <w:rsid w:val="5D9E1657"/>
    <w:rsid w:val="5DAE1B18"/>
    <w:rsid w:val="5DDD5796"/>
    <w:rsid w:val="5DE7D9E5"/>
    <w:rsid w:val="5ECEC941"/>
    <w:rsid w:val="5F434264"/>
    <w:rsid w:val="5F493CB7"/>
    <w:rsid w:val="5FBF9FF3"/>
    <w:rsid w:val="5FCD4E2C"/>
    <w:rsid w:val="5FD15F49"/>
    <w:rsid w:val="5FEF394A"/>
    <w:rsid w:val="5FF67715"/>
    <w:rsid w:val="60395667"/>
    <w:rsid w:val="60E03D35"/>
    <w:rsid w:val="60FF41BB"/>
    <w:rsid w:val="62BF3928"/>
    <w:rsid w:val="63A1155A"/>
    <w:rsid w:val="647F5392"/>
    <w:rsid w:val="653004DD"/>
    <w:rsid w:val="659802E7"/>
    <w:rsid w:val="65C06517"/>
    <w:rsid w:val="664B1D71"/>
    <w:rsid w:val="668A0FC1"/>
    <w:rsid w:val="67AA3209"/>
    <w:rsid w:val="681C4F0D"/>
    <w:rsid w:val="69046D0F"/>
    <w:rsid w:val="698D0931"/>
    <w:rsid w:val="6A3C022E"/>
    <w:rsid w:val="6A5C61DA"/>
    <w:rsid w:val="6A993CED"/>
    <w:rsid w:val="6A9A56E9"/>
    <w:rsid w:val="6B053271"/>
    <w:rsid w:val="6B5D5EE0"/>
    <w:rsid w:val="6BCE6674"/>
    <w:rsid w:val="6BE6044B"/>
    <w:rsid w:val="6C4A05C8"/>
    <w:rsid w:val="6C8742B8"/>
    <w:rsid w:val="6C8A170F"/>
    <w:rsid w:val="6CB54609"/>
    <w:rsid w:val="6DB97DE8"/>
    <w:rsid w:val="6DBF5E93"/>
    <w:rsid w:val="6DFF077E"/>
    <w:rsid w:val="6E72228A"/>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62C1B"/>
    <w:rsid w:val="715C0E4B"/>
    <w:rsid w:val="72233669"/>
    <w:rsid w:val="72734D90"/>
    <w:rsid w:val="7332FE48"/>
    <w:rsid w:val="737C12EE"/>
    <w:rsid w:val="73AB61DA"/>
    <w:rsid w:val="73AD73D5"/>
    <w:rsid w:val="73B6EB34"/>
    <w:rsid w:val="73E60361"/>
    <w:rsid w:val="73FA497D"/>
    <w:rsid w:val="744731E5"/>
    <w:rsid w:val="74527205"/>
    <w:rsid w:val="74697B9A"/>
    <w:rsid w:val="74BBD01D"/>
    <w:rsid w:val="74E220C3"/>
    <w:rsid w:val="74ED5379"/>
    <w:rsid w:val="74FC2395"/>
    <w:rsid w:val="757462E7"/>
    <w:rsid w:val="75DEEEC2"/>
    <w:rsid w:val="76E3355F"/>
    <w:rsid w:val="76FF5125"/>
    <w:rsid w:val="771F0CBB"/>
    <w:rsid w:val="776F6FFA"/>
    <w:rsid w:val="778769C8"/>
    <w:rsid w:val="77DC22F5"/>
    <w:rsid w:val="77E64448"/>
    <w:rsid w:val="78210A63"/>
    <w:rsid w:val="78D21D5D"/>
    <w:rsid w:val="79086DAD"/>
    <w:rsid w:val="79974F09"/>
    <w:rsid w:val="79D7FD79"/>
    <w:rsid w:val="79EE5BA4"/>
    <w:rsid w:val="7A4555A2"/>
    <w:rsid w:val="7A894339"/>
    <w:rsid w:val="7AFF7572"/>
    <w:rsid w:val="7B386B57"/>
    <w:rsid w:val="7B6C7DFB"/>
    <w:rsid w:val="7BBFBED0"/>
    <w:rsid w:val="7BC3E394"/>
    <w:rsid w:val="7BF63F1F"/>
    <w:rsid w:val="7C1F3737"/>
    <w:rsid w:val="7CBFC87B"/>
    <w:rsid w:val="7CFE0F48"/>
    <w:rsid w:val="7D272771"/>
    <w:rsid w:val="7D350400"/>
    <w:rsid w:val="7D7EC23E"/>
    <w:rsid w:val="7D916348"/>
    <w:rsid w:val="7E8ADEBF"/>
    <w:rsid w:val="7EB10D93"/>
    <w:rsid w:val="7EEF11D3"/>
    <w:rsid w:val="7F0971A6"/>
    <w:rsid w:val="7F3F679B"/>
    <w:rsid w:val="7F4FC4EF"/>
    <w:rsid w:val="7F5E4D54"/>
    <w:rsid w:val="7F6E0135"/>
    <w:rsid w:val="7FA30C79"/>
    <w:rsid w:val="7FAF8ABF"/>
    <w:rsid w:val="7FB7269E"/>
    <w:rsid w:val="7FC96657"/>
    <w:rsid w:val="7FDA9588"/>
    <w:rsid w:val="7FDD34C2"/>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footnote text1"/>
    <w:basedOn w:val="1"/>
    <w:next w:val="20"/>
    <w:qFormat/>
    <w:uiPriority w:val="0"/>
    <w:pPr>
      <w:snapToGrid w:val="0"/>
      <w:jc w:val="left"/>
    </w:pPr>
    <w:rPr>
      <w:sz w:val="18"/>
      <w:szCs w:val="18"/>
    </w:rPr>
  </w:style>
  <w:style w:type="paragraph" w:customStyle="1" w:styleId="20">
    <w:name w:val="Body Text First Indent 21"/>
    <w:basedOn w:val="21"/>
    <w:next w:val="1"/>
    <w:qFormat/>
    <w:uiPriority w:val="0"/>
    <w:pPr>
      <w:ind w:firstLine="420" w:firstLineChars="200"/>
    </w:pPr>
    <w:rPr>
      <w:rFonts w:ascii="仿宋_GB2312"/>
      <w:kern w:val="2"/>
      <w:sz w:val="21"/>
      <w:szCs w:val="32"/>
    </w:rPr>
  </w:style>
  <w:style w:type="paragraph" w:customStyle="1" w:styleId="21">
    <w:name w:val="Body Text Indent1"/>
    <w:basedOn w:val="1"/>
    <w:next w:val="20"/>
    <w:qFormat/>
    <w:uiPriority w:val="0"/>
    <w:pPr>
      <w:spacing w:after="120" w:afterLines="0"/>
      <w:ind w:left="200" w:leftChars="200"/>
    </w:pPr>
    <w:rPr>
      <w:rFonts w:ascii="仿宋_GB2312"/>
      <w:szCs w:val="32"/>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6"/>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6"/>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6"/>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6"/>
    <w:link w:val="2"/>
    <w:qFormat/>
    <w:uiPriority w:val="9"/>
    <w:rPr>
      <w:rFonts w:ascii="Times New Roman" w:hAnsi="Times New Roman"/>
      <w:b/>
      <w:bCs/>
      <w:kern w:val="44"/>
      <w:sz w:val="44"/>
      <w:szCs w:val="44"/>
    </w:rPr>
  </w:style>
  <w:style w:type="character" w:customStyle="1" w:styleId="32">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6"/>
    <w:link w:val="9"/>
    <w:semiHidden/>
    <w:qFormat/>
    <w:uiPriority w:val="99"/>
    <w:rPr>
      <w:rFonts w:ascii="Times New Roman" w:hAnsi="Times New Roman"/>
      <w:kern w:val="2"/>
      <w:sz w:val="18"/>
      <w:szCs w:val="18"/>
    </w:rPr>
  </w:style>
  <w:style w:type="character" w:customStyle="1" w:styleId="35">
    <w:name w:val="标题 3 Char"/>
    <w:basedOn w:val="16"/>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Body Text"/>
    <w:basedOn w:val="1"/>
    <w:qFormat/>
    <w:uiPriority w:val="0"/>
    <w:pPr>
      <w:spacing w:before="93" w:beforeLines="30"/>
    </w:pPr>
    <w:rPr>
      <w:rFonts w:ascii="仿宋_GB2312" w:hAnsi="Times New Roman" w:eastAsia="仿宋_GB2312"/>
      <w:sz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收、支决算总计变动情况图</a:t>
            </a:r>
            <a:endParaRPr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[公开决算比对表.xls]Sheet1!$C$5:$D$5</c:f>
              <c:numCache>
                <c:formatCode>#,##0.00</c:formatCode>
                <c:ptCount val="2"/>
                <c:pt idx="0">
                  <c:v>86.53</c:v>
                </c:pt>
                <c:pt idx="1">
                  <c:v>86.53</c:v>
                </c:pt>
              </c:numCache>
            </c:numRef>
          </c:val>
        </c:ser>
        <c:ser>
          <c:idx val="1"/>
          <c:order val="1"/>
          <c:tx>
            <c:strRef>
              <c:f>[公开决算比对表.xls]Sheet1!$B$6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[公开决算比对表.xls]Sheet1!$C$6:$D$6</c:f>
              <c:numCache>
                <c:formatCode>General</c:formatCode>
                <c:ptCount val="2"/>
                <c:pt idx="0">
                  <c:v>264.56</c:v>
                </c:pt>
                <c:pt idx="1">
                  <c:v>264.56</c:v>
                </c:pt>
              </c:numCache>
            </c:numRef>
          </c:val>
        </c:ser>
        <c:dLbls>
          <c:showLegendKey val="0"/>
          <c:showVal val="0"/>
          <c:showCatName val="0"/>
          <c:showSerName val="0"/>
          <c:showPercent val="0"/>
          <c:showBubbleSize val="0"/>
        </c:dLbls>
        <c:gapWidth val="150"/>
        <c:overlap val="0"/>
        <c:axId val="817903560"/>
        <c:axId val="759767227"/>
      </c:barChart>
      <c:catAx>
        <c:axId val="817903560"/>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59767227"/>
        <c:crosses val="autoZero"/>
        <c:auto val="1"/>
        <c:lblAlgn val="ctr"/>
        <c:lblOffset val="100"/>
        <c:noMultiLvlLbl val="0"/>
      </c:catAx>
      <c:valAx>
        <c:axId val="759767227"/>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17903560"/>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37bd7d76-803b-4d84-add1-adfef224d09e}"/>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收入决算结构图</a:t>
            </a:r>
            <a:endParaRPr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37775"/>
          <c:y val="0"/>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0727751594122539"/>
                  <c:y val="-0.015868817773075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039672044432689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[公开决算比对表.xls]Sheet1!$H$4:$K$4</c:f>
              <c:strCache>
                <c:ptCount val="4"/>
                <c:pt idx="0">
                  <c:v>一般公共预算财政拨款收入</c:v>
                </c:pt>
                <c:pt idx="1">
                  <c:v>政府性基金预算财政拨款收入</c:v>
                </c:pt>
                <c:pt idx="2">
                  <c:v>国有资本经营预算财政拨款</c:v>
                </c:pt>
                <c:pt idx="3">
                  <c:v>其他收入</c:v>
                </c:pt>
              </c:strCache>
            </c:strRef>
          </c:cat>
          <c:val>
            <c:numRef>
              <c:f>[公开决算比对表.xls]Sheet1!$H$5:$K$5</c:f>
              <c:numCache>
                <c:formatCode>General</c:formatCode>
                <c:ptCount val="4"/>
                <c:pt idx="0">
                  <c:v>264.56</c:v>
                </c:pt>
                <c:pt idx="1">
                  <c:v>0</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fd773bd7-0b14-4ef8-bc86-04d891aed41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支出决算结构图</a:t>
            </a:r>
            <a:endParaRPr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[公开决算比对表.xls]Sheet1!$N$4:$O$4</c:f>
              <c:strCache>
                <c:ptCount val="2"/>
                <c:pt idx="0">
                  <c:v>基本支出</c:v>
                </c:pt>
                <c:pt idx="1">
                  <c:v>项目支出</c:v>
                </c:pt>
              </c:strCache>
            </c:strRef>
          </c:cat>
          <c:val>
            <c:numRef>
              <c:f>[公开决算比对表.xls]Sheet1!$N$5:$O$5</c:f>
              <c:numCache>
                <c:formatCode>General</c:formatCode>
                <c:ptCount val="2"/>
                <c:pt idx="0">
                  <c:v>184.68</c:v>
                </c:pt>
                <c:pt idx="1">
                  <c:v>79.88</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477858f7-c4cb-49f2-a66f-48ed6c5034b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[公开决算比对表.xls]Sheet1!$C$28:$D$28</c:f>
              <c:numCache>
                <c:formatCode>#,##0.00</c:formatCode>
                <c:ptCount val="2"/>
                <c:pt idx="0">
                  <c:v>86.53</c:v>
                </c:pt>
                <c:pt idx="1">
                  <c:v>86.53</c:v>
                </c:pt>
              </c:numCache>
            </c:numRef>
          </c:val>
        </c:ser>
        <c:ser>
          <c:idx val="1"/>
          <c:order val="1"/>
          <c:tx>
            <c:strRef>
              <c:f>[公开决算比对表.xls]Sheet1!$B$29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[公开决算比对表.xls]Sheet1!$C$29:$D$29</c:f>
              <c:numCache>
                <c:formatCode>General</c:formatCode>
                <c:ptCount val="2"/>
                <c:pt idx="0">
                  <c:v>264.56</c:v>
                </c:pt>
                <c:pt idx="1">
                  <c:v>264.56</c:v>
                </c:pt>
              </c:numCache>
            </c:numRef>
          </c:val>
        </c:ser>
        <c:dLbls>
          <c:showLegendKey val="0"/>
          <c:showVal val="0"/>
          <c:showCatName val="0"/>
          <c:showSerName val="0"/>
          <c:showPercent val="0"/>
          <c:showBubbleSize val="0"/>
        </c:dLbls>
        <c:gapWidth val="150"/>
        <c:overlap val="0"/>
        <c:axId val="555577371"/>
        <c:axId val="966053620"/>
      </c:barChart>
      <c:catAx>
        <c:axId val="555577371"/>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966053620"/>
        <c:crosses val="autoZero"/>
        <c:auto val="1"/>
        <c:lblAlgn val="ctr"/>
        <c:lblOffset val="100"/>
        <c:noMultiLvlLbl val="0"/>
      </c:catAx>
      <c:valAx>
        <c:axId val="966053620"/>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555577371"/>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19014b03-b55c-431d-b1e0-7b7e97f8ab09}"/>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[公开决算比对表.xls]Sheet1!$H$27:$I$27</c:f>
              <c:numCache>
                <c:formatCode>General</c:formatCode>
                <c:ptCount val="2"/>
                <c:pt idx="0">
                  <c:v>2024</c:v>
                </c:pt>
                <c:pt idx="1">
                  <c:v>2025</c:v>
                </c:pt>
              </c:numCache>
            </c:numRef>
          </c:cat>
          <c:val>
            <c:numRef>
              <c:f>[公开决算比对表.xls]Sheet1!$H$28:$I$28</c:f>
              <c:numCache>
                <c:formatCode>#,##0.00</c:formatCode>
                <c:ptCount val="2"/>
                <c:pt idx="0">
                  <c:v>86.53</c:v>
                </c:pt>
                <c:pt idx="1" c:formatCode="General">
                  <c:v>264.56</c:v>
                </c:pt>
              </c:numCache>
            </c:numRef>
          </c:val>
        </c:ser>
        <c:dLbls>
          <c:showLegendKey val="0"/>
          <c:showVal val="0"/>
          <c:showCatName val="0"/>
          <c:showSerName val="0"/>
          <c:showPercent val="0"/>
          <c:showBubbleSize val="0"/>
        </c:dLbls>
        <c:gapWidth val="150"/>
        <c:overlap val="0"/>
        <c:axId val="118269107"/>
        <c:axId val="259252756"/>
      </c:barChart>
      <c:catAx>
        <c:axId val="118269107"/>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59252756"/>
        <c:crosses val="autoZero"/>
        <c:auto val="1"/>
        <c:lblAlgn val="ctr"/>
        <c:lblOffset val="100"/>
        <c:noMultiLvlLbl val="0"/>
      </c:catAx>
      <c:valAx>
        <c:axId val="259252756"/>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18269107"/>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fa890ef4-7f49-46a9-91db-b5233b8ef8d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一般公共预算财政拨款支出决算情况</a:t>
            </a:r>
            <a:endParaRPr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chemeClr val="accent1">
                  <a:lumMod val="20000"/>
                  <a:lumOff val="80000"/>
                </a:schemeClr>
              </a:solidFill>
              <a:ln w="12700">
                <a:solidFill>
                  <a:srgbClr val="000000">
                    <a:alpha val="100000"/>
                  </a:srgbClr>
                </a:solidFill>
                <a:prstDash val="solid"/>
              </a:ln>
            </c:spPr>
          </c:dPt>
          <c:dPt>
            <c:idx val="1"/>
            <c:bubble3D val="0"/>
            <c:explosion val="0"/>
            <c:spPr>
              <a:solidFill>
                <a:srgbClr val="993366">
                  <a:alpha val="100000"/>
                </a:srgbClr>
              </a:solidFill>
              <a:ln w="19050">
                <a:solidFill>
                  <a:srgbClr val="000000">
                    <a:alpha val="100000"/>
                  </a:srgbClr>
                </a:solidFill>
                <a:prstDash val="solid"/>
              </a:ln>
            </c:spPr>
          </c:dPt>
          <c:dPt>
            <c:idx val="2"/>
            <c:bubble3D val="0"/>
            <c:explosion val="0"/>
            <c:spPr>
              <a:solidFill>
                <a:srgbClr val="FFFFCC">
                  <a:alpha val="100000"/>
                </a:srgbClr>
              </a:solidFill>
              <a:ln w="19050">
                <a:solidFill>
                  <a:srgbClr val="000000">
                    <a:alpha val="100000"/>
                  </a:srgbClr>
                </a:solidFill>
                <a:prstDash val="solid"/>
              </a:ln>
            </c:spPr>
          </c:dPt>
          <c:dPt>
            <c:idx val="3"/>
            <c:bubble3D val="0"/>
            <c:explosion val="0"/>
            <c:spPr>
              <a:solidFill>
                <a:srgbClr val="CCFFFF">
                  <a:alpha val="100000"/>
                </a:srgbClr>
              </a:solidFill>
              <a:ln w="19050">
                <a:solidFill>
                  <a:srgbClr val="000000">
                    <a:alpha val="100000"/>
                  </a:srgbClr>
                </a:solidFill>
                <a:prstDash val="solid"/>
              </a:ln>
            </c:spPr>
          </c:dPt>
          <c:dLbls>
            <c:dLbl>
              <c:idx val="0"/>
              <c:layout>
                <c:manualLayout>
                  <c:x val="0.0396733227225904"/>
                  <c:y val="-0.02105720443427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499790844041084"/>
                  <c:y val="0.0005114912582334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220753438936389"/>
                  <c:y val="-0.032326098201874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014586123001297"/>
                  <c:y val="-0.06166613574487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[公开决算比对表.xls]Sheet1!$M$26:$P$26</c:f>
              <c:strCache>
                <c:ptCount val="4"/>
                <c:pt idx="0">
                  <c:v>一般公共服务支出</c:v>
                </c:pt>
                <c:pt idx="1">
                  <c:v>社会保障和就业支出</c:v>
                </c:pt>
                <c:pt idx="2">
                  <c:v>卫生健康支出</c:v>
                </c:pt>
                <c:pt idx="3">
                  <c:v>住房保障支出</c:v>
                </c:pt>
              </c:strCache>
            </c:strRef>
          </c:cat>
          <c:val>
            <c:numRef>
              <c:f>[公开决算比对表.xls]Sheet1!$M$27:$P$27</c:f>
              <c:numCache>
                <c:formatCode>#,##0.00</c:formatCode>
                <c:ptCount val="4"/>
                <c:pt idx="0">
                  <c:v>222.47</c:v>
                </c:pt>
                <c:pt idx="1" c:formatCode="General">
                  <c:v>17.33</c:v>
                </c:pt>
                <c:pt idx="2" c:formatCode="General">
                  <c:v>10.43</c:v>
                </c:pt>
                <c:pt idx="3" c:formatCode="General">
                  <c:v>14.32</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egendEntry>
        <c:idx val="0"/>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3"/>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709295437881524"/>
          <c:y val="0.474968110160486"/>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84245ae-22d7-4a43-b548-4270849ebb13}"/>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sz="1000" i="0" u="none" strike="noStrike" cap="none" normalizeH="0">
              <a:solidFill>
                <a:srgbClr val="000000">
                  <a:alpha val="100000"/>
                </a:srgbClr>
              </a:solidFill>
              <a:uFill>
                <a:solidFill>
                  <a:srgbClr val="000000">
                    <a:alpha val="100000"/>
                  </a:srgbClr>
                </a:solidFill>
              </a:uFill>
              <a:latin typeface="宋体" panose="02010600030101010101" charset="-122"/>
            </a:endParaRPr>
          </a:p>
        </c:rich>
      </c:tx>
      <c:layout>
        <c:manualLayout>
          <c:x val="-0.23125"/>
          <c:y val="-0.0105"/>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3175">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900" b="0" i="0" u="none"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900" b="0" i="0" u="none"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900" b="0" i="0" u="none"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[公开决算比对表.xls]Sheet1!$B$49:$D$49</c:f>
              <c:strCache>
                <c:ptCount val="3"/>
                <c:pt idx="0">
                  <c:v>因公出国（境）费支出决算</c:v>
                </c:pt>
                <c:pt idx="1">
                  <c:v>公务用车购置及运行维护费支出决算</c:v>
                </c:pt>
                <c:pt idx="2">
                  <c:v>公务接待费支出决算</c:v>
                </c:pt>
              </c:strCache>
            </c:strRef>
          </c:cat>
          <c:val>
            <c:numRef>
              <c:f>[公开决算比对表.xls]Sheet1!$B$50:$D$50</c:f>
              <c:numCache>
                <c:formatCode>General</c:formatCode>
                <c:ptCount val="3"/>
                <c:pt idx="0">
                  <c:v>0</c:v>
                </c:pt>
                <c:pt idx="1">
                  <c:v>0</c:v>
                </c:pt>
                <c:pt idx="2">
                  <c:v>0.15</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ac81849-eb9f-498e-bc1b-6d3defeac7b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f02f2ec9-8511-453c-8f32-5ea9c0d411b0</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3906E61D</paraID>
      <start>12</start>
      <end>15</end>
      <status>unmodified</status>
      <modifiedWord/>
      <trackRevisions>false</trackRevisions>
    </reviewItem>
    <reviewItem>
      <errorID>0ec3ee47-f971-45a9-8572-983cd43fcfaa</errorID>
      <errorWord>《中共中央办公厅、国务院办公厅关于加强社区工作者队伍建设的意见》</errorWord>
      <group>L1_Official</group>
      <groupName>公文格式问题</groupName>
      <ability>L2_Official</ability>
      <abilityName>公文要素检查</abilityName>
      <candidateList/>
      <explain>公文文件引用格式不规范</explain>
      <paraID>5A782AF5</paraID>
      <start>0</start>
      <end>32</end>
      <status>unmodified</status>
      <modifiedWord/>
      <trackRevisions>false</trackRevisions>
    </reviewItem>
    <reviewItem>
      <errorID>174877cc-a459-423c-b446-4880f7bfbe39</errorID>
      <errorWord>会计法</errorWord>
      <group>L1_Knowledge</group>
      <groupName>知识性问题</groupName>
      <ability>L2_Knowledge</ability>
      <abilityName>其他知识</abilityName>
      <candidateList>
        <item>中华人民共和国会计法</item>
      </candidateList>
      <explain>当前法律法规名称使用简称，请注意是否应当使用全称。</explain>
      <paraID>440755B5</paraID>
      <start>15</start>
      <end>18</end>
      <status>unmodified</status>
      <modifiedWord/>
      <trackRevisions>false</trackRevisions>
    </reviewItem>
    <reviewItem>
      <errorID>29f5447c-ed53-41ba-843e-3f21fd605445</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440755B5</paraID>
      <start>20</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2274e9-3027-4fc9-b8a1-da1e9d46b5d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7824</Words>
  <Characters>9164</Characters>
  <Lines>61</Lines>
  <Paragraphs>17</Paragraphs>
  <TotalTime>5</TotalTime>
  <ScaleCrop>false</ScaleCrop>
  <LinksUpToDate>false</LinksUpToDate>
  <CharactersWithSpaces>9187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收发文管理员</cp:lastModifiedBy>
  <cp:lastPrinted>2026-09-18T01:45:00Z</cp:lastPrinted>
  <dcterms:modified xsi:type="dcterms:W3CDTF">2026-09-18T02:03:52Z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eyJoZGlkIjoiZTUyY2RiZWJkMDZhNGQwOTFmZjZiNWMyYzdmZDAxMTkiLCJ1c2VySWQiOiIxNjUwNjk2NjAxIn0=</vt:lpwstr>
  </property>
</Properties>
</file>