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6BF8F">
      <w:pPr>
        <w:spacing w:line="240" w:lineRule="auto"/>
        <w:rPr>
          <w:rFonts w:ascii="Times New Roman" w:hAnsi="Times New Roman"/>
        </w:rPr>
      </w:pPr>
      <w:bookmarkStart w:id="0" w:name="_Toc15396475"/>
      <w:bookmarkStart w:id="1" w:name="_Toc15378441"/>
      <w:bookmarkStart w:id="2" w:name="_Toc15377193"/>
      <w:bookmarkStart w:id="3" w:name="_Toc15377425"/>
      <w:bookmarkStart w:id="4" w:name="_Toc15396597"/>
      <w:bookmarkStart w:id="5" w:name="_Toc15306267"/>
    </w:p>
    <w:p w14:paraId="25F8A9BF">
      <w:pPr>
        <w:pStyle w:val="8"/>
        <w:spacing w:line="240" w:lineRule="auto"/>
        <w:jc w:val="center"/>
        <w:rPr>
          <w:rFonts w:hint="eastAsia" w:ascii="Times New Roman" w:hAnsi="Times New Roman" w:eastAsia="方正小标宋简体" w:cs="Times New Roman"/>
          <w:color w:val="auto"/>
          <w:kern w:val="2"/>
          <w:sz w:val="44"/>
          <w:szCs w:val="44"/>
          <w:highlight w:val="none"/>
          <w:lang w:val="en-US" w:eastAsia="zh-CN" w:bidi="ar-SA"/>
        </w:rPr>
      </w:pPr>
    </w:p>
    <w:p w14:paraId="283BA92D">
      <w:pPr>
        <w:pStyle w:val="8"/>
        <w:spacing w:line="240" w:lineRule="auto"/>
        <w:jc w:val="center"/>
        <w:rPr>
          <w:rFonts w:hint="eastAsia" w:ascii="Times New Roman" w:hAnsi="Times New Roman" w:eastAsia="方正小标宋简体" w:cs="Times New Roman"/>
          <w:color w:val="auto"/>
          <w:kern w:val="2"/>
          <w:sz w:val="44"/>
          <w:szCs w:val="44"/>
          <w:highlight w:val="none"/>
          <w:lang w:val="en-US" w:eastAsia="zh-CN" w:bidi="ar-SA"/>
        </w:rPr>
      </w:pPr>
    </w:p>
    <w:p w14:paraId="301AD196">
      <w:pPr>
        <w:pStyle w:val="8"/>
        <w:spacing w:line="240" w:lineRule="auto"/>
        <w:jc w:val="center"/>
        <w:rPr>
          <w:rFonts w:hint="eastAsia" w:ascii="Times New Roman" w:hAnsi="Times New Roman" w:eastAsia="方正小标宋简体" w:cs="Times New Roman"/>
          <w:color w:val="auto"/>
          <w:kern w:val="2"/>
          <w:sz w:val="44"/>
          <w:szCs w:val="44"/>
          <w:highlight w:val="none"/>
          <w:lang w:val="en-US" w:eastAsia="zh-CN" w:bidi="ar-SA"/>
        </w:rPr>
      </w:pPr>
    </w:p>
    <w:p w14:paraId="4420D834">
      <w:pPr>
        <w:pStyle w:val="8"/>
        <w:spacing w:line="240" w:lineRule="auto"/>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FEF7E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eastAsia="方正小标宋简体" w:cs="Times New Roman"/>
          <w:color w:val="auto"/>
          <w:kern w:val="2"/>
          <w:sz w:val="44"/>
          <w:szCs w:val="44"/>
          <w:highlight w:val="none"/>
          <w:lang w:val="en-US" w:eastAsia="zh-CN" w:bidi="ar-SA"/>
        </w:rPr>
      </w:pPr>
      <w:bookmarkStart w:id="6" w:name="_Toc15377426"/>
      <w:bookmarkStart w:id="7" w:name="_Toc15378442"/>
      <w:bookmarkStart w:id="8" w:name="_Toc15396476"/>
      <w:bookmarkStart w:id="9" w:name="_Toc15396598"/>
      <w:bookmarkStart w:id="10" w:name="_Toc15377194"/>
      <w:r>
        <w:rPr>
          <w:rFonts w:hint="eastAsia" w:ascii="Times New Roman" w:eastAsia="方正小标宋简体" w:cs="Times New Roman"/>
          <w:color w:val="auto"/>
          <w:kern w:val="2"/>
          <w:sz w:val="44"/>
          <w:szCs w:val="44"/>
          <w:highlight w:val="none"/>
          <w:lang w:val="en-US" w:eastAsia="zh-CN" w:bidi="ar-SA"/>
        </w:rPr>
        <w:t>2025年度</w:t>
      </w:r>
      <w:r>
        <w:rPr>
          <w:rFonts w:hint="eastAsia" w:eastAsia="方正小标宋简体" w:cs="Times New Roman"/>
          <w:color w:val="auto"/>
          <w:kern w:val="2"/>
          <w:sz w:val="44"/>
          <w:szCs w:val="44"/>
          <w:highlight w:val="none"/>
          <w:lang w:val="en-US" w:eastAsia="zh-CN" w:bidi="ar-SA"/>
        </w:rPr>
        <w:t>四川省攀枝花市</w:t>
      </w:r>
      <w:r>
        <w:rPr>
          <w:rFonts w:hint="eastAsia" w:ascii="Times New Roman" w:eastAsia="方正小标宋简体" w:cs="Times New Roman"/>
          <w:color w:val="auto"/>
          <w:kern w:val="2"/>
          <w:sz w:val="44"/>
          <w:szCs w:val="44"/>
          <w:highlight w:val="none"/>
          <w:lang w:val="en-US" w:eastAsia="zh-CN" w:bidi="ar-SA"/>
        </w:rPr>
        <w:t>仁和区</w:t>
      </w:r>
      <w:bookmarkEnd w:id="5"/>
      <w:bookmarkStart w:id="11" w:name="_Toc15306268"/>
    </w:p>
    <w:p w14:paraId="6AB13C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文化馆</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7E4D0EFB">
      <w:pPr>
        <w:widowControl/>
        <w:spacing w:line="240" w:lineRule="auto"/>
        <w:jc w:val="center"/>
        <w:rPr>
          <w:rFonts w:hint="default" w:ascii="Times New Roman" w:hAnsi="Times New Roman" w:eastAsia="方正小标宋_GBK" w:cs="Times New Roman"/>
          <w:sz w:val="44"/>
          <w:szCs w:val="44"/>
        </w:rPr>
      </w:pPr>
    </w:p>
    <w:p w14:paraId="7829C657">
      <w:pPr>
        <w:widowControl/>
        <w:spacing w:line="240" w:lineRule="auto"/>
        <w:jc w:val="center"/>
        <w:rPr>
          <w:rFonts w:hint="default" w:ascii="Times New Roman" w:hAnsi="Times New Roman" w:eastAsia="方正小标宋_GBK" w:cs="Times New Roman"/>
          <w:sz w:val="44"/>
          <w:szCs w:val="44"/>
        </w:rPr>
      </w:pPr>
    </w:p>
    <w:p w14:paraId="7FFAE5BC">
      <w:pPr>
        <w:widowControl/>
        <w:spacing w:line="240" w:lineRule="auto"/>
        <w:jc w:val="center"/>
        <w:rPr>
          <w:rFonts w:hint="default" w:ascii="Times New Roman" w:hAnsi="Times New Roman" w:eastAsia="方正小标宋_GBK" w:cs="Times New Roman"/>
          <w:sz w:val="44"/>
          <w:szCs w:val="44"/>
        </w:rPr>
      </w:pPr>
    </w:p>
    <w:p w14:paraId="2ABDBA4A">
      <w:pPr>
        <w:widowControl/>
        <w:spacing w:line="240" w:lineRule="auto"/>
        <w:jc w:val="center"/>
        <w:rPr>
          <w:rFonts w:hint="default" w:ascii="Times New Roman" w:hAnsi="Times New Roman" w:eastAsia="方正小标宋_GBK" w:cs="Times New Roman"/>
          <w:sz w:val="44"/>
          <w:szCs w:val="44"/>
        </w:rPr>
      </w:pPr>
    </w:p>
    <w:p w14:paraId="52C40238">
      <w:pPr>
        <w:widowControl/>
        <w:spacing w:line="240" w:lineRule="auto"/>
        <w:jc w:val="center"/>
        <w:rPr>
          <w:rFonts w:hint="default" w:ascii="Times New Roman" w:hAnsi="Times New Roman" w:eastAsia="方正小标宋_GBK" w:cs="Times New Roman"/>
          <w:sz w:val="44"/>
          <w:szCs w:val="44"/>
        </w:rPr>
      </w:pPr>
    </w:p>
    <w:p w14:paraId="07086F14">
      <w:pPr>
        <w:widowControl/>
        <w:spacing w:line="240" w:lineRule="auto"/>
        <w:jc w:val="center"/>
        <w:rPr>
          <w:rFonts w:hint="default" w:ascii="Times New Roman" w:hAnsi="Times New Roman" w:eastAsia="方正小标宋_GBK" w:cs="Times New Roman"/>
          <w:sz w:val="44"/>
          <w:szCs w:val="44"/>
        </w:rPr>
      </w:pPr>
    </w:p>
    <w:p w14:paraId="23775E45">
      <w:pPr>
        <w:widowControl/>
        <w:spacing w:line="240" w:lineRule="auto"/>
        <w:jc w:val="center"/>
        <w:rPr>
          <w:rFonts w:hint="default" w:ascii="Times New Roman" w:hAnsi="Times New Roman" w:eastAsia="方正小标宋_GBK" w:cs="Times New Roman"/>
          <w:sz w:val="44"/>
          <w:szCs w:val="44"/>
        </w:rPr>
      </w:pPr>
    </w:p>
    <w:p w14:paraId="63C00414">
      <w:pPr>
        <w:widowControl/>
        <w:spacing w:line="240" w:lineRule="auto"/>
        <w:jc w:val="center"/>
        <w:rPr>
          <w:rFonts w:hint="default" w:ascii="Times New Roman" w:hAnsi="Times New Roman" w:eastAsia="方正小标宋_GBK" w:cs="Times New Roman"/>
          <w:sz w:val="44"/>
          <w:szCs w:val="44"/>
        </w:rPr>
      </w:pPr>
    </w:p>
    <w:p w14:paraId="43F32029">
      <w:pPr>
        <w:widowControl/>
        <w:spacing w:line="240" w:lineRule="auto"/>
        <w:jc w:val="center"/>
        <w:rPr>
          <w:rFonts w:hint="default" w:ascii="Times New Roman" w:hAnsi="Times New Roman" w:eastAsia="方正小标宋_GBK" w:cs="Times New Roman"/>
          <w:sz w:val="44"/>
          <w:szCs w:val="44"/>
        </w:rPr>
      </w:pPr>
    </w:p>
    <w:p w14:paraId="6EA7ADF3">
      <w:pPr>
        <w:widowControl/>
        <w:spacing w:line="240" w:lineRule="auto"/>
        <w:jc w:val="center"/>
        <w:rPr>
          <w:rFonts w:hint="default" w:ascii="Times New Roman" w:hAnsi="Times New Roman" w:eastAsia="方正小标宋_GBK" w:cs="Times New Roman"/>
          <w:sz w:val="44"/>
          <w:szCs w:val="44"/>
        </w:rPr>
      </w:pPr>
    </w:p>
    <w:p w14:paraId="5B1EDC03">
      <w:pPr>
        <w:widowControl/>
        <w:spacing w:line="240" w:lineRule="auto"/>
        <w:jc w:val="both"/>
        <w:rPr>
          <w:rFonts w:hint="default" w:ascii="Times New Roman" w:hAnsi="Times New Roman" w:eastAsia="方正小标宋_GBK" w:cs="Times New Roman"/>
          <w:sz w:val="44"/>
          <w:szCs w:val="44"/>
        </w:rPr>
      </w:pPr>
    </w:p>
    <w:p w14:paraId="08E637EC">
      <w:pPr>
        <w:widowControl/>
        <w:spacing w:line="240" w:lineRule="auto"/>
        <w:jc w:val="center"/>
        <w:rPr>
          <w:rFonts w:hint="default" w:ascii="Times New Roman" w:hAnsi="Times New Roman" w:eastAsia="方正小标宋_GBK" w:cs="Times New Roman"/>
          <w:sz w:val="44"/>
          <w:szCs w:val="44"/>
        </w:rPr>
      </w:pPr>
    </w:p>
    <w:p w14:paraId="6F584B4E">
      <w:pPr>
        <w:widowControl/>
        <w:spacing w:line="240" w:lineRule="auto"/>
        <w:jc w:val="center"/>
        <w:rPr>
          <w:rFonts w:hint="default" w:ascii="Times New Roman" w:hAnsi="Times New Roman" w:eastAsia="方正小标宋_GBK" w:cs="Times New Roman"/>
          <w:sz w:val="44"/>
          <w:szCs w:val="44"/>
        </w:rPr>
      </w:pPr>
    </w:p>
    <w:p w14:paraId="22D35DD9">
      <w:pPr>
        <w:widowControl/>
        <w:spacing w:line="240" w:lineRule="auto"/>
        <w:jc w:val="center"/>
        <w:rPr>
          <w:rFonts w:hint="default" w:ascii="Times New Roman" w:hAnsi="Times New Roman" w:eastAsia="黑体" w:cs="Times New Roman"/>
          <w:sz w:val="28"/>
          <w:szCs w:val="28"/>
        </w:rPr>
      </w:pPr>
      <w:r>
        <w:rPr>
          <w:rFonts w:hint="default" w:ascii="Times New Roman" w:hAnsi="Times New Roman" w:eastAsia="方正小标宋_GBK" w:cs="Times New Roman"/>
          <w:sz w:val="44"/>
          <w:szCs w:val="44"/>
        </w:rPr>
        <w:t>目录</w:t>
      </w:r>
    </w:p>
    <w:p w14:paraId="557279D1">
      <w:pPr>
        <w:pStyle w:val="14"/>
        <w:spacing w:line="240" w:lineRule="auto"/>
        <w:rPr>
          <w:rFonts w:hint="default" w:ascii="Times New Roman" w:hAnsi="Times New Roman" w:cs="Times New Roman"/>
          <w:color w:val="000000"/>
        </w:rPr>
      </w:pPr>
      <w:r>
        <w:rPr>
          <w:rFonts w:hint="default" w:ascii="Times New Roman" w:hAnsi="Times New Roman" w:cs="Times New Roman"/>
        </w:rPr>
        <w:t>公开时间：202</w:t>
      </w:r>
      <w:r>
        <w:rPr>
          <w:rFonts w:hint="default" w:ascii="Times New Roman" w:hAnsi="Times New Roman" w:cs="Times New Roman"/>
          <w:lang w:val="en-US" w:eastAsia="zh-CN"/>
        </w:rPr>
        <w:t>4</w:t>
      </w:r>
      <w:r>
        <w:rPr>
          <w:rFonts w:hint="default" w:ascii="Times New Roman" w:hAnsi="Times New Roman" w:cs="Times New Roman"/>
        </w:rPr>
        <w:t>年9月  日</w:t>
      </w:r>
    </w:p>
    <w:p w14:paraId="0CCA6FE0">
      <w:pPr>
        <w:pStyle w:val="14"/>
        <w:keepNext w:val="0"/>
        <w:keepLines w:val="0"/>
        <w:pageBreakBefore w:val="0"/>
        <w:widowControl w:val="0"/>
        <w:kinsoku/>
        <w:wordWrap/>
        <w:overflowPunct/>
        <w:topLinePunct w:val="0"/>
        <w:autoSpaceDE/>
        <w:autoSpaceDN/>
        <w:bidi w:val="0"/>
        <w:adjustRightInd w:val="0"/>
        <w:snapToGrid w:val="0"/>
        <w:spacing w:before="0" w:line="288" w:lineRule="auto"/>
        <w:jc w:val="left"/>
        <w:textAlignment w:val="auto"/>
        <w:rPr>
          <w:rFonts w:hint="default" w:ascii="Times New Roman" w:hAnsi="Times New Roman" w:eastAsia="仿宋" w:cs="Times New Roman"/>
          <w:b/>
          <w:bCs/>
          <w:color w:val="000000"/>
          <w:sz w:val="24"/>
          <w:szCs w:val="24"/>
          <w:lang w:val="en-US" w:eastAsia="zh-CN"/>
        </w:rPr>
      </w:pPr>
      <w:r>
        <w:rPr>
          <w:rFonts w:hint="default" w:ascii="Times New Roman" w:hAnsi="Times New Roman" w:cs="Times New Roman"/>
          <w:b/>
          <w:bCs/>
          <w:color w:val="000000"/>
          <w:sz w:val="24"/>
        </w:rPr>
        <w:t>第一部分 部门概况..............................</w:t>
      </w:r>
      <w:r>
        <w:rPr>
          <w:rFonts w:hint="eastAsia" w:ascii="Times New Roman" w:hAnsi="Times New Roman" w:cs="Times New Roman"/>
          <w:b/>
          <w:bCs/>
          <w:color w:val="000000"/>
          <w:sz w:val="24"/>
          <w:lang w:val="en-US" w:eastAsia="zh-CN"/>
        </w:rPr>
        <w:t>.....................................................</w:t>
      </w:r>
      <w:r>
        <w:rPr>
          <w:rFonts w:hint="default" w:ascii="Times New Roman" w:hAnsi="Times New Roman" w:cs="Times New Roman"/>
          <w:b/>
          <w:bCs/>
          <w:color w:val="000000"/>
          <w:sz w:val="24"/>
        </w:rPr>
        <w:t>...................</w:t>
      </w:r>
      <w:r>
        <w:rPr>
          <w:rFonts w:hint="eastAsia" w:ascii="Times New Roman" w:hAnsi="Times New Roman" w:cs="Times New Roman"/>
          <w:b/>
          <w:bCs/>
          <w:color w:val="000000"/>
          <w:sz w:val="24"/>
          <w:lang w:val="en-US" w:eastAsia="zh-CN"/>
        </w:rPr>
        <w:t>3</w:t>
      </w:r>
    </w:p>
    <w:p w14:paraId="0E7EAF54">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Times New Roman" w:hAnsi="Times New Roman" w:eastAsia="宋体" w:cs="Times New Roman"/>
          <w:color w:val="000000"/>
          <w:sz w:val="24"/>
          <w:lang w:val="en-US" w:eastAsia="zh-CN"/>
        </w:rPr>
      </w:pPr>
      <w:r>
        <w:rPr>
          <w:rFonts w:hint="default" w:ascii="Times New Roman" w:hAnsi="Times New Roman" w:cs="Times New Roman"/>
          <w:color w:val="000000"/>
          <w:sz w:val="24"/>
        </w:rPr>
        <w:t>一、部门职责..........................................</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3</w:t>
      </w:r>
    </w:p>
    <w:p w14:paraId="48C1AD11">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二、机构设置...........................................</w:t>
      </w:r>
      <w:r>
        <w:rPr>
          <w:rFonts w:hint="eastAsia" w:ascii="Times New Roman" w:hAnsi="Times New Roman" w:cs="Times New Roman"/>
          <w:color w:val="000000"/>
          <w:sz w:val="24"/>
          <w:lang w:val="en-US" w:eastAsia="zh-CN"/>
        </w:rPr>
        <w:t>......................................................</w:t>
      </w:r>
      <w:r>
        <w:rPr>
          <w:rFonts w:hint="eastAsia" w:cs="Times New Roman"/>
          <w:color w:val="000000"/>
          <w:sz w:val="24"/>
          <w:lang w:val="en-US" w:eastAsia="zh-CN"/>
        </w:rPr>
        <w:t xml:space="preserve"> </w:t>
      </w:r>
      <w:r>
        <w:rPr>
          <w:rFonts w:hint="default" w:ascii="Times New Roman" w:hAnsi="Times New Roman" w:cs="Times New Roman"/>
          <w:color w:val="000000"/>
          <w:sz w:val="24"/>
        </w:rPr>
        <w:t>.......</w:t>
      </w:r>
      <w:r>
        <w:rPr>
          <w:rFonts w:hint="eastAsia" w:cs="Times New Roman"/>
          <w:color w:val="000000"/>
          <w:sz w:val="24"/>
          <w:lang w:val="en-US" w:eastAsia="zh-CN"/>
        </w:rPr>
        <w:t>9</w:t>
      </w:r>
    </w:p>
    <w:p w14:paraId="008C2D80">
      <w:pPr>
        <w:pStyle w:val="14"/>
        <w:keepNext w:val="0"/>
        <w:keepLines w:val="0"/>
        <w:pageBreakBefore w:val="0"/>
        <w:widowControl w:val="0"/>
        <w:kinsoku/>
        <w:wordWrap/>
        <w:overflowPunct/>
        <w:topLinePunct w:val="0"/>
        <w:autoSpaceDE/>
        <w:autoSpaceDN/>
        <w:bidi w:val="0"/>
        <w:adjustRightInd w:val="0"/>
        <w:snapToGrid w:val="0"/>
        <w:spacing w:before="0" w:line="288" w:lineRule="auto"/>
        <w:jc w:val="left"/>
        <w:textAlignment w:val="auto"/>
        <w:rPr>
          <w:rFonts w:hint="default" w:ascii="Times New Roman" w:hAnsi="Times New Roman" w:eastAsia="仿宋" w:cs="Times New Roman"/>
          <w:b/>
          <w:bCs/>
          <w:color w:val="000000"/>
          <w:sz w:val="24"/>
          <w:szCs w:val="24"/>
          <w:lang w:val="en-US" w:eastAsia="zh-CN"/>
        </w:rPr>
      </w:pPr>
      <w:r>
        <w:rPr>
          <w:rFonts w:hint="default" w:ascii="Times New Roman" w:hAnsi="Times New Roman" w:cs="Times New Roman"/>
          <w:b/>
          <w:bCs/>
          <w:color w:val="000000"/>
          <w:sz w:val="24"/>
        </w:rPr>
        <w:t>第二部分 202</w:t>
      </w:r>
      <w:r>
        <w:rPr>
          <w:rFonts w:hint="default" w:ascii="Times New Roman" w:hAnsi="Times New Roman" w:cs="Times New Roman"/>
          <w:b/>
          <w:bCs/>
          <w:color w:val="000000"/>
          <w:sz w:val="24"/>
          <w:lang w:val="en-US" w:eastAsia="zh-CN"/>
        </w:rPr>
        <w:t>4</w:t>
      </w:r>
      <w:r>
        <w:rPr>
          <w:rFonts w:hint="default" w:ascii="Times New Roman" w:hAnsi="Times New Roman" w:cs="Times New Roman"/>
          <w:b/>
          <w:bCs/>
          <w:color w:val="000000"/>
          <w:sz w:val="24"/>
        </w:rPr>
        <w:t>年度部门决算情况说明...........</w:t>
      </w:r>
      <w:r>
        <w:rPr>
          <w:rFonts w:hint="eastAsia" w:ascii="Times New Roman" w:hAnsi="Times New Roman" w:cs="Times New Roman"/>
          <w:b/>
          <w:bCs/>
          <w:color w:val="000000"/>
          <w:sz w:val="24"/>
          <w:lang w:val="en-US" w:eastAsia="zh-CN"/>
        </w:rPr>
        <w:t>........................................</w:t>
      </w:r>
      <w:r>
        <w:rPr>
          <w:rFonts w:hint="default" w:ascii="Times New Roman" w:hAnsi="Times New Roman" w:cs="Times New Roman"/>
          <w:b/>
          <w:bCs/>
          <w:color w:val="000000"/>
          <w:sz w:val="24"/>
        </w:rPr>
        <w:t>.......</w:t>
      </w:r>
      <w:r>
        <w:rPr>
          <w:rFonts w:hint="eastAsia" w:ascii="Times New Roman" w:hAnsi="Times New Roman" w:cs="Times New Roman"/>
          <w:b/>
          <w:bCs/>
          <w:color w:val="000000"/>
          <w:sz w:val="24"/>
          <w:lang w:val="en-US" w:eastAsia="zh-CN"/>
        </w:rPr>
        <w:t>.</w:t>
      </w:r>
      <w:r>
        <w:rPr>
          <w:rFonts w:hint="default" w:ascii="Times New Roman" w:hAnsi="Times New Roman" w:cs="Times New Roman"/>
          <w:b/>
          <w:bCs/>
          <w:color w:val="000000"/>
          <w:sz w:val="24"/>
        </w:rPr>
        <w:t>...</w:t>
      </w:r>
      <w:r>
        <w:rPr>
          <w:rFonts w:hint="eastAsia" w:ascii="Times New Roman" w:hAnsi="Times New Roman" w:cs="Times New Roman"/>
          <w:b/>
          <w:bCs/>
          <w:color w:val="000000"/>
          <w:sz w:val="24"/>
          <w:lang w:val="en-US" w:eastAsia="zh-CN"/>
        </w:rPr>
        <w:t xml:space="preserve"> </w:t>
      </w:r>
      <w:r>
        <w:rPr>
          <w:rFonts w:hint="default" w:ascii="Times New Roman" w:hAnsi="Times New Roman" w:cs="Times New Roman"/>
          <w:b/>
          <w:bCs/>
          <w:color w:val="000000"/>
          <w:sz w:val="24"/>
        </w:rPr>
        <w:t>.....</w:t>
      </w:r>
      <w:r>
        <w:rPr>
          <w:rFonts w:hint="eastAsia" w:ascii="Times New Roman" w:hAnsi="Times New Roman" w:cs="Times New Roman"/>
          <w:b/>
          <w:bCs/>
          <w:color w:val="000000"/>
          <w:sz w:val="24"/>
          <w:lang w:val="en-US" w:eastAsia="zh-CN"/>
        </w:rPr>
        <w:t>10</w:t>
      </w:r>
    </w:p>
    <w:p w14:paraId="5D0DE152">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cs="Times New Roman"/>
          <w:color w:val="000000"/>
          <w:sz w:val="24"/>
          <w:lang w:val="en-US" w:eastAsia="zh-CN"/>
        </w:rPr>
      </w:pPr>
      <w:r>
        <w:rPr>
          <w:rFonts w:hint="default" w:ascii="Times New Roman" w:hAnsi="Times New Roman" w:cs="Times New Roman"/>
          <w:color w:val="000000"/>
          <w:sz w:val="24"/>
        </w:rPr>
        <w:t>一、收入支出决算总体情况说明....................................</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cs="Times New Roman"/>
          <w:color w:val="000000"/>
          <w:sz w:val="24"/>
          <w:lang w:val="en-US" w:eastAsia="zh-CN"/>
        </w:rPr>
        <w:t xml:space="preserve">10 </w:t>
      </w:r>
    </w:p>
    <w:p w14:paraId="75E645F7">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二、收入决算情况说明.....................................</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cs="Times New Roman"/>
          <w:color w:val="000000"/>
          <w:sz w:val="24"/>
          <w:lang w:val="en-US" w:eastAsia="zh-CN"/>
        </w:rPr>
        <w:t>10</w:t>
      </w:r>
    </w:p>
    <w:p w14:paraId="2118AB35">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三、支出决算情况说明.............................................</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cs="Times New Roman"/>
          <w:color w:val="000000"/>
          <w:sz w:val="24"/>
          <w:lang w:val="en-US" w:eastAsia="zh-CN"/>
        </w:rPr>
        <w:t>11</w:t>
      </w:r>
    </w:p>
    <w:p w14:paraId="630583FF">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cs="Times New Roman"/>
          <w:color w:val="000000"/>
          <w:sz w:val="24"/>
          <w:lang w:val="en-US" w:eastAsia="zh-CN"/>
        </w:rPr>
      </w:pPr>
      <w:r>
        <w:rPr>
          <w:rFonts w:hint="default" w:ascii="Times New Roman" w:hAnsi="Times New Roman" w:cs="Times New Roman"/>
          <w:color w:val="000000"/>
          <w:sz w:val="24"/>
        </w:rPr>
        <w:t>四、财政拨款收入支出决算总体情况说明........................................</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cs="Times New Roman"/>
          <w:color w:val="000000"/>
          <w:sz w:val="24"/>
          <w:lang w:val="en-US" w:eastAsia="zh-CN"/>
        </w:rPr>
        <w:t>12</w:t>
      </w:r>
    </w:p>
    <w:p w14:paraId="0124C9D6">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五、一般公共预算财政拨款支出决算情况说明................................................</w:t>
      </w:r>
      <w:r>
        <w:rPr>
          <w:rFonts w:hint="eastAsia" w:cs="Times New Roman"/>
          <w:color w:val="000000"/>
          <w:sz w:val="24"/>
          <w:lang w:val="en-US" w:eastAsia="zh-CN"/>
        </w:rPr>
        <w:t>12</w:t>
      </w:r>
    </w:p>
    <w:p w14:paraId="458EE3C0">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cs="Times New Roman"/>
          <w:color w:val="000000"/>
          <w:sz w:val="24"/>
          <w:lang w:val="en-US" w:eastAsia="zh-CN"/>
        </w:rPr>
      </w:pPr>
      <w:r>
        <w:rPr>
          <w:rFonts w:hint="default" w:ascii="Times New Roman" w:hAnsi="Times New Roman" w:cs="Times New Roman"/>
          <w:color w:val="000000"/>
          <w:sz w:val="24"/>
        </w:rPr>
        <w:t>六、一般公共预算财政拨款基本支出决算情况说明........................................</w:t>
      </w:r>
      <w:r>
        <w:rPr>
          <w:rFonts w:hint="eastAsia" w:cs="Times New Roman"/>
          <w:color w:val="000000"/>
          <w:sz w:val="24"/>
          <w:lang w:val="en-US" w:eastAsia="zh-CN"/>
        </w:rPr>
        <w:t>15</w:t>
      </w:r>
    </w:p>
    <w:p w14:paraId="0EC50FC6">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cs="Times New Roman"/>
          <w:color w:val="000000"/>
          <w:sz w:val="24"/>
          <w:lang w:val="en-US" w:eastAsia="zh-CN"/>
        </w:rPr>
      </w:pPr>
      <w:r>
        <w:rPr>
          <w:rFonts w:hint="default" w:ascii="Times New Roman" w:hAnsi="Times New Roman" w:cs="Times New Roman"/>
          <w:color w:val="000000"/>
          <w:sz w:val="24"/>
        </w:rPr>
        <w:t>七、财政拨款“三公”经费支出决算情况说明........................................</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cs="Times New Roman"/>
          <w:color w:val="000000"/>
          <w:sz w:val="24"/>
          <w:lang w:val="en-US" w:eastAsia="zh-CN"/>
        </w:rPr>
        <w:t xml:space="preserve"> </w:t>
      </w:r>
      <w:r>
        <w:rPr>
          <w:rFonts w:hint="default" w:ascii="Times New Roman" w:hAnsi="Times New Roman" w:cs="Times New Roman"/>
          <w:color w:val="000000"/>
          <w:sz w:val="24"/>
        </w:rPr>
        <w:t>....</w:t>
      </w:r>
      <w:r>
        <w:rPr>
          <w:rFonts w:hint="eastAsia" w:cs="Times New Roman"/>
          <w:color w:val="000000"/>
          <w:sz w:val="24"/>
          <w:lang w:val="en-US" w:eastAsia="zh-CN"/>
        </w:rPr>
        <w:t>16</w:t>
      </w:r>
    </w:p>
    <w:p w14:paraId="7F7303C6">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八、政府性基金预算支出决算情况说明.............................................</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cs="Times New Roman"/>
          <w:color w:val="000000"/>
          <w:sz w:val="24"/>
          <w:lang w:val="en-US" w:eastAsia="zh-CN"/>
        </w:rPr>
        <w:t>17</w:t>
      </w:r>
    </w:p>
    <w:p w14:paraId="7CACF230">
      <w:pPr>
        <w:pStyle w:val="15"/>
        <w:keepNext w:val="0"/>
        <w:keepLines w:val="0"/>
        <w:pageBreakBefore w:val="0"/>
        <w:widowControl w:val="0"/>
        <w:kinsoku/>
        <w:wordWrap/>
        <w:overflowPunct/>
        <w:topLinePunct w:val="0"/>
        <w:autoSpaceDE/>
        <w:autoSpaceDN/>
        <w:bidi w:val="0"/>
        <w:adjustRightInd w:val="0"/>
        <w:snapToGrid w:val="0"/>
        <w:spacing w:line="288" w:lineRule="auto"/>
        <w:ind w:leftChars="0"/>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九、国有资本经营预算支出决算情况说明.........................................</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18</w:t>
      </w:r>
    </w:p>
    <w:p w14:paraId="752CCB01">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175"/>
        <w:jc w:val="left"/>
        <w:textAlignment w:val="auto"/>
        <w:rPr>
          <w:rFonts w:hint="default" w:ascii="Times New Roman" w:hAnsi="Times New Roman" w:eastAsia="宋体" w:cs="Times New Roman"/>
          <w:color w:val="000000"/>
          <w:sz w:val="24"/>
          <w:lang w:val="en-US" w:eastAsia="zh-CN"/>
        </w:rPr>
      </w:pPr>
      <w:r>
        <w:rPr>
          <w:rStyle w:val="21"/>
          <w:rFonts w:hint="default" w:ascii="Times New Roman" w:hAnsi="Times New Roman" w:cs="Times New Roman"/>
          <w:color w:val="000000"/>
          <w:sz w:val="24"/>
          <w:u w:val="none"/>
        </w:rPr>
        <w:t>十、</w:t>
      </w:r>
      <w:r>
        <w:rPr>
          <w:rFonts w:hint="default" w:ascii="Times New Roman" w:hAnsi="Times New Roman" w:cs="Times New Roman"/>
          <w:color w:val="000000"/>
          <w:sz w:val="24"/>
        </w:rPr>
        <w:t>其他重要事项的情况说明</w:t>
      </w:r>
      <w:r>
        <w:rPr>
          <w:rFonts w:hint="default" w:ascii="Times New Roman" w:hAnsi="Times New Roman" w:cs="Times New Roman"/>
          <w:color w:val="000000"/>
          <w:sz w:val="24"/>
        </w:rPr>
        <w:tab/>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cs="Times New Roman"/>
          <w:color w:val="000000"/>
          <w:sz w:val="24"/>
          <w:lang w:val="en-US" w:eastAsia="zh-CN"/>
        </w:rPr>
        <w:t xml:space="preserve"> </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18</w:t>
      </w:r>
    </w:p>
    <w:p w14:paraId="09CE98A9">
      <w:pPr>
        <w:pStyle w:val="14"/>
        <w:keepNext w:val="0"/>
        <w:keepLines w:val="0"/>
        <w:pageBreakBefore w:val="0"/>
        <w:widowControl w:val="0"/>
        <w:kinsoku/>
        <w:wordWrap/>
        <w:overflowPunct/>
        <w:topLinePunct w:val="0"/>
        <w:autoSpaceDE/>
        <w:autoSpaceDN/>
        <w:bidi w:val="0"/>
        <w:adjustRightInd w:val="0"/>
        <w:snapToGrid w:val="0"/>
        <w:spacing w:before="0" w:line="288" w:lineRule="auto"/>
        <w:jc w:val="left"/>
        <w:textAlignment w:val="auto"/>
        <w:rPr>
          <w:rFonts w:hint="default" w:ascii="Times New Roman" w:hAnsi="Times New Roman" w:eastAsia="仿宋" w:cs="Times New Roman"/>
          <w:b/>
          <w:bCs/>
          <w:color w:val="000000"/>
          <w:sz w:val="24"/>
          <w:szCs w:val="24"/>
          <w:lang w:val="en-US" w:eastAsia="zh-CN"/>
        </w:rPr>
      </w:pPr>
      <w:r>
        <w:rPr>
          <w:rFonts w:hint="default" w:ascii="Times New Roman" w:hAnsi="Times New Roman" w:cs="Times New Roman"/>
          <w:b/>
          <w:bCs/>
          <w:color w:val="000000"/>
          <w:sz w:val="24"/>
        </w:rPr>
        <w:t>第三部分 名词解释.............................................</w:t>
      </w:r>
      <w:r>
        <w:rPr>
          <w:rFonts w:hint="eastAsia" w:ascii="Times New Roman" w:hAnsi="Times New Roman" w:cs="Times New Roman"/>
          <w:b/>
          <w:bCs/>
          <w:color w:val="000000"/>
          <w:sz w:val="24"/>
          <w:lang w:val="en-US" w:eastAsia="zh-CN"/>
        </w:rPr>
        <w:t xml:space="preserve">.................................................. </w:t>
      </w:r>
      <w:r>
        <w:rPr>
          <w:rFonts w:hint="default" w:ascii="Times New Roman" w:hAnsi="Times New Roman" w:cs="Times New Roman"/>
          <w:b/>
          <w:bCs/>
          <w:color w:val="000000"/>
          <w:sz w:val="24"/>
        </w:rPr>
        <w:t>.....</w:t>
      </w:r>
      <w:r>
        <w:rPr>
          <w:rFonts w:hint="eastAsia" w:ascii="Times New Roman" w:hAnsi="Times New Roman" w:cs="Times New Roman"/>
          <w:b/>
          <w:bCs/>
          <w:color w:val="000000"/>
          <w:sz w:val="24"/>
          <w:lang w:val="en-US" w:eastAsia="zh-CN"/>
        </w:rPr>
        <w:t>21</w:t>
      </w:r>
    </w:p>
    <w:p w14:paraId="3E4BAFA0">
      <w:pPr>
        <w:pStyle w:val="14"/>
        <w:keepNext w:val="0"/>
        <w:keepLines w:val="0"/>
        <w:pageBreakBefore w:val="0"/>
        <w:widowControl w:val="0"/>
        <w:kinsoku/>
        <w:wordWrap/>
        <w:overflowPunct/>
        <w:topLinePunct w:val="0"/>
        <w:autoSpaceDE/>
        <w:autoSpaceDN/>
        <w:bidi w:val="0"/>
        <w:adjustRightInd w:val="0"/>
        <w:snapToGrid w:val="0"/>
        <w:spacing w:before="0" w:line="288" w:lineRule="auto"/>
        <w:jc w:val="left"/>
        <w:textAlignment w:val="auto"/>
        <w:rPr>
          <w:rFonts w:hint="default" w:ascii="Times New Roman" w:hAnsi="Times New Roman" w:eastAsia="仿宋" w:cs="Times New Roman"/>
          <w:b/>
          <w:bCs/>
          <w:color w:val="000000"/>
          <w:sz w:val="24"/>
          <w:szCs w:val="24"/>
          <w:lang w:val="en-US" w:eastAsia="zh-CN"/>
        </w:rPr>
      </w:pPr>
      <w:r>
        <w:rPr>
          <w:rFonts w:hint="default" w:ascii="Times New Roman" w:hAnsi="Times New Roman" w:cs="Times New Roman"/>
          <w:b/>
          <w:bCs/>
          <w:color w:val="000000"/>
          <w:sz w:val="24"/>
        </w:rPr>
        <w:t>第四部分 附件................................................</w:t>
      </w:r>
      <w:r>
        <w:rPr>
          <w:rFonts w:hint="eastAsia" w:ascii="Times New Roman" w:hAnsi="Times New Roman" w:cs="Times New Roman"/>
          <w:b/>
          <w:bCs/>
          <w:color w:val="000000"/>
          <w:sz w:val="24"/>
          <w:lang w:val="en-US" w:eastAsia="zh-CN"/>
        </w:rPr>
        <w:t>....................................................... ...</w:t>
      </w:r>
      <w:r>
        <w:rPr>
          <w:rFonts w:hint="default" w:ascii="Times New Roman" w:hAnsi="Times New Roman" w:cs="Times New Roman"/>
          <w:b/>
          <w:bCs/>
          <w:color w:val="000000"/>
          <w:sz w:val="24"/>
        </w:rPr>
        <w:t>..</w:t>
      </w:r>
      <w:r>
        <w:rPr>
          <w:rFonts w:hint="eastAsia" w:ascii="Times New Roman" w:hAnsi="Times New Roman" w:cs="Times New Roman"/>
          <w:b/>
          <w:bCs/>
          <w:color w:val="000000"/>
          <w:sz w:val="24"/>
          <w:lang w:val="en-US" w:eastAsia="zh-CN"/>
        </w:rPr>
        <w:t>24</w:t>
      </w:r>
    </w:p>
    <w:p w14:paraId="6B0C947C">
      <w:pPr>
        <w:pStyle w:val="14"/>
        <w:keepNext w:val="0"/>
        <w:keepLines w:val="0"/>
        <w:pageBreakBefore w:val="0"/>
        <w:widowControl w:val="0"/>
        <w:kinsoku/>
        <w:wordWrap/>
        <w:overflowPunct/>
        <w:topLinePunct w:val="0"/>
        <w:autoSpaceDE/>
        <w:autoSpaceDN/>
        <w:bidi w:val="0"/>
        <w:adjustRightInd w:val="0"/>
        <w:snapToGrid w:val="0"/>
        <w:spacing w:before="0" w:line="288" w:lineRule="auto"/>
        <w:jc w:val="left"/>
        <w:textAlignment w:val="auto"/>
        <w:rPr>
          <w:rFonts w:hint="default" w:ascii="Times New Roman" w:hAnsi="Times New Roman" w:eastAsia="仿宋" w:cs="Times New Roman"/>
          <w:b/>
          <w:bCs/>
          <w:color w:val="000000"/>
          <w:sz w:val="24"/>
          <w:szCs w:val="24"/>
          <w:lang w:val="en-US" w:eastAsia="zh-CN"/>
        </w:rPr>
      </w:pPr>
      <w:r>
        <w:rPr>
          <w:rFonts w:hint="default" w:ascii="Times New Roman" w:hAnsi="Times New Roman" w:cs="Times New Roman"/>
          <w:b/>
          <w:bCs/>
          <w:color w:val="000000"/>
          <w:sz w:val="24"/>
        </w:rPr>
        <w:t>第五部分 附表...........................................</w:t>
      </w:r>
      <w:r>
        <w:rPr>
          <w:rFonts w:hint="eastAsia" w:ascii="Times New Roman" w:hAnsi="Times New Roman" w:cs="Times New Roman"/>
          <w:b/>
          <w:bCs/>
          <w:color w:val="000000"/>
          <w:sz w:val="24"/>
          <w:lang w:val="en-US" w:eastAsia="zh-CN"/>
        </w:rPr>
        <w:t>..........................................................</w:t>
      </w:r>
      <w:r>
        <w:rPr>
          <w:rFonts w:hint="default" w:ascii="Times New Roman" w:hAnsi="Times New Roman" w:cs="Times New Roman"/>
          <w:b/>
          <w:bCs/>
          <w:color w:val="000000"/>
          <w:sz w:val="24"/>
        </w:rPr>
        <w:t>..</w:t>
      </w:r>
      <w:r>
        <w:rPr>
          <w:rFonts w:hint="eastAsia" w:ascii="Times New Roman" w:hAnsi="Times New Roman" w:cs="Times New Roman"/>
          <w:b/>
          <w:bCs/>
          <w:color w:val="000000"/>
          <w:sz w:val="24"/>
          <w:lang w:val="en-US" w:eastAsia="zh-CN"/>
        </w:rPr>
        <w:t xml:space="preserve"> .</w:t>
      </w:r>
      <w:r>
        <w:rPr>
          <w:rFonts w:hint="default" w:ascii="Times New Roman" w:hAnsi="Times New Roman" w:cs="Times New Roman"/>
          <w:b/>
          <w:bCs/>
          <w:color w:val="000000"/>
          <w:sz w:val="24"/>
        </w:rPr>
        <w:t>....</w:t>
      </w:r>
      <w:r>
        <w:rPr>
          <w:rFonts w:hint="eastAsia" w:ascii="Times New Roman" w:hAnsi="Times New Roman" w:cs="Times New Roman"/>
          <w:b/>
          <w:bCs/>
          <w:color w:val="000000"/>
          <w:sz w:val="24"/>
          <w:lang w:val="en-US" w:eastAsia="zh-CN"/>
        </w:rPr>
        <w:t>57</w:t>
      </w:r>
    </w:p>
    <w:p w14:paraId="5CF08598">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一、收入支出决算总表...........................................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43F76CC7">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二、收入决算表..............................................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01841FF1">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三、支出决算表..............................................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0F430A77">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cs="Times New Roman"/>
          <w:color w:val="000000"/>
          <w:sz w:val="24"/>
          <w:lang w:val="en-US" w:eastAsia="zh-CN"/>
        </w:rPr>
      </w:pPr>
      <w:r>
        <w:rPr>
          <w:rFonts w:hint="default" w:ascii="Times New Roman" w:hAnsi="Times New Roman" w:cs="Times New Roman"/>
          <w:color w:val="000000"/>
          <w:sz w:val="24"/>
        </w:rPr>
        <w:t>四、财政拨款收入支出决算总表......................................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488CA89F">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cs="Times New Roman"/>
          <w:color w:val="000000"/>
          <w:sz w:val="24"/>
          <w:lang w:val="en-US" w:eastAsia="zh-CN"/>
        </w:rPr>
      </w:pPr>
      <w:r>
        <w:rPr>
          <w:rFonts w:hint="default" w:ascii="Times New Roman" w:hAnsi="Times New Roman" w:cs="Times New Roman"/>
          <w:color w:val="000000"/>
          <w:sz w:val="24"/>
        </w:rPr>
        <w:t>五、财政拨款支出决算明细表..............................................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1AAC844F">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cs="Times New Roman"/>
          <w:color w:val="000000"/>
          <w:sz w:val="24"/>
          <w:lang w:val="en-US" w:eastAsia="zh-CN"/>
        </w:rPr>
      </w:pPr>
      <w:r>
        <w:rPr>
          <w:rFonts w:hint="default" w:ascii="Times New Roman" w:hAnsi="Times New Roman" w:cs="Times New Roman"/>
          <w:color w:val="000000"/>
          <w:sz w:val="24"/>
        </w:rPr>
        <w:t>六、一般公共预算财政拨款支出决算表..............................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5564BBBA">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七、一般公共预算财政拨款支出决算明细表............................................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6FE8A1D1">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cs="Times New Roman"/>
          <w:color w:val="000000"/>
          <w:sz w:val="24"/>
          <w:lang w:val="en-US" w:eastAsia="zh-CN"/>
        </w:rPr>
      </w:pPr>
      <w:r>
        <w:rPr>
          <w:rFonts w:hint="default" w:ascii="Times New Roman" w:hAnsi="Times New Roman" w:cs="Times New Roman"/>
          <w:color w:val="000000"/>
          <w:sz w:val="24"/>
        </w:rPr>
        <w:t>八、一般公共预算财政拨款基本支出决算明表.............................................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7BF71CBB">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九、一般公共预算财政拨款项目支出决算表.................................................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0A976BDB">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十、政府性基金预算财政拨款收入支出决算表...........................................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4AAEDB82">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十一、国有资本经营预算财政拨款收入支出决算表.....................................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13931E0C">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十二、国有资本经营预算财政拨款支出决算表..............................................</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r>
        <w:rPr>
          <w:rFonts w:hint="eastAsia" w:cs="Times New Roman"/>
          <w:color w:val="000000"/>
          <w:sz w:val="24"/>
          <w:lang w:val="en-US" w:eastAsia="zh-CN"/>
        </w:rPr>
        <w:t>7</w:t>
      </w:r>
    </w:p>
    <w:p w14:paraId="6D2D7110">
      <w:pPr>
        <w:pStyle w:val="15"/>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方正小标宋_GBK" w:hAnsi="方正小标宋_GBK" w:eastAsia="方正小标宋_GBK" w:cs="方正小标宋_GBK"/>
          <w:b w:val="0"/>
          <w:color w:val="auto"/>
          <w:sz w:val="44"/>
          <w:szCs w:val="44"/>
          <w:highlight w:val="none"/>
          <w:lang w:val="en-US"/>
        </w:rPr>
      </w:pPr>
      <w:r>
        <w:rPr>
          <w:rFonts w:hint="default" w:ascii="Times New Roman" w:hAnsi="Times New Roman" w:cs="Times New Roman"/>
          <w:color w:val="000000"/>
          <w:sz w:val="24"/>
        </w:rPr>
        <w:t>十三、财政拨款“三公”经费支出决算表..............................................</w:t>
      </w:r>
      <w:r>
        <w:rPr>
          <w:rFonts w:hint="eastAsia" w:cs="Times New Roman"/>
          <w:color w:val="000000"/>
          <w:sz w:val="24"/>
          <w:lang w:val="en-US" w:eastAsia="zh-CN"/>
        </w:rPr>
        <w:t xml:space="preserve"> </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w:t>
      </w:r>
      <w:r>
        <w:rPr>
          <w:rFonts w:hint="default" w:ascii="Times New Roman" w:hAnsi="Times New Roman" w:cs="Times New Roman"/>
          <w:color w:val="000000"/>
          <w:sz w:val="24"/>
        </w:rPr>
        <w:t>..</w:t>
      </w:r>
      <w:r>
        <w:rPr>
          <w:rFonts w:hint="eastAsia" w:ascii="Times New Roman" w:hAnsi="Times New Roman" w:cs="Times New Roman"/>
          <w:color w:val="000000"/>
          <w:sz w:val="24"/>
          <w:lang w:val="en-US" w:eastAsia="zh-CN"/>
        </w:rPr>
        <w:t>5</w:t>
      </w:r>
      <w:bookmarkStart w:id="12" w:name="_Toc15396599"/>
      <w:bookmarkStart w:id="13" w:name="_Toc15377196"/>
      <w:r>
        <w:rPr>
          <w:rFonts w:hint="eastAsia" w:cs="Times New Roman"/>
          <w:color w:val="000000"/>
          <w:sz w:val="24"/>
          <w:lang w:val="en-US" w:eastAsia="zh-CN"/>
        </w:rPr>
        <w:t>7</w:t>
      </w:r>
    </w:p>
    <w:p w14:paraId="354BEDF1">
      <w:pPr>
        <w:pStyle w:val="4"/>
        <w:spacing w:line="240" w:lineRule="auto"/>
        <w:jc w:val="center"/>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b w:val="0"/>
          <w:color w:val="auto"/>
          <w:sz w:val="44"/>
          <w:szCs w:val="44"/>
          <w:highlight w:val="none"/>
        </w:rPr>
        <w:t>第一部分</w:t>
      </w:r>
      <w:r>
        <w:rPr>
          <w:rFonts w:hint="eastAsia" w:ascii="方正小标宋_GBK" w:hAnsi="方正小标宋_GBK" w:eastAsia="方正小标宋_GBK" w:cs="方正小标宋_GBK"/>
          <w:b w:val="0"/>
          <w:color w:val="auto"/>
          <w:sz w:val="44"/>
          <w:szCs w:val="44"/>
          <w:highlight w:val="none"/>
          <w:lang w:val="en-US" w:eastAsia="zh-CN"/>
        </w:rPr>
        <w:t xml:space="preserve"> </w:t>
      </w:r>
      <w:r>
        <w:rPr>
          <w:rFonts w:hint="eastAsia" w:ascii="方正小标宋_GBK" w:hAnsi="方正小标宋_GBK" w:eastAsia="方正小标宋_GBK" w:cs="方正小标宋_GBK"/>
          <w:b w:val="0"/>
          <w:color w:val="auto"/>
          <w:sz w:val="44"/>
          <w:szCs w:val="44"/>
          <w:highlight w:val="none"/>
        </w:rPr>
        <w:t xml:space="preserve"> </w:t>
      </w:r>
      <w:r>
        <w:rPr>
          <w:rStyle w:val="35"/>
          <w:rFonts w:hint="eastAsia" w:ascii="方正小标宋_GBK" w:hAnsi="方正小标宋_GBK" w:eastAsia="方正小标宋_GBK" w:cs="方正小标宋_GBK"/>
          <w:b w:val="0"/>
          <w:bCs w:val="0"/>
          <w:color w:val="auto"/>
          <w:sz w:val="44"/>
          <w:szCs w:val="44"/>
          <w:highlight w:val="none"/>
        </w:rPr>
        <w:t>部门概况</w:t>
      </w:r>
      <w:bookmarkEnd w:id="12"/>
      <w:bookmarkEnd w:id="13"/>
    </w:p>
    <w:p w14:paraId="08BF978B">
      <w:pPr>
        <w:spacing w:line="240" w:lineRule="auto"/>
        <w:ind w:firstLine="640" w:firstLineChars="200"/>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一、基本职能及主要工作</w:t>
      </w:r>
    </w:p>
    <w:p w14:paraId="34A756E5">
      <w:pPr>
        <w:pStyle w:val="8"/>
        <w:adjustRightInd w:val="0"/>
        <w:snapToGrid w:val="0"/>
        <w:spacing w:line="240" w:lineRule="auto"/>
        <w:ind w:firstLine="675" w:firstLineChars="210"/>
        <w:rPr>
          <w:rFonts w:hint="default" w:ascii="方正楷体_GBK" w:hAnsi="方正楷体_GBK" w:eastAsia="方正楷体_GBK" w:cs="方正楷体_GBK"/>
          <w:b/>
          <w:bCs w:val="0"/>
          <w:kern w:val="2"/>
          <w:sz w:val="32"/>
          <w:szCs w:val="32"/>
          <w:lang w:val="en-US" w:eastAsia="zh-CN" w:bidi="ar-SA"/>
        </w:rPr>
      </w:pPr>
      <w:r>
        <w:rPr>
          <w:rFonts w:hint="default" w:ascii="方正楷体_GBK" w:hAnsi="方正楷体_GBK" w:eastAsia="方正楷体_GBK" w:cs="方正楷体_GBK"/>
          <w:b/>
          <w:bCs w:val="0"/>
          <w:kern w:val="2"/>
          <w:sz w:val="32"/>
          <w:szCs w:val="32"/>
          <w:lang w:val="zh-CN" w:eastAsia="zh-CN" w:bidi="ar-SA"/>
        </w:rPr>
        <w:t>（一）职能简介</w:t>
      </w:r>
      <w:r>
        <w:rPr>
          <w:rFonts w:hint="eastAsia" w:ascii="方正楷体_GBK" w:hAnsi="方正楷体_GBK" w:eastAsia="方正楷体_GBK" w:cs="方正楷体_GBK"/>
          <w:b/>
          <w:bCs w:val="0"/>
          <w:kern w:val="2"/>
          <w:sz w:val="32"/>
          <w:szCs w:val="32"/>
          <w:lang w:val="en-US" w:eastAsia="zh-CN" w:bidi="ar-SA"/>
        </w:rPr>
        <w:t xml:space="preserve"> </w:t>
      </w:r>
    </w:p>
    <w:p w14:paraId="193BD926">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攀枝花市仁和区文化馆（攀枝花市仁和区考古与文物保护中心）贯彻落实党中央和省市区委关于文化事业发展、文物保护工作的方针政策和决策部署。主要职责是：</w:t>
      </w:r>
    </w:p>
    <w:p w14:paraId="1394059F">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1.负责全区群众文化活动组织，繁荣群众文化事业。</w:t>
      </w:r>
    </w:p>
    <w:p w14:paraId="0642829F">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2.加强对乡镇、街道综合文化站（室）工作的指导。</w:t>
      </w:r>
    </w:p>
    <w:p w14:paraId="62DAB591">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3.负责收集整理民族民间艺术及非物质文化遗产保护传承。</w:t>
      </w:r>
    </w:p>
    <w:p w14:paraId="1B711F60">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4.负责开展群众文化艺术调查研究、学术交流。</w:t>
      </w:r>
    </w:p>
    <w:p w14:paraId="67048974">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5.建立、健全群众文化艺术信息网络共享、数字化资源建设、免费提供数字化门户网站信息内容查询和推送文化动态信息。</w:t>
      </w:r>
    </w:p>
    <w:p w14:paraId="490AD5D9">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6.开展群众（少儿）文化艺术培训和队伍辅导。</w:t>
      </w:r>
    </w:p>
    <w:p w14:paraId="797D3929">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7.提供场馆免费开放、艺术培训、展览、展示。</w:t>
      </w:r>
    </w:p>
    <w:p w14:paraId="4D3C0926">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8.组织文化志愿队伍开展基层文化惠民巡演、举办各类宣传展览等。</w:t>
      </w:r>
    </w:p>
    <w:p w14:paraId="55DFD20C">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9.开展文物保护、管理、收藏、展示、宣传、研究、调查、申报、文物修缮、考古发掘等工作，为文物执法提供相关技术支撑。</w:t>
      </w:r>
    </w:p>
    <w:p w14:paraId="3A9FE753">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10.完成攀枝花市仁和区文化广播电视和旅游局交办的其他任务。</w:t>
      </w:r>
    </w:p>
    <w:p w14:paraId="1BCE7A13">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攀枝花市仁和区图书馆贯彻落实党中央和省、市区委关于搜集、整理、收藏图书资料工作的方针政策和决策部署。主要职责是：</w:t>
      </w:r>
    </w:p>
    <w:p w14:paraId="26A6B9BB">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1.为本地区的经济建设和科学研究提供书刊等各类文献资料。</w:t>
      </w:r>
    </w:p>
    <w:p w14:paraId="0DACB007">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2.传播科学文化知识，提高广大群众的科学文化水平。</w:t>
      </w:r>
    </w:p>
    <w:p w14:paraId="6BFD48F8">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3.搜集、整理与保存文化典籍、地方文献和民族文化遗产。</w:t>
      </w:r>
    </w:p>
    <w:p w14:paraId="1D3ACAE1">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4.开展图书馆学理论和技术方法的研究，对本辖区所有图书馆（分馆、农家书屋、社区书屋）进行业务辅导。</w:t>
      </w:r>
    </w:p>
    <w:p w14:paraId="55F5AD5F">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5.开展图书馆间的协作与协调，建设现代化图书馆网络，实现文献信息资料的共建共享。</w:t>
      </w:r>
    </w:p>
    <w:p w14:paraId="4092CE55">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6.向社会公众免费开放，开展阅读指导、读书活动、演讲诵读、图书互换共享等活动，推广全民阅读。</w:t>
      </w:r>
    </w:p>
    <w:p w14:paraId="196DE29D">
      <w:pPr>
        <w:pStyle w:val="8"/>
        <w:adjustRightInd w:val="0"/>
        <w:snapToGrid w:val="0"/>
        <w:spacing w:line="240" w:lineRule="auto"/>
        <w:ind w:firstLine="693" w:firstLineChars="21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7.完成攀枝花市仁和区文化广播电视和旅游局交办的其他任务。</w:t>
      </w:r>
    </w:p>
    <w:p w14:paraId="626DD47F">
      <w:pPr>
        <w:pStyle w:val="10"/>
        <w:spacing w:line="240" w:lineRule="auto"/>
        <w:rPr>
          <w:rFonts w:hint="eastAsia"/>
          <w:lang w:eastAsia="zh-CN"/>
        </w:rPr>
      </w:pPr>
    </w:p>
    <w:p w14:paraId="2F590943">
      <w:pPr>
        <w:pStyle w:val="8"/>
        <w:adjustRightInd w:val="0"/>
        <w:snapToGrid w:val="0"/>
        <w:spacing w:line="240" w:lineRule="auto"/>
        <w:ind w:firstLine="675" w:firstLineChars="210"/>
        <w:rPr>
          <w:rFonts w:hint="default" w:ascii="方正楷体_GBK" w:hAnsi="方正楷体_GBK" w:eastAsia="方正楷体_GBK" w:cs="方正楷体_GBK"/>
          <w:b/>
          <w:bCs w:val="0"/>
          <w:kern w:val="2"/>
          <w:sz w:val="32"/>
          <w:szCs w:val="32"/>
          <w:lang w:val="zh-CN" w:eastAsia="zh-CN" w:bidi="ar-SA"/>
        </w:rPr>
      </w:pPr>
      <w:r>
        <w:rPr>
          <w:rFonts w:hint="default" w:ascii="方正楷体_GBK" w:hAnsi="方正楷体_GBK" w:eastAsia="方正楷体_GBK" w:cs="方正楷体_GBK"/>
          <w:b/>
          <w:bCs w:val="0"/>
          <w:kern w:val="2"/>
          <w:sz w:val="32"/>
          <w:szCs w:val="32"/>
          <w:lang w:val="zh-CN" w:eastAsia="zh-CN" w:bidi="ar-SA"/>
        </w:rPr>
        <w:t>（二）</w:t>
      </w:r>
      <w:r>
        <w:rPr>
          <w:rFonts w:hint="eastAsia" w:ascii="方正楷体_GBK" w:hAnsi="方正楷体_GBK" w:eastAsia="方正楷体_GBK" w:cs="方正楷体_GBK"/>
          <w:b/>
          <w:bCs w:val="0"/>
          <w:kern w:val="2"/>
          <w:sz w:val="32"/>
          <w:szCs w:val="32"/>
          <w:lang w:val="zh-CN" w:eastAsia="zh-CN" w:bidi="ar-SA"/>
        </w:rPr>
        <w:t>202</w:t>
      </w:r>
      <w:r>
        <w:rPr>
          <w:rFonts w:hint="eastAsia" w:ascii="方正楷体_GBK" w:hAnsi="方正楷体_GBK" w:eastAsia="方正楷体_GBK" w:cs="方正楷体_GBK"/>
          <w:b/>
          <w:bCs w:val="0"/>
          <w:kern w:val="2"/>
          <w:sz w:val="32"/>
          <w:szCs w:val="32"/>
          <w:lang w:val="en-US" w:eastAsia="zh-CN" w:bidi="ar-SA"/>
        </w:rPr>
        <w:t>5</w:t>
      </w:r>
      <w:r>
        <w:rPr>
          <w:rFonts w:hint="default" w:ascii="方正楷体_GBK" w:hAnsi="方正楷体_GBK" w:eastAsia="方正楷体_GBK" w:cs="方正楷体_GBK"/>
          <w:b/>
          <w:bCs w:val="0"/>
          <w:kern w:val="2"/>
          <w:sz w:val="32"/>
          <w:szCs w:val="32"/>
          <w:lang w:val="zh-CN" w:eastAsia="zh-CN" w:bidi="ar-SA"/>
        </w:rPr>
        <w:t>年重点工作任务介绍。</w:t>
      </w:r>
    </w:p>
    <w:p w14:paraId="34E3FC4B">
      <w:pPr>
        <w:pStyle w:val="8"/>
        <w:adjustRightInd w:val="0"/>
        <w:snapToGrid w:val="0"/>
        <w:spacing w:line="240" w:lineRule="auto"/>
        <w:ind w:firstLine="640" w:firstLineChars="200"/>
        <w:rPr>
          <w:rFonts w:hint="eastAsia" w:ascii="Times New Roman"/>
          <w:bCs/>
          <w:color w:val="auto"/>
          <w:sz w:val="32"/>
          <w:szCs w:val="32"/>
        </w:rPr>
      </w:pPr>
      <w:r>
        <w:rPr>
          <w:rFonts w:hint="eastAsia" w:ascii="Times New Roman"/>
          <w:bCs/>
          <w:color w:val="auto"/>
          <w:sz w:val="32"/>
          <w:szCs w:val="32"/>
          <w:lang w:val="en-US" w:eastAsia="zh-CN"/>
        </w:rPr>
        <w:t>1.</w:t>
      </w:r>
      <w:r>
        <w:rPr>
          <w:rFonts w:hint="eastAsia" w:ascii="Times New Roman"/>
          <w:bCs/>
          <w:color w:val="auto"/>
          <w:sz w:val="32"/>
          <w:szCs w:val="32"/>
        </w:rPr>
        <w:t>仁和区文化馆202</w:t>
      </w:r>
      <w:r>
        <w:rPr>
          <w:rFonts w:hint="eastAsia" w:ascii="Times New Roman"/>
          <w:bCs/>
          <w:color w:val="auto"/>
          <w:sz w:val="32"/>
          <w:szCs w:val="32"/>
          <w:lang w:val="en-US" w:eastAsia="zh-CN"/>
        </w:rPr>
        <w:t>5</w:t>
      </w:r>
      <w:r>
        <w:rPr>
          <w:rFonts w:hint="eastAsia" w:ascii="Times New Roman"/>
          <w:bCs/>
          <w:color w:val="auto"/>
          <w:sz w:val="32"/>
          <w:szCs w:val="32"/>
        </w:rPr>
        <w:t>年工作重点：</w:t>
      </w:r>
    </w:p>
    <w:p w14:paraId="243C15A0">
      <w:pPr>
        <w:pStyle w:val="8"/>
        <w:numPr>
          <w:ilvl w:val="0"/>
          <w:numId w:val="0"/>
        </w:numPr>
        <w:adjustRightInd w:val="0"/>
        <w:snapToGrid w:val="0"/>
        <w:spacing w:line="240" w:lineRule="auto"/>
        <w:ind w:firstLine="640" w:firstLineChars="200"/>
        <w:jc w:val="left"/>
        <w:rPr>
          <w:rFonts w:hint="eastAsia" w:ascii="Times New Roman"/>
          <w:bCs/>
          <w:color w:val="auto"/>
          <w:sz w:val="32"/>
          <w:szCs w:val="32"/>
          <w:lang w:eastAsia="zh-CN"/>
        </w:rPr>
      </w:pPr>
      <w:r>
        <w:rPr>
          <w:rFonts w:hint="eastAsia" w:ascii="Times New Roman"/>
          <w:bCs/>
          <w:color w:val="auto"/>
          <w:sz w:val="32"/>
          <w:szCs w:val="32"/>
          <w:lang w:eastAsia="zh-CN"/>
        </w:rPr>
        <w:t>（</w:t>
      </w:r>
      <w:r>
        <w:rPr>
          <w:rFonts w:hint="eastAsia" w:ascii="Times New Roman"/>
          <w:bCs/>
          <w:color w:val="auto"/>
          <w:sz w:val="32"/>
          <w:szCs w:val="32"/>
          <w:lang w:val="en-US" w:eastAsia="zh-CN"/>
        </w:rPr>
        <w:t>1</w:t>
      </w:r>
      <w:r>
        <w:rPr>
          <w:rFonts w:hint="eastAsia" w:ascii="Times New Roman"/>
          <w:bCs/>
          <w:color w:val="auto"/>
          <w:sz w:val="32"/>
          <w:szCs w:val="32"/>
          <w:lang w:eastAsia="zh-CN"/>
        </w:rPr>
        <w:t>）文化活动</w:t>
      </w:r>
    </w:p>
    <w:p w14:paraId="2E7C67CB">
      <w:pPr>
        <w:pStyle w:val="43"/>
        <w:keepNext w:val="0"/>
        <w:keepLines w:val="0"/>
        <w:pageBreakBefore w:val="0"/>
        <w:widowControl w:val="0"/>
        <w:kinsoku/>
        <w:wordWrap/>
        <w:overflowPunct/>
        <w:topLinePunct w:val="0"/>
        <w:autoSpaceDE/>
        <w:autoSpaceDN/>
        <w:bidi w:val="0"/>
        <w:spacing w:line="240" w:lineRule="auto"/>
        <w:ind w:firstLine="663" w:firstLineChars="200"/>
        <w:textAlignment w:val="auto"/>
        <w:rPr>
          <w:rFonts w:hint="default" w:ascii="Times New Roman" w:hAnsi="Times New Roman" w:eastAsia="方正仿宋_GBK" w:cs="Times New Roman"/>
          <w:b w:val="0"/>
          <w:bCs/>
          <w:color w:val="auto"/>
          <w:sz w:val="33"/>
          <w:szCs w:val="33"/>
          <w:u w:val="none"/>
          <w:lang w:val="en-US" w:eastAsia="zh-CN"/>
        </w:rPr>
      </w:pPr>
      <w:r>
        <w:rPr>
          <w:rFonts w:hint="eastAsia" w:ascii="方正仿宋_GBK" w:hAnsi="方正仿宋_GBK" w:eastAsia="方正仿宋_GBK" w:cs="方正仿宋_GBK"/>
          <w:b/>
          <w:bCs/>
          <w:color w:val="auto"/>
          <w:sz w:val="33"/>
          <w:szCs w:val="33"/>
          <w:u w:val="none"/>
          <w:lang w:val="en-US" w:eastAsia="zh-CN"/>
        </w:rPr>
        <w:t>一是</w:t>
      </w:r>
      <w:r>
        <w:rPr>
          <w:rFonts w:hint="eastAsia" w:ascii="方正仿宋_GBK" w:hAnsi="方正仿宋_GBK" w:eastAsia="方正仿宋_GBK" w:cs="方正仿宋_GBK"/>
          <w:color w:val="auto"/>
          <w:sz w:val="33"/>
          <w:szCs w:val="33"/>
          <w:u w:val="none"/>
          <w:lang w:val="en-US" w:eastAsia="zh-CN"/>
        </w:rPr>
        <w:t>完成仁和区2025年新春团拜会1场。</w:t>
      </w:r>
      <w:r>
        <w:rPr>
          <w:rFonts w:hint="eastAsia" w:ascii="方正仿宋_GBK" w:hAnsi="方正仿宋_GBK" w:eastAsia="方正仿宋_GBK" w:cs="方正仿宋_GBK"/>
          <w:b/>
          <w:bCs/>
          <w:color w:val="auto"/>
          <w:sz w:val="33"/>
          <w:szCs w:val="33"/>
          <w:u w:val="none"/>
          <w:lang w:val="en-US" w:eastAsia="zh-CN"/>
        </w:rPr>
        <w:t>二是开展2025年度</w:t>
      </w:r>
      <w:r>
        <w:rPr>
          <w:rFonts w:hint="eastAsia" w:ascii="方正仿宋_GBK" w:hAnsi="方正仿宋_GBK" w:eastAsia="方正仿宋_GBK" w:cs="方正仿宋_GBK"/>
          <w:color w:val="auto"/>
          <w:sz w:val="33"/>
          <w:szCs w:val="33"/>
          <w:u w:val="none"/>
          <w:lang w:val="en-US" w:eastAsia="zh-CN"/>
        </w:rPr>
        <w:t>群众新春文艺汇演暨免开成果展示1场。</w:t>
      </w:r>
      <w:r>
        <w:rPr>
          <w:rFonts w:hint="eastAsia" w:ascii="方正仿宋_GBK" w:hAnsi="方正仿宋_GBK" w:eastAsia="方正仿宋_GBK" w:cs="方正仿宋_GBK"/>
          <w:b/>
          <w:bCs/>
          <w:color w:val="auto"/>
          <w:sz w:val="33"/>
          <w:szCs w:val="33"/>
          <w:u w:val="none"/>
          <w:lang w:val="en-US" w:eastAsia="zh-CN"/>
        </w:rPr>
        <w:t>三是</w:t>
      </w:r>
      <w:r>
        <w:rPr>
          <w:rFonts w:hint="eastAsia" w:ascii="方正仿宋_GBK" w:hAnsi="方正仿宋_GBK" w:eastAsia="方正仿宋_GBK" w:cs="方正仿宋_GBK"/>
          <w:color w:val="auto"/>
          <w:sz w:val="33"/>
          <w:szCs w:val="33"/>
          <w:u w:val="none"/>
          <w:lang w:val="en-US" w:eastAsia="zh-CN"/>
        </w:rPr>
        <w:t>开展春节“文化惠民·情暖人心”三下乡活动1场，为群众送春联350副。</w:t>
      </w:r>
      <w:r>
        <w:rPr>
          <w:rFonts w:hint="eastAsia" w:ascii="方正仿宋_GBK" w:hAnsi="方正仿宋_GBK" w:eastAsia="方正仿宋_GBK" w:cs="方正仿宋_GBK"/>
          <w:b/>
          <w:bCs/>
          <w:color w:val="auto"/>
          <w:sz w:val="33"/>
          <w:szCs w:val="33"/>
          <w:u w:val="none"/>
          <w:lang w:val="en-US" w:eastAsia="zh-CN"/>
        </w:rPr>
        <w:t>四是</w:t>
      </w:r>
      <w:r>
        <w:rPr>
          <w:rFonts w:hint="eastAsia" w:ascii="方正仿宋_GBK" w:hAnsi="方正仿宋_GBK" w:eastAsia="方正仿宋_GBK" w:cs="方正仿宋_GBK"/>
          <w:color w:val="auto"/>
          <w:sz w:val="33"/>
          <w:szCs w:val="33"/>
          <w:u w:val="none"/>
          <w:lang w:val="en-US" w:eastAsia="zh-CN"/>
        </w:rPr>
        <w:t>开展“千里姊妹情 遇见迤沙拉”2025年迤沙拉姊妹节系列文化活动2场。</w:t>
      </w:r>
      <w:r>
        <w:rPr>
          <w:rFonts w:hint="eastAsia" w:ascii="方正仿宋_GBK" w:hAnsi="方正仿宋_GBK" w:eastAsia="方正仿宋_GBK" w:cs="方正仿宋_GBK"/>
          <w:b/>
          <w:bCs/>
          <w:color w:val="auto"/>
          <w:sz w:val="33"/>
          <w:szCs w:val="33"/>
          <w:u w:val="none"/>
          <w:lang w:val="en-US" w:eastAsia="zh-CN"/>
        </w:rPr>
        <w:t>五是</w:t>
      </w:r>
      <w:r>
        <w:rPr>
          <w:rFonts w:hint="eastAsia" w:ascii="方正仿宋_GBK" w:hAnsi="方正仿宋_GBK" w:eastAsia="方正仿宋_GBK" w:cs="方正仿宋_GBK"/>
          <w:color w:val="auto"/>
          <w:sz w:val="33"/>
          <w:szCs w:val="33"/>
          <w:u w:val="none"/>
          <w:lang w:val="en-US" w:eastAsia="zh-CN"/>
        </w:rPr>
        <w:t>开展“天府百姓大舞台——万人赏月诵中秋”活动1场。</w:t>
      </w:r>
      <w:r>
        <w:rPr>
          <w:rFonts w:hint="eastAsia" w:ascii="方正仿宋_GBK" w:hAnsi="方正仿宋_GBK" w:eastAsia="方正仿宋_GBK" w:cs="方正仿宋_GBK"/>
          <w:b/>
          <w:bCs/>
          <w:color w:val="auto"/>
          <w:sz w:val="33"/>
          <w:szCs w:val="33"/>
          <w:u w:val="none"/>
          <w:lang w:val="en-US" w:eastAsia="zh-CN"/>
        </w:rPr>
        <w:t>六是</w:t>
      </w:r>
      <w:r>
        <w:rPr>
          <w:rFonts w:hint="eastAsia" w:ascii="方正仿宋_GBK" w:hAnsi="方正仿宋_GBK" w:eastAsia="方正仿宋_GBK" w:cs="方正仿宋_GBK"/>
          <w:color w:val="auto"/>
          <w:sz w:val="33"/>
          <w:szCs w:val="33"/>
          <w:u w:val="none"/>
          <w:lang w:val="en-US" w:eastAsia="zh-CN"/>
        </w:rPr>
        <w:t>开展“金秋国庆·烟火仁和”系列文化活动4场。</w:t>
      </w:r>
      <w:r>
        <w:rPr>
          <w:rFonts w:hint="eastAsia" w:ascii="方正仿宋_GBK" w:hAnsi="方正仿宋_GBK" w:eastAsia="方正仿宋_GBK" w:cs="方正仿宋_GBK"/>
          <w:b/>
          <w:bCs/>
          <w:color w:val="auto"/>
          <w:sz w:val="33"/>
          <w:szCs w:val="33"/>
          <w:u w:val="none"/>
          <w:lang w:val="en-US" w:eastAsia="zh-CN"/>
        </w:rPr>
        <w:t>七是</w:t>
      </w:r>
      <w:r>
        <w:rPr>
          <w:rFonts w:hint="eastAsia" w:ascii="方正仿宋_GBK" w:hAnsi="方正仿宋_GBK" w:eastAsia="方正仿宋_GBK" w:cs="方正仿宋_GBK"/>
          <w:color w:val="auto"/>
          <w:sz w:val="33"/>
          <w:szCs w:val="33"/>
          <w:u w:val="none"/>
          <w:lang w:val="en-US" w:eastAsia="zh-CN"/>
        </w:rPr>
        <w:t>开展“燃情火把·多彩仁和”2025年仁和区火把节文旅系列活动。</w:t>
      </w:r>
      <w:r>
        <w:rPr>
          <w:rFonts w:hint="eastAsia" w:ascii="方正仿宋_GBK" w:hAnsi="方正仿宋_GBK" w:eastAsia="方正仿宋_GBK" w:cs="方正仿宋_GBK"/>
          <w:b/>
          <w:bCs/>
          <w:color w:val="auto"/>
          <w:sz w:val="33"/>
          <w:szCs w:val="33"/>
          <w:u w:val="none"/>
          <w:lang w:val="en-US" w:eastAsia="zh-CN"/>
        </w:rPr>
        <w:t>八是</w:t>
      </w:r>
      <w:r>
        <w:rPr>
          <w:rFonts w:hint="eastAsia" w:ascii="方正仿宋_GBK" w:hAnsi="方正仿宋_GBK" w:eastAsia="方正仿宋_GBK" w:cs="方正仿宋_GBK"/>
          <w:color w:val="auto"/>
          <w:sz w:val="33"/>
          <w:szCs w:val="33"/>
          <w:u w:val="none"/>
          <w:lang w:val="en-US" w:eastAsia="zh-CN"/>
        </w:rPr>
        <w:t>开展九九重阳节系列文化活动1场。九</w:t>
      </w:r>
      <w:r>
        <w:rPr>
          <w:rFonts w:ascii="Times New Roman" w:hAnsi="Times New Roman" w:eastAsia="方正仿宋_GBK" w:cs="Times New Roman"/>
          <w:b w:val="0"/>
          <w:bCs/>
          <w:color w:val="auto"/>
          <w:sz w:val="33"/>
          <w:szCs w:val="33"/>
          <w:u w:val="none"/>
        </w:rPr>
        <w:t>是</w:t>
      </w:r>
      <w:r>
        <w:rPr>
          <w:rFonts w:hint="eastAsia" w:ascii="Times New Roman" w:hAnsi="Times New Roman" w:eastAsia="方正仿宋_GBK" w:cs="Times New Roman"/>
          <w:b w:val="0"/>
          <w:bCs/>
          <w:color w:val="auto"/>
          <w:sz w:val="33"/>
          <w:szCs w:val="33"/>
          <w:u w:val="none"/>
          <w:lang w:val="en-US" w:eastAsia="zh-CN"/>
        </w:rPr>
        <w:t>开展“天府百姓大舞台”系列文化活动46</w:t>
      </w:r>
      <w:r>
        <w:rPr>
          <w:rFonts w:hint="eastAsia" w:ascii="Times New Roman" w:hAnsi="Times New Roman" w:eastAsia="仿宋_GB2312" w:cs="Times New Roman"/>
          <w:b w:val="0"/>
          <w:bCs/>
          <w:color w:val="auto"/>
          <w:sz w:val="32"/>
          <w:szCs w:val="32"/>
          <w:u w:val="none"/>
          <w:lang w:val="en-US" w:eastAsia="zh-CN" w:bidi="ar-SA"/>
        </w:rPr>
        <w:t>场。其中，</w:t>
      </w:r>
      <w:r>
        <w:rPr>
          <w:rFonts w:ascii="Times New Roman" w:hAnsi="Times New Roman" w:eastAsia="方正仿宋_GBK" w:cs="Times New Roman"/>
          <w:b w:val="0"/>
          <w:bCs/>
          <w:color w:val="auto"/>
          <w:sz w:val="33"/>
          <w:szCs w:val="33"/>
          <w:u w:val="none"/>
        </w:rPr>
        <w:t>“</w:t>
      </w:r>
      <w:r>
        <w:rPr>
          <w:rFonts w:hint="eastAsia" w:ascii="Times New Roman" w:hAnsi="Times New Roman" w:eastAsia="方正仿宋_GBK" w:cs="Times New Roman"/>
          <w:b w:val="0"/>
          <w:bCs/>
          <w:color w:val="auto"/>
          <w:sz w:val="33"/>
          <w:szCs w:val="33"/>
          <w:u w:val="none"/>
        </w:rPr>
        <w:t>我们的中国梦·文化进万家</w:t>
      </w:r>
      <w:r>
        <w:rPr>
          <w:rFonts w:ascii="Times New Roman" w:hAnsi="Times New Roman" w:eastAsia="方正仿宋_GBK" w:cs="Times New Roman"/>
          <w:b w:val="0"/>
          <w:bCs/>
          <w:color w:val="auto"/>
          <w:sz w:val="33"/>
          <w:szCs w:val="33"/>
          <w:u w:val="none"/>
        </w:rPr>
        <w:t>”——流动文化服务进基层系列活动</w:t>
      </w:r>
      <w:r>
        <w:rPr>
          <w:rFonts w:hint="eastAsia" w:ascii="Times New Roman" w:hAnsi="Times New Roman" w:eastAsia="方正仿宋_GBK" w:cs="Times New Roman"/>
          <w:b w:val="0"/>
          <w:bCs/>
          <w:color w:val="auto"/>
          <w:sz w:val="33"/>
          <w:szCs w:val="33"/>
          <w:u w:val="none"/>
          <w:lang w:val="en-US" w:eastAsia="zh-CN"/>
        </w:rPr>
        <w:t>10</w:t>
      </w:r>
      <w:r>
        <w:rPr>
          <w:rFonts w:ascii="Times New Roman" w:hAnsi="Times New Roman" w:eastAsia="方正仿宋_GBK" w:cs="Times New Roman"/>
          <w:b w:val="0"/>
          <w:bCs/>
          <w:color w:val="auto"/>
          <w:sz w:val="33"/>
          <w:szCs w:val="33"/>
          <w:u w:val="none"/>
        </w:rPr>
        <w:t>场次：</w:t>
      </w:r>
      <w:r>
        <w:rPr>
          <w:rFonts w:ascii="Times New Roman" w:hAnsi="Times New Roman" w:eastAsia="方正仿宋_GBK" w:cs="Times New Roman"/>
          <w:b w:val="0"/>
          <w:bCs/>
          <w:color w:val="auto"/>
          <w:sz w:val="33"/>
          <w:szCs w:val="33"/>
          <w:highlight w:val="none"/>
          <w:u w:val="none"/>
        </w:rPr>
        <w:t>“戏曲精粹·戏苑百家”巡演活动</w:t>
      </w:r>
      <w:r>
        <w:rPr>
          <w:rFonts w:hint="eastAsia" w:ascii="Times New Roman" w:hAnsi="Times New Roman" w:eastAsia="方正仿宋_GBK" w:cs="Times New Roman"/>
          <w:b w:val="0"/>
          <w:bCs/>
          <w:color w:val="auto"/>
          <w:sz w:val="33"/>
          <w:szCs w:val="33"/>
          <w:highlight w:val="none"/>
          <w:u w:val="none"/>
          <w:lang w:val="en-US" w:eastAsia="zh-CN"/>
        </w:rPr>
        <w:t>24</w:t>
      </w:r>
      <w:r>
        <w:rPr>
          <w:rFonts w:ascii="Times New Roman" w:hAnsi="Times New Roman" w:eastAsia="方正仿宋_GBK" w:cs="Times New Roman"/>
          <w:b w:val="0"/>
          <w:bCs/>
          <w:color w:val="auto"/>
          <w:sz w:val="33"/>
          <w:szCs w:val="33"/>
          <w:highlight w:val="none"/>
          <w:u w:val="none"/>
        </w:rPr>
        <w:t>场次</w:t>
      </w:r>
      <w:r>
        <w:rPr>
          <w:rFonts w:hint="eastAsia" w:ascii="Times New Roman" w:hAnsi="Times New Roman" w:eastAsia="方正仿宋_GBK" w:cs="Times New Roman"/>
          <w:b w:val="0"/>
          <w:bCs/>
          <w:color w:val="auto"/>
          <w:sz w:val="33"/>
          <w:szCs w:val="33"/>
          <w:highlight w:val="none"/>
          <w:u w:val="none"/>
          <w:lang w:eastAsia="zh-CN"/>
        </w:rPr>
        <w:t>，</w:t>
      </w:r>
      <w:r>
        <w:rPr>
          <w:rFonts w:hint="eastAsia" w:ascii="Times New Roman" w:hAnsi="Times New Roman" w:eastAsia="仿宋_GB2312" w:cs="Times New Roman"/>
          <w:b w:val="0"/>
          <w:bCs/>
          <w:color w:val="auto"/>
          <w:sz w:val="32"/>
          <w:szCs w:val="32"/>
          <w:highlight w:val="none"/>
          <w:u w:val="none"/>
          <w:lang w:val="en-US" w:eastAsia="zh-CN" w:bidi="ar-SA"/>
        </w:rPr>
        <w:t>“</w:t>
      </w:r>
      <w:bookmarkStart w:id="14" w:name="OLE_LINK1"/>
      <w:r>
        <w:rPr>
          <w:rFonts w:hint="eastAsia" w:ascii="Times New Roman" w:hAnsi="Times New Roman" w:eastAsia="仿宋_GB2312" w:cs="Times New Roman"/>
          <w:b w:val="0"/>
          <w:bCs/>
          <w:color w:val="auto"/>
          <w:sz w:val="32"/>
          <w:szCs w:val="32"/>
          <w:highlight w:val="none"/>
          <w:u w:val="none"/>
          <w:lang w:val="en-US" w:eastAsia="zh-CN" w:bidi="ar-SA"/>
        </w:rPr>
        <w:t>天府百姓大舞台——万人赏月诵中秋”活动1场，</w:t>
      </w:r>
      <w:bookmarkEnd w:id="14"/>
      <w:r>
        <w:rPr>
          <w:rFonts w:hint="eastAsia" w:ascii="Times New Roman" w:hAnsi="Times New Roman" w:eastAsia="仿宋_GB2312" w:cs="Times New Roman"/>
          <w:b w:val="0"/>
          <w:bCs/>
          <w:color w:val="auto"/>
          <w:sz w:val="32"/>
          <w:szCs w:val="32"/>
          <w:highlight w:val="none"/>
          <w:u w:val="none"/>
          <w:lang w:val="en-US" w:eastAsia="zh-CN" w:bidi="ar-SA"/>
        </w:rPr>
        <w:t>“天府百姓大舞台”片区汇演暨2025免费开放成果展演1场，</w:t>
      </w:r>
      <w:bookmarkStart w:id="15" w:name="OLE_LINK2"/>
      <w:r>
        <w:rPr>
          <w:rFonts w:hint="eastAsia" w:ascii="Times New Roman" w:hAnsi="Times New Roman" w:eastAsia="仿宋_GB2312" w:cs="Times New Roman"/>
          <w:b w:val="0"/>
          <w:bCs/>
          <w:color w:val="auto"/>
          <w:sz w:val="32"/>
          <w:szCs w:val="32"/>
          <w:highlight w:val="none"/>
          <w:u w:val="none"/>
          <w:lang w:val="en-US" w:eastAsia="zh-CN" w:bidi="ar-SA"/>
        </w:rPr>
        <w:t>“金秋国庆</w:t>
      </w:r>
      <w:r>
        <w:rPr>
          <w:rFonts w:hint="eastAsia" w:ascii="方正仿宋_GBK" w:hAnsi="方正仿宋_GBK" w:eastAsia="方正仿宋_GBK" w:cs="方正仿宋_GBK"/>
          <w:color w:val="auto"/>
          <w:sz w:val="33"/>
          <w:szCs w:val="33"/>
          <w:u w:val="none"/>
          <w:lang w:val="en-US" w:eastAsia="zh-CN"/>
        </w:rPr>
        <w:t>·</w:t>
      </w:r>
      <w:r>
        <w:rPr>
          <w:rFonts w:hint="eastAsia" w:ascii="Times New Roman" w:hAnsi="Times New Roman" w:eastAsia="仿宋_GB2312" w:cs="Times New Roman"/>
          <w:b w:val="0"/>
          <w:bCs/>
          <w:color w:val="auto"/>
          <w:sz w:val="32"/>
          <w:szCs w:val="32"/>
          <w:highlight w:val="none"/>
          <w:u w:val="none"/>
          <w:lang w:val="en-US" w:eastAsia="zh-CN" w:bidi="ar-SA"/>
        </w:rPr>
        <w:t>烟火仁和”系列文化活动4场</w:t>
      </w:r>
      <w:bookmarkEnd w:id="15"/>
      <w:r>
        <w:rPr>
          <w:rFonts w:hint="eastAsia" w:ascii="Times New Roman" w:hAnsi="Times New Roman" w:eastAsia="仿宋_GB2312" w:cs="Times New Roman"/>
          <w:b w:val="0"/>
          <w:bCs/>
          <w:color w:val="auto"/>
          <w:sz w:val="32"/>
          <w:szCs w:val="32"/>
          <w:highlight w:val="none"/>
          <w:u w:val="none"/>
          <w:lang w:val="en-US" w:eastAsia="zh-CN" w:bidi="ar-SA"/>
        </w:rPr>
        <w:t>，十</w:t>
      </w:r>
      <w:r>
        <w:rPr>
          <w:rFonts w:ascii="Times New Roman" w:hAnsi="Times New Roman" w:eastAsia="方正仿宋_GBK" w:cs="Times New Roman"/>
          <w:b w:val="0"/>
          <w:bCs/>
          <w:color w:val="auto"/>
          <w:sz w:val="33"/>
          <w:szCs w:val="33"/>
          <w:highlight w:val="none"/>
          <w:u w:val="none"/>
        </w:rPr>
        <w:t>是</w:t>
      </w:r>
      <w:r>
        <w:rPr>
          <w:rFonts w:hint="eastAsia" w:ascii="Times New Roman" w:hAnsi="Times New Roman" w:eastAsia="方正仿宋_GBK" w:cs="Times New Roman"/>
          <w:b w:val="0"/>
          <w:bCs/>
          <w:color w:val="auto"/>
          <w:sz w:val="33"/>
          <w:szCs w:val="33"/>
          <w:highlight w:val="none"/>
          <w:u w:val="none"/>
          <w:lang w:eastAsia="zh-CN"/>
        </w:rPr>
        <w:t>全年开展</w:t>
      </w:r>
      <w:r>
        <w:rPr>
          <w:rFonts w:ascii="Times New Roman" w:hAnsi="Times New Roman" w:eastAsia="方正仿宋_GBK" w:cs="Times New Roman"/>
          <w:b w:val="0"/>
          <w:bCs/>
          <w:color w:val="auto"/>
          <w:sz w:val="33"/>
          <w:szCs w:val="33"/>
          <w:highlight w:val="none"/>
          <w:u w:val="none"/>
        </w:rPr>
        <w:t>文物、非遗展览</w:t>
      </w:r>
      <w:r>
        <w:rPr>
          <w:rFonts w:hint="eastAsia" w:ascii="Times New Roman" w:hAnsi="Times New Roman" w:eastAsia="方正仿宋_GBK" w:cs="Times New Roman"/>
          <w:b w:val="0"/>
          <w:bCs/>
          <w:color w:val="auto"/>
          <w:sz w:val="33"/>
          <w:szCs w:val="33"/>
          <w:highlight w:val="none"/>
          <w:u w:val="none"/>
          <w:lang w:eastAsia="zh-CN"/>
        </w:rPr>
        <w:t>巡展</w:t>
      </w:r>
      <w:r>
        <w:rPr>
          <w:rFonts w:hint="eastAsia" w:ascii="Times New Roman" w:hAnsi="Times New Roman" w:eastAsia="方正仿宋_GBK" w:cs="Times New Roman"/>
          <w:b w:val="0"/>
          <w:bCs/>
          <w:color w:val="auto"/>
          <w:sz w:val="33"/>
          <w:szCs w:val="33"/>
          <w:highlight w:val="none"/>
          <w:u w:val="none"/>
          <w:lang w:val="en-US" w:eastAsia="zh-CN"/>
        </w:rPr>
        <w:t>34场。十一</w:t>
      </w:r>
      <w:r>
        <w:rPr>
          <w:rFonts w:hint="eastAsia" w:ascii="Times New Roman" w:hAnsi="Times New Roman" w:eastAsia="仿宋_GB2312" w:cs="Times New Roman"/>
          <w:b w:val="0"/>
          <w:bCs/>
          <w:color w:val="auto"/>
          <w:sz w:val="32"/>
          <w:szCs w:val="32"/>
          <w:highlight w:val="none"/>
          <w:u w:val="none"/>
          <w:lang w:val="en-US" w:eastAsia="zh-CN" w:bidi="ar-SA"/>
        </w:rPr>
        <w:t>是开展公益培训汇报2场。</w:t>
      </w:r>
    </w:p>
    <w:p w14:paraId="7929DBA4">
      <w:pPr>
        <w:pStyle w:val="8"/>
        <w:adjustRightInd w:val="0"/>
        <w:snapToGrid w:val="0"/>
        <w:spacing w:line="240" w:lineRule="auto"/>
        <w:ind w:firstLine="640" w:firstLineChars="200"/>
        <w:rPr>
          <w:rFonts w:hint="eastAsia" w:ascii="Times New Roman"/>
          <w:bCs/>
          <w:color w:val="auto"/>
          <w:sz w:val="32"/>
          <w:szCs w:val="32"/>
        </w:rPr>
      </w:pPr>
      <w:r>
        <w:rPr>
          <w:rFonts w:hint="eastAsia" w:ascii="Times New Roman"/>
          <w:bCs/>
          <w:color w:val="auto"/>
          <w:sz w:val="32"/>
          <w:szCs w:val="32"/>
        </w:rPr>
        <w:t>（</w:t>
      </w:r>
      <w:r>
        <w:rPr>
          <w:rFonts w:hint="eastAsia" w:ascii="Times New Roman"/>
          <w:bCs/>
          <w:color w:val="auto"/>
          <w:sz w:val="32"/>
          <w:szCs w:val="32"/>
          <w:lang w:val="en-US" w:eastAsia="zh-CN"/>
        </w:rPr>
        <w:t>2</w:t>
      </w:r>
      <w:r>
        <w:rPr>
          <w:rFonts w:hint="eastAsia" w:ascii="Times New Roman"/>
          <w:bCs/>
          <w:color w:val="auto"/>
          <w:sz w:val="32"/>
          <w:szCs w:val="32"/>
        </w:rPr>
        <w:t>）非遗工作</w:t>
      </w:r>
    </w:p>
    <w:p w14:paraId="2B097C33">
      <w:pPr>
        <w:spacing w:line="240" w:lineRule="auto"/>
        <w:ind w:firstLine="663" w:firstLineChars="20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bCs/>
          <w:color w:val="auto"/>
          <w:kern w:val="2"/>
          <w:sz w:val="33"/>
          <w:szCs w:val="33"/>
          <w:u w:val="none"/>
          <w:lang w:val="en-US" w:eastAsia="zh-CN" w:bidi="ar-SA"/>
        </w:rPr>
        <w:t>一是</w:t>
      </w:r>
      <w:r>
        <w:rPr>
          <w:rFonts w:hint="eastAsia" w:ascii="Calibri" w:hAnsi="Calibri" w:eastAsia="方正仿宋_GBK" w:cs="Times New Roman"/>
          <w:b w:val="0"/>
          <w:bCs w:val="0"/>
          <w:color w:val="auto"/>
          <w:kern w:val="2"/>
          <w:sz w:val="33"/>
          <w:szCs w:val="33"/>
          <w:u w:val="none"/>
          <w:lang w:val="en-US" w:eastAsia="zh-CN" w:bidi="ar-SA"/>
        </w:rPr>
        <w:t>全面完善了非遗数据库网站建设，系统化收录项目、传承人、工坊、基地等目录资料，并面向群众开放；</w:t>
      </w:r>
      <w:r>
        <w:rPr>
          <w:rFonts w:hint="eastAsia" w:ascii="Calibri" w:hAnsi="Calibri" w:eastAsia="方正仿宋_GBK" w:cs="Times New Roman"/>
          <w:b/>
          <w:bCs/>
          <w:color w:val="auto"/>
          <w:kern w:val="2"/>
          <w:sz w:val="33"/>
          <w:szCs w:val="33"/>
          <w:u w:val="none"/>
          <w:lang w:val="en-US" w:eastAsia="zh-CN" w:bidi="ar-SA"/>
        </w:rPr>
        <w:t>二是</w:t>
      </w:r>
      <w:r>
        <w:rPr>
          <w:rFonts w:hint="eastAsia" w:ascii="Calibri" w:hAnsi="Calibri" w:eastAsia="方正仿宋_GBK" w:cs="Times New Roman"/>
          <w:b w:val="0"/>
          <w:bCs w:val="0"/>
          <w:color w:val="auto"/>
          <w:kern w:val="2"/>
          <w:sz w:val="33"/>
          <w:szCs w:val="33"/>
          <w:u w:val="none"/>
          <w:lang w:val="en-US" w:eastAsia="zh-CN" w:bidi="ar-SA"/>
        </w:rPr>
        <w:t>持续开展苴却砚文化艺术节系列活动；</w:t>
      </w:r>
      <w:r>
        <w:rPr>
          <w:rFonts w:hint="eastAsia" w:ascii="Calibri" w:hAnsi="Calibri" w:eastAsia="方正仿宋_GBK" w:cs="Times New Roman"/>
          <w:b/>
          <w:bCs/>
          <w:color w:val="auto"/>
          <w:kern w:val="2"/>
          <w:sz w:val="33"/>
          <w:szCs w:val="33"/>
          <w:u w:val="none"/>
          <w:lang w:val="en-US" w:eastAsia="zh-CN" w:bidi="ar-SA"/>
        </w:rPr>
        <w:t>三是</w:t>
      </w:r>
      <w:r>
        <w:rPr>
          <w:rFonts w:hint="eastAsia" w:ascii="Calibri" w:hAnsi="Calibri" w:eastAsia="方正仿宋_GBK" w:cs="Times New Roman"/>
          <w:b w:val="0"/>
          <w:bCs w:val="0"/>
          <w:color w:val="auto"/>
          <w:kern w:val="2"/>
          <w:sz w:val="33"/>
          <w:szCs w:val="33"/>
          <w:u w:val="none"/>
          <w:lang w:val="en-US" w:eastAsia="zh-CN" w:bidi="ar-SA"/>
        </w:rPr>
        <w:t>开展了四十场次非遗展板宣传活动；</w:t>
      </w:r>
      <w:r>
        <w:rPr>
          <w:rFonts w:hint="eastAsia" w:ascii="Calibri" w:hAnsi="Calibri" w:eastAsia="方正仿宋_GBK" w:cs="Times New Roman"/>
          <w:b/>
          <w:bCs/>
          <w:color w:val="auto"/>
          <w:kern w:val="2"/>
          <w:sz w:val="33"/>
          <w:szCs w:val="33"/>
          <w:u w:val="none"/>
          <w:lang w:val="en-US" w:eastAsia="zh-CN" w:bidi="ar-SA"/>
        </w:rPr>
        <w:t>四是</w:t>
      </w:r>
      <w:r>
        <w:rPr>
          <w:rFonts w:hint="eastAsia" w:ascii="Calibri" w:hAnsi="Calibri" w:eastAsia="方正仿宋_GBK" w:cs="Times New Roman"/>
          <w:b w:val="0"/>
          <w:bCs w:val="0"/>
          <w:color w:val="auto"/>
          <w:kern w:val="2"/>
          <w:sz w:val="33"/>
          <w:szCs w:val="33"/>
          <w:u w:val="none"/>
          <w:lang w:val="en-US" w:eastAsia="zh-CN" w:bidi="ar-SA"/>
        </w:rPr>
        <w:t>开展第二批全区非遗工坊申报工作；</w:t>
      </w:r>
      <w:r>
        <w:rPr>
          <w:rFonts w:hint="eastAsia" w:ascii="Calibri" w:hAnsi="Calibri" w:eastAsia="方正仿宋_GBK" w:cs="Times New Roman"/>
          <w:b/>
          <w:bCs/>
          <w:color w:val="auto"/>
          <w:kern w:val="2"/>
          <w:sz w:val="33"/>
          <w:szCs w:val="33"/>
          <w:u w:val="none"/>
          <w:lang w:val="en-US" w:eastAsia="zh-CN" w:bidi="ar-SA"/>
        </w:rPr>
        <w:t>五是</w:t>
      </w:r>
      <w:r>
        <w:rPr>
          <w:rFonts w:hint="eastAsia" w:ascii="Calibri" w:hAnsi="Calibri" w:eastAsia="方正仿宋_GBK" w:cs="Times New Roman"/>
          <w:b w:val="0"/>
          <w:bCs w:val="0"/>
          <w:color w:val="auto"/>
          <w:kern w:val="2"/>
          <w:sz w:val="33"/>
          <w:szCs w:val="33"/>
          <w:u w:val="none"/>
          <w:lang w:val="en-US" w:eastAsia="zh-CN" w:bidi="ar-SA"/>
        </w:rPr>
        <w:t>开展仁和区第五批市级非遗代表性项目申报工作；</w:t>
      </w:r>
      <w:r>
        <w:rPr>
          <w:rFonts w:hint="eastAsia" w:ascii="Calibri" w:hAnsi="Calibri" w:eastAsia="方正仿宋_GBK" w:cs="Times New Roman"/>
          <w:b/>
          <w:bCs/>
          <w:color w:val="auto"/>
          <w:kern w:val="2"/>
          <w:sz w:val="33"/>
          <w:szCs w:val="33"/>
          <w:u w:val="none"/>
          <w:lang w:val="en-US" w:eastAsia="zh-CN" w:bidi="ar-SA"/>
        </w:rPr>
        <w:t>六是完成</w:t>
      </w:r>
      <w:r>
        <w:rPr>
          <w:rFonts w:hint="eastAsia" w:ascii="Calibri" w:hAnsi="Calibri" w:eastAsia="方正仿宋_GBK" w:cs="Times New Roman"/>
          <w:b w:val="0"/>
          <w:bCs w:val="0"/>
          <w:color w:val="auto"/>
          <w:kern w:val="2"/>
          <w:sz w:val="33"/>
          <w:szCs w:val="33"/>
          <w:u w:val="none"/>
          <w:lang w:val="en-US" w:eastAsia="zh-CN" w:bidi="ar-SA"/>
        </w:rPr>
        <w:t>仁和区非遗工坊全年统计数据上报；</w:t>
      </w:r>
      <w:r>
        <w:rPr>
          <w:rFonts w:hint="eastAsia" w:ascii="Calibri" w:hAnsi="Calibri" w:eastAsia="方正仿宋_GBK" w:cs="Times New Roman"/>
          <w:b/>
          <w:bCs/>
          <w:color w:val="auto"/>
          <w:kern w:val="2"/>
          <w:sz w:val="33"/>
          <w:szCs w:val="33"/>
          <w:u w:val="none"/>
          <w:lang w:val="en-US" w:eastAsia="zh-CN" w:bidi="ar-SA"/>
        </w:rPr>
        <w:t>七是</w:t>
      </w:r>
      <w:r>
        <w:rPr>
          <w:rFonts w:hint="eastAsia" w:ascii="Calibri" w:hAnsi="Calibri" w:eastAsia="方正仿宋_GBK" w:cs="Times New Roman"/>
          <w:b w:val="0"/>
          <w:bCs w:val="0"/>
          <w:color w:val="auto"/>
          <w:kern w:val="2"/>
          <w:sz w:val="33"/>
          <w:szCs w:val="33"/>
          <w:u w:val="none"/>
          <w:lang w:val="en-US" w:eastAsia="zh-CN" w:bidi="ar-SA"/>
        </w:rPr>
        <w:t>组织非遗商家参加四川省城市足球联赛（攀枝花赛区）文旅市集、城市推介等展销展示活动；</w:t>
      </w:r>
      <w:r>
        <w:rPr>
          <w:rFonts w:hint="eastAsia" w:ascii="Calibri" w:hAnsi="Calibri" w:eastAsia="方正仿宋_GBK" w:cs="Times New Roman"/>
          <w:b/>
          <w:bCs/>
          <w:color w:val="auto"/>
          <w:kern w:val="2"/>
          <w:sz w:val="33"/>
          <w:szCs w:val="33"/>
          <w:u w:val="none"/>
          <w:lang w:val="en-US" w:eastAsia="zh-CN" w:bidi="ar-SA"/>
        </w:rPr>
        <w:t>八是</w:t>
      </w:r>
      <w:r>
        <w:rPr>
          <w:rFonts w:hint="eastAsia" w:ascii="Calibri" w:hAnsi="Calibri" w:eastAsia="方正仿宋_GBK" w:cs="Times New Roman"/>
          <w:b w:val="0"/>
          <w:bCs w:val="0"/>
          <w:color w:val="auto"/>
          <w:kern w:val="2"/>
          <w:sz w:val="33"/>
          <w:szCs w:val="33"/>
          <w:u w:val="none"/>
          <w:lang w:val="en-US" w:eastAsia="zh-CN" w:bidi="ar-SA"/>
        </w:rPr>
        <w:t>完成了2024年省市级非遗传承人评估工作；</w:t>
      </w:r>
      <w:r>
        <w:rPr>
          <w:rFonts w:hint="eastAsia" w:ascii="Calibri" w:hAnsi="Calibri" w:eastAsia="方正仿宋_GBK" w:cs="Times New Roman"/>
          <w:b/>
          <w:bCs/>
          <w:color w:val="auto"/>
          <w:kern w:val="2"/>
          <w:sz w:val="33"/>
          <w:szCs w:val="33"/>
          <w:u w:val="none"/>
          <w:lang w:val="en-US" w:eastAsia="zh-CN" w:bidi="ar-SA"/>
        </w:rPr>
        <w:t>九是</w:t>
      </w:r>
      <w:r>
        <w:rPr>
          <w:rFonts w:hint="eastAsia" w:ascii="Calibri" w:hAnsi="Calibri" w:eastAsia="方正仿宋_GBK" w:cs="Times New Roman"/>
          <w:b w:val="0"/>
          <w:bCs w:val="0"/>
          <w:color w:val="auto"/>
          <w:kern w:val="2"/>
          <w:sz w:val="33"/>
          <w:szCs w:val="33"/>
          <w:u w:val="none"/>
          <w:lang w:val="en-US" w:eastAsia="zh-CN" w:bidi="ar-SA"/>
        </w:rPr>
        <w:t>完成省非遗图典（第六卷）图片文字资料收集整理上报工作；</w:t>
      </w:r>
      <w:r>
        <w:rPr>
          <w:rFonts w:hint="eastAsia" w:ascii="Calibri" w:hAnsi="Calibri" w:eastAsia="方正仿宋_GBK" w:cs="Times New Roman"/>
          <w:b/>
          <w:bCs/>
          <w:color w:val="auto"/>
          <w:kern w:val="2"/>
          <w:sz w:val="33"/>
          <w:szCs w:val="33"/>
          <w:u w:val="none"/>
          <w:lang w:val="en-US" w:eastAsia="zh-CN" w:bidi="ar-SA"/>
        </w:rPr>
        <w:t>十是</w:t>
      </w:r>
      <w:r>
        <w:rPr>
          <w:rFonts w:hint="eastAsia" w:ascii="Calibri" w:hAnsi="Calibri" w:eastAsia="方正仿宋_GBK" w:cs="Times New Roman"/>
          <w:b w:val="0"/>
          <w:bCs w:val="0"/>
          <w:color w:val="auto"/>
          <w:kern w:val="2"/>
          <w:sz w:val="33"/>
          <w:szCs w:val="33"/>
          <w:u w:val="none"/>
          <w:lang w:val="en-US" w:eastAsia="zh-CN" w:bidi="ar-SA"/>
        </w:rPr>
        <w:t>开展了第九届中国成都国际非遗节分会场和社区实践活动暨四川“乡当潮”魅力竞演开幕式；</w:t>
      </w:r>
      <w:r>
        <w:rPr>
          <w:rFonts w:hint="eastAsia" w:ascii="Calibri" w:hAnsi="Calibri" w:eastAsia="方正仿宋_GBK" w:cs="Times New Roman"/>
          <w:b/>
          <w:bCs/>
          <w:color w:val="auto"/>
          <w:kern w:val="2"/>
          <w:sz w:val="33"/>
          <w:szCs w:val="33"/>
          <w:u w:val="none"/>
          <w:lang w:val="en-US" w:eastAsia="zh-CN" w:bidi="ar-SA"/>
        </w:rPr>
        <w:t>十一是</w:t>
      </w:r>
      <w:r>
        <w:rPr>
          <w:rFonts w:hint="eastAsia" w:ascii="Calibri" w:hAnsi="Calibri" w:eastAsia="方正仿宋_GBK" w:cs="Times New Roman"/>
          <w:b w:val="0"/>
          <w:bCs w:val="0"/>
          <w:color w:val="auto"/>
          <w:kern w:val="2"/>
          <w:sz w:val="33"/>
          <w:szCs w:val="33"/>
          <w:u w:val="none"/>
          <w:lang w:val="en-US" w:eastAsia="zh-CN" w:bidi="ar-SA"/>
        </w:rPr>
        <w:t>开展了仁和区第七批区级非遗代表性项目申报工作；</w:t>
      </w:r>
      <w:r>
        <w:rPr>
          <w:rFonts w:hint="eastAsia" w:ascii="Calibri" w:hAnsi="Calibri" w:eastAsia="方正仿宋_GBK" w:cs="Times New Roman"/>
          <w:b/>
          <w:bCs/>
          <w:color w:val="auto"/>
          <w:kern w:val="2"/>
          <w:sz w:val="33"/>
          <w:szCs w:val="33"/>
          <w:u w:val="none"/>
          <w:lang w:val="en-US" w:eastAsia="zh-CN" w:bidi="ar-SA"/>
        </w:rPr>
        <w:t>十二是</w:t>
      </w:r>
      <w:r>
        <w:rPr>
          <w:rFonts w:hint="eastAsia" w:ascii="Calibri" w:hAnsi="Calibri" w:eastAsia="方正仿宋_GBK" w:cs="Times New Roman"/>
          <w:b w:val="0"/>
          <w:bCs w:val="0"/>
          <w:color w:val="auto"/>
          <w:kern w:val="2"/>
          <w:sz w:val="33"/>
          <w:szCs w:val="33"/>
          <w:u w:val="none"/>
          <w:lang w:val="en-US" w:eastAsia="zh-CN" w:bidi="ar-SA"/>
        </w:rPr>
        <w:t>持续对苴却砚雕刻技艺申报国家级非遗代表性项目资料分类整理。</w:t>
      </w:r>
      <w:r>
        <w:rPr>
          <w:rFonts w:hint="eastAsia" w:ascii="Calibri" w:hAnsi="Calibri" w:eastAsia="方正仿宋_GBK" w:cs="Times New Roman"/>
          <w:b/>
          <w:bCs/>
          <w:color w:val="auto"/>
          <w:kern w:val="2"/>
          <w:sz w:val="33"/>
          <w:szCs w:val="33"/>
          <w:u w:val="none"/>
          <w:lang w:val="en-US" w:eastAsia="zh-CN" w:bidi="ar-SA"/>
        </w:rPr>
        <w:t>十三是</w:t>
      </w:r>
      <w:r>
        <w:rPr>
          <w:rFonts w:hint="eastAsia" w:ascii="Calibri" w:hAnsi="Calibri" w:eastAsia="方正仿宋_GBK" w:cs="Times New Roman"/>
          <w:b w:val="0"/>
          <w:bCs w:val="0"/>
          <w:color w:val="auto"/>
          <w:kern w:val="2"/>
          <w:sz w:val="33"/>
          <w:szCs w:val="33"/>
          <w:u w:val="none"/>
          <w:lang w:val="en-US" w:eastAsia="zh-CN" w:bidi="ar-SA"/>
        </w:rPr>
        <w:t>持续开展非遗进校园活动，组织了大河中学两百余名学生参与板凳龙舞蹈表演，在川超联排开幕式上展示仁和区特色文化。谈经古乐和羊皮鼓舞校园传承在平地中心校作为传统校园特色活动开展井然有序，并在2025年登上央视少儿频道《大手牵小手》栏目，展示谈经古乐传统乐曲《八吉祥》，展现了俚颇彝族传统文化的独特魅力。十四</w:t>
      </w:r>
      <w:r>
        <w:rPr>
          <w:rFonts w:hint="eastAsia" w:ascii="Calibri" w:hAnsi="Calibri" w:eastAsia="方正仿宋_GBK" w:cs="Times New Roman"/>
          <w:b/>
          <w:bCs/>
          <w:color w:val="auto"/>
          <w:kern w:val="2"/>
          <w:sz w:val="33"/>
          <w:szCs w:val="33"/>
          <w:u w:val="none"/>
          <w:lang w:val="en-US" w:eastAsia="zh-CN" w:bidi="ar-SA"/>
        </w:rPr>
        <w:t>是</w:t>
      </w:r>
      <w:r>
        <w:rPr>
          <w:rFonts w:hint="eastAsia" w:ascii="Calibri" w:hAnsi="Calibri" w:eastAsia="方正仿宋_GBK" w:cs="Times New Roman"/>
          <w:b w:val="0"/>
          <w:bCs w:val="0"/>
          <w:color w:val="auto"/>
          <w:kern w:val="2"/>
          <w:sz w:val="33"/>
          <w:szCs w:val="33"/>
          <w:u w:val="none"/>
          <w:lang w:val="en-US" w:eastAsia="zh-CN" w:bidi="ar-SA"/>
        </w:rPr>
        <w:t>邀请云南艺术学院专家教授对板凳龙进行了全新的创作提升，编排了舞蹈《守龙传薪》；</w:t>
      </w:r>
      <w:r>
        <w:rPr>
          <w:rFonts w:hint="eastAsia" w:ascii="Calibri" w:hAnsi="Calibri" w:eastAsia="方正仿宋_GBK" w:cs="Times New Roman"/>
          <w:b/>
          <w:bCs/>
          <w:color w:val="auto"/>
          <w:kern w:val="2"/>
          <w:sz w:val="33"/>
          <w:szCs w:val="33"/>
          <w:u w:val="none"/>
          <w:lang w:val="en-US" w:eastAsia="zh-CN" w:bidi="ar-SA"/>
        </w:rPr>
        <w:t>十五是</w:t>
      </w:r>
      <w:r>
        <w:rPr>
          <w:rFonts w:hint="eastAsia" w:ascii="Calibri" w:hAnsi="Calibri" w:eastAsia="方正仿宋_GBK" w:cs="Times New Roman"/>
          <w:b w:val="0"/>
          <w:bCs w:val="0"/>
          <w:color w:val="auto"/>
          <w:kern w:val="2"/>
          <w:sz w:val="33"/>
          <w:szCs w:val="33"/>
          <w:u w:val="none"/>
          <w:lang w:val="en-US" w:eastAsia="zh-CN" w:bidi="ar-SA"/>
        </w:rPr>
        <w:t>羊皮鼓舞广场舞在仁和广场每日定时开展传承教学推广活动，每天参与的市民五百余名，成为群众参与体验非遗传统文化的生动载体。</w:t>
      </w:r>
    </w:p>
    <w:p w14:paraId="5AEE1A91">
      <w:pPr>
        <w:spacing w:line="240" w:lineRule="auto"/>
        <w:ind w:firstLine="660" w:firstLineChars="200"/>
        <w:rPr>
          <w:rFonts w:hint="eastAsia" w:ascii="Calibri" w:hAnsi="Calibri" w:eastAsia="方正仿宋_GBK" w:cs="Times New Roman"/>
          <w:b w:val="0"/>
          <w:bCs w:val="0"/>
          <w:color w:val="auto"/>
          <w:kern w:val="2"/>
          <w:sz w:val="33"/>
          <w:szCs w:val="33"/>
          <w:u w:val="none"/>
          <w:lang w:val="en-US" w:eastAsia="zh-CN" w:bidi="ar-SA"/>
        </w:rPr>
      </w:pPr>
      <w:r>
        <w:rPr>
          <w:rFonts w:hint="eastAsia" w:ascii="Calibri" w:hAnsi="Calibri" w:eastAsia="方正仿宋_GBK" w:cs="Times New Roman"/>
          <w:b w:val="0"/>
          <w:bCs w:val="0"/>
          <w:color w:val="auto"/>
          <w:kern w:val="2"/>
          <w:sz w:val="33"/>
          <w:szCs w:val="33"/>
          <w:u w:val="none"/>
          <w:lang w:val="en-US" w:eastAsia="zh-CN" w:bidi="ar-SA"/>
        </w:rPr>
        <w:t>（3）文物工作</w:t>
      </w:r>
    </w:p>
    <w:p w14:paraId="2C0C0DDB">
      <w:pPr>
        <w:keepNext w:val="0"/>
        <w:keepLines w:val="0"/>
        <w:pageBreakBefore w:val="0"/>
        <w:widowControl w:val="0"/>
        <w:numPr>
          <w:ilvl w:val="0"/>
          <w:numId w:val="0"/>
        </w:numPr>
        <w:kinsoku/>
        <w:wordWrap/>
        <w:overflowPunct/>
        <w:topLinePunct w:val="0"/>
        <w:autoSpaceDE/>
        <w:autoSpaceDN/>
        <w:bidi w:val="0"/>
        <w:spacing w:line="240" w:lineRule="auto"/>
        <w:ind w:firstLine="660" w:firstLineChars="200"/>
        <w:textAlignment w:val="auto"/>
        <w:rPr>
          <w:rFonts w:hint="eastAsia" w:ascii="方正仿宋_GBK" w:hAnsi="方正仿宋_GBK" w:eastAsia="方正仿宋_GBK" w:cs="方正仿宋_GBK"/>
          <w:b w:val="0"/>
          <w:bCs w:val="0"/>
          <w:color w:val="auto"/>
          <w:kern w:val="2"/>
          <w:sz w:val="33"/>
          <w:szCs w:val="33"/>
          <w:highlight w:val="none"/>
          <w:u w:val="none"/>
          <w:lang w:val="en-US" w:eastAsia="zh-CN" w:bidi="ar-SA"/>
        </w:rPr>
      </w:pPr>
      <w:r>
        <w:rPr>
          <w:rFonts w:hint="eastAsia" w:ascii="方正仿宋_GBK" w:hAnsi="方正仿宋_GBK" w:eastAsia="方正仿宋_GBK" w:cs="方正仿宋_GBK"/>
          <w:b w:val="0"/>
          <w:bCs w:val="0"/>
          <w:color w:val="auto"/>
          <w:kern w:val="2"/>
          <w:sz w:val="33"/>
          <w:szCs w:val="33"/>
          <w:highlight w:val="none"/>
          <w:u w:val="none"/>
          <w:lang w:val="en-US" w:eastAsia="zh-CN" w:bidi="ar-SA"/>
        </w:rPr>
        <w:t>1.开展第四次全国文物普查工作。一是继续开展第四次全国文物普查数据填报及新发现文物实地走访工作；二是继续开展第四次全国文物普查数据</w:t>
      </w:r>
      <w:r>
        <w:rPr>
          <w:rFonts w:hint="eastAsia" w:ascii="方正仿宋_GBK" w:hAnsi="方正仿宋_GBK" w:eastAsia="方正仿宋_GBK" w:cs="方正仿宋_GBK"/>
          <w:b w:val="0"/>
          <w:bCs w:val="0"/>
          <w:color w:val="auto"/>
          <w:sz w:val="33"/>
          <w:szCs w:val="33"/>
          <w:u w:val="none"/>
          <w:lang w:val="en-US" w:eastAsia="zh-CN"/>
        </w:rPr>
        <w:t>填报</w:t>
      </w:r>
      <w:r>
        <w:rPr>
          <w:rFonts w:hint="eastAsia" w:ascii="方正仿宋_GBK" w:hAnsi="方正仿宋_GBK" w:eastAsia="方正仿宋_GBK" w:cs="方正仿宋_GBK"/>
          <w:b w:val="0"/>
          <w:bCs w:val="0"/>
          <w:color w:val="auto"/>
          <w:kern w:val="2"/>
          <w:sz w:val="33"/>
          <w:szCs w:val="33"/>
          <w:highlight w:val="none"/>
          <w:u w:val="none"/>
          <w:lang w:val="en-US" w:eastAsia="zh-CN" w:bidi="ar-SA"/>
        </w:rPr>
        <w:t>及新发现文物实地走访工作；三是开展“四普”资料修改，数据审核工作；四是完成各类上报表填报工作。五是开展省级保护单位万寿宫的抢救性保护维修工作。 其中一是配合省文物局专家对万寿宫抢救性保护维修工程进行验收；二是对接审计部门对万寿宫抢救性保护维修工程开展审计工作。六是开展第十批省级文物保护单位申报工作。七是配合市文物局开展省级文物保护单位成昆铁路仁和段数据库建设现场勘查工作。</w:t>
      </w:r>
    </w:p>
    <w:p w14:paraId="7C9F5853">
      <w:pPr>
        <w:keepNext w:val="0"/>
        <w:keepLines w:val="0"/>
        <w:pageBreakBefore w:val="0"/>
        <w:widowControl w:val="0"/>
        <w:numPr>
          <w:ilvl w:val="0"/>
          <w:numId w:val="0"/>
        </w:numPr>
        <w:kinsoku/>
        <w:wordWrap/>
        <w:overflowPunct/>
        <w:topLinePunct w:val="0"/>
        <w:autoSpaceDE/>
        <w:autoSpaceDN/>
        <w:bidi w:val="0"/>
        <w:spacing w:line="240" w:lineRule="auto"/>
        <w:ind w:firstLine="640" w:firstLineChars="200"/>
        <w:textAlignment w:val="auto"/>
        <w:rPr>
          <w:rFonts w:hint="eastAsia" w:ascii="Times New Roman"/>
          <w:bCs/>
          <w:color w:val="auto"/>
          <w:sz w:val="32"/>
          <w:szCs w:val="32"/>
        </w:rPr>
      </w:pPr>
    </w:p>
    <w:p w14:paraId="48267C3D">
      <w:pPr>
        <w:keepNext w:val="0"/>
        <w:keepLines w:val="0"/>
        <w:pageBreakBefore w:val="0"/>
        <w:widowControl w:val="0"/>
        <w:numPr>
          <w:ilvl w:val="0"/>
          <w:numId w:val="0"/>
        </w:numPr>
        <w:kinsoku/>
        <w:wordWrap/>
        <w:overflowPunct/>
        <w:topLinePunct w:val="0"/>
        <w:autoSpaceDE/>
        <w:autoSpaceDN/>
        <w:bidi w:val="0"/>
        <w:spacing w:line="240" w:lineRule="auto"/>
        <w:ind w:firstLine="640" w:firstLineChars="200"/>
        <w:textAlignment w:val="auto"/>
        <w:rPr>
          <w:rFonts w:hint="eastAsia" w:ascii="Times New Roman"/>
          <w:bCs/>
          <w:color w:val="auto"/>
          <w:sz w:val="32"/>
          <w:szCs w:val="32"/>
        </w:rPr>
      </w:pPr>
      <w:r>
        <w:rPr>
          <w:rFonts w:hint="eastAsia" w:ascii="Times New Roman"/>
          <w:bCs/>
          <w:color w:val="auto"/>
          <w:sz w:val="32"/>
          <w:szCs w:val="32"/>
        </w:rPr>
        <w:t>（</w:t>
      </w:r>
      <w:r>
        <w:rPr>
          <w:rFonts w:hint="eastAsia" w:ascii="Times New Roman"/>
          <w:bCs/>
          <w:color w:val="auto"/>
          <w:sz w:val="32"/>
          <w:szCs w:val="32"/>
          <w:lang w:val="en-US" w:eastAsia="zh-CN"/>
        </w:rPr>
        <w:t>4</w:t>
      </w:r>
      <w:r>
        <w:rPr>
          <w:rFonts w:hint="eastAsia" w:ascii="Times New Roman"/>
          <w:bCs/>
          <w:color w:val="auto"/>
          <w:sz w:val="32"/>
          <w:szCs w:val="32"/>
        </w:rPr>
        <w:t>）</w:t>
      </w:r>
      <w:r>
        <w:rPr>
          <w:rFonts w:hint="eastAsia" w:ascii="方正仿宋_GBK" w:hAnsi="方正仿宋_GBK" w:eastAsia="方正仿宋_GBK" w:cs="方正仿宋_GBK"/>
          <w:bCs/>
          <w:color w:val="auto"/>
          <w:sz w:val="32"/>
          <w:szCs w:val="32"/>
        </w:rPr>
        <w:t>文化馆工作</w:t>
      </w:r>
    </w:p>
    <w:p w14:paraId="22ABCDAF">
      <w:pPr>
        <w:keepNext w:val="0"/>
        <w:keepLines w:val="0"/>
        <w:pageBreakBefore w:val="0"/>
        <w:widowControl w:val="0"/>
        <w:numPr>
          <w:ilvl w:val="0"/>
          <w:numId w:val="0"/>
        </w:numPr>
        <w:kinsoku/>
        <w:wordWrap/>
        <w:overflowPunct/>
        <w:topLinePunct w:val="0"/>
        <w:autoSpaceDE/>
        <w:autoSpaceDN/>
        <w:bidi w:val="0"/>
        <w:spacing w:line="240" w:lineRule="auto"/>
        <w:jc w:val="both"/>
        <w:textAlignment w:val="auto"/>
        <w:rPr>
          <w:rFonts w:hint="default" w:ascii="方正仿宋_GBK" w:hAnsi="方正仿宋_GBK" w:eastAsia="方正仿宋_GBK" w:cs="方正仿宋_GBK"/>
          <w:color w:val="auto"/>
          <w:sz w:val="33"/>
          <w:szCs w:val="33"/>
          <w:u w:val="none"/>
          <w:lang w:val="en-US" w:eastAsia="zh-CN"/>
        </w:rPr>
      </w:pPr>
      <w:r>
        <w:rPr>
          <w:rFonts w:eastAsia="方正仿宋_GBK"/>
          <w:b/>
          <w:color w:val="auto"/>
          <w:sz w:val="32"/>
          <w:szCs w:val="32"/>
          <w:u w:val="none"/>
        </w:rPr>
        <w:t>一是</w:t>
      </w:r>
      <w:r>
        <w:rPr>
          <w:rFonts w:eastAsia="方正仿宋_GBK"/>
          <w:color w:val="auto"/>
          <w:sz w:val="32"/>
          <w:szCs w:val="32"/>
          <w:u w:val="none"/>
        </w:rPr>
        <w:t>继续做好文化馆场馆的免费开放工作，恰当安排好场地的错时开放，确保各队伍有序进行排练；</w:t>
      </w:r>
      <w:r>
        <w:rPr>
          <w:rFonts w:eastAsia="方正仿宋_GBK"/>
          <w:b/>
          <w:color w:val="auto"/>
          <w:sz w:val="32"/>
          <w:szCs w:val="32"/>
          <w:u w:val="none"/>
        </w:rPr>
        <w:t>二是</w:t>
      </w:r>
      <w:r>
        <w:rPr>
          <w:rFonts w:hint="eastAsia" w:eastAsia="方正仿宋_GBK"/>
          <w:color w:val="auto"/>
          <w:sz w:val="32"/>
          <w:szCs w:val="32"/>
          <w:u w:val="none"/>
        </w:rPr>
        <w:t>充分利用文化场馆开展艺术培训、日常训练、非遗展览、书画展、文化专干培训等</w:t>
      </w:r>
      <w:r>
        <w:rPr>
          <w:rFonts w:eastAsia="方正仿宋_GBK"/>
          <w:color w:val="auto"/>
          <w:sz w:val="32"/>
          <w:szCs w:val="32"/>
          <w:u w:val="none"/>
        </w:rPr>
        <w:t>；</w:t>
      </w:r>
      <w:r>
        <w:rPr>
          <w:rFonts w:hint="eastAsia" w:eastAsia="方正仿宋_GBK"/>
          <w:b/>
          <w:color w:val="auto"/>
          <w:sz w:val="32"/>
          <w:szCs w:val="32"/>
          <w:u w:val="none"/>
        </w:rPr>
        <w:t>三是</w:t>
      </w:r>
      <w:r>
        <w:rPr>
          <w:rFonts w:hint="eastAsia" w:eastAsia="方正仿宋_GBK"/>
          <w:b w:val="0"/>
          <w:bCs/>
          <w:color w:val="auto"/>
          <w:sz w:val="32"/>
          <w:szCs w:val="32"/>
          <w:u w:val="none"/>
          <w:lang w:val="en-US" w:eastAsia="zh-CN"/>
        </w:rPr>
        <w:t>利用网络、社交媒体等平台，发布活动信息，扩大宣传范围。</w:t>
      </w:r>
    </w:p>
    <w:p w14:paraId="2562F2F8">
      <w:pPr>
        <w:pStyle w:val="8"/>
        <w:numPr>
          <w:ilvl w:val="0"/>
          <w:numId w:val="0"/>
        </w:numPr>
        <w:adjustRightInd w:val="0"/>
        <w:snapToGrid w:val="0"/>
        <w:spacing w:line="240" w:lineRule="auto"/>
        <w:ind w:firstLine="640" w:firstLineChars="200"/>
        <w:rPr>
          <w:rFonts w:hint="default" w:ascii="Times New Roman"/>
          <w:bCs/>
          <w:color w:val="auto"/>
          <w:sz w:val="32"/>
          <w:szCs w:val="32"/>
          <w:lang w:val="en-US" w:eastAsia="zh-CN"/>
        </w:rPr>
      </w:pPr>
      <w:r>
        <w:rPr>
          <w:rFonts w:hint="eastAsia" w:ascii="Times New Roman"/>
          <w:bCs/>
          <w:color w:val="auto"/>
          <w:sz w:val="32"/>
          <w:szCs w:val="32"/>
          <w:lang w:val="en-US" w:eastAsia="zh-CN"/>
        </w:rPr>
        <w:t>2.</w:t>
      </w:r>
      <w:r>
        <w:rPr>
          <w:rFonts w:hint="eastAsia" w:ascii="Times New Roman"/>
          <w:bCs/>
          <w:color w:val="auto"/>
          <w:sz w:val="32"/>
          <w:szCs w:val="32"/>
        </w:rPr>
        <w:t>图书馆202</w:t>
      </w:r>
      <w:r>
        <w:rPr>
          <w:rFonts w:hint="eastAsia" w:ascii="Times New Roman"/>
          <w:bCs/>
          <w:color w:val="auto"/>
          <w:sz w:val="32"/>
          <w:szCs w:val="32"/>
          <w:lang w:val="en-US" w:eastAsia="zh-CN"/>
        </w:rPr>
        <w:t>5</w:t>
      </w:r>
      <w:r>
        <w:rPr>
          <w:rFonts w:hint="eastAsia" w:ascii="Times New Roman"/>
          <w:bCs/>
          <w:color w:val="auto"/>
          <w:sz w:val="32"/>
          <w:szCs w:val="32"/>
        </w:rPr>
        <w:t>年工作重点：</w:t>
      </w:r>
    </w:p>
    <w:p w14:paraId="18DD24D8">
      <w:pPr>
        <w:spacing w:line="240" w:lineRule="auto"/>
        <w:ind w:firstLine="660" w:firstLineChars="200"/>
        <w:rPr>
          <w:rFonts w:ascii="方正楷体_GBK" w:hAnsi="方正仿宋_GBK" w:eastAsia="方正楷体_GBK" w:cs="方正仿宋_GBK"/>
          <w:b w:val="0"/>
          <w:bCs/>
          <w:color w:val="auto"/>
          <w:sz w:val="33"/>
          <w:szCs w:val="33"/>
        </w:rPr>
      </w:pPr>
      <w:r>
        <w:rPr>
          <w:rFonts w:hint="eastAsia" w:ascii="方正楷体_GBK" w:hAnsi="方正仿宋_GBK" w:eastAsia="方正楷体_GBK" w:cs="方正仿宋_GBK"/>
          <w:b w:val="0"/>
          <w:bCs/>
          <w:color w:val="auto"/>
          <w:sz w:val="33"/>
          <w:szCs w:val="33"/>
          <w:lang w:eastAsia="zh-CN"/>
        </w:rPr>
        <w:t>（</w:t>
      </w:r>
      <w:r>
        <w:rPr>
          <w:rFonts w:hint="eastAsia" w:ascii="方正楷体_GBK" w:hAnsi="方正仿宋_GBK" w:eastAsia="方正楷体_GBK" w:cs="方正仿宋_GBK"/>
          <w:b w:val="0"/>
          <w:bCs/>
          <w:color w:val="auto"/>
          <w:sz w:val="33"/>
          <w:szCs w:val="33"/>
          <w:lang w:val="en-US" w:eastAsia="zh-CN"/>
        </w:rPr>
        <w:t>1</w:t>
      </w:r>
      <w:r>
        <w:rPr>
          <w:rFonts w:hint="eastAsia" w:ascii="方正楷体_GBK" w:hAnsi="方正仿宋_GBK" w:eastAsia="方正楷体_GBK" w:cs="方正仿宋_GBK"/>
          <w:b w:val="0"/>
          <w:bCs/>
          <w:color w:val="auto"/>
          <w:sz w:val="33"/>
          <w:szCs w:val="33"/>
          <w:lang w:eastAsia="zh-CN"/>
        </w:rPr>
        <w:t>）</w:t>
      </w:r>
      <w:r>
        <w:rPr>
          <w:rFonts w:hint="eastAsia" w:ascii="方正楷体_GBK" w:hAnsi="方正仿宋_GBK" w:eastAsia="方正楷体_GBK" w:cs="方正仿宋_GBK"/>
          <w:b w:val="0"/>
          <w:bCs/>
          <w:color w:val="auto"/>
          <w:sz w:val="33"/>
          <w:szCs w:val="33"/>
        </w:rPr>
        <w:t>免费开放情况</w:t>
      </w:r>
    </w:p>
    <w:p w14:paraId="1CFB7D87">
      <w:pPr>
        <w:spacing w:line="240" w:lineRule="auto"/>
        <w:ind w:firstLine="663" w:firstLineChars="200"/>
        <w:rPr>
          <w:rFonts w:ascii="Times New Roman" w:hAnsi="Times New Roman" w:eastAsia="方正仿宋_GBK" w:cs="Times New Roman"/>
          <w:color w:val="auto"/>
          <w:sz w:val="33"/>
          <w:szCs w:val="33"/>
        </w:rPr>
      </w:pPr>
      <w:r>
        <w:rPr>
          <w:rFonts w:ascii="Times New Roman" w:hAnsi="方正仿宋_GBK" w:eastAsia="方正仿宋_GBK" w:cs="Times New Roman"/>
          <w:b/>
          <w:color w:val="auto"/>
          <w:sz w:val="33"/>
          <w:szCs w:val="33"/>
        </w:rPr>
        <w:t>一是</w:t>
      </w:r>
      <w:r>
        <w:rPr>
          <w:rFonts w:ascii="Times New Roman" w:hAnsi="方正仿宋_GBK" w:eastAsia="方正仿宋_GBK" w:cs="Times New Roman"/>
          <w:color w:val="auto"/>
          <w:sz w:val="33"/>
          <w:szCs w:val="33"/>
        </w:rPr>
        <w:t>完成了场馆免费开放工作，其中免费开放</w:t>
      </w:r>
      <w:r>
        <w:rPr>
          <w:rFonts w:hint="eastAsia" w:ascii="Times New Roman" w:hAnsi="Times New Roman" w:eastAsia="方正仿宋_GBK" w:cs="Times New Roman"/>
          <w:color w:val="auto"/>
          <w:sz w:val="33"/>
          <w:szCs w:val="33"/>
        </w:rPr>
        <w:t>3</w:t>
      </w:r>
      <w:r>
        <w:rPr>
          <w:rFonts w:hint="eastAsia" w:ascii="Times New Roman" w:hAnsi="Times New Roman" w:eastAsia="方正仿宋_GBK" w:cs="Times New Roman"/>
          <w:color w:val="auto"/>
          <w:sz w:val="33"/>
          <w:szCs w:val="33"/>
          <w:lang w:val="en-US" w:eastAsia="zh-CN"/>
        </w:rPr>
        <w:t>10余</w:t>
      </w:r>
      <w:r>
        <w:rPr>
          <w:rFonts w:ascii="Times New Roman" w:hAnsi="方正仿宋_GBK" w:eastAsia="方正仿宋_GBK" w:cs="Times New Roman"/>
          <w:color w:val="auto"/>
          <w:sz w:val="33"/>
          <w:szCs w:val="33"/>
        </w:rPr>
        <w:t>天、到馆人数</w:t>
      </w:r>
      <w:r>
        <w:rPr>
          <w:rFonts w:hint="eastAsia" w:ascii="Times New Roman" w:hAnsi="Times New Roman" w:eastAsia="方正仿宋_GBK" w:cs="Times New Roman"/>
          <w:color w:val="auto"/>
          <w:sz w:val="33"/>
          <w:szCs w:val="33"/>
          <w:lang w:val="en-US" w:eastAsia="zh-CN"/>
        </w:rPr>
        <w:t xml:space="preserve"> 111682</w:t>
      </w:r>
      <w:r>
        <w:rPr>
          <w:rFonts w:ascii="Times New Roman" w:hAnsi="方正仿宋_GBK" w:eastAsia="方正仿宋_GBK" w:cs="Times New Roman"/>
          <w:color w:val="auto"/>
          <w:sz w:val="33"/>
          <w:szCs w:val="33"/>
        </w:rPr>
        <w:t>人次、图书借阅</w:t>
      </w:r>
      <w:r>
        <w:rPr>
          <w:rFonts w:hint="eastAsia" w:ascii="Times New Roman" w:hAnsi="方正仿宋_GBK" w:eastAsia="方正仿宋_GBK" w:cs="Times New Roman"/>
          <w:color w:val="auto"/>
          <w:sz w:val="33"/>
          <w:szCs w:val="33"/>
          <w:lang w:val="en-US" w:eastAsia="zh-CN"/>
        </w:rPr>
        <w:t>86510</w:t>
      </w:r>
      <w:r>
        <w:rPr>
          <w:rFonts w:ascii="Times New Roman" w:hAnsi="方正仿宋_GBK" w:eastAsia="方正仿宋_GBK" w:cs="Times New Roman"/>
          <w:color w:val="auto"/>
          <w:sz w:val="33"/>
          <w:szCs w:val="33"/>
        </w:rPr>
        <w:t>册、借阅卡办理</w:t>
      </w:r>
      <w:r>
        <w:rPr>
          <w:rFonts w:hint="eastAsia" w:ascii="Times New Roman" w:hAnsi="方正仿宋_GBK" w:eastAsia="方正仿宋_GBK" w:cs="Times New Roman"/>
          <w:color w:val="auto"/>
          <w:sz w:val="33"/>
          <w:szCs w:val="33"/>
          <w:lang w:val="en-US" w:eastAsia="zh-CN"/>
        </w:rPr>
        <w:t>301</w:t>
      </w:r>
      <w:r>
        <w:rPr>
          <w:rFonts w:ascii="Times New Roman" w:hAnsi="方正仿宋_GBK" w:eastAsia="方正仿宋_GBK" w:cs="Times New Roman"/>
          <w:color w:val="auto"/>
          <w:sz w:val="33"/>
          <w:szCs w:val="33"/>
        </w:rPr>
        <w:t>张。</w:t>
      </w:r>
      <w:r>
        <w:rPr>
          <w:rFonts w:ascii="Times New Roman" w:hAnsi="方正仿宋_GBK" w:eastAsia="方正仿宋_GBK" w:cs="Times New Roman"/>
          <w:b/>
          <w:color w:val="auto"/>
          <w:sz w:val="33"/>
          <w:szCs w:val="33"/>
        </w:rPr>
        <w:t>二是</w:t>
      </w:r>
      <w:r>
        <w:rPr>
          <w:rFonts w:ascii="Times New Roman" w:hAnsi="方正仿宋_GBK" w:eastAsia="方正仿宋_GBK" w:cs="Times New Roman"/>
          <w:bCs/>
          <w:color w:val="auto"/>
          <w:sz w:val="33"/>
          <w:szCs w:val="33"/>
        </w:rPr>
        <w:t>图</w:t>
      </w:r>
      <w:r>
        <w:rPr>
          <w:rFonts w:ascii="Times New Roman" w:hAnsi="方正仿宋_GBK" w:eastAsia="方正仿宋_GBK" w:cs="Times New Roman"/>
          <w:color w:val="auto"/>
          <w:sz w:val="33"/>
          <w:szCs w:val="33"/>
        </w:rPr>
        <w:t>书馆门户网站、数字图书馆</w:t>
      </w:r>
      <w:r>
        <w:rPr>
          <w:rFonts w:hint="eastAsia" w:ascii="Times New Roman" w:hAnsi="方正仿宋_GBK" w:eastAsia="方正仿宋_GBK" w:cs="Times New Roman"/>
          <w:color w:val="auto"/>
          <w:sz w:val="33"/>
          <w:szCs w:val="33"/>
          <w:lang w:eastAsia="zh-CN"/>
        </w:rPr>
        <w:t>、微信公众号</w:t>
      </w:r>
      <w:r>
        <w:rPr>
          <w:rFonts w:ascii="Times New Roman" w:hAnsi="方正仿宋_GBK" w:eastAsia="方正仿宋_GBK" w:cs="Times New Roman"/>
          <w:color w:val="auto"/>
          <w:sz w:val="33"/>
          <w:szCs w:val="33"/>
        </w:rPr>
        <w:t>可满足读者每天</w:t>
      </w:r>
      <w:r>
        <w:rPr>
          <w:rFonts w:ascii="Times New Roman" w:hAnsi="Times New Roman" w:eastAsia="方正仿宋_GBK" w:cs="Times New Roman"/>
          <w:color w:val="auto"/>
          <w:sz w:val="33"/>
          <w:szCs w:val="33"/>
        </w:rPr>
        <w:t>24</w:t>
      </w:r>
      <w:r>
        <w:rPr>
          <w:rFonts w:ascii="Times New Roman" w:hAnsi="方正仿宋_GBK" w:eastAsia="方正仿宋_GBK" w:cs="Times New Roman"/>
          <w:color w:val="auto"/>
          <w:sz w:val="33"/>
          <w:szCs w:val="33"/>
        </w:rPr>
        <w:t>小时登录，免费查找其所需要的文献信息</w:t>
      </w:r>
      <w:r>
        <w:rPr>
          <w:rFonts w:hint="eastAsia" w:ascii="Times New Roman" w:hAnsi="方正仿宋_GBK" w:eastAsia="方正仿宋_GBK" w:cs="Times New Roman"/>
          <w:color w:val="auto"/>
          <w:sz w:val="33"/>
          <w:szCs w:val="33"/>
        </w:rPr>
        <w:t>，</w:t>
      </w:r>
      <w:r>
        <w:rPr>
          <w:rFonts w:hint="eastAsia" w:ascii="Times New Roman" w:hAnsi="方正仿宋_GBK" w:eastAsia="方正仿宋_GBK" w:cs="Times New Roman"/>
          <w:color w:val="auto"/>
          <w:sz w:val="33"/>
          <w:szCs w:val="33"/>
          <w:lang w:eastAsia="zh-CN"/>
        </w:rPr>
        <w:t>全年在门户网站、</w:t>
      </w:r>
      <w:r>
        <w:rPr>
          <w:rFonts w:ascii="Times New Roman" w:hAnsi="方正仿宋_GBK" w:eastAsia="方正仿宋_GBK" w:cs="Times New Roman"/>
          <w:color w:val="auto"/>
          <w:sz w:val="33"/>
          <w:szCs w:val="33"/>
        </w:rPr>
        <w:t>微信公众号</w:t>
      </w:r>
      <w:r>
        <w:rPr>
          <w:rFonts w:hint="eastAsia" w:ascii="Times New Roman" w:hAnsi="方正仿宋_GBK" w:eastAsia="方正仿宋_GBK" w:cs="Times New Roman"/>
          <w:color w:val="auto"/>
          <w:sz w:val="33"/>
          <w:szCs w:val="33"/>
          <w:lang w:eastAsia="zh-CN"/>
        </w:rPr>
        <w:t>、大数据平台</w:t>
      </w:r>
      <w:r>
        <w:rPr>
          <w:rFonts w:hint="eastAsia" w:ascii="Times New Roman" w:hAnsi="方正仿宋_GBK" w:eastAsia="方正仿宋_GBK" w:cs="Times New Roman"/>
          <w:color w:val="auto"/>
          <w:sz w:val="33"/>
          <w:szCs w:val="33"/>
        </w:rPr>
        <w:t>推送</w:t>
      </w:r>
      <w:r>
        <w:rPr>
          <w:rFonts w:hint="eastAsia" w:ascii="Times New Roman" w:hAnsi="方正仿宋_GBK" w:eastAsia="方正仿宋_GBK" w:cs="Times New Roman"/>
          <w:color w:val="auto"/>
          <w:sz w:val="33"/>
          <w:szCs w:val="33"/>
          <w:lang w:eastAsia="zh-CN"/>
        </w:rPr>
        <w:t>信息</w:t>
      </w:r>
      <w:r>
        <w:rPr>
          <w:rFonts w:hint="eastAsia" w:ascii="Times New Roman" w:hAnsi="方正仿宋_GBK" w:eastAsia="方正仿宋_GBK" w:cs="Times New Roman"/>
          <w:color w:val="auto"/>
          <w:sz w:val="33"/>
          <w:szCs w:val="33"/>
          <w:lang w:val="en-US" w:eastAsia="zh-CN"/>
        </w:rPr>
        <w:t>147</w:t>
      </w:r>
      <w:r>
        <w:rPr>
          <w:rFonts w:ascii="Times New Roman" w:hAnsi="方正仿宋_GBK" w:eastAsia="方正仿宋_GBK" w:cs="Times New Roman"/>
          <w:color w:val="auto"/>
          <w:sz w:val="33"/>
          <w:szCs w:val="33"/>
        </w:rPr>
        <w:t>期，</w:t>
      </w:r>
      <w:r>
        <w:rPr>
          <w:rFonts w:hint="eastAsia" w:ascii="Times New Roman" w:hAnsi="方正仿宋_GBK" w:eastAsia="方正仿宋_GBK" w:cs="Times New Roman"/>
          <w:color w:val="auto"/>
          <w:sz w:val="33"/>
          <w:szCs w:val="33"/>
          <w:lang w:eastAsia="zh-CN"/>
        </w:rPr>
        <w:t>简报</w:t>
      </w:r>
      <w:r>
        <w:rPr>
          <w:rFonts w:hint="eastAsia" w:ascii="Times New Roman" w:hAnsi="方正仿宋_GBK" w:eastAsia="方正仿宋_GBK" w:cs="Times New Roman"/>
          <w:color w:val="auto"/>
          <w:sz w:val="33"/>
          <w:szCs w:val="33"/>
          <w:lang w:val="en-US" w:eastAsia="zh-CN"/>
        </w:rPr>
        <w:t>46期</w:t>
      </w:r>
      <w:r>
        <w:rPr>
          <w:rFonts w:ascii="Times New Roman" w:hAnsi="方正仿宋_GBK" w:eastAsia="方正仿宋_GBK" w:cs="Times New Roman"/>
          <w:color w:val="auto"/>
          <w:sz w:val="33"/>
          <w:szCs w:val="33"/>
        </w:rPr>
        <w:t>。</w:t>
      </w:r>
    </w:p>
    <w:p w14:paraId="362EEF15">
      <w:pPr>
        <w:spacing w:line="240" w:lineRule="auto"/>
        <w:ind w:firstLine="660" w:firstLineChars="200"/>
        <w:rPr>
          <w:rFonts w:ascii="方正楷体_GBK" w:hAnsi="Times New Roman" w:eastAsia="方正楷体_GBK" w:cs="Times New Roman"/>
          <w:b w:val="0"/>
          <w:bCs/>
          <w:color w:val="auto"/>
          <w:sz w:val="33"/>
          <w:szCs w:val="33"/>
        </w:rPr>
      </w:pPr>
      <w:r>
        <w:rPr>
          <w:rFonts w:hint="eastAsia" w:ascii="方正楷体_GBK" w:hAnsi="Times New Roman" w:eastAsia="方正楷体_GBK" w:cs="Times New Roman"/>
          <w:b w:val="0"/>
          <w:bCs/>
          <w:color w:val="auto"/>
          <w:sz w:val="33"/>
          <w:szCs w:val="33"/>
          <w:lang w:eastAsia="zh-CN"/>
        </w:rPr>
        <w:t>（</w:t>
      </w:r>
      <w:r>
        <w:rPr>
          <w:rFonts w:hint="eastAsia" w:ascii="方正楷体_GBK" w:hAnsi="Times New Roman" w:eastAsia="方正楷体_GBK" w:cs="Times New Roman"/>
          <w:b w:val="0"/>
          <w:bCs/>
          <w:color w:val="auto"/>
          <w:sz w:val="33"/>
          <w:szCs w:val="33"/>
          <w:lang w:val="en-US" w:eastAsia="zh-CN"/>
        </w:rPr>
        <w:t>2</w:t>
      </w:r>
      <w:r>
        <w:rPr>
          <w:rFonts w:hint="eastAsia" w:ascii="方正楷体_GBK" w:hAnsi="Times New Roman" w:eastAsia="方正楷体_GBK" w:cs="Times New Roman"/>
          <w:b w:val="0"/>
          <w:bCs/>
          <w:color w:val="auto"/>
          <w:sz w:val="33"/>
          <w:szCs w:val="33"/>
          <w:lang w:eastAsia="zh-CN"/>
        </w:rPr>
        <w:t>）</w:t>
      </w:r>
      <w:r>
        <w:rPr>
          <w:rFonts w:hint="eastAsia" w:ascii="方正楷体_GBK" w:hAnsi="方正仿宋_GBK" w:eastAsia="方正楷体_GBK" w:cs="Times New Roman"/>
          <w:b w:val="0"/>
          <w:bCs/>
          <w:color w:val="auto"/>
          <w:sz w:val="33"/>
          <w:szCs w:val="33"/>
        </w:rPr>
        <w:t>业务开展情况</w:t>
      </w:r>
    </w:p>
    <w:p w14:paraId="6306DDDC">
      <w:pPr>
        <w:keepNext w:val="0"/>
        <w:keepLines w:val="0"/>
        <w:pageBreakBefore w:val="0"/>
        <w:widowControl w:val="0"/>
        <w:kinsoku/>
        <w:wordWrap/>
        <w:overflowPunct/>
        <w:topLinePunct w:val="0"/>
        <w:autoSpaceDE/>
        <w:autoSpaceDN/>
        <w:bidi w:val="0"/>
        <w:adjustRightInd/>
        <w:snapToGrid/>
        <w:spacing w:line="240" w:lineRule="auto"/>
        <w:ind w:firstLine="660" w:firstLineChars="200"/>
        <w:jc w:val="left"/>
        <w:textAlignment w:val="auto"/>
        <w:rPr>
          <w:rFonts w:hint="eastAsia" w:ascii="方正仿宋_GBK" w:hAnsi="方正仿宋_GBK" w:eastAsia="方正仿宋_GBK" w:cs="方正仿宋_GBK"/>
          <w:color w:val="auto"/>
          <w:sz w:val="33"/>
          <w:szCs w:val="33"/>
          <w:lang w:val="en-US" w:eastAsia="zh-CN"/>
        </w:rPr>
      </w:pPr>
      <w:r>
        <w:rPr>
          <w:rFonts w:hint="eastAsia" w:ascii="方正仿宋_GBK" w:hAnsi="方正仿宋_GBK" w:eastAsia="方正仿宋_GBK" w:cs="方正仿宋_GBK"/>
          <w:b w:val="0"/>
          <w:bCs w:val="0"/>
          <w:color w:val="auto"/>
          <w:kern w:val="2"/>
          <w:sz w:val="33"/>
          <w:szCs w:val="33"/>
        </w:rPr>
        <w:t>一是</w:t>
      </w:r>
      <w:r>
        <w:rPr>
          <w:rFonts w:hint="eastAsia" w:ascii="方正仿宋_GBK" w:hAnsi="方正仿宋_GBK" w:eastAsia="方正仿宋_GBK" w:cs="方正仿宋_GBK"/>
          <w:b w:val="0"/>
          <w:bCs w:val="0"/>
          <w:color w:val="auto"/>
          <w:kern w:val="2"/>
          <w:sz w:val="33"/>
          <w:szCs w:val="33"/>
          <w:lang w:val="en-US" w:eastAsia="zh-CN"/>
        </w:rPr>
        <w:t>完成2024年5000册新书数据加工、整理、上架工作。二是完成2025年“这里仁和•知时节读书会”系列活动社会购买服务工作，并开展“这里仁和·知时节”读书会12场认领活动。</w:t>
      </w:r>
      <w:r>
        <w:rPr>
          <w:rFonts w:hint="eastAsia" w:ascii="方正仿宋_GBK" w:hAnsi="方正仿宋_GBK" w:eastAsia="方正仿宋_GBK" w:cs="方正仿宋_GBK"/>
          <w:b/>
          <w:bCs/>
          <w:color w:val="auto"/>
          <w:kern w:val="2"/>
          <w:sz w:val="33"/>
          <w:szCs w:val="33"/>
          <w:lang w:val="en-US" w:eastAsia="zh-CN"/>
        </w:rPr>
        <w:t>三</w:t>
      </w:r>
      <w:r>
        <w:rPr>
          <w:rFonts w:hint="eastAsia" w:ascii="方正仿宋_GBK" w:hAnsi="方正仿宋_GBK" w:eastAsia="方正仿宋_GBK" w:cs="方正仿宋_GBK"/>
          <w:b/>
          <w:bCs/>
          <w:color w:val="auto"/>
          <w:sz w:val="33"/>
          <w:szCs w:val="33"/>
          <w:lang w:val="en-US" w:eastAsia="zh-CN"/>
        </w:rPr>
        <w:t>是</w:t>
      </w:r>
      <w:r>
        <w:rPr>
          <w:rFonts w:hint="eastAsia" w:ascii="方正仿宋_GBK" w:hAnsi="方正仿宋_GBK" w:eastAsia="方正仿宋_GBK" w:cs="方正仿宋_GBK"/>
          <w:b w:val="0"/>
          <w:bCs w:val="0"/>
          <w:color w:val="auto"/>
          <w:sz w:val="33"/>
          <w:szCs w:val="33"/>
        </w:rPr>
        <w:t>完成</w:t>
      </w:r>
      <w:r>
        <w:rPr>
          <w:rFonts w:hint="eastAsia" w:ascii="方正仿宋_GBK" w:hAnsi="方正仿宋_GBK" w:eastAsia="方正仿宋_GBK" w:cs="方正仿宋_GBK"/>
          <w:b w:val="0"/>
          <w:bCs w:val="0"/>
          <w:color w:val="auto"/>
          <w:sz w:val="33"/>
          <w:szCs w:val="33"/>
          <w:lang w:eastAsia="zh-CN"/>
        </w:rPr>
        <w:t>“</w:t>
      </w:r>
      <w:r>
        <w:rPr>
          <w:rFonts w:hint="eastAsia" w:ascii="方正仿宋_GBK" w:hAnsi="方正仿宋_GBK" w:eastAsia="方正仿宋_GBK" w:cs="方正仿宋_GBK"/>
          <w:b w:val="0"/>
          <w:bCs w:val="0"/>
          <w:color w:val="auto"/>
          <w:sz w:val="33"/>
          <w:szCs w:val="33"/>
          <w:lang w:val="en-US" w:eastAsia="zh-CN"/>
        </w:rPr>
        <w:t>这里仁和·知时节</w:t>
      </w:r>
      <w:r>
        <w:rPr>
          <w:rFonts w:hint="eastAsia" w:ascii="方正仿宋_GBK" w:hAnsi="方正仿宋_GBK" w:eastAsia="方正仿宋_GBK" w:cs="方正仿宋_GBK"/>
          <w:b w:val="0"/>
          <w:bCs w:val="0"/>
          <w:color w:val="auto"/>
          <w:sz w:val="33"/>
          <w:szCs w:val="33"/>
          <w:lang w:eastAsia="zh-CN"/>
        </w:rPr>
        <w:t>”</w:t>
      </w:r>
      <w:r>
        <w:rPr>
          <w:rFonts w:hint="eastAsia" w:ascii="方正仿宋_GBK" w:hAnsi="方正仿宋_GBK" w:eastAsia="方正仿宋_GBK" w:cs="方正仿宋_GBK"/>
          <w:b w:val="0"/>
          <w:bCs w:val="0"/>
          <w:color w:val="auto"/>
          <w:sz w:val="33"/>
          <w:szCs w:val="33"/>
          <w:lang w:val="en-US" w:eastAsia="zh-CN"/>
        </w:rPr>
        <w:t>系列活动</w:t>
      </w:r>
      <w:r>
        <w:rPr>
          <w:rFonts w:hint="eastAsia" w:ascii="方正仿宋_GBK" w:hAnsi="方正仿宋_GBK" w:eastAsia="方正仿宋_GBK" w:cs="方正仿宋_GBK"/>
          <w:b w:val="0"/>
          <w:bCs w:val="0"/>
          <w:color w:val="auto"/>
          <w:kern w:val="2"/>
          <w:sz w:val="33"/>
          <w:szCs w:val="33"/>
          <w:lang w:val="en-US" w:eastAsia="zh-CN"/>
        </w:rPr>
        <w:t>57</w:t>
      </w:r>
      <w:r>
        <w:rPr>
          <w:rFonts w:hint="eastAsia" w:ascii="方正仿宋_GBK" w:hAnsi="方正仿宋_GBK" w:eastAsia="方正仿宋_GBK" w:cs="方正仿宋_GBK"/>
          <w:b w:val="0"/>
          <w:bCs w:val="0"/>
          <w:color w:val="auto"/>
          <w:kern w:val="2"/>
          <w:sz w:val="33"/>
          <w:szCs w:val="33"/>
        </w:rPr>
        <w:t>场</w:t>
      </w:r>
      <w:r>
        <w:rPr>
          <w:rFonts w:hint="eastAsia" w:ascii="方正仿宋_GBK" w:hAnsi="方正仿宋_GBK" w:eastAsia="方正仿宋_GBK" w:cs="方正仿宋_GBK"/>
          <w:b w:val="0"/>
          <w:bCs w:val="0"/>
          <w:color w:val="auto"/>
          <w:kern w:val="2"/>
          <w:sz w:val="33"/>
          <w:szCs w:val="33"/>
          <w:lang w:eastAsia="zh-CN"/>
        </w:rPr>
        <w:t>。</w:t>
      </w:r>
      <w:r>
        <w:rPr>
          <w:rFonts w:hint="eastAsia" w:ascii="方正仿宋_GBK" w:hAnsi="方正仿宋_GBK" w:eastAsia="方正仿宋_GBK" w:cs="方正仿宋_GBK"/>
          <w:b w:val="0"/>
          <w:bCs w:val="0"/>
          <w:color w:val="auto"/>
          <w:kern w:val="2"/>
          <w:sz w:val="33"/>
          <w:szCs w:val="33"/>
          <w:lang w:val="en-US" w:eastAsia="zh-CN"/>
        </w:rPr>
        <w:t>其中“这里仁和·</w:t>
      </w:r>
      <w:r>
        <w:rPr>
          <w:rFonts w:hint="eastAsia" w:ascii="方正仿宋_GBK" w:hAnsi="方正仿宋_GBK" w:eastAsia="方正仿宋_GBK" w:cs="方正仿宋_GBK"/>
          <w:b w:val="0"/>
          <w:bCs w:val="0"/>
          <w:color w:val="auto"/>
          <w:kern w:val="2"/>
          <w:sz w:val="33"/>
          <w:szCs w:val="33"/>
        </w:rPr>
        <w:t>知时节读书会</w:t>
      </w:r>
      <w:r>
        <w:rPr>
          <w:rFonts w:hint="eastAsia" w:ascii="方正仿宋_GBK" w:hAnsi="方正仿宋_GBK" w:eastAsia="方正仿宋_GBK" w:cs="方正仿宋_GBK"/>
          <w:b w:val="0"/>
          <w:bCs w:val="0"/>
          <w:color w:val="auto"/>
          <w:kern w:val="2"/>
          <w:sz w:val="33"/>
          <w:szCs w:val="33"/>
          <w:lang w:eastAsia="zh-CN"/>
        </w:rPr>
        <w:t>”</w:t>
      </w:r>
      <w:r>
        <w:rPr>
          <w:rFonts w:hint="eastAsia" w:ascii="方正仿宋_GBK" w:hAnsi="方正仿宋_GBK" w:eastAsia="方正仿宋_GBK" w:cs="方正仿宋_GBK"/>
          <w:b w:val="0"/>
          <w:bCs w:val="0"/>
          <w:color w:val="auto"/>
          <w:kern w:val="2"/>
          <w:sz w:val="33"/>
          <w:szCs w:val="33"/>
          <w:lang w:val="en-US" w:eastAsia="zh-CN"/>
        </w:rPr>
        <w:t>12场</w:t>
      </w:r>
      <w:r>
        <w:rPr>
          <w:rFonts w:hint="eastAsia" w:ascii="方正仿宋_GBK" w:hAnsi="方正仿宋_GBK" w:eastAsia="方正仿宋_GBK" w:cs="方正仿宋_GBK"/>
          <w:b w:val="0"/>
          <w:bCs w:val="0"/>
          <w:color w:val="auto"/>
          <w:kern w:val="2"/>
          <w:sz w:val="33"/>
          <w:szCs w:val="33"/>
        </w:rPr>
        <w:t>，知时节·听琴说书</w:t>
      </w:r>
      <w:r>
        <w:rPr>
          <w:rFonts w:hint="eastAsia" w:ascii="方正仿宋_GBK" w:hAnsi="方正仿宋_GBK" w:eastAsia="方正仿宋_GBK" w:cs="方正仿宋_GBK"/>
          <w:b w:val="0"/>
          <w:bCs w:val="0"/>
          <w:color w:val="auto"/>
          <w:kern w:val="2"/>
          <w:sz w:val="33"/>
          <w:szCs w:val="33"/>
          <w:lang w:val="en-US" w:eastAsia="zh-CN"/>
        </w:rPr>
        <w:t>4</w:t>
      </w:r>
      <w:r>
        <w:rPr>
          <w:rFonts w:hint="eastAsia" w:ascii="方正仿宋_GBK" w:hAnsi="方正仿宋_GBK" w:eastAsia="方正仿宋_GBK" w:cs="方正仿宋_GBK"/>
          <w:b w:val="0"/>
          <w:bCs w:val="0"/>
          <w:color w:val="auto"/>
          <w:kern w:val="2"/>
          <w:sz w:val="33"/>
          <w:szCs w:val="33"/>
        </w:rPr>
        <w:t>场</w:t>
      </w:r>
      <w:r>
        <w:rPr>
          <w:rFonts w:hint="eastAsia" w:ascii="方正仿宋_GBK" w:hAnsi="方正仿宋_GBK" w:eastAsia="方正仿宋_GBK" w:cs="方正仿宋_GBK"/>
          <w:b w:val="0"/>
          <w:bCs w:val="0"/>
          <w:color w:val="auto"/>
          <w:kern w:val="0"/>
          <w:sz w:val="33"/>
          <w:szCs w:val="33"/>
          <w:lang w:val="en-US" w:eastAsia="zh-CN" w:bidi="ar-SA"/>
        </w:rPr>
        <w:t>，</w:t>
      </w:r>
      <w:r>
        <w:rPr>
          <w:rFonts w:hint="eastAsia" w:ascii="方正仿宋_GBK" w:hAnsi="方正仿宋_GBK" w:eastAsia="方正仿宋_GBK" w:cs="方正仿宋_GBK"/>
          <w:b w:val="0"/>
          <w:bCs w:val="0"/>
          <w:color w:val="auto"/>
          <w:kern w:val="2"/>
          <w:sz w:val="33"/>
          <w:szCs w:val="33"/>
        </w:rPr>
        <w:t>妙莲姐姐讲节气</w:t>
      </w:r>
      <w:r>
        <w:rPr>
          <w:rFonts w:hint="eastAsia" w:ascii="方正仿宋_GBK" w:hAnsi="方正仿宋_GBK" w:eastAsia="方正仿宋_GBK" w:cs="方正仿宋_GBK"/>
          <w:b w:val="0"/>
          <w:bCs w:val="0"/>
          <w:color w:val="auto"/>
          <w:kern w:val="2"/>
          <w:sz w:val="33"/>
          <w:szCs w:val="33"/>
          <w:lang w:val="en-US" w:eastAsia="zh-CN"/>
        </w:rPr>
        <w:t>8</w:t>
      </w:r>
      <w:r>
        <w:rPr>
          <w:rFonts w:hint="eastAsia" w:ascii="方正仿宋_GBK" w:hAnsi="方正仿宋_GBK" w:eastAsia="方正仿宋_GBK" w:cs="方正仿宋_GBK"/>
          <w:b w:val="0"/>
          <w:bCs w:val="0"/>
          <w:color w:val="auto"/>
          <w:kern w:val="2"/>
          <w:sz w:val="33"/>
          <w:szCs w:val="33"/>
        </w:rPr>
        <w:t>场</w:t>
      </w:r>
      <w:r>
        <w:rPr>
          <w:rFonts w:hint="eastAsia" w:ascii="方正仿宋_GBK" w:hAnsi="方正仿宋_GBK" w:eastAsia="方正仿宋_GBK" w:cs="方正仿宋_GBK"/>
          <w:b w:val="0"/>
          <w:bCs w:val="0"/>
          <w:color w:val="auto"/>
          <w:kern w:val="2"/>
          <w:sz w:val="33"/>
          <w:szCs w:val="33"/>
          <w:lang w:eastAsia="zh-CN"/>
        </w:rPr>
        <w:t>，时节绘本讲堂活动</w:t>
      </w:r>
      <w:r>
        <w:rPr>
          <w:rFonts w:hint="eastAsia" w:ascii="方正仿宋_GBK" w:hAnsi="方正仿宋_GBK" w:eastAsia="方正仿宋_GBK" w:cs="方正仿宋_GBK"/>
          <w:b w:val="0"/>
          <w:bCs w:val="0"/>
          <w:color w:val="auto"/>
          <w:kern w:val="2"/>
          <w:sz w:val="33"/>
          <w:szCs w:val="33"/>
          <w:lang w:val="en-US" w:eastAsia="zh-CN"/>
        </w:rPr>
        <w:t>11</w:t>
      </w:r>
      <w:r>
        <w:rPr>
          <w:rFonts w:hint="eastAsia" w:ascii="方正仿宋_GBK" w:hAnsi="方正仿宋_GBK" w:eastAsia="方正仿宋_GBK" w:cs="方正仿宋_GBK"/>
          <w:b w:val="0"/>
          <w:bCs w:val="0"/>
          <w:color w:val="auto"/>
          <w:kern w:val="2"/>
          <w:sz w:val="33"/>
          <w:szCs w:val="33"/>
          <w:lang w:eastAsia="zh-CN"/>
        </w:rPr>
        <w:t>场，时节物语</w:t>
      </w:r>
      <w:r>
        <w:rPr>
          <w:rFonts w:hint="eastAsia" w:ascii="方正仿宋_GBK" w:hAnsi="方正仿宋_GBK" w:eastAsia="方正仿宋_GBK" w:cs="方正仿宋_GBK"/>
          <w:b w:val="0"/>
          <w:bCs w:val="0"/>
          <w:color w:val="auto"/>
          <w:kern w:val="2"/>
          <w:sz w:val="33"/>
          <w:szCs w:val="33"/>
          <w:lang w:val="en-US" w:eastAsia="zh-CN"/>
        </w:rPr>
        <w:t>7</w:t>
      </w:r>
      <w:r>
        <w:rPr>
          <w:rFonts w:hint="eastAsia" w:ascii="方正仿宋_GBK" w:hAnsi="方正仿宋_GBK" w:eastAsia="方正仿宋_GBK" w:cs="方正仿宋_GBK"/>
          <w:b w:val="0"/>
          <w:bCs w:val="0"/>
          <w:color w:val="auto"/>
          <w:kern w:val="2"/>
          <w:sz w:val="33"/>
          <w:szCs w:val="33"/>
          <w:lang w:eastAsia="zh-CN"/>
        </w:rPr>
        <w:t>期，二十四节气中国色</w:t>
      </w:r>
      <w:r>
        <w:rPr>
          <w:rFonts w:hint="eastAsia" w:ascii="方正仿宋_GBK" w:hAnsi="方正仿宋_GBK" w:eastAsia="方正仿宋_GBK" w:cs="方正仿宋_GBK"/>
          <w:b w:val="0"/>
          <w:bCs w:val="0"/>
          <w:color w:val="auto"/>
          <w:kern w:val="2"/>
          <w:sz w:val="33"/>
          <w:szCs w:val="33"/>
          <w:lang w:val="en-US" w:eastAsia="zh-CN"/>
        </w:rPr>
        <w:t>15</w:t>
      </w:r>
      <w:r>
        <w:rPr>
          <w:rFonts w:hint="eastAsia" w:ascii="方正仿宋_GBK" w:hAnsi="方正仿宋_GBK" w:eastAsia="方正仿宋_GBK" w:cs="方正仿宋_GBK"/>
          <w:b w:val="0"/>
          <w:bCs w:val="0"/>
          <w:color w:val="auto"/>
          <w:kern w:val="2"/>
          <w:sz w:val="33"/>
          <w:szCs w:val="33"/>
          <w:lang w:eastAsia="zh-CN"/>
        </w:rPr>
        <w:t>期</w:t>
      </w:r>
      <w:r>
        <w:rPr>
          <w:rFonts w:hint="eastAsia" w:ascii="方正仿宋_GBK" w:hAnsi="方正仿宋_GBK" w:eastAsia="方正仿宋_GBK" w:cs="方正仿宋_GBK"/>
          <w:b w:val="0"/>
          <w:bCs w:val="0"/>
          <w:color w:val="auto"/>
          <w:kern w:val="2"/>
          <w:sz w:val="33"/>
          <w:szCs w:val="33"/>
        </w:rPr>
        <w:t>。</w:t>
      </w:r>
      <w:r>
        <w:rPr>
          <w:rFonts w:hint="eastAsia" w:ascii="方正仿宋_GBK" w:hAnsi="方正仿宋_GBK" w:eastAsia="方正仿宋_GBK" w:cs="方正仿宋_GBK"/>
          <w:b w:val="0"/>
          <w:bCs w:val="0"/>
          <w:color w:val="auto"/>
          <w:kern w:val="2"/>
          <w:sz w:val="33"/>
          <w:szCs w:val="33"/>
          <w:lang w:eastAsia="zh-CN"/>
        </w:rPr>
        <w:t>四</w:t>
      </w:r>
      <w:r>
        <w:rPr>
          <w:rFonts w:hint="eastAsia" w:ascii="方正仿宋_GBK" w:hAnsi="方正仿宋_GBK" w:eastAsia="方正仿宋_GBK" w:cs="方正仿宋_GBK"/>
          <w:b/>
          <w:color w:val="auto"/>
          <w:sz w:val="33"/>
          <w:szCs w:val="33"/>
          <w:lang w:val="en-US" w:eastAsia="zh-CN"/>
        </w:rPr>
        <w:t>是</w:t>
      </w:r>
      <w:r>
        <w:rPr>
          <w:rFonts w:hint="eastAsia" w:ascii="方正仿宋_GBK" w:hAnsi="方正仿宋_GBK" w:eastAsia="方正仿宋_GBK" w:cs="方正仿宋_GBK"/>
          <w:b w:val="0"/>
          <w:bCs/>
          <w:color w:val="auto"/>
          <w:sz w:val="33"/>
          <w:szCs w:val="33"/>
        </w:rPr>
        <w:t>完成</w:t>
      </w:r>
      <w:r>
        <w:rPr>
          <w:rFonts w:hint="eastAsia" w:ascii="方正仿宋_GBK" w:hAnsi="方正仿宋_GBK" w:eastAsia="方正仿宋_GBK" w:cs="方正仿宋_GBK"/>
          <w:b w:val="0"/>
          <w:bCs w:val="0"/>
          <w:color w:val="auto"/>
          <w:kern w:val="2"/>
          <w:sz w:val="33"/>
          <w:szCs w:val="33"/>
        </w:rPr>
        <w:t>“我们的中国梦·文化进万家”——流动图书馆</w:t>
      </w:r>
      <w:r>
        <w:rPr>
          <w:rFonts w:hint="eastAsia" w:ascii="方正仿宋_GBK" w:hAnsi="方正仿宋_GBK" w:eastAsia="方正仿宋_GBK" w:cs="方正仿宋_GBK"/>
          <w:b w:val="0"/>
          <w:bCs w:val="0"/>
          <w:color w:val="auto"/>
          <w:kern w:val="2"/>
          <w:sz w:val="33"/>
          <w:szCs w:val="33"/>
          <w:lang w:val="en-US" w:eastAsia="zh-CN"/>
        </w:rPr>
        <w:t>进</w:t>
      </w:r>
      <w:r>
        <w:rPr>
          <w:rFonts w:hint="eastAsia" w:ascii="方正仿宋_GBK" w:hAnsi="方正仿宋_GBK" w:eastAsia="方正仿宋_GBK" w:cs="方正仿宋_GBK"/>
          <w:b w:val="0"/>
          <w:bCs w:val="0"/>
          <w:color w:val="auto"/>
          <w:kern w:val="2"/>
          <w:sz w:val="33"/>
          <w:szCs w:val="33"/>
        </w:rPr>
        <w:t>基层活动</w:t>
      </w:r>
      <w:r>
        <w:rPr>
          <w:rFonts w:hint="eastAsia" w:ascii="方正仿宋_GBK" w:hAnsi="方正仿宋_GBK" w:eastAsia="方正仿宋_GBK" w:cs="方正仿宋_GBK"/>
          <w:b w:val="0"/>
          <w:bCs w:val="0"/>
          <w:color w:val="auto"/>
          <w:kern w:val="2"/>
          <w:sz w:val="33"/>
          <w:szCs w:val="33"/>
          <w:lang w:val="en-US" w:eastAsia="zh-CN"/>
        </w:rPr>
        <w:t>30</w:t>
      </w:r>
      <w:r>
        <w:rPr>
          <w:rFonts w:hint="eastAsia" w:ascii="方正仿宋_GBK" w:hAnsi="方正仿宋_GBK" w:eastAsia="方正仿宋_GBK" w:cs="方正仿宋_GBK"/>
          <w:b w:val="0"/>
          <w:bCs w:val="0"/>
          <w:color w:val="auto"/>
          <w:kern w:val="2"/>
          <w:sz w:val="33"/>
          <w:szCs w:val="33"/>
        </w:rPr>
        <w:t>场</w:t>
      </w:r>
      <w:r>
        <w:rPr>
          <w:rFonts w:hint="eastAsia" w:ascii="方正仿宋_GBK" w:hAnsi="方正仿宋_GBK" w:eastAsia="方正仿宋_GBK" w:cs="方正仿宋_GBK"/>
          <w:b w:val="0"/>
          <w:bCs w:val="0"/>
          <w:color w:val="auto"/>
          <w:sz w:val="33"/>
          <w:szCs w:val="33"/>
        </w:rPr>
        <w:t>。</w:t>
      </w:r>
      <w:r>
        <w:rPr>
          <w:rFonts w:hint="eastAsia" w:ascii="方正仿宋_GBK" w:hAnsi="方正仿宋_GBK" w:eastAsia="方正仿宋_GBK" w:cs="方正仿宋_GBK"/>
          <w:b w:val="0"/>
          <w:bCs w:val="0"/>
          <w:color w:val="auto"/>
          <w:sz w:val="33"/>
          <w:szCs w:val="33"/>
          <w:lang w:eastAsia="zh-CN"/>
        </w:rPr>
        <w:t>五</w:t>
      </w:r>
      <w:r>
        <w:rPr>
          <w:rFonts w:hint="eastAsia" w:ascii="方正仿宋_GBK" w:hAnsi="方正仿宋_GBK" w:eastAsia="方正仿宋_GBK" w:cs="方正仿宋_GBK"/>
          <w:b/>
          <w:bCs/>
          <w:color w:val="auto"/>
          <w:sz w:val="33"/>
          <w:szCs w:val="33"/>
        </w:rPr>
        <w:t>是</w:t>
      </w:r>
      <w:r>
        <w:rPr>
          <w:rFonts w:hint="eastAsia" w:ascii="方正仿宋_GBK" w:hAnsi="方正仿宋_GBK" w:eastAsia="方正仿宋_GBK" w:cs="方正仿宋_GBK"/>
          <w:b w:val="0"/>
          <w:bCs w:val="0"/>
          <w:color w:val="auto"/>
          <w:sz w:val="33"/>
          <w:szCs w:val="33"/>
        </w:rPr>
        <w:t>开展</w:t>
      </w:r>
      <w:r>
        <w:rPr>
          <w:rFonts w:hint="eastAsia" w:ascii="方正仿宋_GBK" w:hAnsi="方正仿宋_GBK" w:eastAsia="方正仿宋_GBK" w:cs="方正仿宋_GBK"/>
          <w:b w:val="0"/>
          <w:bCs w:val="0"/>
          <w:color w:val="auto"/>
          <w:sz w:val="33"/>
          <w:szCs w:val="33"/>
          <w:lang w:eastAsia="zh-CN"/>
        </w:rPr>
        <w:t>“</w:t>
      </w:r>
      <w:r>
        <w:rPr>
          <w:rFonts w:hint="eastAsia" w:ascii="方正仿宋_GBK" w:hAnsi="方正仿宋_GBK" w:eastAsia="方正仿宋_GBK" w:cs="方正仿宋_GBK"/>
          <w:b w:val="0"/>
          <w:bCs w:val="0"/>
          <w:color w:val="auto"/>
          <w:sz w:val="33"/>
          <w:szCs w:val="33"/>
          <w:lang w:val="en-US" w:eastAsia="zh-CN"/>
        </w:rPr>
        <w:t>2025年仁和区图书馆</w:t>
      </w:r>
      <w:r>
        <w:rPr>
          <w:rFonts w:hint="eastAsia" w:ascii="方正仿宋_GBK" w:hAnsi="方正仿宋_GBK" w:eastAsia="方正仿宋_GBK" w:cs="方正仿宋_GBK"/>
          <w:b w:val="0"/>
          <w:bCs w:val="0"/>
          <w:color w:val="auto"/>
          <w:sz w:val="33"/>
          <w:szCs w:val="33"/>
        </w:rPr>
        <w:t>寒</w:t>
      </w:r>
      <w:r>
        <w:rPr>
          <w:rFonts w:hint="eastAsia" w:ascii="方正仿宋_GBK" w:hAnsi="方正仿宋_GBK" w:eastAsia="方正仿宋_GBK" w:cs="方正仿宋_GBK"/>
          <w:b w:val="0"/>
          <w:bCs w:val="0"/>
          <w:color w:val="auto"/>
          <w:sz w:val="33"/>
          <w:szCs w:val="33"/>
          <w:lang w:eastAsia="zh-CN"/>
        </w:rPr>
        <w:t>、暑</w:t>
      </w:r>
      <w:r>
        <w:rPr>
          <w:rFonts w:hint="eastAsia" w:ascii="方正仿宋_GBK" w:hAnsi="方正仿宋_GBK" w:eastAsia="方正仿宋_GBK" w:cs="方正仿宋_GBK"/>
          <w:b w:val="0"/>
          <w:bCs w:val="0"/>
          <w:color w:val="auto"/>
          <w:sz w:val="33"/>
          <w:szCs w:val="33"/>
        </w:rPr>
        <w:t>假小小图书志愿者</w:t>
      </w:r>
      <w:r>
        <w:rPr>
          <w:rFonts w:hint="eastAsia" w:ascii="方正仿宋_GBK" w:hAnsi="方正仿宋_GBK" w:eastAsia="方正仿宋_GBK" w:cs="方正仿宋_GBK"/>
          <w:b w:val="0"/>
          <w:bCs w:val="0"/>
          <w:color w:val="auto"/>
          <w:sz w:val="33"/>
          <w:szCs w:val="33"/>
          <w:lang w:eastAsia="zh-CN"/>
        </w:rPr>
        <w:t>”</w:t>
      </w:r>
      <w:r>
        <w:rPr>
          <w:rFonts w:hint="eastAsia" w:ascii="方正仿宋_GBK" w:hAnsi="方正仿宋_GBK" w:eastAsia="方正仿宋_GBK" w:cs="方正仿宋_GBK"/>
          <w:b w:val="0"/>
          <w:bCs w:val="0"/>
          <w:color w:val="auto"/>
          <w:sz w:val="33"/>
          <w:szCs w:val="33"/>
        </w:rPr>
        <w:t>活动</w:t>
      </w:r>
      <w:r>
        <w:rPr>
          <w:rFonts w:hint="eastAsia" w:ascii="方正仿宋_GBK" w:hAnsi="方正仿宋_GBK" w:eastAsia="方正仿宋_GBK" w:cs="方正仿宋_GBK"/>
          <w:b w:val="0"/>
          <w:bCs w:val="0"/>
          <w:color w:val="auto"/>
          <w:sz w:val="33"/>
          <w:szCs w:val="33"/>
          <w:lang w:val="en-US" w:eastAsia="zh-CN"/>
        </w:rPr>
        <w:t>3</w:t>
      </w:r>
      <w:r>
        <w:rPr>
          <w:rFonts w:hint="eastAsia" w:ascii="方正仿宋_GBK" w:hAnsi="方正仿宋_GBK" w:eastAsia="方正仿宋_GBK" w:cs="方正仿宋_GBK"/>
          <w:b w:val="0"/>
          <w:bCs w:val="0"/>
          <w:color w:val="auto"/>
          <w:sz w:val="33"/>
          <w:szCs w:val="33"/>
        </w:rPr>
        <w:t>期</w:t>
      </w:r>
      <w:r>
        <w:rPr>
          <w:rFonts w:hint="eastAsia" w:ascii="方正仿宋_GBK" w:hAnsi="方正仿宋_GBK" w:eastAsia="方正仿宋_GBK" w:cs="方正仿宋_GBK"/>
          <w:b w:val="0"/>
          <w:bCs w:val="0"/>
          <w:color w:val="auto"/>
          <w:sz w:val="33"/>
          <w:szCs w:val="33"/>
          <w:lang w:eastAsia="zh-CN"/>
        </w:rPr>
        <w:t>，</w:t>
      </w:r>
      <w:r>
        <w:rPr>
          <w:rFonts w:hint="eastAsia" w:ascii="方正仿宋_GBK" w:hAnsi="方正仿宋_GBK" w:eastAsia="方正仿宋_GBK" w:cs="方正仿宋_GBK"/>
          <w:b w:val="0"/>
          <w:bCs w:val="0"/>
          <w:color w:val="auto"/>
          <w:sz w:val="33"/>
          <w:szCs w:val="33"/>
          <w:lang w:val="en-US" w:eastAsia="zh-CN"/>
        </w:rPr>
        <w:t>共招募48名小小图书志愿者开展志愿服务</w:t>
      </w:r>
      <w:r>
        <w:rPr>
          <w:rFonts w:hint="eastAsia" w:ascii="方正仿宋_GBK" w:hAnsi="方正仿宋_GBK" w:eastAsia="方正仿宋_GBK" w:cs="方正仿宋_GBK"/>
          <w:b w:val="0"/>
          <w:bCs w:val="0"/>
          <w:color w:val="auto"/>
          <w:sz w:val="33"/>
          <w:szCs w:val="33"/>
        </w:rPr>
        <w:t>。</w:t>
      </w:r>
      <w:r>
        <w:rPr>
          <w:rFonts w:hint="eastAsia" w:ascii="方正仿宋_GBK" w:hAnsi="方正仿宋_GBK" w:eastAsia="方正仿宋_GBK" w:cs="方正仿宋_GBK"/>
          <w:b w:val="0"/>
          <w:bCs w:val="0"/>
          <w:color w:val="auto"/>
          <w:sz w:val="33"/>
          <w:szCs w:val="33"/>
          <w:lang w:eastAsia="zh-CN"/>
        </w:rPr>
        <w:t>六</w:t>
      </w:r>
      <w:r>
        <w:rPr>
          <w:rFonts w:hint="eastAsia" w:ascii="方正仿宋_GBK" w:hAnsi="方正仿宋_GBK" w:eastAsia="方正仿宋_GBK" w:cs="方正仿宋_GBK"/>
          <w:b/>
          <w:bCs/>
          <w:color w:val="auto"/>
          <w:sz w:val="32"/>
          <w:szCs w:val="32"/>
        </w:rPr>
        <w:t>是</w:t>
      </w:r>
      <w:r>
        <w:rPr>
          <w:rFonts w:hint="eastAsia" w:ascii="方正仿宋_GBK" w:hAnsi="方正仿宋_GBK" w:eastAsia="方正仿宋_GBK" w:cs="方正仿宋_GBK"/>
          <w:b w:val="0"/>
          <w:bCs w:val="0"/>
          <w:color w:val="auto"/>
          <w:sz w:val="32"/>
          <w:szCs w:val="32"/>
          <w:lang w:val="en-US" w:eastAsia="zh-CN"/>
        </w:rPr>
        <w:t>开展“4.23世界读书日”系列活动6场。其中开展线上“我与图书馆的故事摄影大赛”“掌上AI对话未来”“勇闯西游八十一难找现实中的西游元素”“有声荐书”“时节物语分享”等活动5场，开展线下馆企联合书展1场。七</w:t>
      </w:r>
      <w:r>
        <w:rPr>
          <w:rFonts w:hint="eastAsia" w:ascii="方正仿宋_GBK" w:hAnsi="方正仿宋_GBK" w:eastAsia="方正仿宋_GBK" w:cs="方正仿宋_GBK"/>
          <w:b/>
          <w:bCs/>
          <w:color w:val="auto"/>
          <w:sz w:val="33"/>
          <w:szCs w:val="33"/>
          <w:lang w:val="en-US" w:eastAsia="zh-CN"/>
        </w:rPr>
        <w:t>是</w:t>
      </w:r>
      <w:r>
        <w:rPr>
          <w:rFonts w:hint="eastAsia" w:ascii="方正仿宋_GBK" w:hAnsi="方正仿宋_GBK" w:eastAsia="方正仿宋_GBK" w:cs="方正仿宋_GBK"/>
          <w:b w:val="0"/>
          <w:bCs w:val="0"/>
          <w:color w:val="auto"/>
          <w:sz w:val="33"/>
          <w:szCs w:val="33"/>
          <w:lang w:val="en-US" w:eastAsia="zh-CN"/>
        </w:rPr>
        <w:t>完成3个馆外阅读点建设（仁和区幼儿园、四十九社区、攀枝花中传花少语言艺术中心）。八</w:t>
      </w:r>
      <w:r>
        <w:rPr>
          <w:rFonts w:hint="eastAsia" w:ascii="方正仿宋_GBK" w:hAnsi="方正仿宋_GBK" w:eastAsia="方正仿宋_GBK" w:cs="方正仿宋_GBK"/>
          <w:b/>
          <w:bCs/>
          <w:color w:val="auto"/>
          <w:sz w:val="33"/>
          <w:szCs w:val="33"/>
          <w:lang w:val="en-US" w:eastAsia="zh-CN"/>
        </w:rPr>
        <w:t>是</w:t>
      </w:r>
      <w:r>
        <w:rPr>
          <w:rFonts w:hint="eastAsia" w:ascii="方正仿宋_GBK" w:hAnsi="方正仿宋_GBK" w:eastAsia="方正仿宋_GBK" w:cs="方正仿宋_GBK"/>
          <w:b w:val="0"/>
          <w:bCs w:val="0"/>
          <w:color w:val="auto"/>
          <w:sz w:val="33"/>
          <w:szCs w:val="33"/>
          <w:lang w:val="en-US" w:eastAsia="zh-CN"/>
        </w:rPr>
        <w:t>开展“2025年天府书展”系列活动6场。其中馆企联合书展1场、“你选书</w:t>
      </w:r>
      <w:r>
        <w:rPr>
          <w:rFonts w:hint="eastAsia" w:ascii="方正仿宋_GBK" w:hAnsi="方正仿宋_GBK" w:eastAsia="方正仿宋_GBK" w:cs="方正仿宋_GBK"/>
          <w:color w:val="auto"/>
          <w:sz w:val="33"/>
          <w:szCs w:val="33"/>
          <w:u w:val="none"/>
          <w:lang w:val="en-US" w:eastAsia="zh-CN"/>
        </w:rPr>
        <w:t>·</w:t>
      </w:r>
      <w:r>
        <w:rPr>
          <w:rFonts w:hint="eastAsia" w:ascii="方正仿宋_GBK" w:hAnsi="方正仿宋_GBK" w:eastAsia="方正仿宋_GBK" w:cs="方正仿宋_GBK"/>
          <w:b w:val="0"/>
          <w:bCs w:val="0"/>
          <w:color w:val="auto"/>
          <w:sz w:val="33"/>
          <w:szCs w:val="33"/>
          <w:lang w:val="en-US" w:eastAsia="zh-CN"/>
        </w:rPr>
        <w:t>我买单”1场、线上好书推荐4期。九</w:t>
      </w:r>
      <w:r>
        <w:rPr>
          <w:rFonts w:hint="eastAsia" w:ascii="方正仿宋_GBK" w:hAnsi="方正仿宋_GBK" w:eastAsia="方正仿宋_GBK" w:cs="方正仿宋_GBK"/>
          <w:b/>
          <w:bCs/>
          <w:color w:val="auto"/>
          <w:sz w:val="33"/>
          <w:szCs w:val="33"/>
          <w:lang w:val="en-US" w:eastAsia="zh-CN"/>
        </w:rPr>
        <w:t>是</w:t>
      </w:r>
      <w:r>
        <w:rPr>
          <w:rFonts w:hint="eastAsia" w:ascii="方正仿宋_GBK" w:hAnsi="方正仿宋_GBK" w:eastAsia="方正仿宋_GBK" w:cs="方正仿宋_GBK"/>
          <w:b w:val="0"/>
          <w:bCs w:val="0"/>
          <w:color w:val="auto"/>
          <w:sz w:val="33"/>
          <w:szCs w:val="33"/>
          <w:lang w:val="en-US" w:eastAsia="zh-CN"/>
        </w:rPr>
        <w:t>完成图书馆藏书空间重新改造工作。十</w:t>
      </w:r>
      <w:r>
        <w:rPr>
          <w:rFonts w:hint="eastAsia" w:ascii="方正仿宋_GBK" w:hAnsi="方正仿宋_GBK" w:eastAsia="方正仿宋_GBK" w:cs="方正仿宋_GBK"/>
          <w:b/>
          <w:bCs/>
          <w:color w:val="auto"/>
          <w:sz w:val="33"/>
          <w:szCs w:val="33"/>
          <w:lang w:val="en-US" w:eastAsia="zh-CN"/>
        </w:rPr>
        <w:t>是</w:t>
      </w:r>
      <w:r>
        <w:rPr>
          <w:rFonts w:hint="eastAsia" w:ascii="方正仿宋_GBK" w:hAnsi="方正仿宋_GBK" w:eastAsia="方正仿宋_GBK" w:cs="方正仿宋_GBK"/>
          <w:b w:val="0"/>
          <w:bCs w:val="0"/>
          <w:color w:val="auto"/>
          <w:sz w:val="33"/>
          <w:szCs w:val="33"/>
          <w:lang w:val="en-US" w:eastAsia="zh-CN"/>
        </w:rPr>
        <w:t>完成“川渝一卡通”社保卡对接图书借阅系统等相关工作，实现社保卡借书目标。十一</w:t>
      </w:r>
      <w:r>
        <w:rPr>
          <w:rFonts w:hint="eastAsia" w:ascii="方正仿宋_GBK" w:hAnsi="方正仿宋_GBK" w:eastAsia="方正仿宋_GBK" w:cs="方正仿宋_GBK"/>
          <w:b/>
          <w:bCs/>
          <w:color w:val="auto"/>
          <w:sz w:val="33"/>
          <w:szCs w:val="33"/>
          <w:lang w:val="en-US" w:eastAsia="zh-CN"/>
        </w:rPr>
        <w:t>是</w:t>
      </w:r>
      <w:r>
        <w:rPr>
          <w:rFonts w:hint="eastAsia" w:ascii="方正仿宋_GBK" w:hAnsi="方正仿宋_GBK" w:eastAsia="方正仿宋_GBK" w:cs="方正仿宋_GBK"/>
          <w:b w:val="0"/>
          <w:bCs w:val="0"/>
          <w:color w:val="auto"/>
          <w:sz w:val="33"/>
          <w:szCs w:val="33"/>
          <w:lang w:val="en-US" w:eastAsia="zh-CN"/>
        </w:rPr>
        <w:t>协助省图书馆开展四川省公共图书馆大数据服务平台建设。</w:t>
      </w:r>
      <w:r>
        <w:rPr>
          <w:rFonts w:hint="eastAsia" w:ascii="方正仿宋_GBK" w:hAnsi="方正仿宋_GBK" w:eastAsia="方正仿宋_GBK" w:cs="方正仿宋_GBK"/>
          <w:b/>
          <w:bCs/>
          <w:color w:val="auto"/>
          <w:sz w:val="33"/>
          <w:szCs w:val="33"/>
          <w:lang w:val="en-US" w:eastAsia="zh-CN"/>
        </w:rPr>
        <w:t>十二是</w:t>
      </w:r>
      <w:r>
        <w:rPr>
          <w:rFonts w:hint="eastAsia" w:ascii="方正仿宋_GBK" w:hAnsi="方正仿宋_GBK" w:eastAsia="方正仿宋_GBK" w:cs="方正仿宋_GBK"/>
          <w:b w:val="0"/>
          <w:bCs w:val="0"/>
          <w:color w:val="auto"/>
          <w:sz w:val="33"/>
          <w:szCs w:val="33"/>
          <w:lang w:val="en-US" w:eastAsia="zh-CN"/>
        </w:rPr>
        <w:t>全年业务人员到基层站点开展业务指导、检查31次。十三</w:t>
      </w:r>
      <w:r>
        <w:rPr>
          <w:rFonts w:hint="eastAsia" w:ascii="方正仿宋_GBK" w:hAnsi="Times New Roman" w:eastAsia="方正仿宋_GBK"/>
          <w:b/>
          <w:bCs/>
          <w:color w:val="auto"/>
          <w:kern w:val="2"/>
          <w:sz w:val="33"/>
          <w:szCs w:val="33"/>
          <w:lang w:val="en-US" w:eastAsia="zh-CN"/>
        </w:rPr>
        <w:t>是</w:t>
      </w:r>
      <w:r>
        <w:rPr>
          <w:rFonts w:hint="eastAsia" w:ascii="方正仿宋_GBK" w:eastAsia="方正仿宋_GBK"/>
          <w:b/>
          <w:bCs/>
          <w:color w:val="auto"/>
          <w:kern w:val="2"/>
          <w:sz w:val="33"/>
          <w:szCs w:val="33"/>
          <w:lang w:val="en-US" w:eastAsia="zh-CN"/>
        </w:rPr>
        <w:t>开展2025年度</w:t>
      </w:r>
      <w:r>
        <w:rPr>
          <w:rFonts w:hint="eastAsia" w:ascii="方正仿宋_GBK" w:hAnsi="Times New Roman" w:eastAsia="方正仿宋_GBK"/>
          <w:b w:val="0"/>
          <w:bCs w:val="0"/>
          <w:color w:val="auto"/>
          <w:kern w:val="2"/>
          <w:sz w:val="33"/>
          <w:szCs w:val="33"/>
          <w:lang w:eastAsia="zh-CN"/>
        </w:rPr>
        <w:t>图书采购和</w:t>
      </w:r>
      <w:r>
        <w:rPr>
          <w:rFonts w:hint="eastAsia" w:ascii="方正仿宋_GBK" w:hAnsi="Times New Roman" w:eastAsia="方正仿宋_GBK"/>
          <w:b w:val="0"/>
          <w:bCs w:val="0"/>
          <w:color w:val="auto"/>
          <w:kern w:val="2"/>
          <w:sz w:val="33"/>
          <w:szCs w:val="33"/>
          <w:lang w:val="en-US" w:eastAsia="zh-CN"/>
        </w:rPr>
        <w:t>2026年</w:t>
      </w:r>
      <w:r>
        <w:rPr>
          <w:rFonts w:ascii="方正仿宋_GBK" w:hAnsi="Times New Roman" w:eastAsia="方正仿宋_GBK"/>
          <w:b w:val="0"/>
          <w:bCs w:val="0"/>
          <w:color w:val="auto"/>
          <w:kern w:val="2"/>
          <w:sz w:val="33"/>
          <w:szCs w:val="33"/>
        </w:rPr>
        <w:t>报纸、期刊征订工作</w:t>
      </w:r>
      <w:r>
        <w:rPr>
          <w:rFonts w:hint="eastAsia" w:ascii="方正仿宋_GBK" w:hAnsi="方正仿宋_GBK" w:eastAsia="方正仿宋_GBK" w:cs="方正仿宋_GBK"/>
          <w:color w:val="auto"/>
          <w:sz w:val="33"/>
          <w:szCs w:val="33"/>
          <w:lang w:val="en-US" w:eastAsia="zh-CN"/>
        </w:rPr>
        <w:t>。</w:t>
      </w:r>
    </w:p>
    <w:p w14:paraId="1947E608">
      <w:pPr>
        <w:numPr>
          <w:ilvl w:val="0"/>
          <w:numId w:val="0"/>
        </w:numPr>
        <w:spacing w:line="240" w:lineRule="auto"/>
        <w:rPr>
          <w:rFonts w:hint="eastAsia" w:ascii="方正楷体_GBK" w:hAnsi="方正仿宋_GBK" w:eastAsia="方正楷体_GBK" w:cs="方正仿宋_GBK"/>
          <w:b w:val="0"/>
          <w:bCs/>
          <w:color w:val="auto"/>
          <w:sz w:val="33"/>
          <w:szCs w:val="33"/>
          <w:lang w:val="en-US" w:eastAsia="zh-CN"/>
        </w:rPr>
      </w:pPr>
      <w:r>
        <w:rPr>
          <w:rFonts w:hint="eastAsia" w:ascii="方正楷体_GBK" w:hAnsi="方正仿宋_GBK" w:eastAsia="方正楷体_GBK" w:cs="方正仿宋_GBK"/>
          <w:b/>
          <w:color w:val="auto"/>
          <w:sz w:val="33"/>
          <w:szCs w:val="33"/>
          <w:lang w:val="en-US" w:eastAsia="zh-CN"/>
        </w:rPr>
        <w:t xml:space="preserve">  </w:t>
      </w:r>
      <w:r>
        <w:rPr>
          <w:rFonts w:hint="eastAsia" w:ascii="方正楷体_GBK" w:hAnsi="方正仿宋_GBK" w:eastAsia="方正楷体_GBK" w:cs="方正仿宋_GBK"/>
          <w:b w:val="0"/>
          <w:bCs/>
          <w:color w:val="auto"/>
          <w:sz w:val="33"/>
          <w:szCs w:val="33"/>
          <w:lang w:val="en-US" w:eastAsia="zh-CN"/>
        </w:rPr>
        <w:t xml:space="preserve"> （3）培训工作</w:t>
      </w:r>
    </w:p>
    <w:p w14:paraId="50CED5B0">
      <w:pPr>
        <w:pStyle w:val="8"/>
        <w:numPr>
          <w:ilvl w:val="0"/>
          <w:numId w:val="0"/>
        </w:numPr>
        <w:spacing w:line="240" w:lineRule="auto"/>
        <w:ind w:firstLine="600" w:firstLineChars="200"/>
        <w:rPr>
          <w:rFonts w:hint="eastAsia" w:ascii="方正仿宋_GBK" w:hAnsi="Times New Roman" w:eastAsia="方正仿宋_GBK"/>
          <w:b w:val="0"/>
          <w:bCs w:val="0"/>
          <w:color w:val="auto"/>
          <w:kern w:val="2"/>
          <w:sz w:val="33"/>
          <w:szCs w:val="33"/>
          <w:lang w:val="en-US" w:eastAsia="zh-CN"/>
        </w:rPr>
      </w:pPr>
      <w:r>
        <w:rPr>
          <w:rFonts w:hint="eastAsia"/>
          <w:color w:val="auto"/>
          <w:lang w:eastAsia="zh-CN"/>
        </w:rPr>
        <w:t>一是</w:t>
      </w:r>
      <w:r>
        <w:rPr>
          <w:rFonts w:hint="eastAsia" w:ascii="方正仿宋_GBK" w:hAnsi="Times New Roman" w:eastAsia="方正仿宋_GBK"/>
          <w:b w:val="0"/>
          <w:bCs w:val="0"/>
          <w:color w:val="auto"/>
          <w:kern w:val="2"/>
          <w:sz w:val="33"/>
          <w:szCs w:val="33"/>
          <w:lang w:val="en-US" w:eastAsia="zh-CN"/>
        </w:rPr>
        <w:t>开展2025年度公共文化服务专题培训班1期</w:t>
      </w:r>
      <w:r>
        <w:rPr>
          <w:rFonts w:hint="eastAsia" w:ascii="方正仿宋_GBK" w:eastAsia="方正仿宋_GBK"/>
          <w:b w:val="0"/>
          <w:bCs w:val="0"/>
          <w:color w:val="auto"/>
          <w:kern w:val="2"/>
          <w:sz w:val="33"/>
          <w:szCs w:val="33"/>
          <w:lang w:val="en-US" w:eastAsia="zh-CN"/>
        </w:rPr>
        <w:t>；</w:t>
      </w:r>
      <w:r>
        <w:rPr>
          <w:rFonts w:hint="eastAsia" w:ascii="方正仿宋_GBK" w:hAnsi="Times New Roman" w:eastAsia="方正仿宋_GBK"/>
          <w:b w:val="0"/>
          <w:bCs w:val="0"/>
          <w:color w:val="auto"/>
          <w:kern w:val="2"/>
          <w:sz w:val="33"/>
          <w:szCs w:val="33"/>
          <w:lang w:val="en-US" w:eastAsia="zh-CN"/>
        </w:rPr>
        <w:t>二是组织仁和区图书馆分馆、基层农家（社区）书屋管理员开展“2025年线上图书管理系统操作培训”1期。</w:t>
      </w:r>
      <w:bookmarkStart w:id="16" w:name="_Toc15377200"/>
      <w:bookmarkStart w:id="17" w:name="_Toc15396601"/>
    </w:p>
    <w:p w14:paraId="1EABEA4E">
      <w:pPr>
        <w:spacing w:line="240" w:lineRule="auto"/>
        <w:ind w:firstLine="640" w:firstLineChars="200"/>
      </w:pPr>
      <w:r>
        <w:rPr>
          <w:rFonts w:hint="eastAsia" w:ascii="方正黑体_GBK" w:hAnsi="方正黑体_GBK" w:eastAsia="方正黑体_GBK" w:cs="方正黑体_GBK"/>
          <w:color w:val="auto"/>
          <w:sz w:val="32"/>
          <w:szCs w:val="32"/>
          <w:lang w:val="en-US" w:eastAsia="zh-CN"/>
        </w:rPr>
        <w:t>二、</w:t>
      </w:r>
      <w:r>
        <w:rPr>
          <w:rFonts w:hint="eastAsia" w:ascii="方正黑体_GBK" w:hAnsi="方正黑体_GBK" w:eastAsia="方正黑体_GBK" w:cs="方正黑体_GBK"/>
          <w:color w:val="auto"/>
          <w:sz w:val="32"/>
          <w:szCs w:val="32"/>
        </w:rPr>
        <w:t>机构设置</w:t>
      </w:r>
      <w:bookmarkEnd w:id="16"/>
      <w:bookmarkEnd w:id="17"/>
    </w:p>
    <w:p w14:paraId="3BB8BF64">
      <w:pPr>
        <w:keepNext w:val="0"/>
        <w:keepLines w:val="0"/>
        <w:pageBreakBefore w:val="0"/>
        <w:widowControl/>
        <w:kinsoku/>
        <w:wordWrap/>
        <w:overflowPunct/>
        <w:topLinePunct w:val="0"/>
        <w:autoSpaceDE/>
        <w:autoSpaceDN/>
        <w:bidi w:val="0"/>
        <w:spacing w:line="240" w:lineRule="auto"/>
        <w:ind w:firstLine="640" w:firstLineChars="200"/>
        <w:jc w:val="left"/>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仁和区文化馆属于隶属仁和区文化广播电视和旅游局下属独立核算的一类事业单位，由政府全额拨款的事业单位。核定金额拨款事业编制9人（文化馆7人、图书馆2人），在编</w:t>
      </w:r>
      <w:r>
        <w:rPr>
          <w:rFonts w:hint="eastAsia" w:ascii="Times New Roman" w:hAnsi="Times New Roman" w:eastAsia="仿宋_GB2312" w:cs="Times New Roman"/>
          <w:b w:val="0"/>
          <w:bCs w:val="0"/>
          <w:color w:val="000000"/>
          <w:kern w:val="0"/>
          <w:sz w:val="32"/>
          <w:szCs w:val="32"/>
          <w:lang w:val="en-US" w:eastAsia="zh-CN" w:bidi="ar"/>
        </w:rPr>
        <w:t>8</w:t>
      </w:r>
      <w:r>
        <w:rPr>
          <w:rFonts w:hint="default" w:ascii="Times New Roman" w:hAnsi="Times New Roman" w:eastAsia="仿宋_GB2312" w:cs="Times New Roman"/>
          <w:b w:val="0"/>
          <w:bCs w:val="0"/>
          <w:color w:val="000000"/>
          <w:kern w:val="0"/>
          <w:sz w:val="32"/>
          <w:szCs w:val="32"/>
          <w:lang w:val="en-US" w:eastAsia="zh-CN" w:bidi="ar"/>
        </w:rPr>
        <w:t>人（文化馆</w:t>
      </w:r>
      <w:r>
        <w:rPr>
          <w:rFonts w:hint="eastAsia" w:ascii="Times New Roman" w:hAnsi="Times New Roman" w:eastAsia="仿宋_GB2312" w:cs="Times New Roman"/>
          <w:b w:val="0"/>
          <w:bCs w:val="0"/>
          <w:color w:val="000000"/>
          <w:kern w:val="0"/>
          <w:sz w:val="32"/>
          <w:szCs w:val="32"/>
          <w:lang w:val="en-US" w:eastAsia="zh-CN" w:bidi="ar"/>
        </w:rPr>
        <w:t>6</w:t>
      </w:r>
      <w:r>
        <w:rPr>
          <w:rFonts w:hint="default" w:ascii="Times New Roman" w:hAnsi="Times New Roman" w:eastAsia="仿宋_GB2312" w:cs="Times New Roman"/>
          <w:b w:val="0"/>
          <w:bCs w:val="0"/>
          <w:color w:val="000000"/>
          <w:kern w:val="0"/>
          <w:sz w:val="32"/>
          <w:szCs w:val="32"/>
          <w:lang w:val="en-US" w:eastAsia="zh-CN" w:bidi="ar"/>
        </w:rPr>
        <w:t>人、图书馆2人），领导职数1人，202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en-US" w:eastAsia="zh-CN" w:bidi="ar"/>
        </w:rPr>
        <w:t>年退休</w:t>
      </w:r>
      <w:r>
        <w:rPr>
          <w:rFonts w:hint="eastAsia" w:ascii="Times New Roman" w:hAnsi="Times New Roman" w:eastAsia="仿宋_GB2312" w:cs="Times New Roman"/>
          <w:b w:val="0"/>
          <w:bCs w:val="0"/>
          <w:color w:val="000000"/>
          <w:kern w:val="0"/>
          <w:sz w:val="32"/>
          <w:szCs w:val="32"/>
          <w:lang w:val="en-US" w:eastAsia="zh-CN" w:bidi="ar"/>
        </w:rPr>
        <w:t>1</w:t>
      </w:r>
      <w:r>
        <w:rPr>
          <w:rFonts w:hint="default" w:ascii="Times New Roman" w:hAnsi="Times New Roman" w:eastAsia="仿宋_GB2312" w:cs="Times New Roman"/>
          <w:b w:val="0"/>
          <w:bCs w:val="0"/>
          <w:color w:val="000000"/>
          <w:kern w:val="0"/>
          <w:sz w:val="32"/>
          <w:szCs w:val="32"/>
          <w:lang w:val="en-US" w:eastAsia="zh-CN" w:bidi="ar"/>
        </w:rPr>
        <w:t>人，自收自支入编</w:t>
      </w:r>
      <w:r>
        <w:rPr>
          <w:rFonts w:hint="eastAsia" w:ascii="Times New Roman" w:hAnsi="Times New Roman" w:eastAsia="仿宋_GB2312" w:cs="Times New Roman"/>
          <w:b w:val="0"/>
          <w:bCs w:val="0"/>
          <w:color w:val="000000"/>
          <w:kern w:val="0"/>
          <w:sz w:val="32"/>
          <w:szCs w:val="32"/>
          <w:lang w:val="en-US" w:eastAsia="zh-CN" w:bidi="ar"/>
        </w:rPr>
        <w:t>1</w:t>
      </w:r>
      <w:r>
        <w:rPr>
          <w:rFonts w:hint="default" w:ascii="Times New Roman" w:hAnsi="Times New Roman" w:eastAsia="仿宋_GB2312" w:cs="Times New Roman"/>
          <w:b w:val="0"/>
          <w:bCs w:val="0"/>
          <w:color w:val="000000"/>
          <w:kern w:val="0"/>
          <w:sz w:val="32"/>
          <w:szCs w:val="32"/>
          <w:lang w:val="en-US" w:eastAsia="zh-CN" w:bidi="ar"/>
        </w:rPr>
        <w:t>人。</w:t>
      </w:r>
    </w:p>
    <w:p w14:paraId="14AC8C82">
      <w:pPr>
        <w:keepNext w:val="0"/>
        <w:keepLines w:val="0"/>
        <w:pageBreakBefore w:val="0"/>
        <w:widowControl/>
        <w:kinsoku/>
        <w:wordWrap/>
        <w:overflowPunct/>
        <w:topLinePunct w:val="0"/>
        <w:autoSpaceDE/>
        <w:autoSpaceDN/>
        <w:bidi w:val="0"/>
        <w:spacing w:line="240" w:lineRule="auto"/>
        <w:ind w:firstLine="640" w:firstLineChars="200"/>
        <w:jc w:val="left"/>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仁和区文化馆属一级预算单位，下设独立编制机构0个，其中行政机构0个，参照公务员法管理的事业机构0个，其他事业机构0个。</w:t>
      </w:r>
    </w:p>
    <w:p w14:paraId="0A29F23D">
      <w:pPr>
        <w:keepNext w:val="0"/>
        <w:keepLines w:val="0"/>
        <w:pageBreakBefore w:val="0"/>
        <w:widowControl/>
        <w:kinsoku/>
        <w:wordWrap/>
        <w:overflowPunct/>
        <w:topLinePunct w:val="0"/>
        <w:autoSpaceDE/>
        <w:autoSpaceDN/>
        <w:bidi w:val="0"/>
        <w:spacing w:line="240" w:lineRule="auto"/>
        <w:ind w:firstLine="640" w:firstLineChars="200"/>
        <w:jc w:val="left"/>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纳入202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en-US" w:eastAsia="zh-CN" w:bidi="ar"/>
        </w:rPr>
        <w:t>年度部门决算编制范围的预算单位包括：</w:t>
      </w:r>
    </w:p>
    <w:p w14:paraId="1F43E7CB">
      <w:pPr>
        <w:keepNext w:val="0"/>
        <w:keepLines w:val="0"/>
        <w:pageBreakBefore w:val="0"/>
        <w:widowControl/>
        <w:kinsoku/>
        <w:wordWrap/>
        <w:overflowPunct/>
        <w:topLinePunct w:val="0"/>
        <w:autoSpaceDE/>
        <w:autoSpaceDN/>
        <w:bidi w:val="0"/>
        <w:spacing w:line="240" w:lineRule="auto"/>
        <w:ind w:firstLine="640" w:firstLineChars="200"/>
        <w:jc w:val="left"/>
        <w:textAlignment w:val="auto"/>
        <w:rPr>
          <w:rFonts w:hint="default"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1.</w:t>
      </w:r>
      <w:r>
        <w:rPr>
          <w:rFonts w:hint="default" w:ascii="仿宋_GB2312" w:hAnsi="仿宋_GB2312" w:eastAsia="仿宋_GB2312" w:cs="仿宋_GB2312"/>
          <w:b w:val="0"/>
          <w:bCs w:val="0"/>
          <w:color w:val="000000"/>
          <w:kern w:val="0"/>
          <w:sz w:val="32"/>
          <w:szCs w:val="32"/>
          <w:lang w:val="en-US" w:eastAsia="zh-CN" w:bidi="ar"/>
        </w:rPr>
        <w:t>攀枝花市仁和区文化馆</w:t>
      </w:r>
    </w:p>
    <w:p w14:paraId="6A211FB4">
      <w:pPr>
        <w:widowControl/>
        <w:spacing w:line="240" w:lineRule="auto"/>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07BB03F4">
      <w:pPr>
        <w:pStyle w:val="4"/>
        <w:spacing w:line="240" w:lineRule="auto"/>
        <w:jc w:val="center"/>
        <w:rPr>
          <w:rFonts w:hint="eastAsia" w:ascii="Times New Roman" w:hAnsi="Times New Roman" w:eastAsia="方正小标宋简体" w:cs="方正小标宋简体"/>
          <w:b w:val="0"/>
          <w:color w:val="auto"/>
          <w:highlight w:val="none"/>
        </w:rPr>
      </w:pPr>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14:paraId="7FA2B21E">
      <w:pPr>
        <w:spacing w:line="240" w:lineRule="auto"/>
        <w:rPr>
          <w:rFonts w:ascii="Times New Roman" w:hAnsi="Times New Roman"/>
          <w:color w:val="auto"/>
          <w:highlight w:val="none"/>
        </w:rPr>
      </w:pPr>
    </w:p>
    <w:p w14:paraId="2BD11EAF">
      <w:pPr>
        <w:spacing w:line="240" w:lineRule="auto"/>
        <w:ind w:firstLine="640" w:firstLineChars="200"/>
        <w:rPr>
          <w:rFonts w:hint="eastAsia" w:ascii="方正黑体_GBK" w:hAnsi="方正黑体_GBK" w:eastAsia="方正黑体_GBK" w:cs="方正黑体_GBK"/>
          <w:color w:val="auto"/>
          <w:sz w:val="32"/>
          <w:szCs w:val="32"/>
          <w:lang w:val="en-US" w:eastAsia="zh-CN"/>
        </w:rPr>
      </w:pPr>
      <w:bookmarkStart w:id="20" w:name="_Toc15377205"/>
      <w:bookmarkStart w:id="21" w:name="_Toc15396603"/>
      <w:r>
        <w:rPr>
          <w:rFonts w:hint="eastAsia" w:ascii="方正黑体_GBK" w:hAnsi="方正黑体_GBK" w:eastAsia="方正黑体_GBK" w:cs="方正黑体_GBK"/>
          <w:color w:val="auto"/>
          <w:sz w:val="32"/>
          <w:szCs w:val="32"/>
          <w:lang w:val="en-US" w:eastAsia="zh-CN"/>
        </w:rPr>
        <w:t>一、收入支出决算总体情况说明</w:t>
      </w:r>
      <w:bookmarkEnd w:id="20"/>
      <w:bookmarkEnd w:id="21"/>
    </w:p>
    <w:p w14:paraId="4BA61EA2">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color w:val="auto"/>
          <w:sz w:val="32"/>
          <w:szCs w:val="32"/>
          <w:highlight w:val="none"/>
        </w:rPr>
        <w:t>382.73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87.03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29.4</w:t>
      </w:r>
      <w:r>
        <w:rPr>
          <w:rFonts w:hint="eastAsia" w:ascii="Times New Roman" w:hAnsi="Times New Roman" w:eastAsia="仿宋_GB2312" w:cs="仿宋_GB2312"/>
          <w:color w:val="auto"/>
          <w:sz w:val="32"/>
          <w:szCs w:val="32"/>
          <w:highlight w:val="none"/>
        </w:rPr>
        <w:t>%。主要变动原因是本年度的项目费用支出增加</w:t>
      </w:r>
      <w:r>
        <w:rPr>
          <w:rFonts w:hint="eastAsia" w:eastAsia="仿宋_GB2312" w:cs="仿宋_GB2312"/>
          <w:color w:val="auto"/>
          <w:sz w:val="32"/>
          <w:szCs w:val="32"/>
          <w:highlight w:val="none"/>
          <w:lang w:eastAsia="zh-CN"/>
        </w:rPr>
        <w:t>。</w:t>
      </w:r>
    </w:p>
    <w:p w14:paraId="6D4055CD">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4A3F4F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仿宋_GB2312" w:cs="仿宋_GB2312"/>
          <w:color w:val="auto"/>
          <w:sz w:val="32"/>
          <w:szCs w:val="32"/>
          <w:highlight w:val="yellow"/>
        </w:rPr>
      </w:pPr>
      <w:r>
        <w:drawing>
          <wp:anchor distT="0" distB="0" distL="114300" distR="114300" simplePos="0" relativeHeight="251660288" behindDoc="0" locked="0" layoutInCell="1" allowOverlap="1">
            <wp:simplePos x="0" y="0"/>
            <wp:positionH relativeFrom="column">
              <wp:posOffset>112395</wp:posOffset>
            </wp:positionH>
            <wp:positionV relativeFrom="paragraph">
              <wp:posOffset>95885</wp:posOffset>
            </wp:positionV>
            <wp:extent cx="5550535" cy="2577465"/>
            <wp:effectExtent l="4445" t="4445" r="7620" b="8890"/>
            <wp:wrapSquare wrapText="bothSides"/>
            <wp:docPr id="198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2A1864F8">
      <w:pPr>
        <w:spacing w:line="240" w:lineRule="auto"/>
        <w:ind w:firstLine="640" w:firstLineChars="200"/>
        <w:rPr>
          <w:rFonts w:hint="eastAsia" w:ascii="方正黑体_GBK" w:hAnsi="方正黑体_GBK" w:eastAsia="方正黑体_GBK" w:cs="方正黑体_GBK"/>
          <w:color w:val="auto"/>
          <w:sz w:val="32"/>
          <w:szCs w:val="32"/>
          <w:lang w:val="en-US" w:eastAsia="zh-CN"/>
        </w:rPr>
      </w:pPr>
      <w:bookmarkStart w:id="22" w:name="_Toc15396604"/>
      <w:bookmarkStart w:id="23" w:name="_Toc15377206"/>
      <w:r>
        <w:rPr>
          <w:rFonts w:hint="eastAsia" w:ascii="方正黑体_GBK" w:hAnsi="方正黑体_GBK" w:eastAsia="方正黑体_GBK" w:cs="方正黑体_GBK"/>
          <w:color w:val="auto"/>
          <w:sz w:val="32"/>
          <w:szCs w:val="32"/>
          <w:lang w:val="en-US" w:eastAsia="zh-CN"/>
        </w:rPr>
        <w:t>二、收入决算情况说明</w:t>
      </w:r>
      <w:bookmarkEnd w:id="22"/>
      <w:bookmarkEnd w:id="23"/>
    </w:p>
    <w:p w14:paraId="2186FD4B">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highlight w:val="none"/>
        </w:rPr>
        <w:t>382.73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highlight w:val="none"/>
        </w:rPr>
        <w:t>382.73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w:t>
      </w:r>
    </w:p>
    <w:p w14:paraId="28934737">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0E670F47">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ascii="Times New Roman" w:hAnsi="Times New Roman" w:eastAsia="仿宋_GB2312" w:cs="仿宋_GB2312"/>
          <w:color w:val="auto"/>
          <w:sz w:val="32"/>
          <w:szCs w:val="32"/>
          <w:highlight w:val="yellow"/>
          <w:lang w:eastAsia="zh-CN"/>
        </w:rPr>
      </w:pPr>
      <w:r>
        <w:drawing>
          <wp:anchor distT="0" distB="0" distL="114300" distR="114300" simplePos="0" relativeHeight="251659264" behindDoc="0" locked="0" layoutInCell="1" allowOverlap="1">
            <wp:simplePos x="0" y="0"/>
            <wp:positionH relativeFrom="column">
              <wp:posOffset>60325</wp:posOffset>
            </wp:positionH>
            <wp:positionV relativeFrom="paragraph">
              <wp:posOffset>267335</wp:posOffset>
            </wp:positionV>
            <wp:extent cx="5323205" cy="2400935"/>
            <wp:effectExtent l="4445" t="4445" r="6350" b="13970"/>
            <wp:wrapNone/>
            <wp:docPr id="198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3B4612E9">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yellow"/>
          <w:lang w:eastAsia="zh-CN"/>
        </w:rPr>
      </w:pPr>
    </w:p>
    <w:p w14:paraId="34076BA0">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yellow"/>
          <w:lang w:eastAsia="zh-CN"/>
        </w:rPr>
      </w:pPr>
    </w:p>
    <w:p w14:paraId="03BBED83">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yellow"/>
          <w:lang w:eastAsia="zh-CN"/>
        </w:rPr>
      </w:pPr>
    </w:p>
    <w:p w14:paraId="2ACFDA2A">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yellow"/>
          <w:lang w:eastAsia="zh-CN"/>
        </w:rPr>
      </w:pPr>
    </w:p>
    <w:p w14:paraId="2807B84E">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yellow"/>
          <w:lang w:eastAsia="zh-CN"/>
        </w:rPr>
      </w:pPr>
    </w:p>
    <w:p w14:paraId="204350A8">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ascii="Times New Roman" w:hAnsi="Times New Roman" w:eastAsia="宋体" w:cs="仿宋_GB2312"/>
          <w:color w:val="auto"/>
          <w:sz w:val="32"/>
          <w:szCs w:val="32"/>
          <w:highlight w:val="yellow"/>
          <w:lang w:val="en-US" w:eastAsia="zh-CN"/>
        </w:rPr>
      </w:pPr>
      <w:r>
        <w:rPr>
          <w:rFonts w:hint="eastAsia"/>
          <w:lang w:val="en-US" w:eastAsia="zh-CN"/>
        </w:rPr>
        <w:t xml:space="preserve"> </w:t>
      </w:r>
    </w:p>
    <w:p w14:paraId="571E5BE5">
      <w:pPr>
        <w:spacing w:line="240" w:lineRule="auto"/>
        <w:ind w:firstLine="640" w:firstLineChars="200"/>
        <w:rPr>
          <w:rFonts w:hint="eastAsia" w:ascii="方正黑体_GBK" w:hAnsi="方正黑体_GBK" w:eastAsia="方正黑体_GBK" w:cs="方正黑体_GBK"/>
          <w:color w:val="auto"/>
          <w:sz w:val="32"/>
          <w:szCs w:val="32"/>
          <w:lang w:val="en-US" w:eastAsia="zh-CN"/>
        </w:rPr>
      </w:pPr>
      <w:bookmarkStart w:id="24" w:name="_Toc15396605"/>
      <w:bookmarkStart w:id="25" w:name="_Toc15377207"/>
      <w:r>
        <w:rPr>
          <w:rFonts w:hint="eastAsia" w:ascii="方正黑体_GBK" w:hAnsi="方正黑体_GBK" w:eastAsia="方正黑体_GBK" w:cs="方正黑体_GBK"/>
          <w:color w:val="auto"/>
          <w:sz w:val="32"/>
          <w:szCs w:val="32"/>
          <w:lang w:val="en-US" w:eastAsia="zh-CN"/>
        </w:rPr>
        <w:t>三、支出决算情况说明</w:t>
      </w:r>
      <w:bookmarkEnd w:id="24"/>
      <w:bookmarkEnd w:id="25"/>
    </w:p>
    <w:p w14:paraId="45C3C83E">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highlight w:val="none"/>
        </w:rPr>
        <w:t>382.73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rPr>
        <w:t>199.56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52.1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rPr>
        <w:t>183.17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47.</w:t>
      </w:r>
      <w:r>
        <w:rPr>
          <w:rFonts w:hint="eastAsia" w:ascii="仿宋_GB2312" w:hAnsi="仿宋_GB2312" w:eastAsia="仿宋_GB2312" w:cs="仿宋_GB2312"/>
          <w:sz w:val="32"/>
          <w:szCs w:val="32"/>
          <w:highlight w:val="none"/>
          <w:lang w:val="en-US" w:eastAsia="zh-CN"/>
        </w:rPr>
        <w:t>9</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w:t>
      </w:r>
    </w:p>
    <w:p w14:paraId="240E7720">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40F2688C">
      <w:pPr>
        <w:spacing w:line="240" w:lineRule="auto"/>
        <w:rPr>
          <w:rFonts w:hint="eastAsia"/>
          <w:lang w:eastAsia="zh-CN"/>
        </w:rPr>
      </w:pPr>
      <w:r>
        <w:drawing>
          <wp:inline distT="0" distB="0" distL="114300" distR="114300">
            <wp:extent cx="5581650" cy="1893570"/>
            <wp:effectExtent l="4445" t="4445" r="14605" b="6985"/>
            <wp:docPr id="198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2CBD7D7">
      <w:pPr>
        <w:spacing w:line="240" w:lineRule="auto"/>
        <w:ind w:firstLine="640" w:firstLineChars="200"/>
        <w:rPr>
          <w:rFonts w:hint="eastAsia" w:ascii="方正黑体_GBK" w:hAnsi="方正黑体_GBK" w:eastAsia="方正黑体_GBK" w:cs="方正黑体_GBK"/>
          <w:color w:val="auto"/>
          <w:sz w:val="32"/>
          <w:szCs w:val="32"/>
          <w:lang w:val="en-US" w:eastAsia="zh-CN"/>
        </w:rPr>
      </w:pPr>
      <w:bookmarkStart w:id="26" w:name="_Toc15377208"/>
      <w:bookmarkStart w:id="27" w:name="_Toc15396606"/>
    </w:p>
    <w:p w14:paraId="00F7D2A2">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四、财政拨款收入支出决算总体情况说明</w:t>
      </w:r>
      <w:bookmarkEnd w:id="26"/>
      <w:bookmarkEnd w:id="27"/>
    </w:p>
    <w:p w14:paraId="52CAF091">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highlight w:val="none"/>
        </w:rPr>
        <w:t>382.73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87.03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29.4</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rPr>
        <w:t>本年度的项目费用支出增加</w:t>
      </w:r>
      <w:r>
        <w:rPr>
          <w:rFonts w:hint="eastAsia" w:eastAsia="仿宋_GB2312" w:cs="仿宋_GB2312"/>
          <w:color w:val="auto"/>
          <w:sz w:val="32"/>
          <w:szCs w:val="32"/>
          <w:highlight w:val="none"/>
          <w:lang w:eastAsia="zh-CN"/>
        </w:rPr>
        <w:t>。</w:t>
      </w:r>
    </w:p>
    <w:p w14:paraId="38FEB74B">
      <w:pPr>
        <w:spacing w:line="240" w:lineRule="auto"/>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B9F4FE8">
      <w:pPr>
        <w:spacing w:line="240" w:lineRule="auto"/>
        <w:rPr>
          <w:rFonts w:hint="eastAsia"/>
          <w:lang w:val="en-US" w:eastAsia="zh-CN"/>
        </w:rPr>
      </w:pPr>
      <w:r>
        <w:drawing>
          <wp:inline distT="0" distB="0" distL="114300" distR="114300">
            <wp:extent cx="5509895" cy="2809240"/>
            <wp:effectExtent l="4445" t="4445" r="10160" b="5715"/>
            <wp:docPr id="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E3B1504">
      <w:pPr>
        <w:spacing w:line="240" w:lineRule="auto"/>
        <w:ind w:firstLine="640" w:firstLineChars="200"/>
        <w:rPr>
          <w:rFonts w:hint="eastAsia" w:ascii="方正黑体_GBK" w:hAnsi="方正黑体_GBK" w:eastAsia="方正黑体_GBK" w:cs="方正黑体_GBK"/>
          <w:color w:val="auto"/>
          <w:sz w:val="32"/>
          <w:szCs w:val="32"/>
          <w:lang w:val="en-US" w:eastAsia="zh-CN"/>
        </w:rPr>
      </w:pPr>
      <w:bookmarkStart w:id="28" w:name="_Toc15396607"/>
      <w:bookmarkStart w:id="29" w:name="_Toc15377209"/>
      <w:r>
        <w:rPr>
          <w:rFonts w:hint="eastAsia" w:ascii="方正黑体_GBK" w:hAnsi="方正黑体_GBK" w:eastAsia="方正黑体_GBK" w:cs="方正黑体_GBK"/>
          <w:color w:val="auto"/>
          <w:sz w:val="32"/>
          <w:szCs w:val="32"/>
          <w:lang w:val="en-US" w:eastAsia="zh-CN"/>
        </w:rPr>
        <w:t>五、一般公共预算财政拨款支出决算情况说明</w:t>
      </w:r>
      <w:bookmarkEnd w:id="28"/>
      <w:bookmarkEnd w:id="29"/>
    </w:p>
    <w:p w14:paraId="6B6885A1">
      <w:pPr>
        <w:adjustRightInd w:val="0"/>
        <w:snapToGrid w:val="0"/>
        <w:spacing w:line="240" w:lineRule="auto"/>
        <w:ind w:firstLine="643" w:firstLineChars="200"/>
        <w:jc w:val="left"/>
        <w:rPr>
          <w:rFonts w:hint="eastAsia" w:ascii="方正楷体_GBK" w:hAnsi="方正楷体_GBK" w:eastAsia="方正楷体_GBK" w:cs="方正楷体_GBK"/>
          <w:b/>
          <w:bCs w:val="0"/>
          <w:sz w:val="32"/>
          <w:szCs w:val="32"/>
          <w:lang w:val="zh-CN"/>
        </w:rPr>
      </w:pPr>
      <w:bookmarkStart w:id="30" w:name="_Toc15377210"/>
      <w:r>
        <w:rPr>
          <w:rFonts w:hint="eastAsia" w:ascii="方正楷体_GBK" w:hAnsi="方正楷体_GBK" w:eastAsia="方正楷体_GBK" w:cs="方正楷体_GBK"/>
          <w:b/>
          <w:bCs w:val="0"/>
          <w:sz w:val="32"/>
          <w:szCs w:val="32"/>
          <w:lang w:val="zh-CN"/>
        </w:rPr>
        <w:t>（一）一般公共预算财政拨款支出决算总体情况</w:t>
      </w:r>
      <w:bookmarkEnd w:id="30"/>
    </w:p>
    <w:p w14:paraId="3C873E93">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highlight w:val="none"/>
        </w:rPr>
        <w:t>382.73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87.03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29.4</w:t>
      </w:r>
      <w:r>
        <w:rPr>
          <w:rFonts w:hint="eastAsia" w:ascii="Times New Roman" w:hAnsi="Times New Roman" w:eastAsia="仿宋_GB2312" w:cs="仿宋_GB2312"/>
          <w:color w:val="auto"/>
          <w:kern w:val="2"/>
          <w:sz w:val="32"/>
          <w:szCs w:val="32"/>
          <w:highlight w:val="none"/>
          <w:lang w:val="en-US" w:eastAsia="zh-CN" w:bidi="ar-SA"/>
        </w:rPr>
        <w:t>%。主要变动原因是本年度的项目费用支出增加。</w:t>
      </w:r>
    </w:p>
    <w:p w14:paraId="0C443B18">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p>
    <w:p w14:paraId="7F887360">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p>
    <w:p w14:paraId="15D27C4F">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p>
    <w:p w14:paraId="0C28CDD9">
      <w:pPr>
        <w:spacing w:line="240" w:lineRule="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DE6BA8F">
      <w:pPr>
        <w:spacing w:line="240" w:lineRule="auto"/>
        <w:rPr>
          <w:rFonts w:hint="eastAsia" w:ascii="Times New Roman" w:hAnsi="Times New Roman" w:eastAsia="仿宋_GB2312" w:cs="仿宋_GB2312"/>
          <w:color w:val="auto"/>
          <w:kern w:val="2"/>
          <w:sz w:val="32"/>
          <w:szCs w:val="32"/>
          <w:highlight w:val="yellow"/>
          <w:lang w:val="en-US" w:eastAsia="zh-CN" w:bidi="ar-SA"/>
        </w:rPr>
      </w:pPr>
    </w:p>
    <w:p w14:paraId="753961B3">
      <w:pPr>
        <w:spacing w:line="240" w:lineRule="auto"/>
        <w:jc w:val="center"/>
        <w:rPr>
          <w:rFonts w:hint="eastAsia"/>
          <w:lang w:val="en-US" w:eastAsia="zh-CN"/>
        </w:rPr>
      </w:pPr>
      <w:r>
        <w:drawing>
          <wp:inline distT="0" distB="0" distL="114300" distR="114300">
            <wp:extent cx="5502275" cy="2362200"/>
            <wp:effectExtent l="4445" t="4445" r="17780" b="14605"/>
            <wp:docPr id="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0B04B4">
      <w:pPr>
        <w:adjustRightInd w:val="0"/>
        <w:snapToGrid w:val="0"/>
        <w:spacing w:line="240" w:lineRule="auto"/>
        <w:ind w:firstLine="643" w:firstLineChars="200"/>
        <w:jc w:val="left"/>
        <w:rPr>
          <w:rFonts w:hint="eastAsia" w:ascii="方正楷体_GBK" w:hAnsi="方正楷体_GBK" w:eastAsia="方正楷体_GBK" w:cs="方正楷体_GBK"/>
          <w:b/>
          <w:bCs w:val="0"/>
          <w:sz w:val="32"/>
          <w:szCs w:val="32"/>
          <w:lang w:val="zh-CN"/>
        </w:rPr>
      </w:pPr>
      <w:bookmarkStart w:id="31" w:name="_Toc15377211"/>
      <w:r>
        <w:rPr>
          <w:rFonts w:hint="eastAsia" w:ascii="方正楷体_GBK" w:hAnsi="方正楷体_GBK" w:eastAsia="方正楷体_GBK" w:cs="方正楷体_GBK"/>
          <w:b/>
          <w:bCs w:val="0"/>
          <w:sz w:val="32"/>
          <w:szCs w:val="32"/>
          <w:lang w:val="zh-CN"/>
        </w:rPr>
        <w:t>（二）一般公共预算财政拨款支出决算结构情况</w:t>
      </w:r>
      <w:bookmarkEnd w:id="31"/>
    </w:p>
    <w:p w14:paraId="37AC935D">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highlight w:val="none"/>
        </w:rPr>
        <w:t>382.73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%；文化旅游体育与传媒支出332.93万元，占</w:t>
      </w:r>
      <w:r>
        <w:rPr>
          <w:rFonts w:hint="eastAsia" w:eastAsia="仿宋_GB2312" w:cs="仿宋_GB2312"/>
          <w:color w:val="auto"/>
          <w:kern w:val="2"/>
          <w:sz w:val="32"/>
          <w:szCs w:val="32"/>
          <w:highlight w:val="none"/>
          <w:lang w:val="en-US" w:eastAsia="zh-CN" w:bidi="ar-SA"/>
        </w:rPr>
        <w:t>87</w:t>
      </w:r>
      <w:r>
        <w:rPr>
          <w:rFonts w:hint="eastAsia" w:ascii="Times New Roman" w:hAnsi="Times New Roman" w:eastAsia="仿宋_GB2312" w:cs="仿宋_GB2312"/>
          <w:color w:val="auto"/>
          <w:kern w:val="2"/>
          <w:sz w:val="32"/>
          <w:szCs w:val="32"/>
          <w:highlight w:val="none"/>
          <w:lang w:val="en-US" w:eastAsia="zh-CN" w:bidi="ar-SA"/>
        </w:rPr>
        <w:t>%；社会保障和就业支出31.02万元，占</w:t>
      </w:r>
      <w:r>
        <w:rPr>
          <w:rFonts w:hint="eastAsia" w:eastAsia="仿宋_GB2312" w:cs="仿宋_GB2312"/>
          <w:color w:val="auto"/>
          <w:kern w:val="2"/>
          <w:sz w:val="32"/>
          <w:szCs w:val="32"/>
          <w:highlight w:val="none"/>
          <w:lang w:val="en-US" w:eastAsia="zh-CN" w:bidi="ar-SA"/>
        </w:rPr>
        <w:t>8.1</w:t>
      </w:r>
      <w:r>
        <w:rPr>
          <w:rFonts w:hint="eastAsia" w:ascii="Times New Roman" w:hAnsi="Times New Roman" w:eastAsia="仿宋_GB2312" w:cs="仿宋_GB2312"/>
          <w:color w:val="auto"/>
          <w:kern w:val="2"/>
          <w:sz w:val="32"/>
          <w:szCs w:val="32"/>
          <w:highlight w:val="none"/>
          <w:lang w:val="en-US" w:eastAsia="zh-CN" w:bidi="ar-SA"/>
        </w:rPr>
        <w:t>%；卫生健康支出8.33万元，占</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%；住房保障支出10.45万元，占</w:t>
      </w:r>
      <w:r>
        <w:rPr>
          <w:rFonts w:hint="eastAsia"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19EA3D6">
      <w:pPr>
        <w:spacing w:line="240" w:lineRule="auto"/>
        <w:ind w:firstLine="640"/>
        <w:rPr>
          <w:rFonts w:hint="eastAsia"/>
          <w:lang w:val="en-US" w:eastAsia="zh-CN"/>
        </w:rPr>
      </w:pPr>
      <w:r>
        <w:drawing>
          <wp:anchor distT="0" distB="0" distL="114300" distR="114300" simplePos="0" relativeHeight="251661312" behindDoc="0" locked="0" layoutInCell="1" allowOverlap="1">
            <wp:simplePos x="0" y="0"/>
            <wp:positionH relativeFrom="column">
              <wp:posOffset>-59055</wp:posOffset>
            </wp:positionH>
            <wp:positionV relativeFrom="paragraph">
              <wp:posOffset>480060</wp:posOffset>
            </wp:positionV>
            <wp:extent cx="5607050" cy="1978660"/>
            <wp:effectExtent l="5080" t="4445" r="7620" b="17145"/>
            <wp:wrapSquare wrapText="bothSides"/>
            <wp:docPr id="198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F2788DD">
      <w:pPr>
        <w:spacing w:line="240" w:lineRule="auto"/>
        <w:rPr>
          <w:rFonts w:hint="eastAsia"/>
          <w:lang w:val="en-US" w:eastAsia="zh-CN"/>
        </w:rPr>
      </w:pPr>
    </w:p>
    <w:p w14:paraId="2A30EAD6">
      <w:pPr>
        <w:adjustRightInd w:val="0"/>
        <w:snapToGrid w:val="0"/>
        <w:spacing w:line="240" w:lineRule="auto"/>
        <w:ind w:firstLine="643" w:firstLineChars="200"/>
        <w:jc w:val="left"/>
        <w:rPr>
          <w:rFonts w:hint="eastAsia" w:ascii="方正楷体_GBK" w:hAnsi="方正楷体_GBK" w:eastAsia="方正楷体_GBK" w:cs="方正楷体_GBK"/>
          <w:b/>
          <w:bCs w:val="0"/>
          <w:sz w:val="32"/>
          <w:szCs w:val="32"/>
          <w:lang w:val="zh-CN"/>
        </w:rPr>
      </w:pPr>
      <w:bookmarkStart w:id="32" w:name="_Toc15377212"/>
      <w:r>
        <w:rPr>
          <w:rFonts w:hint="eastAsia" w:ascii="方正楷体_GBK" w:hAnsi="方正楷体_GBK" w:eastAsia="方正楷体_GBK" w:cs="方正楷体_GBK"/>
          <w:b/>
          <w:bCs w:val="0"/>
          <w:sz w:val="32"/>
          <w:szCs w:val="32"/>
          <w:lang w:val="zh-CN"/>
        </w:rPr>
        <w:t>（三）一般公共预算财政拨款支出决算具体情况</w:t>
      </w:r>
      <w:bookmarkEnd w:id="32"/>
    </w:p>
    <w:p w14:paraId="6AD1B9FE">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444"/>
      <w:bookmarkStart w:id="34" w:name="_Toc15377213"/>
      <w:bookmarkStart w:id="3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highlight w:val="none"/>
        </w:rPr>
        <w:t>382.73</w:t>
      </w:r>
      <w:r>
        <w:rPr>
          <w:rFonts w:hint="eastAsia" w:ascii="仿宋_GB2312" w:hAnsi="仿宋_GB2312" w:eastAsia="仿宋_GB2312" w:cs="仿宋_GB2312"/>
          <w:sz w:val="32"/>
          <w:szCs w:val="32"/>
          <w:highlight w:val="none"/>
          <w:lang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43B76B8D">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文化旅游体育与传媒（类）文化和旅游（款）行政运行（项）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支出决算为7.32万元，完成预算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796C678">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2.文化旅游体育与传媒（类）文化和旅游（款）一般行政管理事务（项）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支出决算为0.55万元，完成预算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E660FED">
      <w:pPr>
        <w:spacing w:line="240" w:lineRule="auto"/>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3.文化旅游体育与传媒（类）文化和旅游（款）群众文化（项）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支出决算为229.59万元，完成预算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A5D1ACA">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.文化旅游体育与传媒（类）文化和旅游（款）其他文化和旅游支出（项）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支出决算为50万元，完成预算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5D54B3F">
      <w:pPr>
        <w:spacing w:line="240" w:lineRule="auto"/>
        <w:rPr>
          <w:rFonts w:hint="eastAsia"/>
          <w:highlight w:val="none"/>
          <w:lang w:val="en-US" w:eastAsia="zh-CN"/>
        </w:rPr>
      </w:pPr>
    </w:p>
    <w:p w14:paraId="36AE8D3B">
      <w:pPr>
        <w:spacing w:line="240" w:lineRule="auto"/>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.文化旅游体育与传媒（类）文物（款）文物保护（项）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支出决算为24.44万元，完成预算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C0BE50C">
      <w:pPr>
        <w:spacing w:line="240" w:lineRule="auto"/>
        <w:rPr>
          <w:rFonts w:hint="eastAsia"/>
          <w:highlight w:val="none"/>
          <w:lang w:val="en-US" w:eastAsia="zh-CN"/>
        </w:rPr>
      </w:pPr>
    </w:p>
    <w:p w14:paraId="216F9812">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.文化旅游体育与传媒（类）其他文化旅游体育与传媒支出（款）其他文化旅游体育与传媒支出（项）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支出决算为21.03万元，完成预算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D360F1A">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.社会保障和就业（类）行政事业单位养老支出（款）事业单位离退休（项）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支出决算为1.85万元，完成预算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p>
    <w:p w14:paraId="6D0DF493">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8.社会保障和就业（类）行政事业单位养老支出（款）机关事业单位基本养老保险缴费支出（项）：支出决算为12.87万元，完成预算100%，决算数等于预算数。</w:t>
      </w:r>
    </w:p>
    <w:p w14:paraId="7B54618A">
      <w:pPr>
        <w:spacing w:line="240" w:lineRule="auto"/>
        <w:ind w:firstLine="640"/>
        <w:rPr>
          <w:rFonts w:hint="eastAsia"/>
          <w:highlight w:val="none"/>
          <w:lang w:val="en-US" w:eastAsia="zh-CN"/>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.社会保障和就业（类）行政事业单位养老支出（款）机关事业单位职业年金缴费支出（项）：支出决算为16.3万元，完成预算100%，决算数等于预算数。</w:t>
      </w:r>
    </w:p>
    <w:p w14:paraId="1A4E635C">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支出决算为6.89万元，完成预算100%，决算数等于预算数。</w:t>
      </w:r>
    </w:p>
    <w:p w14:paraId="22FCD3BC">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支出决算为1.44万元，完成预算100%，决算数等于预算数。</w:t>
      </w:r>
    </w:p>
    <w:p w14:paraId="1A84FAF5">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支出决算为10.45万元，完成预算100%，决算数等于预算数。</w:t>
      </w:r>
    </w:p>
    <w:p w14:paraId="5822074A">
      <w:pPr>
        <w:tabs>
          <w:tab w:val="right" w:pos="8306"/>
        </w:tabs>
        <w:spacing w:line="240" w:lineRule="auto"/>
        <w:ind w:firstLine="640" w:firstLineChars="200"/>
        <w:outlineLvl w:val="1"/>
        <w:rPr>
          <w:rStyle w:val="36"/>
          <w:rFonts w:ascii="Times New Roman" w:hAnsi="Times New Roman"/>
          <w:color w:val="auto"/>
          <w:highlight w:val="none"/>
        </w:rPr>
      </w:pPr>
      <w:bookmarkStart w:id="36" w:name="_Toc15396608"/>
      <w:bookmarkStart w:id="37" w:name="_Toc15377214"/>
      <w:r>
        <w:rPr>
          <w:rFonts w:hint="eastAsia" w:ascii="方正黑体_GBK" w:hAnsi="方正黑体_GBK" w:eastAsia="方正黑体_GBK" w:cs="方正黑体_GBK"/>
          <w:color w:val="auto"/>
          <w:sz w:val="32"/>
          <w:szCs w:val="32"/>
          <w:lang w:val="en-US" w:eastAsia="zh-CN"/>
        </w:rPr>
        <w:t>六、一般公共预算财政拨款基本支出决算情况说明</w:t>
      </w:r>
      <w:bookmarkEnd w:id="36"/>
      <w:bookmarkEnd w:id="37"/>
      <w:r>
        <w:rPr>
          <w:rStyle w:val="36"/>
          <w:rFonts w:ascii="Times New Roman" w:hAnsi="Times New Roman" w:eastAsia="黑体"/>
          <w:b w:val="0"/>
          <w:color w:val="auto"/>
          <w:highlight w:val="none"/>
        </w:rPr>
        <w:tab/>
      </w:r>
    </w:p>
    <w:p w14:paraId="1A36E122">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highlight w:val="none"/>
        </w:rPr>
        <w:t>199.56</w:t>
      </w:r>
      <w:r>
        <w:rPr>
          <w:rFonts w:hint="eastAsia" w:ascii="Times New Roman" w:hAnsi="Times New Roman" w:eastAsia="仿宋_GB2312" w:cs="仿宋_GB2312"/>
          <w:color w:val="auto"/>
          <w:kern w:val="2"/>
          <w:sz w:val="32"/>
          <w:szCs w:val="32"/>
          <w:highlight w:val="none"/>
          <w:lang w:val="en-US" w:eastAsia="zh-CN" w:bidi="ar-SA"/>
        </w:rPr>
        <w:t>万元，其中：</w:t>
      </w:r>
    </w:p>
    <w:p w14:paraId="6E48A7AC">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rPr>
        <w:t>194.36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万元，主要包括：基本工资、津贴补贴、绩效工资、机关事业单位基本养老保险缴费、职业年金缴费、职工基本医疗保险缴费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其他社会保障缴费、住房公积金、医疗费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其他工资福利支出、生活补助、医疗费补助。</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rPr>
        <w:t>5.2</w:t>
      </w:r>
      <w:r>
        <w:rPr>
          <w:rFonts w:hint="eastAsia" w:ascii="Times New Roman" w:hAnsi="Times New Roman" w:eastAsia="仿宋_GB2312" w:cs="仿宋_GB2312"/>
          <w:color w:val="auto"/>
          <w:kern w:val="2"/>
          <w:sz w:val="32"/>
          <w:szCs w:val="32"/>
          <w:highlight w:val="none"/>
          <w:lang w:val="en-US" w:eastAsia="zh-CN" w:bidi="ar-SA"/>
        </w:rPr>
        <w:t>万元，主要包括：办公费、邮电费、差旅费、工会经费、其他商品和服务支出。</w:t>
      </w:r>
    </w:p>
    <w:p w14:paraId="04D977A6">
      <w:pPr>
        <w:spacing w:line="240" w:lineRule="auto"/>
        <w:ind w:firstLine="640" w:firstLineChars="200"/>
        <w:rPr>
          <w:rFonts w:hint="eastAsia" w:ascii="方正黑体_GBK" w:hAnsi="方正黑体_GBK" w:eastAsia="方正黑体_GBK" w:cs="方正黑体_GBK"/>
          <w:color w:val="auto"/>
          <w:sz w:val="32"/>
          <w:szCs w:val="32"/>
          <w:lang w:val="en-US" w:eastAsia="zh-CN"/>
        </w:rPr>
      </w:pPr>
      <w:bookmarkStart w:id="38" w:name="_Toc15377215"/>
      <w:bookmarkStart w:id="39" w:name="_Toc15396609"/>
      <w:r>
        <w:rPr>
          <w:rFonts w:hint="eastAsia" w:ascii="方正黑体_GBK" w:hAnsi="方正黑体_GBK" w:eastAsia="方正黑体_GBK" w:cs="方正黑体_GBK"/>
          <w:color w:val="auto"/>
          <w:sz w:val="32"/>
          <w:szCs w:val="32"/>
          <w:lang w:val="en-US" w:eastAsia="zh-CN"/>
        </w:rPr>
        <w:t>七、财政拨款“三公”经费支出决算情况说明</w:t>
      </w:r>
      <w:bookmarkEnd w:id="38"/>
      <w:bookmarkEnd w:id="39"/>
    </w:p>
    <w:p w14:paraId="60FA5601">
      <w:pPr>
        <w:adjustRightInd w:val="0"/>
        <w:snapToGrid w:val="0"/>
        <w:spacing w:line="240" w:lineRule="auto"/>
        <w:ind w:firstLine="643" w:firstLineChars="200"/>
        <w:jc w:val="left"/>
        <w:rPr>
          <w:rFonts w:hint="eastAsia" w:ascii="方正楷体_GBK" w:hAnsi="方正楷体_GBK" w:eastAsia="方正楷体_GBK" w:cs="方正楷体_GBK"/>
          <w:b/>
          <w:bCs w:val="0"/>
          <w:sz w:val="32"/>
          <w:szCs w:val="32"/>
          <w:lang w:val="zh-CN"/>
        </w:rPr>
      </w:pPr>
      <w:bookmarkStart w:id="40" w:name="_Toc15377216"/>
      <w:r>
        <w:rPr>
          <w:rFonts w:hint="eastAsia" w:ascii="方正楷体_GBK" w:hAnsi="方正楷体_GBK" w:eastAsia="方正楷体_GBK" w:cs="方正楷体_GBK"/>
          <w:b/>
          <w:bCs w:val="0"/>
          <w:sz w:val="32"/>
          <w:szCs w:val="32"/>
          <w:lang w:val="zh-CN"/>
        </w:rPr>
        <w:t>（一）财政拨款“三公”经费支出决算总体情况说明</w:t>
      </w:r>
      <w:bookmarkEnd w:id="40"/>
    </w:p>
    <w:p w14:paraId="3598EFE2">
      <w:pPr>
        <w:spacing w:line="240" w:lineRule="auto"/>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159226AA">
      <w:pPr>
        <w:adjustRightInd w:val="0"/>
        <w:snapToGrid w:val="0"/>
        <w:spacing w:line="240" w:lineRule="auto"/>
        <w:ind w:firstLine="643" w:firstLineChars="200"/>
        <w:jc w:val="left"/>
        <w:rPr>
          <w:rFonts w:hint="eastAsia" w:ascii="方正楷体_GBK" w:hAnsi="方正楷体_GBK" w:eastAsia="方正楷体_GBK" w:cs="方正楷体_GBK"/>
          <w:b/>
          <w:bCs w:val="0"/>
          <w:sz w:val="32"/>
          <w:szCs w:val="32"/>
          <w:lang w:val="zh-CN"/>
        </w:rPr>
      </w:pPr>
      <w:bookmarkStart w:id="41" w:name="_Toc15377217"/>
      <w:r>
        <w:rPr>
          <w:rFonts w:hint="eastAsia" w:ascii="方正楷体_GBK" w:hAnsi="方正楷体_GBK" w:eastAsia="方正楷体_GBK" w:cs="方正楷体_GBK"/>
          <w:b/>
          <w:bCs w:val="0"/>
          <w:sz w:val="32"/>
          <w:szCs w:val="32"/>
          <w:lang w:val="zh-CN"/>
        </w:rPr>
        <w:t>（二）财政拨款“三公”经费支出决算具体情况说明</w:t>
      </w:r>
      <w:bookmarkEnd w:id="41"/>
    </w:p>
    <w:p w14:paraId="26AEADE2">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AE5AD05">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C70C83E">
      <w:pPr>
        <w:spacing w:line="240" w:lineRule="auto"/>
        <w:jc w:val="center"/>
        <w:rPr>
          <w:rFonts w:hint="eastAsia"/>
          <w:highlight w:val="none"/>
          <w:lang w:val="en-US" w:eastAsia="zh-CN"/>
        </w:rPr>
      </w:pPr>
      <w:r>
        <w:rPr>
          <w:highlight w:val="none"/>
        </w:rPr>
        <w:drawing>
          <wp:inline distT="0" distB="0" distL="114300" distR="114300">
            <wp:extent cx="4805045" cy="1908175"/>
            <wp:effectExtent l="4445" t="5080" r="10160" b="10795"/>
            <wp:docPr id="1985"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BEBCEFD">
      <w:pPr>
        <w:spacing w:line="240" w:lineRule="auto"/>
        <w:ind w:firstLine="640"/>
        <w:rPr>
          <w:rFonts w:hint="eastAsia" w:ascii="Times New Roman" w:hAnsi="Times New Roman" w:eastAsia="仿宋_GB2312" w:cs="仿宋_GB2312"/>
          <w:b/>
          <w:bCs/>
          <w:color w:val="auto"/>
          <w:kern w:val="2"/>
          <w:sz w:val="32"/>
          <w:szCs w:val="32"/>
          <w:highlight w:val="none"/>
          <w:lang w:val="en-US" w:eastAsia="zh-CN" w:bidi="ar-SA"/>
        </w:rPr>
      </w:pPr>
    </w:p>
    <w:p w14:paraId="70B1745B">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940F26D">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6B39FA2">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DBBA379">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p>
    <w:p w14:paraId="7023B84A">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04CC0C5A">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86041B2">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2" w:name="_Toc15396610"/>
      <w:bookmarkStart w:id="43" w:name="_Toc15377218"/>
    </w:p>
    <w:p w14:paraId="217812FA">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八、政府性基金预算支出决算情况说明</w:t>
      </w:r>
      <w:bookmarkEnd w:id="42"/>
      <w:bookmarkEnd w:id="43"/>
    </w:p>
    <w:p w14:paraId="25F6B359">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0C2D3F0">
      <w:pPr>
        <w:spacing w:line="240" w:lineRule="auto"/>
        <w:ind w:firstLine="640" w:firstLineChars="200"/>
        <w:rPr>
          <w:rFonts w:hint="eastAsia" w:ascii="方正黑体_GBK" w:hAnsi="方正黑体_GBK" w:eastAsia="方正黑体_GBK" w:cs="方正黑体_GBK"/>
          <w:color w:val="auto"/>
          <w:sz w:val="32"/>
          <w:szCs w:val="32"/>
          <w:lang w:val="en-US" w:eastAsia="zh-CN"/>
        </w:rPr>
      </w:pPr>
      <w:bookmarkStart w:id="44" w:name="_Toc15377219"/>
      <w:bookmarkStart w:id="45" w:name="_Toc15396611"/>
    </w:p>
    <w:p w14:paraId="3ED2CCBA">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九、国有资本经营预算支出决算情况说明</w:t>
      </w:r>
      <w:bookmarkEnd w:id="44"/>
      <w:bookmarkEnd w:id="45"/>
    </w:p>
    <w:p w14:paraId="7A2F75AE">
      <w:pPr>
        <w:spacing w:line="240" w:lineRule="auto"/>
        <w:ind w:firstLine="640"/>
        <w:rPr>
          <w:rFonts w:hint="eastAsia"/>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1B994B3">
      <w:pPr>
        <w:spacing w:line="240" w:lineRule="auto"/>
        <w:ind w:firstLine="640" w:firstLineChars="200"/>
        <w:rPr>
          <w:rFonts w:hint="eastAsia" w:ascii="方正黑体_GBK" w:hAnsi="方正黑体_GBK" w:eastAsia="方正黑体_GBK" w:cs="方正黑体_GBK"/>
          <w:color w:val="auto"/>
          <w:sz w:val="32"/>
          <w:szCs w:val="32"/>
          <w:lang w:val="en-US" w:eastAsia="zh-CN"/>
        </w:rPr>
      </w:pPr>
      <w:bookmarkStart w:id="46" w:name="_Toc15377221"/>
      <w:bookmarkStart w:id="47" w:name="_Toc15396612"/>
      <w:r>
        <w:rPr>
          <w:rFonts w:hint="eastAsia" w:ascii="方正黑体_GBK" w:hAnsi="方正黑体_GBK" w:eastAsia="方正黑体_GBK" w:cs="方正黑体_GBK"/>
          <w:color w:val="auto"/>
          <w:sz w:val="32"/>
          <w:szCs w:val="32"/>
          <w:lang w:val="en-US" w:eastAsia="zh-CN"/>
        </w:rPr>
        <w:t>十、其他重要事项的情况说明</w:t>
      </w:r>
      <w:bookmarkEnd w:id="46"/>
      <w:bookmarkEnd w:id="47"/>
    </w:p>
    <w:p w14:paraId="1A1C0AB4">
      <w:pPr>
        <w:adjustRightInd w:val="0"/>
        <w:snapToGrid w:val="0"/>
        <w:spacing w:line="240" w:lineRule="auto"/>
        <w:ind w:firstLine="643" w:firstLineChars="200"/>
        <w:jc w:val="left"/>
        <w:rPr>
          <w:rFonts w:hint="eastAsia" w:ascii="方正楷体_GBK" w:hAnsi="方正楷体_GBK" w:eastAsia="方正楷体_GBK" w:cs="方正楷体_GBK"/>
          <w:b/>
          <w:bCs w:val="0"/>
          <w:sz w:val="32"/>
          <w:szCs w:val="32"/>
          <w:lang w:val="zh-CN"/>
        </w:rPr>
      </w:pPr>
      <w:bookmarkStart w:id="48" w:name="_Toc15377222"/>
      <w:r>
        <w:rPr>
          <w:rFonts w:hint="eastAsia" w:ascii="方正楷体_GBK" w:hAnsi="方正楷体_GBK" w:eastAsia="方正楷体_GBK" w:cs="方正楷体_GBK"/>
          <w:b/>
          <w:bCs w:val="0"/>
          <w:sz w:val="32"/>
          <w:szCs w:val="32"/>
          <w:lang w:val="zh-CN"/>
        </w:rPr>
        <w:t>（一）机关运行经费支出情况</w:t>
      </w:r>
      <w:bookmarkEnd w:id="48"/>
    </w:p>
    <w:p w14:paraId="6E5C251D">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rPr>
        <w:t>攀枝花市仁和区文化馆</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1B211C5">
      <w:pPr>
        <w:adjustRightInd w:val="0"/>
        <w:snapToGrid w:val="0"/>
        <w:spacing w:line="240" w:lineRule="auto"/>
        <w:ind w:firstLine="643" w:firstLineChars="200"/>
        <w:jc w:val="left"/>
        <w:rPr>
          <w:rFonts w:hint="eastAsia" w:ascii="方正楷体_GBK" w:hAnsi="方正楷体_GBK" w:eastAsia="方正楷体_GBK" w:cs="方正楷体_GBK"/>
          <w:b/>
          <w:bCs w:val="0"/>
          <w:sz w:val="32"/>
          <w:szCs w:val="32"/>
          <w:lang w:val="zh-CN"/>
        </w:rPr>
      </w:pPr>
      <w:bookmarkStart w:id="49" w:name="_Toc15377223"/>
      <w:r>
        <w:rPr>
          <w:rFonts w:hint="eastAsia" w:ascii="方正楷体_GBK" w:hAnsi="方正楷体_GBK" w:eastAsia="方正楷体_GBK" w:cs="方正楷体_GBK"/>
          <w:b/>
          <w:bCs w:val="0"/>
          <w:sz w:val="32"/>
          <w:szCs w:val="32"/>
          <w:lang w:val="zh-CN"/>
        </w:rPr>
        <w:t>（二）政府采购支出情况</w:t>
      </w:r>
      <w:bookmarkEnd w:id="49"/>
    </w:p>
    <w:p w14:paraId="24F39FD6">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rPr>
        <w:t>攀枝花市仁和区文化馆</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w:t>
      </w:r>
    </w:p>
    <w:p w14:paraId="1140C59A">
      <w:pPr>
        <w:adjustRightInd w:val="0"/>
        <w:snapToGrid w:val="0"/>
        <w:spacing w:line="240" w:lineRule="auto"/>
        <w:ind w:firstLine="643" w:firstLineChars="200"/>
        <w:jc w:val="left"/>
        <w:rPr>
          <w:rFonts w:hint="eastAsia" w:ascii="方正楷体_GBK" w:hAnsi="方正楷体_GBK" w:eastAsia="方正楷体_GBK" w:cs="方正楷体_GBK"/>
          <w:b/>
          <w:bCs w:val="0"/>
          <w:sz w:val="32"/>
          <w:szCs w:val="32"/>
          <w:lang w:val="zh-CN"/>
        </w:rPr>
      </w:pPr>
      <w:bookmarkStart w:id="50" w:name="_Toc15377224"/>
      <w:r>
        <w:rPr>
          <w:rFonts w:hint="eastAsia" w:ascii="方正楷体_GBK" w:hAnsi="方正楷体_GBK" w:eastAsia="方正楷体_GBK" w:cs="方正楷体_GBK"/>
          <w:b/>
          <w:bCs w:val="0"/>
          <w:sz w:val="32"/>
          <w:szCs w:val="32"/>
          <w:lang w:val="zh-CN"/>
        </w:rPr>
        <w:t>（三）国有资产占有使用情况</w:t>
      </w:r>
      <w:bookmarkEnd w:id="50"/>
    </w:p>
    <w:p w14:paraId="5B321096">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highlight w:val="none"/>
        </w:rPr>
        <w:t>攀枝花市仁和区文化馆</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台（套）。</w:t>
      </w:r>
    </w:p>
    <w:p w14:paraId="5CB3E59D">
      <w:pPr>
        <w:adjustRightInd w:val="0"/>
        <w:snapToGrid w:val="0"/>
        <w:spacing w:line="240" w:lineRule="auto"/>
        <w:ind w:firstLine="643" w:firstLineChars="200"/>
        <w:jc w:val="left"/>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（四）预算绩效管理情况</w:t>
      </w:r>
    </w:p>
    <w:p w14:paraId="360AC8AD">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仁和区文化馆</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ascii="Times New Roman" w:hAnsi="Times New Roman" w:eastAsia="方正仿宋_GBK" w:cs="Times New Roman"/>
          <w:color w:val="auto"/>
          <w:kern w:val="0"/>
          <w:sz w:val="33"/>
          <w:szCs w:val="33"/>
          <w:lang w:val="en-US" w:eastAsia="zh-CN"/>
        </w:rPr>
        <w:t>191.58</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D2F488B">
      <w:pPr>
        <w:pStyle w:val="41"/>
        <w:keepNext w:val="0"/>
        <w:keepLines w:val="0"/>
        <w:pageBreakBefore w:val="0"/>
        <w:widowControl w:val="0"/>
        <w:kinsoku/>
        <w:wordWrap/>
        <w:overflowPunct/>
        <w:topLinePunct w:val="0"/>
        <w:autoSpaceDE/>
        <w:autoSpaceDN/>
        <w:bidi w:val="0"/>
        <w:spacing w:line="240" w:lineRule="auto"/>
        <w:ind w:left="0" w:leftChars="0" w:firstLine="640" w:firstLineChars="200"/>
        <w:jc w:val="left"/>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组织对2024</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en-US" w:eastAsia="zh-CN" w:bidi="ar"/>
        </w:rPr>
        <w:t>年度一般公共预算支出全面开展绩效自评，形成区文化馆部门整体（含部门预算项目）绩效自评报告；项目绩效自评报告。其中，区文化馆部门整体（含部门预算项目）绩效自评得分为9</w:t>
      </w:r>
      <w:r>
        <w:rPr>
          <w:rFonts w:hint="eastAsia" w:ascii="Times New Roman" w:hAnsi="Times New Roman" w:eastAsia="仿宋_GB2312" w:cs="Times New Roman"/>
          <w:b w:val="0"/>
          <w:bCs w:val="0"/>
          <w:color w:val="000000"/>
          <w:kern w:val="0"/>
          <w:sz w:val="32"/>
          <w:szCs w:val="32"/>
          <w:lang w:val="en-US" w:eastAsia="zh-CN" w:bidi="ar"/>
        </w:rPr>
        <w:t>1</w:t>
      </w:r>
      <w:r>
        <w:rPr>
          <w:rFonts w:hint="default" w:ascii="Times New Roman" w:hAnsi="Times New Roman" w:eastAsia="仿宋_GB2312" w:cs="Times New Roman"/>
          <w:b w:val="0"/>
          <w:bCs w:val="0"/>
          <w:color w:val="000000"/>
          <w:kern w:val="0"/>
          <w:sz w:val="32"/>
          <w:szCs w:val="32"/>
          <w:lang w:val="en-US" w:eastAsia="zh-CN" w:bidi="ar"/>
        </w:rPr>
        <w:t>分，绩效自评综述：区文化馆严格按照年初预算进行单位预算支出，202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en-US" w:eastAsia="zh-CN" w:bidi="ar"/>
        </w:rPr>
        <w:t>年度支出符合国家财经法规和财务管理制度规定以及有关专项资金管理办法的规定；2023年省级文物保护资金</w:t>
      </w:r>
      <w:r>
        <w:rPr>
          <w:rFonts w:hint="eastAsia" w:ascii="Times New Roman" w:hAnsi="Times New Roman" w:eastAsia="仿宋_GB2312" w:cs="Times New Roman"/>
          <w:b w:val="0"/>
          <w:bCs w:val="0"/>
          <w:color w:val="000000"/>
          <w:kern w:val="0"/>
          <w:sz w:val="32"/>
          <w:szCs w:val="32"/>
          <w:lang w:val="en-US" w:eastAsia="zh-CN" w:bidi="ar"/>
        </w:rPr>
        <w:t>项目</w:t>
      </w:r>
      <w:r>
        <w:rPr>
          <w:rFonts w:hint="default" w:ascii="Times New Roman" w:hAnsi="Times New Roman" w:eastAsia="仿宋_GB2312" w:cs="Times New Roman"/>
          <w:b w:val="0"/>
          <w:bCs w:val="0"/>
          <w:color w:val="000000"/>
          <w:kern w:val="0"/>
          <w:sz w:val="32"/>
          <w:szCs w:val="32"/>
          <w:lang w:val="en-US" w:eastAsia="zh-CN" w:bidi="ar"/>
        </w:rPr>
        <w:t>绩效自评得分</w:t>
      </w:r>
      <w:r>
        <w:rPr>
          <w:rFonts w:hint="eastAsia" w:ascii="Times New Roman" w:hAnsi="Times New Roman" w:eastAsia="仿宋_GB2312" w:cs="Times New Roman"/>
          <w:b w:val="0"/>
          <w:bCs w:val="0"/>
          <w:color w:val="000000"/>
          <w:kern w:val="0"/>
          <w:sz w:val="32"/>
          <w:szCs w:val="32"/>
          <w:lang w:val="en-US" w:eastAsia="zh-CN" w:bidi="ar"/>
        </w:rPr>
        <w:t>90分，图书馆免费开放区级配套经费项目绩效自评得分96分，文化馆免费开放区级配套经费项目绩效自评得分96分，公共图书馆、美术馆、文化馆免费开放中央和省级补助资金项目绩效自评分94分，文化馆办公房租赁及物业管理费项目绩效得分92分，2024年省级文化和旅游发展专项资金（第一批）项目绩效得分96分，市级非物质文化遗产代表性传承人传承经费项目绩效得分93分，美术馆、公共图书馆、文化馆（站）免费开放补助资金项目绩效得分95分，攀财资教〔2025〕8号美术馆、公共图书馆、文化馆（站）免费开放补助中央资金项目绩效得分95分，攀财资教〔2025〕8号美术馆、公共图书馆、文化馆（站）免费开放补助省级资金项目绩效得分95分，攀财资教〔2025〕30号市级非物质文化遗产代表性传承人传承经费项目绩效得分93分，清偿拖欠企业货物及服务类账款资金（攀财资教〔2023〕72号2023年省级文化旅游发展专项资金）项目绩效得分95分，攀财资教〔2025〕67号省级财政文化和旅游发展专项资金（省级非遗传承人）项目绩效得分95分，攀财资教〔2025〕71号美术馆、公共图书馆、文化馆（站）免费开放补助资金项目绩效得分95分。</w:t>
      </w:r>
      <w:r>
        <w:rPr>
          <w:rFonts w:hint="default" w:ascii="Times New Roman" w:hAnsi="Times New Roman" w:eastAsia="仿宋_GB2312" w:cs="Times New Roman"/>
          <w:b w:val="0"/>
          <w:bCs w:val="0"/>
          <w:color w:val="000000"/>
          <w:kern w:val="0"/>
          <w:sz w:val="32"/>
          <w:szCs w:val="32"/>
          <w:lang w:val="en-US" w:eastAsia="zh-CN" w:bidi="ar"/>
        </w:rPr>
        <w:t>绩效自评综述：202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en-US" w:eastAsia="zh-CN" w:bidi="ar"/>
        </w:rPr>
        <w:t>年免费开放公共图书馆，改善服务，建立新型图书馆信息服务网络，提高公共图书馆服务职能，向广大人民群众免费提供图书阅览服务，取得广泛的社会效益。202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en-US" w:eastAsia="zh-CN" w:bidi="ar"/>
        </w:rPr>
        <w:t>年开展文化馆免费开放场所，积极开展大家唱、大家跳等公益性群众文化活动，提高文化馆服务职能，向广大人民群众提供免费培训及训练场地，非遗及文物保护工作有条不紊</w:t>
      </w:r>
      <w:r>
        <w:rPr>
          <w:rFonts w:hint="eastAsia" w:ascii="Times New Roman" w:hAnsi="Times New Roman" w:eastAsia="仿宋_GB2312" w:cs="Times New Roman"/>
          <w:b w:val="0"/>
          <w:bCs w:val="0"/>
          <w:color w:val="000000"/>
          <w:kern w:val="0"/>
          <w:sz w:val="32"/>
          <w:szCs w:val="32"/>
          <w:lang w:val="en-US" w:eastAsia="zh-CN" w:bidi="ar"/>
        </w:rPr>
        <w:t>地</w:t>
      </w:r>
      <w:r>
        <w:rPr>
          <w:rFonts w:hint="default" w:ascii="Times New Roman" w:hAnsi="Times New Roman" w:eastAsia="仿宋_GB2312" w:cs="Times New Roman"/>
          <w:b w:val="0"/>
          <w:bCs w:val="0"/>
          <w:color w:val="000000"/>
          <w:kern w:val="0"/>
          <w:sz w:val="32"/>
          <w:szCs w:val="32"/>
          <w:lang w:val="en-US" w:eastAsia="zh-CN" w:bidi="ar"/>
        </w:rPr>
        <w:t>进行，取得广泛的社会效益。绩效自评报告详见附件。</w:t>
      </w:r>
    </w:p>
    <w:p w14:paraId="4E0C9FC8">
      <w:pPr>
        <w:spacing w:line="240" w:lineRule="auto"/>
        <w:ind w:firstLine="640"/>
        <w:rPr>
          <w:rFonts w:hint="default" w:ascii="Times New Roman" w:hAnsi="Times New Roman" w:eastAsia="仿宋_GB2312" w:cs="仿宋_GB2312"/>
          <w:color w:val="auto"/>
          <w:kern w:val="2"/>
          <w:sz w:val="32"/>
          <w:szCs w:val="32"/>
          <w:highlight w:val="none"/>
          <w:lang w:val="en-US" w:eastAsia="zh-CN" w:bidi="ar-SA"/>
        </w:rPr>
      </w:pPr>
    </w:p>
    <w:p w14:paraId="3201D401">
      <w:pPr>
        <w:numPr>
          <w:ilvl w:val="0"/>
          <w:numId w:val="0"/>
        </w:numPr>
        <w:spacing w:line="240" w:lineRule="auto"/>
        <w:jc w:val="center"/>
        <w:outlineLvl w:val="0"/>
        <w:rPr>
          <w:rFonts w:hint="eastAsia" w:ascii="Times New Roman" w:hAnsi="Times New Roman" w:eastAsia="黑体"/>
          <w:color w:val="auto"/>
          <w:sz w:val="44"/>
          <w:szCs w:val="44"/>
          <w:highlight w:val="none"/>
        </w:rPr>
      </w:pPr>
      <w:bookmarkStart w:id="51" w:name="_Toc15396613"/>
      <w:bookmarkStart w:id="52" w:name="_Toc15377225"/>
    </w:p>
    <w:p w14:paraId="6B8EC51B">
      <w:pPr>
        <w:numPr>
          <w:ilvl w:val="0"/>
          <w:numId w:val="0"/>
        </w:numPr>
        <w:spacing w:line="240" w:lineRule="auto"/>
        <w:jc w:val="center"/>
        <w:outlineLvl w:val="0"/>
        <w:rPr>
          <w:rFonts w:hint="eastAsia" w:ascii="Times New Roman" w:hAnsi="Times New Roman" w:eastAsia="黑体"/>
          <w:color w:val="auto"/>
          <w:sz w:val="44"/>
          <w:szCs w:val="44"/>
          <w:highlight w:val="none"/>
        </w:rPr>
      </w:pPr>
    </w:p>
    <w:p w14:paraId="0C905C39">
      <w:pPr>
        <w:numPr>
          <w:ilvl w:val="0"/>
          <w:numId w:val="0"/>
        </w:numPr>
        <w:spacing w:line="240" w:lineRule="auto"/>
        <w:jc w:val="center"/>
        <w:outlineLvl w:val="0"/>
        <w:rPr>
          <w:rFonts w:hint="eastAsia" w:ascii="Times New Roman" w:hAnsi="Times New Roman" w:eastAsia="黑体"/>
          <w:color w:val="auto"/>
          <w:sz w:val="44"/>
          <w:szCs w:val="44"/>
          <w:highlight w:val="none"/>
        </w:rPr>
      </w:pPr>
    </w:p>
    <w:p w14:paraId="2B6F3378">
      <w:pPr>
        <w:pStyle w:val="2"/>
        <w:rPr>
          <w:rFonts w:hint="eastAsia" w:ascii="Times New Roman" w:hAnsi="Times New Roman" w:eastAsia="黑体"/>
          <w:color w:val="auto"/>
          <w:sz w:val="44"/>
          <w:szCs w:val="44"/>
          <w:highlight w:val="none"/>
        </w:rPr>
      </w:pPr>
    </w:p>
    <w:p w14:paraId="63A2979E">
      <w:pPr>
        <w:pStyle w:val="2"/>
        <w:rPr>
          <w:rFonts w:hint="eastAsia" w:ascii="Times New Roman" w:hAnsi="Times New Roman" w:eastAsia="黑体"/>
          <w:color w:val="auto"/>
          <w:sz w:val="44"/>
          <w:szCs w:val="44"/>
          <w:highlight w:val="none"/>
        </w:rPr>
      </w:pPr>
    </w:p>
    <w:p w14:paraId="3BC60FA2">
      <w:pPr>
        <w:pStyle w:val="2"/>
        <w:rPr>
          <w:rFonts w:hint="eastAsia" w:ascii="Times New Roman" w:hAnsi="Times New Roman" w:eastAsia="黑体"/>
          <w:color w:val="auto"/>
          <w:sz w:val="44"/>
          <w:szCs w:val="44"/>
          <w:highlight w:val="none"/>
        </w:rPr>
      </w:pPr>
    </w:p>
    <w:p w14:paraId="03F762F8">
      <w:pPr>
        <w:numPr>
          <w:ilvl w:val="0"/>
          <w:numId w:val="0"/>
        </w:numPr>
        <w:spacing w:line="240" w:lineRule="auto"/>
        <w:jc w:val="both"/>
        <w:outlineLvl w:val="0"/>
        <w:rPr>
          <w:rFonts w:hint="eastAsia" w:ascii="Times New Roman" w:hAnsi="Times New Roman" w:eastAsia="黑体"/>
          <w:color w:val="auto"/>
          <w:sz w:val="44"/>
          <w:szCs w:val="44"/>
          <w:highlight w:val="none"/>
        </w:rPr>
      </w:pPr>
    </w:p>
    <w:p w14:paraId="7829FB88">
      <w:pPr>
        <w:numPr>
          <w:ilvl w:val="0"/>
          <w:numId w:val="0"/>
        </w:numPr>
        <w:spacing w:line="240" w:lineRule="auto"/>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1A36CB14">
      <w:pPr>
        <w:spacing w:line="240" w:lineRule="auto"/>
        <w:jc w:val="left"/>
        <w:rPr>
          <w:rFonts w:ascii="Times New Roman" w:hAnsi="Times New Roman"/>
          <w:b/>
          <w:color w:val="auto"/>
          <w:sz w:val="44"/>
          <w:szCs w:val="44"/>
          <w:highlight w:val="none"/>
        </w:rPr>
      </w:pPr>
    </w:p>
    <w:p w14:paraId="27CFC8ED">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1.财政拨款收入：指单位从同级财政部门取得的财政预算资金。</w:t>
      </w:r>
    </w:p>
    <w:p w14:paraId="78F29082">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2.事业收入：指事业单位开展专业业务活动及辅助活动取得的收入。</w:t>
      </w:r>
    </w:p>
    <w:p w14:paraId="38DA8148">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3.经营收入：指事业单位在专业业务活动及其辅助活动之外开展非独立核算经营活动取得的收入。</w:t>
      </w:r>
    </w:p>
    <w:p w14:paraId="0E3DB554">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 xml:space="preserve">4.其他收入：指单位取得的除上述收入以外的各项收入。 </w:t>
      </w:r>
    </w:p>
    <w:p w14:paraId="3C3FDF9C">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 xml:space="preserve">5.使用非财政拨款结余（含专用结余）：指事业单位使用以前年度积累的非财政拨款结余弥补当年收支差额的金额。 </w:t>
      </w:r>
    </w:p>
    <w:p w14:paraId="584C0462">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 xml:space="preserve">6.年初结转和结余：指以前年度尚未完成、结转到本年按有关规定继续使用的资金。 </w:t>
      </w:r>
    </w:p>
    <w:p w14:paraId="73CC839B">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7.结余分配：指事业单位按照会计制度规定缴纳的所得税、提取的专用结余以及转入非财政拨款结余的金额等。</w:t>
      </w:r>
    </w:p>
    <w:p w14:paraId="608A029D">
      <w:pPr>
        <w:pStyle w:val="16"/>
        <w:shd w:val="clear" w:color="auto" w:fill="FFFFFF"/>
        <w:spacing w:before="150" w:beforeAutospacing="0" w:after="150" w:afterAutospacing="0" w:line="240" w:lineRule="auto"/>
        <w:ind w:firstLine="63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8.年末结转和结余：指单位按有关规定结转到下年或以后年度继续使用的资金。</w:t>
      </w:r>
    </w:p>
    <w:p w14:paraId="6C62353D">
      <w:pPr>
        <w:pStyle w:val="16"/>
        <w:shd w:val="clear" w:color="auto" w:fill="FFFFFF"/>
        <w:spacing w:before="150" w:beforeAutospacing="0" w:after="150" w:afterAutospacing="0" w:line="240" w:lineRule="auto"/>
        <w:ind w:firstLine="63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9. 文化旅游体育与传媒支出（类）文化和旅游（款）群众文化（项）</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 xml:space="preserve"> 主要保障两馆运行用于购买货物和服务的各项资金，办公及印刷费、邮电费、差旅费、会议费、福利费、日常维修费、专用材料及一般设备购置费、公务用车运行维护费以及其他费用。</w:t>
      </w:r>
    </w:p>
    <w:p w14:paraId="1BA01E80">
      <w:pPr>
        <w:pStyle w:val="16"/>
        <w:shd w:val="clear" w:color="auto" w:fill="FFFFFF"/>
        <w:spacing w:before="150" w:beforeAutospacing="0" w:after="150" w:afterAutospacing="0" w:line="240" w:lineRule="auto"/>
        <w:ind w:firstLine="63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10. 文化旅游体育与传媒支出（类）文化和旅游（款）其他文化和旅游支出（项）</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 xml:space="preserve"> 指用于两馆免费开放购买服务及文化馆场馆租赁费用。</w:t>
      </w:r>
    </w:p>
    <w:p w14:paraId="0F76F949">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11. 文化旅游体育与传媒支出（类）文物（款）文物保护（项）</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 xml:space="preserve"> 指主要用于全区省、市及区级文物保护单位保护、维护等费用。</w:t>
      </w:r>
    </w:p>
    <w:p w14:paraId="0189F661">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12. 文化旅游体育与传媒支出（类）其他文化旅游体育与传媒支出（款）其他文化旅游体育与传媒支出（项）</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 xml:space="preserve"> 指反映除上述项目以外其他用于文化旅游体育与传媒方面的支出。</w:t>
      </w:r>
    </w:p>
    <w:p w14:paraId="1AD13FE3">
      <w:pPr>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13. 社会保障和就业支出（类）行政事业单位养老支出（款）事业单位离退休（项）</w:t>
      </w:r>
      <w:r>
        <w:rPr>
          <w:rFonts w:hint="eastAsia"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指事业单位开支的离退休支出。</w:t>
      </w:r>
    </w:p>
    <w:p w14:paraId="44037335">
      <w:pPr>
        <w:spacing w:line="240" w:lineRule="auto"/>
        <w:ind w:firstLine="640" w:firstLineChars="200"/>
        <w:outlineLvl w:val="2"/>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14.社会保障和就业支出（类）行政事业单位养老支出（款）机关事业单位基本养老保险缴费支出（项）</w:t>
      </w:r>
      <w:r>
        <w:rPr>
          <w:rFonts w:hint="eastAsia"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指机关事业单位实施养老保险制度由单位缴纳的基本养老保险费支出。</w:t>
      </w:r>
    </w:p>
    <w:p w14:paraId="0C4F126C">
      <w:pPr>
        <w:spacing w:line="240" w:lineRule="auto"/>
        <w:ind w:firstLine="640" w:firstLineChars="200"/>
        <w:outlineLvl w:val="2"/>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15.卫生健康支出（类）行政事业单位医疗（款）事业单位医疗（项）</w:t>
      </w:r>
      <w:r>
        <w:rPr>
          <w:rFonts w:hint="eastAsia"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指财政部门安排的事业单位用于缴纳单位基本医疗保险支出。</w:t>
      </w:r>
    </w:p>
    <w:p w14:paraId="21760600">
      <w:pPr>
        <w:spacing w:line="240" w:lineRule="auto"/>
        <w:ind w:firstLine="640" w:firstLineChars="200"/>
        <w:outlineLvl w:val="2"/>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16.卫生健康支出（类）行政事业单位医疗（款）公务员医疗补助（项）</w:t>
      </w:r>
      <w:r>
        <w:rPr>
          <w:rFonts w:hint="eastAsia"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指财政部门安排的用于集中缴纳公务员医疗补助支出。</w:t>
      </w:r>
    </w:p>
    <w:p w14:paraId="22047732">
      <w:pPr>
        <w:spacing w:line="240" w:lineRule="auto"/>
        <w:ind w:firstLine="64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17.住房保障支出（类）住房改革支出（款）住房公积金（项）</w:t>
      </w:r>
      <w:r>
        <w:rPr>
          <w:rFonts w:hint="eastAsia"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指按人力资源和社会保障部、财政部规定的基本工资和津贴补贴以及规定比例为职工缴纳的住房公积金。</w:t>
      </w:r>
    </w:p>
    <w:p w14:paraId="793CB107">
      <w:pPr>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18.基本支出：指为保障机构正常运转、完成日常工作任务而发生的人员支出和公用支出。</w:t>
      </w:r>
    </w:p>
    <w:p w14:paraId="5D4B979A">
      <w:pPr>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 xml:space="preserve">19.项目支出：指在基本支出之外为完成特定行政任务和事业发展目标所发生的支出。 </w:t>
      </w:r>
    </w:p>
    <w:p w14:paraId="3F8A9E6D">
      <w:pPr>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20.经营支出：指事业单位在专业业务活动及其辅助活动之外开展非独立核算经营活动发生的支出。</w:t>
      </w:r>
    </w:p>
    <w:p w14:paraId="1112C876">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DF27230">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22.机关运行经费：为保障单位运行用于购买货物和服务的各项资金，包括办公及印刷费、邮电费、差旅费、会议费、福利费、日常维修费、专用材料及一般设备购置费、办公用房水电费、办公用房物业管理费</w:t>
      </w:r>
      <w:r>
        <w:rPr>
          <w:rFonts w:hint="eastAsia" w:ascii="Times New Roman" w:hAnsi="Times New Roman" w:eastAsia="仿宋_GB2312" w:cs="Times New Roman"/>
          <w:b w:val="0"/>
          <w:bCs w:val="0"/>
          <w:color w:val="000000"/>
          <w:kern w:val="0"/>
          <w:sz w:val="32"/>
          <w:szCs w:val="32"/>
          <w:lang w:val="en-US" w:eastAsia="zh-CN" w:bidi="ar"/>
        </w:rPr>
        <w:t>，以及</w:t>
      </w:r>
      <w:r>
        <w:rPr>
          <w:rFonts w:hint="default" w:ascii="Times New Roman" w:hAnsi="Times New Roman" w:eastAsia="仿宋_GB2312" w:cs="Times New Roman"/>
          <w:b w:val="0"/>
          <w:bCs w:val="0"/>
          <w:color w:val="000000"/>
          <w:kern w:val="0"/>
          <w:sz w:val="32"/>
          <w:szCs w:val="32"/>
          <w:lang w:val="en-US" w:eastAsia="zh-CN" w:bidi="ar"/>
        </w:rPr>
        <w:t>其他费用。</w:t>
      </w:r>
    </w:p>
    <w:p w14:paraId="4A34B31D">
      <w:pPr>
        <w:spacing w:line="240" w:lineRule="auto"/>
        <w:jc w:val="center"/>
        <w:rPr>
          <w:rFonts w:hint="eastAsia" w:eastAsia="黑体"/>
          <w:sz w:val="44"/>
          <w:szCs w:val="44"/>
        </w:rPr>
      </w:pPr>
      <w:r>
        <w:rPr>
          <w:rFonts w:hint="default" w:ascii="Times New Roman" w:hAnsi="Times New Roman" w:eastAsia="仿宋_GB2312" w:cs="Times New Roman"/>
          <w:b w:val="0"/>
          <w:bCs w:val="0"/>
          <w:color w:val="000000"/>
          <w:kern w:val="0"/>
          <w:sz w:val="32"/>
          <w:szCs w:val="32"/>
          <w:lang w:val="en-US" w:eastAsia="zh-CN" w:bidi="ar"/>
        </w:rPr>
        <w:br w:type="page"/>
      </w:r>
      <w:bookmarkStart w:id="53" w:name="_Toc15396614"/>
      <w:bookmarkStart w:id="54" w:name="_Toc15377226"/>
    </w:p>
    <w:p w14:paraId="13B5C994">
      <w:pPr>
        <w:spacing w:line="240" w:lineRule="auto"/>
        <w:jc w:val="center"/>
        <w:rPr>
          <w:rFonts w:eastAsia="黑体"/>
          <w:color w:val="000000"/>
          <w:kern w:val="0"/>
          <w:sz w:val="24"/>
          <w:szCs w:val="32"/>
          <w:shd w:val="clear" w:color="auto" w:fill="FFFFFF"/>
        </w:rPr>
      </w:pPr>
      <w:r>
        <w:rPr>
          <w:rFonts w:hint="eastAsia" w:eastAsia="黑体"/>
          <w:sz w:val="44"/>
          <w:szCs w:val="44"/>
        </w:rPr>
        <w:t>第四部分  附件</w:t>
      </w:r>
      <w:bookmarkEnd w:id="53"/>
    </w:p>
    <w:p w14:paraId="2FED59BF">
      <w:pPr>
        <w:spacing w:line="240" w:lineRule="auto"/>
        <w:jc w:val="left"/>
        <w:outlineLvl w:val="0"/>
        <w:rPr>
          <w:rFonts w:hint="default" w:ascii="Times New Roman" w:hAnsi="Times New Roman" w:eastAsia="黑体" w:cs="Times New Roman"/>
          <w:sz w:val="44"/>
          <w:szCs w:val="44"/>
        </w:rPr>
      </w:pPr>
      <w:r>
        <w:rPr>
          <w:rFonts w:hint="default" w:ascii="Times New Roman" w:hAnsi="Times New Roman" w:eastAsia="黑体" w:cs="Times New Roman"/>
          <w:sz w:val="32"/>
          <w:szCs w:val="32"/>
        </w:rPr>
        <w:t>附件1</w:t>
      </w:r>
    </w:p>
    <w:p w14:paraId="3AE4E1C7">
      <w:pPr>
        <w:widowControl/>
        <w:spacing w:line="240" w:lineRule="auto"/>
        <w:contextualSpacing/>
        <w:jc w:val="center"/>
        <w:rPr>
          <w:rFonts w:hint="default" w:ascii="Times New Roman" w:hAnsi="Times New Roman" w:eastAsia="方正小标宋_GBK" w:cs="Times New Roman"/>
          <w:bCs/>
          <w:sz w:val="44"/>
          <w:szCs w:val="44"/>
          <w:shd w:val="clear" w:color="auto" w:fill="FFFFFF"/>
        </w:rPr>
      </w:pPr>
      <w:r>
        <w:rPr>
          <w:rFonts w:hint="default" w:ascii="Times New Roman" w:hAnsi="Times New Roman" w:eastAsia="方正小标宋_GBK" w:cs="Times New Roman"/>
          <w:bCs/>
          <w:sz w:val="44"/>
          <w:szCs w:val="44"/>
          <w:shd w:val="clear" w:color="auto" w:fill="FFFFFF"/>
        </w:rPr>
        <w:t>部门预算绩效评价报告</w:t>
      </w:r>
    </w:p>
    <w:p w14:paraId="65E8F25E">
      <w:pPr>
        <w:spacing w:line="240" w:lineRule="auto"/>
        <w:ind w:firstLine="640" w:firstLineChars="200"/>
        <w:rPr>
          <w:rFonts w:hint="default" w:ascii="方正黑体_GBK" w:hAnsi="方正黑体_GBK" w:eastAsia="方正黑体_GBK" w:cs="方正黑体_GBK"/>
          <w:color w:val="auto"/>
          <w:sz w:val="32"/>
          <w:szCs w:val="32"/>
          <w:lang w:val="en-US" w:eastAsia="zh-CN"/>
        </w:rPr>
      </w:pPr>
      <w:r>
        <w:rPr>
          <w:rFonts w:hint="default" w:ascii="方正黑体_GBK" w:hAnsi="方正黑体_GBK" w:eastAsia="方正黑体_GBK" w:cs="方正黑体_GBK"/>
          <w:color w:val="auto"/>
          <w:sz w:val="32"/>
          <w:szCs w:val="32"/>
          <w:lang w:val="en-US" w:eastAsia="zh-CN"/>
        </w:rPr>
        <w:t>一、部门概况</w:t>
      </w:r>
    </w:p>
    <w:p w14:paraId="4EDACEA4">
      <w:pPr>
        <w:adjustRightInd w:val="0"/>
        <w:snapToGrid w:val="0"/>
        <w:spacing w:line="240" w:lineRule="auto"/>
        <w:ind w:firstLine="643" w:firstLineChars="200"/>
        <w:jc w:val="left"/>
        <w:rPr>
          <w:rFonts w:hint="default" w:ascii="方正楷体_GBK" w:hAnsi="方正楷体_GBK" w:eastAsia="方正楷体_GBK" w:cs="方正楷体_GBK"/>
          <w:b/>
          <w:bCs w:val="0"/>
          <w:sz w:val="32"/>
          <w:szCs w:val="32"/>
          <w:lang w:val="zh-CN"/>
        </w:rPr>
      </w:pPr>
      <w:r>
        <w:rPr>
          <w:rFonts w:hint="default" w:ascii="方正楷体_GBK" w:hAnsi="方正楷体_GBK" w:eastAsia="方正楷体_GBK" w:cs="方正楷体_GBK"/>
          <w:b/>
          <w:bCs w:val="0"/>
          <w:sz w:val="32"/>
          <w:szCs w:val="32"/>
          <w:lang w:val="zh-CN"/>
        </w:rPr>
        <w:t>（一）机构组成</w:t>
      </w:r>
    </w:p>
    <w:p w14:paraId="6088E637">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区文化馆是三块牌子（区文化馆、区图书馆、区文物保护中心），一套人马组成。</w:t>
      </w:r>
    </w:p>
    <w:p w14:paraId="7FB10A40">
      <w:pPr>
        <w:adjustRightInd w:val="0"/>
        <w:snapToGrid w:val="0"/>
        <w:spacing w:line="240" w:lineRule="auto"/>
        <w:ind w:firstLine="643" w:firstLineChars="200"/>
        <w:jc w:val="left"/>
        <w:rPr>
          <w:rFonts w:hint="default" w:ascii="方正楷体_GBK" w:hAnsi="方正楷体_GBK" w:eastAsia="方正楷体_GBK" w:cs="方正楷体_GBK"/>
          <w:b/>
          <w:bCs w:val="0"/>
          <w:sz w:val="32"/>
          <w:szCs w:val="32"/>
          <w:lang w:val="zh-CN"/>
        </w:rPr>
      </w:pPr>
      <w:r>
        <w:rPr>
          <w:rFonts w:hint="default" w:ascii="方正楷体_GBK" w:hAnsi="方正楷体_GBK" w:eastAsia="方正楷体_GBK" w:cs="方正楷体_GBK"/>
          <w:b/>
          <w:bCs w:val="0"/>
          <w:sz w:val="32"/>
          <w:szCs w:val="32"/>
          <w:lang w:val="zh-CN" w:eastAsia="zh-CN"/>
        </w:rPr>
        <w:t>（</w:t>
      </w:r>
      <w:r>
        <w:rPr>
          <w:rFonts w:hint="default" w:ascii="方正楷体_GBK" w:hAnsi="方正楷体_GBK" w:eastAsia="方正楷体_GBK" w:cs="方正楷体_GBK"/>
          <w:b/>
          <w:bCs w:val="0"/>
          <w:sz w:val="32"/>
          <w:szCs w:val="32"/>
          <w:lang w:val="en-US" w:eastAsia="zh-CN"/>
        </w:rPr>
        <w:t>二</w:t>
      </w:r>
      <w:r>
        <w:rPr>
          <w:rFonts w:hint="default" w:ascii="方正楷体_GBK" w:hAnsi="方正楷体_GBK" w:eastAsia="方正楷体_GBK" w:cs="方正楷体_GBK"/>
          <w:b/>
          <w:bCs w:val="0"/>
          <w:sz w:val="32"/>
          <w:szCs w:val="32"/>
          <w:lang w:val="zh-CN" w:eastAsia="zh-CN"/>
        </w:rPr>
        <w:t>）</w:t>
      </w:r>
      <w:r>
        <w:rPr>
          <w:rFonts w:hint="default" w:ascii="方正楷体_GBK" w:hAnsi="方正楷体_GBK" w:eastAsia="方正楷体_GBK" w:cs="方正楷体_GBK"/>
          <w:b/>
          <w:bCs w:val="0"/>
          <w:sz w:val="32"/>
          <w:szCs w:val="32"/>
          <w:lang w:val="zh-CN"/>
        </w:rPr>
        <w:t>机构职能</w:t>
      </w:r>
    </w:p>
    <w:p w14:paraId="11C38CFA">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攀枝花市仁和区文化馆（攀枝花市仁和区考古与文物保护中心）贯彻落实党中央和省市区委关于文化事业发展、文物保护工作的方针政策和决策部署。主要职责是：</w:t>
      </w:r>
    </w:p>
    <w:p w14:paraId="53925986">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1.负责全区群众文化活动组织，繁荣群众文化事业。</w:t>
      </w:r>
    </w:p>
    <w:p w14:paraId="17C5E996">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2.加强对乡镇、街道综合文化站（室）工作的指导。</w:t>
      </w:r>
    </w:p>
    <w:p w14:paraId="75C5F10B">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3.负责收集整理民族民间艺术及</w:t>
      </w:r>
      <w:r>
        <w:rPr>
          <w:rFonts w:hint="eastAsia" w:ascii="Times New Roman" w:hAnsi="Times New Roman" w:eastAsia="仿宋_GB2312" w:cs="Times New Roman"/>
          <w:b w:val="0"/>
          <w:bCs w:val="0"/>
          <w:color w:val="000000"/>
          <w:kern w:val="0"/>
          <w:sz w:val="32"/>
          <w:szCs w:val="32"/>
          <w:lang w:val="en-US" w:eastAsia="zh-CN" w:bidi="ar"/>
        </w:rPr>
        <w:t>非物质文化遗产保护传承</w:t>
      </w:r>
      <w:r>
        <w:rPr>
          <w:rFonts w:hint="default" w:ascii="Times New Roman" w:hAnsi="Times New Roman" w:eastAsia="仿宋_GB2312" w:cs="Times New Roman"/>
          <w:b w:val="0"/>
          <w:bCs w:val="0"/>
          <w:color w:val="000000"/>
          <w:kern w:val="0"/>
          <w:sz w:val="32"/>
          <w:szCs w:val="32"/>
          <w:lang w:val="en-US" w:eastAsia="zh-CN" w:bidi="ar"/>
        </w:rPr>
        <w:t>。</w:t>
      </w:r>
    </w:p>
    <w:p w14:paraId="4F826305">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4.负责开展群众文化艺术调查研究、学术交流。</w:t>
      </w:r>
    </w:p>
    <w:p w14:paraId="21912D26">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5.建立、健全群众文化艺术信息网络共享、数字化资源建设、免费提供数字化门户网站信息内容查询和推送文化动态信息。</w:t>
      </w:r>
    </w:p>
    <w:p w14:paraId="65CADBD7">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6.开展群众（少儿）文化艺术培训和队伍辅导。</w:t>
      </w:r>
    </w:p>
    <w:p w14:paraId="35F31A24">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7.提供场馆免费开放、艺术培训、展览、展示。</w:t>
      </w:r>
    </w:p>
    <w:p w14:paraId="71B50BEA">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8.组织文化志愿队伍开展基层文化惠民巡演、举办各类宣传展览等。</w:t>
      </w:r>
    </w:p>
    <w:p w14:paraId="110FDAA7">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9.开展文物保护、管理、收藏、展示、宣传、研究、调查、申报、文物修缮、考古发掘等工作，为文物执法提供相关技术支撑。</w:t>
      </w:r>
    </w:p>
    <w:p w14:paraId="1890555F">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10.完成攀枝花市仁和区文化广播电视和旅游局交办的其他任务。</w:t>
      </w:r>
    </w:p>
    <w:p w14:paraId="2DD25EFB">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攀枝花市仁和区图书馆贯彻落实党中央和省、市区委关于搜集、整理、收藏图书资料工作的方针政策和决策部署。主要职责是：</w:t>
      </w:r>
    </w:p>
    <w:p w14:paraId="7E00B9EA">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1.为本地区的经济建设和科学研究提供书刊等各类文献资料。</w:t>
      </w:r>
    </w:p>
    <w:p w14:paraId="51EBB9D0">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2.传播科学文化知识，提高广大群众的科学文化水平。</w:t>
      </w:r>
    </w:p>
    <w:p w14:paraId="1E1EB4EF">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3.搜集、整理与保存文化典籍、地方文献和民族文化遗产。</w:t>
      </w:r>
    </w:p>
    <w:p w14:paraId="239FE940">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4.开展图书馆学理论和技术方法的研究，对本辖区所有图书馆（分馆、农家书屋、社区书屋）进行业务辅导。</w:t>
      </w:r>
    </w:p>
    <w:p w14:paraId="39FF1B92">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5.开展图书馆间的协作与协调，建设现代化图书馆网络，实现文献信息资料的共建共享。</w:t>
      </w:r>
    </w:p>
    <w:p w14:paraId="22282F26">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6.向社会公众免费开放，开展阅读指导、读书活动、演讲诵读、图书互换共享等活动，推广全民阅读。</w:t>
      </w:r>
    </w:p>
    <w:p w14:paraId="7A80C8FA">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7.完成攀枝花市仁和区文化广播电视和旅游局交办的其他任务</w:t>
      </w:r>
      <w:r>
        <w:rPr>
          <w:rFonts w:hint="eastAsia" w:ascii="Times New Roman" w:hAnsi="Times New Roman" w:eastAsia="仿宋_GB2312" w:cs="Times New Roman"/>
          <w:b w:val="0"/>
          <w:bCs w:val="0"/>
          <w:color w:val="000000"/>
          <w:kern w:val="0"/>
          <w:sz w:val="32"/>
          <w:szCs w:val="32"/>
          <w:lang w:val="en-US" w:eastAsia="zh-CN" w:bidi="ar"/>
        </w:rPr>
        <w:t>。</w:t>
      </w:r>
    </w:p>
    <w:p w14:paraId="3FB4AE39">
      <w:pPr>
        <w:adjustRightInd w:val="0"/>
        <w:snapToGrid w:val="0"/>
        <w:spacing w:line="240" w:lineRule="auto"/>
        <w:ind w:firstLine="643" w:firstLineChars="200"/>
        <w:jc w:val="left"/>
        <w:rPr>
          <w:rFonts w:hint="default" w:ascii="方正楷体_GBK" w:hAnsi="方正楷体_GBK" w:eastAsia="方正楷体_GBK" w:cs="方正楷体_GBK"/>
          <w:b/>
          <w:bCs w:val="0"/>
          <w:sz w:val="32"/>
          <w:szCs w:val="32"/>
          <w:lang w:val="zh-CN"/>
        </w:rPr>
      </w:pPr>
      <w:r>
        <w:rPr>
          <w:rFonts w:hint="default" w:ascii="方正楷体_GBK" w:hAnsi="方正楷体_GBK" w:eastAsia="方正楷体_GBK" w:cs="方正楷体_GBK"/>
          <w:b/>
          <w:bCs w:val="0"/>
          <w:sz w:val="32"/>
          <w:szCs w:val="32"/>
          <w:lang w:val="zh-CN"/>
        </w:rPr>
        <w:t>（三）人员概况</w:t>
      </w:r>
    </w:p>
    <w:p w14:paraId="673A0480">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仁和区全额拨款事业单位编制9名（区文化馆7名，区图书馆2名），部</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室</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领导职数1名。实有人数</w:t>
      </w:r>
      <w:r>
        <w:rPr>
          <w:rFonts w:hint="eastAsia" w:ascii="Times New Roman" w:hAnsi="Times New Roman" w:eastAsia="仿宋_GB2312" w:cs="Times New Roman"/>
          <w:b w:val="0"/>
          <w:bCs w:val="0"/>
          <w:color w:val="000000"/>
          <w:kern w:val="0"/>
          <w:sz w:val="32"/>
          <w:szCs w:val="32"/>
          <w:lang w:val="en-US" w:eastAsia="zh-CN" w:bidi="ar"/>
        </w:rPr>
        <w:t>8</w:t>
      </w:r>
      <w:r>
        <w:rPr>
          <w:rFonts w:hint="default" w:ascii="Times New Roman" w:hAnsi="Times New Roman" w:eastAsia="仿宋_GB2312" w:cs="Times New Roman"/>
          <w:b w:val="0"/>
          <w:bCs w:val="0"/>
          <w:color w:val="000000"/>
          <w:kern w:val="0"/>
          <w:sz w:val="32"/>
          <w:szCs w:val="32"/>
          <w:lang w:val="en-US" w:eastAsia="zh-CN" w:bidi="ar"/>
        </w:rPr>
        <w:t>名。</w:t>
      </w:r>
    </w:p>
    <w:p w14:paraId="67D7C446">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1.事业专业技术人员5名。</w:t>
      </w:r>
    </w:p>
    <w:p w14:paraId="0C29A509">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2.事业工勤人员编制</w:t>
      </w:r>
      <w:r>
        <w:rPr>
          <w:rFonts w:hint="eastAsia" w:ascii="Times New Roman" w:hAnsi="Times New Roman" w:eastAsia="仿宋_GB2312" w:cs="Times New Roman"/>
          <w:b w:val="0"/>
          <w:bCs w:val="0"/>
          <w:color w:val="000000"/>
          <w:kern w:val="0"/>
          <w:sz w:val="32"/>
          <w:szCs w:val="32"/>
          <w:lang w:val="en-US" w:eastAsia="zh-CN" w:bidi="ar"/>
        </w:rPr>
        <w:t>1</w:t>
      </w:r>
      <w:r>
        <w:rPr>
          <w:rFonts w:hint="default" w:ascii="Times New Roman" w:hAnsi="Times New Roman" w:eastAsia="仿宋_GB2312" w:cs="Times New Roman"/>
          <w:b w:val="0"/>
          <w:bCs w:val="0"/>
          <w:color w:val="000000"/>
          <w:kern w:val="0"/>
          <w:sz w:val="32"/>
          <w:szCs w:val="32"/>
          <w:lang w:val="en-US" w:eastAsia="zh-CN" w:bidi="ar"/>
        </w:rPr>
        <w:t>名</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驾驶员</w:t>
      </w:r>
      <w:r>
        <w:rPr>
          <w:rFonts w:hint="eastAsia" w:ascii="Times New Roman" w:hAnsi="Times New Roman" w:eastAsia="仿宋_GB2312" w:cs="Times New Roman"/>
          <w:b w:val="0"/>
          <w:bCs w:val="0"/>
          <w:color w:val="000000"/>
          <w:kern w:val="0"/>
          <w:sz w:val="32"/>
          <w:szCs w:val="32"/>
          <w:lang w:val="en-US" w:eastAsia="zh-CN" w:bidi="ar"/>
        </w:rPr>
        <w:t>1</w:t>
      </w:r>
      <w:r>
        <w:rPr>
          <w:rFonts w:hint="default" w:ascii="Times New Roman" w:hAnsi="Times New Roman" w:eastAsia="仿宋_GB2312" w:cs="Times New Roman"/>
          <w:b w:val="0"/>
          <w:bCs w:val="0"/>
          <w:color w:val="000000"/>
          <w:kern w:val="0"/>
          <w:sz w:val="32"/>
          <w:szCs w:val="32"/>
          <w:lang w:val="en-US" w:eastAsia="zh-CN" w:bidi="ar"/>
        </w:rPr>
        <w:t>名</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w:t>
      </w:r>
    </w:p>
    <w:p w14:paraId="26921723">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3.事业管理人员2名。</w:t>
      </w:r>
    </w:p>
    <w:p w14:paraId="73F8F0B9">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4.退休人员</w:t>
      </w:r>
      <w:r>
        <w:rPr>
          <w:rFonts w:hint="eastAsia" w:ascii="Times New Roman" w:hAnsi="Times New Roman" w:eastAsia="仿宋_GB2312" w:cs="Times New Roman"/>
          <w:b w:val="0"/>
          <w:bCs w:val="0"/>
          <w:color w:val="000000"/>
          <w:kern w:val="0"/>
          <w:sz w:val="32"/>
          <w:szCs w:val="32"/>
          <w:lang w:val="en-US" w:eastAsia="zh-CN" w:bidi="ar"/>
        </w:rPr>
        <w:t>6</w:t>
      </w:r>
      <w:r>
        <w:rPr>
          <w:rFonts w:hint="default" w:ascii="Times New Roman" w:hAnsi="Times New Roman" w:eastAsia="仿宋_GB2312" w:cs="Times New Roman"/>
          <w:b w:val="0"/>
          <w:bCs w:val="0"/>
          <w:color w:val="000000"/>
          <w:kern w:val="0"/>
          <w:sz w:val="32"/>
          <w:szCs w:val="32"/>
          <w:lang w:val="en-US" w:eastAsia="zh-CN" w:bidi="ar"/>
        </w:rPr>
        <w:t>名。</w:t>
      </w:r>
    </w:p>
    <w:p w14:paraId="6FE62A76">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zh-CN" w:eastAsia="zh-CN"/>
        </w:rPr>
        <w:t>二、部门资金收支情况</w:t>
      </w:r>
    </w:p>
    <w:p w14:paraId="09ADBC26">
      <w:pPr>
        <w:adjustRightInd w:val="0"/>
        <w:snapToGrid w:val="0"/>
        <w:spacing w:line="240" w:lineRule="auto"/>
        <w:ind w:firstLine="643" w:firstLineChars="200"/>
        <w:jc w:val="left"/>
        <w:rPr>
          <w:rFonts w:hint="default" w:ascii="方正楷体_GBK" w:hAnsi="方正楷体_GBK" w:eastAsia="方正楷体_GBK" w:cs="方正楷体_GBK"/>
          <w:b/>
          <w:bCs w:val="0"/>
          <w:sz w:val="32"/>
          <w:szCs w:val="32"/>
          <w:lang w:val="zh-CN"/>
        </w:rPr>
      </w:pPr>
      <w:r>
        <w:rPr>
          <w:rFonts w:hint="default" w:ascii="方正楷体_GBK" w:hAnsi="方正楷体_GBK" w:eastAsia="方正楷体_GBK" w:cs="方正楷体_GBK"/>
          <w:b/>
          <w:bCs w:val="0"/>
          <w:sz w:val="32"/>
          <w:szCs w:val="32"/>
          <w:lang w:val="zh-CN"/>
        </w:rPr>
        <w:t>（一）收入情况</w:t>
      </w:r>
    </w:p>
    <w:p w14:paraId="48494D46">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zh-CN" w:eastAsia="zh-CN" w:bidi="ar"/>
        </w:rPr>
        <w:t>年决算收入总计</w:t>
      </w:r>
      <w:r>
        <w:rPr>
          <w:rFonts w:hint="eastAsia" w:ascii="Times New Roman" w:hAnsi="Times New Roman" w:eastAsia="仿宋_GB2312" w:cs="Times New Roman"/>
          <w:b w:val="0"/>
          <w:bCs w:val="0"/>
          <w:color w:val="000000"/>
          <w:kern w:val="0"/>
          <w:sz w:val="32"/>
          <w:szCs w:val="32"/>
          <w:lang w:val="en-US" w:eastAsia="zh-CN" w:bidi="ar"/>
        </w:rPr>
        <w:t>382.73万</w:t>
      </w:r>
      <w:r>
        <w:rPr>
          <w:rFonts w:hint="default" w:ascii="Times New Roman" w:hAnsi="Times New Roman" w:eastAsia="仿宋_GB2312" w:cs="Times New Roman"/>
          <w:b w:val="0"/>
          <w:bCs w:val="0"/>
          <w:color w:val="000000"/>
          <w:kern w:val="0"/>
          <w:sz w:val="32"/>
          <w:szCs w:val="32"/>
          <w:lang w:val="zh-CN" w:eastAsia="zh-CN" w:bidi="ar"/>
        </w:rPr>
        <w:t>元，其中：一般公共预算财政拨款收入</w:t>
      </w:r>
      <w:r>
        <w:rPr>
          <w:rFonts w:hint="eastAsia" w:ascii="Times New Roman" w:hAnsi="Times New Roman" w:eastAsia="仿宋_GB2312" w:cs="Times New Roman"/>
          <w:b w:val="0"/>
          <w:bCs w:val="0"/>
          <w:color w:val="000000"/>
          <w:kern w:val="0"/>
          <w:sz w:val="32"/>
          <w:szCs w:val="32"/>
          <w:lang w:val="en-US" w:eastAsia="zh-CN" w:bidi="ar"/>
        </w:rPr>
        <w:t>382.73</w:t>
      </w:r>
      <w:r>
        <w:rPr>
          <w:rFonts w:hint="default" w:ascii="Times New Roman" w:hAnsi="Times New Roman" w:eastAsia="仿宋_GB2312" w:cs="Times New Roman"/>
          <w:b w:val="0"/>
          <w:bCs w:val="0"/>
          <w:color w:val="000000"/>
          <w:kern w:val="0"/>
          <w:sz w:val="32"/>
          <w:szCs w:val="32"/>
          <w:lang w:val="zh-CN" w:eastAsia="zh-CN" w:bidi="ar"/>
        </w:rPr>
        <w:t>万元。</w:t>
      </w:r>
    </w:p>
    <w:p w14:paraId="5980E269">
      <w:pPr>
        <w:adjustRightInd w:val="0"/>
        <w:snapToGrid w:val="0"/>
        <w:spacing w:line="240" w:lineRule="auto"/>
        <w:ind w:firstLine="643" w:firstLineChars="200"/>
        <w:jc w:val="left"/>
        <w:rPr>
          <w:rFonts w:hint="default" w:ascii="方正楷体_GBK" w:hAnsi="方正楷体_GBK" w:eastAsia="方正楷体_GBK" w:cs="方正楷体_GBK"/>
          <w:b/>
          <w:bCs w:val="0"/>
          <w:sz w:val="32"/>
          <w:szCs w:val="32"/>
          <w:lang w:val="zh-CN"/>
        </w:rPr>
      </w:pPr>
      <w:r>
        <w:rPr>
          <w:rFonts w:hint="default" w:ascii="方正楷体_GBK" w:hAnsi="方正楷体_GBK" w:eastAsia="方正楷体_GBK" w:cs="方正楷体_GBK"/>
          <w:b/>
          <w:bCs w:val="0"/>
          <w:sz w:val="32"/>
          <w:szCs w:val="32"/>
          <w:lang w:val="zh-CN"/>
        </w:rPr>
        <w:t>（二）支出情况</w:t>
      </w:r>
    </w:p>
    <w:p w14:paraId="22672EFF">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zh-CN" w:eastAsia="zh-CN" w:bidi="ar"/>
        </w:rPr>
        <w:t>年决算支出总额</w:t>
      </w:r>
      <w:r>
        <w:rPr>
          <w:rFonts w:hint="eastAsia" w:ascii="Times New Roman" w:hAnsi="Times New Roman" w:eastAsia="仿宋_GB2312" w:cs="Times New Roman"/>
          <w:b w:val="0"/>
          <w:bCs w:val="0"/>
          <w:color w:val="000000"/>
          <w:kern w:val="0"/>
          <w:sz w:val="32"/>
          <w:szCs w:val="32"/>
          <w:lang w:val="en-US" w:eastAsia="zh-CN" w:bidi="ar"/>
        </w:rPr>
        <w:t>382.73</w:t>
      </w:r>
      <w:r>
        <w:rPr>
          <w:rFonts w:hint="default" w:ascii="Times New Roman" w:hAnsi="Times New Roman" w:eastAsia="仿宋_GB2312" w:cs="Times New Roman"/>
          <w:b w:val="0"/>
          <w:bCs w:val="0"/>
          <w:color w:val="000000"/>
          <w:kern w:val="0"/>
          <w:sz w:val="32"/>
          <w:szCs w:val="32"/>
          <w:lang w:val="zh-CN" w:eastAsia="zh-CN" w:bidi="ar"/>
        </w:rPr>
        <w:t>万元，其中：基本支出</w:t>
      </w:r>
      <w:r>
        <w:rPr>
          <w:rFonts w:hint="eastAsia" w:ascii="Times New Roman" w:hAnsi="Times New Roman" w:eastAsia="仿宋_GB2312" w:cs="Times New Roman"/>
          <w:b w:val="0"/>
          <w:bCs w:val="0"/>
          <w:color w:val="000000"/>
          <w:kern w:val="0"/>
          <w:sz w:val="32"/>
          <w:szCs w:val="32"/>
          <w:lang w:val="en-US" w:eastAsia="zh-CN" w:bidi="ar"/>
        </w:rPr>
        <w:t>199.56</w:t>
      </w:r>
      <w:r>
        <w:rPr>
          <w:rFonts w:hint="default" w:ascii="Times New Roman" w:hAnsi="Times New Roman" w:eastAsia="仿宋_GB2312" w:cs="Times New Roman"/>
          <w:b w:val="0"/>
          <w:bCs w:val="0"/>
          <w:color w:val="000000"/>
          <w:kern w:val="0"/>
          <w:sz w:val="32"/>
          <w:szCs w:val="32"/>
          <w:lang w:val="zh-CN" w:eastAsia="zh-CN" w:bidi="ar"/>
        </w:rPr>
        <w:t>万元，占</w:t>
      </w:r>
      <w:r>
        <w:rPr>
          <w:rFonts w:hint="eastAsia" w:ascii="Times New Roman" w:hAnsi="Times New Roman" w:eastAsia="仿宋_GB2312" w:cs="Times New Roman"/>
          <w:b w:val="0"/>
          <w:bCs w:val="0"/>
          <w:color w:val="000000"/>
          <w:kern w:val="0"/>
          <w:sz w:val="32"/>
          <w:szCs w:val="32"/>
          <w:lang w:val="en-US" w:eastAsia="zh-CN" w:bidi="ar"/>
        </w:rPr>
        <w:t>52.1</w:t>
      </w:r>
      <w:r>
        <w:rPr>
          <w:rFonts w:hint="default" w:ascii="Times New Roman" w:hAnsi="Times New Roman" w:eastAsia="仿宋_GB2312" w:cs="Times New Roman"/>
          <w:b w:val="0"/>
          <w:bCs w:val="0"/>
          <w:color w:val="000000"/>
          <w:kern w:val="0"/>
          <w:sz w:val="32"/>
          <w:szCs w:val="32"/>
          <w:lang w:val="zh-CN" w:eastAsia="zh-CN" w:bidi="ar"/>
        </w:rPr>
        <w:t>%；项目支出</w:t>
      </w:r>
      <w:r>
        <w:rPr>
          <w:rFonts w:hint="eastAsia" w:ascii="Times New Roman" w:hAnsi="Times New Roman" w:eastAsia="仿宋_GB2312" w:cs="Times New Roman"/>
          <w:b w:val="0"/>
          <w:bCs w:val="0"/>
          <w:color w:val="000000"/>
          <w:kern w:val="0"/>
          <w:sz w:val="32"/>
          <w:szCs w:val="32"/>
          <w:lang w:val="en-US" w:eastAsia="zh-CN" w:bidi="ar"/>
        </w:rPr>
        <w:t>183.17</w:t>
      </w:r>
      <w:r>
        <w:rPr>
          <w:rFonts w:hint="default" w:ascii="Times New Roman" w:hAnsi="Times New Roman" w:eastAsia="仿宋_GB2312" w:cs="Times New Roman"/>
          <w:b w:val="0"/>
          <w:bCs w:val="0"/>
          <w:color w:val="000000"/>
          <w:kern w:val="0"/>
          <w:sz w:val="32"/>
          <w:szCs w:val="32"/>
          <w:lang w:val="zh-CN" w:eastAsia="zh-CN" w:bidi="ar"/>
        </w:rPr>
        <w:t>万元，占</w:t>
      </w:r>
      <w:r>
        <w:rPr>
          <w:rFonts w:hint="eastAsia" w:ascii="Times New Roman" w:hAnsi="Times New Roman" w:eastAsia="仿宋_GB2312" w:cs="Times New Roman"/>
          <w:b w:val="0"/>
          <w:bCs w:val="0"/>
          <w:color w:val="000000"/>
          <w:kern w:val="0"/>
          <w:sz w:val="32"/>
          <w:szCs w:val="32"/>
          <w:lang w:val="en-US" w:eastAsia="zh-CN" w:bidi="ar"/>
        </w:rPr>
        <w:t>47.9</w:t>
      </w:r>
      <w:r>
        <w:rPr>
          <w:rFonts w:hint="default" w:ascii="Times New Roman" w:hAnsi="Times New Roman" w:eastAsia="仿宋_GB2312" w:cs="Times New Roman"/>
          <w:b w:val="0"/>
          <w:bCs w:val="0"/>
          <w:color w:val="000000"/>
          <w:kern w:val="0"/>
          <w:sz w:val="32"/>
          <w:szCs w:val="32"/>
          <w:lang w:val="zh-CN" w:eastAsia="zh-CN" w:bidi="ar"/>
        </w:rPr>
        <w:t>%；其中：文化旅游体育与传媒支出</w:t>
      </w:r>
      <w:r>
        <w:rPr>
          <w:rFonts w:hint="eastAsia" w:ascii="Times New Roman" w:hAnsi="Times New Roman" w:eastAsia="仿宋_GB2312" w:cs="Times New Roman"/>
          <w:b w:val="0"/>
          <w:bCs w:val="0"/>
          <w:color w:val="000000"/>
          <w:kern w:val="0"/>
          <w:sz w:val="32"/>
          <w:szCs w:val="32"/>
          <w:lang w:val="en-US" w:eastAsia="zh-CN" w:bidi="ar"/>
        </w:rPr>
        <w:t>332.93</w:t>
      </w:r>
      <w:r>
        <w:rPr>
          <w:rFonts w:hint="default" w:ascii="Times New Roman" w:hAnsi="Times New Roman" w:eastAsia="仿宋_GB2312" w:cs="Times New Roman"/>
          <w:b w:val="0"/>
          <w:bCs w:val="0"/>
          <w:color w:val="000000"/>
          <w:kern w:val="0"/>
          <w:sz w:val="32"/>
          <w:szCs w:val="32"/>
          <w:lang w:val="zh-CN" w:eastAsia="zh-CN" w:bidi="ar"/>
        </w:rPr>
        <w:t>万元，占</w:t>
      </w:r>
      <w:r>
        <w:rPr>
          <w:rFonts w:hint="eastAsia" w:ascii="Times New Roman" w:hAnsi="Times New Roman" w:eastAsia="仿宋_GB2312" w:cs="Times New Roman"/>
          <w:b w:val="0"/>
          <w:bCs w:val="0"/>
          <w:color w:val="000000"/>
          <w:kern w:val="0"/>
          <w:sz w:val="32"/>
          <w:szCs w:val="32"/>
          <w:lang w:val="en-US" w:eastAsia="zh-CN" w:bidi="ar"/>
        </w:rPr>
        <w:t>87</w:t>
      </w:r>
      <w:r>
        <w:rPr>
          <w:rFonts w:hint="default" w:ascii="Times New Roman" w:hAnsi="Times New Roman" w:eastAsia="仿宋_GB2312" w:cs="Times New Roman"/>
          <w:b w:val="0"/>
          <w:bCs w:val="0"/>
          <w:color w:val="000000"/>
          <w:kern w:val="0"/>
          <w:sz w:val="32"/>
          <w:szCs w:val="32"/>
          <w:lang w:val="zh-CN" w:eastAsia="zh-CN" w:bidi="ar"/>
        </w:rPr>
        <w:t>%；社会保障和就业支出</w:t>
      </w:r>
      <w:r>
        <w:rPr>
          <w:rFonts w:hint="eastAsia" w:ascii="Times New Roman" w:hAnsi="Times New Roman" w:eastAsia="仿宋_GB2312" w:cs="Times New Roman"/>
          <w:b w:val="0"/>
          <w:bCs w:val="0"/>
          <w:color w:val="000000"/>
          <w:kern w:val="0"/>
          <w:sz w:val="32"/>
          <w:szCs w:val="32"/>
          <w:lang w:val="en-US" w:eastAsia="zh-CN" w:bidi="ar"/>
        </w:rPr>
        <w:t>31.02</w:t>
      </w:r>
      <w:r>
        <w:rPr>
          <w:rFonts w:hint="default" w:ascii="Times New Roman" w:hAnsi="Times New Roman" w:eastAsia="仿宋_GB2312" w:cs="Times New Roman"/>
          <w:b w:val="0"/>
          <w:bCs w:val="0"/>
          <w:color w:val="000000"/>
          <w:kern w:val="0"/>
          <w:sz w:val="32"/>
          <w:szCs w:val="32"/>
          <w:lang w:val="zh-CN" w:eastAsia="zh-CN" w:bidi="ar"/>
        </w:rPr>
        <w:t>万元，占</w:t>
      </w:r>
      <w:r>
        <w:rPr>
          <w:rFonts w:hint="eastAsia" w:ascii="Times New Roman" w:hAnsi="Times New Roman" w:eastAsia="仿宋_GB2312" w:cs="Times New Roman"/>
          <w:b w:val="0"/>
          <w:bCs w:val="0"/>
          <w:color w:val="000000"/>
          <w:kern w:val="0"/>
          <w:sz w:val="32"/>
          <w:szCs w:val="32"/>
          <w:lang w:val="en-US" w:eastAsia="zh-CN" w:bidi="ar"/>
        </w:rPr>
        <w:t>8.1</w:t>
      </w:r>
      <w:r>
        <w:rPr>
          <w:rFonts w:hint="default" w:ascii="Times New Roman" w:hAnsi="Times New Roman" w:eastAsia="仿宋_GB2312" w:cs="Times New Roman"/>
          <w:b w:val="0"/>
          <w:bCs w:val="0"/>
          <w:color w:val="000000"/>
          <w:kern w:val="0"/>
          <w:sz w:val="32"/>
          <w:szCs w:val="32"/>
          <w:lang w:val="zh-CN" w:eastAsia="zh-CN" w:bidi="ar"/>
        </w:rPr>
        <w:t>%；卫生健康支出</w:t>
      </w:r>
      <w:r>
        <w:rPr>
          <w:rFonts w:hint="eastAsia" w:ascii="Times New Roman" w:hAnsi="Times New Roman" w:eastAsia="仿宋_GB2312" w:cs="Times New Roman"/>
          <w:b w:val="0"/>
          <w:bCs w:val="0"/>
          <w:color w:val="000000"/>
          <w:kern w:val="0"/>
          <w:sz w:val="32"/>
          <w:szCs w:val="32"/>
          <w:lang w:val="en-US" w:eastAsia="zh-CN" w:bidi="ar"/>
        </w:rPr>
        <w:t>8.33</w:t>
      </w:r>
      <w:r>
        <w:rPr>
          <w:rFonts w:hint="default" w:ascii="Times New Roman" w:hAnsi="Times New Roman" w:eastAsia="仿宋_GB2312" w:cs="Times New Roman"/>
          <w:b w:val="0"/>
          <w:bCs w:val="0"/>
          <w:color w:val="000000"/>
          <w:kern w:val="0"/>
          <w:sz w:val="32"/>
          <w:szCs w:val="32"/>
          <w:lang w:val="zh-CN" w:eastAsia="zh-CN" w:bidi="ar"/>
        </w:rPr>
        <w:t>万元，占</w:t>
      </w:r>
      <w:r>
        <w:rPr>
          <w:rFonts w:hint="eastAsia" w:ascii="Times New Roman" w:hAnsi="Times New Roman" w:eastAsia="仿宋_GB2312" w:cs="Times New Roman"/>
          <w:b w:val="0"/>
          <w:bCs w:val="0"/>
          <w:color w:val="000000"/>
          <w:kern w:val="0"/>
          <w:sz w:val="32"/>
          <w:szCs w:val="32"/>
          <w:lang w:val="en-US" w:eastAsia="zh-CN" w:bidi="ar"/>
        </w:rPr>
        <w:t>2.2</w:t>
      </w:r>
      <w:r>
        <w:rPr>
          <w:rFonts w:hint="default" w:ascii="Times New Roman" w:hAnsi="Times New Roman" w:eastAsia="仿宋_GB2312" w:cs="Times New Roman"/>
          <w:b w:val="0"/>
          <w:bCs w:val="0"/>
          <w:color w:val="000000"/>
          <w:kern w:val="0"/>
          <w:sz w:val="32"/>
          <w:szCs w:val="32"/>
          <w:lang w:val="zh-CN" w:eastAsia="zh-CN" w:bidi="ar"/>
        </w:rPr>
        <w:t>%；住房保障支出</w:t>
      </w:r>
      <w:r>
        <w:rPr>
          <w:rFonts w:hint="eastAsia" w:ascii="Times New Roman" w:hAnsi="Times New Roman" w:eastAsia="仿宋_GB2312" w:cs="Times New Roman"/>
          <w:b w:val="0"/>
          <w:bCs w:val="0"/>
          <w:color w:val="000000"/>
          <w:kern w:val="0"/>
          <w:sz w:val="32"/>
          <w:szCs w:val="32"/>
          <w:lang w:val="en-US" w:eastAsia="zh-CN" w:bidi="ar"/>
        </w:rPr>
        <w:t>10.45</w:t>
      </w:r>
      <w:r>
        <w:rPr>
          <w:rFonts w:hint="default" w:ascii="Times New Roman" w:hAnsi="Times New Roman" w:eastAsia="仿宋_GB2312" w:cs="Times New Roman"/>
          <w:b w:val="0"/>
          <w:bCs w:val="0"/>
          <w:color w:val="000000"/>
          <w:kern w:val="0"/>
          <w:sz w:val="32"/>
          <w:szCs w:val="32"/>
          <w:lang w:val="zh-CN" w:eastAsia="zh-CN" w:bidi="ar"/>
        </w:rPr>
        <w:t>万元，占</w:t>
      </w:r>
      <w:r>
        <w:rPr>
          <w:rFonts w:hint="eastAsia" w:ascii="Times New Roman" w:hAnsi="Times New Roman" w:eastAsia="仿宋_GB2312" w:cs="Times New Roman"/>
          <w:b w:val="0"/>
          <w:bCs w:val="0"/>
          <w:color w:val="000000"/>
          <w:kern w:val="0"/>
          <w:sz w:val="32"/>
          <w:szCs w:val="32"/>
          <w:lang w:val="en-US" w:eastAsia="zh-CN" w:bidi="ar"/>
        </w:rPr>
        <w:t>2.7</w:t>
      </w:r>
      <w:r>
        <w:rPr>
          <w:rFonts w:hint="default" w:ascii="Times New Roman" w:hAnsi="Times New Roman" w:eastAsia="仿宋_GB2312" w:cs="Times New Roman"/>
          <w:b w:val="0"/>
          <w:bCs w:val="0"/>
          <w:color w:val="000000"/>
          <w:kern w:val="0"/>
          <w:sz w:val="32"/>
          <w:szCs w:val="32"/>
          <w:lang w:val="zh-CN" w:eastAsia="zh-CN" w:bidi="ar"/>
        </w:rPr>
        <w:t>%。</w:t>
      </w:r>
    </w:p>
    <w:p w14:paraId="217EFA8E">
      <w:pPr>
        <w:adjustRightInd w:val="0"/>
        <w:snapToGrid w:val="0"/>
        <w:spacing w:line="240" w:lineRule="auto"/>
        <w:ind w:firstLine="643" w:firstLineChars="200"/>
        <w:jc w:val="left"/>
        <w:rPr>
          <w:rFonts w:hint="default" w:ascii="方正楷体_GBK" w:hAnsi="方正楷体_GBK" w:eastAsia="方正楷体_GBK" w:cs="方正楷体_GBK"/>
          <w:b/>
          <w:bCs w:val="0"/>
          <w:sz w:val="32"/>
          <w:szCs w:val="32"/>
          <w:lang w:val="zh-CN"/>
        </w:rPr>
      </w:pPr>
      <w:r>
        <w:rPr>
          <w:rFonts w:hint="default" w:ascii="方正楷体_GBK" w:hAnsi="方正楷体_GBK" w:eastAsia="方正楷体_GBK" w:cs="方正楷体_GBK"/>
          <w:b/>
          <w:bCs w:val="0"/>
          <w:sz w:val="32"/>
          <w:szCs w:val="32"/>
          <w:lang w:val="zh-CN"/>
        </w:rPr>
        <w:t>（三）结余分配和结转结余情况</w:t>
      </w:r>
    </w:p>
    <w:p w14:paraId="23429383">
      <w:pPr>
        <w:widowControl/>
        <w:adjustRightInd w:val="0"/>
        <w:snapToGrid w:val="0"/>
        <w:spacing w:line="240" w:lineRule="auto"/>
        <w:ind w:firstLine="640" w:firstLineChars="200"/>
        <w:jc w:val="left"/>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年初结转和结余</w:t>
      </w:r>
      <w:r>
        <w:rPr>
          <w:rFonts w:hint="eastAsia" w:ascii="Times New Roman" w:hAnsi="Times New Roman" w:eastAsia="仿宋_GB2312" w:cs="Times New Roman"/>
          <w:b w:val="0"/>
          <w:bCs w:val="0"/>
          <w:color w:val="000000"/>
          <w:kern w:val="0"/>
          <w:sz w:val="32"/>
          <w:szCs w:val="32"/>
          <w:lang w:val="en-US" w:eastAsia="zh-CN" w:bidi="ar"/>
        </w:rPr>
        <w:t>0</w:t>
      </w:r>
      <w:r>
        <w:rPr>
          <w:rFonts w:hint="default" w:ascii="Times New Roman" w:hAnsi="Times New Roman" w:eastAsia="仿宋_GB2312" w:cs="Times New Roman"/>
          <w:b w:val="0"/>
          <w:bCs w:val="0"/>
          <w:color w:val="000000"/>
          <w:kern w:val="0"/>
          <w:sz w:val="32"/>
          <w:szCs w:val="32"/>
          <w:lang w:val="zh-CN" w:eastAsia="zh-CN" w:bidi="ar"/>
        </w:rPr>
        <w:t>万元，年末结转和结余0万元</w:t>
      </w:r>
    </w:p>
    <w:p w14:paraId="1970AB98">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zh-CN" w:eastAsia="zh-CN"/>
        </w:rPr>
        <w:t>三、部门预算绩效分析</w:t>
      </w:r>
    </w:p>
    <w:p w14:paraId="3D4240C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eastAsia="仿宋_GB2312" w:cs="仿宋_GB2312"/>
          <w:sz w:val="32"/>
          <w:szCs w:val="32"/>
          <w:lang w:val="zh-CN"/>
        </w:rPr>
      </w:pPr>
      <w:r>
        <w:rPr>
          <w:rFonts w:hint="default" w:ascii="方正楷体_GBK" w:hAnsi="方正楷体_GBK" w:eastAsia="方正楷体_GBK" w:cs="方正楷体_GBK"/>
          <w:b/>
          <w:bCs w:val="0"/>
          <w:sz w:val="32"/>
          <w:szCs w:val="32"/>
          <w:lang w:val="zh-CN"/>
        </w:rPr>
        <w:t>（一）</w:t>
      </w:r>
      <w:r>
        <w:rPr>
          <w:rFonts w:hint="eastAsia" w:ascii="方正楷体_GBK" w:hAnsi="方正楷体_GBK" w:eastAsia="方正楷体_GBK" w:cs="方正楷体_GBK"/>
          <w:b/>
          <w:bCs w:val="0"/>
          <w:sz w:val="32"/>
          <w:szCs w:val="32"/>
          <w:lang w:val="zh-CN"/>
        </w:rPr>
        <w:t>部门预算</w:t>
      </w:r>
      <w:r>
        <w:rPr>
          <w:rFonts w:hint="default" w:ascii="方正楷体_GBK" w:hAnsi="方正楷体_GBK" w:eastAsia="方正楷体_GBK" w:cs="方正楷体_GBK"/>
          <w:b/>
          <w:bCs w:val="0"/>
          <w:sz w:val="32"/>
          <w:szCs w:val="32"/>
          <w:lang w:val="zh-CN"/>
        </w:rPr>
        <w:t>总体绩效分析。</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总体绩效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，依次包括履职效能、预算管理、财务管理、资产管理、采购管理等情况。</w:t>
      </w:r>
    </w:p>
    <w:p w14:paraId="090A006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Times New Roman" w:hAnsi="Times New Roman" w:eastAsia="方正仿宋_GBK" w:cs="Times New Roman"/>
          <w:kern w:val="0"/>
          <w:sz w:val="33"/>
          <w:szCs w:val="33"/>
          <w:lang w:val="zh-CN" w:eastAsia="zh-CN"/>
        </w:rPr>
      </w:pPr>
      <w:r>
        <w:rPr>
          <w:rFonts w:eastAsia="楷体_GB2312"/>
          <w:color w:val="auto"/>
          <w:kern w:val="0"/>
          <w:sz w:val="32"/>
          <w:szCs w:val="32"/>
          <w:shd w:val="clear" w:color="auto" w:fill="FFFFFF"/>
        </w:rPr>
        <w:t>1.</w:t>
      </w:r>
      <w:r>
        <w:rPr>
          <w:rFonts w:eastAsia="楷体_GB2312"/>
          <w:color w:val="auto"/>
          <w:kern w:val="0"/>
          <w:sz w:val="32"/>
          <w:szCs w:val="32"/>
          <w:shd w:val="clear" w:color="auto" w:fill="FFFFFF"/>
          <w:lang w:val="zh-CN"/>
        </w:rPr>
        <w:t>履职</w:t>
      </w:r>
      <w:r>
        <w:rPr>
          <w:rFonts w:eastAsia="仿宋_GB2312" w:cs="仿宋_GB2312"/>
          <w:sz w:val="32"/>
          <w:szCs w:val="32"/>
          <w:lang w:val="zh-CN"/>
        </w:rPr>
        <w:t>效能</w:t>
      </w:r>
      <w:r>
        <w:rPr>
          <w:rFonts w:eastAsia="楷体_GB2312"/>
          <w:color w:val="auto"/>
          <w:kern w:val="0"/>
          <w:szCs w:val="32"/>
          <w:shd w:val="clear" w:color="auto" w:fill="FFFFFF"/>
          <w:lang w:val="zh-CN"/>
        </w:rPr>
        <w:t>。</w:t>
      </w:r>
      <w:r>
        <w:rPr>
          <w:rFonts w:hint="eastAsia" w:ascii="Times New Roman" w:hAnsi="Times New Roman" w:eastAsia="方正仿宋_GBK" w:cs="Times New Roman"/>
          <w:kern w:val="0"/>
          <w:sz w:val="33"/>
          <w:szCs w:val="33"/>
          <w:lang w:val="en-US" w:eastAsia="zh-CN"/>
        </w:rPr>
        <w:t>仁和区文化馆通过各项指标的完成，</w:t>
      </w:r>
      <w:r>
        <w:rPr>
          <w:rFonts w:hint="default" w:ascii="Times New Roman" w:hAnsi="Times New Roman" w:eastAsia="仿宋_GB2312" w:cs="Times New Roman"/>
          <w:kern w:val="0"/>
          <w:sz w:val="32"/>
          <w:szCs w:val="32"/>
          <w:lang w:val="en-US" w:eastAsia="zh-CN"/>
        </w:rPr>
        <w:t>保障了</w:t>
      </w:r>
      <w:r>
        <w:rPr>
          <w:rFonts w:hint="eastAsia" w:ascii="Times New Roman" w:hAnsi="Times New Roman" w:cs="Times New Roman"/>
          <w:kern w:val="0"/>
          <w:sz w:val="32"/>
          <w:szCs w:val="32"/>
          <w:lang w:val="en-US" w:eastAsia="zh-CN"/>
        </w:rPr>
        <w:t>两馆</w:t>
      </w:r>
      <w:r>
        <w:rPr>
          <w:rFonts w:hint="default" w:ascii="Times New Roman" w:hAnsi="Times New Roman" w:eastAsia="仿宋_GB2312" w:cs="Times New Roman"/>
          <w:kern w:val="0"/>
          <w:sz w:val="32"/>
          <w:szCs w:val="32"/>
          <w:lang w:val="en-US" w:eastAsia="zh-CN"/>
        </w:rPr>
        <w:t>正常办公</w:t>
      </w:r>
      <w:r>
        <w:rPr>
          <w:rFonts w:hint="default" w:ascii="Times New Roman" w:hAnsi="Times New Roman" w:eastAsia="仿宋_GB2312" w:cs="Times New Roman"/>
          <w:kern w:val="0"/>
          <w:sz w:val="32"/>
          <w:szCs w:val="32"/>
          <w:lang w:val="zh-CN" w:eastAsia="zh-CN"/>
        </w:rPr>
        <w:t>正常运转、完成日常工作任务以及本单位承担的组织群众文化、公共文化服务体系建设、推动文化事业繁荣发展、非物质文化遗产的发展和保护、文化馆免费开放及对全区文物保护单位管理及保护等工作</w:t>
      </w:r>
      <w:r>
        <w:rPr>
          <w:rFonts w:hint="eastAsia" w:ascii="Times New Roman" w:hAnsi="Times New Roman" w:cs="Times New Roman"/>
          <w:kern w:val="0"/>
          <w:sz w:val="32"/>
          <w:szCs w:val="32"/>
          <w:lang w:val="zh-CN" w:eastAsia="zh-CN"/>
        </w:rPr>
        <w:t>，</w:t>
      </w:r>
      <w:r>
        <w:rPr>
          <w:rFonts w:hint="eastAsia" w:ascii="Times New Roman" w:hAnsi="Times New Roman" w:eastAsia="方正仿宋_GBK" w:cs="Times New Roman"/>
          <w:kern w:val="0"/>
          <w:sz w:val="33"/>
          <w:szCs w:val="33"/>
          <w:lang w:val="en-US" w:eastAsia="zh-CN"/>
        </w:rPr>
        <w:t>服务对象满意度≥90%。</w:t>
      </w:r>
    </w:p>
    <w:p w14:paraId="138CE0A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Times New Roman" w:hAnsi="Times New Roman" w:eastAsia="方正仿宋_GBK" w:cs="Times New Roman"/>
          <w:kern w:val="0"/>
          <w:sz w:val="33"/>
          <w:szCs w:val="33"/>
          <w:lang w:val="en-US" w:eastAsia="zh-CN"/>
        </w:rPr>
      </w:pPr>
      <w:r>
        <w:rPr>
          <w:rFonts w:eastAsia="楷体_GB2312"/>
          <w:color w:val="auto"/>
          <w:kern w:val="0"/>
          <w:sz w:val="32"/>
          <w:szCs w:val="32"/>
          <w:shd w:val="clear" w:color="auto" w:fill="FFFFFF"/>
        </w:rPr>
        <w:t>2.</w:t>
      </w:r>
      <w:r>
        <w:rPr>
          <w:rFonts w:eastAsia="楷体_GB2312"/>
          <w:color w:val="auto"/>
          <w:kern w:val="0"/>
          <w:sz w:val="32"/>
          <w:szCs w:val="32"/>
          <w:shd w:val="clear" w:color="auto" w:fill="FFFFFF"/>
          <w:lang w:val="zh-CN"/>
        </w:rPr>
        <w:t>预算管理。</w:t>
      </w:r>
      <w:r>
        <w:rPr>
          <w:rFonts w:hint="eastAsia" w:ascii="Times New Roman" w:hAnsi="Times New Roman" w:eastAsia="方正仿宋_GBK" w:cs="Times New Roman"/>
          <w:kern w:val="0"/>
          <w:sz w:val="33"/>
          <w:szCs w:val="33"/>
          <w:lang w:val="en-US" w:eastAsia="zh-CN"/>
        </w:rPr>
        <w:t>严格按照财政部门的要求，科学编制年度预算，确保预算的合理性和可执行性。因财政资金调度困难，本年预算资金执行进度滞后，年终整体预算无结转结余。部门严控“三公”经费、会议、培训、差旅、办公设备购置、信息网络及软件购置更新、课题经费等一般性支出，推动预算与绩效挂钩，确保资金使用效益最大化。</w:t>
      </w:r>
    </w:p>
    <w:p w14:paraId="166E893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Times New Roman" w:hAnsi="Times New Roman" w:eastAsia="方正仿宋_GBK" w:cs="Times New Roman"/>
          <w:kern w:val="0"/>
          <w:sz w:val="33"/>
          <w:szCs w:val="33"/>
          <w:lang w:val="zh-CN" w:eastAsia="zh-CN"/>
        </w:rPr>
      </w:pPr>
      <w:r>
        <w:rPr>
          <w:rFonts w:eastAsia="楷体_GB2312"/>
          <w:color w:val="000000"/>
          <w:kern w:val="0"/>
          <w:sz w:val="32"/>
          <w:szCs w:val="32"/>
          <w:shd w:val="clear" w:color="auto" w:fill="FFFFFF"/>
        </w:rPr>
        <w:t>3.</w:t>
      </w:r>
      <w:r>
        <w:rPr>
          <w:rFonts w:eastAsia="楷体_GB2312"/>
          <w:color w:val="000000"/>
          <w:kern w:val="0"/>
          <w:sz w:val="32"/>
          <w:szCs w:val="32"/>
          <w:shd w:val="clear" w:color="auto" w:fill="FFFFFF"/>
          <w:lang w:val="zh-CN"/>
        </w:rPr>
        <w:t>财务管理。</w:t>
      </w:r>
      <w:r>
        <w:rPr>
          <w:rFonts w:hint="eastAsia" w:ascii="Times New Roman" w:hAnsi="Times New Roman" w:eastAsia="方正仿宋_GBK" w:cs="Times New Roman"/>
          <w:kern w:val="0"/>
          <w:sz w:val="33"/>
          <w:szCs w:val="33"/>
          <w:lang w:val="zh-CN" w:eastAsia="zh-CN"/>
        </w:rPr>
        <w:t>本单位建立健全财务管理制度，并按相关要求进行落实。财务岗位设置合理，明确职责权限。部门资金使用符合财务管理制度规定。</w:t>
      </w:r>
    </w:p>
    <w:p w14:paraId="12717A0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Times New Roman" w:hAnsi="Times New Roman" w:eastAsia="方正仿宋_GBK" w:cs="Times New Roman"/>
          <w:kern w:val="0"/>
          <w:sz w:val="33"/>
          <w:szCs w:val="33"/>
          <w:lang w:val="en-US" w:eastAsia="zh-CN"/>
        </w:rPr>
      </w:pPr>
      <w:r>
        <w:rPr>
          <w:rFonts w:eastAsia="楷体_GB2312"/>
          <w:color w:val="auto"/>
          <w:kern w:val="0"/>
          <w:sz w:val="32"/>
          <w:szCs w:val="32"/>
          <w:shd w:val="clear" w:color="auto" w:fill="FFFFFF"/>
        </w:rPr>
        <w:t>4.</w:t>
      </w:r>
      <w:r>
        <w:rPr>
          <w:rFonts w:eastAsia="楷体_GB2312"/>
          <w:color w:val="auto"/>
          <w:kern w:val="0"/>
          <w:sz w:val="32"/>
          <w:szCs w:val="32"/>
          <w:shd w:val="clear" w:color="auto" w:fill="FFFFFF"/>
          <w:lang w:val="zh-CN"/>
        </w:rPr>
        <w:t>资产管理。</w:t>
      </w:r>
      <w:r>
        <w:rPr>
          <w:rFonts w:hint="eastAsia" w:ascii="Times New Roman" w:hAnsi="Times New Roman" w:eastAsia="方正仿宋_GBK" w:cs="Times New Roman"/>
          <w:kern w:val="0"/>
          <w:sz w:val="33"/>
          <w:szCs w:val="33"/>
          <w:lang w:val="en-US" w:eastAsia="zh-CN"/>
        </w:rPr>
        <w:t>加强固定资产管理，盘活固定资产，资产利用率达100%。规范资产采购和处置流程，进一步推进资产信息化管理，提高资产管理的效率和准确性。</w:t>
      </w:r>
    </w:p>
    <w:p w14:paraId="4BCBACC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方正楷体_GBK" w:hAnsi="方正楷体_GBK" w:eastAsia="方正楷体_GBK" w:cs="方正楷体_GBK"/>
          <w:b/>
          <w:bCs w:val="0"/>
          <w:sz w:val="32"/>
          <w:szCs w:val="32"/>
          <w:lang w:val="zh-CN"/>
        </w:rPr>
      </w:pPr>
      <w:r>
        <w:rPr>
          <w:rFonts w:hint="eastAsia" w:ascii="方正仿宋_GBK" w:hAnsi="方正仿宋_GBK" w:eastAsia="方正仿宋_GBK" w:cs="方正仿宋_GBK"/>
          <w:sz w:val="32"/>
          <w:szCs w:val="32"/>
          <w:lang w:val="zh-CN" w:eastAsia="zh-CN"/>
        </w:rPr>
        <w:t>5.采购管理。</w:t>
      </w:r>
      <w:r>
        <w:rPr>
          <w:rFonts w:hint="eastAsia" w:ascii="方正仿宋_GBK" w:hAnsi="方正仿宋_GBK" w:eastAsia="方正仿宋_GBK" w:cs="方正仿宋_GBK"/>
          <w:sz w:val="32"/>
          <w:szCs w:val="32"/>
          <w:lang w:val="en-US" w:eastAsia="zh-CN"/>
        </w:rPr>
        <w:t>2025年本单位未采购资产。</w:t>
      </w:r>
    </w:p>
    <w:p w14:paraId="6A80FFC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方正楷体_GBK" w:hAnsi="方正楷体_GBK" w:eastAsia="方正楷体_GBK" w:cs="方正楷体_GBK"/>
          <w:b/>
          <w:bCs w:val="0"/>
          <w:sz w:val="32"/>
          <w:szCs w:val="32"/>
          <w:lang w:val="zh-CN"/>
        </w:rPr>
      </w:pPr>
      <w:r>
        <w:rPr>
          <w:rFonts w:hint="default" w:ascii="方正楷体_GBK" w:hAnsi="方正楷体_GBK" w:eastAsia="方正楷体_GBK" w:cs="方正楷体_GBK"/>
          <w:b/>
          <w:bCs w:val="0"/>
          <w:sz w:val="32"/>
          <w:szCs w:val="32"/>
          <w:lang w:val="zh-CN"/>
        </w:rPr>
        <w:t>（二）部门预算项目绩效分析。</w:t>
      </w:r>
    </w:p>
    <w:p w14:paraId="5491754E">
      <w:pPr>
        <w:pStyle w:val="33"/>
        <w:spacing w:line="240" w:lineRule="auto"/>
        <w:ind w:firstLine="640" w:firstLineChars="200"/>
        <w:rPr>
          <w:rFonts w:hint="eastAsia" w:ascii="Times New Roman" w:hAnsi="Times New Roman" w:eastAsia="仿宋_GB2312" w:cs="Times New Roman"/>
          <w:b w:val="0"/>
          <w:bCs w:val="0"/>
          <w:color w:val="000000"/>
          <w:kern w:val="0"/>
          <w:sz w:val="32"/>
          <w:szCs w:val="32"/>
          <w:lang w:val="zh-CN" w:eastAsia="zh-CN" w:bidi="ar"/>
        </w:rPr>
      </w:pPr>
      <w:r>
        <w:rPr>
          <w:rFonts w:hint="eastAsia" w:ascii="Times New Roman" w:hAnsi="Times New Roman" w:eastAsia="仿宋_GB2312" w:cs="Times New Roman"/>
          <w:b w:val="0"/>
          <w:bCs w:val="0"/>
          <w:color w:val="000000"/>
          <w:kern w:val="0"/>
          <w:sz w:val="32"/>
          <w:szCs w:val="32"/>
          <w:lang w:val="en-US" w:eastAsia="zh-CN" w:bidi="ar"/>
        </w:rPr>
        <w:t>常年项目绩效分析。</w:t>
      </w:r>
      <w:r>
        <w:rPr>
          <w:rFonts w:hint="eastAsia" w:ascii="Times New Roman" w:hAnsi="Times New Roman" w:eastAsia="仿宋_GB2312" w:cs="Times New Roman"/>
          <w:b w:val="0"/>
          <w:bCs w:val="0"/>
          <w:color w:val="000000"/>
          <w:kern w:val="0"/>
          <w:sz w:val="32"/>
          <w:szCs w:val="32"/>
          <w:lang w:val="zh-CN" w:eastAsia="zh-CN" w:bidi="ar"/>
        </w:rPr>
        <w:t>该类项目总数</w:t>
      </w:r>
      <w:r>
        <w:rPr>
          <w:rFonts w:hint="eastAsia" w:ascii="Times New Roman" w:hAnsi="Times New Roman" w:eastAsia="仿宋_GB2312" w:cs="Times New Roman"/>
          <w:b w:val="0"/>
          <w:bCs w:val="0"/>
          <w:color w:val="000000"/>
          <w:kern w:val="0"/>
          <w:sz w:val="32"/>
          <w:szCs w:val="32"/>
          <w:lang w:val="en-US" w:eastAsia="zh-CN" w:bidi="ar"/>
        </w:rPr>
        <w:t>8</w:t>
      </w:r>
      <w:r>
        <w:rPr>
          <w:rFonts w:hint="eastAsia" w:ascii="Times New Roman" w:hAnsi="Times New Roman" w:eastAsia="仿宋_GB2312" w:cs="Times New Roman"/>
          <w:b w:val="0"/>
          <w:bCs w:val="0"/>
          <w:color w:val="000000"/>
          <w:kern w:val="0"/>
          <w:sz w:val="32"/>
          <w:szCs w:val="32"/>
          <w:lang w:val="zh-CN" w:eastAsia="zh-CN" w:bidi="ar"/>
        </w:rPr>
        <w:t>个，分别是</w:t>
      </w:r>
      <w:r>
        <w:rPr>
          <w:rFonts w:hint="eastAsia" w:ascii="Times New Roman" w:hAnsi="Times New Roman" w:eastAsia="仿宋_GB2312" w:cs="Times New Roman"/>
          <w:b w:val="0"/>
          <w:bCs w:val="0"/>
          <w:color w:val="000000"/>
          <w:kern w:val="0"/>
          <w:sz w:val="32"/>
          <w:szCs w:val="32"/>
          <w:lang w:val="en-US" w:eastAsia="zh-CN" w:bidi="ar"/>
        </w:rPr>
        <w:t>图书馆免费开放区级配套经费2.6万元、文化馆免费开放区级配套经费2.6万元、攀财资教〔2025〕8号美术馆、公共图书馆、文化馆（站）免费开放补助中央资金28.80万元、攀财资教〔2025〕8号美术馆、公共图书馆、文化馆（站）免费开放补助省级资金2.8万元、攀财资教〔2025〕30号市级非物质文化遗产代表性传承人传承经费1.2万元、攀财资教〔2025〕67号省级财政文化和旅游发展专项资金（省级非遗传承人）2.5万元、-攀财资教〔2025〕71号美术馆、公共图书馆、文化馆（站）免费开放补助资金3.2万元、</w:t>
      </w:r>
      <w:r>
        <w:rPr>
          <w:rFonts w:hint="eastAsia" w:ascii="Times New Roman" w:hAnsi="Times New Roman" w:eastAsia="仿宋_GB2312" w:cs="Times New Roman"/>
          <w:b w:val="0"/>
          <w:bCs w:val="0"/>
          <w:color w:val="000000"/>
          <w:kern w:val="0"/>
          <w:sz w:val="32"/>
          <w:szCs w:val="32"/>
          <w:lang w:val="zh-CN" w:eastAsia="zh-CN" w:bidi="ar"/>
        </w:rPr>
        <w:t>“文化馆办公房租赁及物业管理费”</w:t>
      </w:r>
      <w:r>
        <w:rPr>
          <w:rFonts w:hint="eastAsia" w:ascii="Times New Roman" w:hAnsi="Times New Roman" w:eastAsia="仿宋_GB2312" w:cs="Times New Roman"/>
          <w:b w:val="0"/>
          <w:bCs w:val="0"/>
          <w:color w:val="000000"/>
          <w:kern w:val="0"/>
          <w:sz w:val="32"/>
          <w:szCs w:val="32"/>
          <w:lang w:val="en-US" w:eastAsia="zh-CN" w:bidi="ar"/>
        </w:rPr>
        <w:t>81.95</w:t>
      </w:r>
      <w:r>
        <w:rPr>
          <w:rFonts w:hint="eastAsia" w:ascii="Times New Roman" w:hAnsi="Times New Roman" w:eastAsia="仿宋_GB2312" w:cs="Times New Roman"/>
          <w:b w:val="0"/>
          <w:bCs w:val="0"/>
          <w:color w:val="000000"/>
          <w:kern w:val="0"/>
          <w:sz w:val="32"/>
          <w:szCs w:val="32"/>
          <w:lang w:val="zh-CN" w:eastAsia="zh-CN" w:bidi="ar"/>
        </w:rPr>
        <w:t>，涉及预算总金额</w:t>
      </w:r>
      <w:r>
        <w:rPr>
          <w:rFonts w:hint="eastAsia" w:ascii="Times New Roman" w:hAnsi="Times New Roman" w:eastAsia="仿宋_GB2312" w:cs="Times New Roman"/>
          <w:b w:val="0"/>
          <w:bCs w:val="0"/>
          <w:color w:val="000000"/>
          <w:kern w:val="0"/>
          <w:sz w:val="32"/>
          <w:szCs w:val="32"/>
          <w:lang w:val="en-US" w:eastAsia="zh-CN" w:bidi="ar"/>
        </w:rPr>
        <w:t>125.65</w:t>
      </w:r>
      <w:r>
        <w:rPr>
          <w:rFonts w:hint="eastAsia" w:ascii="Times New Roman" w:hAnsi="Times New Roman" w:eastAsia="仿宋_GB2312" w:cs="Times New Roman"/>
          <w:b w:val="0"/>
          <w:bCs w:val="0"/>
          <w:color w:val="000000"/>
          <w:kern w:val="0"/>
          <w:sz w:val="32"/>
          <w:szCs w:val="32"/>
          <w:lang w:val="zh-CN" w:eastAsia="zh-CN" w:bidi="ar"/>
        </w:rPr>
        <w:t>万元，1—1</w:t>
      </w:r>
      <w:r>
        <w:rPr>
          <w:rFonts w:hint="eastAsia" w:ascii="Times New Roman" w:hAnsi="Times New Roman" w:eastAsia="仿宋_GB2312" w:cs="Times New Roman"/>
          <w:b w:val="0"/>
          <w:bCs w:val="0"/>
          <w:color w:val="000000"/>
          <w:kern w:val="0"/>
          <w:sz w:val="32"/>
          <w:szCs w:val="32"/>
          <w:lang w:val="en-US" w:eastAsia="zh-CN" w:bidi="ar"/>
        </w:rPr>
        <w:t>2</w:t>
      </w:r>
      <w:r>
        <w:rPr>
          <w:rFonts w:hint="eastAsia" w:ascii="Times New Roman" w:hAnsi="Times New Roman" w:eastAsia="仿宋_GB2312" w:cs="Times New Roman"/>
          <w:b w:val="0"/>
          <w:bCs w:val="0"/>
          <w:color w:val="000000"/>
          <w:kern w:val="0"/>
          <w:sz w:val="32"/>
          <w:szCs w:val="32"/>
          <w:lang w:val="zh-CN" w:eastAsia="zh-CN" w:bidi="ar"/>
        </w:rPr>
        <w:t>月预算执行总体进度为</w:t>
      </w:r>
      <w:r>
        <w:rPr>
          <w:rFonts w:hint="eastAsia" w:ascii="Times New Roman" w:hAnsi="Times New Roman" w:eastAsia="仿宋_GB2312" w:cs="Times New Roman"/>
          <w:b w:val="0"/>
          <w:bCs w:val="0"/>
          <w:color w:val="000000"/>
          <w:kern w:val="0"/>
          <w:sz w:val="32"/>
          <w:szCs w:val="32"/>
          <w:lang w:val="en-US" w:eastAsia="zh-CN" w:bidi="ar"/>
        </w:rPr>
        <w:t>100</w:t>
      </w:r>
      <w:r>
        <w:rPr>
          <w:rFonts w:hint="eastAsia" w:ascii="Times New Roman" w:hAnsi="Times New Roman" w:eastAsia="仿宋_GB2312" w:cs="Times New Roman"/>
          <w:b w:val="0"/>
          <w:bCs w:val="0"/>
          <w:color w:val="000000"/>
          <w:kern w:val="0"/>
          <w:sz w:val="32"/>
          <w:szCs w:val="32"/>
          <w:lang w:val="zh-CN" w:eastAsia="zh-CN" w:bidi="ar"/>
        </w:rPr>
        <w:t>%。</w:t>
      </w:r>
    </w:p>
    <w:p w14:paraId="33E9F343">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eastAsia" w:ascii="Times New Roman" w:hAnsi="Times New Roman" w:eastAsia="仿宋_GB2312" w:cs="Times New Roman"/>
          <w:b w:val="0"/>
          <w:bCs w:val="0"/>
          <w:color w:val="000000"/>
          <w:kern w:val="0"/>
          <w:sz w:val="32"/>
          <w:szCs w:val="32"/>
          <w:lang w:val="en-US" w:eastAsia="zh-CN" w:bidi="ar"/>
        </w:rPr>
        <w:t>阶段项目绩效分析。</w:t>
      </w:r>
      <w:r>
        <w:rPr>
          <w:rFonts w:hint="eastAsia" w:ascii="Times New Roman" w:hAnsi="Times New Roman" w:eastAsia="仿宋_GB2312" w:cs="Times New Roman"/>
          <w:b w:val="0"/>
          <w:bCs w:val="0"/>
          <w:color w:val="000000"/>
          <w:kern w:val="0"/>
          <w:sz w:val="32"/>
          <w:szCs w:val="32"/>
          <w:lang w:val="zh-CN" w:eastAsia="zh-CN" w:bidi="ar"/>
        </w:rPr>
        <w:t>该类项目总数</w:t>
      </w:r>
      <w:r>
        <w:rPr>
          <w:rFonts w:hint="eastAsia" w:ascii="Times New Roman" w:hAnsi="Times New Roman" w:eastAsia="仿宋_GB2312" w:cs="Times New Roman"/>
          <w:b w:val="0"/>
          <w:bCs w:val="0"/>
          <w:color w:val="000000"/>
          <w:kern w:val="0"/>
          <w:sz w:val="32"/>
          <w:szCs w:val="32"/>
          <w:lang w:val="en-US" w:eastAsia="zh-CN" w:bidi="ar"/>
        </w:rPr>
        <w:t>3</w:t>
      </w:r>
      <w:r>
        <w:rPr>
          <w:rFonts w:hint="eastAsia" w:ascii="Times New Roman" w:hAnsi="Times New Roman" w:eastAsia="仿宋_GB2312" w:cs="Times New Roman"/>
          <w:b w:val="0"/>
          <w:bCs w:val="0"/>
          <w:color w:val="000000"/>
          <w:kern w:val="0"/>
          <w:sz w:val="32"/>
          <w:szCs w:val="32"/>
          <w:lang w:val="zh-CN" w:eastAsia="zh-CN" w:bidi="ar"/>
        </w:rPr>
        <w:t>个，分别是</w:t>
      </w:r>
      <w:r>
        <w:rPr>
          <w:rFonts w:hint="eastAsia" w:ascii="Times New Roman" w:hAnsi="Times New Roman" w:eastAsia="仿宋_GB2312" w:cs="Times New Roman"/>
          <w:b w:val="0"/>
          <w:bCs w:val="0"/>
          <w:color w:val="000000"/>
          <w:kern w:val="0"/>
          <w:sz w:val="32"/>
          <w:szCs w:val="32"/>
          <w:lang w:val="en-US" w:eastAsia="zh-CN" w:bidi="ar"/>
        </w:rPr>
        <w:t>2023年省级文物保护资金24.44万元，公共图书馆、美术馆、文化馆免费开放中央和省级补助资金19.83万元、2024年省级文化和旅游发展专项资金（第一批）2.5万元、市级非物质文化遗产代表性传承人传承经费1.2万元、美术馆、公共图书馆、文化馆（站）免费开放补助资金6万元，涉及预算总金额53.97万元，1-12月预算执行总体进度为执行率100%。</w:t>
      </w:r>
    </w:p>
    <w:p w14:paraId="4D20E548">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en-US" w:eastAsia="zh-CN" w:bidi="ar"/>
        </w:rPr>
        <w:t>1.</w:t>
      </w:r>
      <w:r>
        <w:rPr>
          <w:rFonts w:hint="default" w:ascii="Times New Roman" w:hAnsi="Times New Roman" w:eastAsia="仿宋_GB2312" w:cs="Times New Roman"/>
          <w:b w:val="0"/>
          <w:bCs w:val="0"/>
          <w:color w:val="000000"/>
          <w:kern w:val="0"/>
          <w:sz w:val="32"/>
          <w:szCs w:val="32"/>
          <w:lang w:val="zh-CN" w:eastAsia="zh-CN" w:bidi="ar"/>
        </w:rPr>
        <w:t>项目决策。</w:t>
      </w:r>
    </w:p>
    <w:p w14:paraId="5B161825">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（1）决策程序：根据202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zh-CN" w:eastAsia="zh-CN" w:bidi="ar"/>
        </w:rPr>
        <w:t>年部门预算编制要求，符合事前绩效评估条件的按要求开展了自行评估并上传评估报告。</w:t>
      </w:r>
    </w:p>
    <w:p w14:paraId="7A910F8B">
      <w:pPr>
        <w:pStyle w:val="33"/>
        <w:spacing w:line="240" w:lineRule="auto"/>
        <w:ind w:firstLine="640" w:firstLineChars="200"/>
        <w:rPr>
          <w:rFonts w:hint="default" w:ascii="Times New Roman" w:hAnsi="Times New Roman" w:eastAsia="仿宋_GB2312" w:cs="Times New Roman"/>
          <w:color w:val="auto"/>
          <w:kern w:val="2"/>
          <w:sz w:val="32"/>
          <w:szCs w:val="32"/>
          <w:lang w:val="zh-CN" w:eastAsia="zh-CN" w:bidi="ar-SA"/>
        </w:rPr>
      </w:pPr>
      <w:r>
        <w:rPr>
          <w:rFonts w:hint="default" w:ascii="Times New Roman" w:hAnsi="Times New Roman" w:eastAsia="仿宋_GB2312" w:cs="Times New Roman"/>
          <w:b w:val="0"/>
          <w:bCs w:val="0"/>
          <w:color w:val="000000"/>
          <w:kern w:val="0"/>
          <w:sz w:val="32"/>
          <w:szCs w:val="32"/>
          <w:lang w:val="zh-CN" w:eastAsia="zh-CN" w:bidi="ar"/>
        </w:rPr>
        <w:t>（2）目标设置：部门预算项目绩效目标设置与计划期</w:t>
      </w:r>
      <w:r>
        <w:rPr>
          <w:rFonts w:hint="default" w:ascii="Times New Roman" w:hAnsi="Times New Roman" w:eastAsia="仿宋_GB2312" w:cs="Times New Roman"/>
          <w:color w:val="auto"/>
          <w:kern w:val="2"/>
          <w:sz w:val="32"/>
          <w:szCs w:val="32"/>
          <w:lang w:val="zh-CN" w:eastAsia="zh-CN" w:bidi="ar-SA"/>
        </w:rPr>
        <w:t>内的任务量、预算安排相匹配。</w:t>
      </w:r>
    </w:p>
    <w:p w14:paraId="20EC6F3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640" w:firstLineChars="200"/>
        <w:contextualSpacing/>
        <w:jc w:val="left"/>
        <w:textAlignment w:val="auto"/>
        <w:outlineLvl w:val="9"/>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color w:val="auto"/>
          <w:kern w:val="2"/>
          <w:sz w:val="32"/>
          <w:szCs w:val="32"/>
          <w:lang w:val="zh-CN" w:eastAsia="zh-CN" w:bidi="ar-SA"/>
        </w:rPr>
        <w:t>（3）项目入库：所有项目均在规定时间内完成项目入库工作。</w:t>
      </w:r>
    </w:p>
    <w:p w14:paraId="6E46C0A7">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en-US" w:eastAsia="zh-CN" w:bidi="ar"/>
        </w:rPr>
        <w:t>2.项目执行</w:t>
      </w:r>
      <w:r>
        <w:rPr>
          <w:rFonts w:hint="default" w:ascii="Times New Roman" w:hAnsi="Times New Roman" w:eastAsia="仿宋_GB2312" w:cs="Times New Roman"/>
          <w:b w:val="0"/>
          <w:bCs w:val="0"/>
          <w:color w:val="000000"/>
          <w:kern w:val="0"/>
          <w:sz w:val="32"/>
          <w:szCs w:val="32"/>
          <w:lang w:val="zh-CN" w:eastAsia="zh-CN" w:bidi="ar"/>
        </w:rPr>
        <w:t>。</w:t>
      </w:r>
    </w:p>
    <w:p w14:paraId="0E471E5D">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（1）执行同向：部门预算项目实际列支内容与绩效目标设置方向相符。</w:t>
      </w:r>
    </w:p>
    <w:p w14:paraId="3BB03253">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（2）项目调整：项目执行过程中定期监控项目进度并根据实际情况进行调整，密切关注预算执行的情况，确保预算与绩效目标实现度保持一致。</w:t>
      </w:r>
    </w:p>
    <w:p w14:paraId="44BF5CDE">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（3）执行结果：良好。</w:t>
      </w:r>
    </w:p>
    <w:p w14:paraId="65873253">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zh-CN" w:eastAsia="zh-CN" w:bidi="ar"/>
        </w:rPr>
        <w:t>目标实现。</w:t>
      </w:r>
    </w:p>
    <w:p w14:paraId="49A5668D">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w:t>
      </w:r>
      <w:r>
        <w:rPr>
          <w:rFonts w:hint="default" w:ascii="Times New Roman" w:hAnsi="Times New Roman" w:eastAsia="仿宋_GB2312" w:cs="Times New Roman"/>
          <w:b w:val="0"/>
          <w:bCs w:val="0"/>
          <w:color w:val="000000"/>
          <w:kern w:val="0"/>
          <w:sz w:val="32"/>
          <w:szCs w:val="32"/>
          <w:lang w:val="en-US" w:eastAsia="zh-CN" w:bidi="ar"/>
        </w:rPr>
        <w:t>1</w:t>
      </w:r>
      <w:r>
        <w:rPr>
          <w:rFonts w:hint="default" w:ascii="Times New Roman" w:hAnsi="Times New Roman" w:eastAsia="仿宋_GB2312" w:cs="Times New Roman"/>
          <w:b w:val="0"/>
          <w:bCs w:val="0"/>
          <w:color w:val="000000"/>
          <w:kern w:val="0"/>
          <w:sz w:val="32"/>
          <w:szCs w:val="32"/>
          <w:lang w:val="zh-CN" w:eastAsia="zh-CN" w:bidi="ar"/>
        </w:rPr>
        <w:t>）目标完成：良好。</w:t>
      </w:r>
    </w:p>
    <w:p w14:paraId="06C6D8CA">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w:t>
      </w:r>
      <w:r>
        <w:rPr>
          <w:rFonts w:hint="default" w:ascii="Times New Roman" w:hAnsi="Times New Roman" w:eastAsia="仿宋_GB2312" w:cs="Times New Roman"/>
          <w:b w:val="0"/>
          <w:bCs w:val="0"/>
          <w:color w:val="000000"/>
          <w:kern w:val="0"/>
          <w:sz w:val="32"/>
          <w:szCs w:val="32"/>
          <w:lang w:val="en-US" w:eastAsia="zh-CN" w:bidi="ar"/>
        </w:rPr>
        <w:t>2</w:t>
      </w:r>
      <w:r>
        <w:rPr>
          <w:rFonts w:hint="default" w:ascii="Times New Roman" w:hAnsi="Times New Roman" w:eastAsia="仿宋_GB2312" w:cs="Times New Roman"/>
          <w:b w:val="0"/>
          <w:bCs w:val="0"/>
          <w:color w:val="000000"/>
          <w:kern w:val="0"/>
          <w:sz w:val="32"/>
          <w:szCs w:val="32"/>
          <w:lang w:val="zh-CN" w:eastAsia="zh-CN" w:bidi="ar"/>
        </w:rPr>
        <w:t>）目标偏离：无。</w:t>
      </w:r>
    </w:p>
    <w:p w14:paraId="4A5F6293">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zh-CN" w:eastAsia="zh-CN" w:bidi="ar"/>
        </w:rPr>
      </w:pPr>
      <w:r>
        <w:rPr>
          <w:rFonts w:hint="default" w:ascii="Times New Roman" w:hAnsi="Times New Roman" w:eastAsia="仿宋_GB2312" w:cs="Times New Roman"/>
          <w:b w:val="0"/>
          <w:bCs w:val="0"/>
          <w:color w:val="000000"/>
          <w:kern w:val="0"/>
          <w:sz w:val="32"/>
          <w:szCs w:val="32"/>
          <w:lang w:val="zh-CN" w:eastAsia="zh-CN" w:bidi="ar"/>
        </w:rPr>
        <w:t>（</w:t>
      </w:r>
      <w:r>
        <w:rPr>
          <w:rFonts w:hint="default" w:ascii="Times New Roman" w:hAnsi="Times New Roman" w:eastAsia="仿宋_GB2312"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zh-CN" w:eastAsia="zh-CN" w:bidi="ar"/>
        </w:rPr>
        <w:t>）实现效果：绩效目标效益指标完成率100%。</w:t>
      </w:r>
    </w:p>
    <w:p w14:paraId="17628330">
      <w:pPr>
        <w:adjustRightInd w:val="0"/>
        <w:snapToGrid w:val="0"/>
        <w:spacing w:line="240" w:lineRule="auto"/>
        <w:ind w:firstLine="720"/>
        <w:rPr>
          <w:rFonts w:hint="default" w:ascii="方正楷体_GBK" w:hAnsi="方正楷体_GBK" w:eastAsia="方正楷体_GBK" w:cs="方正楷体_GBK"/>
          <w:b/>
          <w:bCs w:val="0"/>
          <w:sz w:val="32"/>
          <w:szCs w:val="32"/>
          <w:lang w:val="zh-CN" w:eastAsia="zh-CN"/>
        </w:rPr>
      </w:pPr>
      <w:r>
        <w:rPr>
          <w:rFonts w:hint="default" w:ascii="方正楷体_GBK" w:hAnsi="方正楷体_GBK" w:eastAsia="方正楷体_GBK" w:cs="方正楷体_GBK"/>
          <w:b/>
          <w:bCs w:val="0"/>
          <w:sz w:val="32"/>
          <w:szCs w:val="32"/>
          <w:lang w:val="zh-CN"/>
        </w:rPr>
        <w:t>（三）</w:t>
      </w:r>
      <w:r>
        <w:rPr>
          <w:rFonts w:hint="default" w:ascii="方正楷体_GBK" w:hAnsi="方正楷体_GBK" w:eastAsia="方正楷体_GBK" w:cs="方正楷体_GBK"/>
          <w:b/>
          <w:bCs w:val="0"/>
          <w:sz w:val="32"/>
          <w:szCs w:val="32"/>
          <w:lang w:val="zh-CN" w:eastAsia="zh-CN"/>
        </w:rPr>
        <w:t>重点领域</w:t>
      </w:r>
      <w:r>
        <w:rPr>
          <w:rFonts w:hint="default" w:ascii="方正楷体_GBK" w:hAnsi="方正楷体_GBK" w:eastAsia="方正楷体_GBK" w:cs="方正楷体_GBK"/>
          <w:b/>
          <w:bCs w:val="0"/>
          <w:sz w:val="32"/>
          <w:szCs w:val="32"/>
          <w:lang w:val="zh-CN"/>
        </w:rPr>
        <w:t>绩效分析</w:t>
      </w:r>
      <w:r>
        <w:rPr>
          <w:rFonts w:hint="default" w:ascii="方正楷体_GBK" w:hAnsi="方正楷体_GBK" w:eastAsia="方正楷体_GBK" w:cs="方正楷体_GBK"/>
          <w:b/>
          <w:bCs w:val="0"/>
          <w:sz w:val="32"/>
          <w:szCs w:val="32"/>
          <w:lang w:val="zh-CN" w:eastAsia="zh-CN"/>
        </w:rPr>
        <w:t>。</w:t>
      </w:r>
    </w:p>
    <w:p w14:paraId="7999C228">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认真开展政府购买服务检查，对照政府购买服务禁止事项清单逐一进行检查自纠，确保购买服务合法合规。</w:t>
      </w:r>
    </w:p>
    <w:p w14:paraId="4EDDF190">
      <w:pPr>
        <w:adjustRightInd w:val="0"/>
        <w:snapToGrid w:val="0"/>
        <w:spacing w:line="240" w:lineRule="auto"/>
        <w:ind w:firstLine="720"/>
        <w:rPr>
          <w:rFonts w:hint="default" w:ascii="方正楷体_GBK" w:hAnsi="方正楷体_GBK" w:eastAsia="方正楷体_GBK" w:cs="方正楷体_GBK"/>
          <w:b/>
          <w:bCs w:val="0"/>
          <w:sz w:val="32"/>
          <w:szCs w:val="32"/>
          <w:lang w:val="zh-CN" w:eastAsia="zh-CN"/>
        </w:rPr>
      </w:pPr>
      <w:r>
        <w:rPr>
          <w:rFonts w:hint="default" w:ascii="方正楷体_GBK" w:hAnsi="方正楷体_GBK" w:eastAsia="方正楷体_GBK" w:cs="方正楷体_GBK"/>
          <w:b/>
          <w:bCs w:val="0"/>
          <w:sz w:val="32"/>
          <w:szCs w:val="32"/>
          <w:lang w:val="zh-CN" w:eastAsia="zh-CN"/>
        </w:rPr>
        <w:t>（四）绩效结果应用情况。</w:t>
      </w:r>
    </w:p>
    <w:p w14:paraId="54DA1CD7">
      <w:pPr>
        <w:pStyle w:val="33"/>
        <w:spacing w:line="240" w:lineRule="auto"/>
        <w:ind w:firstLine="640" w:firstLineChars="200"/>
        <w:rPr>
          <w:rFonts w:hint="default" w:ascii="方正黑体_GBK" w:hAnsi="方正黑体_GBK" w:eastAsia="方正黑体_GBK" w:cs="方正黑体_GBK"/>
          <w:color w:val="auto"/>
          <w:sz w:val="32"/>
          <w:szCs w:val="32"/>
          <w:lang w:val="zh-CN" w:eastAsia="zh-CN"/>
        </w:rPr>
      </w:pPr>
      <w:r>
        <w:rPr>
          <w:rFonts w:hint="default" w:ascii="Times New Roman" w:hAnsi="Times New Roman" w:eastAsia="仿宋_GB2312" w:cs="Times New Roman"/>
          <w:b w:val="0"/>
          <w:bCs w:val="0"/>
          <w:color w:val="000000"/>
          <w:kern w:val="0"/>
          <w:sz w:val="32"/>
          <w:szCs w:val="32"/>
          <w:lang w:val="zh-CN" w:eastAsia="zh-CN" w:bidi="ar"/>
        </w:rPr>
        <w:t>按要求，各专项资金管理股室对绩效目标进行全过程跟踪和监管，组织专项资金的绩效评价，并将绩效评价报告报区财政局报备。同时，按照预决算公开要求在官方网站上公开相关绩效信息。</w:t>
      </w:r>
    </w:p>
    <w:p w14:paraId="51A461BC">
      <w:pPr>
        <w:spacing w:line="240" w:lineRule="auto"/>
        <w:ind w:firstLine="640" w:firstLineChars="200"/>
        <w:rPr>
          <w:rFonts w:hint="default" w:ascii="方正黑体_GBK" w:hAnsi="方正黑体_GBK" w:eastAsia="方正黑体_GBK" w:cs="方正黑体_GBK"/>
          <w:color w:val="auto"/>
          <w:sz w:val="32"/>
          <w:szCs w:val="32"/>
          <w:lang w:val="zh-CN" w:eastAsia="zh-CN"/>
        </w:rPr>
      </w:pPr>
      <w:r>
        <w:rPr>
          <w:rFonts w:hint="default" w:ascii="方正黑体_GBK" w:hAnsi="方正黑体_GBK" w:eastAsia="方正黑体_GBK" w:cs="方正黑体_GBK"/>
          <w:color w:val="auto"/>
          <w:sz w:val="32"/>
          <w:szCs w:val="32"/>
          <w:lang w:val="zh-CN" w:eastAsia="zh-CN"/>
        </w:rPr>
        <w:t>四、评价结论及建议</w:t>
      </w:r>
    </w:p>
    <w:p w14:paraId="30C7D15B">
      <w:pPr>
        <w:adjustRightInd w:val="0"/>
        <w:snapToGrid w:val="0"/>
        <w:spacing w:line="240" w:lineRule="auto"/>
        <w:ind w:firstLine="720"/>
        <w:rPr>
          <w:rFonts w:hint="default" w:ascii="方正楷体_GBK" w:hAnsi="方正楷体_GBK" w:eastAsia="方正楷体_GBK" w:cs="方正楷体_GBK"/>
          <w:b/>
          <w:bCs w:val="0"/>
          <w:sz w:val="32"/>
          <w:szCs w:val="32"/>
          <w:lang w:val="zh-CN"/>
        </w:rPr>
      </w:pPr>
      <w:r>
        <w:rPr>
          <w:rFonts w:hint="default" w:ascii="方正楷体_GBK" w:hAnsi="方正楷体_GBK" w:eastAsia="方正楷体_GBK" w:cs="方正楷体_GBK"/>
          <w:b/>
          <w:bCs w:val="0"/>
          <w:sz w:val="32"/>
          <w:szCs w:val="32"/>
          <w:lang w:val="zh-CN"/>
        </w:rPr>
        <w:t>（一）评价结论。</w:t>
      </w:r>
    </w:p>
    <w:p w14:paraId="035E633E">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按要求对202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en-US" w:eastAsia="zh-CN" w:bidi="ar"/>
        </w:rPr>
        <w:t>年部门预算整体绩效评价进行自评，自评得分9</w:t>
      </w:r>
      <w:r>
        <w:rPr>
          <w:rFonts w:hint="eastAsia" w:ascii="Times New Roman" w:hAnsi="Times New Roman" w:eastAsia="仿宋_GB2312" w:cs="Times New Roman"/>
          <w:b w:val="0"/>
          <w:bCs w:val="0"/>
          <w:color w:val="000000"/>
          <w:kern w:val="0"/>
          <w:sz w:val="32"/>
          <w:szCs w:val="32"/>
          <w:lang w:val="en-US" w:eastAsia="zh-CN" w:bidi="ar"/>
        </w:rPr>
        <w:t>1</w:t>
      </w:r>
      <w:r>
        <w:rPr>
          <w:rFonts w:hint="default" w:ascii="Times New Roman" w:hAnsi="Times New Roman" w:eastAsia="仿宋_GB2312" w:cs="Times New Roman"/>
          <w:b w:val="0"/>
          <w:bCs w:val="0"/>
          <w:color w:val="000000"/>
          <w:kern w:val="0"/>
          <w:sz w:val="32"/>
          <w:szCs w:val="32"/>
          <w:lang w:val="en-US" w:eastAsia="zh-CN" w:bidi="ar"/>
        </w:rPr>
        <w:t>。从评价情况看，202</w:t>
      </w:r>
      <w:r>
        <w:rPr>
          <w:rFonts w:hint="eastAsia" w:ascii="Times New Roman" w:hAnsi="Times New Roman" w:eastAsia="仿宋_GB2312" w:cs="Times New Roman"/>
          <w:b w:val="0"/>
          <w:bCs w:val="0"/>
          <w:color w:val="000000"/>
          <w:kern w:val="0"/>
          <w:sz w:val="32"/>
          <w:szCs w:val="32"/>
          <w:lang w:val="en-US" w:eastAsia="zh-CN" w:bidi="ar"/>
        </w:rPr>
        <w:t>5</w:t>
      </w:r>
      <w:r>
        <w:rPr>
          <w:rFonts w:hint="default" w:ascii="Times New Roman" w:hAnsi="Times New Roman" w:eastAsia="仿宋_GB2312" w:cs="Times New Roman"/>
          <w:b w:val="0"/>
          <w:bCs w:val="0"/>
          <w:color w:val="000000"/>
          <w:kern w:val="0"/>
          <w:sz w:val="32"/>
          <w:szCs w:val="32"/>
          <w:lang w:val="en-US" w:eastAsia="zh-CN" w:bidi="ar"/>
        </w:rPr>
        <w:t>年我单位部门整体支出绩效评价自查自评结果良好，全年基本支出保证了部门的正常运行和日常工作的正常开展，项目支出保障了重点工作的开展，绩效目标得到较好实现。单位财务制度健全，管理规范，财政预算得到有效执行。通过加强绩效预算管理，财政资金得到有效使用，行政效率得到提高，促进了各项工作顺利开展。社会评价良好，群众满意度较高，项目实施成效较好。</w:t>
      </w:r>
    </w:p>
    <w:p w14:paraId="33D24534">
      <w:pPr>
        <w:adjustRightInd w:val="0"/>
        <w:snapToGrid w:val="0"/>
        <w:spacing w:line="240" w:lineRule="auto"/>
        <w:ind w:firstLine="720"/>
        <w:rPr>
          <w:rFonts w:hint="default" w:ascii="方正楷体_GBK" w:hAnsi="方正楷体_GBK" w:eastAsia="方正楷体_GBK" w:cs="方正楷体_GBK"/>
          <w:b/>
          <w:bCs w:val="0"/>
          <w:sz w:val="32"/>
          <w:szCs w:val="32"/>
          <w:lang w:val="zh-CN"/>
        </w:rPr>
      </w:pPr>
      <w:r>
        <w:rPr>
          <w:rFonts w:hint="default" w:ascii="方正楷体_GBK" w:hAnsi="方正楷体_GBK" w:eastAsia="方正楷体_GBK" w:cs="方正楷体_GBK"/>
          <w:b/>
          <w:bCs w:val="0"/>
          <w:sz w:val="32"/>
          <w:szCs w:val="32"/>
          <w:lang w:val="zh-CN"/>
        </w:rPr>
        <w:t>（二）存在问题。</w:t>
      </w:r>
    </w:p>
    <w:p w14:paraId="3C077C6D">
      <w:pPr>
        <w:pStyle w:val="33"/>
        <w:spacing w:line="240" w:lineRule="auto"/>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资金使用单位绩效管理水平有待提高。资金使用单位领导对绩效管理工作重视程度不够，完成质量不高，业务负责人和经办人编制预算绩效目标不科学、不够细化量化，事中绩效监控还有待加强，事后绩效自评较少从项目管理本身等主观因素上查找问题进行分析。</w:t>
      </w:r>
    </w:p>
    <w:p w14:paraId="5F723DF6">
      <w:pPr>
        <w:adjustRightInd w:val="0"/>
        <w:snapToGrid w:val="0"/>
        <w:spacing w:line="240" w:lineRule="auto"/>
        <w:ind w:firstLine="720"/>
        <w:rPr>
          <w:rFonts w:hint="default" w:ascii="方正楷体_GBK" w:hAnsi="方正楷体_GBK" w:eastAsia="方正楷体_GBK" w:cs="方正楷体_GBK"/>
          <w:b/>
          <w:bCs w:val="0"/>
          <w:sz w:val="32"/>
          <w:szCs w:val="32"/>
          <w:lang w:val="zh-CN" w:eastAsia="zh-CN"/>
        </w:rPr>
      </w:pPr>
      <w:r>
        <w:rPr>
          <w:rFonts w:hint="default" w:ascii="方正楷体_GBK" w:hAnsi="方正楷体_GBK" w:eastAsia="方正楷体_GBK" w:cs="方正楷体_GBK"/>
          <w:b/>
          <w:bCs w:val="0"/>
          <w:sz w:val="32"/>
          <w:szCs w:val="32"/>
          <w:lang w:val="zh-CN" w:eastAsia="zh-CN"/>
        </w:rPr>
        <w:t>（三）改进建议。</w:t>
      </w:r>
    </w:p>
    <w:p w14:paraId="5F71025E">
      <w:pPr>
        <w:pStyle w:val="33"/>
        <w:spacing w:line="240" w:lineRule="auto"/>
        <w:ind w:firstLine="640" w:firstLineChars="200"/>
        <w:rPr>
          <w:rFonts w:hint="eastAsia" w:ascii="Times New Roman" w:eastAsia="仿宋_GB2312"/>
          <w:sz w:val="32"/>
          <w:lang w:val="zh-CN"/>
        </w:rPr>
      </w:pPr>
      <w:r>
        <w:rPr>
          <w:rFonts w:hint="default" w:ascii="Times New Roman" w:hAnsi="Times New Roman" w:eastAsia="仿宋_GB2312" w:cs="Times New Roman"/>
          <w:b w:val="0"/>
          <w:bCs w:val="0"/>
          <w:color w:val="000000"/>
          <w:kern w:val="0"/>
          <w:sz w:val="32"/>
          <w:szCs w:val="32"/>
          <w:lang w:val="en-US" w:eastAsia="zh-CN" w:bidi="ar"/>
        </w:rPr>
        <w:t>有针对性地开展绩效工作培训，解决因政策不熟悉而导致的绩效管理意识不强、工作质量不高问题。结合政府采购管理办法等，开展政府采购和绩效管理工作培训，传达</w:t>
      </w:r>
      <w:r>
        <w:rPr>
          <w:rFonts w:hint="eastAsia" w:ascii="Times New Roman" w:hAnsi="Times New Roman" w:eastAsia="仿宋_GB2312" w:cs="Times New Roman"/>
          <w:b w:val="0"/>
          <w:bCs w:val="0"/>
          <w:color w:val="000000"/>
          <w:kern w:val="0"/>
          <w:sz w:val="32"/>
          <w:szCs w:val="32"/>
          <w:lang w:val="en-US" w:eastAsia="zh-CN" w:bidi="ar"/>
        </w:rPr>
        <w:t>省委、省政府</w:t>
      </w:r>
      <w:r>
        <w:rPr>
          <w:rFonts w:hint="default" w:ascii="Times New Roman" w:hAnsi="Times New Roman" w:eastAsia="仿宋_GB2312" w:cs="Times New Roman"/>
          <w:b w:val="0"/>
          <w:bCs w:val="0"/>
          <w:color w:val="000000"/>
          <w:kern w:val="0"/>
          <w:sz w:val="32"/>
          <w:szCs w:val="32"/>
          <w:lang w:val="en-US" w:eastAsia="zh-CN" w:bidi="ar"/>
        </w:rPr>
        <w:t>关于深入实施预算绩效管理文件精神，全面剖析财政考核指标内涵，结合图文两馆工作特点，针对典型案例进行分析，开展业务指导和操作培训。</w:t>
      </w:r>
    </w:p>
    <w:p w14:paraId="38F0DBBF">
      <w:pPr>
        <w:pStyle w:val="25"/>
        <w:spacing w:line="240" w:lineRule="auto"/>
        <w:ind w:left="0" w:leftChars="0" w:firstLine="640"/>
        <w:rPr>
          <w:rFonts w:hint="eastAsia" w:ascii="Times New Roman" w:eastAsia="黑体" w:cs="黑体"/>
          <w:sz w:val="32"/>
          <w:szCs w:val="32"/>
          <w:shd w:val="clear" w:color="auto" w:fill="FFFFFF"/>
          <w:lang w:val="zh-CN"/>
        </w:rPr>
      </w:pPr>
      <w:r>
        <w:rPr>
          <w:rFonts w:hint="eastAsia" w:ascii="Times New Roman" w:eastAsia="仿宋_GB2312"/>
          <w:sz w:val="32"/>
          <w:lang w:val="zh-CN"/>
        </w:rPr>
        <w:t>附表：</w:t>
      </w:r>
      <w:r>
        <w:rPr>
          <w:rFonts w:hint="eastAsia" w:ascii="Times New Roman" w:eastAsia="仿宋_GB2312"/>
          <w:sz w:val="32"/>
        </w:rPr>
        <w:t>部门预算项目支出绩效自评表（2025年度）</w:t>
      </w:r>
    </w:p>
    <w:p w14:paraId="03724D5C">
      <w:pPr>
        <w:pStyle w:val="42"/>
        <w:spacing w:before="93" w:beforeLines="0" w:line="240" w:lineRule="auto"/>
        <w:rPr>
          <w:rFonts w:ascii="Times New Roman" w:hAnsi="Times New Roman" w:eastAsia="方正小标宋简体" w:cs="方正小标宋简体"/>
          <w:color w:val="auto"/>
          <w:kern w:val="2"/>
          <w:sz w:val="44"/>
          <w:szCs w:val="44"/>
          <w:lang w:val="en-US"/>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10B2E277">
      <w:pPr>
        <w:pStyle w:val="41"/>
        <w:spacing w:line="240" w:lineRule="auto"/>
        <w:jc w:val="center"/>
        <w:rPr>
          <w:rFonts w:ascii="Times New Roman" w:hAnsi="Times New Roman"/>
          <w:color w:val="auto"/>
          <w:kern w:val="2"/>
          <w:sz w:val="32"/>
          <w:szCs w:val="32"/>
        </w:rPr>
      </w:pPr>
      <w:r>
        <w:rPr>
          <w:rFonts w:hint="eastAsia" w:ascii="Times New Roman" w:hAnsi="Times New Roman" w:eastAsia="方正小标宋简体"/>
          <w:color w:val="auto"/>
          <w:kern w:val="2"/>
          <w:sz w:val="40"/>
          <w:szCs w:val="40"/>
          <w:lang w:eastAsia="zh-CN"/>
        </w:rPr>
        <w:t>文化馆办公房租赁及物业管理费</w:t>
      </w:r>
      <w:r>
        <w:rPr>
          <w:rFonts w:ascii="Times New Roman" w:hAnsi="Times New Roman" w:eastAsia="方正小标宋简体"/>
          <w:color w:val="auto"/>
          <w:kern w:val="2"/>
          <w:sz w:val="40"/>
          <w:szCs w:val="40"/>
        </w:rPr>
        <w:t>专项预算项目支出绩效自评报告</w:t>
      </w:r>
    </w:p>
    <w:p w14:paraId="1F5C9428">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一、</w:t>
      </w:r>
      <w:r>
        <w:rPr>
          <w:rFonts w:hint="eastAsia" w:ascii="方正黑体_GBK" w:hAnsi="方正黑体_GBK" w:eastAsia="方正黑体_GBK" w:cs="方正黑体_GBK"/>
          <w:color w:val="auto"/>
          <w:sz w:val="32"/>
          <w:szCs w:val="32"/>
          <w:lang w:val="zh-CN" w:eastAsia="zh-CN"/>
        </w:rPr>
        <w:t>项目概况</w:t>
      </w:r>
    </w:p>
    <w:p w14:paraId="57EB8FB4">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（一）项目基本情况</w:t>
      </w:r>
    </w:p>
    <w:p w14:paraId="1BAB822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eastAsia="仿宋_GB2312" w:cs="Times New Roman"/>
          <w:b w:val="0"/>
          <w:bCs w:val="0"/>
          <w:color w:val="000000"/>
          <w:kern w:val="0"/>
          <w:sz w:val="32"/>
          <w:szCs w:val="32"/>
          <w:lang w:val="zh-CN" w:eastAsia="zh-CN" w:bidi="ar"/>
        </w:rPr>
        <w:t>1.</w:t>
      </w:r>
      <w:r>
        <w:rPr>
          <w:rFonts w:hint="eastAsia" w:ascii="Times New Roman" w:hAnsi="Times New Roman" w:eastAsia="仿宋_GB2312" w:cs="Times New Roman"/>
          <w:b w:val="0"/>
          <w:bCs w:val="0"/>
          <w:color w:val="000000"/>
          <w:kern w:val="0"/>
          <w:sz w:val="32"/>
          <w:szCs w:val="32"/>
          <w:lang w:val="en-US" w:eastAsia="zh-CN" w:bidi="ar"/>
        </w:rPr>
        <w:t>仁和区文化馆作为主管部门，负责项目规划和具体实施的监督指导，区文化馆按照项目管理相关要求开展具体工作，确保按时保质保量完成项目绩效目标。</w:t>
      </w:r>
      <w:r>
        <w:rPr>
          <w:rFonts w:hint="eastAsia" w:eastAsia="仿宋_GB2312" w:cs="Times New Roman"/>
          <w:b w:val="0"/>
          <w:bCs w:val="0"/>
          <w:color w:val="000000"/>
          <w:kern w:val="0"/>
          <w:sz w:val="32"/>
          <w:szCs w:val="32"/>
          <w:lang w:val="en-US" w:eastAsia="zh-CN" w:bidi="ar"/>
        </w:rPr>
        <w:t xml:space="preserve"> </w:t>
      </w:r>
    </w:p>
    <w:p w14:paraId="4096892A">
      <w:pPr>
        <w:pStyle w:val="33"/>
        <w:spacing w:line="240" w:lineRule="auto"/>
        <w:ind w:firstLine="640" w:firstLineChars="200"/>
        <w:rPr>
          <w:rFonts w:hint="eastAsia" w:ascii="Times New Roman" w:hAnsi="Times New Roman" w:eastAsia="仿宋_GB2312" w:cs="Times New Roman"/>
          <w:b w:val="0"/>
          <w:bCs w:val="0"/>
          <w:color w:val="000000"/>
          <w:kern w:val="0"/>
          <w:sz w:val="32"/>
          <w:szCs w:val="32"/>
          <w:lang w:val="zh-CN" w:eastAsia="zh-CN" w:bidi="ar"/>
        </w:rPr>
      </w:pPr>
      <w:r>
        <w:rPr>
          <w:rFonts w:hint="eastAsia" w:ascii="Times New Roman" w:hAnsi="Times New Roman" w:eastAsia="仿宋_GB2312" w:cs="Times New Roman"/>
          <w:b w:val="0"/>
          <w:bCs w:val="0"/>
          <w:color w:val="000000"/>
          <w:kern w:val="0"/>
          <w:sz w:val="32"/>
          <w:szCs w:val="32"/>
          <w:lang w:val="zh-CN" w:eastAsia="zh-CN" w:bidi="ar"/>
        </w:rPr>
        <w:t>2.</w:t>
      </w:r>
      <w:r>
        <w:rPr>
          <w:rFonts w:hint="eastAsia" w:ascii="Times New Roman" w:hAnsi="Times New Roman" w:eastAsia="仿宋_GB2312" w:cs="Times New Roman"/>
          <w:b w:val="0"/>
          <w:bCs w:val="0"/>
          <w:color w:val="000000"/>
          <w:kern w:val="0"/>
          <w:sz w:val="32"/>
          <w:szCs w:val="32"/>
          <w:lang w:val="en-US" w:eastAsia="zh-CN" w:bidi="ar"/>
        </w:rPr>
        <w:t>立项和资金申报依据：</w:t>
      </w:r>
    </w:p>
    <w:p w14:paraId="162BCD63">
      <w:pPr>
        <w:pStyle w:val="33"/>
        <w:spacing w:line="240" w:lineRule="auto"/>
        <w:ind w:firstLine="640" w:firstLineChars="200"/>
        <w:rPr>
          <w:rFonts w:hint="eastAsia"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eastAsia="仿宋_GB2312" w:cs="Times New Roman"/>
          <w:b w:val="0"/>
          <w:bCs w:val="0"/>
          <w:color w:val="000000"/>
          <w:kern w:val="0"/>
          <w:sz w:val="32"/>
          <w:szCs w:val="32"/>
          <w:lang w:val="en-US" w:eastAsia="zh-CN" w:bidi="ar"/>
        </w:rPr>
        <w:t>仁和区文化馆依据《中华人民共和国预算法》《中华人民共和国政府采购法》等规定，结合仁和区财经纪律相关要求，制定《攀枝花市仁和区文化馆专项资金管理制度》，明确专项资金预算、审批、监督、支付等要求，建立了专项资金使用台账。</w:t>
      </w:r>
    </w:p>
    <w:p w14:paraId="08CF5399">
      <w:pPr>
        <w:pStyle w:val="33"/>
        <w:spacing w:line="240" w:lineRule="auto"/>
        <w:ind w:firstLine="640" w:firstLineChars="200"/>
        <w:rPr>
          <w:rFonts w:hint="eastAsia" w:ascii="Times New Roman" w:hAnsi="Times New Roman" w:eastAsia="仿宋_GB2312" w:cs="Times New Roman"/>
          <w:b w:val="0"/>
          <w:bCs w:val="0"/>
          <w:color w:val="000000"/>
          <w:kern w:val="0"/>
          <w:sz w:val="32"/>
          <w:szCs w:val="32"/>
          <w:lang w:val="zh-CN" w:eastAsia="zh-CN" w:bidi="ar"/>
        </w:rPr>
      </w:pPr>
      <w:r>
        <w:rPr>
          <w:rFonts w:hint="eastAsia" w:ascii="Times New Roman" w:hAnsi="Times New Roman" w:eastAsia="仿宋_GB2312" w:cs="Times New Roman"/>
          <w:b w:val="0"/>
          <w:bCs w:val="0"/>
          <w:color w:val="000000"/>
          <w:kern w:val="0"/>
          <w:sz w:val="32"/>
          <w:szCs w:val="32"/>
          <w:lang w:val="en-US" w:eastAsia="zh-CN" w:bidi="ar"/>
        </w:rPr>
        <w:t>3</w:t>
      </w:r>
      <w:r>
        <w:rPr>
          <w:rFonts w:hint="eastAsia" w:ascii="Times New Roman" w:hAnsi="Times New Roman" w:eastAsia="仿宋_GB2312" w:cs="Times New Roman"/>
          <w:b w:val="0"/>
          <w:bCs w:val="0"/>
          <w:color w:val="000000"/>
          <w:kern w:val="0"/>
          <w:sz w:val="32"/>
          <w:szCs w:val="32"/>
          <w:lang w:val="zh-CN" w:eastAsia="zh-CN" w:bidi="ar"/>
        </w:rPr>
        <w:t>.仁和区文化</w:t>
      </w:r>
      <w:r>
        <w:rPr>
          <w:rFonts w:hint="eastAsia" w:ascii="Times New Roman" w:hAnsi="Times New Roman" w:eastAsia="仿宋_GB2312" w:cs="Times New Roman"/>
          <w:b w:val="0"/>
          <w:bCs w:val="0"/>
          <w:color w:val="000000"/>
          <w:kern w:val="0"/>
          <w:sz w:val="32"/>
          <w:szCs w:val="32"/>
          <w:lang w:val="en-US" w:eastAsia="zh-CN" w:bidi="ar"/>
        </w:rPr>
        <w:t>馆严格落实专项资金管理规定，根据项目实施具体内容，按照对标目标、突出重点、集体决定原则完成项目资金分配，分配主要考虑因素为是否用于该项目、是否与绩效目标相对应、是否遵守厉行节约原则。</w:t>
      </w:r>
    </w:p>
    <w:p w14:paraId="4B7996E3">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（二）项目绩效目标</w:t>
      </w:r>
    </w:p>
    <w:p w14:paraId="1BDE3F2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1.项目主要内容：仁和区文化馆免费开放场地租赁及物业管理费用</w:t>
      </w:r>
      <w:r>
        <w:rPr>
          <w:rFonts w:hint="eastAsia" w:ascii="方正仿宋_GBK" w:hAnsi="方正仿宋_GBK" w:eastAsia="方正仿宋_GBK" w:cs="方正仿宋_GBK"/>
          <w:sz w:val="32"/>
          <w:szCs w:val="32"/>
          <w:lang w:val="en-US" w:eastAsia="zh-CN"/>
        </w:rPr>
        <w:t>。</w:t>
      </w:r>
    </w:p>
    <w:p w14:paraId="73C23D1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2.项目整体、区域</w:t>
      </w:r>
      <w:r>
        <w:rPr>
          <w:rFonts w:hint="eastAsia" w:ascii="方正仿宋_GBK" w:hAnsi="方正仿宋_GBK" w:eastAsia="方正仿宋_GBK" w:cs="方正仿宋_GBK"/>
          <w:sz w:val="32"/>
          <w:szCs w:val="32"/>
          <w:lang w:val="en-US" w:eastAsia="zh-CN"/>
        </w:rPr>
        <w:t>目标。按照相关部门要求，完成此项工作。</w:t>
      </w:r>
    </w:p>
    <w:p w14:paraId="7747247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lang w:val="zh-CN" w:eastAsia="zh-CN"/>
        </w:rPr>
        <w:t>具体绩效目标</w:t>
      </w:r>
    </w:p>
    <w:p w14:paraId="26D9F38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（1）数量指标：全年免费开放320天。</w:t>
      </w:r>
    </w:p>
    <w:p w14:paraId="4943397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（2）质量指标：按时完成 。</w:t>
      </w:r>
    </w:p>
    <w:p w14:paraId="45AD23F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（3）时效指标：时效2025年1月截至2025年12月。</w:t>
      </w:r>
    </w:p>
    <w:p w14:paraId="739BD03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（4）成本指标：81.95万元。</w:t>
      </w:r>
    </w:p>
    <w:p w14:paraId="54CECF7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（5）社会效益指标：满足群众文化需求。</w:t>
      </w:r>
    </w:p>
    <w:p w14:paraId="2774FAF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en-US" w:eastAsia="zh-CN"/>
        </w:rPr>
        <w:t>（6）满意度指标：参与群众满意度大于等于90%。</w:t>
      </w:r>
    </w:p>
    <w:p w14:paraId="418B948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3.</w:t>
      </w:r>
      <w:r>
        <w:rPr>
          <w:rFonts w:hint="eastAsia" w:ascii="方正仿宋_GBK" w:hAnsi="方正仿宋_GBK" w:eastAsia="方正仿宋_GBK" w:cs="方正仿宋_GBK"/>
          <w:sz w:val="32"/>
          <w:szCs w:val="32"/>
          <w:lang w:val="en-US" w:eastAsia="zh-CN"/>
        </w:rPr>
        <w:t>评价申报内容与文化馆开放需求相匹配，合理可行。</w:t>
      </w:r>
    </w:p>
    <w:p w14:paraId="53189AFC">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（三）项目自评步骤及方法</w:t>
      </w:r>
    </w:p>
    <w:p w14:paraId="2933728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w:t>
      </w:r>
      <w:r>
        <w:rPr>
          <w:rFonts w:hint="eastAsia" w:ascii="方正仿宋_GBK" w:hAnsi="方正仿宋_GBK" w:eastAsia="方正仿宋_GBK" w:cs="方正仿宋_GBK"/>
          <w:sz w:val="32"/>
          <w:szCs w:val="32"/>
          <w:lang w:val="en-US" w:eastAsia="zh-CN"/>
        </w:rPr>
        <w:t>1）明确目标任务。项目整体目标积极开展群众文化活动，提供免费开放场所，开展大家唱、大家跳等公益性群众文化活动，提高文化馆服务职能，向广大人民群众提供免费培训及训练场地，取得广泛的社会效益。</w:t>
      </w:r>
    </w:p>
    <w:p w14:paraId="4570D37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明确责任分工。由文化馆综合办公室牵头，负责统筹项目资金使用分配、采购预算、协调对接、现场监督、设备验收、项目自评等事宜，办公室负责必选采购、验收、资金支付等事宜，业务办负责数据提供、使用评价、协助验收等事宜。</w:t>
      </w:r>
    </w:p>
    <w:p w14:paraId="73EA8E9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（3）明确自评内容。评价内容包括绩效目标、目标完成质量、资金使用、社会效益、服务对象满意度等。</w:t>
      </w:r>
    </w:p>
    <w:p w14:paraId="02FC612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（4）明确自评步骤。自评步骤为收集项目完成数据、对比绩效目标分析项目完成情况和存在的问题、针对问题提出改进建议、制定下一步工作计划、撰写自评报告。</w:t>
      </w:r>
    </w:p>
    <w:p w14:paraId="6274527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en-US" w:eastAsia="zh-CN"/>
        </w:rPr>
        <w:t>（5）完成绩效自评。2025年12月，完成此项工作，2025年未完成支付费用。</w:t>
      </w:r>
    </w:p>
    <w:p w14:paraId="1A6D2099">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二、项目资金申报及使用情况</w:t>
      </w:r>
    </w:p>
    <w:p w14:paraId="5B0D5904">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（一）项目资金申报及批复情况</w:t>
      </w:r>
    </w:p>
    <w:p w14:paraId="1D84CAE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2025年1月，区文化馆向区财政局专项资金项目申报书，专项资金151.58万元，调整预算资金为81.95万元，用于文化馆场地租赁及物业管理费。</w:t>
      </w:r>
    </w:p>
    <w:p w14:paraId="71F9E049">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（二）资金计划、到位及使用情况</w:t>
      </w:r>
    </w:p>
    <w:p w14:paraId="1CC07B4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zh-CN" w:eastAsia="zh-CN"/>
        </w:rPr>
      </w:pPr>
      <w:r>
        <w:rPr>
          <w:rFonts w:hint="eastAsia" w:ascii="方正仿宋_GBK" w:hAnsi="方正仿宋_GBK" w:eastAsia="方正仿宋_GBK" w:cs="方正仿宋_GBK"/>
          <w:b w:val="0"/>
          <w:bCs w:val="0"/>
          <w:sz w:val="32"/>
          <w:szCs w:val="32"/>
          <w:lang w:val="zh-CN" w:eastAsia="zh-CN"/>
        </w:rPr>
        <w:t>1.资金计划。</w:t>
      </w:r>
      <w:r>
        <w:rPr>
          <w:rFonts w:hint="eastAsia" w:ascii="方正仿宋_GBK" w:hAnsi="方正仿宋_GBK" w:eastAsia="方正仿宋_GBK" w:cs="方正仿宋_GBK"/>
          <w:b w:val="0"/>
          <w:bCs w:val="0"/>
          <w:sz w:val="32"/>
          <w:szCs w:val="32"/>
          <w:lang w:val="en-US" w:eastAsia="zh-CN"/>
        </w:rPr>
        <w:t>资金使用计划为81.95万元</w:t>
      </w:r>
      <w:r>
        <w:rPr>
          <w:rFonts w:hint="eastAsia" w:ascii="方正仿宋_GBK" w:hAnsi="方正仿宋_GBK" w:eastAsia="方正仿宋_GBK" w:cs="方正仿宋_GBK"/>
          <w:b w:val="0"/>
          <w:bCs w:val="0"/>
          <w:sz w:val="32"/>
          <w:szCs w:val="32"/>
          <w:lang w:val="zh-CN" w:eastAsia="zh-CN"/>
        </w:rPr>
        <w:t>。</w:t>
      </w:r>
    </w:p>
    <w:p w14:paraId="7DDEDF8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zh-CN" w:eastAsia="zh-CN"/>
        </w:rPr>
        <w:t>2.资金到位。</w:t>
      </w:r>
      <w:r>
        <w:rPr>
          <w:rFonts w:hint="eastAsia" w:ascii="方正仿宋_GBK" w:hAnsi="方正仿宋_GBK" w:eastAsia="方正仿宋_GBK" w:cs="方正仿宋_GBK"/>
          <w:b w:val="0"/>
          <w:bCs w:val="0"/>
          <w:sz w:val="32"/>
          <w:szCs w:val="32"/>
          <w:lang w:val="en-US" w:eastAsia="zh-CN"/>
        </w:rPr>
        <w:t>2025年2月，仁和区财政局下达预算资金。</w:t>
      </w:r>
    </w:p>
    <w:p w14:paraId="6D70B3F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zh-CN" w:eastAsia="zh-CN"/>
        </w:rPr>
      </w:pPr>
      <w:r>
        <w:rPr>
          <w:rFonts w:hint="eastAsia" w:ascii="方正仿宋_GBK" w:hAnsi="方正仿宋_GBK" w:eastAsia="方正仿宋_GBK" w:cs="方正仿宋_GBK"/>
          <w:b w:val="0"/>
          <w:bCs w:val="0"/>
          <w:sz w:val="32"/>
          <w:szCs w:val="32"/>
          <w:lang w:val="zh-CN" w:eastAsia="zh-CN"/>
        </w:rPr>
        <w:t>3.资金使用。</w:t>
      </w:r>
      <w:r>
        <w:rPr>
          <w:rFonts w:hint="eastAsia" w:ascii="方正仿宋_GBK" w:hAnsi="方正仿宋_GBK" w:eastAsia="方正仿宋_GBK" w:cs="方正仿宋_GBK"/>
          <w:b w:val="0"/>
          <w:bCs w:val="0"/>
          <w:sz w:val="32"/>
          <w:szCs w:val="32"/>
          <w:lang w:val="en-US" w:eastAsia="zh-CN"/>
        </w:rPr>
        <w:t>资金未支付。</w:t>
      </w:r>
    </w:p>
    <w:p w14:paraId="57AD39A6">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（三）项目财务管理情况</w:t>
      </w:r>
    </w:p>
    <w:p w14:paraId="086F1BA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项目由攀枝花市仁和区文化馆负责实施，</w:t>
      </w:r>
      <w:r>
        <w:rPr>
          <w:rFonts w:hint="eastAsia" w:ascii="方正仿宋_GBK" w:hAnsi="方正仿宋_GBK" w:eastAsia="方正仿宋_GBK" w:cs="方正仿宋_GBK"/>
          <w:sz w:val="32"/>
          <w:szCs w:val="32"/>
          <w:lang w:val="zh-CN"/>
        </w:rPr>
        <w:t>财务管理制度</w:t>
      </w:r>
      <w:r>
        <w:rPr>
          <w:rFonts w:hint="eastAsia" w:ascii="方正仿宋_GBK" w:hAnsi="方正仿宋_GBK" w:eastAsia="方正仿宋_GBK" w:cs="方正仿宋_GBK"/>
          <w:sz w:val="32"/>
          <w:szCs w:val="32"/>
          <w:lang w:val="en-US" w:eastAsia="zh-CN"/>
        </w:rPr>
        <w:t>较</w:t>
      </w:r>
      <w:r>
        <w:rPr>
          <w:rFonts w:hint="eastAsia" w:ascii="方正仿宋_GBK" w:hAnsi="方正仿宋_GBK" w:eastAsia="方正仿宋_GBK" w:cs="方正仿宋_GBK"/>
          <w:sz w:val="32"/>
          <w:szCs w:val="32"/>
          <w:lang w:val="zh-CN"/>
        </w:rPr>
        <w:t>健全，严格执行</w:t>
      </w:r>
      <w:r>
        <w:rPr>
          <w:rFonts w:hint="eastAsia" w:ascii="方正仿宋_GBK" w:hAnsi="方正仿宋_GBK" w:eastAsia="方正仿宋_GBK" w:cs="方正仿宋_GBK"/>
          <w:sz w:val="32"/>
          <w:szCs w:val="32"/>
          <w:lang w:val="en-US" w:eastAsia="zh-CN"/>
        </w:rPr>
        <w:t>了</w:t>
      </w:r>
      <w:r>
        <w:rPr>
          <w:rFonts w:hint="eastAsia" w:ascii="方正仿宋_GBK" w:hAnsi="方正仿宋_GBK" w:eastAsia="方正仿宋_GBK" w:cs="方正仿宋_GBK"/>
          <w:sz w:val="32"/>
          <w:szCs w:val="32"/>
          <w:lang w:val="zh-CN"/>
        </w:rPr>
        <w:t>财务管理制度，</w:t>
      </w:r>
      <w:r>
        <w:rPr>
          <w:rFonts w:hint="eastAsia" w:ascii="方正仿宋_GBK" w:hAnsi="方正仿宋_GBK" w:eastAsia="方正仿宋_GBK" w:cs="方正仿宋_GBK"/>
          <w:sz w:val="32"/>
          <w:szCs w:val="32"/>
          <w:lang w:val="en-US" w:eastAsia="zh-CN"/>
        </w:rPr>
        <w:t>项目审批、招投标等流程均合法合规。</w:t>
      </w:r>
    </w:p>
    <w:p w14:paraId="2692CBD3">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三、项目实施及管理情况</w:t>
      </w:r>
    </w:p>
    <w:p w14:paraId="7CA5F0C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kern w:val="2"/>
          <w:sz w:val="32"/>
          <w:szCs w:val="32"/>
          <w:lang w:val="en-US" w:eastAsia="zh-CN" w:bidi="ar-SA"/>
        </w:rPr>
      </w:pPr>
      <w:r>
        <w:rPr>
          <w:rFonts w:hint="eastAsia" w:ascii="方正楷体_GBK" w:hAnsi="方正楷体_GBK" w:eastAsia="方正楷体_GBK" w:cs="方正楷体_GBK"/>
          <w:b/>
          <w:bCs w:val="0"/>
          <w:sz w:val="32"/>
          <w:szCs w:val="32"/>
          <w:lang w:val="zh-CN"/>
        </w:rPr>
        <w:t>（一）项目组织架构及实施流程。</w:t>
      </w:r>
      <w:r>
        <w:rPr>
          <w:rFonts w:hint="eastAsia" w:ascii="方正仿宋_GBK" w:hAnsi="方正仿宋_GBK" w:eastAsia="方正仿宋_GBK" w:cs="方正仿宋_GBK"/>
          <w:kern w:val="2"/>
          <w:sz w:val="32"/>
          <w:szCs w:val="32"/>
          <w:lang w:val="en-US" w:eastAsia="zh-CN" w:bidi="ar-SA"/>
        </w:rPr>
        <w:t>项目由区文化馆馆长负责统筹规划，区图书馆馆长负责实施协调工作。</w:t>
      </w:r>
    </w:p>
    <w:p w14:paraId="6A9D9F8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b/>
          <w:bCs w:val="0"/>
          <w:sz w:val="32"/>
          <w:szCs w:val="32"/>
          <w:lang w:val="zh-CN"/>
        </w:rPr>
        <w:t>（二）项目管理情况。</w:t>
      </w:r>
      <w:r>
        <w:rPr>
          <w:rFonts w:hint="eastAsia" w:ascii="方正仿宋_GBK" w:hAnsi="方正仿宋_GBK" w:eastAsia="方正仿宋_GBK" w:cs="方正仿宋_GBK"/>
          <w:sz w:val="32"/>
          <w:szCs w:val="32"/>
          <w:lang w:val="en-US" w:eastAsia="zh-CN"/>
        </w:rPr>
        <w:t>攀枝花市仁和区文化馆在项目执行过程中严格按照资金管理制度开展必选工作，项目立项、资金使用均通过馆务会议集体讨论通过。</w:t>
      </w:r>
    </w:p>
    <w:p w14:paraId="0F15D87E">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楷体_GBK" w:hAnsi="方正楷体_GBK" w:eastAsia="方正楷体_GBK" w:cs="方正楷体_GBK"/>
          <w:b/>
          <w:bCs w:val="0"/>
          <w:sz w:val="32"/>
          <w:szCs w:val="32"/>
          <w:lang w:val="zh-CN"/>
        </w:rPr>
        <w:t>（三）项目监管情况。</w:t>
      </w:r>
      <w:r>
        <w:rPr>
          <w:rFonts w:hint="eastAsia" w:ascii="方正仿宋_GBK" w:hAnsi="方正仿宋_GBK" w:eastAsia="方正仿宋_GBK" w:cs="方正仿宋_GBK"/>
          <w:b w:val="0"/>
          <w:bCs w:val="0"/>
          <w:sz w:val="32"/>
          <w:szCs w:val="32"/>
          <w:lang w:val="en-US" w:eastAsia="zh-CN"/>
        </w:rPr>
        <w:t>攀枝花市仁和区文化广播电视和旅游局部门作为项目主管单位全流程对项目实施情况进行监管，指派专人负责跟进项目实施，有效保障了项目顺利推进。</w:t>
      </w:r>
    </w:p>
    <w:p w14:paraId="3197FBCA">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四、项目绩效情况</w:t>
      </w:r>
      <w:r>
        <w:rPr>
          <w:rFonts w:hint="eastAsia" w:ascii="方正黑体_GBK" w:hAnsi="方正黑体_GBK" w:eastAsia="方正黑体_GBK" w:cs="方正黑体_GBK"/>
          <w:color w:val="auto"/>
          <w:sz w:val="32"/>
          <w:szCs w:val="32"/>
          <w:lang w:val="zh-CN" w:eastAsia="zh-CN"/>
        </w:rPr>
        <w:tab/>
      </w:r>
    </w:p>
    <w:p w14:paraId="17D91484">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（一）项目完成情况</w:t>
      </w:r>
    </w:p>
    <w:p w14:paraId="6BCD7BD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1.数量指标情况：已完成。</w:t>
      </w:r>
    </w:p>
    <w:p w14:paraId="7EA527C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2.质量指标情况：项目工作推进顺利。</w:t>
      </w:r>
    </w:p>
    <w:p w14:paraId="48131154">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3.时效指标情况：在规定时间内启动了项目工作，未存在超时情况。</w:t>
      </w:r>
    </w:p>
    <w:p w14:paraId="65AE44D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4.成本指标情况：项目已完成，未支付费用。</w:t>
      </w:r>
    </w:p>
    <w:p w14:paraId="37388BB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zh-CN" w:eastAsia="zh-CN"/>
        </w:rPr>
        <w:t>对照项目计划完成目标，</w:t>
      </w:r>
      <w:r>
        <w:rPr>
          <w:rFonts w:hint="eastAsia" w:ascii="方正仿宋_GBK" w:hAnsi="方正仿宋_GBK" w:eastAsia="方正仿宋_GBK" w:cs="方正仿宋_GBK"/>
          <w:b w:val="0"/>
          <w:bCs w:val="0"/>
          <w:sz w:val="32"/>
          <w:szCs w:val="32"/>
          <w:lang w:val="en-US" w:eastAsia="zh-CN"/>
        </w:rPr>
        <w:t>该项目工作进度在正常范围内，2024年内启动并完成了此项目工作，项目推进情况总体良好。</w:t>
      </w:r>
    </w:p>
    <w:p w14:paraId="60B6C297">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（二）项目效益情况</w:t>
      </w:r>
    </w:p>
    <w:p w14:paraId="05DF55D7">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1.社会效益指标：满足群众文化需求。</w:t>
      </w:r>
    </w:p>
    <w:p w14:paraId="028447EE">
      <w:pPr>
        <w:pStyle w:val="7"/>
        <w:spacing w:line="24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2.可持续影响指标：受益群众越来越多，提升文化馆的社会影响力。</w:t>
      </w:r>
    </w:p>
    <w:p w14:paraId="6F246B60">
      <w:pPr>
        <w:adjustRightInd w:val="0"/>
        <w:snapToGrid w:val="0"/>
        <w:spacing w:line="240" w:lineRule="auto"/>
        <w:ind w:firstLine="720"/>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3.满意度指标：参与群众满意度大于等于</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90%。</w:t>
      </w:r>
    </w:p>
    <w:p w14:paraId="31D2A2B6">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五、评价结论及建议</w:t>
      </w:r>
    </w:p>
    <w:p w14:paraId="47E9CE7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rPr>
        <w:t>（一）评价结论。</w:t>
      </w:r>
      <w:r>
        <w:rPr>
          <w:rFonts w:hint="eastAsia" w:ascii="方正仿宋_GBK" w:hAnsi="方正仿宋_GBK" w:eastAsia="方正仿宋_GBK" w:cs="方正仿宋_GBK"/>
          <w:b w:val="0"/>
          <w:bCs w:val="0"/>
          <w:sz w:val="32"/>
          <w:szCs w:val="32"/>
          <w:lang w:val="en-US" w:eastAsia="zh-CN"/>
        </w:rPr>
        <w:t>项目总体评价良好，体检数量、质量、成本、时效指标均在合理范围内，项目绩效目标设定合理，与相关部门要求匹配，达到了备选要求条件。</w:t>
      </w:r>
    </w:p>
    <w:p w14:paraId="7D72DF91">
      <w:pPr>
        <w:adjustRightInd w:val="0"/>
        <w:snapToGrid w:val="0"/>
        <w:spacing w:line="240" w:lineRule="auto"/>
        <w:ind w:firstLine="720"/>
        <w:rPr>
          <w:rFonts w:hint="eastAsia" w:ascii="方正楷体_GBK" w:hAnsi="方正楷体_GBK" w:eastAsia="方正楷体_GBK" w:cs="方正楷体_GBK"/>
          <w:b/>
          <w:bCs w:val="0"/>
          <w:sz w:val="32"/>
          <w:szCs w:val="32"/>
          <w:lang w:val="en-US"/>
        </w:rPr>
      </w:pPr>
      <w:r>
        <w:rPr>
          <w:rFonts w:hint="eastAsia" w:ascii="方正楷体_GBK" w:hAnsi="方正楷体_GBK" w:eastAsia="方正楷体_GBK" w:cs="方正楷体_GBK"/>
          <w:b/>
          <w:bCs w:val="0"/>
          <w:sz w:val="32"/>
          <w:szCs w:val="32"/>
          <w:lang w:val="zh-CN"/>
        </w:rPr>
        <w:t>（二）存在的问题。</w:t>
      </w:r>
      <w:r>
        <w:rPr>
          <w:rFonts w:hint="eastAsia" w:ascii="方正楷体_GBK" w:hAnsi="方正楷体_GBK" w:eastAsia="方正楷体_GBK" w:cs="方正楷体_GBK"/>
          <w:b/>
          <w:bCs w:val="0"/>
          <w:sz w:val="32"/>
          <w:szCs w:val="32"/>
          <w:lang w:val="en-US" w:eastAsia="zh-CN"/>
        </w:rPr>
        <w:t>无</w:t>
      </w:r>
    </w:p>
    <w:p w14:paraId="17F4C765">
      <w:pPr>
        <w:adjustRightInd w:val="0"/>
        <w:snapToGrid w:val="0"/>
        <w:spacing w:line="240" w:lineRule="auto"/>
        <w:ind w:firstLine="720"/>
        <w:rPr>
          <w:rFonts w:eastAsia="方正小标宋简体"/>
          <w:sz w:val="40"/>
          <w:szCs w:val="40"/>
          <w:lang w:val="zh-CN"/>
        </w:rPr>
      </w:pPr>
      <w:r>
        <w:rPr>
          <w:rFonts w:hint="eastAsia" w:ascii="方正楷体_GBK" w:hAnsi="方正楷体_GBK" w:eastAsia="方正楷体_GBK" w:cs="方正楷体_GBK"/>
          <w:b/>
          <w:bCs w:val="0"/>
          <w:sz w:val="32"/>
          <w:szCs w:val="32"/>
          <w:lang w:val="zh-CN"/>
        </w:rPr>
        <w:t>（三）相关建议。无</w:t>
      </w:r>
      <w:r>
        <w:rPr>
          <w:rFonts w:hint="eastAsia" w:ascii="方正楷体_GBK" w:hAnsi="方正楷体_GBK" w:eastAsia="方正楷体_GBK" w:cs="方正楷体_GBK"/>
          <w:b/>
          <w:bCs w:val="0"/>
          <w:sz w:val="32"/>
          <w:szCs w:val="32"/>
          <w:lang w:val="zh-CN"/>
        </w:rPr>
        <w:tab/>
      </w:r>
    </w:p>
    <w:p w14:paraId="6E25D4BE">
      <w:pPr>
        <w:pStyle w:val="41"/>
        <w:spacing w:line="240" w:lineRule="auto"/>
        <w:jc w:val="center"/>
        <w:rPr>
          <w:rFonts w:ascii="Times New Roman" w:hAnsi="Times New Roman" w:eastAsia="方正小标宋简体"/>
          <w:color w:val="auto"/>
          <w:kern w:val="2"/>
          <w:sz w:val="40"/>
          <w:szCs w:val="40"/>
        </w:rPr>
      </w:pPr>
      <w:r>
        <w:rPr>
          <w:rFonts w:hint="eastAsia" w:ascii="Times New Roman" w:hAnsi="Times New Roman" w:eastAsia="方正小标宋简体"/>
          <w:color w:val="auto"/>
          <w:kern w:val="2"/>
          <w:sz w:val="40"/>
          <w:szCs w:val="40"/>
        </w:rPr>
        <w:t>图书馆免费开放区级配套经费</w:t>
      </w:r>
      <w:r>
        <w:rPr>
          <w:rFonts w:ascii="Times New Roman" w:hAnsi="Times New Roman" w:eastAsia="方正小标宋简体"/>
          <w:color w:val="auto"/>
          <w:kern w:val="2"/>
          <w:sz w:val="40"/>
          <w:szCs w:val="40"/>
        </w:rPr>
        <w:t>专项预算项目</w:t>
      </w:r>
    </w:p>
    <w:p w14:paraId="2A22D034">
      <w:pPr>
        <w:pStyle w:val="41"/>
        <w:spacing w:line="240" w:lineRule="auto"/>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支出绩效自评报告</w:t>
      </w:r>
    </w:p>
    <w:p w14:paraId="6823D109">
      <w:pPr>
        <w:pStyle w:val="41"/>
        <w:spacing w:line="240" w:lineRule="auto"/>
        <w:jc w:val="both"/>
        <w:rPr>
          <w:rFonts w:ascii="Times New Roman" w:hAnsi="Times New Roman"/>
          <w:color w:val="auto"/>
          <w:kern w:val="2"/>
          <w:sz w:val="32"/>
          <w:szCs w:val="32"/>
        </w:rPr>
      </w:pPr>
    </w:p>
    <w:p w14:paraId="43046014">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一、</w:t>
      </w:r>
      <w:r>
        <w:rPr>
          <w:rFonts w:hint="eastAsia" w:ascii="方正黑体_GBK" w:hAnsi="方正黑体_GBK" w:eastAsia="方正黑体_GBK" w:cs="方正黑体_GBK"/>
          <w:color w:val="auto"/>
          <w:sz w:val="32"/>
          <w:szCs w:val="32"/>
          <w:lang w:val="zh-CN" w:eastAsia="zh-CN"/>
        </w:rPr>
        <w:t>项目概况</w:t>
      </w:r>
    </w:p>
    <w:p w14:paraId="291B79E8">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（一）项目基本情况</w:t>
      </w:r>
    </w:p>
    <w:p w14:paraId="0383766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1.</w:t>
      </w:r>
      <w:r>
        <w:rPr>
          <w:rFonts w:hint="eastAsia" w:ascii="方正仿宋_GBK" w:hAnsi="方正仿宋_GBK" w:eastAsia="方正仿宋_GBK" w:cs="方正仿宋_GBK"/>
          <w:sz w:val="32"/>
          <w:szCs w:val="32"/>
          <w:lang w:val="en-US" w:eastAsia="zh-CN"/>
        </w:rPr>
        <w:t>仁和区文化馆作为主管部门，负责项目规划和具体实施的监督指导，区文化馆按照项目管理相关要求开展具体工作，确保按时保质保量完成项目绩效目标。</w:t>
      </w:r>
    </w:p>
    <w:p w14:paraId="6194BE0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2.</w:t>
      </w:r>
      <w:r>
        <w:rPr>
          <w:rFonts w:hint="eastAsia" w:ascii="方正仿宋_GBK" w:hAnsi="方正仿宋_GBK" w:eastAsia="方正仿宋_GBK" w:cs="方正仿宋_GBK"/>
          <w:sz w:val="32"/>
          <w:szCs w:val="32"/>
          <w:lang w:val="en-US" w:eastAsia="zh-CN"/>
        </w:rPr>
        <w:t>立项和资金申报依据：</w:t>
      </w:r>
    </w:p>
    <w:p w14:paraId="1678758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仁和区文化馆依据《中华人民共和国预算法》《中华人民共和国政府采购法》等规定，结合仁和区财经纪律相关要求，制定《攀枝花市仁和区文化馆专项资金管理制度》，明确专项资金预算、审批、监督、支付等要求，建立了专项资金使用台账。</w:t>
      </w:r>
    </w:p>
    <w:p w14:paraId="0E11B82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val="zh-CN"/>
        </w:rPr>
        <w:t>.仁和区文化</w:t>
      </w:r>
      <w:r>
        <w:rPr>
          <w:rFonts w:hint="eastAsia" w:ascii="方正仿宋_GBK" w:hAnsi="方正仿宋_GBK" w:eastAsia="方正仿宋_GBK" w:cs="方正仿宋_GBK"/>
          <w:sz w:val="32"/>
          <w:szCs w:val="32"/>
          <w:lang w:val="en-US" w:eastAsia="zh-CN"/>
        </w:rPr>
        <w:t>馆严格落实专项资金管理规定，根据项目实施具体内容，按照对标目标、突出重点、集体决定原则完成项目资金分配，分配主要考虑因素为是否用于该项目、是否与绩效目标相对应、是否遵守厉行节约原则。</w:t>
      </w:r>
    </w:p>
    <w:p w14:paraId="16188064">
      <w:pPr>
        <w:adjustRightInd w:val="0"/>
        <w:snapToGrid w:val="0"/>
        <w:spacing w:line="240" w:lineRule="auto"/>
        <w:ind w:firstLine="720"/>
        <w:rPr>
          <w:rFonts w:hint="eastAsia" w:ascii="方正楷体_GBK" w:hAnsi="方正楷体_GBK" w:eastAsia="方正楷体_GBK" w:cs="方正楷体_GBK"/>
          <w:b/>
          <w:bCs w:val="0"/>
          <w:sz w:val="32"/>
          <w:szCs w:val="32"/>
          <w:lang w:val="en-US" w:eastAsia="zh-CN"/>
        </w:rPr>
      </w:pPr>
      <w:r>
        <w:rPr>
          <w:rFonts w:hint="eastAsia" w:ascii="方正楷体_GBK" w:hAnsi="方正楷体_GBK" w:eastAsia="方正楷体_GBK" w:cs="方正楷体_GBK"/>
          <w:b/>
          <w:bCs w:val="0"/>
          <w:sz w:val="32"/>
          <w:szCs w:val="32"/>
          <w:lang w:val="zh-CN"/>
        </w:rPr>
        <w:t>（二）项目绩效目标</w:t>
      </w:r>
      <w:r>
        <w:rPr>
          <w:rFonts w:hint="eastAsia" w:ascii="方正楷体_GBK" w:hAnsi="方正楷体_GBK" w:eastAsia="方正楷体_GBK" w:cs="方正楷体_GBK"/>
          <w:b/>
          <w:bCs w:val="0"/>
          <w:sz w:val="32"/>
          <w:szCs w:val="32"/>
          <w:lang w:val="en-US" w:eastAsia="zh-CN"/>
        </w:rPr>
        <w:t xml:space="preserve"> </w:t>
      </w:r>
    </w:p>
    <w:p w14:paraId="46E5ED4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1.项目主要内容：免费开放公共图书馆，改善服务，建立新型图书馆信息服务网络，提高公共图书馆服务职能，向广大人民群众免费提供图书阅览服务，取得广泛的社会效益。</w:t>
      </w:r>
    </w:p>
    <w:p w14:paraId="60CCC4A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val="0"/>
          <w:bCs w:val="0"/>
          <w:sz w:val="32"/>
          <w:szCs w:val="32"/>
          <w:lang w:val="zh-CN"/>
        </w:rPr>
        <w:t>2.</w:t>
      </w:r>
      <w:r>
        <w:rPr>
          <w:rFonts w:hint="eastAsia" w:ascii="方正仿宋_GBK" w:hAnsi="方正仿宋_GBK" w:eastAsia="方正仿宋_GBK" w:cs="方正仿宋_GBK"/>
          <w:b w:val="0"/>
          <w:bCs w:val="0"/>
          <w:sz w:val="32"/>
          <w:szCs w:val="32"/>
          <w:lang w:val="zh-CN" w:eastAsia="zh-CN"/>
        </w:rPr>
        <w:t>项目整体、区域</w:t>
      </w:r>
      <w:r>
        <w:rPr>
          <w:rFonts w:hint="eastAsia" w:ascii="方正仿宋_GBK" w:hAnsi="方正仿宋_GBK" w:eastAsia="方正仿宋_GBK" w:cs="方正仿宋_GBK"/>
          <w:b w:val="0"/>
          <w:bCs w:val="0"/>
          <w:sz w:val="32"/>
          <w:szCs w:val="32"/>
          <w:lang w:val="en-US" w:eastAsia="zh-CN"/>
        </w:rPr>
        <w:t>目标。</w:t>
      </w:r>
      <w:r>
        <w:rPr>
          <w:rFonts w:hint="eastAsia" w:ascii="方正仿宋_GBK" w:hAnsi="方正仿宋_GBK" w:eastAsia="方正仿宋_GBK" w:cs="方正仿宋_GBK"/>
          <w:sz w:val="32"/>
          <w:szCs w:val="32"/>
          <w:lang w:val="en-US" w:eastAsia="zh-CN"/>
        </w:rPr>
        <w:t>按照相关部门要求，完成此项工作。</w:t>
      </w:r>
    </w:p>
    <w:p w14:paraId="4448FC5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zh-CN" w:eastAsia="zh-CN"/>
        </w:rPr>
      </w:pPr>
      <w:r>
        <w:rPr>
          <w:rFonts w:hint="eastAsia" w:ascii="方正仿宋_GBK" w:hAnsi="方正仿宋_GBK" w:eastAsia="方正仿宋_GBK" w:cs="方正仿宋_GBK"/>
          <w:b w:val="0"/>
          <w:bCs w:val="0"/>
          <w:sz w:val="32"/>
          <w:szCs w:val="32"/>
          <w:lang w:val="en-US" w:eastAsia="zh-CN"/>
        </w:rPr>
        <w:t>3.</w:t>
      </w:r>
      <w:r>
        <w:rPr>
          <w:rFonts w:hint="eastAsia" w:ascii="方正仿宋_GBK" w:hAnsi="方正仿宋_GBK" w:eastAsia="方正仿宋_GBK" w:cs="方正仿宋_GBK"/>
          <w:b w:val="0"/>
          <w:bCs w:val="0"/>
          <w:sz w:val="32"/>
          <w:szCs w:val="32"/>
          <w:lang w:val="zh-CN" w:eastAsia="zh-CN"/>
        </w:rPr>
        <w:t>具体绩效目标</w:t>
      </w:r>
    </w:p>
    <w:p w14:paraId="249B85A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（1）数量指标：全年免费开放310天以上。</w:t>
      </w:r>
    </w:p>
    <w:p w14:paraId="15D1B88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（2）质量指标：按时完成 。</w:t>
      </w:r>
    </w:p>
    <w:p w14:paraId="5B7F100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（3）时效指标：时效2025年1月截至2025年12月。</w:t>
      </w:r>
    </w:p>
    <w:p w14:paraId="7A35D2B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（4）成本指标：2.6万元。</w:t>
      </w:r>
    </w:p>
    <w:p w14:paraId="6735265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（5）社会效益指标：满足群众文化需求。</w:t>
      </w:r>
    </w:p>
    <w:p w14:paraId="58A5CEE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b w:val="0"/>
          <w:bCs w:val="0"/>
          <w:sz w:val="32"/>
          <w:szCs w:val="32"/>
          <w:lang w:val="en-US" w:eastAsia="zh-CN"/>
        </w:rPr>
        <w:t>（6）满意度指标：参与群众满意度大于等于9</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0%。</w:t>
      </w:r>
    </w:p>
    <w:p w14:paraId="02236A31">
      <w:pPr>
        <w:adjustRightInd w:val="0"/>
        <w:snapToGrid w:val="0"/>
        <w:spacing w:line="240" w:lineRule="auto"/>
        <w:ind w:firstLine="72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lang w:val="zh-CN"/>
        </w:rPr>
        <w:t>.</w:t>
      </w:r>
      <w:r>
        <w:rPr>
          <w:rFonts w:hint="eastAsia" w:ascii="方正仿宋_GBK" w:hAnsi="方正仿宋_GBK" w:eastAsia="方正仿宋_GBK" w:cs="方正仿宋_GBK"/>
          <w:sz w:val="32"/>
          <w:szCs w:val="32"/>
          <w:lang w:val="en-US" w:eastAsia="zh-CN"/>
        </w:rPr>
        <w:t>评价申报内容与图书馆开放需求相匹配，合理可行。</w:t>
      </w:r>
    </w:p>
    <w:p w14:paraId="4AE89AAB">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（三）项目自评步骤及方法</w:t>
      </w:r>
    </w:p>
    <w:p w14:paraId="0205F7E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1）明确目标任务。</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项目整体目标是免</w:t>
      </w:r>
      <w:r>
        <w:rPr>
          <w:rFonts w:hint="eastAsia" w:ascii="方正仿宋_GBK" w:hAnsi="方正仿宋_GBK" w:eastAsia="方正仿宋_GBK" w:cs="方正仿宋_GBK"/>
          <w:sz w:val="32"/>
          <w:szCs w:val="32"/>
          <w:lang w:val="zh-CN"/>
        </w:rPr>
        <w:t>费开放公共图书馆，改善服务，建立新型图书馆信息服务网络，提高公共图书馆服务职能，向广大人民群众免费提供图书阅览服务，取得广泛的社会效益。</w:t>
      </w:r>
    </w:p>
    <w:p w14:paraId="3144DED8">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（2）明确责任分工。</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由文化馆综合办公室牵头，负责统筹项目资金使用分配、采购预算、协调对接、现场监督、设备验收、项目自评等事宜，办公室负责必选采购、验收、资金支付等事宜，业务办负责数据提供、使用评价、协助验收等事宜。</w:t>
      </w:r>
    </w:p>
    <w:p w14:paraId="0A864BA4">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（3）明确自评内容。</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评价内容包括绩效目标、目标完成质量、资金使用、社会效益、服务对象满意度等。</w:t>
      </w:r>
    </w:p>
    <w:p w14:paraId="1DF09D08">
      <w:pPr>
        <w:pStyle w:val="8"/>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（4）明确自评步骤。</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自评步骤为收集项目完成数据、对比绩效目标分析项目完成情况和存在的问题、针对问题提出改进建议、制定下一步工作计划、撰写自评报告。</w:t>
      </w:r>
    </w:p>
    <w:p w14:paraId="41980AD0">
      <w:pPr>
        <w:spacing w:line="240" w:lineRule="auto"/>
        <w:ind w:firstLine="640" w:firstLineChars="200"/>
        <w:jc w:val="both"/>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（5）完成绩效自评。</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2025年12月，完成此项工作，2025年已按进度完成支付费用。</w:t>
      </w:r>
    </w:p>
    <w:p w14:paraId="74C69621">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二、项目资金申报及使用情况</w:t>
      </w:r>
    </w:p>
    <w:p w14:paraId="337F3972">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（一）项目资金申报及批复情况</w:t>
      </w:r>
    </w:p>
    <w:p w14:paraId="46766E6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2025年1月，区文化馆向区财政局专项资金项目申报，专项资金2.6万元，用于仁和区图书馆免费开放。</w:t>
      </w:r>
    </w:p>
    <w:p w14:paraId="5D1685A1">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（二）资金计划、到位及使用情况</w:t>
      </w:r>
    </w:p>
    <w:p w14:paraId="056E054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zh-CN" w:eastAsia="zh-CN"/>
        </w:rPr>
        <w:t>1.资金计划。</w:t>
      </w:r>
      <w:r>
        <w:rPr>
          <w:rFonts w:hint="eastAsia" w:ascii="方正仿宋_GBK" w:hAnsi="方正仿宋_GBK" w:eastAsia="方正仿宋_GBK" w:cs="方正仿宋_GBK"/>
          <w:sz w:val="32"/>
          <w:szCs w:val="32"/>
          <w:lang w:val="en-US" w:eastAsia="zh-CN"/>
        </w:rPr>
        <w:t>资金使用计划为2.6万元</w:t>
      </w:r>
      <w:r>
        <w:rPr>
          <w:rFonts w:hint="eastAsia" w:ascii="方正仿宋_GBK" w:hAnsi="方正仿宋_GBK" w:eastAsia="方正仿宋_GBK" w:cs="方正仿宋_GBK"/>
          <w:sz w:val="32"/>
          <w:szCs w:val="32"/>
          <w:lang w:val="zh-CN" w:eastAsia="zh-CN"/>
        </w:rPr>
        <w:t>。</w:t>
      </w:r>
    </w:p>
    <w:p w14:paraId="21FE2D74">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2.资金到位。</w:t>
      </w:r>
      <w:r>
        <w:rPr>
          <w:rFonts w:hint="eastAsia" w:ascii="方正仿宋_GBK" w:hAnsi="方正仿宋_GBK" w:eastAsia="方正仿宋_GBK" w:cs="方正仿宋_GBK"/>
          <w:sz w:val="32"/>
          <w:szCs w:val="32"/>
          <w:lang w:val="en-US" w:eastAsia="zh-CN"/>
        </w:rPr>
        <w:t>2025年2月，仁和区财政局下达预算资金。</w:t>
      </w:r>
    </w:p>
    <w:p w14:paraId="44402C3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zh-CN" w:eastAsia="zh-CN"/>
        </w:rPr>
        <w:t>3.资金使用。</w:t>
      </w:r>
      <w:r>
        <w:rPr>
          <w:rFonts w:hint="eastAsia" w:ascii="方正仿宋_GBK" w:hAnsi="方正仿宋_GBK" w:eastAsia="方正仿宋_GBK" w:cs="方正仿宋_GBK"/>
          <w:sz w:val="32"/>
          <w:szCs w:val="32"/>
          <w:lang w:val="en-US" w:eastAsia="zh-CN"/>
        </w:rPr>
        <w:t>资金已按进度支付完毕。</w:t>
      </w:r>
    </w:p>
    <w:p w14:paraId="082C89D1">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（三）项目财务管理情况</w:t>
      </w:r>
    </w:p>
    <w:p w14:paraId="7E11589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en-US" w:eastAsia="zh-CN"/>
        </w:rPr>
        <w:t>项目由攀枝花市仁和区文化馆负责实施，</w:t>
      </w:r>
      <w:r>
        <w:rPr>
          <w:rFonts w:hint="eastAsia" w:ascii="方正仿宋_GBK" w:hAnsi="方正仿宋_GBK" w:eastAsia="方正仿宋_GBK" w:cs="方正仿宋_GBK"/>
          <w:sz w:val="32"/>
          <w:szCs w:val="32"/>
          <w:lang w:val="zh-CN" w:eastAsia="zh-CN"/>
        </w:rPr>
        <w:t>财务管理制度</w:t>
      </w:r>
      <w:r>
        <w:rPr>
          <w:rFonts w:hint="eastAsia" w:ascii="方正仿宋_GBK" w:hAnsi="方正仿宋_GBK" w:eastAsia="方正仿宋_GBK" w:cs="方正仿宋_GBK"/>
          <w:sz w:val="32"/>
          <w:szCs w:val="32"/>
          <w:lang w:val="en-US" w:eastAsia="zh-CN"/>
        </w:rPr>
        <w:t>较</w:t>
      </w:r>
      <w:r>
        <w:rPr>
          <w:rFonts w:hint="eastAsia" w:ascii="方正仿宋_GBK" w:hAnsi="方正仿宋_GBK" w:eastAsia="方正仿宋_GBK" w:cs="方正仿宋_GBK"/>
          <w:sz w:val="32"/>
          <w:szCs w:val="32"/>
          <w:lang w:val="zh-CN" w:eastAsia="zh-CN"/>
        </w:rPr>
        <w:t>健全，严格执行</w:t>
      </w:r>
      <w:r>
        <w:rPr>
          <w:rFonts w:hint="eastAsia" w:ascii="方正仿宋_GBK" w:hAnsi="方正仿宋_GBK" w:eastAsia="方正仿宋_GBK" w:cs="方正仿宋_GBK"/>
          <w:sz w:val="32"/>
          <w:szCs w:val="32"/>
          <w:lang w:val="en-US" w:eastAsia="zh-CN"/>
        </w:rPr>
        <w:t>了</w:t>
      </w:r>
      <w:r>
        <w:rPr>
          <w:rFonts w:hint="eastAsia" w:ascii="方正仿宋_GBK" w:hAnsi="方正仿宋_GBK" w:eastAsia="方正仿宋_GBK" w:cs="方正仿宋_GBK"/>
          <w:sz w:val="32"/>
          <w:szCs w:val="32"/>
          <w:lang w:val="zh-CN" w:eastAsia="zh-CN"/>
        </w:rPr>
        <w:t>财务管理制度，</w:t>
      </w:r>
      <w:r>
        <w:rPr>
          <w:rFonts w:hint="eastAsia" w:ascii="方正仿宋_GBK" w:hAnsi="方正仿宋_GBK" w:eastAsia="方正仿宋_GBK" w:cs="方正仿宋_GBK"/>
          <w:sz w:val="32"/>
          <w:szCs w:val="32"/>
          <w:lang w:val="en-US" w:eastAsia="zh-CN"/>
        </w:rPr>
        <w:t>项目审批、招投标等流程均合法合规。</w:t>
      </w:r>
    </w:p>
    <w:p w14:paraId="44815775">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三、项目实施及管理情况</w:t>
      </w:r>
    </w:p>
    <w:p w14:paraId="2BB1B2B4">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b/>
          <w:bCs w:val="0"/>
          <w:sz w:val="32"/>
          <w:szCs w:val="32"/>
          <w:lang w:val="zh-CN" w:eastAsia="zh-CN"/>
        </w:rPr>
        <w:t>（一）项目组织架构及实施流程。</w:t>
      </w:r>
      <w:r>
        <w:rPr>
          <w:rFonts w:hint="eastAsia" w:ascii="方正仿宋_GBK" w:hAnsi="方正仿宋_GBK" w:eastAsia="方正仿宋_GBK" w:cs="方正仿宋_GBK"/>
          <w:sz w:val="32"/>
          <w:szCs w:val="32"/>
          <w:lang w:val="en-US" w:eastAsia="zh-CN"/>
        </w:rPr>
        <w:t>项目由区文化馆馆长负责统筹规划，区图书馆馆长负责实施协调工作。</w:t>
      </w:r>
    </w:p>
    <w:p w14:paraId="059C166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b/>
          <w:bCs w:val="0"/>
          <w:sz w:val="32"/>
          <w:szCs w:val="32"/>
          <w:lang w:val="zh-CN" w:eastAsia="zh-CN"/>
        </w:rPr>
        <w:t>（二）项目管理情况。</w:t>
      </w:r>
      <w:r>
        <w:rPr>
          <w:rFonts w:hint="eastAsia" w:ascii="方正仿宋_GBK" w:hAnsi="方正仿宋_GBK" w:eastAsia="方正仿宋_GBK" w:cs="方正仿宋_GBK"/>
          <w:sz w:val="32"/>
          <w:szCs w:val="32"/>
          <w:lang w:val="en-US" w:eastAsia="zh-CN"/>
        </w:rPr>
        <w:t>攀枝花市仁和区文化馆在项目执行过程中严格按照资金管理制度开展必选工作，项目立项、资金使用均通过馆务会议集体讨论通过。</w:t>
      </w:r>
    </w:p>
    <w:p w14:paraId="0975F6D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b/>
          <w:bCs w:val="0"/>
          <w:sz w:val="32"/>
          <w:szCs w:val="32"/>
          <w:lang w:val="zh-CN" w:eastAsia="zh-CN"/>
        </w:rPr>
        <w:t>（三）项目监管情况。</w:t>
      </w:r>
      <w:r>
        <w:rPr>
          <w:rFonts w:hint="eastAsia" w:ascii="方正仿宋_GBK" w:hAnsi="方正仿宋_GBK" w:eastAsia="方正仿宋_GBK" w:cs="方正仿宋_GBK"/>
          <w:sz w:val="32"/>
          <w:szCs w:val="32"/>
          <w:lang w:val="en-US" w:eastAsia="zh-CN"/>
        </w:rPr>
        <w:t>攀枝花市仁和区文化广播电视和旅游局部门作为项目主管单位全流程对项目实施情况进行监管，指派专人负责跟进项目实施，有效保障了项目顺利推进。</w:t>
      </w:r>
    </w:p>
    <w:p w14:paraId="39A63464">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四、项目绩效情况</w:t>
      </w:r>
      <w:r>
        <w:rPr>
          <w:rFonts w:hint="eastAsia" w:ascii="方正黑体_GBK" w:hAnsi="方正黑体_GBK" w:eastAsia="方正黑体_GBK" w:cs="方正黑体_GBK"/>
          <w:color w:val="auto"/>
          <w:sz w:val="32"/>
          <w:szCs w:val="32"/>
          <w:lang w:val="zh-CN" w:eastAsia="zh-CN"/>
        </w:rPr>
        <w:tab/>
      </w:r>
    </w:p>
    <w:p w14:paraId="2BB951DB">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（一）项目完成情况</w:t>
      </w:r>
    </w:p>
    <w:p w14:paraId="61E408A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1.数量指标情况：已完成。 </w:t>
      </w:r>
    </w:p>
    <w:p w14:paraId="521FA90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2.质量指标情况：项目工作推进顺利。</w:t>
      </w:r>
    </w:p>
    <w:p w14:paraId="1F19D6E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3.时效指标情况：在规定时间内启动了项目工作，未存在超时情况。</w:t>
      </w:r>
    </w:p>
    <w:p w14:paraId="2740CCB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4.成本指标情况：项目已完成，已支付费用。</w:t>
      </w:r>
    </w:p>
    <w:p w14:paraId="034C274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对照项目计划完成目标，</w:t>
      </w:r>
      <w:r>
        <w:rPr>
          <w:rFonts w:hint="eastAsia" w:ascii="方正仿宋_GBK" w:hAnsi="方正仿宋_GBK" w:eastAsia="方正仿宋_GBK" w:cs="方正仿宋_GBK"/>
          <w:sz w:val="32"/>
          <w:szCs w:val="32"/>
          <w:lang w:val="en-US" w:eastAsia="zh-CN"/>
        </w:rPr>
        <w:t>该项目工作进度在正常范围内，2025年内启动并完成了此项目工作，项目推进情况总体良好。</w:t>
      </w:r>
    </w:p>
    <w:p w14:paraId="046ED39E">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（二）项目效益情况</w:t>
      </w:r>
    </w:p>
    <w:p w14:paraId="144D4E41">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1.社会效益指标：满足群众文化需求。</w:t>
      </w:r>
    </w:p>
    <w:p w14:paraId="52128F4F">
      <w:pPr>
        <w:pStyle w:val="7"/>
        <w:spacing w:line="24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2.可持续影响指标：受益群众越来越多，提升仁和区文化素质。</w:t>
      </w:r>
    </w:p>
    <w:p w14:paraId="3A90C67D">
      <w:pPr>
        <w:adjustRightInd w:val="0"/>
        <w:snapToGrid w:val="0"/>
        <w:spacing w:line="240" w:lineRule="auto"/>
        <w:ind w:firstLine="720"/>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3.满意度指标：参与群众满意度大于等于</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90%。</w:t>
      </w:r>
    </w:p>
    <w:p w14:paraId="089894B0">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五、评价结论及建议</w:t>
      </w:r>
    </w:p>
    <w:p w14:paraId="38154B54">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楷体_GBK" w:hAnsi="方正楷体_GBK" w:eastAsia="方正楷体_GBK" w:cs="方正楷体_GBK"/>
          <w:b/>
          <w:bCs w:val="0"/>
          <w:sz w:val="32"/>
          <w:szCs w:val="32"/>
          <w:lang w:val="zh-CN" w:eastAsia="zh-CN"/>
        </w:rPr>
        <w:t>（一）评价结论。</w:t>
      </w:r>
      <w:r>
        <w:rPr>
          <w:rFonts w:hint="eastAsia" w:ascii="方正仿宋_GBK" w:hAnsi="方正仿宋_GBK" w:eastAsia="方正仿宋_GBK" w:cs="方正仿宋_GBK"/>
          <w:sz w:val="32"/>
          <w:szCs w:val="32"/>
          <w:lang w:val="en-US" w:eastAsia="zh-CN"/>
        </w:rPr>
        <w:t xml:space="preserve">项目总体评价良好，体检数量、质量、成本、时效指标均在合理范围内，项目绩效目标设定合理，与相关部门要求匹配，达到了备选要求条件。 </w:t>
      </w:r>
    </w:p>
    <w:p w14:paraId="319C2AA5">
      <w:pPr>
        <w:adjustRightInd w:val="0"/>
        <w:snapToGrid w:val="0"/>
        <w:spacing w:line="240" w:lineRule="auto"/>
        <w:ind w:firstLine="720"/>
        <w:rPr>
          <w:rFonts w:hint="eastAsia" w:ascii="方正楷体_GBK" w:hAnsi="方正楷体_GBK" w:eastAsia="方正楷体_GBK" w:cs="方正楷体_GBK"/>
          <w:b/>
          <w:bCs w:val="0"/>
          <w:sz w:val="32"/>
          <w:szCs w:val="32"/>
          <w:lang w:val="en-US"/>
        </w:rPr>
      </w:pPr>
      <w:r>
        <w:rPr>
          <w:rFonts w:hint="eastAsia" w:ascii="方正楷体_GBK" w:hAnsi="方正楷体_GBK" w:eastAsia="方正楷体_GBK" w:cs="方正楷体_GBK"/>
          <w:b/>
          <w:bCs w:val="0"/>
          <w:sz w:val="32"/>
          <w:szCs w:val="32"/>
          <w:lang w:val="zh-CN"/>
        </w:rPr>
        <w:t>（二）存在的问题。</w:t>
      </w:r>
      <w:r>
        <w:rPr>
          <w:rFonts w:hint="eastAsia" w:ascii="方正楷体_GBK" w:hAnsi="方正楷体_GBK" w:eastAsia="方正楷体_GBK" w:cs="方正楷体_GBK"/>
          <w:b/>
          <w:bCs w:val="0"/>
          <w:sz w:val="32"/>
          <w:szCs w:val="32"/>
          <w:lang w:val="en-US" w:eastAsia="zh-CN"/>
        </w:rPr>
        <w:t>无</w:t>
      </w:r>
    </w:p>
    <w:p w14:paraId="572C270E">
      <w:pPr>
        <w:adjustRightInd w:val="0"/>
        <w:snapToGrid w:val="0"/>
        <w:spacing w:line="240" w:lineRule="auto"/>
        <w:ind w:firstLine="720"/>
        <w:rPr>
          <w:rFonts w:eastAsia="方正小标宋简体"/>
          <w:sz w:val="40"/>
          <w:szCs w:val="40"/>
          <w:lang w:val="zh-CN"/>
        </w:rPr>
      </w:pPr>
      <w:r>
        <w:rPr>
          <w:rFonts w:hint="eastAsia" w:ascii="方正楷体_GBK" w:hAnsi="方正楷体_GBK" w:eastAsia="方正楷体_GBK" w:cs="方正楷体_GBK"/>
          <w:b/>
          <w:bCs w:val="0"/>
          <w:sz w:val="32"/>
          <w:szCs w:val="32"/>
          <w:lang w:val="zh-CN"/>
        </w:rPr>
        <w:t>（三）相关建议。无</w:t>
      </w:r>
      <w:r>
        <w:rPr>
          <w:rFonts w:hint="eastAsia" w:ascii="方正楷体_GBK" w:hAnsi="方正楷体_GBK" w:eastAsia="方正楷体_GBK" w:cs="方正楷体_GBK"/>
          <w:b/>
          <w:bCs w:val="0"/>
          <w:sz w:val="32"/>
          <w:szCs w:val="32"/>
          <w:lang w:val="zh-CN"/>
        </w:rPr>
        <w:tab/>
      </w:r>
    </w:p>
    <w:p w14:paraId="2AF74FFB">
      <w:pPr>
        <w:pStyle w:val="41"/>
        <w:spacing w:line="240" w:lineRule="auto"/>
        <w:jc w:val="center"/>
        <w:rPr>
          <w:rFonts w:hint="eastAsia" w:ascii="Times New Roman" w:hAnsi="Times New Roman" w:eastAsia="方正小标宋简体"/>
          <w:color w:val="auto"/>
          <w:kern w:val="2"/>
          <w:sz w:val="40"/>
          <w:szCs w:val="40"/>
        </w:rPr>
      </w:pPr>
    </w:p>
    <w:p w14:paraId="6F8B205E">
      <w:pPr>
        <w:pStyle w:val="41"/>
        <w:spacing w:line="240" w:lineRule="auto"/>
        <w:jc w:val="center"/>
        <w:rPr>
          <w:rFonts w:ascii="Times New Roman" w:hAnsi="Times New Roman" w:eastAsia="方正小标宋简体"/>
          <w:color w:val="auto"/>
          <w:kern w:val="2"/>
          <w:sz w:val="40"/>
          <w:szCs w:val="40"/>
        </w:rPr>
      </w:pPr>
      <w:r>
        <w:rPr>
          <w:rFonts w:hint="eastAsia" w:ascii="Times New Roman" w:hAnsi="Times New Roman" w:eastAsia="方正小标宋简体"/>
          <w:color w:val="auto"/>
          <w:kern w:val="2"/>
          <w:sz w:val="40"/>
          <w:szCs w:val="40"/>
        </w:rPr>
        <w:t>攀财资教〔2025〕8号美术馆、公共图书馆、文化馆（站）免费开放补助中央资金</w:t>
      </w:r>
      <w:r>
        <w:rPr>
          <w:rFonts w:ascii="Times New Roman" w:hAnsi="Times New Roman" w:eastAsia="方正小标宋简体"/>
          <w:color w:val="auto"/>
          <w:kern w:val="2"/>
          <w:sz w:val="40"/>
          <w:szCs w:val="40"/>
        </w:rPr>
        <w:t>专项预算项目支出绩效自评报告</w:t>
      </w:r>
    </w:p>
    <w:p w14:paraId="03D975CE">
      <w:pPr>
        <w:pStyle w:val="41"/>
        <w:spacing w:line="240" w:lineRule="auto"/>
        <w:ind w:firstLine="640"/>
        <w:jc w:val="center"/>
        <w:rPr>
          <w:rFonts w:ascii="Times New Roman" w:hAnsi="Times New Roman"/>
          <w:color w:val="auto"/>
          <w:kern w:val="2"/>
          <w:sz w:val="32"/>
          <w:szCs w:val="32"/>
        </w:rPr>
      </w:pPr>
    </w:p>
    <w:p w14:paraId="6CF15FBA">
      <w:pPr>
        <w:spacing w:line="240" w:lineRule="auto"/>
        <w:ind w:firstLine="640" w:firstLineChars="200"/>
        <w:rPr>
          <w:rFonts w:hint="default"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一、</w:t>
      </w:r>
      <w:r>
        <w:rPr>
          <w:rFonts w:hint="eastAsia" w:ascii="方正黑体_GBK" w:hAnsi="方正黑体_GBK" w:eastAsia="方正黑体_GBK" w:cs="方正黑体_GBK"/>
          <w:color w:val="auto"/>
          <w:sz w:val="32"/>
          <w:szCs w:val="32"/>
          <w:lang w:val="zh-CN" w:eastAsia="zh-CN"/>
        </w:rPr>
        <w:t>项目概况</w:t>
      </w:r>
      <w:r>
        <w:rPr>
          <w:rFonts w:hint="eastAsia" w:ascii="方正黑体_GBK" w:hAnsi="方正黑体_GBK" w:eastAsia="方正黑体_GBK" w:cs="方正黑体_GBK"/>
          <w:color w:val="auto"/>
          <w:sz w:val="32"/>
          <w:szCs w:val="32"/>
          <w:lang w:val="en-US" w:eastAsia="zh-CN"/>
        </w:rPr>
        <w:t xml:space="preserve"> </w:t>
      </w:r>
    </w:p>
    <w:p w14:paraId="0B0002F2">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（一）项目基本情况</w:t>
      </w:r>
    </w:p>
    <w:p w14:paraId="3AB3F390">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1.</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仁和区文化馆作为主管部门，负责项目规划和具体实施的监督指导，区文化馆按照项目管理相关要求开展具体工作，确保按时保质保量完成项目绩效目标。</w:t>
      </w:r>
    </w:p>
    <w:p w14:paraId="3104C19C">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2.</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立项和资金申报依据：</w:t>
      </w:r>
    </w:p>
    <w:p w14:paraId="150807C1">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仁和区文化馆依据《中华人民共和国预算法》《中华人民共和国政府采购法》等规定，结合仁和区财经纪律相关要求，制定《攀枝花市仁和区文化馆专项资金管理制度》，明确专项资金预算、审批、监督、支付等要求，建立了专项资金使用台账。</w:t>
      </w:r>
    </w:p>
    <w:p w14:paraId="2502E8BA">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w:t>
      </w: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.仁和区文化</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馆严格落实专项资金管理规定，根据项目实施具体内容，按照对标目标、突出重点、集体决定原则完成项目资金分配，分配主要考虑因素为是否用于该项目、是否与绩效目标相对应、是否遵守厉行节约原则。</w:t>
      </w:r>
    </w:p>
    <w:p w14:paraId="6B2D9564">
      <w:pPr>
        <w:adjustRightInd w:val="0"/>
        <w:snapToGrid w:val="0"/>
        <w:spacing w:line="240" w:lineRule="auto"/>
        <w:ind w:firstLine="720"/>
        <w:rPr>
          <w:rFonts w:hint="eastAsia" w:ascii="方正楷体_GBK" w:hAnsi="方正楷体_GBK" w:eastAsia="方正楷体_GBK" w:cs="方正楷体_GBK"/>
          <w:b/>
          <w:bCs w:val="0"/>
          <w:sz w:val="32"/>
          <w:szCs w:val="32"/>
          <w:lang w:val="en-US" w:eastAsia="zh-CN"/>
        </w:rPr>
      </w:pPr>
      <w:r>
        <w:rPr>
          <w:rFonts w:hint="eastAsia" w:ascii="方正楷体_GBK" w:hAnsi="方正楷体_GBK" w:eastAsia="方正楷体_GBK" w:cs="方正楷体_GBK"/>
          <w:b/>
          <w:bCs w:val="0"/>
          <w:sz w:val="32"/>
          <w:szCs w:val="32"/>
          <w:lang w:val="zh-CN"/>
        </w:rPr>
        <w:t>（二）项目绩效目标</w:t>
      </w:r>
      <w:r>
        <w:rPr>
          <w:rFonts w:hint="eastAsia" w:ascii="方正楷体_GBK" w:hAnsi="方正楷体_GBK" w:eastAsia="方正楷体_GBK" w:cs="方正楷体_GBK"/>
          <w:b/>
          <w:bCs w:val="0"/>
          <w:sz w:val="32"/>
          <w:szCs w:val="32"/>
          <w:lang w:val="en-US" w:eastAsia="zh-CN"/>
        </w:rPr>
        <w:t xml:space="preserve"> </w:t>
      </w:r>
    </w:p>
    <w:p w14:paraId="1D96E55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1.项目主要内容：一是免费错时延时开放公共图书馆，用购买服务来改善服务，建立新型图书馆信息服务网络，提高公共图书馆服务职能，向广大人民群众免费提供图书阅览服务，取得广泛的社会效益。二是文化馆免费开放</w:t>
      </w:r>
      <w:r>
        <w:rPr>
          <w:rFonts w:hint="eastAsia" w:ascii="方正仿宋_GBK" w:hAnsi="方正仿宋_GBK" w:eastAsia="方正仿宋_GBK" w:cs="方正仿宋_GBK"/>
          <w:sz w:val="32"/>
          <w:szCs w:val="32"/>
          <w:lang w:val="en-US" w:eastAsia="zh-CN"/>
        </w:rPr>
        <w:t>320</w:t>
      </w:r>
      <w:r>
        <w:rPr>
          <w:rFonts w:hint="eastAsia" w:ascii="方正仿宋_GBK" w:hAnsi="方正仿宋_GBK" w:eastAsia="方正仿宋_GBK" w:cs="方正仿宋_GBK"/>
          <w:sz w:val="32"/>
          <w:szCs w:val="32"/>
          <w:lang w:val="zh-CN"/>
        </w:rPr>
        <w:t>日以上，共接待群众及未成年人100000人次，主要是送群众文化活动下乡，提供场地使用、文艺队伍业务培训辅导及未成年艺术培训等。</w:t>
      </w:r>
    </w:p>
    <w:p w14:paraId="5ECFEFF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2.</w:t>
      </w:r>
      <w:r>
        <w:rPr>
          <w:rFonts w:hint="eastAsia" w:ascii="方正仿宋_GBK" w:hAnsi="方正仿宋_GBK" w:eastAsia="方正仿宋_GBK" w:cs="方正仿宋_GBK"/>
          <w:sz w:val="32"/>
          <w:szCs w:val="32"/>
          <w:lang w:val="zh-CN" w:eastAsia="zh-CN"/>
        </w:rPr>
        <w:t>项目整体、区域</w:t>
      </w:r>
      <w:r>
        <w:rPr>
          <w:rFonts w:hint="eastAsia" w:ascii="方正仿宋_GBK" w:hAnsi="方正仿宋_GBK" w:eastAsia="方正仿宋_GBK" w:cs="方正仿宋_GBK"/>
          <w:sz w:val="32"/>
          <w:szCs w:val="32"/>
          <w:lang w:val="en-US" w:eastAsia="zh-CN"/>
        </w:rPr>
        <w:t>目标。按照相关部门要求，完成此项工作。</w:t>
      </w:r>
    </w:p>
    <w:p w14:paraId="0380CFF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val="zh-CN" w:eastAsia="zh-CN"/>
        </w:rPr>
        <w:t>具体绩效目标</w:t>
      </w:r>
    </w:p>
    <w:p w14:paraId="7DAA066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（1）数量指标：全年免费开放320天。</w:t>
      </w:r>
    </w:p>
    <w:p w14:paraId="6047AB3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（2）质量指标：按时完成 。</w:t>
      </w:r>
    </w:p>
    <w:p w14:paraId="2C74934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（3）时效指标：时效2025年1月</w:t>
      </w:r>
      <w:bookmarkStart w:id="69" w:name="_GoBack"/>
      <w:r>
        <w:rPr>
          <w:rFonts w:hint="eastAsia" w:ascii="方正仿宋_GBK" w:hAnsi="方正仿宋_GBK" w:eastAsia="方正仿宋_GBK" w:cs="方正仿宋_GBK"/>
          <w:sz w:val="32"/>
          <w:szCs w:val="32"/>
          <w:lang w:val="en-US" w:eastAsia="zh-CN"/>
        </w:rPr>
        <w:t>截至2025年12</w:t>
      </w:r>
      <w:bookmarkEnd w:id="69"/>
      <w:r>
        <w:rPr>
          <w:rFonts w:hint="eastAsia" w:ascii="方正仿宋_GBK" w:hAnsi="方正仿宋_GBK" w:eastAsia="方正仿宋_GBK" w:cs="方正仿宋_GBK"/>
          <w:sz w:val="32"/>
          <w:szCs w:val="32"/>
          <w:lang w:val="en-US" w:eastAsia="zh-CN"/>
        </w:rPr>
        <w:t>月。</w:t>
      </w:r>
    </w:p>
    <w:p w14:paraId="1A8E5CF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（4）成本指标：28.80万元。</w:t>
      </w:r>
    </w:p>
    <w:p w14:paraId="3C93713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（5）社会效益指标：满足群众文化需求。</w:t>
      </w:r>
    </w:p>
    <w:p w14:paraId="3358465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（6）满意度指标：参与群众满意度大于等于90%。</w:t>
      </w:r>
    </w:p>
    <w:p w14:paraId="55B34B1D">
      <w:pPr>
        <w:adjustRightInd w:val="0"/>
        <w:snapToGrid w:val="0"/>
        <w:spacing w:line="240" w:lineRule="auto"/>
        <w:ind w:firstLine="72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3.</w:t>
      </w:r>
      <w:r>
        <w:rPr>
          <w:rFonts w:hint="eastAsia" w:ascii="方正仿宋_GBK" w:hAnsi="方正仿宋_GBK" w:eastAsia="方正仿宋_GBK" w:cs="方正仿宋_GBK"/>
          <w:sz w:val="32"/>
          <w:szCs w:val="32"/>
          <w:lang w:val="en-US" w:eastAsia="zh-CN"/>
        </w:rPr>
        <w:t>评价申报内容与文化馆开放需求相匹配，合理可行。</w:t>
      </w:r>
    </w:p>
    <w:p w14:paraId="344903B3">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（三）项目自评步骤及方法</w:t>
      </w:r>
    </w:p>
    <w:p w14:paraId="72FCADAD">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1）明确目标任务。项目整体目标一是免费错时延时开放公共图书馆，用购买服务来改善服务，建立新型图书馆信息服务网络，提高公共图书馆服务职能，向广大人民群众免费提供图书阅览服务，取得广泛的社会效益。二是文化馆免费开放320日以上，共接待群众及未成年人100000人次，主要是送群众文化活动下乡，提供场地使用、文艺队伍业务培训辅导及未成年艺术培训等。</w:t>
      </w:r>
    </w:p>
    <w:p w14:paraId="0B66E3EF">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（2）明确责任分工。由文化馆综合办公室</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牵头，负责统筹项目资金使用分配、采购预算、协调对接、现场监督、设备验收、项目自评等事宜，办公室负责必选采购、验收、资金支付等事宜，业务办负责数据提供、使用评价、协助验收等事宜。</w:t>
      </w:r>
    </w:p>
    <w:p w14:paraId="23461D31">
      <w:pPr>
        <w:spacing w:line="240" w:lineRule="auto"/>
        <w:ind w:firstLine="640" w:firstLineChars="200"/>
        <w:jc w:val="both"/>
        <w:rPr>
          <w:rFonts w:hint="default"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（3）明确自评内容。</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 xml:space="preserve">评价内容包括绩效目标、目标完成质量、资金使用、社会效益、服务对象满意度等。 </w:t>
      </w:r>
    </w:p>
    <w:p w14:paraId="2A13468D">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（4）明确自评步骤。</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自评步骤为收集项目</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完成</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数据、对比绩效目标分析项目完成情况和存在的问题、针对问题提出改进建议、制定下一步工作计划、撰写自评报告。</w:t>
      </w:r>
    </w:p>
    <w:p w14:paraId="400C1BE9">
      <w:pPr>
        <w:spacing w:line="240" w:lineRule="auto"/>
        <w:ind w:firstLine="640" w:firstLineChars="200"/>
        <w:jc w:val="both"/>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（5）完成绩效自评。</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2025年12月，完成此项工作，2025年完成支付费用。</w:t>
      </w:r>
    </w:p>
    <w:p w14:paraId="30E8B6ED">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二、项目资金申报及使用情况</w:t>
      </w:r>
    </w:p>
    <w:p w14:paraId="66BDF5CC">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（一）项目资金申报及批复情况</w:t>
      </w:r>
    </w:p>
    <w:p w14:paraId="30BC536A">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2025年1月，区文化馆向区财政局专项资金项目申报书，专项资金28.80万元，用于区文化馆、区图书馆免费开放使用。</w:t>
      </w:r>
    </w:p>
    <w:p w14:paraId="4C08317F">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（二）资金计划、到位及使用情况</w:t>
      </w:r>
    </w:p>
    <w:p w14:paraId="5131C5B6">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1.资金计划。</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资金使用计划为28.80万元</w:t>
      </w: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w:t>
      </w:r>
    </w:p>
    <w:p w14:paraId="5AEA1E2E">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2.资金到位。</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2025年2月，仁和区财政局下达预算资金。</w:t>
      </w:r>
    </w:p>
    <w:p w14:paraId="32962162">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3.资金使用。</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资金支付完毕。</w:t>
      </w:r>
    </w:p>
    <w:p w14:paraId="31D59708">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（三）项目财务管理情况</w:t>
      </w:r>
    </w:p>
    <w:p w14:paraId="734D8450">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项目由攀枝花市仁和区文化馆负责实施，</w:t>
      </w: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财务管理制度</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较</w:t>
      </w: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健全，严格执行</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了</w:t>
      </w: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财务管理制度，</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项目审批、招投标等流程均合法合规。</w:t>
      </w:r>
    </w:p>
    <w:p w14:paraId="1562C50E">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三、项目实施及管理情况</w:t>
      </w:r>
    </w:p>
    <w:p w14:paraId="1BD2B29E">
      <w:pPr>
        <w:spacing w:line="240" w:lineRule="auto"/>
        <w:ind w:firstLine="643"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（一）项目组织架构及实施流程。</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项目由区文化馆馆长负责统筹规划，区图书馆馆长负责实施协调工作。</w:t>
      </w:r>
    </w:p>
    <w:p w14:paraId="16D39121">
      <w:pPr>
        <w:spacing w:line="240" w:lineRule="auto"/>
        <w:ind w:firstLine="643"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（二）项目管理情况。</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攀枝花市仁和区文化馆在项目执行过程中严格按照资金管理制度开展必选工作，项目立项、资金使用均通过馆务会议集体讨论通过。</w:t>
      </w:r>
    </w:p>
    <w:p w14:paraId="52469A10">
      <w:pPr>
        <w:spacing w:line="240" w:lineRule="auto"/>
        <w:ind w:firstLine="643"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（三）项目监管情况。</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攀枝花市仁和区文化广播电视和旅游局部门作为项目主管单位全流程对项目实施情况进行监管，指派专人负责跟进项目实施，有效保障了项目顺利推进。</w:t>
      </w:r>
    </w:p>
    <w:p w14:paraId="397AEF7B">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四、项目绩效情况</w:t>
      </w:r>
      <w:r>
        <w:rPr>
          <w:rFonts w:hint="eastAsia" w:ascii="方正黑体_GBK" w:hAnsi="方正黑体_GBK" w:eastAsia="方正黑体_GBK" w:cs="方正黑体_GBK"/>
          <w:color w:val="auto"/>
          <w:sz w:val="32"/>
          <w:szCs w:val="32"/>
          <w:lang w:val="zh-CN" w:eastAsia="zh-CN"/>
        </w:rPr>
        <w:tab/>
      </w:r>
    </w:p>
    <w:p w14:paraId="7E6502A7">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（一）项目完成情况</w:t>
      </w:r>
    </w:p>
    <w:p w14:paraId="46AE6D5F">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1.数量指标情况：已完成。</w:t>
      </w:r>
    </w:p>
    <w:p w14:paraId="417B2E2A">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2.质量指标情况：项目工作推进顺利。</w:t>
      </w:r>
    </w:p>
    <w:p w14:paraId="3203BAE1">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3.时效指标情况：在规定时间内启动了项目工作，未存在超时情况。</w:t>
      </w:r>
    </w:p>
    <w:p w14:paraId="74B02D29">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4.成本指标情况：项目已完成，已支付费用。</w:t>
      </w:r>
    </w:p>
    <w:p w14:paraId="1C49EA57">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对照项目计划完成目标，</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该项目工作进度在正常范围内，2025年内启动并完成了此项目工作，项目推进情况总体良好。</w:t>
      </w:r>
    </w:p>
    <w:p w14:paraId="763F6F5A">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（二）项目效益情况</w:t>
      </w:r>
    </w:p>
    <w:p w14:paraId="3ED30A83">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1.社会效益指标：满足群众文化需求。</w:t>
      </w:r>
    </w:p>
    <w:p w14:paraId="19DF6139">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2.可持续影响指标：受益群众越来越多，提升文化馆的社会影响力。</w:t>
      </w:r>
    </w:p>
    <w:p w14:paraId="3581E20B">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3.满意度指标：参与群众满意度大于等于90%。</w:t>
      </w:r>
    </w:p>
    <w:p w14:paraId="10060A3A">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五、评价结论及建议</w:t>
      </w:r>
    </w:p>
    <w:p w14:paraId="47A93D60">
      <w:pPr>
        <w:spacing w:line="240" w:lineRule="auto"/>
        <w:ind w:firstLine="643"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（一）评价结论。</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项目总体评价良好，体检数量、质量、成本、时效指标均在合理范围内，项目绩效目标设定合理，与相关部门要求匹配，达到了备选要求条件。</w:t>
      </w:r>
    </w:p>
    <w:p w14:paraId="36AA939E">
      <w:pPr>
        <w:adjustRightInd w:val="0"/>
        <w:snapToGrid w:val="0"/>
        <w:spacing w:line="240" w:lineRule="auto"/>
        <w:ind w:firstLine="720"/>
        <w:rPr>
          <w:rFonts w:hint="eastAsia" w:ascii="方正楷体_GBK" w:hAnsi="方正楷体_GBK" w:eastAsia="方正楷体_GBK" w:cs="方正楷体_GBK"/>
          <w:b/>
          <w:bCs w:val="0"/>
          <w:sz w:val="32"/>
          <w:szCs w:val="32"/>
          <w:lang w:val="en-US" w:eastAsia="zh-CN"/>
        </w:rPr>
      </w:pPr>
      <w:r>
        <w:rPr>
          <w:rFonts w:hint="eastAsia" w:ascii="方正楷体_GBK" w:hAnsi="方正楷体_GBK" w:eastAsia="方正楷体_GBK" w:cs="方正楷体_GBK"/>
          <w:b/>
          <w:bCs w:val="0"/>
          <w:sz w:val="32"/>
          <w:szCs w:val="32"/>
          <w:lang w:val="zh-CN" w:eastAsia="zh-CN"/>
        </w:rPr>
        <w:t>（二）存在的问题。</w:t>
      </w:r>
      <w:r>
        <w:rPr>
          <w:rFonts w:hint="eastAsia" w:ascii="方正楷体_GBK" w:hAnsi="方正楷体_GBK" w:eastAsia="方正楷体_GBK" w:cs="方正楷体_GBK"/>
          <w:b/>
          <w:bCs w:val="0"/>
          <w:sz w:val="32"/>
          <w:szCs w:val="32"/>
          <w:lang w:val="en-US" w:eastAsia="zh-CN"/>
        </w:rPr>
        <w:t>无</w:t>
      </w:r>
    </w:p>
    <w:p w14:paraId="38122C08">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（三）相关建议。无</w:t>
      </w:r>
      <w:r>
        <w:rPr>
          <w:rFonts w:hint="eastAsia" w:ascii="方正楷体_GBK" w:hAnsi="方正楷体_GBK" w:eastAsia="方正楷体_GBK" w:cs="方正楷体_GBK"/>
          <w:b/>
          <w:bCs w:val="0"/>
          <w:sz w:val="32"/>
          <w:szCs w:val="32"/>
          <w:lang w:val="zh-CN" w:eastAsia="zh-CN"/>
        </w:rPr>
        <w:tab/>
      </w:r>
    </w:p>
    <w:p w14:paraId="2F7FF828">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p>
    <w:p w14:paraId="2171E37B">
      <w:pPr>
        <w:spacing w:line="240" w:lineRule="auto"/>
        <w:jc w:val="center"/>
        <w:rPr>
          <w:rFonts w:eastAsia="方正小标宋简体"/>
          <w:sz w:val="40"/>
          <w:szCs w:val="40"/>
          <w:lang w:val="zh-CN"/>
        </w:rPr>
      </w:pPr>
    </w:p>
    <w:p w14:paraId="5E834323">
      <w:pPr>
        <w:pStyle w:val="2"/>
        <w:rPr>
          <w:rFonts w:eastAsia="方正小标宋简体"/>
          <w:sz w:val="40"/>
          <w:szCs w:val="40"/>
          <w:lang w:val="zh-CN"/>
        </w:rPr>
      </w:pPr>
    </w:p>
    <w:p w14:paraId="7370CBF6">
      <w:pPr>
        <w:pStyle w:val="2"/>
        <w:rPr>
          <w:rFonts w:eastAsia="方正小标宋简体"/>
          <w:sz w:val="40"/>
          <w:szCs w:val="40"/>
          <w:lang w:val="zh-CN"/>
        </w:rPr>
      </w:pPr>
    </w:p>
    <w:p w14:paraId="55198E3A">
      <w:pPr>
        <w:pStyle w:val="2"/>
        <w:rPr>
          <w:rFonts w:eastAsia="方正小标宋简体"/>
          <w:sz w:val="40"/>
          <w:szCs w:val="40"/>
          <w:lang w:val="zh-CN"/>
        </w:rPr>
      </w:pPr>
    </w:p>
    <w:p w14:paraId="24E493ED">
      <w:pPr>
        <w:pStyle w:val="2"/>
        <w:rPr>
          <w:rFonts w:eastAsia="方正小标宋简体"/>
          <w:sz w:val="40"/>
          <w:szCs w:val="40"/>
          <w:lang w:val="zh-CN"/>
        </w:rPr>
      </w:pPr>
    </w:p>
    <w:p w14:paraId="4CCECA9D">
      <w:pPr>
        <w:pStyle w:val="2"/>
        <w:rPr>
          <w:rFonts w:eastAsia="方正小标宋简体"/>
          <w:sz w:val="40"/>
          <w:szCs w:val="40"/>
          <w:lang w:val="zh-CN"/>
        </w:rPr>
      </w:pPr>
    </w:p>
    <w:p w14:paraId="4C38AF75">
      <w:pPr>
        <w:pStyle w:val="2"/>
        <w:rPr>
          <w:rFonts w:eastAsia="方正小标宋简体"/>
          <w:sz w:val="40"/>
          <w:szCs w:val="40"/>
          <w:lang w:val="zh-CN"/>
        </w:rPr>
      </w:pPr>
    </w:p>
    <w:p w14:paraId="20E5966D">
      <w:pPr>
        <w:pStyle w:val="2"/>
        <w:rPr>
          <w:rFonts w:eastAsia="方正小标宋简体"/>
          <w:sz w:val="40"/>
          <w:szCs w:val="40"/>
          <w:lang w:val="zh-CN"/>
        </w:rPr>
      </w:pPr>
    </w:p>
    <w:p w14:paraId="1C3C712A">
      <w:pPr>
        <w:pStyle w:val="2"/>
        <w:rPr>
          <w:rFonts w:eastAsia="方正小标宋简体"/>
          <w:sz w:val="40"/>
          <w:szCs w:val="40"/>
          <w:lang w:val="zh-CN"/>
        </w:rPr>
      </w:pPr>
    </w:p>
    <w:p w14:paraId="349F437B">
      <w:pPr>
        <w:pStyle w:val="2"/>
        <w:rPr>
          <w:rFonts w:eastAsia="方正小标宋简体"/>
          <w:sz w:val="40"/>
          <w:szCs w:val="40"/>
          <w:lang w:val="zh-CN"/>
        </w:rPr>
      </w:pPr>
    </w:p>
    <w:p w14:paraId="7C5E72CB">
      <w:pPr>
        <w:pStyle w:val="2"/>
        <w:rPr>
          <w:rFonts w:eastAsia="方正小标宋简体"/>
          <w:sz w:val="40"/>
          <w:szCs w:val="40"/>
          <w:lang w:val="zh-CN"/>
        </w:rPr>
      </w:pPr>
    </w:p>
    <w:p w14:paraId="2EBC7564">
      <w:pPr>
        <w:pStyle w:val="2"/>
        <w:rPr>
          <w:rFonts w:eastAsia="方正小标宋简体"/>
          <w:sz w:val="40"/>
          <w:szCs w:val="40"/>
          <w:lang w:val="zh-CN"/>
        </w:rPr>
      </w:pPr>
    </w:p>
    <w:p w14:paraId="2A880F64">
      <w:pPr>
        <w:pStyle w:val="2"/>
        <w:rPr>
          <w:rFonts w:eastAsia="方正小标宋简体"/>
          <w:sz w:val="40"/>
          <w:szCs w:val="40"/>
          <w:lang w:val="zh-CN"/>
        </w:rPr>
      </w:pPr>
    </w:p>
    <w:p w14:paraId="1B4E2BE1">
      <w:pPr>
        <w:spacing w:line="240" w:lineRule="auto"/>
        <w:jc w:val="both"/>
        <w:rPr>
          <w:rFonts w:eastAsia="方正小标宋简体"/>
          <w:sz w:val="40"/>
          <w:szCs w:val="40"/>
          <w:lang w:val="zh-CN"/>
        </w:rPr>
      </w:pPr>
    </w:p>
    <w:p w14:paraId="29FE3FF2">
      <w:pPr>
        <w:pStyle w:val="41"/>
        <w:spacing w:line="240" w:lineRule="auto"/>
        <w:jc w:val="center"/>
        <w:rPr>
          <w:rFonts w:hint="eastAsia" w:ascii="Times New Roman" w:hAnsi="Times New Roman" w:eastAsia="方正小标宋简体"/>
          <w:color w:val="auto"/>
          <w:kern w:val="2"/>
          <w:sz w:val="40"/>
          <w:szCs w:val="40"/>
          <w:lang w:val="en-US" w:eastAsia="zh-CN"/>
        </w:rPr>
      </w:pPr>
      <w:r>
        <w:rPr>
          <w:rFonts w:hint="eastAsia" w:ascii="Times New Roman" w:hAnsi="Times New Roman" w:eastAsia="方正小标宋简体"/>
          <w:color w:val="auto"/>
          <w:kern w:val="2"/>
          <w:sz w:val="40"/>
          <w:szCs w:val="40"/>
        </w:rPr>
        <w:t>攀财资教〔2025〕30号市级非物质文化遗产代表性传承人传承经费</w:t>
      </w:r>
      <w:r>
        <w:rPr>
          <w:rFonts w:ascii="Times New Roman" w:hAnsi="Times New Roman" w:eastAsia="方正小标宋简体"/>
          <w:color w:val="auto"/>
          <w:kern w:val="2"/>
          <w:sz w:val="40"/>
          <w:szCs w:val="40"/>
        </w:rPr>
        <w:t>专项预算项目支出绩效自评报告</w:t>
      </w:r>
      <w:r>
        <w:rPr>
          <w:rFonts w:hint="eastAsia" w:ascii="Times New Roman" w:hAnsi="Times New Roman" w:eastAsia="方正小标宋简体"/>
          <w:color w:val="auto"/>
          <w:kern w:val="2"/>
          <w:sz w:val="40"/>
          <w:szCs w:val="40"/>
          <w:lang w:val="en-US" w:eastAsia="zh-CN"/>
        </w:rPr>
        <w:t xml:space="preserve"> </w:t>
      </w:r>
    </w:p>
    <w:p w14:paraId="5A9453EA">
      <w:pPr>
        <w:pStyle w:val="41"/>
        <w:spacing w:line="240" w:lineRule="auto"/>
        <w:ind w:firstLine="640"/>
        <w:jc w:val="center"/>
        <w:rPr>
          <w:rFonts w:ascii="Times New Roman" w:hAnsi="Times New Roman"/>
          <w:color w:val="auto"/>
          <w:kern w:val="2"/>
          <w:sz w:val="32"/>
          <w:szCs w:val="32"/>
        </w:rPr>
      </w:pPr>
    </w:p>
    <w:p w14:paraId="71ECD3FF">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一、</w:t>
      </w:r>
      <w:r>
        <w:rPr>
          <w:rFonts w:hint="eastAsia" w:ascii="方正黑体_GBK" w:hAnsi="方正黑体_GBK" w:eastAsia="方正黑体_GBK" w:cs="方正黑体_GBK"/>
          <w:color w:val="auto"/>
          <w:sz w:val="32"/>
          <w:szCs w:val="32"/>
          <w:lang w:val="zh-CN" w:eastAsia="zh-CN"/>
        </w:rPr>
        <w:t>项目概况</w:t>
      </w:r>
    </w:p>
    <w:p w14:paraId="0A1ABA51">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（一）项目基本情况</w:t>
      </w:r>
    </w:p>
    <w:p w14:paraId="0AFEBBD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1.</w:t>
      </w:r>
      <w:r>
        <w:rPr>
          <w:rFonts w:hint="eastAsia" w:ascii="方正仿宋_GBK" w:hAnsi="方正仿宋_GBK" w:eastAsia="方正仿宋_GBK" w:cs="方正仿宋_GBK"/>
          <w:sz w:val="32"/>
          <w:szCs w:val="32"/>
          <w:lang w:val="en-US" w:eastAsia="zh-CN"/>
        </w:rPr>
        <w:t>仁和区文化馆作为主管部门，负责项目规划和具体实施的监督指导，区文化馆按照项目管理相关要求开展具体工作，确保按时保质保量完成项目绩效目标。</w:t>
      </w:r>
    </w:p>
    <w:p w14:paraId="1B4B4FE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2.</w:t>
      </w:r>
      <w:r>
        <w:rPr>
          <w:rFonts w:hint="eastAsia" w:ascii="方正仿宋_GBK" w:hAnsi="方正仿宋_GBK" w:eastAsia="方正仿宋_GBK" w:cs="方正仿宋_GBK"/>
          <w:sz w:val="32"/>
          <w:szCs w:val="32"/>
          <w:lang w:val="en-US" w:eastAsia="zh-CN"/>
        </w:rPr>
        <w:t>立项和资金申报依据：</w:t>
      </w:r>
    </w:p>
    <w:p w14:paraId="575AD15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仁和区文化馆依据《中华人民共和国预算法》《中华人民共和国政府采购法》等规定，结合仁和区财经纪律相关要求，制定《攀枝花市仁和区文化馆专项资金管理制度》，明确专项资金预算、审批、监督、支付等要求，建立了专项资金使用台账。</w:t>
      </w:r>
    </w:p>
    <w:p w14:paraId="116B80C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val="zh-CN"/>
        </w:rPr>
        <w:t>.仁和区文化</w:t>
      </w:r>
      <w:r>
        <w:rPr>
          <w:rFonts w:hint="eastAsia" w:ascii="方正仿宋_GBK" w:hAnsi="方正仿宋_GBK" w:eastAsia="方正仿宋_GBK" w:cs="方正仿宋_GBK"/>
          <w:sz w:val="32"/>
          <w:szCs w:val="32"/>
          <w:lang w:val="en-US" w:eastAsia="zh-CN"/>
        </w:rPr>
        <w:t>馆严格落实专项资金管理规定，根据项目实施具体内容，按照对标目标、突出重点、集体决定原则完成项目资金分配，分配主要考虑因素为是否用于该项目、是否与绩效目标相对应、是否遵守厉行节约原则。</w:t>
      </w:r>
    </w:p>
    <w:p w14:paraId="622293D0">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（二）项目绩效目标</w:t>
      </w:r>
    </w:p>
    <w:p w14:paraId="1E64B45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sz w:val="32"/>
          <w:szCs w:val="32"/>
          <w:lang w:val="zh-CN"/>
        </w:rPr>
        <w:t>1.项目主要内容：对仁和区市级非遗传承人4名（王应新折纸、板凳龙、苴却石雕刻技艺、老渡口酿造技艺）进行补助，</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延续各类非遗项目传承</w:t>
      </w:r>
    </w:p>
    <w:p w14:paraId="281F527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2.项目整体、区域</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目标。</w:t>
      </w:r>
      <w:r>
        <w:rPr>
          <w:rFonts w:hint="eastAsia" w:ascii="方正仿宋_GBK" w:hAnsi="方正仿宋_GBK" w:eastAsia="方正仿宋_GBK" w:cs="方正仿宋_GBK"/>
          <w:sz w:val="32"/>
          <w:szCs w:val="32"/>
          <w:lang w:val="en-US" w:eastAsia="zh-CN"/>
        </w:rPr>
        <w:t>按照相关部门要求，完成此项工作。</w:t>
      </w:r>
    </w:p>
    <w:p w14:paraId="275C7CDA">
      <w:pPr>
        <w:keepNext w:val="0"/>
        <w:keepLines w:val="0"/>
        <w:pageBreakBefore w:val="0"/>
        <w:kinsoku/>
        <w:wordWrap/>
        <w:overflowPunct/>
        <w:topLinePunct w:val="0"/>
        <w:autoSpaceDE/>
        <w:autoSpaceDN/>
        <w:bidi w:val="0"/>
        <w:adjustRightInd w:val="0"/>
        <w:snapToGrid w:val="0"/>
        <w:spacing w:line="240" w:lineRule="auto"/>
        <w:ind w:left="0" w:leftChars="0" w:firstLine="640" w:firstLineChars="200"/>
        <w:jc w:val="both"/>
        <w:textAlignment w:val="auto"/>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w:t>
      </w: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具体绩效目标</w:t>
      </w:r>
    </w:p>
    <w:p w14:paraId="5B6B12C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（1）数量指标：全年免费开放310天以上</w:t>
      </w:r>
      <w:r>
        <w:rPr>
          <w:rFonts w:hint="eastAsia" w:ascii="方正仿宋_GBK" w:hAnsi="方正仿宋_GBK" w:eastAsia="方正仿宋_GBK" w:cs="方正仿宋_GBK"/>
          <w:sz w:val="32"/>
          <w:szCs w:val="32"/>
          <w:lang w:val="en-US" w:eastAsia="zh-CN"/>
        </w:rPr>
        <w:t>。</w:t>
      </w:r>
    </w:p>
    <w:p w14:paraId="2AA08837">
      <w:pPr>
        <w:pStyle w:val="8"/>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（2）质量指标：按时完成 。</w:t>
      </w:r>
    </w:p>
    <w:p w14:paraId="5A30DCE8">
      <w:pPr>
        <w:pStyle w:val="8"/>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（3）时效指标：时效2025年1月截至2025年12月。</w:t>
      </w:r>
    </w:p>
    <w:p w14:paraId="548B5CC7">
      <w:pPr>
        <w:pStyle w:val="8"/>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（4）成本指标：1.2万元。</w:t>
      </w:r>
    </w:p>
    <w:p w14:paraId="47F8F3C8">
      <w:pPr>
        <w:spacing w:line="240" w:lineRule="auto"/>
        <w:ind w:firstLine="640" w:firstLineChars="200"/>
        <w:jc w:val="both"/>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（5）社会效益指标：满足群众文化需求。</w:t>
      </w:r>
    </w:p>
    <w:p w14:paraId="08F21665">
      <w:pPr>
        <w:pStyle w:val="8"/>
        <w:spacing w:line="240" w:lineRule="auto"/>
        <w:ind w:firstLine="640" w:firstLineChars="200"/>
        <w:jc w:val="both"/>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（6）满意度指标：</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参与群众满意度大于等于90%。</w:t>
      </w:r>
    </w:p>
    <w:p w14:paraId="099AA11C">
      <w:pPr>
        <w:adjustRightInd w:val="0"/>
        <w:snapToGrid w:val="0"/>
        <w:spacing w:line="240" w:lineRule="auto"/>
        <w:ind w:firstLine="72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3.</w:t>
      </w:r>
      <w:r>
        <w:rPr>
          <w:rFonts w:hint="eastAsia" w:ascii="方正仿宋_GBK" w:hAnsi="方正仿宋_GBK" w:eastAsia="方正仿宋_GBK" w:cs="方正仿宋_GBK"/>
          <w:sz w:val="32"/>
          <w:szCs w:val="32"/>
          <w:lang w:val="en-US" w:eastAsia="zh-CN"/>
        </w:rPr>
        <w:t>评价申报内容与文化馆开放需求相匹配，合理可行。</w:t>
      </w:r>
    </w:p>
    <w:p w14:paraId="49787BDE">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（三）项目自评步骤及方法</w:t>
      </w:r>
    </w:p>
    <w:p w14:paraId="67467E0D">
      <w:pPr>
        <w:keepNext w:val="0"/>
        <w:keepLines w:val="0"/>
        <w:pageBreakBefore w:val="0"/>
        <w:kinsoku/>
        <w:wordWrap/>
        <w:overflowPunct/>
        <w:topLinePunct w:val="0"/>
        <w:autoSpaceDE/>
        <w:autoSpaceDN/>
        <w:bidi w:val="0"/>
        <w:adjustRightInd w:val="0"/>
        <w:snapToGrid w:val="0"/>
        <w:spacing w:line="240" w:lineRule="auto"/>
        <w:ind w:left="0" w:leftChars="0" w:firstLine="640" w:firstLineChars="200"/>
        <w:jc w:val="both"/>
        <w:textAlignment w:val="auto"/>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zh-CN" w:eastAsia="zh-CN" w:bidi="ar-SA"/>
        </w:rPr>
        <w:t>（</w:t>
      </w: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1）明确目标任务。</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项目整体目标对</w:t>
      </w:r>
      <w:r>
        <w:rPr>
          <w:rFonts w:hint="eastAsia" w:ascii="方正仿宋_GBK" w:hAnsi="方正仿宋_GBK" w:eastAsia="方正仿宋_GBK" w:cs="方正仿宋_GBK"/>
          <w:sz w:val="32"/>
          <w:szCs w:val="32"/>
          <w:lang w:val="zh-CN"/>
        </w:rPr>
        <w:t>仁和区市级非遗传承人4名（王应新折纸、板凳龙、苴却石雕刻技艺、老渡口酿造技艺）进行补助，</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延续各类非遗项目传承。</w:t>
      </w:r>
    </w:p>
    <w:p w14:paraId="07D436DA">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（2）明确责任分工。</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由文化馆综合办公室牵头，负责统筹项目资金使用分配、采购预算、协调对接、现场监督、设备验收、项目自评等事宜，办公室负责必选采购、验收、资金支付等事宜，业务办负责数据提供、使用评价、协助验收等事宜。</w:t>
      </w:r>
    </w:p>
    <w:p w14:paraId="207183A4">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（3）明确自评内容。</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评价内容包括绩效目标、目标完成质量、资金使用、社会效益、服务对象满意度等。</w:t>
      </w:r>
    </w:p>
    <w:p w14:paraId="73993320">
      <w:pPr>
        <w:pStyle w:val="8"/>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（4）明确自评步骤。</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自评步骤为收集项目完成数据、对比绩效目标分析项目完成情况和存在的问题、针对问题提出改进建议、制定下一步工作计划、撰写自评报告。</w:t>
      </w:r>
    </w:p>
    <w:p w14:paraId="423C3DBC">
      <w:pPr>
        <w:spacing w:line="240" w:lineRule="auto"/>
        <w:ind w:firstLine="640" w:firstLineChars="200"/>
        <w:jc w:val="both"/>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（5）完成绩效自评。</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2025年12月，完成此项工作，2025年完成支付费用。</w:t>
      </w:r>
    </w:p>
    <w:p w14:paraId="05DA256F">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二、项目资金申报及使用情况</w:t>
      </w:r>
    </w:p>
    <w:p w14:paraId="17B17819">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（一）项目资金申报及批复情况</w:t>
      </w:r>
    </w:p>
    <w:p w14:paraId="31AFF02F">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2025年1月，区文化馆向区财政局专项资金项目申报书，专项资金1.2万元，用于区文化馆、区图书馆免费开放使用。</w:t>
      </w:r>
    </w:p>
    <w:p w14:paraId="1BF411FD">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（二）资金计划、到位及使用情况</w:t>
      </w:r>
    </w:p>
    <w:p w14:paraId="4E66A187">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color w:val="000000"/>
          <w:spacing w:val="0"/>
          <w:kern w:val="2"/>
          <w:sz w:val="32"/>
          <w:szCs w:val="32"/>
          <w:shd w:val="clear" w:color="auto" w:fill="FFFFFF"/>
          <w:lang w:val="zh-CN" w:eastAsia="zh-CN" w:bidi="ar-SA"/>
        </w:rPr>
        <w:t>1.资金计划。</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资金使用计划为1.2万元</w:t>
      </w:r>
      <w:r>
        <w:rPr>
          <w:rFonts w:hint="eastAsia" w:ascii="方正仿宋_GBK" w:hAnsi="方正仿宋_GBK" w:eastAsia="方正仿宋_GBK" w:cs="方正仿宋_GBK"/>
          <w:color w:val="000000"/>
          <w:spacing w:val="0"/>
          <w:kern w:val="2"/>
          <w:sz w:val="32"/>
          <w:szCs w:val="32"/>
          <w:shd w:val="clear" w:color="auto" w:fill="FFFFFF"/>
          <w:lang w:val="zh-CN" w:eastAsia="zh-CN" w:bidi="ar-SA"/>
        </w:rPr>
        <w:t>。</w:t>
      </w:r>
    </w:p>
    <w:p w14:paraId="013BB601">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zh-CN" w:eastAsia="zh-CN" w:bidi="ar-SA"/>
        </w:rPr>
        <w:t>2.资金到位。</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2025年2月，仁和区财政局下达预算资金。</w:t>
      </w:r>
    </w:p>
    <w:p w14:paraId="0DAB847E">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color w:val="000000"/>
          <w:spacing w:val="0"/>
          <w:kern w:val="2"/>
          <w:sz w:val="32"/>
          <w:szCs w:val="32"/>
          <w:shd w:val="clear" w:color="auto" w:fill="FFFFFF"/>
          <w:lang w:val="zh-CN" w:eastAsia="zh-CN" w:bidi="ar-SA"/>
        </w:rPr>
        <w:t>3.资金使用。</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资金支付完毕。</w:t>
      </w:r>
    </w:p>
    <w:p w14:paraId="3FD75BCE">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（三）项目财务管理情况</w:t>
      </w:r>
    </w:p>
    <w:p w14:paraId="22C32B61">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项目由攀枝花市仁和区文化馆负责实施，</w:t>
      </w:r>
      <w:r>
        <w:rPr>
          <w:rFonts w:hint="eastAsia" w:ascii="方正仿宋_GBK" w:hAnsi="方正仿宋_GBK" w:eastAsia="方正仿宋_GBK" w:cs="方正仿宋_GBK"/>
          <w:color w:val="000000"/>
          <w:spacing w:val="0"/>
          <w:kern w:val="2"/>
          <w:sz w:val="32"/>
          <w:szCs w:val="32"/>
          <w:shd w:val="clear" w:color="auto" w:fill="FFFFFF"/>
          <w:lang w:val="zh-CN" w:eastAsia="zh-CN" w:bidi="ar-SA"/>
        </w:rPr>
        <w:t>财务管理制度</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较</w:t>
      </w:r>
      <w:r>
        <w:rPr>
          <w:rFonts w:hint="eastAsia" w:ascii="方正仿宋_GBK" w:hAnsi="方正仿宋_GBK" w:eastAsia="方正仿宋_GBK" w:cs="方正仿宋_GBK"/>
          <w:color w:val="000000"/>
          <w:spacing w:val="0"/>
          <w:kern w:val="2"/>
          <w:sz w:val="32"/>
          <w:szCs w:val="32"/>
          <w:shd w:val="clear" w:color="auto" w:fill="FFFFFF"/>
          <w:lang w:val="zh-CN" w:eastAsia="zh-CN" w:bidi="ar-SA"/>
        </w:rPr>
        <w:t>健全，严格执行</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了</w:t>
      </w:r>
      <w:r>
        <w:rPr>
          <w:rFonts w:hint="eastAsia" w:ascii="方正仿宋_GBK" w:hAnsi="方正仿宋_GBK" w:eastAsia="方正仿宋_GBK" w:cs="方正仿宋_GBK"/>
          <w:color w:val="000000"/>
          <w:spacing w:val="0"/>
          <w:kern w:val="2"/>
          <w:sz w:val="32"/>
          <w:szCs w:val="32"/>
          <w:shd w:val="clear" w:color="auto" w:fill="FFFFFF"/>
          <w:lang w:val="zh-CN" w:eastAsia="zh-CN" w:bidi="ar-SA"/>
        </w:rPr>
        <w:t>财务管理制度，</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项目审批、招投标等流程均合法合规。</w:t>
      </w:r>
    </w:p>
    <w:p w14:paraId="11BEA29A">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三、项目实施及管理情况</w:t>
      </w:r>
    </w:p>
    <w:p w14:paraId="71BA060F">
      <w:pPr>
        <w:spacing w:line="240" w:lineRule="auto"/>
        <w:ind w:firstLine="643"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（一）项目组织架构及实施流程。</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项目由区文化馆馆长负责统筹规划，区图书馆馆长负责实施协调工作。</w:t>
      </w:r>
    </w:p>
    <w:p w14:paraId="5617B4B9">
      <w:pPr>
        <w:spacing w:line="240" w:lineRule="auto"/>
        <w:ind w:firstLine="643"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（二）项目管理情况。</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攀枝花市仁和区文化馆在项目执行过程中严格按照资金管理制度开展必选工作，项目立项、资金使用均通过馆务会议集体讨论通过。</w:t>
      </w:r>
    </w:p>
    <w:p w14:paraId="2D6D3AA1">
      <w:pPr>
        <w:spacing w:line="240" w:lineRule="auto"/>
        <w:ind w:firstLine="643" w:firstLineChars="200"/>
        <w:jc w:val="both"/>
        <w:rPr>
          <w:rFonts w:hint="eastAsia" w:ascii="方正黑体_GBK" w:hAnsi="方正黑体_GBK" w:eastAsia="方正黑体_GBK" w:cs="方正黑体_GBK"/>
          <w:color w:val="auto"/>
          <w:sz w:val="32"/>
          <w:szCs w:val="32"/>
          <w:lang w:val="en-US" w:eastAsia="zh-CN"/>
        </w:rPr>
      </w:pPr>
      <w:r>
        <w:rPr>
          <w:rFonts w:hint="eastAsia" w:ascii="方正楷体_GBK" w:hAnsi="方正楷体_GBK" w:eastAsia="方正楷体_GBK" w:cs="方正楷体_GBK"/>
          <w:b/>
          <w:bCs w:val="0"/>
          <w:sz w:val="32"/>
          <w:szCs w:val="32"/>
          <w:lang w:val="zh-CN" w:eastAsia="zh-CN"/>
        </w:rPr>
        <w:t>（三）项目监管情况。</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攀枝花市仁和区文化广播电视和旅游局部门作为项目主管单位全流程对项目实施情况进行监管，指派专人负责跟进项目实施，有效保障了项目顺利推进。</w:t>
      </w:r>
    </w:p>
    <w:p w14:paraId="05AD05C9">
      <w:pPr>
        <w:adjustRightInd w:val="0"/>
        <w:snapToGrid w:val="0"/>
        <w:spacing w:line="240" w:lineRule="auto"/>
        <w:ind w:firstLine="72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四、项目绩效情况</w:t>
      </w:r>
      <w:r>
        <w:rPr>
          <w:rFonts w:hint="eastAsia" w:ascii="方正黑体_GBK" w:hAnsi="方正黑体_GBK" w:eastAsia="方正黑体_GBK" w:cs="方正黑体_GBK"/>
          <w:color w:val="auto"/>
          <w:sz w:val="32"/>
          <w:szCs w:val="32"/>
          <w:lang w:val="zh-CN" w:eastAsia="zh-CN"/>
        </w:rPr>
        <w:tab/>
      </w:r>
    </w:p>
    <w:p w14:paraId="7AC1A068">
      <w:pPr>
        <w:adjustRightInd w:val="0"/>
        <w:snapToGrid w:val="0"/>
        <w:spacing w:line="240" w:lineRule="auto"/>
        <w:ind w:firstLine="720"/>
        <w:rPr>
          <w:rFonts w:hint="eastAsia" w:ascii="方正楷体_GBK" w:hAnsi="方正楷体_GBK" w:eastAsia="方正楷体_GBK" w:cs="方正楷体_GBK"/>
          <w:b/>
          <w:bCs w:val="0"/>
          <w:sz w:val="32"/>
          <w:szCs w:val="32"/>
          <w:lang w:val="en-US" w:eastAsia="zh-CN"/>
        </w:rPr>
      </w:pPr>
      <w:r>
        <w:rPr>
          <w:rFonts w:hint="eastAsia" w:ascii="方正楷体_GBK" w:hAnsi="方正楷体_GBK" w:eastAsia="方正楷体_GBK" w:cs="方正楷体_GBK"/>
          <w:b/>
          <w:bCs w:val="0"/>
          <w:sz w:val="32"/>
          <w:szCs w:val="32"/>
          <w:lang w:val="zh-CN"/>
        </w:rPr>
        <w:t>（一）项目完成情况</w:t>
      </w:r>
      <w:r>
        <w:rPr>
          <w:rFonts w:hint="eastAsia" w:ascii="方正楷体_GBK" w:hAnsi="方正楷体_GBK" w:eastAsia="方正楷体_GBK" w:cs="方正楷体_GBK"/>
          <w:b/>
          <w:bCs w:val="0"/>
          <w:sz w:val="32"/>
          <w:szCs w:val="32"/>
          <w:lang w:val="en-US" w:eastAsia="zh-CN"/>
        </w:rPr>
        <w:t xml:space="preserve"> </w:t>
      </w:r>
    </w:p>
    <w:p w14:paraId="3EE2A76D">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1.数量指标情况：已完成。</w:t>
      </w:r>
    </w:p>
    <w:p w14:paraId="15AE69CA">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2.质量指标情况：项目工作推进顺利。</w:t>
      </w:r>
    </w:p>
    <w:p w14:paraId="2936A98C">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3.时效指标情况：在规定时间内启动了项目工作，未存在超时情况。</w:t>
      </w:r>
    </w:p>
    <w:p w14:paraId="14170FC5">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4.成本指标情况：项目已完成，已支付费用。</w:t>
      </w:r>
    </w:p>
    <w:p w14:paraId="6774DAC7">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zh-CN" w:eastAsia="zh-CN" w:bidi="ar-SA"/>
        </w:rPr>
        <w:t>对照项目计划完成目标，</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该项目工作进度在正常范围内，2025年内启动并完成了此项目工作，项目推进情况总体良好。</w:t>
      </w:r>
    </w:p>
    <w:p w14:paraId="363AC6CE">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（二）项目效益情况</w:t>
      </w:r>
    </w:p>
    <w:p w14:paraId="5F0E26BB">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1.社会效益指标：满足群众文化需求。</w:t>
      </w:r>
    </w:p>
    <w:p w14:paraId="7B61C36C">
      <w:pPr>
        <w:pStyle w:val="7"/>
        <w:spacing w:line="24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2.可持续影响指标：受益群众越来越多，提升文化馆的社会影响力。</w:t>
      </w:r>
    </w:p>
    <w:p w14:paraId="75E35689">
      <w:pPr>
        <w:adjustRightInd w:val="0"/>
        <w:snapToGrid w:val="0"/>
        <w:spacing w:line="240" w:lineRule="auto"/>
        <w:ind w:firstLine="720"/>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3.满意度指标：参与群众满意度大于等于</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90%。</w:t>
      </w:r>
    </w:p>
    <w:p w14:paraId="18A20119">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五、评价结论及建议</w:t>
      </w:r>
    </w:p>
    <w:p w14:paraId="6489F35F">
      <w:pPr>
        <w:spacing w:line="240" w:lineRule="auto"/>
        <w:ind w:firstLine="643" w:firstLineChars="200"/>
        <w:jc w:val="both"/>
        <w:rPr>
          <w:rFonts w:hint="default"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（一）评价结论。</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 xml:space="preserve">项目总体评价良好，体检数量、质量、成本、时效指标均在合理范围内，项目绩效目标设定合理，与相关部门要求匹配，达到了备选要求条件。 </w:t>
      </w:r>
    </w:p>
    <w:p w14:paraId="2B952EA7">
      <w:pPr>
        <w:adjustRightInd w:val="0"/>
        <w:snapToGrid w:val="0"/>
        <w:spacing w:line="240" w:lineRule="auto"/>
        <w:ind w:firstLine="720"/>
        <w:rPr>
          <w:rFonts w:hint="eastAsia" w:ascii="方正楷体_GBK" w:hAnsi="方正楷体_GBK" w:eastAsia="方正楷体_GBK" w:cs="方正楷体_GBK"/>
          <w:b/>
          <w:bCs w:val="0"/>
          <w:sz w:val="32"/>
          <w:szCs w:val="32"/>
          <w:lang w:val="en-US"/>
        </w:rPr>
      </w:pPr>
      <w:r>
        <w:rPr>
          <w:rFonts w:hint="eastAsia" w:ascii="方正楷体_GBK" w:hAnsi="方正楷体_GBK" w:eastAsia="方正楷体_GBK" w:cs="方正楷体_GBK"/>
          <w:b/>
          <w:bCs w:val="0"/>
          <w:sz w:val="32"/>
          <w:szCs w:val="32"/>
          <w:lang w:val="zh-CN"/>
        </w:rPr>
        <w:t>（二）存在的问题。</w:t>
      </w:r>
      <w:r>
        <w:rPr>
          <w:rFonts w:hint="eastAsia" w:ascii="方正楷体_GBK" w:hAnsi="方正楷体_GBK" w:eastAsia="方正楷体_GBK" w:cs="方正楷体_GBK"/>
          <w:b/>
          <w:bCs w:val="0"/>
          <w:sz w:val="32"/>
          <w:szCs w:val="32"/>
          <w:lang w:val="en-US" w:eastAsia="zh-CN"/>
        </w:rPr>
        <w:t>无</w:t>
      </w:r>
    </w:p>
    <w:p w14:paraId="064EB5A2">
      <w:pPr>
        <w:adjustRightInd w:val="0"/>
        <w:snapToGrid w:val="0"/>
        <w:spacing w:line="240" w:lineRule="auto"/>
        <w:ind w:firstLine="720"/>
        <w:rPr>
          <w:rFonts w:eastAsia="方正小标宋简体"/>
          <w:sz w:val="40"/>
          <w:szCs w:val="40"/>
          <w:lang w:val="zh-CN"/>
        </w:rPr>
      </w:pPr>
      <w:r>
        <w:rPr>
          <w:rFonts w:hint="eastAsia" w:ascii="方正楷体_GBK" w:hAnsi="方正楷体_GBK" w:eastAsia="方正楷体_GBK" w:cs="方正楷体_GBK"/>
          <w:b/>
          <w:bCs w:val="0"/>
          <w:sz w:val="32"/>
          <w:szCs w:val="32"/>
          <w:lang w:val="zh-CN"/>
        </w:rPr>
        <w:t>（三）相关建议。无</w:t>
      </w:r>
      <w:r>
        <w:rPr>
          <w:rFonts w:hint="eastAsia" w:ascii="方正楷体_GBK" w:hAnsi="方正楷体_GBK" w:eastAsia="方正楷体_GBK" w:cs="方正楷体_GBK"/>
          <w:b/>
          <w:bCs w:val="0"/>
          <w:sz w:val="32"/>
          <w:szCs w:val="32"/>
          <w:lang w:val="zh-CN"/>
        </w:rPr>
        <w:tab/>
      </w:r>
    </w:p>
    <w:p w14:paraId="7E7A7A7D">
      <w:pPr>
        <w:pStyle w:val="41"/>
        <w:spacing w:line="240" w:lineRule="auto"/>
        <w:jc w:val="center"/>
        <w:rPr>
          <w:rFonts w:hint="eastAsia" w:ascii="Times New Roman" w:hAnsi="Times New Roman" w:eastAsia="方正小标宋简体"/>
          <w:color w:val="auto"/>
          <w:kern w:val="2"/>
          <w:sz w:val="40"/>
          <w:szCs w:val="40"/>
        </w:rPr>
      </w:pPr>
    </w:p>
    <w:p w14:paraId="1EF2A982">
      <w:pPr>
        <w:pStyle w:val="41"/>
        <w:spacing w:line="240" w:lineRule="auto"/>
        <w:jc w:val="center"/>
        <w:rPr>
          <w:rFonts w:ascii="Times New Roman" w:hAnsi="Times New Roman" w:eastAsia="方正小标宋简体"/>
          <w:color w:val="auto"/>
          <w:kern w:val="2"/>
          <w:sz w:val="40"/>
          <w:szCs w:val="40"/>
        </w:rPr>
      </w:pPr>
      <w:r>
        <w:rPr>
          <w:rFonts w:hint="eastAsia" w:ascii="Times New Roman" w:hAnsi="Times New Roman" w:eastAsia="方正小标宋简体"/>
          <w:color w:val="auto"/>
          <w:kern w:val="2"/>
          <w:sz w:val="40"/>
          <w:szCs w:val="40"/>
        </w:rPr>
        <w:t>攀财资教〔2025〕8号美术馆、公共图书馆、文化馆（站）免费开放补助省级资金</w:t>
      </w:r>
      <w:r>
        <w:rPr>
          <w:rFonts w:ascii="Times New Roman" w:hAnsi="Times New Roman" w:eastAsia="方正小标宋简体"/>
          <w:color w:val="auto"/>
          <w:kern w:val="2"/>
          <w:sz w:val="40"/>
          <w:szCs w:val="40"/>
        </w:rPr>
        <w:t>专项预算项目支出绩效自评报告</w:t>
      </w:r>
    </w:p>
    <w:p w14:paraId="13F6D5D0">
      <w:pPr>
        <w:pStyle w:val="41"/>
        <w:spacing w:line="240" w:lineRule="auto"/>
        <w:ind w:firstLine="640"/>
        <w:jc w:val="center"/>
        <w:rPr>
          <w:rFonts w:ascii="Times New Roman" w:hAnsi="Times New Roman"/>
          <w:color w:val="auto"/>
          <w:kern w:val="2"/>
          <w:sz w:val="32"/>
          <w:szCs w:val="32"/>
        </w:rPr>
      </w:pPr>
    </w:p>
    <w:p w14:paraId="70E3D8B5">
      <w:pPr>
        <w:spacing w:line="240" w:lineRule="auto"/>
        <w:ind w:firstLine="640" w:firstLineChars="200"/>
        <w:rPr>
          <w:rFonts w:hint="default"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一、</w:t>
      </w:r>
      <w:r>
        <w:rPr>
          <w:rFonts w:hint="eastAsia" w:ascii="方正黑体_GBK" w:hAnsi="方正黑体_GBK" w:eastAsia="方正黑体_GBK" w:cs="方正黑体_GBK"/>
          <w:color w:val="auto"/>
          <w:sz w:val="32"/>
          <w:szCs w:val="32"/>
          <w:lang w:val="zh-CN" w:eastAsia="zh-CN"/>
        </w:rPr>
        <w:t>项目概况</w:t>
      </w:r>
      <w:r>
        <w:rPr>
          <w:rFonts w:hint="eastAsia" w:ascii="方正黑体_GBK" w:hAnsi="方正黑体_GBK" w:eastAsia="方正黑体_GBK" w:cs="方正黑体_GBK"/>
          <w:color w:val="auto"/>
          <w:sz w:val="32"/>
          <w:szCs w:val="32"/>
          <w:lang w:val="en-US" w:eastAsia="zh-CN"/>
        </w:rPr>
        <w:t xml:space="preserve"> </w:t>
      </w:r>
    </w:p>
    <w:p w14:paraId="175AB327">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（一）项目基本情况</w:t>
      </w:r>
    </w:p>
    <w:p w14:paraId="615ECB9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1.</w:t>
      </w:r>
      <w:r>
        <w:rPr>
          <w:rFonts w:hint="eastAsia" w:ascii="方正仿宋_GBK" w:hAnsi="方正仿宋_GBK" w:eastAsia="方正仿宋_GBK" w:cs="方正仿宋_GBK"/>
          <w:sz w:val="32"/>
          <w:szCs w:val="32"/>
          <w:lang w:val="en-US" w:eastAsia="zh-CN"/>
        </w:rPr>
        <w:t>仁和区文化馆作为主管部门，负责项目规划和具体实施的监督指导，区文化馆按照项目管理相关要求开展具体工作，确保按时保质保量完成项目绩效目标。</w:t>
      </w:r>
    </w:p>
    <w:p w14:paraId="3C5A9A6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2.</w:t>
      </w:r>
      <w:r>
        <w:rPr>
          <w:rFonts w:hint="eastAsia" w:ascii="方正仿宋_GBK" w:hAnsi="方正仿宋_GBK" w:eastAsia="方正仿宋_GBK" w:cs="方正仿宋_GBK"/>
          <w:sz w:val="32"/>
          <w:szCs w:val="32"/>
          <w:lang w:val="en-US" w:eastAsia="zh-CN"/>
        </w:rPr>
        <w:t>立项和资金申报依据：</w:t>
      </w:r>
    </w:p>
    <w:p w14:paraId="1AD48F7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仁和区文化馆依据《中华人民共和国预算法》《中华人民共和国政府采购法》等规定，结合仁和区财经纪律相关要求，制定《攀枝花市仁和区文化馆专项资金管理制度》，明确专项资金预算、审批、监督、支付等要求，建立了专项资金使用台账。</w:t>
      </w:r>
    </w:p>
    <w:p w14:paraId="7859F19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val="zh-CN"/>
        </w:rPr>
        <w:t>.仁和区文化</w:t>
      </w:r>
      <w:r>
        <w:rPr>
          <w:rFonts w:hint="eastAsia" w:ascii="方正仿宋_GBK" w:hAnsi="方正仿宋_GBK" w:eastAsia="方正仿宋_GBK" w:cs="方正仿宋_GBK"/>
          <w:sz w:val="32"/>
          <w:szCs w:val="32"/>
          <w:lang w:val="en-US" w:eastAsia="zh-CN"/>
        </w:rPr>
        <w:t>馆严格落实专项资金管理规定，根据项目实施具体内容，按照对标目标、突出重点、集体决定原则完成项目资金分配，分配主要考虑因素为是否用于该项目、是否与绩效目标相对应、是否遵守厉行节约原则。</w:t>
      </w:r>
    </w:p>
    <w:p w14:paraId="0D7C9C90">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（二）项目绩效目标</w:t>
      </w:r>
    </w:p>
    <w:p w14:paraId="0E9A64C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1.项目主要内容：一是免费错时延时开放公共图书馆，用购买服务来改善服务，建立新型图书馆信息服务网络，提高公共图书馆服务职能，向广大人民群众免费提供图书阅览服务，取得广泛的社会效益。二是文化馆免费开放</w:t>
      </w:r>
      <w:r>
        <w:rPr>
          <w:rFonts w:hint="eastAsia" w:ascii="方正仿宋_GBK" w:hAnsi="方正仿宋_GBK" w:eastAsia="方正仿宋_GBK" w:cs="方正仿宋_GBK"/>
          <w:sz w:val="32"/>
          <w:szCs w:val="32"/>
          <w:lang w:val="en-US" w:eastAsia="zh-CN"/>
        </w:rPr>
        <w:t>320</w:t>
      </w:r>
      <w:r>
        <w:rPr>
          <w:rFonts w:hint="eastAsia" w:ascii="方正仿宋_GBK" w:hAnsi="方正仿宋_GBK" w:eastAsia="方正仿宋_GBK" w:cs="方正仿宋_GBK"/>
          <w:sz w:val="32"/>
          <w:szCs w:val="32"/>
          <w:lang w:val="zh-CN"/>
        </w:rPr>
        <w:t>日以上，共接待群众及未成年人100000人次，主要是送群众文化活动下乡，提供场地使用、文艺队伍业务培训辅导及未成年艺术培训等。</w:t>
      </w:r>
    </w:p>
    <w:p w14:paraId="37F2E43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2.</w:t>
      </w:r>
      <w:r>
        <w:rPr>
          <w:rFonts w:hint="eastAsia" w:ascii="方正仿宋_GBK" w:hAnsi="方正仿宋_GBK" w:eastAsia="方正仿宋_GBK" w:cs="方正仿宋_GBK"/>
          <w:sz w:val="32"/>
          <w:szCs w:val="32"/>
          <w:lang w:val="zh-CN" w:eastAsia="zh-CN"/>
        </w:rPr>
        <w:t>项目整体、区域</w:t>
      </w:r>
      <w:r>
        <w:rPr>
          <w:rFonts w:hint="eastAsia" w:ascii="方正仿宋_GBK" w:hAnsi="方正仿宋_GBK" w:eastAsia="方正仿宋_GBK" w:cs="方正仿宋_GBK"/>
          <w:sz w:val="32"/>
          <w:szCs w:val="32"/>
          <w:lang w:val="en-US" w:eastAsia="zh-CN"/>
        </w:rPr>
        <w:t>目标。按照相关部门要求，完成此项工作。</w:t>
      </w:r>
    </w:p>
    <w:p w14:paraId="7ED5723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val="zh-CN" w:eastAsia="zh-CN"/>
        </w:rPr>
        <w:t>具体绩效目标</w:t>
      </w:r>
    </w:p>
    <w:p w14:paraId="30B0F03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（1）数量指标：全年免费开放320天。</w:t>
      </w:r>
    </w:p>
    <w:p w14:paraId="61384A0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（2）质量指标：按时完成 。</w:t>
      </w:r>
    </w:p>
    <w:p w14:paraId="70DA320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（3）时效指标：时效2025年1月截至2025年12月。</w:t>
      </w:r>
    </w:p>
    <w:p w14:paraId="66314A1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（4）成本指标：2.8万元。</w:t>
      </w:r>
    </w:p>
    <w:p w14:paraId="4A8CABA4">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（5）社会效益指标：满足群众文化需求。</w:t>
      </w:r>
    </w:p>
    <w:p w14:paraId="4E31E7C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（6）满意度指标：参与群众满意度大于等于90%。</w:t>
      </w:r>
    </w:p>
    <w:p w14:paraId="2EE6A5D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3.</w:t>
      </w:r>
      <w:r>
        <w:rPr>
          <w:rFonts w:hint="eastAsia" w:ascii="方正仿宋_GBK" w:hAnsi="方正仿宋_GBK" w:eastAsia="方正仿宋_GBK" w:cs="方正仿宋_GBK"/>
          <w:sz w:val="32"/>
          <w:szCs w:val="32"/>
          <w:lang w:val="en-US" w:eastAsia="zh-CN"/>
        </w:rPr>
        <w:t>评价申报内容与文化馆开放需求相匹配，合理可行。</w:t>
      </w:r>
    </w:p>
    <w:p w14:paraId="188E3E93">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（三）项目自评步骤及方法</w:t>
      </w:r>
    </w:p>
    <w:p w14:paraId="733F09C8">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zh-CN" w:eastAsia="zh-CN" w:bidi="ar-SA"/>
        </w:rPr>
        <w:t>（</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1）明确目标任务。项目整体目标一是免费错时延时开放公共图书馆，用购买服务来改善服务，建立新型图书馆信息服务网络，提高公共图书馆服务职能，向广大人民群众免费提供图书阅览服务，取得广泛的社会效益。二是文化馆免费开放320日以上，共接待群众及未成年人100000人次，主要是送群众文化活动下乡，提供场地使用、文艺队伍业务培训辅导及未成年艺术培训等。</w:t>
      </w:r>
    </w:p>
    <w:p w14:paraId="67C50FA6">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明确责任分工。由文化馆综合办公室牵头，负责统筹项目资金使用分配、采购预算、协调对接、现场监督、设备验收、项目自评等事宜，办公室负责必选采购、验收、资金支付等事宜，业务办负责数据提供、使用评价、协助验收等事宜。</w:t>
      </w:r>
    </w:p>
    <w:p w14:paraId="4904D54C">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（3）明确自评内容。评价内容包括绩效目标、目标完成质量、资金使用、社会效益、服务对象满意度等。</w:t>
      </w:r>
    </w:p>
    <w:p w14:paraId="46437589">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（4）明确自评步骤。自评步骤为收集项目完成数据、对比绩效目标分析项目完成情况和存在的问题、针对问题提出改进建议、制定下一步工作计划、撰写自评报告。</w:t>
      </w:r>
    </w:p>
    <w:p w14:paraId="11F9AA89">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（5）完成绩效自评。2025年12月，完成此项工作，2025年完成支付费用。</w:t>
      </w:r>
    </w:p>
    <w:p w14:paraId="3BFB71C9">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二、项目资金申报及使用情况</w:t>
      </w:r>
    </w:p>
    <w:p w14:paraId="3A31787A">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（一）项目资金申报及批复情况</w:t>
      </w:r>
    </w:p>
    <w:p w14:paraId="7648DCCB">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2025年1月，区文化馆向区财政局专项资金项目申报书，专项资金2.8万元，用于区文化馆、区图书馆免费开放使用。</w:t>
      </w:r>
    </w:p>
    <w:p w14:paraId="3F36A38A">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（二）资金计划、到位及使用情况</w:t>
      </w:r>
    </w:p>
    <w:p w14:paraId="55FBE692">
      <w:pPr>
        <w:adjustRightInd w:val="0"/>
        <w:snapToGrid w:val="0"/>
        <w:spacing w:line="240" w:lineRule="auto"/>
        <w:ind w:firstLine="720"/>
        <w:rPr>
          <w:rFonts w:hint="eastAsia" w:ascii="方正仿宋_GBK" w:hAnsi="方正仿宋_GBK" w:eastAsia="方正仿宋_GBK" w:cs="方正仿宋_GBK"/>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color w:val="000000"/>
          <w:spacing w:val="0"/>
          <w:kern w:val="2"/>
          <w:sz w:val="32"/>
          <w:szCs w:val="32"/>
          <w:shd w:val="clear" w:color="auto" w:fill="FFFFFF"/>
          <w:lang w:val="zh-CN" w:eastAsia="zh-CN" w:bidi="ar-SA"/>
        </w:rPr>
        <w:t>1.资金计划。</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资金使用计划为2.8万元</w:t>
      </w:r>
      <w:r>
        <w:rPr>
          <w:rFonts w:hint="eastAsia" w:ascii="方正仿宋_GBK" w:hAnsi="方正仿宋_GBK" w:eastAsia="方正仿宋_GBK" w:cs="方正仿宋_GBK"/>
          <w:color w:val="000000"/>
          <w:spacing w:val="0"/>
          <w:kern w:val="2"/>
          <w:sz w:val="32"/>
          <w:szCs w:val="32"/>
          <w:shd w:val="clear" w:color="auto" w:fill="FFFFFF"/>
          <w:lang w:val="zh-CN" w:eastAsia="zh-CN" w:bidi="ar-SA"/>
        </w:rPr>
        <w:t>。</w:t>
      </w:r>
    </w:p>
    <w:p w14:paraId="75630E6F">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zh-CN" w:eastAsia="zh-CN" w:bidi="ar-SA"/>
        </w:rPr>
        <w:t>2.资金到位。</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2025年2月，仁和区财政局下达预算资金。</w:t>
      </w:r>
    </w:p>
    <w:p w14:paraId="2E4E4079">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color w:val="000000"/>
          <w:spacing w:val="0"/>
          <w:kern w:val="2"/>
          <w:sz w:val="32"/>
          <w:szCs w:val="32"/>
          <w:shd w:val="clear" w:color="auto" w:fill="FFFFFF"/>
          <w:lang w:val="zh-CN" w:eastAsia="zh-CN" w:bidi="ar-SA"/>
        </w:rPr>
        <w:t>3.资金使用。</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资金支付完毕。</w:t>
      </w:r>
    </w:p>
    <w:p w14:paraId="53C4BEA1">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（三）项目财务管理情况</w:t>
      </w:r>
    </w:p>
    <w:p w14:paraId="690B012F">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zh-CN"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项目由攀枝花市仁和区文化馆负责实施，</w:t>
      </w:r>
      <w:r>
        <w:rPr>
          <w:rFonts w:hint="eastAsia" w:ascii="方正仿宋_GBK" w:hAnsi="方正仿宋_GBK" w:eastAsia="方正仿宋_GBK" w:cs="方正仿宋_GBK"/>
          <w:color w:val="000000"/>
          <w:spacing w:val="0"/>
          <w:kern w:val="2"/>
          <w:sz w:val="32"/>
          <w:szCs w:val="32"/>
          <w:shd w:val="clear" w:color="auto" w:fill="FFFFFF"/>
          <w:lang w:val="zh-CN" w:eastAsia="zh-CN" w:bidi="ar-SA"/>
        </w:rPr>
        <w:t>财务管理制度</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较</w:t>
      </w:r>
      <w:r>
        <w:rPr>
          <w:rFonts w:hint="eastAsia" w:ascii="方正仿宋_GBK" w:hAnsi="方正仿宋_GBK" w:eastAsia="方正仿宋_GBK" w:cs="方正仿宋_GBK"/>
          <w:color w:val="000000"/>
          <w:spacing w:val="0"/>
          <w:kern w:val="2"/>
          <w:sz w:val="32"/>
          <w:szCs w:val="32"/>
          <w:shd w:val="clear" w:color="auto" w:fill="FFFFFF"/>
          <w:lang w:val="zh-CN" w:eastAsia="zh-CN" w:bidi="ar-SA"/>
        </w:rPr>
        <w:t>健全，严格执行</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了</w:t>
      </w:r>
      <w:r>
        <w:rPr>
          <w:rFonts w:hint="eastAsia" w:ascii="方正仿宋_GBK" w:hAnsi="方正仿宋_GBK" w:eastAsia="方正仿宋_GBK" w:cs="方正仿宋_GBK"/>
          <w:color w:val="000000"/>
          <w:spacing w:val="0"/>
          <w:kern w:val="2"/>
          <w:sz w:val="32"/>
          <w:szCs w:val="32"/>
          <w:shd w:val="clear" w:color="auto" w:fill="FFFFFF"/>
          <w:lang w:val="zh-CN" w:eastAsia="zh-CN" w:bidi="ar-SA"/>
        </w:rPr>
        <w:t>财务管理制度，</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项目审批、招投标等流程均合法合规。</w:t>
      </w:r>
    </w:p>
    <w:p w14:paraId="552E589B">
      <w:pPr>
        <w:spacing w:line="240" w:lineRule="auto"/>
        <w:ind w:firstLine="640" w:firstLineChars="200"/>
        <w:rPr>
          <w:rFonts w:hint="eastAsia" w:ascii="方正黑体_GBK" w:hAnsi="方正黑体_GBK" w:eastAsia="方正黑体_GBK" w:cs="方正黑体_GBK"/>
          <w:color w:val="auto"/>
          <w:sz w:val="32"/>
          <w:szCs w:val="32"/>
          <w:lang w:val="en-US" w:eastAsia="zh-CN"/>
        </w:rPr>
      </w:pPr>
    </w:p>
    <w:p w14:paraId="3E379CE3">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三、项目实施及管理情况</w:t>
      </w:r>
    </w:p>
    <w:p w14:paraId="2C37AAAE">
      <w:pPr>
        <w:spacing w:line="240" w:lineRule="auto"/>
        <w:ind w:firstLine="643"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（一）项目组织架构及实施流程。</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项目由区文化馆馆长负责统筹规划，区图书馆馆长负责实施协调工作。</w:t>
      </w:r>
    </w:p>
    <w:p w14:paraId="1AB8DA03">
      <w:pPr>
        <w:spacing w:line="240" w:lineRule="auto"/>
        <w:ind w:firstLine="643"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（二）项目管理情况。</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攀枝花市仁和区文化馆在项目执行过程中严格按照资金管理制度开展必选工作，项目立项、资金使用均通过馆务会议集体讨论通过。</w:t>
      </w:r>
    </w:p>
    <w:p w14:paraId="40332D68">
      <w:pPr>
        <w:spacing w:line="240" w:lineRule="auto"/>
        <w:ind w:firstLine="643"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（三）项目监管情况。</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攀枝花市仁和区文化广播电视和旅游局部门作为项目主管单位全流程对项目实施情况进行监管，指派专人负责跟进项目实施，有效保障了项目顺利推进。</w:t>
      </w:r>
    </w:p>
    <w:p w14:paraId="3770C7DC">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四、项目绩效情况</w:t>
      </w:r>
      <w:r>
        <w:rPr>
          <w:rFonts w:hint="eastAsia" w:ascii="方正黑体_GBK" w:hAnsi="方正黑体_GBK" w:eastAsia="方正黑体_GBK" w:cs="方正黑体_GBK"/>
          <w:color w:val="auto"/>
          <w:sz w:val="32"/>
          <w:szCs w:val="32"/>
          <w:lang w:val="zh-CN" w:eastAsia="zh-CN"/>
        </w:rPr>
        <w:tab/>
      </w:r>
    </w:p>
    <w:p w14:paraId="5B58A7A1">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（一）项目完成情况</w:t>
      </w:r>
    </w:p>
    <w:p w14:paraId="33B555FE">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1.数量指标情况：已完成。</w:t>
      </w:r>
    </w:p>
    <w:p w14:paraId="160E7EBF">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2.质量指标情况：项目工作推进顺利。</w:t>
      </w:r>
    </w:p>
    <w:p w14:paraId="056132CC">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3.时效指标情况：在规定时间内启动了项目工作，未存在超时情况。</w:t>
      </w:r>
    </w:p>
    <w:p w14:paraId="25B3F515">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4.成本指标情况：项目已完成，已支付费用。</w:t>
      </w:r>
    </w:p>
    <w:p w14:paraId="22E73A4F">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zh-CN" w:eastAsia="zh-CN" w:bidi="ar-SA"/>
        </w:rPr>
        <w:t>对照项目计划完成目标，</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该项目工作进度在正常范围内，2025年内启动并完成了此项目工作，项目推进情况总体良好。</w:t>
      </w:r>
    </w:p>
    <w:p w14:paraId="331A73A9">
      <w:pPr>
        <w:adjustRightInd w:val="0"/>
        <w:snapToGrid w:val="0"/>
        <w:spacing w:line="240" w:lineRule="auto"/>
        <w:ind w:firstLine="720"/>
        <w:rPr>
          <w:rFonts w:hint="eastAsia" w:ascii="方正楷体_GBK" w:hAnsi="方正楷体_GBK" w:eastAsia="方正楷体_GBK" w:cs="方正楷体_GBK"/>
          <w:b/>
          <w:bCs w:val="0"/>
          <w:sz w:val="32"/>
          <w:szCs w:val="32"/>
          <w:lang w:val="zh-CN" w:eastAsia="zh-CN"/>
        </w:rPr>
      </w:pPr>
      <w:r>
        <w:rPr>
          <w:rFonts w:hint="eastAsia" w:ascii="方正楷体_GBK" w:hAnsi="方正楷体_GBK" w:eastAsia="方正楷体_GBK" w:cs="方正楷体_GBK"/>
          <w:b/>
          <w:bCs w:val="0"/>
          <w:sz w:val="32"/>
          <w:szCs w:val="32"/>
          <w:lang w:val="zh-CN" w:eastAsia="zh-CN"/>
        </w:rPr>
        <w:t>（二）项目效益情况</w:t>
      </w:r>
    </w:p>
    <w:p w14:paraId="1AB0DD02">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1.社会效益指标：满足群众文化需求。</w:t>
      </w:r>
    </w:p>
    <w:p w14:paraId="3939E796">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2.可持续影响指标：受益群众越来越多，提升文化馆的社会影响力。</w:t>
      </w:r>
    </w:p>
    <w:p w14:paraId="14303F26">
      <w:pPr>
        <w:spacing w:line="240" w:lineRule="auto"/>
        <w:ind w:firstLine="640"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3.满意度指标：参与群众满意度大于等于90%。</w:t>
      </w:r>
    </w:p>
    <w:p w14:paraId="50299B39">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五、评价结论及建议</w:t>
      </w:r>
    </w:p>
    <w:p w14:paraId="214AE420">
      <w:pPr>
        <w:spacing w:line="240" w:lineRule="auto"/>
        <w:ind w:firstLine="643" w:firstLineChars="200"/>
        <w:jc w:val="both"/>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楷体_GBK" w:hAnsi="方正楷体_GBK" w:eastAsia="方正楷体_GBK" w:cs="方正楷体_GBK"/>
          <w:b/>
          <w:bCs w:val="0"/>
          <w:sz w:val="32"/>
          <w:szCs w:val="32"/>
          <w:lang w:val="zh-CN" w:eastAsia="zh-CN"/>
        </w:rPr>
        <w:t>（一）评价结论。</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项目总体评价良好，体检数量、质量、成本、时效指标均在合理范围内，项目绩效目标设定合理，与相关部门要求匹配，达到了备选要求条件。</w:t>
      </w:r>
    </w:p>
    <w:p w14:paraId="762243CA">
      <w:pPr>
        <w:adjustRightInd w:val="0"/>
        <w:snapToGrid w:val="0"/>
        <w:spacing w:line="240" w:lineRule="auto"/>
        <w:ind w:firstLine="720"/>
        <w:rPr>
          <w:rFonts w:hint="eastAsia" w:ascii="方正楷体_GBK" w:hAnsi="方正楷体_GBK" w:eastAsia="方正楷体_GBK" w:cs="方正楷体_GBK"/>
          <w:b/>
          <w:bCs w:val="0"/>
          <w:sz w:val="32"/>
          <w:szCs w:val="32"/>
          <w:lang w:val="en-US" w:eastAsia="zh-CN"/>
        </w:rPr>
      </w:pPr>
      <w:r>
        <w:rPr>
          <w:rFonts w:hint="eastAsia" w:ascii="方正楷体_GBK" w:hAnsi="方正楷体_GBK" w:eastAsia="方正楷体_GBK" w:cs="方正楷体_GBK"/>
          <w:b/>
          <w:bCs w:val="0"/>
          <w:sz w:val="32"/>
          <w:szCs w:val="32"/>
          <w:lang w:val="zh-CN" w:eastAsia="zh-CN"/>
        </w:rPr>
        <w:t>（二）存在的问题。</w:t>
      </w:r>
      <w:r>
        <w:rPr>
          <w:rFonts w:hint="eastAsia" w:ascii="方正楷体_GBK" w:hAnsi="方正楷体_GBK" w:eastAsia="方正楷体_GBK" w:cs="方正楷体_GBK"/>
          <w:b/>
          <w:bCs w:val="0"/>
          <w:sz w:val="32"/>
          <w:szCs w:val="32"/>
          <w:lang w:val="en-US" w:eastAsia="zh-CN"/>
        </w:rPr>
        <w:t>无</w:t>
      </w:r>
    </w:p>
    <w:p w14:paraId="6EA29418">
      <w:pPr>
        <w:adjustRightInd w:val="0"/>
        <w:snapToGrid w:val="0"/>
        <w:spacing w:line="240" w:lineRule="auto"/>
        <w:ind w:firstLine="720"/>
        <w:rPr>
          <w:rFonts w:hint="default" w:ascii="方正楷体_GBK" w:hAnsi="方正楷体_GBK" w:eastAsia="方正楷体_GBK" w:cs="方正楷体_GBK"/>
          <w:b/>
          <w:bCs w:val="0"/>
          <w:sz w:val="32"/>
          <w:szCs w:val="32"/>
          <w:lang w:val="en-US" w:eastAsia="zh-CN"/>
        </w:rPr>
      </w:pPr>
      <w:r>
        <w:rPr>
          <w:rFonts w:hint="eastAsia" w:ascii="方正楷体_GBK" w:hAnsi="方正楷体_GBK" w:eastAsia="方正楷体_GBK" w:cs="方正楷体_GBK"/>
          <w:b/>
          <w:bCs w:val="0"/>
          <w:sz w:val="32"/>
          <w:szCs w:val="32"/>
          <w:lang w:val="zh-CN" w:eastAsia="zh-CN"/>
        </w:rPr>
        <w:t>（三）相关建议。无</w:t>
      </w:r>
      <w:r>
        <w:rPr>
          <w:rFonts w:hint="eastAsia" w:ascii="方正楷体_GBK" w:hAnsi="方正楷体_GBK" w:eastAsia="方正楷体_GBK" w:cs="方正楷体_GBK"/>
          <w:b/>
          <w:bCs w:val="0"/>
          <w:sz w:val="32"/>
          <w:szCs w:val="32"/>
          <w:lang w:val="zh-CN" w:eastAsia="zh-CN"/>
        </w:rPr>
        <w:tab/>
      </w:r>
      <w:r>
        <w:rPr>
          <w:rFonts w:hint="eastAsia" w:ascii="方正楷体_GBK" w:hAnsi="方正楷体_GBK" w:eastAsia="方正楷体_GBK" w:cs="方正楷体_GBK"/>
          <w:b/>
          <w:bCs w:val="0"/>
          <w:sz w:val="32"/>
          <w:szCs w:val="32"/>
          <w:lang w:val="en-US" w:eastAsia="zh-CN"/>
        </w:rPr>
        <w:t xml:space="preserve"> </w:t>
      </w:r>
    </w:p>
    <w:p w14:paraId="60B22875">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p>
    <w:p w14:paraId="35193675">
      <w:pPr>
        <w:widowControl/>
        <w:spacing w:line="240" w:lineRule="auto"/>
        <w:jc w:val="center"/>
        <w:rPr>
          <w:rFonts w:hint="eastAsia" w:ascii="Times New Roman" w:hAnsi="Times New Roman" w:eastAsia="黑体"/>
          <w:color w:val="auto"/>
          <w:sz w:val="44"/>
          <w:szCs w:val="44"/>
          <w:highlight w:val="none"/>
        </w:rPr>
      </w:pPr>
      <w:bookmarkStart w:id="55" w:name="_Toc15396618"/>
    </w:p>
    <w:p w14:paraId="1B91B385">
      <w:pPr>
        <w:widowControl/>
        <w:spacing w:line="240" w:lineRule="auto"/>
        <w:jc w:val="center"/>
        <w:rPr>
          <w:rFonts w:hint="eastAsia" w:ascii="Times New Roman" w:hAnsi="Times New Roman" w:eastAsia="黑体"/>
          <w:color w:val="auto"/>
          <w:sz w:val="44"/>
          <w:szCs w:val="44"/>
          <w:highlight w:val="none"/>
        </w:rPr>
      </w:pPr>
    </w:p>
    <w:p w14:paraId="75D56A0E">
      <w:pPr>
        <w:widowControl/>
        <w:spacing w:line="240" w:lineRule="auto"/>
        <w:jc w:val="center"/>
        <w:rPr>
          <w:rFonts w:hint="eastAsia" w:ascii="Times New Roman" w:hAnsi="Times New Roman" w:eastAsia="黑体"/>
          <w:color w:val="auto"/>
          <w:sz w:val="44"/>
          <w:szCs w:val="44"/>
          <w:highlight w:val="none"/>
        </w:rPr>
      </w:pPr>
    </w:p>
    <w:p w14:paraId="40302F1C">
      <w:pPr>
        <w:widowControl/>
        <w:spacing w:line="240" w:lineRule="auto"/>
        <w:jc w:val="center"/>
        <w:rPr>
          <w:rFonts w:hint="eastAsia" w:ascii="Times New Roman" w:hAnsi="Times New Roman" w:eastAsia="黑体"/>
          <w:color w:val="auto"/>
          <w:sz w:val="44"/>
          <w:szCs w:val="44"/>
          <w:highlight w:val="none"/>
        </w:rPr>
      </w:pPr>
    </w:p>
    <w:p w14:paraId="453A3F68">
      <w:pPr>
        <w:widowControl/>
        <w:spacing w:line="240" w:lineRule="auto"/>
        <w:jc w:val="center"/>
        <w:rPr>
          <w:rFonts w:hint="eastAsia" w:ascii="Times New Roman" w:hAnsi="Times New Roman" w:eastAsia="黑体"/>
          <w:color w:val="auto"/>
          <w:sz w:val="44"/>
          <w:szCs w:val="44"/>
          <w:highlight w:val="none"/>
        </w:rPr>
      </w:pPr>
    </w:p>
    <w:p w14:paraId="0AE7B0AD">
      <w:pPr>
        <w:widowControl/>
        <w:spacing w:line="240" w:lineRule="auto"/>
        <w:jc w:val="center"/>
        <w:rPr>
          <w:rFonts w:hint="eastAsia" w:ascii="Times New Roman" w:hAnsi="Times New Roman" w:eastAsia="黑体"/>
          <w:color w:val="auto"/>
          <w:sz w:val="44"/>
          <w:szCs w:val="44"/>
          <w:highlight w:val="none"/>
        </w:rPr>
      </w:pPr>
    </w:p>
    <w:p w14:paraId="4E59CE37">
      <w:pPr>
        <w:widowControl/>
        <w:spacing w:line="240" w:lineRule="auto"/>
        <w:jc w:val="center"/>
        <w:rPr>
          <w:rFonts w:hint="eastAsia" w:ascii="Times New Roman" w:hAnsi="Times New Roman" w:eastAsia="黑体"/>
          <w:color w:val="auto"/>
          <w:sz w:val="44"/>
          <w:szCs w:val="44"/>
          <w:highlight w:val="none"/>
        </w:rPr>
      </w:pPr>
    </w:p>
    <w:p w14:paraId="1EC5A657">
      <w:pPr>
        <w:pStyle w:val="41"/>
        <w:spacing w:line="240" w:lineRule="auto"/>
        <w:jc w:val="center"/>
        <w:rPr>
          <w:rFonts w:hint="eastAsia" w:ascii="Times New Roman" w:hAnsi="Times New Roman" w:eastAsia="方正小标宋简体"/>
          <w:color w:val="auto"/>
          <w:kern w:val="2"/>
          <w:sz w:val="40"/>
          <w:szCs w:val="40"/>
        </w:rPr>
      </w:pPr>
    </w:p>
    <w:p w14:paraId="3D572449">
      <w:pPr>
        <w:pStyle w:val="41"/>
        <w:spacing w:line="240" w:lineRule="auto"/>
        <w:jc w:val="center"/>
        <w:rPr>
          <w:rFonts w:hint="eastAsia" w:ascii="Times New Roman" w:hAnsi="Times New Roman" w:eastAsia="方正小标宋简体"/>
          <w:color w:val="auto"/>
          <w:kern w:val="2"/>
          <w:sz w:val="40"/>
          <w:szCs w:val="40"/>
        </w:rPr>
      </w:pPr>
    </w:p>
    <w:p w14:paraId="0926B8AD">
      <w:pPr>
        <w:pStyle w:val="41"/>
        <w:spacing w:line="240" w:lineRule="auto"/>
        <w:jc w:val="center"/>
        <w:rPr>
          <w:rFonts w:hint="eastAsia" w:ascii="Times New Roman" w:hAnsi="Times New Roman" w:eastAsia="方正小标宋简体"/>
          <w:color w:val="auto"/>
          <w:kern w:val="2"/>
          <w:sz w:val="40"/>
          <w:szCs w:val="40"/>
        </w:rPr>
      </w:pPr>
    </w:p>
    <w:p w14:paraId="3E76FDE1">
      <w:pPr>
        <w:pStyle w:val="41"/>
        <w:spacing w:line="240" w:lineRule="auto"/>
        <w:jc w:val="center"/>
        <w:rPr>
          <w:rFonts w:hint="eastAsia" w:ascii="Times New Roman" w:hAnsi="Times New Roman" w:eastAsia="方正小标宋简体"/>
          <w:color w:val="auto"/>
          <w:kern w:val="2"/>
          <w:sz w:val="40"/>
          <w:szCs w:val="40"/>
        </w:rPr>
      </w:pPr>
    </w:p>
    <w:p w14:paraId="49CC9234">
      <w:pPr>
        <w:pStyle w:val="41"/>
        <w:spacing w:line="240" w:lineRule="auto"/>
        <w:jc w:val="center"/>
        <w:rPr>
          <w:rFonts w:hint="eastAsia" w:ascii="Times New Roman" w:hAnsi="Times New Roman" w:eastAsia="方正小标宋简体"/>
          <w:color w:val="auto"/>
          <w:kern w:val="2"/>
          <w:sz w:val="40"/>
          <w:szCs w:val="40"/>
        </w:rPr>
      </w:pPr>
    </w:p>
    <w:p w14:paraId="5887E4F1">
      <w:pPr>
        <w:pStyle w:val="41"/>
        <w:spacing w:line="240" w:lineRule="auto"/>
        <w:jc w:val="both"/>
        <w:rPr>
          <w:rFonts w:hint="eastAsia" w:ascii="Times New Roman" w:hAnsi="Times New Roman" w:eastAsia="方正小标宋简体"/>
          <w:color w:val="auto"/>
          <w:kern w:val="2"/>
          <w:sz w:val="40"/>
          <w:szCs w:val="40"/>
        </w:rPr>
      </w:pPr>
    </w:p>
    <w:p w14:paraId="3BCC9D2E">
      <w:pPr>
        <w:pStyle w:val="41"/>
        <w:spacing w:line="240" w:lineRule="auto"/>
        <w:jc w:val="both"/>
        <w:rPr>
          <w:rFonts w:hint="eastAsia" w:ascii="Times New Roman" w:hAnsi="Times New Roman" w:eastAsia="方正小标宋简体"/>
          <w:color w:val="auto"/>
          <w:kern w:val="2"/>
          <w:sz w:val="40"/>
          <w:szCs w:val="40"/>
        </w:rPr>
      </w:pPr>
    </w:p>
    <w:p w14:paraId="22D28053">
      <w:pPr>
        <w:pStyle w:val="41"/>
        <w:spacing w:line="240" w:lineRule="auto"/>
        <w:jc w:val="center"/>
        <w:rPr>
          <w:rFonts w:ascii="Times New Roman" w:hAnsi="Times New Roman"/>
          <w:color w:val="auto"/>
          <w:kern w:val="2"/>
          <w:sz w:val="32"/>
          <w:szCs w:val="32"/>
        </w:rPr>
      </w:pPr>
      <w:r>
        <w:rPr>
          <w:rFonts w:hint="eastAsia" w:ascii="Times New Roman" w:hAnsi="Times New Roman" w:eastAsia="方正小标宋简体"/>
          <w:color w:val="auto"/>
          <w:kern w:val="2"/>
          <w:sz w:val="40"/>
          <w:szCs w:val="40"/>
        </w:rPr>
        <w:t>攀财资教〔2025〕67号省级财政文化和旅游发展专项资金（省级非遗传承人）</w:t>
      </w:r>
      <w:r>
        <w:rPr>
          <w:rFonts w:ascii="Times New Roman" w:hAnsi="Times New Roman" w:eastAsia="方正小标宋简体"/>
          <w:color w:val="auto"/>
          <w:kern w:val="2"/>
          <w:sz w:val="40"/>
          <w:szCs w:val="40"/>
        </w:rPr>
        <w:t>专项预算项目支出绩效自评报告</w:t>
      </w:r>
    </w:p>
    <w:p w14:paraId="64B8EE9F">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一、</w:t>
      </w:r>
      <w:r>
        <w:rPr>
          <w:rFonts w:hint="eastAsia" w:ascii="方正黑体_GBK" w:hAnsi="方正黑体_GBK" w:eastAsia="方正黑体_GBK" w:cs="方正黑体_GBK"/>
          <w:color w:val="auto"/>
          <w:sz w:val="32"/>
          <w:szCs w:val="32"/>
          <w:lang w:val="zh-CN" w:eastAsia="zh-CN"/>
        </w:rPr>
        <w:t>项目概况</w:t>
      </w:r>
    </w:p>
    <w:p w14:paraId="715ABB4A">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（一）项目基本情况</w:t>
      </w:r>
    </w:p>
    <w:p w14:paraId="3926904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1.</w:t>
      </w:r>
      <w:r>
        <w:rPr>
          <w:rFonts w:hint="eastAsia" w:ascii="方正仿宋_GBK" w:hAnsi="方正仿宋_GBK" w:eastAsia="方正仿宋_GBK" w:cs="方正仿宋_GBK"/>
          <w:sz w:val="32"/>
          <w:szCs w:val="32"/>
          <w:lang w:val="en-US" w:eastAsia="zh-CN"/>
        </w:rPr>
        <w:t>仁和区文化馆作为主管部门，负责项目规划和具体实施的监督指导，区文化馆按照项目管理相关要求开展具体工作，确保按时保质保量完成项目绩效目标。</w:t>
      </w:r>
    </w:p>
    <w:p w14:paraId="71DE616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2.</w:t>
      </w:r>
      <w:r>
        <w:rPr>
          <w:rFonts w:hint="eastAsia" w:ascii="方正仿宋_GBK" w:hAnsi="方正仿宋_GBK" w:eastAsia="方正仿宋_GBK" w:cs="方正仿宋_GBK"/>
          <w:sz w:val="32"/>
          <w:szCs w:val="32"/>
          <w:lang w:val="en-US" w:eastAsia="zh-CN"/>
        </w:rPr>
        <w:t>立项和资金申报依据：</w:t>
      </w:r>
    </w:p>
    <w:p w14:paraId="2336CE6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仁和区文化馆依据《中华人民共和国预算法》《中华人民共和国政府采购法》等规定，结合仁和区财经纪律相关要求，制定《攀枝花市仁和区文化馆专项资金管理制度》，明确专项资金预算、审批、监督、支付等要求，建立了专项资金使用台账。</w:t>
      </w:r>
    </w:p>
    <w:p w14:paraId="1F56BBD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val="zh-CN"/>
        </w:rPr>
        <w:t>.仁和区文化</w:t>
      </w:r>
      <w:r>
        <w:rPr>
          <w:rFonts w:hint="eastAsia" w:ascii="方正仿宋_GBK" w:hAnsi="方正仿宋_GBK" w:eastAsia="方正仿宋_GBK" w:cs="方正仿宋_GBK"/>
          <w:sz w:val="32"/>
          <w:szCs w:val="32"/>
          <w:lang w:val="en-US" w:eastAsia="zh-CN"/>
        </w:rPr>
        <w:t>馆严格落实专项资金管理规定，根据项目实施具体内容，按照对标目标、突出重点、集体决定原则完成项目资金分配，分配主要考虑因素为是否用于该项目、是否与绩效目标相对应、是否遵守厉行节约原则。</w:t>
      </w:r>
    </w:p>
    <w:p w14:paraId="5A17FC77">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（二）项目绩效目标</w:t>
      </w:r>
    </w:p>
    <w:p w14:paraId="4370062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1.项目主要内容：对省级非物质文化遗产项目代表性传承人补助（曹加勇、杨兴荣、起光禄、0.6万/人，任树宾0.7万）支付工作。</w:t>
      </w:r>
    </w:p>
    <w:p w14:paraId="32246BA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2.</w:t>
      </w:r>
      <w:r>
        <w:rPr>
          <w:rFonts w:hint="eastAsia" w:ascii="方正仿宋_GBK" w:hAnsi="方正仿宋_GBK" w:eastAsia="方正仿宋_GBK" w:cs="方正仿宋_GBK"/>
          <w:sz w:val="32"/>
          <w:szCs w:val="32"/>
          <w:lang w:val="zh-CN" w:eastAsia="zh-CN"/>
        </w:rPr>
        <w:t>项目整体、区域</w:t>
      </w:r>
      <w:r>
        <w:rPr>
          <w:rFonts w:hint="eastAsia" w:ascii="方正仿宋_GBK" w:hAnsi="方正仿宋_GBK" w:eastAsia="方正仿宋_GBK" w:cs="方正仿宋_GBK"/>
          <w:sz w:val="32"/>
          <w:szCs w:val="32"/>
          <w:lang w:val="en-US" w:eastAsia="zh-CN"/>
        </w:rPr>
        <w:t>目标。按照相关部门要求，完成此项工作。</w:t>
      </w:r>
    </w:p>
    <w:p w14:paraId="04CB7BA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val="zh-CN" w:eastAsia="zh-CN"/>
        </w:rPr>
        <w:t>具体绩效目标</w:t>
      </w:r>
    </w:p>
    <w:p w14:paraId="7644427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（1）数量指标：全年免费开放310天以上。</w:t>
      </w:r>
    </w:p>
    <w:p w14:paraId="2765FA7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（2）质量指标：按时完成 。</w:t>
      </w:r>
    </w:p>
    <w:p w14:paraId="666D24A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（3）时效指标：时效2025年1月截至2025年12月。</w:t>
      </w:r>
    </w:p>
    <w:p w14:paraId="7444BBF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（4）成本指标：2.5万元。</w:t>
      </w:r>
    </w:p>
    <w:p w14:paraId="49DD719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（5）社会效益指标：满足群众文化需求。</w:t>
      </w:r>
    </w:p>
    <w:p w14:paraId="3B5E1AE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（6）满意度指标：参与群众满意度大于等于90%。</w:t>
      </w:r>
    </w:p>
    <w:p w14:paraId="71CFA4DF">
      <w:pPr>
        <w:adjustRightInd w:val="0"/>
        <w:snapToGrid w:val="0"/>
        <w:spacing w:line="240" w:lineRule="auto"/>
        <w:ind w:firstLine="72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rPr>
        <w:t>3.</w:t>
      </w:r>
      <w:r>
        <w:rPr>
          <w:rFonts w:hint="eastAsia" w:ascii="方正仿宋_GBK" w:hAnsi="方正仿宋_GBK" w:eastAsia="方正仿宋_GBK" w:cs="方正仿宋_GBK"/>
          <w:sz w:val="32"/>
          <w:szCs w:val="32"/>
          <w:lang w:val="en-US" w:eastAsia="zh-CN"/>
        </w:rPr>
        <w:t>评价申报内容与文化馆开放需求相匹配，合理可行。</w:t>
      </w:r>
    </w:p>
    <w:p w14:paraId="0FEECFC1">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（三）项目自评步骤及方法</w:t>
      </w:r>
    </w:p>
    <w:p w14:paraId="09DE977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w:t>
      </w:r>
      <w:r>
        <w:rPr>
          <w:rFonts w:hint="eastAsia" w:ascii="方正仿宋_GBK" w:hAnsi="方正仿宋_GBK" w:eastAsia="方正仿宋_GBK" w:cs="方正仿宋_GBK"/>
          <w:sz w:val="32"/>
          <w:szCs w:val="32"/>
          <w:lang w:val="en-US" w:eastAsia="zh-CN"/>
        </w:rPr>
        <w:t>1）明确目标任务。项目整体目标是对省级非物质文化遗产项目代表性传承人4人传承补助，（曹加勇、任树宾、起光禄、杨兴荣），延续各类非遗项目传承。</w:t>
      </w:r>
    </w:p>
    <w:p w14:paraId="0BF5DC6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明确责任分工。由文化馆综合办公室牵头，负责统筹项目资金使用分配、采购预算、协调对接、现场监督、设备验收、项目自评等事宜，办公室负责必选采购、验收、资金支付等事宜，业务办负责数据提供、使用评价、协助验收等事宜。</w:t>
      </w:r>
    </w:p>
    <w:p w14:paraId="28E311F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（3）明确自评内容。评价内容包括绩效目标、目标完成质量、资金使用、社会效益、服务对象满意度等。</w:t>
      </w:r>
    </w:p>
    <w:p w14:paraId="6E3ACCD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（4）明确自评步骤。自评步骤为收集项目完成数据、对比绩效目标分析项目完成情况和存在的问题、针对问题提出改进建议、制定下一步工作计划、撰写自评报告。</w:t>
      </w:r>
    </w:p>
    <w:p w14:paraId="34AA8DD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en-US" w:eastAsia="zh-CN"/>
        </w:rPr>
        <w:t>（5）完成绩效自评。2025年12月，完成此项工作，2025年完成支付费用。</w:t>
      </w:r>
    </w:p>
    <w:p w14:paraId="204F79CA">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二、项目资金申报及使用情况</w:t>
      </w:r>
    </w:p>
    <w:p w14:paraId="4CBC8B54">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（一）项目资金申报及批复情况</w:t>
      </w:r>
    </w:p>
    <w:p w14:paraId="2EF09A0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2025年1月，区文化馆向区财政局专项资金项目申报书，专项资金2.5万元，用于区文化馆、区图书馆免费开放使用。</w:t>
      </w:r>
    </w:p>
    <w:p w14:paraId="67DFD2CF">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（二）资金计划、到位及使用情况</w:t>
      </w:r>
    </w:p>
    <w:p w14:paraId="5881332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zh-CN" w:eastAsia="zh-CN"/>
        </w:rPr>
        <w:t>1.资金计划。</w:t>
      </w:r>
      <w:r>
        <w:rPr>
          <w:rFonts w:hint="eastAsia" w:ascii="方正仿宋_GBK" w:hAnsi="方正仿宋_GBK" w:eastAsia="方正仿宋_GBK" w:cs="方正仿宋_GBK"/>
          <w:sz w:val="32"/>
          <w:szCs w:val="32"/>
          <w:lang w:val="en-US" w:eastAsia="zh-CN"/>
        </w:rPr>
        <w:t>资金使用计划为2.5万元</w:t>
      </w:r>
      <w:r>
        <w:rPr>
          <w:rFonts w:hint="eastAsia" w:ascii="方正仿宋_GBK" w:hAnsi="方正仿宋_GBK" w:eastAsia="方正仿宋_GBK" w:cs="方正仿宋_GBK"/>
          <w:sz w:val="32"/>
          <w:szCs w:val="32"/>
          <w:lang w:val="zh-CN" w:eastAsia="zh-CN"/>
        </w:rPr>
        <w:t>。</w:t>
      </w:r>
    </w:p>
    <w:p w14:paraId="4E73411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2.资金到位。</w:t>
      </w:r>
      <w:r>
        <w:rPr>
          <w:rFonts w:hint="eastAsia" w:ascii="方正仿宋_GBK" w:hAnsi="方正仿宋_GBK" w:eastAsia="方正仿宋_GBK" w:cs="方正仿宋_GBK"/>
          <w:sz w:val="32"/>
          <w:szCs w:val="32"/>
          <w:lang w:val="en-US" w:eastAsia="zh-CN"/>
        </w:rPr>
        <w:t>2025年2月，仁和区财政局下达预算资金。</w:t>
      </w:r>
    </w:p>
    <w:p w14:paraId="67A179E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sz w:val="32"/>
          <w:szCs w:val="32"/>
          <w:lang w:val="zh-CN" w:eastAsia="zh-CN"/>
        </w:rPr>
        <w:t>3.资金使用。</w:t>
      </w:r>
      <w:r>
        <w:rPr>
          <w:rFonts w:hint="eastAsia" w:ascii="方正仿宋_GBK" w:hAnsi="方正仿宋_GBK" w:eastAsia="方正仿宋_GBK" w:cs="方正仿宋_GBK"/>
          <w:sz w:val="32"/>
          <w:szCs w:val="32"/>
          <w:lang w:val="en-US" w:eastAsia="zh-CN"/>
        </w:rPr>
        <w:t>资金支付完毕。</w:t>
      </w:r>
    </w:p>
    <w:p w14:paraId="7ED810F2">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（三）项目财务管理情况</w:t>
      </w:r>
    </w:p>
    <w:p w14:paraId="6C536D5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en-US" w:eastAsia="zh-CN"/>
        </w:rPr>
        <w:t>项目由攀枝花市仁和区文化馆负责实施，</w:t>
      </w:r>
      <w:r>
        <w:rPr>
          <w:rFonts w:hint="eastAsia" w:ascii="方正仿宋_GBK" w:hAnsi="方正仿宋_GBK" w:eastAsia="方正仿宋_GBK" w:cs="方正仿宋_GBK"/>
          <w:sz w:val="32"/>
          <w:szCs w:val="32"/>
          <w:lang w:val="zh-CN"/>
        </w:rPr>
        <w:t>财务管理制度</w:t>
      </w:r>
      <w:r>
        <w:rPr>
          <w:rFonts w:hint="eastAsia" w:ascii="方正仿宋_GBK" w:hAnsi="方正仿宋_GBK" w:eastAsia="方正仿宋_GBK" w:cs="方正仿宋_GBK"/>
          <w:sz w:val="32"/>
          <w:szCs w:val="32"/>
          <w:lang w:val="en-US" w:eastAsia="zh-CN"/>
        </w:rPr>
        <w:t>较</w:t>
      </w:r>
      <w:r>
        <w:rPr>
          <w:rFonts w:hint="eastAsia" w:ascii="方正仿宋_GBK" w:hAnsi="方正仿宋_GBK" w:eastAsia="方正仿宋_GBK" w:cs="方正仿宋_GBK"/>
          <w:sz w:val="32"/>
          <w:szCs w:val="32"/>
          <w:lang w:val="zh-CN"/>
        </w:rPr>
        <w:t>健全，严格执行</w:t>
      </w:r>
      <w:r>
        <w:rPr>
          <w:rFonts w:hint="eastAsia" w:ascii="方正仿宋_GBK" w:hAnsi="方正仿宋_GBK" w:eastAsia="方正仿宋_GBK" w:cs="方正仿宋_GBK"/>
          <w:sz w:val="32"/>
          <w:szCs w:val="32"/>
          <w:lang w:val="en-US" w:eastAsia="zh-CN"/>
        </w:rPr>
        <w:t>了</w:t>
      </w:r>
      <w:r>
        <w:rPr>
          <w:rFonts w:hint="eastAsia" w:ascii="方正仿宋_GBK" w:hAnsi="方正仿宋_GBK" w:eastAsia="方正仿宋_GBK" w:cs="方正仿宋_GBK"/>
          <w:sz w:val="32"/>
          <w:szCs w:val="32"/>
          <w:lang w:val="zh-CN"/>
        </w:rPr>
        <w:t>财务管理制度，</w:t>
      </w:r>
      <w:r>
        <w:rPr>
          <w:rFonts w:hint="eastAsia" w:ascii="方正仿宋_GBK" w:hAnsi="方正仿宋_GBK" w:eastAsia="方正仿宋_GBK" w:cs="方正仿宋_GBK"/>
          <w:sz w:val="32"/>
          <w:szCs w:val="32"/>
          <w:lang w:val="en-US" w:eastAsia="zh-CN"/>
        </w:rPr>
        <w:t>项目审批、招投标等流程均合法合规。</w:t>
      </w:r>
    </w:p>
    <w:p w14:paraId="45382139">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三、项目实施及管理情况</w:t>
      </w:r>
    </w:p>
    <w:p w14:paraId="46C545C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kern w:val="2"/>
          <w:sz w:val="32"/>
          <w:szCs w:val="32"/>
          <w:lang w:val="en-US" w:eastAsia="zh-CN" w:bidi="ar-SA"/>
        </w:rPr>
      </w:pPr>
      <w:r>
        <w:rPr>
          <w:rFonts w:hint="eastAsia" w:ascii="方正楷体_GBK" w:hAnsi="方正楷体_GBK" w:eastAsia="方正楷体_GBK" w:cs="方正楷体_GBK"/>
          <w:b/>
          <w:bCs w:val="0"/>
          <w:sz w:val="32"/>
          <w:szCs w:val="32"/>
          <w:lang w:val="zh-CN"/>
        </w:rPr>
        <w:t>（一）项目组织架构及实施流程。</w:t>
      </w:r>
      <w:r>
        <w:rPr>
          <w:rFonts w:hint="eastAsia" w:ascii="方正仿宋_GBK" w:hAnsi="方正仿宋_GBK" w:eastAsia="方正仿宋_GBK" w:cs="方正仿宋_GBK"/>
          <w:kern w:val="2"/>
          <w:sz w:val="32"/>
          <w:szCs w:val="32"/>
          <w:lang w:val="en-US" w:eastAsia="zh-CN" w:bidi="ar-SA"/>
        </w:rPr>
        <w:t>项目由区文化馆馆长负责统筹规划，区图书馆馆长负责实施协调工作。</w:t>
      </w:r>
    </w:p>
    <w:p w14:paraId="63741F9E">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b/>
          <w:bCs w:val="0"/>
          <w:sz w:val="32"/>
          <w:szCs w:val="32"/>
          <w:lang w:val="zh-CN"/>
        </w:rPr>
        <w:t>（二）项目管理情况。</w:t>
      </w:r>
      <w:r>
        <w:rPr>
          <w:rFonts w:hint="eastAsia" w:ascii="方正仿宋_GBK" w:hAnsi="方正仿宋_GBK" w:eastAsia="方正仿宋_GBK" w:cs="方正仿宋_GBK"/>
          <w:sz w:val="32"/>
          <w:szCs w:val="32"/>
          <w:lang w:val="en-US" w:eastAsia="zh-CN"/>
        </w:rPr>
        <w:t>攀枝花市仁和区文化馆在项目执行过程中严格按照资金管理制度开展必选工作，项目立项、资金使用均通过馆务会议集体讨论通过。</w:t>
      </w:r>
    </w:p>
    <w:p w14:paraId="6D64C8F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b/>
          <w:sz w:val="32"/>
          <w:szCs w:val="32"/>
          <w:lang w:val="en-US" w:eastAsia="zh-CN"/>
        </w:rPr>
      </w:pPr>
      <w:r>
        <w:rPr>
          <w:rFonts w:hint="eastAsia" w:ascii="方正楷体_GBK" w:hAnsi="方正楷体_GBK" w:eastAsia="方正楷体_GBK" w:cs="方正楷体_GBK"/>
          <w:b/>
          <w:bCs w:val="0"/>
          <w:sz w:val="32"/>
          <w:szCs w:val="32"/>
          <w:lang w:val="zh-CN"/>
        </w:rPr>
        <w:t>（三）项目监管情况。</w:t>
      </w:r>
      <w:r>
        <w:rPr>
          <w:rFonts w:hint="eastAsia" w:ascii="方正仿宋_GBK" w:hAnsi="方正仿宋_GBK" w:eastAsia="方正仿宋_GBK" w:cs="方正仿宋_GBK"/>
          <w:sz w:val="32"/>
          <w:szCs w:val="32"/>
          <w:lang w:val="en-US" w:eastAsia="zh-CN"/>
        </w:rPr>
        <w:t>攀枝花市仁和区文化广播电视和旅游局部门作为项目主管单位全流程对项目实施情况进行监管，指派专人负责跟进项目实施，有效保障了项目顺利推进。</w:t>
      </w:r>
    </w:p>
    <w:p w14:paraId="55100A92">
      <w:pPr>
        <w:spacing w:line="240" w:lineRule="auto"/>
        <w:ind w:firstLine="640" w:firstLineChars="200"/>
        <w:rPr>
          <w:rFonts w:hint="eastAsia" w:ascii="方正黑体_GBK" w:hAnsi="方正黑体_GBK" w:eastAsia="方正黑体_GBK" w:cs="方正黑体_GBK"/>
          <w:color w:val="auto"/>
          <w:sz w:val="32"/>
          <w:szCs w:val="32"/>
          <w:lang w:val="zh-CN" w:eastAsia="zh-CN"/>
        </w:rPr>
      </w:pPr>
      <w:r>
        <w:rPr>
          <w:rFonts w:hint="eastAsia" w:ascii="方正黑体_GBK" w:hAnsi="方正黑体_GBK" w:eastAsia="方正黑体_GBK" w:cs="方正黑体_GBK"/>
          <w:color w:val="auto"/>
          <w:sz w:val="32"/>
          <w:szCs w:val="32"/>
          <w:lang w:val="en-US" w:eastAsia="zh-CN"/>
        </w:rPr>
        <w:t>四、项目绩效情况</w:t>
      </w:r>
      <w:r>
        <w:rPr>
          <w:rFonts w:hint="eastAsia" w:ascii="方正黑体_GBK" w:hAnsi="方正黑体_GBK" w:eastAsia="方正黑体_GBK" w:cs="方正黑体_GBK"/>
          <w:color w:val="auto"/>
          <w:sz w:val="32"/>
          <w:szCs w:val="32"/>
          <w:lang w:val="zh-CN" w:eastAsia="zh-CN"/>
        </w:rPr>
        <w:tab/>
      </w:r>
    </w:p>
    <w:p w14:paraId="516EAC52">
      <w:pPr>
        <w:adjustRightInd w:val="0"/>
        <w:snapToGrid w:val="0"/>
        <w:spacing w:line="240" w:lineRule="auto"/>
        <w:ind w:firstLine="643" w:firstLineChars="20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（一）项目完成情况</w:t>
      </w:r>
    </w:p>
    <w:p w14:paraId="3C5954B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1.数量指标情况：已完成。</w:t>
      </w:r>
    </w:p>
    <w:p w14:paraId="56C8BB7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2.质量指标情况：项目工作推进顺利。</w:t>
      </w:r>
    </w:p>
    <w:p w14:paraId="6EC847F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3.时效指标情况：在规定时间内启动了项目工作，未存在超时情况。</w:t>
      </w:r>
    </w:p>
    <w:p w14:paraId="573E3DE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4.成本指标情况：项目已完成，已支付费用。</w:t>
      </w:r>
    </w:p>
    <w:p w14:paraId="504A844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对照项目计划完成目标，</w:t>
      </w:r>
      <w:r>
        <w:rPr>
          <w:rFonts w:hint="eastAsia" w:ascii="方正仿宋_GBK" w:hAnsi="方正仿宋_GBK" w:eastAsia="方正仿宋_GBK" w:cs="方正仿宋_GBK"/>
          <w:sz w:val="32"/>
          <w:szCs w:val="32"/>
          <w:lang w:val="en-US" w:eastAsia="zh-CN"/>
        </w:rPr>
        <w:t>该项目工作进度在正常范围内，2025年内启动并完成了此项目工作，项目推进情况总体良好。</w:t>
      </w:r>
    </w:p>
    <w:p w14:paraId="49B95688">
      <w:pPr>
        <w:adjustRightInd w:val="0"/>
        <w:snapToGrid w:val="0"/>
        <w:spacing w:line="240" w:lineRule="auto"/>
        <w:ind w:firstLine="720"/>
        <w:rPr>
          <w:rFonts w:hint="eastAsia" w:ascii="方正楷体_GBK" w:hAnsi="方正楷体_GBK" w:eastAsia="方正楷体_GBK" w:cs="方正楷体_GBK"/>
          <w:b/>
          <w:bCs w:val="0"/>
          <w:sz w:val="32"/>
          <w:szCs w:val="32"/>
          <w:lang w:val="zh-CN"/>
        </w:rPr>
      </w:pPr>
      <w:r>
        <w:rPr>
          <w:rFonts w:hint="eastAsia" w:ascii="方正楷体_GBK" w:hAnsi="方正楷体_GBK" w:eastAsia="方正楷体_GBK" w:cs="方正楷体_GBK"/>
          <w:b/>
          <w:bCs w:val="0"/>
          <w:sz w:val="32"/>
          <w:szCs w:val="32"/>
          <w:lang w:val="zh-CN"/>
        </w:rPr>
        <w:t>（二）项目效益情况</w:t>
      </w:r>
    </w:p>
    <w:p w14:paraId="45569FF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 xml:space="preserve">1.社会效益指标：满足群众文化需求。 </w:t>
      </w:r>
    </w:p>
    <w:p w14:paraId="509D872B">
      <w:pPr>
        <w:pStyle w:val="7"/>
        <w:spacing w:line="24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000000"/>
          <w:spacing w:val="0"/>
          <w:kern w:val="2"/>
          <w:sz w:val="32"/>
          <w:szCs w:val="32"/>
          <w:shd w:val="clear" w:color="auto" w:fill="FFFFFF"/>
          <w:lang w:val="en-US" w:eastAsia="zh-CN" w:bidi="ar-SA"/>
        </w:rPr>
        <w:t>2.可持续影响指标：受益群众越来越多，提升文化馆的社会影响力。</w:t>
      </w:r>
    </w:p>
    <w:p w14:paraId="76E9796A">
      <w:pPr>
        <w:adjustRightInd w:val="0"/>
        <w:snapToGrid w:val="0"/>
        <w:spacing w:line="240" w:lineRule="auto"/>
        <w:ind w:firstLine="720"/>
        <w:rPr>
          <w:rFonts w:hint="eastAsia" w:ascii="方正仿宋_GBK" w:hAnsi="方正仿宋_GBK" w:eastAsia="方正仿宋_GBK" w:cs="方正仿宋_GBK"/>
          <w:color w:val="000000"/>
          <w:spacing w:val="0"/>
          <w:kern w:val="2"/>
          <w:sz w:val="32"/>
          <w:szCs w:val="32"/>
          <w:shd w:val="clear" w:color="auto" w:fill="FFFFFF"/>
          <w:lang w:val="en-US" w:eastAsia="zh-CN" w:bidi="ar-SA"/>
        </w:rPr>
      </w:pPr>
      <w:r>
        <w:rPr>
          <w:rFonts w:hint="eastAsia" w:ascii="方正仿宋_GBK" w:hAnsi="方正仿宋_GBK" w:eastAsia="方正仿宋_GBK" w:cs="方正仿宋_GBK"/>
          <w:b w:val="0"/>
          <w:bCs w:val="0"/>
          <w:color w:val="000000"/>
          <w:spacing w:val="0"/>
          <w:kern w:val="2"/>
          <w:sz w:val="32"/>
          <w:szCs w:val="32"/>
          <w:shd w:val="clear" w:color="auto" w:fill="FFFFFF"/>
          <w:lang w:val="en-US" w:eastAsia="zh-CN" w:bidi="ar-SA"/>
        </w:rPr>
        <w:t>3.满意度指标：参与群众满意度大于等于</w:t>
      </w:r>
      <w:r>
        <w:rPr>
          <w:rFonts w:hint="eastAsia" w:ascii="方正仿宋_GBK" w:hAnsi="方正仿宋_GBK" w:eastAsia="方正仿宋_GBK" w:cs="方正仿宋_GBK"/>
          <w:color w:val="000000"/>
          <w:spacing w:val="0"/>
          <w:kern w:val="2"/>
          <w:sz w:val="32"/>
          <w:szCs w:val="32"/>
          <w:shd w:val="clear" w:color="auto" w:fill="FFFFFF"/>
          <w:lang w:val="en-US" w:eastAsia="zh-CN" w:bidi="ar-SA"/>
        </w:rPr>
        <w:t>90%。</w:t>
      </w:r>
    </w:p>
    <w:p w14:paraId="227D0703">
      <w:pPr>
        <w:spacing w:line="240" w:lineRule="auto"/>
        <w:ind w:firstLine="640" w:firstLineChars="200"/>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五、评价结论及建议</w:t>
      </w:r>
    </w:p>
    <w:p w14:paraId="0B9A43F4">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楷体_GBK" w:hAnsi="方正楷体_GBK" w:eastAsia="方正楷体_GBK" w:cs="方正楷体_GBK"/>
          <w:b/>
          <w:bCs w:val="0"/>
          <w:kern w:val="2"/>
          <w:sz w:val="32"/>
          <w:szCs w:val="32"/>
          <w:lang w:val="zh-CN" w:eastAsia="zh-CN" w:bidi="ar-SA"/>
        </w:rPr>
        <w:t>（一）评价结论。</w:t>
      </w:r>
      <w:r>
        <w:rPr>
          <w:rFonts w:hint="eastAsia" w:ascii="方正仿宋_GBK" w:hAnsi="方正仿宋_GBK" w:eastAsia="方正仿宋_GBK" w:cs="方正仿宋_GBK"/>
          <w:color w:val="auto"/>
          <w:sz w:val="32"/>
          <w:szCs w:val="32"/>
          <w:highlight w:val="none"/>
          <w:lang w:val="en-US" w:eastAsia="zh-CN"/>
        </w:rPr>
        <w:t>项目总体评价良好，体检数量、质量、成本、时效指标均在合理范围内，项目绩效目标设定合理，与相关部门要求匹配，达到了备选要求条件。</w:t>
      </w:r>
    </w:p>
    <w:p w14:paraId="2B5BC98A">
      <w:pPr>
        <w:adjustRightInd w:val="0"/>
        <w:snapToGrid w:val="0"/>
        <w:spacing w:line="240" w:lineRule="auto"/>
        <w:ind w:firstLine="643" w:firstLineChars="200"/>
        <w:rPr>
          <w:rFonts w:hint="eastAsia" w:ascii="方正楷体_GBK" w:hAnsi="方正楷体_GBK" w:eastAsia="方正楷体_GBK" w:cs="方正楷体_GBK"/>
          <w:b/>
          <w:bCs w:val="0"/>
          <w:sz w:val="32"/>
          <w:szCs w:val="32"/>
          <w:lang w:val="en-US"/>
        </w:rPr>
      </w:pPr>
      <w:r>
        <w:rPr>
          <w:rFonts w:hint="eastAsia" w:ascii="方正楷体_GBK" w:hAnsi="方正楷体_GBK" w:eastAsia="方正楷体_GBK" w:cs="方正楷体_GBK"/>
          <w:b/>
          <w:bCs w:val="0"/>
          <w:sz w:val="32"/>
          <w:szCs w:val="32"/>
          <w:lang w:val="zh-CN"/>
        </w:rPr>
        <w:t>（二）存在的问题。</w:t>
      </w:r>
      <w:r>
        <w:rPr>
          <w:rFonts w:hint="eastAsia" w:ascii="方正楷体_GBK" w:hAnsi="方正楷体_GBK" w:eastAsia="方正楷体_GBK" w:cs="方正楷体_GBK"/>
          <w:b/>
          <w:bCs w:val="0"/>
          <w:sz w:val="32"/>
          <w:szCs w:val="32"/>
          <w:lang w:val="en-US" w:eastAsia="zh-CN"/>
        </w:rPr>
        <w:t>无</w:t>
      </w:r>
    </w:p>
    <w:p w14:paraId="5AE6134B">
      <w:pPr>
        <w:adjustRightInd w:val="0"/>
        <w:snapToGrid w:val="0"/>
        <w:spacing w:line="240" w:lineRule="auto"/>
        <w:ind w:firstLine="643" w:firstLineChars="200"/>
        <w:rPr>
          <w:rFonts w:hint="eastAsia" w:ascii="Times New Roman" w:hAnsi="Times New Roman" w:eastAsia="黑体"/>
          <w:color w:val="auto"/>
          <w:sz w:val="44"/>
          <w:szCs w:val="44"/>
          <w:highlight w:val="none"/>
        </w:rPr>
      </w:pPr>
      <w:r>
        <w:rPr>
          <w:rFonts w:hint="eastAsia" w:ascii="方正楷体_GBK" w:hAnsi="方正楷体_GBK" w:eastAsia="方正楷体_GBK" w:cs="方正楷体_GBK"/>
          <w:b/>
          <w:bCs w:val="0"/>
          <w:sz w:val="32"/>
          <w:szCs w:val="32"/>
          <w:lang w:val="zh-CN"/>
        </w:rPr>
        <w:t>（三）相关建议。无</w:t>
      </w:r>
      <w:r>
        <w:rPr>
          <w:rFonts w:hint="eastAsia" w:ascii="方正楷体_GBK" w:hAnsi="方正楷体_GBK" w:eastAsia="方正楷体_GBK" w:cs="方正楷体_GBK"/>
          <w:b/>
          <w:bCs w:val="0"/>
          <w:sz w:val="32"/>
          <w:szCs w:val="32"/>
          <w:lang w:val="zh-CN"/>
        </w:rPr>
        <w:tab/>
      </w:r>
    </w:p>
    <w:p w14:paraId="41B64D47">
      <w:pPr>
        <w:widowControl/>
        <w:spacing w:line="240" w:lineRule="auto"/>
        <w:jc w:val="center"/>
        <w:rPr>
          <w:rFonts w:hint="eastAsia" w:ascii="Times New Roman" w:hAnsi="Times New Roman" w:eastAsia="黑体"/>
          <w:color w:val="auto"/>
          <w:sz w:val="44"/>
          <w:szCs w:val="44"/>
          <w:highlight w:val="none"/>
        </w:rPr>
      </w:pPr>
    </w:p>
    <w:p w14:paraId="5F58E054">
      <w:pPr>
        <w:widowControl/>
        <w:spacing w:line="240" w:lineRule="auto"/>
        <w:jc w:val="center"/>
        <w:rPr>
          <w:rFonts w:hint="eastAsia" w:ascii="Times New Roman" w:hAnsi="Times New Roman" w:eastAsia="黑体"/>
          <w:color w:val="auto"/>
          <w:sz w:val="44"/>
          <w:szCs w:val="44"/>
          <w:highlight w:val="none"/>
        </w:rPr>
      </w:pPr>
    </w:p>
    <w:p w14:paraId="220CB7FC">
      <w:pPr>
        <w:widowControl/>
        <w:spacing w:line="240" w:lineRule="auto"/>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5"/>
          <w:rFonts w:hint="eastAsia" w:ascii="Times New Roman" w:hAnsi="Times New Roman" w:eastAsia="黑体"/>
          <w:b w:val="0"/>
          <w:color w:val="auto"/>
          <w:highlight w:val="none"/>
        </w:rPr>
        <w:t>五部分 附表</w:t>
      </w:r>
      <w:bookmarkEnd w:id="54"/>
      <w:bookmarkEnd w:id="55"/>
      <w:bookmarkStart w:id="56" w:name="_Toc15396619"/>
    </w:p>
    <w:p w14:paraId="49BF9A04">
      <w:pPr>
        <w:pStyle w:val="15"/>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p>
    <w:p w14:paraId="09B18691">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一、收入支出决算总表</w:t>
      </w:r>
      <w:bookmarkEnd w:id="56"/>
    </w:p>
    <w:p w14:paraId="39BF5100">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57" w:name="_Toc15396620"/>
      <w:r>
        <w:rPr>
          <w:rFonts w:hint="eastAsia" w:ascii="方正仿宋_GBK" w:hAnsi="方正仿宋_GBK" w:eastAsia="方正仿宋_GBK" w:cs="方正仿宋_GBK"/>
          <w:color w:val="auto"/>
          <w:sz w:val="32"/>
          <w:szCs w:val="32"/>
          <w:highlight w:val="none"/>
        </w:rPr>
        <w:t>二、收入决算表</w:t>
      </w:r>
      <w:bookmarkEnd w:id="57"/>
    </w:p>
    <w:p w14:paraId="6C34F39F">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58" w:name="_Toc15396621"/>
      <w:r>
        <w:rPr>
          <w:rFonts w:hint="eastAsia" w:ascii="方正仿宋_GBK" w:hAnsi="方正仿宋_GBK" w:eastAsia="方正仿宋_GBK" w:cs="方正仿宋_GBK"/>
          <w:color w:val="auto"/>
          <w:sz w:val="32"/>
          <w:szCs w:val="32"/>
          <w:highlight w:val="none"/>
        </w:rPr>
        <w:t>三、支出决算表</w:t>
      </w:r>
      <w:bookmarkEnd w:id="58"/>
    </w:p>
    <w:p w14:paraId="1CC38A22">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59" w:name="_Toc15396622"/>
      <w:r>
        <w:rPr>
          <w:rFonts w:hint="eastAsia" w:ascii="方正仿宋_GBK" w:hAnsi="方正仿宋_GBK" w:eastAsia="方正仿宋_GBK" w:cs="方正仿宋_GBK"/>
          <w:color w:val="auto"/>
          <w:sz w:val="32"/>
          <w:szCs w:val="32"/>
          <w:highlight w:val="none"/>
        </w:rPr>
        <w:t>四、财政拨款收入支出决算总表</w:t>
      </w:r>
      <w:bookmarkEnd w:id="59"/>
    </w:p>
    <w:p w14:paraId="2BFFD39B">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60" w:name="_Toc15396623"/>
      <w:r>
        <w:rPr>
          <w:rFonts w:hint="eastAsia" w:ascii="方正仿宋_GBK" w:hAnsi="方正仿宋_GBK" w:eastAsia="方正仿宋_GBK" w:cs="方正仿宋_GBK"/>
          <w:color w:val="auto"/>
          <w:sz w:val="32"/>
          <w:szCs w:val="32"/>
          <w:highlight w:val="none"/>
        </w:rPr>
        <w:t>五、财政拨款支出决算明细表</w:t>
      </w:r>
      <w:bookmarkEnd w:id="60"/>
      <w:bookmarkStart w:id="61" w:name="_Toc15396624"/>
    </w:p>
    <w:p w14:paraId="322C4694">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六、一般公共预算财政拨款支出决算表</w:t>
      </w:r>
      <w:bookmarkEnd w:id="61"/>
    </w:p>
    <w:p w14:paraId="6DE97A40">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62" w:name="_Toc15396625"/>
      <w:r>
        <w:rPr>
          <w:rFonts w:hint="eastAsia" w:ascii="方正仿宋_GBK" w:hAnsi="方正仿宋_GBK" w:eastAsia="方正仿宋_GBK" w:cs="方正仿宋_GBK"/>
          <w:color w:val="auto"/>
          <w:sz w:val="32"/>
          <w:szCs w:val="32"/>
          <w:highlight w:val="none"/>
        </w:rPr>
        <w:t>七、一般公共预算财政拨款支出决算明细表</w:t>
      </w:r>
      <w:bookmarkEnd w:id="62"/>
    </w:p>
    <w:p w14:paraId="2443B952">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63" w:name="_Toc15396626"/>
      <w:r>
        <w:rPr>
          <w:rFonts w:hint="eastAsia" w:ascii="方正仿宋_GBK" w:hAnsi="方正仿宋_GBK" w:eastAsia="方正仿宋_GBK" w:cs="方正仿宋_GBK"/>
          <w:color w:val="auto"/>
          <w:sz w:val="32"/>
          <w:szCs w:val="32"/>
          <w:highlight w:val="none"/>
        </w:rPr>
        <w:t>八、一般公共预算财政拨款基本支出决算表</w:t>
      </w:r>
      <w:bookmarkEnd w:id="63"/>
    </w:p>
    <w:p w14:paraId="64965041">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64" w:name="_Toc15396627"/>
      <w:r>
        <w:rPr>
          <w:rFonts w:hint="eastAsia" w:ascii="方正仿宋_GBK" w:hAnsi="方正仿宋_GBK" w:eastAsia="方正仿宋_GBK" w:cs="方正仿宋_GBK"/>
          <w:color w:val="auto"/>
          <w:sz w:val="32"/>
          <w:szCs w:val="32"/>
          <w:highlight w:val="none"/>
        </w:rPr>
        <w:t>九、一般公共预算财政拨款项目支出决算表</w:t>
      </w:r>
      <w:bookmarkEnd w:id="64"/>
    </w:p>
    <w:p w14:paraId="1BBDEA61">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65" w:name="_Toc15396628"/>
      <w:r>
        <w:rPr>
          <w:rFonts w:hint="eastAsia" w:ascii="方正仿宋_GBK" w:hAnsi="方正仿宋_GBK" w:eastAsia="方正仿宋_GBK" w:cs="方正仿宋_GBK"/>
          <w:color w:val="auto"/>
          <w:sz w:val="32"/>
          <w:szCs w:val="32"/>
          <w:highlight w:val="none"/>
        </w:rPr>
        <w:t>十、</w:t>
      </w:r>
      <w:bookmarkEnd w:id="65"/>
      <w:r>
        <w:rPr>
          <w:rFonts w:hint="eastAsia" w:ascii="方正仿宋_GBK" w:hAnsi="方正仿宋_GBK" w:eastAsia="方正仿宋_GBK" w:cs="方正仿宋_GBK"/>
          <w:color w:val="auto"/>
          <w:sz w:val="32"/>
          <w:szCs w:val="32"/>
          <w:highlight w:val="none"/>
        </w:rPr>
        <w:t>政府性基金预算财政拨款收入支出决算表</w:t>
      </w:r>
    </w:p>
    <w:p w14:paraId="2F54F348">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66" w:name="_Toc15396629"/>
      <w:r>
        <w:rPr>
          <w:rFonts w:hint="eastAsia" w:ascii="方正仿宋_GBK" w:hAnsi="方正仿宋_GBK" w:eastAsia="方正仿宋_GBK" w:cs="方正仿宋_GBK"/>
          <w:color w:val="auto"/>
          <w:sz w:val="32"/>
          <w:szCs w:val="32"/>
          <w:highlight w:val="none"/>
        </w:rPr>
        <w:t>十一、</w:t>
      </w:r>
      <w:bookmarkEnd w:id="66"/>
      <w:r>
        <w:rPr>
          <w:rFonts w:hint="eastAsia" w:ascii="方正仿宋_GBK" w:hAnsi="方正仿宋_GBK" w:eastAsia="方正仿宋_GBK" w:cs="方正仿宋_GBK"/>
          <w:color w:val="auto"/>
          <w:sz w:val="32"/>
          <w:szCs w:val="32"/>
          <w:highlight w:val="none"/>
        </w:rPr>
        <w:t>国有资本经营预算</w:t>
      </w:r>
      <w:r>
        <w:rPr>
          <w:rFonts w:hint="eastAsia" w:ascii="方正仿宋_GBK" w:hAnsi="方正仿宋_GBK" w:eastAsia="方正仿宋_GBK" w:cs="方正仿宋_GBK"/>
          <w:color w:val="auto"/>
          <w:sz w:val="32"/>
          <w:szCs w:val="32"/>
          <w:highlight w:val="none"/>
          <w:lang w:eastAsia="zh-CN"/>
        </w:rPr>
        <w:t>财政拨款收入</w:t>
      </w:r>
      <w:r>
        <w:rPr>
          <w:rFonts w:hint="eastAsia" w:ascii="方正仿宋_GBK" w:hAnsi="方正仿宋_GBK" w:eastAsia="方正仿宋_GBK" w:cs="方正仿宋_GBK"/>
          <w:color w:val="auto"/>
          <w:sz w:val="32"/>
          <w:szCs w:val="32"/>
          <w:highlight w:val="none"/>
        </w:rPr>
        <w:t>支出决算表</w:t>
      </w:r>
    </w:p>
    <w:p w14:paraId="46CA4BC0">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rPr>
      </w:pPr>
      <w:bookmarkStart w:id="67" w:name="_Toc15396630"/>
      <w:r>
        <w:rPr>
          <w:rFonts w:hint="eastAsia" w:ascii="方正仿宋_GBK" w:hAnsi="方正仿宋_GBK" w:eastAsia="方正仿宋_GBK" w:cs="方正仿宋_GBK"/>
          <w:color w:val="auto"/>
          <w:sz w:val="32"/>
          <w:szCs w:val="32"/>
          <w:highlight w:val="none"/>
        </w:rPr>
        <w:t>十二、</w:t>
      </w:r>
      <w:bookmarkEnd w:id="67"/>
      <w:r>
        <w:rPr>
          <w:rFonts w:hint="eastAsia" w:ascii="方正仿宋_GBK" w:hAnsi="方正仿宋_GBK" w:eastAsia="方正仿宋_GBK" w:cs="方正仿宋_GBK"/>
          <w:color w:val="auto"/>
          <w:sz w:val="32"/>
          <w:szCs w:val="32"/>
          <w:highlight w:val="none"/>
          <w:lang w:eastAsia="zh-CN"/>
        </w:rPr>
        <w:t>国有资本经营预算财政拨款支出决算表</w:t>
      </w:r>
    </w:p>
    <w:p w14:paraId="60058615">
      <w:pPr>
        <w:pStyle w:val="15"/>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32"/>
          <w:szCs w:val="32"/>
          <w:highlight w:val="none"/>
          <w:lang w:eastAsia="zh-CN"/>
        </w:rPr>
      </w:pPr>
      <w:bookmarkStart w:id="68" w:name="_Toc15396631"/>
      <w:r>
        <w:rPr>
          <w:rFonts w:hint="eastAsia" w:ascii="方正仿宋_GBK" w:hAnsi="方正仿宋_GBK" w:eastAsia="方正仿宋_GBK" w:cs="方正仿宋_GBK"/>
          <w:color w:val="auto"/>
          <w:sz w:val="32"/>
          <w:szCs w:val="32"/>
          <w:highlight w:val="none"/>
        </w:rPr>
        <w:t>十三、</w:t>
      </w:r>
      <w:bookmarkEnd w:id="68"/>
      <w:r>
        <w:rPr>
          <w:rFonts w:hint="eastAsia" w:ascii="方正仿宋_GBK" w:hAnsi="方正仿宋_GBK" w:eastAsia="方正仿宋_GBK" w:cs="方正仿宋_GBK"/>
          <w:color w:val="auto"/>
          <w:sz w:val="32"/>
          <w:szCs w:val="32"/>
          <w:highlight w:val="none"/>
          <w:lang w:eastAsia="zh-CN"/>
        </w:rPr>
        <w:t>财政拨款“三公”经费支出决算表</w:t>
      </w:r>
    </w:p>
    <w:p w14:paraId="356CC1EE">
      <w:pPr>
        <w:spacing w:line="360" w:lineRule="auto"/>
        <w:rPr>
          <w:rFonts w:hint="eastAsia" w:ascii="方正仿宋_GBK" w:hAnsi="方正仿宋_GBK" w:eastAsia="方正仿宋_GBK" w:cs="方正仿宋_GBK"/>
          <w:sz w:val="32"/>
          <w:szCs w:val="32"/>
          <w:lang w:eastAsia="zh-CN"/>
        </w:rPr>
      </w:pPr>
    </w:p>
    <w:sectPr>
      <w:footerReference r:id="rId5" w:type="first"/>
      <w:headerReference r:id="rId3" w:type="default"/>
      <w:footerReference r:id="rId4" w:type="default"/>
      <w:pgSz w:w="11906" w:h="16838"/>
      <w:pgMar w:top="1814" w:right="1417" w:bottom="1701" w:left="141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B1B9">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DE648">
                          <w:pPr>
                            <w:pStyle w:val="12"/>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1DE648">
                    <w:pPr>
                      <w:pStyle w:val="12"/>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p>
                </w:txbxContent>
              </v:textbox>
            </v:shape>
          </w:pict>
        </mc:Fallback>
      </mc:AlternateContent>
    </w:r>
  </w:p>
  <w:p w14:paraId="6B1D7AB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397FE">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DD9FE4">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EDD9FE4">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48EDA">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22D6"/>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1563E1"/>
    <w:rsid w:val="08DB07E4"/>
    <w:rsid w:val="09867E8F"/>
    <w:rsid w:val="0A2032A3"/>
    <w:rsid w:val="0B453D78"/>
    <w:rsid w:val="0BCF2858"/>
    <w:rsid w:val="0C6C4794"/>
    <w:rsid w:val="0CA8290A"/>
    <w:rsid w:val="0CAA6E21"/>
    <w:rsid w:val="0D35B1ED"/>
    <w:rsid w:val="0DE07E2B"/>
    <w:rsid w:val="0F98263C"/>
    <w:rsid w:val="101860EC"/>
    <w:rsid w:val="10C055FF"/>
    <w:rsid w:val="11772AA4"/>
    <w:rsid w:val="118107EC"/>
    <w:rsid w:val="11AF1E86"/>
    <w:rsid w:val="13957196"/>
    <w:rsid w:val="13D50BC4"/>
    <w:rsid w:val="14022904"/>
    <w:rsid w:val="152F2A07"/>
    <w:rsid w:val="15C062FE"/>
    <w:rsid w:val="165E0673"/>
    <w:rsid w:val="16BB723D"/>
    <w:rsid w:val="16F13FCB"/>
    <w:rsid w:val="17860169"/>
    <w:rsid w:val="17C42F3B"/>
    <w:rsid w:val="186504BB"/>
    <w:rsid w:val="1938089F"/>
    <w:rsid w:val="19A445FC"/>
    <w:rsid w:val="1A7D0A5D"/>
    <w:rsid w:val="1B7D550C"/>
    <w:rsid w:val="1BA809D0"/>
    <w:rsid w:val="1BE8440E"/>
    <w:rsid w:val="1D155CEE"/>
    <w:rsid w:val="1DE178F3"/>
    <w:rsid w:val="1E740ACF"/>
    <w:rsid w:val="1EC42956"/>
    <w:rsid w:val="1ECB5EF9"/>
    <w:rsid w:val="1FF35744"/>
    <w:rsid w:val="1FF6BC77"/>
    <w:rsid w:val="20554E8D"/>
    <w:rsid w:val="21962A9E"/>
    <w:rsid w:val="21AE7C77"/>
    <w:rsid w:val="22B94EBB"/>
    <w:rsid w:val="22BC3C41"/>
    <w:rsid w:val="23860B96"/>
    <w:rsid w:val="239857CE"/>
    <w:rsid w:val="240371BF"/>
    <w:rsid w:val="243103D5"/>
    <w:rsid w:val="25567FE3"/>
    <w:rsid w:val="260F557C"/>
    <w:rsid w:val="281408E2"/>
    <w:rsid w:val="29FD04D3"/>
    <w:rsid w:val="2BFF7BC6"/>
    <w:rsid w:val="2C8A61B5"/>
    <w:rsid w:val="2D2E01CF"/>
    <w:rsid w:val="2DF04E50"/>
    <w:rsid w:val="2E9545B0"/>
    <w:rsid w:val="2F040D46"/>
    <w:rsid w:val="2F38403B"/>
    <w:rsid w:val="2F396887"/>
    <w:rsid w:val="2F4C5C5D"/>
    <w:rsid w:val="2FAE5751"/>
    <w:rsid w:val="2FB1A395"/>
    <w:rsid w:val="2FD9A7D8"/>
    <w:rsid w:val="300161D9"/>
    <w:rsid w:val="319F7F4E"/>
    <w:rsid w:val="321B2544"/>
    <w:rsid w:val="3304709D"/>
    <w:rsid w:val="34281836"/>
    <w:rsid w:val="349D6851"/>
    <w:rsid w:val="35BA6CAF"/>
    <w:rsid w:val="35D37231"/>
    <w:rsid w:val="364D14C1"/>
    <w:rsid w:val="36AA5135"/>
    <w:rsid w:val="36BE0DA7"/>
    <w:rsid w:val="376B6AA6"/>
    <w:rsid w:val="376D39B2"/>
    <w:rsid w:val="37E16F03"/>
    <w:rsid w:val="37F53A3B"/>
    <w:rsid w:val="38145A1C"/>
    <w:rsid w:val="389B6C89"/>
    <w:rsid w:val="38D469F0"/>
    <w:rsid w:val="39627CCD"/>
    <w:rsid w:val="397BAF1F"/>
    <w:rsid w:val="3AB79AF3"/>
    <w:rsid w:val="3B7EF35A"/>
    <w:rsid w:val="3B9FDB6C"/>
    <w:rsid w:val="3BF5BC2F"/>
    <w:rsid w:val="3C597C13"/>
    <w:rsid w:val="3CEBA265"/>
    <w:rsid w:val="3D98207C"/>
    <w:rsid w:val="3D9B0D99"/>
    <w:rsid w:val="3DEE7CF3"/>
    <w:rsid w:val="3DF02244"/>
    <w:rsid w:val="3E1612A7"/>
    <w:rsid w:val="3E78745D"/>
    <w:rsid w:val="3F875A98"/>
    <w:rsid w:val="3FF4CAE0"/>
    <w:rsid w:val="3FF7B227"/>
    <w:rsid w:val="40CC7581"/>
    <w:rsid w:val="40E54C45"/>
    <w:rsid w:val="4101455B"/>
    <w:rsid w:val="41313393"/>
    <w:rsid w:val="42981A49"/>
    <w:rsid w:val="43A407DF"/>
    <w:rsid w:val="44515BEA"/>
    <w:rsid w:val="44E268DA"/>
    <w:rsid w:val="45334B5D"/>
    <w:rsid w:val="453F7E5B"/>
    <w:rsid w:val="486A6C7A"/>
    <w:rsid w:val="49176D9B"/>
    <w:rsid w:val="49185E15"/>
    <w:rsid w:val="494006BD"/>
    <w:rsid w:val="49C42961"/>
    <w:rsid w:val="49F555BD"/>
    <w:rsid w:val="4A627F82"/>
    <w:rsid w:val="4B0E749A"/>
    <w:rsid w:val="4B4F25DA"/>
    <w:rsid w:val="4BAA6817"/>
    <w:rsid w:val="4BDA0CFB"/>
    <w:rsid w:val="4BE068DB"/>
    <w:rsid w:val="4D27426F"/>
    <w:rsid w:val="4D3C0CCC"/>
    <w:rsid w:val="4D577224"/>
    <w:rsid w:val="4DBF1CEB"/>
    <w:rsid w:val="4EAB630A"/>
    <w:rsid w:val="4ECE2238"/>
    <w:rsid w:val="4F833267"/>
    <w:rsid w:val="4FE9BD67"/>
    <w:rsid w:val="4FFB052F"/>
    <w:rsid w:val="50002F0D"/>
    <w:rsid w:val="51190115"/>
    <w:rsid w:val="53083A92"/>
    <w:rsid w:val="537E6D0A"/>
    <w:rsid w:val="53AF27A2"/>
    <w:rsid w:val="53F74C96"/>
    <w:rsid w:val="557E4FF1"/>
    <w:rsid w:val="564A1305"/>
    <w:rsid w:val="56E47B74"/>
    <w:rsid w:val="57BD3DD4"/>
    <w:rsid w:val="5AF92295"/>
    <w:rsid w:val="5BDD79E6"/>
    <w:rsid w:val="5BF561CA"/>
    <w:rsid w:val="5BFF5DFC"/>
    <w:rsid w:val="5CD71FC4"/>
    <w:rsid w:val="5D1F11B5"/>
    <w:rsid w:val="5DAE1B18"/>
    <w:rsid w:val="5DE750AF"/>
    <w:rsid w:val="5DE7D9E5"/>
    <w:rsid w:val="5ECEC941"/>
    <w:rsid w:val="5F493CB7"/>
    <w:rsid w:val="5FBF9FF3"/>
    <w:rsid w:val="5FCD4E2C"/>
    <w:rsid w:val="5FD15F49"/>
    <w:rsid w:val="5FEF394A"/>
    <w:rsid w:val="5FF67715"/>
    <w:rsid w:val="629C2292"/>
    <w:rsid w:val="62BF3928"/>
    <w:rsid w:val="638A3735"/>
    <w:rsid w:val="647F5392"/>
    <w:rsid w:val="664B1D71"/>
    <w:rsid w:val="66E006CB"/>
    <w:rsid w:val="676F11CF"/>
    <w:rsid w:val="67AA3209"/>
    <w:rsid w:val="67D31A60"/>
    <w:rsid w:val="681C4F0D"/>
    <w:rsid w:val="69046D0F"/>
    <w:rsid w:val="698D0931"/>
    <w:rsid w:val="6A6A2882"/>
    <w:rsid w:val="6A993CED"/>
    <w:rsid w:val="6ADB5F4C"/>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E116BB"/>
    <w:rsid w:val="72233669"/>
    <w:rsid w:val="72734D90"/>
    <w:rsid w:val="730E16C7"/>
    <w:rsid w:val="7332FE48"/>
    <w:rsid w:val="73AB61DA"/>
    <w:rsid w:val="73AD73D5"/>
    <w:rsid w:val="73B6EB34"/>
    <w:rsid w:val="73FA497D"/>
    <w:rsid w:val="744731E5"/>
    <w:rsid w:val="74527205"/>
    <w:rsid w:val="74BBD01D"/>
    <w:rsid w:val="74ED5379"/>
    <w:rsid w:val="74F90E39"/>
    <w:rsid w:val="74FC2395"/>
    <w:rsid w:val="7564688B"/>
    <w:rsid w:val="75DEEEC2"/>
    <w:rsid w:val="7685158C"/>
    <w:rsid w:val="76E3355F"/>
    <w:rsid w:val="76FF5125"/>
    <w:rsid w:val="776F6FFA"/>
    <w:rsid w:val="778769C8"/>
    <w:rsid w:val="77DC22F5"/>
    <w:rsid w:val="79086DAD"/>
    <w:rsid w:val="79974F09"/>
    <w:rsid w:val="79D7FD79"/>
    <w:rsid w:val="79EE5BA4"/>
    <w:rsid w:val="7A8146EF"/>
    <w:rsid w:val="7A894339"/>
    <w:rsid w:val="7AFF7572"/>
    <w:rsid w:val="7B6C7DFB"/>
    <w:rsid w:val="7BBFBED0"/>
    <w:rsid w:val="7BC3E394"/>
    <w:rsid w:val="7C1F3737"/>
    <w:rsid w:val="7C86568C"/>
    <w:rsid w:val="7CBFC87B"/>
    <w:rsid w:val="7CFE0F48"/>
    <w:rsid w:val="7D7EC23E"/>
    <w:rsid w:val="7D916348"/>
    <w:rsid w:val="7E431733"/>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9"/>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Chars="200"/>
    </w:pPr>
    <w:rPr>
      <w:rFonts w:ascii="仿宋_GB2312"/>
      <w:szCs w:val="32"/>
    </w:rPr>
  </w:style>
  <w:style w:type="paragraph" w:styleId="7">
    <w:name w:val="Salutation"/>
    <w:basedOn w:val="1"/>
    <w:next w:val="1"/>
    <w:unhideWhenUsed/>
    <w:qFormat/>
    <w:uiPriority w:val="99"/>
    <w:rPr>
      <w:rFonts w:ascii="Times New Roman" w:hAnsi="Times New Roman"/>
    </w:rPr>
  </w:style>
  <w:style w:type="paragraph" w:styleId="8">
    <w:name w:val="Body Text"/>
    <w:basedOn w:val="1"/>
    <w:next w:val="1"/>
    <w:link w:val="32"/>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rPr>
      <w:rFonts w:ascii="宋体" w:hAnsi="Courier New"/>
    </w:rPr>
  </w:style>
  <w:style w:type="paragraph" w:styleId="11">
    <w:name w:val="Balloon Text"/>
    <w:basedOn w:val="1"/>
    <w:link w:val="38"/>
    <w:semiHidden/>
    <w:unhideWhenUsed/>
    <w:qFormat/>
    <w:uiPriority w:val="99"/>
    <w:rPr>
      <w:sz w:val="18"/>
      <w:szCs w:val="18"/>
    </w:rPr>
  </w:style>
  <w:style w:type="paragraph" w:styleId="12">
    <w:name w:val="footer"/>
    <w:basedOn w:val="1"/>
    <w:link w:val="30"/>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character" w:styleId="19">
    <w:name w:val="Strong"/>
    <w:basedOn w:val="18"/>
    <w:qFormat/>
    <w:uiPriority w:val="99"/>
    <w:rPr>
      <w:b/>
    </w:rPr>
  </w:style>
  <w:style w:type="character" w:styleId="20">
    <w:name w:val="page number"/>
    <w:basedOn w:val="18"/>
    <w:qFormat/>
    <w:uiPriority w:val="0"/>
  </w:style>
  <w:style w:type="character" w:styleId="21">
    <w:name w:val="Hyperlink"/>
    <w:basedOn w:val="18"/>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23">
    <w:name w:val="正文2"/>
    <w:basedOn w:val="1"/>
    <w:next w:val="1"/>
    <w:qFormat/>
    <w:uiPriority w:val="0"/>
    <w:rPr>
      <w:rFonts w:ascii="仿宋_GB2312" w:eastAsia="仿宋_GB2312"/>
      <w:szCs w:val="20"/>
    </w:rPr>
  </w:style>
  <w:style w:type="paragraph" w:customStyle="1" w:styleId="24">
    <w:name w:val="footnote text1"/>
    <w:basedOn w:val="1"/>
    <w:next w:val="25"/>
    <w:qFormat/>
    <w:uiPriority w:val="0"/>
    <w:pPr>
      <w:snapToGrid w:val="0"/>
      <w:jc w:val="left"/>
    </w:pPr>
    <w:rPr>
      <w:sz w:val="18"/>
      <w:szCs w:val="18"/>
    </w:rPr>
  </w:style>
  <w:style w:type="paragraph" w:customStyle="1" w:styleId="25">
    <w:name w:val="Body Text First Indent 21"/>
    <w:basedOn w:val="26"/>
    <w:next w:val="1"/>
    <w:qFormat/>
    <w:uiPriority w:val="0"/>
    <w:pPr>
      <w:ind w:firstLine="420" w:firstLineChars="200"/>
    </w:pPr>
    <w:rPr>
      <w:rFonts w:ascii="仿宋_GB2312"/>
      <w:kern w:val="2"/>
      <w:sz w:val="21"/>
      <w:szCs w:val="32"/>
    </w:rPr>
  </w:style>
  <w:style w:type="paragraph" w:customStyle="1" w:styleId="26">
    <w:name w:val="Body Text Indent1"/>
    <w:basedOn w:val="1"/>
    <w:next w:val="25"/>
    <w:qFormat/>
    <w:uiPriority w:val="0"/>
    <w:pPr>
      <w:spacing w:after="120" w:afterLines="0"/>
      <w:ind w:left="200" w:leftChars="200"/>
    </w:pPr>
    <w:rPr>
      <w:rFonts w:ascii="仿宋_GB2312"/>
      <w:szCs w:val="32"/>
    </w:rPr>
  </w:style>
  <w:style w:type="character" w:customStyle="1" w:styleId="27">
    <w:name w:val="Header Char"/>
    <w:basedOn w:val="18"/>
    <w:semiHidden/>
    <w:qFormat/>
    <w:uiPriority w:val="99"/>
    <w:rPr>
      <w:rFonts w:ascii="Times New Roman" w:hAnsi="Times New Roman"/>
      <w:sz w:val="18"/>
      <w:szCs w:val="18"/>
    </w:rPr>
  </w:style>
  <w:style w:type="character" w:customStyle="1" w:styleId="28">
    <w:name w:val="页眉 Char"/>
    <w:link w:val="13"/>
    <w:semiHidden/>
    <w:qFormat/>
    <w:locked/>
    <w:uiPriority w:val="99"/>
    <w:rPr>
      <w:sz w:val="18"/>
    </w:rPr>
  </w:style>
  <w:style w:type="character" w:customStyle="1" w:styleId="29">
    <w:name w:val="Footer Char"/>
    <w:basedOn w:val="18"/>
    <w:semiHidden/>
    <w:qFormat/>
    <w:uiPriority w:val="99"/>
    <w:rPr>
      <w:rFonts w:ascii="Times New Roman" w:hAnsi="Times New Roman"/>
      <w:sz w:val="18"/>
      <w:szCs w:val="18"/>
    </w:rPr>
  </w:style>
  <w:style w:type="character" w:customStyle="1" w:styleId="30">
    <w:name w:val="页脚 Char"/>
    <w:link w:val="12"/>
    <w:qFormat/>
    <w:locked/>
    <w:uiPriority w:val="99"/>
    <w:rPr>
      <w:sz w:val="18"/>
    </w:rPr>
  </w:style>
  <w:style w:type="character" w:customStyle="1" w:styleId="31">
    <w:name w:val="Body Text Char"/>
    <w:basedOn w:val="18"/>
    <w:semiHidden/>
    <w:qFormat/>
    <w:uiPriority w:val="99"/>
    <w:rPr>
      <w:rFonts w:ascii="Times New Roman" w:hAnsi="Times New Roman"/>
      <w:szCs w:val="24"/>
    </w:rPr>
  </w:style>
  <w:style w:type="character" w:customStyle="1" w:styleId="32">
    <w:name w:val="正文文本 Char"/>
    <w:link w:val="8"/>
    <w:qFormat/>
    <w:locked/>
    <w:uiPriority w:val="99"/>
    <w:rPr>
      <w:rFonts w:ascii="仿宋_GB2312" w:hAnsi="Times New Roman" w:eastAsia="仿宋_GB2312"/>
      <w:sz w:val="24"/>
    </w:rPr>
  </w:style>
  <w:style w:type="paragraph" w:customStyle="1" w:styleId="3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4">
    <w:name w:val="List Paragraph"/>
    <w:basedOn w:val="1"/>
    <w:qFormat/>
    <w:uiPriority w:val="34"/>
    <w:pPr>
      <w:ind w:firstLine="420" w:firstLineChars="200"/>
    </w:pPr>
  </w:style>
  <w:style w:type="character" w:customStyle="1" w:styleId="35">
    <w:name w:val="标题 1 Char"/>
    <w:basedOn w:val="18"/>
    <w:link w:val="4"/>
    <w:qFormat/>
    <w:uiPriority w:val="9"/>
    <w:rPr>
      <w:rFonts w:ascii="Times New Roman" w:hAnsi="Times New Roman"/>
      <w:b/>
      <w:bCs/>
      <w:kern w:val="44"/>
      <w:sz w:val="44"/>
      <w:szCs w:val="44"/>
    </w:rPr>
  </w:style>
  <w:style w:type="character" w:customStyle="1" w:styleId="36">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7">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8">
    <w:name w:val="批注框文本 Char"/>
    <w:basedOn w:val="18"/>
    <w:link w:val="11"/>
    <w:semiHidden/>
    <w:qFormat/>
    <w:uiPriority w:val="99"/>
    <w:rPr>
      <w:rFonts w:ascii="Times New Roman" w:hAnsi="Times New Roman"/>
      <w:kern w:val="2"/>
      <w:sz w:val="18"/>
      <w:szCs w:val="18"/>
    </w:rPr>
  </w:style>
  <w:style w:type="character" w:customStyle="1" w:styleId="39">
    <w:name w:val="标题 3 Char"/>
    <w:basedOn w:val="18"/>
    <w:link w:val="6"/>
    <w:qFormat/>
    <w:uiPriority w:val="9"/>
    <w:rPr>
      <w:rFonts w:ascii="Times New Roman" w:hAnsi="Times New Roman"/>
      <w:b/>
      <w:bCs/>
      <w:kern w:val="2"/>
      <w:sz w:val="32"/>
      <w:szCs w:val="32"/>
    </w:rPr>
  </w:style>
  <w:style w:type="paragraph" w:customStyle="1" w:styleId="40">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1">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42">
    <w:name w:val="Body Text"/>
    <w:basedOn w:val="1"/>
    <w:qFormat/>
    <w:uiPriority w:val="0"/>
    <w:pPr>
      <w:spacing w:before="93" w:beforeLines="30"/>
    </w:pPr>
    <w:rPr>
      <w:rFonts w:ascii="仿宋_GB2312" w:hAnsi="Times New Roman" w:eastAsia="仿宋_GB2312"/>
      <w:sz w:val="24"/>
    </w:rPr>
  </w:style>
  <w:style w:type="paragraph" w:styleId="43">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收、支决算总计变动情况图</a:t>
            </a:r>
            <a:endParaRPr sz="110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[公开决算比对表.xls]Sheet1!$B$5</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#,##0.00</c:formatCode>
                <c:ptCount val="2"/>
                <c:pt idx="0">
                  <c:v>295.7</c:v>
                </c:pt>
                <c:pt idx="1">
                  <c:v>295.7</c:v>
                </c:pt>
              </c:numCache>
            </c:numRef>
          </c:val>
        </c:ser>
        <c:ser>
          <c:idx val="1"/>
          <c:order val="1"/>
          <c:tx>
            <c:strRef>
              <c:f>[公开决算比对表.xls]Sheet1!$B$6</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382.73</c:v>
                </c:pt>
                <c:pt idx="1">
                  <c:v>382.73</c:v>
                </c:pt>
              </c:numCache>
            </c:numRef>
          </c:val>
        </c:ser>
        <c:dLbls>
          <c:showLegendKey val="0"/>
          <c:showVal val="0"/>
          <c:showCatName val="0"/>
          <c:showSerName val="0"/>
          <c:showPercent val="0"/>
          <c:showBubbleSize val="0"/>
        </c:dLbls>
        <c:gapWidth val="150"/>
        <c:overlap val="0"/>
        <c:axId val="879835426"/>
        <c:axId val="707868852"/>
      </c:barChart>
      <c:catAx>
        <c:axId val="879835426"/>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707868852"/>
        <c:crosses val="autoZero"/>
        <c:auto val="1"/>
        <c:lblAlgn val="ctr"/>
        <c:lblOffset val="100"/>
        <c:noMultiLvlLbl val="0"/>
      </c:catAx>
      <c:valAx>
        <c:axId val="707868852"/>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79835426"/>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415"/>
          <c:y val="0.1315"/>
          <c:w val="0.1657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7b4378bc-f153-4b18-b30d-ded7805d691d}"/>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2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收入决算结构图</a:t>
            </a:r>
            <a:endParaRPr sz="102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 val="-0.37775"/>
          <c:y val="0"/>
        </c:manualLayout>
      </c:layout>
      <c:overlay val="0"/>
      <c:spPr>
        <a:noFill/>
        <a:ln w="3175">
          <a:noFill/>
        </a:ln>
      </c:spPr>
    </c:title>
    <c:autoTitleDeleted val="0"/>
    <c:plotArea>
      <c:layout>
        <c:manualLayout>
          <c:layoutTarget val="inner"/>
          <c:xMode val="edge"/>
          <c:yMode val="edge"/>
          <c:x val="0.47"/>
          <c:y val="0.19675"/>
          <c:w val="0.3605"/>
          <c:h val="0.706"/>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Lbls>
            <c:dLbl>
              <c:idx val="0"/>
              <c:layout>
                <c:manualLayout>
                  <c:x val="0.0727751594122539"/>
                  <c:y val="-0.015868817773075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95065151095093"/>
                  <c:y val="-0.00396720444326898"/>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0812309398392"/>
                  <c:y val="-0.083311293308648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812309398392"/>
                  <c:y val="-0.023803226659613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[公开决算比对表.xls]Sheet1!$H$4:$K$4</c:f>
              <c:strCache>
                <c:ptCount val="4"/>
                <c:pt idx="0">
                  <c:v>一般公共预算财政拨款收入</c:v>
                </c:pt>
                <c:pt idx="1">
                  <c:v>政府性基金预算财政拨款收入</c:v>
                </c:pt>
                <c:pt idx="2">
                  <c:v>国有资本经营预算财政拨款</c:v>
                </c:pt>
                <c:pt idx="3">
                  <c:v>其他收入</c:v>
                </c:pt>
              </c:strCache>
            </c:strRef>
          </c:cat>
          <c:val>
            <c:numRef>
              <c:f>[公开决算比对表.xls]Sheet1!$H$5:$K$5</c:f>
              <c:numCache>
                <c:formatCode>General</c:formatCode>
                <c:ptCount val="4"/>
                <c:pt idx="0">
                  <c:v>382.73</c:v>
                </c:pt>
                <c:pt idx="1">
                  <c:v>0</c:v>
                </c:pt>
                <c:pt idx="2">
                  <c:v>0</c:v>
                </c:pt>
                <c:pt idx="3">
                  <c:v>0</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0300186443027447"/>
          <c:y val="0.19593493784713"/>
          <c:w val="0.31475"/>
          <c:h val="0.221"/>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5e469f28-15ba-49ab-b8ad-f71b78666ea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7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支出决算结构图</a:t>
            </a:r>
            <a:endParaRPr sz="9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Lbls>
            <c:dLbl>
              <c:idx val="0"/>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extLst>
                <c:ext xmlns:c15="http://schemas.microsoft.com/office/drawing/2012/chart" uri="{CE6537A1-D6FC-4f65-9D91-7224C49458BB}"/>
              </c:extLst>
            </c:dLbl>
            <c:dLbl>
              <c:idx val="1"/>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[公开决算比对表.xls]Sheet1!$N$4:$O$4</c:f>
              <c:strCache>
                <c:ptCount val="2"/>
                <c:pt idx="0">
                  <c:v>基本支出</c:v>
                </c:pt>
                <c:pt idx="1">
                  <c:v>项目支出</c:v>
                </c:pt>
              </c:strCache>
            </c:strRef>
          </c:cat>
          <c:val>
            <c:numRef>
              <c:f>[公开决算比对表.xls]Sheet1!$N$5:$O$5</c:f>
              <c:numCache>
                <c:formatCode>General</c:formatCode>
                <c:ptCount val="2"/>
                <c:pt idx="0">
                  <c:v>199.56</c:v>
                </c:pt>
                <c:pt idx="1">
                  <c:v>183.17</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b"/>
      <c:layout>
        <c:manualLayout>
          <c:xMode val="edge"/>
          <c:yMode val="edge"/>
          <c:x val="0.389"/>
          <c:y val="0.914"/>
          <c:w val="0.221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a1f20f58-138d-409d-9e6b-9f0cc668c588}"/>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1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财政拨款收、支决算总计变动情况</a:t>
            </a:r>
            <a:endParaRPr sz="101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[公开决算比对表.xls]Sheet1!$B$28</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#,##0.00</c:formatCode>
                <c:ptCount val="2"/>
                <c:pt idx="0">
                  <c:v>295.7</c:v>
                </c:pt>
                <c:pt idx="1">
                  <c:v>295.7</c:v>
                </c:pt>
              </c:numCache>
            </c:numRef>
          </c:val>
        </c:ser>
        <c:ser>
          <c:idx val="1"/>
          <c:order val="1"/>
          <c:tx>
            <c:strRef>
              <c:f>[公开决算比对表.xls]Sheet1!$B$29</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382.73</c:v>
                </c:pt>
                <c:pt idx="1">
                  <c:v>382.73</c:v>
                </c:pt>
              </c:numCache>
            </c:numRef>
          </c:val>
        </c:ser>
        <c:dLbls>
          <c:showLegendKey val="0"/>
          <c:showVal val="0"/>
          <c:showCatName val="0"/>
          <c:showSerName val="0"/>
          <c:showPercent val="0"/>
          <c:showBubbleSize val="0"/>
        </c:dLbls>
        <c:gapWidth val="150"/>
        <c:overlap val="0"/>
        <c:axId val="314913574"/>
        <c:axId val="662963985"/>
      </c:barChart>
      <c:catAx>
        <c:axId val="314913574"/>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662963985"/>
        <c:crosses val="autoZero"/>
        <c:auto val="1"/>
        <c:lblAlgn val="ctr"/>
        <c:lblOffset val="100"/>
        <c:noMultiLvlLbl val="0"/>
      </c:catAx>
      <c:valAx>
        <c:axId val="662963985"/>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14913574"/>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5"/>
          <c:y val="0.133"/>
          <c:w val="0.1422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88ba6e9f-e7d2-4005-8369-ca6e6c5c56a1}"/>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76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一般公共预算财政拨款支出决算变动情况</a:t>
            </a:r>
            <a:endParaRPr sz="76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2024</c:v>
                </c:pt>
                <c:pt idx="1">
                  <c:v>2025</c:v>
                </c:pt>
              </c:numCache>
            </c:numRef>
          </c:cat>
          <c:val>
            <c:numRef>
              <c:f>Sheet1!$H$28:$I$28</c:f>
              <c:numCache>
                <c:formatCode>#,##0.00</c:formatCode>
                <c:ptCount val="2"/>
                <c:pt idx="0">
                  <c:v>295.7</c:v>
                </c:pt>
                <c:pt idx="1" c:formatCode="General">
                  <c:v>382.73</c:v>
                </c:pt>
              </c:numCache>
            </c:numRef>
          </c:val>
        </c:ser>
        <c:dLbls>
          <c:showLegendKey val="0"/>
          <c:showVal val="0"/>
          <c:showCatName val="0"/>
          <c:showSerName val="0"/>
          <c:showPercent val="0"/>
          <c:showBubbleSize val="0"/>
        </c:dLbls>
        <c:gapWidth val="150"/>
        <c:overlap val="0"/>
        <c:axId val="478587059"/>
        <c:axId val="494289833"/>
      </c:barChart>
      <c:catAx>
        <c:axId val="478587059"/>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94289833"/>
        <c:crosses val="autoZero"/>
        <c:auto val="1"/>
        <c:lblAlgn val="ctr"/>
        <c:lblOffset val="100"/>
        <c:noMultiLvlLbl val="0"/>
      </c:catAx>
      <c:valAx>
        <c:axId val="494289833"/>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78587059"/>
        <c:crosses val="autoZero"/>
        <c:crossBetween val="between"/>
      </c:valAx>
      <c:spPr>
        <a:solidFill>
          <a:srgbClr val="C0C0C0">
            <a:alpha val="100000"/>
          </a:srgbClr>
        </a:solidFill>
        <a:ln w="3175">
          <a:solidFill>
            <a:srgbClr val="808080">
              <a:alpha val="100000"/>
            </a:srgbClr>
          </a:solidFill>
          <a:prstDash val="solid"/>
        </a:ln>
      </c:spPr>
    </c:plotArea>
    <c:legend>
      <c:legendPos val="b"/>
      <c:layout>
        <c:manualLayout>
          <c:xMode val="edge"/>
          <c:yMode val="edge"/>
          <c:x val="0.297553749622014"/>
          <c:y val="0.916"/>
          <c:w val="0.469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bc4c394-ca40-4681-8d46-24021f8769b3}"/>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20" b="1"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一般公共预算财政拨款支出决算情况</a:t>
            </a:r>
            <a:endParaRPr sz="1420" b="1" i="0" u="sng"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24375"/>
          <c:y val="0.29"/>
          <c:w val="0.28825"/>
          <c:h val="0.51525"/>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chemeClr val="accent1">
                  <a:lumMod val="20000"/>
                  <a:lumOff val="80000"/>
                </a:schemeClr>
              </a:solidFill>
              <a:ln w="12700">
                <a:solidFill>
                  <a:srgbClr val="000000">
                    <a:alpha val="100000"/>
                  </a:srgbClr>
                </a:solidFill>
                <a:prstDash val="solid"/>
              </a:ln>
            </c:spPr>
          </c:dPt>
          <c:dPt>
            <c:idx val="1"/>
            <c:bubble3D val="0"/>
            <c:explosion val="0"/>
            <c:spPr>
              <a:solidFill>
                <a:srgbClr val="993366">
                  <a:alpha val="100000"/>
                </a:srgbClr>
              </a:solidFill>
              <a:ln w="19050">
                <a:solidFill>
                  <a:srgbClr val="000000">
                    <a:alpha val="100000"/>
                  </a:srgbClr>
                </a:solidFill>
                <a:prstDash val="solid"/>
              </a:ln>
            </c:spPr>
          </c:dPt>
          <c:dPt>
            <c:idx val="2"/>
            <c:bubble3D val="0"/>
            <c:explosion val="0"/>
            <c:spPr>
              <a:solidFill>
                <a:srgbClr val="FFFFCC">
                  <a:alpha val="100000"/>
                </a:srgbClr>
              </a:solidFill>
              <a:ln w="19050">
                <a:solidFill>
                  <a:srgbClr val="000000">
                    <a:alpha val="100000"/>
                  </a:srgbClr>
                </a:solidFill>
                <a:prstDash val="solid"/>
              </a:ln>
            </c:spPr>
          </c:dPt>
          <c:dPt>
            <c:idx val="3"/>
            <c:bubble3D val="0"/>
            <c:explosion val="0"/>
            <c:spPr>
              <a:solidFill>
                <a:srgbClr val="CCFFFF">
                  <a:alpha val="100000"/>
                </a:srgbClr>
              </a:solidFill>
              <a:ln w="19050">
                <a:solidFill>
                  <a:srgbClr val="000000">
                    <a:alpha val="100000"/>
                  </a:srgbClr>
                </a:solidFill>
                <a:prstDash val="solid"/>
              </a:ln>
            </c:spPr>
          </c:dPt>
          <c:dLbls>
            <c:dLbl>
              <c:idx val="0"/>
              <c:layout>
                <c:manualLayout>
                  <c:x val="0.10061354326815"/>
                  <c:y val="-0.126877310254378"/>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195089741313284"/>
                  <c:y val="0.0163845071312494"/>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220753438936389"/>
                  <c:y val="-0.0376171034928802"/>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333643708687618"/>
                  <c:y val="-0.0457931198718627"/>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106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[公开决算比对表.xls]Sheet1!$M$26:$P$26</c:f>
              <c:strCache>
                <c:ptCount val="4"/>
                <c:pt idx="0">
                  <c:v>文化旅游体育与传媒支出</c:v>
                </c:pt>
                <c:pt idx="1">
                  <c:v>社会保障和就业支出</c:v>
                </c:pt>
                <c:pt idx="2">
                  <c:v>卫生健康支出</c:v>
                </c:pt>
                <c:pt idx="3">
                  <c:v>住房保障支出</c:v>
                </c:pt>
              </c:strCache>
            </c:strRef>
          </c:cat>
          <c:val>
            <c:numRef>
              <c:f>[公开决算比对表.xls]Sheet1!$M$27:$P$27</c:f>
              <c:numCache>
                <c:formatCode>#,##0.00</c:formatCode>
                <c:ptCount val="4"/>
                <c:pt idx="0">
                  <c:v>332.93</c:v>
                </c:pt>
                <c:pt idx="1" c:formatCode="General">
                  <c:v>31.02</c:v>
                </c:pt>
                <c:pt idx="2" c:formatCode="General">
                  <c:v>8.33</c:v>
                </c:pt>
                <c:pt idx="3" c:formatCode="General">
                  <c:v>10.45</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696236819193189"/>
          <c:y val="0.517296152488528"/>
          <c:w val="0.2715"/>
          <c:h val="0.44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06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de1a2a3e-de9b-479d-be05-bdaf6dd79304}"/>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065" b="0" i="0" u="sng"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1"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r>
              <a:rPr sz="1000" i="0" u="none" strike="noStrike" cap="none" normalizeH="0">
                <a:solidFill>
                  <a:srgbClr val="000000">
                    <a:alpha val="100000"/>
                  </a:srgbClr>
                </a:solidFill>
                <a:uFill>
                  <a:solidFill>
                    <a:srgbClr val="000000">
                      <a:alpha val="100000"/>
                    </a:srgbClr>
                  </a:solidFill>
                </a:uFill>
                <a:latin typeface="宋体" panose="02010600030101010101" charset="-122"/>
              </a:rPr>
              <a:t>“三公”经费财政拨款支出结构</a:t>
            </a:r>
            <a:endParaRPr sz="1000" b="0" i="0" u="none" strike="noStrike"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endParaRPr>
          </a:p>
        </c:rich>
      </c:tx>
      <c:layout>
        <c:manualLayout>
          <c:x val="-0.23125"/>
          <c:y val="-0.0105"/>
        </c:manualLayout>
      </c:layout>
      <c:overlay val="0"/>
      <c:spPr>
        <a:noFill/>
        <a:ln w="3175">
          <a:noFill/>
        </a:ln>
      </c:spPr>
    </c:title>
    <c:autoTitleDeleted val="0"/>
    <c:plotArea>
      <c:layout>
        <c:manualLayout>
          <c:layoutTarget val="inner"/>
          <c:xMode val="edge"/>
          <c:yMode val="edge"/>
          <c:x val="0.31975"/>
          <c:y val="0.2935"/>
          <c:w val="0.26575"/>
          <c:h val="0.55975"/>
        </c:manualLayout>
      </c:layout>
      <c:pieChart>
        <c:varyColors val="1"/>
        <c:ser>
          <c:idx val="0"/>
          <c:order val="0"/>
          <c:tx>
            <c:strRef>
              <c:f>"“三公”经费财政拨款支出结构"</c:f>
              <c:strCache>
                <c:ptCount val="1"/>
                <c:pt idx="0">
                  <c:v>“三公”经费财政拨款支出结构</c:v>
                </c:pt>
              </c:strCache>
            </c:strRef>
          </c:tx>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3175">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Lbl>
              <c:idx val="0"/>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1"/>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2"/>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695"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Sheet1!$B$49:$D$49</c:f>
              <c:strCache>
                <c:ptCount val="3"/>
                <c:pt idx="0">
                  <c:v>因公出国（境）费支出决算</c:v>
                </c:pt>
                <c:pt idx="1">
                  <c:v>公务用车购置及运行维护费支出决算</c:v>
                </c:pt>
                <c:pt idx="2">
                  <c:v>公务接待费支出决算</c:v>
                </c:pt>
              </c:strCache>
            </c:strRef>
          </c:cat>
          <c:val>
            <c:numRef>
              <c:f>Sheet1!$B$50:$D$50</c:f>
              <c:numCache>
                <c:formatCode>General</c:formatCode>
                <c:ptCount val="3"/>
                <c:pt idx="0">
                  <c:v>0</c:v>
                </c:pt>
                <c:pt idx="1">
                  <c:v>0</c:v>
                </c:pt>
                <c:pt idx="2">
                  <c:v>0</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egendEntry>
        <c:idx val="0"/>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673"/>
          <c:y val="0.3825"/>
          <c:w val="0.31175"/>
          <c:h val="0.30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6d0a384b-5fef-404a-8a33-cc87f333327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95"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e693cb27-fde1-4861-8cd9-5735a2fb07df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1394059F</paraID>
      <start>0</start>
      <end>2</end>
      <status>modified</status>
      <modifiedWord>1.</modifiedWord>
      <trackRevisions>false</trackRevisions>
    </reviewItem>
    <reviewItem>
      <errorID>7ccbca09-e6d4-482a-97bd-84a6bd3110f5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642829F</paraID>
      <start>0</start>
      <end>2</end>
      <status>modified</status>
      <modifiedWord>2.</modifiedWord>
      <trackRevisions>false</trackRevisions>
    </reviewItem>
    <reviewItem>
      <errorID>faf4fdb3-2bef-4438-9e6f-a43cd3aec7e0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62DAB591</paraID>
      <start>0</start>
      <end>2</end>
      <status>modified</status>
      <modifiedWord>3.</modifiedWord>
      <trackRevisions>false</trackRevisions>
    </reviewItem>
    <reviewItem>
      <errorID>ba800d8a-b624-44cc-b7b9-7f08d13b7b0b</errorID>
      <errorWord>非物质文化遗产传承保护</errorWord>
      <group>L1_Political</group>
      <groupName>政治性问题</groupName>
      <ability>L2_Keyword</ability>
      <abilityName>固定表述</abilityName>
      <candidateList>
        <item>非物质文化遗产保护传承</item>
      </candidateList>
      <explain>词汇“非物质文化遗产保护传承”在特定场景下为固定表述形式，请确认此处的“非物质文化遗产传承保护”是否存在不当。</explain>
      <paraID>62DAB591</paraID>
      <start>15</start>
      <end>26</end>
      <status>modified</status>
      <modifiedWord>非物质文化遗产保护传承</modifiedWord>
      <trackRevisions>false</trackRevisions>
    </reviewItem>
    <reviewItem>
      <errorID>41bd6e23-9b4f-4abb-bc19-0fdf8c2389d3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1B711F60</paraID>
      <start>0</start>
      <end>2</end>
      <status>modified</status>
      <modifiedWord>4.</modifiedWord>
      <trackRevisions>false</trackRevisions>
    </reviewItem>
    <reviewItem>
      <errorID>0b297d69-a291-4bdc-a9fd-1fb81f1de0b6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67048974</paraID>
      <start>0</start>
      <end>2</end>
      <status>modified</status>
      <modifiedWord>5.</modifiedWord>
      <trackRevisions>false</trackRevisions>
    </reviewItem>
    <reviewItem>
      <errorID>ea12d7e6-07b8-41e7-a477-29815c8ebd9b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490AD5D9</paraID>
      <start>0</start>
      <end>2</end>
      <status>modified</status>
      <modifiedWord>6.</modifiedWord>
      <trackRevisions>false</trackRevisions>
    </reviewItem>
    <reviewItem>
      <errorID>30aef1f6-6fb3-437c-89d3-4b4fd0f1a265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797D3929</paraID>
      <start>0</start>
      <end>2</end>
      <status>modified</status>
      <modifiedWord>7.</modifiedWord>
      <trackRevisions>false</trackRevisions>
    </reviewItem>
    <reviewItem>
      <errorID>98afc887-ef5d-4159-9724-f160214a6400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4D3C0926</paraID>
      <start>0</start>
      <end>2</end>
      <status>modified</status>
      <modifiedWord>8.</modifiedWord>
      <trackRevisions>false</trackRevisions>
    </reviewItem>
    <reviewItem>
      <errorID>24fad59c-115e-4f9f-9477-af1d4f681ec7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55DFD20C</paraID>
      <start>0</start>
      <end>2</end>
      <status>modified</status>
      <modifiedWord>9.</modifiedWord>
      <trackRevisions>false</trackRevisions>
    </reviewItem>
    <reviewItem>
      <errorID>d05d3b24-457e-40d8-a612-ed5b7f60d206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3A9FE753</paraID>
      <start>0</start>
      <end>3</end>
      <status>modified</status>
      <modifiedWord>10.</modifiedWord>
      <trackRevisions>false</trackRevisions>
    </reviewItem>
    <reviewItem>
      <errorID>1bf3d650-dd16-4229-a14f-1e27ccf41d2e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26A6B9BB</paraID>
      <start>0</start>
      <end>2</end>
      <status>modified</status>
      <modifiedWord>1.</modifiedWord>
      <trackRevisions>false</trackRevisions>
    </reviewItem>
    <reviewItem>
      <errorID>38ea568f-b175-4d3f-bce9-8da7428be432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DACB007</paraID>
      <start>0</start>
      <end>2</end>
      <status>modified</status>
      <modifiedWord>2.</modifiedWord>
      <trackRevisions>false</trackRevisions>
    </reviewItem>
    <reviewItem>
      <errorID>068d022e-725c-441b-87f9-82d828e0b3fa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6BFD48F8</paraID>
      <start>0</start>
      <end>2</end>
      <status>modified</status>
      <modifiedWord>3.</modifiedWord>
      <trackRevisions>false</trackRevisions>
    </reviewItem>
    <reviewItem>
      <errorID>64c67ee3-91b6-4198-befb-347e03219705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1D3ACAE1</paraID>
      <start>0</start>
      <end>2</end>
      <status>modified</status>
      <modifiedWord>4.</modifiedWord>
      <trackRevisions>false</trackRevisions>
    </reviewItem>
    <reviewItem>
      <errorID>badd02fc-2dd9-4052-8b14-8698f741e5cb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55F5AD5F</paraID>
      <start>0</start>
      <end>2</end>
      <status>modified</status>
      <modifiedWord>5.</modifiedWord>
      <trackRevisions>false</trackRevisions>
    </reviewItem>
    <reviewItem>
      <errorID>f9f124e0-31b9-43db-b29f-17a7df3d16fa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4092CE55</paraID>
      <start>0</start>
      <end>2</end>
      <status>modified</status>
      <modifiedWord>6.</modifiedWord>
      <trackRevisions>false</trackRevisions>
    </reviewItem>
    <reviewItem>
      <errorID>2fe064d9-a1f5-4ba0-92d6-d5a5d71d412c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196DE29D</paraID>
      <start>0</start>
      <end>2</end>
      <status>modified</status>
      <modifiedWord>7.</modifiedWord>
      <trackRevisions>false</trackRevisions>
    </reviewItem>
    <reviewItem>
      <errorID>a6dabaed-7971-45b3-8136-e1ea20529379</errorID>
      <errorWord>开展2025年</errorWord>
      <group>L1_Word</group>
      <groupName>字词问题</groupName>
      <ability>L2_Typo</ability>
      <abilityName>字词错误</abilityName>
      <candidateList>
        <item>开展2025年度</item>
      </candidateList>
      <explain/>
      <paraID>2E7C67CB</paraID>
      <start>22</start>
      <end>30</end>
      <status>modified</status>
      <modifiedWord>开展2025年度</modifiedWord>
      <trackRevisions>false</trackRevisions>
    </reviewItem>
    <reviewItem>
      <errorID>3a16a487-035a-446a-8876-c6ef510c401d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2E7C67CB</paraID>
      <start>142</start>
      <end>143</end>
      <status>ignored</status>
      <modifiedWord/>
      <trackRevisions>false</trackRevisions>
    </reviewItem>
    <reviewItem>
      <errorID>619cd626-65cd-42a8-b781-324963dd49ff</errorID>
      <errorWord>完成现</errorWord>
      <group>L1_Word</group>
      <groupName>字词问题</groupName>
      <ability>L2_Typo</ability>
      <abilityName>字词错误</abilityName>
      <candidateList>
        <item>完成</item>
      </candidateList>
      <explain/>
      <paraID>2B097C33</paraID>
      <start>129</start>
      <end>131</end>
      <status>modified</status>
      <modifiedWord>完成</modifiedWord>
      <trackRevisions>false</trackRevisions>
    </reviewItem>
    <reviewItem>
      <errorID>81e0441a-4618-4045-aad2-72493c52ca47</errorID>
      <errorWord>市民近</errorWord>
      <group>L1_Word</group>
      <groupName>字词问题</groupName>
      <ability>L2_Typo</ability>
      <abilityName>字词错误</abilityName>
      <candidateList>
        <item>市民</item>
      </candidateList>
      <explain/>
      <paraID>2B097C33</paraID>
      <start>571</start>
      <end>573</end>
      <status>modified</status>
      <modifiedWord>市民</modifiedWord>
      <trackRevisions>false</trackRevisions>
    </reviewItem>
    <reviewItem>
      <errorID>88cc0a3f-f414-445d-8b8a-2e1808f69d27</errorID>
      <errorWord>成为了</errorWord>
      <group>L1_Word</group>
      <groupName>字词问题</groupName>
      <ability>L2_Typo</ability>
      <abilityName>字词错误</abilityName>
      <candidateList>
        <item>成为</item>
      </candidateList>
      <explain/>
      <paraID>2B097C33</paraID>
      <start>578</start>
      <end>580</end>
      <status>modified</status>
      <modifiedWord>成为</modifiedWord>
      <trackRevisions>false</trackRevisions>
    </reviewItem>
    <reviewItem>
      <errorID>320830c9-b2bf-465c-9b46-40964c406f29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2562F2F8</paraID>
      <start>0</start>
      <end>2</end>
      <status>modified</status>
      <modifiedWord>2.</modifiedWord>
      <trackRevisions>false</trackRevisions>
    </reviewItem>
    <reviewItem>
      <errorID>f6a6afc3-7275-452f-a84d-7f44cd59afd5</errorID>
      <errorWord>开展2025年</errorWord>
      <group>L1_Word</group>
      <groupName>字词问题</groupName>
      <ability>L2_Typo</ability>
      <abilityName>字词错误</abilityName>
      <candidateList>
        <item>开展2025年度</item>
      </candidateList>
      <explain/>
      <paraID>6306DDDC</paraID>
      <start>583</start>
      <end>591</end>
      <status>modified</status>
      <modifiedWord>开展2025年度</modifiedWord>
      <trackRevisions>false</trackRevisions>
    </reviewItem>
    <reviewItem>
      <errorID>d0da0d03-061c-437e-816f-9ffbac5a6aba</errorID>
      <errorWord>;</errorWord>
      <group>L1_Format</group>
      <groupName>格式问题</groupName>
      <ability>L2_HalfPunc_CN</ability>
      <abilityName>全半角问题</abilityName>
      <candidateList>
        <item>；</item>
      </candidateList>
      <explain>文本全半角错误。</explain>
      <paraID>50CED5B0</paraID>
      <start>23</start>
      <end>24</end>
      <status>modified</status>
      <modifiedWord>；</modifiedWord>
      <trackRevisions>false</trackRevisions>
    </reviewItem>
    <reviewItem>
      <errorID>27ddafb4-469a-4e65-9458-6df81dc0a699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1F43E7CB</paraID>
      <start>0</start>
      <end>2</end>
      <status>modified</status>
      <modifiedWord>1.</modifiedWord>
      <trackRevisions>false</trackRevisions>
    </reviewItem>
    <reviewItem>
      <errorID>2b208b21-4f3a-4344-9ecf-6b60c826536e</errorID>
      <errorWord>，。</errorWord>
      <group>L1_Punc</group>
      <groupName>标点问题</groupName>
      <ability>L2_Punc_CN</ability>
      <abilityName>标点符号问题</abilityName>
      <candidateList>
        <item>，</item>
      </candidateList>
      <explain/>
      <paraID> 4CC0C5A</paraID>
      <start>11</start>
      <end>12</end>
      <status>modified</status>
      <modifiedWord>，</modifiedWord>
      <trackRevisions>false</trackRevisions>
    </reviewItem>
    <reviewItem>
      <errorID>cc01541d-ceef-4899-9137-3ec601a26f78</errorID>
      <errorWord>，</errorWord>
      <group>L1_Word</group>
      <groupName>字词问题</groupName>
      <ability>L2_Typo</ability>
      <abilityName>字词错误</abilityName>
      <candidateList>
        <item>，在</item>
      </candidateList>
      <explain/>
      <paraID>360AC8AD</paraID>
      <start>68</start>
      <end>70</end>
      <status>modified</status>
      <modifiedWord>，在</modifiedWord>
      <trackRevisions>false</trackRevisions>
    </reviewItem>
    <reviewItem>
      <errorID>d70d501f-271f-4392-a6c3-aa6455c80578</errorID>
      <errorWord>[2023]72号</errorWord>
      <group>L1_Knowledge</group>
      <groupName>知识性问题</groupName>
      <ability>L2_Knowledge</ability>
      <abilityName>其他知识</abilityName>
      <candidateList>
        <item>〔2023〕72号</item>
      </candidateList>
      <explain>发文字号格式错误。</explain>
      <paraID>4D2F488B</paraID>
      <start>553</start>
      <end>562</end>
      <status>modified</status>
      <modifiedWord>〔2023〕72号</modifiedWord>
      <trackRevisions>false</trackRevisions>
    </reviewItem>
    <reviewItem>
      <errorID>307a5462-ffbd-4274-9877-eb2c13bdda54</errorID>
      <errorWord>的</errorWord>
      <group>L1_Word</group>
      <groupName>字词问题</groupName>
      <ability>L2_DDD</ability>
      <abilityName>的地得用法</abilityName>
      <candidateList>
        <item>地</item>
      </candidateList>
      <explain/>
      <paraID>4D2F488B</paraID>
      <start>846</start>
      <end>847</end>
      <status>modified</status>
      <modifiedWord>地</modifiedWord>
      <trackRevisions>false</trackRevisions>
    </reviewItem>
    <reviewItem>
      <errorID>bf1081fe-a2fe-4a26-b1f4-df5da53faf0b</errorID>
      <errorWord>:</errorWord>
      <group>L1_Format</group>
      <groupName>格式问题</groupName>
      <ability>L2_HalfPunc_CN</ability>
      <abilityName>全半角问题</abilityName>
      <candidateList>
        <item>：</item>
      </candidateList>
      <explain>文本全半角错误。</explain>
      <paraID>6C62353D</paraID>
      <start>32</start>
      <end>33</end>
      <status>modified</status>
      <modifiedWord>：</modifiedWord>
      <trackRevisions>false</trackRevisions>
    </reviewItem>
    <reviewItem>
      <errorID>adaa6a7e-42b0-4c36-9bab-628c0da7ca0e</errorID>
      <errorWord>:</errorWord>
      <group>L1_Format</group>
      <groupName>格式问题</groupName>
      <ability>L2_HalfPunc_CN</ability>
      <abilityName>全半角问题</abilityName>
      <candidateList>
        <item>：</item>
      </candidateList>
      <explain>文本全半角错误。</explain>
      <paraID>1BA01E80</paraID>
      <start>38</start>
      <end>39</end>
      <status>modified</status>
      <modifiedWord>：</modifiedWord>
      <trackRevisions>false</trackRevisions>
    </reviewItem>
    <reviewItem>
      <errorID>aac0c73a-51ae-46d4-9c2a-e77ad675ae13</errorID>
      <errorWord>:</errorWord>
      <group>L1_Format</group>
      <groupName>格式问题</groupName>
      <ability>L2_HalfPunc_CN</ability>
      <abilityName>全半角问题</abilityName>
      <candidateList>
        <item>：</item>
      </candidateList>
      <explain>文本全半角错误。</explain>
      <paraID> F76F949</paraID>
      <start>30</start>
      <end>31</end>
      <status>modified</status>
      <modifiedWord>：</modifiedWord>
      <trackRevisions>false</trackRevisions>
    </reviewItem>
    <reviewItem>
      <errorID>db128bfc-d327-4c3e-b724-bd06edd3063b</errorID>
      <errorWord>:</errorWord>
      <group>L1_Format</group>
      <groupName>格式问题</groupName>
      <ability>L2_HalfPunc_CN</ability>
      <abilityName>全半角问题</abilityName>
      <candidateList>
        <item>：</item>
      </candidateList>
      <explain>文本全半角错误。</explain>
      <paraID> 189F661</paraID>
      <start>50</start>
      <end>51</end>
      <status>modified</status>
      <modifiedWord>：</modifiedWord>
      <trackRevisions>false</trackRevisions>
    </reviewItem>
    <reviewItem>
      <errorID>fb323bab-3e2f-479e-9d7d-19355c0537f5</errorID>
      <errorWord>:</errorWord>
      <group>L1_Format</group>
      <groupName>格式问题</groupName>
      <ability>L2_HalfPunc_CN</ability>
      <abilityName>全半角问题</abilityName>
      <candidateList>
        <item>：</item>
      </candidateList>
      <explain>文本全半角错误。</explain>
      <paraID>1AD13FE3</paraID>
      <start>39</start>
      <end>40</end>
      <status>modified</status>
      <modifiedWord>：</modifiedWord>
      <trackRevisions>false</trackRevisions>
    </reviewItem>
    <reviewItem>
      <errorID>5db273ea-5d52-4107-b314-77f24442010c</errorID>
      <errorWord>:</errorWord>
      <group>L1_Format</group>
      <groupName>格式问题</groupName>
      <ability>L2_HalfPunc_CN</ability>
      <abilityName>全半角问题</abilityName>
      <candidateList>
        <item>：</item>
      </candidateList>
      <explain>文本全半角错误。</explain>
      <paraID>44037335</paraID>
      <start>47</start>
      <end>48</end>
      <status>modified</status>
      <modifiedWord>：</modifiedWord>
      <trackRevisions>false</trackRevisions>
    </reviewItem>
    <reviewItem>
      <errorID>1d225259-7e5f-4670-aefa-f7abb01f62ee</errorID>
      <errorWord>:</errorWord>
      <group>L1_Format</group>
      <groupName>格式问题</groupName>
      <ability>L2_HalfPunc_CN</ability>
      <abilityName>全半角问题</abilityName>
      <candidateList>
        <item>：</item>
      </candidateList>
      <explain>文本全半角错误。</explain>
      <paraID> C4F126C</paraID>
      <start>32</start>
      <end>33</end>
      <status>modified</status>
      <modifiedWord>：</modifiedWord>
      <trackRevisions>false</trackRevisions>
    </reviewItem>
    <reviewItem>
      <errorID>498f8ddc-2b22-4f1b-b0ba-1ee4db317788</errorID>
      <errorWord>:</errorWord>
      <group>L1_Format</group>
      <groupName>格式问题</groupName>
      <ability>L2_HalfPunc_CN</ability>
      <abilityName>全半角问题</abilityName>
      <candidateList>
        <item>：</item>
      </candidateList>
      <explain>文本全半角错误。</explain>
      <paraID>21760600</paraID>
      <start>33</start>
      <end>34</end>
      <status>modified</status>
      <modifiedWord>：</modifiedWord>
      <trackRevisions>false</trackRevisions>
    </reviewItem>
    <reviewItem>
      <errorID>7932003a-5cd5-4b9e-8635-490c261f9c2e</errorID>
      <errorWord>:</errorWord>
      <group>L1_Format</group>
      <groupName>格式问题</groupName>
      <ability>L2_HalfPunc_CN</ability>
      <abilityName>全半角问题</abilityName>
      <candidateList>
        <item>：</item>
      </candidateList>
      <explain>文本全半角错误。</explain>
      <paraID>22047732</paraID>
      <start>29</start>
      <end>30</end>
      <status>modified</status>
      <modifiedWord>：</modifiedWord>
      <trackRevisions>false</trackRevisions>
    </reviewItem>
    <reviewItem>
      <errorID>1e2826e7-ef20-4d53-b43d-8de9cd57f60b</errorID>
      <errorWord>、以及</errorWord>
      <group>L1_Punc</group>
      <groupName>标点问题</groupName>
      <ability>L2_Punc_CN</ability>
      <abilityName>标点符号问题</abilityName>
      <candidateList>
        <item>，以及</item>
      </candidateList>
      <explain>连接词前后不宜使用顿号，建议使用逗号。</explain>
      <paraID>6DF27230</paraID>
      <start>93</start>
      <end>96</end>
      <status>modified</status>
      <modifiedWord>，以及</modifiedWord>
      <trackRevisions>false</trackRevisions>
    </reviewItem>
    <reviewItem>
      <errorID>68760405-aa61-4bb8-85b5-6822afce102c</errorID>
      <errorWord>非物质文化遗产传承保护</errorWord>
      <group>L1_Political</group>
      <groupName>政治性问题</groupName>
      <ability>L2_Keyword</ability>
      <abilityName>固定表述</abilityName>
      <candidateList>
        <item>非物质文化遗产保护传承</item>
      </candidateList>
      <explain>词汇“非物质文化遗产保护传承”在特定场景下为固定表述形式，请确认此处的“非物质文化遗产传承保护”是否存在不当。</explain>
      <paraID>75C5F10B</paraID>
      <start>15</start>
      <end>26</end>
      <status>modified</status>
      <modifiedWord>非物质文化遗产保护传承</modifiedWord>
      <trackRevisions>false</trackRevisions>
    </reviewItem>
    <reviewItem>
      <errorID>76c43faa-fd20-4954-992a-141e4d569e86</errorID>
      <errorWord>(</errorWord>
      <group>L1_Format</group>
      <groupName>格式问题</groupName>
      <ability>L2_HalfPunc_CN</ability>
      <abilityName>全半角问题</abilityName>
      <candidateList>
        <item>（</item>
      </candidateList>
      <explain>文本全半角错误。</explain>
      <paraID>673A0480</paraID>
      <start>32</start>
      <end>33</end>
      <status>modified</status>
      <modifiedWord>（</modifiedWord>
      <trackRevisions>false</trackRevisions>
    </reviewItem>
    <reviewItem>
      <errorID>8299d3dc-7284-40c0-a170-90aa9520f4d4</errorID>
      <errorWord>)</errorWord>
      <group>L1_Format</group>
      <groupName>格式问题</groupName>
      <ability>L2_HalfPunc_CN</ability>
      <abilityName>全半角问题</abilityName>
      <candidateList>
        <item>）</item>
      </candidateList>
      <explain>文本全半角错误。</explain>
      <paraID>673A0480</paraID>
      <start>34</start>
      <end>35</end>
      <status>modified</status>
      <modifiedWord>）</modifiedWord>
      <trackRevisions>false</trackRevisions>
    </reviewItem>
    <reviewItem>
      <errorID>128472b2-7e89-4768-ab1c-c31ded5983e9</errorID>
      <errorWord>(</errorWord>
      <group>L1_Format</group>
      <groupName>格式问题</groupName>
      <ability>L2_HalfPunc_CN</ability>
      <abilityName>全半角问题</abilityName>
      <candidateList>
        <item>（</item>
      </candidateList>
      <explain>文本全半角错误。</explain>
      <paraID> C29A509</paraID>
      <start>12</start>
      <end>13</end>
      <status>modified</status>
      <modifiedWord>（</modifiedWord>
      <trackRevisions>false</trackRevisions>
    </reviewItem>
    <reviewItem>
      <errorID>5302e48d-64ef-46fc-9636-5e863c909d38</errorID>
      <errorWord>)</errorWord>
      <group>L1_Format</group>
      <groupName>格式问题</groupName>
      <ability>L2_HalfPunc_CN</ability>
      <abilityName>全半角问题</abilityName>
      <candidateList>
        <item>）</item>
      </candidateList>
      <explain>文本全半角错误。</explain>
      <paraID> C29A509</paraID>
      <start>18</start>
      <end>19</end>
      <status>modified</status>
      <modifiedWord>）</modifiedWord>
      <trackRevisions>false</trackRevisions>
    </reviewItem>
    <reviewItem>
      <errorID>c160f196-d178-4fdd-9c74-3218ffd132fd</errorID>
      <errorWord>、。</errorWord>
      <group>L1_Punc</group>
      <groupName>标点问题</groupName>
      <ability>L2_Punc_CN</ability>
      <abilityName>标点符号问题</abilityName>
      <candidateList>
        <item>、</item>
      </candidateList>
      <explain/>
      <paraID>5491754E</paraID>
      <start>273</start>
      <end>274</end>
      <status>modified</status>
      <modifiedWord>、</modifiedWord>
      <trackRevisions>false</trackRevisions>
    </reviewItem>
    <reviewItem>
      <errorID>e684a622-8d2a-44f4-9ece-afad43779928</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5F71025E</paraID>
      <start>74</start>
      <end>80</end>
      <status>modified</status>
      <modifiedWord>省委、省政府</modifiedWord>
      <trackRevisions>false</trackRevisions>
    </reviewItem>
    <reviewItem>
      <errorID>27ff467f-4fc9-4a63-bc24-e99a1b4f1af8</errorID>
      <errorWord>至2025年12</errorWord>
      <group>L1_Word</group>
      <groupName>字词问题</groupName>
      <ability>L2_Typo</ability>
      <abilityName>字词错误</abilityName>
      <candidateList>
        <item>截至2025年12</item>
      </candidateList>
      <explain/>
      <paraID>45AD23FF</paraID>
      <start>17</start>
      <end>26</end>
      <status>modified</status>
      <modifiedWord>截至2025年12</modifiedWord>
      <trackRevisions>false</trackRevisions>
    </reviewItem>
    <reviewItem>
      <errorID>c6d0e770-013f-48f0-a72d-8ce160427fe8</errorID>
      <errorWord>办公室并</errorWord>
      <group>L1_Word</group>
      <groupName>字词问题</groupName>
      <ability>L2_Typo</ability>
      <abilityName>字词错误</abilityName>
      <candidateList>
        <item>办公室</item>
      </candidateList>
      <explain/>
      <paraID>4570D373</paraID>
      <start>63</start>
      <end>66</end>
      <status>modified</status>
      <modifiedWord>办公室</modifiedWord>
      <trackRevisions>false</trackRevisions>
    </reviewItem>
    <reviewItem>
      <errorID>5db5d09f-aa54-4d04-846f-12610d58b31d</errorID>
      <errorWord>局</errorWord>
      <group>L1_Word</group>
      <groupName>字词问题</groupName>
      <ability>L2_Typo</ability>
      <abilityName>字词错误</abilityName>
      <candidateList>
        <item>局等</item>
      </candidateList>
      <explain/>
      <paraID> F15D87E</paraID>
      <start>26</start>
      <end>27</end>
      <status>ignored</status>
      <modifiedWord/>
      <trackRevisions>false</trackRevisions>
    </reviewItem>
    <reviewItem>
      <errorID>58322616-2f00-49d9-858b-da6423abb840</errorID>
      <errorWord>.</errorWord>
      <group>L1_Format</group>
      <groupName>格式问题</groupName>
      <ability>L2_HalfPunc_CN</ability>
      <abilityName>全半角问题</abilityName>
      <candidateList>
        <item>。</item>
      </candidateList>
      <explain>文本全半角错误。</explain>
      <paraID>46E5ED46</paraID>
      <start>77</start>
      <end>78</end>
      <status>modified</status>
      <modifiedWord>。</modifiedWord>
      <trackRevisions>false</trackRevisions>
    </reviewItem>
    <reviewItem>
      <errorID>925f4920-9be9-4a19-bbc0-de20538c82a3</errorID>
      <errorWord>至2025年12</errorWord>
      <group>L1_Word</group>
      <groupName>字词问题</groupName>
      <ability>L2_Typo</ability>
      <abilityName>字词错误</abilityName>
      <candidateList>
        <item>截至2025年12</item>
      </candidateList>
      <explain/>
      <paraID>5B7F100F</paraID>
      <start>17</start>
      <end>26</end>
      <status>modified</status>
      <modifiedWord>截至2025年12</modifiedWord>
      <trackRevisions>false</trackRevisions>
    </reviewItem>
    <reviewItem>
      <errorID>aeb982ea-e050-4ae2-ab52-cf5bd0a28edc</errorID>
      <errorWord>标</errorWord>
      <group>L1_Word</group>
      <groupName>字词问题</groupName>
      <ability>L2_Typo</ability>
      <abilityName>字词错误</abilityName>
      <candidateList>
        <item>标是</item>
      </candidateList>
      <explain/>
      <paraID> 205F7E2</paraID>
      <start>15</start>
      <end>17</end>
      <status>modified</status>
      <modifiedWord>标是</modifiedWord>
      <trackRevisions>false</trackRevisions>
    </reviewItem>
    <reviewItem>
      <errorID>a290e7c2-4594-4c99-85ee-ace757248982</errorID>
      <errorWord>.</errorWord>
      <group>L1_Format</group>
      <groupName>格式问题</groupName>
      <ability>L2_HalfPunc_CN</ability>
      <abilityName>全半角问题</abilityName>
      <candidateList>
        <item>。</item>
      </candidateList>
      <explain>文本全半角错误。</explain>
      <paraID> 205F7E2</paraID>
      <start>85</start>
      <end>86</end>
      <status>modified</status>
      <modifiedWord>。</modifiedWord>
      <trackRevisions>false</trackRevisions>
    </reviewItem>
    <reviewItem>
      <errorID>a15dab8b-f62c-4602-a240-d7b6ee0f5273</errorID>
      <errorWord>办公室并</errorWord>
      <group>L1_Word</group>
      <groupName>字词问题</groupName>
      <ability>L2_Typo</ability>
      <abilityName>字词错误</abilityName>
      <candidateList>
        <item>办公室</item>
      </candidateList>
      <explain/>
      <paraID>3144DED8</paraID>
      <start>63</start>
      <end>66</end>
      <status>modified</status>
      <modifiedWord>办公室</modifiedWord>
      <trackRevisions>false</trackRevisions>
    </reviewItem>
    <reviewItem>
      <errorID>13200536-5ccd-4258-a016-a19977f9a92f</errorID>
      <errorWord>局</errorWord>
      <group>L1_Word</group>
      <groupName>字词问题</groupName>
      <ability>L2_Typo</ability>
      <abilityName>字词错误</abilityName>
      <candidateList>
        <item>局等</item>
      </candidateList>
      <explain/>
      <paraID> 975F6DD</paraID>
      <start>26</start>
      <end>27</end>
      <status>ignored</status>
      <modifiedWord/>
      <trackRevisions>false</trackRevisions>
    </reviewItem>
    <reviewItem>
      <errorID>26e7b0a1-4bcc-456d-b509-66ba63489020</errorID>
      <errorWord>至2025年12</errorWord>
      <group>L1_Word</group>
      <groupName>字词问题</groupName>
      <ability>L2_Typo</ability>
      <abilityName>字词错误</abilityName>
      <candidateList>
        <item>截至2025年12</item>
      </candidateList>
      <explain/>
      <paraID>2C749345</paraID>
      <start>17</start>
      <end>26</end>
      <status>modified</status>
      <modifiedWord>截至2025年12</modifiedWord>
      <trackRevisions>false</trackRevisions>
    </reviewItem>
    <reviewItem>
      <errorID>d92592f0-e912-4015-bbbe-cebc6fb5cb26</errorID>
      <errorWord>办公室并</errorWord>
      <group>L1_Word</group>
      <groupName>字词问题</groupName>
      <ability>L2_Typo</ability>
      <abilityName>字词错误</abilityName>
      <candidateList>
        <item>办公室</item>
      </candidateList>
      <explain/>
      <paraID> B66E3EF</paraID>
      <start>63</start>
      <end>66</end>
      <status>modified</status>
      <modifiedWord>办公室</modifiedWord>
      <trackRevisions>false</trackRevisions>
    </reviewItem>
    <reviewItem>
      <errorID>05302d49-624c-4df0-bad7-0c3c4e2612ef</errorID>
      <errorWord>局</errorWord>
      <group>L1_Word</group>
      <groupName>字词问题</groupName>
      <ability>L2_Typo</ability>
      <abilityName>字词错误</abilityName>
      <candidateList>
        <item>局等</item>
      </candidateList>
      <explain/>
      <paraID>52469A10</paraID>
      <start>26</start>
      <end>27</end>
      <status>ignored</status>
      <modifiedWord/>
      <trackRevisions>false</trackRevisions>
    </reviewItem>
    <reviewItem>
      <errorID>23f4fb6d-96a0-4bcd-83ed-dc4803fa6d23</errorID>
      <errorWord>至2025年12</errorWord>
      <group>L1_Word</group>
      <groupName>字词问题</groupName>
      <ability>L2_Typo</ability>
      <abilityName>字词错误</abilityName>
      <candidateList>
        <item>截至2025年12</item>
      </candidateList>
      <explain/>
      <paraID>5A30DCE8</paraID>
      <start>17</start>
      <end>26</end>
      <status>modified</status>
      <modifiedWord>截至2025年12</modifiedWord>
      <trackRevisions>false</trackRevisions>
    </reviewItem>
    <reviewItem>
      <errorID>30f0a6d2-fd4a-4f5b-ae97-a6021675dcd3</errorID>
      <errorWord>办公室并</errorWord>
      <group>L1_Word</group>
      <groupName>字词问题</groupName>
      <ability>L2_Typo</ability>
      <abilityName>字词错误</abilityName>
      <candidateList>
        <item>办公室</item>
      </candidateList>
      <explain/>
      <paraID> 7D436DA</paraID>
      <start>63</start>
      <end>66</end>
      <status>modified</status>
      <modifiedWord>办公室</modifiedWord>
      <trackRevisions>false</trackRevisions>
    </reviewItem>
    <reviewItem>
      <errorID>819b1f31-7dfc-40f0-b05a-4ec1c26ca727</errorID>
      <errorWord>局</errorWord>
      <group>L1_Word</group>
      <groupName>字词问题</groupName>
      <ability>L2_Typo</ability>
      <abilityName>字词错误</abilityName>
      <candidateList>
        <item>局等</item>
      </candidateList>
      <explain/>
      <paraID>2D6D3AA1</paraID>
      <start>26</start>
      <end>27</end>
      <status>ignored</status>
      <modifiedWord/>
      <trackRevisions>false</trackRevisions>
    </reviewItem>
    <reviewItem>
      <errorID>9c58e26e-7b40-490d-94eb-26c0594e8d24</errorID>
      <errorWord>至2025年12</errorWord>
      <group>L1_Word</group>
      <groupName>字词问题</groupName>
      <ability>L2_Typo</ability>
      <abilityName>字词错误</abilityName>
      <candidateList>
        <item>截至2025年12</item>
      </candidateList>
      <explain/>
      <paraID>70DA3205</paraID>
      <start>17</start>
      <end>26</end>
      <status>modified</status>
      <modifiedWord>截至2025年12</modifiedWord>
      <trackRevisions>false</trackRevisions>
    </reviewItem>
    <reviewItem>
      <errorID>26b6afbe-b597-43f1-83a8-0e5cf6961fc8</errorID>
      <errorWord>办公室并</errorWord>
      <group>L1_Word</group>
      <groupName>字词问题</groupName>
      <ability>L2_Typo</ability>
      <abilityName>字词错误</abilityName>
      <candidateList>
        <item>办公室</item>
      </candidateList>
      <explain/>
      <paraID>67C50FA6</paraID>
      <start>63</start>
      <end>66</end>
      <status>modified</status>
      <modifiedWord>办公室</modifiedWord>
      <trackRevisions>false</trackRevisions>
    </reviewItem>
    <reviewItem>
      <errorID>f9582259-d9df-4a90-9f39-43e293fb5978</errorID>
      <errorWord>局</errorWord>
      <group>L1_Word</group>
      <groupName>字词问题</groupName>
      <ability>L2_Typo</ability>
      <abilityName>字词错误</abilityName>
      <candidateList>
        <item>局等</item>
      </candidateList>
      <explain/>
      <paraID>40332D68</paraID>
      <start>26</start>
      <end>27</end>
      <status>ignored</status>
      <modifiedWord/>
      <trackRevisions>false</trackRevisions>
    </reviewItem>
    <reviewItem>
      <errorID>4fdcc517-9bb3-47ad-a31f-8bfeea2d0860</errorID>
      <errorWord>至2025年12</errorWord>
      <group>L1_Word</group>
      <groupName>字词问题</groupName>
      <ability>L2_Typo</ability>
      <abilityName>字词错误</abilityName>
      <candidateList>
        <item>截至2025年12</item>
      </candidateList>
      <explain/>
      <paraID>666D24A2</paraID>
      <start>17</start>
      <end>26</end>
      <status>modified</status>
      <modifiedWord>截至2025年12</modifiedWord>
      <trackRevisions>false</trackRevisions>
    </reviewItem>
    <reviewItem>
      <errorID>290e3874-b4a2-4a09-871b-2bd1e532036b</errorID>
      <errorWord>办公室并</errorWord>
      <group>L1_Word</group>
      <groupName>字词问题</groupName>
      <ability>L2_Typo</ability>
      <abilityName>字词错误</abilityName>
      <candidateList>
        <item>办公室</item>
      </candidateList>
      <explain/>
      <paraID> BF5DC66</paraID>
      <start>63</start>
      <end>66</end>
      <status>modified</status>
      <modifiedWord>办公室</modifiedWord>
      <trackRevisions>false</trackRevisions>
    </reviewItem>
    <reviewItem>
      <errorID>ac8fc3e9-0352-4a3f-9367-b018623a301c</errorID>
      <errorWord>局</errorWord>
      <group>L1_Word</group>
      <groupName>字词问题</groupName>
      <ability>L2_Typo</ability>
      <abilityName>字词错误</abilityName>
      <candidateList>
        <item>局等</item>
      </candidateList>
      <explain/>
      <paraID>6D64C8F2</paraID>
      <start>26</start>
      <end>27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fc043f-49f0-48bb-b6de-e34f5b1d8997}">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57</Pages>
  <Words>10029</Words>
  <Characters>12840</Characters>
  <Lines>61</Lines>
  <Paragraphs>17</Paragraphs>
  <TotalTime>3</TotalTime>
  <ScaleCrop>false</ScaleCrop>
  <LinksUpToDate>false</LinksUpToDate>
  <CharactersWithSpaces>12889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王雨函</cp:lastModifiedBy>
  <cp:lastPrinted>2026-08-03T09:27:00Z</cp:lastPrinted>
  <dcterms:modified xsi:type="dcterms:W3CDTF">2026-09-18T02:03:15Z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4C44C174108D4DE9A1EA8C8A6F5B4774_13</vt:lpwstr>
  </property>
  <property fmtid="{D5CDD505-2E9C-101B-9397-08002B2CF9AE}" pid="4" name="KSOTemplateDocerSaveRecord">
    <vt:lpwstr>eyJoZGlkIjoiMWU5MjFmNDBjNzRlNmM5ZjVjMzZmNjJjZWE1OTBjNmIiLCJ1c2VySWQiOiIxNjQ5Nzg2MjA4In0=</vt:lpwstr>
  </property>
</Properties>
</file>