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ED33E">
      <w:pPr>
        <w:pStyle w:val="6"/>
        <w:spacing w:before="93"/>
        <w:rPr>
          <w:rFonts w:ascii="黑体" w:hAnsi="黑体" w:eastAsia="黑体" w:cs="黑体"/>
          <w:kern w:val="2"/>
          <w:sz w:val="32"/>
          <w:szCs w:val="32"/>
        </w:rPr>
      </w:pPr>
      <w:bookmarkStart w:id="0" w:name="_Toc15378441"/>
      <w:bookmarkStart w:id="1" w:name="_Toc15396475"/>
      <w:bookmarkStart w:id="2" w:name="_Toc15306267"/>
      <w:bookmarkStart w:id="3" w:name="_Toc15377193"/>
      <w:bookmarkStart w:id="4" w:name="_Toc15396597"/>
      <w:bookmarkStart w:id="5" w:name="_Toc15377425"/>
    </w:p>
    <w:p w14:paraId="5A779574">
      <w:pPr>
        <w:pStyle w:val="6"/>
        <w:spacing w:before="93"/>
        <w:rPr>
          <w:rFonts w:ascii="Times New Roman" w:eastAsia="方正小标宋简体"/>
          <w:kern w:val="2"/>
          <w:sz w:val="72"/>
          <w:szCs w:val="72"/>
        </w:rPr>
      </w:pPr>
    </w:p>
    <w:p w14:paraId="5E372526">
      <w:pPr>
        <w:pStyle w:val="6"/>
        <w:spacing w:before="93"/>
        <w:rPr>
          <w:rFonts w:ascii="Times New Roman" w:eastAsia="方正小标宋简体"/>
          <w:kern w:val="2"/>
          <w:sz w:val="72"/>
          <w:szCs w:val="72"/>
        </w:rPr>
      </w:pPr>
    </w:p>
    <w:p w14:paraId="024159FC">
      <w:pPr>
        <w:pStyle w:val="6"/>
        <w:spacing w:before="93"/>
        <w:rPr>
          <w:rFonts w:ascii="Times New Roman" w:eastAsia="方正小标宋简体"/>
          <w:kern w:val="2"/>
          <w:sz w:val="72"/>
          <w:szCs w:val="72"/>
        </w:rPr>
      </w:pPr>
    </w:p>
    <w:p w14:paraId="61DD4208">
      <w:pPr>
        <w:pStyle w:val="6"/>
        <w:spacing w:before="93"/>
        <w:rPr>
          <w:rFonts w:ascii="Times New Roman" w:eastAsia="方正小标宋简体"/>
          <w:kern w:val="2"/>
          <w:sz w:val="72"/>
          <w:szCs w:val="72"/>
        </w:rPr>
      </w:pPr>
    </w:p>
    <w:p w14:paraId="5AB8066C">
      <w:pPr>
        <w:pStyle w:val="35"/>
        <w:spacing w:beforeLines="0"/>
        <w:jc w:val="center"/>
        <w:rPr>
          <w:rFonts w:ascii="Times New Roman" w:eastAsia="方正小标宋简体"/>
          <w:sz w:val="44"/>
          <w:szCs w:val="44"/>
        </w:rPr>
      </w:pPr>
      <w:r>
        <w:rPr>
          <w:rFonts w:hint="eastAsia" w:ascii="Times New Roman" w:eastAsia="方正小标宋简体"/>
          <w:sz w:val="44"/>
          <w:szCs w:val="44"/>
        </w:rPr>
        <w:t>2025年度</w:t>
      </w:r>
      <w:r>
        <w:rPr>
          <w:rFonts w:hint="eastAsia" w:ascii="Times New Roman" w:eastAsia="方正小标宋简体"/>
          <w:sz w:val="44"/>
          <w:szCs w:val="44"/>
          <w:lang w:eastAsia="zh-CN"/>
        </w:rPr>
        <w:t>中国共产党攀枝花市仁和区纪律检查委员会部门</w:t>
      </w:r>
      <w:r>
        <w:rPr>
          <w:rFonts w:hint="eastAsia" w:ascii="Times New Roman" w:eastAsia="方正小标宋简体"/>
          <w:sz w:val="44"/>
          <w:szCs w:val="44"/>
        </w:rPr>
        <w:t>决算公开编制说明</w:t>
      </w:r>
    </w:p>
    <w:p w14:paraId="78BE073A">
      <w:pPr>
        <w:spacing w:line="600" w:lineRule="exact"/>
        <w:jc w:val="center"/>
        <w:outlineLvl w:val="0"/>
        <w:rPr>
          <w:rFonts w:eastAsia="方正小标宋简体"/>
          <w:sz w:val="72"/>
          <w:szCs w:val="72"/>
        </w:rPr>
      </w:pPr>
    </w:p>
    <w:p w14:paraId="0B270A21">
      <w:pPr>
        <w:pStyle w:val="20"/>
        <w:rPr>
          <w:rFonts w:ascii="Times New Roman" w:hAnsi="Times New Roma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14:paraId="11943AE5">
      <w:pPr>
        <w:widowControl/>
        <w:jc w:val="center"/>
        <w:rPr>
          <w:rFonts w:eastAsia="黑体"/>
          <w:sz w:val="48"/>
          <w:szCs w:val="48"/>
        </w:rPr>
      </w:pPr>
      <w:r>
        <w:rPr>
          <w:rFonts w:hint="eastAsia" w:eastAsia="黑体"/>
          <w:sz w:val="48"/>
          <w:szCs w:val="48"/>
        </w:rPr>
        <w:t>目录</w:t>
      </w:r>
    </w:p>
    <w:p w14:paraId="2B20DC7A">
      <w:pPr>
        <w:widowControl/>
        <w:jc w:val="center"/>
        <w:rPr>
          <w:rFonts w:eastAsia="黑体" w:cstheme="minorBidi"/>
          <w:sz w:val="28"/>
          <w:szCs w:val="28"/>
        </w:rPr>
      </w:pPr>
    </w:p>
    <w:p w14:paraId="1D502D6B">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18</w:t>
      </w:r>
      <w:r>
        <w:rPr>
          <w:rFonts w:hint="eastAsia" w:ascii="Times New Roman" w:hAnsi="Times New Roman" w:eastAsia="仿宋_GB2312" w:cs="仿宋_GB2312"/>
          <w:sz w:val="32"/>
          <w:szCs w:val="32"/>
        </w:rPr>
        <w:t xml:space="preserve"> 日</w:t>
      </w:r>
    </w:p>
    <w:p w14:paraId="61AB8CBD"/>
    <w:p w14:paraId="5E15040D">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6974A63D">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一、部门职责</w:t>
      </w:r>
      <w:r>
        <w:rPr>
          <w:rFonts w:hint="eastAsia" w:eastAsia="仿宋_GB2312" w:cs="仿宋_GB2312"/>
          <w:sz w:val="32"/>
          <w:szCs w:val="32"/>
          <w:lang w:val="en-US" w:eastAsia="zh-CN"/>
        </w:rPr>
        <w:t>..................................................................1</w:t>
      </w:r>
    </w:p>
    <w:p w14:paraId="4C61F744">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二、机构设置</w:t>
      </w:r>
      <w:r>
        <w:rPr>
          <w:rFonts w:hint="eastAsia" w:eastAsia="仿宋_GB2312" w:cs="仿宋_GB2312"/>
          <w:sz w:val="32"/>
          <w:szCs w:val="32"/>
          <w:lang w:val="en-US" w:eastAsia="zh-CN"/>
        </w:rPr>
        <w:t>..................................................................1</w:t>
      </w:r>
    </w:p>
    <w:p w14:paraId="429CBB77">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2B42324D">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一、收入支出决算总体情况说明</w:t>
      </w:r>
      <w:r>
        <w:rPr>
          <w:rFonts w:hint="eastAsia" w:eastAsia="仿宋_GB2312" w:cs="仿宋_GB2312"/>
          <w:sz w:val="32"/>
          <w:szCs w:val="32"/>
          <w:lang w:val="en-US" w:eastAsia="zh-CN"/>
        </w:rPr>
        <w:t>..................................2</w:t>
      </w:r>
    </w:p>
    <w:p w14:paraId="65983943">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lang w:val="en-US" w:eastAsia="zh-CN"/>
        </w:rPr>
        <w:t>..................................................2</w:t>
      </w:r>
    </w:p>
    <w:p w14:paraId="3648CF12">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三、支出决算情况说明</w:t>
      </w:r>
      <w:r>
        <w:rPr>
          <w:rFonts w:hint="eastAsia" w:eastAsia="仿宋_GB2312" w:cs="仿宋_GB2312"/>
          <w:sz w:val="32"/>
          <w:szCs w:val="32"/>
          <w:lang w:val="en-US" w:eastAsia="zh-CN"/>
        </w:rPr>
        <w:t>..................................................3</w:t>
      </w:r>
    </w:p>
    <w:p w14:paraId="3CE3E5D2">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四、财政拨款收入支出决算总体情况说明</w:t>
      </w:r>
      <w:r>
        <w:rPr>
          <w:rFonts w:hint="eastAsia" w:eastAsia="仿宋_GB2312" w:cs="仿宋_GB2312"/>
          <w:sz w:val="32"/>
          <w:szCs w:val="32"/>
          <w:lang w:val="en-US" w:eastAsia="zh-CN"/>
        </w:rPr>
        <w:t>..................3</w:t>
      </w:r>
    </w:p>
    <w:p w14:paraId="22A34211">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lang w:val="en-US" w:eastAsia="zh-CN"/>
        </w:rPr>
        <w:t>..........4</w:t>
      </w:r>
    </w:p>
    <w:p w14:paraId="6D87CDFE">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lang w:val="en-US" w:eastAsia="zh-CN"/>
        </w:rPr>
        <w:t>..8</w:t>
      </w:r>
    </w:p>
    <w:p w14:paraId="4C9FE89C">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lang w:val="en-US" w:eastAsia="zh-CN"/>
        </w:rPr>
        <w:t>..........8</w:t>
      </w:r>
    </w:p>
    <w:p w14:paraId="1B15D8BB">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lang w:val="en-US" w:eastAsia="zh-CN"/>
        </w:rPr>
        <w:t>.....................10</w:t>
      </w:r>
    </w:p>
    <w:p w14:paraId="196E81E8">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lang w:val="en-US" w:eastAsia="zh-CN"/>
        </w:rPr>
        <w:t>.................10</w:t>
      </w:r>
    </w:p>
    <w:p w14:paraId="46EF3DF2">
      <w:pPr>
        <w:pStyle w:val="15"/>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lang w:val="en-US" w:eastAsia="zh-CN"/>
        </w:rPr>
        <w:t>.....................................10</w:t>
      </w:r>
    </w:p>
    <w:p w14:paraId="016C1BDB">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lang w:val="en-US" w:eastAsia="zh-CN"/>
        </w:rPr>
        <w:t>...............................................................12</w:t>
      </w:r>
    </w:p>
    <w:p w14:paraId="257CF9E4">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lang w:val="en-US" w:eastAsia="zh-CN"/>
        </w:rPr>
        <w:t>.......................................................................16</w:t>
      </w:r>
    </w:p>
    <w:p w14:paraId="26B52A96">
      <w:pPr>
        <w:pStyle w:val="13"/>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lang w:val="en-US" w:eastAsia="zh-CN"/>
        </w:rPr>
        <w:t>.......................................................................23</w:t>
      </w:r>
    </w:p>
    <w:p w14:paraId="2E89D24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5CEDECD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4B8EA70">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571CD3A8">
      <w:pPr>
        <w:pStyle w:val="15"/>
        <w:adjustRightInd w:val="0"/>
        <w:snapToGrid w:val="0"/>
        <w:spacing w:line="560" w:lineRule="exact"/>
        <w:ind w:left="0" w:leftChars="0" w:firstLine="640" w:firstLineChars="200"/>
        <w:jc w:val="left"/>
        <w:rPr>
          <w:rFonts w:hint="eastAsia" w:eastAsia="仿宋_GB2312" w:cs="仿宋_GB2312"/>
          <w:sz w:val="32"/>
          <w:szCs w:val="32"/>
        </w:rPr>
        <w:sectPr>
          <w:footerReference r:id="rId10" w:type="first"/>
          <w:footerReference r:id="rId9" w:type="default"/>
          <w:pgSz w:w="11906" w:h="16838"/>
          <w:pgMar w:top="1440" w:right="1800" w:bottom="1440" w:left="1800" w:header="851" w:footer="992" w:gutter="0"/>
          <w:pgNumType w:fmt="decimal" w:start="1"/>
          <w:cols w:space="425" w:num="1"/>
          <w:docGrid w:type="lines" w:linePitch="312" w:charSpace="0"/>
        </w:sectPr>
      </w:pPr>
    </w:p>
    <w:p w14:paraId="15A61D6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64C0ED67">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479B525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069165D">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01E349F8">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78D23E6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84F9779">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39AF716F">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35186A6C">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761024CA">
      <w:pPr>
        <w:pStyle w:val="15"/>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25F0E5E8">
      <w:pPr>
        <w:pStyle w:val="15"/>
        <w:adjustRightInd w:val="0"/>
        <w:snapToGrid w:val="0"/>
        <w:spacing w:line="560" w:lineRule="exact"/>
        <w:ind w:left="0" w:leftChars="0" w:firstLine="643" w:firstLineChars="200"/>
        <w:jc w:val="left"/>
        <w:rPr>
          <w:rFonts w:eastAsia="仿宋_GB2312" w:cs="仿宋_GB2312"/>
          <w:b/>
          <w:bCs/>
          <w:sz w:val="32"/>
          <w:szCs w:val="32"/>
        </w:rPr>
      </w:pPr>
    </w:p>
    <w:p w14:paraId="7B268F88">
      <w:pPr>
        <w:pStyle w:val="3"/>
        <w:jc w:val="center"/>
        <w:rPr>
          <w:rFonts w:hint="eastAsia" w:eastAsia="方正小标宋简体" w:cs="方正小标宋简体"/>
          <w:b w:val="0"/>
        </w:rPr>
        <w:sectPr>
          <w:footerReference r:id="rId11"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47BBBEF0">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6"/>
      <w:bookmarkEnd w:id="7"/>
    </w:p>
    <w:p w14:paraId="7B431048">
      <w:pPr>
        <w:widowControl/>
        <w:jc w:val="left"/>
        <w:rPr>
          <w:rFonts w:eastAsia="黑体"/>
          <w:sz w:val="32"/>
          <w:szCs w:val="32"/>
        </w:rPr>
      </w:pPr>
    </w:p>
    <w:p w14:paraId="6F744F05">
      <w:pPr>
        <w:pStyle w:val="4"/>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3807205E">
      <w:pPr>
        <w:spacing w:line="560" w:lineRule="exact"/>
        <w:ind w:firstLine="640" w:firstLineChars="200"/>
      </w:pPr>
      <w:r>
        <w:rPr>
          <w:rFonts w:hint="eastAsia" w:eastAsia="仿宋_GB2312"/>
          <w:sz w:val="32"/>
          <w:szCs w:val="32"/>
        </w:rPr>
        <w:t>中共攀枝花市仁和区纪委和攀枝花市仁和区监察委员会合署办公，</w:t>
      </w:r>
      <w:r>
        <w:rPr>
          <w:rFonts w:hint="eastAsia" w:eastAsia="仿宋_GB2312"/>
          <w:color w:val="000000"/>
          <w:sz w:val="32"/>
          <w:szCs w:val="32"/>
        </w:rPr>
        <w:t>履行党的纪律检查和政府监察职能，主管全区党的纪律检查和公职人员监督监察工作。</w:t>
      </w:r>
    </w:p>
    <w:p w14:paraId="14C2DC29">
      <w:pPr>
        <w:pStyle w:val="4"/>
        <w:rPr>
          <w:rStyle w:val="29"/>
          <w:rFonts w:ascii="Times New Roman" w:hAnsi="Times New Roman"/>
          <w:b w:val="0"/>
          <w:bCs w:val="0"/>
        </w:rPr>
      </w:pPr>
      <w:bookmarkStart w:id="8" w:name="_Toc15396601"/>
      <w:bookmarkStart w:id="9"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14:paraId="34732E13">
      <w:pPr>
        <w:pageBreakBefore w:val="0"/>
        <w:widowControl w:val="0"/>
        <w:kinsoku/>
        <w:wordWrap/>
        <w:overflowPunct/>
        <w:topLinePunct w:val="0"/>
        <w:autoSpaceDE/>
        <w:autoSpaceDN/>
        <w:bidi w:val="0"/>
        <w:ind w:firstLine="800" w:firstLineChars="250"/>
        <w:textAlignment w:val="auto"/>
        <w:rPr>
          <w:rFonts w:hint="default" w:eastAsia="仿宋_GB2312" w:cs="仿宋_GB2312"/>
          <w:sz w:val="32"/>
          <w:szCs w:val="32"/>
          <w:lang w:val="en-US" w:eastAsia="zh-CN"/>
        </w:rPr>
      </w:pPr>
      <w:r>
        <w:rPr>
          <w:rFonts w:hint="eastAsia" w:ascii="仿宋_GB2312" w:hAnsi="仿宋_GB2312" w:eastAsia="仿宋_GB2312" w:cs="仿宋_GB2312"/>
          <w:sz w:val="32"/>
          <w:szCs w:val="32"/>
        </w:rPr>
        <w:t>中国共产党攀枝花市仁和区纪律检查委员会</w:t>
      </w:r>
      <w:r>
        <w:rPr>
          <w:rFonts w:hint="eastAsia" w:eastAsia="仿宋_GB2312" w:cs="仿宋_GB2312"/>
          <w:sz w:val="32"/>
          <w:szCs w:val="32"/>
          <w:lang w:eastAsia="zh-CN"/>
        </w:rPr>
        <w:t>下设</w:t>
      </w:r>
      <w:r>
        <w:rPr>
          <w:rFonts w:hint="eastAsia" w:eastAsia="仿宋_GB2312" w:cs="仿宋_GB2312"/>
          <w:sz w:val="32"/>
          <w:szCs w:val="32"/>
          <w:lang w:val="en-US" w:eastAsia="zh-CN"/>
        </w:rPr>
        <w:t>13个科室（部），9个派驻纪检组，独立编制的1个事业单位。</w:t>
      </w:r>
    </w:p>
    <w:p w14:paraId="426BDE21">
      <w:pPr>
        <w:pStyle w:val="6"/>
        <w:pageBreakBefore w:val="0"/>
        <w:widowControl w:val="0"/>
        <w:kinsoku/>
        <w:wordWrap/>
        <w:overflowPunct/>
        <w:topLinePunct w:val="0"/>
        <w:autoSpaceDE/>
        <w:autoSpaceDN/>
        <w:bidi w:val="0"/>
        <w:adjustRightInd w:val="0"/>
        <w:snapToGrid w:val="0"/>
        <w:spacing w:before="93" w:line="600" w:lineRule="exact"/>
        <w:ind w:firstLine="672" w:firstLineChars="210"/>
        <w:textAlignment w:val="auto"/>
        <w:rPr>
          <w:rFonts w:ascii="Times New Roman" w:cs="仿宋_GB2312"/>
          <w:sz w:val="32"/>
          <w:szCs w:val="32"/>
        </w:rPr>
      </w:pPr>
      <w:r>
        <w:rPr>
          <w:rFonts w:hint="eastAsia" w:ascii="Times New Roman" w:cs="仿宋_GB2312"/>
          <w:sz w:val="32"/>
          <w:szCs w:val="32"/>
        </w:rPr>
        <w:t>纳入</w:t>
      </w:r>
      <w:r>
        <w:rPr>
          <w:sz w:val="32"/>
          <w:szCs w:val="32"/>
        </w:rPr>
        <w:t>中国共产党攀枝花市仁和区纪律检查委员会</w:t>
      </w:r>
      <w:r>
        <w:rPr>
          <w:rFonts w:hint="eastAsia" w:ascii="Times New Roman" w:cs="仿宋_GB2312"/>
          <w:sz w:val="32"/>
          <w:szCs w:val="32"/>
        </w:rPr>
        <w:t>2024年度部门决算编制范围的二级预算单位包括：</w:t>
      </w:r>
    </w:p>
    <w:p w14:paraId="3203F124">
      <w:pPr>
        <w:numPr>
          <w:ilvl w:val="0"/>
          <w:numId w:val="2"/>
        </w:numPr>
        <w:spacing w:before="93" w:line="576" w:lineRule="exact"/>
        <w:ind w:firstLine="640" w:firstLineChars="200"/>
        <w:jc w:val="both"/>
        <w:rPr>
          <w:rFonts w:hint="eastAsia" w:ascii="仿宋" w:hAnsi="仿宋" w:eastAsia="仿宋"/>
          <w:color w:val="000000"/>
          <w:sz w:val="32"/>
          <w:szCs w:val="32"/>
        </w:rPr>
      </w:pPr>
      <w:r>
        <w:rPr>
          <w:rFonts w:hint="eastAsia" w:ascii="仿宋" w:hAnsi="仿宋" w:eastAsia="仿宋"/>
          <w:color w:val="000000"/>
          <w:sz w:val="32"/>
          <w:szCs w:val="32"/>
        </w:rPr>
        <w:t>攀枝花市仁和区纪检监察</w:t>
      </w:r>
      <w:r>
        <w:rPr>
          <w:rFonts w:hint="eastAsia" w:ascii="仿宋" w:hAnsi="仿宋" w:eastAsia="仿宋"/>
          <w:color w:val="000000"/>
          <w:sz w:val="32"/>
          <w:szCs w:val="32"/>
          <w:lang w:eastAsia="zh-CN"/>
        </w:rPr>
        <w:t>巡察事务</w:t>
      </w:r>
      <w:r>
        <w:rPr>
          <w:rFonts w:hint="eastAsia" w:ascii="仿宋" w:hAnsi="仿宋" w:eastAsia="仿宋"/>
          <w:color w:val="000000"/>
          <w:sz w:val="32"/>
          <w:szCs w:val="32"/>
        </w:rPr>
        <w:t>中心</w:t>
      </w:r>
    </w:p>
    <w:p w14:paraId="3F2AECA3">
      <w:pPr>
        <w:widowControl/>
        <w:jc w:val="left"/>
        <w:rPr>
          <w:rFonts w:eastAsia="仿宋"/>
          <w:kern w:val="0"/>
          <w:sz w:val="32"/>
          <w:szCs w:val="32"/>
        </w:rPr>
      </w:pPr>
      <w:r>
        <w:rPr>
          <w:rFonts w:eastAsia="仿宋"/>
          <w:sz w:val="32"/>
          <w:szCs w:val="32"/>
        </w:rPr>
        <w:br w:type="page"/>
      </w:r>
    </w:p>
    <w:p w14:paraId="2873C0F9">
      <w:pPr>
        <w:pStyle w:val="3"/>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2025年度部门决算情况说明</w:t>
      </w:r>
      <w:bookmarkEnd w:id="10"/>
      <w:bookmarkEnd w:id="11"/>
    </w:p>
    <w:p w14:paraId="64E8D2AA"/>
    <w:p w14:paraId="23201620">
      <w:pPr>
        <w:pStyle w:val="27"/>
        <w:spacing w:line="600" w:lineRule="exact"/>
        <w:ind w:firstLine="640"/>
        <w:outlineLvl w:val="1"/>
        <w:rPr>
          <w:rStyle w:val="29"/>
          <w:rFonts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16A63AD5">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2025年度收入、支出总计均为</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万元。与上年度相比，收入、支出总计各增加235.43万元，增长14.1%。主要变动原因是</w:t>
      </w:r>
      <w:r>
        <w:rPr>
          <w:rFonts w:eastAsia="仿宋_GB2312" w:cs="仿宋_GB2312"/>
          <w:sz w:val="32"/>
          <w:szCs w:val="32"/>
          <w:highlight w:val="none"/>
        </w:rPr>
        <w:t>本年度人员经费、公用经费增多</w:t>
      </w:r>
      <w:r>
        <w:rPr>
          <w:rFonts w:hint="eastAsia" w:eastAsia="仿宋_GB2312" w:cs="仿宋_GB2312"/>
          <w:sz w:val="32"/>
          <w:szCs w:val="32"/>
          <w:highlight w:val="none"/>
        </w:rPr>
        <w:t>。</w:t>
      </w:r>
    </w:p>
    <w:p w14:paraId="202BBC65">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（图1：收入、支出决算总计变动情况图）（柱状图）</w:t>
      </w:r>
    </w:p>
    <w:p w14:paraId="1D2022EF">
      <w:pPr>
        <w:ind w:firstLine="640" w:firstLineChars="200"/>
        <w:rPr>
          <w:rFonts w:eastAsia="仿宋_GB2312" w:cs="仿宋_GB2312"/>
          <w:sz w:val="32"/>
          <w:szCs w:val="32"/>
          <w:highlight w:val="yellow"/>
        </w:rPr>
      </w:pPr>
      <w:r>
        <w:rPr>
          <w:rFonts w:eastAsia="仿宋_GB2312" w:cs="仿宋_GB2312"/>
          <w:sz w:val="32"/>
          <w:szCs w:val="32"/>
        </w:rPr>
        <w:drawing>
          <wp:inline distT="0" distB="0" distL="0" distR="0">
            <wp:extent cx="4743450" cy="2581275"/>
            <wp:effectExtent l="19050" t="0" r="19050"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5AF42DA">
      <w:pPr>
        <w:pStyle w:val="27"/>
        <w:spacing w:line="600" w:lineRule="exact"/>
        <w:ind w:firstLine="640"/>
        <w:outlineLvl w:val="1"/>
        <w:rPr>
          <w:rFonts w:eastAsia="黑体"/>
          <w:sz w:val="32"/>
          <w:szCs w:val="32"/>
          <w:highlight w:val="none"/>
        </w:rPr>
      </w:pPr>
      <w:bookmarkStart w:id="14" w:name="_Toc15377206"/>
      <w:bookmarkStart w:id="15" w:name="_Toc15396604"/>
      <w:r>
        <w:rPr>
          <w:rFonts w:hint="eastAsia" w:eastAsia="黑体"/>
          <w:sz w:val="32"/>
          <w:szCs w:val="32"/>
          <w:highlight w:val="none"/>
        </w:rPr>
        <w:t>二、收入决算情况说明</w:t>
      </w:r>
      <w:bookmarkEnd w:id="14"/>
      <w:bookmarkEnd w:id="15"/>
    </w:p>
    <w:p w14:paraId="375DC721">
      <w:pPr>
        <w:pStyle w:val="27"/>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2025年度本年收入合计</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%；政府性基金预算财政拨款收入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%；国有资本经营预算财政拨款收入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%；上级补助收入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%；事业收入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%；附属单位上缴收入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%；其他收入</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69072298">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（图2：收入决算结构图）（饼状图）</w:t>
      </w:r>
    </w:p>
    <w:p w14:paraId="2F0369F4">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81525" cy="2400300"/>
            <wp:effectExtent l="19050" t="0" r="9525" b="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A7ADEC">
      <w:pPr>
        <w:pStyle w:val="27"/>
        <w:spacing w:line="600" w:lineRule="exact"/>
        <w:ind w:firstLine="640"/>
        <w:outlineLvl w:val="1"/>
        <w:rPr>
          <w:rStyle w:val="29"/>
          <w:rFonts w:ascii="Times New Roman" w:hAnsi="Times New Roman" w:eastAsia="黑体"/>
          <w:b w:val="0"/>
          <w:highlight w:val="none"/>
        </w:rPr>
      </w:pPr>
      <w:bookmarkStart w:id="16" w:name="_Toc15377207"/>
      <w:bookmarkStart w:id="17" w:name="_Toc15396605"/>
      <w:r>
        <w:rPr>
          <w:rFonts w:hint="eastAsia" w:eastAsia="黑体"/>
          <w:sz w:val="32"/>
          <w:szCs w:val="32"/>
          <w:highlight w:val="none"/>
        </w:rPr>
        <w:t>三、支</w:t>
      </w:r>
      <w:r>
        <w:rPr>
          <w:rStyle w:val="29"/>
          <w:rFonts w:hint="eastAsia" w:ascii="Times New Roman" w:hAnsi="Times New Roman" w:eastAsia="黑体"/>
          <w:b w:val="0"/>
          <w:highlight w:val="none"/>
        </w:rPr>
        <w:t>出决算情况说明</w:t>
      </w:r>
      <w:bookmarkEnd w:id="16"/>
      <w:bookmarkEnd w:id="17"/>
    </w:p>
    <w:p w14:paraId="688ADC01">
      <w:pPr>
        <w:pStyle w:val="27"/>
        <w:spacing w:line="600" w:lineRule="exact"/>
        <w:ind w:firstLine="640"/>
        <w:outlineLvl w:val="1"/>
        <w:rPr>
          <w:rFonts w:eastAsia="仿宋_GB2312" w:cs="仿宋_GB2312"/>
          <w:b/>
          <w:bCs/>
          <w:sz w:val="32"/>
          <w:szCs w:val="32"/>
          <w:highlight w:val="none"/>
        </w:rPr>
      </w:pPr>
      <w:r>
        <w:rPr>
          <w:rFonts w:hint="eastAsia" w:eastAsia="仿宋_GB2312" w:cs="仿宋_GB2312"/>
          <w:sz w:val="32"/>
          <w:szCs w:val="32"/>
          <w:highlight w:val="none"/>
        </w:rPr>
        <w:t>2025年度本年支出合计</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万元，其中：基本支出</w:t>
      </w:r>
      <w:r>
        <w:rPr>
          <w:rFonts w:hint="eastAsia" w:ascii="仿宋_GB2312" w:hAnsi="仿宋_GB2312" w:eastAsia="仿宋_GB2312" w:cs="仿宋_GB2312"/>
          <w:sz w:val="32"/>
          <w:szCs w:val="32"/>
          <w:highlight w:val="none"/>
        </w:rPr>
        <w:t>1610.8</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84.6</w:t>
      </w:r>
      <w:r>
        <w:rPr>
          <w:rFonts w:hint="eastAsia" w:eastAsia="仿宋_GB2312" w:cs="仿宋_GB2312"/>
          <w:sz w:val="32"/>
          <w:szCs w:val="32"/>
          <w:highlight w:val="none"/>
        </w:rPr>
        <w:t>%；项目支出</w:t>
      </w:r>
      <w:r>
        <w:rPr>
          <w:rFonts w:hint="eastAsia" w:ascii="仿宋_GB2312" w:hAnsi="仿宋_GB2312" w:eastAsia="仿宋_GB2312" w:cs="仿宋_GB2312"/>
          <w:sz w:val="32"/>
          <w:szCs w:val="32"/>
          <w:highlight w:val="none"/>
        </w:rPr>
        <w:t>293.73</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15.4</w:t>
      </w:r>
      <w:r>
        <w:rPr>
          <w:rFonts w:hint="eastAsia" w:eastAsia="仿宋_GB2312" w:cs="仿宋_GB2312"/>
          <w:sz w:val="32"/>
          <w:szCs w:val="32"/>
          <w:highlight w:val="none"/>
        </w:rPr>
        <w:t>%；上缴上级支出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%；经营支出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%；对附属单位补助支出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w:t>
      </w:r>
    </w:p>
    <w:p w14:paraId="2E1FF3AA">
      <w:pPr>
        <w:pStyle w:val="27"/>
        <w:spacing w:line="600" w:lineRule="exact"/>
        <w:ind w:firstLine="640"/>
        <w:outlineLvl w:val="1"/>
        <w:rPr>
          <w:rFonts w:eastAsia="仿宋_GB2312" w:cs="仿宋_GB2312"/>
          <w:sz w:val="32"/>
          <w:szCs w:val="32"/>
          <w:highlight w:val="none"/>
        </w:rPr>
      </w:pPr>
      <w:r>
        <w:rPr>
          <w:rFonts w:hint="eastAsia" w:eastAsia="仿宋_GB2312" w:cs="仿宋_GB2312"/>
          <w:sz w:val="32"/>
          <w:szCs w:val="32"/>
          <w:highlight w:val="none"/>
        </w:rPr>
        <w:t>（图3：支出决算结构图）（饼状图）</w:t>
      </w:r>
    </w:p>
    <w:p w14:paraId="485FB1C3">
      <w:pPr>
        <w:ind w:firstLine="800" w:firstLineChars="250"/>
        <w:rPr>
          <w:rFonts w:eastAsia="仿宋_GB2312" w:cs="仿宋_GB2312"/>
          <w:sz w:val="32"/>
          <w:szCs w:val="32"/>
          <w:highlight w:val="yellow"/>
        </w:rPr>
      </w:pPr>
      <w:r>
        <w:rPr>
          <w:rFonts w:eastAsia="仿宋_GB2312" w:cs="仿宋_GB2312"/>
          <w:sz w:val="32"/>
          <w:szCs w:val="32"/>
        </w:rPr>
        <w:drawing>
          <wp:inline distT="0" distB="0" distL="0" distR="0">
            <wp:extent cx="4505325" cy="2124075"/>
            <wp:effectExtent l="19050" t="0" r="9525" b="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538DBF4">
      <w:pPr>
        <w:spacing w:line="600" w:lineRule="exact"/>
        <w:ind w:firstLine="640" w:firstLineChars="200"/>
        <w:outlineLvl w:val="1"/>
        <w:rPr>
          <w:rStyle w:val="29"/>
          <w:rFonts w:ascii="Times New Roman" w:hAnsi="Times New Roman" w:eastAsia="黑体"/>
          <w:b w:val="0"/>
          <w:highlight w:val="none"/>
        </w:rPr>
      </w:pPr>
      <w:bookmarkStart w:id="18" w:name="_Toc15396606"/>
      <w:bookmarkStart w:id="19" w:name="_Toc15377208"/>
      <w:r>
        <w:rPr>
          <w:rFonts w:hint="eastAsia" w:eastAsia="黑体"/>
          <w:sz w:val="32"/>
          <w:szCs w:val="32"/>
          <w:highlight w:val="none"/>
        </w:rPr>
        <w:t>四、财</w:t>
      </w:r>
      <w:r>
        <w:rPr>
          <w:rStyle w:val="29"/>
          <w:rFonts w:hint="eastAsia" w:ascii="Times New Roman" w:hAnsi="Times New Roman" w:eastAsia="黑体"/>
          <w:b w:val="0"/>
          <w:highlight w:val="none"/>
        </w:rPr>
        <w:t>政拨款收入支出决算总体情况说明</w:t>
      </w:r>
      <w:bookmarkEnd w:id="18"/>
      <w:bookmarkEnd w:id="19"/>
    </w:p>
    <w:p w14:paraId="25843C1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2025年度财政拨款收入、支出总计均为</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万元。与上年度相比，财政拨款收入、支出总计各增加235.43万元，增长14.1%。主要变动原因是</w:t>
      </w:r>
      <w:r>
        <w:rPr>
          <w:rFonts w:eastAsia="仿宋_GB2312" w:cs="仿宋_GB2312"/>
          <w:sz w:val="32"/>
          <w:szCs w:val="32"/>
          <w:highlight w:val="none"/>
        </w:rPr>
        <w:t>本年度人员经费、公用经费增多</w:t>
      </w:r>
      <w:r>
        <w:rPr>
          <w:rFonts w:hint="eastAsia" w:eastAsia="仿宋_GB2312" w:cs="仿宋_GB2312"/>
          <w:sz w:val="32"/>
          <w:szCs w:val="32"/>
          <w:highlight w:val="none"/>
        </w:rPr>
        <w:t>。</w:t>
      </w:r>
    </w:p>
    <w:p w14:paraId="5742C45F">
      <w:pPr>
        <w:spacing w:line="600" w:lineRule="exact"/>
        <w:ind w:firstLine="640" w:firstLineChars="200"/>
        <w:rPr>
          <w:rFonts w:eastAsia="仿宋_GB2312" w:cs="仿宋_GB2312"/>
          <w:sz w:val="32"/>
          <w:szCs w:val="32"/>
          <w:highlight w:val="none"/>
        </w:rPr>
      </w:pPr>
      <w:r>
        <w:rPr>
          <w:rFonts w:hint="eastAsia" w:eastAsia="仿宋_GB2312" w:cs="仿宋_GB2312"/>
          <w:sz w:val="32"/>
          <w:szCs w:val="32"/>
          <w:highlight w:val="none"/>
        </w:rPr>
        <w:t>（图4：财政拨款收、支决算总计变动情况）（柱状图）</w:t>
      </w:r>
    </w:p>
    <w:p w14:paraId="6300611F">
      <w:pPr>
        <w:spacing w:line="600" w:lineRule="exact"/>
        <w:ind w:firstLine="640"/>
        <w:rPr>
          <w:rFonts w:eastAsia="仿宋_GB2312" w:cs="仿宋_GB2312"/>
          <w:sz w:val="32"/>
          <w:szCs w:val="32"/>
          <w:highlight w:val="yellow"/>
        </w:rPr>
      </w:pPr>
    </w:p>
    <w:p w14:paraId="039BCFCC">
      <w:pPr>
        <w:pStyle w:val="14"/>
        <w:rPr>
          <w:highlight w:val="yellow"/>
        </w:rPr>
      </w:pPr>
    </w:p>
    <w:p w14:paraId="59843CE2">
      <w:pPr>
        <w:pStyle w:val="8"/>
        <w:ind w:left="420"/>
        <w:rPr>
          <w:highlight w:val="yellow"/>
        </w:rPr>
      </w:pPr>
      <w:r>
        <w:drawing>
          <wp:inline distT="0" distB="0" distL="0" distR="0">
            <wp:extent cx="5038725" cy="2371725"/>
            <wp:effectExtent l="19050" t="0" r="9525" b="0"/>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BE94F6">
      <w:pPr>
        <w:spacing w:line="600" w:lineRule="exact"/>
        <w:ind w:firstLine="640" w:firstLineChars="200"/>
        <w:outlineLvl w:val="1"/>
        <w:rPr>
          <w:rStyle w:val="29"/>
          <w:rFonts w:ascii="Times New Roman" w:hAnsi="Times New Roman" w:eastAsia="黑体"/>
          <w:b w:val="0"/>
          <w:highlight w:val="none"/>
        </w:rPr>
      </w:pPr>
      <w:bookmarkStart w:id="20" w:name="_Toc15396607"/>
      <w:bookmarkStart w:id="21" w:name="_Toc15377209"/>
      <w:r>
        <w:rPr>
          <w:rFonts w:hint="eastAsia" w:eastAsia="黑体"/>
          <w:sz w:val="32"/>
          <w:szCs w:val="32"/>
          <w:highlight w:val="none"/>
        </w:rPr>
        <w:t>五、</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般公共预算财政拨款支出决算情况说明</w:t>
      </w:r>
      <w:bookmarkEnd w:id="20"/>
      <w:bookmarkEnd w:id="21"/>
    </w:p>
    <w:p w14:paraId="31F4FB17">
      <w:pPr>
        <w:spacing w:line="600" w:lineRule="exact"/>
        <w:ind w:firstLine="643" w:firstLineChars="200"/>
        <w:outlineLvl w:val="2"/>
        <w:rPr>
          <w:rFonts w:eastAsia="楷体_GB2312" w:cs="楷体_GB2312"/>
          <w:b/>
          <w:sz w:val="32"/>
          <w:szCs w:val="32"/>
          <w:highlight w:val="none"/>
        </w:rPr>
      </w:pPr>
      <w:bookmarkStart w:id="22" w:name="_Toc15377210"/>
      <w:r>
        <w:rPr>
          <w:rFonts w:hint="eastAsia" w:eastAsia="楷体_GB2312" w:cs="楷体_GB2312"/>
          <w:b/>
          <w:sz w:val="32"/>
          <w:szCs w:val="32"/>
          <w:highlight w:val="none"/>
        </w:rPr>
        <w:t>（一）一般公共预算财政拨款支出决算总体情况</w:t>
      </w:r>
      <w:bookmarkEnd w:id="22"/>
    </w:p>
    <w:p w14:paraId="27BA5CE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%。与上年度相比，一般公共预算财政拨款支出增加235.43万元，增长14.1%。主要变动原因是</w:t>
      </w:r>
      <w:r>
        <w:rPr>
          <w:rFonts w:eastAsia="仿宋_GB2312" w:cs="仿宋_GB2312"/>
          <w:sz w:val="32"/>
          <w:szCs w:val="32"/>
          <w:highlight w:val="none"/>
        </w:rPr>
        <w:t>本年度人员经费、公用经费增多</w:t>
      </w:r>
      <w:r>
        <w:rPr>
          <w:rFonts w:hint="eastAsia" w:eastAsia="仿宋_GB2312" w:cs="仿宋_GB2312"/>
          <w:sz w:val="32"/>
          <w:szCs w:val="32"/>
          <w:highlight w:val="none"/>
        </w:rPr>
        <w:t>。</w:t>
      </w:r>
    </w:p>
    <w:p w14:paraId="14925AE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（图5：一般公共预算财政拨款支出决算变动情况）（柱状图）</w:t>
      </w:r>
    </w:p>
    <w:p w14:paraId="2052D95B">
      <w:pPr>
        <w:spacing w:line="600" w:lineRule="exact"/>
        <w:ind w:firstLine="640"/>
        <w:rPr>
          <w:rFonts w:eastAsia="仿宋_GB2312" w:cs="仿宋_GB2312"/>
          <w:sz w:val="32"/>
          <w:szCs w:val="32"/>
        </w:rPr>
      </w:pPr>
    </w:p>
    <w:p w14:paraId="030B825C">
      <w:pPr>
        <w:pStyle w:val="14"/>
        <w:rPr>
          <w:highlight w:val="yellow"/>
        </w:rPr>
      </w:pPr>
      <w:r>
        <w:drawing>
          <wp:inline distT="0" distB="0" distL="0" distR="0">
            <wp:extent cx="4200525" cy="2362200"/>
            <wp:effectExtent l="19050" t="0" r="9525" b="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CBEDED">
      <w:pPr>
        <w:spacing w:line="600" w:lineRule="exact"/>
        <w:ind w:firstLine="643" w:firstLineChars="200"/>
        <w:outlineLvl w:val="2"/>
        <w:rPr>
          <w:rFonts w:eastAsia="楷体_GB2312" w:cs="楷体_GB2312"/>
          <w:b/>
          <w:sz w:val="32"/>
          <w:szCs w:val="32"/>
          <w:highlight w:val="none"/>
        </w:rPr>
      </w:pPr>
      <w:bookmarkStart w:id="23" w:name="_Toc15377211"/>
      <w:r>
        <w:rPr>
          <w:rFonts w:hint="eastAsia" w:eastAsia="楷体_GB2312" w:cs="楷体_GB2312"/>
          <w:b/>
          <w:sz w:val="32"/>
          <w:szCs w:val="32"/>
          <w:highlight w:val="none"/>
        </w:rPr>
        <w:t>（二）一般公共预算财政拨款支出决算结构情况</w:t>
      </w:r>
      <w:bookmarkEnd w:id="23"/>
    </w:p>
    <w:p w14:paraId="4FB8AA01">
      <w:pPr>
        <w:spacing w:line="600" w:lineRule="exact"/>
        <w:ind w:firstLine="640"/>
        <w:rPr>
          <w:rFonts w:eastAsia="仿宋_GB2312" w:cs="仿宋_GB2312"/>
          <w:b/>
          <w:bCs/>
          <w:sz w:val="32"/>
          <w:szCs w:val="32"/>
          <w:highlight w:val="none"/>
        </w:rPr>
      </w:pPr>
      <w:r>
        <w:rPr>
          <w:rFonts w:hint="eastAsia" w:eastAsia="仿宋_GB2312" w:cs="仿宋_GB2312"/>
          <w:sz w:val="32"/>
          <w:szCs w:val="32"/>
          <w:highlight w:val="none"/>
        </w:rPr>
        <w:t>2025年度一般公共预算财政拨款支出</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万元，主要用于以下方面：一般公共服务支出1505.74万元，占79.1%；教育支出0万元，占0%；科学技术支出0万元，占0%；文化旅游体育与传媒支出0万元，占0%；社会保障和就业支出217.59万元，占11.4%；卫生健康支出76.1万元，占4%；住房保障支出105.1万元，占5.5%。</w:t>
      </w:r>
    </w:p>
    <w:p w14:paraId="110A64C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（图6：一般公共预算财政拨款支出决算结构）（饼状图）</w:t>
      </w:r>
    </w:p>
    <w:p w14:paraId="6AAF5DDB">
      <w:pPr>
        <w:spacing w:line="600" w:lineRule="exact"/>
        <w:ind w:firstLine="640"/>
        <w:rPr>
          <w:rFonts w:eastAsia="仿宋_GB2312" w:cs="仿宋_GB2312"/>
          <w:sz w:val="32"/>
          <w:szCs w:val="32"/>
          <w:highlight w:val="yellow"/>
        </w:rPr>
      </w:pPr>
    </w:p>
    <w:p w14:paraId="6391BF38">
      <w:pPr>
        <w:pStyle w:val="14"/>
        <w:rPr>
          <w:highlight w:val="yellow"/>
        </w:rPr>
      </w:pPr>
      <w:r>
        <w:drawing>
          <wp:inline distT="0" distB="0" distL="0" distR="0">
            <wp:extent cx="5274310" cy="3252470"/>
            <wp:effectExtent l="19050" t="0" r="21590" b="5059"/>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2D0245E">
      <w:pPr>
        <w:spacing w:line="600" w:lineRule="exact"/>
        <w:ind w:firstLine="643" w:firstLineChars="200"/>
        <w:outlineLvl w:val="2"/>
        <w:rPr>
          <w:rFonts w:eastAsia="楷体_GB2312" w:cs="楷体_GB2312"/>
          <w:b/>
          <w:sz w:val="32"/>
          <w:szCs w:val="32"/>
          <w:highlight w:val="none"/>
        </w:rPr>
      </w:pPr>
      <w:bookmarkStart w:id="24" w:name="_Toc15377212"/>
      <w:r>
        <w:rPr>
          <w:rFonts w:hint="eastAsia" w:eastAsia="楷体_GB2312" w:cs="楷体_GB2312"/>
          <w:b/>
          <w:sz w:val="32"/>
          <w:szCs w:val="32"/>
          <w:highlight w:val="none"/>
        </w:rPr>
        <w:t>（三）一般公共预算财政拨款支出决算具体情况</w:t>
      </w:r>
      <w:bookmarkEnd w:id="24"/>
    </w:p>
    <w:p w14:paraId="76116410">
      <w:pPr>
        <w:spacing w:line="600" w:lineRule="exact"/>
        <w:ind w:firstLine="640"/>
        <w:rPr>
          <w:rFonts w:eastAsia="仿宋_GB2312" w:cs="仿宋_GB2312"/>
          <w:sz w:val="32"/>
          <w:szCs w:val="32"/>
          <w:highlight w:val="none"/>
        </w:rPr>
      </w:pPr>
      <w:bookmarkStart w:id="25" w:name="_Toc15377444"/>
      <w:bookmarkStart w:id="26" w:name="_Toc15377213"/>
      <w:bookmarkStart w:id="27" w:name="_Toc15378460"/>
      <w:r>
        <w:rPr>
          <w:rFonts w:hint="eastAsia" w:eastAsia="仿宋_GB2312" w:cs="仿宋_GB2312"/>
          <w:sz w:val="32"/>
          <w:szCs w:val="32"/>
          <w:highlight w:val="none"/>
        </w:rPr>
        <w:t>2025年度一般公共预算支出决算数为</w:t>
      </w:r>
      <w:r>
        <w:rPr>
          <w:rFonts w:hint="eastAsia" w:ascii="仿宋_GB2312" w:hAnsi="仿宋_GB2312" w:eastAsia="仿宋_GB2312" w:cs="仿宋_GB2312"/>
          <w:sz w:val="32"/>
          <w:szCs w:val="32"/>
          <w:highlight w:val="none"/>
        </w:rPr>
        <w:t>1904.53</w:t>
      </w:r>
      <w:r>
        <w:rPr>
          <w:rFonts w:hint="eastAsia" w:eastAsia="仿宋_GB2312" w:cs="仿宋_GB2312"/>
          <w:sz w:val="32"/>
          <w:szCs w:val="32"/>
          <w:highlight w:val="none"/>
        </w:rPr>
        <w:t>，完成预算100%。其中：</w:t>
      </w:r>
      <w:bookmarkEnd w:id="25"/>
      <w:bookmarkEnd w:id="26"/>
      <w:bookmarkEnd w:id="27"/>
    </w:p>
    <w:p w14:paraId="5EC18A0D">
      <w:pPr>
        <w:spacing w:line="600" w:lineRule="exact"/>
        <w:ind w:firstLine="640"/>
        <w:rPr>
          <w:rFonts w:eastAsia="仿宋_GB2312" w:cs="仿宋_GB2312"/>
          <w:sz w:val="32"/>
          <w:szCs w:val="32"/>
          <w:highlight w:val="none"/>
        </w:rPr>
      </w:pPr>
      <w:bookmarkStart w:id="28" w:name="_Toc15396608"/>
      <w:bookmarkStart w:id="29" w:name="_Toc15377214"/>
      <w:r>
        <w:rPr>
          <w:rFonts w:hint="eastAsia" w:eastAsia="仿宋_GB2312" w:cs="仿宋_GB2312"/>
          <w:sz w:val="32"/>
          <w:szCs w:val="32"/>
          <w:highlight w:val="none"/>
        </w:rPr>
        <w:t>1.一般公共服务支出（类）纪检监察事务（款）行政运行（项）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支出决算为1157.59万元，完成预算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C0BF06C">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w:t>
      </w:r>
      <w:r>
        <w:rPr>
          <w:rFonts w:eastAsia="仿宋_GB2312" w:cs="仿宋_GB2312"/>
          <w:sz w:val="32"/>
          <w:szCs w:val="32"/>
          <w:highlight w:val="none"/>
        </w:rPr>
        <w:t xml:space="preserve"> </w:t>
      </w:r>
      <w:r>
        <w:rPr>
          <w:rFonts w:hint="eastAsia" w:eastAsia="仿宋_GB2312" w:cs="仿宋_GB2312"/>
          <w:sz w:val="32"/>
          <w:szCs w:val="32"/>
          <w:highlight w:val="none"/>
        </w:rPr>
        <w:t>一般公共服务支出（类）纪检监察事务（款）一般行政管理事务（项）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支出决算为293.14万元，完成预算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4B66858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3</w:t>
      </w:r>
      <w:r>
        <w:rPr>
          <w:rFonts w:eastAsia="仿宋_GB2312" w:cs="仿宋_GB2312"/>
          <w:sz w:val="32"/>
          <w:szCs w:val="32"/>
          <w:highlight w:val="none"/>
        </w:rPr>
        <w:t xml:space="preserve">. </w:t>
      </w:r>
      <w:r>
        <w:rPr>
          <w:rFonts w:hint="eastAsia" w:eastAsia="仿宋_GB2312" w:cs="仿宋_GB2312"/>
          <w:sz w:val="32"/>
          <w:szCs w:val="32"/>
          <w:highlight w:val="none"/>
        </w:rPr>
        <w:t>一般公共服务支出（类）纪检监察事务（款）事业运行（项）</w:t>
      </w:r>
      <w:r>
        <w:rPr>
          <w:rFonts w:hint="eastAsia" w:eastAsia="仿宋_GB2312" w:cs="仿宋_GB2312"/>
          <w:sz w:val="32"/>
          <w:szCs w:val="32"/>
          <w:highlight w:val="none"/>
          <w:lang w:eastAsia="zh-CN"/>
        </w:rPr>
        <w:t>：</w:t>
      </w:r>
      <w:r>
        <w:rPr>
          <w:rFonts w:eastAsia="仿宋_GB2312" w:cs="仿宋_GB2312"/>
          <w:sz w:val="32"/>
          <w:szCs w:val="32"/>
          <w:highlight w:val="none"/>
        </w:rPr>
        <w:t xml:space="preserve"> </w:t>
      </w:r>
      <w:r>
        <w:rPr>
          <w:rFonts w:hint="eastAsia" w:eastAsia="仿宋_GB2312" w:cs="仿宋_GB2312"/>
          <w:sz w:val="32"/>
          <w:szCs w:val="32"/>
          <w:highlight w:val="none"/>
        </w:rPr>
        <w:t>支出决算为54.42万元，完成预算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04330424">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4</w:t>
      </w:r>
      <w:r>
        <w:rPr>
          <w:rFonts w:eastAsia="仿宋_GB2312" w:cs="仿宋_GB2312"/>
          <w:sz w:val="32"/>
          <w:szCs w:val="32"/>
          <w:highlight w:val="none"/>
        </w:rPr>
        <w:t xml:space="preserve">. </w:t>
      </w:r>
      <w:r>
        <w:rPr>
          <w:rFonts w:hint="eastAsia" w:eastAsia="仿宋_GB2312" w:cs="仿宋_GB2312"/>
          <w:sz w:val="32"/>
          <w:szCs w:val="32"/>
          <w:highlight w:val="none"/>
        </w:rPr>
        <w:t>一般公共服务支出（类）纪检监察事务（款）其他纪检监察事务支出项）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支出决算为0.59万元，</w:t>
      </w:r>
      <w:r>
        <w:rPr>
          <w:rFonts w:hint="eastAsia" w:eastAsia="仿宋_GB2312" w:cs="仿宋_GB2312"/>
          <w:sz w:val="32"/>
          <w:szCs w:val="32"/>
          <w:highlight w:val="none"/>
          <w:lang w:eastAsia="zh-CN"/>
        </w:rPr>
        <w:t>完</w:t>
      </w:r>
      <w:r>
        <w:rPr>
          <w:rFonts w:hint="eastAsia" w:eastAsia="仿宋_GB2312" w:cs="仿宋_GB2312"/>
          <w:sz w:val="32"/>
          <w:szCs w:val="32"/>
          <w:highlight w:val="none"/>
        </w:rPr>
        <w:t>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21687F86">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5</w:t>
      </w:r>
      <w:r>
        <w:rPr>
          <w:rFonts w:eastAsia="仿宋_GB2312" w:cs="仿宋_GB2312"/>
          <w:sz w:val="32"/>
          <w:szCs w:val="32"/>
          <w:highlight w:val="none"/>
        </w:rPr>
        <w:t>.</w:t>
      </w:r>
      <w:r>
        <w:rPr>
          <w:rFonts w:hint="eastAsia" w:eastAsia="仿宋_GB2312" w:cs="仿宋_GB2312"/>
          <w:sz w:val="32"/>
          <w:szCs w:val="32"/>
          <w:highlight w:val="none"/>
        </w:rPr>
        <w:t>社会保障和就业支出（类）行政事业单位养老支出（款）行政单位离退休（项）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支出决算为34.89万元，完成预算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65D7143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6</w:t>
      </w:r>
      <w:r>
        <w:rPr>
          <w:rFonts w:eastAsia="仿宋_GB2312" w:cs="仿宋_GB2312"/>
          <w:sz w:val="32"/>
          <w:szCs w:val="32"/>
          <w:highlight w:val="none"/>
        </w:rPr>
        <w:t xml:space="preserve">. </w:t>
      </w:r>
      <w:r>
        <w:rPr>
          <w:rFonts w:hint="eastAsia" w:eastAsia="仿宋_GB2312" w:cs="仿宋_GB2312"/>
          <w:sz w:val="32"/>
          <w:szCs w:val="32"/>
          <w:highlight w:val="none"/>
        </w:rPr>
        <w:t>社会保障和就业支出（类）行政事业单位养老支出（款）机关事业单位基本养老保险缴费支出（项）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支出决算为126.39万元，完成预算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5DC8F28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7</w:t>
      </w:r>
      <w:r>
        <w:rPr>
          <w:rFonts w:eastAsia="仿宋_GB2312" w:cs="仿宋_GB2312"/>
          <w:sz w:val="32"/>
          <w:szCs w:val="32"/>
          <w:highlight w:val="none"/>
        </w:rPr>
        <w:t xml:space="preserve">. </w:t>
      </w:r>
      <w:r>
        <w:rPr>
          <w:rFonts w:hint="eastAsia" w:eastAsia="仿宋_GB2312" w:cs="仿宋_GB2312"/>
          <w:sz w:val="32"/>
          <w:szCs w:val="32"/>
          <w:highlight w:val="none"/>
        </w:rPr>
        <w:t>社会保障和就业支出（类）行政事业单位养老支出（款）机关事业单位职业年金缴费支出（项）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支出决算为56.31万元，完成预算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5D9CAE87">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8</w:t>
      </w:r>
      <w:r>
        <w:rPr>
          <w:rFonts w:eastAsia="仿宋_GB2312" w:cs="仿宋_GB2312"/>
          <w:sz w:val="32"/>
          <w:szCs w:val="32"/>
          <w:highlight w:val="none"/>
        </w:rPr>
        <w:t>.</w:t>
      </w:r>
      <w:r>
        <w:rPr>
          <w:rFonts w:hint="eastAsia" w:eastAsia="仿宋_GB2312" w:cs="仿宋_GB2312"/>
          <w:sz w:val="32"/>
          <w:szCs w:val="32"/>
          <w:highlight w:val="none"/>
        </w:rPr>
        <w:t>卫生健康支出（类）行政事业单位医疗（款）行政单位医疗（项）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支出决算为63.01万元，完成预算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1FE0A2E4">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9</w:t>
      </w:r>
      <w:r>
        <w:rPr>
          <w:rFonts w:eastAsia="仿宋_GB2312" w:cs="仿宋_GB2312"/>
          <w:sz w:val="32"/>
          <w:szCs w:val="32"/>
          <w:highlight w:val="none"/>
        </w:rPr>
        <w:t>.</w:t>
      </w:r>
      <w:r>
        <w:rPr>
          <w:rFonts w:hint="eastAsia" w:eastAsia="仿宋_GB2312" w:cs="仿宋_GB2312"/>
          <w:sz w:val="32"/>
          <w:szCs w:val="32"/>
          <w:highlight w:val="none"/>
        </w:rPr>
        <w:t>卫生健康支出（类）行政事业单位医疗（款）事业单位医疗（项）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支出决算为3.98万元，完成预算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71846548">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10</w:t>
      </w:r>
      <w:r>
        <w:rPr>
          <w:rFonts w:eastAsia="仿宋_GB2312" w:cs="仿宋_GB2312"/>
          <w:sz w:val="32"/>
          <w:szCs w:val="32"/>
          <w:highlight w:val="none"/>
        </w:rPr>
        <w:t>.</w:t>
      </w:r>
      <w:r>
        <w:rPr>
          <w:rFonts w:hint="eastAsia" w:eastAsia="仿宋_GB2312" w:cs="仿宋_GB2312"/>
          <w:sz w:val="32"/>
          <w:szCs w:val="32"/>
          <w:highlight w:val="none"/>
        </w:rPr>
        <w:t>卫生健康支出（类）行政事业单位医疗（款）公务员医疗补助（项）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支出决算为9.11万元，完成预算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53B030F1">
      <w:pPr>
        <w:spacing w:line="600" w:lineRule="exact"/>
        <w:ind w:firstLine="640"/>
        <w:rPr>
          <w:rFonts w:hint="eastAsia" w:eastAsia="仿宋_GB2312" w:cs="仿宋_GB2312"/>
          <w:sz w:val="32"/>
          <w:szCs w:val="32"/>
          <w:highlight w:val="none"/>
        </w:rPr>
      </w:pPr>
      <w:r>
        <w:rPr>
          <w:rFonts w:eastAsia="仿宋_GB2312" w:cs="仿宋_GB2312"/>
          <w:sz w:val="32"/>
          <w:szCs w:val="32"/>
          <w:highlight w:val="none"/>
        </w:rPr>
        <w:t>1</w:t>
      </w:r>
      <w:r>
        <w:rPr>
          <w:rFonts w:hint="eastAsia" w:eastAsia="仿宋_GB2312" w:cs="仿宋_GB2312"/>
          <w:sz w:val="32"/>
          <w:szCs w:val="32"/>
          <w:highlight w:val="none"/>
        </w:rPr>
        <w:t>1</w:t>
      </w:r>
      <w:r>
        <w:rPr>
          <w:rFonts w:eastAsia="仿宋_GB2312" w:cs="仿宋_GB2312"/>
          <w:sz w:val="32"/>
          <w:szCs w:val="32"/>
          <w:highlight w:val="none"/>
        </w:rPr>
        <w:t xml:space="preserve">. </w:t>
      </w:r>
      <w:r>
        <w:rPr>
          <w:rFonts w:hint="eastAsia" w:eastAsia="仿宋_GB2312" w:cs="仿宋_GB2312"/>
          <w:sz w:val="32"/>
          <w:szCs w:val="32"/>
          <w:highlight w:val="none"/>
        </w:rPr>
        <w:t>住房保障支出（类）住房改革支出（款）住房公积金（项）</w:t>
      </w:r>
      <w:r>
        <w:rPr>
          <w:rFonts w:hint="eastAsia" w:eastAsia="仿宋_GB2312" w:cs="仿宋_GB2312"/>
          <w:sz w:val="32"/>
          <w:szCs w:val="32"/>
          <w:highlight w:val="none"/>
          <w:lang w:eastAsia="zh-CN"/>
        </w:rPr>
        <w:t>：</w:t>
      </w:r>
      <w:r>
        <w:rPr>
          <w:rFonts w:hint="eastAsia" w:eastAsia="仿宋_GB2312" w:cs="仿宋_GB2312"/>
          <w:sz w:val="32"/>
          <w:szCs w:val="32"/>
          <w:highlight w:val="none"/>
        </w:rPr>
        <w:t>支出决算为105.1万元，完成预算</w:t>
      </w:r>
      <w:r>
        <w:rPr>
          <w:rFonts w:eastAsia="仿宋_GB2312" w:cs="仿宋_GB2312"/>
          <w:sz w:val="32"/>
          <w:szCs w:val="32"/>
          <w:highlight w:val="none"/>
        </w:rPr>
        <w:t>100%</w:t>
      </w:r>
      <w:r>
        <w:rPr>
          <w:rFonts w:hint="eastAsia" w:eastAsia="仿宋_GB2312" w:cs="仿宋_GB2312"/>
          <w:sz w:val="32"/>
          <w:szCs w:val="32"/>
          <w:highlight w:val="none"/>
        </w:rPr>
        <w:t>，决算数等于预算数。</w:t>
      </w:r>
    </w:p>
    <w:p w14:paraId="3783276E">
      <w:pPr>
        <w:pStyle w:val="2"/>
      </w:pPr>
    </w:p>
    <w:p w14:paraId="50323750">
      <w:pPr>
        <w:tabs>
          <w:tab w:val="right" w:pos="8306"/>
        </w:tabs>
        <w:spacing w:line="600" w:lineRule="exact"/>
        <w:ind w:firstLine="640"/>
        <w:outlineLvl w:val="1"/>
        <w:rPr>
          <w:rStyle w:val="29"/>
          <w:rFonts w:ascii="Times New Roman" w:hAnsi="Times New Roman"/>
          <w:highlight w:val="none"/>
        </w:rPr>
      </w:pPr>
      <w:r>
        <w:rPr>
          <w:rFonts w:hint="eastAsia" w:eastAsia="黑体"/>
          <w:sz w:val="32"/>
          <w:szCs w:val="32"/>
          <w:highlight w:val="none"/>
        </w:rPr>
        <w:t>六</w:t>
      </w:r>
      <w:r>
        <w:rPr>
          <w:rFonts w:hint="eastAsia" w:eastAsia="黑体"/>
          <w:b/>
          <w:sz w:val="32"/>
          <w:szCs w:val="32"/>
          <w:highlight w:val="none"/>
        </w:rPr>
        <w:t>、一</w:t>
      </w:r>
      <w:r>
        <w:rPr>
          <w:rStyle w:val="29"/>
          <w:rFonts w:hint="eastAsia" w:ascii="Times New Roman" w:hAnsi="Times New Roman" w:eastAsia="黑体"/>
          <w:b w:val="0"/>
          <w:highlight w:val="none"/>
        </w:rPr>
        <w:t>般公共预算财政拨款基本支出决算情况说明</w:t>
      </w:r>
      <w:bookmarkEnd w:id="28"/>
      <w:bookmarkEnd w:id="29"/>
      <w:r>
        <w:rPr>
          <w:rStyle w:val="29"/>
          <w:rFonts w:ascii="Times New Roman" w:hAnsi="Times New Roman" w:eastAsia="黑体"/>
          <w:b w:val="0"/>
          <w:highlight w:val="none"/>
        </w:rPr>
        <w:tab/>
      </w:r>
    </w:p>
    <w:p w14:paraId="3FFA7E9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2025年度一般公共预算财政拨款基本支出</w:t>
      </w:r>
      <w:r>
        <w:rPr>
          <w:rFonts w:hint="eastAsia" w:ascii="仿宋_GB2312" w:hAnsi="仿宋_GB2312" w:eastAsia="仿宋_GB2312" w:cs="仿宋_GB2312"/>
          <w:sz w:val="32"/>
          <w:szCs w:val="32"/>
          <w:highlight w:val="none"/>
        </w:rPr>
        <w:t>1610.8</w:t>
      </w:r>
      <w:r>
        <w:rPr>
          <w:rFonts w:hint="eastAsia" w:eastAsia="仿宋_GB2312" w:cs="仿宋_GB2312"/>
          <w:sz w:val="32"/>
          <w:szCs w:val="32"/>
          <w:highlight w:val="none"/>
        </w:rPr>
        <w:t>万元，其中：</w:t>
      </w:r>
    </w:p>
    <w:p w14:paraId="44180650">
      <w:pPr>
        <w:spacing w:line="600" w:lineRule="exact"/>
        <w:ind w:firstLine="640"/>
        <w:rPr>
          <w:rFonts w:hint="eastAsia" w:eastAsia="仿宋_GB2312" w:cs="仿宋_GB2312"/>
          <w:sz w:val="32"/>
          <w:szCs w:val="32"/>
          <w:highlight w:val="none"/>
        </w:rPr>
      </w:pPr>
      <w:r>
        <w:rPr>
          <w:rFonts w:hint="eastAsia" w:eastAsia="仿宋_GB2312" w:cs="仿宋_GB2312"/>
          <w:sz w:val="32"/>
          <w:szCs w:val="32"/>
          <w:highlight w:val="none"/>
        </w:rPr>
        <w:t>人员经费1430.64万元，主要包括：基本工资、津贴补贴、奖金、  职工基本医疗保险缴费、公务员医疗补助缴费、绩效工资、机关事业单位基本养老保险缴费、职业年金缴费、其他社会保障缴费、其他工资福利支出、抚恤金、生活补助、医疗费补助、住房公积金等。</w:t>
      </w:r>
      <w:r>
        <w:rPr>
          <w:rFonts w:hint="eastAsia" w:eastAsia="仿宋_GB2312" w:cs="仿宋_GB2312"/>
          <w:sz w:val="32"/>
          <w:szCs w:val="32"/>
          <w:highlight w:val="none"/>
        </w:rPr>
        <w:br w:type="textWrapping"/>
      </w:r>
      <w:r>
        <w:rPr>
          <w:rFonts w:hint="eastAsia" w:eastAsia="仿宋_GB2312" w:cs="仿宋_GB2312"/>
          <w:sz w:val="32"/>
          <w:szCs w:val="32"/>
          <w:highlight w:val="none"/>
        </w:rPr>
        <w:t>　　公用经费180.17万元，主要包括：办公费、水费、电费、邮电费、差旅费、维修（护）费、培训费、公务接待费、劳务费、委托业务费、工会经费、福利费、公务用车运行维护费、其他交通费用、其他商品和服务支出等。</w:t>
      </w:r>
    </w:p>
    <w:p w14:paraId="6E5D1214">
      <w:pPr>
        <w:pStyle w:val="2"/>
      </w:pPr>
    </w:p>
    <w:p w14:paraId="29E67A1B">
      <w:pPr>
        <w:tabs>
          <w:tab w:val="right" w:pos="8306"/>
        </w:tabs>
        <w:spacing w:line="600" w:lineRule="exact"/>
        <w:ind w:firstLine="640"/>
        <w:outlineLvl w:val="1"/>
        <w:rPr>
          <w:rFonts w:hint="eastAsia" w:eastAsia="黑体"/>
          <w:sz w:val="32"/>
          <w:szCs w:val="32"/>
          <w:highlight w:val="none"/>
        </w:rPr>
      </w:pPr>
      <w:bookmarkStart w:id="30" w:name="_Toc15377215"/>
      <w:bookmarkStart w:id="31" w:name="_Toc15396609"/>
      <w:r>
        <w:rPr>
          <w:rFonts w:hint="eastAsia" w:eastAsia="黑体"/>
          <w:sz w:val="32"/>
          <w:szCs w:val="32"/>
          <w:highlight w:val="none"/>
          <w:lang w:eastAsia="zh-CN"/>
        </w:rPr>
        <w:t>七、</w:t>
      </w:r>
      <w:r>
        <w:rPr>
          <w:rFonts w:hint="eastAsia" w:eastAsia="黑体"/>
          <w:sz w:val="32"/>
          <w:szCs w:val="32"/>
          <w:highlight w:val="none"/>
        </w:rPr>
        <w:t>财政拨款“三公”经费支出决算情况说明</w:t>
      </w:r>
      <w:bookmarkEnd w:id="30"/>
      <w:bookmarkEnd w:id="31"/>
    </w:p>
    <w:p w14:paraId="28A38CF4">
      <w:pPr>
        <w:spacing w:line="600" w:lineRule="exact"/>
        <w:ind w:firstLine="643" w:firstLineChars="200"/>
        <w:outlineLvl w:val="2"/>
        <w:rPr>
          <w:rFonts w:eastAsia="楷体_GB2312" w:cs="楷体_GB2312"/>
          <w:b/>
          <w:sz w:val="32"/>
          <w:szCs w:val="32"/>
          <w:highlight w:val="none"/>
        </w:rPr>
      </w:pPr>
      <w:bookmarkStart w:id="32" w:name="_Toc15377216"/>
      <w:r>
        <w:rPr>
          <w:rFonts w:hint="eastAsia" w:eastAsia="楷体_GB2312" w:cs="楷体_GB2312"/>
          <w:b/>
          <w:sz w:val="32"/>
          <w:szCs w:val="32"/>
          <w:highlight w:val="none"/>
        </w:rPr>
        <w:t>（一）财政拨款“三公”经费支出决算总体情况说明</w:t>
      </w:r>
      <w:bookmarkEnd w:id="32"/>
    </w:p>
    <w:p w14:paraId="6BEF83C9">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2025年度财政拨款“三公”经费支出决算为</w:t>
      </w:r>
      <w:r>
        <w:rPr>
          <w:rFonts w:hint="eastAsia" w:ascii="仿宋_GB2312" w:hAnsi="仿宋_GB2312" w:eastAsia="仿宋_GB2312" w:cs="仿宋_GB2312"/>
          <w:sz w:val="32"/>
          <w:szCs w:val="32"/>
          <w:highlight w:val="none"/>
        </w:rPr>
        <w:t>9.7</w:t>
      </w:r>
      <w:r>
        <w:rPr>
          <w:rFonts w:hint="eastAsia" w:eastAsia="仿宋_GB2312" w:cs="仿宋_GB2312"/>
          <w:sz w:val="32"/>
          <w:szCs w:val="32"/>
          <w:highlight w:val="none"/>
        </w:rPr>
        <w:t>万元，完成预算</w:t>
      </w:r>
      <w:r>
        <w:rPr>
          <w:rFonts w:hint="eastAsia" w:ascii="仿宋_GB2312" w:hAnsi="仿宋_GB2312" w:eastAsia="仿宋_GB2312" w:cs="仿宋_GB2312"/>
          <w:sz w:val="32"/>
          <w:szCs w:val="32"/>
          <w:highlight w:val="none"/>
        </w:rPr>
        <w:t>100</w:t>
      </w:r>
      <w:r>
        <w:rPr>
          <w:rFonts w:hint="eastAsia" w:eastAsia="仿宋_GB2312" w:cs="仿宋_GB2312"/>
          <w:sz w:val="32"/>
          <w:szCs w:val="32"/>
          <w:highlight w:val="none"/>
        </w:rPr>
        <w:t>%，较上年度减少2.47万元，下降20.3%。决算数与预算数持平。</w:t>
      </w:r>
    </w:p>
    <w:p w14:paraId="4294EB79">
      <w:pPr>
        <w:spacing w:line="600" w:lineRule="exact"/>
        <w:ind w:firstLine="643" w:firstLineChars="200"/>
        <w:outlineLvl w:val="2"/>
        <w:rPr>
          <w:rFonts w:eastAsia="楷体_GB2312" w:cs="楷体_GB2312"/>
          <w:b/>
          <w:sz w:val="32"/>
          <w:szCs w:val="32"/>
          <w:highlight w:val="none"/>
        </w:rPr>
      </w:pPr>
      <w:bookmarkStart w:id="33" w:name="_Toc15377217"/>
      <w:r>
        <w:rPr>
          <w:rFonts w:hint="eastAsia" w:eastAsia="楷体_GB2312" w:cs="楷体_GB2312"/>
          <w:b/>
          <w:sz w:val="32"/>
          <w:szCs w:val="32"/>
          <w:highlight w:val="none"/>
        </w:rPr>
        <w:t>（二）财政拨款“三公”经费支出决算具体情况说明</w:t>
      </w:r>
      <w:bookmarkEnd w:id="33"/>
    </w:p>
    <w:p w14:paraId="1551DEF1">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2025年度财政拨款“三公”经费支出决算中，因公出国（境）费支出决算</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万元，占0%；公务用车购置及运行维护费支出决算</w:t>
      </w:r>
      <w:r>
        <w:rPr>
          <w:rFonts w:hint="eastAsia" w:ascii="仿宋_GB2312" w:hAnsi="仿宋_GB2312" w:eastAsia="仿宋_GB2312" w:cs="仿宋_GB2312"/>
          <w:sz w:val="32"/>
          <w:szCs w:val="32"/>
          <w:highlight w:val="none"/>
        </w:rPr>
        <w:t>9.47</w:t>
      </w:r>
      <w:r>
        <w:rPr>
          <w:rFonts w:hint="eastAsia" w:eastAsia="仿宋_GB2312" w:cs="仿宋_GB2312"/>
          <w:sz w:val="32"/>
          <w:szCs w:val="32"/>
          <w:highlight w:val="none"/>
        </w:rPr>
        <w:t>万元，占97.6%；公务接待费支出决算</w:t>
      </w:r>
      <w:r>
        <w:rPr>
          <w:rFonts w:hint="eastAsia" w:ascii="仿宋_GB2312" w:hAnsi="仿宋_GB2312" w:eastAsia="仿宋_GB2312" w:cs="仿宋_GB2312"/>
          <w:sz w:val="32"/>
          <w:szCs w:val="32"/>
          <w:highlight w:val="none"/>
        </w:rPr>
        <w:t>0.23</w:t>
      </w:r>
      <w:r>
        <w:rPr>
          <w:rFonts w:hint="eastAsia" w:eastAsia="仿宋_GB2312" w:cs="仿宋_GB2312"/>
          <w:sz w:val="32"/>
          <w:szCs w:val="32"/>
          <w:highlight w:val="none"/>
        </w:rPr>
        <w:t>万元，占2.4%。具体情况如下：</w:t>
      </w:r>
    </w:p>
    <w:p w14:paraId="4C16F7C4">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（图7：财政拨款“三公”经费支出结构）（饼状图）</w:t>
      </w:r>
    </w:p>
    <w:p w14:paraId="5B315F24">
      <w:pPr>
        <w:pStyle w:val="14"/>
        <w:rPr>
          <w:highlight w:val="yellow"/>
        </w:rPr>
      </w:pPr>
      <w:r>
        <w:drawing>
          <wp:inline distT="0" distB="0" distL="0" distR="0">
            <wp:extent cx="4429125" cy="2171700"/>
            <wp:effectExtent l="19050" t="0" r="9525" b="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FAB5FAA">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1.因公出国（境）经费支出</w:t>
      </w:r>
      <w:r>
        <w:rPr>
          <w:rFonts w:hint="eastAsia" w:ascii="仿宋_GB2312" w:hAnsi="仿宋_GB2312" w:eastAsia="仿宋_GB2312" w:cs="仿宋_GB2312"/>
          <w:sz w:val="32"/>
          <w:szCs w:val="32"/>
          <w:highlight w:val="none"/>
        </w:rPr>
        <w:t>0</w:t>
      </w:r>
      <w:r>
        <w:rPr>
          <w:rFonts w:hint="eastAsia" w:eastAsia="仿宋_GB2312" w:cs="仿宋_GB2312"/>
          <w:b/>
          <w:bCs/>
          <w:sz w:val="32"/>
          <w:szCs w:val="32"/>
          <w:highlight w:val="none"/>
        </w:rPr>
        <w:t>万元，完成预算0%。</w:t>
      </w:r>
      <w:r>
        <w:rPr>
          <w:rFonts w:hint="eastAsia" w:eastAsia="仿宋_GB2312" w:cs="仿宋_GB2312"/>
          <w:sz w:val="32"/>
          <w:szCs w:val="32"/>
          <w:highlight w:val="none"/>
        </w:rPr>
        <w:t>全年安排因公出国（境）团组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次，出国（境）</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人。因公出国（境）支出决算比上年度增加/减少0万元，增长/下降0%。</w:t>
      </w:r>
    </w:p>
    <w:p w14:paraId="085F8E87">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2.公务用车购置及运行维护费支出</w:t>
      </w:r>
      <w:r>
        <w:rPr>
          <w:rFonts w:hint="eastAsia" w:ascii="仿宋_GB2312" w:hAnsi="仿宋_GB2312" w:eastAsia="仿宋_GB2312" w:cs="仿宋_GB2312"/>
          <w:b/>
          <w:bCs/>
          <w:sz w:val="32"/>
          <w:szCs w:val="32"/>
          <w:highlight w:val="none"/>
        </w:rPr>
        <w:t>9.47</w:t>
      </w:r>
      <w:r>
        <w:rPr>
          <w:rFonts w:hint="eastAsia" w:eastAsia="仿宋_GB2312" w:cs="仿宋_GB2312"/>
          <w:b/>
          <w:bCs/>
          <w:sz w:val="32"/>
          <w:szCs w:val="32"/>
          <w:highlight w:val="none"/>
        </w:rPr>
        <w:t>万元，完成预算100%。</w:t>
      </w:r>
      <w:r>
        <w:rPr>
          <w:rFonts w:hint="eastAsia" w:eastAsia="仿宋_GB2312" w:cs="仿宋_GB2312"/>
          <w:sz w:val="32"/>
          <w:szCs w:val="32"/>
          <w:highlight w:val="none"/>
        </w:rPr>
        <w:t>公务用车购置及运行维护费支出决算比上年度减少2.57万元，下降21.3%。主要原因是</w:t>
      </w:r>
      <w:r>
        <w:rPr>
          <w:rFonts w:eastAsia="仿宋_GB2312" w:cs="仿宋_GB2312"/>
          <w:sz w:val="32"/>
          <w:szCs w:val="32"/>
          <w:highlight w:val="none"/>
        </w:rPr>
        <w:t>本年度</w:t>
      </w:r>
      <w:r>
        <w:rPr>
          <w:rFonts w:hint="eastAsia" w:eastAsia="仿宋_GB2312" w:cs="仿宋_GB2312"/>
          <w:sz w:val="32"/>
          <w:szCs w:val="32"/>
          <w:highlight w:val="none"/>
          <w:lang w:eastAsia="zh-CN"/>
        </w:rPr>
        <w:t>厉行节约</w:t>
      </w:r>
      <w:r>
        <w:rPr>
          <w:rFonts w:eastAsia="仿宋_GB2312" w:cs="仿宋_GB2312"/>
          <w:sz w:val="32"/>
          <w:szCs w:val="32"/>
          <w:highlight w:val="none"/>
        </w:rPr>
        <w:t>减少不必要开支</w:t>
      </w:r>
      <w:r>
        <w:rPr>
          <w:rFonts w:hint="eastAsia" w:eastAsia="仿宋_GB2312" w:cs="仿宋_GB2312"/>
          <w:sz w:val="32"/>
          <w:szCs w:val="32"/>
          <w:highlight w:val="none"/>
        </w:rPr>
        <w:t>。</w:t>
      </w:r>
    </w:p>
    <w:p w14:paraId="2D84DA3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其中：公务用车购置支出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全年按规定更新购置公务用车0辆，其中：轿车0辆、金额0万元，越野车0辆、金额0万元，载客汽车0辆、金额0万元。截至2025年12月31日，单位共有公务用车6辆，其中：轿车0辆、越野车5辆、小型客车1辆、载客汽车0辆。</w:t>
      </w:r>
    </w:p>
    <w:p w14:paraId="6BD5D240">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公务用车运行维护费支出</w:t>
      </w:r>
      <w:r>
        <w:rPr>
          <w:rFonts w:hint="eastAsia" w:ascii="仿宋_GB2312" w:hAnsi="仿宋_GB2312" w:eastAsia="仿宋_GB2312" w:cs="仿宋_GB2312"/>
          <w:sz w:val="32"/>
          <w:szCs w:val="32"/>
          <w:highlight w:val="none"/>
        </w:rPr>
        <w:t>9.47</w:t>
      </w:r>
      <w:r>
        <w:rPr>
          <w:rFonts w:hint="eastAsia" w:eastAsia="仿宋_GB2312" w:cs="仿宋_GB2312"/>
          <w:sz w:val="32"/>
          <w:szCs w:val="32"/>
          <w:highlight w:val="none"/>
        </w:rPr>
        <w:t>万元。主要用于公务工作所需的公务用车燃料费、维修费、过路过桥费、保险费等支出。</w:t>
      </w:r>
    </w:p>
    <w:p w14:paraId="69C88735">
      <w:pPr>
        <w:spacing w:line="600" w:lineRule="exact"/>
        <w:ind w:firstLine="640"/>
        <w:rPr>
          <w:rFonts w:eastAsia="仿宋_GB2312" w:cs="仿宋_GB2312"/>
          <w:sz w:val="32"/>
          <w:szCs w:val="32"/>
          <w:highlight w:val="none"/>
        </w:rPr>
      </w:pPr>
      <w:r>
        <w:rPr>
          <w:rFonts w:hint="eastAsia" w:eastAsia="仿宋_GB2312" w:cs="仿宋_GB2312"/>
          <w:b/>
          <w:bCs/>
          <w:sz w:val="32"/>
          <w:szCs w:val="32"/>
          <w:highlight w:val="none"/>
        </w:rPr>
        <w:t>3.公务接待费支出</w:t>
      </w:r>
      <w:r>
        <w:rPr>
          <w:rFonts w:hint="eastAsia" w:ascii="仿宋_GB2312" w:hAnsi="仿宋_GB2312" w:eastAsia="仿宋_GB2312" w:cs="仿宋_GB2312"/>
          <w:b/>
          <w:bCs/>
          <w:sz w:val="32"/>
          <w:szCs w:val="32"/>
          <w:highlight w:val="none"/>
        </w:rPr>
        <w:t>0.23</w:t>
      </w:r>
      <w:r>
        <w:rPr>
          <w:rFonts w:hint="eastAsia" w:eastAsia="仿宋_GB2312" w:cs="仿宋_GB2312"/>
          <w:b/>
          <w:bCs/>
          <w:sz w:val="32"/>
          <w:szCs w:val="32"/>
          <w:highlight w:val="none"/>
        </w:rPr>
        <w:t>万元，完成预算100%。</w:t>
      </w:r>
      <w:r>
        <w:rPr>
          <w:rFonts w:hint="eastAsia" w:eastAsia="仿宋_GB2312" w:cs="仿宋_GB2312"/>
          <w:sz w:val="32"/>
          <w:szCs w:val="32"/>
          <w:highlight w:val="none"/>
        </w:rPr>
        <w:t>公务接待费支出决算比上年度增加0.1万元，增长77.2%。主要原因是</w:t>
      </w:r>
      <w:r>
        <w:rPr>
          <w:rFonts w:eastAsia="仿宋_GB2312" w:cs="仿宋_GB2312"/>
          <w:sz w:val="32"/>
          <w:szCs w:val="32"/>
          <w:highlight w:val="none"/>
        </w:rPr>
        <w:t>支付接待罗江区纪委公务接待费</w:t>
      </w:r>
      <w:r>
        <w:rPr>
          <w:rFonts w:hint="eastAsia" w:eastAsia="仿宋_GB2312" w:cs="仿宋_GB2312"/>
          <w:sz w:val="32"/>
          <w:szCs w:val="32"/>
          <w:highlight w:val="none"/>
        </w:rPr>
        <w:t>。其中：</w:t>
      </w:r>
    </w:p>
    <w:p w14:paraId="6EB76BE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国内公务接待支出</w:t>
      </w:r>
      <w:r>
        <w:rPr>
          <w:rFonts w:hint="eastAsia" w:ascii="仿宋_GB2312" w:hAnsi="仿宋_GB2312" w:eastAsia="仿宋_GB2312" w:cs="仿宋_GB2312"/>
          <w:sz w:val="32"/>
          <w:szCs w:val="32"/>
          <w:highlight w:val="none"/>
        </w:rPr>
        <w:t>0.23</w:t>
      </w:r>
      <w:r>
        <w:rPr>
          <w:rFonts w:hint="eastAsia" w:eastAsia="仿宋_GB2312" w:cs="仿宋_GB2312"/>
          <w:sz w:val="32"/>
          <w:szCs w:val="32"/>
          <w:highlight w:val="none"/>
        </w:rPr>
        <w:t>万元，主要用于执行公务、开展业务活动开支的用餐费等。国内公务接待</w:t>
      </w:r>
      <w:r>
        <w:rPr>
          <w:rFonts w:hint="eastAsia" w:ascii="仿宋_GB2312" w:hAnsi="仿宋_GB2312" w:eastAsia="仿宋_GB2312" w:cs="仿宋_GB2312"/>
          <w:sz w:val="32"/>
          <w:szCs w:val="32"/>
          <w:highlight w:val="none"/>
        </w:rPr>
        <w:t>1</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16</w:t>
      </w:r>
      <w:r>
        <w:rPr>
          <w:rFonts w:hint="eastAsia" w:eastAsia="仿宋_GB2312" w:cs="仿宋_GB2312"/>
          <w:sz w:val="32"/>
          <w:szCs w:val="32"/>
          <w:highlight w:val="none"/>
        </w:rPr>
        <w:t>人次（不包括陪同人员），共计支出0.23万元，具体内容包括：</w:t>
      </w:r>
      <w:r>
        <w:rPr>
          <w:rFonts w:eastAsia="仿宋_GB2312" w:cs="仿宋_GB2312"/>
          <w:sz w:val="32"/>
          <w:szCs w:val="32"/>
          <w:highlight w:val="none"/>
        </w:rPr>
        <w:t>支付接待罗江区纪委公务接待费</w:t>
      </w:r>
      <w:r>
        <w:rPr>
          <w:rFonts w:hint="eastAsia" w:eastAsia="仿宋_GB2312" w:cs="仿宋_GB2312"/>
          <w:sz w:val="32"/>
          <w:szCs w:val="32"/>
          <w:highlight w:val="none"/>
        </w:rPr>
        <w:t>。</w:t>
      </w:r>
    </w:p>
    <w:p w14:paraId="654491D4">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外事接待支出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万元。外事接待</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批次，</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人次（不包括陪同人员），共计支出0万元。</w:t>
      </w:r>
    </w:p>
    <w:p w14:paraId="763971C5">
      <w:pPr>
        <w:spacing w:line="600" w:lineRule="exact"/>
        <w:ind w:firstLine="640"/>
        <w:rPr>
          <w:rFonts w:eastAsia="仿宋_GB2312" w:cs="仿宋_GB2312"/>
          <w:sz w:val="32"/>
          <w:szCs w:val="32"/>
          <w:highlight w:val="none"/>
        </w:rPr>
      </w:pPr>
      <w:bookmarkStart w:id="34" w:name="_Toc15377218"/>
      <w:bookmarkStart w:id="35" w:name="_Toc15396610"/>
    </w:p>
    <w:p w14:paraId="15DBB57E">
      <w:pPr>
        <w:spacing w:line="600" w:lineRule="exact"/>
        <w:ind w:firstLine="640"/>
        <w:outlineLvl w:val="1"/>
        <w:rPr>
          <w:rStyle w:val="29"/>
          <w:rFonts w:ascii="Times New Roman" w:hAnsi="Times New Roman" w:eastAsia="黑体"/>
          <w:highlight w:val="none"/>
        </w:rPr>
      </w:pPr>
      <w:r>
        <w:rPr>
          <w:rFonts w:hint="eastAsia" w:eastAsia="黑体"/>
          <w:sz w:val="32"/>
          <w:szCs w:val="32"/>
          <w:highlight w:val="none"/>
        </w:rPr>
        <w:t>八、</w:t>
      </w:r>
      <w:r>
        <w:rPr>
          <w:rStyle w:val="29"/>
          <w:rFonts w:hint="eastAsia" w:ascii="Times New Roman" w:hAnsi="Times New Roman" w:eastAsia="黑体"/>
          <w:b w:val="0"/>
          <w:highlight w:val="none"/>
        </w:rPr>
        <w:t>政府性基金预算支出决算情况说明</w:t>
      </w:r>
      <w:bookmarkEnd w:id="34"/>
      <w:bookmarkEnd w:id="35"/>
    </w:p>
    <w:p w14:paraId="0FF1AF02">
      <w:pPr>
        <w:spacing w:line="600" w:lineRule="exact"/>
        <w:ind w:firstLine="640"/>
        <w:rPr>
          <w:rFonts w:eastAsia="仿宋_GB2312" w:cs="仿宋_GB2312"/>
          <w:b/>
          <w:bCs/>
          <w:sz w:val="32"/>
          <w:szCs w:val="32"/>
          <w:highlight w:val="none"/>
        </w:rPr>
      </w:pPr>
      <w:r>
        <w:rPr>
          <w:rFonts w:hint="eastAsia" w:eastAsia="仿宋_GB2312" w:cs="仿宋_GB2312"/>
          <w:sz w:val="32"/>
          <w:szCs w:val="32"/>
          <w:highlight w:val="none"/>
        </w:rPr>
        <w:t>2025年度政府性基金预算财政拨款支出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%。与上年度相比，政府性基金预算财政拨款支出增加/减少0万元，增长/下降0%。</w:t>
      </w:r>
    </w:p>
    <w:p w14:paraId="66A9CB8B">
      <w:pPr>
        <w:spacing w:line="600" w:lineRule="exact"/>
        <w:ind w:firstLine="640"/>
        <w:rPr>
          <w:rFonts w:eastAsia="仿宋_GB2312" w:cs="仿宋_GB2312"/>
          <w:sz w:val="32"/>
          <w:szCs w:val="32"/>
          <w:highlight w:val="none"/>
        </w:rPr>
      </w:pPr>
    </w:p>
    <w:p w14:paraId="23714B1A">
      <w:pPr>
        <w:spacing w:line="600" w:lineRule="exact"/>
        <w:ind w:left="630"/>
        <w:outlineLvl w:val="1"/>
        <w:rPr>
          <w:rStyle w:val="29"/>
          <w:rFonts w:ascii="Times New Roman" w:hAnsi="Times New Roman" w:eastAsia="黑体"/>
          <w:b w:val="0"/>
          <w:highlight w:val="none"/>
        </w:rPr>
      </w:pPr>
      <w:bookmarkStart w:id="36" w:name="_Toc15396611"/>
      <w:bookmarkStart w:id="37" w:name="_Toc15377219"/>
      <w:r>
        <w:rPr>
          <w:rStyle w:val="29"/>
          <w:rFonts w:hint="eastAsia" w:ascii="Times New Roman" w:hAnsi="Times New Roman" w:eastAsia="黑体"/>
          <w:b w:val="0"/>
          <w:highlight w:val="none"/>
        </w:rPr>
        <w:t>九、国有资本经营预算支出决算情况说明</w:t>
      </w:r>
      <w:bookmarkEnd w:id="36"/>
      <w:bookmarkEnd w:id="37"/>
    </w:p>
    <w:p w14:paraId="2B3C94CF">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2025年度国有资本经营预算财政拨款支出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万元，占本年支出合计的</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%。与上年度相比，国有资本经营预算财政拨款支出增加/减少0万元，增长/下降0%。</w:t>
      </w:r>
    </w:p>
    <w:p w14:paraId="20358458">
      <w:pPr>
        <w:spacing w:line="600" w:lineRule="exact"/>
        <w:ind w:firstLine="640"/>
        <w:rPr>
          <w:rFonts w:eastAsia="仿宋_GB2312" w:cs="仿宋_GB2312"/>
          <w:sz w:val="32"/>
          <w:szCs w:val="32"/>
          <w:highlight w:val="none"/>
        </w:rPr>
      </w:pPr>
    </w:p>
    <w:p w14:paraId="1894725E">
      <w:pPr>
        <w:spacing w:line="600" w:lineRule="exact"/>
        <w:ind w:left="630"/>
        <w:outlineLvl w:val="1"/>
        <w:rPr>
          <w:rStyle w:val="29"/>
          <w:rFonts w:ascii="Times New Roman" w:hAnsi="Times New Roman" w:eastAsia="黑体"/>
          <w:b w:val="0"/>
          <w:highlight w:val="none"/>
        </w:rPr>
      </w:pPr>
      <w:bookmarkStart w:id="38" w:name="_Toc15377221"/>
      <w:bookmarkStart w:id="39" w:name="_Toc15396612"/>
      <w:r>
        <w:rPr>
          <w:rStyle w:val="29"/>
          <w:rFonts w:hint="eastAsia" w:ascii="Times New Roman" w:hAnsi="Times New Roman" w:eastAsia="黑体"/>
          <w:b w:val="0"/>
          <w:highlight w:val="none"/>
        </w:rPr>
        <w:t>十、其他重要事项的情况说明</w:t>
      </w:r>
      <w:bookmarkEnd w:id="38"/>
      <w:bookmarkEnd w:id="39"/>
    </w:p>
    <w:p w14:paraId="3AF85C96">
      <w:pPr>
        <w:spacing w:line="600" w:lineRule="exact"/>
        <w:ind w:firstLine="643" w:firstLineChars="200"/>
        <w:outlineLvl w:val="2"/>
        <w:rPr>
          <w:rFonts w:eastAsia="楷体_GB2312" w:cs="楷体_GB2312"/>
          <w:b/>
          <w:sz w:val="32"/>
          <w:szCs w:val="32"/>
          <w:highlight w:val="none"/>
        </w:rPr>
      </w:pPr>
      <w:bookmarkStart w:id="40" w:name="_Toc15377222"/>
      <w:r>
        <w:rPr>
          <w:rFonts w:hint="eastAsia" w:eastAsia="楷体_GB2312" w:cs="楷体_GB2312"/>
          <w:b/>
          <w:sz w:val="32"/>
          <w:szCs w:val="32"/>
          <w:highlight w:val="none"/>
        </w:rPr>
        <w:t>（一）机关运行经费支出情况</w:t>
      </w:r>
      <w:bookmarkEnd w:id="40"/>
    </w:p>
    <w:p w14:paraId="48EC506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中国共产党攀枝花市仁和区纪律检查委员会</w:t>
      </w:r>
      <w:r>
        <w:rPr>
          <w:rFonts w:hint="eastAsia" w:eastAsia="仿宋_GB2312" w:cs="仿宋_GB2312"/>
          <w:sz w:val="32"/>
          <w:szCs w:val="32"/>
          <w:highlight w:val="none"/>
        </w:rPr>
        <w:t>机关运行经费支出</w:t>
      </w:r>
      <w:r>
        <w:rPr>
          <w:rFonts w:hint="eastAsia" w:ascii="仿宋_GB2312" w:hAnsi="仿宋_GB2312" w:eastAsia="仿宋_GB2312" w:cs="仿宋_GB2312"/>
          <w:sz w:val="32"/>
          <w:szCs w:val="32"/>
          <w:highlight w:val="none"/>
        </w:rPr>
        <w:t>180.17</w:t>
      </w:r>
      <w:r>
        <w:rPr>
          <w:rFonts w:hint="eastAsia" w:eastAsia="仿宋_GB2312" w:cs="仿宋_GB2312"/>
          <w:sz w:val="32"/>
          <w:szCs w:val="32"/>
          <w:highlight w:val="none"/>
        </w:rPr>
        <w:t>万元，比上年度增加21.85万元，增长13.8%。主要原因是</w:t>
      </w:r>
      <w:r>
        <w:rPr>
          <w:rFonts w:eastAsia="仿宋_GB2312" w:cs="仿宋_GB2312"/>
          <w:sz w:val="32"/>
          <w:szCs w:val="32"/>
          <w:highlight w:val="none"/>
        </w:rPr>
        <w:t>本年度公用经费增多</w:t>
      </w:r>
      <w:r>
        <w:rPr>
          <w:rFonts w:hint="eastAsia" w:eastAsia="仿宋_GB2312" w:cs="仿宋_GB2312"/>
          <w:sz w:val="32"/>
          <w:szCs w:val="32"/>
          <w:highlight w:val="none"/>
        </w:rPr>
        <w:t>。</w:t>
      </w:r>
    </w:p>
    <w:p w14:paraId="0E57B14B">
      <w:pPr>
        <w:spacing w:line="600" w:lineRule="exact"/>
        <w:ind w:firstLine="643" w:firstLineChars="200"/>
        <w:outlineLvl w:val="2"/>
        <w:rPr>
          <w:rFonts w:eastAsia="楷体_GB2312" w:cs="楷体_GB2312"/>
          <w:b/>
          <w:sz w:val="32"/>
          <w:szCs w:val="32"/>
          <w:highlight w:val="none"/>
        </w:rPr>
      </w:pPr>
      <w:bookmarkStart w:id="41" w:name="_Toc15377223"/>
      <w:r>
        <w:rPr>
          <w:rFonts w:hint="eastAsia" w:eastAsia="楷体_GB2312" w:cs="楷体_GB2312"/>
          <w:b/>
          <w:sz w:val="32"/>
          <w:szCs w:val="32"/>
          <w:highlight w:val="none"/>
        </w:rPr>
        <w:t>（二）政府采购支出情况</w:t>
      </w:r>
      <w:bookmarkEnd w:id="41"/>
    </w:p>
    <w:p w14:paraId="53116005">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2025年度，</w:t>
      </w:r>
      <w:r>
        <w:rPr>
          <w:rFonts w:hint="eastAsia" w:ascii="仿宋_GB2312" w:hAnsi="仿宋_GB2312" w:eastAsia="仿宋_GB2312" w:cs="仿宋_GB2312"/>
          <w:sz w:val="32"/>
          <w:szCs w:val="32"/>
          <w:highlight w:val="none"/>
        </w:rPr>
        <w:t>中国共产党攀枝花市仁和区纪律检查委员会</w:t>
      </w:r>
      <w:r>
        <w:rPr>
          <w:rFonts w:hint="eastAsia" w:eastAsia="仿宋_GB2312" w:cs="仿宋_GB2312"/>
          <w:sz w:val="32"/>
          <w:szCs w:val="32"/>
          <w:highlight w:val="none"/>
        </w:rPr>
        <w:t>政府采购支出总额</w:t>
      </w:r>
      <w:r>
        <w:rPr>
          <w:rFonts w:hint="eastAsia" w:ascii="仿宋_GB2312" w:hAnsi="仿宋_GB2312" w:eastAsia="仿宋_GB2312" w:cs="仿宋_GB2312"/>
          <w:sz w:val="32"/>
          <w:szCs w:val="32"/>
          <w:highlight w:val="none"/>
        </w:rPr>
        <w:t>10.57</w:t>
      </w:r>
      <w:r>
        <w:rPr>
          <w:rFonts w:hint="eastAsia" w:eastAsia="仿宋_GB2312" w:cs="仿宋_GB2312"/>
          <w:sz w:val="32"/>
          <w:szCs w:val="32"/>
          <w:highlight w:val="none"/>
        </w:rPr>
        <w:t>万元，其中：政府采购货物支出</w:t>
      </w:r>
      <w:r>
        <w:rPr>
          <w:rFonts w:hint="eastAsia" w:ascii="仿宋_GB2312" w:hAnsi="仿宋_GB2312" w:eastAsia="仿宋_GB2312" w:cs="仿宋_GB2312"/>
          <w:sz w:val="32"/>
          <w:szCs w:val="32"/>
          <w:highlight w:val="none"/>
        </w:rPr>
        <w:t>2.11</w:t>
      </w:r>
      <w:r>
        <w:rPr>
          <w:rFonts w:hint="eastAsia" w:eastAsia="仿宋_GB2312" w:cs="仿宋_GB2312"/>
          <w:sz w:val="32"/>
          <w:szCs w:val="32"/>
          <w:highlight w:val="none"/>
        </w:rPr>
        <w:t>万元、政府采购工程支出</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万元、政府采购服务支出</w:t>
      </w:r>
      <w:r>
        <w:rPr>
          <w:rFonts w:hint="eastAsia" w:ascii="仿宋_GB2312" w:hAnsi="仿宋_GB2312" w:eastAsia="仿宋_GB2312" w:cs="仿宋_GB2312"/>
          <w:sz w:val="32"/>
          <w:szCs w:val="32"/>
          <w:highlight w:val="none"/>
        </w:rPr>
        <w:t>8.46</w:t>
      </w:r>
      <w:r>
        <w:rPr>
          <w:rFonts w:hint="eastAsia" w:eastAsia="仿宋_GB2312" w:cs="仿宋_GB2312"/>
          <w:sz w:val="32"/>
          <w:szCs w:val="32"/>
          <w:highlight w:val="none"/>
        </w:rPr>
        <w:t>万元</w:t>
      </w:r>
      <w:r>
        <w:rPr>
          <w:rFonts w:hint="eastAsia" w:eastAsia="仿宋_GB2312" w:cs="仿宋_GB2312"/>
          <w:sz w:val="32"/>
          <w:szCs w:val="32"/>
          <w:highlight w:val="none"/>
          <w:lang w:eastAsia="zh-CN"/>
        </w:rPr>
        <w:t>，</w:t>
      </w:r>
      <w:r>
        <w:rPr>
          <w:rFonts w:hint="eastAsia" w:eastAsia="仿宋_GB2312" w:cs="仿宋_GB2312"/>
          <w:color w:val="auto"/>
          <w:sz w:val="32"/>
          <w:szCs w:val="32"/>
          <w:highlight w:val="none"/>
        </w:rPr>
        <w:t>主要</w:t>
      </w:r>
      <w:r>
        <w:rPr>
          <w:rFonts w:hint="eastAsia" w:eastAsia="仿宋_GB2312" w:cs="仿宋_GB2312"/>
          <w:color w:val="auto"/>
          <w:sz w:val="32"/>
          <w:szCs w:val="32"/>
          <w:highlight w:val="none"/>
          <w:lang w:eastAsia="zh-CN"/>
        </w:rPr>
        <w:t>是六辆公务车购买保险、油料和车辆维修费</w:t>
      </w:r>
      <w:r>
        <w:rPr>
          <w:rFonts w:hint="eastAsia" w:eastAsia="仿宋_GB2312" w:cs="仿宋_GB2312"/>
          <w:sz w:val="32"/>
          <w:szCs w:val="32"/>
          <w:highlight w:val="none"/>
        </w:rPr>
        <w:t>。授予中小企业合同金额</w:t>
      </w:r>
      <w:r>
        <w:rPr>
          <w:rFonts w:hint="eastAsia" w:ascii="仿宋_GB2312" w:hAnsi="仿宋_GB2312" w:eastAsia="仿宋_GB2312" w:cs="仿宋_GB2312"/>
          <w:sz w:val="32"/>
          <w:szCs w:val="32"/>
          <w:highlight w:val="none"/>
        </w:rPr>
        <w:t>2.11</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19.99</w:t>
      </w:r>
      <w:r>
        <w:rPr>
          <w:rFonts w:hint="eastAsia" w:eastAsia="仿宋_GB2312" w:cs="仿宋_GB2312"/>
          <w:sz w:val="32"/>
          <w:szCs w:val="32"/>
          <w:highlight w:val="none"/>
        </w:rPr>
        <w:t>%，其中：授予小微企业合同金额</w:t>
      </w:r>
      <w:r>
        <w:rPr>
          <w:rFonts w:hint="eastAsia" w:ascii="仿宋_GB2312" w:hAnsi="仿宋_GB2312" w:eastAsia="仿宋_GB2312" w:cs="仿宋_GB2312"/>
          <w:sz w:val="32"/>
          <w:szCs w:val="32"/>
          <w:highlight w:val="none"/>
        </w:rPr>
        <w:t>2.11</w:t>
      </w:r>
      <w:r>
        <w:rPr>
          <w:rFonts w:hint="eastAsia" w:eastAsia="仿宋_GB2312" w:cs="仿宋_GB2312"/>
          <w:sz w:val="32"/>
          <w:szCs w:val="32"/>
          <w:highlight w:val="none"/>
        </w:rPr>
        <w:t>万元，占政府采购支出总额的</w:t>
      </w:r>
      <w:r>
        <w:rPr>
          <w:rFonts w:hint="eastAsia" w:ascii="仿宋_GB2312" w:hAnsi="仿宋_GB2312" w:eastAsia="仿宋_GB2312" w:cs="仿宋_GB2312"/>
          <w:sz w:val="32"/>
          <w:szCs w:val="32"/>
          <w:highlight w:val="none"/>
        </w:rPr>
        <w:t>19.99</w:t>
      </w:r>
      <w:r>
        <w:rPr>
          <w:rFonts w:hint="eastAsia" w:eastAsia="仿宋_GB2312" w:cs="仿宋_GB2312"/>
          <w:sz w:val="32"/>
          <w:szCs w:val="32"/>
          <w:highlight w:val="none"/>
        </w:rPr>
        <w:t>%。</w:t>
      </w:r>
    </w:p>
    <w:p w14:paraId="264E3125">
      <w:pPr>
        <w:spacing w:line="600" w:lineRule="exact"/>
        <w:ind w:firstLine="640"/>
        <w:rPr>
          <w:rFonts w:eastAsia="仿宋_GB2312" w:cs="仿宋_GB2312"/>
          <w:sz w:val="32"/>
          <w:szCs w:val="32"/>
          <w:highlight w:val="none"/>
        </w:rPr>
      </w:pPr>
    </w:p>
    <w:p w14:paraId="6C55B835">
      <w:pPr>
        <w:spacing w:line="600" w:lineRule="exact"/>
        <w:ind w:firstLine="643" w:firstLineChars="200"/>
        <w:outlineLvl w:val="2"/>
        <w:rPr>
          <w:rFonts w:eastAsia="楷体_GB2312" w:cs="楷体_GB2312"/>
          <w:b/>
          <w:sz w:val="32"/>
          <w:szCs w:val="32"/>
          <w:highlight w:val="none"/>
        </w:rPr>
      </w:pPr>
      <w:bookmarkStart w:id="42" w:name="_Toc15377224"/>
      <w:r>
        <w:rPr>
          <w:rFonts w:hint="eastAsia" w:eastAsia="楷体_GB2312" w:cs="楷体_GB2312"/>
          <w:b/>
          <w:sz w:val="32"/>
          <w:szCs w:val="32"/>
          <w:highlight w:val="none"/>
        </w:rPr>
        <w:t>（三）国有资产占有使用情况</w:t>
      </w:r>
      <w:bookmarkEnd w:id="42"/>
    </w:p>
    <w:p w14:paraId="7078C87E">
      <w:pPr>
        <w:spacing w:line="600" w:lineRule="exact"/>
        <w:ind w:firstLine="640"/>
        <w:rPr>
          <w:rFonts w:eastAsia="仿宋_GB2312" w:cs="仿宋_GB2312"/>
          <w:sz w:val="32"/>
          <w:szCs w:val="32"/>
          <w:highlight w:val="none"/>
        </w:rPr>
      </w:pPr>
      <w:r>
        <w:rPr>
          <w:rFonts w:hint="eastAsia" w:eastAsia="仿宋_GB2312" w:cs="仿宋_GB2312"/>
          <w:sz w:val="32"/>
          <w:szCs w:val="32"/>
          <w:highlight w:val="none"/>
        </w:rPr>
        <w:t>截至2025年12月31日，</w:t>
      </w:r>
      <w:r>
        <w:rPr>
          <w:rFonts w:hint="eastAsia" w:ascii="仿宋_GB2312" w:hAnsi="仿宋_GB2312" w:eastAsia="仿宋_GB2312" w:cs="仿宋_GB2312"/>
          <w:sz w:val="32"/>
          <w:szCs w:val="32"/>
          <w:highlight w:val="none"/>
        </w:rPr>
        <w:t>中国共产党攀枝花市仁和区纪律检查委员会</w:t>
      </w:r>
      <w:r>
        <w:rPr>
          <w:rFonts w:hint="eastAsia" w:eastAsia="仿宋_GB2312" w:cs="仿宋_GB2312"/>
          <w:sz w:val="32"/>
          <w:szCs w:val="32"/>
          <w:highlight w:val="none"/>
        </w:rPr>
        <w:t>共有车辆</w:t>
      </w:r>
      <w:r>
        <w:rPr>
          <w:rFonts w:hint="eastAsia" w:ascii="仿宋_GB2312" w:hAnsi="仿宋_GB2312" w:eastAsia="仿宋_GB2312" w:cs="仿宋_GB2312"/>
          <w:sz w:val="32"/>
          <w:szCs w:val="32"/>
          <w:highlight w:val="none"/>
        </w:rPr>
        <w:t>6</w:t>
      </w:r>
      <w:r>
        <w:rPr>
          <w:rFonts w:hint="eastAsia" w:eastAsia="仿宋_GB2312" w:cs="仿宋_GB2312"/>
          <w:sz w:val="32"/>
          <w:szCs w:val="32"/>
          <w:highlight w:val="none"/>
        </w:rPr>
        <w:t>辆，其中：副部（省）级及以上领导用车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辆、主要负责人用车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辆、机要通信用车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辆、应急保障用车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辆、执法执勤用车</w:t>
      </w:r>
      <w:r>
        <w:rPr>
          <w:rFonts w:hint="eastAsia" w:ascii="仿宋_GB2312" w:hAnsi="仿宋_GB2312" w:eastAsia="仿宋_GB2312" w:cs="仿宋_GB2312"/>
          <w:sz w:val="32"/>
          <w:szCs w:val="32"/>
          <w:highlight w:val="none"/>
        </w:rPr>
        <w:t>6</w:t>
      </w:r>
      <w:r>
        <w:rPr>
          <w:rFonts w:hint="eastAsia" w:eastAsia="仿宋_GB2312" w:cs="仿宋_GB2312"/>
          <w:sz w:val="32"/>
          <w:szCs w:val="32"/>
          <w:highlight w:val="none"/>
        </w:rPr>
        <w:t>辆、特种专业技术用车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辆、离退休干部服务用车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辆、其他用车</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辆。单价100万元（含）以上设备（不含车辆）</w:t>
      </w:r>
      <w:r>
        <w:rPr>
          <w:rFonts w:hint="eastAsia" w:ascii="仿宋_GB2312" w:hAnsi="仿宋_GB2312" w:eastAsia="仿宋_GB2312" w:cs="仿宋_GB2312"/>
          <w:sz w:val="32"/>
          <w:szCs w:val="32"/>
          <w:highlight w:val="none"/>
        </w:rPr>
        <w:t>0</w:t>
      </w:r>
      <w:r>
        <w:rPr>
          <w:rFonts w:hint="eastAsia" w:eastAsia="仿宋_GB2312" w:cs="仿宋_GB2312"/>
          <w:sz w:val="32"/>
          <w:szCs w:val="32"/>
          <w:highlight w:val="none"/>
        </w:rPr>
        <w:t>台（套）。</w:t>
      </w:r>
    </w:p>
    <w:p w14:paraId="0B8677D1">
      <w:pPr>
        <w:spacing w:line="600" w:lineRule="exact"/>
        <w:ind w:firstLine="640"/>
        <w:rPr>
          <w:rFonts w:eastAsia="仿宋_GB2312" w:cs="仿宋_GB2312"/>
          <w:sz w:val="32"/>
          <w:szCs w:val="32"/>
          <w:highlight w:val="none"/>
        </w:rPr>
      </w:pPr>
    </w:p>
    <w:p w14:paraId="5CFEB060">
      <w:pPr>
        <w:spacing w:line="600" w:lineRule="exact"/>
        <w:ind w:firstLine="643" w:firstLineChars="200"/>
        <w:outlineLvl w:val="2"/>
        <w:rPr>
          <w:rFonts w:eastAsia="楷体_GB2312" w:cs="楷体_GB2312"/>
          <w:b/>
          <w:sz w:val="32"/>
          <w:szCs w:val="32"/>
          <w:highlight w:val="none"/>
        </w:rPr>
      </w:pPr>
      <w:r>
        <w:rPr>
          <w:rFonts w:hint="eastAsia" w:eastAsia="楷体_GB2312" w:cs="楷体_GB2312"/>
          <w:b/>
          <w:sz w:val="32"/>
          <w:szCs w:val="32"/>
          <w:highlight w:val="none"/>
        </w:rPr>
        <w:t>（四）预算绩效管理情况</w:t>
      </w:r>
    </w:p>
    <w:p w14:paraId="0A6B03F6">
      <w:pPr>
        <w:spacing w:line="600" w:lineRule="exact"/>
        <w:ind w:firstLine="640"/>
        <w:rPr>
          <w:rFonts w:eastAsia="仿宋_GB2312" w:cs="仿宋_GB2312"/>
          <w:sz w:val="32"/>
          <w:szCs w:val="32"/>
        </w:rPr>
      </w:pPr>
      <w:r>
        <w:rPr>
          <w:rFonts w:hint="eastAsia" w:eastAsia="仿宋_GB2312" w:cs="仿宋_GB2312"/>
          <w:sz w:val="32"/>
          <w:szCs w:val="32"/>
          <w:highlight w:val="none"/>
        </w:rPr>
        <w:t>根据预算绩效管理要求，</w:t>
      </w:r>
      <w:r>
        <w:rPr>
          <w:rFonts w:hint="eastAsia" w:eastAsia="仿宋_GB2312" w:cs="仿宋_GB2312"/>
          <w:sz w:val="32"/>
          <w:szCs w:val="32"/>
          <w:highlight w:val="none"/>
          <w:lang w:eastAsia="zh-CN"/>
        </w:rPr>
        <w:t>仁和区纪委</w:t>
      </w:r>
      <w:r>
        <w:rPr>
          <w:rFonts w:hint="eastAsia" w:eastAsia="仿宋_GB2312" w:cs="仿宋_GB2312"/>
          <w:sz w:val="32"/>
          <w:szCs w:val="32"/>
          <w:highlight w:val="none"/>
        </w:rPr>
        <w:t>在2025年度，组织</w:t>
      </w:r>
      <w:r>
        <w:rPr>
          <w:rFonts w:hint="eastAsia" w:eastAsia="仿宋_GB2312" w:cs="仿宋_GB2312"/>
          <w:sz w:val="32"/>
          <w:szCs w:val="32"/>
        </w:rPr>
        <w:t>对</w:t>
      </w:r>
      <w:r>
        <w:rPr>
          <w:rFonts w:hint="eastAsia" w:eastAsia="仿宋_GB2312" w:cs="仿宋_GB2312"/>
          <w:sz w:val="32"/>
          <w:szCs w:val="32"/>
          <w:lang w:val="en-US" w:eastAsia="zh-CN"/>
        </w:rPr>
        <w:t>办案、党风廉政建设和巡察专项经费</w:t>
      </w:r>
      <w:r>
        <w:rPr>
          <w:rFonts w:hint="eastAsia" w:eastAsia="仿宋_GB2312" w:cs="仿宋_GB2312"/>
          <w:sz w:val="32"/>
          <w:szCs w:val="32"/>
        </w:rPr>
        <w:t>等</w:t>
      </w:r>
      <w:r>
        <w:rPr>
          <w:rFonts w:hint="eastAsia" w:eastAsia="仿宋_GB2312" w:cs="仿宋_GB2312"/>
          <w:sz w:val="32"/>
          <w:szCs w:val="32"/>
          <w:lang w:val="en-US" w:eastAsia="zh-CN"/>
        </w:rPr>
        <w:t>5</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办案、党风廉政建设和巡察专项经费</w:t>
      </w:r>
      <w:r>
        <w:rPr>
          <w:rFonts w:hint="eastAsia" w:eastAsia="仿宋_GB2312" w:cs="仿宋_GB2312"/>
          <w:sz w:val="32"/>
          <w:szCs w:val="32"/>
        </w:rPr>
        <w:t>等</w:t>
      </w:r>
      <w:r>
        <w:rPr>
          <w:rFonts w:hint="eastAsia" w:eastAsia="仿宋_GB2312" w:cs="仿宋_GB2312"/>
          <w:sz w:val="32"/>
          <w:szCs w:val="32"/>
          <w:lang w:val="en-US" w:eastAsia="zh-CN"/>
        </w:rPr>
        <w:t>5</w:t>
      </w:r>
      <w:r>
        <w:rPr>
          <w:rFonts w:hint="eastAsia" w:eastAsia="仿宋_GB2312" w:cs="仿宋_GB2312"/>
          <w:sz w:val="32"/>
          <w:szCs w:val="32"/>
        </w:rPr>
        <w:t>个项目编制了绩效目标</w:t>
      </w:r>
      <w:r>
        <w:rPr>
          <w:rFonts w:hint="eastAsia" w:eastAsia="仿宋_GB2312" w:cs="仿宋_GB2312"/>
          <w:sz w:val="32"/>
          <w:szCs w:val="32"/>
          <w:lang w:eastAsia="zh-CN"/>
        </w:rPr>
        <w:t>，在</w:t>
      </w:r>
      <w:r>
        <w:rPr>
          <w:rFonts w:hint="eastAsia" w:eastAsia="仿宋_GB2312" w:cs="仿宋_GB2312"/>
          <w:sz w:val="32"/>
          <w:szCs w:val="32"/>
        </w:rPr>
        <w:t>预算执行过程中，</w:t>
      </w:r>
      <w:r>
        <w:rPr>
          <w:rFonts w:hint="eastAsia" w:eastAsia="仿宋_GB2312" w:cs="仿宋_GB2312"/>
          <w:sz w:val="32"/>
          <w:szCs w:val="32"/>
          <w:lang w:eastAsia="zh-CN"/>
        </w:rPr>
        <w:t>对</w:t>
      </w:r>
      <w:r>
        <w:rPr>
          <w:rFonts w:hint="eastAsia" w:eastAsia="仿宋_GB2312" w:cs="仿宋_GB2312"/>
          <w:sz w:val="32"/>
          <w:szCs w:val="32"/>
          <w:lang w:val="en-US" w:eastAsia="zh-CN"/>
        </w:rPr>
        <w:t>3</w:t>
      </w:r>
      <w:r>
        <w:rPr>
          <w:rFonts w:hint="eastAsia" w:eastAsia="仿宋_GB2312" w:cs="仿宋_GB2312"/>
          <w:sz w:val="32"/>
          <w:szCs w:val="32"/>
        </w:rPr>
        <w:t>个项目开展绩效监控。</w:t>
      </w:r>
    </w:p>
    <w:p w14:paraId="4FE873C1">
      <w:pPr>
        <w:spacing w:line="600" w:lineRule="exact"/>
        <w:ind w:firstLine="640"/>
        <w:rPr>
          <w:rFonts w:eastAsia="仿宋_GB2312" w:cs="仿宋_GB2312"/>
          <w:sz w:val="32"/>
          <w:szCs w:val="32"/>
        </w:rPr>
      </w:pPr>
      <w:r>
        <w:rPr>
          <w:rFonts w:hint="eastAsia" w:eastAsia="仿宋_GB2312" w:cs="仿宋_GB2312"/>
          <w:sz w:val="32"/>
          <w:szCs w:val="32"/>
          <w:highlight w:val="none"/>
        </w:rPr>
        <w:t>组织对2025年度一般公共预算、政府性基金预算、国有资本经营预算、社会保险基金预算以及资本资产、债券资</w:t>
      </w:r>
      <w:r>
        <w:rPr>
          <w:rFonts w:hint="eastAsia" w:eastAsia="仿宋_GB2312" w:cs="仿宋_GB2312"/>
          <w:sz w:val="32"/>
          <w:szCs w:val="32"/>
        </w:rPr>
        <w:t>金等全面开展绩效自评，形成</w:t>
      </w:r>
      <w:r>
        <w:rPr>
          <w:rFonts w:hint="eastAsia" w:eastAsia="仿宋_GB2312" w:cs="仿宋_GB2312"/>
          <w:sz w:val="32"/>
          <w:szCs w:val="32"/>
          <w:lang w:eastAsia="zh-CN"/>
        </w:rPr>
        <w:t>仁和区纪委</w:t>
      </w:r>
      <w:r>
        <w:rPr>
          <w:rFonts w:hint="eastAsia" w:eastAsia="仿宋_GB2312" w:cs="仿宋_GB2312"/>
          <w:sz w:val="32"/>
          <w:szCs w:val="32"/>
        </w:rPr>
        <w:t>整体（含部门预算项目）绩效自评报告、</w:t>
      </w:r>
      <w:r>
        <w:rPr>
          <w:rFonts w:hint="eastAsia" w:eastAsia="仿宋_GB2312" w:cs="仿宋_GB2312"/>
          <w:sz w:val="32"/>
          <w:szCs w:val="32"/>
          <w:lang w:val="en-US" w:eastAsia="zh-CN"/>
        </w:rPr>
        <w:t>办案、党风廉政建设和巡察专项经费</w:t>
      </w:r>
      <w:r>
        <w:rPr>
          <w:rFonts w:hint="eastAsia" w:eastAsia="仿宋_GB2312" w:cs="仿宋_GB2312"/>
          <w:sz w:val="32"/>
          <w:szCs w:val="32"/>
        </w:rPr>
        <w:t>项目绩效自评报告，其中，</w:t>
      </w:r>
      <w:r>
        <w:rPr>
          <w:rFonts w:hint="eastAsia" w:eastAsia="仿宋_GB2312" w:cs="仿宋_GB2312"/>
          <w:sz w:val="32"/>
          <w:szCs w:val="32"/>
          <w:lang w:eastAsia="zh-CN"/>
        </w:rPr>
        <w:t>区纪委</w:t>
      </w:r>
      <w:r>
        <w:rPr>
          <w:rFonts w:hint="eastAsia" w:eastAsia="仿宋_GB2312" w:cs="仿宋_GB2312"/>
          <w:sz w:val="32"/>
          <w:szCs w:val="32"/>
        </w:rPr>
        <w:t>部门整体（含部门预算项目）绩效自评得分为</w:t>
      </w:r>
      <w:r>
        <w:rPr>
          <w:rFonts w:hint="eastAsia" w:eastAsia="仿宋_GB2312" w:cs="仿宋_GB2312"/>
          <w:sz w:val="32"/>
          <w:szCs w:val="32"/>
          <w:lang w:val="en-US" w:eastAsia="zh-CN"/>
        </w:rPr>
        <w:t>96</w:t>
      </w:r>
      <w:r>
        <w:rPr>
          <w:rFonts w:hint="eastAsia" w:eastAsia="仿宋_GB2312" w:cs="仿宋_GB2312"/>
          <w:sz w:val="32"/>
          <w:szCs w:val="32"/>
        </w:rPr>
        <w:t>分，绩效自评综述</w:t>
      </w:r>
      <w:r>
        <w:rPr>
          <w:rFonts w:hint="eastAsia" w:eastAsia="仿宋_GB2312" w:cs="仿宋_GB2312"/>
          <w:sz w:val="32"/>
          <w:szCs w:val="32"/>
          <w:lang w:eastAsia="zh-CN"/>
        </w:rPr>
        <w:t>完成较好</w:t>
      </w:r>
      <w:r>
        <w:rPr>
          <w:rFonts w:hint="eastAsia" w:eastAsia="仿宋_GB2312" w:cs="仿宋_GB2312"/>
          <w:sz w:val="32"/>
          <w:szCs w:val="32"/>
        </w:rPr>
        <w:t>；</w:t>
      </w:r>
      <w:r>
        <w:rPr>
          <w:rFonts w:hint="eastAsia" w:eastAsia="仿宋_GB2312" w:cs="仿宋_GB2312"/>
          <w:sz w:val="32"/>
          <w:szCs w:val="32"/>
          <w:lang w:val="en-US" w:eastAsia="zh-CN"/>
        </w:rPr>
        <w:t>办案、党风廉政建设和巡察</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95</w:t>
      </w:r>
      <w:r>
        <w:rPr>
          <w:rFonts w:hint="eastAsia" w:eastAsia="仿宋_GB2312" w:cs="仿宋_GB2312"/>
          <w:sz w:val="32"/>
          <w:szCs w:val="32"/>
        </w:rPr>
        <w:t>分，绩效自评综述</w:t>
      </w:r>
      <w:r>
        <w:rPr>
          <w:rFonts w:hint="eastAsia" w:eastAsia="仿宋_GB2312" w:cs="仿宋_GB2312"/>
          <w:sz w:val="32"/>
          <w:szCs w:val="32"/>
          <w:lang w:eastAsia="zh-CN"/>
        </w:rPr>
        <w:t>完成较好</w:t>
      </w:r>
      <w:r>
        <w:rPr>
          <w:rFonts w:hint="eastAsia" w:eastAsia="仿宋_GB2312" w:cs="仿宋_GB2312"/>
          <w:sz w:val="32"/>
          <w:szCs w:val="32"/>
        </w:rPr>
        <w:t>。绩效自评报告详见附件。</w:t>
      </w:r>
    </w:p>
    <w:p w14:paraId="1ADA5B06">
      <w:pPr>
        <w:spacing w:line="600" w:lineRule="exact"/>
        <w:ind w:firstLine="640"/>
        <w:rPr>
          <w:rFonts w:eastAsia="仿宋_GB2312" w:cs="仿宋_GB2312"/>
          <w:sz w:val="32"/>
          <w:szCs w:val="32"/>
        </w:rPr>
      </w:pPr>
    </w:p>
    <w:p w14:paraId="6E71046F">
      <w:pPr>
        <w:spacing w:line="600" w:lineRule="exact"/>
        <w:jc w:val="center"/>
        <w:outlineLvl w:val="0"/>
        <w:rPr>
          <w:rFonts w:eastAsia="黑体"/>
          <w:sz w:val="44"/>
          <w:szCs w:val="44"/>
        </w:rPr>
      </w:pPr>
      <w:bookmarkStart w:id="43" w:name="_Toc15377225"/>
      <w:bookmarkStart w:id="44" w:name="_Toc15396613"/>
      <w:r>
        <w:rPr>
          <w:rFonts w:hint="eastAsia" w:eastAsia="黑体"/>
          <w:sz w:val="44"/>
          <w:szCs w:val="44"/>
        </w:rPr>
        <w:t>第三部分  名词解释</w:t>
      </w:r>
      <w:bookmarkEnd w:id="43"/>
      <w:bookmarkEnd w:id="44"/>
    </w:p>
    <w:p w14:paraId="796383C5">
      <w:pPr>
        <w:spacing w:line="600" w:lineRule="exact"/>
        <w:jc w:val="left"/>
        <w:rPr>
          <w:b/>
          <w:sz w:val="44"/>
          <w:szCs w:val="44"/>
        </w:rPr>
      </w:pPr>
    </w:p>
    <w:p w14:paraId="2C1BA0BC">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042AA380">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50622F19">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1B564C8C">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693B6F8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2F594400">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751A907">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CA1018B">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1E9DABAD">
      <w:pPr>
        <w:spacing w:line="576" w:lineRule="exact"/>
        <w:ind w:firstLine="640"/>
        <w:rPr>
          <w:rFonts w:hint="eastAsia" w:ascii="仿宋_GB2312" w:hAnsi="Cambria" w:eastAsia="仿宋_GB2312" w:cs="仿宋_GB2312"/>
          <w:color w:val="000000"/>
          <w:sz w:val="32"/>
          <w:szCs w:val="32"/>
        </w:rPr>
      </w:pPr>
      <w:bookmarkStart w:id="45" w:name="_Toc15377226"/>
      <w:r>
        <w:rPr>
          <w:rFonts w:hint="eastAsia" w:ascii="仿宋_GB2312" w:hAnsi="Cambria" w:eastAsia="仿宋_GB2312" w:cs="仿宋_GB2312"/>
          <w:color w:val="000000"/>
          <w:sz w:val="32"/>
          <w:szCs w:val="32"/>
        </w:rPr>
        <w:t>9. 一般公共服务支出（类）</w:t>
      </w:r>
      <w:r>
        <w:rPr>
          <w:rFonts w:hint="eastAsia" w:ascii="仿宋_GB2312" w:hAnsi="Cambria" w:eastAsia="仿宋_GB2312" w:cs="仿宋_GB2312"/>
          <w:color w:val="000000"/>
          <w:sz w:val="32"/>
          <w:szCs w:val="32"/>
          <w:lang w:val="en-US" w:eastAsia="zh-CN"/>
        </w:rPr>
        <w:t>人大事务（款）</w:t>
      </w:r>
      <w:r>
        <w:rPr>
          <w:rFonts w:hint="eastAsia" w:ascii="仿宋_GB2312" w:hAnsi="Cambria" w:eastAsia="仿宋_GB2312" w:cs="仿宋_GB2312"/>
          <w:color w:val="000000"/>
          <w:sz w:val="32"/>
          <w:szCs w:val="32"/>
        </w:rPr>
        <w:t>行政运行（项）：反映行政单位（包括实行公务员管理的事业单位）的基本支出。</w:t>
      </w:r>
    </w:p>
    <w:p w14:paraId="192034AE">
      <w:pPr>
        <w:spacing w:line="576" w:lineRule="exact"/>
        <w:ind w:firstLine="640"/>
        <w:rPr>
          <w:rFonts w:hint="eastAsia" w:ascii="仿宋_GB2312" w:hAnsi="Cambria" w:eastAsia="仿宋_GB2312" w:cs="仿宋_GB2312"/>
          <w:color w:val="000000"/>
          <w:sz w:val="32"/>
          <w:szCs w:val="32"/>
        </w:rPr>
      </w:pPr>
      <w:r>
        <w:rPr>
          <w:rFonts w:hint="eastAsia" w:ascii="仿宋_GB2312" w:hAnsi="Cambria" w:eastAsia="仿宋_GB2312" w:cs="仿宋_GB2312"/>
          <w:color w:val="000000"/>
          <w:sz w:val="32"/>
          <w:szCs w:val="32"/>
          <w:lang w:val="en-US" w:eastAsia="zh-CN"/>
        </w:rPr>
        <w:t>10.</w:t>
      </w:r>
      <w:r>
        <w:rPr>
          <w:rFonts w:hint="eastAsia" w:ascii="仿宋_GB2312" w:hAnsi="Cambria" w:eastAsia="仿宋_GB2312" w:cs="仿宋_GB2312"/>
          <w:color w:val="000000"/>
          <w:sz w:val="32"/>
          <w:szCs w:val="32"/>
        </w:rPr>
        <w:t>一般公共服务支出（类）</w:t>
      </w:r>
      <w:r>
        <w:rPr>
          <w:rFonts w:hint="eastAsia" w:ascii="仿宋_GB2312" w:hAnsi="Cambria" w:eastAsia="仿宋_GB2312" w:cs="仿宋_GB2312"/>
          <w:color w:val="000000"/>
          <w:sz w:val="32"/>
          <w:szCs w:val="32"/>
          <w:lang w:val="en-US" w:eastAsia="zh-CN"/>
        </w:rPr>
        <w:t>纪检监察事务（款）</w:t>
      </w:r>
      <w:r>
        <w:rPr>
          <w:rFonts w:hint="eastAsia" w:ascii="仿宋_GB2312" w:hAnsi="Cambria" w:eastAsia="仿宋_GB2312" w:cs="仿宋_GB2312"/>
          <w:color w:val="000000"/>
          <w:sz w:val="32"/>
          <w:szCs w:val="32"/>
        </w:rPr>
        <w:t>行政运行（项）：反映行政单位（包括实行公务员管理的事业单位）的基本支出。</w:t>
      </w:r>
    </w:p>
    <w:p w14:paraId="39897FA5">
      <w:pPr>
        <w:pStyle w:val="2"/>
        <w:ind w:firstLine="640" w:firstLineChars="200"/>
        <w:rPr>
          <w:rFonts w:hint="eastAsia" w:ascii="仿宋_GB2312" w:hAnsi="Cambria" w:eastAsia="仿宋_GB2312" w:cs="仿宋_GB2312"/>
          <w:color w:val="000000"/>
          <w:sz w:val="32"/>
          <w:szCs w:val="32"/>
          <w:lang w:val="en-US" w:eastAsia="zh-CN"/>
        </w:rPr>
      </w:pPr>
      <w:r>
        <w:rPr>
          <w:rFonts w:hint="eastAsia" w:ascii="仿宋_GB2312" w:hAnsi="Cambria" w:eastAsia="仿宋_GB2312" w:cs="仿宋_GB2312"/>
          <w:color w:val="000000"/>
          <w:sz w:val="32"/>
          <w:szCs w:val="32"/>
          <w:lang w:val="en-US" w:eastAsia="zh-CN"/>
        </w:rPr>
        <w:t>11.一般公共服务支出（类）纪检监察事务（款）</w:t>
      </w:r>
      <w:r>
        <w:rPr>
          <w:rFonts w:hint="eastAsia" w:ascii="仿宋_GB2312" w:hAnsi="Cambria" w:eastAsia="仿宋_GB2312" w:cs="仿宋_GB2312"/>
          <w:color w:val="000000"/>
          <w:sz w:val="32"/>
          <w:szCs w:val="32"/>
          <w:lang w:eastAsia="zh-CN"/>
        </w:rPr>
        <w:t>一般行政管理事务</w:t>
      </w:r>
      <w:r>
        <w:rPr>
          <w:rFonts w:hint="eastAsia" w:ascii="仿宋_GB2312" w:hAnsi="Cambria" w:eastAsia="仿宋_GB2312" w:cs="仿宋_GB2312"/>
          <w:color w:val="000000"/>
          <w:sz w:val="32"/>
          <w:szCs w:val="32"/>
        </w:rPr>
        <w:t>（项）：反映行政单位（包括实行公务员管理的事业单位）</w:t>
      </w:r>
      <w:r>
        <w:rPr>
          <w:rFonts w:hint="eastAsia" w:ascii="仿宋_GB2312" w:hAnsi="Cambria" w:eastAsia="仿宋_GB2312" w:cs="仿宋_GB2312"/>
          <w:color w:val="000000"/>
          <w:sz w:val="32"/>
          <w:szCs w:val="32"/>
          <w:lang w:eastAsia="zh-CN"/>
        </w:rPr>
        <w:t>未单独设置项级科目的其他项目支出。</w:t>
      </w:r>
    </w:p>
    <w:p w14:paraId="2C523EE9">
      <w:pPr>
        <w:pStyle w:val="2"/>
        <w:ind w:firstLine="640" w:firstLineChars="200"/>
        <w:rPr>
          <w:rFonts w:hint="eastAsia" w:ascii="仿宋_GB2312" w:hAnsi="Cambria" w:eastAsia="仿宋_GB2312" w:cs="仿宋_GB2312"/>
          <w:color w:val="000000"/>
          <w:sz w:val="32"/>
          <w:szCs w:val="32"/>
          <w:lang w:eastAsia="zh-CN"/>
        </w:rPr>
      </w:pPr>
      <w:r>
        <w:rPr>
          <w:rFonts w:hint="eastAsia" w:ascii="仿宋_GB2312" w:hAnsi="Cambria" w:eastAsia="仿宋_GB2312" w:cs="仿宋_GB2312"/>
          <w:color w:val="000000"/>
          <w:sz w:val="32"/>
          <w:szCs w:val="32"/>
          <w:lang w:val="en-US" w:eastAsia="zh-CN"/>
        </w:rPr>
        <w:t>12.一般公共服务支出（类）纪检监察事务（款）</w:t>
      </w:r>
      <w:r>
        <w:rPr>
          <w:rFonts w:hint="eastAsia" w:ascii="仿宋_GB2312" w:hAnsi="Cambria" w:eastAsia="仿宋_GB2312" w:cs="仿宋_GB2312"/>
          <w:color w:val="000000"/>
          <w:sz w:val="32"/>
          <w:szCs w:val="32"/>
          <w:lang w:eastAsia="zh-CN"/>
        </w:rPr>
        <w:t>事业运行</w:t>
      </w:r>
      <w:r>
        <w:rPr>
          <w:rFonts w:hint="eastAsia" w:ascii="仿宋_GB2312" w:hAnsi="Cambria" w:eastAsia="仿宋_GB2312" w:cs="仿宋_GB2312"/>
          <w:color w:val="000000"/>
          <w:sz w:val="32"/>
          <w:szCs w:val="32"/>
        </w:rPr>
        <w:t>（项）：反映</w:t>
      </w:r>
      <w:r>
        <w:rPr>
          <w:rFonts w:hint="eastAsia" w:ascii="仿宋_GB2312" w:hAnsi="Cambria" w:eastAsia="仿宋_GB2312" w:cs="仿宋_GB2312"/>
          <w:color w:val="000000"/>
          <w:sz w:val="32"/>
          <w:szCs w:val="32"/>
          <w:lang w:eastAsia="zh-CN"/>
        </w:rPr>
        <w:t>事业单位的基本支出，不包括</w:t>
      </w:r>
      <w:r>
        <w:rPr>
          <w:rFonts w:hint="eastAsia" w:ascii="仿宋_GB2312" w:hAnsi="Cambria" w:eastAsia="仿宋_GB2312" w:cs="仿宋_GB2312"/>
          <w:color w:val="000000"/>
          <w:sz w:val="32"/>
          <w:szCs w:val="32"/>
        </w:rPr>
        <w:t>行政单位（包括实行公务员管理的事业单位）</w:t>
      </w:r>
      <w:r>
        <w:rPr>
          <w:rFonts w:hint="eastAsia" w:ascii="仿宋_GB2312" w:hAnsi="Cambria" w:eastAsia="仿宋_GB2312" w:cs="仿宋_GB2312"/>
          <w:color w:val="000000"/>
          <w:sz w:val="32"/>
          <w:szCs w:val="32"/>
          <w:lang w:eastAsia="zh-CN"/>
        </w:rPr>
        <w:t>后勤服务中心、医务室等附属事业单位。</w:t>
      </w:r>
    </w:p>
    <w:p w14:paraId="3B738541">
      <w:pPr>
        <w:pStyle w:val="2"/>
        <w:ind w:firstLine="640" w:firstLineChars="200"/>
        <w:rPr>
          <w:rFonts w:hint="eastAsia" w:ascii="仿宋_GB2312" w:hAnsi="Cambria" w:eastAsia="仿宋_GB2312" w:cs="仿宋_GB2312"/>
          <w:color w:val="000000"/>
          <w:sz w:val="32"/>
          <w:szCs w:val="32"/>
          <w:lang w:val="en-US" w:eastAsia="zh-CN"/>
        </w:rPr>
      </w:pPr>
      <w:r>
        <w:rPr>
          <w:rFonts w:hint="eastAsia" w:ascii="仿宋_GB2312" w:hAnsi="Cambria" w:eastAsia="仿宋_GB2312" w:cs="仿宋_GB2312"/>
          <w:color w:val="000000"/>
          <w:sz w:val="32"/>
          <w:szCs w:val="32"/>
          <w:lang w:val="en-US" w:eastAsia="zh-CN"/>
        </w:rPr>
        <w:t>13.一般公共服务支出（类）纪检监察事务（款）其他纪检监察事务支出</w:t>
      </w:r>
      <w:r>
        <w:rPr>
          <w:rFonts w:hint="eastAsia" w:ascii="仿宋_GB2312" w:hAnsi="Cambria" w:eastAsia="仿宋_GB2312" w:cs="仿宋_GB2312"/>
          <w:color w:val="000000"/>
          <w:sz w:val="32"/>
          <w:szCs w:val="32"/>
        </w:rPr>
        <w:t>（项）：</w:t>
      </w:r>
      <w:r>
        <w:rPr>
          <w:rFonts w:hint="eastAsia" w:ascii="仿宋_GB2312" w:hAnsi="Cambria" w:eastAsia="仿宋_GB2312" w:cs="仿宋_GB2312"/>
          <w:color w:val="000000"/>
          <w:sz w:val="32"/>
          <w:szCs w:val="32"/>
          <w:lang w:eastAsia="zh-CN"/>
        </w:rPr>
        <w:t>反映除上述项目以外</w:t>
      </w:r>
      <w:r>
        <w:rPr>
          <w:rFonts w:hint="eastAsia" w:ascii="仿宋_GB2312" w:hAnsi="Cambria" w:eastAsia="仿宋_GB2312" w:cs="仿宋_GB2312"/>
          <w:color w:val="000000"/>
          <w:sz w:val="32"/>
          <w:szCs w:val="32"/>
          <w:lang w:val="en-US" w:eastAsia="zh-CN"/>
        </w:rPr>
        <w:t>其他纪检监察事务方面的支出。</w:t>
      </w:r>
    </w:p>
    <w:p w14:paraId="08883C8B">
      <w:pPr>
        <w:pStyle w:val="2"/>
        <w:ind w:firstLine="640" w:firstLineChars="200"/>
        <w:rPr>
          <w:rFonts w:hint="eastAsia" w:ascii="仿宋_GB2312" w:hAnsi="Cambria" w:eastAsia="仿宋_GB2312" w:cs="仿宋_GB2312"/>
          <w:color w:val="000000"/>
          <w:sz w:val="32"/>
          <w:szCs w:val="32"/>
        </w:rPr>
      </w:pPr>
      <w:r>
        <w:rPr>
          <w:rFonts w:hint="eastAsia" w:ascii="仿宋_GB2312" w:hAnsi="Cambria" w:eastAsia="仿宋_GB2312" w:cs="仿宋_GB2312"/>
          <w:color w:val="000000"/>
          <w:sz w:val="32"/>
          <w:szCs w:val="32"/>
          <w:lang w:val="en-US" w:eastAsia="zh-CN"/>
        </w:rPr>
        <w:t>14.</w:t>
      </w:r>
      <w:r>
        <w:rPr>
          <w:rFonts w:hint="eastAsia" w:ascii="仿宋_GB2312" w:hAnsi="Cambria" w:eastAsia="仿宋_GB2312" w:cs="仿宋_GB2312"/>
          <w:color w:val="000000"/>
          <w:sz w:val="32"/>
          <w:szCs w:val="32"/>
        </w:rPr>
        <w:t>社会保障和就业</w:t>
      </w:r>
      <w:r>
        <w:rPr>
          <w:rFonts w:hint="eastAsia" w:ascii="仿宋_GB2312" w:hAnsi="Cambria" w:eastAsia="仿宋_GB2312" w:cs="仿宋_GB2312"/>
          <w:color w:val="000000"/>
          <w:sz w:val="32"/>
          <w:szCs w:val="32"/>
          <w:lang w:eastAsia="zh-CN"/>
        </w:rPr>
        <w:t>支出（类）</w:t>
      </w:r>
      <w:r>
        <w:rPr>
          <w:rFonts w:hint="eastAsia" w:ascii="仿宋_GB2312" w:hAnsi="Cambria" w:eastAsia="仿宋_GB2312" w:cs="仿宋_GB2312"/>
          <w:color w:val="000000"/>
          <w:sz w:val="32"/>
          <w:szCs w:val="32"/>
        </w:rPr>
        <w:t>行政事业单位养老支出（款）行政单位离退休（项）：反映行政单位（包括实行公务员管理的事业单位）开支的离退休</w:t>
      </w:r>
      <w:r>
        <w:rPr>
          <w:rFonts w:hint="eastAsia" w:ascii="仿宋_GB2312" w:hAnsi="Cambria" w:eastAsia="仿宋_GB2312" w:cs="仿宋_GB2312"/>
          <w:color w:val="000000"/>
          <w:sz w:val="32"/>
          <w:szCs w:val="32"/>
          <w:lang w:eastAsia="zh-CN"/>
        </w:rPr>
        <w:t>经费</w:t>
      </w:r>
      <w:r>
        <w:rPr>
          <w:rFonts w:hint="eastAsia" w:ascii="仿宋_GB2312" w:hAnsi="Cambria" w:eastAsia="仿宋_GB2312" w:cs="仿宋_GB2312"/>
          <w:color w:val="000000"/>
          <w:sz w:val="32"/>
          <w:szCs w:val="32"/>
        </w:rPr>
        <w:t>。</w:t>
      </w:r>
    </w:p>
    <w:p w14:paraId="33F0C2C9">
      <w:pPr>
        <w:pStyle w:val="2"/>
        <w:ind w:firstLine="640" w:firstLineChars="200"/>
        <w:rPr>
          <w:rFonts w:hint="eastAsia" w:ascii="仿宋_GB2312" w:hAnsi="Cambria" w:eastAsia="仿宋_GB2312" w:cs="仿宋_GB2312"/>
          <w:color w:val="000000"/>
          <w:sz w:val="32"/>
          <w:szCs w:val="32"/>
        </w:rPr>
      </w:pPr>
      <w:r>
        <w:rPr>
          <w:rFonts w:hint="eastAsia" w:ascii="仿宋_GB2312" w:hAnsi="Cambria" w:eastAsia="仿宋_GB2312" w:cs="仿宋_GB2312"/>
          <w:color w:val="000000"/>
          <w:sz w:val="32"/>
          <w:szCs w:val="32"/>
          <w:lang w:val="en-US" w:eastAsia="zh-CN"/>
        </w:rPr>
        <w:t>15.</w:t>
      </w:r>
      <w:r>
        <w:rPr>
          <w:rFonts w:hint="eastAsia" w:ascii="仿宋_GB2312" w:hAnsi="Cambria" w:eastAsia="仿宋_GB2312" w:cs="仿宋_GB2312"/>
          <w:color w:val="000000"/>
          <w:sz w:val="32"/>
          <w:szCs w:val="32"/>
        </w:rPr>
        <w:t>社会保障和就业</w:t>
      </w:r>
      <w:r>
        <w:rPr>
          <w:rFonts w:hint="eastAsia" w:ascii="仿宋_GB2312" w:hAnsi="Cambria" w:eastAsia="仿宋_GB2312" w:cs="仿宋_GB2312"/>
          <w:color w:val="000000"/>
          <w:sz w:val="32"/>
          <w:szCs w:val="32"/>
          <w:lang w:eastAsia="zh-CN"/>
        </w:rPr>
        <w:t>支出（类）</w:t>
      </w:r>
      <w:r>
        <w:rPr>
          <w:rFonts w:hint="eastAsia" w:ascii="仿宋_GB2312" w:hAnsi="Cambria" w:eastAsia="仿宋_GB2312" w:cs="仿宋_GB2312"/>
          <w:color w:val="000000"/>
          <w:sz w:val="32"/>
          <w:szCs w:val="32"/>
        </w:rPr>
        <w:t>行政事业单位养老支出（款）机关事业单位基本养老保险缴费支出（项）：</w:t>
      </w:r>
      <w:r>
        <w:rPr>
          <w:rFonts w:hint="eastAsia" w:ascii="仿宋_GB2312" w:hAnsi="Cambria" w:eastAsia="仿宋_GB2312" w:cs="仿宋_GB2312"/>
          <w:color w:val="000000"/>
          <w:sz w:val="32"/>
          <w:szCs w:val="32"/>
          <w:lang w:eastAsia="zh-CN"/>
        </w:rPr>
        <w:t>反映</w:t>
      </w:r>
      <w:r>
        <w:rPr>
          <w:rFonts w:hint="eastAsia" w:ascii="仿宋_GB2312" w:hAnsi="Cambria" w:eastAsia="仿宋_GB2312" w:cs="仿宋_GB2312"/>
          <w:color w:val="000000"/>
          <w:sz w:val="32"/>
          <w:szCs w:val="32"/>
        </w:rPr>
        <w:t>机关事业单位</w:t>
      </w:r>
      <w:r>
        <w:rPr>
          <w:rFonts w:hint="eastAsia" w:ascii="仿宋_GB2312" w:hAnsi="Cambria" w:eastAsia="仿宋_GB2312" w:cs="仿宋_GB2312"/>
          <w:color w:val="000000"/>
          <w:sz w:val="32"/>
          <w:szCs w:val="32"/>
          <w:lang w:eastAsia="zh-CN"/>
        </w:rPr>
        <w:t>实施养老保险制度由单位实际缴纳的</w:t>
      </w:r>
      <w:r>
        <w:rPr>
          <w:rFonts w:hint="eastAsia" w:ascii="仿宋_GB2312" w:hAnsi="Cambria" w:eastAsia="仿宋_GB2312" w:cs="仿宋_GB2312"/>
          <w:color w:val="000000"/>
          <w:sz w:val="32"/>
          <w:szCs w:val="32"/>
        </w:rPr>
        <w:t>基本养老保险费支出。</w:t>
      </w:r>
    </w:p>
    <w:p w14:paraId="1C28A4AA">
      <w:pPr>
        <w:pStyle w:val="2"/>
        <w:ind w:firstLine="640" w:firstLineChars="200"/>
        <w:rPr>
          <w:rFonts w:hint="eastAsia" w:ascii="仿宋_GB2312" w:hAnsi="Cambria" w:eastAsia="仿宋_GB2312" w:cs="仿宋_GB2312"/>
          <w:color w:val="000000"/>
          <w:sz w:val="32"/>
          <w:szCs w:val="32"/>
        </w:rPr>
      </w:pPr>
      <w:r>
        <w:rPr>
          <w:rFonts w:hint="eastAsia" w:ascii="仿宋_GB2312" w:hAnsi="Cambria" w:eastAsia="仿宋_GB2312" w:cs="仿宋_GB2312"/>
          <w:color w:val="000000"/>
          <w:sz w:val="32"/>
          <w:szCs w:val="32"/>
          <w:lang w:val="en-US" w:eastAsia="zh-CN"/>
        </w:rPr>
        <w:t>16.</w:t>
      </w:r>
      <w:r>
        <w:rPr>
          <w:rFonts w:hint="eastAsia" w:ascii="仿宋_GB2312" w:hAnsi="Cambria" w:eastAsia="仿宋_GB2312" w:cs="仿宋_GB2312"/>
          <w:color w:val="000000"/>
          <w:sz w:val="32"/>
          <w:szCs w:val="32"/>
        </w:rPr>
        <w:t>社会保障和就业</w:t>
      </w:r>
      <w:r>
        <w:rPr>
          <w:rFonts w:hint="eastAsia" w:ascii="仿宋_GB2312" w:hAnsi="Cambria" w:eastAsia="仿宋_GB2312" w:cs="仿宋_GB2312"/>
          <w:color w:val="000000"/>
          <w:sz w:val="32"/>
          <w:szCs w:val="32"/>
          <w:lang w:eastAsia="zh-CN"/>
        </w:rPr>
        <w:t>支出（类）</w:t>
      </w:r>
      <w:r>
        <w:rPr>
          <w:rFonts w:hint="eastAsia" w:ascii="仿宋_GB2312" w:hAnsi="Cambria" w:eastAsia="仿宋_GB2312" w:cs="仿宋_GB2312"/>
          <w:color w:val="000000"/>
          <w:sz w:val="32"/>
          <w:szCs w:val="32"/>
        </w:rPr>
        <w:t>行政事业单位养老支出（款）机关事业单位</w:t>
      </w:r>
      <w:r>
        <w:rPr>
          <w:rFonts w:hint="eastAsia" w:ascii="仿宋_GB2312" w:hAnsi="Cambria" w:eastAsia="仿宋_GB2312" w:cs="仿宋_GB2312"/>
          <w:color w:val="000000"/>
          <w:sz w:val="32"/>
          <w:szCs w:val="32"/>
          <w:lang w:eastAsia="zh-CN"/>
        </w:rPr>
        <w:t>职业年金</w:t>
      </w:r>
      <w:r>
        <w:rPr>
          <w:rFonts w:hint="eastAsia" w:ascii="仿宋_GB2312" w:hAnsi="Cambria" w:eastAsia="仿宋_GB2312" w:cs="仿宋_GB2312"/>
          <w:color w:val="000000"/>
          <w:sz w:val="32"/>
          <w:szCs w:val="32"/>
        </w:rPr>
        <w:t>缴费支出（项）：</w:t>
      </w:r>
      <w:r>
        <w:rPr>
          <w:rFonts w:hint="eastAsia" w:ascii="仿宋_GB2312" w:hAnsi="Cambria" w:eastAsia="仿宋_GB2312" w:cs="仿宋_GB2312"/>
          <w:color w:val="000000"/>
          <w:sz w:val="32"/>
          <w:szCs w:val="32"/>
          <w:lang w:eastAsia="zh-CN"/>
        </w:rPr>
        <w:t>反映</w:t>
      </w:r>
      <w:r>
        <w:rPr>
          <w:rFonts w:hint="eastAsia" w:ascii="仿宋_GB2312" w:hAnsi="Cambria" w:eastAsia="仿宋_GB2312" w:cs="仿宋_GB2312"/>
          <w:color w:val="000000"/>
          <w:sz w:val="32"/>
          <w:szCs w:val="32"/>
        </w:rPr>
        <w:t>机关事业单位</w:t>
      </w:r>
      <w:r>
        <w:rPr>
          <w:rFonts w:hint="eastAsia" w:ascii="仿宋_GB2312" w:hAnsi="Cambria" w:eastAsia="仿宋_GB2312" w:cs="仿宋_GB2312"/>
          <w:color w:val="000000"/>
          <w:sz w:val="32"/>
          <w:szCs w:val="32"/>
          <w:lang w:eastAsia="zh-CN"/>
        </w:rPr>
        <w:t>实施养老保险制度由单位实际缴纳的职业年金</w:t>
      </w:r>
      <w:r>
        <w:rPr>
          <w:rFonts w:hint="eastAsia" w:ascii="仿宋_GB2312" w:hAnsi="Cambria" w:eastAsia="仿宋_GB2312" w:cs="仿宋_GB2312"/>
          <w:color w:val="000000"/>
          <w:sz w:val="32"/>
          <w:szCs w:val="32"/>
        </w:rPr>
        <w:t>支出。</w:t>
      </w:r>
    </w:p>
    <w:p w14:paraId="656DC427">
      <w:pPr>
        <w:pStyle w:val="2"/>
        <w:ind w:firstLine="640" w:firstLineChars="200"/>
        <w:rPr>
          <w:rFonts w:hint="eastAsia" w:ascii="仿宋_GB2312" w:hAnsi="Cambria" w:eastAsia="仿宋_GB2312" w:cs="仿宋_GB2312"/>
          <w:color w:val="000000"/>
          <w:sz w:val="32"/>
          <w:szCs w:val="32"/>
          <w:lang w:val="en-US" w:eastAsia="zh-CN"/>
        </w:rPr>
      </w:pPr>
      <w:r>
        <w:rPr>
          <w:rFonts w:hint="eastAsia" w:ascii="仿宋_GB2312" w:hAnsi="Cambria" w:eastAsia="仿宋_GB2312" w:cs="仿宋_GB2312"/>
          <w:color w:val="000000"/>
          <w:sz w:val="32"/>
          <w:szCs w:val="32"/>
          <w:lang w:val="en-US" w:eastAsia="zh-CN"/>
        </w:rPr>
        <w:t>17.卫生健康支出（类）行政事业单位医疗（款）行政单位医疗（项）：反映财政部门安排的行政单位（</w:t>
      </w:r>
      <w:r>
        <w:rPr>
          <w:rFonts w:hint="eastAsia" w:ascii="仿宋_GB2312" w:hAnsi="Cambria" w:eastAsia="仿宋_GB2312" w:cs="仿宋_GB2312"/>
          <w:color w:val="000000"/>
          <w:sz w:val="32"/>
          <w:szCs w:val="32"/>
        </w:rPr>
        <w:t>包括实行公务员管理的事业单位</w:t>
      </w:r>
      <w:r>
        <w:rPr>
          <w:rFonts w:hint="eastAsia" w:ascii="仿宋_GB2312" w:hAnsi="Cambria" w:eastAsia="仿宋_GB2312" w:cs="仿宋_GB2312"/>
          <w:color w:val="000000"/>
          <w:sz w:val="32"/>
          <w:szCs w:val="32"/>
          <w:lang w:val="en-US" w:eastAsia="zh-CN"/>
        </w:rPr>
        <w:t>）基本医疗保险缴费经费，未参加医疗保险的行政单位的公费医疗经费。</w:t>
      </w:r>
    </w:p>
    <w:p w14:paraId="4C2D2E43">
      <w:pPr>
        <w:pStyle w:val="2"/>
        <w:ind w:firstLine="640" w:firstLineChars="200"/>
        <w:rPr>
          <w:rFonts w:hint="eastAsia" w:ascii="仿宋_GB2312" w:hAnsi="Cambria" w:eastAsia="仿宋_GB2312" w:cs="仿宋_GB2312"/>
          <w:color w:val="000000"/>
          <w:sz w:val="32"/>
          <w:szCs w:val="32"/>
          <w:lang w:val="en-US" w:eastAsia="zh-CN"/>
        </w:rPr>
      </w:pPr>
      <w:r>
        <w:rPr>
          <w:rFonts w:hint="eastAsia" w:ascii="仿宋_GB2312" w:hAnsi="Cambria" w:eastAsia="仿宋_GB2312" w:cs="仿宋_GB2312"/>
          <w:color w:val="000000"/>
          <w:sz w:val="32"/>
          <w:szCs w:val="32"/>
          <w:lang w:val="en-US" w:eastAsia="zh-CN"/>
        </w:rPr>
        <w:t>18.卫生健康支出（类）行政事业单位医疗（款）事业单位医疗（项）：反映财政部门安排的事业单位基本医疗保险缴费经费，未参加医疗保险的事业单位的公费医疗经费。</w:t>
      </w:r>
    </w:p>
    <w:p w14:paraId="3E80DCB2">
      <w:pPr>
        <w:pStyle w:val="2"/>
        <w:ind w:firstLine="640" w:firstLineChars="200"/>
        <w:rPr>
          <w:rFonts w:hint="eastAsia" w:ascii="仿宋_GB2312" w:hAnsi="Cambria" w:eastAsia="仿宋_GB2312" w:cs="仿宋_GB2312"/>
          <w:color w:val="000000"/>
          <w:sz w:val="32"/>
          <w:szCs w:val="32"/>
          <w:lang w:val="en-US" w:eastAsia="zh-CN"/>
        </w:rPr>
      </w:pPr>
      <w:r>
        <w:rPr>
          <w:rFonts w:hint="eastAsia" w:ascii="仿宋_GB2312" w:hAnsi="Cambria" w:eastAsia="仿宋_GB2312" w:cs="仿宋_GB2312"/>
          <w:color w:val="000000"/>
          <w:sz w:val="32"/>
          <w:szCs w:val="32"/>
          <w:lang w:val="en-US" w:eastAsia="zh-CN"/>
        </w:rPr>
        <w:t>19.卫生健康支出（类）行政事业单位医疗（款）公务员医疗补助（项）：反映财政部门安排的公务员医疗补助经费。</w:t>
      </w:r>
    </w:p>
    <w:p w14:paraId="7C5592EF">
      <w:pPr>
        <w:spacing w:line="576" w:lineRule="exact"/>
        <w:ind w:firstLine="640"/>
        <w:rPr>
          <w:rFonts w:hint="eastAsia" w:ascii="仿宋_GB2312" w:hAnsi="Cambria" w:eastAsia="仿宋_GB2312" w:cs="仿宋_GB2312"/>
          <w:color w:val="000000"/>
          <w:sz w:val="32"/>
          <w:szCs w:val="32"/>
        </w:rPr>
      </w:pPr>
      <w:r>
        <w:rPr>
          <w:rFonts w:hint="eastAsia" w:ascii="仿宋_GB2312" w:hAnsi="Cambria" w:eastAsia="仿宋_GB2312" w:cs="仿宋_GB2312"/>
          <w:color w:val="000000"/>
          <w:sz w:val="32"/>
          <w:szCs w:val="32"/>
          <w:lang w:val="en-US" w:eastAsia="zh-CN"/>
        </w:rPr>
        <w:t>20</w:t>
      </w:r>
      <w:r>
        <w:rPr>
          <w:rFonts w:hint="eastAsia" w:ascii="仿宋_GB2312" w:hAnsi="Cambria" w:eastAsia="仿宋_GB2312" w:cs="仿宋_GB2312"/>
          <w:color w:val="000000"/>
          <w:sz w:val="32"/>
          <w:szCs w:val="32"/>
        </w:rPr>
        <w:t>.住房保障支出</w:t>
      </w:r>
      <w:r>
        <w:rPr>
          <w:rFonts w:hint="eastAsia" w:ascii="仿宋_GB2312" w:hAnsi="Cambria" w:eastAsia="仿宋_GB2312" w:cs="仿宋_GB2312"/>
          <w:color w:val="000000"/>
          <w:sz w:val="32"/>
          <w:szCs w:val="32"/>
          <w:lang w:val="en-US" w:eastAsia="zh-CN"/>
        </w:rPr>
        <w:t>（类）住房改革支出（款）住房公积金（项）：反映行政事业单位按人力资源和社会保障部、财政部规定的基本工资和津贴补贴以及规定比例为职工缴纳的住房公积金。</w:t>
      </w:r>
    </w:p>
    <w:p w14:paraId="4AF1D05E">
      <w:pPr>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282E40A0">
      <w:pPr>
        <w:ind w:firstLine="640" w:firstLineChars="200"/>
        <w:rPr>
          <w:rFonts w:ascii="仿宋_GB2312" w:eastAsia="仿宋_GB2312"/>
          <w:sz w:val="32"/>
          <w:szCs w:val="32"/>
        </w:rPr>
      </w:pPr>
      <w:r>
        <w:rPr>
          <w:rFonts w:hint="eastAsia" w:ascii="仿宋_GB2312" w:eastAsia="仿宋_GB2312"/>
          <w:sz w:val="32"/>
          <w:szCs w:val="32"/>
          <w:lang w:val="en-US" w:eastAsia="zh-CN"/>
        </w:rPr>
        <w:t>22</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0A42B5EA">
      <w:pPr>
        <w:pStyle w:val="2"/>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23</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87DE7D">
      <w:pPr>
        <w:pStyle w:val="2"/>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24</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费、印刷费、水费、电费、邮电费、物业管理费、差旅费、维修（护）费、租赁费、会议费、培训费、公务接待费、劳务费、工会经费、公务用车运行维护费、其他购置等。交通费、其他商品和服务支出、办公设备购置、专用设备</w:t>
      </w:r>
      <w:r>
        <w:rPr>
          <w:rFonts w:hint="eastAsia" w:ascii="仿宋_GB2312" w:eastAsia="仿宋_GB2312"/>
          <w:color w:val="auto"/>
          <w:sz w:val="32"/>
          <w:szCs w:val="32"/>
          <w:lang w:eastAsia="zh-CN"/>
        </w:rPr>
        <w:t>购置等。</w:t>
      </w:r>
    </w:p>
    <w:p w14:paraId="7B2FC2A0">
      <w:pPr>
        <w:spacing w:line="600" w:lineRule="exact"/>
        <w:jc w:val="center"/>
        <w:rPr>
          <w:rStyle w:val="28"/>
          <w:rFonts w:eastAsia="黑体"/>
          <w:b w:val="0"/>
        </w:rPr>
      </w:pPr>
      <w:r>
        <w:rPr>
          <w:rFonts w:hint="eastAsia" w:eastAsia="仿宋_GB2312" w:cs="仿宋_GB2312"/>
          <w:sz w:val="32"/>
          <w:szCs w:val="32"/>
        </w:rPr>
        <w:br w:type="page"/>
      </w:r>
      <w:bookmarkStart w:id="46" w:name="_Toc15396614"/>
      <w:r>
        <w:rPr>
          <w:rFonts w:hint="eastAsia" w:eastAsia="黑体"/>
          <w:sz w:val="44"/>
          <w:szCs w:val="44"/>
        </w:rPr>
        <w:t>第四部分  附件</w:t>
      </w:r>
      <w:bookmarkEnd w:id="46"/>
    </w:p>
    <w:p w14:paraId="226870E8">
      <w:pPr>
        <w:spacing w:line="572" w:lineRule="exact"/>
        <w:jc w:val="left"/>
        <w:outlineLvl w:val="0"/>
        <w:rPr>
          <w:rFonts w:eastAsia="黑体" w:cs="方正小标宋简体"/>
          <w:sz w:val="44"/>
          <w:szCs w:val="44"/>
        </w:rPr>
      </w:pPr>
      <w:r>
        <w:rPr>
          <w:rFonts w:hint="eastAsia" w:eastAsia="黑体" w:cs="黑体"/>
          <w:sz w:val="32"/>
          <w:szCs w:val="32"/>
        </w:rPr>
        <w:t>附件1</w:t>
      </w:r>
    </w:p>
    <w:p w14:paraId="08429603">
      <w:pPr>
        <w:widowControl/>
        <w:spacing w:line="578" w:lineRule="exact"/>
        <w:contextualSpacing/>
        <w:jc w:val="center"/>
        <w:rPr>
          <w:rFonts w:eastAsia="方正小标宋简体"/>
          <w:bCs/>
          <w:sz w:val="44"/>
          <w:szCs w:val="44"/>
          <w:shd w:val="clear" w:color="auto" w:fill="FFFFFF"/>
        </w:rPr>
      </w:pPr>
    </w:p>
    <w:p w14:paraId="3898E2EF">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2EB30908">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265D0390">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0C240E91">
      <w:pPr>
        <w:spacing w:line="580" w:lineRule="exact"/>
        <w:ind w:firstLine="645"/>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ascii="仿宋_GB2312" w:eastAsia="仿宋_GB2312"/>
          <w:sz w:val="32"/>
          <w:szCs w:val="32"/>
        </w:rPr>
        <w:t>仁和区纪委监委合署办公，内部机构共设</w:t>
      </w:r>
      <w:r>
        <w:rPr>
          <w:rFonts w:hint="eastAsia" w:ascii="仿宋_GB2312" w:hAnsi="仿宋" w:eastAsia="仿宋_GB2312"/>
          <w:sz w:val="32"/>
          <w:szCs w:val="32"/>
          <w:lang w:val="en-US" w:eastAsia="zh-CN"/>
        </w:rPr>
        <w:t>11</w:t>
      </w:r>
      <w:r>
        <w:rPr>
          <w:rFonts w:hint="eastAsia" w:ascii="仿宋_GB2312" w:hAnsi="仿宋" w:eastAsia="仿宋_GB2312"/>
          <w:sz w:val="32"/>
          <w:szCs w:val="32"/>
        </w:rPr>
        <w:t>室2部1中心</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9个派驻纪检组</w:t>
      </w:r>
      <w:r>
        <w:rPr>
          <w:rFonts w:hint="eastAsia" w:ascii="仿宋_GB2312" w:eastAsia="仿宋_GB2312"/>
          <w:sz w:val="32"/>
          <w:szCs w:val="32"/>
        </w:rPr>
        <w:t>。</w:t>
      </w:r>
    </w:p>
    <w:p w14:paraId="59F8F113">
      <w:pPr>
        <w:numPr>
          <w:ilvl w:val="0"/>
          <w:numId w:val="0"/>
        </w:numPr>
        <w:spacing w:line="560" w:lineRule="exact"/>
        <w:ind w:firstLine="643" w:firstLineChars="200"/>
        <w:rPr>
          <w:rFonts w:ascii="Times New Roman" w:hAnsi="Times New Roman"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eastAsia="仿宋_GB2312"/>
          <w:color w:val="000000"/>
          <w:sz w:val="32"/>
          <w:szCs w:val="32"/>
        </w:rPr>
        <w:t>中共攀枝花市仁和区纪委和攀枝花市仁和区监委合署办公，履行党的纪律检查和政府监察职能，主管全区党的纪律检查和公职人员监督监察工作。</w:t>
      </w:r>
    </w:p>
    <w:p w14:paraId="06F087FC">
      <w:pPr>
        <w:numPr>
          <w:ilvl w:val="0"/>
          <w:numId w:val="0"/>
        </w:numPr>
        <w:spacing w:line="580" w:lineRule="exact"/>
        <w:ind w:left="0" w:leftChars="0" w:firstLine="643"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lang w:eastAsia="zh-CN"/>
        </w:rPr>
        <w:t>仁和区纪委</w:t>
      </w:r>
      <w:r>
        <w:rPr>
          <w:rFonts w:eastAsia="仿宋_GB2312"/>
          <w:sz w:val="32"/>
          <w:szCs w:val="32"/>
        </w:rPr>
        <w:t>及下属单位</w:t>
      </w:r>
      <w:r>
        <w:rPr>
          <w:rFonts w:hint="eastAsia" w:ascii="仿宋_GB2312" w:eastAsia="仿宋_GB2312"/>
          <w:sz w:val="32"/>
          <w:szCs w:val="32"/>
        </w:rPr>
        <w:t>编制总人数共7</w:t>
      </w:r>
      <w:r>
        <w:rPr>
          <w:rFonts w:hint="eastAsia" w:ascii="仿宋_GB2312" w:eastAsia="仿宋_GB2312"/>
          <w:sz w:val="32"/>
          <w:szCs w:val="32"/>
          <w:lang w:val="en-US" w:eastAsia="zh-CN"/>
        </w:rPr>
        <w:t>1</w:t>
      </w:r>
      <w:r>
        <w:rPr>
          <w:rFonts w:hint="eastAsia" w:ascii="仿宋_GB2312" w:eastAsia="仿宋_GB2312"/>
          <w:sz w:val="32"/>
          <w:szCs w:val="32"/>
        </w:rPr>
        <w:t>人。其中：行政编制6</w:t>
      </w:r>
      <w:r>
        <w:rPr>
          <w:rFonts w:hint="eastAsia" w:ascii="仿宋_GB2312" w:eastAsia="仿宋_GB2312"/>
          <w:sz w:val="32"/>
          <w:szCs w:val="32"/>
          <w:lang w:val="en-US" w:eastAsia="zh-CN"/>
        </w:rPr>
        <w:t>2</w:t>
      </w:r>
      <w:r>
        <w:rPr>
          <w:rFonts w:hint="eastAsia" w:ascii="仿宋_GB2312" w:eastAsia="仿宋_GB2312"/>
          <w:sz w:val="32"/>
          <w:szCs w:val="32"/>
        </w:rPr>
        <w:t>人、事业编制4人，</w:t>
      </w:r>
      <w:r>
        <w:rPr>
          <w:rFonts w:hint="eastAsia" w:ascii="仿宋_GB2312" w:eastAsia="仿宋_GB2312"/>
          <w:sz w:val="32"/>
          <w:szCs w:val="32"/>
          <w:lang w:eastAsia="zh-CN"/>
        </w:rPr>
        <w:t>年末</w:t>
      </w:r>
      <w:r>
        <w:rPr>
          <w:rFonts w:hint="eastAsia" w:ascii="仿宋_GB2312" w:eastAsia="仿宋_GB2312"/>
          <w:sz w:val="32"/>
          <w:szCs w:val="32"/>
        </w:rPr>
        <w:t>实有在职人数为</w:t>
      </w:r>
      <w:r>
        <w:rPr>
          <w:rFonts w:hint="eastAsia" w:ascii="仿宋_GB2312" w:eastAsia="仿宋_GB2312"/>
          <w:sz w:val="32"/>
          <w:szCs w:val="32"/>
          <w:lang w:val="en-US" w:eastAsia="zh-CN"/>
        </w:rPr>
        <w:t>66</w:t>
      </w:r>
      <w:r>
        <w:rPr>
          <w:rFonts w:hint="eastAsia" w:ascii="仿宋_GB2312" w:eastAsia="仿宋_GB2312"/>
          <w:sz w:val="32"/>
          <w:szCs w:val="32"/>
        </w:rPr>
        <w:t>人。</w:t>
      </w:r>
    </w:p>
    <w:p w14:paraId="204A6671">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4BA83093">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cs="仿宋_GB2312"/>
          <w:sz w:val="32"/>
          <w:szCs w:val="32"/>
          <w:lang w:eastAsia="zh-CN"/>
        </w:rPr>
        <w:t>区纪委</w:t>
      </w:r>
      <w:r>
        <w:rPr>
          <w:rFonts w:hint="eastAsia" w:eastAsia="仿宋_GB2312"/>
          <w:sz w:val="32"/>
          <w:szCs w:val="32"/>
        </w:rPr>
        <w:t>2025年年初预算收入</w:t>
      </w:r>
      <w:r>
        <w:rPr>
          <w:rFonts w:hint="eastAsia" w:eastAsia="仿宋_GB2312"/>
          <w:sz w:val="32"/>
          <w:szCs w:val="32"/>
          <w:lang w:val="en-US" w:eastAsia="zh-CN"/>
        </w:rPr>
        <w:t>1909.12万元</w:t>
      </w:r>
      <w:r>
        <w:rPr>
          <w:rFonts w:hint="eastAsia" w:eastAsia="仿宋_GB2312"/>
          <w:sz w:val="32"/>
          <w:szCs w:val="32"/>
        </w:rPr>
        <w:t>、决算报表收入</w:t>
      </w:r>
      <w:r>
        <w:rPr>
          <w:rFonts w:hint="eastAsia" w:eastAsia="仿宋_GB2312"/>
          <w:sz w:val="32"/>
          <w:szCs w:val="32"/>
          <w:lang w:val="en-US" w:eastAsia="zh-CN"/>
        </w:rPr>
        <w:t>1904.53万元</w:t>
      </w:r>
      <w:r>
        <w:rPr>
          <w:rFonts w:hint="eastAsia" w:eastAsia="仿宋_GB2312"/>
          <w:sz w:val="32"/>
          <w:szCs w:val="32"/>
        </w:rPr>
        <w:t>。</w:t>
      </w:r>
    </w:p>
    <w:p w14:paraId="4922A604">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cs="仿宋_GB2312"/>
          <w:sz w:val="32"/>
          <w:szCs w:val="32"/>
          <w:lang w:eastAsia="zh-CN"/>
        </w:rPr>
        <w:t>区纪委</w:t>
      </w:r>
      <w:r>
        <w:rPr>
          <w:rFonts w:hint="eastAsia" w:eastAsia="仿宋_GB2312"/>
          <w:sz w:val="32"/>
          <w:szCs w:val="32"/>
        </w:rPr>
        <w:t>2025年年初预算支出</w:t>
      </w:r>
      <w:r>
        <w:rPr>
          <w:rFonts w:hint="eastAsia" w:eastAsia="仿宋_GB2312"/>
          <w:sz w:val="32"/>
          <w:szCs w:val="32"/>
          <w:lang w:val="en-US" w:eastAsia="zh-CN"/>
        </w:rPr>
        <w:t>1909.12万元</w:t>
      </w:r>
      <w:r>
        <w:rPr>
          <w:rFonts w:hint="eastAsia" w:eastAsia="仿宋_GB2312"/>
          <w:sz w:val="32"/>
          <w:szCs w:val="32"/>
        </w:rPr>
        <w:t>、决算报表支出</w:t>
      </w:r>
      <w:r>
        <w:rPr>
          <w:rFonts w:hint="eastAsia" w:eastAsia="仿宋_GB2312"/>
          <w:sz w:val="32"/>
          <w:szCs w:val="32"/>
          <w:lang w:val="en-US" w:eastAsia="zh-CN"/>
        </w:rPr>
        <w:t>1904.53</w:t>
      </w:r>
      <w:r>
        <w:rPr>
          <w:rFonts w:hint="eastAsia" w:eastAsia="仿宋_GB2312"/>
          <w:sz w:val="32"/>
          <w:szCs w:val="32"/>
        </w:rPr>
        <w:t>。</w:t>
      </w:r>
    </w:p>
    <w:p w14:paraId="3E1644A1">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lang w:eastAsia="zh-CN"/>
        </w:rPr>
        <w:t>区纪委</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lang w:eastAsia="zh-CN"/>
        </w:rPr>
        <w:t>为</w:t>
      </w:r>
      <w:r>
        <w:rPr>
          <w:rFonts w:hint="eastAsia" w:eastAsia="仿宋_GB2312"/>
          <w:sz w:val="32"/>
          <w:szCs w:val="32"/>
          <w:lang w:val="en-US" w:eastAsia="zh-CN"/>
        </w:rPr>
        <w:t>0万元</w:t>
      </w:r>
      <w:r>
        <w:rPr>
          <w:rFonts w:eastAsia="仿宋_GB2312"/>
          <w:sz w:val="32"/>
          <w:szCs w:val="32"/>
        </w:rPr>
        <w:t>。</w:t>
      </w:r>
    </w:p>
    <w:p w14:paraId="5C5BD94B">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219C90D7">
      <w:pPr>
        <w:spacing w:line="580" w:lineRule="exact"/>
        <w:ind w:firstLine="643" w:firstLineChars="20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p>
    <w:p w14:paraId="1E850540">
      <w:pPr>
        <w:spacing w:line="580" w:lineRule="exact"/>
        <w:ind w:firstLine="640" w:firstLineChars="200"/>
        <w:rPr>
          <w:rFonts w:eastAsia="仿宋_GB2312" w:cs="仿宋_GB2312"/>
          <w:sz w:val="32"/>
          <w:szCs w:val="32"/>
          <w:lang w:val="zh-CN"/>
        </w:rPr>
      </w:pPr>
      <w:r>
        <w:rPr>
          <w:rFonts w:hint="eastAsia" w:ascii="仿宋" w:hAnsi="仿宋" w:eastAsia="仿宋" w:cs="仿宋_GB2312"/>
          <w:sz w:val="32"/>
          <w:szCs w:val="32"/>
        </w:rPr>
        <w:t>本部门预算编制的绩效目标是高举中国特色社会主义伟大旗帜，以习近平新时代中国特色社会主义思想为指导，全面落实</w:t>
      </w:r>
      <w:r>
        <w:rPr>
          <w:rFonts w:hint="eastAsia" w:ascii="仿宋" w:hAnsi="仿宋" w:eastAsia="仿宋" w:cs="仿宋_GB2312"/>
          <w:sz w:val="32"/>
          <w:szCs w:val="32"/>
          <w:lang w:eastAsia="zh-CN"/>
        </w:rPr>
        <w:t>党的十九大作出的</w:t>
      </w:r>
      <w:r>
        <w:rPr>
          <w:rFonts w:hint="eastAsia" w:ascii="仿宋" w:hAnsi="仿宋" w:eastAsia="仿宋" w:cs="仿宋_GB2312"/>
          <w:sz w:val="32"/>
          <w:szCs w:val="32"/>
        </w:rPr>
        <w:t>战略部署，统筹推进“五位一体”总体布局和协调推进“四个全面”战略布局，增强“四个意识”、</w:t>
      </w:r>
      <w:r>
        <w:rPr>
          <w:rFonts w:hint="eastAsia" w:ascii="仿宋" w:hAnsi="仿宋" w:eastAsia="仿宋" w:cs="仿宋_GB2312"/>
          <w:sz w:val="32"/>
          <w:szCs w:val="32"/>
          <w:lang w:eastAsia="zh-CN"/>
        </w:rPr>
        <w:t>坚定“四个自信”、</w:t>
      </w:r>
      <w:r>
        <w:rPr>
          <w:rFonts w:hint="eastAsia" w:ascii="仿宋" w:hAnsi="仿宋" w:eastAsia="仿宋" w:cs="仿宋_GB2312"/>
          <w:sz w:val="32"/>
          <w:szCs w:val="32"/>
        </w:rPr>
        <w:t>不忘初心、牢记使命，紧紧围绕党的领导、党的建设、全面从严治党、党风廉政建设和反腐败斗争，紧紧围绕维护党中央权威和集中统一领导，推动党内政治生态实现根本好转，履行党章赋予的监督执纪问责职责，建设忠诚干净担当的纪检监察队伍，为决胜全面建成小康社会、夺取新时代中国特色社会主义伟大胜利提供坚强保证。</w:t>
      </w:r>
    </w:p>
    <w:p w14:paraId="62DD1E59">
      <w:pPr>
        <w:adjustRightInd w:val="0"/>
        <w:snapToGrid w:val="0"/>
        <w:spacing w:line="578" w:lineRule="exact"/>
        <w:ind w:firstLine="643" w:firstLineChars="200"/>
        <w:contextualSpacing/>
        <w:rPr>
          <w:rFonts w:eastAsia="仿宋_GB2312" w:cs="仿宋_GB2312"/>
          <w:sz w:val="32"/>
          <w:szCs w:val="32"/>
          <w:lang w:val="zh-CN"/>
        </w:rPr>
      </w:pPr>
      <w:r>
        <w:rPr>
          <w:rFonts w:eastAsia="楷体_GB2312"/>
          <w:b/>
          <w:bCs/>
          <w:color w:val="000000"/>
          <w:kern w:val="0"/>
          <w:sz w:val="32"/>
          <w:szCs w:val="32"/>
          <w:shd w:val="clear" w:color="auto" w:fill="FFFFFF"/>
          <w:lang w:val="zh-CN"/>
        </w:rPr>
        <w:t>（二）部门预算项目绩效分析。</w:t>
      </w:r>
      <w:r>
        <w:rPr>
          <w:rFonts w:eastAsia="仿宋_GB2312" w:cs="仿宋_GB2312"/>
          <w:sz w:val="32"/>
          <w:szCs w:val="32"/>
        </w:rPr>
        <w:t>常年项目绩效分析。</w:t>
      </w:r>
      <w:r>
        <w:rPr>
          <w:rFonts w:eastAsia="仿宋_GB2312" w:cs="仿宋_GB2312"/>
          <w:sz w:val="32"/>
          <w:szCs w:val="32"/>
          <w:lang w:val="zh-CN"/>
        </w:rPr>
        <w:t>该类项目总数</w:t>
      </w:r>
      <w:r>
        <w:rPr>
          <w:rFonts w:hint="eastAsia" w:eastAsia="仿宋_GB2312" w:cs="仿宋_GB2312"/>
          <w:sz w:val="32"/>
          <w:szCs w:val="32"/>
          <w:lang w:val="en-US" w:eastAsia="zh-CN"/>
        </w:rPr>
        <w:t>5</w:t>
      </w:r>
      <w:r>
        <w:rPr>
          <w:rFonts w:eastAsia="仿宋_GB2312" w:cs="仿宋_GB2312"/>
          <w:sz w:val="32"/>
          <w:szCs w:val="32"/>
          <w:lang w:val="zh-CN"/>
        </w:rPr>
        <w:t>个，涉及预算总金额</w:t>
      </w:r>
      <w:r>
        <w:rPr>
          <w:rFonts w:hint="eastAsia" w:eastAsia="仿宋_GB2312" w:cs="仿宋_GB2312"/>
          <w:sz w:val="32"/>
          <w:szCs w:val="32"/>
          <w:lang w:val="en-US" w:eastAsia="zh-CN"/>
        </w:rPr>
        <w:t>528</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hint="eastAsia" w:eastAsia="仿宋_GB2312" w:cs="仿宋_GB2312"/>
          <w:sz w:val="32"/>
          <w:szCs w:val="32"/>
          <w:lang w:val="en-US" w:eastAsia="zh-CN"/>
        </w:rPr>
        <w:t>95</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lang w:val="en-US" w:eastAsia="zh-CN"/>
        </w:rPr>
        <w:t>0</w:t>
      </w:r>
      <w:r>
        <w:rPr>
          <w:rFonts w:eastAsia="仿宋_GB2312" w:cs="仿宋_GB2312"/>
          <w:sz w:val="32"/>
          <w:szCs w:val="32"/>
          <w:lang w:val="zh-CN"/>
        </w:rPr>
        <w:t>个。</w:t>
      </w:r>
    </w:p>
    <w:p w14:paraId="7314FD6F">
      <w:pPr>
        <w:snapToGrid w:val="0"/>
        <w:spacing w:line="600" w:lineRule="exact"/>
        <w:ind w:firstLine="640" w:firstLineChars="200"/>
        <w:rPr>
          <w:rFonts w:eastAsia="仿宋_GB2312" w:cs="仿宋_GB2312"/>
          <w:sz w:val="32"/>
          <w:szCs w:val="32"/>
        </w:rPr>
      </w:pPr>
      <w:r>
        <w:rPr>
          <w:rFonts w:hint="eastAsia" w:ascii="仿宋" w:hAnsi="仿宋" w:eastAsia="仿宋" w:cs="仿宋_GB2312"/>
          <w:sz w:val="32"/>
          <w:szCs w:val="32"/>
        </w:rPr>
        <w:t>本部门根据实际情况，经严格测算、层层把关，编制了两个专项，到年底项目完成情况良好</w:t>
      </w:r>
      <w:r>
        <w:rPr>
          <w:rFonts w:hint="eastAsia" w:ascii="仿宋" w:hAnsi="仿宋" w:eastAsia="仿宋" w:cs="仿宋_GB2312"/>
          <w:sz w:val="32"/>
          <w:szCs w:val="32"/>
          <w:lang w:eastAsia="zh-CN"/>
        </w:rPr>
        <w:t>。</w:t>
      </w:r>
    </w:p>
    <w:p w14:paraId="11CE2D37">
      <w:pPr>
        <w:numPr>
          <w:ilvl w:val="0"/>
          <w:numId w:val="3"/>
        </w:numPr>
        <w:spacing w:line="580" w:lineRule="exact"/>
        <w:ind w:firstLine="643" w:firstLineChars="200"/>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p>
    <w:p w14:paraId="58A0713B">
      <w:pPr>
        <w:numPr>
          <w:ilvl w:val="0"/>
          <w:numId w:val="0"/>
        </w:numPr>
        <w:spacing w:line="580" w:lineRule="exact"/>
        <w:ind w:firstLine="640" w:firstLineChars="200"/>
        <w:rPr>
          <w:rFonts w:eastAsia="仿宋_GB2312" w:cs="仿宋_GB2312"/>
          <w:sz w:val="32"/>
          <w:szCs w:val="32"/>
        </w:rPr>
      </w:pPr>
      <w:r>
        <w:rPr>
          <w:rFonts w:hint="eastAsia" w:ascii="仿宋" w:hAnsi="仿宋" w:eastAsia="仿宋" w:cs="仿宋_GB2312"/>
          <w:sz w:val="32"/>
          <w:szCs w:val="32"/>
        </w:rPr>
        <w:t>区纪委部门自评质量较好，绩效目标公开年初已经进行了公开，自评也已公开、社会评价结果较好，反馈意见良好。</w:t>
      </w:r>
    </w:p>
    <w:p w14:paraId="21D292DD">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62BA9A02">
      <w:pPr>
        <w:keepNext w:val="0"/>
        <w:keepLines w:val="0"/>
        <w:pageBreakBefore w:val="0"/>
        <w:widowControl w:val="0"/>
        <w:kinsoku/>
        <w:wordWrap/>
        <w:overflowPunct w:val="0"/>
        <w:topLinePunct w:val="0"/>
        <w:autoSpaceDE/>
        <w:autoSpaceDN/>
        <w:bidi w:val="0"/>
        <w:adjustRightInd/>
        <w:snapToGrid/>
        <w:spacing w:line="240" w:lineRule="auto"/>
        <w:ind w:left="0" w:leftChars="0" w:firstLine="643" w:firstLineChars="200"/>
        <w:jc w:val="both"/>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771905D6">
      <w:pPr>
        <w:keepNext w:val="0"/>
        <w:keepLines w:val="0"/>
        <w:pageBreakBefore w:val="0"/>
        <w:widowControl w:val="0"/>
        <w:kinsoku/>
        <w:wordWrap/>
        <w:overflowPunct w:val="0"/>
        <w:topLinePunct w:val="0"/>
        <w:autoSpaceDE/>
        <w:autoSpaceDN/>
        <w:bidi w:val="0"/>
        <w:adjustRightInd/>
        <w:snapToGrid/>
        <w:spacing w:line="240" w:lineRule="auto"/>
        <w:ind w:left="0" w:leftChars="0" w:firstLine="660" w:firstLineChars="200"/>
        <w:jc w:val="both"/>
        <w:textAlignment w:val="auto"/>
        <w:rPr>
          <w:rFonts w:hint="default" w:ascii="Times New Roman" w:hAnsi="Times New Roman" w:eastAsia="方正仿宋_GBK" w:cs="Times New Roman"/>
          <w:color w:val="auto"/>
          <w:sz w:val="33"/>
          <w:szCs w:val="33"/>
          <w:lang w:val="en-US" w:eastAsia="zh-CN"/>
        </w:rPr>
      </w:pPr>
      <w:r>
        <w:rPr>
          <w:rFonts w:hint="eastAsia" w:ascii="Times New Roman" w:hAnsi="Times New Roman" w:eastAsia="方正仿宋_GBK" w:cs="Times New Roman"/>
          <w:color w:val="auto"/>
          <w:sz w:val="33"/>
          <w:szCs w:val="33"/>
          <w:lang w:val="en-US" w:eastAsia="zh-CN"/>
        </w:rPr>
        <w:t>2025年</w:t>
      </w:r>
      <w:r>
        <w:rPr>
          <w:rFonts w:hint="default" w:ascii="Times New Roman" w:hAnsi="Times New Roman" w:eastAsia="方正仿宋_GBK" w:cs="Times New Roman"/>
          <w:color w:val="auto"/>
          <w:sz w:val="33"/>
          <w:szCs w:val="33"/>
          <w:lang w:val="en-US" w:eastAsia="zh-CN"/>
        </w:rPr>
        <w:t>全区纪检监察组织深入学习贯彻习近平新时代中国特色社会主义思想特别是习近平总书记关于党的自我革命的重要思想，深刻领悟“两个确立”的决定性意义，坚决做到“两个维护”，持续强化政治监督，深入推进正风肃纪反腐，扎实开展党纪学习教育，推动贯彻落实中央八项规定精神走深走实，集中整治群众身边不正之风和腐败问题，着力铲除腐败滋生的土壤和条件，推动健全完善基层监督体系，巩固拓展主题教育和教育整顿成果，推动</w:t>
      </w:r>
      <w:r>
        <w:rPr>
          <w:rFonts w:hint="eastAsia" w:eastAsia="方正仿宋_GBK" w:cs="Times New Roman"/>
          <w:color w:val="auto"/>
          <w:sz w:val="33"/>
          <w:szCs w:val="33"/>
          <w:lang w:val="en-US" w:eastAsia="zh-CN"/>
        </w:rPr>
        <w:t>新时代纪检监察工作高质量发展</w:t>
      </w:r>
      <w:r>
        <w:rPr>
          <w:rFonts w:hint="default" w:ascii="Times New Roman" w:hAnsi="Times New Roman" w:eastAsia="方正仿宋_GBK" w:cs="Times New Roman"/>
          <w:color w:val="auto"/>
          <w:sz w:val="33"/>
          <w:szCs w:val="33"/>
          <w:lang w:val="en-US" w:eastAsia="zh-CN"/>
        </w:rPr>
        <w:t>取得新成效。</w:t>
      </w:r>
    </w:p>
    <w:p w14:paraId="7E3D8BF7">
      <w:pPr>
        <w:widowControl/>
        <w:adjustRightInd w:val="0"/>
        <w:snapToGrid w:val="0"/>
        <w:spacing w:line="578" w:lineRule="exact"/>
        <w:ind w:firstLine="640" w:firstLineChars="200"/>
        <w:contextualSpacing/>
        <w:jc w:val="left"/>
        <w:rPr>
          <w:rFonts w:hint="eastAsia" w:eastAsia="仿宋_GB2312"/>
          <w:color w:val="000000"/>
          <w:sz w:val="32"/>
          <w:szCs w:val="32"/>
        </w:rPr>
      </w:pPr>
      <w:r>
        <w:rPr>
          <w:rFonts w:hint="eastAsia" w:eastAsia="仿宋_GB2312"/>
          <w:color w:val="000000"/>
          <w:sz w:val="32"/>
          <w:szCs w:val="32"/>
        </w:rPr>
        <w:t>总体评价良好</w:t>
      </w:r>
      <w:r>
        <w:rPr>
          <w:rFonts w:hint="eastAsia" w:eastAsia="仿宋_GB2312"/>
          <w:color w:val="000000"/>
          <w:sz w:val="32"/>
          <w:szCs w:val="32"/>
          <w:lang w:eastAsia="zh-CN"/>
        </w:rPr>
        <w:t>，</w:t>
      </w:r>
      <w:r>
        <w:rPr>
          <w:rFonts w:hint="eastAsia" w:ascii="仿宋_GB2312" w:hAnsi="Cambria" w:eastAsia="仿宋_GB2312" w:cs="仿宋_GB2312"/>
          <w:kern w:val="2"/>
          <w:sz w:val="32"/>
          <w:szCs w:val="32"/>
        </w:rPr>
        <w:t>自评得分为9</w:t>
      </w:r>
      <w:r>
        <w:rPr>
          <w:rFonts w:hint="eastAsia" w:ascii="仿宋_GB2312" w:hAnsi="Cambria" w:eastAsia="仿宋_GB2312" w:cs="仿宋_GB2312"/>
          <w:kern w:val="2"/>
          <w:sz w:val="32"/>
          <w:szCs w:val="32"/>
          <w:lang w:val="en-US" w:eastAsia="zh-CN"/>
        </w:rPr>
        <w:t>6</w:t>
      </w:r>
      <w:r>
        <w:rPr>
          <w:rFonts w:hint="eastAsia" w:ascii="仿宋_GB2312" w:hAnsi="Cambria" w:eastAsia="仿宋_GB2312" w:cs="仿宋_GB2312"/>
          <w:kern w:val="2"/>
          <w:sz w:val="32"/>
          <w:szCs w:val="32"/>
        </w:rPr>
        <w:t>分</w:t>
      </w:r>
      <w:r>
        <w:rPr>
          <w:rFonts w:hint="eastAsia" w:eastAsia="仿宋_GB2312"/>
          <w:color w:val="000000"/>
          <w:sz w:val="32"/>
          <w:szCs w:val="32"/>
        </w:rPr>
        <w:t>。</w:t>
      </w:r>
    </w:p>
    <w:p w14:paraId="68BBE634">
      <w:pPr>
        <w:pStyle w:val="27"/>
        <w:numPr>
          <w:ilvl w:val="0"/>
          <w:numId w:val="4"/>
        </w:numPr>
        <w:spacing w:line="600" w:lineRule="atLeast"/>
        <w:ind w:left="0" w:leftChars="0" w:firstLine="643" w:firstLineChars="20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存在问题。</w:t>
      </w:r>
    </w:p>
    <w:p w14:paraId="167B9B9E">
      <w:pPr>
        <w:pStyle w:val="27"/>
        <w:numPr>
          <w:ilvl w:val="0"/>
          <w:numId w:val="0"/>
        </w:numPr>
        <w:spacing w:line="600" w:lineRule="atLeast"/>
        <w:ind w:leftChars="200"/>
        <w:rPr>
          <w:rFonts w:hint="eastAsia" w:eastAsia="仿宋_GB2312"/>
          <w:color w:val="000000"/>
          <w:sz w:val="32"/>
          <w:szCs w:val="32"/>
          <w:lang w:eastAsia="zh-CN"/>
        </w:rPr>
      </w:pPr>
      <w:r>
        <w:rPr>
          <w:rFonts w:hint="eastAsia" w:eastAsia="仿宋_GB2312"/>
          <w:b/>
          <w:bCs/>
          <w:color w:val="000000"/>
          <w:sz w:val="32"/>
          <w:szCs w:val="32"/>
        </w:rPr>
        <w:t>一是</w:t>
      </w:r>
      <w:r>
        <w:rPr>
          <w:rFonts w:hint="eastAsia" w:eastAsia="仿宋_GB2312"/>
          <w:color w:val="000000"/>
          <w:sz w:val="32"/>
          <w:szCs w:val="32"/>
        </w:rPr>
        <w:t>绩效管理的规范性和科学性不足；</w:t>
      </w:r>
      <w:r>
        <w:rPr>
          <w:rFonts w:hint="eastAsia" w:eastAsia="仿宋_GB2312"/>
          <w:b/>
          <w:bCs/>
          <w:color w:val="000000"/>
          <w:sz w:val="32"/>
          <w:szCs w:val="32"/>
        </w:rPr>
        <w:t>二是</w:t>
      </w:r>
      <w:r>
        <w:rPr>
          <w:rFonts w:hint="eastAsia" w:eastAsia="仿宋_GB2312"/>
          <w:color w:val="000000"/>
          <w:sz w:val="32"/>
          <w:szCs w:val="32"/>
        </w:rPr>
        <w:t>内控制度管</w:t>
      </w:r>
      <w:r>
        <w:rPr>
          <w:rFonts w:hint="eastAsia" w:eastAsia="仿宋_GB2312"/>
          <w:color w:val="000000"/>
          <w:sz w:val="32"/>
          <w:szCs w:val="32"/>
          <w:lang w:eastAsia="zh-CN"/>
        </w:rPr>
        <w:t>理</w:t>
      </w:r>
    </w:p>
    <w:p w14:paraId="63FA3669">
      <w:pPr>
        <w:pStyle w:val="27"/>
        <w:numPr>
          <w:ilvl w:val="0"/>
          <w:numId w:val="0"/>
        </w:numPr>
        <w:spacing w:line="600" w:lineRule="atLeast"/>
        <w:ind w:left="0" w:leftChars="0" w:firstLine="0" w:firstLineChars="0"/>
        <w:rPr>
          <w:rFonts w:hint="eastAsia" w:ascii="仿宋" w:hAnsi="仿宋" w:eastAsia="仿宋" w:cs="仿宋_GB2312"/>
          <w:sz w:val="32"/>
          <w:szCs w:val="32"/>
        </w:rPr>
      </w:pPr>
      <w:r>
        <w:rPr>
          <w:rFonts w:hint="eastAsia" w:eastAsia="仿宋_GB2312"/>
          <w:color w:val="000000"/>
          <w:sz w:val="32"/>
          <w:szCs w:val="32"/>
        </w:rPr>
        <w:t>不够完善。</w:t>
      </w:r>
    </w:p>
    <w:p w14:paraId="52D50B67">
      <w:pPr>
        <w:numPr>
          <w:ilvl w:val="0"/>
          <w:numId w:val="4"/>
        </w:numPr>
        <w:spacing w:line="580" w:lineRule="exact"/>
        <w:ind w:left="0" w:leftChars="0" w:firstLine="643" w:firstLineChars="200"/>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改进建议。</w:t>
      </w:r>
      <w:bookmarkStart w:id="47" w:name="_Hlk110546638"/>
    </w:p>
    <w:p w14:paraId="036F5C96">
      <w:pPr>
        <w:numPr>
          <w:ilvl w:val="0"/>
          <w:numId w:val="0"/>
        </w:numPr>
        <w:spacing w:line="580" w:lineRule="exact"/>
        <w:ind w:left="0" w:leftChars="0" w:firstLine="421" w:firstLineChars="131"/>
        <w:rPr>
          <w:rFonts w:hint="eastAsia" w:ascii="仿宋_GB2312" w:hAnsi="仿宋_GB2312" w:eastAsia="仿宋_GB2312" w:cs="仿宋_GB2312"/>
          <w:sz w:val="32"/>
          <w:szCs w:val="32"/>
        </w:rPr>
      </w:pPr>
      <w:r>
        <w:rPr>
          <w:rFonts w:hint="eastAsia" w:eastAsia="仿宋_GB2312"/>
          <w:b/>
          <w:bCs/>
          <w:color w:val="000000"/>
          <w:sz w:val="32"/>
          <w:szCs w:val="32"/>
        </w:rPr>
        <w:t>一是</w:t>
      </w:r>
      <w:r>
        <w:rPr>
          <w:rFonts w:hint="eastAsia" w:eastAsia="仿宋_GB2312"/>
          <w:color w:val="000000"/>
          <w:sz w:val="32"/>
          <w:szCs w:val="32"/>
        </w:rPr>
        <w:t>科学建立绩效管理体系，有效运用绩效评价结果；</w:t>
      </w:r>
      <w:r>
        <w:rPr>
          <w:rFonts w:hint="eastAsia" w:eastAsia="仿宋_GB2312"/>
          <w:b/>
          <w:bCs/>
          <w:color w:val="000000"/>
          <w:sz w:val="32"/>
          <w:szCs w:val="32"/>
        </w:rPr>
        <w:t>二是</w:t>
      </w:r>
      <w:r>
        <w:rPr>
          <w:rFonts w:hint="eastAsia" w:eastAsia="仿宋_GB2312"/>
          <w:color w:val="000000"/>
          <w:sz w:val="32"/>
          <w:szCs w:val="32"/>
        </w:rPr>
        <w:t>加强内部管理制度，建立科学化管理体系。</w:t>
      </w:r>
    </w:p>
    <w:bookmarkEnd w:id="47"/>
    <w:p w14:paraId="354E9533">
      <w:pPr>
        <w:pStyle w:val="8"/>
        <w:spacing w:line="560" w:lineRule="exact"/>
        <w:ind w:left="0" w:leftChars="0" w:firstLine="0" w:firstLineChars="0"/>
        <w:rPr>
          <w:rFonts w:ascii="Times New Roman"/>
          <w:sz w:val="32"/>
          <w:highlight w:val="yellow"/>
          <w:lang w:val="zh-CN"/>
        </w:rPr>
      </w:pPr>
    </w:p>
    <w:p w14:paraId="1FF689C9">
      <w:pPr>
        <w:pStyle w:val="6"/>
        <w:spacing w:before="93"/>
        <w:rPr>
          <w:rFonts w:ascii="Times New Roman" w:cs="宋体"/>
          <w:color w:val="FF0000"/>
          <w:sz w:val="32"/>
          <w:szCs w:val="32"/>
          <w:highlight w:val="yellow"/>
          <w:shd w:val="clear" w:color="auto" w:fill="FFFFFF"/>
          <w:lang w:val="zh-CN"/>
        </w:rPr>
      </w:pPr>
    </w:p>
    <w:p w14:paraId="70B81AA1">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734A9D3F">
      <w:pPr>
        <w:pStyle w:val="6"/>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bookmarkEnd w:id="45"/>
    <w:p w14:paraId="18D8255F">
      <w:pPr>
        <w:pStyle w:val="34"/>
        <w:spacing w:line="578" w:lineRule="exact"/>
        <w:jc w:val="center"/>
        <w:rPr>
          <w:rFonts w:hint="eastAsia" w:ascii="Times New Roman" w:hAnsi="Times New Roman" w:eastAsia="方正小标宋简体" w:cs="方正小标宋简体"/>
          <w:color w:val="auto"/>
          <w:kern w:val="2"/>
          <w:sz w:val="44"/>
          <w:szCs w:val="44"/>
          <w:lang w:val="zh-CN"/>
        </w:rPr>
      </w:pPr>
      <w:r>
        <w:rPr>
          <w:rFonts w:hint="eastAsia" w:ascii="Times New Roman" w:hAnsi="Times New Roman" w:eastAsia="方正小标宋简体" w:cs="方正小标宋简体"/>
          <w:color w:val="auto"/>
          <w:kern w:val="2"/>
          <w:sz w:val="44"/>
          <w:szCs w:val="44"/>
          <w:lang w:val="zh-CN"/>
        </w:rPr>
        <w:t>“办案、党风廉政建设及巡察专项经费”</w:t>
      </w:r>
      <w:r>
        <w:rPr>
          <w:rFonts w:hint="default" w:ascii="Times New Roman" w:hAnsi="Times New Roman" w:eastAsia="方正小标宋简体" w:cs="方正小标宋简体"/>
          <w:color w:val="auto"/>
          <w:kern w:val="2"/>
          <w:sz w:val="44"/>
          <w:szCs w:val="44"/>
          <w:lang w:val="en-US"/>
        </w:rPr>
        <w:t>202</w:t>
      </w:r>
      <w:r>
        <w:rPr>
          <w:rFonts w:hint="eastAsia" w:ascii="Times New Roman" w:hAnsi="Times New Roman" w:eastAsia="方正小标宋简体" w:cs="方正小标宋简体"/>
          <w:color w:val="auto"/>
          <w:kern w:val="2"/>
          <w:sz w:val="44"/>
          <w:szCs w:val="44"/>
          <w:lang w:val="en-US" w:eastAsia="zh-CN"/>
        </w:rPr>
        <w:t>5</w:t>
      </w:r>
      <w:r>
        <w:rPr>
          <w:rFonts w:hint="default" w:ascii="Times New Roman" w:hAnsi="Times New Roman" w:eastAsia="方正小标宋简体" w:cs="方正小标宋简体"/>
          <w:color w:val="auto"/>
          <w:kern w:val="2"/>
          <w:sz w:val="44"/>
          <w:szCs w:val="44"/>
          <w:lang w:val="en-US"/>
        </w:rPr>
        <w:t>年</w:t>
      </w:r>
      <w:r>
        <w:rPr>
          <w:rFonts w:hint="eastAsia" w:ascii="Times New Roman" w:hAnsi="Times New Roman" w:eastAsia="方正小标宋简体" w:cs="方正小标宋简体"/>
          <w:color w:val="auto"/>
          <w:kern w:val="2"/>
          <w:sz w:val="44"/>
          <w:szCs w:val="44"/>
          <w:lang w:val="zh-CN"/>
        </w:rPr>
        <w:t>绩效评价报告</w:t>
      </w:r>
    </w:p>
    <w:p w14:paraId="4D2BDD36">
      <w:pPr>
        <w:pStyle w:val="34"/>
        <w:spacing w:line="578" w:lineRule="exact"/>
        <w:jc w:val="center"/>
        <w:rPr>
          <w:rFonts w:ascii="Times New Roman" w:hAnsi="Times New Roman" w:eastAsia="方正小标宋简体" w:cs="方正小标宋简体"/>
          <w:color w:val="auto"/>
          <w:kern w:val="2"/>
          <w:sz w:val="44"/>
          <w:szCs w:val="44"/>
          <w:lang w:val="en-US"/>
        </w:rPr>
      </w:pPr>
    </w:p>
    <w:p w14:paraId="37D3ED76">
      <w:pPr>
        <w:pStyle w:val="34"/>
        <w:spacing w:line="578" w:lineRule="exact"/>
        <w:ind w:firstLine="640"/>
        <w:jc w:val="center"/>
        <w:rPr>
          <w:rFonts w:ascii="Times New Roman" w:hAnsi="Times New Roman"/>
          <w:color w:val="auto"/>
          <w:kern w:val="2"/>
          <w:sz w:val="32"/>
          <w:szCs w:val="32"/>
        </w:rPr>
      </w:pPr>
    </w:p>
    <w:p w14:paraId="2F24D000">
      <w:pPr>
        <w:adjustRightInd w:val="0"/>
        <w:snapToGrid w:val="0"/>
        <w:spacing w:line="578" w:lineRule="exact"/>
        <w:ind w:firstLine="640" w:firstLineChars="200"/>
        <w:rPr>
          <w:rFonts w:eastAsia="黑体"/>
          <w:sz w:val="32"/>
          <w:szCs w:val="32"/>
          <w:lang w:val="zh-CN"/>
        </w:rPr>
      </w:pPr>
      <w:r>
        <w:rPr>
          <w:rFonts w:hint="eastAsia" w:eastAsia="黑体"/>
          <w:sz w:val="32"/>
          <w:szCs w:val="32"/>
        </w:rPr>
        <w:t>一、</w:t>
      </w:r>
      <w:r>
        <w:rPr>
          <w:rFonts w:hint="eastAsia" w:eastAsia="黑体"/>
          <w:sz w:val="32"/>
          <w:szCs w:val="32"/>
          <w:lang w:val="zh-CN"/>
        </w:rPr>
        <w:t>项目概况</w:t>
      </w:r>
    </w:p>
    <w:p w14:paraId="7E93085D">
      <w:pPr>
        <w:spacing w:line="560" w:lineRule="exact"/>
        <w:ind w:firstLine="643" w:firstLineChars="200"/>
        <w:rPr>
          <w:rFonts w:hint="eastAsia" w:eastAsia="楷体_GB2312"/>
          <w:b/>
          <w:sz w:val="32"/>
          <w:szCs w:val="32"/>
          <w:lang w:val="zh-CN"/>
        </w:rPr>
      </w:pPr>
      <w:r>
        <w:rPr>
          <w:rFonts w:hint="eastAsia" w:eastAsia="楷体_GB2312"/>
          <w:b/>
          <w:sz w:val="32"/>
          <w:szCs w:val="32"/>
          <w:lang w:val="zh-CN"/>
        </w:rPr>
        <w:t>（一）设立背景及基本情况。</w:t>
      </w:r>
    </w:p>
    <w:p w14:paraId="6FEEC057">
      <w:pPr>
        <w:spacing w:line="560" w:lineRule="exact"/>
        <w:ind w:firstLine="640" w:firstLineChars="200"/>
        <w:rPr>
          <w:rFonts w:hint="eastAsia" w:ascii="仿宋_GB2312" w:eastAsia="仿宋_GB2312"/>
          <w:sz w:val="32"/>
          <w:szCs w:val="32"/>
        </w:rPr>
      </w:pPr>
      <w:r>
        <w:rPr>
          <w:rFonts w:hint="eastAsia" w:ascii="仿宋_GB2312" w:hAnsi="宋体" w:eastAsia="仿宋_GB2312"/>
          <w:sz w:val="32"/>
          <w:szCs w:val="32"/>
          <w:lang w:val="zh-CN"/>
        </w:rPr>
        <w:t>1.项目的职能作用：</w:t>
      </w:r>
      <w:r>
        <w:rPr>
          <w:rFonts w:hint="eastAsia" w:ascii="仿宋_GB2312" w:eastAsia="仿宋_GB2312"/>
          <w:sz w:val="32"/>
          <w:szCs w:val="32"/>
        </w:rPr>
        <w:t>着力解决人民群众反映强烈的问题，切实维护群众切身利益，决不让“四风”反弹回潮，构建作风建设长效机制。激发群众监督正能量，让党风廉政建设和反腐败工作成效惠利于群众；进一步完善党内监督体系，发挥巡察监督的震慑作用，推动全面从严治党在基层延伸。</w:t>
      </w:r>
    </w:p>
    <w:p w14:paraId="3B887FE4">
      <w:pPr>
        <w:snapToGrid w:val="0"/>
        <w:spacing w:line="600" w:lineRule="exact"/>
        <w:ind w:firstLine="720"/>
        <w:rPr>
          <w:rFonts w:hint="eastAsia" w:ascii="仿宋_GB2312" w:hAnsi="宋体" w:eastAsia="仿宋_GB2312"/>
          <w:sz w:val="32"/>
          <w:szCs w:val="32"/>
          <w:lang w:val="zh-CN"/>
        </w:rPr>
      </w:pPr>
      <w:r>
        <w:rPr>
          <w:rFonts w:hint="eastAsia" w:ascii="仿宋_GB2312" w:hAnsi="宋体" w:eastAsia="仿宋_GB2312"/>
          <w:sz w:val="32"/>
          <w:szCs w:val="32"/>
          <w:lang w:val="zh-CN"/>
        </w:rPr>
        <w:t>2.项目立项、资金申报的依据：根据历年来办案、党风廉政建设工作实际情况，需相应资金开展工作。</w:t>
      </w:r>
    </w:p>
    <w:p w14:paraId="6A41E1F7">
      <w:pPr>
        <w:snapToGrid w:val="0"/>
        <w:spacing w:line="600" w:lineRule="exact"/>
        <w:ind w:firstLine="720"/>
        <w:rPr>
          <w:rFonts w:hint="eastAsia" w:ascii="仿宋_GB2312" w:hAnsi="宋体" w:eastAsia="仿宋_GB2312"/>
          <w:sz w:val="32"/>
          <w:szCs w:val="32"/>
          <w:lang w:val="zh-CN"/>
        </w:rPr>
      </w:pPr>
      <w:r>
        <w:rPr>
          <w:rFonts w:hint="eastAsia" w:ascii="仿宋_GB2312" w:hAnsi="宋体" w:eastAsia="仿宋_GB2312"/>
          <w:sz w:val="32"/>
          <w:szCs w:val="32"/>
          <w:lang w:val="zh-CN"/>
        </w:rPr>
        <w:t>3.资金管理办法制定情况：根据财务管理办法，结合本单位实际情况，本着节约开支，提高资金使用效率的原则，进行费用支出。</w:t>
      </w:r>
    </w:p>
    <w:p w14:paraId="63F569AA">
      <w:pPr>
        <w:snapToGrid w:val="0"/>
        <w:spacing w:line="600" w:lineRule="exact"/>
        <w:ind w:firstLine="720"/>
        <w:rPr>
          <w:rFonts w:eastAsia="仿宋_GB2312" w:cs="仿宋_GB2312"/>
          <w:kern w:val="0"/>
          <w:sz w:val="32"/>
          <w:szCs w:val="32"/>
          <w:shd w:val="clear" w:color="auto" w:fill="FFFFFF"/>
          <w:lang w:val="zh-CN"/>
        </w:rPr>
      </w:pPr>
      <w:r>
        <w:rPr>
          <w:rFonts w:hint="eastAsia" w:ascii="仿宋_GB2312" w:hAnsi="宋体" w:eastAsia="仿宋_GB2312"/>
          <w:sz w:val="32"/>
          <w:szCs w:val="32"/>
          <w:lang w:val="zh-CN"/>
        </w:rPr>
        <w:t>4.资金分配的原则及考虑因素：根据实际工作需要，在财政规定的报账范围内，按要求进行报账。</w:t>
      </w:r>
    </w:p>
    <w:p w14:paraId="080B8CF2">
      <w:pPr>
        <w:snapToGrid w:val="0"/>
        <w:spacing w:line="600" w:lineRule="exact"/>
        <w:ind w:firstLine="720"/>
        <w:rPr>
          <w:rFonts w:hint="eastAsia" w:eastAsia="楷体_GB2312"/>
          <w:b/>
          <w:sz w:val="32"/>
          <w:szCs w:val="32"/>
        </w:rPr>
      </w:pPr>
      <w:r>
        <w:rPr>
          <w:rFonts w:hint="eastAsia" w:eastAsia="楷体_GB2312"/>
          <w:b/>
          <w:sz w:val="32"/>
          <w:szCs w:val="32"/>
          <w:lang w:val="zh-CN"/>
        </w:rPr>
        <w:t>（二）</w:t>
      </w:r>
      <w:r>
        <w:rPr>
          <w:rFonts w:eastAsia="楷体_GB2312"/>
          <w:b/>
          <w:sz w:val="32"/>
          <w:szCs w:val="32"/>
        </w:rPr>
        <w:t>实施目的及支持方向</w:t>
      </w:r>
      <w:r>
        <w:rPr>
          <w:rFonts w:hint="eastAsia" w:eastAsia="楷体_GB2312"/>
          <w:b/>
          <w:sz w:val="32"/>
          <w:szCs w:val="32"/>
        </w:rPr>
        <w:t>。</w:t>
      </w:r>
    </w:p>
    <w:p w14:paraId="3794CFB6">
      <w:pPr>
        <w:snapToGrid w:val="0"/>
        <w:spacing w:line="600" w:lineRule="exact"/>
        <w:ind w:firstLine="720"/>
        <w:rPr>
          <w:rFonts w:hint="eastAsia" w:ascii="仿宋_GB2312" w:hAnsi="宋体" w:eastAsia="仿宋_GB2312"/>
          <w:sz w:val="32"/>
          <w:szCs w:val="32"/>
          <w:lang w:val="zh-CN"/>
        </w:rPr>
      </w:pPr>
      <w:r>
        <w:rPr>
          <w:rFonts w:hint="eastAsia" w:ascii="仿宋_GB2312" w:hAnsi="宋体" w:eastAsia="仿宋_GB2312"/>
          <w:sz w:val="32"/>
          <w:szCs w:val="32"/>
          <w:lang w:val="zh-CN"/>
        </w:rPr>
        <w:t>1.项目主要内容：紧紧围绕党的领导、党的建设、全面从严治党、党风廉政建设和反腐败斗争，紧紧围绕维护党中央权威和集中统一领导，推动党内政治生态实现根本好转，履行党章赋予的监督执纪问责职责，建设忠诚干净担当的纪检监察队伍，为决胜全面建成小康社会、夺取新时代中国特色社会主义伟大胜利提供坚强保证。</w:t>
      </w:r>
    </w:p>
    <w:p w14:paraId="62DD9538">
      <w:pPr>
        <w:snapToGrid w:val="0"/>
        <w:spacing w:line="600" w:lineRule="exact"/>
        <w:ind w:firstLine="720"/>
        <w:rPr>
          <w:rFonts w:hint="eastAsia" w:ascii="仿宋_GB2312" w:hAnsi="宋体" w:eastAsia="仿宋_GB2312"/>
          <w:sz w:val="32"/>
          <w:szCs w:val="32"/>
          <w:lang w:val="zh-CN"/>
        </w:rPr>
      </w:pPr>
      <w:r>
        <w:rPr>
          <w:rFonts w:hint="eastAsia" w:ascii="仿宋_GB2312" w:hAnsi="宋体" w:eastAsia="仿宋_GB2312"/>
          <w:sz w:val="32"/>
          <w:szCs w:val="32"/>
          <w:lang w:val="zh-CN"/>
        </w:rPr>
        <w:t>2.项目应实现的具体绩效目标：全年开展监督检查不少于</w:t>
      </w:r>
      <w:r>
        <w:rPr>
          <w:rFonts w:hint="eastAsia" w:ascii="仿宋_GB2312" w:hAnsi="宋体" w:eastAsia="仿宋_GB2312"/>
          <w:sz w:val="32"/>
          <w:szCs w:val="32"/>
          <w:lang w:val="en-US" w:eastAsia="zh-CN"/>
        </w:rPr>
        <w:t>30</w:t>
      </w:r>
      <w:r>
        <w:rPr>
          <w:rFonts w:hint="eastAsia" w:ascii="仿宋_GB2312" w:hAnsi="宋体" w:eastAsia="仿宋_GB2312"/>
          <w:sz w:val="32"/>
          <w:szCs w:val="32"/>
        </w:rPr>
        <w:t>次、办理违纪违法案件不少于</w:t>
      </w:r>
      <w:r>
        <w:rPr>
          <w:rFonts w:hint="eastAsia" w:ascii="仿宋_GB2312" w:hAnsi="宋体" w:eastAsia="仿宋_GB2312"/>
          <w:sz w:val="32"/>
          <w:szCs w:val="32"/>
          <w:lang w:val="en-US" w:eastAsia="zh-CN"/>
        </w:rPr>
        <w:t>120</w:t>
      </w:r>
      <w:r>
        <w:rPr>
          <w:rFonts w:hint="eastAsia" w:ascii="仿宋_GB2312" w:hAnsi="宋体" w:eastAsia="仿宋_GB2312"/>
          <w:sz w:val="32"/>
          <w:szCs w:val="32"/>
        </w:rPr>
        <w:t>件、对全区各村（社）开展巡察工作等</w:t>
      </w:r>
      <w:r>
        <w:rPr>
          <w:rFonts w:hint="eastAsia" w:ascii="仿宋_GB2312" w:hAnsi="宋体" w:eastAsia="仿宋_GB2312"/>
          <w:sz w:val="32"/>
          <w:szCs w:val="32"/>
          <w:lang w:val="zh-CN"/>
        </w:rPr>
        <w:t>。</w:t>
      </w:r>
    </w:p>
    <w:p w14:paraId="23D03B75">
      <w:pPr>
        <w:snapToGrid w:val="0"/>
        <w:spacing w:line="600" w:lineRule="exact"/>
        <w:ind w:firstLine="720"/>
        <w:rPr>
          <w:rFonts w:eastAsia="仿宋_GB2312" w:cs="仿宋_GB2312"/>
          <w:kern w:val="0"/>
          <w:sz w:val="32"/>
          <w:szCs w:val="32"/>
          <w:lang w:val="zh-CN"/>
        </w:rPr>
      </w:pPr>
      <w:r>
        <w:rPr>
          <w:rFonts w:hint="eastAsia" w:ascii="仿宋_GB2312" w:hAnsi="宋体" w:eastAsia="仿宋_GB2312"/>
          <w:sz w:val="32"/>
          <w:szCs w:val="32"/>
          <w:lang w:val="zh-CN"/>
        </w:rPr>
        <w:t>3.申报内容与实际相符，申报目标合理可行。</w:t>
      </w:r>
    </w:p>
    <w:p w14:paraId="69C7B4A0">
      <w:pPr>
        <w:widowControl/>
        <w:adjustRightInd w:val="0"/>
        <w:snapToGrid w:val="0"/>
        <w:spacing w:line="578" w:lineRule="exact"/>
        <w:ind w:firstLine="643" w:firstLineChars="200"/>
        <w:contextualSpacing/>
        <w:jc w:val="left"/>
        <w:rPr>
          <w:rFonts w:hint="eastAsia" w:eastAsia="楷体_GB2312"/>
          <w:b/>
          <w:sz w:val="32"/>
          <w:szCs w:val="32"/>
          <w:lang w:val="zh-CN"/>
        </w:rPr>
      </w:pPr>
      <w:r>
        <w:rPr>
          <w:rFonts w:hint="eastAsia" w:eastAsia="楷体_GB2312"/>
          <w:b/>
          <w:sz w:val="32"/>
          <w:szCs w:val="32"/>
          <w:lang w:val="zh-CN"/>
        </w:rPr>
        <w:t>（三）</w:t>
      </w:r>
      <w:r>
        <w:rPr>
          <w:rFonts w:eastAsia="楷体_GB2312"/>
          <w:b/>
          <w:sz w:val="32"/>
          <w:szCs w:val="32"/>
        </w:rPr>
        <w:t>预算安排及分配管理</w:t>
      </w:r>
      <w:r>
        <w:rPr>
          <w:rFonts w:hint="eastAsia" w:eastAsia="楷体_GB2312"/>
          <w:b/>
          <w:sz w:val="32"/>
          <w:szCs w:val="32"/>
          <w:lang w:val="zh-CN"/>
        </w:rPr>
        <w:t>。</w:t>
      </w:r>
    </w:p>
    <w:p w14:paraId="4ED1236A">
      <w:pPr>
        <w:widowControl/>
        <w:adjustRightInd w:val="0"/>
        <w:snapToGrid w:val="0"/>
        <w:spacing w:line="578" w:lineRule="exact"/>
        <w:ind w:firstLine="640" w:firstLineChars="200"/>
        <w:contextualSpacing/>
        <w:jc w:val="left"/>
        <w:rPr>
          <w:rFonts w:hint="default" w:eastAsia="仿宋_GB2312" w:cs="仿宋_GB2312"/>
          <w:kern w:val="0"/>
          <w:sz w:val="32"/>
          <w:szCs w:val="32"/>
          <w:lang w:val="en-US" w:eastAsia="zh-CN"/>
        </w:rPr>
      </w:pPr>
      <w:r>
        <w:rPr>
          <w:rFonts w:hint="eastAsia" w:eastAsia="仿宋_GB2312" w:cs="仿宋_GB2312"/>
          <w:kern w:val="0"/>
          <w:sz w:val="32"/>
          <w:szCs w:val="32"/>
          <w:lang w:val="zh-CN"/>
        </w:rPr>
        <w:t>项目预算安排资金</w:t>
      </w:r>
      <w:r>
        <w:rPr>
          <w:rFonts w:hint="eastAsia" w:eastAsia="仿宋_GB2312" w:cs="仿宋_GB2312"/>
          <w:kern w:val="0"/>
          <w:sz w:val="32"/>
          <w:szCs w:val="32"/>
          <w:lang w:val="en-US" w:eastAsia="zh-CN"/>
        </w:rPr>
        <w:t>300万元</w:t>
      </w:r>
      <w:r>
        <w:rPr>
          <w:rFonts w:hint="eastAsia" w:eastAsia="仿宋_GB2312" w:cs="仿宋_GB2312"/>
          <w:kern w:val="0"/>
          <w:sz w:val="32"/>
          <w:szCs w:val="32"/>
          <w:lang w:val="zh-CN"/>
        </w:rPr>
        <w:t>，用于监督检查工作</w:t>
      </w:r>
      <w:r>
        <w:rPr>
          <w:rFonts w:hint="eastAsia" w:eastAsia="仿宋_GB2312" w:cs="仿宋_GB2312"/>
          <w:kern w:val="0"/>
          <w:sz w:val="32"/>
          <w:szCs w:val="32"/>
          <w:lang w:val="en-US" w:eastAsia="zh-CN"/>
        </w:rPr>
        <w:t>30万元、办理违纪违法案件工作经费220万元、用于巡察工作50万元。</w:t>
      </w:r>
    </w:p>
    <w:p w14:paraId="598B8D6A">
      <w:pPr>
        <w:numPr>
          <w:ilvl w:val="0"/>
          <w:numId w:val="5"/>
        </w:numPr>
        <w:spacing w:line="600" w:lineRule="exact"/>
        <w:ind w:left="4" w:leftChars="0" w:firstLine="633" w:firstLineChars="197"/>
        <w:rPr>
          <w:rFonts w:hint="eastAsia" w:eastAsia="楷体_GB2312"/>
          <w:b/>
          <w:sz w:val="32"/>
          <w:szCs w:val="32"/>
          <w:lang w:val="zh-CN"/>
        </w:rPr>
      </w:pPr>
      <w:r>
        <w:rPr>
          <w:rFonts w:hint="eastAsia" w:eastAsia="楷体_GB2312"/>
          <w:b/>
          <w:sz w:val="32"/>
          <w:szCs w:val="32"/>
          <w:lang w:val="zh-CN"/>
        </w:rPr>
        <w:t>项目绩效目标设置。</w:t>
      </w:r>
    </w:p>
    <w:p w14:paraId="28AFA597">
      <w:pPr>
        <w:numPr>
          <w:ilvl w:val="0"/>
          <w:numId w:val="0"/>
        </w:numPr>
        <w:spacing w:line="600" w:lineRule="exact"/>
        <w:ind w:left="13" w:leftChars="6" w:firstLine="720" w:firstLineChars="225"/>
        <w:rPr>
          <w:rFonts w:hint="eastAsia" w:ascii="仿宋_GB2312" w:hAnsi="宋体" w:eastAsia="仿宋_GB2312"/>
          <w:sz w:val="32"/>
          <w:szCs w:val="32"/>
          <w:lang w:val="zh-CN"/>
        </w:rPr>
      </w:pPr>
      <w:r>
        <w:rPr>
          <w:rFonts w:hint="eastAsia" w:eastAsia="仿宋_GB2312"/>
          <w:sz w:val="32"/>
          <w:szCs w:val="32"/>
        </w:rPr>
        <w:t>该项目采取自评方式进行，成立项目自评小组，结合评价内容，做到有计划有安排，扎实开展本次自评工作。按照上级下达的项目绩效评价指标体系，自评小组针对申报内容、实施情况、资金兑现、财务管理、社会效益等认真开展了自评工作。</w:t>
      </w:r>
    </w:p>
    <w:p w14:paraId="0E3CBBF2">
      <w:pPr>
        <w:adjustRightInd w:val="0"/>
        <w:snapToGrid w:val="0"/>
        <w:spacing w:line="578" w:lineRule="exact"/>
        <w:ind w:firstLine="640" w:firstLineChars="200"/>
        <w:rPr>
          <w:rFonts w:eastAsia="黑体"/>
          <w:sz w:val="32"/>
          <w:szCs w:val="32"/>
        </w:rPr>
      </w:pPr>
      <w:r>
        <w:rPr>
          <w:rFonts w:hint="eastAsia" w:eastAsia="黑体"/>
          <w:sz w:val="32"/>
          <w:szCs w:val="32"/>
        </w:rPr>
        <w:t>二、评价实施</w:t>
      </w:r>
    </w:p>
    <w:p w14:paraId="0ED0827F">
      <w:pPr>
        <w:spacing w:line="578" w:lineRule="exact"/>
        <w:ind w:firstLine="640"/>
        <w:rPr>
          <w:rFonts w:eastAsia="仿宋_GB2312" w:cs="仿宋_GB2312"/>
          <w:kern w:val="0"/>
          <w:sz w:val="32"/>
          <w:szCs w:val="32"/>
          <w:lang w:val="zh-CN"/>
        </w:rPr>
      </w:pPr>
      <w:r>
        <w:rPr>
          <w:rFonts w:hint="eastAsia" w:eastAsia="楷体_GB2312"/>
          <w:b/>
          <w:sz w:val="32"/>
          <w:szCs w:val="32"/>
          <w:lang w:val="zh-CN"/>
        </w:rPr>
        <w:t>（一）评价目的。</w:t>
      </w:r>
      <w:r>
        <w:rPr>
          <w:rFonts w:hint="eastAsia" w:eastAsia="仿宋_GB2312" w:cs="仿宋_GB2312"/>
          <w:kern w:val="0"/>
          <w:sz w:val="32"/>
          <w:szCs w:val="32"/>
          <w:lang w:val="zh-CN"/>
        </w:rPr>
        <w:t>通过项目绩效自评要实现项目的正常开展，经费的合理使用。</w:t>
      </w:r>
    </w:p>
    <w:p w14:paraId="7D809D32">
      <w:pPr>
        <w:adjustRightInd w:val="0"/>
        <w:snapToGrid w:val="0"/>
        <w:spacing w:line="578" w:lineRule="exact"/>
        <w:ind w:firstLine="643" w:firstLineChars="200"/>
        <w:rPr>
          <w:rFonts w:eastAsia="仿宋_GB2312" w:cs="仿宋_GB2312"/>
          <w:kern w:val="0"/>
          <w:sz w:val="32"/>
          <w:szCs w:val="32"/>
          <w:lang w:val="zh-CN"/>
        </w:rPr>
      </w:pPr>
      <w:r>
        <w:rPr>
          <w:rFonts w:hint="eastAsia" w:eastAsia="楷体_GB2312"/>
          <w:b/>
          <w:sz w:val="32"/>
          <w:szCs w:val="32"/>
          <w:lang w:val="zh-CN"/>
        </w:rPr>
        <w:t>（二）预设问题及评价重点。</w:t>
      </w:r>
      <w:r>
        <w:rPr>
          <w:rFonts w:hint="eastAsia" w:eastAsia="仿宋_GB2312" w:cs="仿宋_GB2312"/>
          <w:kern w:val="0"/>
          <w:sz w:val="32"/>
          <w:szCs w:val="32"/>
          <w:lang w:val="zh-CN"/>
        </w:rPr>
        <w:t>按照绩效评价指标体系，对资金支出使用全过程及其实施效果进行综合评价和判断。</w:t>
      </w:r>
    </w:p>
    <w:p w14:paraId="1EB60AE8">
      <w:pPr>
        <w:spacing w:line="600" w:lineRule="exact"/>
        <w:ind w:firstLine="643" w:firstLineChars="200"/>
        <w:rPr>
          <w:rFonts w:hint="eastAsia" w:eastAsia="楷体_GB2312"/>
          <w:b/>
          <w:sz w:val="32"/>
          <w:szCs w:val="32"/>
          <w:lang w:val="zh-CN"/>
        </w:rPr>
      </w:pPr>
      <w:r>
        <w:rPr>
          <w:rFonts w:hint="eastAsia" w:eastAsia="楷体_GB2312"/>
          <w:b/>
          <w:sz w:val="32"/>
          <w:szCs w:val="32"/>
          <w:lang w:val="zh-CN"/>
        </w:rPr>
        <w:t>（三）评价方法。</w:t>
      </w:r>
    </w:p>
    <w:p w14:paraId="3F69DE2E">
      <w:pPr>
        <w:spacing w:line="600" w:lineRule="exact"/>
        <w:ind w:firstLine="640" w:firstLineChars="200"/>
        <w:rPr>
          <w:rFonts w:hint="eastAsia" w:ascii="仿宋_GB2312" w:hAnsi="宋体" w:eastAsia="仿宋_GB2312"/>
          <w:sz w:val="32"/>
          <w:szCs w:val="32"/>
          <w:lang w:val="zh-CN"/>
        </w:rPr>
      </w:pPr>
      <w:r>
        <w:rPr>
          <w:rFonts w:hint="eastAsia" w:eastAsia="仿宋_GB2312"/>
          <w:sz w:val="32"/>
          <w:szCs w:val="32"/>
        </w:rPr>
        <w:t>该项目采取自评方式进行，成立项目自评小组，结合评价内容，做到有计划有安排，扎实开展本次自评工作。按照上级下达的项目绩效评价指标体系，自评小组针对申报内容、实施情况、资金兑现、财务管理、社会效益等认真开展了自评工作。</w:t>
      </w:r>
    </w:p>
    <w:p w14:paraId="2838544E">
      <w:pPr>
        <w:spacing w:line="578" w:lineRule="exact"/>
        <w:ind w:firstLine="640"/>
        <w:rPr>
          <w:rFonts w:eastAsia="仿宋_GB2312"/>
          <w:bCs/>
        </w:rPr>
      </w:pPr>
      <w:r>
        <w:rPr>
          <w:rFonts w:hint="eastAsia" w:eastAsia="楷体_GB2312"/>
          <w:b/>
          <w:sz w:val="32"/>
          <w:szCs w:val="32"/>
          <w:lang w:val="zh-CN"/>
        </w:rPr>
        <w:t>（五）评价组织。</w:t>
      </w:r>
      <w:r>
        <w:rPr>
          <w:rFonts w:hint="eastAsia" w:eastAsia="仿宋_GB2312" w:cs="仿宋_GB2312"/>
          <w:kern w:val="0"/>
          <w:sz w:val="32"/>
          <w:szCs w:val="32"/>
          <w:lang w:val="zh-CN"/>
        </w:rPr>
        <w:t>评价组人员为区纪委办公室工作人员。</w:t>
      </w:r>
    </w:p>
    <w:p w14:paraId="1F26B2F1">
      <w:pPr>
        <w:adjustRightInd w:val="0"/>
        <w:snapToGrid w:val="0"/>
        <w:spacing w:line="578" w:lineRule="exact"/>
        <w:ind w:firstLine="640" w:firstLineChars="200"/>
        <w:rPr>
          <w:sz w:val="32"/>
          <w:szCs w:val="32"/>
          <w:lang w:val="zh-CN"/>
        </w:rPr>
      </w:pPr>
      <w:r>
        <w:rPr>
          <w:rFonts w:hint="eastAsia" w:eastAsia="黑体"/>
          <w:sz w:val="32"/>
          <w:szCs w:val="32"/>
        </w:rPr>
        <w:t>三、绩效分析</w:t>
      </w:r>
      <w:r>
        <w:rPr>
          <w:rFonts w:hint="eastAsia"/>
          <w:sz w:val="32"/>
          <w:szCs w:val="32"/>
          <w:lang w:val="zh-CN"/>
        </w:rPr>
        <w:tab/>
      </w:r>
    </w:p>
    <w:p w14:paraId="6556A038">
      <w:pPr>
        <w:spacing w:line="578" w:lineRule="exact"/>
        <w:ind w:firstLine="640"/>
        <w:rPr>
          <w:rFonts w:eastAsia="楷体_GB2312"/>
          <w:b/>
          <w:sz w:val="32"/>
          <w:szCs w:val="32"/>
        </w:rPr>
      </w:pPr>
      <w:r>
        <w:rPr>
          <w:rFonts w:hint="eastAsia" w:eastAsia="楷体_GB2312"/>
          <w:b/>
          <w:sz w:val="32"/>
          <w:szCs w:val="32"/>
          <w:lang w:val="zh-CN"/>
        </w:rPr>
        <w:t>（一）</w:t>
      </w:r>
      <w:r>
        <w:rPr>
          <w:rFonts w:hint="eastAsia" w:eastAsia="楷体_GB2312"/>
          <w:b/>
          <w:sz w:val="32"/>
          <w:szCs w:val="32"/>
        </w:rPr>
        <w:t>通用指标</w:t>
      </w:r>
      <w:r>
        <w:rPr>
          <w:rFonts w:eastAsia="楷体_GB2312"/>
          <w:b/>
          <w:bCs/>
          <w:color w:val="000000"/>
          <w:kern w:val="0"/>
          <w:sz w:val="32"/>
          <w:szCs w:val="32"/>
          <w:shd w:val="clear" w:color="auto" w:fill="FFFFFF"/>
          <w:lang w:val="zh-CN"/>
        </w:rPr>
        <w:t>绩效分析。</w:t>
      </w:r>
    </w:p>
    <w:p w14:paraId="47887B62">
      <w:pPr>
        <w:spacing w:line="600" w:lineRule="exact"/>
        <w:ind w:firstLine="640" w:firstLineChars="200"/>
        <w:rPr>
          <w:rFonts w:hint="eastAsia" w:eastAsia="仿宋_GB2312"/>
          <w:sz w:val="32"/>
          <w:szCs w:val="32"/>
        </w:rPr>
      </w:pPr>
      <w:r>
        <w:rPr>
          <w:rFonts w:hint="eastAsia" w:eastAsia="仿宋_GB2312"/>
          <w:sz w:val="32"/>
          <w:szCs w:val="32"/>
        </w:rPr>
        <w:t>办案、党风廉政建设和巡察专项经费在使用中，根据实际发生的支出项目，严格按照财务资金管理办法对资金进行计划申请、划拨、使用，及时、规范对收支进行账务处理和会计核算。</w:t>
      </w:r>
    </w:p>
    <w:p w14:paraId="7E9C8189">
      <w:pPr>
        <w:numPr>
          <w:ilvl w:val="0"/>
          <w:numId w:val="6"/>
        </w:numPr>
        <w:spacing w:line="600" w:lineRule="exact"/>
        <w:ind w:firstLine="643" w:firstLineChars="200"/>
        <w:rPr>
          <w:rFonts w:eastAsia="楷体_GB2312"/>
          <w:b/>
          <w:bCs/>
          <w:color w:val="000000"/>
          <w:kern w:val="0"/>
          <w:sz w:val="32"/>
          <w:szCs w:val="32"/>
          <w:shd w:val="clear" w:color="auto" w:fill="FFFFFF"/>
          <w:lang w:val="zh-CN"/>
        </w:rPr>
      </w:pPr>
      <w:r>
        <w:rPr>
          <w:rFonts w:hint="eastAsia" w:eastAsia="楷体_GB2312"/>
          <w:b/>
          <w:sz w:val="32"/>
          <w:szCs w:val="32"/>
        </w:rPr>
        <w:t>专用指标</w:t>
      </w:r>
      <w:r>
        <w:rPr>
          <w:rFonts w:eastAsia="楷体_GB2312"/>
          <w:b/>
          <w:bCs/>
          <w:color w:val="000000"/>
          <w:kern w:val="0"/>
          <w:sz w:val="32"/>
          <w:szCs w:val="32"/>
          <w:shd w:val="clear" w:color="auto" w:fill="FFFFFF"/>
          <w:lang w:val="zh-CN"/>
        </w:rPr>
        <w:t>绩效分析。</w:t>
      </w:r>
    </w:p>
    <w:p w14:paraId="5DD963E9">
      <w:pPr>
        <w:spacing w:line="578" w:lineRule="exact"/>
        <w:ind w:firstLine="640"/>
        <w:rPr>
          <w:rFonts w:eastAsia="仿宋_GB2312" w:cs="仿宋_GB2312"/>
          <w:kern w:val="0"/>
          <w:sz w:val="32"/>
          <w:szCs w:val="32"/>
        </w:rPr>
      </w:pPr>
      <w:r>
        <w:rPr>
          <w:rFonts w:hint="eastAsia" w:eastAsia="仿宋_GB2312"/>
          <w:sz w:val="32"/>
          <w:szCs w:val="32"/>
        </w:rPr>
        <w:t>项目资金由区纪委财务具体管理，按照投资计划制定管理制度，实行“专款专用、专人管理”，不得挤占挪用项目资金。强化监督，项目的正常实施监督检查是保障，指派专人对项目实施定期或不定期</w:t>
      </w:r>
      <w:bookmarkStart w:id="62" w:name="_GoBack"/>
      <w:r>
        <w:rPr>
          <w:rFonts w:hint="eastAsia" w:eastAsia="仿宋_GB2312"/>
          <w:sz w:val="32"/>
          <w:szCs w:val="32"/>
          <w:lang w:eastAsia="zh-CN"/>
        </w:rPr>
        <w:t>地</w:t>
      </w:r>
      <w:bookmarkEnd w:id="62"/>
      <w:r>
        <w:rPr>
          <w:rFonts w:hint="eastAsia" w:eastAsia="仿宋_GB2312"/>
          <w:sz w:val="32"/>
          <w:szCs w:val="32"/>
        </w:rPr>
        <w:t>进行现场检查和监督，及时协调、解决项目实施中遇到的困难和问题，保证项目进度和平台实用性。</w:t>
      </w:r>
    </w:p>
    <w:p w14:paraId="425ACB40">
      <w:pPr>
        <w:numPr>
          <w:ilvl w:val="0"/>
          <w:numId w:val="6"/>
        </w:numPr>
        <w:spacing w:line="578" w:lineRule="exact"/>
        <w:ind w:left="0" w:leftChars="0" w:firstLine="643" w:firstLineChars="200"/>
        <w:rPr>
          <w:rFonts w:eastAsia="楷体_GB2312"/>
          <w:b/>
          <w:bCs/>
          <w:color w:val="000000"/>
          <w:kern w:val="0"/>
          <w:sz w:val="32"/>
          <w:szCs w:val="32"/>
          <w:shd w:val="clear" w:color="auto" w:fill="FFFFFF"/>
          <w:lang w:val="zh-CN"/>
        </w:rPr>
      </w:pPr>
      <w:r>
        <w:rPr>
          <w:rFonts w:hint="eastAsia" w:eastAsia="楷体_GB2312"/>
          <w:b/>
          <w:sz w:val="32"/>
          <w:szCs w:val="32"/>
        </w:rPr>
        <w:t>个性指标</w:t>
      </w:r>
      <w:r>
        <w:rPr>
          <w:rFonts w:eastAsia="楷体_GB2312"/>
          <w:b/>
          <w:bCs/>
          <w:color w:val="000000"/>
          <w:kern w:val="0"/>
          <w:sz w:val="32"/>
          <w:szCs w:val="32"/>
          <w:shd w:val="clear" w:color="auto" w:fill="FFFFFF"/>
          <w:lang w:val="zh-CN"/>
        </w:rPr>
        <w:t>绩效分析。</w:t>
      </w:r>
    </w:p>
    <w:p w14:paraId="24D761C7">
      <w:pPr>
        <w:pStyle w:val="2"/>
        <w:rPr>
          <w:rFonts w:hint="default" w:ascii="Times New Roman" w:hAnsi="Times New Roman" w:eastAsia="仿宋_GB2312" w:cs="Times New Roman"/>
          <w:color w:val="auto"/>
          <w:kern w:val="2"/>
          <w:sz w:val="32"/>
          <w:szCs w:val="32"/>
          <w:lang w:val="en-US" w:eastAsia="zh-CN" w:bidi="ar-SA"/>
        </w:rPr>
      </w:pPr>
      <w:r>
        <w:rPr>
          <w:rFonts w:hint="eastAsia" w:eastAsia="楷体_GB2312"/>
          <w:b/>
          <w:bCs/>
          <w:color w:val="000000"/>
          <w:kern w:val="0"/>
          <w:sz w:val="32"/>
          <w:szCs w:val="32"/>
          <w:shd w:val="clear" w:color="auto" w:fill="FFFFFF"/>
          <w:lang w:val="en-US" w:eastAsia="zh-CN"/>
        </w:rPr>
        <w:t xml:space="preserve">   </w:t>
      </w:r>
      <w:r>
        <w:rPr>
          <w:rFonts w:hint="eastAsia" w:ascii="Times New Roman" w:hAnsi="Times New Roman" w:eastAsia="仿宋_GB2312" w:cs="Times New Roman"/>
          <w:color w:val="auto"/>
          <w:kern w:val="2"/>
          <w:sz w:val="32"/>
          <w:szCs w:val="32"/>
          <w:lang w:val="en-US" w:eastAsia="zh-CN" w:bidi="ar-SA"/>
        </w:rPr>
        <w:t xml:space="preserve"> 无。</w:t>
      </w:r>
    </w:p>
    <w:p w14:paraId="09063943">
      <w:pPr>
        <w:numPr>
          <w:ilvl w:val="0"/>
          <w:numId w:val="0"/>
        </w:numPr>
        <w:spacing w:line="578" w:lineRule="exact"/>
        <w:ind w:leftChars="200" w:firstLine="320" w:firstLineChars="100"/>
        <w:rPr>
          <w:rFonts w:ascii="黑体" w:hAnsi="黑体" w:eastAsia="黑体" w:cs="黑体"/>
          <w:kern w:val="0"/>
          <w:sz w:val="32"/>
          <w:szCs w:val="32"/>
        </w:rPr>
      </w:pPr>
      <w:r>
        <w:rPr>
          <w:rFonts w:hint="eastAsia" w:ascii="黑体" w:hAnsi="黑体" w:eastAsia="黑体" w:cs="黑体"/>
          <w:kern w:val="0"/>
          <w:sz w:val="32"/>
          <w:szCs w:val="32"/>
        </w:rPr>
        <w:t>四、评价结论</w:t>
      </w:r>
    </w:p>
    <w:p w14:paraId="1286778A">
      <w:pPr>
        <w:spacing w:line="600" w:lineRule="exact"/>
        <w:ind w:firstLine="640" w:firstLineChars="200"/>
        <w:rPr>
          <w:rFonts w:hint="eastAsia" w:eastAsia="仿宋_GB2312"/>
          <w:sz w:val="32"/>
          <w:szCs w:val="32"/>
        </w:rPr>
      </w:pPr>
      <w:r>
        <w:rPr>
          <w:rFonts w:hint="eastAsia" w:eastAsia="仿宋_GB2312"/>
          <w:sz w:val="32"/>
          <w:szCs w:val="32"/>
        </w:rPr>
        <w:t>按照计划时间节点，区纪委监委已圆满完成该项目目标绩效考核任务。</w:t>
      </w:r>
    </w:p>
    <w:p w14:paraId="5DBCE4D3">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五、存在主要问题</w:t>
      </w:r>
    </w:p>
    <w:p w14:paraId="2537B144">
      <w:pPr>
        <w:spacing w:line="578" w:lineRule="exact"/>
        <w:ind w:firstLine="640"/>
        <w:rPr>
          <w:rFonts w:eastAsia="仿宋_GB2312" w:cs="仿宋_GB2312"/>
          <w:kern w:val="0"/>
          <w:sz w:val="32"/>
          <w:szCs w:val="32"/>
        </w:rPr>
      </w:pPr>
      <w:r>
        <w:rPr>
          <w:rFonts w:hint="eastAsia" w:eastAsia="仿宋_GB2312" w:cs="仿宋_GB2312"/>
          <w:kern w:val="0"/>
          <w:sz w:val="32"/>
          <w:szCs w:val="32"/>
          <w:lang w:eastAsia="zh-CN"/>
        </w:rPr>
        <w:t>无</w:t>
      </w:r>
      <w:r>
        <w:rPr>
          <w:rFonts w:hint="eastAsia" w:eastAsia="仿宋_GB2312" w:cs="仿宋_GB2312"/>
          <w:kern w:val="0"/>
          <w:sz w:val="32"/>
          <w:szCs w:val="32"/>
        </w:rPr>
        <w:t>。</w:t>
      </w:r>
    </w:p>
    <w:p w14:paraId="3C53661C">
      <w:pPr>
        <w:spacing w:line="578" w:lineRule="exact"/>
        <w:ind w:firstLine="640"/>
        <w:rPr>
          <w:rFonts w:ascii="黑体" w:hAnsi="黑体" w:eastAsia="黑体" w:cs="黑体"/>
          <w:kern w:val="0"/>
          <w:sz w:val="32"/>
          <w:szCs w:val="32"/>
          <w:lang w:val="zh-CN"/>
        </w:rPr>
      </w:pPr>
      <w:r>
        <w:rPr>
          <w:rFonts w:hint="eastAsia" w:ascii="黑体" w:hAnsi="黑体" w:eastAsia="黑体" w:cs="黑体"/>
          <w:kern w:val="0"/>
          <w:sz w:val="32"/>
          <w:szCs w:val="32"/>
          <w:lang w:val="zh-CN"/>
        </w:rPr>
        <w:t>六、改进建议</w:t>
      </w:r>
    </w:p>
    <w:p w14:paraId="26256993">
      <w:pPr>
        <w:spacing w:line="578" w:lineRule="exact"/>
        <w:ind w:firstLine="640"/>
        <w:rPr>
          <w:rFonts w:eastAsia="仿宋_GB2312" w:cs="仿宋_GB2312"/>
          <w:kern w:val="0"/>
          <w:sz w:val="32"/>
          <w:szCs w:val="32"/>
        </w:rPr>
      </w:pPr>
      <w:r>
        <w:rPr>
          <w:rFonts w:hint="eastAsia" w:eastAsia="仿宋_GB2312" w:cs="仿宋_GB2312"/>
          <w:kern w:val="0"/>
          <w:sz w:val="32"/>
          <w:szCs w:val="32"/>
          <w:lang w:eastAsia="zh-CN"/>
        </w:rPr>
        <w:t>无</w:t>
      </w:r>
      <w:r>
        <w:rPr>
          <w:rFonts w:hint="eastAsia" w:eastAsia="仿宋_GB2312" w:cs="仿宋_GB2312"/>
          <w:kern w:val="0"/>
          <w:sz w:val="32"/>
          <w:szCs w:val="32"/>
        </w:rPr>
        <w:t>。</w:t>
      </w:r>
    </w:p>
    <w:p w14:paraId="07EF308D">
      <w:pPr>
        <w:spacing w:line="578" w:lineRule="exact"/>
        <w:ind w:firstLine="640"/>
        <w:rPr>
          <w:rFonts w:eastAsia="仿宋_GB2312" w:cs="仿宋_GB2312"/>
          <w:kern w:val="0"/>
          <w:sz w:val="32"/>
          <w:szCs w:val="32"/>
        </w:rPr>
      </w:pPr>
    </w:p>
    <w:p w14:paraId="7C0217C5">
      <w:pPr>
        <w:spacing w:line="578" w:lineRule="exact"/>
        <w:ind w:firstLine="640"/>
        <w:rPr>
          <w:rFonts w:eastAsia="仿宋_GB2312" w:cs="仿宋_GB2312"/>
          <w:kern w:val="0"/>
          <w:sz w:val="32"/>
          <w:szCs w:val="32"/>
        </w:rPr>
      </w:pPr>
    </w:p>
    <w:p w14:paraId="5DFD0842">
      <w:pPr>
        <w:spacing w:line="578" w:lineRule="exact"/>
        <w:ind w:firstLine="640"/>
        <w:rPr>
          <w:rFonts w:eastAsia="仿宋_GB2312" w:cs="仿宋_GB2312"/>
          <w:kern w:val="0"/>
          <w:sz w:val="32"/>
          <w:szCs w:val="32"/>
        </w:rPr>
      </w:pPr>
      <w:bookmarkStart w:id="48" w:name="_Toc15396618"/>
      <w:r>
        <w:rPr>
          <w:rFonts w:hint="eastAsia" w:eastAsia="仿宋_GB2312" w:cs="仿宋_GB2312"/>
          <w:kern w:val="0"/>
          <w:sz w:val="32"/>
          <w:szCs w:val="32"/>
        </w:rPr>
        <w:br w:type="page"/>
      </w:r>
    </w:p>
    <w:p w14:paraId="5145BD15">
      <w:pPr>
        <w:widowControl/>
        <w:jc w:val="center"/>
        <w:rPr>
          <w:rFonts w:eastAsia="仿宋"/>
        </w:rPr>
      </w:pPr>
      <w:r>
        <w:rPr>
          <w:rFonts w:hint="eastAsia" w:eastAsia="黑体"/>
          <w:sz w:val="44"/>
          <w:szCs w:val="44"/>
        </w:rPr>
        <w:t>第</w:t>
      </w:r>
      <w:r>
        <w:rPr>
          <w:rStyle w:val="28"/>
          <w:rFonts w:hint="eastAsia" w:eastAsia="黑体"/>
          <w:b w:val="0"/>
        </w:rPr>
        <w:t>五部分 附表</w:t>
      </w:r>
      <w:bookmarkEnd w:id="48"/>
      <w:bookmarkStart w:id="49" w:name="_Toc15396619"/>
    </w:p>
    <w:p w14:paraId="04274FE7">
      <w:pPr>
        <w:pStyle w:val="15"/>
        <w:adjustRightInd w:val="0"/>
        <w:snapToGrid w:val="0"/>
        <w:spacing w:line="560" w:lineRule="exact"/>
        <w:jc w:val="left"/>
        <w:rPr>
          <w:rFonts w:eastAsia="仿宋_GB2312" w:cs="仿宋_GB2312"/>
          <w:sz w:val="32"/>
          <w:szCs w:val="32"/>
        </w:rPr>
      </w:pPr>
    </w:p>
    <w:p w14:paraId="5ACB520F">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9"/>
    </w:p>
    <w:p w14:paraId="091D7E71">
      <w:pPr>
        <w:pStyle w:val="15"/>
        <w:adjustRightInd w:val="0"/>
        <w:snapToGrid w:val="0"/>
        <w:spacing w:line="560" w:lineRule="exact"/>
        <w:jc w:val="left"/>
        <w:rPr>
          <w:rFonts w:eastAsia="仿宋_GB2312" w:cs="仿宋_GB2312"/>
          <w:sz w:val="32"/>
          <w:szCs w:val="32"/>
        </w:rPr>
      </w:pPr>
      <w:bookmarkStart w:id="50" w:name="_Toc15396620"/>
      <w:r>
        <w:rPr>
          <w:rFonts w:hint="eastAsia" w:eastAsia="仿宋_GB2312" w:cs="仿宋_GB2312"/>
          <w:sz w:val="32"/>
          <w:szCs w:val="32"/>
        </w:rPr>
        <w:t>二、收入决算表</w:t>
      </w:r>
      <w:bookmarkEnd w:id="50"/>
    </w:p>
    <w:p w14:paraId="666D1E46">
      <w:pPr>
        <w:pStyle w:val="15"/>
        <w:adjustRightInd w:val="0"/>
        <w:snapToGrid w:val="0"/>
        <w:spacing w:line="560" w:lineRule="exact"/>
        <w:jc w:val="left"/>
        <w:rPr>
          <w:rFonts w:eastAsia="仿宋_GB2312" w:cs="仿宋_GB2312"/>
          <w:sz w:val="32"/>
          <w:szCs w:val="32"/>
        </w:rPr>
      </w:pPr>
      <w:bookmarkStart w:id="51" w:name="_Toc15396621"/>
      <w:r>
        <w:rPr>
          <w:rFonts w:hint="eastAsia" w:eastAsia="仿宋_GB2312" w:cs="仿宋_GB2312"/>
          <w:sz w:val="32"/>
          <w:szCs w:val="32"/>
        </w:rPr>
        <w:t>三、支出决算表</w:t>
      </w:r>
      <w:bookmarkEnd w:id="51"/>
    </w:p>
    <w:p w14:paraId="7090776A">
      <w:pPr>
        <w:pStyle w:val="15"/>
        <w:adjustRightInd w:val="0"/>
        <w:snapToGrid w:val="0"/>
        <w:spacing w:line="560" w:lineRule="exact"/>
        <w:jc w:val="left"/>
        <w:rPr>
          <w:rFonts w:eastAsia="仿宋_GB2312" w:cs="仿宋_GB2312"/>
          <w:sz w:val="32"/>
          <w:szCs w:val="32"/>
        </w:rPr>
      </w:pPr>
      <w:bookmarkStart w:id="52" w:name="_Toc15396622"/>
      <w:r>
        <w:rPr>
          <w:rFonts w:hint="eastAsia" w:eastAsia="仿宋_GB2312" w:cs="仿宋_GB2312"/>
          <w:sz w:val="32"/>
          <w:szCs w:val="32"/>
        </w:rPr>
        <w:t>四、财政拨款收入支出决算总表</w:t>
      </w:r>
      <w:bookmarkEnd w:id="52"/>
    </w:p>
    <w:p w14:paraId="38DFC625">
      <w:pPr>
        <w:pStyle w:val="15"/>
        <w:adjustRightInd w:val="0"/>
        <w:snapToGrid w:val="0"/>
        <w:spacing w:line="560" w:lineRule="exact"/>
        <w:jc w:val="left"/>
        <w:rPr>
          <w:rFonts w:eastAsia="仿宋_GB2312" w:cs="仿宋_GB2312"/>
          <w:sz w:val="32"/>
          <w:szCs w:val="32"/>
        </w:rPr>
      </w:pPr>
      <w:bookmarkStart w:id="53" w:name="_Toc15396623"/>
      <w:r>
        <w:rPr>
          <w:rFonts w:hint="eastAsia" w:eastAsia="仿宋_GB2312" w:cs="仿宋_GB2312"/>
          <w:sz w:val="32"/>
          <w:szCs w:val="32"/>
        </w:rPr>
        <w:t>五、财政拨款支出决算明细表</w:t>
      </w:r>
      <w:bookmarkEnd w:id="53"/>
      <w:bookmarkStart w:id="54" w:name="_Toc15396624"/>
    </w:p>
    <w:p w14:paraId="0FC39832">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4"/>
    </w:p>
    <w:p w14:paraId="242B455A">
      <w:pPr>
        <w:pStyle w:val="15"/>
        <w:adjustRightInd w:val="0"/>
        <w:snapToGrid w:val="0"/>
        <w:spacing w:line="560" w:lineRule="exact"/>
        <w:jc w:val="left"/>
        <w:rPr>
          <w:rFonts w:eastAsia="仿宋_GB2312" w:cs="仿宋_GB2312"/>
          <w:sz w:val="32"/>
          <w:szCs w:val="32"/>
        </w:rPr>
      </w:pPr>
      <w:bookmarkStart w:id="55" w:name="_Toc15396625"/>
      <w:r>
        <w:rPr>
          <w:rFonts w:hint="eastAsia" w:eastAsia="仿宋_GB2312" w:cs="仿宋_GB2312"/>
          <w:sz w:val="32"/>
          <w:szCs w:val="32"/>
        </w:rPr>
        <w:t>七、一般公共预算财政拨款支出决算明细表</w:t>
      </w:r>
      <w:bookmarkEnd w:id="55"/>
    </w:p>
    <w:p w14:paraId="2405A341">
      <w:pPr>
        <w:pStyle w:val="15"/>
        <w:adjustRightInd w:val="0"/>
        <w:snapToGrid w:val="0"/>
        <w:spacing w:line="560" w:lineRule="exact"/>
        <w:jc w:val="left"/>
        <w:rPr>
          <w:rFonts w:eastAsia="仿宋_GB2312" w:cs="仿宋_GB2312"/>
          <w:sz w:val="32"/>
          <w:szCs w:val="32"/>
        </w:rPr>
      </w:pPr>
      <w:bookmarkStart w:id="56" w:name="_Toc15396626"/>
      <w:r>
        <w:rPr>
          <w:rFonts w:hint="eastAsia" w:eastAsia="仿宋_GB2312" w:cs="仿宋_GB2312"/>
          <w:sz w:val="32"/>
          <w:szCs w:val="32"/>
        </w:rPr>
        <w:t>八、一般公共预算财政拨款基本支出决算表</w:t>
      </w:r>
      <w:bookmarkEnd w:id="56"/>
    </w:p>
    <w:p w14:paraId="219958B0">
      <w:pPr>
        <w:pStyle w:val="15"/>
        <w:adjustRightInd w:val="0"/>
        <w:snapToGrid w:val="0"/>
        <w:spacing w:line="560" w:lineRule="exact"/>
        <w:jc w:val="left"/>
        <w:rPr>
          <w:rFonts w:eastAsia="仿宋_GB2312" w:cs="仿宋_GB2312"/>
          <w:sz w:val="32"/>
          <w:szCs w:val="32"/>
        </w:rPr>
      </w:pPr>
      <w:bookmarkStart w:id="57" w:name="_Toc15396627"/>
      <w:r>
        <w:rPr>
          <w:rFonts w:hint="eastAsia" w:eastAsia="仿宋_GB2312" w:cs="仿宋_GB2312"/>
          <w:sz w:val="32"/>
          <w:szCs w:val="32"/>
        </w:rPr>
        <w:t>九、一般公共预算财政拨款项目支出决算表</w:t>
      </w:r>
      <w:bookmarkEnd w:id="57"/>
    </w:p>
    <w:p w14:paraId="7ABBA550">
      <w:pPr>
        <w:pStyle w:val="15"/>
        <w:adjustRightInd w:val="0"/>
        <w:snapToGrid w:val="0"/>
        <w:spacing w:line="560" w:lineRule="exact"/>
        <w:jc w:val="left"/>
        <w:rPr>
          <w:rFonts w:eastAsia="仿宋_GB2312" w:cs="仿宋_GB2312"/>
          <w:sz w:val="32"/>
          <w:szCs w:val="32"/>
        </w:rPr>
      </w:pPr>
      <w:bookmarkStart w:id="58" w:name="_Toc15396628"/>
      <w:r>
        <w:rPr>
          <w:rFonts w:hint="eastAsia" w:eastAsia="仿宋_GB2312" w:cs="仿宋_GB2312"/>
          <w:sz w:val="32"/>
          <w:szCs w:val="32"/>
        </w:rPr>
        <w:t>十、</w:t>
      </w:r>
      <w:bookmarkEnd w:id="58"/>
      <w:r>
        <w:rPr>
          <w:rFonts w:hint="eastAsia" w:eastAsia="仿宋_GB2312" w:cs="仿宋_GB2312"/>
          <w:sz w:val="32"/>
          <w:szCs w:val="32"/>
        </w:rPr>
        <w:t>政府性基金预算财政拨款收入支出决算表</w:t>
      </w:r>
    </w:p>
    <w:p w14:paraId="592BAA1B">
      <w:pPr>
        <w:pStyle w:val="15"/>
        <w:adjustRightInd w:val="0"/>
        <w:snapToGrid w:val="0"/>
        <w:spacing w:line="560" w:lineRule="exact"/>
        <w:jc w:val="left"/>
        <w:rPr>
          <w:rFonts w:eastAsia="仿宋_GB2312" w:cs="仿宋_GB2312"/>
          <w:sz w:val="32"/>
          <w:szCs w:val="32"/>
        </w:rPr>
      </w:pPr>
      <w:bookmarkStart w:id="59" w:name="_Toc15396629"/>
      <w:r>
        <w:rPr>
          <w:rFonts w:hint="eastAsia" w:eastAsia="仿宋_GB2312" w:cs="仿宋_GB2312"/>
          <w:sz w:val="32"/>
          <w:szCs w:val="32"/>
        </w:rPr>
        <w:t>十一、</w:t>
      </w:r>
      <w:bookmarkEnd w:id="59"/>
      <w:r>
        <w:rPr>
          <w:rFonts w:hint="eastAsia" w:eastAsia="仿宋_GB2312" w:cs="仿宋_GB2312"/>
          <w:sz w:val="32"/>
          <w:szCs w:val="32"/>
        </w:rPr>
        <w:t>国有资本经营预算财政拨款收入支出决算表</w:t>
      </w:r>
    </w:p>
    <w:p w14:paraId="1679E8CA">
      <w:pPr>
        <w:pStyle w:val="15"/>
        <w:adjustRightInd w:val="0"/>
        <w:snapToGrid w:val="0"/>
        <w:spacing w:line="560" w:lineRule="exact"/>
        <w:jc w:val="left"/>
        <w:rPr>
          <w:rFonts w:eastAsia="仿宋_GB2312" w:cs="仿宋_GB2312"/>
          <w:sz w:val="32"/>
          <w:szCs w:val="32"/>
        </w:rPr>
      </w:pPr>
      <w:bookmarkStart w:id="60" w:name="_Toc15396630"/>
      <w:r>
        <w:rPr>
          <w:rFonts w:hint="eastAsia" w:eastAsia="仿宋_GB2312" w:cs="仿宋_GB2312"/>
          <w:sz w:val="32"/>
          <w:szCs w:val="32"/>
        </w:rPr>
        <w:t>十二、</w:t>
      </w:r>
      <w:bookmarkEnd w:id="60"/>
      <w:r>
        <w:rPr>
          <w:rFonts w:hint="eastAsia" w:eastAsia="仿宋_GB2312" w:cs="仿宋_GB2312"/>
          <w:sz w:val="32"/>
          <w:szCs w:val="32"/>
        </w:rPr>
        <w:t>国有资本经营预算财政拨款支出决算表</w:t>
      </w:r>
    </w:p>
    <w:p w14:paraId="7B588341">
      <w:pPr>
        <w:pStyle w:val="15"/>
        <w:adjustRightInd w:val="0"/>
        <w:snapToGrid w:val="0"/>
        <w:spacing w:line="560" w:lineRule="exact"/>
        <w:jc w:val="left"/>
        <w:rPr>
          <w:rFonts w:eastAsia="仿宋_GB2312" w:cs="仿宋_GB2312"/>
          <w:sz w:val="32"/>
          <w:szCs w:val="32"/>
        </w:rPr>
      </w:pPr>
      <w:bookmarkStart w:id="61" w:name="_Toc15396631"/>
      <w:r>
        <w:rPr>
          <w:rFonts w:hint="eastAsia" w:eastAsia="仿宋_GB2312" w:cs="仿宋_GB2312"/>
          <w:sz w:val="32"/>
          <w:szCs w:val="32"/>
        </w:rPr>
        <w:t>十三、</w:t>
      </w:r>
      <w:bookmarkEnd w:id="61"/>
      <w:r>
        <w:rPr>
          <w:rFonts w:hint="eastAsia" w:eastAsia="仿宋_GB2312" w:cs="仿宋_GB2312"/>
          <w:sz w:val="32"/>
          <w:szCs w:val="32"/>
        </w:rPr>
        <w:t>财政拨款“三公”经费支出决算表</w:t>
      </w:r>
    </w:p>
    <w:p w14:paraId="7E604548"/>
    <w:sectPr>
      <w:footerReference r:id="rId12"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CF837">
    <w:pPr>
      <w:pStyle w:val="11"/>
      <w:jc w:val="center"/>
    </w:pPr>
  </w:p>
  <w:p w14:paraId="0890D3B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E048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85683">
    <w:pPr>
      <w:pStyle w:val="11"/>
    </w:pPr>
    <w:r>
      <w:rPr>
        <w:sz w:val="18"/>
      </w:rPr>
      <w:pict>
        <v:shape id="_x0000_s1033" o:spid="_x0000_s103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C067111">
                <w:pPr>
                  <w:pStyle w:val="11"/>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D2047">
    <w:pPr>
      <w:pStyle w:val="11"/>
      <w:jc w:val="center"/>
    </w:pPr>
  </w:p>
  <w:p w14:paraId="377F7811">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DF523">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17C51DD8">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595ED">
    <w:pPr>
      <w:pStyle w:val="11"/>
      <w:jc w:val="center"/>
    </w:pPr>
  </w:p>
  <w:p w14:paraId="634AEC2B">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B89DD">
    <w:pPr>
      <w:pStyle w:val="11"/>
      <w:jc w:val="center"/>
    </w:pPr>
    <w:r>
      <w:rPr>
        <w:sz w:val="18"/>
      </w:rPr>
      <w:pict>
        <v:shape id="_x0000_s1036" o:spid="_x0000_s1036"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2D8EC830">
                <w:pPr>
                  <w:pStyle w:val="11"/>
                </w:pPr>
                <w:r>
                  <w:fldChar w:fldCharType="begin"/>
                </w:r>
                <w:r>
                  <w:instrText xml:space="preserve"> PAGE  \* MERGEFORMAT </w:instrText>
                </w:r>
                <w:r>
                  <w:fldChar w:fldCharType="separate"/>
                </w:r>
                <w:r>
                  <w:t>1</w:t>
                </w:r>
                <w:r>
                  <w:fldChar w:fldCharType="end"/>
                </w:r>
              </w:p>
            </w:txbxContent>
          </v:textbox>
        </v:shape>
      </w:pict>
    </w:r>
  </w:p>
  <w:p w14:paraId="25D2CA7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EE461">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240B1">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3000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063EC"/>
    <w:multiLevelType w:val="singleLevel"/>
    <w:tmpl w:val="8A9063EC"/>
    <w:lvl w:ilvl="0" w:tentative="0">
      <w:start w:val="2"/>
      <w:numFmt w:val="chineseCounting"/>
      <w:suff w:val="nothing"/>
      <w:lvlText w:val="（%1）"/>
      <w:lvlJc w:val="left"/>
      <w:rPr>
        <w:rFonts w:hint="eastAsia"/>
      </w:rPr>
    </w:lvl>
  </w:abstractNum>
  <w:abstractNum w:abstractNumId="1">
    <w:nsid w:val="DA8ACB75"/>
    <w:multiLevelType w:val="singleLevel"/>
    <w:tmpl w:val="DA8ACB75"/>
    <w:lvl w:ilvl="0" w:tentative="0">
      <w:start w:val="3"/>
      <w:numFmt w:val="chineseCounting"/>
      <w:suff w:val="nothing"/>
      <w:lvlText w:val="（%1）"/>
      <w:lvlJc w:val="left"/>
      <w:rPr>
        <w:rFonts w:hint="eastAsia"/>
      </w:rPr>
    </w:lvl>
  </w:abstractNum>
  <w:abstractNum w:abstractNumId="2">
    <w:nsid w:val="F6DB8817"/>
    <w:multiLevelType w:val="singleLevel"/>
    <w:tmpl w:val="F6DB8817"/>
    <w:lvl w:ilvl="0" w:tentative="0">
      <w:start w:val="1"/>
      <w:numFmt w:val="decimal"/>
      <w:lvlText w:val="%1."/>
      <w:lvlJc w:val="left"/>
      <w:pPr>
        <w:tabs>
          <w:tab w:val="left" w:pos="312"/>
        </w:tabs>
      </w:pPr>
    </w:lvl>
  </w:abstractNum>
  <w:abstractNum w:abstractNumId="3">
    <w:nsid w:val="F9AB6E3C"/>
    <w:multiLevelType w:val="singleLevel"/>
    <w:tmpl w:val="F9AB6E3C"/>
    <w:lvl w:ilvl="0" w:tentative="0">
      <w:start w:val="2"/>
      <w:numFmt w:val="chineseCounting"/>
      <w:suff w:val="nothing"/>
      <w:lvlText w:val="（%1）"/>
      <w:lvlJc w:val="left"/>
      <w:rPr>
        <w:rFonts w:hint="eastAsia"/>
      </w:rPr>
    </w:lvl>
  </w:abstractNum>
  <w:abstractNum w:abstractNumId="4">
    <w:nsid w:val="6AE3E13C"/>
    <w:multiLevelType w:val="singleLevel"/>
    <w:tmpl w:val="6AE3E13C"/>
    <w:lvl w:ilvl="0" w:tentative="0">
      <w:start w:val="2"/>
      <w:numFmt w:val="chineseCounting"/>
      <w:suff w:val="nothing"/>
      <w:lvlText w:val="（%1）"/>
      <w:lvlJc w:val="left"/>
      <w:rPr>
        <w:rFonts w:hint="eastAsia"/>
      </w:rPr>
    </w:lvl>
  </w:abstractNum>
  <w:abstractNum w:abstractNumId="5">
    <w:nsid w:val="7FD7712F"/>
    <w:multiLevelType w:val="singleLevel"/>
    <w:tmpl w:val="7FD7712F"/>
    <w:lvl w:ilvl="0" w:tentative="0">
      <w:start w:val="1"/>
      <w:numFmt w:val="chineseCounting"/>
      <w:suff w:val="nothing"/>
      <w:lvlText w:val="%1、"/>
      <w:lvlJc w:val="left"/>
      <w:rPr>
        <w:rFonts w:hint="eastAsia"/>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271AA"/>
    <w:rsid w:val="000468DB"/>
    <w:rsid w:val="0006487A"/>
    <w:rsid w:val="00065F8F"/>
    <w:rsid w:val="00070A43"/>
    <w:rsid w:val="000768F2"/>
    <w:rsid w:val="0009184B"/>
    <w:rsid w:val="00094236"/>
    <w:rsid w:val="0009593C"/>
    <w:rsid w:val="00097322"/>
    <w:rsid w:val="000A0411"/>
    <w:rsid w:val="000A6A92"/>
    <w:rsid w:val="000B047F"/>
    <w:rsid w:val="000B5923"/>
    <w:rsid w:val="000B5A48"/>
    <w:rsid w:val="000B6823"/>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57E33"/>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642C3"/>
    <w:rsid w:val="00464E1D"/>
    <w:rsid w:val="00471401"/>
    <w:rsid w:val="00473F31"/>
    <w:rsid w:val="0048263A"/>
    <w:rsid w:val="00487E5D"/>
    <w:rsid w:val="004A711F"/>
    <w:rsid w:val="004B199D"/>
    <w:rsid w:val="004B4690"/>
    <w:rsid w:val="004E0A2D"/>
    <w:rsid w:val="004E206B"/>
    <w:rsid w:val="004E6DF7"/>
    <w:rsid w:val="004E76E0"/>
    <w:rsid w:val="004F0FBD"/>
    <w:rsid w:val="00505A47"/>
    <w:rsid w:val="00512FDA"/>
    <w:rsid w:val="00520DA0"/>
    <w:rsid w:val="005658A3"/>
    <w:rsid w:val="005664BB"/>
    <w:rsid w:val="00566FFA"/>
    <w:rsid w:val="0057481D"/>
    <w:rsid w:val="0058486E"/>
    <w:rsid w:val="00585B33"/>
    <w:rsid w:val="0059014D"/>
    <w:rsid w:val="005B5C64"/>
    <w:rsid w:val="005C5337"/>
    <w:rsid w:val="005C6BD0"/>
    <w:rsid w:val="005D1C8B"/>
    <w:rsid w:val="005D312E"/>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6F15F0"/>
    <w:rsid w:val="007127B7"/>
    <w:rsid w:val="0071798E"/>
    <w:rsid w:val="00725135"/>
    <w:rsid w:val="007416B6"/>
    <w:rsid w:val="00746F48"/>
    <w:rsid w:val="0075404D"/>
    <w:rsid w:val="0076182A"/>
    <w:rsid w:val="00767B7E"/>
    <w:rsid w:val="007770C3"/>
    <w:rsid w:val="00784D24"/>
    <w:rsid w:val="00785FBA"/>
    <w:rsid w:val="00786E4A"/>
    <w:rsid w:val="007875EB"/>
    <w:rsid w:val="0079426B"/>
    <w:rsid w:val="007A35FD"/>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42EBF"/>
    <w:rsid w:val="00850625"/>
    <w:rsid w:val="00853718"/>
    <w:rsid w:val="00855221"/>
    <w:rsid w:val="00860645"/>
    <w:rsid w:val="00860DAA"/>
    <w:rsid w:val="00862534"/>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472DA"/>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0B0"/>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228C"/>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20B9"/>
    <w:rsid w:val="00B14E76"/>
    <w:rsid w:val="00B161B8"/>
    <w:rsid w:val="00B2048C"/>
    <w:rsid w:val="00B310B9"/>
    <w:rsid w:val="00B35F3F"/>
    <w:rsid w:val="00B36CBB"/>
    <w:rsid w:val="00B425E0"/>
    <w:rsid w:val="00B440AA"/>
    <w:rsid w:val="00B44B70"/>
    <w:rsid w:val="00B46C56"/>
    <w:rsid w:val="00B53C56"/>
    <w:rsid w:val="00B57DAF"/>
    <w:rsid w:val="00B619CE"/>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7233C"/>
    <w:rsid w:val="00DA634F"/>
    <w:rsid w:val="00DA65AC"/>
    <w:rsid w:val="00DB1913"/>
    <w:rsid w:val="00DC410D"/>
    <w:rsid w:val="00DC5A81"/>
    <w:rsid w:val="00DC68CA"/>
    <w:rsid w:val="00DC7CBA"/>
    <w:rsid w:val="00DD73B7"/>
    <w:rsid w:val="00DF28BC"/>
    <w:rsid w:val="00DF34B9"/>
    <w:rsid w:val="00E01053"/>
    <w:rsid w:val="00E05AA0"/>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281683"/>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9C448B6"/>
    <w:rsid w:val="1B7D550C"/>
    <w:rsid w:val="1BE8440E"/>
    <w:rsid w:val="1D155CEE"/>
    <w:rsid w:val="1DE178F3"/>
    <w:rsid w:val="1E740ACF"/>
    <w:rsid w:val="1EC60178"/>
    <w:rsid w:val="1FF35744"/>
    <w:rsid w:val="1FF6BC77"/>
    <w:rsid w:val="21962A9E"/>
    <w:rsid w:val="21AE7C77"/>
    <w:rsid w:val="22BC3C41"/>
    <w:rsid w:val="23860B96"/>
    <w:rsid w:val="23F23130"/>
    <w:rsid w:val="240371BF"/>
    <w:rsid w:val="258B55EA"/>
    <w:rsid w:val="260F557C"/>
    <w:rsid w:val="281408E2"/>
    <w:rsid w:val="29FD04D3"/>
    <w:rsid w:val="2BFF7BC6"/>
    <w:rsid w:val="2C8A61B5"/>
    <w:rsid w:val="2D2E01CF"/>
    <w:rsid w:val="2DF04E50"/>
    <w:rsid w:val="2E9545B0"/>
    <w:rsid w:val="2EA339A5"/>
    <w:rsid w:val="2EC76F67"/>
    <w:rsid w:val="2F040D46"/>
    <w:rsid w:val="2FAE5751"/>
    <w:rsid w:val="2FB1A395"/>
    <w:rsid w:val="2FD9A7D8"/>
    <w:rsid w:val="2FFC2109"/>
    <w:rsid w:val="30F3425E"/>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733353"/>
    <w:rsid w:val="3D98207C"/>
    <w:rsid w:val="3D9B0D99"/>
    <w:rsid w:val="3DEE7CF3"/>
    <w:rsid w:val="3DF02244"/>
    <w:rsid w:val="3E78745D"/>
    <w:rsid w:val="3FF4CAE0"/>
    <w:rsid w:val="3FF7B227"/>
    <w:rsid w:val="4067629F"/>
    <w:rsid w:val="40E54C45"/>
    <w:rsid w:val="41313393"/>
    <w:rsid w:val="42D45D7A"/>
    <w:rsid w:val="43A407DF"/>
    <w:rsid w:val="43E22422"/>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868725B"/>
    <w:rsid w:val="596040BD"/>
    <w:rsid w:val="59F111B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B4418F"/>
    <w:rsid w:val="664B1D71"/>
    <w:rsid w:val="668F5FE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A333E3"/>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722E90"/>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0"/>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0"/>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正文文本1"/>
    <w:basedOn w:val="1"/>
    <w:qFormat/>
    <w:uiPriority w:val="0"/>
    <w:pPr>
      <w:spacing w:beforeLines="30"/>
    </w:pPr>
    <w:rPr>
      <w:rFonts w:ascii="仿宋_GB2312" w:eastAsia="仿宋_GB2312"/>
      <w:sz w:val="24"/>
    </w:rPr>
  </w:style>
  <w:style w:type="character" w:customStyle="1" w:styleId="36">
    <w:name w:val="正文首行缩进 2 Char"/>
    <w:basedOn w:val="17"/>
    <w:link w:val="37"/>
    <w:qFormat/>
    <w:uiPriority w:val="0"/>
    <w:rPr>
      <w:rFonts w:ascii="仿宋_GB2312"/>
      <w:kern w:val="2"/>
      <w:sz w:val="21"/>
      <w:szCs w:val="32"/>
    </w:rPr>
  </w:style>
  <w:style w:type="paragraph" w:customStyle="1" w:styleId="37">
    <w:name w:val="正文首行缩进 21"/>
    <w:basedOn w:val="1"/>
    <w:next w:val="1"/>
    <w:link w:val="36"/>
    <w:qFormat/>
    <w:uiPriority w:val="0"/>
    <w:pPr>
      <w:spacing w:after="120"/>
      <w:ind w:left="200" w:leftChars="200" w:firstLine="420" w:firstLineChars="200"/>
    </w:pPr>
    <w:rPr>
      <w:rFonts w:ascii="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chart" Target="charts/chart7.xml"/><Relationship Id="rId2" Type="http://schemas.openxmlformats.org/officeDocument/2006/relationships/settings" Target="settings.xml"/><Relationship Id="rId19" Type="http://schemas.openxmlformats.org/officeDocument/2006/relationships/chart" Target="charts/chart6.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844;&#24320;&#20915;&#31639;&#27604;&#23545;&#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收、支决算总计变动情况图（单位：万元）</a:t>
            </a:r>
            <a:endParaRPr lang="zh-CN" altLang="en-US"/>
          </a:p>
        </c:rich>
      </c:tx>
      <c:layout>
        <c:manualLayout>
          <c:xMode val="edge"/>
          <c:yMode val="edge"/>
          <c:x val="0.188708640335621"/>
          <c:y val="0.0369654531190981"/>
        </c:manualLayout>
      </c:layout>
      <c:overlay val="0"/>
      <c:spPr>
        <a:noFill/>
        <a:ln w="25400">
          <a:noFill/>
        </a:ln>
      </c:spPr>
    </c:title>
    <c:autoTitleDeleted val="0"/>
    <c:plotArea>
      <c:layout>
        <c:manualLayout>
          <c:layoutTarget val="inner"/>
          <c:xMode val="edge"/>
          <c:yMode val="edge"/>
          <c:x val="0.146550356937371"/>
          <c:y val="0.292027683234774"/>
          <c:w val="0.825098584948758"/>
          <c:h val="0.569269154660191"/>
        </c:manualLayout>
      </c:layout>
      <c:barChart>
        <c:barDir val="col"/>
        <c:grouping val="clustered"/>
        <c:varyColors val="0"/>
        <c:ser>
          <c:idx val="0"/>
          <c:order val="0"/>
          <c:tx>
            <c:strRef>
              <c:f>Sheet1!$B$5</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Sheet1!$C$5:$D$5</c:f>
              <c:numCache>
                <c:formatCode>General</c:formatCode>
                <c:ptCount val="2"/>
                <c:pt idx="0">
                  <c:v>1669.1</c:v>
                </c:pt>
                <c:pt idx="1">
                  <c:v>1669.1</c:v>
                </c:pt>
              </c:numCache>
            </c:numRef>
          </c:val>
        </c:ser>
        <c:ser>
          <c:idx val="1"/>
          <c:order val="1"/>
          <c:tx>
            <c:strRef>
              <c:f>Sheet1!$B$6</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Sheet1!$C$4:$D$4</c:f>
              <c:strCache>
                <c:ptCount val="2"/>
                <c:pt idx="0">
                  <c:v>收入</c:v>
                </c:pt>
                <c:pt idx="1">
                  <c:v>支出</c:v>
                </c:pt>
              </c:strCache>
            </c:strRef>
          </c:cat>
          <c:val>
            <c:numRef>
              <c:f>Sheet1!$C$6:$D$6</c:f>
              <c:numCache>
                <c:formatCode>General</c:formatCode>
                <c:ptCount val="2"/>
                <c:pt idx="0">
                  <c:v>1904.53</c:v>
                </c:pt>
                <c:pt idx="1">
                  <c:v>1904.53</c:v>
                </c:pt>
              </c:numCache>
            </c:numRef>
          </c:val>
        </c:ser>
        <c:dLbls>
          <c:showLegendKey val="0"/>
          <c:showVal val="1"/>
          <c:showCatName val="0"/>
          <c:showSerName val="0"/>
          <c:showPercent val="0"/>
          <c:showBubbleSize val="0"/>
        </c:dLbls>
        <c:gapWidth val="150"/>
        <c:axId val="126580992"/>
        <c:axId val="126582784"/>
      </c:barChart>
      <c:catAx>
        <c:axId val="126580992"/>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26582784"/>
        <c:crosses val="autoZero"/>
        <c:auto val="1"/>
        <c:lblAlgn val="ctr"/>
        <c:lblOffset val="100"/>
        <c:tickLblSkip val="1"/>
        <c:noMultiLvlLbl val="0"/>
      </c:catAx>
      <c:valAx>
        <c:axId val="126582784"/>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26580992"/>
        <c:crosses val="autoZero"/>
        <c:crossBetween val="between"/>
      </c:valAx>
      <c:spPr>
        <a:solidFill>
          <a:srgbClr val="C0C0C0"/>
        </a:solidFill>
        <a:ln w="3175">
          <a:solidFill>
            <a:srgbClr val="808080"/>
          </a:solidFill>
          <a:prstDash val="solid"/>
        </a:ln>
      </c:spPr>
    </c:plotArea>
    <c:legend>
      <c:legendPos val="t"/>
      <c:layout>
        <c:manualLayout>
          <c:xMode val="edge"/>
          <c:yMode val="edge"/>
          <c:x val="0.475786821827995"/>
          <c:y val="0.147862199881842"/>
          <c:w val="0.166625768164522"/>
          <c:h val="0.070234670850645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202a16f-b9de-4d11-bccc-c943d4097ae0}"/>
      </c:ext>
    </c:extLst>
  </c:chart>
  <c:spPr>
    <a:solidFill>
      <a:srgbClr val="FFFFFF"/>
    </a:solidFill>
    <a:ln w="3175" cap="flat" cmpd="sng" algn="ctr">
      <a:solidFill>
        <a:srgbClr val="000000"/>
      </a:solidFill>
      <a:prstDash val="solid"/>
      <a:round/>
    </a:ln>
  </c:spPr>
  <c:txPr>
    <a:bodyPr/>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收入决算结构图（单位：万元）</a:t>
            </a:r>
            <a:endParaRPr lang="zh-CN" altLang="en-US"/>
          </a:p>
        </c:rich>
      </c:tx>
      <c:layout>
        <c:manualLayout>
          <c:xMode val="edge"/>
          <c:yMode val="edge"/>
          <c:x val="0.0104011218971849"/>
          <c:y val="0.0595263092113487"/>
        </c:manualLayout>
      </c:layout>
      <c:overlay val="0"/>
      <c:spPr>
        <a:noFill/>
        <a:ln w="25400">
          <a:noFill/>
        </a:ln>
      </c:spPr>
    </c:title>
    <c:autoTitleDeleted val="0"/>
    <c:plotArea>
      <c:layout>
        <c:manualLayout>
          <c:layoutTarget val="inner"/>
          <c:xMode val="edge"/>
          <c:yMode val="edge"/>
          <c:x val="0.468045698446221"/>
          <c:y val="0.214295091412221"/>
          <c:w val="0.353634527714923"/>
          <c:h val="0.674632695186619"/>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Lbls>
            <c:dLbl>
              <c:idx val="2"/>
              <c:layout>
                <c:manualLayout>
                  <c:x val="0.0471240471240471"/>
                  <c:y val="-0.0793650793650794"/>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914760914760915"/>
                  <c:y val="0"/>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Sheet1!$H$4:$K$4</c:f>
              <c:strCache>
                <c:ptCount val="4"/>
                <c:pt idx="0">
                  <c:v>一般公共预算财政拨款收入</c:v>
                </c:pt>
                <c:pt idx="1">
                  <c:v>政府性基金预算财政拨款收入</c:v>
                </c:pt>
                <c:pt idx="2">
                  <c:v>国有资本经营预算财政拨款</c:v>
                </c:pt>
                <c:pt idx="3">
                  <c:v>其他收入</c:v>
                </c:pt>
              </c:strCache>
            </c:strRef>
          </c:cat>
          <c:val>
            <c:numRef>
              <c:f>Sheet1!$H$5:$K$5</c:f>
              <c:numCache>
                <c:formatCode>General</c:formatCode>
                <c:ptCount val="4"/>
                <c:pt idx="0">
                  <c:v>1904.53</c:v>
                </c:pt>
                <c:pt idx="1">
                  <c:v>0</c:v>
                </c:pt>
                <c:pt idx="2">
                  <c:v>0</c:v>
                </c:pt>
                <c:pt idx="3">
                  <c:v>0</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012481215315861"/>
          <c:y val="0.420653251676874"/>
          <c:w val="0.307869977791238"/>
          <c:h val="0.257947756530433"/>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489035ce-63a8-4467-98c8-945535715f83}"/>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00"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支出决算结构图（单位：万元）</a:t>
            </a:r>
            <a:endParaRPr lang="zh-CN" altLang="en-US"/>
          </a:p>
        </c:rich>
      </c:tx>
      <c:layout>
        <c:manualLayout>
          <c:xMode val="edge"/>
          <c:yMode val="edge"/>
          <c:x val="0.304439746300211"/>
          <c:y val="0.0403587443946188"/>
        </c:manualLayout>
      </c:layout>
      <c:overlay val="0"/>
      <c:spPr>
        <a:noFill/>
        <a:ln w="25400">
          <a:noFill/>
        </a:ln>
      </c:spPr>
    </c:title>
    <c:autoTitleDeleted val="0"/>
    <c:plotArea>
      <c:layout>
        <c:manualLayout>
          <c:layoutTarget val="inner"/>
          <c:xMode val="edge"/>
          <c:yMode val="edge"/>
          <c:x val="0.41014799154334"/>
          <c:y val="0.322870662115205"/>
          <c:w val="0.181818181818182"/>
          <c:h val="0.385651068637605"/>
        </c:manualLayout>
      </c:layout>
      <c:pieChart>
        <c:varyColors val="1"/>
        <c:ser>
          <c:idx val="0"/>
          <c:order val="0"/>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0%" sourceLinked="0"/>
            <c:spPr>
              <a:noFill/>
              <a:ln w="25400">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Sheet1!$N$4:$O$4</c:f>
              <c:strCache>
                <c:ptCount val="2"/>
                <c:pt idx="0">
                  <c:v>基本支出</c:v>
                </c:pt>
                <c:pt idx="1">
                  <c:v>项目支出</c:v>
                </c:pt>
              </c:strCache>
            </c:strRef>
          </c:cat>
          <c:val>
            <c:numRef>
              <c:f>Sheet1!$N$5:$O$5</c:f>
              <c:numCache>
                <c:formatCode>General</c:formatCode>
                <c:ptCount val="2"/>
                <c:pt idx="0">
                  <c:v>1610.8</c:v>
                </c:pt>
                <c:pt idx="1">
                  <c:v>293.73</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b"/>
      <c:layout>
        <c:manualLayout>
          <c:xMode val="edge"/>
          <c:yMode val="edge"/>
          <c:x val="0.389006342494715"/>
          <c:y val="0.88789425985429"/>
          <c:w val="0.221987315010571"/>
          <c:h val="0.0807174887892378"/>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91da601c-8808-4df5-970a-0e793833b84f}"/>
      </c:ext>
    </c:extLst>
  </c:chart>
  <c:spPr>
    <a:solidFill>
      <a:srgbClr val="FFFFFF"/>
    </a:solidFill>
    <a:ln w="3175" cap="flat" cmpd="sng" algn="ctr">
      <a:solidFill>
        <a:srgbClr val="000000"/>
      </a:solidFill>
      <a:prstDash val="solid"/>
      <a:round/>
    </a:ln>
  </c:spPr>
  <c:txPr>
    <a:bodyPr/>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0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财政拨款收、支决算总计变动情况（单位：万元）</a:t>
            </a:r>
            <a:endParaRPr lang="zh-CN" altLang="en-US"/>
          </a:p>
        </c:rich>
      </c:tx>
      <c:layout>
        <c:manualLayout>
          <c:xMode val="edge"/>
          <c:yMode val="edge"/>
          <c:x val="0.185352445311066"/>
          <c:y val="0.0401623291064521"/>
        </c:manualLayout>
      </c:layout>
      <c:overlay val="0"/>
      <c:spPr>
        <a:noFill/>
        <a:ln w="25400">
          <a:noFill/>
        </a:ln>
      </c:spPr>
    </c:title>
    <c:autoTitleDeleted val="0"/>
    <c:plotArea>
      <c:layout>
        <c:manualLayout>
          <c:layoutTarget val="inner"/>
          <c:xMode val="edge"/>
          <c:yMode val="edge"/>
          <c:x val="0.122937884830234"/>
          <c:y val="0.31326688513917"/>
          <c:w val="0.851108433440086"/>
          <c:h val="0.534160201583454"/>
        </c:manualLayout>
      </c:layout>
      <c:barChart>
        <c:barDir val="col"/>
        <c:grouping val="clustered"/>
        <c:varyColors val="0"/>
        <c:ser>
          <c:idx val="0"/>
          <c:order val="0"/>
          <c:tx>
            <c:strRef>
              <c:f>Sheet1!$B$28</c:f>
              <c:strCache>
                <c:ptCount val="1"/>
                <c:pt idx="0">
                  <c:v>2024</c:v>
                </c:pt>
              </c:strCache>
            </c:strRef>
          </c:tx>
          <c:spPr>
            <a:solidFill>
              <a:srgbClr val="9999FF"/>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Sheet1!$C$28:$D$28</c:f>
              <c:numCache>
                <c:formatCode>General</c:formatCode>
                <c:ptCount val="2"/>
                <c:pt idx="0">
                  <c:v>1669.1</c:v>
                </c:pt>
                <c:pt idx="1">
                  <c:v>1669.1</c:v>
                </c:pt>
              </c:numCache>
            </c:numRef>
          </c:val>
        </c:ser>
        <c:ser>
          <c:idx val="1"/>
          <c:order val="1"/>
          <c:tx>
            <c:strRef>
              <c:f>Sheet1!$B$29</c:f>
              <c:strCache>
                <c:ptCount val="1"/>
                <c:pt idx="0">
                  <c:v>2025</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Sheet1!$C$27:$D$27</c:f>
              <c:strCache>
                <c:ptCount val="2"/>
                <c:pt idx="0">
                  <c:v>收入</c:v>
                </c:pt>
                <c:pt idx="1">
                  <c:v>支出</c:v>
                </c:pt>
              </c:strCache>
            </c:strRef>
          </c:cat>
          <c:val>
            <c:numRef>
              <c:f>Sheet1!$C$29:$D$29</c:f>
              <c:numCache>
                <c:formatCode>General</c:formatCode>
                <c:ptCount val="2"/>
                <c:pt idx="0">
                  <c:v>1904.53</c:v>
                </c:pt>
                <c:pt idx="1">
                  <c:v>1904.53</c:v>
                </c:pt>
              </c:numCache>
            </c:numRef>
          </c:val>
        </c:ser>
        <c:dLbls>
          <c:showLegendKey val="0"/>
          <c:showVal val="1"/>
          <c:showCatName val="0"/>
          <c:showSerName val="0"/>
          <c:showPercent val="0"/>
          <c:showBubbleSize val="0"/>
        </c:dLbls>
        <c:gapWidth val="150"/>
        <c:axId val="133703936"/>
        <c:axId val="133713920"/>
      </c:barChart>
      <c:catAx>
        <c:axId val="133703936"/>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13920"/>
        <c:crosses val="autoZero"/>
        <c:auto val="1"/>
        <c:lblAlgn val="ctr"/>
        <c:lblOffset val="100"/>
        <c:tickLblSkip val="1"/>
        <c:noMultiLvlLbl val="0"/>
      </c:catAx>
      <c:valAx>
        <c:axId val="133713920"/>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03936"/>
        <c:crosses val="autoZero"/>
        <c:crossBetween val="between"/>
      </c:valAx>
      <c:spPr>
        <a:solidFill>
          <a:srgbClr val="C0C0C0"/>
        </a:solidFill>
        <a:ln w="3175">
          <a:solidFill>
            <a:srgbClr val="808080"/>
          </a:solidFill>
          <a:prstDash val="solid"/>
        </a:ln>
      </c:spPr>
    </c:plotArea>
    <c:legend>
      <c:legendPos val="t"/>
      <c:layout>
        <c:manualLayout>
          <c:xMode val="edge"/>
          <c:yMode val="edge"/>
          <c:x val="0.476620772119932"/>
          <c:y val="0.15663325216878"/>
          <c:w val="0.141851361207448"/>
          <c:h val="0.0763085939558761"/>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7159ff16-4fb6-4b95-8b5b-528da59e180c}"/>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77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一般公共预算财政拨款支出决算变动情况（单位：万元）</a:t>
            </a:r>
            <a:endParaRPr lang="zh-CN" altLang="en-US"/>
          </a:p>
        </c:rich>
      </c:tx>
      <c:layout>
        <c:manualLayout>
          <c:xMode val="edge"/>
          <c:yMode val="edge"/>
          <c:x val="0.186001987846758"/>
          <c:y val="0.0403242739818814"/>
        </c:manualLayout>
      </c:layout>
      <c:overlay val="0"/>
      <c:spPr>
        <a:noFill/>
        <a:ln w="25400">
          <a:noFill/>
        </a:ln>
      </c:spPr>
    </c:title>
    <c:autoTitleDeleted val="0"/>
    <c:plotArea>
      <c:layout>
        <c:manualLayout>
          <c:layoutTarget val="inner"/>
          <c:xMode val="edge"/>
          <c:yMode val="edge"/>
          <c:x val="0.14744055730286"/>
          <c:y val="0.209686742820708"/>
          <c:w val="0.821130488363619"/>
          <c:h val="0.544379043861453"/>
        </c:manualLayout>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solidFill>
            <a:ln w="12700">
              <a:solidFill>
                <a:srgbClr val="000000"/>
              </a:solidFill>
              <a:prstDash val="solid"/>
            </a:ln>
          </c:spPr>
          <c:invertIfNegative val="0"/>
          <c:dLbls>
            <c:spPr>
              <a:noFill/>
              <a:ln w="25400">
                <a:noFill/>
              </a:ln>
              <a:effectLst/>
            </c:spPr>
            <c:txPr>
              <a:bodyPr rot="0" spcFirstLastPara="0" vertOverflow="ellipsis" vert="horz" wrap="square" lIns="38100" tIns="19050" rIns="38100" bIns="19050"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Sheet1!$H$27:$I$27</c:f>
              <c:numCache>
                <c:formatCode>General</c:formatCode>
                <c:ptCount val="2"/>
                <c:pt idx="0">
                  <c:v>2024</c:v>
                </c:pt>
                <c:pt idx="1">
                  <c:v>2025</c:v>
                </c:pt>
              </c:numCache>
            </c:numRef>
          </c:cat>
          <c:val>
            <c:numRef>
              <c:f>Sheet1!$H$28:$I$28</c:f>
              <c:numCache>
                <c:formatCode>General</c:formatCode>
                <c:ptCount val="2"/>
                <c:pt idx="0">
                  <c:v>1669.1</c:v>
                </c:pt>
                <c:pt idx="1">
                  <c:v>1904.53</c:v>
                </c:pt>
              </c:numCache>
            </c:numRef>
          </c:val>
        </c:ser>
        <c:dLbls>
          <c:showLegendKey val="0"/>
          <c:showVal val="1"/>
          <c:showCatName val="0"/>
          <c:showSerName val="0"/>
          <c:showPercent val="0"/>
          <c:showBubbleSize val="0"/>
        </c:dLbls>
        <c:gapWidth val="150"/>
        <c:axId val="133734400"/>
        <c:axId val="133735936"/>
      </c:barChart>
      <c:catAx>
        <c:axId val="133734400"/>
        <c:scaling>
          <c:orientation val="minMax"/>
        </c:scaling>
        <c:delete val="0"/>
        <c:axPos val="b"/>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35936"/>
        <c:crosses val="autoZero"/>
        <c:auto val="1"/>
        <c:lblAlgn val="ctr"/>
        <c:lblOffset val="100"/>
        <c:tickLblSkip val="1"/>
        <c:noMultiLvlLbl val="0"/>
      </c:catAx>
      <c:valAx>
        <c:axId val="133735936"/>
        <c:scaling>
          <c:orientation val="minMax"/>
        </c:scaling>
        <c:delete val="0"/>
        <c:axPos val="l"/>
        <c:majorGridlines>
          <c:spPr>
            <a:ln w="3175" cap="flat" cmpd="sng" algn="ctr">
              <a:solidFill>
                <a:srgbClr val="000000"/>
              </a:solidFill>
              <a:prstDash val="solid"/>
              <a:round/>
            </a:ln>
          </c:spPr>
        </c:majorGridlines>
        <c:numFmt formatCode="General" sourceLinked="1"/>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1"/>
          <a:lstStyle/>
          <a:p>
            <a:pPr>
              <a:defRPr lang="zh-CN" sz="77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133734400"/>
        <c:crosses val="autoZero"/>
        <c:crossBetween val="between"/>
      </c:valAx>
      <c:spPr>
        <a:solidFill>
          <a:srgbClr val="C0C0C0"/>
        </a:solidFill>
        <a:ln w="3175">
          <a:solidFill>
            <a:srgbClr val="808080"/>
          </a:solidFill>
          <a:prstDash val="solid"/>
        </a:ln>
      </c:spPr>
    </c:plotArea>
    <c:legend>
      <c:legendPos val="b"/>
      <c:layout>
        <c:manualLayout>
          <c:xMode val="edge"/>
          <c:yMode val="edge"/>
          <c:x val="0.331174079430548"/>
          <c:y val="0.895201083735501"/>
          <c:w val="0.453663292088489"/>
          <c:h val="0.0766162898992467"/>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71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6184da89-98dc-452b-8dad-8dd84e307590}"/>
      </c:ext>
    </c:extLst>
  </c:chart>
  <c:spPr>
    <a:solidFill>
      <a:srgbClr val="FFFFFF"/>
    </a:solidFill>
    <a:ln w="3175" cap="flat" cmpd="sng" algn="ctr">
      <a:solidFill>
        <a:srgbClr val="000000"/>
      </a:solidFill>
      <a:prstDash val="solid"/>
      <a:round/>
    </a:ln>
  </c:spPr>
  <c:txPr>
    <a:bodyPr/>
    <a:lstStyle/>
    <a:p>
      <a:pPr>
        <a:defRPr lang="zh-CN" sz="775"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t>一般公共预算财政拨款支出决算情况（单位：万元）</a:t>
            </a:r>
            <a:endParaRPr lang="zh-CN"/>
          </a:p>
        </c:rich>
      </c:tx>
      <c:layout>
        <c:manualLayout>
          <c:xMode val="edge"/>
          <c:yMode val="edge"/>
          <c:x val="0.0638977635782748"/>
          <c:y val="0.0427598493193532"/>
        </c:manualLayout>
      </c:layout>
      <c:overlay val="0"/>
    </c:title>
    <c:autoTitleDeleted val="0"/>
    <c:plotArea>
      <c:layout>
        <c:manualLayout>
          <c:layoutTarget val="inner"/>
          <c:xMode val="edge"/>
          <c:yMode val="edge"/>
          <c:x val="0.246006389776358"/>
          <c:y val="0.297376516627923"/>
          <c:w val="0.271565495207668"/>
          <c:h val="0.495627527713204"/>
        </c:manualLayout>
      </c:layout>
      <c:pieChart>
        <c:varyColors val="1"/>
        <c:ser>
          <c:idx val="0"/>
          <c:order val="0"/>
          <c:explosion val="0"/>
          <c:dPt>
            <c:idx val="0"/>
            <c:bubble3D val="0"/>
          </c:dPt>
          <c:dPt>
            <c:idx val="1"/>
            <c:bubble3D val="0"/>
          </c:dPt>
          <c:dPt>
            <c:idx val="2"/>
            <c:bubble3D val="0"/>
          </c:dPt>
          <c:dPt>
            <c:idx val="3"/>
            <c:bubble3D val="0"/>
          </c:dPt>
          <c:dLbls>
            <c:dLbl>
              <c:idx val="0"/>
              <c:layout>
                <c:manualLayout>
                  <c:x val="-0.0319488817891374"/>
                  <c:y val="-0.0077745383867832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0114345131778656"/>
                  <c:y val="-0.042075250797731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0851970181043665"/>
                  <c:y val="-0.054422096201705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383384904362993"/>
                  <c:y val="-0.0233236151603499"/>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Sheet1!$M$26:$P$26</c:f>
              <c:strCache>
                <c:ptCount val="4"/>
                <c:pt idx="0">
                  <c:v>一般公共服务支出</c:v>
                </c:pt>
                <c:pt idx="1">
                  <c:v>社会保障和就业支出</c:v>
                </c:pt>
                <c:pt idx="2">
                  <c:v>卫生健康支出</c:v>
                </c:pt>
                <c:pt idx="3">
                  <c:v>住房保障支出</c:v>
                </c:pt>
              </c:strCache>
            </c:strRef>
          </c:cat>
          <c:val>
            <c:numRef>
              <c:f>Sheet1!$M$27:$P$27</c:f>
              <c:numCache>
                <c:formatCode>General</c:formatCode>
                <c:ptCount val="4"/>
                <c:pt idx="0">
                  <c:v>1505.74</c:v>
                </c:pt>
                <c:pt idx="1">
                  <c:v>217.59</c:v>
                </c:pt>
                <c:pt idx="2">
                  <c:v>76.1</c:v>
                </c:pt>
                <c:pt idx="3">
                  <c:v>105.1</c:v>
                </c:pt>
              </c:numCache>
            </c:numRef>
          </c:val>
        </c:ser>
        <c:dLbls>
          <c:showLegendKey val="0"/>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70447284345048"/>
          <c:y val="0.170068404661853"/>
          <c:w val="0.227868984428065"/>
          <c:h val="0.81372853004773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598ca667-ffaf-4c21-a877-1e8ec99a4d01}"/>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925" b="1"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“三公”经费财政拨款支出结构（单位：万元）</a:t>
            </a:r>
            <a:endParaRPr lang="zh-CN" altLang="en-US"/>
          </a:p>
        </c:rich>
      </c:tx>
      <c:layout>
        <c:manualLayout>
          <c:xMode val="edge"/>
          <c:yMode val="edge"/>
          <c:x val="0.0107529139502723"/>
          <c:y val="0.0351406732053231"/>
        </c:manualLayout>
      </c:layout>
      <c:overlay val="0"/>
      <c:spPr>
        <a:noFill/>
        <a:ln w="25400">
          <a:noFill/>
        </a:ln>
      </c:spPr>
    </c:title>
    <c:autoTitleDeleted val="0"/>
    <c:plotArea>
      <c:layout>
        <c:manualLayout>
          <c:layoutTarget val="inner"/>
          <c:xMode val="edge"/>
          <c:yMode val="edge"/>
          <c:x val="0.324738883659333"/>
          <c:y val="0.320659747822334"/>
          <c:w val="0.253769458753651"/>
          <c:h val="0.518326715658019"/>
        </c:manualLayout>
      </c:layout>
      <c:pieChart>
        <c:varyColors val="1"/>
        <c:ser>
          <c:idx val="0"/>
          <c:order val="0"/>
          <c:tx>
            <c:strRef>
              <c:f>“三公”经费财政拨款支出结构</c:f>
              <c:strCache>
                <c:ptCount val="1"/>
                <c:pt idx="0">
                  <c:v>“三公”经费财政拨款支出结构</c:v>
                </c:pt>
              </c:strCache>
            </c:strRef>
          </c:tx>
          <c:spPr>
            <a:solidFill>
              <a:srgbClr val="9999FF"/>
            </a:solidFill>
            <a:ln w="12700">
              <a:solidFill>
                <a:srgbClr val="000000"/>
              </a:solidFill>
              <a:prstDash val="solid"/>
            </a:ln>
          </c:spPr>
          <c:explosion val="0"/>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dLbl>
              <c:idx val="0"/>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1"/>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dLbl>
              <c:idx val="2"/>
              <c:layout/>
              <c:numFmt formatCode="0.0%" sourceLinked="0"/>
              <c:spPr>
                <a:noFill/>
                <a:ln w="25400">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1"/>
              <c:showPercent val="1"/>
              <c:showBubbleSize val="0"/>
              <c:extLst>
                <c:ext xmlns:c15="http://schemas.microsoft.com/office/drawing/2012/chart" uri="{CE6537A1-D6FC-4f65-9D91-7224C49458BB}"/>
              </c:extLst>
            </c:dLbl>
            <c:numFmt formatCode="0.0%" sourceLinked="0"/>
            <c:spPr>
              <a:noFill/>
              <a:ln w="25400">
                <a:noFill/>
              </a:ln>
              <a:effectLst/>
            </c:spPr>
            <c:txPr>
              <a:bodyPr rot="0" spcFirstLastPara="0" vertOverflow="ellipsis" vert="horz" wrap="square" lIns="38100" tIns="19050" rIns="38100" bIns="19050" anchor="ctr" anchorCtr="1"/>
              <a:lstStyle/>
              <a:p>
                <a:pPr>
                  <a:defRPr lang="zh-CN" sz="70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Sheet1!$B$49:$D$49</c:f>
              <c:strCache>
                <c:ptCount val="3"/>
                <c:pt idx="0">
                  <c:v>因公出国（境）费支出决算</c:v>
                </c:pt>
                <c:pt idx="1">
                  <c:v>公务用车购置及运行维护费支出决算</c:v>
                </c:pt>
                <c:pt idx="2">
                  <c:v>公务接待费支出决算</c:v>
                </c:pt>
              </c:strCache>
            </c:strRef>
          </c:cat>
          <c:val>
            <c:numRef>
              <c:f>Sheet1!$B$50:$D$50</c:f>
              <c:numCache>
                <c:formatCode>General</c:formatCode>
                <c:ptCount val="3"/>
                <c:pt idx="0">
                  <c:v>0</c:v>
                </c:pt>
                <c:pt idx="1">
                  <c:v>9.47</c:v>
                </c:pt>
                <c:pt idx="2">
                  <c:v>0.23</c:v>
                </c:pt>
              </c:numCache>
            </c:numRef>
          </c:val>
        </c:ser>
        <c:dLbls>
          <c:showLegendKey val="1"/>
          <c:showVal val="1"/>
          <c:showCatName val="0"/>
          <c:showSerName val="0"/>
          <c:showPercent val="1"/>
          <c:showBubbleSize val="0"/>
          <c:showLeaderLines val="1"/>
        </c:dLbls>
        <c:firstSliceAng val="0"/>
      </c:pieChart>
      <c:spPr>
        <a:noFill/>
        <a:ln w="25400">
          <a:noFill/>
        </a:ln>
      </c:spPr>
    </c:plotArea>
    <c:legend>
      <c:legendPos val="r"/>
      <c:layout>
        <c:manualLayout>
          <c:xMode val="edge"/>
          <c:yMode val="edge"/>
          <c:x val="0.662381395873903"/>
          <c:y val="0.377763503246305"/>
          <c:w val="0.329040160302544"/>
          <c:h val="0.360192936409265"/>
        </c:manualLayout>
      </c:layout>
      <c:overlay val="0"/>
      <c:spPr>
        <a:solidFill>
          <a:srgbClr val="FFFFFF"/>
        </a:solidFill>
        <a:ln w="3175">
          <a:solidFill>
            <a:srgbClr val="000000"/>
          </a:solidFill>
          <a:prstDash val="solid"/>
        </a:ln>
      </c:spPr>
      <c:txPr>
        <a:bodyPr rot="0" spcFirstLastPara="0" vertOverflow="ellipsis" vert="horz" wrap="square" anchor="ctr" anchorCtr="1"/>
        <a:lstStyle/>
        <a:p>
          <a:pPr>
            <a:defRPr lang="zh-CN" sz="640" b="0" i="1"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zero"/>
    <c:showDLblsOverMax val="0"/>
    <c:extLst>
      <c:ext uri="{0b15fc19-7d7d-44ad-8c2d-2c3a37ce22c3}">
        <chartProps xmlns="https://web.wps.cn/et/2018/main" chartId="{dc4a0b23-77bf-45d3-90c1-98a9773944e9}"/>
      </c:ext>
    </c:extLst>
  </c:chart>
  <c:spPr>
    <a:solidFill>
      <a:srgbClr val="FFFFFF"/>
    </a:solidFill>
    <a:ln w="3175" cap="flat" cmpd="sng" algn="ctr">
      <a:solidFill>
        <a:srgbClr val="000000"/>
      </a:solidFill>
      <a:prstDash val="solid"/>
      <a:round/>
    </a:ln>
  </c:spPr>
  <c:txPr>
    <a:bodyPr/>
    <a:lstStyle/>
    <a:p>
      <a:pPr>
        <a:defRPr lang="zh-CN" sz="700"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3" textRotate="1"/>
    <customShpInfo spid="_x0000_s1026"/>
    <customShpInfo spid="_x0000_s1036" textRotate="1"/>
  </customShpExts>
</s:customData>
</file>

<file path=customXml/item2.xml><?xml version="1.0" encoding="utf-8"?>
<contractReview xmlns="http://schemas.wps.cn/vas-ai-hub/contract-review">
  <reviewItems>
    <reviewItem>
      <errorID>cc993ade-125f-4658-876e-48a17c82836c</errorID>
      <errorWord>..</errorWord>
      <group>L1_Punc</group>
      <groupName>标点问题</groupName>
      <ability>L2_Punc_CN</ability>
      <abilityName>标点符号问题</abilityName>
      <candidateList>
        <item>.</item>
      </candidateList>
      <explain/>
      <paraID>6D87CDFE</paraID>
      <start>22</start>
      <end>24</end>
      <status>unmodified</status>
      <modifiedWord/>
      <trackRevisions>false</trackRevisions>
    </reviewItem>
    <reviewItem>
      <errorID>49a983dd-000c-4b4d-8c01-fd198eaec0b2</errorID>
      <errorWord>:</errorWord>
      <group>L1_Format</group>
      <groupName>格式问题</groupName>
      <ability>L2_HalfPunc_CN</ability>
      <abilityName>全半角问题</abilityName>
      <candidateList>
        <item>：</item>
      </candidateList>
      <explain>文本全半角错误。</explain>
      <paraID>5EC18A0D</paraID>
      <start>29</start>
      <end>30</end>
      <status>modified</status>
      <modifiedWord>：</modifiedWord>
      <trackRevisions>false</trackRevisions>
    </reviewItem>
    <reviewItem>
      <errorID>facb9bd7-c2f9-470f-88c1-ba36156b5f3a</errorID>
      <errorWord>:</errorWord>
      <group>L1_Format</group>
      <groupName>格式问题</groupName>
      <ability>L2_HalfPunc_CN</ability>
      <abilityName>全半角问题</abilityName>
      <candidateList>
        <item>：</item>
      </candidateList>
      <explain>文本全半角错误。</explain>
      <paraID>4C0BF06C</paraID>
      <start>34</start>
      <end>35</end>
      <status>modified</status>
      <modifiedWord>：</modifiedWord>
      <trackRevisions>false</trackRevisions>
    </reviewItem>
    <reviewItem>
      <errorID>7fd802e1-bb8a-4d0e-9157-58eaa09247f1</errorID>
      <errorWord>:</errorWord>
      <group>L1_Format</group>
      <groupName>格式问题</groupName>
      <ability>L2_HalfPunc_CN</ability>
      <abilityName>全半角问题</abilityName>
      <candidateList>
        <item>：</item>
      </candidateList>
      <explain>文本全半角错误。</explain>
      <paraID>4B66858E</paraID>
      <start>30</start>
      <end>31</end>
      <status>modified</status>
      <modifiedWord>：</modifiedWord>
      <trackRevisions>false</trackRevisions>
    </reviewItem>
    <reviewItem>
      <errorID>de01ae71-7f8d-430f-b673-0e336f76b873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4330424</paraID>
      <start>34</start>
      <end>35</end>
      <status>ignored</status>
      <modifiedWord/>
      <trackRevisions>false</trackRevisions>
    </reviewItem>
    <reviewItem>
      <errorID>07ac8aa1-d474-41d3-a781-8253b16ee06a</errorID>
      <errorWord>:</errorWord>
      <group>L1_Format</group>
      <groupName>格式问题</groupName>
      <ability>L2_HalfPunc_CN</ability>
      <abilityName>全半角问题</abilityName>
      <candidateList>
        <item>：</item>
      </candidateList>
      <explain>文本全半角错误。</explain>
      <paraID> 4330424</paraID>
      <start>35</start>
      <end>36</end>
      <status>modified</status>
      <modifiedWord>：</modifiedWord>
      <trackRevisions>false</trackRevisions>
    </reviewItem>
    <reviewItem>
      <errorID>3d743dae-4bc4-4d6e-90cd-cd5fd72da21c</errorID>
      <errorWord>完完</errorWord>
      <group>L1_Word</group>
      <groupName>字词问题</groupName>
      <ability>L2_Typo</ability>
      <abilityName>字词错误</abilityName>
      <candidateList>
        <item>完</item>
      </candidateList>
      <explain/>
      <paraID> 4330424</paraID>
      <start>48</start>
      <end>49</end>
      <status>modified</status>
      <modifiedWord>完</modifiedWord>
      <trackRevisions>false</trackRevisions>
    </reviewItem>
    <reviewItem>
      <errorID>b104eea4-2158-4a75-8cdb-83c30b9c029b</errorID>
      <errorWord>:</errorWord>
      <group>L1_Format</group>
      <groupName>格式问题</groupName>
      <ability>L2_HalfPunc_CN</ability>
      <abilityName>全半角问题</abilityName>
      <candidateList>
        <item>：</item>
      </candidateList>
      <explain>文本全半角错误。</explain>
      <paraID>21687F86</paraID>
      <start>37</start>
      <end>38</end>
      <status>modified</status>
      <modifiedWord>：</modifiedWord>
      <trackRevisions>false</trackRevisions>
    </reviewItem>
    <reviewItem>
      <errorID>ae2e6e9b-3b72-4ab9-96d5-d4a082c41c80</errorID>
      <errorWord>:</errorWord>
      <group>L1_Format</group>
      <groupName>格式问题</groupName>
      <ability>L2_HalfPunc_CN</ability>
      <abilityName>全半角问题</abilityName>
      <candidateList>
        <item>：</item>
      </candidateList>
      <explain>文本全半角错误。</explain>
      <paraID>65D71438</paraID>
      <start>47</start>
      <end>48</end>
      <status>modified</status>
      <modifiedWord>：</modifiedWord>
      <trackRevisions>false</trackRevisions>
    </reviewItem>
    <reviewItem>
      <errorID>2854ab50-21ed-4a7f-9f5f-28a3839c054d</errorID>
      <errorWord>:</errorWord>
      <group>L1_Format</group>
      <groupName>格式问题</groupName>
      <ability>L2_HalfPunc_CN</ability>
      <abilityName>全半角问题</abilityName>
      <candidateList>
        <item>：</item>
      </candidateList>
      <explain>文本全半角错误。</explain>
      <paraID>5DC8F288</paraID>
      <start>45</start>
      <end>46</end>
      <status>modified</status>
      <modifiedWord>：</modifiedWord>
      <trackRevisions>false</trackRevisions>
    </reviewItem>
    <reviewItem>
      <errorID>dca03e44-d03e-4bba-9888-09f2b18e542d</errorID>
      <errorWord>:</errorWord>
      <group>L1_Format</group>
      <groupName>格式问题</groupName>
      <ability>L2_HalfPunc_CN</ability>
      <abilityName>全半角问题</abilityName>
      <candidateList>
        <item>：</item>
      </candidateList>
      <explain>文本全半角错误。</explain>
      <paraID>5D9CAE87</paraID>
      <start>31</start>
      <end>32</end>
      <status>modified</status>
      <modifiedWord>：</modifiedWord>
      <trackRevisions>false</trackRevisions>
    </reviewItem>
    <reviewItem>
      <errorID>44e18e63-f6b1-4337-8e54-846e184f1827</errorID>
      <errorWord>:</errorWord>
      <group>L1_Format</group>
      <groupName>格式问题</groupName>
      <ability>L2_HalfPunc_CN</ability>
      <abilityName>全半角问题</abilityName>
      <candidateList>
        <item>：</item>
      </candidateList>
      <explain>文本全半角错误。</explain>
      <paraID>1FE0A2E4</paraID>
      <start>31</start>
      <end>32</end>
      <status>modified</status>
      <modifiedWord>：</modifiedWord>
      <trackRevisions>false</trackRevisions>
    </reviewItem>
    <reviewItem>
      <errorID>1aaa19aa-e932-40ae-8ea5-83d4f4fc3ba8</errorID>
      <errorWord>:</errorWord>
      <group>L1_Format</group>
      <groupName>格式问题</groupName>
      <ability>L2_HalfPunc_CN</ability>
      <abilityName>全半角问题</abilityName>
      <candidateList>
        <item>：</item>
      </candidateList>
      <explain>文本全半角错误。</explain>
      <paraID>71846548</paraID>
      <start>33</start>
      <end>34</end>
      <status>modified</status>
      <modifiedWord>：</modifiedWord>
      <trackRevisions>false</trackRevisions>
    </reviewItem>
    <reviewItem>
      <errorID>56dad5bd-f02f-486f-9d57-547879985d51</errorID>
      <errorWord>:</errorWord>
      <group>L1_Format</group>
      <groupName>格式问题</groupName>
      <ability>L2_HalfPunc_CN</ability>
      <abilityName>全半角问题</abilityName>
      <candidateList>
        <item>：</item>
      </candidateList>
      <explain>文本全半角错误。</explain>
      <paraID>53B030F1</paraID>
      <start>30</start>
      <end>31</end>
      <status>modified</status>
      <modifiedWord>：</modifiedWord>
      <trackRevisions>false</trackRevisions>
    </reviewItem>
    <reviewItem>
      <errorID>cca70507-97fc-4586-995b-29a28ae0cd41</errorID>
      <errorWord>例行节约</errorWord>
      <group>L1_Knowledge</group>
      <groupName>知识性问题</groupName>
      <ability>L2_Idiom</ability>
      <abilityName>成语和诗歌</abilityName>
      <candidateList>
        <item>厉行节约</item>
      </candidateList>
      <explain/>
      <paraID> 85F8E87</paraID>
      <start>77</start>
      <end>81</end>
      <status>modified</status>
      <modifiedWord>厉行节约</modifiedWord>
      <trackRevisions>false</trackRevisions>
    </reviewItem>
    <reviewItem>
      <errorID>3feb1901-ed2d-4a3e-80a3-8325084aff9b</errorID>
      <errorWord>，</errorWord>
      <group>L1_Word</group>
      <groupName>字词问题</groupName>
      <ability>L2_Typo</ability>
      <abilityName>字词错误</abilityName>
      <candidateList>
        <item>，在</item>
      </candidateList>
      <explain/>
      <paraID> A6B03F6</paraID>
      <start>89</start>
      <end>91</end>
      <status>modified</status>
      <modifiedWord>，在</modifiedWord>
      <trackRevisions>false</trackRevisions>
    </reviewItem>
    <reviewItem>
      <errorID>4d8fa341-e2f7-47fd-94a6-8810dc3b0212</errorID>
      <errorWord>反应</errorWord>
      <group>L1_Word</group>
      <groupName>字词问题</groupName>
      <ability>L2_Typo</ability>
      <abilityName>字词错误</abilityName>
      <candidateList>
        <item>反映</item>
      </candidateList>
      <explain/>
      <paraID>656DC427</paraID>
      <start>33</start>
      <end>35</end>
      <status>modified</status>
      <modifiedWord>反映</modifiedWord>
      <trackRevisions>false</trackRevisions>
    </reviewItem>
    <reviewItem>
      <errorID>aec7a90d-0136-46a3-bb39-e347700c62d7</errorID>
      <errorWord>反应</errorWord>
      <group>L1_Word</group>
      <groupName>字词问题</groupName>
      <ability>L2_Typo</ability>
      <abilityName>字词错误</abilityName>
      <candidateList>
        <item>反映</item>
      </candidateList>
      <explain/>
      <paraID>4C2D2E43</paraID>
      <start>33</start>
      <end>35</end>
      <status>modified</status>
      <modifiedWord>反映</modifiedWord>
      <trackRevisions>false</trackRevisions>
    </reviewItem>
    <reviewItem>
      <errorID>74cc7a9e-9788-41c8-8c94-46f9056f4bb4</errorID>
      <errorWord>反应</errorWord>
      <group>L1_Word</group>
      <groupName>字词问题</groupName>
      <ability>L2_Typo</ability>
      <abilityName>字词错误</abilityName>
      <candidateList>
        <item>反映</item>
      </candidateList>
      <explain/>
      <paraID>3E80DCB2</paraID>
      <start>34</start>
      <end>36</end>
      <status>modified</status>
      <modifiedWord>反映</modifiedWord>
      <trackRevisions>false</trackRevisions>
    </reviewItem>
    <reviewItem>
      <errorID>5414483f-98b7-493a-b64f-ee881332bc9c</errorID>
      <errorWord>,</errorWord>
      <group>L1_Format</group>
      <groupName>格式问题</groupName>
      <ability>L2_HalfPunc_CN</ability>
      <abilityName>全半角问题</abilityName>
      <candidateList>
        <item>，</item>
      </candidateList>
      <explain>文本全半角错误。</explain>
      <paraID> C240E91</paraID>
      <start>34</start>
      <end>35</end>
      <status>modified</status>
      <modifiedWord>，</modifiedWord>
      <trackRevisions>false</trackRevisions>
    </reviewItem>
    <reviewItem>
      <errorID>b116bd5d-c8ed-4728-9851-6208669f19da</errorID>
      <errorWord>十九大作出的</errorWord>
      <group>L1_Political</group>
      <groupName>政治性问题</groupName>
      <ability>L2_Unpolitical</ability>
      <abilityName>政治敏感错误</abilityName>
      <candidateList>
        <item>党的十九大作出的</item>
      </candidateList>
      <explain/>
      <paraID>1E850540</paraID>
      <start>53</start>
      <end>61</end>
      <status>modified</status>
      <modifiedWord>党的十九大作出的</modifiedWord>
      <trackRevisions>false</trackRevisions>
    </reviewItem>
    <reviewItem>
      <errorID>0ac49a75-2ed7-43ba-8c9c-765f212ce25a</errorID>
      <errorWord>坚定“四个自信”，</errorWord>
      <group>L1_Punc</group>
      <groupName>标点问题</groupName>
      <ability>L2_Punc_CN</ability>
      <abilityName>标点符号问题</abilityName>
      <candidateList>
        <item>坚定“四个自信”、</item>
      </candidateList>
      <explain/>
      <paraID>1E850540</paraID>
      <start>105</start>
      <end>114</end>
      <status>modified</status>
      <modifiedWord>坚定“四个自信”、</modifiedWord>
      <trackRevisions>false</trackRevisions>
    </reviewItem>
    <reviewItem>
      <errorID>3aed5a5e-f6fa-4bb2-afbc-43232ae4815a</errorID>
      <errorWord>新征程纪检监察工作高质量发展</errorWord>
      <group>L1_Political</group>
      <groupName>政治性问题</groupName>
      <ability>L2_Keyword</ability>
      <abilityName>固定表述</abilityName>
      <candidateList>
        <item>新时代纪检监察工作高质量发展</item>
      </candidateList>
      <explain>词汇“新时代纪检监察工作高质量发展”在特定场景下为固定表述形式，请确认此处的“新征程纪检监察工作高质量发展”是否存在不当。</explain>
      <paraID>771905D6</paraID>
      <start>200</start>
      <end>214</end>
      <status>modified</status>
      <modifiedWord>新时代纪检监察工作高质量发展</modifiedWord>
      <trackRevisions>false</trackRevisions>
    </reviewItem>
    <reviewItem>
      <errorID>cace05db-d97e-442b-8e41-d37ab281b8a3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6FEEC057</paraID>
      <start>0</start>
      <end>2</end>
      <status>modified</status>
      <modifiedWord>1.</modifiedWord>
      <trackRevisions>false</trackRevisions>
    </reviewItem>
    <reviewItem>
      <errorID>7492213b-e6ed-4ad6-85aa-07080063f953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3B887FE4</paraID>
      <start>0</start>
      <end>2</end>
      <status>modified</status>
      <modifiedWord>2.</modifiedWord>
      <trackRevisions>false</trackRevisions>
    </reviewItem>
    <reviewItem>
      <errorID>7e3b852a-b63e-4d1f-8e64-1e41f2cd5325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6A41E1F7</paraID>
      <start>0</start>
      <end>2</end>
      <status>modified</status>
      <modifiedWord>3.</modifiedWord>
      <trackRevisions>false</trackRevisions>
    </reviewItem>
    <reviewItem>
      <errorID>d5a251a0-58c8-4f98-b32b-2c48804c1a26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63F569AA</paraID>
      <start>0</start>
      <end>2</end>
      <status>modified</status>
      <modifiedWord>4.</modifiedWord>
      <trackRevisions>false</trackRevisions>
    </reviewItem>
    <reviewItem>
      <errorID>fe17ac98-1335-4c6b-abf8-c67c59d7f562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3794CFB6</paraID>
      <start>0</start>
      <end>2</end>
      <status>modified</status>
      <modifiedWord>1.</modifiedWord>
      <trackRevisions>false</trackRevisions>
    </reviewItem>
    <reviewItem>
      <errorID>ae8d7946-60a1-4b6e-b349-e01bb3758a2b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62DD9538</paraID>
      <start>0</start>
      <end>2</end>
      <status>modified</status>
      <modifiedWord>2.</modifiedWord>
      <trackRevisions>false</trackRevisions>
    </reviewItem>
    <reviewItem>
      <errorID>193d44e1-a7b0-4f75-bd8f-31f0b22075e2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23D03B75</paraID>
      <start>0</start>
      <end>2</end>
      <status>modified</status>
      <modifiedWord>3.</modifiedWord>
      <trackRevisions>false</trackRevisions>
    </reviewItem>
    <reviewItem>
      <errorID>831f26cc-5259-4b34-b36b-ffcb0d553214</errorID>
      <errorWord>的</errorWord>
      <group>L1_Word</group>
      <groupName>字词问题</groupName>
      <ability>L2_DDD</ability>
      <abilityName>的地得用法</abilityName>
      <candidateList>
        <item>地</item>
      </candidateList>
      <explain/>
      <paraID>5DD963E9</paraID>
      <start>88</start>
      <end>89</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8b9484-85d1-43e9-83d2-71759993736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1196</Words>
  <Characters>1896</Characters>
  <Lines>63</Lines>
  <Paragraphs>17</Paragraphs>
  <TotalTime>13</TotalTime>
  <ScaleCrop>false</ScaleCrop>
  <LinksUpToDate>false</LinksUpToDate>
  <CharactersWithSpaces>1909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RHRM</cp:lastModifiedBy>
  <cp:lastPrinted>2026-09-17T03:50:00Z</cp:lastPrinted>
  <dcterms:modified xsi:type="dcterms:W3CDTF">2026-09-17T10:04:44Z</dcterms:modified>
  <dc:title>四川省***</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eyJoZGlkIjoiMWU5MjFmNDBjNzRlNmM5ZjVjMzZmNjJjZWE1OTBjNmIiLCJ1c2VySWQiOiIxNjQ5Nzg2MjA4In0=</vt:lpwstr>
  </property>
</Properties>
</file>