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2BBC7">
      <w:pPr>
        <w:rPr>
          <w:rFonts w:hint="default" w:ascii="Times New Roman" w:hAnsi="Times New Roman" w:cs="Times New Roman"/>
        </w:rPr>
      </w:pPr>
      <w:bookmarkStart w:id="0" w:name="_Toc15396597"/>
      <w:bookmarkStart w:id="1" w:name="_Toc15306267"/>
      <w:bookmarkStart w:id="2" w:name="_Toc15378441"/>
      <w:bookmarkStart w:id="3" w:name="_Toc15377425"/>
      <w:bookmarkStart w:id="4" w:name="_Toc15396475"/>
      <w:bookmarkStart w:id="5" w:name="_Toc15377193"/>
    </w:p>
    <w:p w14:paraId="54052783">
      <w:pPr>
        <w:pStyle w:val="5"/>
        <w:spacing w:before="93"/>
        <w:jc w:val="center"/>
        <w:rPr>
          <w:rFonts w:hint="default" w:ascii="Times New Roman" w:hAnsi="Times New Roman" w:eastAsia="方正小标宋简体" w:cs="Times New Roman"/>
          <w:kern w:val="2"/>
          <w:sz w:val="44"/>
          <w:szCs w:val="44"/>
        </w:rPr>
      </w:pPr>
    </w:p>
    <w:p w14:paraId="40A30B34">
      <w:pPr>
        <w:pStyle w:val="5"/>
        <w:spacing w:before="93"/>
        <w:jc w:val="center"/>
        <w:rPr>
          <w:rFonts w:hint="default" w:ascii="Times New Roman" w:hAnsi="Times New Roman" w:eastAsia="方正小标宋简体" w:cs="Times New Roman"/>
          <w:kern w:val="2"/>
          <w:sz w:val="44"/>
          <w:szCs w:val="44"/>
        </w:rPr>
      </w:pPr>
    </w:p>
    <w:p w14:paraId="763B861A">
      <w:pPr>
        <w:pStyle w:val="5"/>
        <w:spacing w:before="93"/>
        <w:jc w:val="center"/>
        <w:rPr>
          <w:rFonts w:hint="default" w:ascii="Times New Roman" w:hAnsi="Times New Roman" w:eastAsia="方正小标宋简体" w:cs="Times New Roman"/>
          <w:kern w:val="2"/>
          <w:sz w:val="44"/>
          <w:szCs w:val="44"/>
        </w:rPr>
      </w:pPr>
    </w:p>
    <w:p w14:paraId="1079C154">
      <w:pPr>
        <w:pStyle w:val="5"/>
        <w:spacing w:before="93"/>
        <w:jc w:val="center"/>
        <w:rPr>
          <w:rFonts w:hint="default" w:ascii="Times New Roman" w:hAnsi="Times New Roman" w:eastAsia="方正小标宋简体" w:cs="Times New Roman"/>
          <w:kern w:val="2"/>
          <w:sz w:val="44"/>
          <w:szCs w:val="44"/>
        </w:rPr>
      </w:pPr>
    </w:p>
    <w:bookmarkEnd w:id="0"/>
    <w:bookmarkEnd w:id="1"/>
    <w:bookmarkEnd w:id="2"/>
    <w:bookmarkEnd w:id="3"/>
    <w:bookmarkEnd w:id="4"/>
    <w:bookmarkEnd w:id="5"/>
    <w:p w14:paraId="1A68EE2F">
      <w:pPr>
        <w:pStyle w:val="35"/>
        <w:spacing w:beforeLines="0"/>
        <w:jc w:val="center"/>
        <w:rPr>
          <w:rFonts w:hint="default" w:ascii="Times New Roman" w:hAnsi="Times New Roman" w:eastAsia="方正小标宋简体" w:cs="Times New Roman"/>
          <w:sz w:val="44"/>
          <w:szCs w:val="44"/>
          <w:lang w:eastAsia="zh-CN"/>
        </w:rPr>
      </w:pPr>
      <w:bookmarkStart w:id="6" w:name="_Toc15377194"/>
      <w:bookmarkStart w:id="7" w:name="_Toc15396598"/>
      <w:bookmarkStart w:id="8" w:name="_Toc15378442"/>
      <w:bookmarkStart w:id="9" w:name="_Toc15377426"/>
      <w:bookmarkStart w:id="10" w:name="_Toc15396476"/>
      <w:r>
        <w:rPr>
          <w:rFonts w:hint="default" w:ascii="Times New Roman" w:hAnsi="Times New Roman" w:eastAsia="方正小标宋简体" w:cs="Times New Roman"/>
          <w:sz w:val="44"/>
          <w:szCs w:val="44"/>
        </w:rPr>
        <w:t>2025年度</w:t>
      </w:r>
      <w:r>
        <w:rPr>
          <w:rFonts w:hint="default" w:ascii="Times New Roman" w:hAnsi="Times New Roman" w:eastAsia="方正小标宋简体" w:cs="Times New Roman"/>
          <w:sz w:val="44"/>
          <w:szCs w:val="44"/>
          <w:lang w:eastAsia="zh-CN"/>
        </w:rPr>
        <w:t>四川省攀枝花市</w:t>
      </w:r>
    </w:p>
    <w:p w14:paraId="18BF42B0">
      <w:pPr>
        <w:pStyle w:val="35"/>
        <w:spacing w:beforeLines="0"/>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仁和区</w:t>
      </w:r>
      <w:bookmarkStart w:id="11" w:name="_Toc15306268"/>
      <w:r>
        <w:rPr>
          <w:rFonts w:hint="default" w:ascii="Times New Roman" w:hAnsi="Times New Roman" w:eastAsia="方正小标宋简体" w:cs="Times New Roman"/>
          <w:sz w:val="44"/>
          <w:szCs w:val="44"/>
          <w:lang w:eastAsia="zh-CN"/>
        </w:rPr>
        <w:t>机关事务服务中心</w:t>
      </w:r>
      <w:r>
        <w:rPr>
          <w:rFonts w:hint="default" w:ascii="Times New Roman" w:hAnsi="Times New Roman" w:eastAsia="方正小标宋简体" w:cs="Times New Roman"/>
          <w:sz w:val="44"/>
          <w:szCs w:val="44"/>
        </w:rPr>
        <w:t>部门决算</w:t>
      </w:r>
      <w:bookmarkEnd w:id="6"/>
      <w:bookmarkEnd w:id="7"/>
      <w:bookmarkEnd w:id="8"/>
      <w:bookmarkEnd w:id="9"/>
      <w:bookmarkEnd w:id="10"/>
      <w:bookmarkEnd w:id="11"/>
      <w:r>
        <w:rPr>
          <w:rFonts w:hint="default" w:ascii="Times New Roman" w:hAnsi="Times New Roman" w:eastAsia="方正小标宋简体" w:cs="Times New Roman"/>
          <w:sz w:val="44"/>
          <w:szCs w:val="44"/>
          <w:lang w:eastAsia="zh-CN"/>
        </w:rPr>
        <w:t>公开</w:t>
      </w:r>
    </w:p>
    <w:p w14:paraId="5BADB900">
      <w:pPr>
        <w:pStyle w:val="35"/>
        <w:spacing w:beforeLines="0"/>
        <w:jc w:val="center"/>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编制说明</w:t>
      </w:r>
    </w:p>
    <w:p w14:paraId="3C051C2E">
      <w:pPr>
        <w:widowControl/>
        <w:jc w:val="center"/>
        <w:rPr>
          <w:rFonts w:hint="default" w:ascii="Times New Roman" w:hAnsi="Times New Roman" w:eastAsia="黑体" w:cs="Times New Roman"/>
          <w:sz w:val="48"/>
          <w:szCs w:val="48"/>
        </w:rPr>
      </w:pPr>
    </w:p>
    <w:p w14:paraId="6CC6062F">
      <w:pPr>
        <w:pStyle w:val="12"/>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1214541">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14:paraId="57F058C4">
      <w:pPr>
        <w:widowControl/>
        <w:jc w:val="center"/>
        <w:rPr>
          <w:rFonts w:hint="default" w:ascii="Times New Roman" w:hAnsi="Times New Roman" w:eastAsia="黑体" w:cs="Times New Roman"/>
          <w:sz w:val="28"/>
          <w:szCs w:val="28"/>
        </w:rPr>
      </w:pPr>
    </w:p>
    <w:p w14:paraId="4BEEE540">
      <w:pPr>
        <w:pStyle w:val="1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p>
    <w:p w14:paraId="0BE2D935">
      <w:pPr>
        <w:rPr>
          <w:rFonts w:hint="default" w:ascii="Times New Roman" w:hAnsi="Times New Roman" w:cs="Times New Roman"/>
        </w:rPr>
      </w:pPr>
    </w:p>
    <w:p w14:paraId="4337189A">
      <w:pPr>
        <w:pStyle w:val="11"/>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第一部分 部门概况</w:t>
      </w:r>
      <w:r>
        <w:rPr>
          <w:rFonts w:hint="eastAsia" w:ascii="Times New Roman" w:hAnsi="Times New Roman" w:eastAsia="黑体" w:cs="Times New Roman"/>
          <w:sz w:val="32"/>
          <w:szCs w:val="32"/>
          <w:lang w:val="en-US" w:eastAsia="zh-CN"/>
        </w:rPr>
        <w:t xml:space="preserve"> </w:t>
      </w:r>
      <w:r>
        <w:rPr>
          <w:rFonts w:hint="eastAsia" w:ascii="方正仿宋_GB2312" w:hAnsi="方正仿宋_GB2312" w:eastAsia="方正仿宋_GB2312" w:cs="方正仿宋_GB2312"/>
          <w:b w:val="0"/>
          <w:bCs w:val="0"/>
          <w:sz w:val="32"/>
          <w:szCs w:val="32"/>
          <w:lang w:eastAsia="zh-CN"/>
        </w:rPr>
        <w:t>…………………………………………</w:t>
      </w:r>
      <w:r>
        <w:rPr>
          <w:rFonts w:hint="default" w:ascii="Times New Roman" w:hAnsi="Times New Roman" w:eastAsia="方正仿宋_GB2312" w:cs="Times New Roman"/>
          <w:b w:val="0"/>
          <w:bCs w:val="0"/>
          <w:sz w:val="32"/>
          <w:szCs w:val="32"/>
          <w:lang w:val="en-US" w:eastAsia="zh-CN"/>
        </w:rPr>
        <w:t>1</w:t>
      </w:r>
    </w:p>
    <w:p w14:paraId="3CD238EA">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一、部门职责</w:t>
      </w:r>
      <w:r>
        <w:rPr>
          <w:rFonts w:hint="eastAsia" w:ascii="方正仿宋_GB2312" w:hAnsi="方正仿宋_GB2312" w:eastAsia="方正仿宋_GB2312" w:cs="方正仿宋_GB2312"/>
          <w:b w:val="0"/>
          <w:bCs w:val="0"/>
          <w:sz w:val="32"/>
          <w:szCs w:val="32"/>
          <w:lang w:eastAsia="zh-CN"/>
        </w:rPr>
        <w:t>……………………………………………</w:t>
      </w:r>
      <w:r>
        <w:rPr>
          <w:rFonts w:hint="default" w:ascii="Times New Roman" w:hAnsi="Times New Roman" w:eastAsia="方正仿宋_GB2312" w:cs="Times New Roman"/>
          <w:b w:val="0"/>
          <w:bCs w:val="0"/>
          <w:sz w:val="32"/>
          <w:szCs w:val="32"/>
          <w:lang w:val="en-US" w:eastAsia="zh-CN"/>
        </w:rPr>
        <w:t>1</w:t>
      </w:r>
    </w:p>
    <w:p w14:paraId="4E5A7A5B">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二、机构设置</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2</w:t>
      </w:r>
    </w:p>
    <w:p w14:paraId="359A9EAB">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2025年度部门决算情况说明</w:t>
      </w:r>
      <w:r>
        <w:rPr>
          <w:rFonts w:hint="eastAsia" w:ascii="方正仿宋_GB2312" w:hAnsi="方正仿宋_GB2312" w:eastAsia="方正仿宋_GB2312" w:cs="方正仿宋_GB2312"/>
          <w:b w:val="0"/>
          <w:bCs w:val="0"/>
          <w:spacing w:val="6"/>
          <w:sz w:val="32"/>
          <w:szCs w:val="32"/>
          <w:lang w:eastAsia="zh-CN"/>
        </w:rPr>
        <w:t>……………………</w:t>
      </w:r>
      <w:r>
        <w:rPr>
          <w:rFonts w:hint="default" w:ascii="Times New Roman" w:hAnsi="Times New Roman" w:eastAsia="方正仿宋_GB2312" w:cs="Times New Roman"/>
          <w:b w:val="0"/>
          <w:bCs w:val="0"/>
          <w:sz w:val="32"/>
          <w:szCs w:val="32"/>
          <w:lang w:val="en-US" w:eastAsia="zh-CN"/>
        </w:rPr>
        <w:t>2</w:t>
      </w:r>
    </w:p>
    <w:p w14:paraId="785533B5">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一、收入支出决算总体情况说明</w:t>
      </w:r>
      <w:r>
        <w:rPr>
          <w:rFonts w:hint="eastAsia" w:ascii="方正仿宋_GB2312" w:hAnsi="方正仿宋_GB2312" w:eastAsia="方正仿宋_GB2312" w:cs="方正仿宋_GB2312"/>
          <w:b w:val="0"/>
          <w:bCs w:val="0"/>
          <w:sz w:val="32"/>
          <w:szCs w:val="32"/>
          <w:lang w:eastAsia="zh-CN"/>
        </w:rPr>
        <w:t>………………………</w:t>
      </w:r>
      <w:r>
        <w:rPr>
          <w:rFonts w:hint="default" w:ascii="Times New Roman" w:hAnsi="Times New Roman" w:eastAsia="方正仿宋_GB2312" w:cs="Times New Roman"/>
          <w:b w:val="0"/>
          <w:bCs w:val="0"/>
          <w:sz w:val="32"/>
          <w:szCs w:val="32"/>
          <w:lang w:val="en-US" w:eastAsia="zh-CN"/>
        </w:rPr>
        <w:t>2</w:t>
      </w:r>
    </w:p>
    <w:p w14:paraId="313C5390">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3</w:t>
      </w:r>
    </w:p>
    <w:p w14:paraId="59035956">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4</w:t>
      </w:r>
    </w:p>
    <w:p w14:paraId="34B40717">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四、财政拨款收入支出决算总体情况说明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4</w:t>
      </w:r>
    </w:p>
    <w:p w14:paraId="1BEFA40D">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五、一般公共预算财政拨款支出决算情况说明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5</w:t>
      </w:r>
    </w:p>
    <w:p w14:paraId="415E8BDC">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六、一般公共预算财政拨款基本支出决算情况说明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8</w:t>
      </w:r>
    </w:p>
    <w:p w14:paraId="729E1A51">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七、财政拨款“三公”经费支出决算情况说明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8</w:t>
      </w:r>
    </w:p>
    <w:p w14:paraId="73921AF2">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八、政府性基金预算支出决算情况说明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10</w:t>
      </w:r>
    </w:p>
    <w:p w14:paraId="3076158B">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九、国有资本经营预算支出决算情况说明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10</w:t>
      </w:r>
    </w:p>
    <w:p w14:paraId="1008B0EB">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十、其他重要事项的情况说明</w:t>
      </w:r>
      <w:r>
        <w:rPr>
          <w:rFonts w:hint="eastAsia" w:ascii="方正仿宋_GB2312" w:hAnsi="方正仿宋_GB2312" w:eastAsia="方正仿宋_GB2312" w:cs="方正仿宋_GB2312"/>
          <w:b w:val="0"/>
          <w:bCs w:val="0"/>
          <w:sz w:val="32"/>
          <w:szCs w:val="32"/>
          <w:lang w:eastAsia="zh-CN"/>
        </w:rPr>
        <w:t>…………………………</w:t>
      </w:r>
      <w:r>
        <w:rPr>
          <w:rFonts w:hint="eastAsia" w:eastAsia="方正仿宋_GB2312" w:cs="Times New Roman"/>
          <w:b w:val="0"/>
          <w:bCs w:val="0"/>
          <w:sz w:val="32"/>
          <w:szCs w:val="32"/>
          <w:lang w:val="en-US" w:eastAsia="zh-CN"/>
        </w:rPr>
        <w:t>10</w:t>
      </w:r>
    </w:p>
    <w:p w14:paraId="05F5F627">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第三部分 名词解释</w:t>
      </w:r>
      <w:r>
        <w:rPr>
          <w:rFonts w:hint="eastAsia" w:ascii="方正仿宋_GB2312" w:hAnsi="方正仿宋_GB2312" w:eastAsia="方正仿宋_GB2312" w:cs="方正仿宋_GB2312"/>
          <w:b w:val="0"/>
          <w:bCs w:val="0"/>
          <w:spacing w:val="-6"/>
          <w:sz w:val="32"/>
          <w:szCs w:val="32"/>
          <w:lang w:eastAsia="zh-CN"/>
        </w:rPr>
        <w:t>……………………………………………</w:t>
      </w:r>
      <w:r>
        <w:rPr>
          <w:rFonts w:hint="default" w:ascii="Times New Roman" w:hAnsi="Times New Roman" w:eastAsia="方正仿宋_GB2312" w:cs="Times New Roman"/>
          <w:b w:val="0"/>
          <w:bCs w:val="0"/>
          <w:sz w:val="32"/>
          <w:szCs w:val="32"/>
          <w:lang w:val="en-US" w:eastAsia="zh-CN"/>
        </w:rPr>
        <w:t>12</w:t>
      </w:r>
    </w:p>
    <w:p w14:paraId="7F785358">
      <w:pPr>
        <w:pStyle w:val="11"/>
        <w:adjustRightInd w:val="0"/>
        <w:snapToGrid w:val="0"/>
        <w:spacing w:before="0" w:line="56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第四部分 附件</w:t>
      </w:r>
      <w:r>
        <w:rPr>
          <w:rFonts w:hint="eastAsia" w:ascii="方正仿宋_GB2312" w:hAnsi="方正仿宋_GB2312" w:eastAsia="方正仿宋_GB2312" w:cs="方正仿宋_GB2312"/>
          <w:b w:val="0"/>
          <w:bCs w:val="0"/>
          <w:spacing w:val="-6"/>
          <w:sz w:val="32"/>
          <w:szCs w:val="32"/>
          <w:lang w:eastAsia="zh-CN"/>
        </w:rPr>
        <w:t>…………………………………………………</w:t>
      </w:r>
      <w:r>
        <w:rPr>
          <w:rFonts w:hint="eastAsia" w:ascii="Times New Roman" w:hAnsi="Times New Roman" w:eastAsia="方正仿宋_GB2312" w:cs="Times New Roman"/>
          <w:b w:val="0"/>
          <w:bCs w:val="0"/>
          <w:sz w:val="32"/>
          <w:szCs w:val="32"/>
          <w:lang w:val="en-US" w:eastAsia="zh-CN"/>
        </w:rPr>
        <w:t>15</w:t>
      </w:r>
    </w:p>
    <w:p w14:paraId="56C3DD5E">
      <w:pPr>
        <w:pStyle w:val="11"/>
        <w:adjustRightInd w:val="0"/>
        <w:snapToGrid w:val="0"/>
        <w:spacing w:before="0" w:line="560" w:lineRule="exact"/>
        <w:jc w:val="left"/>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rPr>
        <w:t>第五部分 附表</w:t>
      </w:r>
      <w:r>
        <w:rPr>
          <w:rFonts w:hint="eastAsia" w:ascii="方正仿宋_GB2312" w:hAnsi="方正仿宋_GB2312" w:eastAsia="方正仿宋_GB2312" w:cs="方正仿宋_GB2312"/>
          <w:b w:val="0"/>
          <w:bCs w:val="0"/>
          <w:spacing w:val="-6"/>
          <w:sz w:val="32"/>
          <w:szCs w:val="32"/>
          <w:lang w:eastAsia="zh-CN"/>
        </w:rPr>
        <w:t>…………………………………………………</w:t>
      </w:r>
      <w:r>
        <w:rPr>
          <w:rFonts w:hint="eastAsia" w:ascii="Times New Roman" w:hAnsi="Times New Roman" w:eastAsia="方正仿宋_GB2312" w:cs="Times New Roman"/>
          <w:b w:val="0"/>
          <w:bCs w:val="0"/>
          <w:sz w:val="32"/>
          <w:szCs w:val="32"/>
          <w:lang w:val="en-US" w:eastAsia="zh-CN"/>
        </w:rPr>
        <w:t>22</w:t>
      </w:r>
    </w:p>
    <w:p w14:paraId="000E9E5B">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r>
        <w:rPr>
          <w:rFonts w:hint="eastAsia" w:ascii="方正仿宋_GB2312" w:hAnsi="方正仿宋_GB2312" w:eastAsia="方正仿宋_GB2312" w:cs="方正仿宋_GB2312"/>
          <w:b w:val="0"/>
          <w:bCs w:val="0"/>
          <w:spacing w:val="-11"/>
          <w:sz w:val="32"/>
          <w:szCs w:val="32"/>
          <w:lang w:eastAsia="zh-CN"/>
        </w:rPr>
        <w:t>……………………………………</w:t>
      </w:r>
      <w:r>
        <w:rPr>
          <w:rFonts w:hint="eastAsia" w:ascii="Times New Roman" w:hAnsi="Times New Roman" w:eastAsia="方正仿宋_GB2312" w:cs="Times New Roman"/>
          <w:b w:val="0"/>
          <w:bCs w:val="0"/>
          <w:kern w:val="2"/>
          <w:sz w:val="32"/>
          <w:szCs w:val="32"/>
          <w:lang w:val="en-US" w:eastAsia="zh-CN" w:bidi="ar-SA"/>
        </w:rPr>
        <w:t>22</w:t>
      </w:r>
    </w:p>
    <w:p w14:paraId="7BF905B3">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r>
        <w:rPr>
          <w:rFonts w:hint="eastAsia" w:ascii="方正仿宋_GB2312" w:hAnsi="方正仿宋_GB2312" w:eastAsia="方正仿宋_GB2312" w:cs="方正仿宋_GB2312"/>
          <w:b w:val="0"/>
          <w:bCs w:val="0"/>
          <w:spacing w:val="-6"/>
          <w:sz w:val="32"/>
          <w:szCs w:val="32"/>
          <w:lang w:eastAsia="zh-CN"/>
        </w:rPr>
        <w:t>…………………………………………</w:t>
      </w:r>
      <w:r>
        <w:rPr>
          <w:rFonts w:hint="eastAsia" w:ascii="Times New Roman" w:hAnsi="Times New Roman" w:eastAsia="方正仿宋_GB2312" w:cs="Times New Roman"/>
          <w:b w:val="0"/>
          <w:bCs w:val="0"/>
          <w:kern w:val="2"/>
          <w:sz w:val="32"/>
          <w:szCs w:val="32"/>
          <w:lang w:val="en-US" w:eastAsia="zh-CN" w:bidi="ar-SA"/>
        </w:rPr>
        <w:t>22</w:t>
      </w:r>
    </w:p>
    <w:p w14:paraId="075A7C96">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2446CA2D">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33315BD7">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5A0988AE">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2F9E94BA">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71253BFE">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八、一般公共预算财政拨款基本支出决算明细表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67DD6B21">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196615B7">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4EC7D292">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7E3512FF">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64D1E997">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r>
        <w:rPr>
          <w:rFonts w:hint="eastAsia" w:ascii="方正仿宋_GB2312" w:hAnsi="方正仿宋_GB2312" w:eastAsia="方正仿宋_GB2312" w:cs="方正仿宋_GB2312"/>
          <w:b w:val="0"/>
          <w:bCs w:val="0"/>
          <w:spacing w:val="-6"/>
          <w:sz w:val="32"/>
          <w:szCs w:val="32"/>
          <w:lang w:eastAsia="zh-CN"/>
        </w:rPr>
        <w:t>………………</w:t>
      </w:r>
      <w:r>
        <w:rPr>
          <w:rFonts w:hint="eastAsia" w:eastAsia="方正仿宋_GB2312" w:cs="Times New Roman"/>
          <w:b w:val="0"/>
          <w:bCs w:val="0"/>
          <w:sz w:val="32"/>
          <w:szCs w:val="32"/>
          <w:lang w:val="en-US" w:eastAsia="zh-CN"/>
        </w:rPr>
        <w:t>22</w:t>
      </w:r>
    </w:p>
    <w:p w14:paraId="5C8C9A8D">
      <w:pPr>
        <w:widowControl/>
        <w:spacing w:line="560" w:lineRule="exact"/>
        <w:jc w:val="left"/>
        <w:rPr>
          <w:rFonts w:hint="default" w:ascii="Times New Roman" w:hAnsi="Times New Roman" w:eastAsia="仿宋_GB2312" w:cs="Times New Roman"/>
          <w:b/>
          <w:sz w:val="32"/>
          <w:szCs w:val="32"/>
        </w:rPr>
      </w:pPr>
      <w:bookmarkStart w:id="12" w:name="_Toc15377196"/>
      <w:bookmarkStart w:id="13" w:name="_Toc15396599"/>
    </w:p>
    <w:p w14:paraId="2CFEBC8D">
      <w:pPr>
        <w:pStyle w:val="2"/>
        <w:jc w:val="center"/>
        <w:rPr>
          <w:rFonts w:hint="default" w:ascii="Times New Roman" w:hAnsi="Times New Roman" w:eastAsia="方正小标宋简体" w:cs="Times New Roman"/>
          <w:b w:val="0"/>
        </w:rPr>
        <w:sectPr>
          <w:footerReference r:id="rId5" w:type="default"/>
          <w:pgSz w:w="11906" w:h="16838"/>
          <w:pgMar w:top="1440" w:right="1800" w:bottom="1440" w:left="1800" w:header="851" w:footer="992" w:gutter="0"/>
          <w:pgNumType w:start="1"/>
          <w:cols w:space="425" w:num="1"/>
          <w:docGrid w:type="lines" w:linePitch="312" w:charSpace="0"/>
        </w:sectPr>
      </w:pPr>
    </w:p>
    <w:p w14:paraId="2EFD03E6">
      <w:pPr>
        <w:pStyle w:val="2"/>
        <w:jc w:val="center"/>
        <w:rPr>
          <w:rFonts w:hint="default" w:ascii="Times New Roman" w:hAnsi="Times New Roman" w:eastAsia="黑体" w:cs="Times New Roman"/>
          <w:sz w:val="32"/>
          <w:szCs w:val="32"/>
        </w:rPr>
      </w:pPr>
      <w:r>
        <w:rPr>
          <w:rFonts w:hint="default" w:ascii="Times New Roman" w:hAnsi="Times New Roman" w:eastAsia="方正小标宋简体" w:cs="Times New Roman"/>
          <w:b w:val="0"/>
        </w:rPr>
        <w:t xml:space="preserve">第一部分  </w:t>
      </w:r>
      <w:r>
        <w:rPr>
          <w:rStyle w:val="28"/>
          <w:rFonts w:hint="default" w:ascii="Times New Roman" w:hAnsi="Times New Roman" w:eastAsia="方正小标宋简体" w:cs="Times New Roman"/>
          <w:b w:val="0"/>
          <w:bCs w:val="0"/>
        </w:rPr>
        <w:t>部门概况</w:t>
      </w:r>
      <w:bookmarkEnd w:id="12"/>
      <w:bookmarkEnd w:id="13"/>
    </w:p>
    <w:p w14:paraId="44310951">
      <w:pPr>
        <w:pStyle w:val="3"/>
        <w:numPr>
          <w:ilvl w:val="0"/>
          <w:numId w:val="1"/>
        </w:numPr>
        <w:rPr>
          <w:rFonts w:hint="default" w:ascii="Times New Roman" w:hAnsi="Times New Roman" w:eastAsia="黑体" w:cs="Times New Roman"/>
          <w:b w:val="0"/>
        </w:rPr>
      </w:pPr>
      <w:r>
        <w:rPr>
          <w:rFonts w:hint="default" w:ascii="Times New Roman" w:hAnsi="Times New Roman" w:eastAsia="黑体" w:cs="Times New Roman"/>
          <w:b w:val="0"/>
        </w:rPr>
        <w:t>部门职责</w:t>
      </w:r>
    </w:p>
    <w:p w14:paraId="3C9B5FD4">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攀枝花市仁和区机关事务服务中心贯彻落实党中央和省市区委关于机关事务管理的方针政策和决策部署。主要职责是</w:t>
      </w:r>
      <w:r>
        <w:rPr>
          <w:rFonts w:hint="default" w:ascii="Times New Roman" w:hAnsi="Times New Roman" w:eastAsia="仿宋_GB2312" w:cs="Times New Roman"/>
          <w:sz w:val="32"/>
          <w:szCs w:val="32"/>
          <w:lang w:eastAsia="zh-CN"/>
        </w:rPr>
        <w:t>：</w:t>
      </w:r>
    </w:p>
    <w:p w14:paraId="009934E7">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1.贯彻国家机关事务工作和后勤体制改革的法律法规、政策规定；承担全区机关事务的服务保障工作；参与拟订机关事务管理、后勤服务体制改革的规范性文件和政策、标准。</w:t>
      </w:r>
    </w:p>
    <w:p w14:paraId="035E78E9">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全区党政机关及参公事业单位办公用房的权属界定、析产确权、统筹调剂、处置处用、维修改造以及资产增减、变更、转移、统计、分析、报送等工作；负责推进、协调全区机关事业单位的公共机构节能工作，协助有关部门制定节能规划，开展公共机构节能宣传、教育、培训，普及节能科学知识，开展能耗统计、分析、汇总等工作。</w:t>
      </w:r>
    </w:p>
    <w:p w14:paraId="73674D5E">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3.负责区级部门集中办公区日常维护等服务保障工作；负责机关职工食堂的日常事务及食品卫生安全保障工作；负责干部人才周转房的服务保障工作。</w:t>
      </w:r>
    </w:p>
    <w:p w14:paraId="080A84A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负责公务用车服务保障工作；承担公务用车配备更新和日常运行维护、统计、分析、汇总工作；配合做好全区公务用车编制、调剂、更新及处置工作；承担对公务用车定点服务商合同约定和服务承诺落实情况的调度汇总工作；做好公务用车安全教育、宣传、管理工作。</w:t>
      </w:r>
    </w:p>
    <w:p w14:paraId="424A7FB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加强与市大数据中心的工作衔接并承办有关事务；承担全区协同办公平台运行、一体化政务服务平台、政务信息公开、电子政务外网网络维护及安全监控等技术服务保障工作。</w:t>
      </w:r>
    </w:p>
    <w:p w14:paraId="0523546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6.完成</w:t>
      </w:r>
      <w:r>
        <w:rPr>
          <w:rFonts w:hint="eastAsia" w:eastAsia="仿宋_GB2312" w:cs="Times New Roman"/>
          <w:sz w:val="32"/>
          <w:szCs w:val="32"/>
          <w:lang w:eastAsia="zh-CN"/>
        </w:rPr>
        <w:t>区委、区政府</w:t>
      </w:r>
      <w:r>
        <w:rPr>
          <w:rFonts w:hint="default" w:ascii="Times New Roman" w:hAnsi="Times New Roman" w:eastAsia="仿宋_GB2312" w:cs="Times New Roman"/>
          <w:sz w:val="32"/>
          <w:szCs w:val="32"/>
        </w:rPr>
        <w:t>、区政府办交办的其他任务。</w:t>
      </w:r>
    </w:p>
    <w:p w14:paraId="4B7B631C">
      <w:pPr>
        <w:pStyle w:val="3"/>
        <w:rPr>
          <w:rStyle w:val="29"/>
          <w:rFonts w:hint="default" w:ascii="Times New Roman" w:hAnsi="Times New Roman" w:cs="Times New Roman"/>
          <w:b w:val="0"/>
          <w:bCs w:val="0"/>
        </w:rPr>
      </w:pPr>
      <w:bookmarkStart w:id="14" w:name="_Toc15377200"/>
      <w:bookmarkStart w:id="15" w:name="_Toc15396601"/>
      <w:r>
        <w:rPr>
          <w:rFonts w:hint="default" w:ascii="Times New Roman" w:hAnsi="Times New Roman" w:eastAsia="黑体" w:cs="Times New Roman"/>
          <w:b w:val="0"/>
        </w:rPr>
        <w:t>二、机</w:t>
      </w:r>
      <w:r>
        <w:rPr>
          <w:rStyle w:val="29"/>
          <w:rFonts w:hint="default" w:ascii="Times New Roman" w:hAnsi="Times New Roman" w:eastAsia="黑体" w:cs="Times New Roman"/>
          <w:b w:val="0"/>
          <w:bCs w:val="0"/>
        </w:rPr>
        <w:t>构设置</w:t>
      </w:r>
      <w:bookmarkEnd w:id="14"/>
      <w:bookmarkEnd w:id="15"/>
    </w:p>
    <w:p w14:paraId="1937B99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攀枝花市仁和区机关事务服务中心下属二级预算单位</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个，其中行政单位</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个，参照公务员法管理的事业单位</w:t>
      </w:r>
      <w:r>
        <w:rPr>
          <w:rFonts w:hint="default" w:ascii="Times New Roman" w:hAnsi="Times New Roman" w:eastAsia="仿宋_GB2312" w:cs="Times New Roman"/>
          <w:bCs/>
          <w:sz w:val="32"/>
          <w:szCs w:val="32"/>
          <w:lang w:val="en-US" w:eastAsia="zh-CN"/>
        </w:rPr>
        <w:t>0</w:t>
      </w:r>
      <w:r>
        <w:rPr>
          <w:rFonts w:hint="default" w:ascii="Times New Roman" w:hAnsi="Times New Roman" w:eastAsia="仿宋_GB2312" w:cs="Times New Roman"/>
          <w:sz w:val="32"/>
          <w:szCs w:val="32"/>
        </w:rPr>
        <w:t>个，其他事业单位</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个。</w:t>
      </w:r>
    </w:p>
    <w:p w14:paraId="187C203B">
      <w:pPr>
        <w:pStyle w:val="2"/>
        <w:jc w:val="center"/>
        <w:rPr>
          <w:rFonts w:hint="default" w:ascii="Times New Roman" w:hAnsi="Times New Roman" w:cs="Times New Roman"/>
        </w:rPr>
      </w:pPr>
      <w:bookmarkStart w:id="16" w:name="_Toc15396602"/>
      <w:bookmarkStart w:id="17" w:name="_Toc15377204"/>
      <w:r>
        <w:rPr>
          <w:rFonts w:hint="default" w:ascii="Times New Roman" w:hAnsi="Times New Roman" w:eastAsia="方正小标宋简体" w:cs="Times New Roman"/>
          <w:b w:val="0"/>
        </w:rPr>
        <w:t>第二部分  2025年度部门决算情况说明</w:t>
      </w:r>
      <w:bookmarkEnd w:id="16"/>
      <w:bookmarkEnd w:id="17"/>
    </w:p>
    <w:p w14:paraId="6A504546">
      <w:pPr>
        <w:pStyle w:val="27"/>
        <w:spacing w:line="600" w:lineRule="exact"/>
        <w:ind w:firstLine="640"/>
        <w:outlineLvl w:val="1"/>
        <w:rPr>
          <w:rStyle w:val="29"/>
          <w:rFonts w:hint="default" w:ascii="Times New Roman" w:hAnsi="Times New Roman" w:eastAsia="黑体" w:cs="Times New Roman"/>
          <w:b w:val="0"/>
          <w:highlight w:val="none"/>
        </w:rPr>
      </w:pPr>
      <w:bookmarkStart w:id="18" w:name="_Toc15396603"/>
      <w:bookmarkStart w:id="19" w:name="_Toc15377205"/>
      <w:r>
        <w:rPr>
          <w:rFonts w:hint="default" w:ascii="Times New Roman" w:hAnsi="Times New Roman" w:eastAsia="黑体" w:cs="Times New Roman"/>
          <w:sz w:val="32"/>
          <w:szCs w:val="32"/>
          <w:highlight w:val="none"/>
        </w:rPr>
        <w:t>一、收</w:t>
      </w:r>
      <w:r>
        <w:rPr>
          <w:rStyle w:val="29"/>
          <w:rFonts w:hint="default" w:ascii="Times New Roman" w:hAnsi="Times New Roman" w:eastAsia="黑体" w:cs="Times New Roman"/>
          <w:b w:val="0"/>
          <w:highlight w:val="none"/>
        </w:rPr>
        <w:t>入支出决算总体情况说明</w:t>
      </w:r>
      <w:bookmarkEnd w:id="18"/>
      <w:bookmarkEnd w:id="19"/>
    </w:p>
    <w:p w14:paraId="099725E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2025年度收入、支出总计均为1145.85万元。与上年度相比，收入、支出总计各减少214.69万元，下降15.8%。主要变动原因是本年度项目经费支出减少、公用经费减少。</w:t>
      </w:r>
    </w:p>
    <w:p w14:paraId="28C8C3BC">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（图1：收入、支出决算总计变动情况图）（柱状图）</w:t>
      </w:r>
    </w:p>
    <w:p w14:paraId="5F8BC8EA">
      <w:pPr>
        <w:ind w:firstLine="640" w:firstLineChars="200"/>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drawing>
          <wp:inline distT="0" distB="0" distL="0" distR="0">
            <wp:extent cx="4743450" cy="2581275"/>
            <wp:effectExtent l="19050" t="0" r="1905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9546B1">
      <w:pPr>
        <w:pStyle w:val="27"/>
        <w:spacing w:line="600" w:lineRule="exact"/>
        <w:ind w:firstLine="640"/>
        <w:outlineLvl w:val="1"/>
        <w:rPr>
          <w:rFonts w:hint="default" w:ascii="Times New Roman" w:hAnsi="Times New Roman" w:eastAsia="黑体" w:cs="Times New Roman"/>
          <w:sz w:val="32"/>
          <w:szCs w:val="32"/>
          <w:highlight w:val="none"/>
        </w:rPr>
      </w:pPr>
      <w:bookmarkStart w:id="20" w:name="_Toc15377206"/>
      <w:bookmarkStart w:id="21" w:name="_Toc15396604"/>
      <w:r>
        <w:rPr>
          <w:rFonts w:hint="default" w:ascii="Times New Roman" w:hAnsi="Times New Roman" w:eastAsia="黑体" w:cs="Times New Roman"/>
          <w:sz w:val="32"/>
          <w:szCs w:val="32"/>
          <w:highlight w:val="none"/>
        </w:rPr>
        <w:t>二、收入决算情况说明</w:t>
      </w:r>
      <w:bookmarkEnd w:id="20"/>
      <w:bookmarkEnd w:id="21"/>
    </w:p>
    <w:p w14:paraId="6F8A03EB">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收入合计1143.85万元，其中：一般公共预算财政拨款收入984.91万元，占86.1%；政府性基金预算财政拨款收入158.94万元，占13.9%；国有资本经营预算财政拨款收入0万元，占0%；上级补助收入0万元，占0%；事业收入0万元，占0%；经营收入0万元，占0%；附属单位上缴收入0万元，占0%；其他收入0万元，占0%。</w:t>
      </w:r>
    </w:p>
    <w:p w14:paraId="1BBC7A03">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（图2：收入决算结构图）（饼状图）</w:t>
      </w:r>
    </w:p>
    <w:p w14:paraId="0F9F1BBD">
      <w:pPr>
        <w:ind w:firstLine="800" w:firstLineChars="250"/>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drawing>
          <wp:inline distT="0" distB="0" distL="0" distR="0">
            <wp:extent cx="4581525" cy="2400300"/>
            <wp:effectExtent l="19050" t="0" r="9525"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F231AD">
      <w:pPr>
        <w:pStyle w:val="27"/>
        <w:spacing w:line="600" w:lineRule="exact"/>
        <w:ind w:firstLine="640"/>
        <w:outlineLvl w:val="1"/>
        <w:rPr>
          <w:rStyle w:val="29"/>
          <w:rFonts w:hint="default" w:ascii="Times New Roman" w:hAnsi="Times New Roman" w:eastAsia="黑体" w:cs="Times New Roman"/>
          <w:b w:val="0"/>
          <w:highlight w:val="none"/>
        </w:rPr>
      </w:pPr>
      <w:bookmarkStart w:id="22" w:name="_Toc15396605"/>
      <w:bookmarkStart w:id="23" w:name="_Toc15377207"/>
      <w:r>
        <w:rPr>
          <w:rFonts w:hint="default" w:ascii="Times New Roman" w:hAnsi="Times New Roman" w:eastAsia="黑体" w:cs="Times New Roman"/>
          <w:sz w:val="32"/>
          <w:szCs w:val="32"/>
          <w:highlight w:val="none"/>
        </w:rPr>
        <w:t>三、支</w:t>
      </w:r>
      <w:r>
        <w:rPr>
          <w:rStyle w:val="29"/>
          <w:rFonts w:hint="default" w:ascii="Times New Roman" w:hAnsi="Times New Roman" w:eastAsia="黑体" w:cs="Times New Roman"/>
          <w:b w:val="0"/>
          <w:highlight w:val="none"/>
        </w:rPr>
        <w:t>出决算情况说明</w:t>
      </w:r>
      <w:bookmarkEnd w:id="22"/>
      <w:bookmarkEnd w:id="23"/>
    </w:p>
    <w:p w14:paraId="5E129668">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2025年度本年支出合计1145.85万元，其中：基本支出674.3万元，占58.8%；项目支出471.55万元，占41.2%；上缴上级支出0万元，占0%；经营支出0万元，占0%；对附属单位补助支出0万元，占0%。</w:t>
      </w:r>
    </w:p>
    <w:p w14:paraId="37CED2CA">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（图3：支出决算结构图）（饼状图）</w:t>
      </w:r>
    </w:p>
    <w:p w14:paraId="7D90D01C">
      <w:pPr>
        <w:ind w:firstLine="800" w:firstLineChars="250"/>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drawing>
          <wp:inline distT="0" distB="0" distL="0" distR="0">
            <wp:extent cx="4505325" cy="2124075"/>
            <wp:effectExtent l="19050" t="0" r="9525" b="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792CF29">
      <w:pPr>
        <w:spacing w:line="600" w:lineRule="exact"/>
        <w:ind w:firstLine="640" w:firstLineChars="200"/>
        <w:outlineLvl w:val="1"/>
        <w:rPr>
          <w:rStyle w:val="29"/>
          <w:rFonts w:hint="default" w:ascii="Times New Roman" w:hAnsi="Times New Roman" w:eastAsia="黑体" w:cs="Times New Roman"/>
          <w:b w:val="0"/>
          <w:highlight w:val="none"/>
        </w:rPr>
      </w:pPr>
      <w:bookmarkStart w:id="24" w:name="_Toc15377208"/>
      <w:bookmarkStart w:id="25" w:name="_Toc15396606"/>
      <w:r>
        <w:rPr>
          <w:rFonts w:hint="default" w:ascii="Times New Roman" w:hAnsi="Times New Roman" w:eastAsia="黑体" w:cs="Times New Roman"/>
          <w:sz w:val="32"/>
          <w:szCs w:val="32"/>
          <w:highlight w:val="none"/>
        </w:rPr>
        <w:t>四、财</w:t>
      </w:r>
      <w:r>
        <w:rPr>
          <w:rStyle w:val="29"/>
          <w:rFonts w:hint="default" w:ascii="Times New Roman" w:hAnsi="Times New Roman" w:eastAsia="黑体" w:cs="Times New Roman"/>
          <w:b w:val="0"/>
          <w:highlight w:val="none"/>
        </w:rPr>
        <w:t>政拨款收入支出决算总体情况说明</w:t>
      </w:r>
      <w:bookmarkEnd w:id="24"/>
      <w:bookmarkEnd w:id="25"/>
    </w:p>
    <w:p w14:paraId="5FD0385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2025年度财政拨款收入、支出总计均为1145.85万元。与上年度相比，财政拨款收入、支出总计各减少214.69万元，下降15.8%。主要变动原因是本年度项目经费支出减少、公用经费减少。</w:t>
      </w:r>
    </w:p>
    <w:p w14:paraId="30DA4987">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（图4：财政拨款收、支决算总计变动情况）（柱状图）</w:t>
      </w:r>
    </w:p>
    <w:p w14:paraId="5768CB08">
      <w:pPr>
        <w:spacing w:line="600" w:lineRule="exact"/>
        <w:ind w:firstLine="640"/>
        <w:rPr>
          <w:rFonts w:hint="default" w:ascii="Times New Roman" w:hAnsi="Times New Roman" w:eastAsia="仿宋_GB2312" w:cs="Times New Roman"/>
          <w:sz w:val="32"/>
          <w:szCs w:val="32"/>
          <w:highlight w:val="none"/>
        </w:rPr>
      </w:pPr>
    </w:p>
    <w:p w14:paraId="1B27A4A4">
      <w:pPr>
        <w:pStyle w:val="12"/>
        <w:rPr>
          <w:rFonts w:hint="default" w:ascii="Times New Roman" w:hAnsi="Times New Roman" w:cs="Times New Roman"/>
          <w:highlight w:val="yellow"/>
        </w:rPr>
      </w:pPr>
      <w:r>
        <w:rPr>
          <w:rFonts w:hint="default" w:ascii="Times New Roman" w:hAnsi="Times New Roman" w:cs="Times New Roman"/>
        </w:rPr>
        <w:drawing>
          <wp:inline distT="0" distB="0" distL="0" distR="0">
            <wp:extent cx="5033010" cy="2357755"/>
            <wp:effectExtent l="19050" t="0" r="14817" b="4234"/>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CDC056">
      <w:pPr>
        <w:spacing w:line="600" w:lineRule="exact"/>
        <w:ind w:firstLine="640" w:firstLineChars="200"/>
        <w:outlineLvl w:val="1"/>
        <w:rPr>
          <w:rStyle w:val="29"/>
          <w:rFonts w:hint="default" w:ascii="Times New Roman" w:hAnsi="Times New Roman" w:eastAsia="黑体" w:cs="Times New Roman"/>
          <w:b w:val="0"/>
          <w:highlight w:val="none"/>
        </w:rPr>
      </w:pPr>
      <w:bookmarkStart w:id="26" w:name="_Toc15377209"/>
      <w:bookmarkStart w:id="27" w:name="_Toc15396607"/>
      <w:r>
        <w:rPr>
          <w:rFonts w:hint="default" w:ascii="Times New Roman" w:hAnsi="Times New Roman" w:eastAsia="黑体" w:cs="Times New Roman"/>
          <w:sz w:val="32"/>
          <w:szCs w:val="32"/>
          <w:highlight w:val="none"/>
        </w:rPr>
        <w:t>五、</w:t>
      </w:r>
      <w:r>
        <w:rPr>
          <w:rFonts w:hint="default" w:ascii="Times New Roman" w:hAnsi="Times New Roman" w:eastAsia="黑体" w:cs="Times New Roman"/>
          <w:b/>
          <w:sz w:val="32"/>
          <w:szCs w:val="32"/>
          <w:highlight w:val="none"/>
        </w:rPr>
        <w:t>一</w:t>
      </w:r>
      <w:r>
        <w:rPr>
          <w:rStyle w:val="29"/>
          <w:rFonts w:hint="default" w:ascii="Times New Roman" w:hAnsi="Times New Roman" w:eastAsia="黑体" w:cs="Times New Roman"/>
          <w:b w:val="0"/>
          <w:highlight w:val="none"/>
        </w:rPr>
        <w:t>般公共预算财政拨款支出决算情况说明</w:t>
      </w:r>
      <w:bookmarkEnd w:id="26"/>
      <w:bookmarkEnd w:id="27"/>
    </w:p>
    <w:p w14:paraId="09E2AA29">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28" w:name="_Toc15377210"/>
      <w:r>
        <w:rPr>
          <w:rFonts w:hint="default" w:ascii="Times New Roman" w:hAnsi="Times New Roman" w:eastAsia="楷体_GB2312" w:cs="Times New Roman"/>
          <w:b/>
          <w:sz w:val="32"/>
          <w:szCs w:val="32"/>
          <w:highlight w:val="none"/>
        </w:rPr>
        <w:t>（一）一般公共预算财政拨款支出决算总体情况</w:t>
      </w:r>
      <w:bookmarkEnd w:id="28"/>
    </w:p>
    <w:p w14:paraId="140C1908">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2025年度一般公共预算财政拨款支出986.91万元，占本年支出合计的86.1%。与上年度相比，一般公共预算财政拨款支出减少373.62万元，下降27.5%。主要变动原因是本年度项目经费支出减少、公用经费减少。</w:t>
      </w:r>
    </w:p>
    <w:p w14:paraId="71C83F43">
      <w:pPr>
        <w:jc w:val="center"/>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（图5：一般公共预算财政拨款支出决算变动情况）（柱状图）</w:t>
      </w:r>
    </w:p>
    <w:p w14:paraId="1A657291">
      <w:pPr>
        <w:pStyle w:val="12"/>
        <w:jc w:val="center"/>
        <w:rPr>
          <w:rFonts w:hint="default" w:ascii="Times New Roman" w:hAnsi="Times New Roman" w:cs="Times New Roman"/>
          <w:highlight w:val="yellow"/>
        </w:rPr>
      </w:pPr>
      <w:r>
        <w:rPr>
          <w:rFonts w:hint="default" w:ascii="Times New Roman" w:hAnsi="Times New Roman" w:cs="Times New Roman"/>
        </w:rPr>
        <w:drawing>
          <wp:inline distT="0" distB="0" distL="0" distR="0">
            <wp:extent cx="4211955" cy="2348230"/>
            <wp:effectExtent l="19050" t="0" r="16933" b="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7885F1">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29" w:name="_Toc15377211"/>
      <w:r>
        <w:rPr>
          <w:rFonts w:hint="default" w:ascii="Times New Roman" w:hAnsi="Times New Roman" w:eastAsia="楷体_GB2312" w:cs="Times New Roman"/>
          <w:b/>
          <w:sz w:val="32"/>
          <w:szCs w:val="32"/>
          <w:highlight w:val="none"/>
        </w:rPr>
        <w:t>（二）一般公共预算财政拨款支出决算结构情况</w:t>
      </w:r>
      <w:bookmarkEnd w:id="29"/>
    </w:p>
    <w:p w14:paraId="3E23861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支出986.91万元，主要用于以下方面：一般公共服务支出917.59万元，占93%；教育支出0万元，占0%；科学技术支出0万元，占0%；文化旅游体育与传媒支出0万元，占0%；社会保障和就业支出42.02万元，占4.3%；卫生健康支出11.59万元，占1.2%；住房保障支出15.71万元，占1.6%。</w:t>
      </w:r>
    </w:p>
    <w:p w14:paraId="0D81F90F">
      <w:pPr>
        <w:jc w:val="center"/>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（图6：一般公共预算财政拨款支出决算结构）（饼状图）</w:t>
      </w:r>
    </w:p>
    <w:p w14:paraId="6D202941">
      <w:pPr>
        <w:pStyle w:val="12"/>
        <w:rPr>
          <w:rFonts w:hint="default" w:ascii="Times New Roman" w:hAnsi="Times New Roman" w:cs="Times New Roman"/>
          <w:highlight w:val="yellow"/>
        </w:rPr>
      </w:pPr>
      <w:r>
        <w:rPr>
          <w:rFonts w:hint="default" w:ascii="Times New Roman" w:hAnsi="Times New Roman" w:cs="Times New Roman"/>
        </w:rPr>
        <w:drawing>
          <wp:inline distT="0" distB="0" distL="0" distR="0">
            <wp:extent cx="5274310" cy="3231515"/>
            <wp:effectExtent l="19050" t="0" r="21590" b="6764"/>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E1032A6">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30" w:name="_Toc15377212"/>
      <w:r>
        <w:rPr>
          <w:rFonts w:hint="default" w:ascii="Times New Roman" w:hAnsi="Times New Roman" w:eastAsia="楷体_GB2312" w:cs="Times New Roman"/>
          <w:b/>
          <w:sz w:val="32"/>
          <w:szCs w:val="32"/>
          <w:highlight w:val="none"/>
        </w:rPr>
        <w:t>（三）一般公共预算财政拨款支出决算具体情况</w:t>
      </w:r>
      <w:bookmarkEnd w:id="30"/>
    </w:p>
    <w:p w14:paraId="3DBD8E02">
      <w:pPr>
        <w:ind w:firstLine="640" w:firstLineChars="200"/>
        <w:rPr>
          <w:rFonts w:hint="default" w:ascii="Times New Roman" w:hAnsi="Times New Roman" w:eastAsia="仿宋_GB2312" w:cs="Times New Roman"/>
          <w:sz w:val="32"/>
          <w:szCs w:val="32"/>
        </w:rPr>
      </w:pPr>
      <w:bookmarkStart w:id="31" w:name="_Toc15377444"/>
      <w:bookmarkStart w:id="32" w:name="_Toc15377213"/>
      <w:bookmarkStart w:id="33" w:name="_Toc15378460"/>
      <w:r>
        <w:rPr>
          <w:rFonts w:hint="default" w:ascii="Times New Roman" w:hAnsi="Times New Roman" w:eastAsia="仿宋_GB2312" w:cs="Times New Roman"/>
          <w:sz w:val="32"/>
          <w:szCs w:val="32"/>
        </w:rPr>
        <w:t>2025年度一般公共预算支出决算数为986.91，完成预算100%。其中：</w:t>
      </w:r>
      <w:bookmarkEnd w:id="31"/>
      <w:bookmarkEnd w:id="32"/>
      <w:bookmarkEnd w:id="33"/>
    </w:p>
    <w:p w14:paraId="15F57379">
      <w:pPr>
        <w:ind w:firstLine="640" w:firstLineChars="200"/>
        <w:rPr>
          <w:rFonts w:hint="default" w:ascii="Times New Roman" w:hAnsi="Times New Roman" w:eastAsia="仿宋_GB2312" w:cs="Times New Roman"/>
          <w:sz w:val="32"/>
          <w:szCs w:val="32"/>
        </w:rPr>
      </w:pPr>
      <w:bookmarkStart w:id="34" w:name="_Toc15377214"/>
      <w:bookmarkStart w:id="35" w:name="_Toc15396608"/>
      <w:r>
        <w:rPr>
          <w:rFonts w:hint="default" w:ascii="Times New Roman" w:hAnsi="Times New Roman" w:eastAsia="仿宋_GB2312" w:cs="Times New Roman"/>
          <w:sz w:val="32"/>
          <w:szCs w:val="32"/>
        </w:rPr>
        <w:t>1.一般公共服务（类）政府办公厅（室）及相关机构事务（款）机关服务（项）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支出决算为908.84万元，完成预算100%，决算数等于预算数。</w:t>
      </w:r>
    </w:p>
    <w:p w14:paraId="5E3CF78B">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一般公共服务（类）政府办公厅（室）及相关机构事务（款）其他政府办公厅（室）及相关机构事务支出（项）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支出决算为8.75万元，完成预算100%，决算数等于预算数。</w:t>
      </w:r>
    </w:p>
    <w:p w14:paraId="4E91D6B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3.社会保障和就业支出（类）行政事业单位养老支出（款）行政单位离退休（项）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支出决算为8.74万元，完成预算100%，决算数等于预算数。</w:t>
      </w:r>
    </w:p>
    <w:p w14:paraId="0E2C7DCD">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社会保障和就业支出（类）行政事业单位养老支出（款）事业单位离退休（项）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支出决算为0.92万元，完成预算100%，决算数等于预算数。</w:t>
      </w:r>
    </w:p>
    <w:p w14:paraId="0FCA7E4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 社会保障和就业支出（类）行政事业单位养老支出（款）机关事业单位基本养老保险缴费支出（项）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支出决算为17.08万元，完成预算100%，决算数等于预算数。</w:t>
      </w:r>
    </w:p>
    <w:p w14:paraId="218D8F1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 社会保障和就业支出（类）行政事业单位养老支出（款）机关事业单位职业年金缴费支出（项）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支出决算为15.28万元，完成预算100%，决算数等于预算数。</w:t>
      </w:r>
    </w:p>
    <w:p w14:paraId="1BB89406">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7.卫生健康（类）行政事业单位医疗（款）行政单位医疗（项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支出决算为9.24万元，完成预算100%，决算数等于预算数</w:t>
      </w:r>
      <w:r>
        <w:rPr>
          <w:rFonts w:hint="default" w:ascii="Times New Roman" w:hAnsi="Times New Roman" w:eastAsia="仿宋_GB2312" w:cs="Times New Roman"/>
          <w:sz w:val="32"/>
          <w:szCs w:val="32"/>
          <w:lang w:eastAsia="zh-CN"/>
        </w:rPr>
        <w:t>。</w:t>
      </w:r>
    </w:p>
    <w:p w14:paraId="4BADA524">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8.卫生健康（类）行政事业单位医疗（款）公务员医疗补助（项）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支出决算为2.35万元，完成预算100%，决算数等于预算数。</w:t>
      </w:r>
    </w:p>
    <w:p w14:paraId="6AC8208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9.住房保障支出（类）住房改革支出（款）住房公积金（项）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支出决算为15.71万元，完成预算100%，决算数等于预算数。</w:t>
      </w:r>
    </w:p>
    <w:p w14:paraId="080CFF14">
      <w:pPr>
        <w:tabs>
          <w:tab w:val="right" w:pos="8306"/>
        </w:tabs>
        <w:spacing w:line="600" w:lineRule="exact"/>
        <w:ind w:firstLine="640"/>
        <w:outlineLvl w:val="1"/>
        <w:rPr>
          <w:rStyle w:val="29"/>
          <w:rFonts w:hint="default" w:ascii="Times New Roman" w:hAnsi="Times New Roman" w:cs="Times New Roman"/>
          <w:highlight w:val="none"/>
        </w:rPr>
      </w:pPr>
      <w:r>
        <w:rPr>
          <w:rFonts w:hint="default" w:ascii="Times New Roman" w:hAnsi="Times New Roman" w:eastAsia="黑体" w:cs="Times New Roman"/>
          <w:sz w:val="32"/>
          <w:szCs w:val="32"/>
          <w:highlight w:val="none"/>
        </w:rPr>
        <w:t>六</w:t>
      </w:r>
      <w:r>
        <w:rPr>
          <w:rFonts w:hint="default" w:ascii="Times New Roman" w:hAnsi="Times New Roman" w:eastAsia="黑体" w:cs="Times New Roman"/>
          <w:b/>
          <w:sz w:val="32"/>
          <w:szCs w:val="32"/>
          <w:highlight w:val="none"/>
        </w:rPr>
        <w:t>、一</w:t>
      </w:r>
      <w:r>
        <w:rPr>
          <w:rStyle w:val="29"/>
          <w:rFonts w:hint="default" w:ascii="Times New Roman" w:hAnsi="Times New Roman" w:eastAsia="黑体" w:cs="Times New Roman"/>
          <w:b w:val="0"/>
          <w:highlight w:val="none"/>
        </w:rPr>
        <w:t>般公共预算财政拨款基本支出决算情况说明</w:t>
      </w:r>
      <w:bookmarkEnd w:id="34"/>
      <w:bookmarkEnd w:id="35"/>
      <w:r>
        <w:rPr>
          <w:rStyle w:val="29"/>
          <w:rFonts w:hint="default" w:ascii="Times New Roman" w:hAnsi="Times New Roman" w:eastAsia="黑体" w:cs="Times New Roman"/>
          <w:b w:val="0"/>
          <w:highlight w:val="none"/>
        </w:rPr>
        <w:tab/>
      </w:r>
    </w:p>
    <w:p w14:paraId="4E144CE8">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2025年度一般公共预算财政拨款基本支出674.3万元，其中：</w:t>
      </w:r>
    </w:p>
    <w:p w14:paraId="7CC5F40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408.8万元，主要包括：基本工资、津贴补贴、奖金、医疗费、机关事业单位基本养老保险缴费、职业年金缴费、其他社会保障缴费、职工基本医疗保险缴费、公务员医疗补助缴费、其他工资福利支出、生活补助、医疗费补助、住房公积金等。</w:t>
      </w:r>
    </w:p>
    <w:p w14:paraId="3A5F6F2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公用经费265.5万元，主要包括</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办公费、水费、电费、邮电费、物业管理费、差旅费、劳务费、工会经费、福利费、公务用车运行维护费、其他交通费、其他商品和服务支出等。</w:t>
      </w:r>
    </w:p>
    <w:p w14:paraId="7B151B72">
      <w:pPr>
        <w:spacing w:line="600" w:lineRule="exact"/>
        <w:ind w:firstLine="640"/>
        <w:outlineLvl w:val="1"/>
        <w:rPr>
          <w:rStyle w:val="29"/>
          <w:rFonts w:hint="default" w:ascii="Times New Roman" w:hAnsi="Times New Roman" w:eastAsia="黑体" w:cs="Times New Roman"/>
          <w:b w:val="0"/>
          <w:highlight w:val="none"/>
        </w:rPr>
      </w:pPr>
      <w:bookmarkStart w:id="36" w:name="_Toc15377215"/>
      <w:bookmarkStart w:id="37" w:name="_Toc15396609"/>
      <w:r>
        <w:rPr>
          <w:rFonts w:hint="default" w:ascii="Times New Roman" w:hAnsi="Times New Roman" w:eastAsia="黑体" w:cs="Times New Roman"/>
          <w:sz w:val="32"/>
          <w:szCs w:val="32"/>
          <w:highlight w:val="none"/>
        </w:rPr>
        <w:t>七、</w:t>
      </w:r>
      <w:r>
        <w:rPr>
          <w:rStyle w:val="29"/>
          <w:rFonts w:hint="default" w:ascii="Times New Roman" w:hAnsi="Times New Roman" w:eastAsia="黑体" w:cs="Times New Roman"/>
          <w:b w:val="0"/>
          <w:highlight w:val="none"/>
        </w:rPr>
        <w:t>财政拨款</w:t>
      </w:r>
      <w:r>
        <w:rPr>
          <w:rStyle w:val="29"/>
          <w:rFonts w:hint="default" w:ascii="Times New Roman" w:hAnsi="Times New Roman" w:eastAsia="黑体" w:cs="Times New Roman"/>
          <w:highlight w:val="none"/>
        </w:rPr>
        <w:t>“</w:t>
      </w:r>
      <w:r>
        <w:rPr>
          <w:rStyle w:val="29"/>
          <w:rFonts w:hint="default" w:ascii="Times New Roman" w:hAnsi="Times New Roman" w:eastAsia="黑体" w:cs="Times New Roman"/>
          <w:b w:val="0"/>
          <w:highlight w:val="none"/>
        </w:rPr>
        <w:t>三公”经费支出决算情况说明</w:t>
      </w:r>
      <w:bookmarkEnd w:id="36"/>
      <w:bookmarkEnd w:id="37"/>
    </w:p>
    <w:p w14:paraId="2E3F9398">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38" w:name="_Toc15377216"/>
      <w:r>
        <w:rPr>
          <w:rFonts w:hint="default" w:ascii="Times New Roman" w:hAnsi="Times New Roman" w:eastAsia="楷体_GB2312" w:cs="Times New Roman"/>
          <w:b/>
          <w:sz w:val="32"/>
          <w:szCs w:val="32"/>
          <w:highlight w:val="none"/>
        </w:rPr>
        <w:t>（一）财政拨款“三公”经费支出决算总体情况说明</w:t>
      </w:r>
      <w:bookmarkEnd w:id="38"/>
    </w:p>
    <w:p w14:paraId="70E7DF6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三公</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经费支出决算为237.56万元，完成预算100%，较上年度增加61.64万元，增长35%。决算数与预算数持平。</w:t>
      </w:r>
    </w:p>
    <w:p w14:paraId="1C6E5086">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39" w:name="_Toc15377217"/>
      <w:r>
        <w:rPr>
          <w:rFonts w:hint="default" w:ascii="Times New Roman" w:hAnsi="Times New Roman" w:eastAsia="楷体_GB2312" w:cs="Times New Roman"/>
          <w:b/>
          <w:sz w:val="32"/>
          <w:szCs w:val="32"/>
          <w:highlight w:val="none"/>
        </w:rPr>
        <w:t>（二）财政拨款“三公”经费支出决算具体情况说明</w:t>
      </w:r>
      <w:bookmarkEnd w:id="39"/>
    </w:p>
    <w:p w14:paraId="5DB6F2F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2025年度财政拨款“三公”经费支出决算中，因公出国（境）费支出决算0万元，占0%；公务用车购置及运行维护费支出决算237.56万元，占100%；公务接待费支出决算0万元，占0%。具体情况如下：</w:t>
      </w:r>
    </w:p>
    <w:p w14:paraId="2618EF59">
      <w:pPr>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（图7：财政拨款“三公”经费支出结构）（饼状图）</w:t>
      </w:r>
    </w:p>
    <w:p w14:paraId="1FC2EBBE">
      <w:pPr>
        <w:pStyle w:val="12"/>
        <w:jc w:val="center"/>
        <w:rPr>
          <w:rFonts w:hint="default" w:ascii="Times New Roman" w:hAnsi="Times New Roman" w:cs="Times New Roman"/>
          <w:highlight w:val="yellow"/>
        </w:rPr>
      </w:pPr>
      <w:r>
        <w:rPr>
          <w:rFonts w:hint="default" w:ascii="Times New Roman" w:hAnsi="Times New Roman" w:cs="Times New Roman"/>
        </w:rPr>
        <w:drawing>
          <wp:inline distT="0" distB="0" distL="0" distR="0">
            <wp:extent cx="4427855" cy="2159000"/>
            <wp:effectExtent l="19050" t="0" r="10583"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AB6D0C">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highlight w:val="none"/>
        </w:rPr>
        <w:t>1.因公出国（境）经费支出</w:t>
      </w:r>
      <w:r>
        <w:rPr>
          <w:rFonts w:hint="default" w:ascii="Times New Roman" w:hAnsi="Times New Roman" w:eastAsia="仿宋_GB2312" w:cs="Times New Roman"/>
          <w:sz w:val="32"/>
          <w:szCs w:val="32"/>
          <w:highlight w:val="none"/>
        </w:rPr>
        <w:t>0</w:t>
      </w:r>
      <w:r>
        <w:rPr>
          <w:rFonts w:hint="default" w:ascii="Times New Roman" w:hAnsi="Times New Roman" w:eastAsia="仿宋_GB2312" w:cs="Times New Roman"/>
          <w:b/>
          <w:bCs/>
          <w:sz w:val="32"/>
          <w:szCs w:val="32"/>
          <w:highlight w:val="none"/>
        </w:rPr>
        <w:t>万元，完成预算0%。</w:t>
      </w:r>
      <w:r>
        <w:rPr>
          <w:rFonts w:hint="default" w:ascii="Times New Roman" w:hAnsi="Times New Roman" w:eastAsia="仿宋_GB2312" w:cs="Times New Roman"/>
          <w:sz w:val="32"/>
          <w:szCs w:val="32"/>
        </w:rPr>
        <w:t>全年安排因公出国（境）团组0次，出国（境）0人。因公出国（境）支出决算比上年度增加/减少0万元，增长/下降0%。</w:t>
      </w:r>
    </w:p>
    <w:p w14:paraId="390BA0E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highlight w:val="none"/>
        </w:rPr>
        <w:t>2.公务用车购置及运行维护费支出237.56万元，完成预算100%。</w:t>
      </w:r>
      <w:r>
        <w:rPr>
          <w:rFonts w:hint="default" w:ascii="Times New Roman" w:hAnsi="Times New Roman" w:eastAsia="仿宋_GB2312" w:cs="Times New Roman"/>
          <w:spacing w:val="-6"/>
          <w:sz w:val="32"/>
          <w:szCs w:val="32"/>
          <w:shd w:val="clear" w:color="auto" w:fill="auto"/>
        </w:rPr>
        <w:t>公务用车购置及运行维护费支出决算比上年度增加61.64万元，增长35%。主要原因是本年度车辆维护费增加。</w:t>
      </w:r>
    </w:p>
    <w:p w14:paraId="44C2692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其中：公务用车购置支出0万元。全年按规定更新购置公务用车0辆，其中：轿车0辆、金额0万元，越野车0辆、金额0万元，载客汽车0辆、金额0万元。截至2025年12月31日，单位共有公务用车91辆，其中：轿车</w:t>
      </w:r>
      <w:r>
        <w:rPr>
          <w:rFonts w:hint="default"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50</w:t>
      </w:r>
      <w:r>
        <w:rPr>
          <w:rFonts w:hint="default" w:ascii="Times New Roman" w:hAnsi="Times New Roman" w:eastAsia="仿宋_GB2312" w:cs="Times New Roman"/>
          <w:sz w:val="32"/>
          <w:szCs w:val="32"/>
        </w:rPr>
        <w:t>辆、载客汽车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r>
        <w:rPr>
          <w:rFonts w:hint="default" w:ascii="Times New Roman" w:hAnsi="Times New Roman" w:eastAsia="仿宋_GB2312" w:cs="Times New Roman"/>
          <w:sz w:val="32"/>
          <w:szCs w:val="32"/>
          <w:lang w:eastAsia="zh-CN"/>
        </w:rPr>
        <w:t>、皮卡车</w:t>
      </w:r>
      <w:r>
        <w:rPr>
          <w:rFonts w:hint="default" w:ascii="Times New Roman" w:hAnsi="Times New Roman" w:eastAsia="仿宋_GB2312" w:cs="Times New Roman"/>
          <w:sz w:val="32"/>
          <w:szCs w:val="32"/>
          <w:lang w:val="en-US" w:eastAsia="zh-CN"/>
        </w:rPr>
        <w:t>2辆、商务车1辆</w:t>
      </w:r>
      <w:r>
        <w:rPr>
          <w:rFonts w:hint="default" w:ascii="Times New Roman" w:hAnsi="Times New Roman" w:eastAsia="仿宋_GB2312" w:cs="Times New Roman"/>
          <w:sz w:val="32"/>
          <w:szCs w:val="32"/>
        </w:rPr>
        <w:t>。</w:t>
      </w:r>
    </w:p>
    <w:p w14:paraId="02A94ABA">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公务用车运行维护费支出237.56万元。主要用于公务工作所需的公务用车燃料费、维修费、过路过桥费、保险费等支出。</w:t>
      </w:r>
    </w:p>
    <w:p w14:paraId="62DAA73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highlight w:val="none"/>
        </w:rPr>
        <w:t>3.公务接待费支出0万元，完成预算0%。</w:t>
      </w:r>
      <w:r>
        <w:rPr>
          <w:rFonts w:hint="default" w:ascii="Times New Roman" w:hAnsi="Times New Roman" w:eastAsia="仿宋_GB2312" w:cs="Times New Roman"/>
          <w:sz w:val="32"/>
          <w:szCs w:val="32"/>
        </w:rPr>
        <w:t>公务接待费支出决算比上年度增加/减少0万元，增长/下降0%。其中：</w:t>
      </w:r>
    </w:p>
    <w:p w14:paraId="7AB8FEF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国内公务接待支出0万元。国内公务接待0批次，0人次（不包括陪同人员），共计支出0万元。</w:t>
      </w:r>
    </w:p>
    <w:p w14:paraId="3171924C">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外事接待支出0万元。外事接待0批次，0人次（不包括陪同人员），共计支出0万元。</w:t>
      </w:r>
      <w:bookmarkStart w:id="40" w:name="_Toc15377218"/>
      <w:bookmarkStart w:id="41" w:name="_Toc15396610"/>
    </w:p>
    <w:p w14:paraId="5E474F6C">
      <w:pPr>
        <w:spacing w:line="600" w:lineRule="exact"/>
        <w:ind w:firstLine="640"/>
        <w:outlineLvl w:val="1"/>
        <w:rPr>
          <w:rStyle w:val="29"/>
          <w:rFonts w:hint="default" w:ascii="Times New Roman" w:hAnsi="Times New Roman" w:eastAsia="黑体" w:cs="Times New Roman"/>
          <w:highlight w:val="none"/>
        </w:rPr>
      </w:pPr>
      <w:r>
        <w:rPr>
          <w:rFonts w:hint="default" w:ascii="Times New Roman" w:hAnsi="Times New Roman" w:eastAsia="黑体" w:cs="Times New Roman"/>
          <w:sz w:val="32"/>
          <w:szCs w:val="32"/>
          <w:highlight w:val="none"/>
        </w:rPr>
        <w:t>八、</w:t>
      </w:r>
      <w:r>
        <w:rPr>
          <w:rStyle w:val="29"/>
          <w:rFonts w:hint="default" w:ascii="Times New Roman" w:hAnsi="Times New Roman" w:eastAsia="黑体" w:cs="Times New Roman"/>
          <w:b w:val="0"/>
          <w:highlight w:val="none"/>
        </w:rPr>
        <w:t>政府性基金预算支出决算情况说明</w:t>
      </w:r>
      <w:bookmarkEnd w:id="40"/>
      <w:bookmarkEnd w:id="41"/>
    </w:p>
    <w:p w14:paraId="4DEA50AD">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2025年度政府性基金预算财政拨款支出158.94万元，占本年支出合计的13.9%。与上年度相比，政府性基金预算财政拨款支出增加158.94万元，增长100%。主要变动原因是本年度政府性基金预算财政拨款支出增多。</w:t>
      </w:r>
    </w:p>
    <w:p w14:paraId="56230001">
      <w:pPr>
        <w:spacing w:line="600" w:lineRule="exact"/>
        <w:ind w:left="630"/>
        <w:outlineLvl w:val="1"/>
        <w:rPr>
          <w:rStyle w:val="29"/>
          <w:rFonts w:hint="default" w:ascii="Times New Roman" w:hAnsi="Times New Roman" w:eastAsia="黑体" w:cs="Times New Roman"/>
          <w:b w:val="0"/>
          <w:highlight w:val="none"/>
        </w:rPr>
      </w:pPr>
      <w:bookmarkStart w:id="42" w:name="_Toc15377219"/>
      <w:bookmarkStart w:id="43" w:name="_Toc15396611"/>
      <w:r>
        <w:rPr>
          <w:rStyle w:val="29"/>
          <w:rFonts w:hint="default" w:ascii="Times New Roman" w:hAnsi="Times New Roman" w:eastAsia="黑体" w:cs="Times New Roman"/>
          <w:b w:val="0"/>
          <w:highlight w:val="none"/>
        </w:rPr>
        <w:t>九、国有资本经营预算支出决算情况说明</w:t>
      </w:r>
      <w:bookmarkEnd w:id="42"/>
      <w:bookmarkEnd w:id="43"/>
    </w:p>
    <w:p w14:paraId="50A0712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2025年度国有资本经营预算财政拨款支出0万元，占本年支出合计的0%。与上年度相比，国有资本经营预算财政拨款支出增加/减少0万元，增长/下降0%。</w:t>
      </w:r>
    </w:p>
    <w:p w14:paraId="1E3FFEAB">
      <w:pPr>
        <w:spacing w:line="600" w:lineRule="exact"/>
        <w:ind w:left="630"/>
        <w:outlineLvl w:val="1"/>
        <w:rPr>
          <w:rStyle w:val="29"/>
          <w:rFonts w:hint="default" w:ascii="Times New Roman" w:hAnsi="Times New Roman" w:eastAsia="黑体" w:cs="Times New Roman"/>
          <w:b w:val="0"/>
          <w:highlight w:val="none"/>
        </w:rPr>
      </w:pPr>
      <w:bookmarkStart w:id="44" w:name="_Toc15396612"/>
      <w:bookmarkStart w:id="45" w:name="_Toc15377221"/>
      <w:r>
        <w:rPr>
          <w:rStyle w:val="29"/>
          <w:rFonts w:hint="default" w:ascii="Times New Roman" w:hAnsi="Times New Roman" w:eastAsia="黑体" w:cs="Times New Roman"/>
          <w:b w:val="0"/>
          <w:highlight w:val="none"/>
        </w:rPr>
        <w:t>十、其他重要事项的情况说明</w:t>
      </w:r>
      <w:bookmarkEnd w:id="44"/>
      <w:bookmarkEnd w:id="45"/>
    </w:p>
    <w:p w14:paraId="50E8B145">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46" w:name="_Toc15377222"/>
      <w:r>
        <w:rPr>
          <w:rFonts w:hint="default" w:ascii="Times New Roman" w:hAnsi="Times New Roman" w:eastAsia="楷体_GB2312" w:cs="Times New Roman"/>
          <w:b/>
          <w:sz w:val="32"/>
          <w:szCs w:val="32"/>
          <w:highlight w:val="none"/>
        </w:rPr>
        <w:t>（一）机关运行经费支出情况</w:t>
      </w:r>
      <w:bookmarkEnd w:id="46"/>
    </w:p>
    <w:p w14:paraId="5EDF1BA7">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2025年度，攀枝花市仁和区机关事务服务中心机关运行经费支出265.5万元，比上年度减少13.23万元，下降4.8%。主要原因是本年度</w:t>
      </w:r>
      <w:r>
        <w:rPr>
          <w:rFonts w:hint="eastAsia" w:eastAsia="仿宋_GB2312" w:cs="Times New Roman"/>
          <w:sz w:val="32"/>
          <w:szCs w:val="32"/>
          <w:lang w:eastAsia="zh-CN"/>
        </w:rPr>
        <w:t>厉行节约</w:t>
      </w:r>
      <w:r>
        <w:rPr>
          <w:rFonts w:hint="default" w:ascii="Times New Roman" w:hAnsi="Times New Roman" w:eastAsia="仿宋_GB2312" w:cs="Times New Roman"/>
          <w:sz w:val="32"/>
          <w:szCs w:val="32"/>
        </w:rPr>
        <w:t>减少不必要开支</w:t>
      </w:r>
      <w:r>
        <w:rPr>
          <w:rFonts w:hint="default" w:ascii="Times New Roman" w:hAnsi="Times New Roman" w:eastAsia="仿宋_GB2312" w:cs="Times New Roman"/>
          <w:sz w:val="32"/>
          <w:szCs w:val="32"/>
          <w:lang w:eastAsia="zh-CN"/>
        </w:rPr>
        <w:t>。</w:t>
      </w:r>
    </w:p>
    <w:p w14:paraId="5916D79B">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7" w:name="_Toc15377223"/>
      <w:r>
        <w:rPr>
          <w:rFonts w:hint="default" w:ascii="Times New Roman" w:hAnsi="Times New Roman" w:eastAsia="楷体_GB2312" w:cs="Times New Roman"/>
          <w:b/>
          <w:color w:val="auto"/>
          <w:sz w:val="32"/>
          <w:szCs w:val="32"/>
          <w:highlight w:val="none"/>
        </w:rPr>
        <w:t>（二）政府采购支出情况</w:t>
      </w:r>
      <w:bookmarkEnd w:id="47"/>
    </w:p>
    <w:p w14:paraId="1B4FE4F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2025年度，攀枝花市仁和区机关事务服务中心政府采购支出总额274.06万元，其中：政府采购货物支出1.43万元、政府采购工程支出0万元、政府采购服务支出272.63万元。主要用于</w:t>
      </w:r>
      <w:r>
        <w:rPr>
          <w:rFonts w:hint="default" w:ascii="Times New Roman" w:hAnsi="Times New Roman" w:eastAsia="仿宋_GB2312" w:cs="Times New Roman"/>
          <w:sz w:val="32"/>
          <w:szCs w:val="32"/>
          <w:lang w:eastAsia="zh-CN"/>
        </w:rPr>
        <w:t>公务用车保险服务、维修服务、加油服务等</w:t>
      </w:r>
      <w:r>
        <w:rPr>
          <w:rFonts w:hint="default" w:ascii="Times New Roman" w:hAnsi="Times New Roman" w:eastAsia="仿宋_GB2312" w:cs="Times New Roman"/>
          <w:sz w:val="32"/>
          <w:szCs w:val="32"/>
        </w:rPr>
        <w:t>。授予中小企业合同金额191.36万元，占政府采购支出总额的69.82%，其中：授予小微企业合同金额191.36万元，占政府采购支出总额的69.82%。</w:t>
      </w:r>
    </w:p>
    <w:p w14:paraId="09285CEE">
      <w:pPr>
        <w:spacing w:line="600" w:lineRule="exact"/>
        <w:ind w:firstLine="643" w:firstLineChars="200"/>
        <w:outlineLvl w:val="2"/>
        <w:rPr>
          <w:rFonts w:hint="default" w:ascii="Times New Roman" w:hAnsi="Times New Roman" w:eastAsia="楷体_GB2312" w:cs="Times New Roman"/>
          <w:b/>
          <w:sz w:val="32"/>
          <w:szCs w:val="32"/>
          <w:highlight w:val="none"/>
        </w:rPr>
      </w:pPr>
      <w:bookmarkStart w:id="48" w:name="_Toc15377224"/>
      <w:r>
        <w:rPr>
          <w:rFonts w:hint="default" w:ascii="Times New Roman" w:hAnsi="Times New Roman" w:eastAsia="楷体_GB2312" w:cs="Times New Roman"/>
          <w:b/>
          <w:sz w:val="32"/>
          <w:szCs w:val="32"/>
          <w:highlight w:val="none"/>
        </w:rPr>
        <w:t>（三）国有资产占有使用情况</w:t>
      </w:r>
      <w:bookmarkEnd w:id="48"/>
    </w:p>
    <w:p w14:paraId="040FC92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截至2025年12月31日，攀枝花市仁和区机关事务服务中心共有车辆91辆，其中：副部（省）级及以上领导用车0辆、主要负责人用车0辆、机要通信用车0辆、应急保障用车58辆、执法执勤用车0辆、特种专业技术用车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辆、离退休干部服务用车0辆、其他用车3</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辆，其他用车</w:t>
      </w:r>
      <w:r>
        <w:rPr>
          <w:rFonts w:hint="eastAsia" w:eastAsia="仿宋_GB2312" w:cs="Times New Roman"/>
          <w:sz w:val="32"/>
          <w:szCs w:val="32"/>
          <w:lang w:eastAsia="zh-CN"/>
        </w:rPr>
        <w:t>主要</w:t>
      </w:r>
      <w:r>
        <w:rPr>
          <w:rFonts w:hint="default" w:ascii="Times New Roman" w:hAnsi="Times New Roman" w:eastAsia="仿宋_GB2312" w:cs="Times New Roman"/>
          <w:sz w:val="32"/>
          <w:szCs w:val="32"/>
        </w:rPr>
        <w:t>用于</w:t>
      </w:r>
      <w:r>
        <w:rPr>
          <w:rFonts w:hint="default" w:ascii="Times New Roman" w:hAnsi="Times New Roman" w:eastAsia="仿宋_GB2312" w:cs="Times New Roman"/>
          <w:sz w:val="32"/>
          <w:szCs w:val="32"/>
          <w:lang w:eastAsia="zh-CN"/>
        </w:rPr>
        <w:t>保障全区公务出行</w:t>
      </w:r>
      <w:r>
        <w:rPr>
          <w:rFonts w:hint="default" w:ascii="Times New Roman" w:hAnsi="Times New Roman" w:eastAsia="仿宋_GB2312" w:cs="Times New Roman"/>
          <w:sz w:val="32"/>
          <w:szCs w:val="32"/>
        </w:rPr>
        <w:t>。单价100万元（含）以上设备（不含车辆）0台（套）。</w:t>
      </w:r>
    </w:p>
    <w:p w14:paraId="352EC8D4">
      <w:pPr>
        <w:spacing w:line="600" w:lineRule="exact"/>
        <w:ind w:firstLine="643" w:firstLineChars="200"/>
        <w:outlineLvl w:val="2"/>
        <w:rPr>
          <w:rFonts w:hint="default" w:ascii="Times New Roman" w:hAnsi="Times New Roman" w:eastAsia="楷体_GB2312" w:cs="Times New Roman"/>
          <w:b/>
          <w:color w:val="000000" w:themeColor="text1"/>
          <w:sz w:val="32"/>
          <w:szCs w:val="32"/>
        </w:rPr>
      </w:pPr>
      <w:r>
        <w:rPr>
          <w:rFonts w:hint="default" w:ascii="Times New Roman" w:hAnsi="Times New Roman" w:eastAsia="楷体_GB2312" w:cs="Times New Roman"/>
          <w:b/>
          <w:color w:val="000000" w:themeColor="text1"/>
          <w:sz w:val="32"/>
          <w:szCs w:val="32"/>
        </w:rPr>
        <w:t>（四）预算绩效管理情况</w:t>
      </w:r>
    </w:p>
    <w:p w14:paraId="4025A2D3">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根据预算绩效管理要求，攀枝花市仁和区机关事务服务中心在2025年度，组织对公务车辆社会化保障购买服务</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个项目编制了绩效目标</w:t>
      </w:r>
      <w:r>
        <w:rPr>
          <w:rFonts w:hint="eastAsia" w:eastAsia="仿宋_GB2312" w:cs="Times New Roman"/>
          <w:sz w:val="32"/>
          <w:szCs w:val="32"/>
          <w:lang w:eastAsia="zh-CN"/>
        </w:rPr>
        <w:t>，在</w:t>
      </w:r>
      <w:r>
        <w:rPr>
          <w:rFonts w:hint="default" w:ascii="Times New Roman" w:hAnsi="Times New Roman" w:eastAsia="仿宋_GB2312" w:cs="Times New Roman"/>
          <w:sz w:val="32"/>
          <w:szCs w:val="32"/>
        </w:rPr>
        <w:t>预算执行过程中，选取</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个项目开展绩效监控。</w:t>
      </w:r>
    </w:p>
    <w:p w14:paraId="18AF36CC">
      <w:pPr>
        <w:ind w:firstLine="640" w:firstLineChars="200"/>
        <w:rPr>
          <w:rFonts w:hint="default" w:ascii="Times New Roman" w:hAnsi="Times New Roman" w:eastAsia="黑体" w:cs="Times New Roman"/>
          <w:sz w:val="44"/>
          <w:szCs w:val="44"/>
        </w:rPr>
      </w:pPr>
      <w:r>
        <w:rPr>
          <w:rFonts w:hint="default" w:ascii="Times New Roman" w:hAnsi="Times New Roman" w:eastAsia="仿宋_GB2312" w:cs="Times New Roman"/>
          <w:sz w:val="32"/>
          <w:szCs w:val="32"/>
        </w:rPr>
        <w:t>组织对2025年度一般公共预算等全面开展绩效自评，形成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攀枝花市仁和区机关事务服务中心</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部门预算绩效自评报告</w:t>
      </w:r>
      <w:r>
        <w:rPr>
          <w:rFonts w:hint="default" w:ascii="Times New Roman" w:hAnsi="Times New Roman" w:eastAsia="仿宋_GB2312" w:cs="Times New Roman"/>
          <w:sz w:val="32"/>
          <w:szCs w:val="32"/>
          <w:lang w:eastAsia="zh-CN"/>
        </w:rPr>
        <w:t>》《部门预算项目支出绩效自评表（2025年度）》</w:t>
      </w:r>
      <w:r>
        <w:rPr>
          <w:rFonts w:hint="default" w:ascii="Times New Roman" w:hAnsi="Times New Roman" w:eastAsia="仿宋_GB2312" w:cs="Times New Roman"/>
          <w:sz w:val="32"/>
          <w:szCs w:val="32"/>
        </w:rPr>
        <w:t>，其中，攀枝花市仁和区机关事务服务中心部门预算（含部门预算项目）绩效自评得分为</w:t>
      </w:r>
      <w:r>
        <w:rPr>
          <w:rFonts w:hint="default" w:ascii="Times New Roman" w:hAnsi="Times New Roman" w:eastAsia="仿宋_GB2312" w:cs="Times New Roman"/>
          <w:sz w:val="32"/>
          <w:szCs w:val="32"/>
          <w:lang w:val="en-US" w:eastAsia="zh-CN"/>
        </w:rPr>
        <w:t>92</w:t>
      </w:r>
      <w:r>
        <w:rPr>
          <w:rFonts w:hint="default" w:ascii="Times New Roman" w:hAnsi="Times New Roman" w:eastAsia="仿宋_GB2312" w:cs="Times New Roman"/>
          <w:sz w:val="32"/>
          <w:szCs w:val="32"/>
        </w:rPr>
        <w:t>分。绩效自评报告详见附件。</w:t>
      </w:r>
      <w:bookmarkStart w:id="49" w:name="_Toc15396613"/>
      <w:bookmarkStart w:id="50" w:name="_Toc15377225"/>
    </w:p>
    <w:p w14:paraId="3FEC0D67">
      <w:pPr>
        <w:spacing w:line="600" w:lineRule="exact"/>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第三部分  名词解释</w:t>
      </w:r>
      <w:bookmarkEnd w:id="49"/>
      <w:bookmarkEnd w:id="50"/>
    </w:p>
    <w:p w14:paraId="56511A88">
      <w:pPr>
        <w:spacing w:line="600" w:lineRule="exact"/>
        <w:jc w:val="left"/>
        <w:rPr>
          <w:rFonts w:hint="default" w:ascii="Times New Roman" w:hAnsi="Times New Roman" w:cs="Times New Roman"/>
          <w:b/>
          <w:sz w:val="44"/>
          <w:szCs w:val="44"/>
        </w:rPr>
      </w:pPr>
    </w:p>
    <w:p w14:paraId="252825C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1.财政拨款收入：指单位从同级财政部门取得的财政预算资金。</w:t>
      </w:r>
    </w:p>
    <w:p w14:paraId="4A3C7A2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2.事业收入：指事业单位开展专业业务活动及辅助活动取得的收入。</w:t>
      </w:r>
    </w:p>
    <w:p w14:paraId="3DF90332">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3.经营收入：指事业单位在专业业务活动及其辅助活动之外开展非独立核算经营活动取得的收入。</w:t>
      </w:r>
    </w:p>
    <w:p w14:paraId="74551A3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4.其他收入：指单位取得的除上述收入以外的各项收入。 </w:t>
      </w:r>
    </w:p>
    <w:p w14:paraId="43CFB58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5.使用非财政拨款结余（含专用结余）：指事业单位使用以前年度积累的非财政拨款结余弥补当年收支差额的金额。 </w:t>
      </w:r>
    </w:p>
    <w:p w14:paraId="43F331D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6.年初结转和结余：指以前年度尚未完成、结转到本年按有关规定继续使用的资金。 </w:t>
      </w:r>
    </w:p>
    <w:p w14:paraId="7E940C2D">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7.结余分配：指事业单位按照会计制度规定缴纳的所得税、提取的专用结余以及转入非财政拨款结余的金额等。</w:t>
      </w:r>
    </w:p>
    <w:p w14:paraId="55E2440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8.年末结转和结余：指单位按有关规定结转到下年或以后年度继续使用的资金。</w:t>
      </w:r>
    </w:p>
    <w:p w14:paraId="14FEC0A4">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9. 一般公共服务（类）政府办公厅（室）及相关机构事务（款）机关服务（项）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指机关事务服务支出。</w:t>
      </w:r>
    </w:p>
    <w:p w14:paraId="186FD336">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10. 一般公共服务（类）政府办公厅（室）及相关机构事务（款）其他政府办公厅（室）及相关机构事务支出（项）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w:t>
      </w:r>
      <w:r>
        <w:rPr>
          <w:rFonts w:hint="default" w:ascii="Times New Roman" w:hAnsi="Times New Roman" w:eastAsia="仿宋_GB2312" w:cs="Times New Roman"/>
          <w:sz w:val="32"/>
          <w:szCs w:val="32"/>
          <w:lang w:eastAsia="zh-CN"/>
        </w:rPr>
        <w:t>除上述项目以外的</w:t>
      </w:r>
      <w:r>
        <w:rPr>
          <w:rFonts w:hint="default" w:ascii="Times New Roman" w:hAnsi="Times New Roman" w:eastAsia="仿宋_GB2312" w:cs="Times New Roman"/>
          <w:sz w:val="32"/>
          <w:szCs w:val="32"/>
        </w:rPr>
        <w:t>其他政府办公厅（室）及相关机构事务支出</w:t>
      </w:r>
      <w:r>
        <w:rPr>
          <w:rFonts w:hint="default" w:ascii="Times New Roman" w:hAnsi="Times New Roman" w:eastAsia="仿宋_GB2312" w:cs="Times New Roman"/>
          <w:sz w:val="32"/>
          <w:szCs w:val="32"/>
          <w:lang w:eastAsia="zh-CN"/>
        </w:rPr>
        <w:t>。</w:t>
      </w:r>
    </w:p>
    <w:p w14:paraId="7F5F3FAE">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11.社会保障和就业支出（类）行政事业单位养老支出（款）行政单位离退休（项）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指行政单位（包括参照公务员管理的事业单位）开支的离退休经费。</w:t>
      </w:r>
    </w:p>
    <w:p w14:paraId="68E55059">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12. 社会保障和就业支出（类）行政事业单位养老支出（款）事业单位离退休（项）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指事业单位开支的离退休经费。</w:t>
      </w:r>
    </w:p>
    <w:p w14:paraId="1E977F1F">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13. 社会保障和就业支出（类）行政事业单位养老支出（款）机关事业单位基本养老保险缴费支出（项）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w:t>
      </w:r>
      <w:r>
        <w:rPr>
          <w:rFonts w:hint="default" w:ascii="Times New Roman" w:hAnsi="Times New Roman" w:eastAsia="仿宋_GB2312" w:cs="Times New Roman"/>
          <w:sz w:val="32"/>
          <w:szCs w:val="32"/>
          <w:lang w:eastAsia="zh-CN"/>
        </w:rPr>
        <w:t>机关事业单位实施养老保险制度由单位缴纳的基本养老保险费支出。</w:t>
      </w:r>
    </w:p>
    <w:p w14:paraId="2C5887B5">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14. 社会保障和就业支出（类）行政事业单位养老支出（款）机关事业单位职业年金缴费支出（项）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w:t>
      </w:r>
      <w:r>
        <w:rPr>
          <w:rFonts w:hint="default" w:ascii="Times New Roman" w:hAnsi="Times New Roman" w:eastAsia="仿宋_GB2312" w:cs="Times New Roman"/>
          <w:sz w:val="32"/>
          <w:szCs w:val="32"/>
          <w:lang w:eastAsia="zh-CN"/>
        </w:rPr>
        <w:t>机关事业单位缴纳的基本养老保险费支出。</w:t>
      </w:r>
    </w:p>
    <w:p w14:paraId="4DBEDF7E">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15.卫生健康（类）行政事业单位医疗（款）行政单位医疗（项）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w:t>
      </w:r>
      <w:r>
        <w:rPr>
          <w:rFonts w:hint="default" w:ascii="Times New Roman" w:hAnsi="Times New Roman" w:eastAsia="仿宋_GB2312" w:cs="Times New Roman"/>
          <w:sz w:val="32"/>
          <w:szCs w:val="32"/>
          <w:lang w:eastAsia="zh-CN"/>
        </w:rPr>
        <w:t>行政</w:t>
      </w:r>
      <w:r>
        <w:rPr>
          <w:rFonts w:hint="default" w:ascii="Times New Roman" w:hAnsi="Times New Roman" w:eastAsia="仿宋_GB2312" w:cs="Times New Roman"/>
          <w:sz w:val="32"/>
          <w:szCs w:val="32"/>
          <w:lang w:val="en-US" w:eastAsia="zh-CN"/>
        </w:rPr>
        <w:t>单位（包括参照公务员管理的事业单位）基本医疗保险缴费。</w:t>
      </w:r>
    </w:p>
    <w:p w14:paraId="541BAAFD">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16.卫生健康（类）行政事业单位医疗（款）公务员医疗补助（项）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w:t>
      </w:r>
      <w:r>
        <w:rPr>
          <w:rFonts w:hint="default" w:ascii="Times New Roman" w:hAnsi="Times New Roman" w:eastAsia="仿宋_GB2312" w:cs="Times New Roman"/>
          <w:sz w:val="32"/>
          <w:szCs w:val="32"/>
          <w:lang w:eastAsia="zh-CN"/>
        </w:rPr>
        <w:t>单位职工公务员医疗补助经费。</w:t>
      </w:r>
    </w:p>
    <w:p w14:paraId="6E2A428A">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17. 住房保障支出（类）住房改革支出（款）住房公积金（项）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指</w:t>
      </w:r>
      <w:r>
        <w:rPr>
          <w:rFonts w:hint="default" w:ascii="Times New Roman" w:hAnsi="Times New Roman" w:eastAsia="仿宋_GB2312" w:cs="Times New Roman"/>
          <w:sz w:val="32"/>
          <w:szCs w:val="32"/>
          <w:lang w:eastAsia="zh-CN"/>
        </w:rPr>
        <w:t>行政事业单位按计算标准及规定比例为职工缴纳的住房公积金。</w:t>
      </w:r>
    </w:p>
    <w:p w14:paraId="18F8F072">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18.基本支出：指为保障机构正常运转、完成日常工作任务而发生的人员支出和公用支出。</w:t>
      </w:r>
    </w:p>
    <w:p w14:paraId="3A314432">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19.项目支出：指在基本支出之外为完成特定行政任务和事业发展目标所发生的支出。 </w:t>
      </w:r>
    </w:p>
    <w:p w14:paraId="305B3639">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20.经营支出：指事业单位在专业业务活动及其辅助活动之外开展非独立核算经营活动发生的支出。</w:t>
      </w:r>
    </w:p>
    <w:p w14:paraId="330CD76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ECB1D69">
      <w:pPr>
        <w:ind w:firstLine="640" w:firstLineChars="200"/>
        <w:rPr>
          <w:rStyle w:val="28"/>
          <w:rFonts w:hint="default" w:ascii="Times New Roman" w:hAnsi="Times New Roman" w:eastAsia="黑体" w:cs="Times New Roman"/>
          <w:b w:val="0"/>
        </w:rPr>
      </w:pPr>
      <w:r>
        <w:rPr>
          <w:rFonts w:hint="default" w:ascii="Times New Roman" w:hAnsi="Times New Roman" w:eastAsia="仿宋_GB2312" w:cs="Times New Roman"/>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51" w:name="_Toc15377226"/>
      <w:r>
        <w:rPr>
          <w:rFonts w:hint="default" w:ascii="Times New Roman" w:hAnsi="Times New Roman" w:eastAsia="仿宋_GB2312" w:cs="Times New Roman"/>
          <w:sz w:val="32"/>
          <w:szCs w:val="32"/>
        </w:rPr>
        <w:br w:type="page"/>
      </w:r>
      <w:bookmarkStart w:id="52" w:name="_Toc15396614"/>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黑体" w:cs="Times New Roman"/>
          <w:sz w:val="44"/>
          <w:szCs w:val="44"/>
        </w:rPr>
        <w:t>第四部分  附件</w:t>
      </w:r>
      <w:bookmarkEnd w:id="52"/>
    </w:p>
    <w:p w14:paraId="6B6BE643">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b/>
          <w:color w:val="000000"/>
          <w:sz w:val="44"/>
          <w:szCs w:val="44"/>
        </w:rPr>
      </w:pPr>
    </w:p>
    <w:p w14:paraId="1F8E4C0C">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b/>
          <w:color w:val="000000"/>
          <w:sz w:val="44"/>
          <w:szCs w:val="44"/>
        </w:rPr>
      </w:pPr>
      <w:r>
        <w:rPr>
          <w:rFonts w:hint="default" w:ascii="Times New Roman" w:hAnsi="Times New Roman" w:eastAsia="方正小标宋_GBK" w:cs="Times New Roman"/>
          <w:b/>
          <w:color w:val="000000"/>
          <w:sz w:val="44"/>
          <w:szCs w:val="44"/>
        </w:rPr>
        <w:t>攀枝花市仁和区机关事务服务中心</w:t>
      </w:r>
    </w:p>
    <w:p w14:paraId="52BA38A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b/>
          <w:color w:val="000000"/>
          <w:sz w:val="44"/>
          <w:szCs w:val="44"/>
        </w:rPr>
      </w:pPr>
      <w:r>
        <w:rPr>
          <w:rFonts w:hint="default" w:ascii="Times New Roman" w:hAnsi="Times New Roman" w:eastAsia="方正小标宋_GBK" w:cs="Times New Roman"/>
          <w:b/>
          <w:color w:val="000000"/>
          <w:sz w:val="44"/>
          <w:szCs w:val="44"/>
        </w:rPr>
        <w:t>202</w:t>
      </w:r>
      <w:r>
        <w:rPr>
          <w:rFonts w:hint="default" w:ascii="Times New Roman" w:hAnsi="Times New Roman" w:eastAsia="方正小标宋_GBK" w:cs="Times New Roman"/>
          <w:b/>
          <w:color w:val="000000"/>
          <w:sz w:val="44"/>
          <w:szCs w:val="44"/>
          <w:lang w:val="en-US" w:eastAsia="zh-CN"/>
        </w:rPr>
        <w:t>5</w:t>
      </w:r>
      <w:r>
        <w:rPr>
          <w:rFonts w:hint="default" w:ascii="Times New Roman" w:hAnsi="Times New Roman" w:eastAsia="方正小标宋_GBK" w:cs="Times New Roman"/>
          <w:b/>
          <w:color w:val="000000"/>
          <w:sz w:val="44"/>
          <w:szCs w:val="44"/>
        </w:rPr>
        <w:t>年部门预算绩效自评报告</w:t>
      </w:r>
    </w:p>
    <w:p w14:paraId="3729148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b/>
          <w:color w:val="000000"/>
          <w:sz w:val="44"/>
          <w:szCs w:val="44"/>
        </w:rPr>
      </w:pPr>
    </w:p>
    <w:p w14:paraId="0F53FE1D">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lang w:val="zh-CN"/>
        </w:rPr>
        <w:t>一、部门（单位）基本情况</w:t>
      </w:r>
    </w:p>
    <w:p w14:paraId="5A059191">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方正楷体_GBK" w:cs="Times New Roman"/>
          <w:b/>
          <w:color w:val="000000"/>
          <w:kern w:val="0"/>
          <w:sz w:val="32"/>
          <w:szCs w:val="32"/>
          <w:shd w:val="clear" w:color="auto" w:fill="FFFFFF"/>
          <w:lang w:val="zh-CN"/>
        </w:rPr>
        <w:t>（一）机构组成</w:t>
      </w:r>
      <w:r>
        <w:rPr>
          <w:rFonts w:hint="default" w:ascii="Times New Roman" w:hAnsi="Times New Roman" w:eastAsia="方正仿宋_GBK" w:cs="Times New Roman"/>
          <w:color w:val="000000"/>
          <w:kern w:val="0"/>
          <w:sz w:val="32"/>
          <w:szCs w:val="32"/>
          <w:shd w:val="clear" w:color="auto" w:fill="FFFFFF"/>
          <w:lang w:val="zh-CN"/>
        </w:rPr>
        <w:t>。</w:t>
      </w:r>
      <w:r>
        <w:rPr>
          <w:rFonts w:hint="default" w:ascii="Times New Roman" w:hAnsi="Times New Roman" w:eastAsia="仿宋_GB2312" w:cs="Times New Roman"/>
          <w:sz w:val="32"/>
          <w:szCs w:val="32"/>
        </w:rPr>
        <w:t>攀枝花市仁和区机关事务服务中心为区政府直属的公益一类事业单位，由攀枝花市仁和区人民政府办公室代管，共设置5个内设机构，分别为办公室、办公用房及节能股、后勤服务保障股、公务车辆保障股和电子政务服务股。</w:t>
      </w:r>
    </w:p>
    <w:p w14:paraId="7D49D7E7">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ind w:firstLine="640"/>
        <w:jc w:val="left"/>
        <w:textAlignment w:val="auto"/>
        <w:rPr>
          <w:rFonts w:hint="default" w:ascii="Times New Roman" w:hAnsi="Times New Roman" w:eastAsia="仿宋_GB2312" w:cs="Times New Roman"/>
          <w:sz w:val="32"/>
          <w:szCs w:val="32"/>
        </w:rPr>
      </w:pPr>
      <w:r>
        <w:rPr>
          <w:rFonts w:hint="default" w:ascii="Times New Roman" w:hAnsi="Times New Roman" w:eastAsia="方正楷体_GBK" w:cs="Times New Roman"/>
          <w:b/>
          <w:color w:val="000000"/>
          <w:kern w:val="0"/>
          <w:sz w:val="32"/>
          <w:szCs w:val="32"/>
          <w:shd w:val="clear" w:color="auto" w:fill="FFFFFF"/>
          <w:lang w:val="zh-CN"/>
        </w:rPr>
        <w:t>（二）机构职能</w:t>
      </w:r>
      <w:r>
        <w:rPr>
          <w:rFonts w:hint="default" w:ascii="Times New Roman" w:hAnsi="Times New Roman" w:eastAsia="方正仿宋_GBK" w:cs="Times New Roman"/>
          <w:color w:val="000000"/>
          <w:kern w:val="0"/>
          <w:sz w:val="32"/>
          <w:szCs w:val="32"/>
          <w:shd w:val="clear" w:color="auto" w:fill="FFFFFF"/>
          <w:lang w:val="zh-CN"/>
        </w:rPr>
        <w:t>。</w:t>
      </w:r>
      <w:r>
        <w:rPr>
          <w:rFonts w:hint="default" w:ascii="Times New Roman" w:hAnsi="Times New Roman" w:eastAsia="仿宋_GB2312" w:cs="Times New Roman"/>
          <w:sz w:val="32"/>
          <w:szCs w:val="32"/>
        </w:rPr>
        <w:t>攀枝花市仁和区机关事务服务中心贯彻落实党中央和省市区委关于机关事务管理的方针政策和决策部署。主要职责是：</w:t>
      </w:r>
    </w:p>
    <w:p w14:paraId="59BC224D">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ind w:firstLine="64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1.贯彻国家机关事务工作和后勤体制改革的法律法规、政策规定；承担全区机关事务的服务保障工作；参与拟订机关事务管理、后勤服务体制改革的规范性文件和政策、标准。</w:t>
      </w:r>
    </w:p>
    <w:p w14:paraId="1D10F51E">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ind w:firstLine="64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负责全区党政机关及参公事业单位办公用房的权属界定、析产确权、统筹调剂、处置处用、维修改造以及资产增减、变更、转移、统计、分析、报送等工作；负责推进、协调全区机关事业单位的公共机构节能工作，协助有关部门制定节能规划，开展公共机构节能宣传、教育、培训，普及节能科学知识，开展能耗统计、分析、汇总等工作。</w:t>
      </w:r>
    </w:p>
    <w:p w14:paraId="5580C2D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3.负责区级部门集中办公区日常维护等服务保障工作；负责机关职工食堂的日常事务及食品卫生安全保障工作；负责干部人才周转房的服务保障工作。</w:t>
      </w:r>
    </w:p>
    <w:p w14:paraId="0289B002">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负责公务用车服务保障工作；承担公务用车配备更新和日常运行维护、统计、分析、汇总工作；配合做好全区公务用车编制、调剂、更新及处置工作；承担对公务用车定点服务商合同约定和服务承诺落实情况的调度汇总工作；做好公务用车安全教育、宣传、管理工作。</w:t>
      </w:r>
    </w:p>
    <w:p w14:paraId="296F0F8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5.加强与市大数据中心的工作衔接并承办有关事务；承担全区协同办公平台运行、一体化政务服务平台、政务信息公开、电子政务外网网络维护及安全监控等技术服务保障工作。</w:t>
      </w:r>
    </w:p>
    <w:p w14:paraId="0FC078A4">
      <w:pPr>
        <w:ind w:firstLine="640" w:firstLineChars="200"/>
        <w:rPr>
          <w:rFonts w:hint="default" w:ascii="Times New Roman" w:hAnsi="Times New Roman" w:eastAsia="方正仿宋_GBK" w:cs="Times New Roman"/>
          <w:color w:val="000000"/>
          <w:kern w:val="0"/>
          <w:sz w:val="32"/>
          <w:szCs w:val="32"/>
          <w:shd w:val="clear" w:color="auto" w:fill="FFFFFF"/>
          <w:lang w:val="zh-CN"/>
        </w:rPr>
      </w:pPr>
      <w:r>
        <w:rPr>
          <w:rFonts w:hint="default" w:ascii="Times New Roman" w:hAnsi="Times New Roman" w:eastAsia="仿宋_GB2312" w:cs="Times New Roman"/>
          <w:sz w:val="32"/>
          <w:szCs w:val="32"/>
        </w:rPr>
        <w:t>6.完成</w:t>
      </w:r>
      <w:r>
        <w:rPr>
          <w:rFonts w:hint="eastAsia" w:eastAsia="仿宋_GB2312" w:cs="Times New Roman"/>
          <w:sz w:val="32"/>
          <w:szCs w:val="32"/>
          <w:lang w:eastAsia="zh-CN"/>
        </w:rPr>
        <w:t>区委、区政府</w:t>
      </w:r>
      <w:r>
        <w:rPr>
          <w:rFonts w:hint="default" w:ascii="Times New Roman" w:hAnsi="Times New Roman" w:eastAsia="仿宋_GB2312" w:cs="Times New Roman"/>
          <w:sz w:val="32"/>
          <w:szCs w:val="32"/>
        </w:rPr>
        <w:t>、区政府办交办的其他任务</w:t>
      </w:r>
      <w:r>
        <w:rPr>
          <w:rFonts w:hint="default" w:ascii="Times New Roman" w:hAnsi="Times New Roman" w:eastAsia="方正仿宋_GBK" w:cs="Times New Roman"/>
          <w:color w:val="000000"/>
          <w:kern w:val="0"/>
          <w:sz w:val="32"/>
          <w:szCs w:val="32"/>
          <w:shd w:val="clear" w:color="auto" w:fill="FFFFFF"/>
        </w:rPr>
        <w:t>。</w:t>
      </w:r>
    </w:p>
    <w:p w14:paraId="42754C6F">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方正楷体_GBK" w:cs="Times New Roman"/>
          <w:b/>
          <w:color w:val="000000"/>
          <w:kern w:val="0"/>
          <w:sz w:val="32"/>
          <w:szCs w:val="32"/>
          <w:shd w:val="clear" w:color="auto" w:fill="FFFFFF"/>
          <w:lang w:val="zh-CN"/>
        </w:rPr>
        <w:t>（三）人员概况。</w:t>
      </w:r>
      <w:r>
        <w:rPr>
          <w:rFonts w:hint="default" w:ascii="Times New Roman" w:hAnsi="Times New Roman" w:eastAsia="仿宋_GB2312" w:cs="Times New Roman"/>
          <w:sz w:val="32"/>
          <w:szCs w:val="32"/>
        </w:rPr>
        <w:t>截至202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年末，攀枝花市仁和区机关事务服务中心现有参照国家公务员管理的全额拨款事业编制11名，实有在编人员9名，其中主任1名，副主任2名，参照公务员管理人员5名，机关工勤人员1名。</w:t>
      </w:r>
    </w:p>
    <w:p w14:paraId="4E5FE7F4">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二、部门资金收支情况</w:t>
      </w:r>
    </w:p>
    <w:p w14:paraId="5B9B5E6B">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方正楷体_GBK" w:cs="Times New Roman"/>
          <w:b/>
          <w:color w:val="000000"/>
          <w:kern w:val="0"/>
          <w:sz w:val="32"/>
          <w:szCs w:val="32"/>
          <w:shd w:val="clear" w:color="auto" w:fill="FFFFFF"/>
          <w:lang w:val="zh-CN"/>
        </w:rPr>
        <w:t>（一）收入情况</w:t>
      </w:r>
      <w:r>
        <w:rPr>
          <w:rFonts w:hint="default" w:ascii="Times New Roman" w:hAnsi="Times New Roman" w:eastAsia="方正仿宋_GBK" w:cs="Times New Roman"/>
          <w:b/>
          <w:color w:val="000000"/>
          <w:kern w:val="0"/>
          <w:sz w:val="32"/>
          <w:szCs w:val="32"/>
          <w:shd w:val="clear" w:color="auto" w:fill="FFFFFF"/>
          <w:lang w:val="zh-CN"/>
        </w:rPr>
        <w:t>。</w:t>
      </w:r>
      <w:r>
        <w:rPr>
          <w:rFonts w:hint="default" w:ascii="Times New Roman" w:hAnsi="Times New Roman" w:eastAsia="仿宋_GB2312" w:cs="Times New Roman"/>
          <w:sz w:val="32"/>
          <w:szCs w:val="32"/>
        </w:rPr>
        <w:t>攀枝花市仁和区机关事务服务中心202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年年初预算收入</w:t>
      </w:r>
      <w:r>
        <w:rPr>
          <w:rFonts w:hint="default" w:ascii="Times New Roman" w:hAnsi="Times New Roman" w:eastAsia="仿宋_GB2312" w:cs="Times New Roman"/>
          <w:sz w:val="32"/>
          <w:szCs w:val="32"/>
          <w:lang w:val="en-US" w:eastAsia="zh-CN"/>
        </w:rPr>
        <w:t>2406.62</w:t>
      </w:r>
      <w:r>
        <w:rPr>
          <w:rFonts w:hint="default" w:ascii="Times New Roman" w:hAnsi="Times New Roman" w:eastAsia="仿宋_GB2312" w:cs="Times New Roman"/>
          <w:sz w:val="32"/>
          <w:szCs w:val="32"/>
        </w:rPr>
        <w:t>万元，决算报表收入</w:t>
      </w:r>
      <w:r>
        <w:rPr>
          <w:rFonts w:hint="default" w:ascii="Times New Roman" w:hAnsi="Times New Roman" w:eastAsia="仿宋_GB2312" w:cs="Times New Roman"/>
          <w:sz w:val="32"/>
          <w:szCs w:val="32"/>
          <w:lang w:val="en-US" w:eastAsia="zh-CN"/>
        </w:rPr>
        <w:t>1145.85</w:t>
      </w:r>
      <w:r>
        <w:rPr>
          <w:rFonts w:hint="default" w:ascii="Times New Roman" w:hAnsi="Times New Roman" w:eastAsia="仿宋_GB2312" w:cs="Times New Roman"/>
          <w:sz w:val="32"/>
          <w:szCs w:val="32"/>
        </w:rPr>
        <w:t>万元。</w:t>
      </w:r>
    </w:p>
    <w:p w14:paraId="3D99FC44">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方正仿宋_GBK" w:cs="Times New Roman"/>
          <w:color w:val="000000"/>
          <w:kern w:val="0"/>
          <w:sz w:val="32"/>
          <w:szCs w:val="32"/>
          <w:shd w:val="clear" w:color="auto" w:fill="FFFFFF"/>
          <w:lang w:val="zh-CN"/>
        </w:rPr>
      </w:pPr>
      <w:r>
        <w:rPr>
          <w:rFonts w:hint="default" w:ascii="Times New Roman" w:hAnsi="Times New Roman" w:eastAsia="方正楷体_GBK" w:cs="Times New Roman"/>
          <w:b/>
          <w:bCs w:val="0"/>
          <w:color w:val="000000"/>
          <w:kern w:val="0"/>
          <w:sz w:val="32"/>
          <w:szCs w:val="32"/>
          <w:shd w:val="clear" w:color="auto" w:fill="FFFFFF"/>
          <w:lang w:val="zh-CN"/>
        </w:rPr>
        <w:t>（二）支出情况</w:t>
      </w:r>
      <w:r>
        <w:rPr>
          <w:rFonts w:hint="default" w:ascii="Times New Roman" w:hAnsi="Times New Roman" w:eastAsia="方正仿宋_GBK" w:cs="Times New Roman"/>
          <w:color w:val="000000"/>
          <w:kern w:val="0"/>
          <w:sz w:val="32"/>
          <w:szCs w:val="32"/>
          <w:shd w:val="clear" w:color="auto" w:fill="FFFFFF"/>
          <w:lang w:val="zh-CN"/>
        </w:rPr>
        <w:t>。</w:t>
      </w:r>
      <w:r>
        <w:rPr>
          <w:rFonts w:hint="default" w:ascii="Times New Roman" w:hAnsi="Times New Roman" w:eastAsia="仿宋_GB2312" w:cs="Times New Roman"/>
          <w:sz w:val="32"/>
          <w:szCs w:val="32"/>
        </w:rPr>
        <w:t>攀枝花市仁和区机关事务服务中心202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年年初预算支出</w:t>
      </w:r>
      <w:r>
        <w:rPr>
          <w:rFonts w:hint="default" w:ascii="Times New Roman" w:hAnsi="Times New Roman" w:eastAsia="仿宋_GB2312" w:cs="Times New Roman"/>
          <w:sz w:val="32"/>
          <w:szCs w:val="32"/>
          <w:lang w:val="en-US" w:eastAsia="zh-CN"/>
        </w:rPr>
        <w:t>2406.62</w:t>
      </w:r>
      <w:r>
        <w:rPr>
          <w:rFonts w:hint="default" w:ascii="Times New Roman" w:hAnsi="Times New Roman" w:eastAsia="仿宋_GB2312" w:cs="Times New Roman"/>
          <w:sz w:val="32"/>
          <w:szCs w:val="32"/>
        </w:rPr>
        <w:t>万元、决算报表支出</w:t>
      </w:r>
      <w:r>
        <w:rPr>
          <w:rFonts w:hint="default" w:ascii="Times New Roman" w:hAnsi="Times New Roman" w:eastAsia="仿宋_GB2312" w:cs="Times New Roman"/>
          <w:sz w:val="32"/>
          <w:szCs w:val="32"/>
          <w:lang w:val="en-US" w:eastAsia="zh-CN"/>
        </w:rPr>
        <w:t>1145.85</w:t>
      </w:r>
      <w:r>
        <w:rPr>
          <w:rFonts w:hint="default" w:ascii="Times New Roman" w:hAnsi="Times New Roman" w:eastAsia="仿宋_GB2312" w:cs="Times New Roman"/>
          <w:sz w:val="32"/>
          <w:szCs w:val="32"/>
        </w:rPr>
        <w:t>万元，主要开展公共机构节能宣传，做好区级部门办公用房的后勤保障、区级部门集中办公区日常维护等服务保障、机关职工食堂的日常事务及食品卫生安全保障、干部人才周转房的服务保障工作，保障区级部门公务出行。</w:t>
      </w:r>
    </w:p>
    <w:p w14:paraId="3F8BE5CA">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方正楷体_GBK" w:cs="Times New Roman"/>
          <w:b/>
          <w:color w:val="000000"/>
          <w:kern w:val="0"/>
          <w:sz w:val="32"/>
          <w:szCs w:val="32"/>
          <w:shd w:val="clear" w:color="auto" w:fill="FFFFFF"/>
          <w:lang w:val="zh-CN"/>
        </w:rPr>
        <w:t>（</w:t>
      </w:r>
      <w:r>
        <w:rPr>
          <w:rFonts w:hint="default" w:ascii="Times New Roman" w:hAnsi="Times New Roman" w:eastAsia="方正楷体_GBK" w:cs="Times New Roman"/>
          <w:b/>
          <w:bCs w:val="0"/>
          <w:color w:val="000000"/>
          <w:kern w:val="0"/>
          <w:sz w:val="32"/>
          <w:szCs w:val="32"/>
          <w:shd w:val="clear" w:color="auto" w:fill="FFFFFF"/>
          <w:lang w:val="zh-CN"/>
        </w:rPr>
        <w:t>三）结余分配和结转结余情况。</w:t>
      </w:r>
      <w:r>
        <w:rPr>
          <w:rFonts w:hint="default" w:ascii="Times New Roman" w:hAnsi="Times New Roman" w:eastAsia="仿宋_GB2312" w:cs="Times New Roman"/>
          <w:sz w:val="32"/>
          <w:szCs w:val="32"/>
        </w:rPr>
        <w:t>攀枝花市仁和区机关事务服务中心202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年决算报表年初结转结余</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万元。</w:t>
      </w:r>
    </w:p>
    <w:p w14:paraId="75960BDA">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黑体"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三、部门预算绩效分析</w:t>
      </w:r>
    </w:p>
    <w:p w14:paraId="305F8048">
      <w:pPr>
        <w:keepNext w:val="0"/>
        <w:keepLines w:val="0"/>
        <w:pageBreakBefore w:val="0"/>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方正楷体_GBK" w:cs="Times New Roman"/>
          <w:b/>
          <w:bCs w:val="0"/>
          <w:color w:val="000000"/>
          <w:kern w:val="0"/>
          <w:sz w:val="32"/>
          <w:szCs w:val="32"/>
          <w:shd w:val="clear" w:color="auto" w:fill="FFFFFF"/>
          <w:lang w:val="zh-CN"/>
        </w:rPr>
      </w:pPr>
      <w:r>
        <w:rPr>
          <w:rFonts w:hint="default" w:ascii="Times New Roman" w:hAnsi="Times New Roman" w:eastAsia="方正楷体_GBK" w:cs="Times New Roman"/>
          <w:b/>
          <w:bCs w:val="0"/>
          <w:color w:val="000000"/>
          <w:kern w:val="0"/>
          <w:sz w:val="32"/>
          <w:szCs w:val="32"/>
          <w:shd w:val="clear" w:color="auto" w:fill="FFFFFF"/>
          <w:lang w:val="zh-CN"/>
        </w:rPr>
        <w:t>（一）部门预算总体绩效分析。</w:t>
      </w:r>
    </w:p>
    <w:p w14:paraId="7C94B76A">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zh-CN"/>
        </w:rPr>
        <w:t>履职效能。攀枝花市仁和区机关事务服务中心主要核心职能包括公共机构节能宣传、区级部门办公用房保障、机关职工食堂的日常事务及食品卫生安全保障、保障区级部门公务出行等。</w:t>
      </w:r>
    </w:p>
    <w:p w14:paraId="5A59B015">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一是完成公共机构节能方面相关工作。圆满完成公共机构节能指标。预计2025年</w:t>
      </w:r>
      <w:r>
        <w:rPr>
          <w:rFonts w:hint="default" w:ascii="Times New Roman" w:hAnsi="Times New Roman" w:eastAsia="仿宋_GB2312" w:cs="Times New Roman"/>
          <w:sz w:val="32"/>
          <w:szCs w:val="32"/>
          <w:lang w:eastAsia="zh-CN"/>
        </w:rPr>
        <w:t>全区公共机构单位建筑面积能耗同比</w:t>
      </w:r>
      <w:r>
        <w:rPr>
          <w:rFonts w:hint="default" w:ascii="Times New Roman" w:hAnsi="Times New Roman" w:eastAsia="仿宋_GB2312" w:cs="Times New Roman"/>
          <w:sz w:val="32"/>
          <w:szCs w:val="32"/>
          <w:lang w:val="en-US" w:eastAsia="zh-CN"/>
        </w:rPr>
        <w:t>下降0.5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以上</w:t>
      </w:r>
      <w:r>
        <w:rPr>
          <w:rFonts w:hint="default" w:ascii="Times New Roman" w:hAnsi="Times New Roman" w:eastAsia="仿宋_GB2312" w:cs="Times New Roman"/>
          <w:sz w:val="32"/>
          <w:szCs w:val="32"/>
          <w:lang w:eastAsia="zh-CN"/>
        </w:rPr>
        <w:t>，单位建筑面积碳排放同比</w:t>
      </w:r>
      <w:r>
        <w:rPr>
          <w:rFonts w:hint="default" w:ascii="Times New Roman" w:hAnsi="Times New Roman" w:eastAsia="仿宋_GB2312" w:cs="Times New Roman"/>
          <w:sz w:val="32"/>
          <w:szCs w:val="32"/>
          <w:lang w:val="en-US" w:eastAsia="zh-CN"/>
        </w:rPr>
        <w:t>下降0.8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以上</w:t>
      </w:r>
      <w:r>
        <w:rPr>
          <w:rFonts w:hint="default" w:ascii="Times New Roman" w:hAnsi="Times New Roman" w:eastAsia="仿宋_GB2312" w:cs="Times New Roman"/>
          <w:sz w:val="32"/>
          <w:szCs w:val="32"/>
          <w:lang w:eastAsia="zh-CN"/>
        </w:rPr>
        <w:t>，人均综合能耗同比</w:t>
      </w:r>
      <w:r>
        <w:rPr>
          <w:rFonts w:hint="default" w:ascii="Times New Roman" w:hAnsi="Times New Roman" w:eastAsia="仿宋_GB2312" w:cs="Times New Roman"/>
          <w:sz w:val="32"/>
          <w:szCs w:val="32"/>
          <w:lang w:val="en-US" w:eastAsia="zh-CN"/>
        </w:rPr>
        <w:t>下降0.6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以上</w:t>
      </w:r>
      <w:r>
        <w:rPr>
          <w:rFonts w:hint="default" w:ascii="Times New Roman" w:hAnsi="Times New Roman" w:eastAsia="仿宋_GB2312" w:cs="Times New Roman"/>
          <w:sz w:val="32"/>
          <w:szCs w:val="32"/>
          <w:lang w:eastAsia="zh-CN"/>
        </w:rPr>
        <w:t>，人均水耗同比</w:t>
      </w:r>
      <w:r>
        <w:rPr>
          <w:rFonts w:hint="default" w:ascii="Times New Roman" w:hAnsi="Times New Roman" w:eastAsia="仿宋_GB2312" w:cs="Times New Roman"/>
          <w:sz w:val="32"/>
          <w:szCs w:val="32"/>
          <w:lang w:val="en-US" w:eastAsia="zh-CN"/>
        </w:rPr>
        <w:t>下降1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扎实推进公共机构节能工作。全面完成2024年度全区67个公共机构能源资源消耗年度统计报告，完成对区级各部门2024年度节能目标考核工作，完成仁和区2024年全市公共机构节能降耗年度考核迎检工作。强化宣传动员，切实抓好公共机构垃圾分类工作。牵头在全区组织开展各类宣传活动。</w:t>
      </w:r>
    </w:p>
    <w:p w14:paraId="14291C0F">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是加强监督管理，切实保障公务活动用车务实高效。抓好公务用车统计报告。高质量完成2024年度仁和区党政机关公务用车统计报告工作。高效安全保障公务出行，有效保障全区各单位日常公务出行、森林防灭火、防汛减灾等工作。强化公务用车监督管理。按照《党政机关公务用车管理办法》，严格落实公务用车编制卡管理，根据核定的车辆编制及类型，实行一车一卡制，全年共更新发放编制卡37张。实行运行费用报表制度，加强公务用车维修管理。按照框架协议采购程序，确定8家维修服务供应商。及时回收、处置老旧公务用车。公务用车资产变动37辆，其中报废10辆、公开拍卖11辆、调拨10辆、新购上户6辆，处置金额639503.6元，全额按非税收入缴入区财政，核减流程透明、合规，资产账实、账相符。加强驾驶员安全管理工作，全年共组织安全教育和安全例会33次，保证了车辆安全行驶。</w:t>
      </w:r>
    </w:p>
    <w:p w14:paraId="5BCD266E">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是坚持精细管理，全力保障后勤服务有关工作。抓好周转房及人才公寓服务管理。加强人才公寓服务管理，重点做好柠檬城和区委党校人才公寓入住、退房、费用收取等有关工作，目前全区共有人才公寓47套，已入住37套，其中招商引资</w:t>
      </w:r>
      <w:r>
        <w:rPr>
          <w:rFonts w:hint="eastAsia" w:eastAsia="仿宋_GB2312" w:cs="Times New Roman"/>
          <w:sz w:val="32"/>
          <w:szCs w:val="32"/>
          <w:lang w:val="en-US" w:eastAsia="zh-CN"/>
        </w:rPr>
        <w:t>企业入驻</w:t>
      </w:r>
      <w:r>
        <w:rPr>
          <w:rFonts w:hint="default" w:ascii="Times New Roman" w:hAnsi="Times New Roman" w:eastAsia="仿宋_GB2312" w:cs="Times New Roman"/>
          <w:sz w:val="32"/>
          <w:szCs w:val="32"/>
          <w:lang w:val="en-US" w:eastAsia="zh-CN"/>
        </w:rPr>
        <w:t>8套、引进人才入住29套。加强一办机关食堂管理。不定期对一办机关食堂进行监督检查，加强库房管理，定期清理库存，严把食材质量关，及时开展食品浪费抽样调查，做到控质控量不浪费。完成机关食堂劳务服务和食材配送服务采购工作，中标单位为攀枝花市和瑞祥餐饮服务有限公司，其中劳务服务中标金额68.9万元，食材配送服务中标金额91万元，下浮率8%。统筹做好机关单位停车场免费对外开放工作。根据区政府重点工作安排，及时对主城区具备法定节假日及周末免费对外开放条件的机关单位停车场进行梳理，目前共开放停车场16个，车位379个，各停车场在法定节假日共计停放近3000车次。</w:t>
      </w:r>
    </w:p>
    <w:p w14:paraId="3E7C9F7F">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2.预算管理。攀枝花市仁和区机关事务服务中心通过加强内部控制，按照“合法、规范、公平、节俭”原则，结合本年资金使用情况和下年度工作需要提前编制下年度财务收支预算，报分管领导审定后报区财政局，提升预算编制质量</w:t>
      </w:r>
      <w:r>
        <w:rPr>
          <w:rFonts w:hint="eastAsia" w:eastAsia="仿宋_GB2312" w:cs="Times New Roman"/>
          <w:sz w:val="32"/>
          <w:szCs w:val="32"/>
          <w:lang w:val="zh-CN"/>
        </w:rPr>
        <w:t>；将</w:t>
      </w:r>
      <w:r>
        <w:rPr>
          <w:rFonts w:hint="default" w:ascii="Times New Roman" w:hAnsi="Times New Roman" w:eastAsia="仿宋_GB2312" w:cs="Times New Roman"/>
          <w:sz w:val="32"/>
          <w:szCs w:val="32"/>
          <w:lang w:val="zh-CN"/>
        </w:rPr>
        <w:t>所有非税收入上缴财政；对事中绩效进行监控，确保支出执行进度；加强控制预算年终结余；严控一般性支出，压减“三公”经费年初预算，严控“三公”经费支出。</w:t>
      </w:r>
    </w:p>
    <w:p w14:paraId="40063B5E">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3.财务管理。为加强内部控制，制定《财务管理制度》《采购管理制度》《合同管理制度》等，分别明</w:t>
      </w:r>
      <w:r>
        <w:rPr>
          <w:rFonts w:hint="eastAsia" w:eastAsia="仿宋_GB2312" w:cs="Times New Roman"/>
          <w:sz w:val="32"/>
          <w:szCs w:val="32"/>
          <w:lang w:val="zh-CN"/>
        </w:rPr>
        <w:t>确了</w:t>
      </w:r>
      <w:r>
        <w:rPr>
          <w:rFonts w:hint="default" w:ascii="Times New Roman" w:hAnsi="Times New Roman" w:eastAsia="仿宋_GB2312" w:cs="Times New Roman"/>
          <w:sz w:val="32"/>
          <w:szCs w:val="32"/>
          <w:lang w:val="zh-CN"/>
        </w:rPr>
        <w:t>预算编制及执行、支出管理、固定资产管理、政府采购管理、分散采购管理、合同签订流程、合同履行及监督、合同变更或终止、合同备案及档案管理等，设置了财务工作岗位，明确了职责权限，严格实行不相容岗位分离，规范使用资金。</w:t>
      </w:r>
    </w:p>
    <w:p w14:paraId="38A9E2A5">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4.资产管理。明确对资产采购、验收入库、领用、使用与维护、移交与归还、处置等流程的要求，加强对资产的管理，严格执行行政事业单位国有资产管理相关要求，及时清查闲置一年以上的资产，对可以继续使用的资产，通过调剂等方式盘活使用。</w:t>
      </w:r>
    </w:p>
    <w:p w14:paraId="0A9A3719">
      <w:pPr>
        <w:keepNext w:val="0"/>
        <w:keepLines w:val="0"/>
        <w:pageBreakBefore w:val="0"/>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5.采购管理。围绕支持中小企业发展、采购执行率进行绩效分析。严格执行《四川省政府集中采购目录及标准》，对全省已完成框架协议征集的品目，执行小额零星采购实施形式“框架协议合同授予”。202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rPr>
        <w:t>年部门政府采购资金</w:t>
      </w:r>
      <w:r>
        <w:rPr>
          <w:rFonts w:hint="default" w:ascii="Times New Roman" w:hAnsi="Times New Roman" w:eastAsia="仿宋_GB2312" w:cs="Times New Roman"/>
          <w:sz w:val="32"/>
          <w:szCs w:val="32"/>
          <w:lang w:val="en-US" w:eastAsia="zh-CN"/>
        </w:rPr>
        <w:t>274.06</w:t>
      </w:r>
      <w:r>
        <w:rPr>
          <w:rFonts w:hint="default" w:ascii="Times New Roman" w:hAnsi="Times New Roman" w:eastAsia="仿宋_GB2312" w:cs="Times New Roman"/>
          <w:sz w:val="32"/>
          <w:szCs w:val="32"/>
          <w:lang w:val="zh-CN"/>
        </w:rPr>
        <w:t>万元。</w:t>
      </w:r>
    </w:p>
    <w:p w14:paraId="372E5400">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方正楷体_GBK" w:cs="Times New Roman"/>
          <w:b/>
          <w:bCs w:val="0"/>
          <w:color w:val="000000"/>
          <w:kern w:val="0"/>
          <w:sz w:val="32"/>
          <w:szCs w:val="32"/>
          <w:shd w:val="clear" w:color="auto" w:fill="FFFFFF"/>
        </w:rPr>
      </w:pPr>
      <w:r>
        <w:rPr>
          <w:rFonts w:hint="default" w:ascii="Times New Roman" w:hAnsi="Times New Roman" w:eastAsia="方正楷体_GBK" w:cs="Times New Roman"/>
          <w:b/>
          <w:bCs w:val="0"/>
          <w:color w:val="000000"/>
          <w:kern w:val="0"/>
          <w:sz w:val="32"/>
          <w:szCs w:val="32"/>
          <w:shd w:val="clear" w:color="auto" w:fill="FFFFFF"/>
          <w:lang w:val="zh-CN"/>
        </w:rPr>
        <w:t>（二）部门预算项目绩效分析。</w:t>
      </w:r>
    </w:p>
    <w:p w14:paraId="19533EA6">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项目绩效分析。该类项目总数1</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zh-CN"/>
        </w:rPr>
        <w:t>个，涉及预算总金额</w:t>
      </w:r>
      <w:r>
        <w:rPr>
          <w:rFonts w:hint="default" w:ascii="Times New Roman" w:hAnsi="Times New Roman" w:eastAsia="仿宋_GB2312" w:cs="Times New Roman"/>
          <w:sz w:val="32"/>
          <w:szCs w:val="32"/>
          <w:lang w:val="en-US" w:eastAsia="zh-CN"/>
        </w:rPr>
        <w:t>1861.86</w:t>
      </w:r>
      <w:r>
        <w:rPr>
          <w:rFonts w:hint="default" w:ascii="Times New Roman" w:hAnsi="Times New Roman" w:eastAsia="仿宋_GB2312" w:cs="Times New Roman"/>
          <w:sz w:val="32"/>
          <w:szCs w:val="32"/>
          <w:lang w:val="zh-CN"/>
        </w:rPr>
        <w:t>万元，1—12月预算执行总体进度为</w:t>
      </w:r>
      <w:r>
        <w:rPr>
          <w:rFonts w:hint="default" w:ascii="Times New Roman" w:hAnsi="Times New Roman" w:eastAsia="仿宋_GB2312" w:cs="Times New Roman"/>
          <w:sz w:val="32"/>
          <w:szCs w:val="32"/>
          <w:lang w:val="en-US" w:eastAsia="zh-CN"/>
        </w:rPr>
        <w:t>25.33</w:t>
      </w:r>
      <w:r>
        <w:rPr>
          <w:rFonts w:hint="default" w:ascii="Times New Roman" w:hAnsi="Times New Roman" w:eastAsia="仿宋_GB2312" w:cs="Times New Roman"/>
          <w:sz w:val="32"/>
          <w:szCs w:val="32"/>
          <w:lang w:val="zh-CN"/>
        </w:rPr>
        <w:t>%，其中：预算结余率大于10%的项目共计</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lang w:val="zh-CN"/>
        </w:rPr>
        <w:t>个。</w:t>
      </w:r>
    </w:p>
    <w:p w14:paraId="2D7484D4">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1.项目决策。围绕机关事务服务主要职责，严格落实“三重一大”决策机制，认真研究完善内部控制相关制度，科学制定工作目标及规划，充分调研，做好新增项目的需求论证及事前绩效评估，集体决策项目。</w:t>
      </w:r>
    </w:p>
    <w:p w14:paraId="45020E15">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2.项目执行。围绕年度预算项目绩效目标认真执行，做好事中绩效监控，对执行中存在问题的项目及时纠偏。</w:t>
      </w:r>
    </w:p>
    <w:p w14:paraId="5BEE1280">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rPr>
        <w:t>3.目标实现。围绕202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rPr>
        <w:t>年重点工作，在资金支付困难的情况下，积极协调，各项工作目标基本实现。</w:t>
      </w:r>
    </w:p>
    <w:p w14:paraId="398C9D80">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方正楷体_GBK" w:cs="Times New Roman"/>
          <w:b/>
          <w:bCs w:val="0"/>
          <w:color w:val="000000"/>
          <w:kern w:val="0"/>
          <w:sz w:val="32"/>
          <w:szCs w:val="32"/>
          <w:shd w:val="clear" w:color="auto" w:fill="FFFFFF"/>
          <w:lang w:val="zh-CN"/>
        </w:rPr>
      </w:pPr>
      <w:r>
        <w:rPr>
          <w:rFonts w:hint="default" w:ascii="Times New Roman" w:hAnsi="Times New Roman" w:eastAsia="方正楷体_GBK" w:cs="Times New Roman"/>
          <w:b/>
          <w:bCs w:val="0"/>
          <w:color w:val="000000"/>
          <w:kern w:val="0"/>
          <w:sz w:val="32"/>
          <w:szCs w:val="32"/>
          <w:shd w:val="clear" w:color="auto" w:fill="FFFFFF"/>
          <w:lang w:val="zh-CN"/>
        </w:rPr>
        <w:t>（三）绩效结果应用情况。</w:t>
      </w:r>
    </w:p>
    <w:p w14:paraId="59FBCCD2">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中心部门内部绩效结果与预算挂钩，将绩效自评纳入考核体系，</w:t>
      </w:r>
      <w:bookmarkStart w:id="68" w:name="_GoBack"/>
      <w:r>
        <w:rPr>
          <w:rFonts w:hint="eastAsia" w:eastAsia="仿宋_GB2312" w:cs="Times New Roman"/>
          <w:sz w:val="32"/>
          <w:szCs w:val="32"/>
          <w:lang w:val="zh-CN"/>
        </w:rPr>
        <w:t>建立</w:t>
      </w:r>
      <w:bookmarkEnd w:id="68"/>
      <w:r>
        <w:rPr>
          <w:rFonts w:hint="default" w:ascii="Times New Roman" w:hAnsi="Times New Roman" w:eastAsia="仿宋_GB2312" w:cs="Times New Roman"/>
          <w:sz w:val="32"/>
          <w:szCs w:val="32"/>
          <w:lang w:val="zh-CN"/>
        </w:rPr>
        <w:t>内设机构预算与绩效挂钩机制，按要求将部门整体绩效自评情况和自行组织的评价情况向社会公开，按要求将相关绩效信息随同决算公开。针对绩效管理过程中（包括绩效目标核查、绩效监控核查和重点绩效评价）提出的问题及时进行整改。</w:t>
      </w:r>
    </w:p>
    <w:p w14:paraId="1B77E78A">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0" w:firstLineChars="200"/>
        <w:jc w:val="left"/>
        <w:textAlignment w:val="auto"/>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四、评价结论及建议</w:t>
      </w:r>
    </w:p>
    <w:p w14:paraId="55C9E5F2">
      <w:pPr>
        <w:keepNext w:val="0"/>
        <w:keepLines w:val="0"/>
        <w:pageBreakBefore w:val="0"/>
        <w:widowControl/>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方正楷体_GBK" w:cs="Times New Roman"/>
          <w:b/>
          <w:color w:val="000000"/>
          <w:kern w:val="0"/>
          <w:sz w:val="32"/>
          <w:szCs w:val="32"/>
          <w:shd w:val="clear" w:color="auto" w:fill="FFFFFF"/>
          <w:lang w:val="zh-CN"/>
        </w:rPr>
      </w:pPr>
      <w:r>
        <w:rPr>
          <w:rFonts w:hint="default" w:ascii="Times New Roman" w:hAnsi="Times New Roman" w:eastAsia="方正楷体_GBK" w:cs="Times New Roman"/>
          <w:b/>
          <w:color w:val="000000"/>
          <w:kern w:val="0"/>
          <w:sz w:val="32"/>
          <w:szCs w:val="32"/>
          <w:shd w:val="clear" w:color="auto" w:fill="FFFFFF"/>
          <w:lang w:val="zh-CN"/>
        </w:rPr>
        <w:t>（一）评价结论。</w:t>
      </w:r>
    </w:p>
    <w:p w14:paraId="52EE32EF">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rPr>
        <w:t>年部门预算绩效自评总体完成情况较好，自评得分9</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zh-CN"/>
        </w:rPr>
        <w:t>分。</w:t>
      </w:r>
    </w:p>
    <w:p w14:paraId="1E8FAAC8">
      <w:pPr>
        <w:keepNext w:val="0"/>
        <w:keepLines w:val="0"/>
        <w:pageBreakBefore w:val="0"/>
        <w:widowControl/>
        <w:numPr>
          <w:ilvl w:val="0"/>
          <w:numId w:val="2"/>
        </w:numPr>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楷体_GB2312" w:cs="Times New Roman"/>
          <w:b/>
          <w:color w:val="000000"/>
          <w:kern w:val="0"/>
          <w:sz w:val="32"/>
          <w:szCs w:val="32"/>
          <w:shd w:val="clear" w:color="auto" w:fill="FFFFFF"/>
          <w:lang w:val="zh-CN"/>
        </w:rPr>
      </w:pPr>
      <w:r>
        <w:rPr>
          <w:rFonts w:hint="default" w:ascii="Times New Roman" w:hAnsi="Times New Roman" w:eastAsia="方正楷体_GBK" w:cs="Times New Roman"/>
          <w:b/>
          <w:color w:val="000000"/>
          <w:kern w:val="0"/>
          <w:sz w:val="32"/>
          <w:szCs w:val="32"/>
          <w:shd w:val="clear" w:color="auto" w:fill="FFFFFF"/>
          <w:lang w:val="zh-CN"/>
        </w:rPr>
        <w:t>存在问题</w:t>
      </w:r>
      <w:r>
        <w:rPr>
          <w:rFonts w:hint="default" w:ascii="Times New Roman" w:hAnsi="Times New Roman" w:eastAsia="楷体_GB2312" w:cs="Times New Roman"/>
          <w:b/>
          <w:color w:val="000000"/>
          <w:kern w:val="0"/>
          <w:sz w:val="32"/>
          <w:szCs w:val="32"/>
          <w:shd w:val="clear" w:color="auto" w:fill="FFFFFF"/>
          <w:lang w:val="zh-CN"/>
        </w:rPr>
        <w:t>。</w:t>
      </w:r>
    </w:p>
    <w:p w14:paraId="7E2C9ED1">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资金支付困难，进度滞后。</w:t>
      </w:r>
    </w:p>
    <w:p w14:paraId="6CF5291C">
      <w:pPr>
        <w:keepNext w:val="0"/>
        <w:keepLines w:val="0"/>
        <w:pageBreakBefore w:val="0"/>
        <w:widowControl/>
        <w:numPr>
          <w:ilvl w:val="0"/>
          <w:numId w:val="2"/>
        </w:numPr>
        <w:kinsoku/>
        <w:wordWrap/>
        <w:overflowPunct/>
        <w:topLinePunct w:val="0"/>
        <w:autoSpaceDE/>
        <w:autoSpaceDN/>
        <w:bidi w:val="0"/>
        <w:adjustRightInd w:val="0"/>
        <w:snapToGrid w:val="0"/>
        <w:spacing w:beforeLines="0" w:afterLines="0" w:line="560" w:lineRule="exact"/>
        <w:ind w:firstLine="643" w:firstLineChars="200"/>
        <w:jc w:val="left"/>
        <w:textAlignment w:val="auto"/>
        <w:rPr>
          <w:rFonts w:hint="default" w:ascii="Times New Roman" w:hAnsi="Times New Roman" w:eastAsia="楷体_GB2312" w:cs="Times New Roman"/>
          <w:b/>
          <w:color w:val="000000"/>
          <w:kern w:val="0"/>
          <w:sz w:val="32"/>
          <w:szCs w:val="32"/>
          <w:shd w:val="clear" w:color="auto" w:fill="FFFFFF"/>
          <w:lang w:val="zh-CN"/>
        </w:rPr>
      </w:pPr>
      <w:r>
        <w:rPr>
          <w:rFonts w:hint="default" w:ascii="Times New Roman" w:hAnsi="Times New Roman" w:eastAsia="楷体_GB2312" w:cs="Times New Roman"/>
          <w:b/>
          <w:color w:val="000000"/>
          <w:kern w:val="0"/>
          <w:sz w:val="32"/>
          <w:szCs w:val="32"/>
          <w:shd w:val="clear" w:color="auto" w:fill="FFFFFF"/>
          <w:lang w:val="zh-CN"/>
        </w:rPr>
        <w:t>改进建议。</w:t>
      </w:r>
      <w:bookmarkStart w:id="53" w:name="_Hlk110546638"/>
    </w:p>
    <w:p w14:paraId="42145874">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加强沟通协调，实时清理未完成支付的情况，积极协调资金完成支付，并继续加强对项目序时进度执行评价，并及时纠偏。</w:t>
      </w:r>
    </w:p>
    <w:bookmarkEnd w:id="53"/>
    <w:p w14:paraId="0A5FFF67">
      <w:pPr>
        <w:pStyle w:val="13"/>
        <w:spacing w:line="560" w:lineRule="exact"/>
        <w:ind w:left="0" w:leftChars="0" w:firstLine="640"/>
        <w:rPr>
          <w:rFonts w:hint="default" w:ascii="Times New Roman" w:hAnsi="Times New Roman" w:eastAsia="仿宋_GB2312" w:cs="Times New Roman"/>
          <w:sz w:val="32"/>
          <w:lang w:val="zh-CN"/>
        </w:rPr>
      </w:pPr>
    </w:p>
    <w:p w14:paraId="1A123A27">
      <w:pPr>
        <w:ind w:firstLine="800" w:firstLineChars="25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附表：</w:t>
      </w:r>
      <w:r>
        <w:rPr>
          <w:rFonts w:hint="default" w:ascii="Times New Roman" w:hAnsi="Times New Roman" w:eastAsia="仿宋_GB2312" w:cs="Times New Roman"/>
          <w:sz w:val="32"/>
          <w:szCs w:val="32"/>
        </w:rPr>
        <w:t>部门预算项目支出绩效自评表（2025年度）</w:t>
      </w:r>
    </w:p>
    <w:p w14:paraId="0E9DE1E9">
      <w:pPr>
        <w:pStyle w:val="13"/>
        <w:spacing w:line="560" w:lineRule="exact"/>
        <w:ind w:left="0" w:leftChars="0" w:firstLine="0" w:firstLineChars="0"/>
        <w:rPr>
          <w:rFonts w:hint="default" w:ascii="Times New Roman" w:hAnsi="Times New Roman" w:cs="Times New Roman"/>
          <w:sz w:val="32"/>
          <w:highlight w:val="yellow"/>
          <w:lang w:val="zh-CN"/>
        </w:rPr>
      </w:pPr>
    </w:p>
    <w:p w14:paraId="63BA55C0">
      <w:pPr>
        <w:pStyle w:val="5"/>
        <w:spacing w:before="93"/>
        <w:rPr>
          <w:rFonts w:hint="default" w:ascii="Times New Roman" w:hAnsi="Times New Roman" w:cs="Times New Roman"/>
          <w:color w:val="FF0000"/>
          <w:sz w:val="32"/>
          <w:szCs w:val="32"/>
          <w:highlight w:val="yellow"/>
          <w:shd w:val="clear" w:color="auto" w:fill="FFFFFF"/>
          <w:lang w:val="zh-CN"/>
        </w:rPr>
      </w:pPr>
    </w:p>
    <w:p w14:paraId="223E0BA0">
      <w:pPr>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lang w:val="zh-CN"/>
        </w:rPr>
        <w:br w:type="page"/>
      </w:r>
    </w:p>
    <w:p w14:paraId="4AF254A7">
      <w:pPr>
        <w:widowControl/>
        <w:jc w:val="center"/>
        <w:rPr>
          <w:rFonts w:hint="default" w:ascii="Times New Roman" w:hAnsi="Times New Roman" w:eastAsia="仿宋" w:cs="Times New Roman"/>
        </w:rPr>
      </w:pPr>
      <w:bookmarkStart w:id="54" w:name="_Toc15396618"/>
      <w:r>
        <w:rPr>
          <w:rFonts w:hint="default" w:ascii="Times New Roman" w:hAnsi="Times New Roman" w:eastAsia="黑体" w:cs="Times New Roman"/>
          <w:sz w:val="44"/>
          <w:szCs w:val="44"/>
        </w:rPr>
        <w:t>第</w:t>
      </w:r>
      <w:r>
        <w:rPr>
          <w:rStyle w:val="28"/>
          <w:rFonts w:hint="default" w:ascii="Times New Roman" w:hAnsi="Times New Roman" w:eastAsia="黑体" w:cs="Times New Roman"/>
          <w:b w:val="0"/>
        </w:rPr>
        <w:t>五部分 附表</w:t>
      </w:r>
      <w:bookmarkEnd w:id="51"/>
      <w:bookmarkEnd w:id="54"/>
      <w:bookmarkStart w:id="55" w:name="_Toc15396619"/>
    </w:p>
    <w:p w14:paraId="15390874">
      <w:pPr>
        <w:pStyle w:val="14"/>
        <w:adjustRightInd w:val="0"/>
        <w:snapToGrid w:val="0"/>
        <w:spacing w:line="560" w:lineRule="exact"/>
        <w:jc w:val="left"/>
        <w:rPr>
          <w:rFonts w:hint="default" w:ascii="Times New Roman" w:hAnsi="Times New Roman" w:eastAsia="仿宋_GB2312" w:cs="Times New Roman"/>
          <w:sz w:val="32"/>
          <w:szCs w:val="32"/>
        </w:rPr>
      </w:pPr>
    </w:p>
    <w:p w14:paraId="7FD1AA73">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55"/>
    </w:p>
    <w:p w14:paraId="2D400855">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56" w:name="_Toc15396620"/>
      <w:r>
        <w:rPr>
          <w:rFonts w:hint="default" w:ascii="Times New Roman" w:hAnsi="Times New Roman" w:eastAsia="仿宋_GB2312" w:cs="Times New Roman"/>
          <w:sz w:val="32"/>
          <w:szCs w:val="32"/>
        </w:rPr>
        <w:t>二、收入决算表</w:t>
      </w:r>
      <w:bookmarkEnd w:id="56"/>
    </w:p>
    <w:p w14:paraId="09233383">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57" w:name="_Toc15396621"/>
      <w:r>
        <w:rPr>
          <w:rFonts w:hint="default" w:ascii="Times New Roman" w:hAnsi="Times New Roman" w:eastAsia="仿宋_GB2312" w:cs="Times New Roman"/>
          <w:sz w:val="32"/>
          <w:szCs w:val="32"/>
        </w:rPr>
        <w:t>三、支出决算表</w:t>
      </w:r>
      <w:bookmarkEnd w:id="57"/>
    </w:p>
    <w:p w14:paraId="0E28DC53">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58" w:name="_Toc15396622"/>
      <w:r>
        <w:rPr>
          <w:rFonts w:hint="default" w:ascii="Times New Roman" w:hAnsi="Times New Roman" w:eastAsia="仿宋_GB2312" w:cs="Times New Roman"/>
          <w:sz w:val="32"/>
          <w:szCs w:val="32"/>
        </w:rPr>
        <w:t>四、财政拨款收入支出决算总表</w:t>
      </w:r>
      <w:bookmarkEnd w:id="58"/>
    </w:p>
    <w:p w14:paraId="4660AD97">
      <w:pPr>
        <w:pStyle w:val="14"/>
        <w:adjustRightInd w:val="0"/>
        <w:snapToGrid w:val="0"/>
        <w:spacing w:line="560" w:lineRule="exact"/>
        <w:ind w:left="0" w:leftChars="0" w:firstLine="640" w:firstLineChars="200"/>
        <w:jc w:val="left"/>
        <w:rPr>
          <w:rFonts w:hint="eastAsia" w:eastAsia="仿宋_GB2312" w:cs="Times New Roman"/>
          <w:sz w:val="32"/>
          <w:szCs w:val="32"/>
          <w:lang w:eastAsia="zh-CN"/>
        </w:rPr>
      </w:pPr>
      <w:bookmarkStart w:id="59" w:name="_Toc15396623"/>
      <w:r>
        <w:rPr>
          <w:rFonts w:hint="default" w:ascii="Times New Roman" w:hAnsi="Times New Roman" w:eastAsia="仿宋_GB2312" w:cs="Times New Roman"/>
          <w:sz w:val="32"/>
          <w:szCs w:val="32"/>
        </w:rPr>
        <w:t>五、财政拨款支出决算明细表</w:t>
      </w:r>
      <w:bookmarkEnd w:id="59"/>
      <w:bookmarkStart w:id="60" w:name="_Toc15396624"/>
    </w:p>
    <w:p w14:paraId="7A641509">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60"/>
    </w:p>
    <w:p w14:paraId="281D28CC">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1" w:name="_Toc15396625"/>
      <w:r>
        <w:rPr>
          <w:rFonts w:hint="default" w:ascii="Times New Roman" w:hAnsi="Times New Roman" w:eastAsia="仿宋_GB2312" w:cs="Times New Roman"/>
          <w:sz w:val="32"/>
          <w:szCs w:val="32"/>
        </w:rPr>
        <w:t>七、一般公共预算财政拨款支出决算明细表</w:t>
      </w:r>
      <w:bookmarkEnd w:id="61"/>
    </w:p>
    <w:p w14:paraId="4D18DA26">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2" w:name="_Toc15396626"/>
      <w:r>
        <w:rPr>
          <w:rFonts w:hint="default" w:ascii="Times New Roman" w:hAnsi="Times New Roman" w:eastAsia="仿宋_GB2312" w:cs="Times New Roman"/>
          <w:sz w:val="32"/>
          <w:szCs w:val="32"/>
        </w:rPr>
        <w:t>八、一般公共预算财政拨款基本支出决算表</w:t>
      </w:r>
      <w:bookmarkEnd w:id="62"/>
    </w:p>
    <w:p w14:paraId="019AB883">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3" w:name="_Toc15396627"/>
      <w:r>
        <w:rPr>
          <w:rFonts w:hint="default" w:ascii="Times New Roman" w:hAnsi="Times New Roman" w:eastAsia="仿宋_GB2312" w:cs="Times New Roman"/>
          <w:sz w:val="32"/>
          <w:szCs w:val="32"/>
        </w:rPr>
        <w:t>九、一般公共预算财政拨款项目支出决算表</w:t>
      </w:r>
      <w:bookmarkEnd w:id="63"/>
    </w:p>
    <w:p w14:paraId="399D249C">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4" w:name="_Toc15396628"/>
      <w:r>
        <w:rPr>
          <w:rFonts w:hint="default" w:ascii="Times New Roman" w:hAnsi="Times New Roman" w:eastAsia="仿宋_GB2312" w:cs="Times New Roman"/>
          <w:sz w:val="32"/>
          <w:szCs w:val="32"/>
        </w:rPr>
        <w:t>十、</w:t>
      </w:r>
      <w:bookmarkEnd w:id="64"/>
      <w:r>
        <w:rPr>
          <w:rFonts w:hint="default" w:ascii="Times New Roman" w:hAnsi="Times New Roman" w:eastAsia="仿宋_GB2312" w:cs="Times New Roman"/>
          <w:sz w:val="32"/>
          <w:szCs w:val="32"/>
        </w:rPr>
        <w:t>政府性基金预算财政拨款收入支出决算表</w:t>
      </w:r>
    </w:p>
    <w:p w14:paraId="6B47604A">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5" w:name="_Toc15396629"/>
      <w:r>
        <w:rPr>
          <w:rFonts w:hint="default" w:ascii="Times New Roman" w:hAnsi="Times New Roman" w:eastAsia="仿宋_GB2312" w:cs="Times New Roman"/>
          <w:sz w:val="32"/>
          <w:szCs w:val="32"/>
        </w:rPr>
        <w:t>十一、</w:t>
      </w:r>
      <w:bookmarkEnd w:id="65"/>
      <w:r>
        <w:rPr>
          <w:rFonts w:hint="default" w:ascii="Times New Roman" w:hAnsi="Times New Roman" w:eastAsia="仿宋_GB2312" w:cs="Times New Roman"/>
          <w:sz w:val="32"/>
          <w:szCs w:val="32"/>
        </w:rPr>
        <w:t>国有资本经营预算财政拨款收入支出决算表</w:t>
      </w:r>
    </w:p>
    <w:p w14:paraId="20F988FF">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6" w:name="_Toc15396630"/>
      <w:r>
        <w:rPr>
          <w:rFonts w:hint="default" w:ascii="Times New Roman" w:hAnsi="Times New Roman" w:eastAsia="仿宋_GB2312" w:cs="Times New Roman"/>
          <w:sz w:val="32"/>
          <w:szCs w:val="32"/>
        </w:rPr>
        <w:t>十二、</w:t>
      </w:r>
      <w:bookmarkEnd w:id="66"/>
      <w:r>
        <w:rPr>
          <w:rFonts w:hint="default" w:ascii="Times New Roman" w:hAnsi="Times New Roman" w:eastAsia="仿宋_GB2312" w:cs="Times New Roman"/>
          <w:sz w:val="32"/>
          <w:szCs w:val="32"/>
        </w:rPr>
        <w:t>国有资本经营预算财政拨款支出决算表</w:t>
      </w:r>
    </w:p>
    <w:p w14:paraId="4BB284F3">
      <w:pPr>
        <w:pStyle w:val="14"/>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bookmarkStart w:id="67" w:name="_Toc15396631"/>
      <w:r>
        <w:rPr>
          <w:rFonts w:hint="default" w:ascii="Times New Roman" w:hAnsi="Times New Roman" w:eastAsia="仿宋_GB2312" w:cs="Times New Roman"/>
          <w:sz w:val="32"/>
          <w:szCs w:val="32"/>
        </w:rPr>
        <w:t>十三、</w:t>
      </w:r>
      <w:bookmarkEnd w:id="67"/>
      <w:r>
        <w:rPr>
          <w:rFonts w:hint="default" w:ascii="Times New Roman" w:hAnsi="Times New Roman" w:eastAsia="仿宋_GB2312" w:cs="Times New Roman"/>
          <w:sz w:val="32"/>
          <w:szCs w:val="32"/>
        </w:rPr>
        <w:t>财政拨款“三公”经费支出决算表</w:t>
      </w:r>
    </w:p>
    <w:p w14:paraId="5B75DB67">
      <w:pPr>
        <w:rPr>
          <w:rFonts w:hint="default" w:ascii="Times New Roman" w:hAnsi="Times New Roman" w:cs="Times New Roman"/>
        </w:rPr>
      </w:pPr>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333455-7804-4E70-A32C-E6140AA005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4FBA820-986D-4805-96E0-53680564A70D}"/>
  </w:font>
  <w:font w:name="仿宋">
    <w:panose1 w:val="02010609060101010101"/>
    <w:charset w:val="86"/>
    <w:family w:val="modern"/>
    <w:pitch w:val="default"/>
    <w:sig w:usb0="800002BF" w:usb1="38CF7CFA" w:usb2="00000016" w:usb3="00000000" w:csb0="00040001" w:csb1="00000000"/>
    <w:embedRegular r:id="rId3" w:fontKey="{8357F7BD-E840-45D0-AC93-FF9CECE726FA}"/>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4" w:fontKey="{E2E89CB2-2893-43C4-B05E-B931AC2A83F4}"/>
  </w:font>
  <w:font w:name="楷体_GB2312">
    <w:panose1 w:val="02010609030101010101"/>
    <w:charset w:val="86"/>
    <w:family w:val="auto"/>
    <w:pitch w:val="default"/>
    <w:sig w:usb0="00000001" w:usb1="080E0000" w:usb2="00000000" w:usb3="00000000" w:csb0="00040000" w:csb1="00000000"/>
    <w:embedRegular r:id="rId5" w:fontKey="{7A00AE36-79F9-4212-B4C4-1B1A4C12A18B}"/>
  </w:font>
  <w:font w:name="方正小标宋_GBK">
    <w:panose1 w:val="02000000000000000000"/>
    <w:charset w:val="86"/>
    <w:family w:val="script"/>
    <w:pitch w:val="default"/>
    <w:sig w:usb0="A00002BF" w:usb1="38CF7CFA" w:usb2="00082016" w:usb3="00000000" w:csb0="00040001" w:csb1="00000000"/>
    <w:embedRegular r:id="rId6" w:fontKey="{6758DA7D-FC66-4EA5-BEC5-93B63ADF61D8}"/>
  </w:font>
  <w:font w:name="方正黑体_GBK">
    <w:panose1 w:val="03000509000000000000"/>
    <w:charset w:val="86"/>
    <w:family w:val="script"/>
    <w:pitch w:val="default"/>
    <w:sig w:usb0="00000001" w:usb1="080E0000" w:usb2="00000000" w:usb3="00000000" w:csb0="00040000" w:csb1="00000000"/>
    <w:embedRegular r:id="rId7" w:fontKey="{C9AEF4B3-836C-42FE-8159-6B8B053ED44E}"/>
  </w:font>
  <w:font w:name="方正楷体_GBK">
    <w:panose1 w:val="03000509000000000000"/>
    <w:charset w:val="86"/>
    <w:family w:val="auto"/>
    <w:pitch w:val="default"/>
    <w:sig w:usb0="00000001" w:usb1="080E0000" w:usb2="00000000" w:usb3="00000000" w:csb0="00040000" w:csb1="00000000"/>
    <w:embedRegular r:id="rId8" w:fontKey="{667F2343-B893-40CA-B498-D1E633E1E39D}"/>
  </w:font>
  <w:font w:name="方正仿宋_GBK">
    <w:panose1 w:val="02000000000000000000"/>
    <w:charset w:val="86"/>
    <w:family w:val="script"/>
    <w:pitch w:val="default"/>
    <w:sig w:usb0="00000001" w:usb1="080E0000" w:usb2="00000000" w:usb3="00000000" w:csb0="00040000" w:csb1="00000000"/>
    <w:embedRegular r:id="rId9" w:fontKey="{97DD2BA8-C71B-4A38-85E1-BEA8303927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B1A7">
    <w:pPr>
      <w:pStyle w:val="9"/>
      <w:jc w:val="center"/>
    </w:pPr>
  </w:p>
  <w:p w14:paraId="1529ADE2">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96812">
    <w:pPr>
      <w:pStyle w:val="9"/>
      <w:jc w:val="center"/>
    </w:pPr>
  </w:p>
  <w:p w14:paraId="7FAD972D">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937C9">
    <w:pPr>
      <w:pStyle w:val="9"/>
      <w:jc w:val="center"/>
    </w:pPr>
    <w:r>
      <w:rPr>
        <w:sz w:val="18"/>
      </w:rPr>
      <w:pict>
        <v:shape id="_x0000_s1031" o:spid="_x0000_s103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D2BC033">
                <w:pPr>
                  <w:pStyle w:val="9"/>
                </w:pPr>
                <w:r>
                  <w:fldChar w:fldCharType="begin"/>
                </w:r>
                <w:r>
                  <w:instrText xml:space="preserve"> PAGE  \* MERGEFORMAT </w:instrText>
                </w:r>
                <w:r>
                  <w:fldChar w:fldCharType="separate"/>
                </w:r>
                <w:r>
                  <w:t>1</w:t>
                </w:r>
                <w:r>
                  <w:fldChar w:fldCharType="end"/>
                </w:r>
              </w:p>
            </w:txbxContent>
          </v:textbox>
        </v:shape>
      </w:pict>
    </w:r>
  </w:p>
  <w:p w14:paraId="7A9BCB85">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059F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7F52C5"/>
    <w:multiLevelType w:val="singleLevel"/>
    <w:tmpl w:val="AB7F52C5"/>
    <w:lvl w:ilvl="0" w:tentative="0">
      <w:start w:val="1"/>
      <w:numFmt w:val="chineseCounting"/>
      <w:suff w:val="nothing"/>
      <w:lvlText w:val="%1、"/>
      <w:lvlJc w:val="left"/>
      <w:rPr>
        <w:rFonts w:hint="eastAsia"/>
      </w:rPr>
    </w:lvl>
  </w:abstractNum>
  <w:abstractNum w:abstractNumId="1">
    <w:nsid w:val="EA060505"/>
    <w:multiLevelType w:val="multilevel"/>
    <w:tmpl w:val="EA060505"/>
    <w:lvl w:ilvl="0" w:tentative="0">
      <w:start w:val="2"/>
      <w:numFmt w:val="chineseCounting"/>
      <w:suff w:val="nothing"/>
      <w:lvlText w:val="（%1）"/>
      <w:lvlJc w:val="left"/>
      <w:rPr>
        <w:rFonts w:hint="eastAsia" w:ascii="方正楷体_GBK" w:hAnsi="方正楷体_GBK" w:eastAsia="方正楷体_GBK" w:cs="方正楷体_GBK"/>
        <w:b/>
        <w:bCs/>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01E4"/>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2890"/>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06756"/>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97CF2"/>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7080E"/>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C339C"/>
    <w:rsid w:val="00ED1B63"/>
    <w:rsid w:val="00ED3C1F"/>
    <w:rsid w:val="00ED4085"/>
    <w:rsid w:val="00ED420E"/>
    <w:rsid w:val="00ED6FBE"/>
    <w:rsid w:val="00EE2F57"/>
    <w:rsid w:val="00EF4C34"/>
    <w:rsid w:val="00EF628B"/>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0FF4005"/>
    <w:rsid w:val="015975B8"/>
    <w:rsid w:val="01A23516"/>
    <w:rsid w:val="02317B1B"/>
    <w:rsid w:val="02FEBE30"/>
    <w:rsid w:val="061E35DE"/>
    <w:rsid w:val="066E0107"/>
    <w:rsid w:val="07996F6E"/>
    <w:rsid w:val="07DFD8BA"/>
    <w:rsid w:val="08DB07E4"/>
    <w:rsid w:val="09867E8F"/>
    <w:rsid w:val="0A2032A3"/>
    <w:rsid w:val="0C4C793A"/>
    <w:rsid w:val="0C6C4794"/>
    <w:rsid w:val="0CA8290A"/>
    <w:rsid w:val="0D35B1ED"/>
    <w:rsid w:val="0DE07E2B"/>
    <w:rsid w:val="0F98263C"/>
    <w:rsid w:val="101860EC"/>
    <w:rsid w:val="10C055FF"/>
    <w:rsid w:val="11772AA4"/>
    <w:rsid w:val="118107EC"/>
    <w:rsid w:val="126F0874"/>
    <w:rsid w:val="13957196"/>
    <w:rsid w:val="13D50BC4"/>
    <w:rsid w:val="14022904"/>
    <w:rsid w:val="152F2A07"/>
    <w:rsid w:val="15FB28AF"/>
    <w:rsid w:val="165E0673"/>
    <w:rsid w:val="16BB723D"/>
    <w:rsid w:val="16F13FCB"/>
    <w:rsid w:val="186504BB"/>
    <w:rsid w:val="18F03AF1"/>
    <w:rsid w:val="1938089F"/>
    <w:rsid w:val="19A445FC"/>
    <w:rsid w:val="1B7D550C"/>
    <w:rsid w:val="1BE8440E"/>
    <w:rsid w:val="1D155CEE"/>
    <w:rsid w:val="1DE178F3"/>
    <w:rsid w:val="1E740ACF"/>
    <w:rsid w:val="1FF35744"/>
    <w:rsid w:val="1FF6BC77"/>
    <w:rsid w:val="20332D51"/>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97E4A14"/>
    <w:rsid w:val="3AB79AF3"/>
    <w:rsid w:val="3B15171D"/>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7D7A3C"/>
    <w:rsid w:val="44E268DA"/>
    <w:rsid w:val="453F7E5B"/>
    <w:rsid w:val="46EA5997"/>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D70B7F"/>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9BB533F"/>
    <w:rsid w:val="6A993CED"/>
    <w:rsid w:val="6B053271"/>
    <w:rsid w:val="6B652024"/>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next w:val="1"/>
    <w:unhideWhenUsed/>
    <w:qFormat/>
    <w:uiPriority w:val="99"/>
    <w:pPr>
      <w:ind w:firstLine="420" w:firstLineChars="200"/>
    </w:pPr>
  </w:style>
  <w:style w:type="paragraph" w:styleId="14">
    <w:name w:val="toc 2"/>
    <w:basedOn w:val="1"/>
    <w:next w:val="1"/>
    <w:unhideWhenUsed/>
    <w:qFormat/>
    <w:uiPriority w:val="0"/>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0"/>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正文文本1"/>
    <w:basedOn w:val="1"/>
    <w:qFormat/>
    <w:uiPriority w:val="0"/>
    <w:pPr>
      <w:spacing w:beforeLines="30"/>
    </w:pPr>
    <w:rPr>
      <w:rFonts w:ascii="仿宋_GB2312" w:eastAsia="仿宋_GB2312"/>
      <w:sz w:val="24"/>
    </w:rPr>
  </w:style>
  <w:style w:type="character" w:customStyle="1" w:styleId="36">
    <w:name w:val="正文首行缩进 2 Char"/>
    <w:basedOn w:val="16"/>
    <w:link w:val="37"/>
    <w:qFormat/>
    <w:uiPriority w:val="0"/>
    <w:rPr>
      <w:rFonts w:ascii="仿宋_GB2312"/>
      <w:kern w:val="2"/>
      <w:sz w:val="21"/>
      <w:szCs w:val="32"/>
    </w:rPr>
  </w:style>
  <w:style w:type="paragraph" w:customStyle="1" w:styleId="37">
    <w:name w:val="正文首行缩进 21"/>
    <w:basedOn w:val="1"/>
    <w:next w:val="1"/>
    <w:link w:val="36"/>
    <w:qFormat/>
    <w:uiPriority w:val="0"/>
    <w:pPr>
      <w:spacing w:after="120"/>
      <w:ind w:left="200" w:leftChars="200" w:firstLine="420" w:firstLineChars="200"/>
    </w:pPr>
    <w:rPr>
      <w:rFonts w:ascii="仿宋_GB231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收、支决算总计变动情况图（单位：万元）</a:t>
            </a:r>
            <a:endParaRPr lang="zh-CN" altLang="en-US"/>
          </a:p>
        </c:rich>
      </c:tx>
      <c:layout>
        <c:manualLayout>
          <c:xMode val="edge"/>
          <c:yMode val="edge"/>
          <c:x val="0.188708640335621"/>
          <c:y val="0.0369654531190981"/>
        </c:manualLayout>
      </c:layout>
      <c:overlay val="0"/>
      <c:spPr>
        <a:noFill/>
        <a:ln w="25400">
          <a:noFill/>
        </a:ln>
      </c:spPr>
    </c:title>
    <c:autoTitleDeleted val="0"/>
    <c:plotArea>
      <c:layout>
        <c:manualLayout>
          <c:layoutTarget val="inner"/>
          <c:xMode val="edge"/>
          <c:yMode val="edge"/>
          <c:x val="0.146550356937371"/>
          <c:y val="0.292027683234773"/>
          <c:w val="0.825098584948758"/>
          <c:h val="0.56926915466019"/>
        </c:manualLayout>
      </c:layout>
      <c:barChart>
        <c:barDir val="col"/>
        <c:grouping val="clustered"/>
        <c:varyColors val="0"/>
        <c:ser>
          <c:idx val="0"/>
          <c:order val="0"/>
          <c:tx>
            <c:strRef>
              <c:f>Sheet1!$B$5</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General</c:formatCode>
                <c:ptCount val="2"/>
                <c:pt idx="0">
                  <c:v>1360.53</c:v>
                </c:pt>
                <c:pt idx="1">
                  <c:v>1360.53</c:v>
                </c:pt>
              </c:numCache>
            </c:numRef>
          </c:val>
        </c:ser>
        <c:ser>
          <c:idx val="1"/>
          <c:order val="1"/>
          <c:tx>
            <c:strRef>
              <c:f>Sheet1!$B$6</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1145.85</c:v>
                </c:pt>
                <c:pt idx="1">
                  <c:v>1145.85</c:v>
                </c:pt>
              </c:numCache>
            </c:numRef>
          </c:val>
        </c:ser>
        <c:dLbls>
          <c:showLegendKey val="0"/>
          <c:showVal val="1"/>
          <c:showCatName val="0"/>
          <c:showSerName val="0"/>
          <c:showPercent val="0"/>
          <c:showBubbleSize val="0"/>
        </c:dLbls>
        <c:gapWidth val="150"/>
        <c:axId val="102387712"/>
        <c:axId val="102389248"/>
      </c:barChart>
      <c:catAx>
        <c:axId val="10238771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02389248"/>
        <c:crosses val="autoZero"/>
        <c:auto val="1"/>
        <c:lblAlgn val="ctr"/>
        <c:lblOffset val="100"/>
        <c:tickLblSkip val="1"/>
        <c:noMultiLvlLbl val="0"/>
      </c:catAx>
      <c:valAx>
        <c:axId val="102389248"/>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02387712"/>
        <c:crosses val="autoZero"/>
        <c:crossBetween val="between"/>
      </c:valAx>
      <c:spPr>
        <a:solidFill>
          <a:srgbClr val="C0C0C0"/>
        </a:solidFill>
        <a:ln w="3175">
          <a:solidFill>
            <a:srgbClr val="808080"/>
          </a:solidFill>
          <a:prstDash val="solid"/>
        </a:ln>
      </c:spPr>
    </c:plotArea>
    <c:legend>
      <c:legendPos val="t"/>
      <c:layout>
        <c:manualLayout>
          <c:xMode val="edge"/>
          <c:yMode val="edge"/>
          <c:x val="0.475786821827995"/>
          <c:y val="0.147862199881841"/>
          <c:w val="0.166625768164522"/>
          <c:h val="0.0702346708506456"/>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36bc7f2a-37d7-4441-9eb4-20f5cdce7325}"/>
      </c:ext>
    </c:extLst>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收入决算结构图（单位：万元）</a:t>
            </a:r>
            <a:endParaRPr lang="zh-CN" altLang="en-US"/>
          </a:p>
        </c:rich>
      </c:tx>
      <c:layout>
        <c:manualLayout>
          <c:xMode val="edge"/>
          <c:yMode val="edge"/>
          <c:x val="0.0104011218971849"/>
          <c:y val="0.0595263092113486"/>
        </c:manualLayout>
      </c:layout>
      <c:overlay val="0"/>
      <c:spPr>
        <a:noFill/>
        <a:ln w="25400">
          <a:noFill/>
        </a:ln>
      </c:spPr>
    </c:title>
    <c:autoTitleDeleted val="0"/>
    <c:plotArea>
      <c:layout>
        <c:manualLayout>
          <c:layoutTarget val="inner"/>
          <c:xMode val="edge"/>
          <c:yMode val="edge"/>
          <c:x val="0.468045698446221"/>
          <c:y val="0.21429509141222"/>
          <c:w val="0.353634527714923"/>
          <c:h val="0.674632695186619"/>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2"/>
              <c:layout>
                <c:manualLayout>
                  <c:x val="0.0471240471240471"/>
                  <c:y val="-0.079365079365079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14760914760915"/>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984.91</c:v>
                </c:pt>
                <c:pt idx="1">
                  <c:v>158.94</c:v>
                </c:pt>
                <c:pt idx="2">
                  <c:v>0</c:v>
                </c:pt>
                <c:pt idx="3">
                  <c:v>0</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012481215315861"/>
          <c:y val="0.420653251676874"/>
          <c:w val="0.307869977791238"/>
          <c:h val="0.25794775653043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fc0daa2c-d1df-4d21-8d98-b6ad01ed9104}"/>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支出决算结构图（单位：万元）</a:t>
            </a:r>
            <a:endParaRPr lang="zh-CN" altLang="en-US"/>
          </a:p>
        </c:rich>
      </c:tx>
      <c:layout>
        <c:manualLayout>
          <c:xMode val="edge"/>
          <c:yMode val="edge"/>
          <c:x val="0.304439746300211"/>
          <c:y val="0.0403587443946188"/>
        </c:manualLayout>
      </c:layout>
      <c:overlay val="0"/>
      <c:spPr>
        <a:noFill/>
        <a:ln w="25400">
          <a:noFill/>
        </a:ln>
      </c:spPr>
    </c:title>
    <c:autoTitleDeleted val="0"/>
    <c:plotArea>
      <c:layout>
        <c:manualLayout>
          <c:layoutTarget val="inner"/>
          <c:xMode val="edge"/>
          <c:yMode val="edge"/>
          <c:x val="0.41014799154334"/>
          <c:y val="0.322870662115205"/>
          <c:w val="0.181818181818182"/>
          <c:h val="0.385651068637605"/>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Sheet1!$N$4:$O$4</c:f>
              <c:strCache>
                <c:ptCount val="2"/>
                <c:pt idx="0">
                  <c:v>基本支出</c:v>
                </c:pt>
                <c:pt idx="1">
                  <c:v>项目支出</c:v>
                </c:pt>
              </c:strCache>
            </c:strRef>
          </c:cat>
          <c:val>
            <c:numRef>
              <c:f>Sheet1!$N$5:$O$5</c:f>
              <c:numCache>
                <c:formatCode>General</c:formatCode>
                <c:ptCount val="2"/>
                <c:pt idx="0">
                  <c:v>674.3</c:v>
                </c:pt>
                <c:pt idx="1">
                  <c:v>471.55</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b"/>
      <c:layout>
        <c:manualLayout>
          <c:xMode val="edge"/>
          <c:yMode val="edge"/>
          <c:x val="0.389006342494715"/>
          <c:y val="0.88789425985429"/>
          <c:w val="0.221987315010571"/>
          <c:h val="0.080717488789237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e8fb6be9-3b3d-4d26-a331-b3f5e98c5d05}"/>
      </c:ext>
    </c:extLst>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财政拨款收、支决算总计变动情况（单位：万元）</a:t>
            </a:r>
            <a:endParaRPr lang="zh-CN" altLang="en-US"/>
          </a:p>
        </c:rich>
      </c:tx>
      <c:layout>
        <c:manualLayout>
          <c:xMode val="edge"/>
          <c:yMode val="edge"/>
          <c:x val="0.185352445311066"/>
          <c:y val="0.0401623291064521"/>
        </c:manualLayout>
      </c:layout>
      <c:overlay val="0"/>
      <c:spPr>
        <a:noFill/>
        <a:ln w="25400">
          <a:noFill/>
        </a:ln>
      </c:spPr>
    </c:title>
    <c:autoTitleDeleted val="0"/>
    <c:plotArea>
      <c:layout>
        <c:manualLayout>
          <c:layoutTarget val="inner"/>
          <c:xMode val="edge"/>
          <c:yMode val="edge"/>
          <c:x val="0.122937884830234"/>
          <c:y val="0.313266885139169"/>
          <c:w val="0.851108433440085"/>
          <c:h val="0.534160201583454"/>
        </c:manualLayout>
      </c:layout>
      <c:barChart>
        <c:barDir val="col"/>
        <c:grouping val="clustered"/>
        <c:varyColors val="0"/>
        <c:ser>
          <c:idx val="0"/>
          <c:order val="0"/>
          <c:tx>
            <c:strRef>
              <c:f>Sheet1!$B$28</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General</c:formatCode>
                <c:ptCount val="2"/>
                <c:pt idx="0">
                  <c:v>1360.53</c:v>
                </c:pt>
                <c:pt idx="1">
                  <c:v>1360.53</c:v>
                </c:pt>
              </c:numCache>
            </c:numRef>
          </c:val>
        </c:ser>
        <c:ser>
          <c:idx val="1"/>
          <c:order val="1"/>
          <c:tx>
            <c:strRef>
              <c:f>Sheet1!$B$29</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1145.85</c:v>
                </c:pt>
                <c:pt idx="1">
                  <c:v>1145.85</c:v>
                </c:pt>
              </c:numCache>
            </c:numRef>
          </c:val>
        </c:ser>
        <c:dLbls>
          <c:showLegendKey val="0"/>
          <c:showVal val="1"/>
          <c:showCatName val="0"/>
          <c:showSerName val="0"/>
          <c:showPercent val="0"/>
          <c:showBubbleSize val="0"/>
        </c:dLbls>
        <c:gapWidth val="150"/>
        <c:axId val="130046208"/>
        <c:axId val="131270528"/>
      </c:barChart>
      <c:catAx>
        <c:axId val="130046208"/>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1270528"/>
        <c:crosses val="autoZero"/>
        <c:auto val="1"/>
        <c:lblAlgn val="ctr"/>
        <c:lblOffset val="100"/>
        <c:tickLblSkip val="1"/>
        <c:noMultiLvlLbl val="0"/>
      </c:catAx>
      <c:valAx>
        <c:axId val="131270528"/>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0046208"/>
        <c:crosses val="autoZero"/>
        <c:crossBetween val="between"/>
      </c:valAx>
      <c:spPr>
        <a:solidFill>
          <a:srgbClr val="C0C0C0"/>
        </a:solidFill>
        <a:ln w="3175">
          <a:solidFill>
            <a:srgbClr val="808080"/>
          </a:solidFill>
          <a:prstDash val="solid"/>
        </a:ln>
      </c:spPr>
    </c:plotArea>
    <c:legend>
      <c:legendPos val="t"/>
      <c:layout>
        <c:manualLayout>
          <c:xMode val="edge"/>
          <c:yMode val="edge"/>
          <c:x val="0.476620772119931"/>
          <c:y val="0.15663325216878"/>
          <c:w val="0.141851361207448"/>
          <c:h val="0.076308593955876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b5bb7327-4185-4e37-bb5c-3454cd7773e3}"/>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7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一般公共预算财政拨款支出决算变动情况（单位：万元）</a:t>
            </a:r>
            <a:endParaRPr lang="zh-CN" altLang="en-US"/>
          </a:p>
        </c:rich>
      </c:tx>
      <c:layout>
        <c:manualLayout>
          <c:xMode val="edge"/>
          <c:yMode val="edge"/>
          <c:x val="0.186001987846757"/>
          <c:y val="0.0403242739818813"/>
        </c:manualLayout>
      </c:layout>
      <c:overlay val="0"/>
      <c:spPr>
        <a:noFill/>
        <a:ln w="25400">
          <a:noFill/>
        </a:ln>
      </c:spPr>
    </c:title>
    <c:autoTitleDeleted val="0"/>
    <c:plotArea>
      <c:layout>
        <c:manualLayout>
          <c:layoutTarget val="inner"/>
          <c:xMode val="edge"/>
          <c:yMode val="edge"/>
          <c:x val="0.14744055730286"/>
          <c:y val="0.209686742820708"/>
          <c:w val="0.821130488363619"/>
          <c:h val="0.544379043861453"/>
        </c:manualLayout>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General</c:formatCode>
                <c:ptCount val="2"/>
                <c:pt idx="0">
                  <c:v>1360.53</c:v>
                </c:pt>
                <c:pt idx="1">
                  <c:v>986.91</c:v>
                </c:pt>
              </c:numCache>
            </c:numRef>
          </c:val>
        </c:ser>
        <c:dLbls>
          <c:showLegendKey val="0"/>
          <c:showVal val="1"/>
          <c:showCatName val="0"/>
          <c:showSerName val="0"/>
          <c:showPercent val="0"/>
          <c:showBubbleSize val="0"/>
        </c:dLbls>
        <c:gapWidth val="150"/>
        <c:axId val="134088960"/>
        <c:axId val="123940864"/>
      </c:barChart>
      <c:catAx>
        <c:axId val="134088960"/>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23940864"/>
        <c:crosses val="autoZero"/>
        <c:auto val="1"/>
        <c:lblAlgn val="ctr"/>
        <c:lblOffset val="100"/>
        <c:tickLblSkip val="1"/>
        <c:noMultiLvlLbl val="0"/>
      </c:catAx>
      <c:valAx>
        <c:axId val="123940864"/>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4088960"/>
        <c:crosses val="autoZero"/>
        <c:crossBetween val="between"/>
      </c:valAx>
      <c:spPr>
        <a:solidFill>
          <a:srgbClr val="C0C0C0"/>
        </a:solidFill>
        <a:ln w="3175">
          <a:solidFill>
            <a:srgbClr val="808080"/>
          </a:solidFill>
          <a:prstDash val="solid"/>
        </a:ln>
      </c:spPr>
    </c:plotArea>
    <c:legend>
      <c:legendPos val="b"/>
      <c:layout>
        <c:manualLayout>
          <c:xMode val="edge"/>
          <c:yMode val="edge"/>
          <c:x val="0.331174079430548"/>
          <c:y val="0.895201083735501"/>
          <c:w val="0.453663292088489"/>
          <c:h val="0.0766162898992466"/>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976481f-c496-4451-b881-af8f5f620ac4}"/>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一般公共预算财政拨款支出决算情况（单位：万元）</a:t>
            </a:r>
            <a:endParaRPr lang="zh-CN"/>
          </a:p>
        </c:rich>
      </c:tx>
      <c:layout>
        <c:manualLayout>
          <c:xMode val="edge"/>
          <c:yMode val="edge"/>
          <c:x val="0.0638977635782748"/>
          <c:y val="0.0427598493193532"/>
        </c:manualLayout>
      </c:layout>
      <c:overlay val="0"/>
    </c:title>
    <c:autoTitleDeleted val="0"/>
    <c:plotArea>
      <c:layout>
        <c:manualLayout>
          <c:layoutTarget val="inner"/>
          <c:xMode val="edge"/>
          <c:yMode val="edge"/>
          <c:x val="0.246006389776358"/>
          <c:y val="0.297376516627922"/>
          <c:w val="0.271565495207668"/>
          <c:h val="0.495627527713204"/>
        </c:manualLayout>
      </c:layout>
      <c:pieChart>
        <c:varyColors val="1"/>
        <c:ser>
          <c:idx val="0"/>
          <c:order val="0"/>
          <c:explosion val="0"/>
          <c:dPt>
            <c:idx val="0"/>
            <c:bubble3D val="0"/>
          </c:dPt>
          <c:dPt>
            <c:idx val="1"/>
            <c:bubble3D val="0"/>
          </c:dPt>
          <c:dPt>
            <c:idx val="2"/>
            <c:bubble3D val="0"/>
          </c:dPt>
          <c:dPt>
            <c:idx val="3"/>
            <c:bubble3D val="0"/>
          </c:dPt>
          <c:dLbls>
            <c:dLbl>
              <c:idx val="0"/>
              <c:layout>
                <c:manualLayout>
                  <c:x val="-0.0319488817891374"/>
                  <c:y val="-0.0077745383867832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243930025447638"/>
                  <c:y val="0.013496358034448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0851970181043664"/>
                  <c:y val="-0.0544220962017054"/>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15394438383355"/>
                  <c:y val="-0.00943076819574342"/>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Sheet1!$M$26:$P$26</c:f>
              <c:strCache>
                <c:ptCount val="4"/>
                <c:pt idx="0">
                  <c:v>一般公共服务支出</c:v>
                </c:pt>
                <c:pt idx="1">
                  <c:v>社会保障和就业支出</c:v>
                </c:pt>
                <c:pt idx="2">
                  <c:v>卫生健康支出</c:v>
                </c:pt>
                <c:pt idx="3">
                  <c:v>住房保障支出</c:v>
                </c:pt>
              </c:strCache>
            </c:strRef>
          </c:cat>
          <c:val>
            <c:numRef>
              <c:f>Sheet1!$M$27:$P$27</c:f>
              <c:numCache>
                <c:formatCode>General</c:formatCode>
                <c:ptCount val="4"/>
                <c:pt idx="0">
                  <c:v>917.59</c:v>
                </c:pt>
                <c:pt idx="1">
                  <c:v>42.02</c:v>
                </c:pt>
                <c:pt idx="2">
                  <c:v>11.59</c:v>
                </c:pt>
                <c:pt idx="3">
                  <c:v>15.71</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70447284345048"/>
          <c:y val="0.170068404661853"/>
          <c:w val="0.227868984428065"/>
          <c:h val="0.81372853004773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c85cc080-fb68-40e0-b54f-2a69836e4186}"/>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“三公”经费财政拨款支出结构（单位：万元）</a:t>
            </a:r>
            <a:endParaRPr lang="zh-CN" altLang="en-US"/>
          </a:p>
        </c:rich>
      </c:tx>
      <c:layout>
        <c:manualLayout>
          <c:xMode val="edge"/>
          <c:yMode val="edge"/>
          <c:x val="0.0107529139502723"/>
          <c:y val="0.035140673205323"/>
        </c:manualLayout>
      </c:layout>
      <c:overlay val="0"/>
      <c:spPr>
        <a:noFill/>
        <a:ln w="25400">
          <a:noFill/>
        </a:ln>
      </c:spPr>
    </c:title>
    <c:autoTitleDeleted val="0"/>
    <c:plotArea>
      <c:layout>
        <c:manualLayout>
          <c:layoutTarget val="inner"/>
          <c:xMode val="edge"/>
          <c:yMode val="edge"/>
          <c:x val="0.324738883659333"/>
          <c:y val="0.320659747822334"/>
          <c:w val="0.253769458753651"/>
          <c:h val="0.518326715658019"/>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1"/>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2"/>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0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237.56</c:v>
                </c:pt>
                <c:pt idx="2">
                  <c:v>0</c:v>
                </c:pt>
              </c:numCache>
            </c:numRef>
          </c:val>
        </c:ser>
        <c:dLbls>
          <c:showLegendKey val="1"/>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662381395873903"/>
          <c:y val="0.377763503246305"/>
          <c:w val="0.329040160302543"/>
          <c:h val="0.36019293640926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4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bd43d768-9a3b-4173-8694-7f3ae5fac167}"/>
      </c:ext>
    </c:extLst>
  </c:chart>
  <c:spPr>
    <a:solidFill>
      <a:srgbClr val="FFFFFF"/>
    </a:solidFill>
    <a:ln w="3175" cap="flat" cmpd="sng" algn="ctr">
      <a:solidFill>
        <a:srgbClr val="000000"/>
      </a:solidFill>
      <a:prstDash val="solid"/>
      <a:round/>
    </a:ln>
  </c:spPr>
  <c:txPr>
    <a:bodyPr/>
    <a:lstStyle/>
    <a:p>
      <a:pPr>
        <a:defRPr lang="zh-CN" sz="700"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1" textRotate="1"/>
  </customShpExts>
</s:customData>
</file>

<file path=customXml/item2.xml><?xml version="1.0" encoding="utf-8"?>
<contractReview xmlns="http://schemas.wps.cn/vas-ai-hub/contract-review">
  <reviewItems>
    <reviewItem>
      <errorID>e068593c-0411-4cb6-8817-160d9fa6fc3d</errorID>
      <errorWord>………</errorWord>
      <group>L1_Punc</group>
      <groupName>标点问题</groupName>
      <ability>L2_Punc_CN</ability>
      <abilityName>标点符号问题</abilityName>
      <candidateList>
        <item>……</item>
      </candidateList>
      <explain/>
      <paraID>1BEFA40D</paraID>
      <start>20</start>
      <end>23</end>
      <status>unmodified</status>
      <modifiedWord/>
      <trackRevisions>false</trackRevisions>
    </reviewItem>
    <reviewItem>
      <errorID>d1eee63d-71eb-4f5e-9ff3-e565fb451213</errorID>
      <errorWord>…………</errorWord>
      <group>L1_Punc</group>
      <groupName>标点问题</groupName>
      <ability>L2_Punc_CN</ability>
      <abilityName>标点符号问题</abilityName>
      <candidateList>
        <item>……</item>
      </candidateList>
      <explain/>
      <paraID>2F9E94BA</paraID>
      <start>19</start>
      <end>23</end>
      <status>unmodified</status>
      <modifiedWord/>
      <trackRevisions>false</trackRevisions>
    </reviewItem>
    <reviewItem>
      <errorID>ccce25fe-b1e9-4d5c-8854-7856f3b11fad</errorID>
      <errorWord>…………</errorWord>
      <group>L1_Punc</group>
      <groupName>标点问题</groupName>
      <ability>L2_Punc_CN</ability>
      <abilityName>标点符号问题</abilityName>
      <candidateList>
        <item>……</item>
      </candidateList>
      <explain/>
      <paraID>67DD6B21</paraID>
      <start>19</start>
      <end>23</end>
      <status>unmodified</status>
      <modifiedWord/>
      <trackRevisions>false</trackRevisions>
    </reviewItem>
    <reviewItem>
      <errorID>64ba7d3b-7cc7-4b06-9f6f-d03a09123d61</errorID>
      <errorWord>………</errorWord>
      <group>L1_Punc</group>
      <groupName>标点问题</groupName>
      <ability>L2_Punc_CN</ability>
      <abilityName>标点符号问题</abilityName>
      <candidateList>
        <item>……</item>
      </candidateList>
      <explain/>
      <paraID>196615B7</paraID>
      <start>20</start>
      <end>23</end>
      <status>unmodified</status>
      <modifiedWord/>
      <trackRevisions>false</trackRevisions>
    </reviewItem>
    <reviewItem>
      <errorID>32c828f3-b4d4-4d49-99be-595d758ac0e7</errorID>
      <errorWord>………</errorWord>
      <group>L1_Punc</group>
      <groupName>标点问题</groupName>
      <ability>L2_Punc_CN</ability>
      <abilityName>标点符号问题</abilityName>
      <candidateList>
        <item>……</item>
      </candidateList>
      <explain/>
      <paraID>7E3512FF</paraID>
      <start>20</start>
      <end>23</end>
      <status>unmodified</status>
      <modifiedWord/>
      <trackRevisions>false</trackRevisions>
    </reviewItem>
    <reviewItem>
      <errorID>ba4197c6-e286-4494-8c32-1a600a4c1971</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 5235460</paraID>
      <start>4</start>
      <end>10</end>
      <status>modified</status>
      <modifiedWord>区委、区政府</modifiedWord>
      <trackRevisions>false</trackRevisions>
    </reviewItem>
    <reviewItem>
      <errorID>c29229c6-bf82-4a3d-883e-3a5e667d931c</errorID>
      <errorWord>:</errorWord>
      <group>L1_Format</group>
      <groupName>格式问题</groupName>
      <ability>L2_HalfPunc_CN</ability>
      <abilityName>全半角问题</abilityName>
      <candidateList>
        <item>：</item>
      </candidateList>
      <explain>文本全半角错误。</explain>
      <paraID>15F57379</paraID>
      <start>36</start>
      <end>37</end>
      <status>modified</status>
      <modifiedWord>：</modifiedWord>
      <trackRevisions>false</trackRevisions>
    </reviewItem>
    <reviewItem>
      <errorID>ecf8cde2-3401-4f9f-8d05-c24fd04adec8</errorID>
      <errorWord>:</errorWord>
      <group>L1_Format</group>
      <groupName>格式问题</groupName>
      <ability>L2_HalfPunc_CN</ability>
      <abilityName>全半角问题</abilityName>
      <candidateList>
        <item>：</item>
      </candidateList>
      <explain>文本全半角错误。</explain>
      <paraID>5E3CF78B</paraID>
      <start>52</start>
      <end>53</end>
      <status>modified</status>
      <modifiedWord>：</modifiedWord>
      <trackRevisions>false</trackRevisions>
    </reviewItem>
    <reviewItem>
      <errorID>2999a02a-b5c0-4212-b061-cc268331384f</errorID>
      <errorWord>:</errorWord>
      <group>L1_Format</group>
      <groupName>格式问题</groupName>
      <ability>L2_HalfPunc_CN</ability>
      <abilityName>全半角问题</abilityName>
      <candidateList>
        <item>：</item>
      </candidateList>
      <explain>文本全半角错误。</explain>
      <paraID>4E91D6B5</paraID>
      <start>37</start>
      <end>38</end>
      <status>modified</status>
      <modifiedWord>：</modifiedWord>
      <trackRevisions>false</trackRevisions>
    </reviewItem>
    <reviewItem>
      <errorID>ada85714-9de2-48ba-a4e6-f380de5401bb</errorID>
      <errorWord>:</errorWord>
      <group>L1_Format</group>
      <groupName>格式问题</groupName>
      <ability>L2_HalfPunc_CN</ability>
      <abilityName>全半角问题</abilityName>
      <candidateList>
        <item>：</item>
      </candidateList>
      <explain>文本全半角错误。</explain>
      <paraID> E2C7DCD</paraID>
      <start>38</start>
      <end>39</end>
      <status>modified</status>
      <modifiedWord>：</modifiedWord>
      <trackRevisions>false</trackRevisions>
    </reviewItem>
    <reviewItem>
      <errorID>58632897-c9d8-4b75-86a1-1fdb695b7b98</errorID>
      <errorWord>:</errorWord>
      <group>L1_Format</group>
      <groupName>格式问题</groupName>
      <ability>L2_HalfPunc_CN</ability>
      <abilityName>全半角问题</abilityName>
      <candidateList>
        <item>：</item>
      </candidateList>
      <explain>文本全半角错误。</explain>
      <paraID> FCA7E4A</paraID>
      <start>47</start>
      <end>48</end>
      <status>modified</status>
      <modifiedWord>：</modifiedWord>
      <trackRevisions>false</trackRevisions>
    </reviewItem>
    <reviewItem>
      <errorID>642d99a6-f0f4-4219-b8f6-5734d514dfc2</errorID>
      <errorWord>:</errorWord>
      <group>L1_Format</group>
      <groupName>格式问题</groupName>
      <ability>L2_HalfPunc_CN</ability>
      <abilityName>全半角问题</abilityName>
      <candidateList>
        <item>：</item>
      </candidateList>
      <explain>文本全半角错误。</explain>
      <paraID>218D8F10</paraID>
      <start>45</start>
      <end>46</end>
      <status>modified</status>
      <modifiedWord>：</modifiedWord>
      <trackRevisions>false</trackRevisions>
    </reviewItem>
    <reviewItem>
      <errorID>083e6ffd-d976-4f52-a933-b309123d33d6</errorID>
      <errorWord>例行节约</errorWord>
      <group>L1_Knowledge</group>
      <groupName>知识性问题</groupName>
      <ability>L2_Idiom</ability>
      <abilityName>成语和诗歌</abilityName>
      <candidateList>
        <item>厉行节约</item>
      </candidateList>
      <explain/>
      <paraID>5EDF1BA7</paraID>
      <start>67</start>
      <end>71</end>
      <status>modified</status>
      <modifiedWord>厉行节约</modifiedWord>
      <trackRevisions>false</trackRevisions>
    </reviewItem>
    <reviewItem>
      <errorID>f10f2524-c1b2-457e-91e1-f4baab361698</errorID>
      <errorWord>主要是</errorWord>
      <group>L1_Word</group>
      <groupName>字词问题</groupName>
      <ability>L2_Typo</ability>
      <abilityName>字词错误</abilityName>
      <candidateList>
        <item>主要</item>
      </candidateList>
      <explain/>
      <paraID> 40FC925</paraID>
      <start>129</start>
      <end>131</end>
      <status>modified</status>
      <modifiedWord>主要</modifiedWord>
      <trackRevisions>false</trackRevisions>
    </reviewItem>
    <reviewItem>
      <errorID>c479aee8-0eb4-4857-9ed1-a94ea3b00532</errorID>
      <errorWord>，</errorWord>
      <group>L1_Word</group>
      <groupName>字词问题</groupName>
      <ability>L2_Typo</ability>
      <abilityName>字词错误</abilityName>
      <candidateList>
        <item>，在</item>
      </candidateList>
      <explain/>
      <paraID>4025A2D3</paraID>
      <start>85</start>
      <end>87</end>
      <status>modified</status>
      <modifiedWord>，在</modifiedWord>
      <trackRevisions>false</trackRevisions>
    </reviewItem>
    <reviewItem>
      <errorID>f71c71c4-e392-464f-98c6-195c5bd7b82c</errorID>
      <errorWord>:</errorWord>
      <group>L1_Format</group>
      <groupName>格式问题</groupName>
      <ability>L2_HalfPunc_CN</ability>
      <abilityName>全半角问题</abilityName>
      <candidateList>
        <item>：</item>
      </candidateList>
      <explain>文本全半角错误。</explain>
      <paraID>14FEC0A4</paraID>
      <start>37</start>
      <end>38</end>
      <status>modified</status>
      <modifiedWord>：</modifiedWord>
      <trackRevisions>false</trackRevisions>
    </reviewItem>
    <reviewItem>
      <errorID>ebac1b45-65cd-4a8a-abe1-188750d6cc12</errorID>
      <errorWord>:</errorWord>
      <group>L1_Format</group>
      <groupName>格式问题</groupName>
      <ability>L2_HalfPunc_CN</ability>
      <abilityName>全半角问题</abilityName>
      <candidateList>
        <item>：</item>
      </candidateList>
      <explain>文本全半角错误。</explain>
      <paraID>186FD336</paraID>
      <start>53</start>
      <end>54</end>
      <status>modified</status>
      <modifiedWord>：</modifiedWord>
      <trackRevisions>false</trackRevisions>
    </reviewItem>
    <reviewItem>
      <errorID>d0e9d4bf-637c-4fc5-8670-51595a22f43e</errorID>
      <errorWord>:</errorWord>
      <group>L1_Format</group>
      <groupName>格式问题</groupName>
      <ability>L2_HalfPunc_CN</ability>
      <abilityName>全半角问题</abilityName>
      <candidateList>
        <item>：</item>
      </candidateList>
      <explain>文本全半角错误。</explain>
      <paraID>7F5F3FAE</paraID>
      <start>38</start>
      <end>39</end>
      <status>modified</status>
      <modifiedWord>：</modifiedWord>
      <trackRevisions>false</trackRevisions>
    </reviewItem>
    <reviewItem>
      <errorID>e451a122-cb99-4f6d-b379-c819a13de47d</errorID>
      <errorWord>:</errorWord>
      <group>L1_Format</group>
      <groupName>格式问题</groupName>
      <ability>L2_HalfPunc_CN</ability>
      <abilityName>全半角问题</abilityName>
      <candidateList>
        <item>：</item>
      </candidateList>
      <explain>文本全半角错误。</explain>
      <paraID>68E55059</paraID>
      <start>39</start>
      <end>40</end>
      <status>modified</status>
      <modifiedWord>：</modifiedWord>
      <trackRevisions>false</trackRevisions>
    </reviewItem>
    <reviewItem>
      <errorID>1745f1a7-049a-4f5c-8276-5d94a88b04cb</errorID>
      <errorWord>:</errorWord>
      <group>L1_Format</group>
      <groupName>格式问题</groupName>
      <ability>L2_HalfPunc_CN</ability>
      <abilityName>全半角问题</abilityName>
      <candidateList>
        <item>：</item>
      </candidateList>
      <explain>文本全半角错误。</explain>
      <paraID>1E977F1F</paraID>
      <start>48</start>
      <end>49</end>
      <status>modified</status>
      <modifiedWord>：</modifiedWord>
      <trackRevisions>false</trackRevisions>
    </reviewItem>
    <reviewItem>
      <errorID>16cb35f8-ccc3-4273-a383-5dfa2a0aae34</errorID>
      <errorWord>:</errorWord>
      <group>L1_Format</group>
      <groupName>格式问题</groupName>
      <ability>L2_HalfPunc_CN</ability>
      <abilityName>全半角问题</abilityName>
      <candidateList>
        <item>：</item>
      </candidateList>
      <explain>文本全半角错误。</explain>
      <paraID>2C5887B5</paraID>
      <start>46</start>
      <end>47</end>
      <status>modified</status>
      <modifiedWord>：</modifiedWord>
      <trackRevisions>false</trackRevisions>
    </reviewItem>
    <reviewItem>
      <errorID>f71bb5dc-017f-4f92-947d-5fe75f61cb54</errorID>
      <errorWord>:</errorWord>
      <group>L1_Format</group>
      <groupName>格式问题</groupName>
      <ability>L2_HalfPunc_CN</ability>
      <abilityName>全半角问题</abilityName>
      <candidateList>
        <item>：</item>
      </candidateList>
      <explain>文本全半角错误。</explain>
      <paraID>4DBEDF7E</paraID>
      <start>30</start>
      <end>31</end>
      <status>modified</status>
      <modifiedWord>：</modifiedWord>
      <trackRevisions>false</trackRevisions>
    </reviewItem>
    <reviewItem>
      <errorID>9d728f01-bc0e-464d-bb16-7578f45a344a</errorID>
      <errorWord>:</errorWord>
      <group>L1_Format</group>
      <groupName>格式问题</groupName>
      <ability>L2_HalfPunc_CN</ability>
      <abilityName>全半角问题</abilityName>
      <candidateList>
        <item>：</item>
      </candidateList>
      <explain>文本全半角错误。</explain>
      <paraID>541BAAFD</paraID>
      <start>31</start>
      <end>32</end>
      <status>modified</status>
      <modifiedWord>：</modifiedWord>
      <trackRevisions>false</trackRevisions>
    </reviewItem>
    <reviewItem>
      <errorID>dbc5bf21-e611-40ed-8b16-bfaf795d0c00</errorID>
      <errorWord>:</errorWord>
      <group>L1_Format</group>
      <groupName>格式问题</groupName>
      <ability>L2_HalfPunc_CN</ability>
      <abilityName>全半角问题</abilityName>
      <candidateList>
        <item>：</item>
      </candidateList>
      <explain>文本全半角错误。</explain>
      <paraID>6E2A428A</paraID>
      <start>30</start>
      <end>31</end>
      <status>modified</status>
      <modifiedWord>：</modifiedWord>
      <trackRevisions>false</trackRevisions>
    </reviewItem>
    <reviewItem>
      <errorID>3e2200f8-26b7-416f-8d87-1674430a78b9</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 FC078A4</paraID>
      <start>4</start>
      <end>10</end>
      <status>modified</status>
      <modifiedWord>区委、区政府</modifiedWord>
      <trackRevisions>false</trackRevisions>
    </reviewItem>
    <reviewItem>
      <errorID>e829321b-1134-41a9-a1f4-d6cb18f9dfbb</errorID>
      <errorWord>企业入住</errorWord>
      <group>L1_Word</group>
      <groupName>字词问题</groupName>
      <ability>L2_Typo</ability>
      <abilityName>字词错误</abilityName>
      <candidateList>
        <item>企业入驻</item>
      </candidateList>
      <explain/>
      <paraID>5BCD266E</paraID>
      <start>107</start>
      <end>111</end>
      <status>modified</status>
      <modifiedWord>企业入驻</modifiedWord>
      <trackRevisions>false</trackRevisions>
    </reviewItem>
    <reviewItem>
      <errorID>ffecd98f-141b-4d1d-ab4e-831e2fc5f8b6</errorID>
      <errorWord>；</errorWord>
      <group>L1_Word</group>
      <groupName>字词问题</groupName>
      <ability>L2_Typo</ability>
      <abilityName>字词错误</abilityName>
      <candidateList>
        <item>；将</item>
      </candidateList>
      <explain/>
      <paraID>3E7C9F7F</paraID>
      <start>103</start>
      <end>105</end>
      <status>modified</status>
      <modifiedWord>；将</modifiedWord>
      <trackRevisions>false</trackRevisions>
    </reviewItem>
    <reviewItem>
      <errorID>85d4d8ac-9a54-4860-860e-6fe993edf0fe</errorID>
      <errorWord>确</errorWord>
      <group>L1_Word</group>
      <groupName>字词问题</groupName>
      <ability>L2_Typo</ability>
      <abilityName>字词错误</abilityName>
      <candidateList>
        <item>确了</item>
      </candidateList>
      <explain/>
      <paraID>40063B5E</paraID>
      <start>46</start>
      <end>48</end>
      <status>modified</status>
      <modifiedWord>确了</modifiedWord>
      <trackRevisions>false</trackRevisions>
    </reviewItem>
    <reviewItem>
      <errorID>a52e3629-4e6d-4b36-97c3-3c5a60e9f9e5</errorID>
      <errorWord>建立对</errorWord>
      <group>L1_Word</group>
      <groupName>字词问题</groupName>
      <ability>L2_Typo</ability>
      <abilityName>字词错误</abilityName>
      <candidateList>
        <item>建立</item>
      </candidateList>
      <explain/>
      <paraID>59FBCCD2</paraID>
      <start>28</start>
      <end>30</end>
      <status>modified</status>
      <modifiedWord>建立</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9f1a00-1368-41e6-a64c-dd8e625efbd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33</Words>
  <Characters>36</Characters>
  <Lines>61</Lines>
  <Paragraphs>17</Paragraphs>
  <TotalTime>13</TotalTime>
  <ScaleCrop>false</ScaleCrop>
  <LinksUpToDate>false</LinksUpToDate>
  <CharactersWithSpaces>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王雨函</cp:lastModifiedBy>
  <cp:lastPrinted>2026-08-03T09:27:00Z</cp:lastPrinted>
  <dcterms:modified xsi:type="dcterms:W3CDTF">2026-09-16T03:28:44Z</dcterms:modified>
  <dc:title>四川省***</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eyJoZGlkIjoiMWU5MjFmNDBjNzRlNmM5ZjVjMzZmNjJjZWE1OTBjNmIiLCJ1c2VySWQiOiIxNjQ5Nzg2MjA4In0=</vt:lpwstr>
  </property>
</Properties>
</file>