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98A2A0">
      <w:pPr>
        <w:rPr>
          <w:rFonts w:ascii="Times New Roman" w:hAnsi="Times New Roman"/>
        </w:rPr>
      </w:pPr>
      <w:bookmarkStart w:id="0" w:name="_Toc15377425"/>
      <w:bookmarkStart w:id="1" w:name="_Toc15378441"/>
      <w:bookmarkStart w:id="2" w:name="_Toc15396597"/>
      <w:bookmarkStart w:id="3" w:name="_Toc15377193"/>
      <w:bookmarkStart w:id="4" w:name="_Toc15396475"/>
      <w:bookmarkStart w:id="5" w:name="_Toc15306267"/>
    </w:p>
    <w:p w14:paraId="35D22418">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65738A1D">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5E0D905E">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29856812">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3DCD3B6E">
      <w:pPr>
        <w:pStyle w:val="5"/>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96598"/>
      <w:bookmarkStart w:id="8" w:name="_Toc15396476"/>
      <w:bookmarkStart w:id="9" w:name="_Toc15378442"/>
      <w:bookmarkStart w:id="10" w:name="_Toc15377426"/>
      <w:r>
        <w:rPr>
          <w:rFonts w:hint="eastAsia" w:ascii="Times New Roman" w:eastAsia="方正小标宋简体" w:cs="Times New Roman"/>
          <w:color w:val="auto"/>
          <w:kern w:val="2"/>
          <w:sz w:val="44"/>
          <w:szCs w:val="44"/>
          <w:highlight w:val="none"/>
          <w:lang w:val="en-US" w:eastAsia="zh-CN" w:bidi="ar-SA"/>
        </w:rPr>
        <w:t>2025年度仁和区</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应急管理局</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5AA77F22">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062BDD5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406075A">
      <w:pPr>
        <w:widowControl/>
        <w:jc w:val="center"/>
        <w:rPr>
          <w:rFonts w:ascii="Times New Roman" w:hAnsi="Times New Roman" w:eastAsia="黑体" w:cstheme="minorBidi"/>
          <w:color w:val="auto"/>
          <w:sz w:val="28"/>
          <w:szCs w:val="28"/>
          <w:highlight w:val="none"/>
        </w:rPr>
      </w:pPr>
    </w:p>
    <w:p w14:paraId="1E79ADDA">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11</w:t>
      </w:r>
      <w:r>
        <w:rPr>
          <w:rFonts w:hint="eastAsia" w:ascii="Times New Roman" w:hAnsi="Times New Roman" w:eastAsia="仿宋_GB2312" w:cs="仿宋_GB2312"/>
          <w:color w:val="auto"/>
          <w:sz w:val="32"/>
          <w:szCs w:val="32"/>
          <w:highlight w:val="none"/>
        </w:rPr>
        <w:t>日</w:t>
      </w:r>
    </w:p>
    <w:p w14:paraId="37F53056">
      <w:pPr>
        <w:rPr>
          <w:rFonts w:ascii="Times New Roman" w:hAnsi="Times New Roman"/>
          <w:color w:val="auto"/>
          <w:highlight w:val="none"/>
        </w:rPr>
      </w:pPr>
      <w:bookmarkStart w:id="72" w:name="_GoBack"/>
      <w:bookmarkEnd w:id="72"/>
    </w:p>
    <w:sdt>
      <w:sdtPr>
        <w:rPr>
          <w:rFonts w:hint="default" w:ascii="Times New Roman" w:hAnsi="Times New Roman" w:eastAsia="宋体" w:cs="Times New Roman"/>
          <w:kern w:val="2"/>
          <w:sz w:val="21"/>
          <w:szCs w:val="24"/>
          <w:lang w:val="en-US" w:eastAsia="zh-CN" w:bidi="ar-SA"/>
        </w:rPr>
        <w:id w:val="70716091"/>
        <w15:color w:val="DBDBDB"/>
        <w:docPartObj>
          <w:docPartGallery w:val="Table of Contents"/>
          <w:docPartUnique/>
        </w:docPartObj>
      </w:sdtPr>
      <w:sdtEndPr>
        <w:rPr>
          <w:rFonts w:hint="default" w:ascii="Times New Roman" w:hAnsi="Times New Roman" w:eastAsia="方正小标宋简体" w:cs="Times New Roman"/>
          <w:b/>
          <w:bCs/>
          <w:color w:val="auto"/>
          <w:kern w:val="44"/>
          <w:sz w:val="44"/>
          <w:szCs w:val="44"/>
          <w:highlight w:val="none"/>
          <w:lang w:val="en-US" w:eastAsia="zh-CN" w:bidi="ar-SA"/>
        </w:rPr>
      </w:sdtEndPr>
      <w:sdtContent>
        <w:p w14:paraId="40D2AC5F">
          <w:pPr>
            <w:spacing w:before="0" w:beforeLines="0" w:after="0" w:afterLines="0" w:line="240" w:lineRule="auto"/>
            <w:ind w:left="0" w:leftChars="0" w:right="0" w:rightChars="0" w:firstLine="0" w:firstLineChars="0"/>
            <w:jc w:val="center"/>
            <w:rPr>
              <w:rFonts w:hint="default" w:ascii="Times New Roman" w:hAnsi="Times New Roman" w:eastAsia="仿宋_GB2312" w:cs="Times New Roman"/>
              <w:sz w:val="32"/>
              <w:szCs w:val="32"/>
              <w:lang w:val="en-US" w:eastAsia="zh-CN"/>
            </w:rPr>
          </w:pPr>
          <w:bookmarkStart w:id="12" w:name="_Toc15396599"/>
          <w:bookmarkStart w:id="13" w:name="_Toc15377196"/>
        </w:p>
        <w:p w14:paraId="34173994">
          <w:pPr>
            <w:spacing w:before="0" w:beforeLines="0" w:after="0" w:afterLines="0" w:line="240" w:lineRule="auto"/>
            <w:ind w:left="0" w:leftChars="0" w:right="0" w:rightChars="0" w:firstLine="0" w:firstLineChars="0"/>
            <w:jc w:val="center"/>
            <w:rPr>
              <w:rFonts w:hint="default" w:ascii="Times New Roman" w:hAnsi="Times New Roman" w:eastAsia="仿宋_GB2312" w:cs="Times New Roman"/>
              <w:sz w:val="32"/>
              <w:szCs w:val="32"/>
              <w:lang w:val="en-US" w:eastAsia="zh-CN"/>
            </w:rPr>
          </w:pPr>
        </w:p>
        <w:p w14:paraId="5180C785">
          <w:pPr>
            <w:pStyle w:val="12"/>
            <w:tabs>
              <w:tab w:val="right" w:leader="dot" w:pos="8845"/>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b w:val="0"/>
              <w:color w:val="auto"/>
              <w:sz w:val="32"/>
              <w:szCs w:val="32"/>
              <w:highlight w:val="none"/>
            </w:rPr>
            <w:fldChar w:fldCharType="begin"/>
          </w:r>
          <w:r>
            <w:rPr>
              <w:rFonts w:hint="default" w:ascii="Times New Roman" w:hAnsi="Times New Roman" w:eastAsia="仿宋_GB2312" w:cs="Times New Roman"/>
              <w:b w:val="0"/>
              <w:color w:val="auto"/>
              <w:sz w:val="32"/>
              <w:szCs w:val="32"/>
              <w:highlight w:val="none"/>
            </w:rPr>
            <w:instrText xml:space="preserve">TOC \o "1-2" \h \u </w:instrText>
          </w:r>
          <w:r>
            <w:rPr>
              <w:rFonts w:hint="default" w:ascii="Times New Roman" w:hAnsi="Times New Roman" w:eastAsia="仿宋_GB2312" w:cs="Times New Roman"/>
              <w:b w:val="0"/>
              <w:color w:val="auto"/>
              <w:sz w:val="32"/>
              <w:szCs w:val="32"/>
              <w:highlight w:val="none"/>
            </w:rPr>
            <w:fldChar w:fldCharType="separate"/>
          </w:r>
          <w:r>
            <w:rPr>
              <w:rFonts w:hint="default" w:ascii="Times New Roman" w:hAnsi="Times New Roman" w:eastAsia="黑体" w:cs="Times New Roman"/>
              <w:color w:val="auto"/>
              <w:sz w:val="32"/>
              <w:szCs w:val="32"/>
              <w:highlight w:val="none"/>
            </w:rPr>
            <w:fldChar w:fldCharType="begin"/>
          </w:r>
          <w:r>
            <w:rPr>
              <w:rFonts w:hint="default" w:ascii="Times New Roman" w:hAnsi="Times New Roman" w:eastAsia="黑体" w:cs="Times New Roman"/>
              <w:sz w:val="32"/>
              <w:szCs w:val="32"/>
              <w:highlight w:val="none"/>
            </w:rPr>
            <w:instrText xml:space="preserve"> HYPERLINK \l _Toc364532071 </w:instrText>
          </w:r>
          <w:r>
            <w:rPr>
              <w:rFonts w:hint="default" w:ascii="Times New Roman" w:hAnsi="Times New Roman" w:eastAsia="黑体" w:cs="Times New Roman"/>
              <w:sz w:val="32"/>
              <w:szCs w:val="32"/>
              <w:highlight w:val="none"/>
            </w:rPr>
            <w:fldChar w:fldCharType="separate"/>
          </w:r>
          <w:r>
            <w:rPr>
              <w:rFonts w:hint="default" w:ascii="Times New Roman" w:hAnsi="Times New Roman" w:eastAsia="黑体" w:cs="Times New Roman"/>
              <w:sz w:val="32"/>
              <w:szCs w:val="32"/>
              <w:highlight w:val="none"/>
            </w:rPr>
            <w:t>第一部分</w:t>
          </w:r>
          <w:r>
            <w:rPr>
              <w:rFonts w:hint="default" w:ascii="Times New Roman" w:hAnsi="Times New Roman" w:eastAsia="黑体" w:cs="Times New Roman"/>
              <w:bCs w:val="0"/>
              <w:sz w:val="32"/>
              <w:szCs w:val="32"/>
              <w:highlight w:val="none"/>
            </w:rPr>
            <w:t>部门概况</w:t>
          </w:r>
          <w:r>
            <w:rPr>
              <w:rFonts w:hint="default" w:ascii="Times New Roman" w:hAnsi="Times New Roman" w:eastAsia="黑体" w:cs="Times New Roman"/>
              <w:sz w:val="32"/>
              <w:szCs w:val="32"/>
            </w:rPr>
            <w:tab/>
          </w:r>
          <w:r>
            <w:rPr>
              <w:rFonts w:hint="eastAsia" w:ascii="Times New Roman" w:hAnsi="Times New Roman" w:eastAsia="黑体" w:cs="Times New Roman"/>
              <w:sz w:val="32"/>
              <w:szCs w:val="32"/>
              <w:lang w:val="en-US" w:eastAsia="zh-CN"/>
            </w:rPr>
            <w:t>1</w:t>
          </w:r>
          <w:r>
            <w:rPr>
              <w:rFonts w:hint="default" w:ascii="Times New Roman" w:hAnsi="Times New Roman" w:eastAsia="黑体" w:cs="Times New Roman"/>
              <w:color w:val="auto"/>
              <w:sz w:val="32"/>
              <w:szCs w:val="32"/>
              <w:highlight w:val="none"/>
            </w:rPr>
            <w:fldChar w:fldCharType="end"/>
          </w:r>
        </w:p>
        <w:p w14:paraId="7188E56D">
          <w:pPr>
            <w:pStyle w:val="14"/>
            <w:tabs>
              <w:tab w:val="right" w:leader="dot" w:pos="8845"/>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_Toc7983832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一、</w:t>
          </w:r>
          <w:r>
            <w:rPr>
              <w:rFonts w:hint="default" w:ascii="Times New Roman" w:hAnsi="Times New Roman" w:eastAsia="仿宋_GB2312" w:cs="Times New Roman"/>
              <w:sz w:val="32"/>
              <w:szCs w:val="32"/>
              <w:highlight w:val="none"/>
              <w:lang w:eastAsia="zh-CN"/>
            </w:rPr>
            <w:t>部门职责</w:t>
          </w:r>
          <w:r>
            <w:rPr>
              <w:rFonts w:hint="default" w:ascii="Times New Roman" w:hAnsi="Times New Roman" w:eastAsia="仿宋_GB2312" w:cs="Times New Roman"/>
              <w:sz w:val="32"/>
              <w:szCs w:val="32"/>
            </w:rPr>
            <w:tab/>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color w:val="auto"/>
              <w:sz w:val="32"/>
              <w:szCs w:val="32"/>
              <w:highlight w:val="none"/>
            </w:rPr>
            <w:fldChar w:fldCharType="end"/>
          </w:r>
        </w:p>
        <w:p w14:paraId="36101CEE">
          <w:pPr>
            <w:pStyle w:val="14"/>
            <w:tabs>
              <w:tab w:val="right" w:leader="dot" w:pos="8845"/>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_Toc1343156796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二、机</w:t>
          </w:r>
          <w:r>
            <w:rPr>
              <w:rFonts w:hint="default" w:ascii="Times New Roman" w:hAnsi="Times New Roman" w:eastAsia="仿宋_GB2312" w:cs="Times New Roman"/>
              <w:bCs w:val="0"/>
              <w:sz w:val="32"/>
              <w:szCs w:val="32"/>
              <w:highlight w:val="none"/>
            </w:rPr>
            <w:t>构设置</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_Toc1343156796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color w:val="auto"/>
              <w:sz w:val="32"/>
              <w:szCs w:val="32"/>
              <w:highlight w:val="none"/>
            </w:rPr>
            <w:fldChar w:fldCharType="end"/>
          </w:r>
        </w:p>
        <w:p w14:paraId="4159B98D">
          <w:pPr>
            <w:pStyle w:val="12"/>
            <w:tabs>
              <w:tab w:val="right" w:leader="dot" w:pos="8845"/>
              <w:tab w:val="clear" w:pos="8296"/>
            </w:tabs>
            <w:rPr>
              <w:rFonts w:hint="default" w:ascii="Times New Roman" w:hAnsi="Times New Roman" w:eastAsia="黑体" w:cs="Times New Roman"/>
              <w:sz w:val="32"/>
              <w:szCs w:val="32"/>
            </w:rPr>
          </w:pPr>
          <w:r>
            <w:rPr>
              <w:rFonts w:hint="default" w:ascii="Times New Roman" w:hAnsi="Times New Roman" w:eastAsia="黑体" w:cs="Times New Roman"/>
              <w:color w:val="auto"/>
              <w:sz w:val="32"/>
              <w:szCs w:val="32"/>
              <w:highlight w:val="none"/>
            </w:rPr>
            <w:fldChar w:fldCharType="begin"/>
          </w:r>
          <w:r>
            <w:rPr>
              <w:rFonts w:hint="default" w:ascii="Times New Roman" w:hAnsi="Times New Roman" w:eastAsia="黑体" w:cs="Times New Roman"/>
              <w:sz w:val="32"/>
              <w:szCs w:val="32"/>
              <w:highlight w:val="none"/>
            </w:rPr>
            <w:instrText xml:space="preserve"> HYPERLINK \l _Toc458046776 </w:instrText>
          </w:r>
          <w:r>
            <w:rPr>
              <w:rFonts w:hint="default" w:ascii="Times New Roman" w:hAnsi="Times New Roman" w:eastAsia="黑体" w:cs="Times New Roman"/>
              <w:sz w:val="32"/>
              <w:szCs w:val="32"/>
              <w:highlight w:val="none"/>
            </w:rPr>
            <w:fldChar w:fldCharType="separate"/>
          </w:r>
          <w:r>
            <w:rPr>
              <w:rFonts w:hint="default" w:ascii="Times New Roman" w:hAnsi="Times New Roman" w:eastAsia="黑体" w:cs="Times New Roman"/>
              <w:sz w:val="32"/>
              <w:szCs w:val="32"/>
              <w:highlight w:val="none"/>
            </w:rPr>
            <w:t>第二部分</w:t>
          </w:r>
          <w:r>
            <w:rPr>
              <w:rFonts w:hint="default" w:ascii="Times New Roman" w:hAnsi="Times New Roman" w:eastAsia="黑体" w:cs="Times New Roman"/>
              <w:sz w:val="32"/>
              <w:szCs w:val="32"/>
              <w:highlight w:val="none"/>
              <w:lang w:val="en-US" w:eastAsia="zh-CN"/>
            </w:rPr>
            <w:t>2024年度</w:t>
          </w:r>
          <w:r>
            <w:rPr>
              <w:rFonts w:hint="default" w:ascii="Times New Roman" w:hAnsi="Times New Roman" w:eastAsia="黑体" w:cs="Times New Roman"/>
              <w:sz w:val="32"/>
              <w:szCs w:val="32"/>
              <w:highlight w:val="none"/>
            </w:rPr>
            <w:t>部门决算情况说明</w:t>
          </w:r>
          <w:r>
            <w:rPr>
              <w:rFonts w:hint="default" w:ascii="Times New Roman" w:hAnsi="Times New Roman" w:eastAsia="黑体" w:cs="Times New Roman"/>
              <w:sz w:val="32"/>
              <w:szCs w:val="32"/>
            </w:rPr>
            <w:tab/>
          </w:r>
          <w:r>
            <w:rPr>
              <w:rFonts w:hint="eastAsia" w:ascii="Times New Roman" w:hAnsi="Times New Roman" w:eastAsia="黑体" w:cs="Times New Roman"/>
              <w:sz w:val="32"/>
              <w:szCs w:val="32"/>
              <w:lang w:val="en-US" w:eastAsia="zh-CN"/>
            </w:rPr>
            <w:t>6</w:t>
          </w:r>
          <w:r>
            <w:rPr>
              <w:rFonts w:hint="default" w:ascii="Times New Roman" w:hAnsi="Times New Roman" w:eastAsia="黑体" w:cs="Times New Roman"/>
              <w:color w:val="auto"/>
              <w:sz w:val="32"/>
              <w:szCs w:val="32"/>
              <w:highlight w:val="none"/>
            </w:rPr>
            <w:fldChar w:fldCharType="end"/>
          </w:r>
        </w:p>
        <w:p w14:paraId="34A21A4C">
          <w:pPr>
            <w:pStyle w:val="14"/>
            <w:tabs>
              <w:tab w:val="right" w:leader="dot" w:pos="8845"/>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_Toc158395524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lang w:eastAsia="zh-CN"/>
            </w:rPr>
            <w:t>一、</w:t>
          </w:r>
          <w:r>
            <w:rPr>
              <w:rFonts w:hint="default" w:ascii="Times New Roman" w:hAnsi="Times New Roman" w:eastAsia="仿宋_GB2312" w:cs="Times New Roman"/>
              <w:sz w:val="32"/>
              <w:szCs w:val="32"/>
              <w:highlight w:val="none"/>
            </w:rPr>
            <w:t>收入支出决算总体情况说明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_Toc158395524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color w:val="auto"/>
              <w:sz w:val="32"/>
              <w:szCs w:val="32"/>
              <w:highlight w:val="none"/>
            </w:rPr>
            <w:fldChar w:fldCharType="end"/>
          </w:r>
        </w:p>
        <w:p w14:paraId="43C44FE5">
          <w:pPr>
            <w:pStyle w:val="14"/>
            <w:tabs>
              <w:tab w:val="right" w:leader="dot" w:pos="8845"/>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_Toc1943880949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lang w:eastAsia="zh-CN"/>
            </w:rPr>
            <w:t>二、收入决算情况说明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_Toc1943880949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color w:val="auto"/>
              <w:sz w:val="32"/>
              <w:szCs w:val="32"/>
              <w:highlight w:val="none"/>
            </w:rPr>
            <w:fldChar w:fldCharType="end"/>
          </w:r>
        </w:p>
        <w:p w14:paraId="7F818813">
          <w:pPr>
            <w:pStyle w:val="14"/>
            <w:tabs>
              <w:tab w:val="right" w:leader="dot" w:pos="8845"/>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_Toc64498448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lang w:eastAsia="zh-CN"/>
            </w:rPr>
            <w:t>三、</w:t>
          </w:r>
          <w:r>
            <w:rPr>
              <w:rFonts w:hint="default" w:ascii="Times New Roman" w:hAnsi="Times New Roman" w:eastAsia="仿宋_GB2312" w:cs="Times New Roman"/>
              <w:sz w:val="32"/>
              <w:szCs w:val="32"/>
              <w:highlight w:val="none"/>
            </w:rPr>
            <w:t>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_Toc64498448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7</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color w:val="auto"/>
              <w:sz w:val="32"/>
              <w:szCs w:val="32"/>
              <w:highlight w:val="none"/>
            </w:rPr>
            <w:fldChar w:fldCharType="end"/>
          </w:r>
        </w:p>
        <w:p w14:paraId="49EC185B">
          <w:pPr>
            <w:pStyle w:val="14"/>
            <w:tabs>
              <w:tab w:val="right" w:leader="dot" w:pos="8845"/>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_Toc45983496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四、财政拨款收入支出决算总体情况说明</w:t>
          </w:r>
          <w:r>
            <w:rPr>
              <w:rFonts w:hint="default" w:ascii="Times New Roman" w:hAnsi="Times New Roman" w:eastAsia="仿宋_GB2312" w:cs="Times New Roman"/>
              <w:sz w:val="32"/>
              <w:szCs w:val="32"/>
            </w:rPr>
            <w:tab/>
          </w:r>
          <w:r>
            <w:rPr>
              <w:rFonts w:hint="eastAsia" w:eastAsia="仿宋_GB2312" w:cs="Times New Roman"/>
              <w:sz w:val="32"/>
              <w:szCs w:val="32"/>
              <w:lang w:val="en-US" w:eastAsia="zh-CN"/>
            </w:rPr>
            <w:t>7</w:t>
          </w:r>
          <w:r>
            <w:rPr>
              <w:rFonts w:hint="default" w:ascii="Times New Roman" w:hAnsi="Times New Roman" w:eastAsia="仿宋_GB2312" w:cs="Times New Roman"/>
              <w:color w:val="auto"/>
              <w:sz w:val="32"/>
              <w:szCs w:val="32"/>
              <w:highlight w:val="none"/>
            </w:rPr>
            <w:fldChar w:fldCharType="end"/>
          </w:r>
        </w:p>
        <w:p w14:paraId="1EF6CFD0">
          <w:pPr>
            <w:pStyle w:val="14"/>
            <w:tabs>
              <w:tab w:val="right" w:leader="dot" w:pos="8845"/>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_Toc827536450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五、一般公共预算财政拨款支出决算情况说明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_Toc827536450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color w:val="auto"/>
              <w:sz w:val="32"/>
              <w:szCs w:val="32"/>
              <w:highlight w:val="none"/>
            </w:rPr>
            <w:fldChar w:fldCharType="end"/>
          </w:r>
        </w:p>
        <w:p w14:paraId="34E5CD7C">
          <w:pPr>
            <w:pStyle w:val="14"/>
            <w:tabs>
              <w:tab w:val="right" w:leader="dot" w:pos="8845"/>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_Toc1916644143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六、一般公共预算财政拨款基本支出决算情况说明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_Toc1916644143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12</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color w:val="auto"/>
              <w:sz w:val="32"/>
              <w:szCs w:val="32"/>
              <w:highlight w:val="none"/>
            </w:rPr>
            <w:fldChar w:fldCharType="end"/>
          </w:r>
        </w:p>
        <w:p w14:paraId="02866F35">
          <w:pPr>
            <w:pStyle w:val="14"/>
            <w:tabs>
              <w:tab w:val="right" w:leader="dot" w:pos="8845"/>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_Toc819756445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七、财政拨款“三公”经费支出决算情况说明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_Toc819756445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color w:val="auto"/>
              <w:sz w:val="32"/>
              <w:szCs w:val="32"/>
              <w:highlight w:val="none"/>
            </w:rPr>
            <w:fldChar w:fldCharType="end"/>
          </w:r>
        </w:p>
        <w:p w14:paraId="143EC83C">
          <w:pPr>
            <w:pStyle w:val="14"/>
            <w:tabs>
              <w:tab w:val="right" w:leader="dot" w:pos="8845"/>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_Toc1963150732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八、政府性基金预算支出决算情况说明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_Toc1963150732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color w:val="auto"/>
              <w:sz w:val="32"/>
              <w:szCs w:val="32"/>
              <w:highlight w:val="none"/>
            </w:rPr>
            <w:fldChar w:fldCharType="end"/>
          </w:r>
        </w:p>
        <w:p w14:paraId="27748705">
          <w:pPr>
            <w:pStyle w:val="14"/>
            <w:tabs>
              <w:tab w:val="right" w:leader="dot" w:pos="8845"/>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_Toc1648800474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lang w:eastAsia="zh-CN"/>
            </w:rPr>
            <w:t>九、</w:t>
          </w:r>
          <w:r>
            <w:rPr>
              <w:rFonts w:hint="default" w:ascii="Times New Roman" w:hAnsi="Times New Roman" w:eastAsia="仿宋_GB2312" w:cs="Times New Roman"/>
              <w:sz w:val="32"/>
              <w:szCs w:val="32"/>
              <w:highlight w:val="none"/>
            </w:rPr>
            <w:t>国有资本经营预算支出决算情况说明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_Toc1648800474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15</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color w:val="auto"/>
              <w:sz w:val="32"/>
              <w:szCs w:val="32"/>
              <w:highlight w:val="none"/>
            </w:rPr>
            <w:fldChar w:fldCharType="end"/>
          </w:r>
        </w:p>
        <w:p w14:paraId="110DC970">
          <w:pPr>
            <w:pStyle w:val="14"/>
            <w:tabs>
              <w:tab w:val="right" w:leader="dot" w:pos="8845"/>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_Toc1854753413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lang w:eastAsia="zh-CN"/>
            </w:rPr>
            <w:t>十、</w:t>
          </w:r>
          <w:r>
            <w:rPr>
              <w:rFonts w:hint="default" w:ascii="Times New Roman" w:hAnsi="Times New Roman" w:eastAsia="仿宋_GB2312" w:cs="Times New Roman"/>
              <w:sz w:val="32"/>
              <w:szCs w:val="32"/>
              <w:highlight w:val="none"/>
            </w:rPr>
            <w:t>其他重要事项的情况说明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_Toc1854753413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15</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color w:val="auto"/>
              <w:sz w:val="32"/>
              <w:szCs w:val="32"/>
              <w:highlight w:val="none"/>
            </w:rPr>
            <w:fldChar w:fldCharType="end"/>
          </w:r>
        </w:p>
        <w:p w14:paraId="3E91E863">
          <w:pPr>
            <w:pStyle w:val="12"/>
            <w:tabs>
              <w:tab w:val="right" w:leader="dot" w:pos="8845"/>
              <w:tab w:val="clear" w:pos="8296"/>
            </w:tabs>
            <w:rPr>
              <w:rFonts w:hint="default" w:ascii="Times New Roman" w:hAnsi="Times New Roman" w:eastAsia="黑体" w:cs="Times New Roman"/>
              <w:sz w:val="32"/>
              <w:szCs w:val="32"/>
            </w:rPr>
          </w:pPr>
          <w:r>
            <w:rPr>
              <w:rFonts w:hint="default" w:ascii="Times New Roman" w:hAnsi="Times New Roman" w:eastAsia="黑体" w:cs="Times New Roman"/>
              <w:color w:val="auto"/>
              <w:sz w:val="32"/>
              <w:szCs w:val="32"/>
              <w:highlight w:val="none"/>
            </w:rPr>
            <w:fldChar w:fldCharType="begin"/>
          </w:r>
          <w:r>
            <w:rPr>
              <w:rFonts w:hint="default" w:ascii="Times New Roman" w:hAnsi="Times New Roman" w:eastAsia="黑体" w:cs="Times New Roman"/>
              <w:sz w:val="32"/>
              <w:szCs w:val="32"/>
              <w:highlight w:val="none"/>
            </w:rPr>
            <w:instrText xml:space="preserve"> HYPERLINK \l _Toc1156138112 </w:instrText>
          </w:r>
          <w:r>
            <w:rPr>
              <w:rFonts w:hint="default" w:ascii="Times New Roman" w:hAnsi="Times New Roman" w:eastAsia="黑体" w:cs="Times New Roman"/>
              <w:sz w:val="32"/>
              <w:szCs w:val="32"/>
              <w:highlight w:val="none"/>
            </w:rPr>
            <w:fldChar w:fldCharType="separate"/>
          </w:r>
          <w:r>
            <w:rPr>
              <w:rFonts w:hint="default" w:ascii="Times New Roman" w:hAnsi="Times New Roman" w:eastAsia="黑体" w:cs="Times New Roman"/>
              <w:sz w:val="32"/>
              <w:szCs w:val="32"/>
              <w:highlight w:val="none"/>
            </w:rPr>
            <w:t>第</w:t>
          </w:r>
          <w:r>
            <w:rPr>
              <w:rFonts w:hint="default" w:ascii="Times New Roman" w:hAnsi="Times New Roman" w:eastAsia="黑体" w:cs="Times New Roman"/>
              <w:sz w:val="32"/>
              <w:szCs w:val="32"/>
              <w:highlight w:val="none"/>
              <w:lang w:eastAsia="zh-CN"/>
            </w:rPr>
            <w:t>三</w:t>
          </w:r>
          <w:r>
            <w:rPr>
              <w:rFonts w:hint="default" w:ascii="Times New Roman" w:hAnsi="Times New Roman" w:eastAsia="黑体" w:cs="Times New Roman"/>
              <w:sz w:val="32"/>
              <w:szCs w:val="32"/>
              <w:highlight w:val="none"/>
            </w:rPr>
            <w:t>部分名词解释</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_Toc1156138112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18</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color w:val="auto"/>
              <w:sz w:val="32"/>
              <w:szCs w:val="32"/>
              <w:highlight w:val="none"/>
            </w:rPr>
            <w:fldChar w:fldCharType="end"/>
          </w:r>
        </w:p>
        <w:p w14:paraId="65E7D41F">
          <w:pPr>
            <w:pStyle w:val="12"/>
            <w:tabs>
              <w:tab w:val="right" w:leader="dot" w:pos="8845"/>
              <w:tab w:val="clear" w:pos="8296"/>
            </w:tabs>
            <w:rPr>
              <w:rFonts w:hint="default" w:ascii="Times New Roman" w:hAnsi="Times New Roman" w:eastAsia="黑体" w:cs="Times New Roman"/>
              <w:sz w:val="32"/>
              <w:szCs w:val="32"/>
            </w:rPr>
          </w:pPr>
          <w:r>
            <w:rPr>
              <w:rFonts w:hint="default" w:ascii="Times New Roman" w:hAnsi="Times New Roman" w:eastAsia="黑体" w:cs="Times New Roman"/>
              <w:color w:val="auto"/>
              <w:sz w:val="32"/>
              <w:szCs w:val="32"/>
              <w:highlight w:val="none"/>
            </w:rPr>
            <w:fldChar w:fldCharType="begin"/>
          </w:r>
          <w:r>
            <w:rPr>
              <w:rFonts w:hint="default" w:ascii="Times New Roman" w:hAnsi="Times New Roman" w:eastAsia="黑体" w:cs="Times New Roman"/>
              <w:sz w:val="32"/>
              <w:szCs w:val="32"/>
              <w:highlight w:val="none"/>
            </w:rPr>
            <w:instrText xml:space="preserve"> HYPERLINK \l _Toc809684237 </w:instrText>
          </w:r>
          <w:r>
            <w:rPr>
              <w:rFonts w:hint="default" w:ascii="Times New Roman" w:hAnsi="Times New Roman" w:eastAsia="黑体" w:cs="Times New Roman"/>
              <w:sz w:val="32"/>
              <w:szCs w:val="32"/>
              <w:highlight w:val="none"/>
            </w:rPr>
            <w:fldChar w:fldCharType="separate"/>
          </w:r>
          <w:r>
            <w:rPr>
              <w:rFonts w:hint="default" w:ascii="Times New Roman" w:hAnsi="Times New Roman" w:eastAsia="黑体" w:cs="Times New Roman"/>
              <w:sz w:val="32"/>
              <w:szCs w:val="32"/>
              <w:highlight w:val="none"/>
            </w:rPr>
            <w:t>第四部分附件</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_Toc809684237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22</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color w:val="auto"/>
              <w:sz w:val="32"/>
              <w:szCs w:val="32"/>
              <w:highlight w:val="none"/>
            </w:rPr>
            <w:fldChar w:fldCharType="end"/>
          </w:r>
        </w:p>
        <w:p w14:paraId="396716CD">
          <w:pPr>
            <w:pStyle w:val="12"/>
            <w:tabs>
              <w:tab w:val="right" w:leader="dot" w:pos="8845"/>
              <w:tab w:val="clear" w:pos="8296"/>
            </w:tabs>
            <w:rPr>
              <w:rFonts w:hint="eastAsia" w:ascii="Times New Roman" w:hAnsi="Times New Roman" w:eastAsia="黑体" w:cs="Times New Roman"/>
              <w:sz w:val="32"/>
              <w:szCs w:val="32"/>
              <w:lang w:val="en-US" w:eastAsia="zh-CN"/>
            </w:rPr>
          </w:pPr>
          <w:r>
            <w:rPr>
              <w:rFonts w:hint="default" w:ascii="Times New Roman" w:hAnsi="Times New Roman" w:eastAsia="黑体" w:cs="Times New Roman"/>
              <w:color w:val="auto"/>
              <w:sz w:val="32"/>
              <w:szCs w:val="32"/>
              <w:highlight w:val="none"/>
            </w:rPr>
            <w:fldChar w:fldCharType="begin"/>
          </w:r>
          <w:r>
            <w:rPr>
              <w:rFonts w:hint="default" w:ascii="Times New Roman" w:hAnsi="Times New Roman" w:eastAsia="黑体" w:cs="Times New Roman"/>
              <w:sz w:val="32"/>
              <w:szCs w:val="32"/>
              <w:highlight w:val="none"/>
            </w:rPr>
            <w:instrText xml:space="preserve"> HYPERLINK \l _Toc1336603055 </w:instrText>
          </w:r>
          <w:r>
            <w:rPr>
              <w:rFonts w:hint="default" w:ascii="Times New Roman" w:hAnsi="Times New Roman" w:eastAsia="黑体" w:cs="Times New Roman"/>
              <w:sz w:val="32"/>
              <w:szCs w:val="32"/>
              <w:highlight w:val="none"/>
            </w:rPr>
            <w:fldChar w:fldCharType="separate"/>
          </w:r>
          <w:r>
            <w:rPr>
              <w:rFonts w:hint="default" w:ascii="Times New Roman" w:hAnsi="Times New Roman" w:eastAsia="黑体" w:cs="Times New Roman"/>
              <w:sz w:val="32"/>
              <w:szCs w:val="32"/>
              <w:highlight w:val="none"/>
            </w:rPr>
            <w:t>第五部分附表</w:t>
          </w:r>
          <w:r>
            <w:rPr>
              <w:rFonts w:hint="default" w:ascii="Times New Roman" w:hAnsi="Times New Roman" w:eastAsia="黑体" w:cs="Times New Roman"/>
              <w:sz w:val="32"/>
              <w:szCs w:val="32"/>
            </w:rPr>
            <w:tab/>
          </w:r>
          <w:r>
            <w:rPr>
              <w:rFonts w:hint="eastAsia" w:ascii="Times New Roman" w:hAnsi="Times New Roman" w:eastAsia="黑体" w:cs="Times New Roman"/>
              <w:sz w:val="32"/>
              <w:szCs w:val="32"/>
              <w:lang w:val="en-US" w:eastAsia="zh-CN"/>
            </w:rPr>
            <w:t>6</w:t>
          </w:r>
          <w:r>
            <w:rPr>
              <w:rFonts w:hint="default" w:ascii="Times New Roman" w:hAnsi="Times New Roman" w:eastAsia="黑体" w:cs="Times New Roman"/>
              <w:color w:val="auto"/>
              <w:sz w:val="32"/>
              <w:szCs w:val="32"/>
              <w:highlight w:val="none"/>
            </w:rPr>
            <w:fldChar w:fldCharType="end"/>
          </w:r>
          <w:r>
            <w:rPr>
              <w:rFonts w:hint="eastAsia" w:ascii="Times New Roman" w:hAnsi="Times New Roman" w:eastAsia="黑体" w:cs="Times New Roman"/>
              <w:color w:val="auto"/>
              <w:sz w:val="32"/>
              <w:szCs w:val="32"/>
              <w:highlight w:val="none"/>
              <w:lang w:val="en-US" w:eastAsia="zh-CN"/>
            </w:rPr>
            <w:t>2</w:t>
          </w:r>
        </w:p>
        <w:p w14:paraId="0EBF6BF7">
          <w:pPr>
            <w:pStyle w:val="14"/>
            <w:tabs>
              <w:tab w:val="right" w:leader="dot" w:pos="8845"/>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_Toc526488479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一、收入支出决算总表</w:t>
          </w:r>
          <w:r>
            <w:rPr>
              <w:rFonts w:hint="default" w:ascii="Times New Roman" w:hAnsi="Times New Roman" w:eastAsia="仿宋_GB2312" w:cs="Times New Roman"/>
              <w:sz w:val="32"/>
              <w:szCs w:val="32"/>
            </w:rPr>
            <w:tab/>
          </w:r>
          <w:r>
            <w:rPr>
              <w:rFonts w:hint="eastAsia"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rPr>
            <w:fldChar w:fldCharType="end"/>
          </w:r>
          <w:r>
            <w:rPr>
              <w:rFonts w:hint="eastAsia" w:eastAsia="仿宋_GB2312" w:cs="Times New Roman"/>
              <w:color w:val="auto"/>
              <w:sz w:val="32"/>
              <w:szCs w:val="32"/>
              <w:highlight w:val="none"/>
              <w:lang w:val="en-US" w:eastAsia="zh-CN"/>
            </w:rPr>
            <w:t>2</w:t>
          </w:r>
        </w:p>
        <w:p w14:paraId="4099179F">
          <w:pPr>
            <w:pStyle w:val="14"/>
            <w:tabs>
              <w:tab w:val="right" w:leader="dot" w:pos="8845"/>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_Toc335067616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二、收入决算表</w:t>
          </w:r>
          <w:r>
            <w:rPr>
              <w:rFonts w:hint="default" w:ascii="Times New Roman" w:hAnsi="Times New Roman" w:eastAsia="仿宋_GB2312" w:cs="Times New Roman"/>
              <w:sz w:val="32"/>
              <w:szCs w:val="32"/>
            </w:rPr>
            <w:tab/>
          </w:r>
          <w:r>
            <w:rPr>
              <w:rFonts w:hint="eastAsia"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rPr>
            <w:fldChar w:fldCharType="end"/>
          </w:r>
          <w:r>
            <w:rPr>
              <w:rFonts w:hint="eastAsia" w:eastAsia="仿宋_GB2312" w:cs="Times New Roman"/>
              <w:color w:val="auto"/>
              <w:sz w:val="32"/>
              <w:szCs w:val="32"/>
              <w:highlight w:val="none"/>
              <w:lang w:val="en-US" w:eastAsia="zh-CN"/>
            </w:rPr>
            <w:t>2</w:t>
          </w:r>
        </w:p>
        <w:p w14:paraId="60541BBA">
          <w:pPr>
            <w:pStyle w:val="14"/>
            <w:tabs>
              <w:tab w:val="right" w:leader="dot" w:pos="8845"/>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_Toc1360105472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三、支出决算表</w:t>
          </w:r>
          <w:r>
            <w:rPr>
              <w:rFonts w:hint="default" w:ascii="Times New Roman" w:hAnsi="Times New Roman" w:eastAsia="仿宋_GB2312" w:cs="Times New Roman"/>
              <w:sz w:val="32"/>
              <w:szCs w:val="32"/>
            </w:rPr>
            <w:tab/>
          </w:r>
          <w:r>
            <w:rPr>
              <w:rFonts w:hint="eastAsia"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rPr>
            <w:fldChar w:fldCharType="end"/>
          </w:r>
          <w:r>
            <w:rPr>
              <w:rFonts w:hint="eastAsia" w:eastAsia="仿宋_GB2312" w:cs="Times New Roman"/>
              <w:color w:val="auto"/>
              <w:sz w:val="32"/>
              <w:szCs w:val="32"/>
              <w:highlight w:val="none"/>
              <w:lang w:val="en-US" w:eastAsia="zh-CN"/>
            </w:rPr>
            <w:t>2</w:t>
          </w:r>
        </w:p>
        <w:p w14:paraId="0077D7D5">
          <w:pPr>
            <w:pStyle w:val="14"/>
            <w:tabs>
              <w:tab w:val="right" w:leader="dot" w:pos="8845"/>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_Toc1625321350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四、财政拨款收入支出决算总表</w:t>
          </w:r>
          <w:r>
            <w:rPr>
              <w:rFonts w:hint="default" w:ascii="Times New Roman" w:hAnsi="Times New Roman" w:eastAsia="仿宋_GB2312" w:cs="Times New Roman"/>
              <w:sz w:val="32"/>
              <w:szCs w:val="32"/>
            </w:rPr>
            <w:tab/>
          </w:r>
          <w:r>
            <w:rPr>
              <w:rFonts w:hint="eastAsia"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rPr>
            <w:fldChar w:fldCharType="end"/>
          </w:r>
          <w:r>
            <w:rPr>
              <w:rFonts w:hint="eastAsia" w:eastAsia="仿宋_GB2312" w:cs="Times New Roman"/>
              <w:color w:val="auto"/>
              <w:sz w:val="32"/>
              <w:szCs w:val="32"/>
              <w:highlight w:val="none"/>
              <w:lang w:val="en-US" w:eastAsia="zh-CN"/>
            </w:rPr>
            <w:t>2</w:t>
          </w:r>
        </w:p>
        <w:p w14:paraId="66F25F82">
          <w:pPr>
            <w:pStyle w:val="14"/>
            <w:tabs>
              <w:tab w:val="right" w:leader="dot" w:pos="8845"/>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_Toc1014607823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五、财政拨款支出决算明细表</w:t>
          </w:r>
          <w:r>
            <w:rPr>
              <w:rFonts w:hint="default" w:ascii="Times New Roman" w:hAnsi="Times New Roman" w:eastAsia="仿宋_GB2312" w:cs="Times New Roman"/>
              <w:sz w:val="32"/>
              <w:szCs w:val="32"/>
            </w:rPr>
            <w:tab/>
          </w:r>
          <w:r>
            <w:rPr>
              <w:rFonts w:hint="eastAsia"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rPr>
            <w:fldChar w:fldCharType="end"/>
          </w:r>
          <w:r>
            <w:rPr>
              <w:rFonts w:hint="eastAsia" w:eastAsia="仿宋_GB2312" w:cs="Times New Roman"/>
              <w:color w:val="auto"/>
              <w:sz w:val="32"/>
              <w:szCs w:val="32"/>
              <w:highlight w:val="none"/>
              <w:lang w:val="en-US" w:eastAsia="zh-CN"/>
            </w:rPr>
            <w:t>2</w:t>
          </w:r>
        </w:p>
        <w:p w14:paraId="05C8C196">
          <w:pPr>
            <w:pStyle w:val="14"/>
            <w:tabs>
              <w:tab w:val="right" w:leader="dot" w:pos="8845"/>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_Toc853630109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六、一般公共预算财政拨款支出决算表</w:t>
          </w:r>
          <w:r>
            <w:rPr>
              <w:rFonts w:hint="default" w:ascii="Times New Roman" w:hAnsi="Times New Roman" w:eastAsia="仿宋_GB2312" w:cs="Times New Roman"/>
              <w:sz w:val="32"/>
              <w:szCs w:val="32"/>
            </w:rPr>
            <w:tab/>
          </w:r>
          <w:r>
            <w:rPr>
              <w:rFonts w:hint="eastAsia"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rPr>
            <w:fldChar w:fldCharType="end"/>
          </w:r>
          <w:r>
            <w:rPr>
              <w:rFonts w:hint="eastAsia" w:eastAsia="仿宋_GB2312" w:cs="Times New Roman"/>
              <w:color w:val="auto"/>
              <w:sz w:val="32"/>
              <w:szCs w:val="32"/>
              <w:highlight w:val="none"/>
              <w:lang w:val="en-US" w:eastAsia="zh-CN"/>
            </w:rPr>
            <w:t>2</w:t>
          </w:r>
        </w:p>
        <w:p w14:paraId="51D95745">
          <w:pPr>
            <w:pStyle w:val="14"/>
            <w:tabs>
              <w:tab w:val="right" w:leader="dot" w:pos="8845"/>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_Toc541544139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七、一般公共预算财政拨款支出决算明细表</w:t>
          </w:r>
          <w:r>
            <w:rPr>
              <w:rFonts w:hint="default" w:ascii="Times New Roman" w:hAnsi="Times New Roman" w:eastAsia="仿宋_GB2312" w:cs="Times New Roman"/>
              <w:sz w:val="32"/>
              <w:szCs w:val="32"/>
            </w:rPr>
            <w:tab/>
          </w:r>
          <w:r>
            <w:rPr>
              <w:rFonts w:hint="eastAsia"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rPr>
            <w:fldChar w:fldCharType="end"/>
          </w:r>
          <w:r>
            <w:rPr>
              <w:rFonts w:hint="eastAsia" w:eastAsia="仿宋_GB2312" w:cs="Times New Roman"/>
              <w:color w:val="auto"/>
              <w:sz w:val="32"/>
              <w:szCs w:val="32"/>
              <w:highlight w:val="none"/>
              <w:lang w:val="en-US" w:eastAsia="zh-CN"/>
            </w:rPr>
            <w:t>2</w:t>
          </w:r>
        </w:p>
        <w:p w14:paraId="60851E24">
          <w:pPr>
            <w:pStyle w:val="14"/>
            <w:tabs>
              <w:tab w:val="right" w:leader="dot" w:pos="8845"/>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_Toc1637504611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八、一般公共预算财政拨款基本支出决算表</w:t>
          </w:r>
          <w:r>
            <w:rPr>
              <w:rFonts w:hint="default" w:ascii="Times New Roman" w:hAnsi="Times New Roman" w:eastAsia="仿宋_GB2312" w:cs="Times New Roman"/>
              <w:sz w:val="32"/>
              <w:szCs w:val="32"/>
            </w:rPr>
            <w:tab/>
          </w:r>
          <w:r>
            <w:rPr>
              <w:rFonts w:hint="eastAsia"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rPr>
            <w:fldChar w:fldCharType="end"/>
          </w:r>
          <w:r>
            <w:rPr>
              <w:rFonts w:hint="eastAsia" w:eastAsia="仿宋_GB2312" w:cs="Times New Roman"/>
              <w:color w:val="auto"/>
              <w:sz w:val="32"/>
              <w:szCs w:val="32"/>
              <w:highlight w:val="none"/>
              <w:lang w:val="en-US" w:eastAsia="zh-CN"/>
            </w:rPr>
            <w:t>2</w:t>
          </w:r>
        </w:p>
        <w:p w14:paraId="2E979060">
          <w:pPr>
            <w:pStyle w:val="14"/>
            <w:tabs>
              <w:tab w:val="right" w:leader="dot" w:pos="8845"/>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_Toc194779240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九、一般公共预算财政拨款项目支出决算表</w:t>
          </w:r>
          <w:r>
            <w:rPr>
              <w:rFonts w:hint="default" w:ascii="Times New Roman" w:hAnsi="Times New Roman" w:eastAsia="仿宋_GB2312" w:cs="Times New Roman"/>
              <w:sz w:val="32"/>
              <w:szCs w:val="32"/>
            </w:rPr>
            <w:tab/>
          </w:r>
          <w:r>
            <w:rPr>
              <w:rFonts w:hint="eastAsia"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rPr>
            <w:fldChar w:fldCharType="end"/>
          </w:r>
          <w:r>
            <w:rPr>
              <w:rFonts w:hint="eastAsia" w:eastAsia="仿宋_GB2312" w:cs="Times New Roman"/>
              <w:color w:val="auto"/>
              <w:sz w:val="32"/>
              <w:szCs w:val="32"/>
              <w:highlight w:val="none"/>
              <w:lang w:val="en-US" w:eastAsia="zh-CN"/>
            </w:rPr>
            <w:t>2</w:t>
          </w:r>
        </w:p>
        <w:p w14:paraId="7607A691">
          <w:pPr>
            <w:pStyle w:val="14"/>
            <w:tabs>
              <w:tab w:val="right" w:leader="dot" w:pos="8845"/>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_Toc775002825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十、政府性基金预算财政拨款收入支出决算表</w:t>
          </w:r>
          <w:r>
            <w:rPr>
              <w:rFonts w:hint="default" w:ascii="Times New Roman" w:hAnsi="Times New Roman" w:eastAsia="仿宋_GB2312" w:cs="Times New Roman"/>
              <w:sz w:val="32"/>
              <w:szCs w:val="32"/>
            </w:rPr>
            <w:tab/>
          </w:r>
          <w:r>
            <w:rPr>
              <w:rFonts w:hint="eastAsia"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rPr>
            <w:fldChar w:fldCharType="end"/>
          </w:r>
          <w:r>
            <w:rPr>
              <w:rFonts w:hint="eastAsia" w:eastAsia="仿宋_GB2312" w:cs="Times New Roman"/>
              <w:color w:val="auto"/>
              <w:sz w:val="32"/>
              <w:szCs w:val="32"/>
              <w:highlight w:val="none"/>
              <w:lang w:val="en-US" w:eastAsia="zh-CN"/>
            </w:rPr>
            <w:t>2</w:t>
          </w:r>
        </w:p>
        <w:p w14:paraId="36D1FAC0">
          <w:pPr>
            <w:pStyle w:val="14"/>
            <w:tabs>
              <w:tab w:val="right" w:leader="dot" w:pos="8845"/>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_Toc1988264719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十一、国有资本经营预算</w:t>
          </w:r>
          <w:r>
            <w:rPr>
              <w:rFonts w:hint="default" w:ascii="Times New Roman" w:hAnsi="Times New Roman" w:eastAsia="仿宋_GB2312" w:cs="Times New Roman"/>
              <w:sz w:val="32"/>
              <w:szCs w:val="32"/>
              <w:highlight w:val="none"/>
              <w:lang w:eastAsia="zh-CN"/>
            </w:rPr>
            <w:t>财政拨款收入</w:t>
          </w:r>
          <w:r>
            <w:rPr>
              <w:rFonts w:hint="default" w:ascii="Times New Roman" w:hAnsi="Times New Roman" w:eastAsia="仿宋_GB2312" w:cs="Times New Roman"/>
              <w:sz w:val="32"/>
              <w:szCs w:val="32"/>
              <w:highlight w:val="none"/>
            </w:rPr>
            <w:t>支出决算表</w:t>
          </w:r>
          <w:r>
            <w:rPr>
              <w:rFonts w:hint="default" w:ascii="Times New Roman" w:hAnsi="Times New Roman" w:eastAsia="仿宋_GB2312" w:cs="Times New Roman"/>
              <w:sz w:val="32"/>
              <w:szCs w:val="32"/>
            </w:rPr>
            <w:tab/>
          </w:r>
          <w:r>
            <w:rPr>
              <w:rFonts w:hint="eastAsia"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rPr>
            <w:fldChar w:fldCharType="end"/>
          </w:r>
          <w:r>
            <w:rPr>
              <w:rFonts w:hint="eastAsia" w:eastAsia="仿宋_GB2312" w:cs="Times New Roman"/>
              <w:color w:val="auto"/>
              <w:sz w:val="32"/>
              <w:szCs w:val="32"/>
              <w:highlight w:val="none"/>
              <w:lang w:val="en-US" w:eastAsia="zh-CN"/>
            </w:rPr>
            <w:t>2</w:t>
          </w:r>
        </w:p>
        <w:p w14:paraId="2B015581">
          <w:pPr>
            <w:pStyle w:val="14"/>
            <w:tabs>
              <w:tab w:val="right" w:leader="dot" w:pos="8845"/>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_Toc834178708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十二、</w:t>
          </w:r>
          <w:r>
            <w:rPr>
              <w:rFonts w:hint="default" w:ascii="Times New Roman" w:hAnsi="Times New Roman" w:eastAsia="仿宋_GB2312" w:cs="Times New Roman"/>
              <w:sz w:val="32"/>
              <w:szCs w:val="32"/>
              <w:highlight w:val="none"/>
              <w:lang w:eastAsia="zh-CN"/>
            </w:rPr>
            <w:t>国有资本经营预算财政拨款支出决算表</w:t>
          </w:r>
          <w:r>
            <w:rPr>
              <w:rFonts w:hint="default" w:ascii="Times New Roman" w:hAnsi="Times New Roman" w:eastAsia="仿宋_GB2312" w:cs="Times New Roman"/>
              <w:sz w:val="32"/>
              <w:szCs w:val="32"/>
            </w:rPr>
            <w:tab/>
          </w:r>
          <w:r>
            <w:rPr>
              <w:rFonts w:hint="eastAsia"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rPr>
            <w:fldChar w:fldCharType="end"/>
          </w:r>
          <w:r>
            <w:rPr>
              <w:rFonts w:hint="eastAsia" w:eastAsia="仿宋_GB2312" w:cs="Times New Roman"/>
              <w:color w:val="auto"/>
              <w:sz w:val="32"/>
              <w:szCs w:val="32"/>
              <w:highlight w:val="none"/>
              <w:lang w:val="en-US" w:eastAsia="zh-CN"/>
            </w:rPr>
            <w:t>2</w:t>
          </w:r>
        </w:p>
        <w:p w14:paraId="529B5247">
          <w:pPr>
            <w:pStyle w:val="14"/>
            <w:tabs>
              <w:tab w:val="right" w:leader="dot" w:pos="8845"/>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_Toc46533726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十三、</w:t>
          </w:r>
          <w:r>
            <w:rPr>
              <w:rFonts w:hint="default" w:ascii="Times New Roman" w:hAnsi="Times New Roman" w:eastAsia="仿宋_GB2312" w:cs="Times New Roman"/>
              <w:sz w:val="32"/>
              <w:szCs w:val="32"/>
              <w:highlight w:val="none"/>
              <w:lang w:eastAsia="zh-CN"/>
            </w:rPr>
            <w:t>财政拨款“三公”经费支出决算表</w:t>
          </w:r>
          <w:r>
            <w:rPr>
              <w:rFonts w:hint="default" w:ascii="Times New Roman" w:hAnsi="Times New Roman" w:eastAsia="仿宋_GB2312" w:cs="Times New Roman"/>
              <w:sz w:val="32"/>
              <w:szCs w:val="32"/>
            </w:rPr>
            <w:tab/>
          </w:r>
          <w:r>
            <w:rPr>
              <w:rFonts w:hint="eastAsia"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rPr>
            <w:fldChar w:fldCharType="end"/>
          </w:r>
          <w:r>
            <w:rPr>
              <w:rFonts w:hint="eastAsia" w:eastAsia="仿宋_GB2312" w:cs="Times New Roman"/>
              <w:color w:val="auto"/>
              <w:sz w:val="32"/>
              <w:szCs w:val="32"/>
              <w:highlight w:val="none"/>
              <w:lang w:val="en-US" w:eastAsia="zh-CN"/>
            </w:rPr>
            <w:t>2</w:t>
          </w:r>
        </w:p>
        <w:p w14:paraId="6677DCB3">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方正小标宋简体" w:cs="Times New Roman"/>
              <w:b/>
              <w:bCs/>
              <w:color w:val="auto"/>
              <w:kern w:val="44"/>
              <w:sz w:val="44"/>
              <w:szCs w:val="44"/>
              <w:highlight w:val="none"/>
              <w:lang w:val="en-US" w:eastAsia="zh-CN" w:bidi="ar-SA"/>
            </w:rPr>
          </w:pPr>
          <w:r>
            <w:rPr>
              <w:rFonts w:hint="default" w:ascii="Times New Roman" w:hAnsi="Times New Roman" w:eastAsia="仿宋_GB2312" w:cs="Times New Roman"/>
              <w:color w:val="auto"/>
              <w:sz w:val="32"/>
              <w:szCs w:val="32"/>
              <w:highlight w:val="none"/>
            </w:rPr>
            <w:fldChar w:fldCharType="end"/>
          </w:r>
        </w:p>
      </w:sdtContent>
    </w:sdt>
    <w:p w14:paraId="72D02BF5">
      <w:pPr>
        <w:pStyle w:val="2"/>
        <w:jc w:val="center"/>
        <w:rPr>
          <w:rFonts w:hint="eastAsia" w:ascii="Times New Roman" w:hAnsi="Times New Roman" w:eastAsia="方正小标宋简体" w:cs="方正小标宋简体"/>
          <w:b w:val="0"/>
          <w:color w:val="auto"/>
          <w:highlight w:val="green"/>
        </w:rPr>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pPr>
    </w:p>
    <w:p w14:paraId="45838957">
      <w:pPr>
        <w:pStyle w:val="2"/>
        <w:jc w:val="center"/>
        <w:rPr>
          <w:rStyle w:val="32"/>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Style w:val="32"/>
          <w:rFonts w:hint="eastAsia" w:ascii="Times New Roman" w:hAnsi="Times New Roman" w:eastAsia="方正小标宋简体" w:cs="方正小标宋简体"/>
          <w:b w:val="0"/>
          <w:bCs w:val="0"/>
          <w:color w:val="auto"/>
          <w:highlight w:val="none"/>
        </w:rPr>
        <w:t>部门概况</w:t>
      </w:r>
      <w:bookmarkEnd w:id="12"/>
      <w:bookmarkEnd w:id="13"/>
    </w:p>
    <w:p w14:paraId="136B5DCA">
      <w:pPr>
        <w:widowControl/>
        <w:jc w:val="left"/>
        <w:rPr>
          <w:rFonts w:ascii="Times New Roman" w:hAnsi="Times New Roman" w:eastAsia="黑体"/>
          <w:color w:val="auto"/>
          <w:sz w:val="32"/>
          <w:szCs w:val="32"/>
          <w:highlight w:val="none"/>
        </w:rPr>
      </w:pPr>
    </w:p>
    <w:p w14:paraId="0894310F">
      <w:pPr>
        <w:pStyle w:val="3"/>
        <w:keepNext/>
        <w:keepLines/>
        <w:pageBreakBefore w:val="0"/>
        <w:widowControl w:val="0"/>
        <w:kinsoku/>
        <w:wordWrap/>
        <w:overflowPunct/>
        <w:topLinePunct w:val="0"/>
        <w:autoSpaceDE/>
        <w:autoSpaceDN/>
        <w:bidi w:val="0"/>
        <w:adjustRightInd/>
        <w:snapToGrid/>
        <w:spacing w:line="416" w:lineRule="auto"/>
        <w:ind w:firstLine="640" w:firstLineChars="200"/>
        <w:jc w:val="both"/>
        <w:textAlignment w:val="auto"/>
        <w:rPr>
          <w:rFonts w:hint="default" w:ascii="Times New Roman" w:hAnsi="Times New Roman" w:eastAsia="黑体" w:cs="Times New Roman"/>
          <w:b w:val="0"/>
          <w:color w:val="auto"/>
          <w:highlight w:val="none"/>
          <w:lang w:eastAsia="zh-CN"/>
        </w:rPr>
      </w:pPr>
      <w:bookmarkStart w:id="14" w:name="_Toc15396600"/>
      <w:bookmarkStart w:id="15" w:name="_Toc15377197"/>
      <w:bookmarkStart w:id="16" w:name="_Toc7983832"/>
      <w:r>
        <w:rPr>
          <w:rFonts w:hint="default" w:ascii="Times New Roman" w:hAnsi="Times New Roman" w:eastAsia="黑体" w:cs="Times New Roman"/>
          <w:b w:val="0"/>
          <w:color w:val="auto"/>
          <w:highlight w:val="none"/>
        </w:rPr>
        <w:t>一、</w:t>
      </w:r>
      <w:bookmarkEnd w:id="14"/>
      <w:bookmarkEnd w:id="15"/>
      <w:r>
        <w:rPr>
          <w:rFonts w:hint="default" w:ascii="Times New Roman" w:hAnsi="Times New Roman" w:eastAsia="黑体" w:cs="Times New Roman"/>
          <w:b w:val="0"/>
          <w:color w:val="auto"/>
          <w:highlight w:val="none"/>
          <w:lang w:eastAsia="zh-CN"/>
        </w:rPr>
        <w:t>部门职责</w:t>
      </w:r>
      <w:bookmarkEnd w:id="16"/>
    </w:p>
    <w:p w14:paraId="4932F8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1.负责应急管理、防震减灾和安全生产综合监督管理工作，组织和指导仁和区各乡镇（街道）、各部门应对安全生产类、自然灾害类等突发事件的应急抢险救援工作。</w:t>
      </w:r>
    </w:p>
    <w:p w14:paraId="5198A8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2.拟订应急管理、防震减灾、安全生产等政策措施，组织编制全区安全生产、防震减灾、应急体系建设、综合防灾减灾规划。</w:t>
      </w:r>
    </w:p>
    <w:p w14:paraId="2A34195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3.承担区安全生产委员会日常工作。监督检查、指导协调各乡镇（街道）和区级有关部门安全生产工作，组织开展安全生产巡查、督导、考核工作。</w:t>
      </w:r>
    </w:p>
    <w:p w14:paraId="79593F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承担权限范围内煤矿、非煤矿山、危险化学品、非药品类易制毒化学品、烟花爆竹、民用爆炸物品等生产经营单位安全生产准入管理责任。协助省、市应急管理部门做好中央、省属在仁和辖区范围内的工矿商贸企业安全生产监督管理工作。</w:t>
      </w:r>
    </w:p>
    <w:p w14:paraId="1F0C59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拟订权限范围内煤炭产业发展计划、准入条件等并组织实施，按权限审核、上报煤炭项目并负责建设管理。负责煤炭生产协调和监督管理，煤炭行业结构调整和产业升级，煤矿瓦斯等级鉴定、瓦斯治理和利用。协助相关部门抓好合法煤矿矿界范围内的煤炭私挖盗采治理工作。</w:t>
      </w:r>
    </w:p>
    <w:p w14:paraId="09B8074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承担权限范围内煤矿安全生产监督管理责任，依法监督检查煤矿企业贯彻执行安全生产法律法规情况及其安全生产条件和有关设备（特种设备除外）、材料、劳动防护用品的安全生产管理工作。负责组织、指导煤矿企业安全生产专项整治、安全生产标准化、瓦斯和水害防治及相关安全技术发展工作。指导煤矿防灾预案和救护体系建设。参与煤矿事故调查处理工作。</w:t>
      </w:r>
    </w:p>
    <w:p w14:paraId="679599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承担权限范围内的危险化学品、化工、医药、烟花爆竹、民用爆炸物品、非煤矿山、冶金、机械制造、尾矿库、地质勘探、石油（气）开采等工矿生产经营单位安全生产监督管理职责。依法指导、监督检查冶金、有色、建材、机械、轻工、纺织、烟草、商贸等行业的安全生产监督管理工作。依法查处不具备安全生产条件的危险化学品、化工、医药、烟花爆竹、工矿商贸等生产经营单位和安全生产违法违规行为。承担危险化学品安全监督管理综合工作责任。依法监督检查、指导工矿商贸生产经营单位安全生产管理工作。</w:t>
      </w:r>
    </w:p>
    <w:p w14:paraId="1E15FA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8.承担权限范围内防震减灾工作。编制全区防震减灾规划并组织实施，组织制定地震综合防御对策。组织开展辖区范围内地震监测预报工作，提出趋势预测意见。组织开展震情跟踪、日常分析预报和重大地震异常的核实上报工作。管理全区地方地震监测台网和观测台站。监督、管理辖区范围内工程建设场地地震安全性评价工作</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参与震后重建规划。</w:t>
      </w:r>
    </w:p>
    <w:p w14:paraId="2662B1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9.负责组织、指导应急预案体系建设，建立完善事故灾难和自然灾害分级应对制度，牵头组织编制全区应急救援综合预案和安全生产类、自然灾害类应急救援专项预案，负责应急预案衔接工作，组织开展预案演练并落实，督促相关部门加强应急避难场所设施建设。</w:t>
      </w:r>
    </w:p>
    <w:p w14:paraId="2F9023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10.按照中央、省、市、区的规划，牵头建设统一的应急管理信息系统，负责信息传输渠道的规划和布局，建立监测预警和灾情报告制度，健全自然灾害信息资源获取和共享机制，依法统一发布灾情。</w:t>
      </w:r>
    </w:p>
    <w:p w14:paraId="5628DE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11.负责组织、指导、协调安全生产类、自然灾害类等突发事件应急救援，承担全区应对较大及以上灾害指挥部工作，综合研判突发事件发展态势并提出应对建议，负责组织较大及以上灾害的应急处置工作。协调全区各类专业应急队伍，建立应急协调联动机制，推进指挥平台对接，提请衔接区人民武装部和武警部队参与应急救援工作。</w:t>
      </w:r>
    </w:p>
    <w:p w14:paraId="5EA74C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12.按照国家相关政策和省、市、区相关规定，负责消防、森林火灾扑救、抗洪抢险、地震和地质灾害救援、安全生产事故等专业应急救援力量建设，依法依规统筹指导全区及社会应急救援力量和应急保障能力建设。</w:t>
      </w:r>
    </w:p>
    <w:p w14:paraId="67B50E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13.按照国家、省、市、区相关政策和规定，负责消防工作，组织和指导消防监督、火灾预防、火灾扑救工作。</w:t>
      </w:r>
    </w:p>
    <w:p w14:paraId="7FC282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14.组织开展自然灾害监测预警、自然灾害综合风险评估，指导协调森林火灾、水旱灾害、地震和地质灾害等防治工作。组织开展自然灾害类突发事件的调查评估工作。</w:t>
      </w:r>
    </w:p>
    <w:p w14:paraId="5A2C54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15.依法组织、指导生产安全事故调查处理，监督事故查处和责任追究落实情况。组织和指导相关部门开展灾害救助、灾情核查、损失评估、救灾捐赠，管理分配中央、省、市下拨救灾款物并监督使用。</w:t>
      </w:r>
    </w:p>
    <w:p w14:paraId="60D1FD7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16.开展应急管理、防震减灾和安全生产方面的交流与合作，组织参与安全生产类、自然灾害类等突发事件的跨区域救援工作。</w:t>
      </w:r>
    </w:p>
    <w:p w14:paraId="61B0D7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17.制定应急物资储备和应急救援装备规划并组织实施，会同区发展和改革局等有关部门建立健全应急物资信息平台和调拨制度，在救灾时统一调度。</w:t>
      </w:r>
    </w:p>
    <w:p w14:paraId="1BC52E8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18.负责应急管理、防震减灾、安全生产宣传教育和培训工作，组织和指导应急管理、防震减灾、安全生产的科学技术研究、推广应用和信息化建设工作。</w:t>
      </w:r>
    </w:p>
    <w:p w14:paraId="3888F6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19.承担职责范围内的职业健康、生态环境保护、行政审批服务便民化工作责任。按省市要求，指导推进相对集中行政许可权改革。</w:t>
      </w:r>
    </w:p>
    <w:p w14:paraId="320B1E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20.完成区委、区政府交办的其他任务。</w:t>
      </w:r>
    </w:p>
    <w:p w14:paraId="69323229">
      <w:pPr>
        <w:pageBreakBefore w:val="0"/>
        <w:kinsoku/>
        <w:wordWrap/>
        <w:overflowPunct/>
        <w:topLinePunct w:val="0"/>
        <w:bidi w:val="0"/>
        <w:ind w:firstLine="640" w:firstLineChars="200"/>
        <w:jc w:val="both"/>
        <w:textAlignment w:val="auto"/>
        <w:rPr>
          <w:rFonts w:hint="default" w:ascii="Times New Roman" w:hAnsi="Times New Roman" w:cs="Times New Roman"/>
          <w:color w:val="auto"/>
          <w:highlight w:val="none"/>
          <w:lang w:eastAsia="zh-CN"/>
        </w:rPr>
      </w:pPr>
      <w:r>
        <w:rPr>
          <w:rFonts w:hint="default" w:ascii="Times New Roman" w:hAnsi="Times New Roman" w:eastAsia="仿宋_GB2312" w:cs="Times New Roman"/>
          <w:color w:val="auto"/>
          <w:sz w:val="32"/>
          <w:szCs w:val="32"/>
          <w:highlight w:val="none"/>
        </w:rPr>
        <w:t>21.职能转变。加强、优化、统筹应急能力建设，构建统一领导、权责一致、权威高效的应急能力体系，推动形成“统一指挥、专常兼备、反应灵敏、上下联动、平战结合”的应急管理体制。</w:t>
      </w:r>
      <w:r>
        <w:rPr>
          <w:rFonts w:hint="default" w:ascii="Times New Roman" w:hAnsi="Times New Roman" w:eastAsia="仿宋_GB2312" w:cs="Times New Roman"/>
          <w:b/>
          <w:color w:val="auto"/>
          <w:sz w:val="32"/>
          <w:szCs w:val="32"/>
          <w:highlight w:val="none"/>
        </w:rPr>
        <w:t>一是</w:t>
      </w:r>
      <w:r>
        <w:rPr>
          <w:rFonts w:hint="default" w:ascii="Times New Roman" w:hAnsi="Times New Roman" w:eastAsia="仿宋_GB2312" w:cs="Times New Roman"/>
          <w:color w:val="auto"/>
          <w:sz w:val="32"/>
          <w:szCs w:val="32"/>
          <w:highlight w:val="none"/>
        </w:rPr>
        <w:t>坚持以防为主、防抗救相结合，坚持常态减灾和非常态救灾相统一，努力实现从注重灾后救助向注重灾前预防转变，从应对单一灾种向综合减灾转变，从减少灾害损失向减轻灾害风险转变，提高国家应急管理水平和防灾减灾救灾能力，防范化解重特大安全风险。</w:t>
      </w:r>
      <w:r>
        <w:rPr>
          <w:rFonts w:hint="default" w:ascii="Times New Roman" w:hAnsi="Times New Roman" w:eastAsia="仿宋_GB2312" w:cs="Times New Roman"/>
          <w:b/>
          <w:color w:val="auto"/>
          <w:sz w:val="32"/>
          <w:szCs w:val="32"/>
          <w:highlight w:val="none"/>
        </w:rPr>
        <w:t>二是</w:t>
      </w:r>
      <w:r>
        <w:rPr>
          <w:rFonts w:hint="default" w:ascii="Times New Roman" w:hAnsi="Times New Roman" w:eastAsia="仿宋_GB2312" w:cs="Times New Roman"/>
          <w:color w:val="auto"/>
          <w:sz w:val="32"/>
          <w:szCs w:val="32"/>
          <w:highlight w:val="none"/>
        </w:rPr>
        <w:t>坚持以人为本，把确保人民群众生命安全放在首位，确保受灾群众基本生活，加强应急预案演练，增强全民防灾减灾意识，提升公众知识普及和自救互救技能，切实减少人员伤亡和财产损失。</w:t>
      </w:r>
      <w:r>
        <w:rPr>
          <w:rFonts w:hint="default" w:ascii="Times New Roman" w:hAnsi="Times New Roman" w:eastAsia="仿宋_GB2312" w:cs="Times New Roman"/>
          <w:b/>
          <w:color w:val="auto"/>
          <w:sz w:val="32"/>
          <w:szCs w:val="32"/>
          <w:highlight w:val="none"/>
        </w:rPr>
        <w:t>三是</w:t>
      </w:r>
      <w:r>
        <w:rPr>
          <w:rFonts w:hint="default" w:ascii="Times New Roman" w:hAnsi="Times New Roman" w:eastAsia="仿宋_GB2312" w:cs="Times New Roman"/>
          <w:color w:val="auto"/>
          <w:sz w:val="32"/>
          <w:szCs w:val="32"/>
          <w:highlight w:val="none"/>
        </w:rPr>
        <w:t>树牢安全发展理念，坚持生命至上、安全第一，完善安全生产责任，坚决遏制重特大安全事故。</w:t>
      </w:r>
    </w:p>
    <w:p w14:paraId="2A9584E1">
      <w:pPr>
        <w:pStyle w:val="3"/>
        <w:keepNext/>
        <w:keepLines/>
        <w:pageBreakBefore w:val="0"/>
        <w:widowControl w:val="0"/>
        <w:kinsoku/>
        <w:wordWrap/>
        <w:overflowPunct/>
        <w:topLinePunct w:val="0"/>
        <w:autoSpaceDE/>
        <w:autoSpaceDN/>
        <w:bidi w:val="0"/>
        <w:adjustRightInd/>
        <w:snapToGrid/>
        <w:spacing w:line="416" w:lineRule="auto"/>
        <w:ind w:firstLine="640" w:firstLineChars="200"/>
        <w:jc w:val="both"/>
        <w:textAlignment w:val="auto"/>
        <w:rPr>
          <w:rStyle w:val="33"/>
          <w:rFonts w:hint="default" w:ascii="Times New Roman" w:hAnsi="Times New Roman" w:cs="Times New Roman"/>
          <w:b w:val="0"/>
          <w:bCs w:val="0"/>
          <w:color w:val="auto"/>
          <w:highlight w:val="none"/>
        </w:rPr>
      </w:pPr>
      <w:bookmarkStart w:id="17" w:name="_Toc15396601"/>
      <w:bookmarkStart w:id="18" w:name="_Toc1343156796"/>
      <w:bookmarkStart w:id="19" w:name="_Toc15377200"/>
      <w:r>
        <w:rPr>
          <w:rFonts w:hint="default" w:ascii="Times New Roman" w:hAnsi="Times New Roman" w:eastAsia="黑体" w:cs="Times New Roman"/>
          <w:b w:val="0"/>
          <w:color w:val="auto"/>
          <w:highlight w:val="none"/>
        </w:rPr>
        <w:t>二、机</w:t>
      </w:r>
      <w:r>
        <w:rPr>
          <w:rStyle w:val="33"/>
          <w:rFonts w:hint="default" w:ascii="Times New Roman" w:hAnsi="Times New Roman" w:eastAsia="黑体" w:cs="Times New Roman"/>
          <w:b w:val="0"/>
          <w:bCs w:val="0"/>
          <w:color w:val="auto"/>
          <w:highlight w:val="none"/>
        </w:rPr>
        <w:t>构设置</w:t>
      </w:r>
      <w:bookmarkEnd w:id="17"/>
      <w:bookmarkEnd w:id="18"/>
      <w:bookmarkEnd w:id="19"/>
    </w:p>
    <w:p w14:paraId="151346E1">
      <w:pPr>
        <w:pStyle w:val="5"/>
        <w:pageBreakBefore w:val="0"/>
        <w:kinsoku/>
        <w:wordWrap/>
        <w:overflowPunct/>
        <w:topLinePunct w:val="0"/>
        <w:bidi w:val="0"/>
        <w:adjustRightInd w:val="0"/>
        <w:snapToGrid w:val="0"/>
        <w:spacing w:before="93" w:line="600" w:lineRule="exact"/>
        <w:ind w:firstLine="651" w:firstLineChars="210"/>
        <w:jc w:val="both"/>
        <w:textAlignment w:val="auto"/>
        <w:rPr>
          <w:rFonts w:hint="default" w:ascii="Times New Roman" w:hAnsi="Times New Roman" w:eastAsia="仿宋_GB2312" w:cs="Times New Roman"/>
          <w:color w:val="auto"/>
          <w:kern w:val="0"/>
          <w:sz w:val="31"/>
          <w:szCs w:val="31"/>
          <w:highlight w:val="none"/>
          <w:lang w:val="en-US" w:eastAsia="zh-CN" w:bidi="ar"/>
        </w:rPr>
      </w:pPr>
      <w:r>
        <w:rPr>
          <w:rFonts w:hint="default" w:ascii="Times New Roman" w:hAnsi="Times New Roman" w:cs="Times New Roman"/>
          <w:color w:val="auto"/>
          <w:kern w:val="0"/>
          <w:sz w:val="31"/>
          <w:szCs w:val="31"/>
          <w:highlight w:val="none"/>
          <w:lang w:val="en-US" w:eastAsia="zh-CN" w:bidi="ar"/>
        </w:rPr>
        <w:t>攀枝花市仁和</w:t>
      </w:r>
      <w:r>
        <w:rPr>
          <w:rFonts w:hint="default" w:ascii="Times New Roman" w:hAnsi="Times New Roman" w:eastAsia="仿宋_GB2312" w:cs="Times New Roman"/>
          <w:color w:val="auto"/>
          <w:kern w:val="0"/>
          <w:sz w:val="31"/>
          <w:szCs w:val="31"/>
          <w:highlight w:val="none"/>
          <w:lang w:val="en-US" w:eastAsia="zh-CN" w:bidi="ar"/>
        </w:rPr>
        <w:t>区应急管理局下属非独立核算单位</w:t>
      </w:r>
      <w:r>
        <w:rPr>
          <w:rFonts w:hint="default" w:ascii="Times New Roman" w:hAnsi="Times New Roman" w:eastAsia="宋体" w:cs="Times New Roman"/>
          <w:color w:val="auto"/>
          <w:kern w:val="0"/>
          <w:sz w:val="31"/>
          <w:szCs w:val="31"/>
          <w:highlight w:val="none"/>
          <w:lang w:val="en-US" w:eastAsia="zh-CN" w:bidi="ar"/>
        </w:rPr>
        <w:t>3</w:t>
      </w:r>
      <w:r>
        <w:rPr>
          <w:rFonts w:hint="default" w:ascii="Times New Roman" w:hAnsi="Times New Roman" w:eastAsia="仿宋_GB2312" w:cs="Times New Roman"/>
          <w:color w:val="auto"/>
          <w:kern w:val="0"/>
          <w:sz w:val="31"/>
          <w:szCs w:val="31"/>
          <w:highlight w:val="none"/>
          <w:lang w:val="en-US" w:eastAsia="zh-CN" w:bidi="ar"/>
        </w:rPr>
        <w:t>个，其中参照公务员法管理的事业单位</w:t>
      </w:r>
      <w:r>
        <w:rPr>
          <w:rFonts w:hint="default" w:ascii="Times New Roman" w:hAnsi="Times New Roman" w:eastAsia="宋体" w:cs="Times New Roman"/>
          <w:color w:val="auto"/>
          <w:kern w:val="0"/>
          <w:sz w:val="31"/>
          <w:szCs w:val="31"/>
          <w:highlight w:val="none"/>
          <w:lang w:val="en-US" w:eastAsia="zh-CN" w:bidi="ar"/>
        </w:rPr>
        <w:t>2</w:t>
      </w:r>
      <w:r>
        <w:rPr>
          <w:rFonts w:hint="default" w:ascii="Times New Roman" w:hAnsi="Times New Roman" w:eastAsia="仿宋_GB2312" w:cs="Times New Roman"/>
          <w:color w:val="auto"/>
          <w:kern w:val="0"/>
          <w:sz w:val="31"/>
          <w:szCs w:val="31"/>
          <w:highlight w:val="none"/>
          <w:lang w:val="en-US" w:eastAsia="zh-CN" w:bidi="ar"/>
        </w:rPr>
        <w:t>个，其他事业单位</w:t>
      </w:r>
      <w:r>
        <w:rPr>
          <w:rFonts w:hint="default" w:ascii="Times New Roman" w:hAnsi="Times New Roman" w:eastAsia="宋体" w:cs="Times New Roman"/>
          <w:color w:val="auto"/>
          <w:kern w:val="0"/>
          <w:sz w:val="31"/>
          <w:szCs w:val="31"/>
          <w:highlight w:val="none"/>
          <w:lang w:val="en-US" w:eastAsia="zh-CN" w:bidi="ar"/>
        </w:rPr>
        <w:t>1</w:t>
      </w:r>
      <w:r>
        <w:rPr>
          <w:rFonts w:hint="default" w:ascii="Times New Roman" w:hAnsi="Times New Roman" w:eastAsia="仿宋_GB2312" w:cs="Times New Roman"/>
          <w:color w:val="auto"/>
          <w:kern w:val="0"/>
          <w:sz w:val="31"/>
          <w:szCs w:val="31"/>
          <w:highlight w:val="none"/>
          <w:lang w:val="en-US" w:eastAsia="zh-CN" w:bidi="ar"/>
        </w:rPr>
        <w:t>个，主要包括：攀枝花市仁和区减灾救灾事务中心、攀枝花市仁和区应急管理综合行政执法大队、攀枝花市仁和区矿山安全事务中心。</w:t>
      </w:r>
    </w:p>
    <w:p w14:paraId="6E420F12">
      <w:pPr>
        <w:widowControl/>
        <w:jc w:val="left"/>
        <w:rPr>
          <w:rFonts w:ascii="Times New Roman" w:hAnsi="Times New Roman" w:eastAsia="仿宋"/>
          <w:color w:val="auto"/>
          <w:kern w:val="0"/>
          <w:sz w:val="32"/>
          <w:szCs w:val="32"/>
          <w:highlight w:val="none"/>
        </w:rPr>
      </w:pPr>
      <w:r>
        <w:rPr>
          <w:rFonts w:hint="default" w:ascii="Times New Roman" w:hAnsi="Times New Roman" w:eastAsia="仿宋_GB2312" w:cs="Times New Roman"/>
          <w:color w:val="auto"/>
          <w:sz w:val="32"/>
          <w:szCs w:val="32"/>
          <w:highlight w:val="none"/>
        </w:rPr>
        <w:t>纳入</w:t>
      </w:r>
      <w:r>
        <w:rPr>
          <w:rFonts w:hint="default" w:ascii="Times New Roman" w:hAnsi="Times New Roman" w:cs="Times New Roman"/>
          <w:sz w:val="32"/>
          <w:szCs w:val="32"/>
          <w:highlight w:val="none"/>
        </w:rPr>
        <w:t>攀枝花市仁和区应急管理局</w:t>
      </w:r>
      <w:r>
        <w:rPr>
          <w:rFonts w:hint="default" w:ascii="Times New Roman" w:hAnsi="Times New Roman" w:eastAsia="仿宋_GB2312" w:cs="Times New Roman"/>
          <w:color w:val="auto"/>
          <w:sz w:val="32"/>
          <w:szCs w:val="32"/>
          <w:highlight w:val="none"/>
          <w:lang w:eastAsia="zh-CN"/>
        </w:rPr>
        <w:t>202</w:t>
      </w:r>
      <w:r>
        <w:rPr>
          <w:rFonts w:hint="eastAsia" w:ascii="Times New Roman"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年度</w:t>
      </w:r>
      <w:r>
        <w:rPr>
          <w:rFonts w:hint="default" w:ascii="Times New Roman" w:hAnsi="Times New Roman" w:eastAsia="仿宋_GB2312" w:cs="Times New Roman"/>
          <w:color w:val="auto"/>
          <w:sz w:val="32"/>
          <w:szCs w:val="32"/>
          <w:highlight w:val="none"/>
        </w:rPr>
        <w:t>部门决算编制范围的二级预算单位包括：</w:t>
      </w:r>
      <w:r>
        <w:rPr>
          <w:rFonts w:hint="default" w:ascii="Times New Roman" w:hAnsi="Times New Roman" w:cs="Times New Roman"/>
          <w:color w:val="auto"/>
          <w:sz w:val="32"/>
          <w:szCs w:val="32"/>
          <w:highlight w:val="none"/>
          <w:lang w:eastAsia="zh-CN"/>
        </w:rPr>
        <w:t>攀枝花市仁和区应急管理局。</w:t>
      </w:r>
      <w:r>
        <w:rPr>
          <w:rFonts w:ascii="Times New Roman" w:hAnsi="Times New Roman" w:eastAsia="仿宋"/>
          <w:color w:val="auto"/>
          <w:sz w:val="32"/>
          <w:szCs w:val="32"/>
          <w:highlight w:val="none"/>
        </w:rPr>
        <w:br w:type="page"/>
      </w:r>
    </w:p>
    <w:p w14:paraId="24E359B9">
      <w:pPr>
        <w:pStyle w:val="2"/>
        <w:jc w:val="center"/>
        <w:rPr>
          <w:rFonts w:hint="eastAsia" w:ascii="Times New Roman" w:hAnsi="Times New Roman" w:eastAsia="方正小标宋简体" w:cs="方正小标宋简体"/>
          <w:b w:val="0"/>
          <w:color w:val="auto"/>
          <w:highlight w:val="none"/>
        </w:rPr>
      </w:pPr>
      <w:bookmarkStart w:id="20" w:name="_Toc15377204"/>
      <w:bookmarkStart w:id="21" w:name="_Toc15396602"/>
      <w:r>
        <w:rPr>
          <w:rFonts w:hint="eastAsia" w:ascii="Times New Roman" w:hAnsi="Times New Roman" w:eastAsia="方正小标宋简体" w:cs="方正小标宋简体"/>
          <w:b w:val="0"/>
          <w:color w:val="auto"/>
          <w:highlight w:val="none"/>
        </w:rPr>
        <w:t>第二部分</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0"/>
      <w:bookmarkEnd w:id="21"/>
    </w:p>
    <w:p w14:paraId="3A49D312">
      <w:pPr>
        <w:rPr>
          <w:rFonts w:ascii="Times New Roman" w:hAnsi="Times New Roman"/>
          <w:color w:val="auto"/>
          <w:highlight w:val="none"/>
        </w:rPr>
      </w:pPr>
    </w:p>
    <w:p w14:paraId="732F3DAF">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auto"/>
          <w:highlight w:val="none"/>
        </w:rPr>
      </w:pPr>
      <w:bookmarkStart w:id="22" w:name="_Toc15396603"/>
      <w:bookmarkStart w:id="2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3"/>
          <w:rFonts w:hint="eastAsia" w:ascii="Times New Roman" w:hAnsi="Times New Roman" w:eastAsia="黑体"/>
          <w:b w:val="0"/>
          <w:color w:val="auto"/>
          <w:highlight w:val="none"/>
        </w:rPr>
        <w:t>入支出决算总体情况说明</w:t>
      </w:r>
      <w:bookmarkEnd w:id="22"/>
      <w:bookmarkEnd w:id="23"/>
    </w:p>
    <w:p w14:paraId="1215607E">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highlight w:val="none"/>
        </w:rPr>
        <w:t>2620.74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ascii="Times New Roman" w:hAnsi="Times New Roman" w:eastAsia="仿宋_GB2312" w:cs="仿宋_GB2312"/>
          <w:color w:val="auto"/>
          <w:sz w:val="32"/>
          <w:szCs w:val="32"/>
          <w:highlight w:val="none"/>
          <w:lang w:eastAsia="zh-CN"/>
        </w:rPr>
        <w:t>增加329.28万元，增长14.</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lang w:eastAsia="zh-CN"/>
        </w:rPr>
        <w:t>%。主要变动原因是本年度项目经费增多。</w:t>
      </w:r>
    </w:p>
    <w:p w14:paraId="39705DF4">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19AB930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yellow"/>
        </w:rPr>
      </w:pPr>
      <w:r>
        <w:drawing>
          <wp:inline distT="0" distB="0" distL="114300" distR="114300">
            <wp:extent cx="4747895" cy="2577465"/>
            <wp:effectExtent l="4445" t="4445" r="10160" b="8890"/>
            <wp:docPr id="198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54F96DA">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4" w:name="_Toc15396604"/>
      <w:bookmarkStart w:id="25" w:name="_Toc15377206"/>
      <w:r>
        <w:rPr>
          <w:rFonts w:hint="eastAsia" w:ascii="Times New Roman" w:hAnsi="Times New Roman" w:eastAsia="黑体"/>
          <w:color w:val="auto"/>
          <w:sz w:val="32"/>
          <w:szCs w:val="32"/>
          <w:highlight w:val="none"/>
          <w:lang w:eastAsia="zh-CN"/>
        </w:rPr>
        <w:t>二、收入决算情况说明</w:t>
      </w:r>
      <w:bookmarkEnd w:id="24"/>
      <w:bookmarkEnd w:id="25"/>
    </w:p>
    <w:p w14:paraId="4F6EF28B">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highlight w:val="none"/>
        </w:rPr>
        <w:t>2483.1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highlight w:val="none"/>
        </w:rPr>
        <w:t>2423.3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97.</w:t>
      </w:r>
      <w:r>
        <w:rPr>
          <w:rFonts w:hint="eastAsia" w:ascii="仿宋_GB2312" w:hAnsi="仿宋_GB2312" w:eastAsia="仿宋_GB2312" w:cs="仿宋_GB2312"/>
          <w:sz w:val="32"/>
          <w:szCs w:val="32"/>
          <w:highlight w:val="none"/>
          <w:lang w:val="en-US" w:eastAsia="zh-CN"/>
        </w:rPr>
        <w:t>6</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highlight w:val="none"/>
        </w:rPr>
        <w:t>59.8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2.4</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w:t>
      </w:r>
    </w:p>
    <w:p w14:paraId="171F0A96">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bookmarkStart w:id="26" w:name="_Toc15377207"/>
      <w:bookmarkStart w:id="27" w:name="_Toc15396605"/>
    </w:p>
    <w:p w14:paraId="3D2F31CC">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yellow"/>
          <w:lang w:eastAsia="zh-CN"/>
        </w:rPr>
      </w:pPr>
    </w:p>
    <w:p w14:paraId="03D6BF1C">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yellow"/>
          <w:lang w:eastAsia="zh-CN"/>
        </w:rPr>
      </w:pPr>
    </w:p>
    <w:p w14:paraId="4DEEA792">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yellow"/>
          <w:lang w:eastAsia="zh-CN"/>
        </w:rPr>
      </w:pPr>
    </w:p>
    <w:p w14:paraId="401889C9">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yellow"/>
          <w:lang w:eastAsia="zh-CN"/>
        </w:rPr>
      </w:pPr>
    </w:p>
    <w:p w14:paraId="54BB8B40">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yellow"/>
          <w:lang w:eastAsia="zh-CN"/>
        </w:rPr>
      </w:pPr>
    </w:p>
    <w:p w14:paraId="30598BCF">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黑体"/>
          <w:color w:val="auto"/>
          <w:sz w:val="32"/>
          <w:szCs w:val="32"/>
          <w:highlight w:val="yellow"/>
          <w:lang w:eastAsia="zh-CN"/>
        </w:rPr>
      </w:pPr>
      <w:r>
        <w:drawing>
          <wp:anchor distT="0" distB="0" distL="114300" distR="114300" simplePos="0" relativeHeight="251659264" behindDoc="0" locked="0" layoutInCell="1" allowOverlap="1">
            <wp:simplePos x="0" y="0"/>
            <wp:positionH relativeFrom="column">
              <wp:posOffset>271145</wp:posOffset>
            </wp:positionH>
            <wp:positionV relativeFrom="paragraph">
              <wp:posOffset>-2110105</wp:posOffset>
            </wp:positionV>
            <wp:extent cx="4583430" cy="2400935"/>
            <wp:effectExtent l="4445" t="4445" r="22225" b="13970"/>
            <wp:wrapSquare wrapText="bothSides"/>
            <wp:docPr id="198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69EBF451">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3"/>
          <w:rFonts w:hint="eastAsia" w:ascii="Times New Roman" w:hAnsi="Times New Roman" w:eastAsia="黑体"/>
          <w:b w:val="0"/>
          <w:color w:val="auto"/>
          <w:highlight w:val="none"/>
        </w:rPr>
        <w:t>出决算情况说明</w:t>
      </w:r>
      <w:bookmarkEnd w:id="26"/>
      <w:bookmarkEnd w:id="27"/>
    </w:p>
    <w:p w14:paraId="2FF28DC1">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highlight w:val="none"/>
        </w:rPr>
        <w:t>2620.74</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rPr>
        <w:t>915.83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34.9</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rPr>
        <w:t>1704.91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65.</w:t>
      </w:r>
      <w:r>
        <w:rPr>
          <w:rFonts w:hint="eastAsia" w:ascii="仿宋_GB2312" w:hAnsi="仿宋_GB2312" w:eastAsia="仿宋_GB2312" w:cs="仿宋_GB2312"/>
          <w:sz w:val="32"/>
          <w:szCs w:val="32"/>
          <w:highlight w:val="none"/>
          <w:lang w:val="en-US" w:eastAsia="zh-CN"/>
        </w:rPr>
        <w:t>1</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w:t>
      </w:r>
    </w:p>
    <w:p w14:paraId="5D9749EF">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65659DB7">
      <w:pPr>
        <w:ind w:firstLine="525" w:firstLineChars="250"/>
      </w:pPr>
    </w:p>
    <w:p w14:paraId="4A58C5C6">
      <w:pPr>
        <w:ind w:firstLine="525" w:firstLineChars="250"/>
        <w:rPr>
          <w:rFonts w:hint="eastAsia" w:ascii="Times New Roman" w:hAnsi="Times New Roman" w:eastAsia="仿宋_GB2312" w:cs="仿宋_GB2312"/>
          <w:color w:val="auto"/>
          <w:sz w:val="32"/>
          <w:szCs w:val="32"/>
          <w:highlight w:val="yellow"/>
          <w:lang w:eastAsia="zh-CN"/>
        </w:rPr>
      </w:pPr>
      <w:r>
        <w:drawing>
          <wp:inline distT="0" distB="0" distL="114300" distR="114300">
            <wp:extent cx="4618355" cy="2125980"/>
            <wp:effectExtent l="4445" t="5080" r="6350" b="21590"/>
            <wp:docPr id="198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BF676C0">
      <w:pPr>
        <w:spacing w:line="600" w:lineRule="exact"/>
        <w:ind w:firstLine="640" w:firstLineChars="200"/>
        <w:outlineLvl w:val="1"/>
        <w:rPr>
          <w:rFonts w:hint="eastAsia" w:ascii="Times New Roman" w:hAnsi="Times New Roman" w:eastAsia="黑体"/>
          <w:color w:val="auto"/>
          <w:sz w:val="32"/>
          <w:szCs w:val="32"/>
          <w:highlight w:val="yellow"/>
        </w:rPr>
      </w:pPr>
      <w:bookmarkStart w:id="28" w:name="_Toc15396606"/>
      <w:bookmarkStart w:id="29" w:name="_Toc15377208"/>
    </w:p>
    <w:p w14:paraId="6AE0DE2F">
      <w:pPr>
        <w:spacing w:line="600" w:lineRule="exact"/>
        <w:ind w:firstLine="640" w:firstLineChars="200"/>
        <w:outlineLvl w:val="1"/>
        <w:rPr>
          <w:rStyle w:val="33"/>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33"/>
          <w:rFonts w:hint="eastAsia" w:ascii="Times New Roman" w:hAnsi="Times New Roman" w:eastAsia="黑体"/>
          <w:b w:val="0"/>
          <w:color w:val="auto"/>
          <w:highlight w:val="none"/>
        </w:rPr>
        <w:t>政拨款收入支出决算总体情况说明</w:t>
      </w:r>
      <w:bookmarkEnd w:id="28"/>
      <w:bookmarkEnd w:id="29"/>
    </w:p>
    <w:p w14:paraId="4E9F45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highlight w:val="none"/>
        </w:rPr>
        <w:t>2620.74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sz w:val="32"/>
          <w:szCs w:val="32"/>
          <w:highlight w:val="none"/>
          <w:lang w:eastAsia="zh-CN"/>
        </w:rPr>
        <w:t>329.28万元，增长14.</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lang w:eastAsia="zh-CN"/>
        </w:rPr>
        <w:t>%。主要变动原因是本年度项目经费增多。</w:t>
      </w:r>
    </w:p>
    <w:p w14:paraId="4EDCF85C">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1B7CCCB">
      <w:pPr>
        <w:pStyle w:val="20"/>
        <w:rPr>
          <w:rFonts w:hint="eastAsia"/>
          <w:lang w:val="en-US" w:eastAsia="zh-CN"/>
        </w:rPr>
      </w:pPr>
    </w:p>
    <w:p w14:paraId="1C1BCC9C">
      <w:pPr>
        <w:pStyle w:val="20"/>
      </w:pPr>
      <w:r>
        <w:drawing>
          <wp:inline distT="0" distB="0" distL="114300" distR="114300">
            <wp:extent cx="5086985" cy="2809240"/>
            <wp:effectExtent l="4445" t="4445" r="13970" b="5715"/>
            <wp:docPr id="198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Start w:id="30" w:name="_Toc15377209"/>
      <w:bookmarkStart w:id="31" w:name="_Toc15396607"/>
    </w:p>
    <w:p w14:paraId="195FCC63">
      <w:pPr>
        <w:pStyle w:val="21"/>
        <w:rPr>
          <w:rFonts w:hint="eastAsia"/>
        </w:rPr>
      </w:pPr>
    </w:p>
    <w:p w14:paraId="645EC72F">
      <w:pPr>
        <w:spacing w:line="600" w:lineRule="exact"/>
        <w:ind w:firstLine="640" w:firstLineChars="200"/>
        <w:outlineLvl w:val="1"/>
        <w:rPr>
          <w:rStyle w:val="33"/>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般公共预算财政拨款支出决算情况说明</w:t>
      </w:r>
      <w:bookmarkEnd w:id="30"/>
      <w:bookmarkEnd w:id="31"/>
    </w:p>
    <w:p w14:paraId="7817447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2"/>
    </w:p>
    <w:p w14:paraId="16E02F96">
      <w:pPr>
        <w:spacing w:line="600" w:lineRule="exact"/>
        <w:ind w:firstLine="640"/>
        <w:rPr>
          <w:rFonts w:hint="eastAsia" w:ascii="Times New Roman" w:hAnsi="Times New Roman" w:eastAsia="宋体"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highlight w:val="none"/>
        </w:rPr>
        <w:t>2560.94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rPr>
        <w:t>97.71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1331.61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108.3</w:t>
      </w:r>
      <w:r>
        <w:rPr>
          <w:rFonts w:hint="eastAsia" w:ascii="Times New Roman" w:hAnsi="Times New Roman" w:eastAsia="仿宋_GB2312" w:cs="仿宋_GB2312"/>
          <w:color w:val="auto"/>
          <w:kern w:val="2"/>
          <w:sz w:val="32"/>
          <w:szCs w:val="32"/>
          <w:highlight w:val="none"/>
          <w:lang w:val="en-US" w:eastAsia="zh-CN" w:bidi="ar-SA"/>
        </w:rPr>
        <w:t>%。主要变动原因是本年度项目经费增多。</w:t>
      </w:r>
    </w:p>
    <w:p w14:paraId="46F472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6B99DA0">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p>
    <w:p w14:paraId="68D8ED71">
      <w:pPr>
        <w:pStyle w:val="20"/>
        <w:rPr>
          <w:rFonts w:hint="eastAsia" w:ascii="Times New Roman" w:hAnsi="Times New Roman" w:eastAsia="仿宋_GB2312" w:cs="仿宋_GB2312"/>
          <w:color w:val="auto"/>
          <w:kern w:val="2"/>
          <w:sz w:val="32"/>
          <w:szCs w:val="32"/>
          <w:highlight w:val="yellow"/>
          <w:lang w:val="en-US" w:eastAsia="zh-CN" w:bidi="ar-SA"/>
        </w:rPr>
      </w:pPr>
    </w:p>
    <w:p w14:paraId="168F910B">
      <w:pPr>
        <w:pStyle w:val="21"/>
        <w:rPr>
          <w:rFonts w:hint="eastAsia"/>
          <w:lang w:val="en-US" w:eastAsia="zh-CN"/>
        </w:rPr>
      </w:pPr>
      <w:r>
        <w:drawing>
          <wp:inline distT="0" distB="0" distL="114300" distR="114300">
            <wp:extent cx="4202430" cy="2362200"/>
            <wp:effectExtent l="4445" t="4445" r="22225" b="14605"/>
            <wp:docPr id="198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A5B8B5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3"/>
    </w:p>
    <w:p w14:paraId="0EE206C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highlight w:val="none"/>
        </w:rPr>
        <w:t>2560.94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社会保障和就业支出100.41万元，占</w:t>
      </w:r>
      <w:r>
        <w:rPr>
          <w:rFonts w:hint="eastAsia" w:eastAsia="仿宋_GB2312" w:cs="仿宋_GB2312"/>
          <w:color w:val="auto"/>
          <w:kern w:val="2"/>
          <w:sz w:val="32"/>
          <w:szCs w:val="32"/>
          <w:highlight w:val="none"/>
          <w:lang w:val="en-US" w:eastAsia="zh-CN" w:bidi="ar-SA"/>
        </w:rPr>
        <w:t>3.9</w:t>
      </w:r>
      <w:r>
        <w:rPr>
          <w:rFonts w:hint="eastAsia" w:ascii="Times New Roman" w:hAnsi="Times New Roman" w:eastAsia="仿宋_GB2312" w:cs="仿宋_GB2312"/>
          <w:color w:val="auto"/>
          <w:kern w:val="2"/>
          <w:sz w:val="32"/>
          <w:szCs w:val="32"/>
          <w:highlight w:val="none"/>
          <w:lang w:val="en-US" w:eastAsia="zh-CN" w:bidi="ar-SA"/>
        </w:rPr>
        <w:t>%；卫生健康支出44.87万元，占</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%；农林水支出146.84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5.7</w:t>
      </w:r>
      <w:r>
        <w:rPr>
          <w:rFonts w:hint="eastAsia" w:ascii="Times New Roman" w:hAnsi="Times New Roman" w:eastAsia="仿宋_GB2312" w:cs="仿宋_GB2312"/>
          <w:color w:val="auto"/>
          <w:kern w:val="2"/>
          <w:sz w:val="32"/>
          <w:szCs w:val="32"/>
          <w:highlight w:val="none"/>
          <w:lang w:val="en-US" w:eastAsia="zh-CN" w:bidi="ar-SA"/>
        </w:rPr>
        <w:t>%；住房保障支出62.43万元，占</w:t>
      </w: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%；灾害防治及应急管理支出2206.38</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86.2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F00CD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4F32566E">
      <w:pPr>
        <w:spacing w:line="600" w:lineRule="exact"/>
        <w:ind w:firstLine="640"/>
        <w:rPr>
          <w:rFonts w:hint="eastAsia" w:ascii="Times New Roman" w:hAnsi="Times New Roman" w:eastAsia="仿宋_GB2312" w:cs="仿宋_GB2312"/>
          <w:color w:val="auto"/>
          <w:kern w:val="2"/>
          <w:sz w:val="32"/>
          <w:szCs w:val="32"/>
          <w:highlight w:val="yellow"/>
          <w:lang w:val="en-US" w:eastAsia="zh-CN" w:bidi="ar-SA"/>
        </w:rPr>
      </w:pPr>
    </w:p>
    <w:p w14:paraId="7A26F2F6">
      <w:pPr>
        <w:pStyle w:val="21"/>
        <w:ind w:left="0" w:leftChars="0" w:firstLine="0" w:firstLineChars="0"/>
        <w:jc w:val="both"/>
        <w:rPr>
          <w:rFonts w:hint="eastAsia"/>
          <w:lang w:val="en-US" w:eastAsia="zh-CN"/>
        </w:rPr>
      </w:pPr>
      <w:r>
        <w:drawing>
          <wp:inline distT="0" distB="0" distL="114300" distR="114300">
            <wp:extent cx="5268595" cy="2887345"/>
            <wp:effectExtent l="4445" t="4445" r="22860" b="22860"/>
            <wp:docPr id="198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578D36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4"/>
    </w:p>
    <w:p w14:paraId="02D057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5" w:name="_Toc15378460"/>
      <w:bookmarkStart w:id="36" w:name="_Toc15377213"/>
      <w:bookmarkStart w:id="3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highlight w:val="none"/>
        </w:rPr>
        <w:t>2560.94</w:t>
      </w:r>
      <w:r>
        <w:rPr>
          <w:rFonts w:hint="eastAsia" w:ascii="仿宋_GB2312" w:hAnsi="仿宋_GB2312" w:eastAsia="仿宋_GB2312" w:cs="仿宋_GB2312"/>
          <w:sz w:val="32"/>
          <w:szCs w:val="32"/>
          <w:highlight w:val="none"/>
          <w:lang w:eastAsia="zh-CN"/>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5"/>
      <w:bookmarkEnd w:id="36"/>
      <w:bookmarkEnd w:id="37"/>
    </w:p>
    <w:p w14:paraId="74CBA7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支出决算为76.32万元，完成预算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1CC9A4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支出决算为24.09万元，完成预算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11174F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3.卫生健康（类）行政事业单位医疗（款）行政单位医疗（项）：支出决算为25.95万元，完成预算100%，决算数等于预算数。</w:t>
      </w:r>
    </w:p>
    <w:p w14:paraId="6E713C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4.卫生健康（类）行政事业单位医疗（款）事业单位医疗（项）：支出决算为12.77万元，完成预算100%，决算数等于预算数。</w:t>
      </w:r>
    </w:p>
    <w:p w14:paraId="2D9D02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.卫生健康（类）行政事业单位医疗（款）公务员医疗补助（项）：支出决算为6.15万元，完成预算100%，决算数等于预算数。</w:t>
      </w:r>
    </w:p>
    <w:p w14:paraId="303F2F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.农林水支出（类）其他农林水支出（款）其他农林水支出（项）：支出决算为146.84万元，完成预算100%，决算数等于预算数。</w:t>
      </w:r>
    </w:p>
    <w:p w14:paraId="5A3662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支出决算为62.43万元，完成预算100%，决算数等于预算数。</w:t>
      </w:r>
    </w:p>
    <w:p w14:paraId="15CF9F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.灾害防治及应急管理支出（类）应急管理事务（款）行政运行（项）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支出决算为495.2万元，完成预算100%，决算数等于预算数。</w:t>
      </w:r>
    </w:p>
    <w:p w14:paraId="66C365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.灾害防治及应急管理支出（类）应急管理事务（款）事业运行（项）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支出决算为212.9万元，完成预算100%，决算数等于预算数。</w:t>
      </w:r>
    </w:p>
    <w:p w14:paraId="141E21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.灾害防治及应急管理支出（类）应急管理事务（款）其他应急管理支出（项）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支出决算为1354万元，完成预算100%，决算数等于预算数。</w:t>
      </w:r>
    </w:p>
    <w:p w14:paraId="1FB6CBBE">
      <w:pPr>
        <w:pStyle w:val="21"/>
        <w:ind w:left="0" w:leftChars="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11.灾害防治及应急管理支出（类）消防救援事务（款）消防应急救援（项）：支出决算为9.97万元，完成预算100%，决算数等于预算数。</w:t>
      </w:r>
    </w:p>
    <w:p w14:paraId="20F4C49A">
      <w:pPr>
        <w:pStyle w:val="21"/>
        <w:ind w:left="0" w:leftChars="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.灾害防治及应急管理支出（类）消防救援事务（款）其他消防救援事务支出（项）：支出决算为50万元，完成预算100%，决算数等于预算数。</w:t>
      </w:r>
    </w:p>
    <w:p w14:paraId="1808B977">
      <w:pPr>
        <w:ind w:firstLine="640"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.灾害防治及应急管理支出（类）矿山安全（款）其他矿山安全支出（项）：支出决算为84.3万元，完成预算100%，决算数等于预算数。</w:t>
      </w:r>
    </w:p>
    <w:p w14:paraId="758DCB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FBAA187">
      <w:pPr>
        <w:tabs>
          <w:tab w:val="right" w:pos="8306"/>
        </w:tabs>
        <w:spacing w:line="600" w:lineRule="exact"/>
        <w:ind w:firstLine="640"/>
        <w:outlineLvl w:val="1"/>
        <w:rPr>
          <w:rStyle w:val="33"/>
          <w:rFonts w:ascii="Times New Roman" w:hAnsi="Times New Roman"/>
          <w:color w:val="auto"/>
          <w:highlight w:val="none"/>
        </w:rPr>
      </w:pPr>
      <w:bookmarkStart w:id="38" w:name="_Toc15396608"/>
      <w:bookmarkStart w:id="3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般公共预算财政拨款基本支出决算情况说明</w:t>
      </w:r>
      <w:bookmarkEnd w:id="38"/>
      <w:bookmarkEnd w:id="39"/>
      <w:r>
        <w:rPr>
          <w:rStyle w:val="33"/>
          <w:rFonts w:ascii="Times New Roman" w:hAnsi="Times New Roman" w:eastAsia="黑体"/>
          <w:b w:val="0"/>
          <w:color w:val="auto"/>
          <w:highlight w:val="none"/>
        </w:rPr>
        <w:tab/>
      </w:r>
    </w:p>
    <w:p w14:paraId="4EB61B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highlight w:val="none"/>
        </w:rPr>
        <w:t>915.83</w:t>
      </w:r>
      <w:r>
        <w:rPr>
          <w:rFonts w:hint="eastAsia" w:ascii="Times New Roman" w:hAnsi="Times New Roman" w:eastAsia="仿宋_GB2312" w:cs="仿宋_GB2312"/>
          <w:color w:val="auto"/>
          <w:kern w:val="2"/>
          <w:sz w:val="32"/>
          <w:szCs w:val="32"/>
          <w:highlight w:val="none"/>
          <w:lang w:val="en-US" w:eastAsia="zh-CN" w:bidi="ar-SA"/>
        </w:rPr>
        <w:t>万元，其中：</w:t>
      </w:r>
    </w:p>
    <w:p w14:paraId="3FFD135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rPr>
        <w:t>829.77</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万元，主要包括：基本工资、津贴补贴、奖金、绩效工资、机关事业单位基本养老保险缴费、职业年金缴费、职工基本医疗保险缴费</w:t>
      </w:r>
      <w:r>
        <w:rPr>
          <w:rFonts w:hint="eastAsia" w:eastAsia="仿宋_GB2312" w:cs="仿宋_GB2312"/>
          <w:color w:val="auto"/>
          <w:kern w:val="2"/>
          <w:sz w:val="32"/>
          <w:szCs w:val="32"/>
          <w:highlight w:val="none"/>
          <w:lang w:val="en-US" w:eastAsia="zh-CN" w:bidi="ar-SA"/>
        </w:rPr>
        <w:t>、公务员医疗补助缴费、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其他社会保障缴费、住房公积金</w:t>
      </w:r>
      <w:r>
        <w:rPr>
          <w:rFonts w:hint="eastAsia" w:eastAsia="仿宋_GB2312" w:cs="仿宋_GB2312"/>
          <w:color w:val="auto"/>
          <w:kern w:val="2"/>
          <w:sz w:val="32"/>
          <w:szCs w:val="32"/>
          <w:highlight w:val="none"/>
          <w:lang w:val="en-US" w:eastAsia="zh-CN" w:bidi="ar-SA"/>
        </w:rPr>
        <w:t>、医疗费、</w:t>
      </w:r>
      <w:r>
        <w:rPr>
          <w:rFonts w:hint="eastAsia" w:ascii="Times New Roman" w:hAnsi="Times New Roman" w:eastAsia="仿宋_GB2312" w:cs="仿宋_GB2312"/>
          <w:color w:val="auto"/>
          <w:kern w:val="2"/>
          <w:sz w:val="32"/>
          <w:szCs w:val="32"/>
          <w:highlight w:val="none"/>
          <w:lang w:val="en-US" w:eastAsia="zh-CN" w:bidi="ar-SA"/>
        </w:rPr>
        <w:t>其他工资福利支出、生活补助、医疗费补助。</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rPr>
        <w:t>86.05</w:t>
      </w:r>
      <w:r>
        <w:rPr>
          <w:rFonts w:hint="eastAsia" w:ascii="Times New Roman" w:hAnsi="Times New Roman" w:eastAsia="仿宋_GB2312" w:cs="仿宋_GB2312"/>
          <w:color w:val="auto"/>
          <w:kern w:val="2"/>
          <w:sz w:val="32"/>
          <w:szCs w:val="32"/>
          <w:highlight w:val="none"/>
          <w:lang w:val="en-US" w:eastAsia="zh-CN" w:bidi="ar-SA"/>
        </w:rPr>
        <w:t>万元，主要包括：办公费、水费、电费、邮电费、差旅费、维修（护）费、公务接待费、劳务费、委托业务费、工会经费、福利费、公务用车运行维护费、其他交通费、其他商品和服务支出。</w:t>
      </w:r>
    </w:p>
    <w:p w14:paraId="5C728E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282F78E">
      <w:pPr>
        <w:spacing w:line="600" w:lineRule="exact"/>
        <w:ind w:firstLine="640"/>
        <w:outlineLvl w:val="1"/>
        <w:rPr>
          <w:rStyle w:val="33"/>
          <w:rFonts w:ascii="Times New Roman" w:hAnsi="Times New Roman" w:eastAsia="黑体"/>
          <w:b w:val="0"/>
          <w:color w:val="auto"/>
          <w:highlight w:val="none"/>
        </w:rPr>
      </w:pPr>
      <w:bookmarkStart w:id="40" w:name="_Toc15377215"/>
      <w:bookmarkStart w:id="41" w:name="_Toc15396609"/>
      <w:r>
        <w:rPr>
          <w:rFonts w:hint="eastAsia" w:ascii="Times New Roman" w:hAnsi="Times New Roman" w:eastAsia="黑体"/>
          <w:color w:val="auto"/>
          <w:sz w:val="32"/>
          <w:szCs w:val="32"/>
          <w:highlight w:val="none"/>
        </w:rPr>
        <w:t>七、</w:t>
      </w:r>
      <w:r>
        <w:rPr>
          <w:rStyle w:val="33"/>
          <w:rFonts w:hint="eastAsia" w:ascii="Times New Roman" w:hAnsi="Times New Roman" w:eastAsia="黑体"/>
          <w:b w:val="0"/>
          <w:color w:val="auto"/>
          <w:highlight w:val="none"/>
        </w:rPr>
        <w:t>财政拨款</w:t>
      </w:r>
      <w:r>
        <w:rPr>
          <w:rStyle w:val="33"/>
          <w:rFonts w:hint="eastAsia" w:ascii="Times New Roman" w:hAnsi="Times New Roman" w:eastAsia="黑体"/>
          <w:color w:val="auto"/>
          <w:highlight w:val="none"/>
        </w:rPr>
        <w:t>“</w:t>
      </w:r>
      <w:r>
        <w:rPr>
          <w:rStyle w:val="33"/>
          <w:rFonts w:hint="eastAsia" w:ascii="Times New Roman" w:hAnsi="Times New Roman" w:eastAsia="黑体"/>
          <w:b w:val="0"/>
          <w:color w:val="auto"/>
          <w:highlight w:val="none"/>
        </w:rPr>
        <w:t>三公”经费支出决算情况说明</w:t>
      </w:r>
      <w:bookmarkEnd w:id="40"/>
      <w:bookmarkEnd w:id="41"/>
    </w:p>
    <w:p w14:paraId="131CA29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2"/>
    </w:p>
    <w:p w14:paraId="06577ED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highlight w:val="none"/>
        </w:rPr>
        <w:t>7.87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rPr>
        <w:t>88.94</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50.4</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%。决算数小于预算数的主要原因是本年度</w:t>
      </w:r>
      <w:r>
        <w:rPr>
          <w:rFonts w:hint="eastAsia" w:eastAsia="仿宋_GB2312" w:cs="仿宋_GB2312"/>
          <w:color w:val="auto"/>
          <w:kern w:val="2"/>
          <w:sz w:val="32"/>
          <w:szCs w:val="32"/>
          <w:highlight w:val="none"/>
          <w:lang w:val="en-US" w:eastAsia="zh-CN" w:bidi="ar-SA"/>
        </w:rPr>
        <w:t>厉行节约</w:t>
      </w:r>
      <w:r>
        <w:rPr>
          <w:rFonts w:hint="eastAsia" w:ascii="Times New Roman" w:hAnsi="Times New Roman" w:eastAsia="仿宋_GB2312" w:cs="仿宋_GB2312"/>
          <w:color w:val="auto"/>
          <w:kern w:val="2"/>
          <w:sz w:val="32"/>
          <w:szCs w:val="32"/>
          <w:highlight w:val="none"/>
          <w:lang w:val="en-US" w:eastAsia="zh-CN" w:bidi="ar-SA"/>
        </w:rPr>
        <w:t>减少不必要开支</w:t>
      </w:r>
      <w:r>
        <w:rPr>
          <w:rFonts w:hint="eastAsia" w:ascii="宋体" w:hAnsi="宋体" w:eastAsia="宋体" w:cs="宋体"/>
          <w:sz w:val="24"/>
          <w:szCs w:val="24"/>
          <w:highlight w:val="none"/>
          <w:lang w:eastAsia="zh-CN"/>
        </w:rPr>
        <w:t>。</w:t>
      </w:r>
    </w:p>
    <w:p w14:paraId="76C5887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3"/>
    </w:p>
    <w:p w14:paraId="67B6A9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highlight w:val="none"/>
        </w:rPr>
        <w:t>6.06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77</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highlight w:val="none"/>
        </w:rPr>
        <w:t>1.82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%。具体情况如下：</w:t>
      </w:r>
    </w:p>
    <w:p w14:paraId="623508F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666B67A1">
      <w:pPr>
        <w:pStyle w:val="21"/>
        <w:rPr>
          <w:rFonts w:hint="eastAsia" w:ascii="Times New Roman" w:hAnsi="Times New Roman" w:eastAsia="仿宋_GB2312" w:cs="仿宋_GB2312"/>
          <w:b/>
          <w:bCs/>
          <w:color w:val="auto"/>
          <w:kern w:val="2"/>
          <w:sz w:val="32"/>
          <w:szCs w:val="32"/>
          <w:highlight w:val="yellow"/>
          <w:lang w:val="en-US" w:eastAsia="zh-CN" w:bidi="ar-SA"/>
        </w:rPr>
      </w:pPr>
      <w:r>
        <w:drawing>
          <wp:inline distT="0" distB="0" distL="114300" distR="114300">
            <wp:extent cx="4508500" cy="2426335"/>
            <wp:effectExtent l="4445" t="4445" r="20955" b="7620"/>
            <wp:docPr id="13564"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60B07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C97A9A0">
      <w:pPr>
        <w:spacing w:line="600" w:lineRule="exact"/>
        <w:ind w:firstLine="640"/>
        <w:rPr>
          <w:rFonts w:hint="eastAsia" w:ascii="Times New Roman" w:hAnsi="Times New Roman" w:eastAsia="宋体"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6.06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5.34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46.8</w:t>
      </w:r>
      <w:r>
        <w:rPr>
          <w:rFonts w:hint="eastAsia" w:ascii="Times New Roman" w:hAnsi="Times New Roman" w:eastAsia="仿宋_GB2312" w:cs="仿宋_GB2312"/>
          <w:color w:val="auto"/>
          <w:kern w:val="2"/>
          <w:sz w:val="32"/>
          <w:szCs w:val="32"/>
          <w:highlight w:val="none"/>
          <w:lang w:val="en-US" w:eastAsia="zh-CN" w:bidi="ar-SA"/>
        </w:rPr>
        <w:t>%。主要原因是本年度公车运行维护费减少。</w:t>
      </w:r>
    </w:p>
    <w:p w14:paraId="4360C9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辆、载客汽车0辆，特种专业技术用车3辆。</w:t>
      </w:r>
    </w:p>
    <w:p w14:paraId="4B347E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highlight w:val="none"/>
        </w:rPr>
        <w:t>6.06</w:t>
      </w:r>
      <w:r>
        <w:rPr>
          <w:rFonts w:hint="eastAsia" w:ascii="Times New Roman" w:hAnsi="Times New Roman" w:eastAsia="仿宋_GB2312" w:cs="仿宋_GB2312"/>
          <w:color w:val="auto"/>
          <w:kern w:val="2"/>
          <w:sz w:val="32"/>
          <w:szCs w:val="32"/>
          <w:highlight w:val="none"/>
          <w:lang w:val="en-US" w:eastAsia="zh-CN" w:bidi="ar-SA"/>
        </w:rPr>
        <w:t>万元。主要用于公务检查工作等所需的公务用车燃料费、维修费、过路过桥费、保险费等支出</w:t>
      </w:r>
      <w:r>
        <w:rPr>
          <w:rFonts w:hint="eastAsia" w:eastAsia="仿宋_GB2312" w:cs="仿宋_GB2312"/>
          <w:color w:val="auto"/>
          <w:kern w:val="2"/>
          <w:sz w:val="32"/>
          <w:szCs w:val="32"/>
          <w:highlight w:val="none"/>
          <w:lang w:val="en-US" w:eastAsia="zh-CN" w:bidi="ar-SA"/>
        </w:rPr>
        <w:t>。</w:t>
      </w:r>
    </w:p>
    <w:p w14:paraId="6BD016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1.82</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2.66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59.5</w:t>
      </w:r>
      <w:r>
        <w:rPr>
          <w:rFonts w:hint="eastAsia" w:ascii="Times New Roman" w:hAnsi="Times New Roman" w:eastAsia="仿宋_GB2312" w:cs="仿宋_GB2312"/>
          <w:color w:val="auto"/>
          <w:kern w:val="2"/>
          <w:sz w:val="32"/>
          <w:szCs w:val="32"/>
          <w:highlight w:val="none"/>
          <w:lang w:val="en-US" w:eastAsia="zh-CN" w:bidi="ar-SA"/>
        </w:rPr>
        <w:t>%。主要原因是本年度主要是迎检接待费减少。其中：</w:t>
      </w:r>
    </w:p>
    <w:p w14:paraId="1E9CEC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highlight w:val="none"/>
        </w:rPr>
        <w:t>1.82</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万元，主要用于执行公务、开展业务活动开支的用餐费。国内公务接待</w:t>
      </w:r>
      <w:r>
        <w:rPr>
          <w:rFonts w:hint="eastAsia" w:ascii="仿宋_GB2312" w:hAnsi="仿宋_GB2312" w:eastAsia="仿宋_GB2312" w:cs="仿宋_GB2312"/>
          <w:sz w:val="32"/>
          <w:szCs w:val="32"/>
          <w:highlight w:val="none"/>
        </w:rPr>
        <w:t>13</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rPr>
        <w:t>150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1.82</w:t>
      </w:r>
      <w:r>
        <w:rPr>
          <w:rFonts w:hint="eastAsia" w:ascii="Times New Roman" w:hAnsi="Times New Roman" w:eastAsia="仿宋_GB2312" w:cs="仿宋_GB2312"/>
          <w:color w:val="auto"/>
          <w:kern w:val="2"/>
          <w:sz w:val="32"/>
          <w:szCs w:val="32"/>
          <w:highlight w:val="none"/>
          <w:lang w:val="en-US" w:eastAsia="zh-CN" w:bidi="ar-SA"/>
        </w:rPr>
        <w:t>万元，具体内容包括：主要是迎检交流的公务接待。</w:t>
      </w:r>
    </w:p>
    <w:p w14:paraId="73DAB0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32EA11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4" w:name="_Toc15396610"/>
      <w:bookmarkStart w:id="45" w:name="_Toc15377218"/>
    </w:p>
    <w:p w14:paraId="0713829D">
      <w:pPr>
        <w:spacing w:line="600" w:lineRule="exact"/>
        <w:ind w:firstLine="640"/>
        <w:outlineLvl w:val="1"/>
        <w:rPr>
          <w:rStyle w:val="33"/>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3"/>
          <w:rFonts w:hint="eastAsia" w:ascii="Times New Roman" w:hAnsi="Times New Roman" w:eastAsia="黑体"/>
          <w:b w:val="0"/>
          <w:color w:val="auto"/>
          <w:highlight w:val="none"/>
        </w:rPr>
        <w:t>政府性基金预算支出决算情况说明</w:t>
      </w:r>
      <w:bookmarkEnd w:id="44"/>
      <w:bookmarkEnd w:id="45"/>
    </w:p>
    <w:p w14:paraId="7E7DFEC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highlight w:val="none"/>
        </w:rPr>
        <w:t>59.8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rPr>
        <w:t>2.28</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年度相比，政府性基金预算财政拨款支出减少</w:t>
      </w:r>
      <w:r>
        <w:rPr>
          <w:rFonts w:hint="eastAsia" w:eastAsia="仿宋_GB2312" w:cs="仿宋_GB2312"/>
          <w:color w:val="auto"/>
          <w:kern w:val="2"/>
          <w:sz w:val="32"/>
          <w:szCs w:val="32"/>
          <w:highlight w:val="none"/>
          <w:lang w:val="en-US" w:eastAsia="zh-CN" w:bidi="ar-SA"/>
        </w:rPr>
        <w:t>1002.33</w:t>
      </w:r>
      <w:r>
        <w:rPr>
          <w:rFonts w:hint="eastAsia" w:ascii="Times New Roman" w:hAnsi="Times New Roman" w:eastAsia="仿宋_GB2312" w:cs="仿宋_GB2312"/>
          <w:color w:val="auto"/>
          <w:kern w:val="2"/>
          <w:sz w:val="32"/>
          <w:szCs w:val="32"/>
          <w:highlight w:val="none"/>
          <w:lang w:val="en-US" w:eastAsia="zh-CN" w:bidi="ar-SA"/>
        </w:rPr>
        <w:t>万元，下降94.4%。主要变动原因是本年度项目经费减少</w:t>
      </w:r>
      <w:r>
        <w:rPr>
          <w:rFonts w:hint="eastAsia" w:eastAsia="仿宋_GB2312" w:cs="仿宋_GB2312"/>
          <w:color w:val="auto"/>
          <w:kern w:val="2"/>
          <w:sz w:val="32"/>
          <w:szCs w:val="32"/>
          <w:highlight w:val="none"/>
          <w:lang w:val="en-US" w:eastAsia="zh-CN" w:bidi="ar-SA"/>
        </w:rPr>
        <w:t>。</w:t>
      </w:r>
    </w:p>
    <w:p w14:paraId="79E7FF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E211EE8">
      <w:pPr>
        <w:numPr>
          <w:ilvl w:val="0"/>
          <w:numId w:val="0"/>
        </w:numPr>
        <w:spacing w:line="600" w:lineRule="exact"/>
        <w:ind w:left="630" w:leftChars="0"/>
        <w:outlineLvl w:val="1"/>
        <w:rPr>
          <w:rStyle w:val="33"/>
          <w:rFonts w:ascii="Times New Roman" w:hAnsi="Times New Roman" w:eastAsia="黑体"/>
          <w:b w:val="0"/>
          <w:color w:val="auto"/>
          <w:highlight w:val="none"/>
        </w:rPr>
      </w:pPr>
      <w:bookmarkStart w:id="46" w:name="_Toc15377219"/>
      <w:bookmarkStart w:id="47" w:name="_Toc15396611"/>
      <w:r>
        <w:rPr>
          <w:rStyle w:val="33"/>
          <w:rFonts w:hint="eastAsia" w:ascii="Times New Roman" w:hAnsi="Times New Roman" w:eastAsia="黑体"/>
          <w:b w:val="0"/>
          <w:color w:val="auto"/>
          <w:highlight w:val="none"/>
          <w:lang w:eastAsia="zh-CN"/>
        </w:rPr>
        <w:t>九、</w:t>
      </w:r>
      <w:r>
        <w:rPr>
          <w:rStyle w:val="33"/>
          <w:rFonts w:hint="eastAsia" w:ascii="Times New Roman" w:hAnsi="Times New Roman" w:eastAsia="黑体"/>
          <w:b w:val="0"/>
          <w:color w:val="auto"/>
          <w:highlight w:val="none"/>
        </w:rPr>
        <w:t>国有资本经营预算支出决算情况说明</w:t>
      </w:r>
      <w:bookmarkEnd w:id="46"/>
      <w:bookmarkEnd w:id="47"/>
    </w:p>
    <w:p w14:paraId="0E540E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CB3C4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C731098">
      <w:pPr>
        <w:numPr>
          <w:ilvl w:val="0"/>
          <w:numId w:val="0"/>
        </w:numPr>
        <w:spacing w:line="600" w:lineRule="exact"/>
        <w:ind w:left="630" w:leftChars="0"/>
        <w:outlineLvl w:val="1"/>
        <w:rPr>
          <w:rStyle w:val="33"/>
          <w:rFonts w:hint="eastAsia" w:ascii="Times New Roman" w:hAnsi="Times New Roman" w:eastAsia="黑体"/>
          <w:b w:val="0"/>
          <w:color w:val="auto"/>
          <w:highlight w:val="none"/>
        </w:rPr>
      </w:pPr>
      <w:bookmarkStart w:id="48" w:name="_Toc15377221"/>
      <w:bookmarkStart w:id="49" w:name="_Toc15396612"/>
      <w:r>
        <w:rPr>
          <w:rStyle w:val="33"/>
          <w:rFonts w:hint="eastAsia" w:ascii="Times New Roman" w:hAnsi="Times New Roman" w:eastAsia="黑体"/>
          <w:b w:val="0"/>
          <w:color w:val="auto"/>
          <w:highlight w:val="none"/>
          <w:lang w:eastAsia="zh-CN"/>
        </w:rPr>
        <w:t>十、</w:t>
      </w:r>
      <w:r>
        <w:rPr>
          <w:rStyle w:val="33"/>
          <w:rFonts w:hint="eastAsia" w:ascii="Times New Roman" w:hAnsi="Times New Roman" w:eastAsia="黑体"/>
          <w:b w:val="0"/>
          <w:color w:val="auto"/>
          <w:highlight w:val="none"/>
        </w:rPr>
        <w:t>其他重要事项的情况说明</w:t>
      </w:r>
      <w:bookmarkEnd w:id="48"/>
      <w:bookmarkEnd w:id="49"/>
    </w:p>
    <w:p w14:paraId="479BBF5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2"/>
      <w:r>
        <w:rPr>
          <w:rFonts w:hint="eastAsia" w:ascii="Times New Roman" w:hAnsi="Times New Roman" w:eastAsia="楷体_GB2312" w:cs="楷体_GB2312"/>
          <w:b/>
          <w:color w:val="auto"/>
          <w:sz w:val="32"/>
          <w:szCs w:val="32"/>
          <w:highlight w:val="none"/>
        </w:rPr>
        <w:t>（一）机关运行经费支出情况</w:t>
      </w:r>
      <w:bookmarkEnd w:id="50"/>
    </w:p>
    <w:p w14:paraId="55934022">
      <w:pPr>
        <w:spacing w:line="600" w:lineRule="exact"/>
        <w:ind w:firstLine="640"/>
        <w:rPr>
          <w:rFonts w:hint="eastAsia" w:ascii="仿宋_GB2312" w:hAnsi="仿宋_GB2312" w:eastAsia="仿宋_GB2312" w:cs="仿宋_GB2312"/>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rPr>
        <w:t>攀枝花市仁和区应急管理局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rPr>
        <w:t>86.05</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仿宋_GB2312" w:hAnsi="仿宋_GB2312" w:eastAsia="仿宋_GB2312" w:cs="仿宋_GB2312"/>
          <w:sz w:val="32"/>
          <w:szCs w:val="32"/>
          <w:highlight w:val="none"/>
          <w:lang w:val="en-US" w:eastAsia="zh-CN"/>
        </w:rPr>
        <w:t>年度增加</w:t>
      </w:r>
      <w:r>
        <w:rPr>
          <w:rFonts w:hint="eastAsia" w:ascii="仿宋_GB2312" w:hAnsi="仿宋_GB2312" w:eastAsia="仿宋_GB2312" w:cs="仿宋_GB2312"/>
          <w:sz w:val="32"/>
          <w:szCs w:val="32"/>
          <w:highlight w:val="none"/>
        </w:rPr>
        <w:t>13.87</w:t>
      </w:r>
      <w:r>
        <w:rPr>
          <w:rFonts w:hint="eastAsia" w:ascii="仿宋_GB2312" w:hAnsi="仿宋_GB2312" w:eastAsia="仿宋_GB2312" w:cs="仿宋_GB2312"/>
          <w:sz w:val="32"/>
          <w:szCs w:val="32"/>
          <w:highlight w:val="none"/>
          <w:lang w:val="en-US" w:eastAsia="zh-CN"/>
        </w:rPr>
        <w:t>万元，增长</w:t>
      </w:r>
      <w:r>
        <w:rPr>
          <w:rFonts w:hint="eastAsia" w:ascii="仿宋_GB2312" w:hAnsi="仿宋_GB2312" w:eastAsia="仿宋_GB2312" w:cs="仿宋_GB2312"/>
          <w:sz w:val="32"/>
          <w:szCs w:val="32"/>
          <w:highlight w:val="none"/>
        </w:rPr>
        <w:t>19.2</w:t>
      </w:r>
      <w:r>
        <w:rPr>
          <w:rFonts w:hint="eastAsia" w:ascii="仿宋_GB2312" w:hAnsi="仿宋_GB2312" w:eastAsia="仿宋_GB2312" w:cs="仿宋_GB2312"/>
          <w:sz w:val="32"/>
          <w:szCs w:val="32"/>
          <w:highlight w:val="none"/>
          <w:lang w:val="en-US" w:eastAsia="zh-CN"/>
        </w:rPr>
        <w:t>%。主要原因是</w:t>
      </w:r>
      <w:r>
        <w:rPr>
          <w:rFonts w:hint="eastAsia" w:ascii="仿宋_GB2312" w:hAnsi="仿宋_GB2312" w:eastAsia="仿宋_GB2312" w:cs="仿宋_GB2312"/>
          <w:sz w:val="32"/>
          <w:szCs w:val="32"/>
          <w:highlight w:val="none"/>
        </w:rPr>
        <w:t>本年度项目经费增多</w:t>
      </w:r>
      <w:r>
        <w:rPr>
          <w:rFonts w:hint="eastAsia" w:ascii="仿宋_GB2312" w:hAnsi="仿宋_GB2312" w:eastAsia="仿宋_GB2312" w:cs="仿宋_GB2312"/>
          <w:sz w:val="32"/>
          <w:szCs w:val="32"/>
          <w:highlight w:val="none"/>
          <w:lang w:eastAsia="zh-CN"/>
        </w:rPr>
        <w:t>。</w:t>
      </w:r>
    </w:p>
    <w:p w14:paraId="1DC635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CF74E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23"/>
      <w:r>
        <w:rPr>
          <w:rFonts w:hint="eastAsia" w:ascii="Times New Roman" w:hAnsi="Times New Roman" w:eastAsia="楷体_GB2312" w:cs="楷体_GB2312"/>
          <w:b/>
          <w:color w:val="auto"/>
          <w:sz w:val="32"/>
          <w:szCs w:val="32"/>
          <w:highlight w:val="none"/>
        </w:rPr>
        <w:t>（二）政府采购支出情况</w:t>
      </w:r>
      <w:bookmarkEnd w:id="51"/>
    </w:p>
    <w:p w14:paraId="2D64C0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rPr>
        <w:t>攀枝花市仁和区应急管理局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rPr>
        <w:t>148.58</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rPr>
        <w:t>141.75</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rPr>
        <w:t>6.83</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应急救援物资采购及安全生产技术服务购买</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highlight w:val="none"/>
        </w:rPr>
        <w:t>142.71</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rPr>
        <w:t>96.04</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highlight w:val="none"/>
        </w:rPr>
        <w:t>141.75</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rPr>
        <w:t>95.4</w:t>
      </w:r>
      <w:r>
        <w:rPr>
          <w:rFonts w:hint="eastAsia" w:ascii="Times New Roman" w:hAnsi="Times New Roman" w:eastAsia="仿宋_GB2312" w:cs="仿宋_GB2312"/>
          <w:color w:val="auto"/>
          <w:kern w:val="2"/>
          <w:sz w:val="32"/>
          <w:szCs w:val="32"/>
          <w:highlight w:val="none"/>
          <w:lang w:val="en-US" w:eastAsia="zh-CN" w:bidi="ar-SA"/>
        </w:rPr>
        <w:t>%。</w:t>
      </w:r>
    </w:p>
    <w:p w14:paraId="19C1B1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6B442C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24"/>
      <w:r>
        <w:rPr>
          <w:rFonts w:hint="eastAsia" w:ascii="Times New Roman" w:hAnsi="Times New Roman" w:eastAsia="楷体_GB2312" w:cs="楷体_GB2312"/>
          <w:b/>
          <w:color w:val="auto"/>
          <w:sz w:val="32"/>
          <w:szCs w:val="32"/>
          <w:highlight w:val="none"/>
        </w:rPr>
        <w:t>（三）国有资产占有使用情况</w:t>
      </w:r>
      <w:bookmarkEnd w:id="52"/>
    </w:p>
    <w:p w14:paraId="0C43ADB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highlight w:val="none"/>
        </w:rPr>
        <w:t>攀枝花市仁和区应急管理局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rPr>
        <w:t>3</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highlight w:val="none"/>
        </w:rPr>
        <w:t>3</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台（套）。</w:t>
      </w:r>
    </w:p>
    <w:p w14:paraId="21A2E0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59598B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5ABBA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应急管理局</w:t>
      </w:r>
      <w:r>
        <w:rPr>
          <w:rFonts w:hint="eastAsia" w:ascii="Times New Roman" w:hAnsi="Times New Roman" w:eastAsia="仿宋_GB2312" w:cs="仿宋_GB2312"/>
          <w:color w:val="auto"/>
          <w:kern w:val="2"/>
          <w:sz w:val="32"/>
          <w:szCs w:val="32"/>
          <w:highlight w:val="none"/>
          <w:lang w:val="en-US" w:eastAsia="zh-CN" w:bidi="ar-SA"/>
        </w:rPr>
        <w:t>在2025年度，组织对第一次全国自然灾害综合风险普查工作政府购买服务项目</w:t>
      </w:r>
      <w:r>
        <w:rPr>
          <w:rFonts w:hint="eastAsia" w:eastAsia="仿宋_GB2312" w:cs="仿宋_GB2312"/>
          <w:color w:val="auto"/>
          <w:kern w:val="2"/>
          <w:sz w:val="32"/>
          <w:szCs w:val="32"/>
          <w:highlight w:val="none"/>
          <w:lang w:val="en-US" w:eastAsia="zh-CN" w:bidi="ar-SA"/>
        </w:rPr>
        <w:t>、攀枝花市仁和区应急管理局信息化建设政府购买服务项目、攀枝花市城市或断层探测项目、攀枝花市自然灾害应急能力提升工程基层防灾项目配套资金、自然灾害应急能力提升工程预警指挥项目配套资金、仁和区综合应急救援队伍政府购买服务劳务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个项目开展了事前绩效评估，对</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7E0CF5BD">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组织对202</w:t>
      </w:r>
      <w:r>
        <w:rPr>
          <w:rFonts w:hint="eastAsia"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度一般公共预算、政府性基金预算、国有资本经营预算、社会保险基金预算以及资本资产、债券资金等全面开展绩效自评，形成攀枝花市仁和区应急管理局部门整体绩效自评报告、同德镇政府专职消防救援站装备采购项目、第一次全国自然灾害综合风险普查工作政府购买服务项目等专项预算项目绩效自评报告，其中，攀枝花市仁和区应急管理局部门整体绩效自评得分为8</w:t>
      </w:r>
      <w:r>
        <w:rPr>
          <w:rFonts w:hint="eastAsia" w:ascii="Times New Roman" w:hAnsi="Times New Roman" w:eastAsia="仿宋_GB2312" w:cs="Times New Roman"/>
          <w:color w:val="auto"/>
          <w:kern w:val="2"/>
          <w:sz w:val="32"/>
          <w:szCs w:val="32"/>
          <w:highlight w:val="none"/>
          <w:lang w:val="en-US" w:eastAsia="zh-CN" w:bidi="ar-SA"/>
        </w:rPr>
        <w:t>7</w:t>
      </w:r>
      <w:r>
        <w:rPr>
          <w:rFonts w:hint="default" w:ascii="Times New Roman" w:hAnsi="Times New Roman" w:eastAsia="仿宋_GB2312" w:cs="Times New Roman"/>
          <w:color w:val="auto"/>
          <w:kern w:val="2"/>
          <w:sz w:val="32"/>
          <w:szCs w:val="32"/>
          <w:highlight w:val="none"/>
          <w:lang w:val="en-US" w:eastAsia="zh-CN" w:bidi="ar-SA"/>
        </w:rPr>
        <w:t>分，绩效自评综述202</w:t>
      </w:r>
      <w:r>
        <w:rPr>
          <w:rFonts w:hint="eastAsia"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年我局部门整体支出绩效自评结果良好，全年基本支出保证了部门的正常运转，项目支出保障了重点工作的开展，促进了全区安全生产和应急管理工作的发展。</w:t>
      </w:r>
    </w:p>
    <w:p w14:paraId="34A82BE1">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14:paraId="312EEC9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3" w:name="_Toc15396613"/>
      <w:bookmarkStart w:id="5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部分名词解释</w:t>
      </w:r>
      <w:bookmarkEnd w:id="53"/>
      <w:bookmarkEnd w:id="54"/>
    </w:p>
    <w:p w14:paraId="6FE62B44">
      <w:pPr>
        <w:spacing w:line="600" w:lineRule="exact"/>
        <w:jc w:val="left"/>
        <w:rPr>
          <w:rFonts w:ascii="Times New Roman" w:hAnsi="Times New Roman"/>
          <w:b/>
          <w:color w:val="auto"/>
          <w:sz w:val="44"/>
          <w:szCs w:val="44"/>
          <w:highlight w:val="none"/>
        </w:rPr>
      </w:pPr>
    </w:p>
    <w:p w14:paraId="3522B2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E4104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2AD5B8B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6FFD3F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14:paraId="63A36E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5.使用非财政拨款结余（含专用结余）：指事业单位使用以前年度积累的非财政拨款结余弥补当年收支差额的金额。</w:t>
      </w:r>
    </w:p>
    <w:p w14:paraId="66332A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6.年初结转和结余：指以前年度尚未完成、结转到本年按有关规定继续使用的资金。</w:t>
      </w:r>
    </w:p>
    <w:p w14:paraId="3DF58B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029A18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E035B72">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9.社会保障和就业支出（类）行政事业单位养老支出（款）行政单位离退休（项）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指局机关及参公管理事业单位离退休人员的支出。</w:t>
      </w:r>
    </w:p>
    <w:p w14:paraId="77A42FE9">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10.社会保障和就业支出（类）行政事业单位养老支出（款）事业单位离退休（项）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指局机关及参公管理事业单位离退休人员的支出。</w:t>
      </w:r>
    </w:p>
    <w:p w14:paraId="5B3D2ADD">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11.社会保障和就业支出（类）行政事业单位养老支出（款）机关事业单位基本养老保险缴费支出（项）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指部门实施养老保险制度由单位缴纳的养老保险费的支出。</w:t>
      </w:r>
    </w:p>
    <w:p w14:paraId="472A29A7">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12.卫生健康支出（类）行政事业单位医疗（款）行政单位医疗（项）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指局机关及参公管理事业单位用于缴纳单位基本医疗保险支出。</w:t>
      </w:r>
    </w:p>
    <w:p w14:paraId="14625FE4">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13.卫生健康支出（类）行政事业单位医疗（款）事业单位医疗（项）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指事业单位用于缴纳单位基本医疗保险支出。</w:t>
      </w:r>
    </w:p>
    <w:p w14:paraId="25DA0B38">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14.卫生健康支出（类）行政事业单位医疗（款）公务员医疗补助（项）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指局机关及参公管理事业单位用于缴-19</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纳公务员医疗补助支出。</w:t>
      </w:r>
    </w:p>
    <w:p w14:paraId="24DE5459">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15.农林水支出（类）水利（款）防汛（项）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指在基本支出之外为完成特定行政任务和事业发展目标所发生的支出。</w:t>
      </w:r>
    </w:p>
    <w:p w14:paraId="58D44BB9">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16.住房保障支出（类）住房改革</w:t>
      </w:r>
      <w:r>
        <w:rPr>
          <w:rFonts w:hint="eastAsia" w:eastAsia="仿宋_GB2312" w:cs="Times New Roman"/>
          <w:color w:val="auto"/>
          <w:kern w:val="2"/>
          <w:sz w:val="32"/>
          <w:szCs w:val="32"/>
          <w:highlight w:val="none"/>
          <w:lang w:val="en-US" w:eastAsia="zh-CN" w:bidi="ar-SA"/>
        </w:rPr>
        <w:t>支出</w:t>
      </w:r>
      <w:r>
        <w:rPr>
          <w:rFonts w:hint="default" w:ascii="Times New Roman" w:hAnsi="Times New Roman" w:eastAsia="仿宋_GB2312" w:cs="Times New Roman"/>
          <w:color w:val="auto"/>
          <w:kern w:val="2"/>
          <w:sz w:val="32"/>
          <w:szCs w:val="32"/>
          <w:highlight w:val="none"/>
          <w:lang w:val="en-US" w:eastAsia="zh-CN" w:bidi="ar-SA"/>
        </w:rPr>
        <w:t>（款）住房公积金（项）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指行政事业单位按人力资源和社会保障部、财政部规定的基本工资和津贴补贴以及规定比例为职工缴纳的住房公积金。</w:t>
      </w:r>
    </w:p>
    <w:p w14:paraId="1DD69F3C">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17.灾害防治及应急管理支出（类）应急管理事务（款）行政运行（项）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指用于应急管理支出项目、用于灾害防治及应急管理的支出。</w:t>
      </w:r>
    </w:p>
    <w:p w14:paraId="4D4FE7D5">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18.灾害防治及应急管理支出（类）应急管理事务（款）应急管理（项）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指用于应急管理支出项目、用于灾害防治及事业运行的支出。</w:t>
      </w:r>
    </w:p>
    <w:p w14:paraId="763B4B24">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19.灾害防治及应急管理支出（类）应急管理事务（款）事业运行（项）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指用于应急管理支出项目、用于灾害防治及事业运行的支出。</w:t>
      </w:r>
    </w:p>
    <w:p w14:paraId="3B987514">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20.灾害防治及应急管理支出（类）应急管理事务（款）其他应急管理支出（项）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指用于应急管理支出项目以外-20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其他用于灾害防治及应急管理的支出。</w:t>
      </w:r>
    </w:p>
    <w:p w14:paraId="6A5DB64B">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21.灾害防治及应急管理支出（类）矿山安全（款）矿山安全监察事务（项）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指用于应急管理支出项目、用于灾害防治及矿山安全运行的支出。</w:t>
      </w:r>
    </w:p>
    <w:p w14:paraId="05E5FEBC">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22.灾害防治及应急管理支出（类）矿山安全（款）其他矿山安全支出（项）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指用于应急管理支出项目、用于灾害防治及自然灾害救灾及恢复重建的支出。</w:t>
      </w:r>
    </w:p>
    <w:p w14:paraId="7BA931EC">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23.灾害防治及应急管理支出（类）其他灾害防治及应急管理支出（款）其他灾害防治及应急管理支出（项）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指用于应急管理支出项目、用于灾害防治及其他灾害防治的支出。</w:t>
      </w:r>
    </w:p>
    <w:p w14:paraId="7A89EA7F">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24.基本支出：指为保障机构正常运转、完成日常工作任务而发生的人员支出和公用支出。</w:t>
      </w:r>
    </w:p>
    <w:p w14:paraId="504E9A82">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25.项目支出：指在基本支出之外为完成特定行政任务和事业发展目标所发生的支出。</w:t>
      </w:r>
    </w:p>
    <w:p w14:paraId="7FDA4041">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26.经营支出：指事业单位在专业业务活动及其辅助活动之外开展非独立核算经营活动发生的支出。</w:t>
      </w:r>
    </w:p>
    <w:p w14:paraId="4D963091">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FE7CB3D">
      <w:pPr>
        <w:pageBreakBefore w:val="0"/>
        <w:kinsoku/>
        <w:wordWrap/>
        <w:overflowPunct/>
        <w:topLinePunct w:val="0"/>
        <w:bidi w:val="0"/>
        <w:spacing w:line="600" w:lineRule="exact"/>
        <w:ind w:firstLine="64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F61B8D6">
      <w:pPr>
        <w:spacing w:line="600" w:lineRule="exact"/>
        <w:ind w:firstLine="640"/>
        <w:rPr>
          <w:rFonts w:hint="eastAsia" w:ascii="Times New Roman" w:hAnsi="Times New Roman" w:eastAsia="仿宋_GB2312" w:cs="仿宋_GB2312"/>
          <w:color w:val="FF0000"/>
          <w:kern w:val="2"/>
          <w:sz w:val="32"/>
          <w:szCs w:val="32"/>
          <w:highlight w:val="yellow"/>
          <w:lang w:val="en-US" w:eastAsia="zh-CN" w:bidi="ar-SA"/>
        </w:rPr>
      </w:pPr>
    </w:p>
    <w:p w14:paraId="15C4168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7B4AFEDE">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default" w:ascii="Times New Roman" w:hAnsi="Times New Roman" w:eastAsia="黑体" w:cs="Times New Roman"/>
          <w:color w:val="auto"/>
          <w:sz w:val="32"/>
          <w:szCs w:val="32"/>
          <w:highlight w:val="none"/>
        </w:rPr>
      </w:pPr>
      <w:bookmarkStart w:id="5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6" w:name="_Toc15396614"/>
      <w:bookmarkStart w:id="57" w:name="_Toc809684237"/>
      <w:r>
        <w:rPr>
          <w:rFonts w:hint="default" w:ascii="Times New Roman" w:hAnsi="Times New Roman" w:eastAsia="黑体" w:cs="Times New Roman"/>
          <w:color w:val="auto"/>
          <w:sz w:val="44"/>
          <w:szCs w:val="44"/>
          <w:highlight w:val="none"/>
        </w:rPr>
        <w:t>第四部分附件</w:t>
      </w:r>
      <w:bookmarkEnd w:id="56"/>
      <w:bookmarkEnd w:id="57"/>
    </w:p>
    <w:p w14:paraId="5AE073E4">
      <w:pPr>
        <w:keepNext w:val="0"/>
        <w:keepLines w:val="0"/>
        <w:pageBreakBefore w:val="0"/>
        <w:widowControl w:val="0"/>
        <w:kinsoku/>
        <w:wordWrap/>
        <w:overflowPunct/>
        <w:topLinePunct w:val="0"/>
        <w:autoSpaceDE/>
        <w:autoSpaceDN/>
        <w:bidi w:val="0"/>
        <w:adjustRightInd/>
        <w:snapToGrid/>
        <w:spacing w:line="572" w:lineRule="exact"/>
        <w:jc w:val="both"/>
        <w:textAlignment w:val="auto"/>
        <w:outlineLvl w:val="2"/>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p>
    <w:p w14:paraId="738CDD20">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方正小标宋简体" w:cs="Times New Roman"/>
          <w:b w:val="0"/>
          <w:bCs/>
          <w:color w:val="auto"/>
          <w:sz w:val="44"/>
          <w:szCs w:val="44"/>
          <w:highlight w:val="none"/>
          <w:shd w:val="clear" w:color="auto" w:fill="FFFFFF"/>
        </w:rPr>
      </w:pPr>
    </w:p>
    <w:p w14:paraId="71F990B4">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小标宋_GBK" w:cs="Times New Roman"/>
          <w:color w:val="auto"/>
          <w:sz w:val="44"/>
          <w:szCs w:val="44"/>
          <w:highlight w:val="none"/>
          <w:lang w:val="en-US" w:eastAsia="zh-CN"/>
        </w:rPr>
      </w:pPr>
      <w:r>
        <w:rPr>
          <w:rFonts w:hint="default" w:ascii="Times New Roman" w:hAnsi="Times New Roman" w:eastAsia="方正小标宋_GBK" w:cs="Times New Roman"/>
          <w:color w:val="auto"/>
          <w:sz w:val="44"/>
          <w:szCs w:val="44"/>
          <w:highlight w:val="none"/>
          <w:lang w:val="en-US" w:eastAsia="zh-CN"/>
        </w:rPr>
        <w:t>攀枝花市仁和区应急管理局</w:t>
      </w:r>
    </w:p>
    <w:p w14:paraId="02B724EE">
      <w:pPr>
        <w:keepNext w:val="0"/>
        <w:keepLines w:val="0"/>
        <w:pageBreakBefore w:val="0"/>
        <w:widowControl w:val="0"/>
        <w:kinsoku/>
        <w:wordWrap/>
        <w:overflowPunct/>
        <w:topLinePunct w:val="0"/>
        <w:autoSpaceDE/>
        <w:autoSpaceDN/>
        <w:bidi w:val="0"/>
        <w:adjustRightInd/>
        <w:snapToGrid/>
        <w:spacing w:line="0" w:lineRule="atLeast"/>
        <w:jc w:val="center"/>
        <w:textAlignment w:val="auto"/>
      </w:pPr>
      <w:r>
        <w:rPr>
          <w:rFonts w:hint="default" w:ascii="Times New Roman" w:hAnsi="Times New Roman" w:eastAsia="方正小标宋简体" w:cs="Times New Roman"/>
          <w:b w:val="0"/>
          <w:bCs/>
          <w:color w:val="auto"/>
          <w:sz w:val="44"/>
          <w:szCs w:val="44"/>
          <w:highlight w:val="none"/>
          <w:shd w:val="clear" w:color="auto" w:fill="FFFFFF"/>
          <w:lang w:eastAsia="zh-CN"/>
        </w:rPr>
        <w:t>预算</w:t>
      </w:r>
      <w:r>
        <w:rPr>
          <w:rFonts w:hint="default" w:ascii="Times New Roman" w:hAnsi="Times New Roman" w:eastAsia="方正小标宋简体" w:cs="Times New Roman"/>
          <w:b w:val="0"/>
          <w:bCs/>
          <w:color w:val="auto"/>
          <w:sz w:val="44"/>
          <w:szCs w:val="44"/>
          <w:highlight w:val="none"/>
          <w:shd w:val="clear" w:color="auto" w:fill="FFFFFF"/>
        </w:rPr>
        <w:t>绩效</w:t>
      </w:r>
      <w:r>
        <w:rPr>
          <w:rFonts w:hint="default" w:ascii="Times New Roman" w:hAnsi="Times New Roman" w:eastAsia="方正小标宋简体" w:cs="Times New Roman"/>
          <w:b w:val="0"/>
          <w:bCs/>
          <w:color w:val="auto"/>
          <w:sz w:val="44"/>
          <w:szCs w:val="44"/>
          <w:highlight w:val="none"/>
          <w:shd w:val="clear" w:color="auto" w:fill="FFFFFF"/>
          <w:lang w:eastAsia="zh-CN"/>
        </w:rPr>
        <w:t>评价</w:t>
      </w:r>
      <w:r>
        <w:rPr>
          <w:rFonts w:hint="default" w:ascii="Times New Roman" w:hAnsi="Times New Roman" w:eastAsia="方正小标宋简体" w:cs="Times New Roman"/>
          <w:b w:val="0"/>
          <w:bCs/>
          <w:color w:val="auto"/>
          <w:sz w:val="44"/>
          <w:szCs w:val="44"/>
          <w:highlight w:val="none"/>
          <w:shd w:val="clear" w:color="auto" w:fill="FFFFFF"/>
        </w:rPr>
        <w:t>报告</w:t>
      </w:r>
    </w:p>
    <w:p w14:paraId="4A5CAA80">
      <w:pPr>
        <w:pStyle w:val="3"/>
        <w:keepNext/>
        <w:keepLines/>
        <w:pageBreakBefore w:val="0"/>
        <w:widowControl w:val="0"/>
        <w:kinsoku/>
        <w:wordWrap/>
        <w:overflowPunct/>
        <w:topLinePunct w:val="0"/>
        <w:autoSpaceDE/>
        <w:autoSpaceDN/>
        <w:bidi w:val="0"/>
        <w:adjustRightInd/>
        <w:snapToGrid/>
        <w:spacing w:line="416" w:lineRule="auto"/>
        <w:ind w:firstLine="640" w:firstLineChars="200"/>
        <w:jc w:val="both"/>
        <w:textAlignment w:val="auto"/>
        <w:rPr>
          <w:rFonts w:hint="eastAsia" w:ascii="Times New Roman" w:hAnsi="Times New Roman" w:eastAsia="黑体" w:cs="Times New Roman"/>
          <w:b w:val="0"/>
          <w:color w:val="auto"/>
          <w:highlight w:val="none"/>
        </w:rPr>
      </w:pPr>
      <w:r>
        <w:rPr>
          <w:rFonts w:hint="eastAsia" w:ascii="Times New Roman" w:hAnsi="Times New Roman" w:eastAsia="黑体" w:cs="Times New Roman"/>
          <w:b w:val="0"/>
          <w:color w:val="auto"/>
          <w:highlight w:val="none"/>
          <w:lang w:val="zh-CN"/>
        </w:rPr>
        <w:t>一、部门（单位）基本情况</w:t>
      </w:r>
    </w:p>
    <w:p w14:paraId="12ACFE82">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3" w:firstLineChars="200"/>
        <w:jc w:val="both"/>
        <w:textAlignment w:val="auto"/>
        <w:rPr>
          <w:rFonts w:hint="eastAsia" w:ascii="Times New Roman" w:hAnsi="Times New Roman" w:eastAsia="方正仿宋_GBK" w:cs="Times New Roman"/>
          <w:b/>
          <w:bCs/>
          <w:color w:val="auto"/>
          <w:kern w:val="0"/>
          <w:sz w:val="32"/>
          <w:szCs w:val="32"/>
          <w:lang w:val="zh-CN" w:eastAsia="zh-CN"/>
        </w:rPr>
      </w:pPr>
      <w:r>
        <w:rPr>
          <w:rFonts w:hint="eastAsia" w:ascii="Times New Roman" w:hAnsi="Times New Roman" w:eastAsia="方正仿宋_GBK" w:cs="Times New Roman"/>
          <w:b/>
          <w:bCs/>
          <w:color w:val="auto"/>
          <w:kern w:val="0"/>
          <w:sz w:val="32"/>
          <w:szCs w:val="32"/>
          <w:lang w:val="zh-CN" w:eastAsia="zh-CN"/>
        </w:rPr>
        <w:t>（一）机构组成</w:t>
      </w:r>
    </w:p>
    <w:p w14:paraId="462E597F">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区应急管理局下属非独立核算单位3个，其中参照公务员法管理的事业单位2个，其他事业单位1个，主要包括：攀枝花市仁和区减灾救灾事务中心、攀枝花市仁和区应急管理综合行政执法大队、攀枝花市仁和区矿山安全事务中心。根据《中共攀枝花市仁和区委办公室攀枝花市仁和区人民政府办公室关于印发〈攀枝花市仁和区应急管理局职能配置、内设机构和人员编制规定〉的通知》（攀仁委办﹝2019﹞25号），我局共设应急指挥中心、政策法规股、综合协调股、矿山监管股、救援管理股五个股室。</w:t>
      </w:r>
    </w:p>
    <w:p w14:paraId="71F5765C">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3" w:firstLineChars="200"/>
        <w:jc w:val="both"/>
        <w:textAlignment w:val="auto"/>
        <w:rPr>
          <w:rFonts w:hint="eastAsia" w:ascii="Times New Roman" w:hAnsi="Times New Roman" w:eastAsia="方正仿宋_GBK" w:cs="Times New Roman"/>
          <w:b/>
          <w:bCs/>
          <w:color w:val="auto"/>
          <w:kern w:val="0"/>
          <w:sz w:val="32"/>
          <w:szCs w:val="32"/>
          <w:lang w:val="zh-CN" w:eastAsia="zh-CN"/>
        </w:rPr>
      </w:pPr>
      <w:r>
        <w:rPr>
          <w:rFonts w:hint="eastAsia" w:ascii="Times New Roman" w:hAnsi="Times New Roman" w:eastAsia="方正仿宋_GBK" w:cs="Times New Roman"/>
          <w:b/>
          <w:bCs/>
          <w:color w:val="auto"/>
          <w:kern w:val="0"/>
          <w:sz w:val="32"/>
          <w:szCs w:val="32"/>
          <w:lang w:val="zh-CN" w:eastAsia="zh-CN"/>
        </w:rPr>
        <w:t>（二）机构职能</w:t>
      </w:r>
    </w:p>
    <w:p w14:paraId="6A06F5C7">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1.负责应急管理、防震减灾和安全生产综合监督管理工作，组织和指导仁和区各乡镇（街道）、各部门应对安全生产类、自然灾害类等突发事件的应急抢险救援工作。</w:t>
      </w:r>
    </w:p>
    <w:p w14:paraId="5CB954F2">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2.拟订应急管理、防震减灾、安全生产等政策措施，组织编制全区安全生产、防震减灾、应急体系建设、综合防灾减灾规划。</w:t>
      </w:r>
    </w:p>
    <w:p w14:paraId="626FC402">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3.承担区安全生产委员会日常工作。监督检查、指导协调各乡镇（街道）和区级有关部门安全生产工作，组织开展安全生产巡查、督导、考核工作。</w:t>
      </w:r>
    </w:p>
    <w:p w14:paraId="4B2390FB">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4.承担权限范围内煤矿、非煤矿山、危险化学品、非药品类易制毒化学品、烟花爆竹、民用爆炸物品等生产经营单位安全生产准入管理责任。协助省、市应急管理部门做好中央、省属在仁和辖区范围内的工矿商贸企业安全生产监督管理工作。</w:t>
      </w:r>
    </w:p>
    <w:p w14:paraId="23C1BA46">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5.拟订权限范围内煤炭产业发展计划、准入条件等并组织实施，按权限审核、上报煤炭项目并负责建设管理。负责煤炭生产协调和监督管理，煤炭行业结构调整和产业升级，煤矿瓦斯等级鉴定、瓦斯治理和利用。协助相关部门抓好合法煤矿矿界范围内的煤炭私挖盗采治理工作。</w:t>
      </w:r>
    </w:p>
    <w:p w14:paraId="311D9BE9">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6.承担权限范围内煤矿安全生产监督管理责任，依法监督检查煤矿企业贯彻执行安全生产法律法规情况及其安全生产条件和有关设备（特种设备除外）、材料、劳动防护用品的安全生产管理工作。负责组织、指导煤矿企业安全生产专项整治、安全生产标准化、瓦斯和水害防治及相关安全技术发展工作。指导煤矿防灾预案和救护体系建设。参与煤矿事故调查处理工作。</w:t>
      </w:r>
    </w:p>
    <w:p w14:paraId="09FB37B9">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7.承担权限范围内的危险化学品、化工、医药、烟花爆竹、民用爆炸物品、非煤矿山、冶金、机械制造、尾矿库、地质勘探、石油（气）开采等工矿生产经营单位安全生产监督管理职责。依法指导、监督检查冶金、有色、建材、机械、轻工、纺织、烟草、商贸等行业的安全生产监督管理工作。依法查处不具备安全生产条件的危险化学品、化工、医药、烟花爆竹、工矿商贸等生产经营单位和安全生产违法违规行为。承担危险化学品安全监督管理综合工作责任。依法监督检查、指导工矿商贸生产经营单位安全生产管理工作。</w:t>
      </w:r>
    </w:p>
    <w:p w14:paraId="60C9F978">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8.承担权限范围内防震减灾工作。编制全区防震减灾规划并组织实施，组织制定地震综合防御对策。组织开展辖区范围内地震监测预报工作，提出趋势预测意见。组织开展震情跟踪、日常分析预报和重大地震异常的核实上报工作。管理全区地方地震监测台网和观测台站。监督、管理辖区范围内工程建设场地地震安全性评价工作</w:t>
      </w:r>
      <w:r>
        <w:rPr>
          <w:rFonts w:hint="eastAsia"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0"/>
          <w:sz w:val="32"/>
          <w:szCs w:val="32"/>
          <w:lang w:val="en-US" w:eastAsia="zh-CN"/>
        </w:rPr>
        <w:t>参与震后重建规划。</w:t>
      </w:r>
    </w:p>
    <w:p w14:paraId="3730D3B0">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9.负责组织、指导应急预案体系建设，建立完善事故灾难和自然灾害分级应对制度，牵头组织编制全区应急救援综合预案和安全生产类、自然灾害类应急救援专项预案，负责应急预案衔接工作，组织开展预案演练并落实，督促相关部门加强应急避难场所设施建设。</w:t>
      </w:r>
    </w:p>
    <w:p w14:paraId="3B8CDBC8">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10.按照中央、省、市、区的规划，牵头建设统一的应急管理信息系统，负责信息传输渠道的规划和布局，建立监测预警和灾情报告制度，健全自然灾害信息资源获取和共享机制，依法统一发布灾情。</w:t>
      </w:r>
    </w:p>
    <w:p w14:paraId="6CC09634">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11.负责组织、指导、协调安全生产类、自然灾害类等突发事件应急救援，承担全区应对较大及以上灾害指挥部工作，综合研判突发事件发展态势并提出应对建议，负责组织较大及以上灾害的应急处置工作。协调全区各类专业应急队伍，建立应急协调联动机制，推进指挥平台对接，提请衔接区人民武装部和武警部队参与应急救援工作。</w:t>
      </w:r>
    </w:p>
    <w:p w14:paraId="6CA52BF2">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12.按照国家相关政策和省、市、区相关规定，负责消防、森林火灾扑救、抗洪抢险、地震和地质灾害救援、安全生产事故等专业应急救援力量建设，依法依规统筹指导全区及社会应急救援力量和应急保障能力建设。</w:t>
      </w:r>
    </w:p>
    <w:p w14:paraId="1477C083">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13.按照国家、省、市、区相关政策和规定，负责消防工作，组织和指导消防监督、火灾预防、火灾扑救工作。</w:t>
      </w:r>
    </w:p>
    <w:p w14:paraId="795B032E">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14.组织开展自然灾害监测预警、自然灾害综合风险评估，指导协调森林火灾、水旱灾害、地震和地质灾害等防治工作。组织开展自然灾害类突发事件的调查评估工作。</w:t>
      </w:r>
    </w:p>
    <w:p w14:paraId="61CF40F2">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15.依法组织、指导生产安全事故调查处理，监督事故查处和责任追究落实情况。组织和指导相关部门开展灾害救助、灾情核查、损失评估、救灾捐赠，管理分配中央、省、市下拨救灾款物并监督使用。</w:t>
      </w:r>
    </w:p>
    <w:p w14:paraId="640415DB">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16.开展应急管理、防震减灾和安全生产方面的交流与合作，组织参与安全生产类、自然灾害类等突发事件的跨区域救援工作。</w:t>
      </w:r>
    </w:p>
    <w:p w14:paraId="0E77A4A6">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17.制定应急物资储备和应急救援装备规划并组织实施，会同区发展和改革局等有关部门建立健全应急物资信息平台和调拨制度，在救灾时统一调度。</w:t>
      </w:r>
    </w:p>
    <w:p w14:paraId="22BBCDBC">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18.负责应急管理、防震减灾、安全生产宣传教育和培训工作，组织和指导应急管理、防震减灾、安全生产的科学技术研究、推广应用和信息化建设工作。</w:t>
      </w:r>
    </w:p>
    <w:p w14:paraId="0B96A874">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19.承担职责范围内的职业健康、生态环境保护、行政审批服务便民化工作责任。按省市要求，指导推进相对集中行政许可权改革。</w:t>
      </w:r>
    </w:p>
    <w:p w14:paraId="6CAF795D">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20.完成区委、区政府交办的其他任务。</w:t>
      </w:r>
    </w:p>
    <w:p w14:paraId="690C5331">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zh-CN" w:eastAsia="zh-CN"/>
        </w:rPr>
      </w:pPr>
      <w:r>
        <w:rPr>
          <w:rFonts w:hint="default" w:ascii="Times New Roman" w:hAnsi="Times New Roman" w:eastAsia="方正仿宋_GBK" w:cs="Times New Roman"/>
          <w:color w:val="auto"/>
          <w:kern w:val="0"/>
          <w:sz w:val="32"/>
          <w:szCs w:val="32"/>
          <w:lang w:val="en-US" w:eastAsia="zh-CN"/>
        </w:rPr>
        <w:t>21.职能转变。加强、优化、统筹应急能力建设，构建统一领导、权责一致、权威高效的应急能力体系，推动形成“统一指挥、专常兼备、反应灵敏、上下联动、平战结合”的应急管理体制。一是坚持以防为主、防抗救相结合，坚持常态减灾和非常态救灾相统一，努力实现从注重灾后救助向注重灾前预防转变，从应对单一灾种向综合减灾转变，从减少灾害损失向减轻灾害风险转变，提高国家应急管理水平和防灾减灾救灾能力，防范化解重特大安全风险。二是坚持以人为本，把确保人民群众生命安全放在首位，确保受灾群众基本生活，加强应急预案演练，增强全民防灾减灾意识，提升公众知识普及和自救互救技能，切实减少人员伤亡和财产损失。三是树牢安全发展理念，坚持生命至上、安全第一，完善安全生产责任，坚决遏制重特大安全事故。</w:t>
      </w:r>
    </w:p>
    <w:p w14:paraId="7D587A67">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3" w:firstLineChars="200"/>
        <w:jc w:val="both"/>
        <w:textAlignment w:val="auto"/>
        <w:rPr>
          <w:rFonts w:hint="eastAsia" w:ascii="Times New Roman" w:hAnsi="Times New Roman" w:eastAsia="方正仿宋_GBK" w:cs="Times New Roman"/>
          <w:b/>
          <w:bCs/>
          <w:color w:val="auto"/>
          <w:kern w:val="0"/>
          <w:sz w:val="32"/>
          <w:szCs w:val="32"/>
          <w:lang w:val="zh-CN" w:eastAsia="zh-CN"/>
        </w:rPr>
      </w:pPr>
      <w:r>
        <w:rPr>
          <w:rFonts w:hint="eastAsia" w:ascii="Times New Roman" w:hAnsi="Times New Roman" w:eastAsia="方正仿宋_GBK" w:cs="Times New Roman"/>
          <w:b/>
          <w:bCs/>
          <w:color w:val="auto"/>
          <w:kern w:val="0"/>
          <w:sz w:val="32"/>
          <w:szCs w:val="32"/>
          <w:lang w:val="zh-CN" w:eastAsia="zh-CN"/>
        </w:rPr>
        <w:t>（三）人员概况</w:t>
      </w:r>
    </w:p>
    <w:p w14:paraId="18C04379">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b/>
          <w:bCs/>
          <w:color w:val="auto"/>
          <w:kern w:val="0"/>
          <w:sz w:val="32"/>
          <w:szCs w:val="32"/>
          <w:lang w:val="en-US" w:eastAsia="zh-CN"/>
        </w:rPr>
      </w:pPr>
      <w:r>
        <w:rPr>
          <w:rFonts w:hint="default" w:ascii="Times New Roman" w:hAnsi="Times New Roman" w:eastAsia="方正仿宋_GBK" w:cs="Times New Roman"/>
          <w:color w:val="auto"/>
          <w:kern w:val="0"/>
          <w:sz w:val="32"/>
          <w:szCs w:val="32"/>
          <w:lang w:val="en-US" w:eastAsia="zh-CN"/>
        </w:rPr>
        <w:t>编制数行政编制10名</w:t>
      </w:r>
      <w:r>
        <w:rPr>
          <w:rFonts w:hint="eastAsia" w:ascii="Times New Roman" w:hAnsi="Times New Roman" w:eastAsia="方正仿宋_GBK" w:cs="Times New Roman"/>
          <w:color w:val="auto"/>
          <w:kern w:val="0"/>
          <w:sz w:val="32"/>
          <w:szCs w:val="32"/>
          <w:lang w:val="en-US" w:eastAsia="zh-CN"/>
        </w:rPr>
        <w:t>（在编8名）</w:t>
      </w:r>
      <w:r>
        <w:rPr>
          <w:rFonts w:hint="default" w:ascii="Times New Roman" w:hAnsi="Times New Roman" w:eastAsia="方正仿宋_GBK" w:cs="Times New Roman"/>
          <w:color w:val="auto"/>
          <w:kern w:val="0"/>
          <w:sz w:val="32"/>
          <w:szCs w:val="32"/>
          <w:lang w:val="en-US" w:eastAsia="zh-CN"/>
        </w:rPr>
        <w:t>，其中，局长1名，副局长</w:t>
      </w:r>
      <w:r>
        <w:rPr>
          <w:rFonts w:hint="eastAsia" w:ascii="Times New Roman" w:hAnsi="Times New Roman" w:eastAsia="方正仿宋_GBK" w:cs="Times New Roman"/>
          <w:color w:val="auto"/>
          <w:kern w:val="0"/>
          <w:sz w:val="32"/>
          <w:szCs w:val="32"/>
          <w:lang w:val="en-US" w:eastAsia="zh-CN"/>
        </w:rPr>
        <w:t>2</w:t>
      </w:r>
      <w:r>
        <w:rPr>
          <w:rFonts w:hint="default" w:ascii="Times New Roman" w:hAnsi="Times New Roman" w:eastAsia="方正仿宋_GBK" w:cs="Times New Roman"/>
          <w:color w:val="auto"/>
          <w:kern w:val="0"/>
          <w:sz w:val="32"/>
          <w:szCs w:val="32"/>
          <w:lang w:val="en-US" w:eastAsia="zh-CN"/>
        </w:rPr>
        <w:t>名；参公</w:t>
      </w:r>
      <w:r>
        <w:rPr>
          <w:rFonts w:hint="eastAsia" w:ascii="Times New Roman" w:hAnsi="Times New Roman" w:eastAsia="方正仿宋_GBK" w:cs="Times New Roman"/>
          <w:color w:val="auto"/>
          <w:kern w:val="0"/>
          <w:sz w:val="32"/>
          <w:szCs w:val="32"/>
          <w:lang w:val="en-US" w:eastAsia="zh-CN"/>
        </w:rPr>
        <w:t>在编17</w:t>
      </w:r>
      <w:r>
        <w:rPr>
          <w:rFonts w:hint="default" w:ascii="Times New Roman" w:hAnsi="Times New Roman" w:eastAsia="方正仿宋_GBK" w:cs="Times New Roman"/>
          <w:color w:val="auto"/>
          <w:kern w:val="0"/>
          <w:sz w:val="32"/>
          <w:szCs w:val="32"/>
          <w:lang w:val="en-US" w:eastAsia="zh-CN"/>
        </w:rPr>
        <w:t>名（含下属单位）</w:t>
      </w:r>
      <w:r>
        <w:rPr>
          <w:rFonts w:hint="eastAsia" w:ascii="Times New Roman" w:hAnsi="Times New Roman" w:eastAsia="方正仿宋_GBK" w:cs="Times New Roman"/>
          <w:color w:val="auto"/>
          <w:kern w:val="0"/>
          <w:sz w:val="32"/>
          <w:szCs w:val="32"/>
          <w:lang w:val="en-US" w:eastAsia="zh-CN"/>
        </w:rPr>
        <w:t>，</w:t>
      </w:r>
      <w:r>
        <w:rPr>
          <w:rFonts w:hint="default" w:ascii="Times New Roman" w:hAnsi="Times New Roman" w:eastAsia="方正仿宋_GBK" w:cs="Times New Roman"/>
          <w:color w:val="auto"/>
          <w:kern w:val="0"/>
          <w:sz w:val="32"/>
          <w:szCs w:val="32"/>
          <w:lang w:val="en-US" w:eastAsia="zh-CN"/>
        </w:rPr>
        <w:t>事业编制人员</w:t>
      </w:r>
      <w:r>
        <w:rPr>
          <w:rFonts w:hint="eastAsia" w:ascii="Times New Roman" w:hAnsi="Times New Roman" w:eastAsia="方正仿宋_GBK" w:cs="Times New Roman"/>
          <w:color w:val="auto"/>
          <w:kern w:val="0"/>
          <w:sz w:val="32"/>
          <w:szCs w:val="32"/>
          <w:lang w:val="en-US" w:eastAsia="zh-CN"/>
        </w:rPr>
        <w:t>13</w:t>
      </w:r>
      <w:r>
        <w:rPr>
          <w:rFonts w:hint="default" w:ascii="Times New Roman" w:hAnsi="Times New Roman" w:eastAsia="方正仿宋_GBK" w:cs="Times New Roman"/>
          <w:color w:val="auto"/>
          <w:kern w:val="0"/>
          <w:sz w:val="32"/>
          <w:szCs w:val="32"/>
          <w:lang w:val="en-US" w:eastAsia="zh-CN"/>
        </w:rPr>
        <w:t>名，机关工勤</w:t>
      </w:r>
      <w:r>
        <w:rPr>
          <w:rFonts w:hint="eastAsia" w:ascii="Times New Roman" w:hAnsi="Times New Roman" w:eastAsia="方正仿宋_GBK" w:cs="Times New Roman"/>
          <w:color w:val="auto"/>
          <w:kern w:val="0"/>
          <w:sz w:val="32"/>
          <w:szCs w:val="32"/>
          <w:lang w:val="en-US" w:eastAsia="zh-CN"/>
        </w:rPr>
        <w:t>3</w:t>
      </w:r>
      <w:r>
        <w:rPr>
          <w:rFonts w:hint="default" w:ascii="Times New Roman" w:hAnsi="Times New Roman" w:eastAsia="方正仿宋_GBK" w:cs="Times New Roman"/>
          <w:color w:val="auto"/>
          <w:kern w:val="0"/>
          <w:sz w:val="32"/>
          <w:szCs w:val="32"/>
          <w:lang w:val="en-US" w:eastAsia="zh-CN"/>
        </w:rPr>
        <w:t>名，编内聘4名，退休人员</w:t>
      </w:r>
      <w:r>
        <w:rPr>
          <w:rFonts w:hint="eastAsia" w:ascii="Times New Roman" w:hAnsi="Times New Roman" w:eastAsia="方正仿宋_GBK" w:cs="Times New Roman"/>
          <w:color w:val="auto"/>
          <w:kern w:val="0"/>
          <w:sz w:val="32"/>
          <w:szCs w:val="32"/>
          <w:lang w:val="en-US" w:eastAsia="zh-CN"/>
        </w:rPr>
        <w:t>10</w:t>
      </w:r>
      <w:r>
        <w:rPr>
          <w:rFonts w:hint="default" w:ascii="Times New Roman" w:hAnsi="Times New Roman" w:eastAsia="方正仿宋_GBK" w:cs="Times New Roman"/>
          <w:color w:val="auto"/>
          <w:kern w:val="0"/>
          <w:sz w:val="32"/>
          <w:szCs w:val="32"/>
          <w:lang w:val="en-US" w:eastAsia="zh-CN"/>
        </w:rPr>
        <w:t>人，临聘人员</w:t>
      </w:r>
      <w:r>
        <w:rPr>
          <w:rFonts w:hint="eastAsia" w:ascii="Times New Roman" w:hAnsi="Times New Roman" w:eastAsia="方正仿宋_GBK" w:cs="Times New Roman"/>
          <w:color w:val="auto"/>
          <w:kern w:val="0"/>
          <w:sz w:val="32"/>
          <w:szCs w:val="32"/>
          <w:lang w:val="en-US" w:eastAsia="zh-CN"/>
        </w:rPr>
        <w:t>20</w:t>
      </w:r>
      <w:r>
        <w:rPr>
          <w:rFonts w:hint="default" w:ascii="Times New Roman" w:hAnsi="Times New Roman" w:eastAsia="方正仿宋_GBK" w:cs="Times New Roman"/>
          <w:color w:val="auto"/>
          <w:kern w:val="0"/>
          <w:sz w:val="32"/>
          <w:szCs w:val="32"/>
          <w:lang w:val="en-US" w:eastAsia="zh-CN"/>
        </w:rPr>
        <w:t>人（监控人员7人、驻矿安全监管人员</w:t>
      </w:r>
      <w:r>
        <w:rPr>
          <w:rFonts w:hint="eastAsia" w:ascii="Times New Roman" w:hAnsi="Times New Roman" w:eastAsia="方正仿宋_GBK" w:cs="Times New Roman"/>
          <w:color w:val="auto"/>
          <w:kern w:val="0"/>
          <w:sz w:val="32"/>
          <w:szCs w:val="32"/>
          <w:lang w:val="en-US" w:eastAsia="zh-CN"/>
        </w:rPr>
        <w:t>13</w:t>
      </w:r>
      <w:r>
        <w:rPr>
          <w:rFonts w:hint="default" w:ascii="Times New Roman" w:hAnsi="Times New Roman" w:eastAsia="方正仿宋_GBK" w:cs="Times New Roman"/>
          <w:color w:val="auto"/>
          <w:kern w:val="0"/>
          <w:sz w:val="32"/>
          <w:szCs w:val="32"/>
          <w:lang w:val="en-US" w:eastAsia="zh-CN"/>
        </w:rPr>
        <w:t>人）</w:t>
      </w:r>
      <w:r>
        <w:rPr>
          <w:rFonts w:hint="default" w:ascii="Times New Roman" w:hAnsi="Times New Roman" w:eastAsia="方正仿宋_GBK" w:cs="Times New Roman"/>
          <w:b/>
          <w:bCs/>
          <w:color w:val="auto"/>
          <w:kern w:val="0"/>
          <w:sz w:val="32"/>
          <w:szCs w:val="32"/>
          <w:lang w:val="en-US" w:eastAsia="zh-CN"/>
        </w:rPr>
        <w:t>。</w:t>
      </w:r>
    </w:p>
    <w:p w14:paraId="0ADBC7E6">
      <w:pPr>
        <w:pStyle w:val="3"/>
        <w:keepNext/>
        <w:keepLines/>
        <w:pageBreakBefore w:val="0"/>
        <w:widowControl w:val="0"/>
        <w:kinsoku/>
        <w:wordWrap/>
        <w:overflowPunct/>
        <w:topLinePunct w:val="0"/>
        <w:autoSpaceDE/>
        <w:autoSpaceDN/>
        <w:bidi w:val="0"/>
        <w:adjustRightInd/>
        <w:snapToGrid/>
        <w:spacing w:line="416" w:lineRule="auto"/>
        <w:ind w:firstLine="640" w:firstLineChars="200"/>
        <w:jc w:val="both"/>
        <w:textAlignment w:val="auto"/>
        <w:rPr>
          <w:rFonts w:hint="eastAsia" w:ascii="Times New Roman" w:hAnsi="Times New Roman" w:eastAsia="黑体" w:cs="Times New Roman"/>
          <w:b w:val="0"/>
          <w:color w:val="auto"/>
          <w:highlight w:val="none"/>
          <w:lang w:val="en-US" w:eastAsia="zh-CN"/>
        </w:rPr>
      </w:pPr>
      <w:r>
        <w:rPr>
          <w:rFonts w:hint="eastAsia" w:ascii="Times New Roman" w:hAnsi="Times New Roman" w:eastAsia="黑体" w:cs="Times New Roman"/>
          <w:b w:val="0"/>
          <w:color w:val="auto"/>
          <w:highlight w:val="none"/>
          <w:lang w:val="en-US" w:eastAsia="zh-CN"/>
        </w:rPr>
        <w:t>二、部门资金收支情况</w:t>
      </w:r>
    </w:p>
    <w:p w14:paraId="18524515">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3" w:firstLineChars="200"/>
        <w:jc w:val="both"/>
        <w:textAlignment w:val="auto"/>
        <w:rPr>
          <w:rFonts w:hint="eastAsia" w:ascii="Times New Roman" w:hAnsi="Times New Roman" w:eastAsia="方正仿宋_GBK" w:cs="Times New Roman"/>
          <w:b/>
          <w:bCs/>
          <w:color w:val="auto"/>
          <w:kern w:val="0"/>
          <w:sz w:val="32"/>
          <w:szCs w:val="32"/>
          <w:lang w:val="zh-CN" w:eastAsia="zh-CN"/>
        </w:rPr>
      </w:pPr>
      <w:r>
        <w:rPr>
          <w:rFonts w:hint="eastAsia" w:ascii="Times New Roman" w:hAnsi="Times New Roman" w:eastAsia="方正仿宋_GBK" w:cs="Times New Roman"/>
          <w:b/>
          <w:bCs/>
          <w:color w:val="auto"/>
          <w:kern w:val="0"/>
          <w:sz w:val="32"/>
          <w:szCs w:val="32"/>
          <w:lang w:val="zh-CN" w:eastAsia="zh-CN"/>
        </w:rPr>
        <w:t>（一）收入情况</w:t>
      </w:r>
    </w:p>
    <w:p w14:paraId="52B321A4">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b/>
          <w:bCs/>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区应急管理局部门</w:t>
      </w:r>
      <w:r>
        <w:rPr>
          <w:rFonts w:hint="default" w:ascii="Times New Roman" w:hAnsi="Times New Roman" w:eastAsia="方正仿宋_GBK" w:cs="Times New Roman"/>
          <w:color w:val="auto"/>
          <w:kern w:val="0"/>
          <w:sz w:val="32"/>
          <w:szCs w:val="32"/>
          <w:lang w:val="en-US" w:eastAsia="zh-CN"/>
        </w:rPr>
        <w:t>202</w:t>
      </w:r>
      <w:r>
        <w:rPr>
          <w:rFonts w:hint="eastAsia" w:ascii="Times New Roman" w:hAnsi="Times New Roman" w:eastAsia="方正仿宋_GBK" w:cs="Times New Roman"/>
          <w:color w:val="auto"/>
          <w:kern w:val="0"/>
          <w:sz w:val="32"/>
          <w:szCs w:val="32"/>
          <w:lang w:val="en-US" w:eastAsia="zh-CN"/>
        </w:rPr>
        <w:t>5</w:t>
      </w:r>
      <w:r>
        <w:rPr>
          <w:rFonts w:hint="default" w:ascii="Times New Roman" w:hAnsi="Times New Roman" w:eastAsia="方正仿宋_GBK" w:cs="Times New Roman"/>
          <w:color w:val="auto"/>
          <w:kern w:val="0"/>
          <w:sz w:val="32"/>
          <w:szCs w:val="32"/>
          <w:lang w:val="en-US" w:eastAsia="zh-CN"/>
        </w:rPr>
        <w:t>年</w:t>
      </w:r>
      <w:r>
        <w:rPr>
          <w:rFonts w:hint="eastAsia" w:ascii="Times New Roman" w:hAnsi="Times New Roman" w:eastAsia="方正仿宋_GBK" w:cs="Times New Roman"/>
          <w:color w:val="auto"/>
          <w:kern w:val="0"/>
          <w:sz w:val="32"/>
          <w:szCs w:val="32"/>
          <w:lang w:val="en-US" w:eastAsia="zh-CN"/>
        </w:rPr>
        <w:t>年初</w:t>
      </w:r>
      <w:r>
        <w:rPr>
          <w:rFonts w:hint="default" w:ascii="Times New Roman" w:hAnsi="Times New Roman" w:eastAsia="方正仿宋_GBK" w:cs="Times New Roman"/>
          <w:color w:val="auto"/>
          <w:kern w:val="0"/>
          <w:sz w:val="32"/>
          <w:szCs w:val="32"/>
          <w:lang w:val="en-US" w:eastAsia="zh-CN"/>
        </w:rPr>
        <w:t>预算收入</w:t>
      </w:r>
      <w:r>
        <w:rPr>
          <w:rFonts w:hint="eastAsia" w:ascii="Times New Roman" w:hAnsi="Times New Roman" w:eastAsia="方正仿宋_GBK" w:cs="Times New Roman"/>
          <w:color w:val="auto"/>
          <w:kern w:val="0"/>
          <w:sz w:val="32"/>
          <w:szCs w:val="32"/>
          <w:lang w:val="en-US" w:eastAsia="zh-CN"/>
        </w:rPr>
        <w:t>2341.71</w:t>
      </w:r>
      <w:r>
        <w:rPr>
          <w:rFonts w:hint="default" w:ascii="Times New Roman" w:hAnsi="Times New Roman" w:eastAsia="方正仿宋_GBK" w:cs="Times New Roman"/>
          <w:color w:val="auto"/>
          <w:kern w:val="0"/>
          <w:sz w:val="32"/>
          <w:szCs w:val="32"/>
          <w:lang w:val="en-US" w:eastAsia="zh-CN"/>
        </w:rPr>
        <w:t>万元，其中：一般公共预算</w:t>
      </w:r>
      <w:r>
        <w:rPr>
          <w:rFonts w:hint="eastAsia" w:ascii="Times New Roman" w:hAnsi="Times New Roman" w:eastAsia="方正仿宋_GBK" w:cs="Times New Roman"/>
          <w:color w:val="auto"/>
          <w:kern w:val="0"/>
          <w:sz w:val="32"/>
          <w:szCs w:val="32"/>
          <w:lang w:val="en-US" w:eastAsia="zh-CN"/>
        </w:rPr>
        <w:t>财政</w:t>
      </w:r>
      <w:r>
        <w:rPr>
          <w:rFonts w:hint="default" w:ascii="Times New Roman" w:hAnsi="Times New Roman" w:eastAsia="方正仿宋_GBK" w:cs="Times New Roman"/>
          <w:color w:val="auto"/>
          <w:kern w:val="0"/>
          <w:sz w:val="32"/>
          <w:szCs w:val="32"/>
          <w:lang w:val="en-US" w:eastAsia="zh-CN"/>
        </w:rPr>
        <w:t>拨款收入</w:t>
      </w:r>
      <w:r>
        <w:rPr>
          <w:rFonts w:hint="eastAsia" w:ascii="Times New Roman" w:hAnsi="Times New Roman" w:eastAsia="方正仿宋_GBK" w:cs="Times New Roman"/>
          <w:color w:val="auto"/>
          <w:kern w:val="0"/>
          <w:sz w:val="32"/>
          <w:szCs w:val="32"/>
          <w:lang w:val="en-US" w:eastAsia="zh-CN"/>
        </w:rPr>
        <w:t>2341.71</w:t>
      </w:r>
      <w:r>
        <w:rPr>
          <w:rFonts w:hint="default" w:ascii="Times New Roman" w:hAnsi="Times New Roman" w:eastAsia="方正仿宋_GBK" w:cs="Times New Roman"/>
          <w:color w:val="auto"/>
          <w:kern w:val="0"/>
          <w:sz w:val="32"/>
          <w:szCs w:val="32"/>
          <w:lang w:val="en-US" w:eastAsia="zh-CN"/>
        </w:rPr>
        <w:t>万元</w:t>
      </w:r>
      <w:r>
        <w:rPr>
          <w:rFonts w:hint="eastAsia" w:ascii="Times New Roman" w:hAnsi="Times New Roman" w:eastAsia="方正仿宋_GBK" w:cs="Times New Roman"/>
          <w:color w:val="auto"/>
          <w:kern w:val="0"/>
          <w:sz w:val="32"/>
          <w:szCs w:val="32"/>
          <w:lang w:val="en-US" w:eastAsia="zh-CN"/>
        </w:rPr>
        <w:t>。2025年决算报表收入2483.1万元，其中：一般公共预算财政拨款收入2423.3万元，政府性基金预算财政拨款收入59.8万元</w:t>
      </w:r>
      <w:r>
        <w:rPr>
          <w:rFonts w:hint="eastAsia" w:ascii="Times New Roman" w:hAnsi="Times New Roman" w:eastAsia="方正仿宋_GBK" w:cs="Times New Roman"/>
          <w:b/>
          <w:bCs/>
          <w:color w:val="auto"/>
          <w:kern w:val="0"/>
          <w:sz w:val="32"/>
          <w:szCs w:val="32"/>
          <w:lang w:val="en-US" w:eastAsia="zh-CN"/>
        </w:rPr>
        <w:t>。</w:t>
      </w:r>
    </w:p>
    <w:p w14:paraId="4E31D0E9">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3" w:firstLineChars="200"/>
        <w:jc w:val="both"/>
        <w:textAlignment w:val="auto"/>
        <w:rPr>
          <w:rFonts w:hint="eastAsia" w:ascii="Times New Roman" w:hAnsi="Times New Roman" w:eastAsia="方正仿宋_GBK" w:cs="Times New Roman"/>
          <w:b/>
          <w:bCs/>
          <w:color w:val="auto"/>
          <w:kern w:val="0"/>
          <w:sz w:val="32"/>
          <w:szCs w:val="32"/>
          <w:lang w:val="zh-CN" w:eastAsia="zh-CN"/>
        </w:rPr>
      </w:pPr>
      <w:r>
        <w:rPr>
          <w:rFonts w:hint="eastAsia" w:ascii="Times New Roman" w:hAnsi="Times New Roman" w:eastAsia="方正仿宋_GBK" w:cs="Times New Roman"/>
          <w:b/>
          <w:bCs/>
          <w:color w:val="auto"/>
          <w:kern w:val="0"/>
          <w:sz w:val="32"/>
          <w:szCs w:val="32"/>
          <w:lang w:val="zh-CN" w:eastAsia="zh-CN"/>
        </w:rPr>
        <w:t>（二）支出情况</w:t>
      </w:r>
    </w:p>
    <w:p w14:paraId="7C510B4A">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b/>
          <w:bCs/>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区应急管理局部门</w:t>
      </w:r>
      <w:r>
        <w:rPr>
          <w:rFonts w:hint="default" w:ascii="Times New Roman" w:hAnsi="Times New Roman" w:eastAsia="方正仿宋_GBK" w:cs="Times New Roman"/>
          <w:color w:val="auto"/>
          <w:kern w:val="0"/>
          <w:sz w:val="32"/>
          <w:szCs w:val="32"/>
          <w:lang w:val="en-US" w:eastAsia="zh-CN"/>
        </w:rPr>
        <w:t>202</w:t>
      </w:r>
      <w:r>
        <w:rPr>
          <w:rFonts w:hint="eastAsia" w:ascii="Times New Roman" w:hAnsi="Times New Roman" w:eastAsia="方正仿宋_GBK" w:cs="Times New Roman"/>
          <w:color w:val="auto"/>
          <w:kern w:val="0"/>
          <w:sz w:val="32"/>
          <w:szCs w:val="32"/>
          <w:lang w:val="en-US" w:eastAsia="zh-CN"/>
        </w:rPr>
        <w:t>5</w:t>
      </w:r>
      <w:r>
        <w:rPr>
          <w:rFonts w:hint="default" w:ascii="Times New Roman" w:hAnsi="Times New Roman" w:eastAsia="方正仿宋_GBK" w:cs="Times New Roman"/>
          <w:color w:val="auto"/>
          <w:kern w:val="0"/>
          <w:sz w:val="32"/>
          <w:szCs w:val="32"/>
          <w:lang w:val="en-US" w:eastAsia="zh-CN"/>
        </w:rPr>
        <w:t>年</w:t>
      </w:r>
      <w:r>
        <w:rPr>
          <w:rFonts w:hint="eastAsia" w:ascii="Times New Roman" w:hAnsi="Times New Roman" w:eastAsia="方正仿宋_GBK" w:cs="Times New Roman"/>
          <w:color w:val="auto"/>
          <w:kern w:val="0"/>
          <w:sz w:val="32"/>
          <w:szCs w:val="32"/>
          <w:lang w:val="en-US" w:eastAsia="zh-CN"/>
        </w:rPr>
        <w:t>年初预算支出2341.71万元，其中：社会保障和就业支出78.89万元，卫生健康支出48.2万元，住房保障支出64.32万元，灾害防治及应急管理支出2150.3万元。区应急管理局2025年决算财政拨款支出共2620.74万元，其中：社会保障和就业支出100.41万元，卫生健康支出44.87万元，城乡社区支出40万元，农林水支出146.84万元，住房保障支出62.43万元，灾害防治及应急管理支出2206.38万元，其他支出19.8万元。</w:t>
      </w:r>
    </w:p>
    <w:p w14:paraId="790C045B">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3" w:firstLineChars="200"/>
        <w:jc w:val="both"/>
        <w:textAlignment w:val="auto"/>
        <w:rPr>
          <w:rFonts w:hint="eastAsia" w:ascii="Times New Roman" w:hAnsi="Times New Roman" w:eastAsia="方正仿宋_GBK" w:cs="Times New Roman"/>
          <w:b/>
          <w:bCs/>
          <w:color w:val="auto"/>
          <w:kern w:val="0"/>
          <w:sz w:val="32"/>
          <w:szCs w:val="32"/>
          <w:lang w:val="en-US" w:eastAsia="zh-CN"/>
        </w:rPr>
      </w:pPr>
      <w:r>
        <w:rPr>
          <w:rFonts w:hint="eastAsia" w:ascii="Times New Roman" w:hAnsi="Times New Roman" w:eastAsia="方正仿宋_GBK" w:cs="Times New Roman"/>
          <w:b/>
          <w:bCs/>
          <w:color w:val="auto"/>
          <w:kern w:val="0"/>
          <w:sz w:val="32"/>
          <w:szCs w:val="32"/>
          <w:lang w:val="en-US" w:eastAsia="zh-CN"/>
        </w:rPr>
        <w:t>2025年工作情况如下：</w:t>
      </w:r>
    </w:p>
    <w:p w14:paraId="4FA25916">
      <w:pPr>
        <w:keepNext w:val="0"/>
        <w:keepLines w:val="0"/>
        <w:pageBreakBefore w:val="0"/>
        <w:widowControl w:val="0"/>
        <w:kinsoku/>
        <w:wordWrap/>
        <w:overflowPunct/>
        <w:topLinePunct w:val="0"/>
        <w:autoSpaceDE/>
        <w:autoSpaceDN/>
        <w:bidi w:val="0"/>
        <w:adjustRightInd/>
        <w:snapToGrid/>
        <w:spacing w:line="610" w:lineRule="exact"/>
        <w:ind w:firstLine="643" w:firstLineChars="200"/>
        <w:jc w:val="both"/>
        <w:textAlignment w:val="auto"/>
        <w:rPr>
          <w:rFonts w:hint="default" w:ascii="Times New Roman" w:hAnsi="Times New Roman" w:eastAsia="方正楷体_GBK" w:cs="Times New Roman"/>
          <w:b/>
          <w:bCs w:val="0"/>
          <w:color w:val="auto"/>
          <w:sz w:val="32"/>
          <w:szCs w:val="32"/>
          <w:lang w:val="en-US" w:eastAsia="zh-CN"/>
        </w:rPr>
      </w:pPr>
      <w:r>
        <w:rPr>
          <w:rFonts w:hint="eastAsia" w:ascii="Times New Roman" w:hAnsi="Times New Roman" w:eastAsia="方正楷体_GBK" w:cs="Times New Roman"/>
          <w:b/>
          <w:bCs w:val="0"/>
          <w:color w:val="auto"/>
          <w:sz w:val="32"/>
          <w:szCs w:val="32"/>
          <w:lang w:val="en-US" w:eastAsia="zh-CN"/>
        </w:rPr>
        <w:t>1.</w:t>
      </w:r>
      <w:r>
        <w:rPr>
          <w:rFonts w:hint="default" w:ascii="Times New Roman" w:hAnsi="Times New Roman" w:eastAsia="方正楷体_GBK" w:cs="Times New Roman"/>
          <w:b/>
          <w:bCs w:val="0"/>
          <w:color w:val="auto"/>
          <w:sz w:val="32"/>
          <w:szCs w:val="32"/>
          <w:lang w:val="en-US" w:eastAsia="zh-CN"/>
        </w:rPr>
        <w:t>压实安全生产责任，深化隐患排查治理</w:t>
      </w:r>
    </w:p>
    <w:p w14:paraId="5FF2A020">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3"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cs="Times New Roman"/>
          <w:b/>
          <w:bCs/>
          <w:color w:val="auto"/>
          <w:kern w:val="0"/>
          <w:sz w:val="32"/>
          <w:szCs w:val="32"/>
          <w:lang w:val="en-US" w:eastAsia="zh-CN"/>
        </w:rPr>
        <w:t>（1）</w:t>
      </w:r>
      <w:r>
        <w:rPr>
          <w:rFonts w:hint="default" w:ascii="Times New Roman" w:hAnsi="Times New Roman" w:eastAsia="方正仿宋_GBK" w:cs="Times New Roman"/>
          <w:b/>
          <w:bCs/>
          <w:color w:val="auto"/>
          <w:kern w:val="0"/>
          <w:sz w:val="32"/>
          <w:szCs w:val="32"/>
          <w:lang w:val="en-US" w:eastAsia="zh-CN"/>
        </w:rPr>
        <w:t>强化统筹协调与督导检查。</w:t>
      </w:r>
      <w:r>
        <w:rPr>
          <w:rFonts w:hint="default" w:ascii="Times New Roman" w:hAnsi="Times New Roman" w:eastAsia="方正仿宋_GBK" w:cs="Times New Roman"/>
          <w:color w:val="auto"/>
          <w:kern w:val="0"/>
          <w:sz w:val="32"/>
          <w:szCs w:val="32"/>
          <w:lang w:val="en-US" w:eastAsia="zh-CN"/>
        </w:rPr>
        <w:t>区安办全年组织安全生产相关会议16次，深入学习贯彻习近平总书记关于安全生产的重要论述，贯彻执行各级领导关于安全生产工作的指示批示精神。统筹配合省、市级安全生产巡查、督查、检查及专项整治6次，督促完成143条问题隐患的整改落实，同时总结推广先进经验与做法，协调组织全区性安全生产督导检查、专项检查及专项整治2次。</w:t>
      </w:r>
    </w:p>
    <w:p w14:paraId="1C4ED47C">
      <w:pPr>
        <w:keepNext w:val="0"/>
        <w:keepLines w:val="0"/>
        <w:pageBreakBefore w:val="0"/>
        <w:widowControl w:val="0"/>
        <w:kinsoku/>
        <w:wordWrap/>
        <w:overflowPunct/>
        <w:topLinePunct w:val="0"/>
        <w:autoSpaceDE/>
        <w:autoSpaceDN/>
        <w:bidi w:val="0"/>
        <w:adjustRightInd/>
        <w:snapToGrid/>
        <w:spacing w:line="610" w:lineRule="exact"/>
        <w:ind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cs="Times New Roman"/>
          <w:b/>
          <w:bCs/>
          <w:color w:val="auto"/>
          <w:kern w:val="2"/>
          <w:sz w:val="32"/>
          <w:szCs w:val="32"/>
          <w:highlight w:val="none"/>
          <w:lang w:val="en-US" w:eastAsia="zh-CN" w:bidi="ar-SA"/>
        </w:rPr>
        <w:t>（2）</w:t>
      </w:r>
      <w:r>
        <w:rPr>
          <w:rFonts w:hint="default" w:ascii="Times New Roman" w:hAnsi="Times New Roman" w:eastAsia="方正仿宋_GBK" w:cs="Times New Roman"/>
          <w:b/>
          <w:bCs/>
          <w:color w:val="auto"/>
          <w:kern w:val="2"/>
          <w:sz w:val="32"/>
          <w:szCs w:val="32"/>
          <w:highlight w:val="none"/>
          <w:lang w:val="en-US" w:eastAsia="zh-CN" w:bidi="ar-SA"/>
        </w:rPr>
        <w:t>牵头推进安全生产治本攻坚。</w:t>
      </w:r>
      <w:r>
        <w:rPr>
          <w:rFonts w:hint="default" w:ascii="Times New Roman" w:hAnsi="Times New Roman" w:eastAsia="方正仿宋_GBK" w:cs="Times New Roman"/>
          <w:b w:val="0"/>
          <w:bCs w:val="0"/>
          <w:color w:val="auto"/>
          <w:kern w:val="2"/>
          <w:sz w:val="32"/>
          <w:szCs w:val="32"/>
          <w:highlight w:val="none"/>
          <w:lang w:val="en-US" w:eastAsia="zh-CN" w:bidi="ar-SA"/>
        </w:rPr>
        <w:t>围绕“2025年底前有效控制重大事故隐患增量”目标，督促落实治本攻坚44项重点任务及各系统子方案工作任务，确保各项任务逐一落地。指导各单位按时按质填报治本攻坚系统，截至10月底排查重大事故隐患272条，千次检查发现重大事故隐患90.91条，企业自查发现重大事故隐患占比49.26%，重大事故隐患整改率81.25%，推动企业健全重大事故隐患自查自改常态化机制，实行清单制管理并动态更新整改情况，实现重大事故隐患动态清零。</w:t>
      </w:r>
    </w:p>
    <w:p w14:paraId="32560608">
      <w:pPr>
        <w:keepNext w:val="0"/>
        <w:keepLines w:val="0"/>
        <w:pageBreakBefore w:val="0"/>
        <w:widowControl w:val="0"/>
        <w:kinsoku/>
        <w:wordWrap/>
        <w:overflowPunct/>
        <w:topLinePunct w:val="0"/>
        <w:autoSpaceDE/>
        <w:autoSpaceDN/>
        <w:bidi w:val="0"/>
        <w:adjustRightInd/>
        <w:snapToGrid/>
        <w:spacing w:line="610" w:lineRule="exact"/>
        <w:ind w:firstLine="643" w:firstLineChars="200"/>
        <w:jc w:val="both"/>
        <w:textAlignment w:val="auto"/>
        <w:rPr>
          <w:rFonts w:hint="default" w:ascii="Times New Roman" w:hAnsi="Times New Roman" w:eastAsia="方正仿宋_GBK" w:cs="Times New Roman"/>
          <w:b w:val="0"/>
          <w:bCs w:val="0"/>
          <w:color w:val="auto"/>
          <w:kern w:val="2"/>
          <w:sz w:val="32"/>
          <w:szCs w:val="32"/>
          <w:highlight w:val="yellow"/>
          <w:lang w:val="en-US" w:eastAsia="zh-CN" w:bidi="ar-SA"/>
        </w:rPr>
      </w:pPr>
      <w:r>
        <w:rPr>
          <w:rFonts w:hint="eastAsia" w:ascii="Times New Roman" w:hAnsi="Times New Roman" w:cs="Times New Roman"/>
          <w:b/>
          <w:bCs/>
          <w:color w:val="auto"/>
          <w:kern w:val="2"/>
          <w:sz w:val="32"/>
          <w:szCs w:val="32"/>
          <w:highlight w:val="none"/>
          <w:lang w:val="en-US" w:eastAsia="zh-CN" w:bidi="ar-SA"/>
        </w:rPr>
        <w:t>（3）</w:t>
      </w:r>
      <w:r>
        <w:rPr>
          <w:rFonts w:hint="default" w:ascii="Times New Roman" w:hAnsi="Times New Roman" w:eastAsia="方正仿宋_GBK" w:cs="Times New Roman"/>
          <w:b/>
          <w:bCs/>
          <w:color w:val="auto"/>
          <w:kern w:val="2"/>
          <w:sz w:val="32"/>
          <w:szCs w:val="32"/>
          <w:highlight w:val="none"/>
          <w:lang w:val="en-US" w:eastAsia="zh-CN" w:bidi="ar-SA"/>
        </w:rPr>
        <w:t>牵头组织开展安全生产“四大”行动。</w:t>
      </w:r>
      <w:r>
        <w:rPr>
          <w:rFonts w:hint="default" w:ascii="Times New Roman" w:hAnsi="Times New Roman" w:eastAsia="方正仿宋_GBK" w:cs="Times New Roman"/>
          <w:b w:val="0"/>
          <w:bCs w:val="0"/>
          <w:color w:val="auto"/>
          <w:kern w:val="2"/>
          <w:sz w:val="32"/>
          <w:szCs w:val="32"/>
          <w:highlight w:val="none"/>
          <w:lang w:val="en-US" w:eastAsia="zh-CN" w:bidi="ar-SA"/>
        </w:rPr>
        <w:t>聚焦企业责任落实、风险辨识管控及隐患排查，严格落实五一、汛期、国庆等重点节假日安全生产工作部署，已先后开展“迎两节、保两会”安全生产“春雷”专项行动、“复工复产”安全生产“惊蛰”专项行动、汛期安全生产“夏伏”专项行动、秋冬季“赶进度、抢工期、检维修增多”特点的“秋收”专项行动，指导各单位全面开展安全生产风险隐患大排查，重点整治群众身边、重点行业领域及重点地区的风险隐患。为保障国庆中秋期间安全，区安办牵头组织为期五十天的“除隐患、保安全”专项整治行动。截至9月底，各部门累计排查企业160家，发现隐患问题202项（含重大隐患10条），已完成整改146项，确保重点时段及节假日安全生产形势稳定。</w:t>
      </w:r>
    </w:p>
    <w:p w14:paraId="29C2BFFB">
      <w:pPr>
        <w:keepNext w:val="0"/>
        <w:keepLines w:val="0"/>
        <w:pageBreakBefore w:val="0"/>
        <w:kinsoku/>
        <w:wordWrap/>
        <w:overflowPunct/>
        <w:topLinePunct w:val="0"/>
        <w:bidi w:val="0"/>
        <w:adjustRightInd/>
        <w:snapToGrid/>
        <w:spacing w:line="610" w:lineRule="exact"/>
        <w:ind w:firstLine="643" w:firstLineChars="200"/>
        <w:jc w:val="both"/>
        <w:rPr>
          <w:rFonts w:hint="default"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cs="Times New Roman"/>
          <w:b/>
          <w:bCs/>
          <w:color w:val="auto"/>
          <w:kern w:val="2"/>
          <w:sz w:val="32"/>
          <w:szCs w:val="32"/>
          <w:highlight w:val="none"/>
          <w:lang w:val="en-US" w:eastAsia="zh-CN" w:bidi="ar-SA"/>
        </w:rPr>
        <w:t>（4）</w:t>
      </w:r>
      <w:r>
        <w:rPr>
          <w:rFonts w:hint="default" w:ascii="Times New Roman" w:hAnsi="Times New Roman" w:eastAsia="方正仿宋_GBK" w:cs="Times New Roman"/>
          <w:b/>
          <w:bCs/>
          <w:color w:val="auto"/>
          <w:kern w:val="2"/>
          <w:sz w:val="32"/>
          <w:szCs w:val="32"/>
          <w:highlight w:val="none"/>
          <w:lang w:val="en-US" w:eastAsia="zh-CN" w:bidi="ar-SA"/>
        </w:rPr>
        <w:t>全面推进安全生产领域“科技兴安”。</w:t>
      </w:r>
      <w:r>
        <w:rPr>
          <w:rFonts w:hint="default" w:ascii="Times New Roman" w:hAnsi="Times New Roman" w:eastAsia="方正仿宋_GBK" w:cs="Times New Roman"/>
          <w:b w:val="0"/>
          <w:bCs w:val="0"/>
          <w:color w:val="auto"/>
          <w:kern w:val="2"/>
          <w:sz w:val="32"/>
          <w:szCs w:val="32"/>
          <w:highlight w:val="none"/>
          <w:lang w:val="en-US" w:eastAsia="zh-CN" w:bidi="ar-SA"/>
        </w:rPr>
        <w:t>督促各单位填报清单制信息化系统，完成监管人员安全生产工作任务；统筹各乡镇（街道）、有关部门填报有限空间系统，</w:t>
      </w:r>
      <w:r>
        <w:rPr>
          <w:rFonts w:hint="default" w:ascii="Times New Roman" w:hAnsi="Times New Roman" w:eastAsia="方正仿宋_GBK" w:cs="Times New Roman"/>
          <w:color w:val="auto"/>
          <w:sz w:val="32"/>
          <w:szCs w:val="32"/>
          <w:lang w:val="en-US" w:eastAsia="zh-CN"/>
        </w:rPr>
        <w:t>全区目前</w:t>
      </w:r>
      <w:r>
        <w:rPr>
          <w:rFonts w:hint="default" w:ascii="Times New Roman" w:hAnsi="Times New Roman" w:eastAsia="方正仿宋_GBK" w:cs="Times New Roman"/>
          <w:color w:val="auto"/>
          <w:sz w:val="32"/>
          <w:szCs w:val="32"/>
        </w:rPr>
        <w:t>排查上报经营性有限空间单位337家，共13442个；非经营性有限空间单位906家，共5284个。对排查出的有限空间，建立了管理台账，并督促相关单位制定针对性的安全防范措施，确保有限空间作业安全</w:t>
      </w:r>
      <w:r>
        <w:rPr>
          <w:rFonts w:hint="default" w:ascii="Times New Roman" w:hAnsi="Times New Roman" w:eastAsia="方正仿宋_GBK" w:cs="Times New Roman"/>
          <w:b w:val="0"/>
          <w:bCs w:val="0"/>
          <w:color w:val="auto"/>
          <w:kern w:val="2"/>
          <w:sz w:val="32"/>
          <w:szCs w:val="32"/>
          <w:highlight w:val="none"/>
          <w:lang w:val="en-US" w:eastAsia="zh-CN" w:bidi="ar-SA"/>
        </w:rPr>
        <w:t>；持续宣传推广“蜀安焊”动火作业申报系统，及时派发作业工单，全区累计掌握动火作业2663件，累计填报设备信息328项、人员信息513项、重点场所7735个，“三类”信息完善率达100%，并审核动火作业白名单72家，配合市安办做好“蜀安焊”平台数据维护工作。</w:t>
      </w:r>
    </w:p>
    <w:p w14:paraId="56033968">
      <w:pPr>
        <w:keepNext w:val="0"/>
        <w:keepLines w:val="0"/>
        <w:pageBreakBefore w:val="0"/>
        <w:widowControl w:val="0"/>
        <w:kinsoku/>
        <w:wordWrap/>
        <w:overflowPunct/>
        <w:topLinePunct w:val="0"/>
        <w:autoSpaceDE/>
        <w:autoSpaceDN/>
        <w:bidi w:val="0"/>
        <w:adjustRightInd/>
        <w:snapToGrid/>
        <w:spacing w:line="610" w:lineRule="exact"/>
        <w:ind w:firstLine="643" w:firstLineChars="200"/>
        <w:jc w:val="both"/>
        <w:textAlignment w:val="auto"/>
        <w:rPr>
          <w:rFonts w:hint="default" w:ascii="Times New Roman" w:hAnsi="Times New Roman" w:eastAsia="方正楷体_GBK" w:cs="Times New Roman"/>
          <w:b/>
          <w:bCs w:val="0"/>
          <w:color w:val="auto"/>
          <w:sz w:val="32"/>
          <w:szCs w:val="32"/>
          <w:lang w:val="en-US" w:eastAsia="zh-CN"/>
        </w:rPr>
      </w:pPr>
      <w:r>
        <w:rPr>
          <w:rFonts w:hint="eastAsia" w:ascii="Times New Roman" w:hAnsi="Times New Roman" w:eastAsia="方正楷体_GBK" w:cs="Times New Roman"/>
          <w:b/>
          <w:bCs w:val="0"/>
          <w:color w:val="auto"/>
          <w:sz w:val="32"/>
          <w:szCs w:val="32"/>
          <w:lang w:val="en-US" w:eastAsia="zh-CN"/>
        </w:rPr>
        <w:t>2.</w:t>
      </w:r>
      <w:r>
        <w:rPr>
          <w:rFonts w:hint="default" w:ascii="Times New Roman" w:hAnsi="Times New Roman" w:eastAsia="方正楷体_GBK" w:cs="Times New Roman"/>
          <w:b/>
          <w:bCs w:val="0"/>
          <w:color w:val="auto"/>
          <w:sz w:val="32"/>
          <w:szCs w:val="32"/>
          <w:lang w:val="en-US" w:eastAsia="zh-CN"/>
        </w:rPr>
        <w:t>聚焦重点领域，筑牢行业安全防线</w:t>
      </w:r>
    </w:p>
    <w:p w14:paraId="360D9A77">
      <w:pPr>
        <w:keepNext w:val="0"/>
        <w:keepLines w:val="0"/>
        <w:pageBreakBefore w:val="0"/>
        <w:kinsoku/>
        <w:wordWrap/>
        <w:overflowPunct/>
        <w:topLinePunct w:val="0"/>
        <w:bidi w:val="0"/>
        <w:adjustRightInd/>
        <w:snapToGrid/>
        <w:spacing w:line="610" w:lineRule="exact"/>
        <w:ind w:firstLine="643" w:firstLineChars="200"/>
        <w:jc w:val="both"/>
        <w:rPr>
          <w:rFonts w:hint="default"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cs="Times New Roman"/>
          <w:b/>
          <w:bCs/>
          <w:color w:val="auto"/>
          <w:kern w:val="2"/>
          <w:sz w:val="32"/>
          <w:szCs w:val="32"/>
          <w:highlight w:val="none"/>
          <w:lang w:val="en-US" w:eastAsia="zh-CN" w:bidi="ar-SA"/>
        </w:rPr>
        <w:t>（1）</w:t>
      </w:r>
      <w:r>
        <w:rPr>
          <w:rFonts w:hint="default" w:ascii="Times New Roman" w:hAnsi="Times New Roman" w:eastAsia="方正仿宋_GBK" w:cs="Times New Roman"/>
          <w:b/>
          <w:bCs/>
          <w:color w:val="auto"/>
          <w:kern w:val="2"/>
          <w:sz w:val="32"/>
          <w:szCs w:val="32"/>
          <w:highlight w:val="none"/>
          <w:lang w:val="en-US" w:eastAsia="zh-CN" w:bidi="ar-SA"/>
        </w:rPr>
        <w:t>煤矿与煤炭洗选领域。</w:t>
      </w:r>
      <w:r>
        <w:rPr>
          <w:rFonts w:hint="default" w:ascii="Times New Roman" w:hAnsi="Times New Roman" w:eastAsia="方正仿宋_GBK" w:cs="Times New Roman"/>
          <w:b w:val="0"/>
          <w:bCs w:val="0"/>
          <w:color w:val="auto"/>
          <w:kern w:val="2"/>
          <w:sz w:val="32"/>
          <w:szCs w:val="32"/>
          <w:highlight w:val="none"/>
          <w:lang w:val="en-US" w:eastAsia="zh-CN" w:bidi="ar-SA"/>
        </w:rPr>
        <w:t>推进煤矿升级改造与“四化”建设，完成治本攻坚任务46项、“八条硬措施”任务7项；检查煤矿20矿次，发现隐患83条，</w:t>
      </w:r>
      <w:r>
        <w:rPr>
          <w:rFonts w:hint="default" w:ascii="Times New Roman" w:hAnsi="Times New Roman" w:eastAsia="方正仿宋_GBK" w:cs="Times New Roman"/>
          <w:color w:val="auto"/>
          <w:sz w:val="32"/>
          <w:szCs w:val="32"/>
          <w:lang w:val="en-US" w:eastAsia="zh-CN"/>
        </w:rPr>
        <w:t>督促企业</w:t>
      </w:r>
      <w:r>
        <w:rPr>
          <w:rFonts w:hint="default" w:ascii="Times New Roman" w:hAnsi="Times New Roman" w:eastAsia="方正仿宋_GBK" w:cs="Times New Roman"/>
          <w:color w:val="auto"/>
          <w:sz w:val="32"/>
          <w:szCs w:val="32"/>
        </w:rPr>
        <w:t>动态</w:t>
      </w:r>
      <w:r>
        <w:rPr>
          <w:rFonts w:hint="default" w:ascii="Times New Roman" w:hAnsi="Times New Roman" w:eastAsia="方正仿宋_GBK" w:cs="Times New Roman"/>
          <w:color w:val="auto"/>
          <w:sz w:val="32"/>
          <w:szCs w:val="32"/>
          <w:lang w:val="en-US" w:eastAsia="zh-CN"/>
        </w:rPr>
        <w:t>排查报送重大事故隐患并整改</w:t>
      </w:r>
      <w:r>
        <w:rPr>
          <w:rFonts w:hint="default" w:ascii="Times New Roman" w:hAnsi="Times New Roman" w:eastAsia="方正仿宋_GBK" w:cs="Times New Roman"/>
          <w:color w:val="auto"/>
          <w:sz w:val="32"/>
          <w:szCs w:val="32"/>
        </w:rPr>
        <w:t>销号</w:t>
      </w:r>
      <w:r>
        <w:rPr>
          <w:rFonts w:hint="default" w:ascii="Times New Roman" w:hAnsi="Times New Roman" w:eastAsia="方正仿宋_GBK" w:cs="Times New Roman"/>
          <w:color w:val="auto"/>
          <w:sz w:val="32"/>
          <w:szCs w:val="32"/>
          <w:lang w:val="en-US" w:eastAsia="zh-CN"/>
        </w:rPr>
        <w:t>17条，</w:t>
      </w:r>
      <w:r>
        <w:rPr>
          <w:rFonts w:hint="default" w:ascii="Times New Roman" w:hAnsi="Times New Roman" w:eastAsia="方正仿宋_GBK" w:cs="Times New Roman"/>
          <w:b w:val="0"/>
          <w:bCs w:val="0"/>
          <w:color w:val="auto"/>
          <w:kern w:val="2"/>
          <w:sz w:val="32"/>
          <w:szCs w:val="32"/>
          <w:highlight w:val="none"/>
          <w:lang w:val="en-US" w:eastAsia="zh-CN" w:bidi="ar-SA"/>
        </w:rPr>
        <w:t>立案3起、罚款14.95万元；监管煤炭洗选企业，检查18次，整改隐患56条。同时，化解历史遗留问题，接访20余次，联合多部门稳控信访，积极争取8处关闭煤矿6240万元奖补资金。</w:t>
      </w:r>
    </w:p>
    <w:p w14:paraId="1E36E1EC">
      <w:pPr>
        <w:keepNext w:val="0"/>
        <w:keepLines w:val="0"/>
        <w:pageBreakBefore w:val="0"/>
        <w:kinsoku/>
        <w:wordWrap/>
        <w:overflowPunct/>
        <w:topLinePunct w:val="0"/>
        <w:bidi w:val="0"/>
        <w:adjustRightInd/>
        <w:snapToGrid/>
        <w:spacing w:line="610" w:lineRule="exact"/>
        <w:ind w:firstLine="630" w:firstLineChars="196"/>
        <w:jc w:val="both"/>
        <w:rPr>
          <w:rStyle w:val="40"/>
          <w:rFonts w:hint="default" w:ascii="Times New Roman" w:hAnsi="Times New Roman" w:eastAsia="方正仿宋_GBK" w:cs="Times New Roman"/>
          <w:color w:val="auto"/>
          <w:sz w:val="32"/>
          <w:szCs w:val="32"/>
          <w:lang w:val="en-US" w:eastAsia="zh-CN"/>
        </w:rPr>
      </w:pPr>
      <w:r>
        <w:rPr>
          <w:rFonts w:hint="eastAsia" w:ascii="Times New Roman" w:hAnsi="Times New Roman" w:cs="Times New Roman"/>
          <w:b/>
          <w:bCs/>
          <w:color w:val="auto"/>
          <w:kern w:val="2"/>
          <w:sz w:val="32"/>
          <w:szCs w:val="32"/>
          <w:highlight w:val="none"/>
          <w:lang w:val="en-US" w:eastAsia="zh-CN" w:bidi="ar-SA"/>
        </w:rPr>
        <w:t>（2）</w:t>
      </w:r>
      <w:r>
        <w:rPr>
          <w:rFonts w:hint="default" w:ascii="Times New Roman" w:hAnsi="Times New Roman" w:eastAsia="方正仿宋_GBK" w:cs="Times New Roman"/>
          <w:b/>
          <w:bCs/>
          <w:color w:val="auto"/>
          <w:kern w:val="2"/>
          <w:sz w:val="32"/>
          <w:szCs w:val="32"/>
          <w:highlight w:val="none"/>
          <w:lang w:val="en-US" w:eastAsia="zh-CN" w:bidi="ar-SA"/>
        </w:rPr>
        <w:t>非煤矿山领域。</w:t>
      </w:r>
      <w:r>
        <w:rPr>
          <w:rStyle w:val="40"/>
          <w:rFonts w:hint="default" w:ascii="Times New Roman" w:hAnsi="Times New Roman" w:eastAsia="方正仿宋_GBK" w:cs="Times New Roman"/>
          <w:color w:val="auto"/>
          <w:sz w:val="32"/>
          <w:szCs w:val="32"/>
          <w:lang w:val="en-US" w:eastAsia="zh-CN"/>
        </w:rPr>
        <w:t>检查非煤矿山49矿次，发现一般隐患40条，整改36条，企业自查重大隐患2条已完成整改。推动非煤矿山建立隐患内部报告奖励机制，开展安全生产标准化建设，完成治本攻坚与“八条硬措施”相关任务。</w:t>
      </w:r>
    </w:p>
    <w:p w14:paraId="35E25539">
      <w:pPr>
        <w:keepNext w:val="0"/>
        <w:keepLines w:val="0"/>
        <w:pageBreakBefore w:val="0"/>
        <w:kinsoku/>
        <w:wordWrap/>
        <w:overflowPunct/>
        <w:topLinePunct w:val="0"/>
        <w:bidi w:val="0"/>
        <w:adjustRightInd/>
        <w:snapToGrid/>
        <w:spacing w:line="610" w:lineRule="exact"/>
        <w:ind w:firstLine="630" w:firstLineChars="196"/>
        <w:jc w:val="both"/>
        <w:rPr>
          <w:rStyle w:val="40"/>
          <w:rFonts w:hint="default" w:ascii="Times New Roman" w:hAnsi="Times New Roman" w:eastAsia="方正仿宋_GBK" w:cs="Times New Roman"/>
          <w:color w:val="auto"/>
          <w:sz w:val="32"/>
          <w:szCs w:val="32"/>
          <w:lang w:val="en-US" w:eastAsia="zh-CN"/>
        </w:rPr>
      </w:pPr>
      <w:r>
        <w:rPr>
          <w:rFonts w:hint="eastAsia" w:ascii="Times New Roman" w:hAnsi="Times New Roman" w:cs="Times New Roman"/>
          <w:b/>
          <w:bCs/>
          <w:color w:val="auto"/>
          <w:kern w:val="2"/>
          <w:sz w:val="32"/>
          <w:szCs w:val="32"/>
          <w:highlight w:val="none"/>
          <w:lang w:val="en-US" w:eastAsia="zh-CN" w:bidi="ar-SA"/>
        </w:rPr>
        <w:t>（3）</w:t>
      </w:r>
      <w:r>
        <w:rPr>
          <w:rFonts w:hint="default" w:ascii="Times New Roman" w:hAnsi="Times New Roman" w:eastAsia="方正仿宋_GBK" w:cs="Times New Roman"/>
          <w:b/>
          <w:bCs/>
          <w:color w:val="auto"/>
          <w:kern w:val="2"/>
          <w:sz w:val="32"/>
          <w:szCs w:val="32"/>
          <w:highlight w:val="none"/>
          <w:lang w:val="en-US" w:eastAsia="zh-CN" w:bidi="ar-SA"/>
        </w:rPr>
        <w:t>危险化学品与烟花爆竹领域。</w:t>
      </w:r>
      <w:r>
        <w:rPr>
          <w:rStyle w:val="40"/>
          <w:rFonts w:hint="default" w:ascii="Times New Roman" w:hAnsi="Times New Roman" w:eastAsia="方正仿宋_GBK" w:cs="Times New Roman"/>
          <w:color w:val="auto"/>
          <w:sz w:val="32"/>
          <w:szCs w:val="32"/>
          <w:lang w:val="en-US" w:eastAsia="zh-CN"/>
        </w:rPr>
        <w:t>检查企事业单位40家次，责令限期完成隐患整改59条，下达现场检查执法文书9份，查处“黑加油点”2个，复核60家烟花爆竹零售店及7个临时销售点，春节期间开展“打非治违”，成立检查组102个，收缴非法产品499件，</w:t>
      </w:r>
      <w:r>
        <w:rPr>
          <w:rFonts w:hint="default" w:ascii="Times New Roman" w:hAnsi="Times New Roman" w:eastAsia="方正仿宋_GBK" w:cs="Times New Roman"/>
          <w:color w:val="auto"/>
          <w:sz w:val="32"/>
          <w:szCs w:val="32"/>
          <w:lang w:val="en-US" w:eastAsia="zh-CN"/>
        </w:rPr>
        <w:t>办理行政案件1起，</w:t>
      </w:r>
      <w:r>
        <w:rPr>
          <w:rStyle w:val="40"/>
          <w:rFonts w:hint="default" w:ascii="Times New Roman" w:hAnsi="Times New Roman" w:eastAsia="方正仿宋_GBK" w:cs="Times New Roman"/>
          <w:color w:val="auto"/>
          <w:sz w:val="32"/>
          <w:szCs w:val="32"/>
          <w:lang w:val="en-US" w:eastAsia="zh-CN"/>
        </w:rPr>
        <w:t>罚款2万元；积极推进化工园区创D级工作。</w:t>
      </w:r>
    </w:p>
    <w:p w14:paraId="711C4724">
      <w:pPr>
        <w:keepNext w:val="0"/>
        <w:keepLines w:val="0"/>
        <w:pageBreakBefore w:val="0"/>
        <w:kinsoku/>
        <w:wordWrap/>
        <w:overflowPunct/>
        <w:topLinePunct w:val="0"/>
        <w:bidi w:val="0"/>
        <w:adjustRightInd/>
        <w:snapToGrid/>
        <w:spacing w:line="610" w:lineRule="exact"/>
        <w:ind w:firstLine="630" w:firstLineChars="196"/>
        <w:jc w:val="both"/>
        <w:rPr>
          <w:rStyle w:val="40"/>
          <w:rFonts w:hint="default" w:ascii="Times New Roman" w:hAnsi="Times New Roman" w:eastAsia="方正仿宋_GBK" w:cs="Times New Roman"/>
          <w:color w:val="auto"/>
          <w:sz w:val="32"/>
          <w:szCs w:val="32"/>
          <w:lang w:val="en-US" w:eastAsia="zh-CN"/>
        </w:rPr>
      </w:pPr>
      <w:r>
        <w:rPr>
          <w:rFonts w:hint="eastAsia" w:ascii="Times New Roman" w:hAnsi="Times New Roman" w:cs="Times New Roman"/>
          <w:b/>
          <w:bCs/>
          <w:color w:val="auto"/>
          <w:kern w:val="2"/>
          <w:sz w:val="32"/>
          <w:szCs w:val="32"/>
          <w:highlight w:val="none"/>
          <w:lang w:val="en-US" w:eastAsia="zh-CN" w:bidi="ar-SA"/>
        </w:rPr>
        <w:t>（4）</w:t>
      </w:r>
      <w:r>
        <w:rPr>
          <w:rFonts w:hint="default" w:ascii="Times New Roman" w:hAnsi="Times New Roman" w:eastAsia="方正仿宋_GBK" w:cs="Times New Roman"/>
          <w:b/>
          <w:bCs/>
          <w:color w:val="auto"/>
          <w:kern w:val="2"/>
          <w:sz w:val="32"/>
          <w:szCs w:val="32"/>
          <w:highlight w:val="none"/>
          <w:lang w:val="en-US" w:eastAsia="zh-CN" w:bidi="ar-SA"/>
        </w:rPr>
        <w:t>工贸领域。</w:t>
      </w:r>
      <w:r>
        <w:rPr>
          <w:rStyle w:val="40"/>
          <w:rFonts w:hint="default" w:ascii="Times New Roman" w:hAnsi="Times New Roman" w:eastAsia="方正仿宋_GBK" w:cs="Times New Roman"/>
          <w:color w:val="auto"/>
          <w:sz w:val="32"/>
          <w:szCs w:val="32"/>
          <w:lang w:val="en-US" w:eastAsia="zh-CN"/>
        </w:rPr>
        <w:t>检查工贸企业65家次，发现隐患252条，督促企业自查重大隐患8条，立案4起、罚款19万元。同时，督促工贸企业落实复工复产“八个一”要求，摸排43家规上企业“三同时”情况，督促6家完成安全设施设计诊断；指导165家企业建立隐患内部奖励制度，组织63人参加“明白人”培训测试。</w:t>
      </w:r>
    </w:p>
    <w:p w14:paraId="137A64C8">
      <w:pPr>
        <w:keepNext w:val="0"/>
        <w:keepLines w:val="0"/>
        <w:pageBreakBefore w:val="0"/>
        <w:widowControl w:val="0"/>
        <w:kinsoku/>
        <w:wordWrap/>
        <w:overflowPunct/>
        <w:topLinePunct w:val="0"/>
        <w:autoSpaceDE/>
        <w:autoSpaceDN/>
        <w:bidi w:val="0"/>
        <w:adjustRightInd/>
        <w:snapToGrid/>
        <w:spacing w:line="610" w:lineRule="exact"/>
        <w:ind w:firstLine="643" w:firstLineChars="200"/>
        <w:jc w:val="both"/>
        <w:textAlignment w:val="auto"/>
        <w:rPr>
          <w:rFonts w:hint="default" w:ascii="Times New Roman" w:hAnsi="Times New Roman" w:eastAsia="方正楷体_GBK" w:cs="Times New Roman"/>
          <w:b/>
          <w:bCs w:val="0"/>
          <w:color w:val="auto"/>
          <w:sz w:val="32"/>
          <w:szCs w:val="32"/>
          <w:lang w:val="en-US" w:eastAsia="zh-CN"/>
        </w:rPr>
      </w:pPr>
      <w:r>
        <w:rPr>
          <w:rFonts w:hint="eastAsia" w:ascii="Times New Roman" w:hAnsi="Times New Roman" w:eastAsia="方正楷体_GBK" w:cs="Times New Roman"/>
          <w:b/>
          <w:bCs w:val="0"/>
          <w:color w:val="auto"/>
          <w:sz w:val="32"/>
          <w:szCs w:val="32"/>
          <w:lang w:val="en-US" w:eastAsia="zh-CN"/>
        </w:rPr>
        <w:t>3.</w:t>
      </w:r>
      <w:r>
        <w:rPr>
          <w:rFonts w:hint="default" w:ascii="Times New Roman" w:hAnsi="Times New Roman" w:eastAsia="方正楷体_GBK" w:cs="Times New Roman"/>
          <w:b/>
          <w:bCs w:val="0"/>
          <w:color w:val="auto"/>
          <w:sz w:val="32"/>
          <w:szCs w:val="32"/>
          <w:lang w:val="en-US" w:eastAsia="zh-CN"/>
        </w:rPr>
        <w:t>完善应急体系，提升防灾减灾能力</w:t>
      </w:r>
    </w:p>
    <w:p w14:paraId="66E06D85">
      <w:pPr>
        <w:keepNext w:val="0"/>
        <w:keepLines w:val="0"/>
        <w:pageBreakBefore w:val="0"/>
        <w:widowControl w:val="0"/>
        <w:kinsoku/>
        <w:wordWrap/>
        <w:overflowPunct/>
        <w:topLinePunct w:val="0"/>
        <w:bidi w:val="0"/>
        <w:adjustRightInd/>
        <w:snapToGrid/>
        <w:spacing w:line="610" w:lineRule="exact"/>
        <w:ind w:firstLine="643" w:firstLineChars="200"/>
        <w:jc w:val="both"/>
        <w:textAlignment w:val="baseline"/>
        <w:rPr>
          <w:rFonts w:hint="default" w:ascii="Times New Roman" w:hAnsi="Times New Roman" w:eastAsia="方正仿宋_GBK" w:cs="Times New Roman"/>
          <w:b w:val="0"/>
          <w:bCs w:val="0"/>
          <w:color w:val="auto"/>
          <w:sz w:val="32"/>
          <w:szCs w:val="32"/>
          <w:lang w:eastAsia="zh-CN"/>
        </w:rPr>
      </w:pPr>
      <w:r>
        <w:rPr>
          <w:rFonts w:hint="eastAsia" w:ascii="Times New Roman" w:hAnsi="Times New Roman" w:cs="Times New Roman"/>
          <w:b/>
          <w:bCs/>
          <w:color w:val="auto"/>
          <w:kern w:val="2"/>
          <w:sz w:val="32"/>
          <w:szCs w:val="32"/>
          <w:highlight w:val="none"/>
          <w:lang w:val="en-US" w:eastAsia="zh-CN" w:bidi="ar-SA"/>
        </w:rPr>
        <w:t>（1）</w:t>
      </w:r>
      <w:r>
        <w:rPr>
          <w:rFonts w:hint="default" w:ascii="Times New Roman" w:hAnsi="Times New Roman" w:eastAsia="方正仿宋_GBK" w:cs="Times New Roman"/>
          <w:b/>
          <w:bCs/>
          <w:color w:val="auto"/>
          <w:kern w:val="2"/>
          <w:sz w:val="32"/>
          <w:szCs w:val="32"/>
          <w:highlight w:val="none"/>
          <w:lang w:val="en-US" w:eastAsia="zh-CN" w:bidi="ar-SA"/>
        </w:rPr>
        <w:t>强化应急救援建设。</w:t>
      </w:r>
      <w:r>
        <w:rPr>
          <w:rFonts w:hint="default" w:ascii="Times New Roman" w:hAnsi="Times New Roman" w:eastAsia="方正仿宋_GBK" w:cs="Times New Roman"/>
          <w:b w:val="0"/>
          <w:bCs w:val="0"/>
          <w:color w:val="auto"/>
          <w:sz w:val="32"/>
          <w:szCs w:val="32"/>
          <w:lang w:eastAsia="zh-CN"/>
        </w:rPr>
        <w:t>组织区综合应急救援队开展全员培训与联防联训，提升专业化水平；储备救灾物资5000余件、原粮6600吨</w:t>
      </w:r>
      <w:r>
        <w:rPr>
          <w:rFonts w:hint="default" w:ascii="Times New Roman" w:hAnsi="Times New Roman" w:eastAsia="方正仿宋_GBK" w:cs="Times New Roman"/>
          <w:color w:val="auto"/>
          <w:sz w:val="32"/>
          <w:szCs w:val="32"/>
        </w:rPr>
        <w:t>、小包装成品大米380吨、食用油241吨</w:t>
      </w:r>
      <w:r>
        <w:rPr>
          <w:rFonts w:hint="default" w:ascii="Times New Roman" w:hAnsi="Times New Roman" w:eastAsia="方正仿宋_GBK" w:cs="Times New Roman"/>
          <w:b w:val="0"/>
          <w:bCs w:val="0"/>
          <w:color w:val="auto"/>
          <w:sz w:val="32"/>
          <w:szCs w:val="32"/>
          <w:lang w:eastAsia="zh-CN"/>
        </w:rPr>
        <w:t>，协议保供超市3家，调拨前置物资230件（套）；储备应急装备1102台（套）、协议储备车辆机械123台（辆）。</w:t>
      </w:r>
    </w:p>
    <w:p w14:paraId="0E60E994">
      <w:pPr>
        <w:keepNext w:val="0"/>
        <w:keepLines w:val="0"/>
        <w:pageBreakBefore w:val="0"/>
        <w:widowControl/>
        <w:kinsoku/>
        <w:wordWrap/>
        <w:overflowPunct/>
        <w:topLinePunct w:val="0"/>
        <w:bidi w:val="0"/>
        <w:adjustRightInd/>
        <w:snapToGrid/>
        <w:spacing w:line="610" w:lineRule="exact"/>
        <w:ind w:firstLine="643"/>
        <w:jc w:val="both"/>
        <w:rPr>
          <w:rFonts w:hint="default" w:ascii="Times New Roman" w:hAnsi="Times New Roman" w:eastAsia="方正仿宋_GBK" w:cs="Times New Roman"/>
          <w:b w:val="0"/>
          <w:bCs w:val="0"/>
          <w:color w:val="auto"/>
          <w:sz w:val="32"/>
          <w:szCs w:val="32"/>
          <w:lang w:eastAsia="zh-CN"/>
        </w:rPr>
      </w:pPr>
      <w:r>
        <w:rPr>
          <w:rFonts w:hint="eastAsia" w:ascii="Times New Roman" w:hAnsi="Times New Roman" w:cs="Times New Roman"/>
          <w:b/>
          <w:bCs/>
          <w:color w:val="auto"/>
          <w:kern w:val="2"/>
          <w:sz w:val="32"/>
          <w:szCs w:val="32"/>
          <w:highlight w:val="none"/>
          <w:lang w:val="en-US" w:eastAsia="zh-CN" w:bidi="ar-SA"/>
        </w:rPr>
        <w:t>（2）</w:t>
      </w:r>
      <w:r>
        <w:rPr>
          <w:rFonts w:hint="default" w:ascii="Times New Roman" w:hAnsi="Times New Roman" w:eastAsia="方正仿宋_GBK" w:cs="Times New Roman"/>
          <w:b/>
          <w:bCs/>
          <w:color w:val="auto"/>
          <w:kern w:val="2"/>
          <w:sz w:val="32"/>
          <w:szCs w:val="32"/>
          <w:highlight w:val="none"/>
          <w:lang w:val="en-US" w:eastAsia="zh-CN" w:bidi="ar-SA"/>
        </w:rPr>
        <w:t>筑牢灾害防范屏障。</w:t>
      </w:r>
      <w:r>
        <w:rPr>
          <w:rFonts w:hint="default" w:ascii="Times New Roman" w:hAnsi="Times New Roman" w:eastAsia="方正仿宋_GBK" w:cs="Times New Roman"/>
          <w:b w:val="0"/>
          <w:bCs w:val="0"/>
          <w:color w:val="auto"/>
          <w:sz w:val="32"/>
          <w:szCs w:val="32"/>
          <w:lang w:eastAsia="zh-CN"/>
        </w:rPr>
        <w:t>维护地震预警系统，</w:t>
      </w:r>
      <w:r>
        <w:rPr>
          <w:rFonts w:hint="default" w:ascii="Times New Roman" w:hAnsi="Times New Roman" w:eastAsia="方正仿宋_GBK" w:cs="Times New Roman"/>
          <w:color w:val="auto"/>
          <w:sz w:val="32"/>
          <w:szCs w:val="32"/>
        </w:rPr>
        <w:t>夯实地震群测群防基础，</w:t>
      </w:r>
      <w:r>
        <w:rPr>
          <w:rFonts w:hint="default" w:ascii="Times New Roman" w:hAnsi="Times New Roman" w:eastAsia="方正仿宋_GBK" w:cs="Times New Roman"/>
          <w:b w:val="0"/>
          <w:bCs w:val="0"/>
          <w:color w:val="auto"/>
          <w:sz w:val="32"/>
          <w:szCs w:val="32"/>
          <w:lang w:eastAsia="zh-CN"/>
        </w:rPr>
        <w:t>落实5处宏观观测点，</w:t>
      </w:r>
      <w:r>
        <w:rPr>
          <w:rFonts w:hint="default" w:ascii="Times New Roman" w:hAnsi="Times New Roman" w:eastAsia="方正仿宋_GBK" w:cs="Times New Roman"/>
          <w:color w:val="auto"/>
          <w:sz w:val="32"/>
          <w:szCs w:val="32"/>
        </w:rPr>
        <w:t>积极协助开展地震科学试验场建设工作</w:t>
      </w:r>
      <w:r>
        <w:rPr>
          <w:rFonts w:hint="default" w:ascii="Times New Roman" w:hAnsi="Times New Roman" w:eastAsia="方正仿宋_GBK" w:cs="Times New Roman"/>
          <w:b w:val="0"/>
          <w:bCs w:val="0"/>
          <w:color w:val="auto"/>
          <w:sz w:val="32"/>
          <w:szCs w:val="32"/>
          <w:lang w:eastAsia="zh-CN"/>
        </w:rPr>
        <w:t>；组织灾害信息员培训，建立“区—乡—村”三级队伍129人，上报自然灾害14起，形成风险分析报告10期；年初积极</w:t>
      </w:r>
      <w:r>
        <w:rPr>
          <w:rFonts w:hint="default" w:ascii="Times New Roman" w:hAnsi="Times New Roman" w:eastAsia="方正仿宋_GBK" w:cs="Times New Roman"/>
          <w:color w:val="auto"/>
          <w:sz w:val="32"/>
          <w:szCs w:val="32"/>
          <w:lang w:eastAsia="zh-CN"/>
        </w:rPr>
        <w:t>协同</w:t>
      </w:r>
      <w:r>
        <w:rPr>
          <w:rFonts w:hint="default" w:ascii="Times New Roman" w:hAnsi="Times New Roman" w:eastAsia="方正仿宋_GBK" w:cs="Times New Roman"/>
          <w:color w:val="auto"/>
          <w:sz w:val="32"/>
          <w:szCs w:val="32"/>
        </w:rPr>
        <w:t>气象、农业农村、交通、水利、公安等部门</w:t>
      </w:r>
      <w:r>
        <w:rPr>
          <w:rFonts w:hint="default" w:ascii="Times New Roman" w:hAnsi="Times New Roman" w:eastAsia="方正仿宋_GBK" w:cs="Times New Roman"/>
          <w:b w:val="0"/>
          <w:bCs w:val="0"/>
          <w:color w:val="auto"/>
          <w:sz w:val="32"/>
          <w:szCs w:val="32"/>
          <w:lang w:eastAsia="zh-CN"/>
        </w:rPr>
        <w:t>应对低温冷冻灾害，未造成人员伤亡。</w:t>
      </w:r>
    </w:p>
    <w:p w14:paraId="0AEC4130">
      <w:pPr>
        <w:keepNext w:val="0"/>
        <w:keepLines w:val="0"/>
        <w:pageBreakBefore w:val="0"/>
        <w:kinsoku/>
        <w:wordWrap/>
        <w:overflowPunct/>
        <w:topLinePunct w:val="0"/>
        <w:bidi w:val="0"/>
        <w:adjustRightInd/>
        <w:snapToGrid/>
        <w:spacing w:line="610" w:lineRule="exact"/>
        <w:ind w:firstLine="643"/>
        <w:jc w:val="both"/>
        <w:textAlignment w:val="baseline"/>
        <w:rPr>
          <w:rFonts w:hint="default" w:ascii="Times New Roman" w:hAnsi="Times New Roman" w:eastAsia="方正仿宋_GBK" w:cs="Times New Roman"/>
          <w:b w:val="0"/>
          <w:bCs w:val="0"/>
          <w:color w:val="auto"/>
          <w:sz w:val="32"/>
          <w:szCs w:val="32"/>
          <w:lang w:eastAsia="zh-CN"/>
        </w:rPr>
      </w:pPr>
      <w:r>
        <w:rPr>
          <w:rFonts w:hint="eastAsia" w:ascii="Times New Roman" w:hAnsi="Times New Roman" w:cs="Times New Roman"/>
          <w:b/>
          <w:bCs/>
          <w:color w:val="auto"/>
          <w:kern w:val="2"/>
          <w:sz w:val="32"/>
          <w:szCs w:val="32"/>
          <w:highlight w:val="none"/>
          <w:lang w:val="en-US" w:eastAsia="zh-CN" w:bidi="ar-SA"/>
        </w:rPr>
        <w:t>（3）</w:t>
      </w:r>
      <w:r>
        <w:rPr>
          <w:rFonts w:hint="default" w:ascii="Times New Roman" w:hAnsi="Times New Roman" w:eastAsia="方正仿宋_GBK" w:cs="Times New Roman"/>
          <w:b/>
          <w:bCs/>
          <w:color w:val="auto"/>
          <w:kern w:val="2"/>
          <w:sz w:val="32"/>
          <w:szCs w:val="32"/>
          <w:highlight w:val="none"/>
          <w:lang w:val="en-US" w:eastAsia="zh-CN" w:bidi="ar-SA"/>
        </w:rPr>
        <w:t>保障通讯与值班值守。</w:t>
      </w:r>
      <w:r>
        <w:rPr>
          <w:rFonts w:hint="default" w:ascii="Times New Roman" w:hAnsi="Times New Roman" w:eastAsia="方正仿宋_GBK" w:cs="Times New Roman"/>
          <w:b w:val="0"/>
          <w:bCs w:val="0"/>
          <w:color w:val="auto"/>
          <w:sz w:val="32"/>
          <w:szCs w:val="32"/>
          <w:lang w:eastAsia="zh-CN"/>
        </w:rPr>
        <w:t>维护“天通一号”卫星电话、对讲机，确保通联率100%，</w:t>
      </w:r>
      <w:r>
        <w:rPr>
          <w:rFonts w:hint="default" w:ascii="Times New Roman" w:hAnsi="Times New Roman" w:eastAsia="方正仿宋_GBK" w:cs="Times New Roman"/>
          <w:bCs/>
          <w:color w:val="auto"/>
          <w:kern w:val="0"/>
          <w:sz w:val="32"/>
          <w:szCs w:val="32"/>
        </w:rPr>
        <w:t>提升基层备灾能</w:t>
      </w:r>
      <w:r>
        <w:rPr>
          <w:rFonts w:hint="eastAsia" w:eastAsia="方正仿宋_GBK" w:cs="Times New Roman"/>
          <w:bCs/>
          <w:color w:val="auto"/>
          <w:kern w:val="0"/>
          <w:sz w:val="32"/>
          <w:szCs w:val="32"/>
          <w:lang w:eastAsia="zh-CN"/>
        </w:rPr>
        <w:t>力和</w:t>
      </w:r>
      <w:r>
        <w:rPr>
          <w:rFonts w:hint="default" w:ascii="Times New Roman" w:hAnsi="Times New Roman" w:eastAsia="方正仿宋_GBK" w:cs="Times New Roman"/>
          <w:bCs/>
          <w:color w:val="auto"/>
          <w:kern w:val="0"/>
          <w:sz w:val="32"/>
          <w:szCs w:val="32"/>
        </w:rPr>
        <w:t>通讯保障</w:t>
      </w:r>
      <w:r>
        <w:rPr>
          <w:rFonts w:hint="default" w:ascii="Times New Roman" w:hAnsi="Times New Roman" w:eastAsia="方正仿宋_GBK" w:cs="Times New Roman"/>
          <w:b w:val="0"/>
          <w:bCs w:val="0"/>
          <w:color w:val="auto"/>
          <w:sz w:val="32"/>
          <w:szCs w:val="32"/>
          <w:lang w:eastAsia="zh-CN"/>
        </w:rPr>
        <w:t>；严格落实</w:t>
      </w:r>
      <w:r>
        <w:rPr>
          <w:rFonts w:hint="default" w:ascii="Times New Roman" w:hAnsi="Times New Roman" w:eastAsia="方正仿宋_GBK" w:cs="Times New Roman"/>
          <w:bCs/>
          <w:color w:val="auto"/>
          <w:kern w:val="0"/>
          <w:sz w:val="32"/>
          <w:szCs w:val="32"/>
        </w:rPr>
        <w:t>领导带班和24小时值班值守制度</w:t>
      </w:r>
      <w:r>
        <w:rPr>
          <w:rFonts w:hint="default" w:ascii="Times New Roman" w:hAnsi="Times New Roman" w:eastAsia="方正仿宋_GBK" w:cs="Times New Roman"/>
          <w:b w:val="0"/>
          <w:bCs w:val="0"/>
          <w:color w:val="auto"/>
          <w:sz w:val="32"/>
          <w:szCs w:val="32"/>
          <w:lang w:eastAsia="zh-CN"/>
        </w:rPr>
        <w:t>，累计填报防汛速报和日报170次。</w:t>
      </w:r>
    </w:p>
    <w:p w14:paraId="198CC42D">
      <w:pPr>
        <w:keepNext w:val="0"/>
        <w:keepLines w:val="0"/>
        <w:pageBreakBefore w:val="0"/>
        <w:widowControl w:val="0"/>
        <w:kinsoku/>
        <w:wordWrap/>
        <w:overflowPunct/>
        <w:topLinePunct w:val="0"/>
        <w:autoSpaceDE/>
        <w:autoSpaceDN/>
        <w:bidi w:val="0"/>
        <w:adjustRightInd/>
        <w:snapToGrid/>
        <w:spacing w:line="610" w:lineRule="exact"/>
        <w:ind w:firstLine="643" w:firstLineChars="200"/>
        <w:jc w:val="both"/>
        <w:textAlignment w:val="auto"/>
        <w:rPr>
          <w:rFonts w:hint="default" w:ascii="Times New Roman" w:hAnsi="Times New Roman" w:eastAsia="方正楷体_GBK" w:cs="Times New Roman"/>
          <w:b/>
          <w:bCs w:val="0"/>
          <w:color w:val="auto"/>
          <w:sz w:val="32"/>
          <w:szCs w:val="32"/>
          <w:lang w:val="en-US" w:eastAsia="zh-CN"/>
        </w:rPr>
      </w:pPr>
      <w:r>
        <w:rPr>
          <w:rFonts w:hint="eastAsia" w:ascii="Times New Roman" w:hAnsi="Times New Roman" w:eastAsia="方正楷体_GBK" w:cs="Times New Roman"/>
          <w:b/>
          <w:bCs w:val="0"/>
          <w:color w:val="auto"/>
          <w:sz w:val="32"/>
          <w:szCs w:val="32"/>
          <w:lang w:val="en-US" w:eastAsia="zh-CN"/>
        </w:rPr>
        <w:t>4.</w:t>
      </w:r>
      <w:r>
        <w:rPr>
          <w:rFonts w:hint="default" w:ascii="Times New Roman" w:hAnsi="Times New Roman" w:eastAsia="方正楷体_GBK" w:cs="Times New Roman"/>
          <w:b/>
          <w:bCs w:val="0"/>
          <w:color w:val="auto"/>
          <w:sz w:val="32"/>
          <w:szCs w:val="32"/>
          <w:lang w:val="en-US" w:eastAsia="zh-CN"/>
        </w:rPr>
        <w:t>加强宣传教育，营造安全氛围</w:t>
      </w:r>
    </w:p>
    <w:p w14:paraId="675D1A64">
      <w:pPr>
        <w:keepNext w:val="0"/>
        <w:keepLines w:val="0"/>
        <w:pageBreakBefore w:val="0"/>
        <w:widowControl w:val="0"/>
        <w:kinsoku/>
        <w:wordWrap/>
        <w:overflowPunct/>
        <w:topLinePunct w:val="0"/>
        <w:bidi w:val="0"/>
        <w:adjustRightInd/>
        <w:snapToGrid/>
        <w:spacing w:line="610" w:lineRule="exact"/>
        <w:ind w:firstLine="640" w:firstLineChars="200"/>
        <w:jc w:val="both"/>
        <w:textAlignment w:val="baseline"/>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组织开展“5·12”防灾减灾日活动，发放资料1000余份，接受咨询70余人次；安全生产月期间开展“安全宣传咨询日”活动，发放资料2000余份，推送短信60万条；向市局报送新闻信息，1篇被《中国应急管理报》采用，1篇被“四川应急”公众号采用；推进安全宣传“五进”，提升群众与企业安全意识。今年共办理烟花爆竹经营（零售）许可证59家；危险化学品经营许可证14家（其中换证2家，新办3家，变更2家，注销1家，重新申领6家）；非药品类易制毒备案证明5家（换证4家，新办1家）。</w:t>
      </w:r>
    </w:p>
    <w:p w14:paraId="11DEEFAE">
      <w:pPr>
        <w:keepNext w:val="0"/>
        <w:keepLines w:val="0"/>
        <w:pageBreakBefore w:val="0"/>
        <w:widowControl w:val="0"/>
        <w:kinsoku/>
        <w:wordWrap/>
        <w:overflowPunct/>
        <w:topLinePunct w:val="0"/>
        <w:autoSpaceDE/>
        <w:autoSpaceDN/>
        <w:bidi w:val="0"/>
        <w:adjustRightInd/>
        <w:snapToGrid/>
        <w:spacing w:line="610" w:lineRule="exact"/>
        <w:ind w:firstLine="643" w:firstLineChars="200"/>
        <w:jc w:val="both"/>
        <w:textAlignment w:val="auto"/>
        <w:rPr>
          <w:rFonts w:hint="default" w:ascii="Times New Roman" w:hAnsi="Times New Roman" w:eastAsia="方正仿宋_GBK" w:cs="Times New Roman"/>
          <w:color w:val="auto"/>
          <w:kern w:val="0"/>
          <w:sz w:val="32"/>
          <w:szCs w:val="32"/>
          <w:lang w:val="en-US" w:eastAsia="zh-CN" w:bidi="ar-SA"/>
        </w:rPr>
      </w:pPr>
      <w:r>
        <w:rPr>
          <w:rFonts w:hint="eastAsia" w:ascii="Times New Roman" w:hAnsi="Times New Roman" w:eastAsia="方正楷体_GBK" w:cs="Times New Roman"/>
          <w:b/>
          <w:bCs w:val="0"/>
          <w:color w:val="auto"/>
          <w:sz w:val="32"/>
          <w:szCs w:val="32"/>
          <w:lang w:val="en-US" w:eastAsia="zh-CN"/>
        </w:rPr>
        <w:t>5.</w:t>
      </w:r>
      <w:r>
        <w:rPr>
          <w:rFonts w:hint="default" w:ascii="Times New Roman" w:hAnsi="Times New Roman" w:eastAsia="方正楷体_GBK" w:cs="Times New Roman"/>
          <w:b/>
          <w:bCs w:val="0"/>
          <w:color w:val="auto"/>
          <w:sz w:val="32"/>
          <w:szCs w:val="32"/>
          <w:lang w:val="en-US" w:eastAsia="zh-CN"/>
        </w:rPr>
        <w:t>目标任务完成情况</w:t>
      </w:r>
    </w:p>
    <w:p w14:paraId="0E5A78F9">
      <w:pPr>
        <w:keepNext w:val="0"/>
        <w:keepLines w:val="0"/>
        <w:pageBreakBefore w:val="0"/>
        <w:widowControl w:val="0"/>
        <w:kinsoku/>
        <w:wordWrap/>
        <w:overflowPunct/>
        <w:topLinePunct w:val="0"/>
        <w:autoSpaceDE/>
        <w:autoSpaceDN/>
        <w:bidi w:val="0"/>
        <w:adjustRightInd/>
        <w:snapToGrid/>
        <w:spacing w:line="610" w:lineRule="exact"/>
        <w:ind w:firstLine="643" w:firstLineChars="200"/>
        <w:jc w:val="both"/>
        <w:textAlignment w:val="auto"/>
        <w:rPr>
          <w:rFonts w:hint="default" w:ascii="Times New Roman" w:hAnsi="Times New Roman" w:eastAsia="方正仿宋_GBK" w:cs="Times New Roman"/>
          <w:color w:val="auto"/>
          <w:kern w:val="0"/>
          <w:sz w:val="32"/>
          <w:szCs w:val="32"/>
          <w:lang w:val="en-US" w:eastAsia="zh-CN" w:bidi="ar-SA"/>
        </w:rPr>
      </w:pPr>
      <w:r>
        <w:rPr>
          <w:rFonts w:hint="eastAsia" w:ascii="Times New Roman" w:hAnsi="Times New Roman" w:cs="Times New Roman"/>
          <w:b/>
          <w:bCs/>
          <w:color w:val="auto"/>
          <w:kern w:val="2"/>
          <w:sz w:val="32"/>
          <w:szCs w:val="32"/>
          <w:highlight w:val="none"/>
          <w:lang w:val="en-US" w:eastAsia="zh-CN" w:bidi="ar-SA"/>
        </w:rPr>
        <w:t>（1）</w:t>
      </w:r>
      <w:r>
        <w:rPr>
          <w:rFonts w:hint="default" w:ascii="Times New Roman" w:hAnsi="Times New Roman" w:eastAsia="方正仿宋_GBK" w:cs="Times New Roman"/>
          <w:b/>
          <w:bCs/>
          <w:color w:val="auto"/>
          <w:kern w:val="2"/>
          <w:sz w:val="32"/>
          <w:szCs w:val="32"/>
          <w:highlight w:val="none"/>
          <w:lang w:val="en-US" w:eastAsia="zh-CN" w:bidi="ar-SA"/>
        </w:rPr>
        <w:t>安全生产事故方面。</w:t>
      </w:r>
      <w:r>
        <w:rPr>
          <w:rFonts w:hint="default" w:ascii="Times New Roman" w:hAnsi="Times New Roman" w:eastAsia="方正仿宋_GBK" w:cs="Times New Roman"/>
          <w:color w:val="auto"/>
          <w:kern w:val="0"/>
          <w:sz w:val="32"/>
          <w:szCs w:val="32"/>
          <w:lang w:val="en-US" w:eastAsia="zh-CN" w:bidi="ar-SA"/>
        </w:rPr>
        <w:t>截至11月3日，我区未发生生产安全事故，形势持续向好。</w:t>
      </w:r>
    </w:p>
    <w:p w14:paraId="260B06C4">
      <w:pPr>
        <w:keepNext w:val="0"/>
        <w:keepLines w:val="0"/>
        <w:pageBreakBefore w:val="0"/>
        <w:widowControl w:val="0"/>
        <w:kinsoku/>
        <w:wordWrap/>
        <w:overflowPunct/>
        <w:topLinePunct w:val="0"/>
        <w:autoSpaceDE/>
        <w:autoSpaceDN/>
        <w:bidi w:val="0"/>
        <w:adjustRightInd/>
        <w:snapToGrid/>
        <w:spacing w:line="610" w:lineRule="exact"/>
        <w:ind w:firstLine="643" w:firstLineChars="200"/>
        <w:jc w:val="both"/>
        <w:textAlignment w:val="auto"/>
        <w:rPr>
          <w:rFonts w:hint="default" w:ascii="Times New Roman" w:hAnsi="Times New Roman" w:eastAsia="方正仿宋_GBK" w:cs="Times New Roman"/>
          <w:color w:val="auto"/>
          <w:kern w:val="0"/>
          <w:sz w:val="32"/>
          <w:szCs w:val="32"/>
          <w:lang w:val="en-US" w:eastAsia="zh-CN" w:bidi="ar-SA"/>
        </w:rPr>
      </w:pPr>
      <w:r>
        <w:rPr>
          <w:rFonts w:hint="eastAsia" w:ascii="Times New Roman" w:hAnsi="Times New Roman" w:cs="Times New Roman"/>
          <w:b/>
          <w:bCs/>
          <w:color w:val="auto"/>
          <w:kern w:val="2"/>
          <w:sz w:val="32"/>
          <w:szCs w:val="32"/>
          <w:highlight w:val="none"/>
          <w:lang w:val="en-US" w:eastAsia="zh-CN" w:bidi="ar-SA"/>
        </w:rPr>
        <w:t>（2）</w:t>
      </w:r>
      <w:r>
        <w:rPr>
          <w:rFonts w:hint="default" w:ascii="Times New Roman" w:hAnsi="Times New Roman" w:eastAsia="方正仿宋_GBK" w:cs="Times New Roman"/>
          <w:b/>
          <w:bCs/>
          <w:color w:val="auto"/>
          <w:kern w:val="2"/>
          <w:sz w:val="32"/>
          <w:szCs w:val="32"/>
          <w:highlight w:val="none"/>
          <w:lang w:val="en-US" w:eastAsia="zh-CN" w:bidi="ar-SA"/>
        </w:rPr>
        <w:t>区级重点项目方面。</w:t>
      </w:r>
      <w:r>
        <w:rPr>
          <w:rFonts w:hint="default" w:ascii="Times New Roman" w:hAnsi="Times New Roman" w:eastAsia="方正仿宋_GBK" w:cs="Times New Roman"/>
          <w:color w:val="auto"/>
          <w:kern w:val="0"/>
          <w:sz w:val="32"/>
          <w:szCs w:val="32"/>
          <w:lang w:val="en-US" w:eastAsia="zh-CN" w:bidi="ar-SA"/>
        </w:rPr>
        <w:t>督促指导张家湾煤矿、大河沟煤矿完成初步设计、安全设施设计重新审批资料提交。张家湾煤矿在项目核准到期前顺利取得初步设计、安全设施设计批复，在10月24日顺利复工开建。持续推动胜利煤矿安全实施升级改造建设，截至11月3日已施工巷道4050米，完成总工程量的83%。帮扶指导何家屋基煤矿启动复工复产工作，在11月3日启封井口并完成入井侦察，通过有序推动煤矿升级改造和复工复产，助力绿色煤炭产业建圈强链稳固发展。</w:t>
      </w:r>
    </w:p>
    <w:p w14:paraId="124AFC78">
      <w:pPr>
        <w:keepNext w:val="0"/>
        <w:keepLines w:val="0"/>
        <w:pageBreakBefore w:val="0"/>
        <w:widowControl w:val="0"/>
        <w:kinsoku/>
        <w:wordWrap/>
        <w:overflowPunct/>
        <w:topLinePunct w:val="0"/>
        <w:autoSpaceDE/>
        <w:autoSpaceDN/>
        <w:bidi w:val="0"/>
        <w:adjustRightInd/>
        <w:snapToGrid/>
        <w:spacing w:line="610" w:lineRule="exact"/>
        <w:ind w:firstLine="643" w:firstLineChars="200"/>
        <w:jc w:val="both"/>
        <w:textAlignment w:val="auto"/>
        <w:rPr>
          <w:rFonts w:hint="default" w:ascii="Times New Roman" w:hAnsi="Times New Roman" w:eastAsia="方正仿宋_GBK" w:cs="Times New Roman"/>
          <w:color w:val="auto"/>
          <w:kern w:val="0"/>
          <w:sz w:val="32"/>
          <w:szCs w:val="32"/>
          <w:lang w:val="en-US" w:eastAsia="zh-CN" w:bidi="ar-SA"/>
        </w:rPr>
      </w:pPr>
      <w:r>
        <w:rPr>
          <w:rFonts w:hint="eastAsia" w:ascii="Times New Roman" w:hAnsi="Times New Roman" w:cs="Times New Roman"/>
          <w:b/>
          <w:bCs/>
          <w:color w:val="auto"/>
          <w:kern w:val="2"/>
          <w:sz w:val="32"/>
          <w:szCs w:val="32"/>
          <w:highlight w:val="none"/>
          <w:lang w:val="en-US" w:eastAsia="zh-CN" w:bidi="ar-SA"/>
        </w:rPr>
        <w:t>（3）</w:t>
      </w:r>
      <w:r>
        <w:rPr>
          <w:rFonts w:hint="default" w:ascii="Times New Roman" w:hAnsi="Times New Roman" w:eastAsia="方正仿宋_GBK" w:cs="Times New Roman"/>
          <w:b/>
          <w:bCs/>
          <w:color w:val="auto"/>
          <w:kern w:val="2"/>
          <w:sz w:val="32"/>
          <w:szCs w:val="32"/>
          <w:highlight w:val="none"/>
          <w:lang w:val="en-US" w:eastAsia="zh-CN" w:bidi="ar-SA"/>
        </w:rPr>
        <w:t>共同富裕重点工作任务方面。</w:t>
      </w:r>
      <w:r>
        <w:rPr>
          <w:rFonts w:hint="default" w:ascii="Times New Roman" w:hAnsi="Times New Roman" w:eastAsia="方正仿宋_GBK" w:cs="Times New Roman"/>
          <w:color w:val="auto"/>
          <w:kern w:val="0"/>
          <w:sz w:val="32"/>
          <w:szCs w:val="32"/>
          <w:lang w:val="en-US" w:eastAsia="zh-CN" w:bidi="ar-SA"/>
        </w:rPr>
        <w:t>按照《攀枝花市仁和区高质量发展建设共同富裕试验区行动方案（2022—2025年）》，我局2025年“建设绿色矿山，推动煤炭清洁高效利用”等5项目标任务均能按期完成。</w:t>
      </w:r>
    </w:p>
    <w:p w14:paraId="168A3F03">
      <w:pPr>
        <w:keepNext w:val="0"/>
        <w:keepLines w:val="0"/>
        <w:pageBreakBefore w:val="0"/>
        <w:widowControl w:val="0"/>
        <w:kinsoku/>
        <w:wordWrap/>
        <w:overflowPunct/>
        <w:topLinePunct w:val="0"/>
        <w:autoSpaceDE/>
        <w:autoSpaceDN/>
        <w:bidi w:val="0"/>
        <w:adjustRightInd/>
        <w:snapToGrid/>
        <w:spacing w:line="610" w:lineRule="exact"/>
        <w:ind w:firstLine="643" w:firstLineChars="200"/>
        <w:jc w:val="both"/>
        <w:textAlignment w:val="auto"/>
        <w:rPr>
          <w:rFonts w:hint="default" w:ascii="Times New Roman" w:hAnsi="Times New Roman" w:eastAsia="方正楷体_GBK" w:cs="Times New Roman"/>
          <w:b/>
          <w:bCs w:val="0"/>
          <w:color w:val="auto"/>
          <w:sz w:val="32"/>
          <w:szCs w:val="32"/>
          <w:lang w:val="en-US" w:eastAsia="zh-CN"/>
        </w:rPr>
      </w:pPr>
      <w:r>
        <w:rPr>
          <w:rFonts w:hint="eastAsia" w:ascii="Times New Roman" w:hAnsi="Times New Roman" w:eastAsia="方正楷体_GBK" w:cs="Times New Roman"/>
          <w:b/>
          <w:bCs w:val="0"/>
          <w:color w:val="auto"/>
          <w:sz w:val="32"/>
          <w:szCs w:val="32"/>
          <w:lang w:val="en-US" w:eastAsia="zh-CN"/>
        </w:rPr>
        <w:t>6.</w:t>
      </w:r>
      <w:r>
        <w:rPr>
          <w:rFonts w:hint="default" w:ascii="Times New Roman" w:hAnsi="Times New Roman" w:eastAsia="方正楷体_GBK" w:cs="Times New Roman"/>
          <w:b/>
          <w:bCs w:val="0"/>
          <w:color w:val="auto"/>
          <w:sz w:val="32"/>
          <w:szCs w:val="32"/>
          <w:lang w:val="en-US" w:eastAsia="zh-CN"/>
        </w:rPr>
        <w:t>市级以上表彰情况</w:t>
      </w:r>
    </w:p>
    <w:p w14:paraId="0DCA9899">
      <w:pPr>
        <w:pStyle w:val="30"/>
        <w:keepNext w:val="0"/>
        <w:keepLines w:val="0"/>
        <w:pageBreakBefore w:val="0"/>
        <w:widowControl w:val="0"/>
        <w:kinsoku/>
        <w:wordWrap/>
        <w:overflowPunct/>
        <w:topLinePunct w:val="0"/>
        <w:autoSpaceDE w:val="0"/>
        <w:autoSpaceDN w:val="0"/>
        <w:bidi w:val="0"/>
        <w:adjustRightInd/>
        <w:snapToGrid/>
        <w:spacing w:line="61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bidi="ar-SA"/>
        </w:rPr>
      </w:pPr>
      <w:r>
        <w:rPr>
          <w:rFonts w:hint="default" w:ascii="Times New Roman" w:hAnsi="Times New Roman" w:eastAsia="方正仿宋_GBK" w:cs="Times New Roman"/>
          <w:color w:val="auto"/>
          <w:kern w:val="0"/>
          <w:sz w:val="32"/>
          <w:szCs w:val="32"/>
          <w:lang w:val="en-US" w:eastAsia="zh-CN" w:bidi="ar-SA"/>
        </w:rPr>
        <w:t>2025年获评2024年全省灾情管理工作先进单位。</w:t>
      </w:r>
    </w:p>
    <w:p w14:paraId="2DA518B2">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3" w:firstLineChars="200"/>
        <w:jc w:val="both"/>
        <w:textAlignment w:val="auto"/>
        <w:rPr>
          <w:rFonts w:hint="eastAsia" w:ascii="Times New Roman" w:hAnsi="Times New Roman" w:eastAsia="方正仿宋_GBK" w:cs="Times New Roman"/>
          <w:b/>
          <w:bCs/>
          <w:color w:val="auto"/>
          <w:kern w:val="0"/>
          <w:sz w:val="32"/>
          <w:szCs w:val="32"/>
          <w:lang w:val="zh-CN" w:eastAsia="zh-CN"/>
        </w:rPr>
      </w:pPr>
      <w:r>
        <w:rPr>
          <w:rFonts w:hint="eastAsia" w:ascii="Times New Roman" w:hAnsi="Times New Roman" w:eastAsia="方正仿宋_GBK" w:cs="Times New Roman"/>
          <w:b/>
          <w:bCs/>
          <w:color w:val="auto"/>
          <w:kern w:val="0"/>
          <w:sz w:val="32"/>
          <w:szCs w:val="32"/>
          <w:lang w:val="zh-CN" w:eastAsia="zh-CN"/>
        </w:rPr>
        <w:t>（三）结余分配和结转结余情况</w:t>
      </w:r>
    </w:p>
    <w:p w14:paraId="573F9FC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方正仿宋_GBK" w:cs="Times New Roman"/>
          <w:color w:val="auto"/>
          <w:kern w:val="0"/>
          <w:sz w:val="32"/>
          <w:szCs w:val="32"/>
          <w:lang w:val="zh-CN" w:eastAsia="zh-CN" w:bidi="ar-SA"/>
        </w:rPr>
      </w:pPr>
      <w:r>
        <w:rPr>
          <w:rFonts w:hint="eastAsia" w:ascii="Times New Roman" w:hAnsi="Times New Roman" w:eastAsia="方正仿宋_GBK" w:cs="Times New Roman"/>
          <w:color w:val="auto"/>
          <w:kern w:val="0"/>
          <w:sz w:val="32"/>
          <w:szCs w:val="32"/>
          <w:lang w:val="en-US" w:eastAsia="zh-CN" w:bidi="ar-SA"/>
        </w:rPr>
        <w:t>区应急管理局部</w:t>
      </w:r>
      <w:r>
        <w:rPr>
          <w:rFonts w:hint="default" w:ascii="Times New Roman" w:hAnsi="Times New Roman" w:eastAsia="方正仿宋_GBK" w:cs="Times New Roman"/>
          <w:color w:val="auto"/>
          <w:kern w:val="0"/>
          <w:sz w:val="32"/>
          <w:szCs w:val="32"/>
          <w:lang w:val="en-US" w:eastAsia="zh-CN" w:bidi="ar-SA"/>
        </w:rPr>
        <w:t>门202</w:t>
      </w:r>
      <w:r>
        <w:rPr>
          <w:rFonts w:hint="eastAsia" w:ascii="Times New Roman" w:hAnsi="Times New Roman" w:eastAsia="方正仿宋_GBK" w:cs="Times New Roman"/>
          <w:color w:val="auto"/>
          <w:kern w:val="0"/>
          <w:sz w:val="32"/>
          <w:szCs w:val="32"/>
          <w:lang w:val="en-US" w:eastAsia="zh-CN" w:bidi="ar-SA"/>
        </w:rPr>
        <w:t>5</w:t>
      </w:r>
      <w:r>
        <w:rPr>
          <w:rFonts w:hint="default" w:ascii="Times New Roman" w:hAnsi="Times New Roman" w:eastAsia="方正仿宋_GBK" w:cs="Times New Roman"/>
          <w:color w:val="auto"/>
          <w:kern w:val="0"/>
          <w:sz w:val="32"/>
          <w:szCs w:val="32"/>
          <w:lang w:val="en-US" w:eastAsia="zh-CN" w:bidi="ar-SA"/>
        </w:rPr>
        <w:t>年决算报表</w:t>
      </w:r>
      <w:r>
        <w:rPr>
          <w:rFonts w:hint="eastAsia" w:ascii="Times New Roman" w:hAnsi="Times New Roman" w:eastAsia="方正仿宋_GBK" w:cs="Times New Roman"/>
          <w:color w:val="auto"/>
          <w:kern w:val="0"/>
          <w:sz w:val="32"/>
          <w:szCs w:val="32"/>
          <w:lang w:val="en-US" w:eastAsia="zh-CN" w:bidi="ar-SA"/>
        </w:rPr>
        <w:t>年初</w:t>
      </w:r>
      <w:r>
        <w:rPr>
          <w:rFonts w:hint="default" w:ascii="Times New Roman" w:hAnsi="Times New Roman" w:eastAsia="方正仿宋_GBK" w:cs="Times New Roman"/>
          <w:color w:val="auto"/>
          <w:kern w:val="0"/>
          <w:sz w:val="32"/>
          <w:szCs w:val="32"/>
          <w:lang w:val="en-US" w:eastAsia="zh-CN" w:bidi="ar-SA"/>
        </w:rPr>
        <w:t>结转</w:t>
      </w:r>
      <w:r>
        <w:rPr>
          <w:rFonts w:hint="eastAsia" w:ascii="Times New Roman" w:hAnsi="Times New Roman" w:eastAsia="方正仿宋_GBK" w:cs="Times New Roman"/>
          <w:color w:val="auto"/>
          <w:kern w:val="0"/>
          <w:sz w:val="32"/>
          <w:szCs w:val="32"/>
          <w:lang w:val="en-US" w:eastAsia="zh-CN" w:bidi="ar-SA"/>
        </w:rPr>
        <w:t>和</w:t>
      </w:r>
      <w:r>
        <w:rPr>
          <w:rFonts w:hint="default" w:ascii="Times New Roman" w:hAnsi="Times New Roman" w:eastAsia="方正仿宋_GBK" w:cs="Times New Roman"/>
          <w:color w:val="auto"/>
          <w:kern w:val="0"/>
          <w:sz w:val="32"/>
          <w:szCs w:val="32"/>
          <w:lang w:val="en-US" w:eastAsia="zh-CN" w:bidi="ar-SA"/>
        </w:rPr>
        <w:t>结余</w:t>
      </w:r>
      <w:r>
        <w:rPr>
          <w:rFonts w:hint="eastAsia" w:ascii="Times New Roman" w:hAnsi="Times New Roman" w:eastAsia="方正仿宋_GBK" w:cs="Times New Roman"/>
          <w:color w:val="auto"/>
          <w:kern w:val="0"/>
          <w:sz w:val="32"/>
          <w:szCs w:val="32"/>
          <w:lang w:val="en-US" w:eastAsia="zh-CN" w:bidi="ar-SA"/>
        </w:rPr>
        <w:t>137.64万元，年末结转和结余0万元</w:t>
      </w:r>
      <w:r>
        <w:rPr>
          <w:rFonts w:hint="default" w:ascii="Times New Roman" w:hAnsi="Times New Roman" w:eastAsia="方正仿宋_GBK" w:cs="Times New Roman"/>
          <w:color w:val="auto"/>
          <w:kern w:val="0"/>
          <w:sz w:val="32"/>
          <w:szCs w:val="32"/>
          <w:lang w:val="en-US" w:eastAsia="zh-CN" w:bidi="ar-SA"/>
        </w:rPr>
        <w:t>。</w:t>
      </w:r>
    </w:p>
    <w:p w14:paraId="67E3559A">
      <w:pPr>
        <w:pStyle w:val="3"/>
        <w:keepNext/>
        <w:keepLines/>
        <w:pageBreakBefore w:val="0"/>
        <w:widowControl w:val="0"/>
        <w:kinsoku/>
        <w:wordWrap/>
        <w:overflowPunct/>
        <w:topLinePunct w:val="0"/>
        <w:autoSpaceDE/>
        <w:autoSpaceDN/>
        <w:bidi w:val="0"/>
        <w:adjustRightInd/>
        <w:snapToGrid/>
        <w:spacing w:line="416" w:lineRule="auto"/>
        <w:ind w:firstLine="640" w:firstLineChars="200"/>
        <w:jc w:val="both"/>
        <w:textAlignment w:val="auto"/>
        <w:rPr>
          <w:rFonts w:hint="eastAsia" w:ascii="Times New Roman" w:hAnsi="Times New Roman" w:eastAsia="黑体" w:cs="Times New Roman"/>
          <w:b w:val="0"/>
          <w:color w:val="auto"/>
          <w:highlight w:val="none"/>
          <w:lang w:val="en-US" w:eastAsia="zh-CN"/>
        </w:rPr>
      </w:pPr>
      <w:r>
        <w:rPr>
          <w:rFonts w:hint="eastAsia" w:ascii="Times New Roman" w:hAnsi="Times New Roman" w:eastAsia="黑体" w:cs="Times New Roman"/>
          <w:b w:val="0"/>
          <w:color w:val="auto"/>
          <w:highlight w:val="none"/>
          <w:lang w:val="en-US" w:eastAsia="zh-CN"/>
        </w:rPr>
        <w:t>三、部门预算绩效分析</w:t>
      </w:r>
    </w:p>
    <w:p w14:paraId="4368EB96">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3" w:firstLineChars="200"/>
        <w:jc w:val="both"/>
        <w:textAlignment w:val="auto"/>
        <w:rPr>
          <w:rFonts w:hint="eastAsia" w:ascii="Times New Roman" w:hAnsi="Times New Roman" w:eastAsia="方正仿宋_GBK" w:cs="Times New Roman"/>
          <w:b/>
          <w:bCs/>
          <w:color w:val="auto"/>
          <w:kern w:val="0"/>
          <w:sz w:val="32"/>
          <w:szCs w:val="32"/>
          <w:lang w:val="zh-CN" w:eastAsia="zh-CN"/>
        </w:rPr>
      </w:pPr>
      <w:r>
        <w:rPr>
          <w:rFonts w:hint="eastAsia" w:ascii="Times New Roman" w:hAnsi="Times New Roman" w:eastAsia="方正仿宋_GBK" w:cs="Times New Roman"/>
          <w:b/>
          <w:bCs/>
          <w:color w:val="auto"/>
          <w:kern w:val="0"/>
          <w:sz w:val="32"/>
          <w:szCs w:val="32"/>
          <w:lang w:val="zh-CN" w:eastAsia="zh-CN"/>
        </w:rPr>
        <w:t>（一）部门预算总体绩效分析</w:t>
      </w:r>
    </w:p>
    <w:p w14:paraId="26EDF98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color w:val="auto"/>
          <w:kern w:val="0"/>
          <w:sz w:val="32"/>
          <w:szCs w:val="32"/>
          <w:lang w:val="en-US" w:eastAsia="zh-CN" w:bidi="ar-SA"/>
        </w:rPr>
      </w:pPr>
      <w:r>
        <w:rPr>
          <w:rFonts w:hint="eastAsia" w:ascii="Times New Roman" w:hAnsi="Times New Roman" w:eastAsia="方正仿宋_GBK" w:cs="Times New Roman"/>
          <w:color w:val="auto"/>
          <w:kern w:val="0"/>
          <w:sz w:val="32"/>
          <w:szCs w:val="32"/>
          <w:lang w:val="en-US" w:eastAsia="zh-CN" w:bidi="ar-SA"/>
        </w:rPr>
        <w:t>1.履职效能。区应急管理局通过各项指标的完成，确保了单位正常运转和各项目标任务的圆满完成</w:t>
      </w:r>
      <w:r>
        <w:rPr>
          <w:rFonts w:hint="eastAsia" w:eastAsia="方正仿宋_GBK" w:cs="Times New Roman"/>
          <w:color w:val="auto"/>
          <w:kern w:val="0"/>
          <w:sz w:val="32"/>
          <w:szCs w:val="32"/>
          <w:lang w:val="en-US" w:eastAsia="zh-CN" w:bidi="ar-SA"/>
        </w:rPr>
        <w:t>，在</w:t>
      </w:r>
      <w:r>
        <w:rPr>
          <w:rFonts w:hint="eastAsia" w:ascii="Times New Roman" w:hAnsi="Times New Roman" w:eastAsia="方正仿宋_GBK" w:cs="Times New Roman"/>
          <w:color w:val="auto"/>
          <w:kern w:val="0"/>
          <w:sz w:val="32"/>
          <w:szCs w:val="32"/>
          <w:lang w:val="en-US" w:eastAsia="zh-CN" w:bidi="ar-SA"/>
        </w:rPr>
        <w:t>一定程度上促</w:t>
      </w:r>
      <w:r>
        <w:rPr>
          <w:rFonts w:hint="eastAsia" w:eastAsia="方正仿宋_GBK" w:cs="Times New Roman"/>
          <w:color w:val="auto"/>
          <w:kern w:val="0"/>
          <w:sz w:val="32"/>
          <w:szCs w:val="32"/>
          <w:lang w:val="en-US" w:eastAsia="zh-CN" w:bidi="ar-SA"/>
        </w:rPr>
        <w:t>进了</w:t>
      </w:r>
      <w:r>
        <w:rPr>
          <w:rFonts w:hint="eastAsia" w:ascii="Times New Roman" w:hAnsi="Times New Roman" w:eastAsia="方正仿宋_GBK" w:cs="Times New Roman"/>
          <w:color w:val="auto"/>
          <w:kern w:val="0"/>
          <w:sz w:val="32"/>
          <w:szCs w:val="32"/>
          <w:lang w:val="en-US" w:eastAsia="zh-CN" w:bidi="ar-SA"/>
        </w:rPr>
        <w:t>应急管理和安全生产事业的发展。</w:t>
      </w:r>
    </w:p>
    <w:p w14:paraId="60DA19F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color w:val="auto"/>
          <w:kern w:val="0"/>
          <w:sz w:val="32"/>
          <w:szCs w:val="32"/>
          <w:lang w:val="en-US" w:eastAsia="zh-CN" w:bidi="ar-SA"/>
        </w:rPr>
      </w:pPr>
      <w:r>
        <w:rPr>
          <w:rFonts w:hint="eastAsia" w:ascii="Times New Roman" w:hAnsi="Times New Roman" w:eastAsia="方正仿宋_GBK" w:cs="Times New Roman"/>
          <w:color w:val="auto"/>
          <w:kern w:val="0"/>
          <w:sz w:val="32"/>
          <w:szCs w:val="32"/>
          <w:lang w:val="en-US" w:eastAsia="zh-CN" w:bidi="ar-SA"/>
        </w:rPr>
        <w:t>2.预算管理。严格按照财政部门的要求，区应急管理局科学编制年度预算，确保预算的合理性和可执行性。因财政资金调度困难，本年预算资金执行进度较滞后。部门严控“三公”经费、办公设备购置、信息网络及软件购置更新等支出，推动预算与绩效挂钩，确保资金使用效益最大化。</w:t>
      </w:r>
    </w:p>
    <w:p w14:paraId="2D60250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color w:val="auto"/>
          <w:kern w:val="0"/>
          <w:sz w:val="32"/>
          <w:szCs w:val="32"/>
          <w:lang w:val="en-US" w:eastAsia="zh-CN" w:bidi="ar-SA"/>
        </w:rPr>
      </w:pPr>
      <w:r>
        <w:rPr>
          <w:rFonts w:hint="eastAsia" w:ascii="Times New Roman" w:hAnsi="Times New Roman" w:eastAsia="方正仿宋_GBK" w:cs="Times New Roman"/>
          <w:color w:val="auto"/>
          <w:kern w:val="0"/>
          <w:sz w:val="32"/>
          <w:szCs w:val="32"/>
          <w:lang w:val="en-US" w:eastAsia="zh-CN" w:bidi="ar-SA"/>
        </w:rPr>
        <w:t>3.财务管理。本单位建立健全财务管理制度，并按相关要求进行落实。财务岗位设置合理，明确职责权限。部门资金使用符合财务管理制度规定。</w:t>
      </w:r>
    </w:p>
    <w:p w14:paraId="09EC850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color w:val="auto"/>
          <w:kern w:val="0"/>
          <w:sz w:val="32"/>
          <w:szCs w:val="32"/>
          <w:lang w:val="en-US" w:eastAsia="zh-CN" w:bidi="ar-SA"/>
        </w:rPr>
      </w:pPr>
      <w:r>
        <w:rPr>
          <w:rFonts w:hint="eastAsia" w:ascii="Times New Roman" w:hAnsi="Times New Roman" w:eastAsia="方正仿宋_GBK" w:cs="Times New Roman"/>
          <w:color w:val="auto"/>
          <w:kern w:val="0"/>
          <w:sz w:val="32"/>
          <w:szCs w:val="32"/>
          <w:lang w:val="en-US" w:eastAsia="zh-CN" w:bidi="ar-SA"/>
        </w:rPr>
        <w:t>4.资产管理。加强固定资产管理。规范资产采购和处置流程，进一步推进资产信息化管理，提高资产管理的效率和准确性。</w:t>
      </w:r>
    </w:p>
    <w:p w14:paraId="2DCC0D6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highlight w:val="none"/>
          <w:lang w:val="en-US" w:eastAsia="zh-CN"/>
        </w:rPr>
      </w:pPr>
      <w:r>
        <w:rPr>
          <w:rFonts w:hint="eastAsia" w:ascii="Times New Roman" w:hAnsi="Times New Roman" w:eastAsia="方正仿宋_GBK" w:cs="Times New Roman"/>
          <w:color w:val="auto"/>
          <w:kern w:val="0"/>
          <w:sz w:val="32"/>
          <w:szCs w:val="32"/>
          <w:lang w:val="en-US" w:eastAsia="zh-CN" w:bidi="ar-SA"/>
        </w:rPr>
        <w:t>5.采购管理。2025年本单位根据工作需要进行合法合规采购。</w:t>
      </w:r>
    </w:p>
    <w:p w14:paraId="36F15D34">
      <w:pPr>
        <w:keepNext w:val="0"/>
        <w:keepLines w:val="0"/>
        <w:pageBreakBefore w:val="0"/>
        <w:widowControl w:val="0"/>
        <w:numPr>
          <w:ilvl w:val="0"/>
          <w:numId w:val="0"/>
        </w:numPr>
        <w:kinsoku/>
        <w:wordWrap/>
        <w:overflowPunct/>
        <w:topLinePunct w:val="0"/>
        <w:autoSpaceDE w:val="0"/>
        <w:autoSpaceDN w:val="0"/>
        <w:bidi w:val="0"/>
        <w:adjustRightInd/>
        <w:snapToGrid/>
        <w:spacing w:line="610" w:lineRule="exact"/>
        <w:ind w:firstLine="643" w:firstLineChars="200"/>
        <w:jc w:val="both"/>
        <w:textAlignment w:val="auto"/>
        <w:rPr>
          <w:rFonts w:hint="eastAsia" w:ascii="Times New Roman" w:hAnsi="Times New Roman" w:eastAsia="方正仿宋_GBK" w:cs="Times New Roman"/>
          <w:b/>
          <w:bCs/>
          <w:color w:val="auto"/>
          <w:kern w:val="0"/>
          <w:sz w:val="32"/>
          <w:szCs w:val="32"/>
          <w:lang w:val="zh-CN" w:eastAsia="zh-CN"/>
        </w:rPr>
      </w:pPr>
      <w:r>
        <w:rPr>
          <w:rFonts w:hint="eastAsia" w:ascii="Times New Roman" w:hAnsi="Times New Roman" w:eastAsia="方正仿宋_GBK" w:cs="Times New Roman"/>
          <w:b/>
          <w:bCs/>
          <w:color w:val="auto"/>
          <w:kern w:val="0"/>
          <w:sz w:val="32"/>
          <w:szCs w:val="32"/>
          <w:lang w:val="zh-CN" w:eastAsia="zh-CN"/>
        </w:rPr>
        <w:t>（二）部门预算项目绩效分析</w:t>
      </w:r>
    </w:p>
    <w:p w14:paraId="4FF4FC2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color w:val="auto"/>
          <w:kern w:val="0"/>
          <w:sz w:val="32"/>
          <w:szCs w:val="32"/>
          <w:lang w:val="zh-CN" w:eastAsia="zh-CN" w:bidi="ar-SA"/>
        </w:rPr>
      </w:pPr>
      <w:r>
        <w:rPr>
          <w:rFonts w:hint="eastAsia" w:ascii="Times New Roman" w:hAnsi="Times New Roman" w:eastAsia="方正仿宋_GBK" w:cs="Times New Roman"/>
          <w:color w:val="auto"/>
          <w:kern w:val="0"/>
          <w:sz w:val="32"/>
          <w:szCs w:val="32"/>
          <w:lang w:val="en-US" w:eastAsia="zh-CN" w:bidi="ar-SA"/>
        </w:rPr>
        <w:t>常年项目绩效分析。</w:t>
      </w:r>
      <w:r>
        <w:rPr>
          <w:rFonts w:hint="eastAsia" w:ascii="Times New Roman" w:hAnsi="Times New Roman" w:eastAsia="方正仿宋_GBK" w:cs="Times New Roman"/>
          <w:color w:val="auto"/>
          <w:kern w:val="0"/>
          <w:sz w:val="32"/>
          <w:szCs w:val="32"/>
          <w:lang w:val="zh-CN" w:eastAsia="zh-CN" w:bidi="ar-SA"/>
        </w:rPr>
        <w:t>该类项目总数</w:t>
      </w:r>
      <w:r>
        <w:rPr>
          <w:rFonts w:hint="eastAsia" w:ascii="Times New Roman" w:hAnsi="Times New Roman" w:eastAsia="方正仿宋_GBK" w:cs="Times New Roman"/>
          <w:color w:val="auto"/>
          <w:kern w:val="0"/>
          <w:sz w:val="32"/>
          <w:szCs w:val="32"/>
          <w:lang w:val="en-US" w:eastAsia="zh-CN" w:bidi="ar-SA"/>
        </w:rPr>
        <w:t>6</w:t>
      </w:r>
      <w:r>
        <w:rPr>
          <w:rFonts w:hint="eastAsia" w:ascii="Times New Roman" w:hAnsi="Times New Roman" w:eastAsia="方正仿宋_GBK" w:cs="Times New Roman"/>
          <w:color w:val="auto"/>
          <w:kern w:val="0"/>
          <w:sz w:val="32"/>
          <w:szCs w:val="32"/>
          <w:lang w:val="zh-CN" w:eastAsia="zh-CN" w:bidi="ar-SA"/>
        </w:rPr>
        <w:t>个，涉及预算总金额</w:t>
      </w:r>
      <w:r>
        <w:rPr>
          <w:rFonts w:hint="eastAsia" w:ascii="Times New Roman" w:hAnsi="Times New Roman" w:eastAsia="方正仿宋_GBK" w:cs="Times New Roman"/>
          <w:color w:val="auto"/>
          <w:kern w:val="0"/>
          <w:sz w:val="32"/>
          <w:szCs w:val="32"/>
          <w:lang w:val="en-US" w:eastAsia="zh-CN" w:bidi="ar-SA"/>
        </w:rPr>
        <w:t>1479.48</w:t>
      </w:r>
      <w:r>
        <w:rPr>
          <w:rFonts w:hint="eastAsia" w:ascii="Times New Roman" w:hAnsi="Times New Roman" w:eastAsia="方正仿宋_GBK" w:cs="Times New Roman"/>
          <w:color w:val="auto"/>
          <w:kern w:val="0"/>
          <w:sz w:val="32"/>
          <w:szCs w:val="32"/>
          <w:lang w:val="zh-CN" w:eastAsia="zh-CN" w:bidi="ar-SA"/>
        </w:rPr>
        <w:t>万元，1—1</w:t>
      </w:r>
      <w:r>
        <w:rPr>
          <w:rFonts w:hint="eastAsia" w:ascii="Times New Roman" w:hAnsi="Times New Roman" w:eastAsia="方正仿宋_GBK" w:cs="Times New Roman"/>
          <w:color w:val="auto"/>
          <w:kern w:val="0"/>
          <w:sz w:val="32"/>
          <w:szCs w:val="32"/>
          <w:lang w:val="en-US" w:eastAsia="zh-CN" w:bidi="ar-SA"/>
        </w:rPr>
        <w:t>2</w:t>
      </w:r>
      <w:r>
        <w:rPr>
          <w:rFonts w:hint="eastAsia" w:ascii="Times New Roman" w:hAnsi="Times New Roman" w:eastAsia="方正仿宋_GBK" w:cs="Times New Roman"/>
          <w:color w:val="auto"/>
          <w:kern w:val="0"/>
          <w:sz w:val="32"/>
          <w:szCs w:val="32"/>
          <w:lang w:val="zh-CN" w:eastAsia="zh-CN" w:bidi="ar-SA"/>
        </w:rPr>
        <w:t>月预算执行总体进度为</w:t>
      </w:r>
      <w:r>
        <w:rPr>
          <w:rFonts w:hint="eastAsia" w:ascii="Times New Roman" w:hAnsi="Times New Roman" w:eastAsia="方正仿宋_GBK" w:cs="Times New Roman"/>
          <w:color w:val="auto"/>
          <w:kern w:val="0"/>
          <w:sz w:val="32"/>
          <w:szCs w:val="32"/>
          <w:lang w:val="en-US" w:eastAsia="zh-CN" w:bidi="ar-SA"/>
        </w:rPr>
        <w:t>94.17</w:t>
      </w:r>
      <w:r>
        <w:rPr>
          <w:rFonts w:hint="eastAsia" w:ascii="Times New Roman" w:hAnsi="Times New Roman" w:eastAsia="方正仿宋_GBK" w:cs="Times New Roman"/>
          <w:color w:val="auto"/>
          <w:kern w:val="0"/>
          <w:sz w:val="32"/>
          <w:szCs w:val="32"/>
          <w:lang w:val="zh-CN" w:eastAsia="zh-CN" w:bidi="ar-SA"/>
        </w:rPr>
        <w:t>%，其中：预算结余率大于</w:t>
      </w:r>
      <w:r>
        <w:rPr>
          <w:rFonts w:hint="eastAsia" w:ascii="Times New Roman" w:hAnsi="Times New Roman" w:eastAsia="方正仿宋_GBK" w:cs="Times New Roman"/>
          <w:color w:val="auto"/>
          <w:kern w:val="0"/>
          <w:sz w:val="32"/>
          <w:szCs w:val="32"/>
          <w:lang w:val="en-US" w:eastAsia="zh-CN" w:bidi="ar-SA"/>
        </w:rPr>
        <w:t>10%</w:t>
      </w:r>
      <w:r>
        <w:rPr>
          <w:rFonts w:hint="eastAsia" w:ascii="Times New Roman" w:hAnsi="Times New Roman" w:eastAsia="方正仿宋_GBK" w:cs="Times New Roman"/>
          <w:color w:val="auto"/>
          <w:kern w:val="0"/>
          <w:sz w:val="32"/>
          <w:szCs w:val="32"/>
          <w:lang w:val="zh-CN" w:eastAsia="zh-CN" w:bidi="ar-SA"/>
        </w:rPr>
        <w:t>的项目共计</w:t>
      </w:r>
      <w:r>
        <w:rPr>
          <w:rFonts w:hint="eastAsia" w:ascii="Times New Roman" w:hAnsi="Times New Roman" w:eastAsia="方正仿宋_GBK" w:cs="Times New Roman"/>
          <w:color w:val="auto"/>
          <w:kern w:val="0"/>
          <w:sz w:val="32"/>
          <w:szCs w:val="32"/>
          <w:lang w:val="en-US" w:eastAsia="zh-CN" w:bidi="ar-SA"/>
        </w:rPr>
        <w:t>0</w:t>
      </w:r>
      <w:r>
        <w:rPr>
          <w:rFonts w:hint="eastAsia" w:ascii="Times New Roman" w:hAnsi="Times New Roman" w:eastAsia="方正仿宋_GBK" w:cs="Times New Roman"/>
          <w:color w:val="auto"/>
          <w:kern w:val="0"/>
          <w:sz w:val="32"/>
          <w:szCs w:val="32"/>
          <w:lang w:val="zh-CN" w:eastAsia="zh-CN" w:bidi="ar-SA"/>
        </w:rPr>
        <w:t>个。</w:t>
      </w:r>
    </w:p>
    <w:p w14:paraId="24D4222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color w:val="auto"/>
          <w:kern w:val="0"/>
          <w:sz w:val="32"/>
          <w:szCs w:val="32"/>
          <w:lang w:val="zh-CN" w:eastAsia="zh-CN" w:bidi="ar-SA"/>
        </w:rPr>
      </w:pPr>
      <w:r>
        <w:rPr>
          <w:rFonts w:hint="eastAsia" w:ascii="Times New Roman" w:hAnsi="Times New Roman" w:eastAsia="方正仿宋_GBK" w:cs="Times New Roman"/>
          <w:color w:val="auto"/>
          <w:kern w:val="0"/>
          <w:sz w:val="32"/>
          <w:szCs w:val="32"/>
          <w:lang w:val="en-US" w:eastAsia="zh-CN" w:bidi="ar-SA"/>
        </w:rPr>
        <w:t>阶段（含一次性）项目绩效分析。</w:t>
      </w:r>
      <w:r>
        <w:rPr>
          <w:rFonts w:hint="eastAsia" w:ascii="Times New Roman" w:hAnsi="Times New Roman" w:eastAsia="方正仿宋_GBK" w:cs="Times New Roman"/>
          <w:color w:val="auto"/>
          <w:kern w:val="0"/>
          <w:sz w:val="32"/>
          <w:szCs w:val="32"/>
          <w:lang w:val="zh-CN" w:eastAsia="zh-CN" w:bidi="ar-SA"/>
        </w:rPr>
        <w:t>该类项目总</w:t>
      </w:r>
      <w:r>
        <w:rPr>
          <w:rFonts w:hint="eastAsia" w:ascii="Times New Roman" w:hAnsi="Times New Roman" w:eastAsia="方正仿宋_GBK" w:cs="Times New Roman"/>
          <w:color w:val="auto"/>
          <w:kern w:val="0"/>
          <w:sz w:val="32"/>
          <w:szCs w:val="32"/>
          <w:lang w:val="en-US" w:eastAsia="zh-CN" w:bidi="ar-SA"/>
        </w:rPr>
        <w:t>6</w:t>
      </w:r>
      <w:r>
        <w:rPr>
          <w:rFonts w:hint="eastAsia" w:ascii="Times New Roman" w:hAnsi="Times New Roman" w:eastAsia="方正仿宋_GBK" w:cs="Times New Roman"/>
          <w:color w:val="auto"/>
          <w:kern w:val="0"/>
          <w:sz w:val="32"/>
          <w:szCs w:val="32"/>
          <w:lang w:val="zh-CN" w:eastAsia="zh-CN" w:bidi="ar-SA"/>
        </w:rPr>
        <w:t>个，涉及预算总金额</w:t>
      </w:r>
      <w:r>
        <w:rPr>
          <w:rFonts w:hint="eastAsia" w:ascii="Times New Roman" w:hAnsi="Times New Roman" w:eastAsia="方正仿宋_GBK" w:cs="Times New Roman"/>
          <w:color w:val="auto"/>
          <w:kern w:val="0"/>
          <w:sz w:val="32"/>
          <w:szCs w:val="32"/>
          <w:lang w:val="en-US" w:eastAsia="zh-CN" w:bidi="ar-SA"/>
        </w:rPr>
        <w:t>604.88</w:t>
      </w:r>
      <w:r>
        <w:rPr>
          <w:rFonts w:hint="eastAsia" w:ascii="Times New Roman" w:hAnsi="Times New Roman" w:eastAsia="方正仿宋_GBK" w:cs="Times New Roman"/>
          <w:color w:val="auto"/>
          <w:kern w:val="0"/>
          <w:sz w:val="32"/>
          <w:szCs w:val="32"/>
          <w:lang w:val="zh-CN" w:eastAsia="zh-CN" w:bidi="ar-SA"/>
        </w:rPr>
        <w:t>万元，1—1</w:t>
      </w:r>
      <w:r>
        <w:rPr>
          <w:rFonts w:hint="eastAsia" w:ascii="Times New Roman" w:hAnsi="Times New Roman" w:eastAsia="方正仿宋_GBK" w:cs="Times New Roman"/>
          <w:color w:val="auto"/>
          <w:kern w:val="0"/>
          <w:sz w:val="32"/>
          <w:szCs w:val="32"/>
          <w:lang w:val="en-US" w:eastAsia="zh-CN" w:bidi="ar-SA"/>
        </w:rPr>
        <w:t>2</w:t>
      </w:r>
      <w:r>
        <w:rPr>
          <w:rFonts w:hint="eastAsia" w:ascii="Times New Roman" w:hAnsi="Times New Roman" w:eastAsia="方正仿宋_GBK" w:cs="Times New Roman"/>
          <w:color w:val="auto"/>
          <w:kern w:val="0"/>
          <w:sz w:val="32"/>
          <w:szCs w:val="32"/>
          <w:lang w:val="zh-CN" w:eastAsia="zh-CN" w:bidi="ar-SA"/>
        </w:rPr>
        <w:t>月预算执行总体进度为</w:t>
      </w:r>
      <w:r>
        <w:rPr>
          <w:rFonts w:hint="eastAsia" w:ascii="Times New Roman" w:hAnsi="Times New Roman" w:eastAsia="方正仿宋_GBK" w:cs="Times New Roman"/>
          <w:color w:val="auto"/>
          <w:kern w:val="0"/>
          <w:sz w:val="32"/>
          <w:szCs w:val="32"/>
          <w:lang w:val="en-US" w:eastAsia="zh-CN" w:bidi="ar-SA"/>
        </w:rPr>
        <w:t>51.51</w:t>
      </w:r>
      <w:r>
        <w:rPr>
          <w:rFonts w:hint="eastAsia" w:ascii="Times New Roman" w:hAnsi="Times New Roman" w:eastAsia="方正仿宋_GBK" w:cs="Times New Roman"/>
          <w:color w:val="auto"/>
          <w:kern w:val="0"/>
          <w:sz w:val="32"/>
          <w:szCs w:val="32"/>
          <w:lang w:val="zh-CN" w:eastAsia="zh-CN" w:bidi="ar-SA"/>
        </w:rPr>
        <w:t>%，其中：预算结余率大于</w:t>
      </w:r>
      <w:r>
        <w:rPr>
          <w:rFonts w:hint="eastAsia" w:ascii="Times New Roman" w:hAnsi="Times New Roman" w:eastAsia="方正仿宋_GBK" w:cs="Times New Roman"/>
          <w:color w:val="auto"/>
          <w:kern w:val="0"/>
          <w:sz w:val="32"/>
          <w:szCs w:val="32"/>
          <w:lang w:val="en-US" w:eastAsia="zh-CN" w:bidi="ar-SA"/>
        </w:rPr>
        <w:t>10%</w:t>
      </w:r>
      <w:r>
        <w:rPr>
          <w:rFonts w:hint="eastAsia" w:ascii="Times New Roman" w:hAnsi="Times New Roman" w:eastAsia="方正仿宋_GBK" w:cs="Times New Roman"/>
          <w:color w:val="auto"/>
          <w:kern w:val="0"/>
          <w:sz w:val="32"/>
          <w:szCs w:val="32"/>
          <w:lang w:val="zh-CN" w:eastAsia="zh-CN" w:bidi="ar-SA"/>
        </w:rPr>
        <w:t>的项目共计</w:t>
      </w:r>
      <w:r>
        <w:rPr>
          <w:rFonts w:hint="eastAsia" w:ascii="Times New Roman" w:hAnsi="Times New Roman" w:eastAsia="方正仿宋_GBK" w:cs="Times New Roman"/>
          <w:color w:val="auto"/>
          <w:kern w:val="0"/>
          <w:sz w:val="32"/>
          <w:szCs w:val="32"/>
          <w:lang w:val="en-US" w:eastAsia="zh-CN" w:bidi="ar-SA"/>
        </w:rPr>
        <w:t>0</w:t>
      </w:r>
      <w:r>
        <w:rPr>
          <w:rFonts w:hint="eastAsia" w:ascii="Times New Roman" w:hAnsi="Times New Roman" w:eastAsia="方正仿宋_GBK" w:cs="Times New Roman"/>
          <w:color w:val="auto"/>
          <w:kern w:val="0"/>
          <w:sz w:val="32"/>
          <w:szCs w:val="32"/>
          <w:lang w:val="zh-CN" w:eastAsia="zh-CN" w:bidi="ar-SA"/>
        </w:rPr>
        <w:t>个。</w:t>
      </w:r>
    </w:p>
    <w:p w14:paraId="6C214ED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color w:val="auto"/>
          <w:kern w:val="0"/>
          <w:sz w:val="32"/>
          <w:szCs w:val="32"/>
          <w:lang w:val="en-US" w:eastAsia="zh-CN" w:bidi="ar-SA"/>
        </w:rPr>
      </w:pPr>
      <w:r>
        <w:rPr>
          <w:rFonts w:hint="eastAsia" w:ascii="Times New Roman" w:hAnsi="Times New Roman" w:eastAsia="方正仿宋_GBK" w:cs="Times New Roman"/>
          <w:color w:val="auto"/>
          <w:kern w:val="0"/>
          <w:sz w:val="32"/>
          <w:szCs w:val="32"/>
          <w:lang w:val="en-US" w:eastAsia="zh-CN" w:bidi="ar-SA"/>
        </w:rPr>
        <w:t>1.项目决策。2025年部门预算项目根据部门工作发展需要以及相关文件精神进行了评估论证，按程序逐一进行申报。部门预算项目绩效目标与计划期内的任务量、预算安排的资金量相匹配，绩效目标设置科学合理、规范完整、量化细化，并在规定时间内完成项目入库。</w:t>
      </w:r>
    </w:p>
    <w:p w14:paraId="757D176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color w:val="auto"/>
          <w:kern w:val="0"/>
          <w:sz w:val="32"/>
          <w:szCs w:val="32"/>
          <w:lang w:val="en-US" w:eastAsia="zh-CN" w:bidi="ar-SA"/>
        </w:rPr>
      </w:pPr>
      <w:r>
        <w:rPr>
          <w:rFonts w:hint="eastAsia" w:ascii="Times New Roman" w:hAnsi="Times New Roman" w:eastAsia="方正仿宋_GBK" w:cs="Times New Roman"/>
          <w:color w:val="auto"/>
          <w:kern w:val="0"/>
          <w:sz w:val="32"/>
          <w:szCs w:val="32"/>
          <w:lang w:val="en-US" w:eastAsia="zh-CN" w:bidi="ar-SA"/>
        </w:rPr>
        <w:t>2.项目执行。2025年部门预算项目实际列支内容与绩效目标设置方向相符。因财政资金调度困难，部门预算执行进度滞后。</w:t>
      </w:r>
    </w:p>
    <w:p w14:paraId="2F944F1E">
      <w:pPr>
        <w:keepNext w:val="0"/>
        <w:keepLines w:val="0"/>
        <w:pageBreakBefore w:val="0"/>
        <w:widowControl w:val="0"/>
        <w:kinsoku/>
        <w:wordWrap/>
        <w:overflowPunct/>
        <w:topLinePunct w:val="0"/>
        <w:autoSpaceDE/>
        <w:autoSpaceDN/>
        <w:bidi w:val="0"/>
        <w:adjustRightInd/>
        <w:snapToGrid/>
        <w:ind w:firstLine="640" w:firstLineChars="200"/>
        <w:textAlignment w:val="auto"/>
        <w:rPr>
          <w:highlight w:val="none"/>
        </w:rPr>
      </w:pPr>
      <w:r>
        <w:rPr>
          <w:rFonts w:hint="eastAsia" w:ascii="Times New Roman" w:hAnsi="Times New Roman" w:eastAsia="方正仿宋_GBK" w:cs="Times New Roman"/>
          <w:color w:val="auto"/>
          <w:kern w:val="0"/>
          <w:sz w:val="32"/>
          <w:szCs w:val="32"/>
          <w:lang w:val="en-US" w:eastAsia="zh-CN" w:bidi="ar-SA"/>
        </w:rPr>
        <w:t>3.目标实现。2025年部门预算项目达到预期目标</w:t>
      </w:r>
      <w:r>
        <w:rPr>
          <w:rFonts w:hint="eastAsia"/>
          <w:highlight w:val="none"/>
          <w:lang w:val="en-US" w:eastAsia="zh-CN"/>
        </w:rPr>
        <w:t>。</w:t>
      </w:r>
    </w:p>
    <w:p w14:paraId="156AAAB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楷体_GBK" w:hAnsi="方正楷体_GBK" w:eastAsia="方正楷体_GBK" w:cs="方正楷体_GBK"/>
          <w:b/>
          <w:bCs/>
          <w:highlight w:val="none"/>
          <w:lang w:val="zh-CN" w:eastAsia="zh-CN"/>
        </w:rPr>
      </w:pPr>
      <w:r>
        <w:rPr>
          <w:rFonts w:hint="eastAsia" w:ascii="Times New Roman" w:hAnsi="Times New Roman" w:eastAsia="方正仿宋_GBK" w:cs="Times New Roman"/>
          <w:b/>
          <w:bCs/>
          <w:color w:val="auto"/>
          <w:kern w:val="0"/>
          <w:sz w:val="32"/>
          <w:szCs w:val="32"/>
          <w:lang w:val="zh-CN" w:eastAsia="zh-CN"/>
        </w:rPr>
        <w:t>（三）绩效结果应用情况</w:t>
      </w:r>
    </w:p>
    <w:p w14:paraId="1DAC0E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color w:val="auto"/>
          <w:kern w:val="0"/>
          <w:sz w:val="32"/>
          <w:szCs w:val="32"/>
          <w:lang w:val="en-US" w:eastAsia="zh-CN" w:bidi="ar-SA"/>
        </w:rPr>
      </w:pPr>
      <w:r>
        <w:rPr>
          <w:rFonts w:hint="eastAsia" w:ascii="Times New Roman" w:hAnsi="Times New Roman" w:eastAsia="方正仿宋_GBK" w:cs="Times New Roman"/>
          <w:color w:val="auto"/>
          <w:kern w:val="0"/>
          <w:sz w:val="32"/>
          <w:szCs w:val="32"/>
          <w:lang w:val="en-US" w:eastAsia="zh-CN" w:bidi="ar-SA"/>
        </w:rPr>
        <w:t>2025年区应急管理局持续深入落实过紧日子要求</w:t>
      </w:r>
      <w:r>
        <w:rPr>
          <w:rFonts w:hint="eastAsia" w:eastAsia="方正仿宋_GBK" w:cs="Times New Roman"/>
          <w:color w:val="auto"/>
          <w:kern w:val="0"/>
          <w:sz w:val="32"/>
          <w:szCs w:val="32"/>
          <w:lang w:val="en-US" w:eastAsia="zh-CN" w:bidi="ar-SA"/>
        </w:rPr>
        <w:t>，</w:t>
      </w:r>
      <w:r>
        <w:rPr>
          <w:rFonts w:hint="eastAsia" w:ascii="Times New Roman" w:hAnsi="Times New Roman" w:eastAsia="方正仿宋_GBK" w:cs="Times New Roman"/>
          <w:color w:val="auto"/>
          <w:kern w:val="0"/>
          <w:sz w:val="32"/>
          <w:szCs w:val="32"/>
          <w:lang w:val="en-US" w:eastAsia="zh-CN" w:bidi="ar-SA"/>
        </w:rPr>
        <w:t>着力加强绩效评价结果应用，严格反馈整改，强化激励约束，切实提高财政资金使用绩效。对评价结果不同等级的项目，采用优先安排、适当安排、压缩直至不安排等方式，分类管理，分类施策。对一次性项目在绩效评价达到预期目标和实施效果后，动态调整，及时退出。对安全监管、应急管理等项目，在确保投入、适当压减的情况下，加强项目管理，提升项目质量，确保实效。绩效评价信息按时报送区财政局，并按时间节点通过政府门户网站对外公开公示。</w:t>
      </w:r>
    </w:p>
    <w:p w14:paraId="115BAEBE">
      <w:pPr>
        <w:widowControl/>
        <w:adjustRightInd w:val="0"/>
        <w:snapToGrid w:val="0"/>
        <w:spacing w:line="578" w:lineRule="exact"/>
        <w:ind w:firstLine="640" w:firstLineChars="200"/>
        <w:jc w:val="left"/>
        <w:rPr>
          <w:rFonts w:hint="eastAsia" w:ascii="Times New Roman" w:hAnsi="Times New Roman" w:eastAsia="黑体" w:cs="Times New Roman"/>
          <w:color w:val="000000"/>
          <w:kern w:val="0"/>
          <w:sz w:val="32"/>
          <w:szCs w:val="32"/>
          <w:shd w:val="clear" w:color="auto" w:fill="FFFFFF"/>
          <w:lang w:val="zh-CN"/>
        </w:rPr>
      </w:pPr>
      <w:r>
        <w:rPr>
          <w:rFonts w:hint="eastAsia" w:ascii="Times New Roman" w:hAnsi="Times New Roman" w:eastAsia="黑体" w:cs="Times New Roman"/>
          <w:color w:val="000000"/>
          <w:kern w:val="0"/>
          <w:sz w:val="32"/>
          <w:szCs w:val="32"/>
          <w:shd w:val="clear" w:color="auto" w:fill="FFFFFF"/>
          <w:lang w:val="zh-CN"/>
        </w:rPr>
        <w:t>四、评价结论及建议</w:t>
      </w:r>
    </w:p>
    <w:p w14:paraId="60787F8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Times New Roman" w:hAnsi="Times New Roman" w:eastAsia="方正仿宋_GBK" w:cs="Times New Roman"/>
          <w:b/>
          <w:bCs/>
          <w:color w:val="auto"/>
          <w:kern w:val="0"/>
          <w:sz w:val="32"/>
          <w:szCs w:val="32"/>
          <w:lang w:val="zh-CN" w:eastAsia="zh-CN"/>
        </w:rPr>
      </w:pPr>
      <w:r>
        <w:rPr>
          <w:rFonts w:hint="eastAsia" w:ascii="Times New Roman" w:hAnsi="Times New Roman" w:eastAsia="方正仿宋_GBK" w:cs="Times New Roman"/>
          <w:b/>
          <w:bCs/>
          <w:color w:val="auto"/>
          <w:kern w:val="0"/>
          <w:sz w:val="32"/>
          <w:szCs w:val="32"/>
          <w:lang w:val="zh-CN" w:eastAsia="zh-CN"/>
        </w:rPr>
        <w:t>（一）评价结论</w:t>
      </w:r>
    </w:p>
    <w:p w14:paraId="3BE72C0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color w:val="auto"/>
          <w:kern w:val="0"/>
          <w:sz w:val="32"/>
          <w:szCs w:val="32"/>
          <w:lang w:val="en-US" w:eastAsia="zh-CN" w:bidi="ar-SA"/>
        </w:rPr>
      </w:pPr>
      <w:r>
        <w:rPr>
          <w:rFonts w:hint="eastAsia" w:ascii="Times New Roman" w:hAnsi="Times New Roman" w:eastAsia="方正仿宋_GBK" w:cs="Times New Roman"/>
          <w:color w:val="auto"/>
          <w:kern w:val="0"/>
          <w:sz w:val="32"/>
          <w:szCs w:val="32"/>
          <w:lang w:val="en-US" w:eastAsia="zh-CN" w:bidi="ar-SA"/>
        </w:rPr>
        <w:t>2025年区应急管理局在区委、区政府的坚强领导下，坚持以习近平新时代中国特色社会主义思想和对四川系列重要指示精神为指导，深入学习习近平总书记关于安全生产工作重要论述，认真贯彻落实党中央、国务院、省、市、区关于安全生产工作系列决策部署，以“防范化解风险、有效遏制事故”为目标，推进安全生产领域改革，加强体制机制创新，深化隐患排查治理，加大安全监管执法力度，夯实安全生产工作基础，提升安全本质化水平，为全区经济社会发展营造安全环境，安全生产形势持续向好。2025年预算项目绩效自评得分87分。</w:t>
      </w:r>
    </w:p>
    <w:p w14:paraId="429FAEA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Times New Roman" w:hAnsi="Times New Roman" w:eastAsia="方正仿宋_GBK" w:cs="Times New Roman"/>
          <w:b/>
          <w:bCs/>
          <w:color w:val="auto"/>
          <w:kern w:val="0"/>
          <w:sz w:val="32"/>
          <w:szCs w:val="32"/>
          <w:lang w:val="zh-CN" w:eastAsia="zh-CN"/>
        </w:rPr>
      </w:pPr>
      <w:r>
        <w:rPr>
          <w:rFonts w:hint="eastAsia" w:ascii="Times New Roman" w:hAnsi="Times New Roman" w:eastAsia="方正仿宋_GBK" w:cs="Times New Roman"/>
          <w:b/>
          <w:bCs/>
          <w:color w:val="auto"/>
          <w:kern w:val="0"/>
          <w:sz w:val="32"/>
          <w:szCs w:val="32"/>
          <w:lang w:val="zh-CN" w:eastAsia="zh-CN"/>
        </w:rPr>
        <w:t>（二）存在问题</w:t>
      </w:r>
    </w:p>
    <w:p w14:paraId="24725BD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color w:val="auto"/>
          <w:kern w:val="0"/>
          <w:sz w:val="32"/>
          <w:szCs w:val="32"/>
          <w:lang w:val="en-US" w:eastAsia="zh-CN" w:bidi="ar-SA"/>
        </w:rPr>
      </w:pPr>
      <w:r>
        <w:rPr>
          <w:rFonts w:hint="eastAsia" w:ascii="Times New Roman" w:hAnsi="Times New Roman" w:eastAsia="方正仿宋_GBK" w:cs="Times New Roman"/>
          <w:color w:val="auto"/>
          <w:kern w:val="0"/>
          <w:sz w:val="32"/>
          <w:szCs w:val="32"/>
          <w:lang w:val="en-US" w:eastAsia="zh-CN" w:bidi="ar-SA"/>
        </w:rPr>
        <w:t>绩效目标预算执行与年初预算编制有一定偏差。预算执行管理需持续强化。由于财政资金紧张，存在预算执行进度不均衡现象。存在项目工作已完成，但财政资金未支付情况，造成预算执行进度滞后情况。</w:t>
      </w:r>
    </w:p>
    <w:p w14:paraId="22769311">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Times New Roman" w:hAnsi="Times New Roman" w:eastAsia="方正仿宋_GBK" w:cs="Times New Roman"/>
          <w:b/>
          <w:bCs/>
          <w:color w:val="auto"/>
          <w:kern w:val="0"/>
          <w:sz w:val="32"/>
          <w:szCs w:val="32"/>
          <w:lang w:val="zh-CN" w:eastAsia="zh-CN"/>
        </w:rPr>
      </w:pPr>
      <w:r>
        <w:rPr>
          <w:rFonts w:hint="eastAsia" w:ascii="Times New Roman" w:hAnsi="Times New Roman" w:eastAsia="方正仿宋_GBK" w:cs="Times New Roman"/>
          <w:b/>
          <w:bCs/>
          <w:color w:val="auto"/>
          <w:kern w:val="0"/>
          <w:sz w:val="32"/>
          <w:szCs w:val="32"/>
          <w:lang w:val="zh-CN" w:eastAsia="zh-CN"/>
        </w:rPr>
        <w:t>（三）改进建议</w:t>
      </w:r>
    </w:p>
    <w:p w14:paraId="45E3645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color w:val="auto"/>
          <w:kern w:val="0"/>
          <w:sz w:val="32"/>
          <w:szCs w:val="32"/>
          <w:lang w:val="zh-CN" w:eastAsia="zh-CN" w:bidi="ar-SA"/>
        </w:rPr>
      </w:pPr>
      <w:r>
        <w:rPr>
          <w:rFonts w:hint="eastAsia" w:ascii="Times New Roman" w:hAnsi="Times New Roman" w:eastAsia="方正仿宋_GBK" w:cs="Times New Roman"/>
          <w:color w:val="auto"/>
          <w:kern w:val="0"/>
          <w:sz w:val="32"/>
          <w:szCs w:val="32"/>
          <w:lang w:val="zh-CN" w:eastAsia="zh-CN" w:bidi="ar-SA"/>
        </w:rPr>
        <w:t>1.加强宣传引导</w:t>
      </w:r>
      <w:r>
        <w:rPr>
          <w:rFonts w:hint="eastAsia" w:eastAsia="方正仿宋_GBK" w:cs="Times New Roman"/>
          <w:color w:val="auto"/>
          <w:kern w:val="0"/>
          <w:sz w:val="32"/>
          <w:szCs w:val="32"/>
          <w:lang w:val="zh-CN" w:eastAsia="zh-CN" w:bidi="ar-SA"/>
        </w:rPr>
        <w:t>，</w:t>
      </w:r>
      <w:r>
        <w:rPr>
          <w:rFonts w:hint="eastAsia" w:ascii="Times New Roman" w:hAnsi="Times New Roman" w:eastAsia="方正仿宋_GBK" w:cs="Times New Roman"/>
          <w:color w:val="auto"/>
          <w:kern w:val="0"/>
          <w:sz w:val="32"/>
          <w:szCs w:val="32"/>
          <w:lang w:val="zh-CN" w:eastAsia="zh-CN" w:bidi="ar-SA"/>
        </w:rPr>
        <w:t>强化绩效观念。号召我局相关负责同志积极参加专题培训、认真学习预算绩效管理的法律法规、规范要求</w:t>
      </w:r>
      <w:r>
        <w:rPr>
          <w:rFonts w:hint="eastAsia" w:eastAsia="方正仿宋_GBK" w:cs="Times New Roman"/>
          <w:color w:val="auto"/>
          <w:kern w:val="0"/>
          <w:sz w:val="32"/>
          <w:szCs w:val="32"/>
          <w:lang w:val="zh-CN" w:eastAsia="zh-CN" w:bidi="ar-SA"/>
        </w:rPr>
        <w:t>，</w:t>
      </w:r>
      <w:r>
        <w:rPr>
          <w:rFonts w:hint="eastAsia" w:ascii="Times New Roman" w:hAnsi="Times New Roman" w:eastAsia="方正仿宋_GBK" w:cs="Times New Roman"/>
          <w:color w:val="auto"/>
          <w:kern w:val="0"/>
          <w:sz w:val="32"/>
          <w:szCs w:val="32"/>
          <w:lang w:val="zh-CN" w:eastAsia="zh-CN" w:bidi="ar-SA"/>
        </w:rPr>
        <w:t>让绩效理念深入人心、让绩效管理人员熟知政策、知行合一。</w:t>
      </w:r>
    </w:p>
    <w:p w14:paraId="59F9446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color w:val="auto"/>
          <w:kern w:val="0"/>
          <w:sz w:val="32"/>
          <w:szCs w:val="32"/>
          <w:lang w:val="zh-CN" w:eastAsia="zh-CN" w:bidi="ar-SA"/>
        </w:rPr>
      </w:pPr>
      <w:r>
        <w:rPr>
          <w:rFonts w:hint="eastAsia" w:ascii="Times New Roman" w:hAnsi="Times New Roman" w:eastAsia="方正仿宋_GBK" w:cs="Times New Roman"/>
          <w:color w:val="auto"/>
          <w:kern w:val="0"/>
          <w:sz w:val="32"/>
          <w:szCs w:val="32"/>
          <w:lang w:val="zh-CN" w:eastAsia="zh-CN" w:bidi="ar-SA"/>
        </w:rPr>
        <w:t>2.加强队伍建设</w:t>
      </w:r>
      <w:r>
        <w:rPr>
          <w:rFonts w:hint="eastAsia" w:eastAsia="方正仿宋_GBK" w:cs="Times New Roman"/>
          <w:color w:val="auto"/>
          <w:kern w:val="0"/>
          <w:sz w:val="32"/>
          <w:szCs w:val="32"/>
          <w:lang w:val="zh-CN" w:eastAsia="zh-CN" w:bidi="ar-SA"/>
        </w:rPr>
        <w:t>，</w:t>
      </w:r>
      <w:r>
        <w:rPr>
          <w:rFonts w:hint="eastAsia" w:ascii="Times New Roman" w:hAnsi="Times New Roman" w:eastAsia="方正仿宋_GBK" w:cs="Times New Roman"/>
          <w:color w:val="auto"/>
          <w:kern w:val="0"/>
          <w:sz w:val="32"/>
          <w:szCs w:val="32"/>
          <w:lang w:val="zh-CN" w:eastAsia="zh-CN" w:bidi="ar-SA"/>
        </w:rPr>
        <w:t>提高管理水平。整合多方力量、引入第三方参与、集中业务骨干充实财政预算绩效管理队伍</w:t>
      </w:r>
      <w:r>
        <w:rPr>
          <w:rFonts w:hint="eastAsia" w:eastAsia="方正仿宋_GBK" w:cs="Times New Roman"/>
          <w:color w:val="auto"/>
          <w:kern w:val="0"/>
          <w:sz w:val="32"/>
          <w:szCs w:val="32"/>
          <w:lang w:val="zh-CN" w:eastAsia="zh-CN" w:bidi="ar-SA"/>
        </w:rPr>
        <w:t>，</w:t>
      </w:r>
      <w:r>
        <w:rPr>
          <w:rFonts w:hint="eastAsia" w:ascii="Times New Roman" w:hAnsi="Times New Roman" w:eastAsia="方正仿宋_GBK" w:cs="Times New Roman"/>
          <w:color w:val="auto"/>
          <w:kern w:val="0"/>
          <w:sz w:val="32"/>
          <w:szCs w:val="32"/>
          <w:lang w:val="zh-CN" w:eastAsia="zh-CN" w:bidi="ar-SA"/>
        </w:rPr>
        <w:t>强化专业培训、学习考察、工作调研、业务交流等措施</w:t>
      </w:r>
      <w:r>
        <w:rPr>
          <w:rFonts w:hint="eastAsia" w:eastAsia="方正仿宋_GBK" w:cs="Times New Roman"/>
          <w:color w:val="auto"/>
          <w:kern w:val="0"/>
          <w:sz w:val="32"/>
          <w:szCs w:val="32"/>
          <w:lang w:val="zh-CN" w:eastAsia="zh-CN" w:bidi="ar-SA"/>
        </w:rPr>
        <w:t>，</w:t>
      </w:r>
      <w:r>
        <w:rPr>
          <w:rFonts w:hint="eastAsia" w:ascii="Times New Roman" w:hAnsi="Times New Roman" w:eastAsia="方正仿宋_GBK" w:cs="Times New Roman"/>
          <w:color w:val="auto"/>
          <w:kern w:val="0"/>
          <w:sz w:val="32"/>
          <w:szCs w:val="32"/>
          <w:lang w:val="zh-CN" w:eastAsia="zh-CN" w:bidi="ar-SA"/>
        </w:rPr>
        <w:t>帮助和促进现有人员提高政策理论水平、实际工作能力</w:t>
      </w:r>
      <w:r>
        <w:rPr>
          <w:rFonts w:hint="eastAsia" w:eastAsia="方正仿宋_GBK" w:cs="Times New Roman"/>
          <w:color w:val="auto"/>
          <w:kern w:val="0"/>
          <w:sz w:val="32"/>
          <w:szCs w:val="32"/>
          <w:lang w:val="zh-CN" w:eastAsia="zh-CN" w:bidi="ar-SA"/>
        </w:rPr>
        <w:t>，</w:t>
      </w:r>
      <w:r>
        <w:rPr>
          <w:rFonts w:hint="eastAsia" w:ascii="Times New Roman" w:hAnsi="Times New Roman" w:eastAsia="方正仿宋_GBK" w:cs="Times New Roman"/>
          <w:color w:val="auto"/>
          <w:kern w:val="0"/>
          <w:sz w:val="32"/>
          <w:szCs w:val="32"/>
          <w:lang w:val="zh-CN" w:eastAsia="zh-CN" w:bidi="ar-SA"/>
        </w:rPr>
        <w:t>促进预算单位绩效管理整体上台阶。</w:t>
      </w:r>
    </w:p>
    <w:p w14:paraId="23CC42F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方正仿宋_GBK" w:cs="Times New Roman"/>
          <w:color w:val="auto"/>
          <w:kern w:val="0"/>
          <w:sz w:val="32"/>
          <w:szCs w:val="32"/>
          <w:lang w:val="en-US" w:eastAsia="zh-CN" w:bidi="ar-SA"/>
        </w:rPr>
      </w:pPr>
      <w:r>
        <w:rPr>
          <w:rFonts w:hint="eastAsia" w:ascii="Times New Roman" w:hAnsi="Times New Roman" w:eastAsia="方正仿宋_GBK" w:cs="Times New Roman"/>
          <w:color w:val="auto"/>
          <w:kern w:val="0"/>
          <w:sz w:val="32"/>
          <w:szCs w:val="32"/>
          <w:lang w:val="zh-CN" w:eastAsia="zh-CN" w:bidi="ar-SA"/>
        </w:rPr>
        <w:t>3.强化运行监管</w:t>
      </w:r>
      <w:r>
        <w:rPr>
          <w:rFonts w:hint="eastAsia" w:eastAsia="方正仿宋_GBK" w:cs="Times New Roman"/>
          <w:color w:val="auto"/>
          <w:kern w:val="0"/>
          <w:sz w:val="32"/>
          <w:szCs w:val="32"/>
          <w:lang w:val="zh-CN" w:eastAsia="zh-CN" w:bidi="ar-SA"/>
        </w:rPr>
        <w:t>，</w:t>
      </w:r>
      <w:r>
        <w:rPr>
          <w:rFonts w:hint="eastAsia" w:ascii="Times New Roman" w:hAnsi="Times New Roman" w:eastAsia="方正仿宋_GBK" w:cs="Times New Roman"/>
          <w:color w:val="auto"/>
          <w:kern w:val="0"/>
          <w:sz w:val="32"/>
          <w:szCs w:val="32"/>
          <w:lang w:val="zh-CN" w:eastAsia="zh-CN" w:bidi="ar-SA"/>
        </w:rPr>
        <w:t>突出结果导向。要把项目的绩效目标实现程度、资金使用、项目实施、项目管理等</w:t>
      </w:r>
      <w:r>
        <w:rPr>
          <w:rFonts w:hint="eastAsia" w:ascii="Times New Roman" w:hAnsi="Times New Roman" w:eastAsia="方正仿宋_GBK" w:cs="Times New Roman"/>
          <w:color w:val="auto"/>
          <w:kern w:val="0"/>
          <w:sz w:val="32"/>
          <w:szCs w:val="32"/>
          <w:lang w:val="en-US" w:eastAsia="zh-CN" w:bidi="ar-SA"/>
        </w:rPr>
        <w:t>情况</w:t>
      </w:r>
      <w:r>
        <w:rPr>
          <w:rFonts w:hint="eastAsia" w:ascii="Times New Roman" w:hAnsi="Times New Roman" w:eastAsia="方正仿宋_GBK" w:cs="Times New Roman"/>
          <w:color w:val="auto"/>
          <w:kern w:val="0"/>
          <w:sz w:val="32"/>
          <w:szCs w:val="32"/>
          <w:lang w:val="zh-CN" w:eastAsia="zh-CN" w:bidi="ar-SA"/>
        </w:rPr>
        <w:t>全部纳入监督范围。强化整改措施，绩效运行中发现的问题</w:t>
      </w:r>
      <w:r>
        <w:rPr>
          <w:rFonts w:hint="eastAsia" w:eastAsia="方正仿宋_GBK" w:cs="Times New Roman"/>
          <w:color w:val="auto"/>
          <w:kern w:val="0"/>
          <w:sz w:val="32"/>
          <w:szCs w:val="32"/>
          <w:lang w:val="zh-CN" w:eastAsia="zh-CN" w:bidi="ar-SA"/>
        </w:rPr>
        <w:t>，</w:t>
      </w:r>
      <w:r>
        <w:rPr>
          <w:rFonts w:hint="eastAsia" w:ascii="Times New Roman" w:hAnsi="Times New Roman" w:eastAsia="方正仿宋_GBK" w:cs="Times New Roman"/>
          <w:color w:val="auto"/>
          <w:kern w:val="0"/>
          <w:sz w:val="32"/>
          <w:szCs w:val="32"/>
          <w:lang w:val="zh-CN" w:eastAsia="zh-CN" w:bidi="ar-SA"/>
        </w:rPr>
        <w:t>要即知即改</w:t>
      </w:r>
      <w:r>
        <w:rPr>
          <w:rFonts w:hint="eastAsia" w:eastAsia="方正仿宋_GBK" w:cs="Times New Roman"/>
          <w:color w:val="auto"/>
          <w:kern w:val="0"/>
          <w:sz w:val="32"/>
          <w:szCs w:val="32"/>
          <w:lang w:val="zh-CN" w:eastAsia="zh-CN" w:bidi="ar-SA"/>
        </w:rPr>
        <w:t>；</w:t>
      </w:r>
      <w:r>
        <w:rPr>
          <w:rFonts w:hint="eastAsia" w:ascii="Times New Roman" w:hAnsi="Times New Roman" w:eastAsia="方正仿宋_GBK" w:cs="Times New Roman"/>
          <w:color w:val="auto"/>
          <w:kern w:val="0"/>
          <w:sz w:val="32"/>
          <w:szCs w:val="32"/>
          <w:lang w:val="zh-CN" w:eastAsia="zh-CN" w:bidi="ar-SA"/>
        </w:rPr>
        <w:t>绩效评价时指出的问题</w:t>
      </w:r>
      <w:r>
        <w:rPr>
          <w:rFonts w:hint="eastAsia" w:eastAsia="方正仿宋_GBK" w:cs="Times New Roman"/>
          <w:color w:val="auto"/>
          <w:kern w:val="0"/>
          <w:sz w:val="32"/>
          <w:szCs w:val="32"/>
          <w:lang w:val="zh-CN" w:eastAsia="zh-CN" w:bidi="ar-SA"/>
        </w:rPr>
        <w:t>，</w:t>
      </w:r>
      <w:r>
        <w:rPr>
          <w:rFonts w:hint="eastAsia" w:ascii="Times New Roman" w:hAnsi="Times New Roman" w:eastAsia="方正仿宋_GBK" w:cs="Times New Roman"/>
          <w:color w:val="auto"/>
          <w:kern w:val="0"/>
          <w:sz w:val="32"/>
          <w:szCs w:val="32"/>
          <w:lang w:val="zh-CN" w:eastAsia="zh-CN" w:bidi="ar-SA"/>
        </w:rPr>
        <w:t>要问责问效</w:t>
      </w:r>
      <w:r>
        <w:rPr>
          <w:rFonts w:hint="eastAsia" w:eastAsia="方正仿宋_GBK" w:cs="Times New Roman"/>
          <w:color w:val="auto"/>
          <w:kern w:val="0"/>
          <w:sz w:val="32"/>
          <w:szCs w:val="32"/>
          <w:lang w:val="zh-CN" w:eastAsia="zh-CN" w:bidi="ar-SA"/>
        </w:rPr>
        <w:t>；</w:t>
      </w:r>
      <w:r>
        <w:rPr>
          <w:rFonts w:hint="eastAsia" w:ascii="Times New Roman" w:hAnsi="Times New Roman" w:eastAsia="方正仿宋_GBK" w:cs="Times New Roman"/>
          <w:color w:val="auto"/>
          <w:kern w:val="0"/>
          <w:sz w:val="32"/>
          <w:szCs w:val="32"/>
          <w:lang w:val="zh-CN" w:eastAsia="zh-CN" w:bidi="ar-SA"/>
        </w:rPr>
        <w:t>管理机制上存在的问题</w:t>
      </w:r>
      <w:r>
        <w:rPr>
          <w:rFonts w:hint="eastAsia" w:eastAsia="方正仿宋_GBK" w:cs="Times New Roman"/>
          <w:color w:val="auto"/>
          <w:kern w:val="0"/>
          <w:sz w:val="32"/>
          <w:szCs w:val="32"/>
          <w:lang w:val="zh-CN" w:eastAsia="zh-CN" w:bidi="ar-SA"/>
        </w:rPr>
        <w:t>，</w:t>
      </w:r>
      <w:r>
        <w:rPr>
          <w:rFonts w:hint="eastAsia" w:ascii="Times New Roman" w:hAnsi="Times New Roman" w:eastAsia="方正仿宋_GBK" w:cs="Times New Roman"/>
          <w:color w:val="auto"/>
          <w:kern w:val="0"/>
          <w:sz w:val="32"/>
          <w:szCs w:val="32"/>
          <w:lang w:val="zh-CN" w:eastAsia="zh-CN" w:bidi="ar-SA"/>
        </w:rPr>
        <w:t>要标本兼治。同时做好绩效评价结果反馈和公开工作</w:t>
      </w:r>
      <w:r>
        <w:rPr>
          <w:rFonts w:hint="eastAsia" w:eastAsia="方正仿宋_GBK" w:cs="Times New Roman"/>
          <w:color w:val="auto"/>
          <w:kern w:val="0"/>
          <w:sz w:val="32"/>
          <w:szCs w:val="32"/>
          <w:lang w:val="zh-CN" w:eastAsia="zh-CN" w:bidi="ar-SA"/>
        </w:rPr>
        <w:t>，</w:t>
      </w:r>
      <w:r>
        <w:rPr>
          <w:rFonts w:hint="eastAsia" w:ascii="Times New Roman" w:hAnsi="Times New Roman" w:eastAsia="方正仿宋_GBK" w:cs="Times New Roman"/>
          <w:color w:val="auto"/>
          <w:kern w:val="0"/>
          <w:sz w:val="32"/>
          <w:szCs w:val="32"/>
          <w:lang w:val="zh-CN" w:eastAsia="zh-CN" w:bidi="ar-SA"/>
        </w:rPr>
        <w:t>推进预算绩效管理实践</w:t>
      </w:r>
      <w:r>
        <w:rPr>
          <w:rFonts w:hint="eastAsia" w:eastAsia="方正仿宋_GBK" w:cs="Times New Roman"/>
          <w:color w:val="auto"/>
          <w:kern w:val="0"/>
          <w:sz w:val="32"/>
          <w:szCs w:val="32"/>
          <w:lang w:val="zh-CN" w:eastAsia="zh-CN" w:bidi="ar-SA"/>
        </w:rPr>
        <w:t>，</w:t>
      </w:r>
      <w:r>
        <w:rPr>
          <w:rFonts w:hint="eastAsia" w:ascii="Times New Roman" w:hAnsi="Times New Roman" w:eastAsia="方正仿宋_GBK" w:cs="Times New Roman"/>
          <w:color w:val="auto"/>
          <w:kern w:val="0"/>
          <w:sz w:val="32"/>
          <w:szCs w:val="32"/>
          <w:lang w:val="zh-CN" w:eastAsia="zh-CN" w:bidi="ar-SA"/>
        </w:rPr>
        <w:t>提升绩效评价成效。</w:t>
      </w:r>
    </w:p>
    <w:p w14:paraId="08D1CA9C">
      <w:pPr>
        <w:pStyle w:val="7"/>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kern w:val="2"/>
          <w:sz w:val="32"/>
          <w:szCs w:val="32"/>
          <w:highlight w:val="none"/>
          <w:u w:val="none"/>
          <w:lang w:val="zh-CN" w:eastAsia="zh-CN" w:bidi="ar"/>
        </w:rPr>
      </w:pPr>
      <w:r>
        <w:rPr>
          <w:rFonts w:hint="default" w:ascii="Times New Roman" w:hAnsi="Times New Roman" w:eastAsia="仿宋_GB2312" w:cs="Times New Roman"/>
          <w:color w:val="auto"/>
          <w:kern w:val="2"/>
          <w:sz w:val="32"/>
          <w:szCs w:val="32"/>
          <w:highlight w:val="none"/>
          <w:u w:val="none"/>
          <w:lang w:val="zh-CN" w:eastAsia="zh-CN" w:bidi="ar"/>
        </w:rPr>
        <w:t>附表：</w:t>
      </w:r>
      <w:r>
        <w:rPr>
          <w:rFonts w:hint="default" w:ascii="Times New Roman" w:hAnsi="Times New Roman" w:eastAsia="仿宋_GB2312" w:cs="Times New Roman"/>
          <w:color w:val="auto"/>
          <w:kern w:val="2"/>
          <w:sz w:val="32"/>
          <w:szCs w:val="32"/>
          <w:highlight w:val="none"/>
          <w:u w:val="none"/>
          <w:lang w:val="en-US" w:eastAsia="zh-CN" w:bidi="ar"/>
        </w:rPr>
        <w:t>部门预算项目支出绩效自评表（202</w:t>
      </w:r>
      <w:r>
        <w:rPr>
          <w:rFonts w:hint="eastAsia" w:ascii="Times New Roman" w:hAnsi="Times New Roman" w:eastAsia="仿宋_GB2312" w:cs="Times New Roman"/>
          <w:color w:val="auto"/>
          <w:kern w:val="2"/>
          <w:sz w:val="32"/>
          <w:szCs w:val="32"/>
          <w:highlight w:val="none"/>
          <w:u w:val="none"/>
          <w:lang w:val="en-US" w:eastAsia="zh-CN" w:bidi="ar"/>
        </w:rPr>
        <w:t>5</w:t>
      </w:r>
      <w:r>
        <w:rPr>
          <w:rFonts w:hint="default" w:ascii="Times New Roman" w:hAnsi="Times New Roman" w:eastAsia="仿宋_GB2312" w:cs="Times New Roman"/>
          <w:color w:val="auto"/>
          <w:kern w:val="2"/>
          <w:sz w:val="32"/>
          <w:szCs w:val="32"/>
          <w:highlight w:val="none"/>
          <w:u w:val="none"/>
          <w:lang w:val="en-US" w:eastAsia="zh-CN" w:bidi="ar"/>
        </w:rPr>
        <w:t>年度）</w:t>
      </w:r>
    </w:p>
    <w:p w14:paraId="42CBC1B8">
      <w:pPr>
        <w:pStyle w:val="7"/>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ascii="Times New Roman" w:eastAsia="仿宋_GB2312"/>
          <w:sz w:val="32"/>
          <w:lang w:val="zh-CN"/>
        </w:rPr>
      </w:pPr>
      <w:r>
        <w:rPr>
          <w:rFonts w:hint="default" w:ascii="Times New Roman" w:hAnsi="Times New Roman" w:eastAsia="仿宋_GB2312" w:cs="Times New Roman"/>
          <w:b w:val="0"/>
          <w:bCs w:val="0"/>
          <w:color w:val="auto"/>
          <w:kern w:val="0"/>
          <w:position w:val="0"/>
          <w:sz w:val="32"/>
          <w:szCs w:val="32"/>
          <w:highlight w:val="none"/>
          <w:lang w:val="en-US" w:eastAsia="zh-CN" w:bidi="ar-SA"/>
        </w:rPr>
        <w:t>（注：按照绩效自评工作安排，各部门已在预算管理一体化系统绩效自评模块上传“部门预算项目支出绩效自评表（202</w:t>
      </w:r>
      <w:r>
        <w:rPr>
          <w:rFonts w:hint="eastAsia" w:ascii="Times New Roman" w:hAnsi="Times New Roman" w:eastAsia="仿宋_GB2312" w:cs="Times New Roman"/>
          <w:b w:val="0"/>
          <w:bCs w:val="0"/>
          <w:color w:val="auto"/>
          <w:kern w:val="0"/>
          <w:position w:val="0"/>
          <w:sz w:val="32"/>
          <w:szCs w:val="32"/>
          <w:highlight w:val="none"/>
          <w:lang w:val="en-US" w:eastAsia="zh-CN" w:bidi="ar-SA"/>
        </w:rPr>
        <w:t>5</w:t>
      </w:r>
      <w:r>
        <w:rPr>
          <w:rFonts w:hint="default" w:ascii="Times New Roman" w:hAnsi="Times New Roman" w:eastAsia="仿宋_GB2312" w:cs="Times New Roman"/>
          <w:b w:val="0"/>
          <w:bCs w:val="0"/>
          <w:color w:val="auto"/>
          <w:kern w:val="0"/>
          <w:position w:val="0"/>
          <w:sz w:val="32"/>
          <w:szCs w:val="32"/>
          <w:highlight w:val="none"/>
          <w:lang w:val="en-US" w:eastAsia="zh-CN" w:bidi="ar-SA"/>
        </w:rPr>
        <w:t>年度）”，该表格应作为附表予以公开）</w:t>
      </w:r>
    </w:p>
    <w:p w14:paraId="0C60A159">
      <w:pPr>
        <w:pStyle w:val="39"/>
        <w:spacing w:before="93" w:beforeLines="0"/>
        <w:rPr>
          <w:rFonts w:hint="eastAsia" w:ascii="Times New Roman" w:eastAsia="仿宋_GB2312" w:cs="宋体"/>
          <w:color w:val="FF0000"/>
          <w:sz w:val="32"/>
          <w:szCs w:val="32"/>
          <w:highlight w:val="yellow"/>
          <w:shd w:val="clear" w:color="auto" w:fill="FFFFFF"/>
          <w:lang w:val="en-US" w:eastAsia="zh-CN"/>
        </w:rPr>
      </w:pPr>
    </w:p>
    <w:p w14:paraId="3091AC26">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14:paraId="6CE613D9">
      <w:pPr>
        <w:pStyle w:val="39"/>
        <w:spacing w:before="93" w:beforeLines="0"/>
        <w:rPr>
          <w:rFonts w:ascii="Times New Roman" w:hAnsi="Times New Roman" w:eastAsia="方正小标宋简体" w:cs="方正小标宋简体"/>
          <w:color w:val="auto"/>
          <w:kern w:val="2"/>
          <w:sz w:val="44"/>
          <w:szCs w:val="44"/>
          <w:lang w:val="en-US"/>
        </w:rPr>
      </w:pPr>
    </w:p>
    <w:p w14:paraId="061CAD43">
      <w:pPr>
        <w:pStyle w:val="38"/>
        <w:spacing w:line="600" w:lineRule="exact"/>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专项预算项目支出绩效自评报告</w:t>
      </w:r>
    </w:p>
    <w:p w14:paraId="03F6DD19">
      <w:pPr>
        <w:pStyle w:val="38"/>
        <w:spacing w:line="240" w:lineRule="auto"/>
        <w:ind w:firstLine="0"/>
        <w:jc w:val="center"/>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方正小标宋简体" w:hAnsi="方正小标宋简体" w:eastAsia="方正小标宋简体" w:cs="方正小标宋简体"/>
          <w:color w:val="auto"/>
          <w:w w:val="90"/>
          <w:kern w:val="2"/>
          <w:sz w:val="32"/>
          <w:szCs w:val="32"/>
          <w:lang w:val="en-US"/>
        </w:rPr>
        <w:t>同德镇政府专职消防救援站装备采购项目</w:t>
      </w:r>
      <w:r>
        <w:rPr>
          <w:rFonts w:ascii="Times New Roman" w:hAnsi="Times New Roman" w:eastAsia="仿宋_GB2312"/>
          <w:color w:val="auto"/>
          <w:kern w:val="2"/>
          <w:sz w:val="32"/>
          <w:szCs w:val="32"/>
        </w:rPr>
        <w:t>）</w:t>
      </w:r>
    </w:p>
    <w:p w14:paraId="73E3BB6B">
      <w:pPr>
        <w:pStyle w:val="38"/>
        <w:spacing w:line="600" w:lineRule="exact"/>
        <w:ind w:firstLine="640"/>
        <w:jc w:val="center"/>
        <w:rPr>
          <w:rFonts w:ascii="Times New Roman" w:hAnsi="Times New Roman"/>
          <w:color w:val="auto"/>
          <w:kern w:val="2"/>
          <w:sz w:val="32"/>
          <w:szCs w:val="32"/>
        </w:rPr>
      </w:pPr>
    </w:p>
    <w:p w14:paraId="7CFE2F3B">
      <w:pPr>
        <w:adjustRightInd w:val="0"/>
        <w:snapToGrid w:val="0"/>
        <w:spacing w:line="600" w:lineRule="exact"/>
        <w:ind w:firstLine="720"/>
        <w:rPr>
          <w:rFonts w:ascii="Times New Roman" w:hAnsi="Times New Roman" w:eastAsia="黑体" w:cs="Times New Roman"/>
          <w:sz w:val="32"/>
          <w:szCs w:val="32"/>
          <w:lang w:val="zh-CN"/>
        </w:rPr>
      </w:pPr>
      <w:r>
        <w:rPr>
          <w:rFonts w:ascii="Times New Roman" w:hAnsi="Times New Roman" w:eastAsia="黑体" w:cs="Times New Roman"/>
          <w:sz w:val="32"/>
          <w:szCs w:val="32"/>
        </w:rPr>
        <w:t>一、</w:t>
      </w:r>
      <w:r>
        <w:rPr>
          <w:rFonts w:ascii="Times New Roman" w:hAnsi="Times New Roman" w:eastAsia="黑体" w:cs="Times New Roman"/>
          <w:sz w:val="32"/>
          <w:szCs w:val="32"/>
          <w:lang w:val="zh-CN"/>
        </w:rPr>
        <w:t>项目概况</w:t>
      </w:r>
    </w:p>
    <w:p w14:paraId="40F67C5C">
      <w:pPr>
        <w:adjustRightInd w:val="0"/>
        <w:snapToGrid w:val="0"/>
        <w:spacing w:line="600" w:lineRule="exact"/>
        <w:ind w:firstLine="720"/>
        <w:rPr>
          <w:rFonts w:eastAsia="楷体_GB2312"/>
          <w:b/>
          <w:lang w:val="zh-CN"/>
        </w:rPr>
      </w:pPr>
      <w:r>
        <w:rPr>
          <w:rFonts w:ascii="Times New Roman" w:hAnsi="Times New Roman" w:eastAsia="楷体_GB2312" w:cs="Times New Roman"/>
          <w:b/>
          <w:sz w:val="32"/>
          <w:szCs w:val="32"/>
          <w:lang w:val="zh-CN"/>
        </w:rPr>
        <w:t>（一）项目基本情况</w:t>
      </w:r>
      <w:r>
        <w:rPr>
          <w:rFonts w:eastAsia="楷体_GB2312"/>
          <w:b/>
          <w:lang w:val="zh-CN"/>
        </w:rPr>
        <w:t>。</w:t>
      </w:r>
    </w:p>
    <w:p w14:paraId="5C5CE78D">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1</w:t>
      </w:r>
      <w:r>
        <w:rPr>
          <w:rFonts w:hint="eastAsia" w:ascii="Times New Roman" w:hAnsi="Times New Roman" w:eastAsia="仿宋_GB2312" w:cs="Times New Roman"/>
          <w:sz w:val="32"/>
          <w:szCs w:val="32"/>
          <w:lang w:val="zh-CN"/>
        </w:rPr>
        <w:t>.区应急管理局负责同德镇政府专职消防救援站装备采购项目组织实施，参与装备查验、接收，负责资金拨付等工作。</w:t>
      </w:r>
    </w:p>
    <w:p w14:paraId="538A945B">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2.</w:t>
      </w:r>
      <w:r>
        <w:rPr>
          <w:rFonts w:hint="eastAsia" w:ascii="Times New Roman" w:hAnsi="Times New Roman" w:eastAsia="仿宋_GB2312" w:cs="Times New Roman"/>
          <w:sz w:val="32"/>
          <w:szCs w:val="32"/>
          <w:lang w:val="zh-CN"/>
        </w:rPr>
        <w:t>为落实全省统筹推进乡村国土空间规划编制和两项改革</w:t>
      </w:r>
      <w:r>
        <w:rPr>
          <w:rFonts w:hint="eastAsia" w:eastAsia="仿宋_GB2312" w:cs="Times New Roman"/>
          <w:sz w:val="32"/>
          <w:szCs w:val="32"/>
          <w:lang w:val="zh-CN"/>
        </w:rPr>
        <w:t>“后半篇文章”</w:t>
      </w:r>
      <w:r>
        <w:rPr>
          <w:rFonts w:hint="eastAsia" w:ascii="Times New Roman" w:hAnsi="Times New Roman" w:eastAsia="仿宋_GB2312" w:cs="Times New Roman"/>
          <w:sz w:val="32"/>
          <w:szCs w:val="32"/>
          <w:lang w:val="zh-CN"/>
        </w:rPr>
        <w:t>工作会议精神，建立健全中心乡镇消防救援力量，结合辖区消防工作实际，按《乡镇消防队》</w:t>
      </w:r>
      <w:r>
        <w:rPr>
          <w:rFonts w:hint="eastAsia" w:eastAsia="仿宋_GB2312" w:cs="Times New Roman"/>
          <w:sz w:val="32"/>
          <w:szCs w:val="32"/>
          <w:lang w:val="zh-CN"/>
        </w:rPr>
        <w:t>（</w:t>
      </w:r>
      <w:r>
        <w:rPr>
          <w:rFonts w:hint="eastAsia" w:ascii="Times New Roman" w:hAnsi="Times New Roman" w:eastAsia="仿宋_GB2312" w:cs="Times New Roman"/>
          <w:sz w:val="32"/>
          <w:szCs w:val="32"/>
          <w:lang w:val="zh-CN"/>
        </w:rPr>
        <w:t>GBT35547-2017</w:t>
      </w:r>
      <w:r>
        <w:rPr>
          <w:rFonts w:hint="eastAsia" w:eastAsia="仿宋_GB2312" w:cs="Times New Roman"/>
          <w:sz w:val="32"/>
          <w:szCs w:val="32"/>
          <w:lang w:val="zh-CN"/>
        </w:rPr>
        <w:t>）</w:t>
      </w:r>
      <w:r>
        <w:rPr>
          <w:rFonts w:hint="eastAsia" w:ascii="Times New Roman" w:hAnsi="Times New Roman" w:eastAsia="仿宋_GB2312" w:cs="Times New Roman"/>
          <w:sz w:val="32"/>
          <w:szCs w:val="32"/>
          <w:lang w:val="zh-CN"/>
        </w:rPr>
        <w:t>二级站标准在三阳湾阳光生态绿色经济发展片区的中心镇同德镇，完成同德镇政府专职消防救援站改建并投入执勤。为切实提高基层抗御火灾能力，有效遏制“小火亡人”事故，促使基层消防安全治理体系和治理能力现代化水平全面提升</w:t>
      </w:r>
      <w:r>
        <w:rPr>
          <w:rFonts w:hint="eastAsia" w:eastAsia="仿宋_GB2312" w:cs="Times New Roman"/>
          <w:sz w:val="32"/>
          <w:szCs w:val="32"/>
          <w:lang w:val="zh-CN"/>
        </w:rPr>
        <w:t>。</w:t>
      </w:r>
    </w:p>
    <w:p w14:paraId="1EE143EA">
      <w:pPr>
        <w:adjustRightInd w:val="0"/>
        <w:snapToGrid w:val="0"/>
        <w:spacing w:line="600" w:lineRule="exact"/>
        <w:ind w:firstLine="720"/>
        <w:rPr>
          <w:rFonts w:ascii="Times New Roman" w:hAnsi="Times New Roman" w:eastAsia="仿宋_GB2312" w:cs="Times New Roman"/>
          <w:sz w:val="32"/>
          <w:szCs w:val="32"/>
          <w:lang w:val="zh-CN"/>
        </w:rPr>
      </w:pPr>
      <w:r>
        <w:rPr>
          <w:rFonts w:hint="eastAsia" w:eastAsia="仿宋_GB2312" w:cs="Times New Roman"/>
          <w:sz w:val="32"/>
          <w:szCs w:val="32"/>
          <w:lang w:val="zh-CN"/>
        </w:rPr>
        <w:t>3.</w:t>
      </w:r>
      <w:r>
        <w:rPr>
          <w:rFonts w:hint="eastAsia" w:ascii="Times New Roman" w:hAnsi="Times New Roman" w:eastAsia="仿宋_GB2312" w:cs="Times New Roman"/>
          <w:sz w:val="32"/>
          <w:szCs w:val="32"/>
          <w:lang w:val="zh-CN"/>
        </w:rPr>
        <w:t>进一步加强基层消防力量建设，提高基层抗御火灾能力，有效遏制“小火亡人”事故，促使基层消防安全治理体系和治理能力现代化水平全面提升。</w:t>
      </w:r>
    </w:p>
    <w:p w14:paraId="1B905900">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4.</w:t>
      </w:r>
      <w:r>
        <w:rPr>
          <w:rFonts w:hint="eastAsia" w:ascii="Times New Roman" w:hAnsi="Times New Roman" w:eastAsia="仿宋_GB2312" w:cs="Times New Roman"/>
          <w:sz w:val="32"/>
          <w:szCs w:val="32"/>
          <w:lang w:val="zh-CN"/>
        </w:rPr>
        <w:t>年初预算数0万元，调整后预算数143.18万元，实际采购中标合同价141.7469万元，拨付50万元</w:t>
      </w:r>
      <w:r>
        <w:rPr>
          <w:rFonts w:ascii="Times New Roman" w:hAnsi="Times New Roman" w:eastAsia="仿宋_GB2312" w:cs="Times New Roman"/>
          <w:sz w:val="32"/>
          <w:szCs w:val="32"/>
          <w:lang w:val="zh-CN"/>
        </w:rPr>
        <w:t>。</w:t>
      </w:r>
    </w:p>
    <w:p w14:paraId="49A57CF4">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（二）项目绩效目标。</w:t>
      </w:r>
    </w:p>
    <w:p w14:paraId="2D8A9C79">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1.项目主要内容。</w:t>
      </w:r>
      <w:r>
        <w:rPr>
          <w:rFonts w:hint="eastAsia" w:ascii="Times New Roman" w:hAnsi="Times New Roman" w:eastAsia="仿宋_GB2312" w:cs="Times New Roman"/>
          <w:sz w:val="32"/>
          <w:szCs w:val="32"/>
          <w:lang w:val="zh-CN"/>
        </w:rPr>
        <w:t>配备装备，健全消防救援站，提升区域救援能力，弥补同德镇、布德镇消防救援短板，同时也可兼顾防汛救灾、</w:t>
      </w:r>
      <w:r>
        <w:rPr>
          <w:rFonts w:hint="eastAsia" w:eastAsia="仿宋_GB2312" w:cs="Times New Roman"/>
          <w:sz w:val="32"/>
          <w:szCs w:val="32"/>
          <w:lang w:val="zh-CN"/>
        </w:rPr>
        <w:t>森林草原防灭火</w:t>
      </w:r>
      <w:r>
        <w:rPr>
          <w:rFonts w:hint="eastAsia" w:ascii="Times New Roman" w:hAnsi="Times New Roman" w:eastAsia="仿宋_GB2312" w:cs="Times New Roman"/>
          <w:sz w:val="32"/>
          <w:szCs w:val="32"/>
          <w:lang w:val="zh-CN"/>
        </w:rPr>
        <w:t>等工作，与现实需求相适应。</w:t>
      </w:r>
    </w:p>
    <w:p w14:paraId="7FCB5199">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2.项目应实现的具体绩效目标，包括目标的量化、细化情况以及项目实施进度计划等。</w:t>
      </w:r>
    </w:p>
    <w:p w14:paraId="619CF459">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3.分析评价申报内容是否与实际相符，申报目标是否合理可行。</w:t>
      </w:r>
    </w:p>
    <w:p w14:paraId="6CB87DD1">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（三）项目自评步骤及方法。</w:t>
      </w:r>
    </w:p>
    <w:p w14:paraId="5868406A">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说明项目绩效自评采用的组织实施步骤及方法。</w:t>
      </w:r>
    </w:p>
    <w:p w14:paraId="1A22A022">
      <w:pPr>
        <w:adjustRightInd w:val="0"/>
        <w:snapToGrid w:val="0"/>
        <w:spacing w:line="600" w:lineRule="exact"/>
        <w:ind w:firstLine="720"/>
        <w:rPr>
          <w:rFonts w:ascii="Times New Roman" w:hAnsi="Times New Roman" w:eastAsia="黑体" w:cs="Times New Roman"/>
          <w:sz w:val="32"/>
          <w:szCs w:val="32"/>
        </w:rPr>
      </w:pPr>
      <w:r>
        <w:rPr>
          <w:rFonts w:ascii="Times New Roman" w:hAnsi="Times New Roman" w:eastAsia="黑体" w:cs="Times New Roman"/>
          <w:sz w:val="32"/>
          <w:szCs w:val="32"/>
        </w:rPr>
        <w:t>二、项目资金申报及使用情况</w:t>
      </w:r>
    </w:p>
    <w:p w14:paraId="7390EA2D">
      <w:pPr>
        <w:adjustRightInd w:val="0"/>
        <w:snapToGrid w:val="0"/>
        <w:spacing w:line="600" w:lineRule="exact"/>
        <w:ind w:firstLine="720"/>
        <w:rPr>
          <w:rFonts w:eastAsia="楷体_GB2312"/>
          <w:b/>
          <w:lang w:val="zh-CN"/>
        </w:rPr>
      </w:pPr>
      <w:r>
        <w:rPr>
          <w:rFonts w:ascii="Times New Roman" w:hAnsi="Times New Roman" w:eastAsia="楷体_GB2312" w:cs="Times New Roman"/>
          <w:b/>
          <w:sz w:val="32"/>
          <w:szCs w:val="32"/>
          <w:lang w:val="zh-CN"/>
        </w:rPr>
        <w:t>（一）项目资金申报及批复情况</w:t>
      </w:r>
      <w:r>
        <w:rPr>
          <w:rFonts w:eastAsia="楷体_GB2312"/>
          <w:b/>
          <w:lang w:val="zh-CN"/>
        </w:rPr>
        <w:t>。</w:t>
      </w:r>
    </w:p>
    <w:p w14:paraId="019F0540">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年初预算数0万元，调整后预算数143.18万元，实际采购中标合同价141.7469万元，拨付50万元</w:t>
      </w:r>
      <w:r>
        <w:rPr>
          <w:rFonts w:ascii="Times New Roman" w:hAnsi="Times New Roman" w:eastAsia="仿宋_GB2312" w:cs="Times New Roman"/>
          <w:sz w:val="32"/>
          <w:szCs w:val="32"/>
          <w:lang w:val="zh-CN"/>
        </w:rPr>
        <w:t>。</w:t>
      </w:r>
    </w:p>
    <w:p w14:paraId="50C1B163">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（二）资金计划、到位及使用情况（可用表格形式反映）。</w:t>
      </w:r>
    </w:p>
    <w:p w14:paraId="78F721C7">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eastAsia="仿宋_GB2312" w:cs="Times New Roman"/>
          <w:sz w:val="32"/>
          <w:szCs w:val="32"/>
          <w:lang w:val="zh-CN"/>
        </w:rPr>
        <w:t>1.</w:t>
      </w:r>
      <w:r>
        <w:rPr>
          <w:rFonts w:hint="eastAsia" w:ascii="Times New Roman" w:hAnsi="Times New Roman" w:eastAsia="仿宋_GB2312" w:cs="Times New Roman"/>
          <w:sz w:val="32"/>
          <w:szCs w:val="32"/>
          <w:lang w:val="zh-CN"/>
        </w:rPr>
        <w:t>资金计划。区本级财政资金给予保障。</w:t>
      </w:r>
    </w:p>
    <w:p w14:paraId="4BA6934D">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eastAsia="仿宋_GB2312" w:cs="Times New Roman"/>
          <w:sz w:val="32"/>
          <w:szCs w:val="32"/>
          <w:lang w:val="zh-CN"/>
        </w:rPr>
        <w:t>2.</w:t>
      </w:r>
      <w:r>
        <w:rPr>
          <w:rFonts w:hint="eastAsia" w:ascii="Times New Roman" w:hAnsi="Times New Roman" w:eastAsia="仿宋_GB2312" w:cs="Times New Roman"/>
          <w:sz w:val="32"/>
          <w:szCs w:val="32"/>
          <w:lang w:val="zh-CN"/>
        </w:rPr>
        <w:t>资金到位。2025年有区本级资金拨付50万元。</w:t>
      </w:r>
    </w:p>
    <w:p w14:paraId="291C32FD">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eastAsia="仿宋_GB2312" w:cs="Times New Roman"/>
          <w:sz w:val="32"/>
          <w:szCs w:val="32"/>
          <w:lang w:val="zh-CN"/>
        </w:rPr>
        <w:t>3.</w:t>
      </w:r>
      <w:r>
        <w:rPr>
          <w:rFonts w:hint="eastAsia" w:ascii="Times New Roman" w:hAnsi="Times New Roman" w:eastAsia="仿宋_GB2312" w:cs="Times New Roman"/>
          <w:sz w:val="32"/>
          <w:szCs w:val="32"/>
          <w:lang w:val="zh-CN"/>
        </w:rPr>
        <w:t>资金使用。按照采购中标合同价应拨付141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zh-CN"/>
        </w:rPr>
        <w:t>7469万元，实际支付50万元，支付进度缓慢。</w:t>
      </w:r>
    </w:p>
    <w:p w14:paraId="7B0E1FAE">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（三）项目财务管理情况。</w:t>
      </w:r>
    </w:p>
    <w:p w14:paraId="6F2B8EA7">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区应急管理局财务管理制度健全，严格执行财务管理制度，账务处理及时，会计核算规范。</w:t>
      </w:r>
    </w:p>
    <w:p w14:paraId="44EC6405">
      <w:pPr>
        <w:adjustRightInd w:val="0"/>
        <w:snapToGrid w:val="0"/>
        <w:spacing w:line="600" w:lineRule="exact"/>
        <w:ind w:firstLine="720"/>
        <w:rPr>
          <w:rFonts w:ascii="Times New Roman" w:hAnsi="Times New Roman" w:eastAsia="黑体" w:cs="Times New Roman"/>
          <w:sz w:val="32"/>
          <w:szCs w:val="32"/>
        </w:rPr>
      </w:pPr>
      <w:r>
        <w:rPr>
          <w:rFonts w:ascii="Times New Roman" w:hAnsi="Times New Roman" w:eastAsia="黑体" w:cs="Times New Roman"/>
          <w:sz w:val="32"/>
          <w:szCs w:val="32"/>
        </w:rPr>
        <w:t>三、项目实施及管理情况</w:t>
      </w:r>
    </w:p>
    <w:p w14:paraId="5F0463B9">
      <w:pPr>
        <w:adjustRightInd w:val="0"/>
        <w:snapToGrid w:val="0"/>
        <w:spacing w:line="600" w:lineRule="exact"/>
        <w:ind w:firstLine="720"/>
        <w:rPr>
          <w:lang w:val="zh-CN"/>
        </w:rPr>
      </w:pPr>
      <w:r>
        <w:rPr>
          <w:rFonts w:hint="eastAsia" w:ascii="Times New Roman" w:hAnsi="Times New Roman" w:eastAsia="仿宋_GB2312" w:cs="Times New Roman"/>
          <w:sz w:val="32"/>
          <w:szCs w:val="32"/>
          <w:lang w:val="zh-CN"/>
        </w:rPr>
        <w:t>结合项目组织实施管理办法，重点围绕以下内容进行分析评价，并对自评中发现的问题分析说明。</w:t>
      </w:r>
    </w:p>
    <w:p w14:paraId="69400B2A">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（一）项目组织架构及实施流程。</w:t>
      </w:r>
    </w:p>
    <w:p w14:paraId="329ADA12">
      <w:pPr>
        <w:adjustRightInd w:val="0"/>
        <w:snapToGrid w:val="0"/>
        <w:spacing w:line="600" w:lineRule="exact"/>
        <w:ind w:firstLine="720"/>
        <w:rPr>
          <w:rFonts w:hint="eastAsia" w:ascii="Times New Roman" w:hAnsi="Times New Roman" w:eastAsia="仿宋_GB2312" w:cs="Times New Roman"/>
          <w:sz w:val="32"/>
          <w:szCs w:val="32"/>
          <w:lang w:val="zh-CN"/>
        </w:rPr>
      </w:pPr>
      <w:r>
        <w:rPr>
          <w:rFonts w:ascii="Times New Roman" w:hAnsi="Times New Roman" w:eastAsia="楷体_GB2312" w:cs="Times New Roman"/>
          <w:b/>
          <w:sz w:val="32"/>
          <w:szCs w:val="32"/>
          <w:lang w:val="zh-CN"/>
        </w:rPr>
        <w:t>（二）项目管理情况。</w:t>
      </w:r>
      <w:r>
        <w:rPr>
          <w:rFonts w:hint="eastAsia" w:ascii="Times New Roman" w:hAnsi="Times New Roman" w:eastAsia="仿宋_GB2312" w:cs="Times New Roman"/>
          <w:sz w:val="32"/>
          <w:szCs w:val="32"/>
          <w:lang w:val="zh-CN"/>
        </w:rPr>
        <w:t>严格按照政府投资项目资金管理有关规定，管好、用好同德镇政府专职消防救援站装备采购项目资金。</w:t>
      </w:r>
    </w:p>
    <w:p w14:paraId="501E73F6">
      <w:pPr>
        <w:adjustRightInd w:val="0"/>
        <w:snapToGrid w:val="0"/>
        <w:spacing w:line="600" w:lineRule="exact"/>
        <w:ind w:firstLine="720"/>
        <w:rPr>
          <w:rFonts w:hint="eastAsia" w:ascii="Times New Roman" w:hAnsi="Times New Roman" w:eastAsia="仿宋_GB2312" w:cs="Times New Roman"/>
          <w:sz w:val="32"/>
          <w:szCs w:val="32"/>
          <w:lang w:val="zh-CN"/>
        </w:rPr>
      </w:pPr>
      <w:r>
        <w:rPr>
          <w:rFonts w:ascii="Times New Roman" w:hAnsi="Times New Roman" w:eastAsia="楷体_GB2312" w:cs="Times New Roman"/>
          <w:b/>
          <w:sz w:val="32"/>
          <w:szCs w:val="32"/>
          <w:lang w:val="zh-CN"/>
        </w:rPr>
        <w:t>（三）项目监管情况。</w:t>
      </w:r>
      <w:r>
        <w:rPr>
          <w:rFonts w:hint="eastAsia" w:ascii="Times New Roman" w:hAnsi="Times New Roman" w:eastAsia="仿宋_GB2312" w:cs="Times New Roman"/>
          <w:sz w:val="32"/>
          <w:szCs w:val="32"/>
          <w:lang w:val="zh-CN"/>
        </w:rPr>
        <w:t>按照政府投资项目进行公开招投标，按照合同约定进行装备验收入库。</w:t>
      </w:r>
    </w:p>
    <w:p w14:paraId="2DC3BAE8">
      <w:pPr>
        <w:adjustRightInd w:val="0"/>
        <w:snapToGrid w:val="0"/>
        <w:spacing w:line="600" w:lineRule="exact"/>
        <w:ind w:firstLine="720"/>
        <w:rPr>
          <w:rFonts w:ascii="Times New Roman" w:hAnsi="Times New Roman" w:eastAsia="黑体" w:cs="Times New Roman"/>
          <w:sz w:val="32"/>
          <w:szCs w:val="32"/>
          <w:lang w:val="zh-CN"/>
        </w:rPr>
      </w:pPr>
      <w:r>
        <w:rPr>
          <w:rFonts w:ascii="Times New Roman" w:hAnsi="Times New Roman" w:eastAsia="黑体" w:cs="Times New Roman"/>
          <w:sz w:val="32"/>
          <w:szCs w:val="32"/>
        </w:rPr>
        <w:t>四、项目绩效情况</w:t>
      </w:r>
      <w:r>
        <w:rPr>
          <w:rFonts w:ascii="Times New Roman" w:hAnsi="Times New Roman" w:eastAsia="黑体" w:cs="Times New Roman"/>
          <w:sz w:val="32"/>
          <w:szCs w:val="32"/>
          <w:lang w:val="zh-CN"/>
        </w:rPr>
        <w:tab/>
      </w:r>
    </w:p>
    <w:p w14:paraId="0BF27FC7">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（一）项目完成情况。</w:t>
      </w:r>
    </w:p>
    <w:p w14:paraId="0FB3573F">
      <w:pPr>
        <w:adjustRightInd w:val="0"/>
        <w:snapToGrid w:val="0"/>
        <w:spacing w:line="600" w:lineRule="exact"/>
        <w:ind w:firstLine="720"/>
        <w:rPr>
          <w:rFonts w:eastAsia="楷体_GB2312"/>
          <w:b/>
          <w:lang w:val="zh-CN"/>
        </w:rPr>
      </w:pPr>
      <w:r>
        <w:rPr>
          <w:rFonts w:hint="eastAsia" w:ascii="Times New Roman" w:hAnsi="Times New Roman" w:eastAsia="仿宋_GB2312" w:cs="Times New Roman"/>
          <w:sz w:val="32"/>
          <w:szCs w:val="32"/>
          <w:lang w:val="zh-CN"/>
        </w:rPr>
        <w:t>采购装备满足技术参数要求，经验收合格，接收入库。</w:t>
      </w:r>
    </w:p>
    <w:p w14:paraId="66864397">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（二）项目效益情况。</w:t>
      </w:r>
    </w:p>
    <w:p w14:paraId="3499C53B">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切实提高基层抗御火灾能力，有效遏制“小火亡人”事故，群众满意度达90%以上。</w:t>
      </w:r>
    </w:p>
    <w:p w14:paraId="61BE129C">
      <w:pPr>
        <w:adjustRightInd w:val="0"/>
        <w:snapToGrid w:val="0"/>
        <w:spacing w:line="600" w:lineRule="exact"/>
        <w:ind w:firstLine="720"/>
        <w:rPr>
          <w:rFonts w:ascii="Times New Roman" w:hAnsi="Times New Roman" w:eastAsia="黑体" w:cs="Times New Roman"/>
          <w:sz w:val="32"/>
          <w:szCs w:val="32"/>
        </w:rPr>
      </w:pPr>
      <w:r>
        <w:rPr>
          <w:rFonts w:ascii="Times New Roman" w:hAnsi="Times New Roman" w:eastAsia="黑体" w:cs="Times New Roman"/>
          <w:sz w:val="32"/>
          <w:szCs w:val="32"/>
        </w:rPr>
        <w:t>五、评价结论及建议</w:t>
      </w:r>
    </w:p>
    <w:p w14:paraId="74B6E715">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（一）评价结论。</w:t>
      </w:r>
    </w:p>
    <w:p w14:paraId="320B4531">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项目严格执行财务管理制度，相关业务科室全程参与，核算规范，账务清晰，达到了预期目标，对于加强安全应急能力，为我区高质量发展提供安全保障，具有重要意义。</w:t>
      </w:r>
    </w:p>
    <w:p w14:paraId="6523F63A">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（二）存在的问题。</w:t>
      </w:r>
    </w:p>
    <w:p w14:paraId="513845C9">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资金未按合同规定拨付。</w:t>
      </w:r>
    </w:p>
    <w:p w14:paraId="29515DA1">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（三）相关建议。</w:t>
      </w:r>
    </w:p>
    <w:p w14:paraId="4BA061B6">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加强工作对接，及时拨付资金。</w:t>
      </w:r>
    </w:p>
    <w:p w14:paraId="19216DFA">
      <w:pPr>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br w:type="page"/>
      </w:r>
    </w:p>
    <w:p w14:paraId="5B24326E">
      <w:pPr>
        <w:adjustRightInd w:val="0"/>
        <w:snapToGrid w:val="0"/>
        <w:spacing w:line="600" w:lineRule="exact"/>
        <w:ind w:firstLine="720"/>
        <w:rPr>
          <w:rFonts w:hint="eastAsia" w:ascii="Times New Roman" w:hAnsi="Times New Roman" w:eastAsia="仿宋_GB2312" w:cs="Times New Roman"/>
          <w:sz w:val="32"/>
          <w:szCs w:val="32"/>
          <w:lang w:val="zh-CN"/>
        </w:rPr>
      </w:pPr>
    </w:p>
    <w:p w14:paraId="19E4C761">
      <w:pPr>
        <w:pStyle w:val="38"/>
        <w:spacing w:line="600" w:lineRule="exact"/>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专项预算项目支出绩效自评报告</w:t>
      </w:r>
    </w:p>
    <w:p w14:paraId="234C913F">
      <w:pPr>
        <w:pStyle w:val="38"/>
        <w:spacing w:line="240" w:lineRule="auto"/>
        <w:ind w:firstLine="0"/>
        <w:jc w:val="center"/>
        <w:rPr>
          <w:rFonts w:ascii="Times New Roman" w:hAnsi="Times New Roman" w:eastAsia="仿宋_GB2312" w:cs="Times New Roman"/>
          <w:color w:val="auto"/>
          <w:w w:val="90"/>
          <w:kern w:val="2"/>
          <w:sz w:val="32"/>
          <w:szCs w:val="32"/>
        </w:rPr>
      </w:pPr>
      <w:r>
        <w:rPr>
          <w:rFonts w:ascii="Times New Roman" w:hAnsi="Times New Roman" w:eastAsia="仿宋_GB2312" w:cs="Times New Roman"/>
          <w:color w:val="auto"/>
          <w:w w:val="90"/>
          <w:kern w:val="2"/>
          <w:sz w:val="32"/>
          <w:szCs w:val="32"/>
        </w:rPr>
        <w:t>（</w:t>
      </w:r>
      <w:r>
        <w:rPr>
          <w:rFonts w:hint="eastAsia" w:ascii="Times New Roman" w:hAnsi="Times New Roman" w:eastAsia="仿宋_GB2312" w:cs="Times New Roman"/>
          <w:color w:val="auto"/>
          <w:w w:val="90"/>
          <w:kern w:val="2"/>
          <w:sz w:val="32"/>
          <w:szCs w:val="32"/>
        </w:rPr>
        <w:t>第一次全国自然灾害综合风险普查工作政府购买服务项目</w:t>
      </w:r>
      <w:r>
        <w:rPr>
          <w:rFonts w:ascii="Times New Roman" w:hAnsi="Times New Roman" w:eastAsia="仿宋_GB2312" w:cs="Times New Roman"/>
          <w:color w:val="auto"/>
          <w:w w:val="90"/>
          <w:kern w:val="2"/>
          <w:sz w:val="32"/>
          <w:szCs w:val="32"/>
        </w:rPr>
        <w:t>）</w:t>
      </w:r>
    </w:p>
    <w:p w14:paraId="1B470439">
      <w:pPr>
        <w:pStyle w:val="38"/>
        <w:spacing w:line="600" w:lineRule="exact"/>
        <w:ind w:firstLine="640"/>
        <w:jc w:val="center"/>
        <w:rPr>
          <w:rFonts w:ascii="Times New Roman" w:hAnsi="Times New Roman"/>
          <w:color w:val="auto"/>
          <w:kern w:val="2"/>
          <w:sz w:val="32"/>
          <w:szCs w:val="32"/>
        </w:rPr>
      </w:pPr>
    </w:p>
    <w:p w14:paraId="5DAFD5B6">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黑体" w:cs="Times New Roman"/>
          <w:sz w:val="32"/>
          <w:szCs w:val="32"/>
          <w:lang w:val="zh-CN"/>
        </w:rPr>
        <w:t>一、项目概况</w:t>
      </w:r>
    </w:p>
    <w:p w14:paraId="4E5CF3AD">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（一）项目基本情况。</w:t>
      </w:r>
    </w:p>
    <w:p w14:paraId="43119BFF">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2.通过实施自然灾害综合风险普查，摸清仁和区灾害风险隐患底数，查明重点区域抗灾能力，客观认识仁和区灾害综合风险水平，提高抗御灾害风险能力。群众满意度达90%以上。</w:t>
      </w:r>
    </w:p>
    <w:p w14:paraId="1B943390">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2.为深入贯彻落实习近平总书记在中央财经委员会第三次会议上关于提高自然灾害防治能力的重要讲话精神，按照国务院办公厅《关于开展第一次全国自然灾害综合风险普查的通知》要求，在全国范围内开展第一次自然灾害综合风险普查工作。按照《第一次全国自然灾害综合风险普查总体方案》《第一次全国自然灾害综合风险普查总体实施方案》《四川省第一次全国自然灾害综合风险普查领导小组办公室关于印发</w:t>
      </w:r>
      <w:r>
        <w:rPr>
          <w:rFonts w:hint="eastAsia" w:eastAsia="仿宋_GB2312" w:cs="Times New Roman"/>
          <w:sz w:val="32"/>
          <w:szCs w:val="32"/>
          <w:lang w:val="zh-CN"/>
        </w:rPr>
        <w:t>〈</w:t>
      </w:r>
      <w:r>
        <w:rPr>
          <w:rFonts w:hint="eastAsia" w:ascii="Times New Roman" w:hAnsi="Times New Roman" w:eastAsia="仿宋_GB2312" w:cs="Times New Roman"/>
          <w:sz w:val="32"/>
          <w:szCs w:val="32"/>
          <w:lang w:val="zh-CN"/>
        </w:rPr>
        <w:t>四川省第一次全国自然灾害综合风险普查实施方案（修订版）</w:t>
      </w:r>
      <w:r>
        <w:rPr>
          <w:rFonts w:hint="eastAsia" w:eastAsia="仿宋_GB2312" w:cs="Times New Roman"/>
          <w:sz w:val="32"/>
          <w:szCs w:val="32"/>
          <w:lang w:val="zh-CN"/>
        </w:rPr>
        <w:t>〉</w:t>
      </w:r>
      <w:r>
        <w:rPr>
          <w:rFonts w:hint="eastAsia" w:ascii="Times New Roman" w:hAnsi="Times New Roman" w:eastAsia="仿宋_GB2312" w:cs="Times New Roman"/>
          <w:sz w:val="32"/>
          <w:szCs w:val="32"/>
          <w:lang w:val="zh-CN"/>
        </w:rPr>
        <w:t>的通知》</w:t>
      </w:r>
      <w:r>
        <w:rPr>
          <w:rFonts w:hint="eastAsia" w:eastAsia="仿宋_GB2312" w:cs="Times New Roman"/>
          <w:sz w:val="32"/>
          <w:szCs w:val="32"/>
          <w:lang w:val="zh-CN"/>
        </w:rPr>
        <w:t>，</w:t>
      </w:r>
      <w:r>
        <w:rPr>
          <w:rFonts w:hint="eastAsia" w:ascii="Times New Roman" w:hAnsi="Times New Roman" w:eastAsia="仿宋_GB2312" w:cs="Times New Roman"/>
          <w:sz w:val="32"/>
          <w:szCs w:val="32"/>
          <w:lang w:val="zh-CN"/>
        </w:rPr>
        <w:t>在攀枝花市仁和区开展第一次全国自然灾害综合风险普查工作。通过开展攀枝花市仁和区第一次全国自然灾害综合风险普查，持续做好常态灾害风险调查和隐患调查业务，摸清仁和区灾害风险隐患底数，查明重点区域抗灾能力，客观认识仁和区灾害综合风险水平，为国家、四川省、攀枝花市及仁和区有效开展自然灾害防治和应急管理工作、切实保障社会经济可持续发展提供权威的灾害风险信息和科学决策依据。</w:t>
      </w:r>
    </w:p>
    <w:p w14:paraId="7A061B09">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eastAsia="仿宋_GB2312" w:cs="Times New Roman"/>
          <w:sz w:val="32"/>
          <w:szCs w:val="32"/>
          <w:lang w:val="zh-CN"/>
        </w:rPr>
        <w:t>3.</w:t>
      </w:r>
      <w:r>
        <w:rPr>
          <w:rFonts w:hint="eastAsia" w:ascii="Times New Roman" w:hAnsi="Times New Roman" w:eastAsia="仿宋_GB2312" w:cs="Times New Roman"/>
          <w:sz w:val="32"/>
          <w:szCs w:val="32"/>
          <w:lang w:val="zh-CN"/>
        </w:rPr>
        <w:t>资金管理办法制定情况，资金支持具体项目的条件、范围与支持方式概况。</w:t>
      </w:r>
    </w:p>
    <w:p w14:paraId="234F8E27">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4.项目实施总价109.2万元，2025年预算支付80万元结清采购合同金额。</w:t>
      </w:r>
    </w:p>
    <w:p w14:paraId="605EBD0B">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（二）项目绩效目标。</w:t>
      </w:r>
    </w:p>
    <w:p w14:paraId="3B0D46CA">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1.项目主要内容。摸清仁和区灾害风险隐患底数，查明重点区域抗灾能力，客观认识仁和区灾害综合风险水平，为国家、四川省、攀枝花市及仁和区有效开展自然灾害防治和应急管理工作、切实保障社会经济可持续发展提供权威的灾害风险信息和科学决策依据。</w:t>
      </w:r>
    </w:p>
    <w:p w14:paraId="0AC83698">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2.摸清仁和区灾害风险隐患底数，查明重点区域抗灾能力，客观认识仁和区灾害综合风险水平，提供普查成果报告。</w:t>
      </w:r>
    </w:p>
    <w:p w14:paraId="43C668B8">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3.通过项目绩效自评，实现资金使用规范，效率高效，效果显著。</w:t>
      </w:r>
    </w:p>
    <w:p w14:paraId="1A0D96B8">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（三）项目自评步骤及方法。</w:t>
      </w:r>
    </w:p>
    <w:p w14:paraId="7C62785C">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根据项目情况和评价重点，评价采用单位自评法、实地勘察法、座谈调研法等方法进行。</w:t>
      </w:r>
    </w:p>
    <w:p w14:paraId="11F645DC">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黑体" w:cs="Times New Roman"/>
          <w:sz w:val="32"/>
          <w:szCs w:val="32"/>
          <w:lang w:val="zh-CN"/>
        </w:rPr>
        <w:t>二、项目资金申报及使用情况</w:t>
      </w:r>
    </w:p>
    <w:p w14:paraId="1C1B3822">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（一）项目资金申报及批复情况。</w:t>
      </w:r>
    </w:p>
    <w:p w14:paraId="1E56356D">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项目实施总价109.2万元，2025年预算支付80万元结清采购合同金额。</w:t>
      </w:r>
    </w:p>
    <w:p w14:paraId="1E7D66C5">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（二）资金计划、到位及使用情况（可用表格形式反映）。</w:t>
      </w:r>
    </w:p>
    <w:p w14:paraId="340B2CC5">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eastAsia="仿宋_GB2312" w:cs="Times New Roman"/>
          <w:sz w:val="32"/>
          <w:szCs w:val="32"/>
          <w:lang w:val="zh-CN"/>
        </w:rPr>
        <w:t>1.</w:t>
      </w:r>
      <w:r>
        <w:rPr>
          <w:rFonts w:hint="eastAsia" w:ascii="Times New Roman" w:hAnsi="Times New Roman" w:eastAsia="仿宋_GB2312" w:cs="Times New Roman"/>
          <w:sz w:val="32"/>
          <w:szCs w:val="32"/>
          <w:lang w:val="zh-CN"/>
        </w:rPr>
        <w:t>资金计划。采购合同金额109.2万元，2025年预算支付80万元结清采购合同金额。</w:t>
      </w:r>
    </w:p>
    <w:p w14:paraId="5DDB77F9">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eastAsia="仿宋_GB2312" w:cs="Times New Roman"/>
          <w:sz w:val="32"/>
          <w:szCs w:val="32"/>
          <w:lang w:val="zh-CN"/>
        </w:rPr>
        <w:t>2.</w:t>
      </w:r>
      <w:r>
        <w:rPr>
          <w:rFonts w:hint="eastAsia" w:ascii="Times New Roman" w:hAnsi="Times New Roman" w:eastAsia="仿宋_GB2312" w:cs="Times New Roman"/>
          <w:sz w:val="32"/>
          <w:szCs w:val="32"/>
          <w:lang w:val="zh-CN"/>
        </w:rPr>
        <w:t>资金到位。拨付资金80万元结清采购合同金额。</w:t>
      </w:r>
    </w:p>
    <w:p w14:paraId="15E54230">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eastAsia="仿宋_GB2312" w:cs="Times New Roman"/>
          <w:sz w:val="32"/>
          <w:szCs w:val="32"/>
          <w:lang w:val="zh-CN"/>
        </w:rPr>
        <w:t>3.</w:t>
      </w:r>
      <w:r>
        <w:rPr>
          <w:rFonts w:hint="eastAsia" w:ascii="Times New Roman" w:hAnsi="Times New Roman" w:eastAsia="仿宋_GB2312" w:cs="Times New Roman"/>
          <w:sz w:val="32"/>
          <w:szCs w:val="32"/>
          <w:lang w:val="zh-CN"/>
        </w:rPr>
        <w:t>资金使用。80万元全部用于仁和区第一次全国自然灾害综合风险普查有关工作。通过项目绩效自评，实现资金使用规范，效率高效，效果显著。</w:t>
      </w:r>
    </w:p>
    <w:p w14:paraId="74B57F2E">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（三）项目财务管理情况。</w:t>
      </w:r>
    </w:p>
    <w:p w14:paraId="112BE435">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区应急管理局财务管理制度健全，严格执行财务管理制度，账务处理及时，会计核算规范等。</w:t>
      </w:r>
    </w:p>
    <w:p w14:paraId="2710C393">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黑体" w:cs="Times New Roman"/>
          <w:sz w:val="32"/>
          <w:szCs w:val="32"/>
          <w:lang w:val="zh-CN"/>
        </w:rPr>
        <w:t>三、项目实施及管理情况</w:t>
      </w:r>
    </w:p>
    <w:p w14:paraId="23266068">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（一）项目组织架构及实施流程。项目严格执行财务管理制度，相关业务科室全程参与，核算规范，账务清晰</w:t>
      </w:r>
    </w:p>
    <w:p w14:paraId="378F4B49">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（二）项目管理情况。区财政按预算数划拨。</w:t>
      </w:r>
    </w:p>
    <w:p w14:paraId="02659CE6">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（三）项目监管情况。项目严格执行财务管理制度，相关业务科室全程参与，核算规范，账务清晰，达到了预期目标。</w:t>
      </w:r>
    </w:p>
    <w:p w14:paraId="25B30561">
      <w:pPr>
        <w:adjustRightInd w:val="0"/>
        <w:snapToGrid w:val="0"/>
        <w:spacing w:line="600" w:lineRule="exact"/>
        <w:ind w:firstLine="720"/>
        <w:rPr>
          <w:rFonts w:hint="eastAsia" w:ascii="Times New Roman" w:hAnsi="Times New Roman" w:eastAsia="黑体" w:cs="Times New Roman"/>
          <w:sz w:val="32"/>
          <w:szCs w:val="32"/>
          <w:lang w:val="zh-CN"/>
        </w:rPr>
      </w:pPr>
      <w:r>
        <w:rPr>
          <w:rFonts w:hint="eastAsia" w:ascii="Times New Roman" w:hAnsi="Times New Roman" w:eastAsia="黑体" w:cs="Times New Roman"/>
          <w:sz w:val="32"/>
          <w:szCs w:val="32"/>
          <w:lang w:val="zh-CN"/>
        </w:rPr>
        <w:t>四、项目绩效情况</w:t>
      </w:r>
      <w:r>
        <w:rPr>
          <w:rFonts w:hint="eastAsia" w:ascii="Times New Roman" w:hAnsi="Times New Roman" w:eastAsia="黑体" w:cs="Times New Roman"/>
          <w:sz w:val="32"/>
          <w:szCs w:val="32"/>
          <w:lang w:val="zh-CN"/>
        </w:rPr>
        <w:tab/>
      </w:r>
    </w:p>
    <w:p w14:paraId="4CDA46E9">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（一）项目完成情况。</w:t>
      </w:r>
    </w:p>
    <w:p w14:paraId="292E237A">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项目严格执行财务管理制度，相关业务科室全程参与，核算规范，账务清晰，达到了预期目标，对于加强安全应急能力，为我区高质量发展提供安全保障，具有重要意义。</w:t>
      </w:r>
    </w:p>
    <w:p w14:paraId="38B39010">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（二）项目效益情况。</w:t>
      </w:r>
    </w:p>
    <w:p w14:paraId="4164A4B4">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通过实施自然灾害综合风险普查，摸清仁和区灾害风险隐患底数，查明重点区域抗灾能力，客观认识仁和区灾害综合风险水平，提高抗御灾害风险能力。群众满意度达90%以上。</w:t>
      </w:r>
    </w:p>
    <w:p w14:paraId="4FD7D44B">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黑体" w:cs="Times New Roman"/>
          <w:sz w:val="32"/>
          <w:szCs w:val="32"/>
          <w:lang w:val="zh-CN"/>
        </w:rPr>
        <w:t>五、评价结论及建议</w:t>
      </w:r>
    </w:p>
    <w:p w14:paraId="3515298C">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（一）评价结论。</w:t>
      </w:r>
    </w:p>
    <w:p w14:paraId="4B453A09">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项目严格执行财务管理制度，核算规范，账务清晰，达到了预期目标。</w:t>
      </w:r>
    </w:p>
    <w:p w14:paraId="077D04F4">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（二）存在的问题。</w:t>
      </w:r>
    </w:p>
    <w:p w14:paraId="330B112C">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无</w:t>
      </w:r>
    </w:p>
    <w:p w14:paraId="234A755A">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（三）相关建议。</w:t>
      </w:r>
    </w:p>
    <w:p w14:paraId="34729E58">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无</w:t>
      </w:r>
    </w:p>
    <w:p w14:paraId="311F214D">
      <w:pPr>
        <w:adjustRightInd w:val="0"/>
        <w:snapToGrid w:val="0"/>
        <w:spacing w:line="600" w:lineRule="exact"/>
        <w:ind w:firstLine="720"/>
        <w:rPr>
          <w:rFonts w:hint="eastAsia" w:ascii="Times New Roman" w:hAnsi="Times New Roman" w:eastAsia="仿宋_GB2312" w:cs="Times New Roman"/>
          <w:sz w:val="32"/>
          <w:szCs w:val="32"/>
          <w:lang w:val="zh-CN"/>
        </w:rPr>
      </w:pPr>
    </w:p>
    <w:p w14:paraId="5DD11C72">
      <w:pPr>
        <w:adjustRightInd w:val="0"/>
        <w:snapToGrid w:val="0"/>
        <w:spacing w:line="600" w:lineRule="exact"/>
        <w:ind w:firstLine="720"/>
        <w:rPr>
          <w:rFonts w:hint="eastAsia" w:ascii="Times New Roman" w:hAnsi="Times New Roman" w:eastAsia="仿宋_GB2312" w:cs="Times New Roman"/>
          <w:sz w:val="32"/>
          <w:szCs w:val="32"/>
          <w:lang w:val="en-US" w:eastAsia="zh-CN"/>
        </w:rPr>
      </w:pPr>
    </w:p>
    <w:p w14:paraId="4E6FC622">
      <w:pPr>
        <w:adjustRightInd w:val="0"/>
        <w:snapToGrid w:val="0"/>
        <w:spacing w:line="600" w:lineRule="exact"/>
        <w:ind w:firstLine="720"/>
        <w:rPr>
          <w:rFonts w:hint="eastAsia" w:ascii="Times New Roman" w:hAnsi="Times New Roman" w:eastAsia="仿宋_GB2312" w:cs="Times New Roman"/>
          <w:sz w:val="32"/>
          <w:szCs w:val="32"/>
          <w:lang w:val="en-US" w:eastAsia="zh-CN"/>
        </w:rPr>
      </w:pPr>
    </w:p>
    <w:p w14:paraId="4BD5A0B9">
      <w:pPr>
        <w:adjustRightInd w:val="0"/>
        <w:snapToGrid w:val="0"/>
        <w:spacing w:line="600" w:lineRule="exact"/>
        <w:ind w:firstLine="720"/>
        <w:rPr>
          <w:rFonts w:hint="eastAsia" w:ascii="Times New Roman" w:hAnsi="Times New Roman" w:eastAsia="仿宋_GB2312" w:cs="Times New Roman"/>
          <w:sz w:val="32"/>
          <w:szCs w:val="32"/>
          <w:lang w:val="en-US" w:eastAsia="zh-CN"/>
        </w:rPr>
      </w:pPr>
    </w:p>
    <w:p w14:paraId="59EE22C9">
      <w:pPr>
        <w:adjustRightInd w:val="0"/>
        <w:snapToGrid w:val="0"/>
        <w:spacing w:line="600" w:lineRule="exact"/>
        <w:ind w:firstLine="720"/>
        <w:rPr>
          <w:rFonts w:hint="eastAsia" w:ascii="Times New Roman" w:hAnsi="Times New Roman" w:eastAsia="仿宋_GB2312" w:cs="Times New Roman"/>
          <w:sz w:val="32"/>
          <w:szCs w:val="32"/>
          <w:lang w:val="en-US" w:eastAsia="zh-CN"/>
        </w:rPr>
      </w:pPr>
    </w:p>
    <w:p w14:paraId="3EB5CF60">
      <w:pPr>
        <w:pStyle w:val="13"/>
        <w:rPr>
          <w:rFonts w:hint="eastAsia" w:ascii="Times New Roman" w:hAnsi="Times New Roman" w:eastAsia="仿宋_GB2312" w:cs="Times New Roman"/>
          <w:sz w:val="32"/>
          <w:szCs w:val="32"/>
          <w:lang w:val="en-US" w:eastAsia="zh-CN"/>
        </w:rPr>
      </w:pPr>
    </w:p>
    <w:p w14:paraId="03E95461">
      <w:pPr>
        <w:pStyle w:val="7"/>
        <w:rPr>
          <w:rFonts w:hint="eastAsia" w:ascii="Times New Roman" w:hAnsi="Times New Roman" w:eastAsia="仿宋_GB2312" w:cs="Times New Roman"/>
          <w:sz w:val="32"/>
          <w:szCs w:val="32"/>
          <w:lang w:val="en-US" w:eastAsia="zh-CN"/>
        </w:rPr>
      </w:pPr>
    </w:p>
    <w:p w14:paraId="47A099E2">
      <w:pPr>
        <w:rPr>
          <w:rFonts w:hint="eastAsia" w:ascii="Times New Roman" w:hAnsi="Times New Roman" w:eastAsia="仿宋_GB2312" w:cs="Times New Roman"/>
          <w:sz w:val="32"/>
          <w:szCs w:val="32"/>
          <w:lang w:val="en-US" w:eastAsia="zh-CN"/>
        </w:rPr>
      </w:pPr>
    </w:p>
    <w:p w14:paraId="47CFD5CA">
      <w:pPr>
        <w:pStyle w:val="13"/>
        <w:rPr>
          <w:rFonts w:hint="eastAsia" w:ascii="Times New Roman" w:hAnsi="Times New Roman" w:eastAsia="仿宋_GB2312" w:cs="Times New Roman"/>
          <w:sz w:val="32"/>
          <w:szCs w:val="32"/>
          <w:lang w:val="en-US" w:eastAsia="zh-CN"/>
        </w:rPr>
      </w:pPr>
    </w:p>
    <w:p w14:paraId="7BE48662">
      <w:pPr>
        <w:rPr>
          <w:rFonts w:hint="eastAsia"/>
          <w:lang w:val="en-US" w:eastAsia="zh-CN"/>
        </w:rPr>
      </w:pPr>
      <w:r>
        <w:rPr>
          <w:rFonts w:hint="eastAsia"/>
          <w:lang w:val="en-US" w:eastAsia="zh-CN"/>
        </w:rPr>
        <w:br w:type="page"/>
      </w:r>
    </w:p>
    <w:p w14:paraId="57B26014">
      <w:pPr>
        <w:rPr>
          <w:rFonts w:hint="eastAsia"/>
          <w:lang w:val="en-US" w:eastAsia="zh-CN"/>
        </w:rPr>
      </w:pPr>
    </w:p>
    <w:p w14:paraId="65BC36FF">
      <w:pPr>
        <w:rPr>
          <w:rFonts w:hint="eastAsia"/>
          <w:lang w:val="en-US" w:eastAsia="zh-CN"/>
        </w:rPr>
      </w:pPr>
    </w:p>
    <w:p w14:paraId="7D7A5D77">
      <w:pPr>
        <w:pStyle w:val="38"/>
        <w:spacing w:line="600" w:lineRule="exact"/>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专项预算项目支出绩效自评报告范本</w:t>
      </w:r>
    </w:p>
    <w:p w14:paraId="6002CB15">
      <w:pPr>
        <w:pStyle w:val="38"/>
        <w:spacing w:line="240" w:lineRule="auto"/>
        <w:ind w:firstLine="0"/>
        <w:jc w:val="center"/>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方正小标宋简体" w:hAnsi="方正小标宋简体" w:eastAsia="方正小标宋简体" w:cs="方正小标宋简体"/>
          <w:color w:val="auto"/>
          <w:w w:val="90"/>
          <w:kern w:val="2"/>
          <w:sz w:val="32"/>
          <w:szCs w:val="32"/>
          <w:lang w:val="en-US"/>
        </w:rPr>
        <w:t>攀枝花市区域应急救援能力提升项目第二期</w:t>
      </w:r>
      <w:r>
        <w:rPr>
          <w:rFonts w:ascii="Times New Roman" w:hAnsi="Times New Roman" w:eastAsia="仿宋_GB2312"/>
          <w:color w:val="auto"/>
          <w:kern w:val="2"/>
          <w:sz w:val="32"/>
          <w:szCs w:val="32"/>
        </w:rPr>
        <w:t>）</w:t>
      </w:r>
    </w:p>
    <w:p w14:paraId="358D466C">
      <w:pPr>
        <w:pStyle w:val="38"/>
        <w:spacing w:line="600" w:lineRule="exact"/>
        <w:ind w:firstLine="640"/>
        <w:jc w:val="center"/>
        <w:rPr>
          <w:rFonts w:ascii="Times New Roman" w:hAnsi="Times New Roman"/>
          <w:color w:val="auto"/>
          <w:kern w:val="2"/>
          <w:sz w:val="32"/>
          <w:szCs w:val="32"/>
        </w:rPr>
      </w:pPr>
    </w:p>
    <w:p w14:paraId="091F239C">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黑体" w:cs="Times New Roman"/>
          <w:sz w:val="32"/>
          <w:szCs w:val="32"/>
          <w:lang w:val="zh-CN"/>
        </w:rPr>
        <w:t>一、项目概况</w:t>
      </w:r>
    </w:p>
    <w:p w14:paraId="2BC1188E">
      <w:pPr>
        <w:adjustRightInd w:val="0"/>
        <w:snapToGrid w:val="0"/>
        <w:spacing w:line="600" w:lineRule="exact"/>
        <w:ind w:firstLine="720"/>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（一）项目基本情况。</w:t>
      </w:r>
    </w:p>
    <w:p w14:paraId="1E506403">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1.争取省级资金200万元，仁和区本级配套资金200万元，用于仁和区消防救援大队装备建设。</w:t>
      </w:r>
    </w:p>
    <w:p w14:paraId="44B53340">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2.为全面贯彻党的二十大精神和习近平总书记关于应急管理的重要论述，认真落实</w:t>
      </w:r>
      <w:r>
        <w:rPr>
          <w:rFonts w:hint="eastAsia" w:eastAsia="仿宋_GB2312" w:cs="Times New Roman"/>
          <w:sz w:val="32"/>
          <w:szCs w:val="32"/>
          <w:lang w:val="zh-CN"/>
        </w:rPr>
        <w:t>市委、市政府</w:t>
      </w:r>
      <w:r>
        <w:rPr>
          <w:rFonts w:hint="eastAsia" w:ascii="Times New Roman" w:hAnsi="Times New Roman" w:eastAsia="仿宋_GB2312" w:cs="Times New Roman"/>
          <w:sz w:val="32"/>
          <w:szCs w:val="32"/>
          <w:lang w:val="zh-CN"/>
        </w:rPr>
        <w:t>决策部署，坚持高质量发展建设共同富裕试验区和高水平安全良性互动，统筹推进安全生产、防灾减灾救灾、应急救援能力建设，配齐配强应急救援装备，进一步完善区域应急救援基地功能，补齐专业队伍救援能力短板，系统提升区域应急救援能力。</w:t>
      </w:r>
    </w:p>
    <w:p w14:paraId="11388EEE">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3.落实</w:t>
      </w:r>
      <w:r>
        <w:rPr>
          <w:rFonts w:hint="eastAsia" w:eastAsia="仿宋_GB2312" w:cs="Times New Roman"/>
          <w:sz w:val="32"/>
          <w:szCs w:val="32"/>
          <w:lang w:val="zh-CN"/>
        </w:rPr>
        <w:t>市委、市政府</w:t>
      </w:r>
      <w:r>
        <w:rPr>
          <w:rFonts w:hint="eastAsia" w:ascii="Times New Roman" w:hAnsi="Times New Roman" w:eastAsia="仿宋_GB2312" w:cs="Times New Roman"/>
          <w:sz w:val="32"/>
          <w:szCs w:val="32"/>
          <w:lang w:val="zh-CN"/>
        </w:rPr>
        <w:t>决策部署，坚持高质量发展建设共同富裕试验区和高水平安全良性互动，统筹推进安全生产、防灾减灾救灾、应急救援能力建设，配齐配强应急救援装备，进一步完善区域应急救援基地功能，补齐专业队伍救援能力短板，系统提升区域应急救援能力。</w:t>
      </w:r>
    </w:p>
    <w:p w14:paraId="11C54FDD">
      <w:pPr>
        <w:adjustRightInd w:val="0"/>
        <w:snapToGrid w:val="0"/>
        <w:spacing w:line="600" w:lineRule="exact"/>
        <w:ind w:firstLine="72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zh-CN"/>
        </w:rPr>
        <w:t>4.年初预算数0万元，调整后预算数200万元，</w:t>
      </w:r>
      <w:r>
        <w:rPr>
          <w:rFonts w:hint="eastAsia" w:ascii="Times New Roman" w:hAnsi="Times New Roman" w:eastAsia="仿宋_GB2312" w:cs="Times New Roman"/>
          <w:sz w:val="32"/>
          <w:szCs w:val="32"/>
          <w:lang w:val="en-US" w:eastAsia="zh-CN"/>
        </w:rPr>
        <w:t>实际使用195万元，已经支付30万元。</w:t>
      </w:r>
    </w:p>
    <w:p w14:paraId="50D97D74">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楷体_GB2312" w:cs="Times New Roman"/>
          <w:b/>
          <w:color w:val="auto"/>
          <w:sz w:val="32"/>
          <w:szCs w:val="32"/>
          <w:highlight w:val="none"/>
          <w:u w:val="none"/>
          <w:lang w:val="zh-CN"/>
        </w:rPr>
        <w:t>（二）项目绩效目标</w:t>
      </w:r>
      <w:r>
        <w:rPr>
          <w:rFonts w:hint="eastAsia" w:ascii="Times New Roman" w:hAnsi="Times New Roman" w:eastAsia="仿宋_GB2312" w:cs="Times New Roman"/>
          <w:sz w:val="32"/>
          <w:szCs w:val="32"/>
          <w:lang w:val="zh-CN"/>
        </w:rPr>
        <w:t>。</w:t>
      </w:r>
    </w:p>
    <w:p w14:paraId="5774C5AF">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1.项目主要内容。通过区域应急救援能力提升项目实施，全市应急救援设施设备装备水平明显提升，应急救援短板基本补齐，应急救援的针对性和实效性明显增强，指挥协调、救援处置、风险防范能力显著提升，重大安全风险得到有效管控。</w:t>
      </w:r>
    </w:p>
    <w:p w14:paraId="2B19B402">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2.应急救援的针对性和实效性明显增强，指挥协调、救援处置、风险防范能力显著提升，重大安全风险得到有效管控。</w:t>
      </w:r>
    </w:p>
    <w:p w14:paraId="04AFD8E2">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3.申报内容与实际相符，申报目标合理可行。</w:t>
      </w:r>
    </w:p>
    <w:p w14:paraId="5C23E2D4">
      <w:pPr>
        <w:adjustRightInd w:val="0"/>
        <w:snapToGrid w:val="0"/>
        <w:spacing w:line="600" w:lineRule="exact"/>
        <w:ind w:firstLine="720"/>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（三）项目自评步骤及方法。</w:t>
      </w:r>
    </w:p>
    <w:p w14:paraId="2066F47A">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根据项目情况和评价重点，评价采用单位自评法、实地勘察法、座谈调研法等方法进行。</w:t>
      </w:r>
    </w:p>
    <w:p w14:paraId="1067B221">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黑体" w:cs="Times New Roman"/>
          <w:sz w:val="32"/>
          <w:szCs w:val="32"/>
          <w:lang w:val="zh-CN"/>
        </w:rPr>
        <w:t>二、项目资金申报及使用情况</w:t>
      </w:r>
    </w:p>
    <w:p w14:paraId="3F20B75F">
      <w:pPr>
        <w:adjustRightInd w:val="0"/>
        <w:snapToGrid w:val="0"/>
        <w:spacing w:line="600" w:lineRule="exact"/>
        <w:ind w:firstLine="720"/>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（一）项目资金申报及批复情况。</w:t>
      </w:r>
    </w:p>
    <w:p w14:paraId="4ED2A3AB">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项目年初预算0万元，调整后预算数200万元。实际中标合同价</w:t>
      </w:r>
      <w:r>
        <w:rPr>
          <w:rFonts w:hint="eastAsia" w:ascii="Times New Roman" w:hAnsi="Times New Roman" w:eastAsia="仿宋_GB2312" w:cs="Times New Roman"/>
          <w:sz w:val="32"/>
          <w:szCs w:val="32"/>
          <w:lang w:val="en-US" w:eastAsia="zh-CN"/>
        </w:rPr>
        <w:t>195</w:t>
      </w:r>
      <w:r>
        <w:rPr>
          <w:rFonts w:hint="eastAsia" w:ascii="Times New Roman" w:hAnsi="Times New Roman" w:eastAsia="仿宋_GB2312" w:cs="Times New Roman"/>
          <w:sz w:val="32"/>
          <w:szCs w:val="32"/>
          <w:lang w:val="zh-CN"/>
        </w:rPr>
        <w:t>万元，拨付</w:t>
      </w:r>
      <w:r>
        <w:rPr>
          <w:rFonts w:hint="eastAsia" w:ascii="Times New Roman" w:hAnsi="Times New Roman" w:eastAsia="仿宋_GB2312" w:cs="Times New Roman"/>
          <w:sz w:val="32"/>
          <w:szCs w:val="32"/>
          <w:lang w:val="en-US" w:eastAsia="zh-CN"/>
        </w:rPr>
        <w:t>30</w:t>
      </w:r>
      <w:r>
        <w:rPr>
          <w:rFonts w:hint="eastAsia" w:ascii="Times New Roman" w:hAnsi="Times New Roman" w:eastAsia="仿宋_GB2312" w:cs="Times New Roman"/>
          <w:sz w:val="32"/>
          <w:szCs w:val="32"/>
          <w:lang w:val="zh-CN"/>
        </w:rPr>
        <w:t>万元。</w:t>
      </w:r>
    </w:p>
    <w:p w14:paraId="1D053C2E">
      <w:pPr>
        <w:adjustRightInd w:val="0"/>
        <w:snapToGrid w:val="0"/>
        <w:spacing w:line="600" w:lineRule="exact"/>
        <w:ind w:firstLine="720"/>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（二）资金计划、到位及使用情况（可用表格形式反映）。</w:t>
      </w:r>
    </w:p>
    <w:p w14:paraId="792808A3">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eastAsia="仿宋_GB2312" w:cs="Times New Roman"/>
          <w:sz w:val="32"/>
          <w:szCs w:val="32"/>
          <w:lang w:val="zh-CN"/>
        </w:rPr>
        <w:t>1.</w:t>
      </w:r>
      <w:r>
        <w:rPr>
          <w:rFonts w:hint="eastAsia" w:ascii="Times New Roman" w:hAnsi="Times New Roman" w:eastAsia="仿宋_GB2312" w:cs="Times New Roman"/>
          <w:sz w:val="32"/>
          <w:szCs w:val="32"/>
          <w:lang w:val="zh-CN"/>
        </w:rPr>
        <w:t>资金计划。年初预算0万元，调整后预算数200万元。</w:t>
      </w:r>
    </w:p>
    <w:p w14:paraId="79D84FB1">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eastAsia="仿宋_GB2312" w:cs="Times New Roman"/>
          <w:sz w:val="32"/>
          <w:szCs w:val="32"/>
          <w:lang w:val="zh-CN"/>
        </w:rPr>
        <w:t>2.</w:t>
      </w:r>
      <w:r>
        <w:rPr>
          <w:rFonts w:hint="eastAsia" w:ascii="Times New Roman" w:hAnsi="Times New Roman" w:eastAsia="仿宋_GB2312" w:cs="Times New Roman"/>
          <w:sz w:val="32"/>
          <w:szCs w:val="32"/>
          <w:lang w:val="zh-CN"/>
        </w:rPr>
        <w:t>资金到位。2025年有区本级资金拨付</w:t>
      </w:r>
      <w:r>
        <w:rPr>
          <w:rFonts w:hint="eastAsia" w:ascii="Times New Roman" w:hAnsi="Times New Roman" w:eastAsia="仿宋_GB2312" w:cs="Times New Roman"/>
          <w:sz w:val="32"/>
          <w:szCs w:val="32"/>
          <w:lang w:val="en-US" w:eastAsia="zh-CN"/>
        </w:rPr>
        <w:t>30</w:t>
      </w:r>
      <w:r>
        <w:rPr>
          <w:rFonts w:hint="eastAsia" w:ascii="Times New Roman" w:hAnsi="Times New Roman" w:eastAsia="仿宋_GB2312" w:cs="Times New Roman"/>
          <w:sz w:val="32"/>
          <w:szCs w:val="32"/>
          <w:lang w:val="zh-CN"/>
        </w:rPr>
        <w:t>万元。</w:t>
      </w:r>
    </w:p>
    <w:p w14:paraId="584A9B1C">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eastAsia="仿宋_GB2312" w:cs="Times New Roman"/>
          <w:sz w:val="32"/>
          <w:szCs w:val="32"/>
          <w:lang w:val="zh-CN"/>
        </w:rPr>
        <w:t>3.</w:t>
      </w:r>
      <w:r>
        <w:rPr>
          <w:rFonts w:hint="eastAsia" w:ascii="Times New Roman" w:hAnsi="Times New Roman" w:eastAsia="仿宋_GB2312" w:cs="Times New Roman"/>
          <w:sz w:val="32"/>
          <w:szCs w:val="32"/>
          <w:lang w:val="zh-CN"/>
        </w:rPr>
        <w:t>资金使用。按照采购中标合同价应拨付</w:t>
      </w:r>
      <w:r>
        <w:rPr>
          <w:rFonts w:hint="eastAsia" w:ascii="Times New Roman" w:hAnsi="Times New Roman" w:eastAsia="仿宋_GB2312" w:cs="Times New Roman"/>
          <w:sz w:val="32"/>
          <w:szCs w:val="32"/>
          <w:lang w:val="en-US" w:eastAsia="zh-CN"/>
        </w:rPr>
        <w:t>195</w:t>
      </w:r>
      <w:r>
        <w:rPr>
          <w:rFonts w:hint="eastAsia" w:ascii="Times New Roman" w:hAnsi="Times New Roman" w:eastAsia="仿宋_GB2312" w:cs="Times New Roman"/>
          <w:sz w:val="32"/>
          <w:szCs w:val="32"/>
          <w:lang w:val="zh-CN"/>
        </w:rPr>
        <w:t>万元，实际支付</w:t>
      </w:r>
      <w:r>
        <w:rPr>
          <w:rFonts w:hint="eastAsia" w:ascii="Times New Roman" w:hAnsi="Times New Roman" w:eastAsia="仿宋_GB2312" w:cs="Times New Roman"/>
          <w:sz w:val="32"/>
          <w:szCs w:val="32"/>
          <w:lang w:val="en-US" w:eastAsia="zh-CN"/>
        </w:rPr>
        <w:t>30</w:t>
      </w:r>
      <w:r>
        <w:rPr>
          <w:rFonts w:hint="eastAsia" w:ascii="Times New Roman" w:hAnsi="Times New Roman" w:eastAsia="仿宋_GB2312" w:cs="Times New Roman"/>
          <w:sz w:val="32"/>
          <w:szCs w:val="32"/>
          <w:lang w:val="zh-CN"/>
        </w:rPr>
        <w:t>万元，支付进度缓慢。</w:t>
      </w:r>
    </w:p>
    <w:p w14:paraId="484CE239">
      <w:pPr>
        <w:adjustRightInd w:val="0"/>
        <w:snapToGrid w:val="0"/>
        <w:spacing w:line="600" w:lineRule="exact"/>
        <w:ind w:firstLine="720"/>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（三）项目财务管理情况。</w:t>
      </w:r>
    </w:p>
    <w:p w14:paraId="138DFABD">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项目严格执行财务管理制度，相关业务科室全程参与，核算规范，账务清晰。</w:t>
      </w:r>
    </w:p>
    <w:p w14:paraId="208EB4EA">
      <w:pPr>
        <w:adjustRightInd w:val="0"/>
        <w:snapToGrid w:val="0"/>
        <w:spacing w:line="600" w:lineRule="exact"/>
        <w:ind w:firstLine="720"/>
        <w:rPr>
          <w:rFonts w:hint="eastAsia" w:ascii="Times New Roman" w:hAnsi="Times New Roman" w:eastAsia="黑体" w:cs="Times New Roman"/>
          <w:sz w:val="32"/>
          <w:szCs w:val="32"/>
          <w:lang w:val="zh-CN"/>
        </w:rPr>
      </w:pPr>
      <w:r>
        <w:rPr>
          <w:rFonts w:hint="eastAsia" w:ascii="Times New Roman" w:hAnsi="Times New Roman" w:eastAsia="黑体" w:cs="Times New Roman"/>
          <w:sz w:val="32"/>
          <w:szCs w:val="32"/>
          <w:lang w:val="zh-CN"/>
        </w:rPr>
        <w:t>三、项目实施及管理情况</w:t>
      </w:r>
    </w:p>
    <w:p w14:paraId="1356B3DF">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楷体_GB2312" w:cs="Times New Roman"/>
          <w:b/>
          <w:color w:val="auto"/>
          <w:sz w:val="32"/>
          <w:szCs w:val="32"/>
          <w:highlight w:val="none"/>
          <w:u w:val="none"/>
          <w:lang w:val="zh-CN"/>
        </w:rPr>
        <w:t>（一）项目组织架构及实施流程。</w:t>
      </w:r>
      <w:r>
        <w:rPr>
          <w:rFonts w:hint="eastAsia" w:ascii="Times New Roman" w:hAnsi="Times New Roman" w:eastAsia="仿宋_GB2312" w:cs="Times New Roman"/>
          <w:sz w:val="32"/>
          <w:szCs w:val="32"/>
          <w:lang w:val="zh-CN"/>
        </w:rPr>
        <w:t>项目严格执行财务管理制度，相关业务科室全程参与，核算规范，账务清晰。</w:t>
      </w:r>
    </w:p>
    <w:p w14:paraId="397513FF">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楷体_GB2312" w:cs="Times New Roman"/>
          <w:b/>
          <w:color w:val="auto"/>
          <w:sz w:val="32"/>
          <w:szCs w:val="32"/>
          <w:highlight w:val="none"/>
          <w:u w:val="none"/>
          <w:lang w:val="zh-CN"/>
        </w:rPr>
        <w:t>（二）项目管理情况。</w:t>
      </w:r>
      <w:r>
        <w:rPr>
          <w:rFonts w:hint="eastAsia" w:ascii="Times New Roman" w:hAnsi="Times New Roman" w:eastAsia="仿宋_GB2312" w:cs="Times New Roman"/>
          <w:sz w:val="32"/>
          <w:szCs w:val="32"/>
          <w:lang w:val="zh-CN"/>
        </w:rPr>
        <w:t>区财政未按调整后预算数划拨。</w:t>
      </w:r>
    </w:p>
    <w:p w14:paraId="624F977C">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楷体_GB2312" w:cs="Times New Roman"/>
          <w:b/>
          <w:color w:val="auto"/>
          <w:sz w:val="32"/>
          <w:szCs w:val="32"/>
          <w:highlight w:val="none"/>
          <w:u w:val="none"/>
          <w:lang w:val="zh-CN"/>
        </w:rPr>
        <w:t>（三）项目监管情况。</w:t>
      </w:r>
      <w:r>
        <w:rPr>
          <w:rFonts w:hint="eastAsia" w:ascii="Times New Roman" w:hAnsi="Times New Roman" w:eastAsia="仿宋_GB2312" w:cs="Times New Roman"/>
          <w:sz w:val="32"/>
          <w:szCs w:val="32"/>
          <w:lang w:val="zh-CN"/>
        </w:rPr>
        <w:t>项目严格执行财务管理制度，相关业务科室全程参与，核算规范，账务清晰。</w:t>
      </w:r>
    </w:p>
    <w:p w14:paraId="2A60C9BC">
      <w:pPr>
        <w:adjustRightInd w:val="0"/>
        <w:snapToGrid w:val="0"/>
        <w:spacing w:line="600" w:lineRule="exact"/>
        <w:ind w:firstLine="720"/>
        <w:rPr>
          <w:rFonts w:hint="eastAsia" w:ascii="Times New Roman" w:hAnsi="Times New Roman" w:eastAsia="黑体" w:cs="Times New Roman"/>
          <w:sz w:val="32"/>
          <w:szCs w:val="32"/>
          <w:lang w:val="zh-CN"/>
        </w:rPr>
      </w:pPr>
      <w:r>
        <w:rPr>
          <w:rFonts w:hint="eastAsia" w:ascii="Times New Roman" w:hAnsi="Times New Roman" w:eastAsia="黑体" w:cs="Times New Roman"/>
          <w:sz w:val="32"/>
          <w:szCs w:val="32"/>
          <w:lang w:val="zh-CN"/>
        </w:rPr>
        <w:t>四、项目绩效情况</w:t>
      </w:r>
      <w:r>
        <w:rPr>
          <w:rFonts w:hint="eastAsia" w:ascii="Times New Roman" w:hAnsi="Times New Roman" w:eastAsia="黑体" w:cs="Times New Roman"/>
          <w:sz w:val="32"/>
          <w:szCs w:val="32"/>
          <w:lang w:val="zh-CN"/>
        </w:rPr>
        <w:tab/>
      </w:r>
    </w:p>
    <w:p w14:paraId="30F28F3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（一）项目完成情况。</w:t>
      </w:r>
    </w:p>
    <w:p w14:paraId="6F1C8748">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项目增购一辆登高平台消防车，达到正规化标准，投入使用。</w:t>
      </w:r>
    </w:p>
    <w:p w14:paraId="1D46B90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（二）项目效益情况。</w:t>
      </w:r>
    </w:p>
    <w:p w14:paraId="23F15885">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配齐配强应急救援装备，进一步完善区域应急救援基地功能，补齐专业队伍救援能力短板，系统提升区域应急救援能力，群众满意度达90%以上</w:t>
      </w:r>
      <w:r>
        <w:rPr>
          <w:rFonts w:hint="eastAsia" w:eastAsia="仿宋_GB2312" w:cs="Times New Roman"/>
          <w:sz w:val="32"/>
          <w:szCs w:val="32"/>
          <w:lang w:val="zh-CN"/>
        </w:rPr>
        <w:t>。</w:t>
      </w:r>
    </w:p>
    <w:p w14:paraId="2DC00C7D">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黑体" w:cs="Times New Roman"/>
          <w:sz w:val="32"/>
          <w:szCs w:val="32"/>
          <w:lang w:val="zh-CN"/>
        </w:rPr>
        <w:t>五、评价结论及建议</w:t>
      </w:r>
    </w:p>
    <w:p w14:paraId="49189F4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（一）评价结论。</w:t>
      </w:r>
    </w:p>
    <w:p w14:paraId="70AECE32">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通过开展专项工作，配齐配强应急救援装备，夯实自然灾害、生产安全事故风险防范和应急救援基础，为高质量发展建设共同富裕试验区提供坚实的安全保障。</w:t>
      </w:r>
    </w:p>
    <w:p w14:paraId="519603B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（二）存在的问题。</w:t>
      </w:r>
    </w:p>
    <w:p w14:paraId="1B1EB453">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资金未按调整后预算数划拨。</w:t>
      </w:r>
    </w:p>
    <w:p w14:paraId="5017651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（三）相关建议。</w:t>
      </w:r>
    </w:p>
    <w:p w14:paraId="231F527E">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加快资金拨付进度。</w:t>
      </w:r>
    </w:p>
    <w:p w14:paraId="6E71D48F">
      <w:pPr>
        <w:rPr>
          <w:rFonts w:hint="eastAsia"/>
          <w:lang w:val="en-US" w:eastAsia="zh-CN"/>
        </w:rPr>
      </w:pPr>
    </w:p>
    <w:p w14:paraId="392D326B">
      <w:pPr>
        <w:pStyle w:val="38"/>
        <w:spacing w:line="600" w:lineRule="exact"/>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专项预算项目支出绩效自评报告</w:t>
      </w:r>
    </w:p>
    <w:p w14:paraId="087FEDF2">
      <w:pPr>
        <w:pStyle w:val="38"/>
        <w:spacing w:line="240" w:lineRule="auto"/>
        <w:ind w:firstLine="0"/>
        <w:jc w:val="center"/>
        <w:rPr>
          <w:rFonts w:hint="eastAsia" w:ascii="方正小标宋简体" w:hAnsi="方正小标宋简体" w:eastAsia="方正小标宋简体" w:cs="方正小标宋简体"/>
          <w:color w:val="auto"/>
          <w:w w:val="90"/>
          <w:kern w:val="2"/>
          <w:sz w:val="32"/>
          <w:szCs w:val="32"/>
          <w:lang w:val="en-US" w:eastAsia="zh-CN"/>
        </w:rPr>
      </w:pPr>
      <w:r>
        <w:rPr>
          <w:rFonts w:hint="eastAsia" w:ascii="方正小标宋简体" w:hAnsi="方正小标宋简体" w:eastAsia="方正小标宋简体" w:cs="方正小标宋简体"/>
          <w:color w:val="auto"/>
          <w:w w:val="90"/>
          <w:kern w:val="2"/>
          <w:sz w:val="32"/>
          <w:szCs w:val="32"/>
          <w:lang w:val="en-US" w:eastAsia="zh-CN"/>
        </w:rPr>
        <w:t>（煤矿安全风险监测预警系统和瓦斯监控平台建设项目）</w:t>
      </w:r>
    </w:p>
    <w:p w14:paraId="7353F959">
      <w:pPr>
        <w:pStyle w:val="38"/>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0E25C2EB">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00F8D3F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（一）设立背景及基本情况。</w:t>
      </w:r>
    </w:p>
    <w:p w14:paraId="7D60A73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Times New Roman"/>
          <w:sz w:val="32"/>
          <w:szCs w:val="32"/>
          <w:lang w:val="zh-CN" w:eastAsia="zh-CN"/>
        </w:rPr>
      </w:pPr>
      <w:r>
        <w:rPr>
          <w:rFonts w:hint="eastAsia" w:ascii="仿宋_GB2312" w:hAnsi="Times New Roman" w:eastAsia="仿宋_GB2312" w:cs="Times New Roman"/>
          <w:sz w:val="32"/>
          <w:szCs w:val="32"/>
          <w:lang w:val="zh-CN" w:eastAsia="zh-CN"/>
        </w:rPr>
        <w:t>仁和区煤矿瓦斯监控平台初建于2005年，已运行</w:t>
      </w:r>
      <w:r>
        <w:rPr>
          <w:rFonts w:hint="eastAsia" w:ascii="仿宋_GB2312" w:hAnsi="Times New Roman" w:eastAsia="仿宋_GB2312" w:cs="Times New Roman"/>
          <w:sz w:val="32"/>
          <w:szCs w:val="32"/>
          <w:lang w:val="en-US" w:eastAsia="zh-CN"/>
        </w:rPr>
        <w:t>十余年</w:t>
      </w:r>
      <w:r>
        <w:rPr>
          <w:rFonts w:hint="eastAsia" w:ascii="仿宋_GB2312" w:hAnsi="Times New Roman" w:eastAsia="仿宋_GB2312" w:cs="Times New Roman"/>
          <w:sz w:val="32"/>
          <w:szCs w:val="32"/>
          <w:lang w:val="zh-CN" w:eastAsia="zh-CN"/>
        </w:rPr>
        <w:t>，设备、线路不同程度存在老化、运行系统与上级部门系统不兼容等问题。同时随着监控系统升级，监控功能增加等因素的影响，监控电脑卡顿、蓝屏、死机等问题时有发生，只能监控辖区煤矿瓦斯系统的运行情况，不能对辖区煤矿人员定位系统、</w:t>
      </w:r>
      <w:r>
        <w:rPr>
          <w:rFonts w:hint="eastAsia" w:ascii="仿宋_GB2312" w:hAnsi="Times New Roman" w:eastAsia="仿宋_GB2312" w:cs="Times New Roman"/>
          <w:sz w:val="32"/>
          <w:szCs w:val="32"/>
          <w:lang w:val="en-US" w:eastAsia="zh-CN"/>
        </w:rPr>
        <w:t>井下重点作业场所工业视频等</w:t>
      </w:r>
      <w:r>
        <w:rPr>
          <w:rFonts w:hint="eastAsia" w:ascii="仿宋_GB2312" w:hAnsi="Times New Roman" w:eastAsia="仿宋_GB2312" w:cs="Times New Roman"/>
          <w:sz w:val="32"/>
          <w:szCs w:val="32"/>
          <w:lang w:val="zh-CN" w:eastAsia="zh-CN"/>
        </w:rPr>
        <w:t>进行监测。为满足煤矿远程在线等实时监控需要，</w:t>
      </w:r>
      <w:r>
        <w:rPr>
          <w:rFonts w:hint="eastAsia" w:ascii="仿宋_GB2312" w:eastAsia="仿宋_GB2312" w:cs="Times New Roman"/>
          <w:sz w:val="32"/>
          <w:szCs w:val="32"/>
          <w:lang w:val="zh-CN" w:eastAsia="zh-CN"/>
        </w:rPr>
        <w:t>亟须对</w:t>
      </w:r>
      <w:r>
        <w:rPr>
          <w:rFonts w:hint="eastAsia" w:ascii="仿宋_GB2312" w:hAnsi="Times New Roman" w:eastAsia="仿宋_GB2312" w:cs="Times New Roman"/>
          <w:sz w:val="32"/>
          <w:szCs w:val="32"/>
          <w:lang w:val="zh-CN" w:eastAsia="zh-CN"/>
        </w:rPr>
        <w:t>该平台进行升级改造。</w:t>
      </w:r>
    </w:p>
    <w:p w14:paraId="53F4815B">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p>
    <w:p w14:paraId="16E31332">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楷体_GB2312" w:cs="Times New Roman"/>
          <w:b/>
          <w:color w:val="auto"/>
          <w:sz w:val="32"/>
          <w:szCs w:val="32"/>
          <w:highlight w:val="none"/>
          <w:u w:val="none"/>
          <w:lang w:val="en-US" w:eastAsia="zh-CN"/>
        </w:rPr>
      </w:pPr>
      <w:r>
        <w:rPr>
          <w:rFonts w:hint="eastAsia" w:ascii="仿宋_GB2312" w:hAnsi="Times New Roman" w:eastAsia="仿宋_GB2312" w:cs="Times New Roman"/>
          <w:sz w:val="32"/>
          <w:szCs w:val="32"/>
          <w:lang w:val="en-US" w:eastAsia="zh-CN"/>
        </w:rPr>
        <w:t>根据《四川煤矿安全监察局四川省应急管理厅关于加快推进全省煤矿安全风险预警监测系统建设工作的通知》（川煤监函〔2020〕22号）要求，以及全国一体化在线政务服务平台和国家“互联网+监管”的有关要求</w:t>
      </w:r>
      <w:r>
        <w:rPr>
          <w:rFonts w:hint="eastAsia" w:ascii="仿宋_GB2312" w:eastAsia="仿宋_GB2312" w:cs="Times New Roman"/>
          <w:sz w:val="32"/>
          <w:szCs w:val="32"/>
          <w:lang w:val="en-US" w:eastAsia="zh-CN"/>
        </w:rPr>
        <w:t>，</w:t>
      </w:r>
      <w:r>
        <w:rPr>
          <w:rFonts w:hint="eastAsia" w:ascii="仿宋_GB2312" w:hAnsi="Times New Roman" w:eastAsia="仿宋_GB2312" w:cs="Times New Roman"/>
          <w:sz w:val="32"/>
          <w:szCs w:val="32"/>
          <w:lang w:val="en-US" w:eastAsia="zh-CN"/>
        </w:rPr>
        <w:t>为加快煤矿安全风险监测预警系统建设，不断提升煤矿安全监管的信息化、网络化、智能化水平，对仁和区煤矿瓦斯远程监控平台硬件和软件进行更新升级，实现煤矿瓦斯系统、人员定位系统和安全风险监测预警系统的有机统一和实时远程在线监控，有效预防安全事故的发生。</w:t>
      </w:r>
    </w:p>
    <w:p w14:paraId="22CD5224">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在资金方面，有《四川省应急管理厅四川省财政厅关于开展2023年度省级安全生产预防和应急救援能力建设专项资金项目申报工作的通知》（川应急函〔2023〕72号）支持。</w:t>
      </w:r>
    </w:p>
    <w:p w14:paraId="3B9560B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eastAsia="zh-CN"/>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p>
    <w:p w14:paraId="097C093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eastAsia="仿宋_GB2312"/>
          <w:sz w:val="32"/>
          <w:szCs w:val="32"/>
          <w:lang w:val="zh-CN" w:eastAsia="zh-CN"/>
        </w:rPr>
      </w:pPr>
      <w:r>
        <w:rPr>
          <w:rFonts w:hint="eastAsia" w:ascii="仿宋_GB2312" w:eastAsia="仿宋_GB2312"/>
          <w:sz w:val="32"/>
          <w:szCs w:val="32"/>
          <w:lang w:val="en-US" w:eastAsia="zh-CN"/>
        </w:rPr>
        <w:t>仁和区应急管理局结合我区实际，立即向</w:t>
      </w:r>
      <w:r>
        <w:rPr>
          <w:rFonts w:hint="eastAsia" w:ascii="仿宋_GB2312" w:eastAsia="仿宋_GB2312"/>
          <w:sz w:val="32"/>
          <w:szCs w:val="32"/>
          <w:lang w:eastAsia="zh-CN"/>
        </w:rPr>
        <w:t>省应急厅</w:t>
      </w:r>
      <w:r>
        <w:rPr>
          <w:rFonts w:hint="eastAsia" w:ascii="仿宋_GB2312" w:eastAsia="仿宋_GB2312"/>
          <w:sz w:val="32"/>
          <w:szCs w:val="32"/>
          <w:lang w:val="en-US" w:eastAsia="zh-CN"/>
        </w:rPr>
        <w:t>申报仁和区</w:t>
      </w:r>
      <w:r>
        <w:rPr>
          <w:rFonts w:hint="eastAsia" w:ascii="仿宋_GB2312" w:eastAsia="仿宋_GB2312"/>
          <w:sz w:val="32"/>
          <w:szCs w:val="32"/>
        </w:rPr>
        <w:t>煤矿安全风险监测预警系统和瓦斯监控平台建设</w:t>
      </w:r>
      <w:r>
        <w:rPr>
          <w:rFonts w:hint="eastAsia" w:ascii="仿宋_GB2312" w:eastAsia="仿宋_GB2312"/>
          <w:sz w:val="32"/>
          <w:szCs w:val="32"/>
          <w:lang w:eastAsia="zh-CN"/>
        </w:rPr>
        <w:t>所需经费，申报项目专项资金</w:t>
      </w:r>
      <w:r>
        <w:rPr>
          <w:rFonts w:hint="eastAsia" w:ascii="仿宋_GB2312" w:eastAsia="仿宋_GB2312"/>
          <w:sz w:val="32"/>
          <w:szCs w:val="32"/>
          <w:lang w:val="en-US" w:eastAsia="zh-CN"/>
        </w:rPr>
        <w:t>75</w:t>
      </w:r>
      <w:r>
        <w:rPr>
          <w:rFonts w:hint="eastAsia" w:ascii="仿宋_GB2312" w:eastAsia="仿宋_GB2312"/>
          <w:sz w:val="32"/>
          <w:szCs w:val="32"/>
          <w:lang w:eastAsia="zh-CN"/>
        </w:rPr>
        <w:t>万元（资金使用期限为1年），省应急厅</w:t>
      </w:r>
      <w:r>
        <w:rPr>
          <w:rFonts w:hint="eastAsia" w:ascii="仿宋_GB2312" w:eastAsia="仿宋_GB2312"/>
          <w:sz w:val="32"/>
          <w:szCs w:val="32"/>
          <w:lang w:val="en-US" w:eastAsia="zh-CN"/>
        </w:rPr>
        <w:t>审核</w:t>
      </w:r>
      <w:r>
        <w:rPr>
          <w:rFonts w:hint="eastAsia" w:ascii="仿宋_GB2312" w:eastAsia="仿宋_GB2312"/>
          <w:sz w:val="32"/>
          <w:szCs w:val="32"/>
          <w:lang w:eastAsia="zh-CN"/>
        </w:rPr>
        <w:t>下达项目</w:t>
      </w:r>
      <w:r>
        <w:rPr>
          <w:rFonts w:hint="eastAsia" w:ascii="仿宋_GB2312" w:eastAsia="仿宋_GB2312"/>
          <w:sz w:val="32"/>
          <w:szCs w:val="32"/>
          <w:lang w:val="en-US" w:eastAsia="zh-CN"/>
        </w:rPr>
        <w:t>专项</w:t>
      </w:r>
      <w:r>
        <w:rPr>
          <w:rFonts w:hint="eastAsia" w:ascii="仿宋_GB2312" w:eastAsia="仿宋_GB2312"/>
          <w:sz w:val="32"/>
          <w:szCs w:val="32"/>
          <w:lang w:eastAsia="zh-CN"/>
        </w:rPr>
        <w:t>资金</w:t>
      </w:r>
      <w:r>
        <w:rPr>
          <w:rFonts w:hint="eastAsia" w:ascii="仿宋_GB2312" w:eastAsia="仿宋_GB2312"/>
          <w:sz w:val="32"/>
          <w:szCs w:val="32"/>
          <w:lang w:val="en-US" w:eastAsia="zh-CN"/>
        </w:rPr>
        <w:t>75</w:t>
      </w:r>
      <w:r>
        <w:rPr>
          <w:rFonts w:hint="eastAsia" w:ascii="仿宋_GB2312" w:eastAsia="仿宋_GB2312"/>
          <w:sz w:val="32"/>
          <w:szCs w:val="32"/>
          <w:lang w:eastAsia="zh-CN"/>
        </w:rPr>
        <w:t>万元</w:t>
      </w:r>
      <w:r>
        <w:rPr>
          <w:rFonts w:hint="eastAsia" w:ascii="仿宋_GB2312" w:eastAsia="仿宋_GB2312"/>
          <w:sz w:val="32"/>
          <w:szCs w:val="32"/>
          <w:lang w:val="zh-CN"/>
        </w:rPr>
        <w:t>，</w:t>
      </w:r>
      <w:r>
        <w:rPr>
          <w:rFonts w:hint="eastAsia" w:ascii="仿宋_GB2312" w:eastAsia="仿宋_GB2312"/>
          <w:sz w:val="32"/>
          <w:szCs w:val="32"/>
          <w:lang w:val="en-US" w:eastAsia="zh-CN"/>
        </w:rPr>
        <w:t>并通过市财政下拨区财政</w:t>
      </w:r>
      <w:r>
        <w:rPr>
          <w:rFonts w:hint="eastAsia" w:ascii="仿宋_GB2312" w:eastAsia="仿宋_GB2312"/>
          <w:sz w:val="32"/>
          <w:szCs w:val="32"/>
          <w:lang w:val="zh-CN"/>
        </w:rPr>
        <w:t>。</w:t>
      </w:r>
      <w:r>
        <w:rPr>
          <w:rFonts w:hint="eastAsia" w:ascii="仿宋_GB2312" w:eastAsia="仿宋_GB2312"/>
          <w:sz w:val="32"/>
          <w:szCs w:val="32"/>
          <w:lang w:val="en-US" w:eastAsia="zh-CN"/>
        </w:rPr>
        <w:t>在资金分配使用方面，</w:t>
      </w:r>
      <w:r>
        <w:rPr>
          <w:rFonts w:hint="eastAsia" w:ascii="仿宋_GB2312" w:eastAsia="仿宋_GB2312"/>
          <w:sz w:val="32"/>
          <w:szCs w:val="32"/>
          <w:lang w:val="zh-CN" w:eastAsia="zh-CN"/>
        </w:rPr>
        <w:t>优先申请省级补助资金75万元，在省级补助资金</w:t>
      </w:r>
      <w:r>
        <w:rPr>
          <w:rFonts w:hint="eastAsia" w:ascii="仿宋_GB2312" w:eastAsia="仿宋_GB2312"/>
          <w:sz w:val="32"/>
          <w:szCs w:val="32"/>
          <w:lang w:val="en-US" w:eastAsia="zh-CN"/>
        </w:rPr>
        <w:t>不足时</w:t>
      </w:r>
      <w:r>
        <w:rPr>
          <w:rFonts w:hint="eastAsia" w:ascii="仿宋_GB2312" w:eastAsia="仿宋_GB2312"/>
          <w:sz w:val="32"/>
          <w:szCs w:val="32"/>
          <w:lang w:val="zh-CN" w:eastAsia="zh-CN"/>
        </w:rPr>
        <w:t>，仁和区继续配套资金，</w:t>
      </w:r>
      <w:r>
        <w:rPr>
          <w:rFonts w:hint="eastAsia" w:ascii="仿宋_GB2312" w:eastAsia="仿宋_GB2312"/>
          <w:sz w:val="32"/>
          <w:szCs w:val="32"/>
          <w:lang w:val="en-US" w:eastAsia="zh-CN"/>
        </w:rPr>
        <w:t>确保项目顺利完工</w:t>
      </w:r>
      <w:r>
        <w:rPr>
          <w:rFonts w:hint="eastAsia" w:ascii="仿宋_GB2312" w:eastAsia="仿宋_GB2312"/>
          <w:sz w:val="32"/>
          <w:szCs w:val="32"/>
          <w:lang w:val="zh-CN" w:eastAsia="zh-CN"/>
        </w:rPr>
        <w:t>。</w:t>
      </w:r>
    </w:p>
    <w:p w14:paraId="7B98D86D">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楷体_GB2312" w:cs="Times New Roman"/>
          <w:b/>
          <w:color w:val="auto"/>
          <w:sz w:val="32"/>
          <w:szCs w:val="32"/>
          <w:highlight w:val="none"/>
          <w:u w:val="none"/>
          <w:lang w:val="zh-CN" w:eastAsia="zh-CN"/>
        </w:rPr>
      </w:pPr>
      <w:r>
        <w:rPr>
          <w:rFonts w:hint="eastAsia" w:ascii="Times New Roman" w:hAnsi="Times New Roman" w:eastAsia="楷体_GB2312" w:cs="Times New Roman"/>
          <w:b/>
          <w:color w:val="auto"/>
          <w:sz w:val="32"/>
          <w:szCs w:val="32"/>
          <w:highlight w:val="none"/>
          <w:u w:val="none"/>
          <w:lang w:val="zh-CN" w:eastAsia="zh-CN"/>
        </w:rPr>
        <w:t>（四）项目绩效目标设置。</w:t>
      </w:r>
    </w:p>
    <w:p w14:paraId="635EC820">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数量指标方面。实施仁和区煤矿安全风险监测预警系统建设和瓦斯监控平台升级改造，把煤矿瓦斯监测系统、人员位置监测系统、工业视频系统等按照应急管理部要求的国标数据接入新升级的市、县（区）煤矿综合监控管理系统，并与省平台的数据及功能做到无缝对接；质量指标方面。实现井下瓦斯超限自动分级报警、人员历史下井记录查询和视频实时监控跟踪等功能，系统运行稳定，数据传输精准；社会效益指标方面。通过仁和区煤矿安全风险监测预警系统和瓦斯监控平台对辖区煤矿生产作业情况进行在线监管，为提前预防煤矿风险隐患提供技术支持，从而提高煤矿安全监管执法效能，群众满意度≥95%。</w:t>
      </w:r>
    </w:p>
    <w:p w14:paraId="3A2354B4">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2A0F7E6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p>
    <w:p w14:paraId="1D61779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仿宋_GB2312"/>
          <w:b w:val="0"/>
          <w:bCs w:val="0"/>
          <w:color w:val="auto"/>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通过项目绩效自评</w:t>
      </w:r>
      <w:r>
        <w:rPr>
          <w:rFonts w:hint="eastAsia" w:ascii="Times New Roman" w:hAnsi="Times New Roman" w:eastAsia="仿宋_GB2312" w:cs="仿宋_GB2312"/>
          <w:b w:val="0"/>
          <w:bCs w:val="0"/>
          <w:color w:val="auto"/>
          <w:kern w:val="0"/>
          <w:position w:val="0"/>
          <w:sz w:val="32"/>
          <w:szCs w:val="32"/>
          <w:highlight w:val="none"/>
          <w:lang w:val="en-US" w:eastAsia="zh-CN" w:bidi="ar-SA"/>
        </w:rPr>
        <w:t>确保专项资金管理到位，项目建设完成并发挥</w:t>
      </w:r>
      <w:r>
        <w:rPr>
          <w:rFonts w:hint="eastAsia" w:eastAsia="仿宋_GB2312" w:cs="仿宋_GB2312"/>
          <w:b w:val="0"/>
          <w:bCs w:val="0"/>
          <w:color w:val="auto"/>
          <w:kern w:val="0"/>
          <w:position w:val="0"/>
          <w:sz w:val="32"/>
          <w:szCs w:val="32"/>
          <w:highlight w:val="none"/>
          <w:lang w:val="en-US" w:eastAsia="zh-CN" w:bidi="ar-SA"/>
        </w:rPr>
        <w:t>应有</w:t>
      </w:r>
      <w:r>
        <w:rPr>
          <w:rFonts w:hint="eastAsia" w:ascii="Times New Roman" w:hAnsi="Times New Roman" w:eastAsia="仿宋_GB2312" w:cs="仿宋_GB2312"/>
          <w:b w:val="0"/>
          <w:bCs w:val="0"/>
          <w:color w:val="auto"/>
          <w:kern w:val="0"/>
          <w:position w:val="0"/>
          <w:sz w:val="32"/>
          <w:szCs w:val="32"/>
          <w:highlight w:val="none"/>
          <w:lang w:val="en-US" w:eastAsia="zh-CN" w:bidi="ar-SA"/>
        </w:rPr>
        <w:t>作用。</w:t>
      </w:r>
    </w:p>
    <w:p w14:paraId="41F197E5">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（二）预设问题及评价重点。</w:t>
      </w:r>
    </w:p>
    <w:p w14:paraId="207CB99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专项资金</w:t>
      </w:r>
      <w:r>
        <w:rPr>
          <w:rFonts w:hint="eastAsia" w:ascii="Times New Roman" w:hAnsi="Times New Roman" w:eastAsia="仿宋_GB2312" w:cs="仿宋_GB2312"/>
          <w:b w:val="0"/>
          <w:bCs w:val="0"/>
          <w:color w:val="auto"/>
          <w:kern w:val="0"/>
          <w:position w:val="0"/>
          <w:sz w:val="32"/>
          <w:szCs w:val="32"/>
          <w:highlight w:val="none"/>
          <w:lang w:val="zh-CN" w:eastAsia="zh-CN" w:bidi="ar-SA"/>
        </w:rPr>
        <w:t>支出使用</w:t>
      </w:r>
      <w:r>
        <w:rPr>
          <w:rFonts w:hint="eastAsia" w:ascii="Times New Roman" w:hAnsi="Times New Roman" w:eastAsia="仿宋_GB2312" w:cs="仿宋_GB2312"/>
          <w:b w:val="0"/>
          <w:bCs w:val="0"/>
          <w:color w:val="auto"/>
          <w:kern w:val="0"/>
          <w:position w:val="0"/>
          <w:sz w:val="32"/>
          <w:szCs w:val="32"/>
          <w:highlight w:val="none"/>
          <w:lang w:val="en-US" w:eastAsia="zh-CN" w:bidi="ar-SA"/>
        </w:rPr>
        <w:t>实施</w:t>
      </w:r>
      <w:r>
        <w:rPr>
          <w:rFonts w:hint="eastAsia" w:ascii="Times New Roman" w:hAnsi="Times New Roman" w:eastAsia="仿宋_GB2312" w:cs="仿宋_GB2312"/>
          <w:b w:val="0"/>
          <w:bCs w:val="0"/>
          <w:color w:val="auto"/>
          <w:kern w:val="0"/>
          <w:position w:val="0"/>
          <w:sz w:val="32"/>
          <w:szCs w:val="32"/>
          <w:highlight w:val="none"/>
          <w:lang w:val="zh-CN" w:eastAsia="zh-CN" w:bidi="ar-SA"/>
        </w:rPr>
        <w:t>全过程</w:t>
      </w:r>
      <w:r>
        <w:rPr>
          <w:rFonts w:hint="eastAsia" w:eastAsia="仿宋_GB2312" w:cs="仿宋_GB2312"/>
          <w:b w:val="0"/>
          <w:bCs w:val="0"/>
          <w:color w:val="auto"/>
          <w:kern w:val="0"/>
          <w:position w:val="0"/>
          <w:sz w:val="32"/>
          <w:szCs w:val="32"/>
          <w:highlight w:val="none"/>
          <w:lang w:val="zh-CN" w:eastAsia="zh-CN" w:bidi="ar-SA"/>
        </w:rPr>
        <w:t>监督管理</w:t>
      </w:r>
      <w:r>
        <w:rPr>
          <w:rFonts w:hint="eastAsia" w:ascii="Times New Roman" w:hAnsi="Times New Roman" w:eastAsia="仿宋_GB2312" w:cs="仿宋_GB2312"/>
          <w:b w:val="0"/>
          <w:bCs w:val="0"/>
          <w:color w:val="auto"/>
          <w:kern w:val="0"/>
          <w:position w:val="0"/>
          <w:sz w:val="32"/>
          <w:szCs w:val="32"/>
          <w:highlight w:val="none"/>
          <w:lang w:val="en-US" w:eastAsia="zh-CN" w:bidi="ar-SA"/>
        </w:rPr>
        <w:t>，总投入不超预算。项目按期、按质完成建设并投入使用。</w:t>
      </w:r>
    </w:p>
    <w:p w14:paraId="0058E95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color w:val="auto"/>
          <w:kern w:val="0"/>
          <w:sz w:val="32"/>
          <w:szCs w:val="32"/>
          <w:highlight w:val="none"/>
          <w:u w:val="none"/>
          <w:lang w:val="zh-CN"/>
        </w:rPr>
      </w:pPr>
      <w:r>
        <w:rPr>
          <w:rFonts w:hint="eastAsia" w:ascii="Times New Roman" w:hAnsi="Times New Roman" w:eastAsia="楷体_GB2312"/>
          <w:b/>
          <w:color w:val="auto"/>
          <w:sz w:val="32"/>
          <w:szCs w:val="32"/>
          <w:highlight w:val="none"/>
          <w:u w:val="none"/>
          <w:lang w:val="zh-CN"/>
        </w:rPr>
        <w:t>（三）评价选点。</w:t>
      </w:r>
    </w:p>
    <w:p w14:paraId="09DF416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仿宋_GB2312"/>
          <w:b w:val="0"/>
          <w:color w:val="auto"/>
          <w:kern w:val="0"/>
          <w:sz w:val="32"/>
          <w:szCs w:val="32"/>
          <w:highlight w:val="none"/>
          <w:u w:val="none"/>
          <w:lang w:val="en-US" w:eastAsia="zh-CN"/>
        </w:rPr>
      </w:pPr>
      <w:r>
        <w:rPr>
          <w:rFonts w:hint="eastAsia" w:eastAsia="仿宋_GB2312" w:cs="仿宋_GB2312"/>
          <w:b w:val="0"/>
          <w:color w:val="auto"/>
          <w:kern w:val="0"/>
          <w:sz w:val="32"/>
          <w:szCs w:val="32"/>
          <w:highlight w:val="none"/>
          <w:u w:val="none"/>
          <w:lang w:val="en-US" w:eastAsia="zh-CN"/>
        </w:rPr>
        <w:t>重点抽查项目申报书、绩效目标申报表、招标（中标）文件、中标单位、项目合同、验收记录、职工培训记录、系统运行日志等资料，查看了瓦斯监控、人员定位、工业视频等系统运行情况。</w:t>
      </w:r>
    </w:p>
    <w:p w14:paraId="537A23D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（四）评价方法。</w:t>
      </w:r>
    </w:p>
    <w:p w14:paraId="50FD79D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eastAsia="仿宋_GB2312" w:cs="仿宋_GB2312"/>
          <w:b w:val="0"/>
          <w:bCs w:val="0"/>
          <w:color w:val="auto"/>
          <w:kern w:val="0"/>
          <w:position w:val="0"/>
          <w:sz w:val="32"/>
          <w:szCs w:val="32"/>
          <w:highlight w:val="none"/>
          <w:lang w:val="en-US" w:eastAsia="zh-CN" w:bidi="ar-SA"/>
        </w:rPr>
        <w:t>采取</w:t>
      </w:r>
      <w:r>
        <w:rPr>
          <w:rFonts w:hint="eastAsia" w:ascii="Times New Roman" w:hAnsi="Times New Roman" w:eastAsia="仿宋_GB2312" w:cs="仿宋_GB2312"/>
          <w:b w:val="0"/>
          <w:bCs w:val="0"/>
          <w:color w:val="auto"/>
          <w:kern w:val="0"/>
          <w:position w:val="0"/>
          <w:sz w:val="32"/>
          <w:szCs w:val="32"/>
          <w:highlight w:val="none"/>
          <w:lang w:val="zh-CN" w:eastAsia="zh-CN" w:bidi="ar-SA"/>
        </w:rPr>
        <w:t>单位自评法</w:t>
      </w:r>
      <w:r>
        <w:rPr>
          <w:rFonts w:hint="eastAsia" w:eastAsia="仿宋_GB2312" w:cs="仿宋_GB2312"/>
          <w:b w:val="0"/>
          <w:bCs w:val="0"/>
          <w:color w:val="auto"/>
          <w:kern w:val="0"/>
          <w:position w:val="0"/>
          <w:sz w:val="32"/>
          <w:szCs w:val="32"/>
          <w:highlight w:val="none"/>
          <w:lang w:val="en-US" w:eastAsia="zh-CN" w:bidi="ar-SA"/>
        </w:rPr>
        <w:t>进行评价</w:t>
      </w:r>
      <w:r>
        <w:rPr>
          <w:rFonts w:hint="eastAsia" w:ascii="Times New Roman" w:hAnsi="Times New Roman" w:eastAsia="仿宋_GB2312" w:cs="仿宋_GB2312"/>
          <w:b w:val="0"/>
          <w:bCs w:val="0"/>
          <w:color w:val="auto"/>
          <w:kern w:val="0"/>
          <w:position w:val="0"/>
          <w:sz w:val="32"/>
          <w:szCs w:val="32"/>
          <w:highlight w:val="none"/>
          <w:lang w:val="zh-CN" w:eastAsia="zh-CN" w:bidi="ar-SA"/>
        </w:rPr>
        <w:t>。</w:t>
      </w:r>
    </w:p>
    <w:p w14:paraId="7C1D9BF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（五）评价组织。</w:t>
      </w:r>
    </w:p>
    <w:p w14:paraId="513850F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仿宋_GB2312"/>
          <w:b w:val="0"/>
          <w:bCs w:val="0"/>
          <w:color w:val="auto"/>
          <w:kern w:val="0"/>
          <w:position w:val="0"/>
          <w:sz w:val="32"/>
          <w:szCs w:val="32"/>
          <w:highlight w:val="none"/>
          <w:lang w:val="en-US" w:eastAsia="zh-CN" w:bidi="ar-SA"/>
        </w:rPr>
      </w:pPr>
      <w:r>
        <w:rPr>
          <w:rFonts w:hint="eastAsia" w:eastAsia="仿宋_GB2312" w:cs="仿宋_GB2312"/>
          <w:b w:val="0"/>
          <w:bCs w:val="0"/>
          <w:color w:val="auto"/>
          <w:kern w:val="0"/>
          <w:position w:val="0"/>
          <w:sz w:val="32"/>
          <w:szCs w:val="32"/>
          <w:highlight w:val="none"/>
          <w:lang w:val="en-US" w:eastAsia="zh-CN" w:bidi="ar-SA"/>
        </w:rPr>
        <w:t>区应急管理局成立了煤矿安全风险监测预警系统和瓦斯监控平台建设项目自评工作组，分管领导担任组长，负责全面协调统筹工作。业务股室全体职工为自评工作组成员，负责查阅资料，查看系统，编写自评报告等。</w:t>
      </w:r>
    </w:p>
    <w:p w14:paraId="0AEC7E5F">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2D3E1D1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3AAEBC8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0BA9EFE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w:t>
      </w:r>
      <w:r>
        <w:rPr>
          <w:rFonts w:hint="eastAsia" w:ascii="仿宋_GB2312" w:hAnsi="Times New Roman" w:eastAsia="仿宋_GB2312" w:cs="Times New Roman"/>
          <w:sz w:val="32"/>
          <w:szCs w:val="32"/>
          <w:lang w:val="en-US" w:eastAsia="zh-CN"/>
        </w:rPr>
        <w:t>该项目根据《四川煤矿安全监察局四川省应急管理厅关于加快推进全省煤矿安全风险预警监测系统建设工作的通知》（川煤监函〔2020〕22号）和</w:t>
      </w:r>
      <w:r>
        <w:rPr>
          <w:rFonts w:hint="eastAsia" w:ascii="Times New Roman" w:hAnsi="Times New Roman" w:eastAsia="仿宋_GB2312" w:cs="仿宋_GB2312"/>
          <w:b w:val="0"/>
          <w:bCs w:val="0"/>
          <w:kern w:val="0"/>
          <w:position w:val="0"/>
          <w:sz w:val="32"/>
          <w:szCs w:val="32"/>
          <w:highlight w:val="none"/>
          <w:lang w:val="en-US" w:eastAsia="zh-CN" w:bidi="ar-SA"/>
        </w:rPr>
        <w:t>《四川省应急管理厅四川省财政厅关于开展2023年度省级安全生产预防和应急救援能力建设专项资金项目申报工作的通知》（川应急函〔2023〕72号）精神组织实施，项目申报、预算审核、招标等每一个环节均严格按照相关规定执行。自评合格。</w:t>
      </w:r>
    </w:p>
    <w:p w14:paraId="3DB61A6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项目管理。仁和区应急管理局财务管理制度健全，执行财务管理制度严格，在煤矿安全风险监测预警系统和瓦斯监控平台建设项目上由局长全面领导，分管副局长</w:t>
      </w:r>
      <w:r>
        <w:rPr>
          <w:rFonts w:hint="eastAsia" w:eastAsia="仿宋_GB2312" w:cs="仿宋_GB2312"/>
          <w:b w:val="0"/>
          <w:bCs w:val="0"/>
          <w:kern w:val="0"/>
          <w:position w:val="0"/>
          <w:sz w:val="32"/>
          <w:szCs w:val="32"/>
          <w:highlight w:val="none"/>
          <w:lang w:val="en-US" w:eastAsia="zh-CN" w:bidi="ar-SA"/>
        </w:rPr>
        <w:t>亲自</w:t>
      </w:r>
      <w:r>
        <w:rPr>
          <w:rFonts w:hint="eastAsia" w:ascii="Times New Roman" w:hAnsi="Times New Roman" w:eastAsia="仿宋_GB2312" w:cs="仿宋_GB2312"/>
          <w:b w:val="0"/>
          <w:bCs w:val="0"/>
          <w:kern w:val="0"/>
          <w:position w:val="0"/>
          <w:sz w:val="32"/>
          <w:szCs w:val="32"/>
          <w:highlight w:val="none"/>
          <w:lang w:val="zh-CN" w:eastAsia="zh-CN" w:bidi="ar-SA"/>
        </w:rPr>
        <w:t>抓落实。</w:t>
      </w:r>
      <w:r>
        <w:rPr>
          <w:rFonts w:hint="eastAsia" w:eastAsia="仿宋_GB2312" w:cs="仿宋_GB2312"/>
          <w:b w:val="0"/>
          <w:bCs w:val="0"/>
          <w:kern w:val="0"/>
          <w:position w:val="0"/>
          <w:sz w:val="32"/>
          <w:szCs w:val="32"/>
          <w:highlight w:val="none"/>
          <w:lang w:val="en-US" w:eastAsia="zh-CN" w:bidi="ar-SA"/>
        </w:rPr>
        <w:t>自评合格。</w:t>
      </w:r>
    </w:p>
    <w:p w14:paraId="3EBAD4BC">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仿宋_GB2312" w:eastAsia="仿宋_GB2312"/>
          <w:sz w:val="32"/>
          <w:szCs w:val="32"/>
          <w:lang w:val="en-US" w:eastAsia="zh-CN"/>
        </w:rPr>
        <w:t>2023年区应急管理局收到下拨专项资金后，采取项目招投标等方式，由中标的四川安平达煤矿安全网络科技公司实施</w:t>
      </w:r>
      <w:r>
        <w:rPr>
          <w:rFonts w:hint="eastAsia" w:ascii="仿宋_GB2312" w:eastAsia="仿宋_GB2312"/>
          <w:sz w:val="32"/>
          <w:szCs w:val="32"/>
        </w:rPr>
        <w:t>煤矿安全风险监测预警系统和瓦斯监控平台建设</w:t>
      </w:r>
      <w:r>
        <w:rPr>
          <w:rFonts w:hint="eastAsia" w:ascii="仿宋_GB2312" w:eastAsia="仿宋_GB2312"/>
          <w:sz w:val="32"/>
          <w:szCs w:val="32"/>
          <w:lang w:val="en-US" w:eastAsia="zh-CN"/>
        </w:rPr>
        <w:t>项目</w:t>
      </w:r>
      <w:r>
        <w:rPr>
          <w:rFonts w:hint="eastAsia" w:ascii="仿宋_GB2312" w:eastAsia="仿宋_GB2312"/>
          <w:sz w:val="32"/>
          <w:szCs w:val="32"/>
          <w:lang w:eastAsia="zh-CN"/>
        </w:rPr>
        <w:t>，</w:t>
      </w:r>
      <w:r>
        <w:rPr>
          <w:rFonts w:hint="eastAsia" w:ascii="仿宋_GB2312" w:eastAsia="仿宋_GB2312"/>
          <w:sz w:val="32"/>
          <w:szCs w:val="32"/>
          <w:lang w:val="en-US" w:eastAsia="zh-CN"/>
        </w:rPr>
        <w:t>并于2023年12月8日与四川安平达煤矿安全网络科技公司签订《攀枝花市仁和区</w:t>
      </w:r>
      <w:r>
        <w:rPr>
          <w:rFonts w:hint="eastAsia" w:ascii="仿宋_GB2312" w:eastAsia="仿宋_GB2312"/>
          <w:sz w:val="32"/>
          <w:szCs w:val="32"/>
        </w:rPr>
        <w:t>煤矿安全风险监测预警系统和瓦斯监控平台</w:t>
      </w:r>
      <w:r>
        <w:rPr>
          <w:rFonts w:hint="eastAsia" w:ascii="仿宋_GB2312" w:eastAsia="仿宋_GB2312"/>
          <w:sz w:val="32"/>
          <w:szCs w:val="32"/>
          <w:lang w:val="en-US" w:eastAsia="zh-CN"/>
        </w:rPr>
        <w:t>建设项目采购服务合同》（合同编号APD20231208），于2025年1月17日完成建设并通过验收</w:t>
      </w:r>
      <w:r>
        <w:rPr>
          <w:rFonts w:hint="eastAsia" w:ascii="Times New Roman" w:hAnsi="Times New Roman"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自评合格。</w:t>
      </w:r>
    </w:p>
    <w:p w14:paraId="75D979A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w:t>
      </w:r>
      <w:r>
        <w:rPr>
          <w:rFonts w:hint="eastAsia" w:eastAsia="仿宋_GB2312" w:cs="仿宋_GB2312"/>
          <w:b w:val="0"/>
          <w:bCs w:val="0"/>
          <w:kern w:val="0"/>
          <w:position w:val="0"/>
          <w:sz w:val="32"/>
          <w:szCs w:val="32"/>
          <w:highlight w:val="none"/>
          <w:lang w:val="en-US" w:eastAsia="zh-CN" w:bidi="ar-SA"/>
        </w:rPr>
        <w:t>仁和区</w:t>
      </w:r>
      <w:r>
        <w:rPr>
          <w:rFonts w:hint="eastAsia" w:ascii="仿宋_GB2312" w:eastAsia="仿宋_GB2312"/>
          <w:sz w:val="32"/>
          <w:szCs w:val="32"/>
        </w:rPr>
        <w:t>煤矿安全风险监测预警系统和瓦斯监控平台建设</w:t>
      </w:r>
      <w:r>
        <w:rPr>
          <w:rFonts w:hint="eastAsia" w:ascii="仿宋_GB2312" w:eastAsia="仿宋_GB2312"/>
          <w:sz w:val="32"/>
          <w:szCs w:val="32"/>
          <w:lang w:val="en-US" w:eastAsia="zh-CN"/>
        </w:rPr>
        <w:t>项目顺利完工，目前系统运行稳定，数据上传及时、精准</w:t>
      </w:r>
      <w:r>
        <w:rPr>
          <w:rFonts w:hint="eastAsia" w:ascii="Times New Roman" w:hAnsi="Times New Roman" w:eastAsia="仿宋_GB2312" w:cs="仿宋_GB2312"/>
          <w:b w:val="0"/>
          <w:bCs w:val="0"/>
          <w:kern w:val="0"/>
          <w:position w:val="0"/>
          <w:sz w:val="32"/>
          <w:szCs w:val="32"/>
          <w:highlight w:val="none"/>
          <w:lang w:val="zh-CN" w:eastAsia="zh-CN" w:bidi="ar-SA"/>
        </w:rPr>
        <w:t>。</w:t>
      </w:r>
      <w:r>
        <w:rPr>
          <w:rFonts w:hint="eastAsia" w:eastAsia="仿宋_GB2312" w:cs="仿宋_GB2312"/>
          <w:b w:val="0"/>
          <w:bCs w:val="0"/>
          <w:kern w:val="0"/>
          <w:position w:val="0"/>
          <w:sz w:val="32"/>
          <w:szCs w:val="32"/>
          <w:highlight w:val="none"/>
          <w:lang w:val="en-US" w:eastAsia="zh-CN" w:bidi="ar-SA"/>
        </w:rPr>
        <w:t>自评合格。</w:t>
      </w:r>
    </w:p>
    <w:p w14:paraId="4B1F523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709105E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仿宋_GB2312"/>
          <w:b w:val="0"/>
          <w:bCs w:val="0"/>
          <w:kern w:val="0"/>
          <w:position w:val="0"/>
          <w:sz w:val="32"/>
          <w:szCs w:val="32"/>
          <w:highlight w:val="none"/>
          <w:lang w:val="zh-CN"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1.产业符合性。根据《四川煤矿安全监察局四川省应急管理厅关于加快推进全省煤矿安全风险预警监测系统建设工作的通知》（川煤监函〔2020〕22号）要求，以及全国一体化在线政务服务平台和国家“互联网+监管”的有关要求</w:t>
      </w:r>
      <w:r>
        <w:rPr>
          <w:rFonts w:hint="eastAsia" w:eastAsia="仿宋_GB2312" w:cs="仿宋_GB2312"/>
          <w:b w:val="0"/>
          <w:bCs w:val="0"/>
          <w:kern w:val="0"/>
          <w:position w:val="0"/>
          <w:sz w:val="32"/>
          <w:szCs w:val="32"/>
          <w:highlight w:val="none"/>
          <w:lang w:val="zh-CN" w:eastAsia="zh-CN" w:bidi="ar-SA"/>
        </w:rPr>
        <w:t>，</w:t>
      </w:r>
      <w:r>
        <w:rPr>
          <w:rFonts w:hint="default" w:ascii="Times New Roman" w:hAnsi="Times New Roman" w:eastAsia="仿宋_GB2312" w:cs="仿宋_GB2312"/>
          <w:b w:val="0"/>
          <w:bCs w:val="0"/>
          <w:kern w:val="0"/>
          <w:position w:val="0"/>
          <w:sz w:val="32"/>
          <w:szCs w:val="32"/>
          <w:highlight w:val="none"/>
          <w:lang w:val="zh-CN" w:eastAsia="zh-CN" w:bidi="ar-SA"/>
        </w:rPr>
        <w:t>为加快煤矿安全风险监测预警系统建设，不断提升煤矿安全监管的信息化、网络化、智能化水平</w:t>
      </w:r>
      <w:r>
        <w:rPr>
          <w:rFonts w:hint="eastAsia" w:eastAsia="仿宋_GB2312" w:cs="仿宋_GB2312"/>
          <w:b w:val="0"/>
          <w:bCs w:val="0"/>
          <w:kern w:val="0"/>
          <w:position w:val="0"/>
          <w:sz w:val="32"/>
          <w:szCs w:val="32"/>
          <w:highlight w:val="none"/>
          <w:lang w:val="zh-CN" w:eastAsia="zh-CN" w:bidi="ar-SA"/>
        </w:rPr>
        <w:t>，</w:t>
      </w:r>
      <w:r>
        <w:rPr>
          <w:rFonts w:hint="default" w:ascii="Times New Roman" w:hAnsi="Times New Roman" w:eastAsia="仿宋_GB2312" w:cs="仿宋_GB2312"/>
          <w:b w:val="0"/>
          <w:bCs w:val="0"/>
          <w:kern w:val="0"/>
          <w:position w:val="0"/>
          <w:sz w:val="32"/>
          <w:szCs w:val="32"/>
          <w:highlight w:val="none"/>
          <w:lang w:val="zh-CN" w:eastAsia="zh-CN" w:bidi="ar-SA"/>
        </w:rPr>
        <w:t>有效防范化解重大安全风险</w:t>
      </w:r>
      <w:r>
        <w:rPr>
          <w:rFonts w:hint="eastAsia" w:eastAsia="仿宋_GB2312" w:cs="仿宋_GB2312"/>
          <w:b w:val="0"/>
          <w:bCs w:val="0"/>
          <w:kern w:val="0"/>
          <w:position w:val="0"/>
          <w:sz w:val="32"/>
          <w:szCs w:val="32"/>
          <w:highlight w:val="none"/>
          <w:lang w:val="zh-CN" w:eastAsia="zh-CN" w:bidi="ar-SA"/>
        </w:rPr>
        <w:t>，</w:t>
      </w:r>
      <w:r>
        <w:rPr>
          <w:rFonts w:hint="default" w:ascii="Times New Roman" w:hAnsi="Times New Roman" w:eastAsia="仿宋_GB2312" w:cs="仿宋_GB2312"/>
          <w:b w:val="0"/>
          <w:bCs w:val="0"/>
          <w:kern w:val="0"/>
          <w:position w:val="0"/>
          <w:sz w:val="32"/>
          <w:szCs w:val="32"/>
          <w:highlight w:val="none"/>
          <w:lang w:val="zh-CN" w:eastAsia="zh-CN" w:bidi="ar-SA"/>
        </w:rPr>
        <w:t>遏制重特大事故发生。自评</w:t>
      </w:r>
      <w:r>
        <w:rPr>
          <w:rFonts w:hint="eastAsia" w:ascii="Times New Roman" w:hAnsi="Times New Roman" w:eastAsia="仿宋_GB2312" w:cs="仿宋_GB2312"/>
          <w:b w:val="0"/>
          <w:bCs w:val="0"/>
          <w:kern w:val="0"/>
          <w:position w:val="0"/>
          <w:sz w:val="32"/>
          <w:szCs w:val="32"/>
          <w:highlight w:val="none"/>
          <w:lang w:val="en-US" w:eastAsia="zh-CN" w:bidi="ar-SA"/>
        </w:rPr>
        <w:t>合格</w:t>
      </w:r>
      <w:r>
        <w:rPr>
          <w:rFonts w:hint="default" w:ascii="Times New Roman" w:hAnsi="Times New Roman" w:eastAsia="仿宋_GB2312" w:cs="仿宋_GB2312"/>
          <w:b w:val="0"/>
          <w:bCs w:val="0"/>
          <w:kern w:val="0"/>
          <w:position w:val="0"/>
          <w:sz w:val="32"/>
          <w:szCs w:val="32"/>
          <w:highlight w:val="none"/>
          <w:lang w:val="zh-CN" w:eastAsia="zh-CN" w:bidi="ar-SA"/>
        </w:rPr>
        <w:t>。</w:t>
      </w:r>
    </w:p>
    <w:p w14:paraId="535F8EE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仿宋_GB2312"/>
          <w:b w:val="0"/>
          <w:bCs w:val="0"/>
          <w:kern w:val="0"/>
          <w:position w:val="0"/>
          <w:sz w:val="32"/>
          <w:szCs w:val="32"/>
          <w:highlight w:val="none"/>
          <w:lang w:val="zh-CN"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2.用途合规性。仁和区建设煤矿安全风险监测预警系统和瓦斯监控平台后，对辖区煤矿瓦斯系统、人员定位系统以及安全风险等进行远程在线监控，有效预防安全事故的发生。自评</w:t>
      </w:r>
      <w:r>
        <w:rPr>
          <w:rFonts w:hint="eastAsia" w:ascii="Times New Roman" w:hAnsi="Times New Roman" w:eastAsia="仿宋_GB2312" w:cs="仿宋_GB2312"/>
          <w:b w:val="0"/>
          <w:bCs w:val="0"/>
          <w:kern w:val="0"/>
          <w:position w:val="0"/>
          <w:sz w:val="32"/>
          <w:szCs w:val="32"/>
          <w:highlight w:val="none"/>
          <w:lang w:val="en-US" w:eastAsia="zh-CN" w:bidi="ar-SA"/>
        </w:rPr>
        <w:t>合格</w:t>
      </w:r>
      <w:r>
        <w:rPr>
          <w:rFonts w:hint="default" w:ascii="Times New Roman" w:hAnsi="Times New Roman" w:eastAsia="仿宋_GB2312" w:cs="仿宋_GB2312"/>
          <w:b w:val="0"/>
          <w:bCs w:val="0"/>
          <w:kern w:val="0"/>
          <w:position w:val="0"/>
          <w:sz w:val="32"/>
          <w:szCs w:val="32"/>
          <w:highlight w:val="none"/>
          <w:lang w:val="zh-CN" w:eastAsia="zh-CN" w:bidi="ar-SA"/>
        </w:rPr>
        <w:t>。</w:t>
      </w:r>
    </w:p>
    <w:p w14:paraId="22C5ED9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3.程序合规性。仁和区煤矿安全风险监测预警系统和瓦斯监控平台建设所需经费向省应急厅申报项目专项资金75万元（资金使用期限为1年），省应急厅已下达项目预算资金75万元，并通过市财政下拨区财政。仁和区应急管理局财务管理制度健全，执行财务管理制度严格，在煤矿安全风险监测预警系统和瓦斯监控平台建设项目上由局长全面领导，分管副局长抓落实。为加快完成仁和区煤矿安全风险监测预警系统和瓦斯监控平台建设，区应急管理局结合仁和区煤矿安全风险监测预警系统和瓦斯监控平台建设实际需要，多方进行市场了解，并严把招投标关，采取招投标方式确定了四川安平达煤矿安全网络科技公司负责项目建设，签订了《攀枝花市仁和区煤矿安全风险监测预警系统和瓦斯监控平台建设项目采购服务合同》。自评</w:t>
      </w:r>
      <w:r>
        <w:rPr>
          <w:rFonts w:hint="eastAsia" w:ascii="Times New Roman" w:hAnsi="Times New Roman" w:eastAsia="仿宋_GB2312" w:cs="仿宋_GB2312"/>
          <w:b w:val="0"/>
          <w:bCs w:val="0"/>
          <w:kern w:val="0"/>
          <w:position w:val="0"/>
          <w:sz w:val="32"/>
          <w:szCs w:val="32"/>
          <w:highlight w:val="none"/>
          <w:lang w:val="en-US" w:eastAsia="zh-CN" w:bidi="ar-SA"/>
        </w:rPr>
        <w:t>合格</w:t>
      </w:r>
      <w:r>
        <w:rPr>
          <w:rFonts w:hint="default" w:ascii="Times New Roman" w:hAnsi="Times New Roman" w:eastAsia="仿宋_GB2312" w:cs="仿宋_GB2312"/>
          <w:b w:val="0"/>
          <w:bCs w:val="0"/>
          <w:kern w:val="0"/>
          <w:position w:val="0"/>
          <w:sz w:val="32"/>
          <w:szCs w:val="32"/>
          <w:highlight w:val="none"/>
          <w:lang w:val="zh-CN" w:eastAsia="zh-CN" w:bidi="ar-SA"/>
        </w:rPr>
        <w:t>。</w:t>
      </w:r>
    </w:p>
    <w:p w14:paraId="1E3028B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6293003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通过深入贯彻落实《国家煤矿安监局关于加快推进煤矿安全风险监测预警系统建设的指导意见》和《四川煤矿安全监察局四川省应急管理厅关于加快推进全省煤矿安全风险预警监测系统建设工作的通知》（川煤监函〔2020〕22号）要求，仁和区煤矿安全生产形势持续平稳，未发生生产安全事故和亡人事故。自评</w:t>
      </w:r>
      <w:r>
        <w:rPr>
          <w:rFonts w:hint="eastAsia" w:eastAsia="仿宋_GB2312" w:cs="仿宋_GB2312"/>
          <w:b w:val="0"/>
          <w:bCs w:val="0"/>
          <w:kern w:val="0"/>
          <w:position w:val="0"/>
          <w:sz w:val="32"/>
          <w:szCs w:val="32"/>
          <w:highlight w:val="none"/>
          <w:lang w:val="en-US" w:eastAsia="zh-CN" w:bidi="ar-SA"/>
        </w:rPr>
        <w:t>合格</w:t>
      </w:r>
      <w:r>
        <w:rPr>
          <w:rFonts w:hint="eastAsia" w:ascii="Times New Roman" w:hAnsi="Times New Roman" w:eastAsia="仿宋_GB2312" w:cs="仿宋_GB2312"/>
          <w:b w:val="0"/>
          <w:bCs w:val="0"/>
          <w:kern w:val="0"/>
          <w:position w:val="0"/>
          <w:sz w:val="32"/>
          <w:szCs w:val="32"/>
          <w:highlight w:val="none"/>
          <w:lang w:val="zh-CN" w:eastAsia="zh-CN" w:bidi="ar-SA"/>
        </w:rPr>
        <w:t>。</w:t>
      </w:r>
    </w:p>
    <w:p w14:paraId="232CC6C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4ACE995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本次主要按照资金拨付使用情况和项目进度等进行自评，资金管理制度健全、责任明确，</w:t>
      </w:r>
      <w:r>
        <w:rPr>
          <w:rFonts w:hint="eastAsia" w:eastAsia="仿宋_GB2312" w:cs="仿宋_GB2312"/>
          <w:b w:val="0"/>
          <w:bCs w:val="0"/>
          <w:kern w:val="0"/>
          <w:position w:val="0"/>
          <w:sz w:val="32"/>
          <w:szCs w:val="32"/>
          <w:highlight w:val="none"/>
          <w:lang w:val="en-US" w:eastAsia="zh-CN" w:bidi="ar-SA"/>
        </w:rPr>
        <w:t>项目圆满完工，系统运行正常。</w:t>
      </w:r>
      <w:r>
        <w:rPr>
          <w:rFonts w:hint="eastAsia" w:ascii="Times New Roman" w:hAnsi="Times New Roman" w:eastAsia="仿宋_GB2312" w:cs="仿宋_GB2312"/>
          <w:b w:val="0"/>
          <w:bCs w:val="0"/>
          <w:kern w:val="0"/>
          <w:position w:val="0"/>
          <w:sz w:val="32"/>
          <w:szCs w:val="32"/>
          <w:highlight w:val="none"/>
          <w:lang w:val="en-US" w:eastAsia="zh-CN" w:bidi="ar-SA"/>
        </w:rPr>
        <w:t>自评合格。</w:t>
      </w:r>
    </w:p>
    <w:p w14:paraId="038BBAA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2EB89F9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因财政资金拨付因素影响，攀枝花市仁和区煤矿安全风险监测预警系统和瓦斯监控平台建设项目合同履行滞后于工作计划，项目超时完成。</w:t>
      </w:r>
    </w:p>
    <w:p w14:paraId="2BCB2CC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065CF159">
      <w:pPr>
        <w:pStyle w:val="13"/>
        <w:rPr>
          <w:rFonts w:hint="eastAsia"/>
          <w:lang w:val="en-US" w:eastAsia="zh-CN"/>
        </w:rPr>
      </w:pPr>
      <w:r>
        <w:rPr>
          <w:rFonts w:hint="eastAsia" w:eastAsia="仿宋_GB2312" w:cs="仿宋_GB2312"/>
          <w:b w:val="0"/>
          <w:bCs w:val="0"/>
          <w:kern w:val="0"/>
          <w:position w:val="0"/>
          <w:sz w:val="32"/>
          <w:szCs w:val="32"/>
          <w:highlight w:val="none"/>
          <w:lang w:val="en-US" w:eastAsia="zh-CN" w:bidi="ar-SA"/>
        </w:rPr>
        <w:t>今后在项目实施后，</w:t>
      </w:r>
      <w:r>
        <w:rPr>
          <w:rFonts w:hint="eastAsia" w:ascii="Times New Roman" w:hAnsi="Times New Roman" w:eastAsia="仿宋_GB2312" w:cs="仿宋_GB2312"/>
          <w:b w:val="0"/>
          <w:bCs w:val="0"/>
          <w:kern w:val="0"/>
          <w:position w:val="0"/>
          <w:sz w:val="32"/>
          <w:szCs w:val="32"/>
          <w:highlight w:val="none"/>
          <w:lang w:val="en-US" w:eastAsia="zh-CN" w:bidi="ar-SA"/>
        </w:rPr>
        <w:t>积极加强和区财政的协调汇报，按照合同约定加快拨付项目建设资金，</w:t>
      </w:r>
      <w:r>
        <w:rPr>
          <w:rFonts w:hint="eastAsia" w:eastAsia="仿宋_GB2312" w:cs="仿宋_GB2312"/>
          <w:b w:val="0"/>
          <w:bCs w:val="0"/>
          <w:kern w:val="0"/>
          <w:position w:val="0"/>
          <w:sz w:val="32"/>
          <w:szCs w:val="32"/>
          <w:highlight w:val="none"/>
          <w:lang w:val="en-US" w:eastAsia="zh-CN" w:bidi="ar-SA"/>
        </w:rPr>
        <w:t>按期</w:t>
      </w:r>
      <w:r>
        <w:rPr>
          <w:rFonts w:hint="eastAsia" w:ascii="Times New Roman" w:hAnsi="Times New Roman" w:eastAsia="仿宋_GB2312" w:cs="仿宋_GB2312"/>
          <w:b w:val="0"/>
          <w:bCs w:val="0"/>
          <w:kern w:val="0"/>
          <w:position w:val="0"/>
          <w:sz w:val="32"/>
          <w:szCs w:val="32"/>
          <w:highlight w:val="none"/>
          <w:lang w:val="en-US" w:eastAsia="zh-CN" w:bidi="ar-SA"/>
        </w:rPr>
        <w:t>推进项目</w:t>
      </w:r>
      <w:r>
        <w:rPr>
          <w:rFonts w:hint="eastAsia" w:eastAsia="仿宋_GB2312" w:cs="仿宋_GB2312"/>
          <w:b w:val="0"/>
          <w:bCs w:val="0"/>
          <w:kern w:val="0"/>
          <w:position w:val="0"/>
          <w:sz w:val="32"/>
          <w:szCs w:val="32"/>
          <w:highlight w:val="none"/>
          <w:lang w:val="en-US" w:eastAsia="zh-CN" w:bidi="ar-SA"/>
        </w:rPr>
        <w:t>落实</w:t>
      </w:r>
      <w:r>
        <w:rPr>
          <w:rFonts w:hint="eastAsia" w:ascii="Times New Roman" w:hAnsi="Times New Roman" w:eastAsia="仿宋_GB2312" w:cs="仿宋_GB2312"/>
          <w:b w:val="0"/>
          <w:bCs w:val="0"/>
          <w:kern w:val="0"/>
          <w:position w:val="0"/>
          <w:sz w:val="32"/>
          <w:szCs w:val="32"/>
          <w:highlight w:val="none"/>
          <w:lang w:val="en-US" w:eastAsia="zh-CN" w:bidi="ar-SA"/>
        </w:rPr>
        <w:t>。</w:t>
      </w:r>
    </w:p>
    <w:p w14:paraId="1A426E9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0792A9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A43C4F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C9CD6C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BC8139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D717C2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1BE7CC5">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1EA529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E2A63E0">
      <w:pPr>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5EF878ED">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8AF763D">
      <w:pPr>
        <w:spacing w:line="600" w:lineRule="exact"/>
        <w:jc w:val="center"/>
        <w:rPr>
          <w:rFonts w:eastAsia="方正小标宋简体"/>
          <w:sz w:val="40"/>
          <w:szCs w:val="40"/>
          <w:lang w:val="zh-CN"/>
        </w:rPr>
      </w:pPr>
      <w:r>
        <w:rPr>
          <w:rFonts w:eastAsia="方正小标宋简体"/>
          <w:sz w:val="40"/>
          <w:szCs w:val="40"/>
          <w:lang w:val="zh-CN"/>
        </w:rPr>
        <w:t>专项预算项目支出绩效自评报告</w:t>
      </w:r>
    </w:p>
    <w:p w14:paraId="6BA4E84C">
      <w:pPr>
        <w:spacing w:line="240" w:lineRule="auto"/>
        <w:ind w:firstLine="0"/>
        <w:jc w:val="center"/>
        <w:rPr>
          <w:rFonts w:hint="eastAsia" w:ascii="方正小标宋简体" w:hAnsi="方正小标宋简体" w:eastAsia="方正小标宋简体" w:cs="方正小标宋简体"/>
          <w:color w:val="auto"/>
          <w:w w:val="90"/>
          <w:kern w:val="2"/>
          <w:sz w:val="32"/>
          <w:szCs w:val="32"/>
          <w:lang w:val="zh-CN" w:eastAsia="zh-CN" w:bidi="ar-SA"/>
        </w:rPr>
      </w:pPr>
      <w:r>
        <w:rPr>
          <w:rFonts w:hint="eastAsia" w:ascii="方正小标宋简体" w:hAnsi="方正小标宋简体" w:eastAsia="方正小标宋简体" w:cs="方正小标宋简体"/>
          <w:color w:val="auto"/>
          <w:w w:val="90"/>
          <w:kern w:val="2"/>
          <w:sz w:val="32"/>
          <w:szCs w:val="32"/>
          <w:lang w:val="zh-CN" w:eastAsia="zh-CN" w:bidi="ar-SA"/>
        </w:rPr>
        <w:t>（2021年省级安全生产专项资金第二批</w:t>
      </w:r>
      <w:r>
        <w:rPr>
          <w:rFonts w:hint="default" w:ascii="Times New Roman" w:hAnsi="Times New Roman" w:eastAsia="方正小标宋简体" w:cs="Times New Roman"/>
          <w:color w:val="auto"/>
          <w:w w:val="90"/>
          <w:kern w:val="2"/>
          <w:sz w:val="32"/>
          <w:szCs w:val="32"/>
          <w:lang w:val="zh-CN" w:eastAsia="zh-CN" w:bidi="ar-SA"/>
        </w:rPr>
        <w:t>·</w:t>
      </w:r>
      <w:r>
        <w:rPr>
          <w:rFonts w:hint="eastAsia" w:ascii="方正小标宋简体" w:hAnsi="方正小标宋简体" w:eastAsia="方正小标宋简体" w:cs="方正小标宋简体"/>
          <w:color w:val="auto"/>
          <w:w w:val="90"/>
          <w:kern w:val="2"/>
          <w:sz w:val="32"/>
          <w:szCs w:val="32"/>
          <w:lang w:val="zh-CN" w:eastAsia="zh-CN" w:bidi="ar-SA"/>
        </w:rPr>
        <w:t>执法能力提升）</w:t>
      </w:r>
    </w:p>
    <w:p w14:paraId="15FBC4B1">
      <w:pPr>
        <w:adjustRightInd w:val="0"/>
        <w:snapToGrid w:val="0"/>
        <w:spacing w:line="600" w:lineRule="exact"/>
        <w:ind w:firstLine="720"/>
        <w:rPr>
          <w:rFonts w:eastAsia="黑体"/>
          <w:sz w:val="32"/>
          <w:szCs w:val="32"/>
          <w:lang w:val="zh-CN"/>
        </w:rPr>
      </w:pPr>
      <w:r>
        <w:rPr>
          <w:rFonts w:eastAsia="黑体"/>
          <w:sz w:val="32"/>
          <w:szCs w:val="32"/>
        </w:rPr>
        <w:t>一、</w:t>
      </w:r>
      <w:r>
        <w:rPr>
          <w:rFonts w:eastAsia="黑体"/>
          <w:sz w:val="32"/>
          <w:szCs w:val="32"/>
          <w:lang w:val="zh-CN"/>
        </w:rPr>
        <w:t>项目概况</w:t>
      </w:r>
    </w:p>
    <w:p w14:paraId="67AE0026">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（一）项目基本情况。</w:t>
      </w:r>
    </w:p>
    <w:p w14:paraId="284B6384">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1.</w:t>
      </w:r>
      <w:r>
        <w:rPr>
          <w:rFonts w:eastAsia="仿宋_GB2312"/>
          <w:sz w:val="32"/>
          <w:szCs w:val="32"/>
          <w:lang w:val="zh-CN"/>
        </w:rPr>
        <w:t>说明项目主管部门（单位）在该项目管理中的职能。</w:t>
      </w:r>
    </w:p>
    <w:p w14:paraId="26913AB2">
      <w:pPr>
        <w:adjustRightInd w:val="0"/>
        <w:snapToGrid w:val="0"/>
        <w:spacing w:line="600" w:lineRule="exact"/>
        <w:ind w:firstLine="720"/>
        <w:rPr>
          <w:rFonts w:eastAsia="仿宋_GB2312"/>
          <w:sz w:val="32"/>
          <w:szCs w:val="32"/>
          <w:lang w:val="zh-CN"/>
        </w:rPr>
      </w:pPr>
      <w:r>
        <w:rPr>
          <w:rFonts w:eastAsia="仿宋_GB2312"/>
          <w:sz w:val="32"/>
          <w:szCs w:val="32"/>
          <w:lang w:val="zh-CN"/>
        </w:rPr>
        <w:t>2.项目立项、资金申报的依据。</w:t>
      </w:r>
    </w:p>
    <w:p w14:paraId="451F100D">
      <w:pPr>
        <w:adjustRightInd w:val="0"/>
        <w:snapToGrid w:val="0"/>
        <w:spacing w:line="600" w:lineRule="exact"/>
        <w:ind w:firstLine="720"/>
        <w:rPr>
          <w:rFonts w:eastAsia="仿宋_GB2312"/>
          <w:sz w:val="32"/>
          <w:szCs w:val="32"/>
          <w:lang w:val="zh-CN"/>
        </w:rPr>
      </w:pPr>
      <w:r>
        <w:rPr>
          <w:rFonts w:hint="eastAsia" w:eastAsia="仿宋_GB2312"/>
          <w:sz w:val="32"/>
          <w:szCs w:val="32"/>
          <w:lang w:val="zh-CN"/>
        </w:rPr>
        <w:t>3.</w:t>
      </w:r>
      <w:r>
        <w:rPr>
          <w:rFonts w:eastAsia="仿宋_GB2312"/>
          <w:sz w:val="32"/>
          <w:szCs w:val="32"/>
          <w:lang w:val="zh-CN"/>
        </w:rPr>
        <w:t>资金管理办法制定情况，资金支持具体项目的条件、范围与支持方式概况。</w:t>
      </w:r>
    </w:p>
    <w:p w14:paraId="0960C133">
      <w:pPr>
        <w:adjustRightInd w:val="0"/>
        <w:snapToGrid w:val="0"/>
        <w:spacing w:line="600" w:lineRule="exact"/>
        <w:ind w:firstLine="720"/>
        <w:rPr>
          <w:rFonts w:eastAsia="仿宋_GB2312"/>
          <w:sz w:val="32"/>
          <w:szCs w:val="32"/>
          <w:lang w:val="zh-CN"/>
        </w:rPr>
      </w:pPr>
      <w:r>
        <w:rPr>
          <w:rFonts w:eastAsia="仿宋_GB2312"/>
          <w:sz w:val="32"/>
          <w:szCs w:val="32"/>
          <w:lang w:val="zh-CN"/>
        </w:rPr>
        <w:t>4.资金分配的原则及考虑因素。</w:t>
      </w:r>
    </w:p>
    <w:p w14:paraId="008681E2">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（二）项目绩效目标。</w:t>
      </w:r>
    </w:p>
    <w:p w14:paraId="3F5D897F">
      <w:pPr>
        <w:adjustRightInd w:val="0"/>
        <w:snapToGrid w:val="0"/>
        <w:spacing w:line="600" w:lineRule="exact"/>
        <w:ind w:firstLine="720"/>
        <w:rPr>
          <w:rFonts w:eastAsia="仿宋_GB2312"/>
          <w:sz w:val="32"/>
          <w:szCs w:val="32"/>
          <w:lang w:val="zh-CN"/>
        </w:rPr>
      </w:pPr>
      <w:r>
        <w:rPr>
          <w:rFonts w:eastAsia="仿宋_GB2312"/>
          <w:sz w:val="32"/>
          <w:szCs w:val="32"/>
          <w:lang w:val="zh-CN"/>
        </w:rPr>
        <w:t>1.项目主要内容。</w:t>
      </w:r>
    </w:p>
    <w:p w14:paraId="45323344">
      <w:pPr>
        <w:adjustRightInd w:val="0"/>
        <w:snapToGrid w:val="0"/>
        <w:spacing w:line="600" w:lineRule="exact"/>
        <w:ind w:firstLine="720"/>
        <w:rPr>
          <w:rFonts w:eastAsia="仿宋_GB2312"/>
          <w:sz w:val="32"/>
          <w:szCs w:val="32"/>
          <w:lang w:val="zh-CN"/>
        </w:rPr>
      </w:pPr>
      <w:r>
        <w:rPr>
          <w:rFonts w:eastAsia="仿宋_GB2312"/>
          <w:sz w:val="32"/>
          <w:szCs w:val="32"/>
          <w:lang w:val="zh-CN"/>
        </w:rPr>
        <w:t>2.项目应实现的具体绩效目标，包括目标的量化、细化情况以及项目实施进度计划等。</w:t>
      </w:r>
    </w:p>
    <w:p w14:paraId="52C7B633">
      <w:pPr>
        <w:adjustRightInd w:val="0"/>
        <w:snapToGrid w:val="0"/>
        <w:spacing w:line="600" w:lineRule="exact"/>
        <w:ind w:firstLine="720"/>
        <w:rPr>
          <w:rFonts w:eastAsia="仿宋_GB2312"/>
          <w:sz w:val="32"/>
          <w:szCs w:val="32"/>
          <w:lang w:val="zh-CN"/>
        </w:rPr>
      </w:pPr>
      <w:r>
        <w:rPr>
          <w:rFonts w:eastAsia="仿宋_GB2312"/>
          <w:sz w:val="32"/>
          <w:szCs w:val="32"/>
          <w:lang w:val="zh-CN"/>
        </w:rPr>
        <w:t>3.分析评价申报内容是否与实际相符，申报目标是否合理可行。</w:t>
      </w:r>
    </w:p>
    <w:p w14:paraId="78E0AEBE">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（三）项目自评步骤及方法。</w:t>
      </w:r>
    </w:p>
    <w:p w14:paraId="55F2EA66">
      <w:pPr>
        <w:adjustRightInd w:val="0"/>
        <w:snapToGrid w:val="0"/>
        <w:spacing w:line="600" w:lineRule="exact"/>
        <w:ind w:firstLine="720"/>
        <w:rPr>
          <w:rFonts w:eastAsia="仿宋_GB2312"/>
          <w:sz w:val="32"/>
          <w:szCs w:val="32"/>
          <w:lang w:val="zh-CN"/>
        </w:rPr>
      </w:pPr>
      <w:r>
        <w:rPr>
          <w:rFonts w:eastAsia="仿宋_GB2312"/>
          <w:sz w:val="32"/>
          <w:szCs w:val="32"/>
          <w:lang w:val="zh-CN"/>
        </w:rPr>
        <w:t>说明项目绩效自评采用的组织实施步骤及方法。</w:t>
      </w:r>
    </w:p>
    <w:p w14:paraId="22B3E155">
      <w:pPr>
        <w:adjustRightInd w:val="0"/>
        <w:snapToGrid w:val="0"/>
        <w:spacing w:line="600" w:lineRule="exact"/>
        <w:ind w:firstLine="720"/>
        <w:rPr>
          <w:rFonts w:eastAsia="黑体"/>
          <w:sz w:val="32"/>
          <w:szCs w:val="32"/>
        </w:rPr>
      </w:pPr>
      <w:r>
        <w:rPr>
          <w:rFonts w:eastAsia="黑体"/>
          <w:sz w:val="32"/>
          <w:szCs w:val="32"/>
        </w:rPr>
        <w:t>二、项目资金申报及使用情况</w:t>
      </w:r>
    </w:p>
    <w:p w14:paraId="3784793E">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（一）项目资金申报及批复情况。</w:t>
      </w:r>
    </w:p>
    <w:p w14:paraId="4295163E">
      <w:pPr>
        <w:adjustRightInd w:val="0"/>
        <w:snapToGrid w:val="0"/>
        <w:spacing w:line="600" w:lineRule="exact"/>
        <w:ind w:firstLine="720"/>
        <w:rPr>
          <w:rFonts w:eastAsia="仿宋_GB2312"/>
          <w:sz w:val="32"/>
          <w:szCs w:val="32"/>
          <w:lang w:val="zh-CN"/>
        </w:rPr>
      </w:pPr>
      <w:r>
        <w:rPr>
          <w:rFonts w:eastAsia="仿宋_GB2312"/>
          <w:sz w:val="32"/>
          <w:szCs w:val="32"/>
          <w:lang w:val="zh-CN"/>
        </w:rPr>
        <w:t>说明项目资金申报、批复及预算调整等程序的相关情况。</w:t>
      </w:r>
    </w:p>
    <w:p w14:paraId="37558738">
      <w:pPr>
        <w:adjustRightInd w:val="0"/>
        <w:snapToGrid w:val="0"/>
        <w:spacing w:line="600" w:lineRule="exact"/>
        <w:ind w:firstLine="720"/>
        <w:rPr>
          <w:rFonts w:eastAsia="仿宋_GB2312"/>
          <w:sz w:val="32"/>
          <w:szCs w:val="32"/>
          <w:lang w:val="zh-CN"/>
        </w:rPr>
      </w:pPr>
      <w:r>
        <w:rPr>
          <w:rFonts w:eastAsia="楷体_GB2312"/>
          <w:b/>
          <w:sz w:val="32"/>
          <w:szCs w:val="32"/>
          <w:lang w:val="zh-CN"/>
        </w:rPr>
        <w:t>（二）资金计划、到位及使用情况（可用表格形式反映）。</w:t>
      </w:r>
    </w:p>
    <w:p w14:paraId="53FD6049">
      <w:pPr>
        <w:adjustRightInd w:val="0"/>
        <w:snapToGrid w:val="0"/>
        <w:spacing w:line="600" w:lineRule="exact"/>
        <w:ind w:firstLine="720"/>
        <w:rPr>
          <w:rFonts w:eastAsia="仿宋_GB2312"/>
          <w:sz w:val="32"/>
          <w:szCs w:val="32"/>
          <w:lang w:val="zh-CN"/>
        </w:rPr>
      </w:pPr>
      <w:r>
        <w:rPr>
          <w:rFonts w:hint="eastAsia" w:eastAsia="楷体_GB2312"/>
          <w:sz w:val="32"/>
          <w:szCs w:val="32"/>
          <w:lang w:val="zh-CN"/>
        </w:rPr>
        <w:t>1.</w:t>
      </w:r>
      <w:r>
        <w:rPr>
          <w:rFonts w:eastAsia="楷体_GB2312"/>
          <w:sz w:val="32"/>
          <w:szCs w:val="32"/>
          <w:lang w:val="zh-CN"/>
        </w:rPr>
        <w:t>资金计划。</w:t>
      </w:r>
      <w:r>
        <w:rPr>
          <w:rFonts w:eastAsia="仿宋_GB2312"/>
          <w:sz w:val="32"/>
          <w:szCs w:val="32"/>
          <w:lang w:val="zh-CN"/>
        </w:rPr>
        <w:t>在说明该项目全市资金计划的基础上，分项目大类或县（区）分别说明各类资金计划情况，包括中央、省、市（州）、县（市、区）财政资金、项目单位自筹、其他渠道资金（包括银行贷款及其他资金等）。</w:t>
      </w:r>
    </w:p>
    <w:p w14:paraId="0B21D278">
      <w:pPr>
        <w:adjustRightInd w:val="0"/>
        <w:snapToGrid w:val="0"/>
        <w:spacing w:line="600" w:lineRule="exact"/>
        <w:ind w:firstLine="720"/>
        <w:rPr>
          <w:rFonts w:eastAsia="仿宋_GB2312"/>
          <w:sz w:val="32"/>
          <w:szCs w:val="32"/>
          <w:lang w:val="zh-CN"/>
        </w:rPr>
      </w:pPr>
      <w:r>
        <w:rPr>
          <w:rFonts w:hint="eastAsia" w:eastAsia="楷体_GB2312"/>
          <w:sz w:val="32"/>
          <w:szCs w:val="32"/>
          <w:lang w:val="zh-CN"/>
        </w:rPr>
        <w:t>2.</w:t>
      </w:r>
      <w:r>
        <w:rPr>
          <w:rFonts w:eastAsia="楷体_GB2312"/>
          <w:sz w:val="32"/>
          <w:szCs w:val="32"/>
          <w:lang w:val="zh-CN"/>
        </w:rPr>
        <w:t>资金到位。</w:t>
      </w:r>
      <w:r>
        <w:rPr>
          <w:rFonts w:eastAsia="仿宋_GB2312"/>
          <w:sz w:val="32"/>
          <w:szCs w:val="32"/>
          <w:lang w:val="zh-CN"/>
        </w:rPr>
        <w:t>汇总统计截至评价时点该项目全市资金到位情况。在此基础上分项目大类或县（区）统计各类资金到位情况，包括中央、省、市（州）、县（市、区）财政资金、项目单位自筹及其他渠道资金（包括银行贷款及其他资金等）。将资金到位情况与资金计划进行比对，并重点围绕资金到位率、到位及时性等进行评价，对未到位或到位不及时的情况作出分析说明。</w:t>
      </w:r>
    </w:p>
    <w:p w14:paraId="66B0D36E">
      <w:pPr>
        <w:adjustRightInd w:val="0"/>
        <w:snapToGrid w:val="0"/>
        <w:spacing w:line="600" w:lineRule="exact"/>
        <w:ind w:firstLine="720"/>
        <w:rPr>
          <w:rFonts w:eastAsia="仿宋_GB2312"/>
          <w:sz w:val="32"/>
          <w:szCs w:val="32"/>
          <w:lang w:val="zh-CN"/>
        </w:rPr>
      </w:pPr>
      <w:r>
        <w:rPr>
          <w:rFonts w:hint="eastAsia" w:eastAsia="楷体_GB2312"/>
          <w:sz w:val="32"/>
          <w:szCs w:val="32"/>
          <w:lang w:val="zh-CN"/>
        </w:rPr>
        <w:t>3.</w:t>
      </w:r>
      <w:r>
        <w:rPr>
          <w:rFonts w:eastAsia="楷体_GB2312"/>
          <w:sz w:val="32"/>
          <w:szCs w:val="32"/>
          <w:lang w:val="zh-CN"/>
        </w:rPr>
        <w:t>资金使用。</w:t>
      </w:r>
      <w:r>
        <w:rPr>
          <w:rFonts w:eastAsia="仿宋_GB2312"/>
          <w:sz w:val="32"/>
          <w:szCs w:val="32"/>
          <w:lang w:val="zh-CN"/>
        </w:rPr>
        <w:t>汇总统计截至评价时点该项目全市资金支出情况。在此基础上分项目大类或县（区）统计资金支出情况，并对资金使用的安全性、规范性及有效性进行重点分析，包括资金支付范围、支付标准、支付进度、支付依据等是否合规合法、是否与预算相符，并对自评中发现的相关问题进行分析说明。</w:t>
      </w:r>
    </w:p>
    <w:p w14:paraId="5CB2E510">
      <w:pPr>
        <w:adjustRightInd w:val="0"/>
        <w:snapToGrid w:val="0"/>
        <w:spacing w:line="600" w:lineRule="exact"/>
        <w:ind w:firstLine="720"/>
        <w:rPr>
          <w:rFonts w:eastAsia="楷体_GB2312"/>
          <w:b/>
          <w:sz w:val="32"/>
          <w:szCs w:val="32"/>
          <w:lang w:val="zh-CN"/>
        </w:rPr>
      </w:pPr>
      <w:r>
        <w:rPr>
          <w:rFonts w:eastAsia="楷体_GB2312"/>
          <w:b/>
          <w:sz w:val="32"/>
          <w:szCs w:val="32"/>
          <w:lang w:val="zh-CN"/>
        </w:rPr>
        <w:t>（三）项目财务管理情况。</w:t>
      </w:r>
    </w:p>
    <w:p w14:paraId="006CC2C2">
      <w:pPr>
        <w:adjustRightInd w:val="0"/>
        <w:snapToGrid w:val="0"/>
        <w:spacing w:line="600" w:lineRule="exact"/>
        <w:ind w:firstLine="720"/>
        <w:rPr>
          <w:rFonts w:eastAsia="仿宋_GB2312"/>
          <w:sz w:val="32"/>
          <w:szCs w:val="32"/>
          <w:lang w:val="zh-CN"/>
        </w:rPr>
      </w:pPr>
      <w:r>
        <w:rPr>
          <w:rFonts w:eastAsia="仿宋_GB2312"/>
          <w:sz w:val="32"/>
          <w:szCs w:val="32"/>
          <w:lang w:val="zh-CN"/>
        </w:rPr>
        <w:t>总体评价各项目实施单位财务管理制度是否健全，是否严格执行财务管理制度，账务处理是否及时，会计核算是否规范等。</w:t>
      </w:r>
    </w:p>
    <w:p w14:paraId="694DC2DF">
      <w:pPr>
        <w:adjustRightInd w:val="0"/>
        <w:snapToGrid w:val="0"/>
        <w:spacing w:line="600" w:lineRule="exact"/>
        <w:ind w:firstLine="720"/>
        <w:rPr>
          <w:rFonts w:eastAsia="黑体"/>
          <w:sz w:val="32"/>
          <w:szCs w:val="32"/>
        </w:rPr>
      </w:pPr>
      <w:r>
        <w:rPr>
          <w:rFonts w:eastAsia="黑体"/>
          <w:sz w:val="32"/>
          <w:szCs w:val="32"/>
        </w:rPr>
        <w:t>三、项目实施及管理情况</w:t>
      </w:r>
    </w:p>
    <w:p w14:paraId="1454652F">
      <w:pPr>
        <w:adjustRightInd w:val="0"/>
        <w:snapToGrid w:val="0"/>
        <w:spacing w:line="600" w:lineRule="exact"/>
        <w:ind w:firstLine="720"/>
        <w:rPr>
          <w:rFonts w:eastAsia="仿宋_GB2312"/>
          <w:sz w:val="32"/>
          <w:szCs w:val="32"/>
          <w:lang w:val="zh-CN"/>
        </w:rPr>
      </w:pPr>
      <w:r>
        <w:rPr>
          <w:rFonts w:eastAsia="仿宋_GB2312"/>
          <w:sz w:val="32"/>
          <w:szCs w:val="32"/>
          <w:lang w:val="zh-CN"/>
        </w:rPr>
        <w:t>结合项目组织实施管理办法，重点围绕以下内容进行分析评价，并对自评中发现的问题分析说明。</w:t>
      </w:r>
    </w:p>
    <w:p w14:paraId="54E0BD02">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（一）项目组织架构及实施流程。</w:t>
      </w:r>
    </w:p>
    <w:p w14:paraId="3C49CD13">
      <w:pPr>
        <w:adjustRightInd w:val="0"/>
        <w:snapToGrid w:val="0"/>
        <w:spacing w:line="600" w:lineRule="exact"/>
        <w:ind w:firstLine="720"/>
        <w:rPr>
          <w:rFonts w:eastAsia="仿宋_GB2312"/>
          <w:sz w:val="32"/>
          <w:szCs w:val="32"/>
          <w:lang w:val="zh-CN"/>
        </w:rPr>
      </w:pPr>
      <w:r>
        <w:rPr>
          <w:rFonts w:eastAsia="楷体_GB2312"/>
          <w:b/>
          <w:sz w:val="32"/>
          <w:szCs w:val="32"/>
          <w:lang w:val="zh-CN"/>
        </w:rPr>
        <w:t>（二）项目管理情况。</w:t>
      </w:r>
      <w:r>
        <w:rPr>
          <w:rFonts w:eastAsia="仿宋_GB2312"/>
          <w:sz w:val="32"/>
          <w:szCs w:val="32"/>
          <w:lang w:val="zh-CN"/>
        </w:rPr>
        <w:t>结合项目特点，总体评价各项目实施单位执行相关法律法规及项目管理制度等情况，如招投标、政府采购、项目公示制等相关规定。</w:t>
      </w:r>
    </w:p>
    <w:p w14:paraId="299528ED">
      <w:pPr>
        <w:adjustRightInd w:val="0"/>
        <w:snapToGrid w:val="0"/>
        <w:spacing w:line="600" w:lineRule="exact"/>
        <w:ind w:firstLine="720"/>
        <w:rPr>
          <w:rFonts w:eastAsia="仿宋_GB2312"/>
          <w:sz w:val="32"/>
          <w:szCs w:val="32"/>
          <w:lang w:val="zh-CN"/>
        </w:rPr>
      </w:pPr>
      <w:r>
        <w:rPr>
          <w:rFonts w:eastAsia="楷体_GB2312"/>
          <w:b/>
          <w:sz w:val="32"/>
          <w:szCs w:val="32"/>
          <w:lang w:val="zh-CN"/>
        </w:rPr>
        <w:t>（三）项目监管情况。</w:t>
      </w:r>
      <w:r>
        <w:rPr>
          <w:rFonts w:eastAsia="仿宋_GB2312"/>
          <w:sz w:val="32"/>
          <w:szCs w:val="32"/>
          <w:lang w:val="zh-CN"/>
        </w:rPr>
        <w:t>说明项目主管部门为加强项目管理所采取的监管手段、监管程序、监管工作开展情况及实现的效果等。</w:t>
      </w:r>
    </w:p>
    <w:p w14:paraId="5B12B265">
      <w:pPr>
        <w:adjustRightInd w:val="0"/>
        <w:snapToGrid w:val="0"/>
        <w:spacing w:line="600" w:lineRule="exact"/>
        <w:ind w:firstLine="720"/>
        <w:rPr>
          <w:rFonts w:eastAsia="仿宋_GB2312"/>
          <w:sz w:val="32"/>
          <w:szCs w:val="32"/>
          <w:lang w:val="zh-CN"/>
        </w:rPr>
      </w:pPr>
      <w:r>
        <w:rPr>
          <w:rFonts w:eastAsia="黑体"/>
          <w:sz w:val="32"/>
          <w:szCs w:val="32"/>
        </w:rPr>
        <w:t>四、项目绩效情况</w:t>
      </w:r>
      <w:r>
        <w:rPr>
          <w:rFonts w:eastAsia="仿宋_GB2312"/>
          <w:sz w:val="32"/>
          <w:szCs w:val="32"/>
          <w:lang w:val="zh-CN"/>
        </w:rPr>
        <w:tab/>
      </w:r>
    </w:p>
    <w:p w14:paraId="27E03DD2">
      <w:pPr>
        <w:adjustRightInd w:val="0"/>
        <w:snapToGrid w:val="0"/>
        <w:spacing w:line="600" w:lineRule="exact"/>
        <w:ind w:firstLine="720"/>
        <w:rPr>
          <w:rFonts w:eastAsia="楷体_GB2312"/>
          <w:b/>
          <w:sz w:val="32"/>
          <w:szCs w:val="32"/>
          <w:lang w:val="zh-CN"/>
        </w:rPr>
      </w:pPr>
      <w:r>
        <w:rPr>
          <w:rFonts w:eastAsia="楷体_GB2312"/>
          <w:b/>
          <w:sz w:val="32"/>
          <w:szCs w:val="32"/>
          <w:lang w:val="zh-CN"/>
        </w:rPr>
        <w:t>（一）项目完成情况。</w:t>
      </w:r>
    </w:p>
    <w:p w14:paraId="2A8964E3">
      <w:pPr>
        <w:adjustRightInd w:val="0"/>
        <w:snapToGrid w:val="0"/>
        <w:spacing w:line="600" w:lineRule="exact"/>
        <w:ind w:firstLine="720"/>
        <w:rPr>
          <w:rFonts w:eastAsia="楷体_GB2312"/>
          <w:b/>
          <w:sz w:val="32"/>
          <w:szCs w:val="32"/>
          <w:lang w:val="zh-CN"/>
        </w:rPr>
      </w:pPr>
      <w:r>
        <w:rPr>
          <w:rFonts w:eastAsia="仿宋_GB2312"/>
          <w:sz w:val="32"/>
          <w:szCs w:val="32"/>
          <w:lang w:val="zh-CN"/>
        </w:rPr>
        <w:t>包括项目完成数量、质量、时效、成本等情况，资金结余情况，违规记录等，对照项目计划完成目标，对截至评价时点的任务量完成、质量标准、进度计划、成本控制目标的实现程度进行评价，并进行分析说明。</w:t>
      </w:r>
    </w:p>
    <w:p w14:paraId="1E4F552F">
      <w:pPr>
        <w:adjustRightInd w:val="0"/>
        <w:snapToGrid w:val="0"/>
        <w:spacing w:line="600" w:lineRule="exact"/>
        <w:ind w:firstLine="720"/>
        <w:rPr>
          <w:rFonts w:eastAsia="楷体_GB2312"/>
          <w:b/>
          <w:sz w:val="32"/>
          <w:szCs w:val="32"/>
          <w:lang w:val="zh-CN"/>
        </w:rPr>
      </w:pPr>
      <w:r>
        <w:rPr>
          <w:rFonts w:eastAsia="楷体_GB2312"/>
          <w:b/>
          <w:sz w:val="32"/>
          <w:szCs w:val="32"/>
          <w:lang w:val="zh-CN"/>
        </w:rPr>
        <w:t>（二）项目效益情况。</w:t>
      </w:r>
    </w:p>
    <w:p w14:paraId="61CE048D">
      <w:pPr>
        <w:adjustRightInd w:val="0"/>
        <w:snapToGrid w:val="0"/>
        <w:spacing w:line="600" w:lineRule="exact"/>
        <w:ind w:firstLine="720"/>
        <w:rPr>
          <w:rFonts w:eastAsia="仿宋_GB2312"/>
          <w:sz w:val="32"/>
          <w:szCs w:val="32"/>
          <w:lang w:val="zh-CN"/>
        </w:rPr>
      </w:pPr>
      <w:r>
        <w:rPr>
          <w:rFonts w:eastAsia="仿宋_GB2312"/>
          <w:sz w:val="32"/>
          <w:szCs w:val="32"/>
          <w:lang w:val="zh-CN"/>
        </w:rPr>
        <w:t>从项目经济效益、社会效益、生态效益、可持续效益以及服务对象满意度等方面对项目效益进行全面分析评价。</w:t>
      </w:r>
    </w:p>
    <w:p w14:paraId="522333D2">
      <w:pPr>
        <w:adjustRightInd w:val="0"/>
        <w:snapToGrid w:val="0"/>
        <w:spacing w:line="600" w:lineRule="exact"/>
        <w:ind w:firstLine="720"/>
        <w:rPr>
          <w:rFonts w:eastAsia="黑体"/>
          <w:sz w:val="32"/>
          <w:szCs w:val="32"/>
        </w:rPr>
      </w:pPr>
      <w:r>
        <w:rPr>
          <w:rFonts w:eastAsia="黑体"/>
          <w:sz w:val="32"/>
          <w:szCs w:val="32"/>
        </w:rPr>
        <w:t>五、评价结论及建议</w:t>
      </w:r>
    </w:p>
    <w:p w14:paraId="219B439C">
      <w:pPr>
        <w:adjustRightInd w:val="0"/>
        <w:snapToGrid w:val="0"/>
        <w:spacing w:line="600" w:lineRule="exact"/>
        <w:ind w:firstLine="720"/>
        <w:rPr>
          <w:rFonts w:eastAsia="楷体_GB2312"/>
          <w:b/>
          <w:sz w:val="32"/>
          <w:szCs w:val="32"/>
          <w:lang w:val="zh-CN"/>
        </w:rPr>
      </w:pPr>
      <w:r>
        <w:rPr>
          <w:rFonts w:eastAsia="楷体_GB2312"/>
          <w:b/>
          <w:sz w:val="32"/>
          <w:szCs w:val="32"/>
          <w:lang w:val="zh-CN"/>
        </w:rPr>
        <w:t>（一）评价结论。</w:t>
      </w:r>
    </w:p>
    <w:p w14:paraId="1BBD59F7">
      <w:pPr>
        <w:adjustRightInd w:val="0"/>
        <w:snapToGrid w:val="0"/>
        <w:spacing w:line="600" w:lineRule="exact"/>
        <w:ind w:firstLine="640" w:firstLineChars="200"/>
        <w:rPr>
          <w:rFonts w:eastAsia="仿宋_GB2312"/>
          <w:sz w:val="32"/>
          <w:szCs w:val="32"/>
          <w:bdr w:val="single" w:color="auto" w:sz="4" w:space="0"/>
          <w:lang w:val="zh-CN"/>
        </w:rPr>
      </w:pPr>
      <w:r>
        <w:rPr>
          <w:rFonts w:eastAsia="仿宋_GB2312"/>
          <w:sz w:val="32"/>
          <w:szCs w:val="32"/>
          <w:lang w:val="zh-CN"/>
        </w:rPr>
        <w:t>结合项目自身特点、评价重点及管理办法等要求，围绕专项项目支出绩效评价指标体系对项目进行总体评价。</w:t>
      </w:r>
    </w:p>
    <w:p w14:paraId="044CD8FF">
      <w:pPr>
        <w:adjustRightInd w:val="0"/>
        <w:snapToGrid w:val="0"/>
        <w:spacing w:line="600" w:lineRule="exact"/>
        <w:ind w:firstLine="720"/>
        <w:rPr>
          <w:rFonts w:eastAsia="楷体_GB2312"/>
          <w:b/>
          <w:sz w:val="32"/>
          <w:szCs w:val="32"/>
          <w:lang w:val="zh-CN"/>
        </w:rPr>
      </w:pPr>
      <w:r>
        <w:rPr>
          <w:rFonts w:eastAsia="楷体_GB2312"/>
          <w:b/>
          <w:sz w:val="32"/>
          <w:szCs w:val="32"/>
          <w:lang w:val="zh-CN"/>
        </w:rPr>
        <w:t>（二）存在的问题。</w:t>
      </w:r>
    </w:p>
    <w:p w14:paraId="61EBA62E">
      <w:pPr>
        <w:adjustRightInd w:val="0"/>
        <w:snapToGrid w:val="0"/>
        <w:spacing w:line="600" w:lineRule="exact"/>
        <w:ind w:firstLine="640" w:firstLineChars="200"/>
        <w:rPr>
          <w:rFonts w:eastAsia="仿宋_GB2312"/>
          <w:sz w:val="32"/>
          <w:szCs w:val="32"/>
          <w:lang w:val="zh-CN"/>
        </w:rPr>
      </w:pPr>
      <w:r>
        <w:rPr>
          <w:rFonts w:eastAsia="仿宋_GB2312"/>
          <w:sz w:val="32"/>
          <w:szCs w:val="32"/>
          <w:lang w:val="zh-CN"/>
        </w:rPr>
        <w:t>结合自评情况，分析存在的问题及原因。</w:t>
      </w:r>
      <w:r>
        <w:rPr>
          <w:rFonts w:eastAsia="仿宋_GB2312"/>
          <w:sz w:val="32"/>
          <w:szCs w:val="32"/>
          <w:lang w:val="zh-CN"/>
        </w:rPr>
        <w:tab/>
      </w:r>
    </w:p>
    <w:p w14:paraId="59CF648E">
      <w:pPr>
        <w:adjustRightInd w:val="0"/>
        <w:snapToGrid w:val="0"/>
        <w:spacing w:line="600" w:lineRule="exact"/>
        <w:ind w:firstLine="720"/>
        <w:rPr>
          <w:rFonts w:eastAsia="楷体_GB2312"/>
          <w:b/>
          <w:sz w:val="32"/>
          <w:szCs w:val="32"/>
          <w:lang w:val="zh-CN"/>
        </w:rPr>
      </w:pPr>
      <w:r>
        <w:rPr>
          <w:rFonts w:eastAsia="楷体_GB2312"/>
          <w:b/>
          <w:sz w:val="32"/>
          <w:szCs w:val="32"/>
          <w:lang w:val="zh-CN"/>
        </w:rPr>
        <w:t>（三）相关建议。</w:t>
      </w:r>
    </w:p>
    <w:p w14:paraId="08C9DFF6">
      <w:pPr>
        <w:adjustRightInd w:val="0"/>
        <w:snapToGrid w:val="0"/>
        <w:spacing w:line="600" w:lineRule="exact"/>
        <w:ind w:firstLine="640" w:firstLineChars="200"/>
        <w:rPr>
          <w:rFonts w:eastAsia="仿宋_GB2312"/>
          <w:sz w:val="32"/>
          <w:szCs w:val="32"/>
          <w:lang w:val="zh-CN"/>
        </w:rPr>
      </w:pPr>
      <w:r>
        <w:rPr>
          <w:rFonts w:eastAsia="仿宋_GB2312"/>
          <w:sz w:val="32"/>
          <w:szCs w:val="32"/>
          <w:lang w:val="zh-CN"/>
        </w:rPr>
        <w:t>针对项目自评中发现的问题，提出下一步改进完善的意见及有关政策性建议。</w:t>
      </w:r>
    </w:p>
    <w:p w14:paraId="33B62A50">
      <w:pPr>
        <w:rPr>
          <w:rFonts w:eastAsia="仿宋_GB2312"/>
          <w:sz w:val="32"/>
          <w:szCs w:val="32"/>
          <w:lang w:val="zh-CN"/>
        </w:rPr>
      </w:pPr>
      <w:r>
        <w:rPr>
          <w:rFonts w:eastAsia="仿宋_GB2312"/>
          <w:sz w:val="32"/>
          <w:szCs w:val="32"/>
          <w:lang w:val="zh-CN"/>
        </w:rPr>
        <w:br w:type="page"/>
      </w:r>
    </w:p>
    <w:p w14:paraId="35B34DC7">
      <w:pPr>
        <w:adjustRightInd w:val="0"/>
        <w:snapToGrid w:val="0"/>
        <w:spacing w:line="600" w:lineRule="exact"/>
        <w:ind w:firstLine="640" w:firstLineChars="200"/>
        <w:rPr>
          <w:rFonts w:hint="eastAsia" w:eastAsia="仿宋_GB2312"/>
          <w:sz w:val="32"/>
          <w:szCs w:val="32"/>
          <w:lang w:val="en-US" w:eastAsia="zh-CN"/>
        </w:rPr>
      </w:pPr>
    </w:p>
    <w:p w14:paraId="243C79B3">
      <w:pPr>
        <w:pStyle w:val="15"/>
        <w:keepNext w:val="0"/>
        <w:keepLines w:val="0"/>
        <w:widowControl/>
        <w:suppressLineNumbers w:val="0"/>
        <w:spacing w:before="0" w:beforeAutospacing="0" w:after="0" w:afterAutospacing="0"/>
        <w:ind w:left="0" w:right="0" w:firstLine="0"/>
        <w:jc w:val="center"/>
        <w:rPr>
          <w:rFonts w:ascii="Times New Roman" w:hAnsi="Times New Roman" w:eastAsia="方正小标宋简体"/>
          <w:color w:val="auto"/>
          <w:kern w:val="2"/>
          <w:sz w:val="40"/>
          <w:szCs w:val="40"/>
        </w:rPr>
      </w:pPr>
      <w:r>
        <w:rPr>
          <w:rFonts w:ascii="Times New Roman" w:hAnsi="Times New Roman" w:eastAsia="方正小标宋简体"/>
          <w:color w:val="auto"/>
          <w:kern w:val="2"/>
          <w:sz w:val="40"/>
          <w:szCs w:val="40"/>
        </w:rPr>
        <w:t>专项预算项目支出绩效自评报告</w:t>
      </w:r>
    </w:p>
    <w:p w14:paraId="7EEFCFE6">
      <w:pPr>
        <w:pStyle w:val="15"/>
        <w:keepNext w:val="0"/>
        <w:keepLines w:val="0"/>
        <w:widowControl/>
        <w:suppressLineNumbers w:val="0"/>
        <w:spacing w:before="0" w:beforeAutospacing="0" w:after="0" w:afterAutospacing="0"/>
        <w:ind w:left="0" w:right="0" w:firstLine="0"/>
        <w:jc w:val="center"/>
        <w:rPr>
          <w:rFonts w:hint="default" w:ascii="Times New Roman" w:hAnsi="Times New Roman" w:eastAsia="方正小标宋简体" w:cs="方正小标宋简体"/>
          <w:color w:val="auto"/>
          <w:kern w:val="2"/>
          <w:sz w:val="44"/>
          <w:szCs w:val="44"/>
          <w:highlight w:val="none"/>
          <w:lang w:val="zh-CN" w:eastAsia="zh-CN"/>
        </w:rPr>
      </w:pPr>
      <w:r>
        <w:rPr>
          <w:rFonts w:hint="eastAsia" w:ascii="方正小标宋简体" w:hAnsi="方正小标宋简体" w:eastAsia="方正小标宋简体" w:cs="方正小标宋简体"/>
          <w:color w:val="auto"/>
          <w:w w:val="90"/>
          <w:kern w:val="2"/>
          <w:sz w:val="32"/>
          <w:szCs w:val="32"/>
          <w:lang w:val="zh-CN" w:eastAsia="zh-CN" w:bidi="ar-SA"/>
        </w:rPr>
        <w:t>（</w:t>
      </w:r>
      <w:r>
        <w:rPr>
          <w:rFonts w:hint="default" w:ascii="方正小标宋简体" w:hAnsi="方正小标宋简体" w:eastAsia="方正小标宋简体" w:cs="方正小标宋简体"/>
          <w:color w:val="auto"/>
          <w:w w:val="90"/>
          <w:kern w:val="2"/>
          <w:sz w:val="32"/>
          <w:szCs w:val="32"/>
          <w:lang w:val="zh-CN" w:eastAsia="zh-CN" w:bidi="ar-SA"/>
        </w:rPr>
        <w:t>预备消防士家庭优待金项目</w:t>
      </w:r>
      <w:r>
        <w:rPr>
          <w:rFonts w:hint="eastAsia" w:ascii="方正小标宋简体" w:hAnsi="方正小标宋简体" w:eastAsia="方正小标宋简体" w:cs="方正小标宋简体"/>
          <w:color w:val="auto"/>
          <w:w w:val="90"/>
          <w:kern w:val="2"/>
          <w:sz w:val="32"/>
          <w:szCs w:val="32"/>
          <w:lang w:val="zh-CN" w:eastAsia="zh-CN" w:bidi="ar-SA"/>
        </w:rPr>
        <w:t>）</w:t>
      </w:r>
    </w:p>
    <w:p w14:paraId="602A409F">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640" w:firstLineChars="200"/>
        <w:textAlignment w:val="auto"/>
        <w:rPr>
          <w:rFonts w:hint="default" w:ascii="Times New Roman" w:hAnsi="Times New Roman" w:eastAsia="黑体" w:cs="Times New Roman"/>
          <w:sz w:val="32"/>
          <w:szCs w:val="32"/>
          <w:lang w:val="zh-CN"/>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val="zh-CN"/>
        </w:rPr>
        <w:t>项目概况</w:t>
      </w:r>
    </w:p>
    <w:p w14:paraId="3C4470FA">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firstLine="643" w:firstLineChars="200"/>
        <w:textAlignment w:val="auto"/>
        <w:rPr>
          <w:rFonts w:hint="default" w:ascii="Times New Roman" w:hAnsi="Times New Roman" w:eastAsia="楷体_GB2312" w:cs="Times New Roman"/>
          <w:b/>
          <w:sz w:val="32"/>
          <w:szCs w:val="32"/>
          <w:lang w:val="zh-CN"/>
        </w:rPr>
      </w:pPr>
      <w:r>
        <w:rPr>
          <w:rFonts w:hint="eastAsia" w:ascii="方正楷体_GBK" w:hAnsi="方正楷体_GBK" w:eastAsia="方正楷体_GBK" w:cs="方正楷体_GBK"/>
          <w:b/>
          <w:sz w:val="32"/>
          <w:szCs w:val="32"/>
          <w:lang w:val="zh-CN"/>
        </w:rPr>
        <w:t>（一）项目基本情况。</w:t>
      </w:r>
    </w:p>
    <w:p w14:paraId="3032C47C">
      <w:pPr>
        <w:keepNext w:val="0"/>
        <w:keepLines w:val="0"/>
        <w:pageBreakBefore w:val="0"/>
        <w:kinsoku/>
        <w:wordWrap/>
        <w:overflowPunct/>
        <w:topLinePunct w:val="0"/>
        <w:autoSpaceDE/>
        <w:autoSpaceDN/>
        <w:bidi w:val="0"/>
        <w:spacing w:before="0" w:beforeAutospacing="0" w:after="0" w:afterAutospacing="0" w:line="240" w:lineRule="auto"/>
        <w:ind w:firstLine="640" w:firstLineChars="200"/>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为深入贯彻落实习近平总书记授旗训词精神，</w:t>
      </w:r>
      <w:r>
        <w:rPr>
          <w:rFonts w:hint="default" w:ascii="Times New Roman" w:hAnsi="Times New Roman" w:eastAsia="方正仿宋_GBK" w:cs="Times New Roman"/>
          <w:sz w:val="32"/>
          <w:szCs w:val="32"/>
          <w:lang w:val="en-US" w:eastAsia="zh-CN"/>
        </w:rPr>
        <w:t>建立尊崇消防救援职业荣誉保障体系，增强国家综合性消防救援队伍人员职业荣誉感，激励消防救援人员履职担当</w:t>
      </w:r>
      <w:r>
        <w:rPr>
          <w:rFonts w:hint="default" w:ascii="Times New Roman" w:hAnsi="Times New Roman" w:eastAsia="方正仿宋_GBK" w:cs="Times New Roman"/>
          <w:sz w:val="32"/>
          <w:szCs w:val="32"/>
          <w:lang w:val="zh-CN" w:eastAsia="zh-CN"/>
        </w:rPr>
        <w:t>。</w:t>
      </w:r>
      <w:r>
        <w:rPr>
          <w:rFonts w:hint="default" w:ascii="Times New Roman" w:hAnsi="Times New Roman" w:eastAsia="方正仿宋_GBK" w:cs="Times New Roman"/>
          <w:sz w:val="32"/>
          <w:szCs w:val="32"/>
          <w:lang w:val="en-US" w:eastAsia="zh-CN"/>
        </w:rPr>
        <w:t>依据应急管理部等13部委《关于做好国家综合性消防救援队伍人员有关优待工作的通知》（应急〔2019〕84号）及《四川省国家综合性消防救援队伍职业保障实施细则》（川办发〔2020〕5号）、《关于落实全市国家综合性消防救援队伍预备消防士家庭优待金政策的意见》（攀消〔2025〕10号）等文件规定，2023年及以后招录的预备消防士家庭优待金由户籍地应急管理局根据名单人数、发放年限、发放标准进行测算。</w:t>
      </w:r>
      <w:r>
        <w:rPr>
          <w:rFonts w:hint="default" w:ascii="Times New Roman" w:hAnsi="Times New Roman" w:eastAsia="方正仿宋_GBK" w:cs="Times New Roman"/>
          <w:b w:val="0"/>
          <w:sz w:val="32"/>
          <w:lang w:eastAsia="zh-CN"/>
        </w:rPr>
        <w:t>并请财政部门拨付经费。</w:t>
      </w:r>
      <w:r>
        <w:rPr>
          <w:rFonts w:hint="default" w:ascii="Times New Roman" w:hAnsi="Times New Roman" w:eastAsia="方正仿宋_GBK" w:cs="Times New Roman"/>
          <w:b w:val="0"/>
          <w:sz w:val="32"/>
          <w:lang w:val="en-US" w:eastAsia="zh-CN"/>
        </w:rPr>
        <w:t>本项目2025年度涉及发放对象为5名仁和区户籍2023年入职预备消防士，发放标准参照当地当年度义务兵家庭优待金标准。</w:t>
      </w:r>
      <w:r>
        <w:rPr>
          <w:rFonts w:hint="default" w:ascii="Times New Roman" w:hAnsi="Times New Roman" w:eastAsia="方正仿宋_GBK" w:cs="Times New Roman"/>
          <w:b w:val="0"/>
          <w:sz w:val="32"/>
        </w:rPr>
        <w:t>发放年限自首次授衔时间起算，最高发放年限为2年。</w:t>
      </w:r>
      <w:r>
        <w:rPr>
          <w:rFonts w:hint="default" w:ascii="Times New Roman" w:hAnsi="Times New Roman" w:eastAsia="方正仿宋_GBK" w:cs="Times New Roman"/>
          <w:b w:val="0"/>
          <w:sz w:val="32"/>
          <w:lang w:eastAsia="zh-CN"/>
        </w:rPr>
        <w:t>仁和区应急</w:t>
      </w:r>
      <w:r>
        <w:rPr>
          <w:rFonts w:hint="eastAsia" w:eastAsia="方正仿宋_GBK" w:cs="Times New Roman"/>
          <w:b w:val="0"/>
          <w:sz w:val="32"/>
          <w:lang w:eastAsia="zh-CN"/>
        </w:rPr>
        <w:t>管理</w:t>
      </w:r>
      <w:r>
        <w:rPr>
          <w:rFonts w:hint="default" w:ascii="Times New Roman" w:hAnsi="Times New Roman" w:eastAsia="方正仿宋_GBK" w:cs="Times New Roman"/>
          <w:b w:val="0"/>
          <w:sz w:val="32"/>
          <w:lang w:eastAsia="zh-CN"/>
        </w:rPr>
        <w:t>局主要</w:t>
      </w:r>
      <w:r>
        <w:rPr>
          <w:rFonts w:hint="default" w:ascii="Times New Roman" w:hAnsi="Times New Roman" w:eastAsia="方正仿宋_GBK" w:cs="Times New Roman"/>
          <w:sz w:val="32"/>
          <w:szCs w:val="32"/>
          <w:lang w:val="en-US" w:eastAsia="zh-CN"/>
        </w:rPr>
        <w:t>完成了人员资格核对、经费测算审批、申</w:t>
      </w:r>
      <w:r>
        <w:rPr>
          <w:rFonts w:hint="eastAsia" w:eastAsia="方正仿宋_GBK" w:cs="Times New Roman"/>
          <w:sz w:val="32"/>
          <w:szCs w:val="32"/>
          <w:lang w:val="en-US" w:eastAsia="zh-CN"/>
        </w:rPr>
        <w:t>请资金拨付</w:t>
      </w:r>
      <w:r>
        <w:rPr>
          <w:rFonts w:hint="default" w:ascii="Times New Roman" w:hAnsi="Times New Roman" w:eastAsia="方正仿宋_GBK" w:cs="Times New Roman"/>
          <w:sz w:val="32"/>
          <w:szCs w:val="32"/>
          <w:lang w:val="en-US" w:eastAsia="zh-CN"/>
        </w:rPr>
        <w:t>、发放</w:t>
      </w:r>
      <w:r>
        <w:rPr>
          <w:rFonts w:hint="eastAsia" w:eastAsia="方正仿宋_GBK" w:cs="Times New Roman"/>
          <w:sz w:val="32"/>
          <w:szCs w:val="32"/>
          <w:lang w:val="en-US" w:eastAsia="zh-CN"/>
        </w:rPr>
        <w:t>经费、</w:t>
      </w:r>
      <w:r>
        <w:rPr>
          <w:rFonts w:hint="default" w:ascii="Times New Roman" w:hAnsi="Times New Roman" w:eastAsia="方正仿宋_GBK" w:cs="Times New Roman"/>
          <w:sz w:val="32"/>
          <w:szCs w:val="32"/>
          <w:lang w:val="en-US" w:eastAsia="zh-CN"/>
        </w:rPr>
        <w:t>资料归档等全流程工作，切实落实了消防救援人员优待政策，维护了预备消防士及其家属的合法权益。</w:t>
      </w:r>
    </w:p>
    <w:p w14:paraId="69F8394D">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（二）项目绩效目标。</w:t>
      </w:r>
    </w:p>
    <w:p w14:paraId="4D6B07D4">
      <w:pPr>
        <w:keepNext w:val="0"/>
        <w:keepLines w:val="0"/>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zh-CN"/>
        </w:rPr>
        <w:t>本项目主要</w:t>
      </w:r>
      <w:r>
        <w:rPr>
          <w:rFonts w:hint="default" w:ascii="Times New Roman" w:hAnsi="Times New Roman" w:eastAsia="方正仿宋_GBK" w:cs="Times New Roman"/>
          <w:b w:val="0"/>
          <w:sz w:val="32"/>
        </w:rPr>
        <w:t>按照相关文件规定</w:t>
      </w:r>
      <w:r>
        <w:rPr>
          <w:rFonts w:hint="default" w:ascii="Times New Roman" w:hAnsi="Times New Roman" w:eastAsia="方正仿宋_GBK" w:cs="Times New Roman"/>
          <w:b w:val="0"/>
          <w:sz w:val="32"/>
          <w:lang w:eastAsia="zh-CN"/>
        </w:rPr>
        <w:t>，</w:t>
      </w:r>
      <w:r>
        <w:rPr>
          <w:rFonts w:hint="default" w:ascii="Times New Roman" w:hAnsi="Times New Roman" w:eastAsia="方正仿宋_GBK" w:cs="Times New Roman"/>
          <w:b w:val="0"/>
          <w:sz w:val="32"/>
        </w:rPr>
        <w:t>确定发放金额及人员后，按流程办理2023年招录的仁和户籍预备消防士家庭优待金发放。</w:t>
      </w:r>
      <w:r>
        <w:rPr>
          <w:rFonts w:hint="default" w:ascii="Times New Roman" w:hAnsi="Times New Roman" w:eastAsia="方正仿宋_GBK" w:cs="Times New Roman"/>
          <w:b w:val="0"/>
          <w:sz w:val="32"/>
          <w:lang w:eastAsia="zh-CN"/>
        </w:rPr>
        <w:t>绩效目标</w:t>
      </w:r>
      <w:r>
        <w:rPr>
          <w:rFonts w:hint="default" w:ascii="Times New Roman" w:hAnsi="Times New Roman" w:eastAsia="方正仿宋_GBK" w:cs="Times New Roman"/>
          <w:b/>
          <w:bCs/>
          <w:sz w:val="32"/>
          <w:szCs w:val="32"/>
          <w:lang w:val="zh-CN"/>
        </w:rPr>
        <w:t>一</w:t>
      </w:r>
      <w:r>
        <w:rPr>
          <w:rFonts w:hint="default" w:ascii="Times New Roman" w:hAnsi="Times New Roman" w:eastAsia="方正仿宋_GBK" w:cs="Times New Roman"/>
          <w:b/>
          <w:bCs/>
          <w:sz w:val="32"/>
          <w:szCs w:val="32"/>
          <w:lang w:val="zh-CN" w:eastAsia="zh-CN"/>
        </w:rPr>
        <w:t>是</w:t>
      </w:r>
      <w:r>
        <w:rPr>
          <w:rFonts w:hint="default" w:ascii="Times New Roman" w:hAnsi="Times New Roman" w:eastAsia="方正仿宋_GBK" w:cs="Times New Roman"/>
          <w:sz w:val="32"/>
          <w:szCs w:val="32"/>
          <w:lang w:val="en-US" w:eastAsia="zh-CN"/>
        </w:rPr>
        <w:t>完成5名符合条件预备消防士家庭优待金发放，严格按照政策标准控制项目总成本，按年度时间节点完成资金发放工作。</w:t>
      </w:r>
      <w:r>
        <w:rPr>
          <w:rFonts w:hint="default" w:ascii="Times New Roman" w:hAnsi="Times New Roman" w:eastAsia="方正仿宋_GBK" w:cs="Times New Roman"/>
          <w:b/>
          <w:bCs/>
          <w:sz w:val="32"/>
          <w:szCs w:val="32"/>
          <w:lang w:val="en-US" w:eastAsia="zh-CN"/>
        </w:rPr>
        <w:t>二是</w:t>
      </w:r>
      <w:r>
        <w:rPr>
          <w:rFonts w:hint="default" w:ascii="Times New Roman" w:hAnsi="Times New Roman" w:eastAsia="方正仿宋_GBK" w:cs="Times New Roman"/>
          <w:sz w:val="32"/>
          <w:szCs w:val="32"/>
          <w:lang w:val="en-US" w:eastAsia="zh-CN"/>
        </w:rPr>
        <w:t>落实消防救援职业优待政策，提升预备消防士职业荣誉感，传递</w:t>
      </w:r>
      <w:r>
        <w:rPr>
          <w:rFonts w:hint="eastAsia" w:eastAsia="方正仿宋_GBK" w:cs="Times New Roman"/>
          <w:sz w:val="32"/>
          <w:szCs w:val="32"/>
          <w:lang w:val="en-US" w:eastAsia="zh-CN"/>
        </w:rPr>
        <w:t>党委、政府</w:t>
      </w:r>
      <w:r>
        <w:rPr>
          <w:rFonts w:hint="default" w:ascii="Times New Roman" w:hAnsi="Times New Roman" w:eastAsia="方正仿宋_GBK" w:cs="Times New Roman"/>
          <w:sz w:val="32"/>
          <w:szCs w:val="32"/>
          <w:lang w:val="en-US" w:eastAsia="zh-CN"/>
        </w:rPr>
        <w:t>对消防救援队伍的关怀，保障优待对象合法权益。</w:t>
      </w:r>
      <w:r>
        <w:rPr>
          <w:rFonts w:hint="default" w:ascii="Times New Roman" w:hAnsi="Times New Roman" w:eastAsia="方正仿宋_GBK" w:cs="Times New Roman"/>
          <w:b/>
          <w:bCs/>
          <w:sz w:val="32"/>
          <w:szCs w:val="32"/>
          <w:lang w:val="en-US" w:eastAsia="zh-CN"/>
        </w:rPr>
        <w:t>三是</w:t>
      </w:r>
      <w:r>
        <w:rPr>
          <w:rFonts w:hint="default" w:ascii="Times New Roman" w:hAnsi="Times New Roman" w:eastAsia="方正仿宋_GBK" w:cs="Times New Roman"/>
          <w:sz w:val="32"/>
          <w:szCs w:val="32"/>
          <w:lang w:val="en-US" w:eastAsia="zh-CN"/>
        </w:rPr>
        <w:t>优待金领取对象对政策落实、资金发放服务满意度达到90%以上。</w:t>
      </w:r>
      <w:r>
        <w:rPr>
          <w:rFonts w:hint="default" w:ascii="Times New Roman" w:hAnsi="Times New Roman" w:eastAsia="方正仿宋_GBK" w:cs="Times New Roman"/>
          <w:b w:val="0"/>
          <w:sz w:val="32"/>
        </w:rPr>
        <w:t>项目申报内容与</w:t>
      </w:r>
      <w:r>
        <w:rPr>
          <w:rFonts w:hint="default" w:ascii="Times New Roman" w:hAnsi="Times New Roman" w:eastAsia="方正仿宋_GBK" w:cs="Times New Roman"/>
          <w:sz w:val="32"/>
          <w:szCs w:val="32"/>
          <w:lang w:val="en-US" w:eastAsia="zh-CN"/>
        </w:rPr>
        <w:t>《关于落实全市国家综合性消防救援队伍预备消防士家庭优待金政策的意见》</w:t>
      </w:r>
      <w:r>
        <w:rPr>
          <w:rFonts w:hint="eastAsia" w:eastAsia="方正仿宋_GBK" w:cs="Times New Roman"/>
          <w:sz w:val="32"/>
          <w:szCs w:val="32"/>
          <w:lang w:val="en-US" w:eastAsia="zh-CN"/>
        </w:rPr>
        <w:t>（</w:t>
      </w:r>
      <w:r>
        <w:rPr>
          <w:rFonts w:hint="default" w:ascii="Times New Roman" w:hAnsi="Times New Roman" w:eastAsia="方正仿宋_GBK" w:cs="Times New Roman"/>
          <w:b w:val="0"/>
          <w:sz w:val="32"/>
        </w:rPr>
        <w:t>攀消〔2025〕10号</w:t>
      </w:r>
      <w:r>
        <w:rPr>
          <w:rFonts w:hint="eastAsia" w:eastAsia="方正仿宋_GBK" w:cs="Times New Roman"/>
          <w:sz w:val="32"/>
          <w:szCs w:val="32"/>
          <w:lang w:val="en-US" w:eastAsia="zh-CN"/>
        </w:rPr>
        <w:t>）</w:t>
      </w:r>
      <w:r>
        <w:rPr>
          <w:rFonts w:hint="default" w:ascii="Times New Roman" w:hAnsi="Times New Roman" w:eastAsia="方正仿宋_GBK" w:cs="Times New Roman"/>
          <w:b w:val="0"/>
          <w:sz w:val="32"/>
        </w:rPr>
        <w:t>等政策文件要求相符，绩效目标设置量化、细化，符合项目实际，申报目标合理可行。</w:t>
      </w:r>
    </w:p>
    <w:p w14:paraId="36F718C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（三）项目自评步骤及方法。</w:t>
      </w:r>
    </w:p>
    <w:p w14:paraId="52548902">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uto"/>
        <w:ind w:left="0" w:leftChars="0" w:firstLine="643" w:firstLineChars="201"/>
        <w:textAlignment w:val="auto"/>
        <w:rPr>
          <w:rFonts w:hint="default" w:ascii="Times New Roman" w:hAnsi="Times New Roman" w:eastAsia="仿宋_GB2312" w:cs="Times New Roman"/>
          <w:sz w:val="32"/>
          <w:szCs w:val="32"/>
          <w:lang w:val="en-US" w:eastAsia="zh-CN"/>
        </w:rPr>
      </w:pPr>
      <w:r>
        <w:rPr>
          <w:rFonts w:hint="eastAsia" w:eastAsia="方正仿宋_GBK" w:cs="Times New Roman"/>
          <w:sz w:val="32"/>
          <w:szCs w:val="32"/>
          <w:lang w:val="en-US" w:eastAsia="zh-CN"/>
        </w:rPr>
        <w:t>仁和</w:t>
      </w:r>
      <w:r>
        <w:rPr>
          <w:rFonts w:hint="default" w:ascii="Times New Roman" w:hAnsi="Times New Roman" w:eastAsia="方正仿宋_GBK" w:cs="Times New Roman"/>
          <w:sz w:val="32"/>
          <w:szCs w:val="32"/>
          <w:lang w:val="en-US" w:eastAsia="zh-CN"/>
        </w:rPr>
        <w:t>区应急管理局组织业务及财务岗位人员共同开展本次绩效自评，对照项目绩效自评表，梳理政策文件、经费审批材料、发放清单等原始资料，核对预算调整、资金拨付、实际发放、受益对象等数据，逐项核验各项绩效指标完成情况，形成本次自评结果。</w:t>
      </w:r>
    </w:p>
    <w:p w14:paraId="74267020">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firstLine="640" w:firstLineChars="200"/>
        <w:textAlignment w:val="auto"/>
        <w:rPr>
          <w:rFonts w:hint="default" w:ascii="Times New Roman" w:hAnsi="Times New Roman" w:eastAsia="黑体" w:cs="Times New Roman"/>
          <w:sz w:val="32"/>
          <w:szCs w:val="32"/>
        </w:rPr>
      </w:pPr>
      <w:r>
        <w:rPr>
          <w:rFonts w:hint="eastAsia" w:ascii="方正黑体_GBK" w:hAnsi="方正黑体_GBK" w:eastAsia="方正黑体_GBK" w:cs="方正黑体_GBK"/>
          <w:sz w:val="32"/>
          <w:szCs w:val="32"/>
        </w:rPr>
        <w:t>二、项目资金申报及使用情况</w:t>
      </w:r>
    </w:p>
    <w:p w14:paraId="2B106E91">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（一）项目资金申报及批复情况。</w:t>
      </w:r>
    </w:p>
    <w:p w14:paraId="2711410D">
      <w:pPr>
        <w:keepNext w:val="0"/>
        <w:keepLines w:val="0"/>
        <w:pageBreakBefore w:val="0"/>
        <w:widowControl/>
        <w:suppressLineNumbers w:val="0"/>
        <w:kinsoku/>
        <w:wordWrap/>
        <w:overflowPunct/>
        <w:topLinePunct w:val="0"/>
        <w:autoSpaceDE/>
        <w:autoSpaceDN/>
        <w:bidi w:val="0"/>
        <w:spacing w:beforeAutospacing="0" w:afterAutospacing="0" w:line="240" w:lineRule="auto"/>
        <w:ind w:firstLine="640" w:firstLineChars="200"/>
        <w:jc w:val="left"/>
        <w:textAlignment w:val="auto"/>
        <w:rPr>
          <w:rFonts w:hint="default" w:ascii="Times New Roman" w:hAnsi="Times New Roman" w:eastAsia="方正仿宋_GBK" w:cs="Times New Roman"/>
          <w:sz w:val="32"/>
          <w:szCs w:val="32"/>
          <w:lang w:val="zh-CN"/>
        </w:rPr>
      </w:pPr>
      <w:r>
        <w:rPr>
          <w:rFonts w:hint="eastAsia" w:eastAsia="方正仿宋_GBK" w:cs="Times New Roman"/>
          <w:b w:val="0"/>
          <w:sz w:val="32"/>
          <w:lang w:eastAsia="zh-CN"/>
        </w:rPr>
        <w:t>仁和</w:t>
      </w:r>
      <w:r>
        <w:rPr>
          <w:rFonts w:hint="default" w:ascii="Times New Roman" w:hAnsi="Times New Roman" w:eastAsia="方正仿宋_GBK" w:cs="Times New Roman"/>
          <w:b w:val="0"/>
          <w:sz w:val="32"/>
        </w:rPr>
        <w:t>区应急管理局按照</w:t>
      </w:r>
      <w:r>
        <w:rPr>
          <w:rFonts w:hint="default" w:ascii="Times New Roman" w:hAnsi="Times New Roman" w:eastAsia="方正仿宋_GBK" w:cs="Times New Roman"/>
          <w:sz w:val="32"/>
          <w:szCs w:val="32"/>
          <w:lang w:val="en-US" w:eastAsia="zh-CN"/>
        </w:rPr>
        <w:t>《关于落实全市国家综合性消防救援队伍预备消防士家庭优待金政策的意见》</w:t>
      </w:r>
      <w:r>
        <w:rPr>
          <w:rFonts w:hint="eastAsia" w:eastAsia="方正仿宋_GBK" w:cs="Times New Roman"/>
          <w:sz w:val="32"/>
          <w:szCs w:val="32"/>
          <w:lang w:val="en-US" w:eastAsia="zh-CN"/>
        </w:rPr>
        <w:t>（</w:t>
      </w:r>
      <w:r>
        <w:rPr>
          <w:rFonts w:hint="default" w:ascii="Times New Roman" w:hAnsi="Times New Roman" w:eastAsia="方正仿宋_GBK" w:cs="Times New Roman"/>
          <w:b w:val="0"/>
          <w:sz w:val="32"/>
        </w:rPr>
        <w:t>攀消〔2025〕10号</w:t>
      </w:r>
      <w:r>
        <w:rPr>
          <w:rFonts w:hint="eastAsia" w:eastAsia="方正仿宋_GBK" w:cs="Times New Roman"/>
          <w:sz w:val="32"/>
          <w:szCs w:val="32"/>
          <w:lang w:val="en-US" w:eastAsia="zh-CN"/>
        </w:rPr>
        <w:t>）</w:t>
      </w:r>
      <w:r>
        <w:rPr>
          <w:rFonts w:hint="default" w:ascii="Times New Roman" w:hAnsi="Times New Roman" w:eastAsia="方正仿宋_GBK" w:cs="Times New Roman"/>
          <w:b w:val="0"/>
          <w:sz w:val="32"/>
        </w:rPr>
        <w:t>文件要求，对2023年入职预备消防士家庭优待金进行测算，</w:t>
      </w:r>
      <w:r>
        <w:rPr>
          <w:rFonts w:hint="default" w:ascii="Times New Roman" w:hAnsi="Times New Roman" w:eastAsia="方正仿宋_GBK" w:cs="Times New Roman"/>
          <w:b w:val="0"/>
          <w:sz w:val="32"/>
          <w:lang w:val="en-US" w:eastAsia="zh-CN"/>
        </w:rPr>
        <w:t>结合2023年招录仁和户籍预备消防士5人、优待标准19938元/人，经向</w:t>
      </w:r>
      <w:r>
        <w:rPr>
          <w:rFonts w:hint="eastAsia" w:eastAsia="方正仿宋_GBK" w:cs="Times New Roman"/>
          <w:b w:val="0"/>
          <w:sz w:val="32"/>
          <w:lang w:val="en-US" w:eastAsia="zh-CN"/>
        </w:rPr>
        <w:t>仁和</w:t>
      </w:r>
      <w:r>
        <w:rPr>
          <w:rFonts w:hint="default" w:ascii="Times New Roman" w:hAnsi="Times New Roman" w:eastAsia="方正仿宋_GBK" w:cs="Times New Roman"/>
          <w:b w:val="0"/>
          <w:sz w:val="32"/>
          <w:lang w:val="en-US" w:eastAsia="zh-CN"/>
        </w:rPr>
        <w:t>区政府请示，由</w:t>
      </w:r>
      <w:r>
        <w:rPr>
          <w:rFonts w:hint="eastAsia" w:eastAsia="方正仿宋_GBK" w:cs="Times New Roman"/>
          <w:b w:val="0"/>
          <w:sz w:val="32"/>
          <w:lang w:val="en-US" w:eastAsia="zh-CN"/>
        </w:rPr>
        <w:t>仁和</w:t>
      </w:r>
      <w:r>
        <w:rPr>
          <w:rFonts w:hint="default" w:ascii="Times New Roman" w:hAnsi="Times New Roman" w:eastAsia="方正仿宋_GBK" w:cs="Times New Roman"/>
          <w:b w:val="0"/>
          <w:sz w:val="32"/>
          <w:lang w:val="en-US" w:eastAsia="zh-CN"/>
        </w:rPr>
        <w:t>区财政局提出意见，</w:t>
      </w:r>
      <w:r>
        <w:rPr>
          <w:rFonts w:hint="eastAsia" w:eastAsia="方正仿宋_GBK" w:cs="Times New Roman"/>
          <w:b w:val="0"/>
          <w:sz w:val="32"/>
          <w:lang w:val="en-US" w:eastAsia="zh-CN"/>
        </w:rPr>
        <w:t>仁和</w:t>
      </w:r>
      <w:r>
        <w:rPr>
          <w:rFonts w:hint="default" w:ascii="Times New Roman" w:hAnsi="Times New Roman" w:eastAsia="方正仿宋_GBK" w:cs="Times New Roman"/>
          <w:b w:val="0"/>
          <w:sz w:val="32"/>
          <w:lang w:val="en-US" w:eastAsia="zh-CN"/>
        </w:rPr>
        <w:t>区政府审议后。获批年度预算</w:t>
      </w:r>
      <w:r>
        <w:rPr>
          <w:rFonts w:hint="default" w:ascii="Times New Roman" w:hAnsi="Times New Roman" w:eastAsia="方正仿宋_GBK" w:cs="Times New Roman"/>
          <w:b w:val="0"/>
          <w:sz w:val="32"/>
        </w:rPr>
        <w:t>9.969</w:t>
      </w:r>
      <w:r>
        <w:rPr>
          <w:rFonts w:hint="default" w:ascii="Times New Roman" w:hAnsi="Times New Roman" w:eastAsia="方正仿宋_GBK" w:cs="Times New Roman"/>
          <w:b w:val="0"/>
          <w:sz w:val="32"/>
          <w:lang w:val="en-US" w:eastAsia="zh-CN"/>
        </w:rPr>
        <w:t>万元，全部为财政资金。</w:t>
      </w:r>
    </w:p>
    <w:p w14:paraId="7CB96E8E">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（二）资金计划、到位及使用情况。</w:t>
      </w:r>
    </w:p>
    <w:p w14:paraId="576EFB2F">
      <w:pPr>
        <w:keepNext w:val="0"/>
        <w:keepLines w:val="0"/>
        <w:pageBreakBefore w:val="0"/>
        <w:kinsoku/>
        <w:wordWrap/>
        <w:overflowPunct/>
        <w:topLinePunct w:val="0"/>
        <w:autoSpaceDE/>
        <w:autoSpaceDN/>
        <w:bidi w:val="0"/>
        <w:spacing w:before="0" w:beforeAutospacing="0" w:after="0" w:afterAutospacing="0" w:line="240" w:lineRule="auto"/>
        <w:ind w:firstLine="640" w:firstLineChars="200"/>
        <w:textAlignment w:val="auto"/>
        <w:rPr>
          <w:rFonts w:hint="default" w:ascii="Times New Roman" w:hAnsi="Times New Roman" w:eastAsia="方正仿宋_GBK" w:cs="Times New Roman"/>
          <w:b w:val="0"/>
          <w:sz w:val="32"/>
          <w:lang w:val="zh-CN"/>
        </w:rPr>
      </w:pPr>
      <w:r>
        <w:rPr>
          <w:rFonts w:hint="default" w:ascii="Times New Roman" w:hAnsi="Times New Roman" w:eastAsia="方正仿宋_GBK" w:cs="Times New Roman"/>
          <w:b w:val="0"/>
          <w:sz w:val="32"/>
        </w:rPr>
        <w:t>本项目所需资金全部由区级财政统筹保障，2025年度调整后预算数为9.969万元。项目资金9.969万元已全额到位，资金到位率100%，资金到位及时。项目资金9.969万元已全额支出，预算执行率100%。资金专项用于2023年入职的5名仁和户籍预备消防士家庭优待金发放，发放标准为19938元/人，共计99690元（9.969万元）。</w:t>
      </w:r>
    </w:p>
    <w:p w14:paraId="687EE275">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643" w:firstLineChars="200"/>
        <w:textAlignment w:val="auto"/>
        <w:rPr>
          <w:rFonts w:hint="default" w:ascii="Times New Roman" w:hAnsi="Times New Roman" w:eastAsia="楷体_GB2312" w:cs="Times New Roman"/>
          <w:b/>
          <w:sz w:val="32"/>
          <w:szCs w:val="32"/>
          <w:lang w:val="zh-CN"/>
        </w:rPr>
      </w:pPr>
      <w:r>
        <w:rPr>
          <w:rFonts w:hint="eastAsia" w:ascii="方正楷体_GBK" w:hAnsi="方正楷体_GBK" w:eastAsia="方正楷体_GBK" w:cs="方正楷体_GBK"/>
          <w:b/>
          <w:sz w:val="32"/>
          <w:szCs w:val="32"/>
          <w:lang w:val="zh-CN"/>
        </w:rPr>
        <w:t>（三）项目财务管理情况。</w:t>
      </w:r>
    </w:p>
    <w:p w14:paraId="56ECDF0B">
      <w:pPr>
        <w:keepNext w:val="0"/>
        <w:keepLines w:val="0"/>
        <w:pageBreakBefore w:val="0"/>
        <w:kinsoku/>
        <w:wordWrap/>
        <w:overflowPunct/>
        <w:topLinePunct w:val="0"/>
        <w:autoSpaceDE/>
        <w:autoSpaceDN/>
        <w:bidi w:val="0"/>
        <w:spacing w:before="0" w:beforeAutospacing="0" w:after="0" w:afterAutospacing="0" w:line="240" w:lineRule="auto"/>
        <w:ind w:firstLine="640" w:firstLineChars="200"/>
        <w:textAlignment w:val="auto"/>
        <w:rPr>
          <w:rFonts w:hint="default" w:ascii="Times New Roman" w:hAnsi="Times New Roman" w:eastAsia="方正仿宋_GBK" w:cs="Times New Roman"/>
          <w:b w:val="0"/>
          <w:sz w:val="32"/>
          <w:lang w:val="zh-CN" w:eastAsia="zh-CN"/>
        </w:rPr>
      </w:pPr>
      <w:r>
        <w:rPr>
          <w:rFonts w:hint="eastAsia" w:eastAsia="方正仿宋_GBK" w:cs="Times New Roman"/>
          <w:b w:val="0"/>
          <w:sz w:val="32"/>
          <w:lang w:eastAsia="zh-CN"/>
        </w:rPr>
        <w:t>仁和</w:t>
      </w:r>
      <w:r>
        <w:rPr>
          <w:rFonts w:hint="default" w:ascii="Times New Roman" w:hAnsi="Times New Roman" w:eastAsia="方正仿宋_GBK" w:cs="Times New Roman"/>
          <w:b w:val="0"/>
          <w:sz w:val="32"/>
        </w:rPr>
        <w:t>区应急管理局严格执行财务管理制度，账务处理及时，会计核算规范，资金拨付手续完备</w:t>
      </w:r>
      <w:r>
        <w:rPr>
          <w:rFonts w:hint="default" w:ascii="Times New Roman" w:hAnsi="Times New Roman" w:eastAsia="方正仿宋_GBK" w:cs="Times New Roman"/>
          <w:b w:val="0"/>
          <w:sz w:val="32"/>
          <w:lang w:eastAsia="zh-CN"/>
        </w:rPr>
        <w:t>。</w:t>
      </w:r>
    </w:p>
    <w:p w14:paraId="38BCD3C6">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640" w:firstLineChars="200"/>
        <w:textAlignment w:val="auto"/>
        <w:rPr>
          <w:rFonts w:hint="default" w:ascii="Times New Roman" w:hAnsi="Times New Roman" w:eastAsia="黑体" w:cs="Times New Roman"/>
          <w:sz w:val="32"/>
          <w:szCs w:val="32"/>
        </w:rPr>
      </w:pPr>
      <w:r>
        <w:rPr>
          <w:rFonts w:hint="eastAsia" w:ascii="方正黑体_GBK" w:hAnsi="方正黑体_GBK" w:eastAsia="方正黑体_GBK" w:cs="方正黑体_GBK"/>
          <w:sz w:val="32"/>
          <w:szCs w:val="32"/>
        </w:rPr>
        <w:t>三、项目实施及管理情况</w:t>
      </w:r>
    </w:p>
    <w:p w14:paraId="48852383">
      <w:pPr>
        <w:pStyle w:val="15"/>
        <w:keepNext w:val="0"/>
        <w:keepLines w:val="0"/>
        <w:pageBreakBefore w:val="0"/>
        <w:widowControl/>
        <w:suppressLineNumbers w:val="0"/>
        <w:kinsoku/>
        <w:wordWrap/>
        <w:overflowPunct/>
        <w:topLinePunct w:val="0"/>
        <w:autoSpaceDE/>
        <w:autoSpaceDN/>
        <w:bidi w:val="0"/>
        <w:spacing w:beforeAutospacing="0" w:afterAutospacing="0"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（一）项目组织架构及实施流程。</w:t>
      </w:r>
    </w:p>
    <w:p w14:paraId="3A33FFE1">
      <w:pPr>
        <w:pStyle w:val="15"/>
        <w:keepNext w:val="0"/>
        <w:keepLines w:val="0"/>
        <w:pageBreakBefore w:val="0"/>
        <w:widowControl/>
        <w:suppressLineNumbers w:val="0"/>
        <w:kinsoku/>
        <w:wordWrap/>
        <w:overflowPunct/>
        <w:topLinePunct w:val="0"/>
        <w:autoSpaceDE/>
        <w:autoSpaceDN/>
        <w:bidi w:val="0"/>
        <w:spacing w:beforeAutospacing="0" w:afterAutospacing="0" w:line="240" w:lineRule="auto"/>
        <w:ind w:firstLine="640" w:firstLineChars="200"/>
        <w:jc w:val="both"/>
        <w:textAlignment w:val="auto"/>
        <w:rPr>
          <w:rFonts w:hint="default" w:ascii="Times New Roman" w:hAnsi="Times New Roman" w:eastAsia="方正仿宋_GBK" w:cs="Times New Roman"/>
          <w:b/>
          <w:sz w:val="32"/>
          <w:szCs w:val="32"/>
          <w:lang w:val="zh-CN"/>
        </w:rPr>
      </w:pPr>
      <w:r>
        <w:rPr>
          <w:rFonts w:hint="default" w:ascii="Times New Roman" w:hAnsi="Times New Roman" w:eastAsia="方正仿宋_GBK" w:cs="Times New Roman"/>
          <w:b w:val="0"/>
          <w:sz w:val="32"/>
        </w:rPr>
        <w:t>依据市消防救援局、市森林消防支队提供的名单</w:t>
      </w:r>
      <w:r>
        <w:rPr>
          <w:rFonts w:hint="default" w:ascii="Times New Roman" w:hAnsi="Times New Roman" w:eastAsia="方正仿宋_GBK" w:cs="Times New Roman"/>
          <w:b w:val="0"/>
          <w:kern w:val="2"/>
          <w:sz w:val="32"/>
          <w:szCs w:val="24"/>
          <w:lang w:val="en-US" w:eastAsia="zh-CN" w:bidi="ar-SA"/>
        </w:rPr>
        <w:t>及相关佐证材料，</w:t>
      </w:r>
      <w:r>
        <w:rPr>
          <w:rFonts w:hint="eastAsia" w:eastAsia="方正仿宋_GBK" w:cs="Times New Roman"/>
          <w:b w:val="0"/>
          <w:kern w:val="2"/>
          <w:sz w:val="32"/>
          <w:szCs w:val="24"/>
          <w:lang w:val="en-US" w:eastAsia="zh-CN" w:bidi="ar-SA"/>
        </w:rPr>
        <w:t>仁和</w:t>
      </w:r>
      <w:r>
        <w:rPr>
          <w:rFonts w:hint="default" w:ascii="Times New Roman" w:hAnsi="Times New Roman" w:eastAsia="方正仿宋_GBK" w:cs="Times New Roman"/>
          <w:b w:val="0"/>
          <w:kern w:val="2"/>
          <w:sz w:val="32"/>
          <w:szCs w:val="24"/>
          <w:lang w:val="en-US" w:eastAsia="zh-CN" w:bidi="ar-SA"/>
        </w:rPr>
        <w:t>区应急管理局对人员户籍、入职时间、衔级、享受优待年限开展复核，对接</w:t>
      </w:r>
      <w:r>
        <w:rPr>
          <w:rFonts w:hint="eastAsia" w:eastAsia="方正仿宋_GBK" w:cs="Times New Roman"/>
          <w:b w:val="0"/>
          <w:kern w:val="2"/>
          <w:sz w:val="32"/>
          <w:szCs w:val="24"/>
          <w:lang w:val="en-US" w:eastAsia="zh-CN" w:bidi="ar-SA"/>
        </w:rPr>
        <w:t>仁和</w:t>
      </w:r>
      <w:r>
        <w:rPr>
          <w:rFonts w:hint="default" w:ascii="Times New Roman" w:hAnsi="Times New Roman" w:eastAsia="方正仿宋_GBK" w:cs="Times New Roman"/>
          <w:b w:val="0"/>
          <w:kern w:val="2"/>
          <w:sz w:val="32"/>
          <w:szCs w:val="24"/>
          <w:lang w:val="en-US" w:eastAsia="zh-CN" w:bidi="ar-SA"/>
        </w:rPr>
        <w:t>区财政局申请项目经费，经费获批后委托金融机构直接拨付至优待金领取人银行账户。</w:t>
      </w:r>
    </w:p>
    <w:p w14:paraId="77F4D240">
      <w:pPr>
        <w:keepNext w:val="0"/>
        <w:keepLines w:val="0"/>
        <w:pageBreakBefore w:val="0"/>
        <w:kinsoku/>
        <w:wordWrap/>
        <w:overflowPunct/>
        <w:topLinePunct w:val="0"/>
        <w:autoSpaceDE/>
        <w:autoSpaceDN/>
        <w:bidi w:val="0"/>
        <w:spacing w:before="0" w:beforeAutospacing="0" w:after="0" w:afterAutospacing="0"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（二）项目管理情况。</w:t>
      </w:r>
    </w:p>
    <w:p w14:paraId="777DA1A8">
      <w:pPr>
        <w:keepNext w:val="0"/>
        <w:keepLines w:val="0"/>
        <w:pageBreakBefore w:val="0"/>
        <w:kinsoku/>
        <w:wordWrap/>
        <w:overflowPunct/>
        <w:topLinePunct w:val="0"/>
        <w:autoSpaceDE/>
        <w:autoSpaceDN/>
        <w:bidi w:val="0"/>
        <w:spacing w:before="0" w:beforeAutospacing="0" w:after="0" w:afterAutospacing="0" w:line="240" w:lineRule="auto"/>
        <w:ind w:firstLine="640" w:firstLineChars="200"/>
        <w:textAlignment w:val="auto"/>
        <w:rPr>
          <w:rFonts w:hint="default" w:ascii="Times New Roman" w:hAnsi="Times New Roman" w:eastAsia="仿宋_GB2312" w:cs="Times New Roman"/>
          <w:sz w:val="32"/>
          <w:szCs w:val="32"/>
          <w:lang w:val="zh-CN" w:eastAsia="zh-CN"/>
        </w:rPr>
      </w:pPr>
      <w:r>
        <w:rPr>
          <w:rFonts w:hint="default" w:ascii="Times New Roman" w:hAnsi="Times New Roman" w:eastAsia="方正仿宋_GBK" w:cs="Times New Roman"/>
          <w:b w:val="0"/>
          <w:sz w:val="32"/>
        </w:rPr>
        <w:t>项目严格按照《关于落实全市国家综合性消防救援队伍预备消防士家庭优待金政策的意见》（攀消〔2025〕10号）等政策文件要求实施，落实发放对象资料审核制度</w:t>
      </w:r>
      <w:r>
        <w:rPr>
          <w:rFonts w:hint="default" w:ascii="Times New Roman" w:hAnsi="Times New Roman" w:eastAsia="方正仿宋_GBK" w:cs="Times New Roman"/>
          <w:b w:val="0"/>
          <w:sz w:val="32"/>
          <w:lang w:eastAsia="zh-CN"/>
        </w:rPr>
        <w:t>。严</w:t>
      </w:r>
      <w:r>
        <w:rPr>
          <w:rFonts w:hint="default" w:ascii="Times New Roman" w:hAnsi="Times New Roman" w:eastAsia="方正仿宋_GBK" w:cs="Times New Roman"/>
          <w:b w:val="0"/>
          <w:sz w:val="32"/>
        </w:rPr>
        <w:t>格执行项目审核及公示等有关规定，项目管理规范。</w:t>
      </w:r>
    </w:p>
    <w:p w14:paraId="3C053E14">
      <w:pPr>
        <w:keepNext w:val="0"/>
        <w:keepLines w:val="0"/>
        <w:pageBreakBefore w:val="0"/>
        <w:kinsoku/>
        <w:wordWrap/>
        <w:overflowPunct/>
        <w:topLinePunct w:val="0"/>
        <w:autoSpaceDE/>
        <w:autoSpaceDN/>
        <w:bidi w:val="0"/>
        <w:spacing w:before="0" w:beforeAutospacing="0" w:after="0" w:afterAutospacing="0"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（三）项目监管情况。</w:t>
      </w:r>
    </w:p>
    <w:p w14:paraId="00F1A177">
      <w:pPr>
        <w:keepNext w:val="0"/>
        <w:keepLines w:val="0"/>
        <w:pageBreakBefore w:val="0"/>
        <w:kinsoku/>
        <w:wordWrap/>
        <w:overflowPunct/>
        <w:topLinePunct w:val="0"/>
        <w:autoSpaceDE/>
        <w:autoSpaceDN/>
        <w:bidi w:val="0"/>
        <w:spacing w:before="0" w:beforeAutospacing="0" w:after="0" w:afterAutospacing="0" w:line="240" w:lineRule="auto"/>
        <w:ind w:firstLine="640" w:firstLineChars="200"/>
        <w:textAlignment w:val="auto"/>
        <w:rPr>
          <w:rFonts w:hint="default" w:ascii="Times New Roman" w:hAnsi="Times New Roman" w:eastAsia="仿宋_GB2312" w:cs="Times New Roman"/>
          <w:b w:val="0"/>
          <w:sz w:val="32"/>
        </w:rPr>
      </w:pPr>
      <w:r>
        <w:rPr>
          <w:rFonts w:hint="eastAsia" w:eastAsia="方正仿宋_GBK" w:cs="Times New Roman"/>
          <w:b w:val="0"/>
          <w:sz w:val="32"/>
          <w:lang w:eastAsia="zh-CN"/>
        </w:rPr>
        <w:t>仁和</w:t>
      </w:r>
      <w:r>
        <w:rPr>
          <w:rFonts w:hint="default" w:ascii="Times New Roman" w:hAnsi="Times New Roman" w:eastAsia="方正仿宋_GBK" w:cs="Times New Roman"/>
          <w:b w:val="0"/>
          <w:sz w:val="32"/>
        </w:rPr>
        <w:t>区应急管理局对项目资金测算、资料审核、资金发放等环节加强监督管理，对发放结果进行复核，确保发放人数准确、发放标准统一、资金发放到人</w:t>
      </w:r>
      <w:r>
        <w:rPr>
          <w:rFonts w:hint="default" w:ascii="Times New Roman" w:hAnsi="Times New Roman" w:eastAsia="方正仿宋_GBK" w:cs="Times New Roman"/>
          <w:b w:val="0"/>
          <w:sz w:val="32"/>
          <w:lang w:eastAsia="zh-CN"/>
        </w:rPr>
        <w:t>。</w:t>
      </w:r>
    </w:p>
    <w:p w14:paraId="57377693">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640" w:firstLineChars="200"/>
        <w:textAlignment w:val="auto"/>
        <w:rPr>
          <w:rFonts w:hint="default" w:ascii="Times New Roman" w:hAnsi="Times New Roman" w:eastAsia="仿宋_GB2312" w:cs="Times New Roman"/>
          <w:sz w:val="32"/>
          <w:szCs w:val="32"/>
          <w:lang w:val="zh-CN"/>
        </w:rPr>
      </w:pPr>
      <w:r>
        <w:rPr>
          <w:rFonts w:hint="eastAsia" w:ascii="方正黑体_GBK" w:hAnsi="方正黑体_GBK" w:eastAsia="方正黑体_GBK" w:cs="方正黑体_GBK"/>
          <w:sz w:val="32"/>
          <w:szCs w:val="32"/>
        </w:rPr>
        <w:t>四、项目绩效情况</w:t>
      </w:r>
      <w:r>
        <w:rPr>
          <w:rFonts w:hint="eastAsia" w:ascii="方正黑体_GBK" w:hAnsi="方正黑体_GBK" w:eastAsia="方正黑体_GBK" w:cs="方正黑体_GBK"/>
          <w:sz w:val="32"/>
          <w:szCs w:val="32"/>
          <w:lang w:val="zh-CN"/>
        </w:rPr>
        <w:tab/>
      </w:r>
    </w:p>
    <w:p w14:paraId="05E2EC90">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（一）项目完成情况。</w:t>
      </w:r>
    </w:p>
    <w:p w14:paraId="1AC7DE29">
      <w:pPr>
        <w:keepNext w:val="0"/>
        <w:keepLines w:val="0"/>
        <w:pageBreakBefore w:val="0"/>
        <w:kinsoku/>
        <w:wordWrap/>
        <w:overflowPunct/>
        <w:topLinePunct w:val="0"/>
        <w:autoSpaceDE/>
        <w:autoSpaceDN/>
        <w:bidi w:val="0"/>
        <w:spacing w:before="0" w:beforeAutospacing="0" w:after="0" w:afterAutospacing="0" w:line="240" w:lineRule="auto"/>
        <w:ind w:firstLine="640" w:firstLineChars="200"/>
        <w:textAlignment w:val="auto"/>
        <w:rPr>
          <w:rFonts w:hint="default" w:ascii="Times New Roman" w:hAnsi="Times New Roman" w:eastAsia="方正仿宋_GBK" w:cs="Times New Roman"/>
          <w:b w:val="0"/>
          <w:sz w:val="32"/>
        </w:rPr>
      </w:pPr>
      <w:r>
        <w:rPr>
          <w:rFonts w:hint="default" w:ascii="Times New Roman" w:hAnsi="Times New Roman" w:eastAsia="方正仿宋_GBK" w:cs="Times New Roman"/>
          <w:b w:val="0"/>
          <w:sz w:val="32"/>
          <w:lang w:eastAsia="zh-CN"/>
        </w:rPr>
        <w:t>本</w:t>
      </w:r>
      <w:r>
        <w:rPr>
          <w:rFonts w:hint="default" w:ascii="Times New Roman" w:hAnsi="Times New Roman" w:eastAsia="方正仿宋_GBK" w:cs="Times New Roman"/>
          <w:b w:val="0"/>
          <w:sz w:val="32"/>
        </w:rPr>
        <w:t>项目已完成</w:t>
      </w:r>
      <w:r>
        <w:rPr>
          <w:rFonts w:hint="default" w:ascii="Times New Roman" w:hAnsi="Times New Roman" w:eastAsia="方正仿宋_GBK" w:cs="Times New Roman"/>
          <w:b w:val="0"/>
          <w:sz w:val="32"/>
          <w:lang w:eastAsia="zh-CN"/>
        </w:rPr>
        <w:t>对</w:t>
      </w:r>
      <w:r>
        <w:rPr>
          <w:rFonts w:hint="default" w:ascii="Times New Roman" w:hAnsi="Times New Roman" w:eastAsia="方正仿宋_GBK" w:cs="Times New Roman"/>
          <w:b w:val="0"/>
          <w:sz w:val="32"/>
        </w:rPr>
        <w:t>2023年入职的5名预备消防士家庭优待金发放工作，发放人数完成率100%，发放标准为19938元/人，发放金额9.969万元</w:t>
      </w:r>
      <w:r>
        <w:rPr>
          <w:rFonts w:hint="default" w:ascii="Times New Roman" w:hAnsi="Times New Roman" w:eastAsia="方正仿宋_GBK" w:cs="Times New Roman"/>
          <w:b w:val="0"/>
          <w:sz w:val="32"/>
          <w:lang w:eastAsia="zh-CN"/>
        </w:rPr>
        <w:t>。</w:t>
      </w:r>
      <w:r>
        <w:rPr>
          <w:rFonts w:hint="default" w:ascii="Times New Roman" w:hAnsi="Times New Roman" w:eastAsia="方正仿宋_GBK" w:cs="Times New Roman"/>
          <w:b w:val="0"/>
          <w:sz w:val="32"/>
        </w:rPr>
        <w:t>按年度工作安排于2025年完成发放，成本指标控制在9.969万元以内，项目各项指标全面完成。</w:t>
      </w:r>
    </w:p>
    <w:p w14:paraId="39F55E10">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（二）项目效益情况。</w:t>
      </w:r>
    </w:p>
    <w:p w14:paraId="107BF008">
      <w:pPr>
        <w:keepNext w:val="0"/>
        <w:keepLines w:val="0"/>
        <w:pageBreakBefore w:val="0"/>
        <w:kinsoku/>
        <w:wordWrap/>
        <w:overflowPunct/>
        <w:topLinePunct w:val="0"/>
        <w:autoSpaceDE/>
        <w:autoSpaceDN/>
        <w:bidi w:val="0"/>
        <w:spacing w:before="0" w:beforeAutospacing="0" w:after="0" w:afterAutospacing="0" w:line="240" w:lineRule="auto"/>
        <w:ind w:firstLine="640" w:firstLineChars="200"/>
        <w:textAlignment w:val="auto"/>
        <w:rPr>
          <w:rFonts w:hint="default" w:ascii="Times New Roman" w:hAnsi="Times New Roman" w:eastAsia="方正仿宋_GBK" w:cs="Times New Roman"/>
          <w:b w:val="0"/>
          <w:sz w:val="32"/>
        </w:rPr>
      </w:pPr>
      <w:r>
        <w:rPr>
          <w:rFonts w:hint="default" w:ascii="Times New Roman" w:hAnsi="Times New Roman" w:eastAsia="方正仿宋_GBK" w:cs="Times New Roman"/>
          <w:b w:val="0"/>
          <w:sz w:val="32"/>
        </w:rPr>
        <w:t>项目全面落实了预备消防士家庭优待金政策</w:t>
      </w:r>
      <w:r>
        <w:rPr>
          <w:rFonts w:hint="default" w:ascii="Times New Roman" w:hAnsi="Times New Roman" w:eastAsia="方正仿宋_GBK" w:cs="Times New Roman"/>
          <w:b w:val="0"/>
          <w:sz w:val="32"/>
          <w:lang w:eastAsia="zh-CN"/>
        </w:rPr>
        <w:t>，</w:t>
      </w:r>
      <w:r>
        <w:rPr>
          <w:rFonts w:hint="default" w:ascii="Times New Roman" w:hAnsi="Times New Roman" w:eastAsia="方正仿宋_GBK" w:cs="Times New Roman"/>
          <w:b w:val="0"/>
          <w:sz w:val="32"/>
        </w:rPr>
        <w:t>服务对象对项目满意度达90%以上</w:t>
      </w:r>
      <w:r>
        <w:rPr>
          <w:rFonts w:hint="default" w:ascii="Times New Roman" w:hAnsi="Times New Roman" w:eastAsia="方正仿宋_GBK" w:cs="Times New Roman"/>
          <w:b w:val="0"/>
          <w:sz w:val="32"/>
          <w:lang w:eastAsia="zh-CN"/>
        </w:rPr>
        <w:t>。</w:t>
      </w:r>
      <w:r>
        <w:rPr>
          <w:rFonts w:hint="default" w:ascii="Times New Roman" w:hAnsi="Times New Roman" w:eastAsia="方正仿宋_GBK" w:cs="Times New Roman"/>
          <w:b w:val="0"/>
          <w:sz w:val="32"/>
        </w:rPr>
        <w:t>有效保障了消防救援人员及其家庭权益，切实增强了国家综合性消防救援队伍的职业荣誉感和凝聚力</w:t>
      </w:r>
      <w:r>
        <w:rPr>
          <w:rFonts w:hint="default" w:ascii="Times New Roman" w:hAnsi="Times New Roman" w:eastAsia="方正仿宋_GBK" w:cs="Times New Roman"/>
          <w:b w:val="0"/>
          <w:sz w:val="32"/>
          <w:lang w:eastAsia="zh-CN"/>
        </w:rPr>
        <w:t>，</w:t>
      </w:r>
      <w:r>
        <w:rPr>
          <w:rFonts w:hint="default" w:ascii="Times New Roman" w:hAnsi="Times New Roman" w:eastAsia="方正仿宋_GBK" w:cs="Times New Roman"/>
          <w:b w:val="0"/>
          <w:sz w:val="32"/>
        </w:rPr>
        <w:t>达到设定目标。</w:t>
      </w:r>
    </w:p>
    <w:p w14:paraId="0BCE6F0B">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五、评价结论及建议</w:t>
      </w:r>
    </w:p>
    <w:p w14:paraId="693B5396">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643" w:firstLineChars="200"/>
        <w:textAlignment w:val="auto"/>
        <w:rPr>
          <w:rFonts w:hint="default" w:ascii="Times New Roman" w:hAnsi="Times New Roman" w:eastAsia="楷体_GB2312" w:cs="Times New Roman"/>
          <w:b/>
          <w:sz w:val="32"/>
          <w:szCs w:val="32"/>
          <w:lang w:val="zh-CN"/>
        </w:rPr>
      </w:pPr>
      <w:r>
        <w:rPr>
          <w:rFonts w:hint="eastAsia" w:ascii="方正楷体_GBK" w:hAnsi="方正楷体_GBK" w:eastAsia="方正楷体_GBK" w:cs="方正楷体_GBK"/>
          <w:b/>
          <w:sz w:val="32"/>
          <w:szCs w:val="32"/>
          <w:lang w:val="zh-CN"/>
        </w:rPr>
        <w:t>（一）评价结论。</w:t>
      </w:r>
    </w:p>
    <w:p w14:paraId="66C2ABA8">
      <w:pPr>
        <w:keepNext w:val="0"/>
        <w:keepLines w:val="0"/>
        <w:pageBreakBefore w:val="0"/>
        <w:kinsoku/>
        <w:wordWrap/>
        <w:overflowPunct/>
        <w:topLinePunct w:val="0"/>
        <w:autoSpaceDE/>
        <w:autoSpaceDN/>
        <w:bidi w:val="0"/>
        <w:spacing w:before="0" w:beforeAutospacing="0" w:after="0" w:afterAutospacing="0" w:line="240" w:lineRule="auto"/>
        <w:ind w:firstLine="640" w:firstLineChars="200"/>
        <w:textAlignment w:val="auto"/>
        <w:rPr>
          <w:rFonts w:hint="default" w:ascii="Times New Roman" w:hAnsi="Times New Roman" w:eastAsia="方正仿宋_GBK" w:cs="Times New Roman"/>
        </w:rPr>
      </w:pPr>
      <w:r>
        <w:rPr>
          <w:rFonts w:hint="default" w:ascii="Times New Roman" w:hAnsi="Times New Roman" w:eastAsia="方正仿宋_GBK" w:cs="Times New Roman"/>
          <w:b w:val="0"/>
          <w:sz w:val="32"/>
        </w:rPr>
        <w:t>2025年度预备消防士家庭优待金项目立项依据充分，绩效目标设置明确合理，预算执行率100%，资金使用安全、规范、有效，各项绩效指标全部完成，项目自评得分100分。该项目很好地保障了消防救援人员的权益，提升了他们的职业荣誉感，项目总体实施效果良好。</w:t>
      </w:r>
    </w:p>
    <w:p w14:paraId="4D51A94D">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（二）存在的问题。</w:t>
      </w:r>
    </w:p>
    <w:p w14:paraId="194794DE">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640" w:firstLineChars="200"/>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无</w:t>
      </w:r>
      <w:r>
        <w:rPr>
          <w:rFonts w:hint="default" w:ascii="Times New Roman" w:hAnsi="Times New Roman" w:eastAsia="方正仿宋_GBK" w:cs="Times New Roman"/>
          <w:sz w:val="32"/>
          <w:szCs w:val="32"/>
          <w:lang w:val="zh-CN"/>
        </w:rPr>
        <w:tab/>
      </w:r>
    </w:p>
    <w:p w14:paraId="11A86946">
      <w:pPr>
        <w:keepNext w:val="0"/>
        <w:keepLines w:val="0"/>
        <w:pageBreakBefore w:val="0"/>
        <w:kinsoku/>
        <w:wordWrap/>
        <w:overflowPunct/>
        <w:topLinePunct w:val="0"/>
        <w:autoSpaceDE/>
        <w:autoSpaceDN/>
        <w:bidi w:val="0"/>
        <w:adjustRightInd w:val="0"/>
        <w:snapToGrid w:val="0"/>
        <w:spacing w:beforeAutospacing="0" w:afterAutospacing="0" w:line="240" w:lineRule="auto"/>
        <w:ind w:firstLine="643"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（三）相关建议。</w:t>
      </w:r>
    </w:p>
    <w:p w14:paraId="3EEB295C">
      <w:pPr>
        <w:rPr>
          <w:rFonts w:hint="default" w:ascii="Times New Roman" w:hAnsi="Times New Roman" w:eastAsia="方正仿宋_GBK" w:cs="Times New Roman"/>
          <w:b w:val="0"/>
          <w:sz w:val="32"/>
        </w:rPr>
      </w:pPr>
      <w:r>
        <w:rPr>
          <w:rFonts w:hint="default" w:ascii="Times New Roman" w:hAnsi="Times New Roman" w:eastAsia="方正仿宋_GBK" w:cs="Times New Roman"/>
          <w:b w:val="0"/>
          <w:sz w:val="32"/>
        </w:rPr>
        <w:t>持续做好202</w:t>
      </w:r>
      <w:r>
        <w:rPr>
          <w:rFonts w:hint="default" w:ascii="Times New Roman" w:hAnsi="Times New Roman" w:eastAsia="方正仿宋_GBK" w:cs="Times New Roman"/>
          <w:b w:val="0"/>
          <w:sz w:val="32"/>
          <w:lang w:val="en-US" w:eastAsia="zh-CN"/>
        </w:rPr>
        <w:t>3</w:t>
      </w:r>
      <w:r>
        <w:rPr>
          <w:rFonts w:hint="default" w:ascii="Times New Roman" w:hAnsi="Times New Roman" w:eastAsia="方正仿宋_GBK" w:cs="Times New Roman"/>
          <w:b w:val="0"/>
          <w:sz w:val="32"/>
        </w:rPr>
        <w:t>年以后招录预备消防士家庭优待金的逐年测算和发放工作，确保政策落实落细。</w:t>
      </w:r>
    </w:p>
    <w:p w14:paraId="74063120">
      <w:pPr>
        <w:rPr>
          <w:rFonts w:hint="eastAsia" w:ascii="Times New Roman" w:hAnsi="Times New Roman" w:eastAsia="方正仿宋_GBK" w:cs="Times New Roman"/>
          <w:b w:val="0"/>
          <w:sz w:val="32"/>
          <w:lang w:val="en-US" w:eastAsia="zh-CN"/>
        </w:rPr>
      </w:pPr>
    </w:p>
    <w:p w14:paraId="17CE03A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8"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54E8F499">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2"/>
          <w:rFonts w:hint="eastAsia" w:ascii="Times New Roman" w:hAnsi="Times New Roman" w:eastAsia="黑体"/>
          <w:b w:val="0"/>
          <w:color w:val="auto"/>
          <w:highlight w:val="none"/>
        </w:rPr>
        <w:t>五部分附表</w:t>
      </w:r>
      <w:bookmarkEnd w:id="55"/>
      <w:bookmarkEnd w:id="58"/>
      <w:bookmarkStart w:id="59" w:name="_Toc15396619"/>
    </w:p>
    <w:p w14:paraId="1520789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2F5B16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9"/>
    </w:p>
    <w:p w14:paraId="2E08A8C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0"/>
      <w:r>
        <w:rPr>
          <w:rFonts w:hint="eastAsia" w:ascii="Times New Roman" w:hAnsi="Times New Roman" w:eastAsia="仿宋_GB2312" w:cs="仿宋_GB2312"/>
          <w:color w:val="auto"/>
          <w:sz w:val="32"/>
          <w:szCs w:val="32"/>
          <w:highlight w:val="none"/>
        </w:rPr>
        <w:t>二、收入决算表</w:t>
      </w:r>
      <w:bookmarkEnd w:id="60"/>
    </w:p>
    <w:p w14:paraId="4987C7B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1"/>
      <w:r>
        <w:rPr>
          <w:rFonts w:hint="eastAsia" w:ascii="Times New Roman" w:hAnsi="Times New Roman" w:eastAsia="仿宋_GB2312" w:cs="仿宋_GB2312"/>
          <w:color w:val="auto"/>
          <w:sz w:val="32"/>
          <w:szCs w:val="32"/>
          <w:highlight w:val="none"/>
        </w:rPr>
        <w:t>三、支出决算表</w:t>
      </w:r>
      <w:bookmarkEnd w:id="61"/>
    </w:p>
    <w:p w14:paraId="2069510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2"/>
      <w:r>
        <w:rPr>
          <w:rFonts w:hint="eastAsia" w:ascii="Times New Roman" w:hAnsi="Times New Roman" w:eastAsia="仿宋_GB2312" w:cs="仿宋_GB2312"/>
          <w:color w:val="auto"/>
          <w:sz w:val="32"/>
          <w:szCs w:val="32"/>
          <w:highlight w:val="none"/>
        </w:rPr>
        <w:t>四、财政拨款收入支出决算总表</w:t>
      </w:r>
      <w:bookmarkEnd w:id="62"/>
    </w:p>
    <w:p w14:paraId="401F31E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3"/>
      <w:r>
        <w:rPr>
          <w:rFonts w:hint="eastAsia" w:ascii="Times New Roman" w:hAnsi="Times New Roman" w:eastAsia="仿宋_GB2312" w:cs="仿宋_GB2312"/>
          <w:color w:val="auto"/>
          <w:sz w:val="32"/>
          <w:szCs w:val="32"/>
          <w:highlight w:val="none"/>
        </w:rPr>
        <w:t>五、财政拨款支出决算明细表</w:t>
      </w:r>
      <w:bookmarkEnd w:id="63"/>
      <w:bookmarkStart w:id="64" w:name="_Toc15396624"/>
    </w:p>
    <w:p w14:paraId="26DADFE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4"/>
    </w:p>
    <w:p w14:paraId="09129FD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5"/>
      <w:r>
        <w:rPr>
          <w:rFonts w:hint="eastAsia" w:ascii="Times New Roman" w:hAnsi="Times New Roman" w:eastAsia="仿宋_GB2312" w:cs="仿宋_GB2312"/>
          <w:color w:val="auto"/>
          <w:sz w:val="32"/>
          <w:szCs w:val="32"/>
          <w:highlight w:val="none"/>
        </w:rPr>
        <w:t>七、一般公共预算财政拨款支出决算明细表</w:t>
      </w:r>
      <w:bookmarkEnd w:id="65"/>
    </w:p>
    <w:p w14:paraId="0DCBF4E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6"/>
      <w:r>
        <w:rPr>
          <w:rFonts w:hint="eastAsia" w:ascii="Times New Roman" w:hAnsi="Times New Roman" w:eastAsia="仿宋_GB2312" w:cs="仿宋_GB2312"/>
          <w:color w:val="auto"/>
          <w:sz w:val="32"/>
          <w:szCs w:val="32"/>
          <w:highlight w:val="none"/>
        </w:rPr>
        <w:t>八、一般公共预算财政拨款基本支出决算表</w:t>
      </w:r>
      <w:bookmarkEnd w:id="66"/>
    </w:p>
    <w:p w14:paraId="5E641BA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7"/>
      <w:r>
        <w:rPr>
          <w:rFonts w:hint="eastAsia" w:ascii="Times New Roman" w:hAnsi="Times New Roman" w:eastAsia="仿宋_GB2312" w:cs="仿宋_GB2312"/>
          <w:color w:val="auto"/>
          <w:sz w:val="32"/>
          <w:szCs w:val="32"/>
          <w:highlight w:val="none"/>
        </w:rPr>
        <w:t>九、一般公共预算财政拨款项目支出决算表</w:t>
      </w:r>
      <w:bookmarkEnd w:id="67"/>
    </w:p>
    <w:p w14:paraId="5EBB906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8"/>
      <w:r>
        <w:rPr>
          <w:rFonts w:hint="eastAsia" w:ascii="Times New Roman" w:hAnsi="Times New Roman" w:eastAsia="仿宋_GB2312" w:cs="仿宋_GB2312"/>
          <w:color w:val="auto"/>
          <w:sz w:val="32"/>
          <w:szCs w:val="32"/>
          <w:highlight w:val="none"/>
        </w:rPr>
        <w:t>十、</w:t>
      </w:r>
      <w:bookmarkEnd w:id="68"/>
      <w:r>
        <w:rPr>
          <w:rFonts w:hint="eastAsia" w:ascii="Times New Roman" w:hAnsi="Times New Roman" w:eastAsia="仿宋_GB2312" w:cs="仿宋_GB2312"/>
          <w:color w:val="auto"/>
          <w:sz w:val="32"/>
          <w:szCs w:val="32"/>
          <w:highlight w:val="none"/>
        </w:rPr>
        <w:t>政府性基金预算财政拨款收入支出决算表</w:t>
      </w:r>
    </w:p>
    <w:p w14:paraId="5D4E3EE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9"/>
      <w:r>
        <w:rPr>
          <w:rFonts w:hint="eastAsia" w:ascii="Times New Roman" w:hAnsi="Times New Roman" w:eastAsia="仿宋_GB2312" w:cs="仿宋_GB2312"/>
          <w:color w:val="auto"/>
          <w:sz w:val="32"/>
          <w:szCs w:val="32"/>
          <w:highlight w:val="none"/>
        </w:rPr>
        <w:t>十一、</w:t>
      </w:r>
      <w:bookmarkEnd w:id="6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8259FA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30"/>
      <w:r>
        <w:rPr>
          <w:rFonts w:hint="eastAsia" w:ascii="Times New Roman" w:hAnsi="Times New Roman" w:eastAsia="仿宋_GB2312" w:cs="仿宋_GB2312"/>
          <w:color w:val="auto"/>
          <w:sz w:val="32"/>
          <w:szCs w:val="32"/>
          <w:highlight w:val="none"/>
        </w:rPr>
        <w:t>十二、</w:t>
      </w:r>
      <w:bookmarkEnd w:id="70"/>
      <w:r>
        <w:rPr>
          <w:rFonts w:hint="eastAsia" w:ascii="Times New Roman" w:hAnsi="Times New Roman" w:eastAsia="仿宋_GB2312" w:cs="仿宋_GB2312"/>
          <w:color w:val="auto"/>
          <w:sz w:val="32"/>
          <w:szCs w:val="32"/>
          <w:highlight w:val="none"/>
          <w:lang w:eastAsia="zh-CN"/>
        </w:rPr>
        <w:t>国有资本经营预算财政拨款支出决算表</w:t>
      </w:r>
    </w:p>
    <w:p w14:paraId="3623EA6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1" w:name="_Toc15396631"/>
      <w:r>
        <w:rPr>
          <w:rFonts w:hint="eastAsia" w:ascii="Times New Roman" w:hAnsi="Times New Roman" w:eastAsia="仿宋_GB2312" w:cs="仿宋_GB2312"/>
          <w:color w:val="auto"/>
          <w:sz w:val="32"/>
          <w:szCs w:val="32"/>
          <w:highlight w:val="none"/>
        </w:rPr>
        <w:t>十三、</w:t>
      </w:r>
      <w:bookmarkEnd w:id="71"/>
      <w:r>
        <w:rPr>
          <w:rFonts w:hint="eastAsia" w:ascii="Times New Roman" w:hAnsi="Times New Roman" w:eastAsia="仿宋_GB2312" w:cs="仿宋_GB2312"/>
          <w:color w:val="auto"/>
          <w:sz w:val="32"/>
          <w:szCs w:val="32"/>
          <w:highlight w:val="none"/>
          <w:lang w:eastAsia="zh-CN"/>
        </w:rPr>
        <w:t>财政拨款“三公”经费支出决算表</w:t>
      </w:r>
    </w:p>
    <w:p w14:paraId="3D171F2F">
      <w:pPr>
        <w:rPr>
          <w:rFonts w:hint="eastAsia" w:ascii="Times New Roman" w:hAnsi="Times New Roman"/>
          <w:lang w:eastAsia="zh-CN"/>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A26FF35-6207-4370-BA67-71F273633A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2FF5A963-9D09-4D95-A274-2B3FF9F3B718}"/>
  </w:font>
  <w:font w:name="仿宋">
    <w:panose1 w:val="02010609060101010101"/>
    <w:charset w:val="86"/>
    <w:family w:val="modern"/>
    <w:pitch w:val="default"/>
    <w:sig w:usb0="800002BF" w:usb1="38CF7CFA" w:usb2="00000016" w:usb3="00000000" w:csb0="00040001" w:csb1="00000000"/>
    <w:embedRegular r:id="rId3" w:fontKey="{022D70C5-7B7E-40B9-B12E-6116439E3D06}"/>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script"/>
    <w:pitch w:val="default"/>
    <w:sig w:usb0="00000001" w:usb1="080E0000" w:usb2="00000000" w:usb3="00000000" w:csb0="00040000" w:csb1="00000000"/>
    <w:embedRegular r:id="rId4" w:fontKey="{19326F03-CE2E-4B7F-8E78-9E8D3C564CE4}"/>
  </w:font>
  <w:font w:name="楷体_GB2312">
    <w:panose1 w:val="02010609030101010101"/>
    <w:charset w:val="86"/>
    <w:family w:val="auto"/>
    <w:pitch w:val="default"/>
    <w:sig w:usb0="00000001" w:usb1="080E0000" w:usb2="00000000" w:usb3="00000000" w:csb0="00040000" w:csb1="00000000"/>
    <w:embedRegular r:id="rId5" w:fontKey="{0D4228F0-CCC6-44A3-8F32-FA9F9045E16F}"/>
  </w:font>
  <w:font w:name="方正小标宋_GBK">
    <w:panose1 w:val="03000509000000000000"/>
    <w:charset w:val="86"/>
    <w:family w:val="auto"/>
    <w:pitch w:val="default"/>
    <w:sig w:usb0="00000001" w:usb1="080E0000" w:usb2="00000000" w:usb3="00000000" w:csb0="00040000" w:csb1="00000000"/>
    <w:embedRegular r:id="rId6" w:fontKey="{37B35C24-D9C7-4C98-B5EA-4288B19FE4D3}"/>
  </w:font>
  <w:font w:name="方正仿宋_GBK">
    <w:panose1 w:val="02000000000000000000"/>
    <w:charset w:val="86"/>
    <w:family w:val="script"/>
    <w:pitch w:val="default"/>
    <w:sig w:usb0="00000001" w:usb1="080E0000" w:usb2="00000000" w:usb3="00000000" w:csb0="00040000" w:csb1="00000000"/>
    <w:embedRegular r:id="rId7" w:fontKey="{ABB58AFA-C527-431E-B4B3-45676C011245}"/>
  </w:font>
  <w:font w:name="方正楷体_GBK">
    <w:panose1 w:val="02000000000000000000"/>
    <w:charset w:val="86"/>
    <w:family w:val="auto"/>
    <w:pitch w:val="default"/>
    <w:sig w:usb0="00000001" w:usb1="080E0000" w:usb2="00000000" w:usb3="00000000" w:csb0="00040000" w:csb1="00000000"/>
    <w:embedRegular r:id="rId8" w:fontKey="{B57501BD-2DAD-43CA-A03A-2EE764FF1010}"/>
  </w:font>
  <w:font w:name="方正黑体_GBK">
    <w:panose1 w:val="03000509000000000000"/>
    <w:charset w:val="86"/>
    <w:family w:val="auto"/>
    <w:pitch w:val="default"/>
    <w:sig w:usb0="00000001" w:usb1="080E0000" w:usb2="00000000" w:usb3="00000000" w:csb0="00040000" w:csb1="00000000"/>
    <w:embedRegular r:id="rId9" w:fontKey="{416F2CA2-7B18-41A4-9C3D-2E36F0D504A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AB0D6">
    <w:pPr>
      <w:pStyle w:val="10"/>
      <w:jc w:val="center"/>
    </w:pPr>
  </w:p>
  <w:p w14:paraId="1345CD15">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1EDD7">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06454">
    <w:pPr>
      <w:pStyle w:val="10"/>
      <w:jc w:val="center"/>
    </w:pPr>
  </w:p>
  <w:p w14:paraId="50124215">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E635E">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5FCBE8">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D5FCBE8">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1A545">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8F9E78">
                          <w:pPr>
                            <w:pStyle w:val="10"/>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1312;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s29ruzgCAABrBAAADgAAAAAAAAABACAAAAAlAQAAZHJzL2Uy&#10;b0RvYy54bWxQSwUGAAAAAAYABgBZAQAAzwUAAAAA&#10;">
              <v:fill on="f" focussize="0,0"/>
              <v:stroke on="f" weight="0.5pt"/>
              <v:imagedata o:title=""/>
              <o:lock v:ext="edit" aspectratio="f"/>
              <v:textbox inset="16pt,0mm,16pt,0mm" style="mso-fit-shape-to-text:t;">
                <w:txbxContent>
                  <w:p w14:paraId="008F9E78">
                    <w:pPr>
                      <w:pStyle w:val="10"/>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14:paraId="61703EF4">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612C0">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1B110B"/>
    <w:rsid w:val="015975B8"/>
    <w:rsid w:val="01A23516"/>
    <w:rsid w:val="02317B1B"/>
    <w:rsid w:val="02FEBE30"/>
    <w:rsid w:val="05F1789F"/>
    <w:rsid w:val="061E35DE"/>
    <w:rsid w:val="066E0107"/>
    <w:rsid w:val="06CB676A"/>
    <w:rsid w:val="071E75FD"/>
    <w:rsid w:val="07996F6E"/>
    <w:rsid w:val="07DFD8BA"/>
    <w:rsid w:val="08DB07E4"/>
    <w:rsid w:val="0958066E"/>
    <w:rsid w:val="09867E8F"/>
    <w:rsid w:val="0A2032A3"/>
    <w:rsid w:val="0B9C6927"/>
    <w:rsid w:val="0C087B18"/>
    <w:rsid w:val="0C3F5715"/>
    <w:rsid w:val="0C6C4794"/>
    <w:rsid w:val="0CA8290A"/>
    <w:rsid w:val="0D35B1ED"/>
    <w:rsid w:val="0DE07E2B"/>
    <w:rsid w:val="0EB51468"/>
    <w:rsid w:val="0F98263C"/>
    <w:rsid w:val="0FA03ED6"/>
    <w:rsid w:val="0FA31545"/>
    <w:rsid w:val="101860EC"/>
    <w:rsid w:val="10C055FF"/>
    <w:rsid w:val="11772AA4"/>
    <w:rsid w:val="118107EC"/>
    <w:rsid w:val="13957196"/>
    <w:rsid w:val="13D50BC4"/>
    <w:rsid w:val="14022904"/>
    <w:rsid w:val="152F2A07"/>
    <w:rsid w:val="165E0673"/>
    <w:rsid w:val="16A644B0"/>
    <w:rsid w:val="16BB723D"/>
    <w:rsid w:val="16EF3DAF"/>
    <w:rsid w:val="16F13FCB"/>
    <w:rsid w:val="186504BB"/>
    <w:rsid w:val="1938089F"/>
    <w:rsid w:val="19A445FC"/>
    <w:rsid w:val="19D215CC"/>
    <w:rsid w:val="1A976835"/>
    <w:rsid w:val="1B7D550C"/>
    <w:rsid w:val="1BE8440E"/>
    <w:rsid w:val="1C632820"/>
    <w:rsid w:val="1D155CEE"/>
    <w:rsid w:val="1DE178F3"/>
    <w:rsid w:val="1E740ACF"/>
    <w:rsid w:val="1FF35744"/>
    <w:rsid w:val="1FF6BC77"/>
    <w:rsid w:val="21962A9E"/>
    <w:rsid w:val="21AE7C77"/>
    <w:rsid w:val="22BC3C41"/>
    <w:rsid w:val="232B7C15"/>
    <w:rsid w:val="23860B96"/>
    <w:rsid w:val="240371BF"/>
    <w:rsid w:val="260F557C"/>
    <w:rsid w:val="281408E2"/>
    <w:rsid w:val="28661513"/>
    <w:rsid w:val="29FD04D3"/>
    <w:rsid w:val="2BA23355"/>
    <w:rsid w:val="2BFF7BC6"/>
    <w:rsid w:val="2C200BA4"/>
    <w:rsid w:val="2C8A61B5"/>
    <w:rsid w:val="2D2E01CF"/>
    <w:rsid w:val="2D8E4613"/>
    <w:rsid w:val="2DF04E50"/>
    <w:rsid w:val="2E9545B0"/>
    <w:rsid w:val="2EEF3E1B"/>
    <w:rsid w:val="2F040D46"/>
    <w:rsid w:val="2F42188D"/>
    <w:rsid w:val="2FAE5751"/>
    <w:rsid w:val="2FB1A395"/>
    <w:rsid w:val="2FD9A7D8"/>
    <w:rsid w:val="319F7F4E"/>
    <w:rsid w:val="321B2544"/>
    <w:rsid w:val="3257298F"/>
    <w:rsid w:val="3304709D"/>
    <w:rsid w:val="34081B2B"/>
    <w:rsid w:val="34281836"/>
    <w:rsid w:val="349B6841"/>
    <w:rsid w:val="349D6851"/>
    <w:rsid w:val="34C35695"/>
    <w:rsid w:val="35BA6CAF"/>
    <w:rsid w:val="35D37231"/>
    <w:rsid w:val="364D14C1"/>
    <w:rsid w:val="366A4DA8"/>
    <w:rsid w:val="36AA5135"/>
    <w:rsid w:val="36BE0DA7"/>
    <w:rsid w:val="376B6AA6"/>
    <w:rsid w:val="376D39B2"/>
    <w:rsid w:val="37DF4C0A"/>
    <w:rsid w:val="37E16F03"/>
    <w:rsid w:val="37F53A3B"/>
    <w:rsid w:val="389B6C89"/>
    <w:rsid w:val="38D469F0"/>
    <w:rsid w:val="39566B7B"/>
    <w:rsid w:val="39627CCD"/>
    <w:rsid w:val="397BAF1F"/>
    <w:rsid w:val="3A3E4A7A"/>
    <w:rsid w:val="3AB79AF3"/>
    <w:rsid w:val="3AF751C3"/>
    <w:rsid w:val="3B7EF35A"/>
    <w:rsid w:val="3B9FDB6C"/>
    <w:rsid w:val="3BF5BC2F"/>
    <w:rsid w:val="3C065573"/>
    <w:rsid w:val="3CDE658D"/>
    <w:rsid w:val="3CEBA265"/>
    <w:rsid w:val="3D98207C"/>
    <w:rsid w:val="3D9B0D99"/>
    <w:rsid w:val="3DA3615A"/>
    <w:rsid w:val="3DEE7CF3"/>
    <w:rsid w:val="3DF02244"/>
    <w:rsid w:val="3DF064DB"/>
    <w:rsid w:val="3E78745D"/>
    <w:rsid w:val="3FF4CAE0"/>
    <w:rsid w:val="3FF7B227"/>
    <w:rsid w:val="40E54C45"/>
    <w:rsid w:val="41313393"/>
    <w:rsid w:val="413C53E7"/>
    <w:rsid w:val="42F00C84"/>
    <w:rsid w:val="43A407DF"/>
    <w:rsid w:val="44515BEA"/>
    <w:rsid w:val="44E268DA"/>
    <w:rsid w:val="453F7E5B"/>
    <w:rsid w:val="46827EEC"/>
    <w:rsid w:val="47035F20"/>
    <w:rsid w:val="47CB3192"/>
    <w:rsid w:val="484A58E6"/>
    <w:rsid w:val="486A6C7A"/>
    <w:rsid w:val="49176D9B"/>
    <w:rsid w:val="494006BD"/>
    <w:rsid w:val="49787384"/>
    <w:rsid w:val="4A627F82"/>
    <w:rsid w:val="4B0E749A"/>
    <w:rsid w:val="4B4F25DA"/>
    <w:rsid w:val="4BDA0CFB"/>
    <w:rsid w:val="4BE068DB"/>
    <w:rsid w:val="4D3C0CCC"/>
    <w:rsid w:val="4D577224"/>
    <w:rsid w:val="4DBF1CEB"/>
    <w:rsid w:val="4EAB630A"/>
    <w:rsid w:val="4ECE2238"/>
    <w:rsid w:val="4F7D766C"/>
    <w:rsid w:val="4F833267"/>
    <w:rsid w:val="4FE9BD67"/>
    <w:rsid w:val="4FFB052F"/>
    <w:rsid w:val="502847C8"/>
    <w:rsid w:val="53083A92"/>
    <w:rsid w:val="53510C73"/>
    <w:rsid w:val="537E6D0A"/>
    <w:rsid w:val="53AF27A2"/>
    <w:rsid w:val="53F74C96"/>
    <w:rsid w:val="54A61249"/>
    <w:rsid w:val="54C86FA3"/>
    <w:rsid w:val="54EB1352"/>
    <w:rsid w:val="56E47B74"/>
    <w:rsid w:val="57BD3DD4"/>
    <w:rsid w:val="57DE2E24"/>
    <w:rsid w:val="57E24B33"/>
    <w:rsid w:val="58805617"/>
    <w:rsid w:val="58E51A24"/>
    <w:rsid w:val="5AF92295"/>
    <w:rsid w:val="5BDD79E6"/>
    <w:rsid w:val="5BF561CA"/>
    <w:rsid w:val="5BFF5DFC"/>
    <w:rsid w:val="5CC04E72"/>
    <w:rsid w:val="5CD71FC4"/>
    <w:rsid w:val="5D1F11B5"/>
    <w:rsid w:val="5DAE1B18"/>
    <w:rsid w:val="5DE7D9E5"/>
    <w:rsid w:val="5ECEC941"/>
    <w:rsid w:val="5F493CB7"/>
    <w:rsid w:val="5FBF9FF3"/>
    <w:rsid w:val="5FCD4E2C"/>
    <w:rsid w:val="5FD15F49"/>
    <w:rsid w:val="5FEF394A"/>
    <w:rsid w:val="5FF67715"/>
    <w:rsid w:val="611F193F"/>
    <w:rsid w:val="62BF3928"/>
    <w:rsid w:val="62F71750"/>
    <w:rsid w:val="64653D8E"/>
    <w:rsid w:val="647F5392"/>
    <w:rsid w:val="65037FF2"/>
    <w:rsid w:val="65C41E75"/>
    <w:rsid w:val="664B1D71"/>
    <w:rsid w:val="67687DA2"/>
    <w:rsid w:val="67AA3209"/>
    <w:rsid w:val="67B14416"/>
    <w:rsid w:val="681C4F0D"/>
    <w:rsid w:val="69046D0F"/>
    <w:rsid w:val="698D0931"/>
    <w:rsid w:val="6A29632D"/>
    <w:rsid w:val="6A993CED"/>
    <w:rsid w:val="6B053271"/>
    <w:rsid w:val="6BCE6674"/>
    <w:rsid w:val="6C4A05C8"/>
    <w:rsid w:val="6C8742B8"/>
    <w:rsid w:val="6C8A170F"/>
    <w:rsid w:val="6CB54609"/>
    <w:rsid w:val="6D2F407A"/>
    <w:rsid w:val="6DBF5E93"/>
    <w:rsid w:val="6DFF077E"/>
    <w:rsid w:val="6E7E3605"/>
    <w:rsid w:val="6E7FDCC7"/>
    <w:rsid w:val="6ED6A62E"/>
    <w:rsid w:val="6EE00B15"/>
    <w:rsid w:val="6EF56314"/>
    <w:rsid w:val="6F544B20"/>
    <w:rsid w:val="6F6FB3EB"/>
    <w:rsid w:val="6F784160"/>
    <w:rsid w:val="6F8731EA"/>
    <w:rsid w:val="6FCE6052"/>
    <w:rsid w:val="6FD57C00"/>
    <w:rsid w:val="6FE523EB"/>
    <w:rsid w:val="6FEFFFD8"/>
    <w:rsid w:val="6FF5CC65"/>
    <w:rsid w:val="6FFB47EC"/>
    <w:rsid w:val="6FFF034A"/>
    <w:rsid w:val="70496804"/>
    <w:rsid w:val="712A28F1"/>
    <w:rsid w:val="715C0E4B"/>
    <w:rsid w:val="71DE7FB1"/>
    <w:rsid w:val="72233669"/>
    <w:rsid w:val="72734D90"/>
    <w:rsid w:val="7332FE48"/>
    <w:rsid w:val="73AB61DA"/>
    <w:rsid w:val="73AD73D5"/>
    <w:rsid w:val="73B6EB34"/>
    <w:rsid w:val="73FA497D"/>
    <w:rsid w:val="74455CB4"/>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BEF3C80"/>
    <w:rsid w:val="7C1F3737"/>
    <w:rsid w:val="7CBFC87B"/>
    <w:rsid w:val="7CFE0F48"/>
    <w:rsid w:val="7D7EC23E"/>
    <w:rsid w:val="7D916348"/>
    <w:rsid w:val="7E8ADEBF"/>
    <w:rsid w:val="7EEF11D3"/>
    <w:rsid w:val="7F0971A6"/>
    <w:rsid w:val="7F1C7D05"/>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9"/>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5"/>
    <w:semiHidden/>
    <w:unhideWhenUsed/>
    <w:qFormat/>
    <w:uiPriority w:val="99"/>
    <w:rPr>
      <w:sz w:val="18"/>
      <w:szCs w:val="18"/>
    </w:rPr>
  </w:style>
  <w:style w:type="paragraph" w:styleId="10">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footnote text1"/>
    <w:basedOn w:val="1"/>
    <w:next w:val="21"/>
    <w:qFormat/>
    <w:uiPriority w:val="0"/>
    <w:pPr>
      <w:snapToGrid w:val="0"/>
      <w:jc w:val="left"/>
    </w:pPr>
    <w:rPr>
      <w:sz w:val="18"/>
      <w:szCs w:val="18"/>
    </w:rPr>
  </w:style>
  <w:style w:type="paragraph" w:customStyle="1" w:styleId="21">
    <w:name w:val="Body Text First Indent 21"/>
    <w:basedOn w:val="22"/>
    <w:next w:val="1"/>
    <w:qFormat/>
    <w:uiPriority w:val="0"/>
    <w:pPr>
      <w:ind w:firstLine="420" w:firstLineChars="200"/>
    </w:pPr>
    <w:rPr>
      <w:rFonts w:ascii="仿宋_GB2312"/>
      <w:kern w:val="2"/>
      <w:sz w:val="21"/>
      <w:szCs w:val="32"/>
    </w:rPr>
  </w:style>
  <w:style w:type="paragraph" w:customStyle="1" w:styleId="22">
    <w:name w:val="Body Text Indent1"/>
    <w:basedOn w:val="1"/>
    <w:next w:val="21"/>
    <w:qFormat/>
    <w:uiPriority w:val="0"/>
    <w:pPr>
      <w:spacing w:after="120" w:afterLines="0"/>
      <w:ind w:left="200" w:leftChars="200"/>
    </w:pPr>
    <w:rPr>
      <w:rFonts w:ascii="仿宋_GB2312"/>
      <w:szCs w:val="32"/>
    </w:rPr>
  </w:style>
  <w:style w:type="paragraph" w:customStyle="1" w:styleId="2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4">
    <w:name w:val="Header Char"/>
    <w:basedOn w:val="17"/>
    <w:semiHidden/>
    <w:qFormat/>
    <w:uiPriority w:val="99"/>
    <w:rPr>
      <w:rFonts w:ascii="Times New Roman" w:hAnsi="Times New Roman"/>
      <w:sz w:val="18"/>
      <w:szCs w:val="18"/>
    </w:rPr>
  </w:style>
  <w:style w:type="character" w:customStyle="1" w:styleId="25">
    <w:name w:val="页眉 Char"/>
    <w:link w:val="11"/>
    <w:semiHidden/>
    <w:qFormat/>
    <w:locked/>
    <w:uiPriority w:val="99"/>
    <w:rPr>
      <w:sz w:val="18"/>
    </w:rPr>
  </w:style>
  <w:style w:type="character" w:customStyle="1" w:styleId="26">
    <w:name w:val="Footer Char"/>
    <w:basedOn w:val="17"/>
    <w:semiHidden/>
    <w:qFormat/>
    <w:uiPriority w:val="99"/>
    <w:rPr>
      <w:rFonts w:ascii="Times New Roman" w:hAnsi="Times New Roman"/>
      <w:sz w:val="18"/>
      <w:szCs w:val="18"/>
    </w:rPr>
  </w:style>
  <w:style w:type="character" w:customStyle="1" w:styleId="27">
    <w:name w:val="页脚 Char"/>
    <w:link w:val="10"/>
    <w:qFormat/>
    <w:locked/>
    <w:uiPriority w:val="99"/>
    <w:rPr>
      <w:sz w:val="18"/>
    </w:rPr>
  </w:style>
  <w:style w:type="character" w:customStyle="1" w:styleId="28">
    <w:name w:val="Body Text Char"/>
    <w:basedOn w:val="17"/>
    <w:semiHidden/>
    <w:qFormat/>
    <w:uiPriority w:val="99"/>
    <w:rPr>
      <w:rFonts w:ascii="Times New Roman" w:hAnsi="Times New Roman"/>
      <w:szCs w:val="24"/>
    </w:rPr>
  </w:style>
  <w:style w:type="character" w:customStyle="1" w:styleId="29">
    <w:name w:val="正文文本 Char"/>
    <w:link w:val="5"/>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17"/>
    <w:link w:val="2"/>
    <w:qFormat/>
    <w:uiPriority w:val="9"/>
    <w:rPr>
      <w:rFonts w:ascii="Times New Roman" w:hAnsi="Times New Roman"/>
      <w:b/>
      <w:bCs/>
      <w:kern w:val="44"/>
      <w:sz w:val="44"/>
      <w:szCs w:val="44"/>
    </w:rPr>
  </w:style>
  <w:style w:type="character" w:customStyle="1" w:styleId="33">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4">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17"/>
    <w:link w:val="9"/>
    <w:semiHidden/>
    <w:qFormat/>
    <w:uiPriority w:val="99"/>
    <w:rPr>
      <w:rFonts w:ascii="Times New Roman" w:hAnsi="Times New Roman"/>
      <w:kern w:val="2"/>
      <w:sz w:val="18"/>
      <w:szCs w:val="18"/>
    </w:rPr>
  </w:style>
  <w:style w:type="character" w:customStyle="1" w:styleId="36">
    <w:name w:val="标题 3 Char"/>
    <w:basedOn w:val="17"/>
    <w:link w:val="4"/>
    <w:qFormat/>
    <w:uiPriority w:val="9"/>
    <w:rPr>
      <w:rFonts w:ascii="Times New Roman" w:hAnsi="Times New Roman"/>
      <w:b/>
      <w:bCs/>
      <w:kern w:val="2"/>
      <w:sz w:val="32"/>
      <w:szCs w:val="32"/>
    </w:rPr>
  </w:style>
  <w:style w:type="paragraph" w:customStyle="1" w:styleId="37">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9">
    <w:name w:val="Body Text"/>
    <w:basedOn w:val="1"/>
    <w:qFormat/>
    <w:uiPriority w:val="0"/>
    <w:pPr>
      <w:spacing w:before="93" w:beforeLines="30"/>
    </w:pPr>
    <w:rPr>
      <w:rFonts w:ascii="仿宋_GB2312" w:hAnsi="Times New Roman" w:eastAsia="仿宋_GB2312"/>
      <w:sz w:val="24"/>
    </w:rPr>
  </w:style>
  <w:style w:type="character" w:customStyle="1" w:styleId="40">
    <w:name w:val="NormalCharacter"/>
    <w:semiHidden/>
    <w:qFormat/>
    <w:uiPriority w:val="0"/>
    <w:rPr>
      <w:rFonts w:ascii="Tahoma" w:hAnsi="Tahoma"/>
      <w:sz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915;&#31639;\&#20844;&#24320;&#20915;&#31639;&#27604;&#2354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收、支决算总计变动情况图</a:t>
            </a:r>
            <a:endParaRPr sz="110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0"/>
          <c:order val="0"/>
          <c:tx>
            <c:strRef>
              <c:f>[公开决算比对表.xls]Sheet1!$B$5</c:f>
              <c:strCache>
                <c:ptCount val="1"/>
                <c:pt idx="0">
                  <c:v>2024</c:v>
                </c:pt>
              </c:strCache>
            </c:strRef>
          </c:tx>
          <c:spPr>
            <a:solidFill>
              <a:srgbClr val="9999FF">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Sheet1!$C$5:$D$5</c:f>
              <c:numCache>
                <c:formatCode>#,##0.00</c:formatCode>
                <c:ptCount val="2"/>
                <c:pt idx="0">
                  <c:v>2291.46</c:v>
                </c:pt>
                <c:pt idx="1">
                  <c:v>2291.46</c:v>
                </c:pt>
              </c:numCache>
            </c:numRef>
          </c:val>
        </c:ser>
        <c:ser>
          <c:idx val="1"/>
          <c:order val="1"/>
          <c:tx>
            <c:strRef>
              <c:f>[公开决算比对表.xls]Sheet1!$B$6</c:f>
              <c:strCache>
                <c:ptCount val="1"/>
                <c:pt idx="0">
                  <c:v>2025</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Sheet1!$C$6:$D$6</c:f>
              <c:numCache>
                <c:formatCode>General</c:formatCode>
                <c:ptCount val="2"/>
                <c:pt idx="0">
                  <c:v>2620.74</c:v>
                </c:pt>
                <c:pt idx="1">
                  <c:v>2620.74</c:v>
                </c:pt>
              </c:numCache>
            </c:numRef>
          </c:val>
        </c:ser>
        <c:dLbls>
          <c:showLegendKey val="0"/>
          <c:showVal val="0"/>
          <c:showCatName val="0"/>
          <c:showSerName val="0"/>
          <c:showPercent val="0"/>
          <c:showBubbleSize val="0"/>
        </c:dLbls>
        <c:gapWidth val="150"/>
        <c:overlap val="0"/>
        <c:axId val="879835426"/>
        <c:axId val="707868852"/>
      </c:barChart>
      <c:catAx>
        <c:axId val="879835426"/>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707868852"/>
        <c:crosses val="autoZero"/>
        <c:auto val="1"/>
        <c:lblAlgn val="ctr"/>
        <c:lblOffset val="100"/>
        <c:noMultiLvlLbl val="0"/>
      </c:catAx>
      <c:valAx>
        <c:axId val="707868852"/>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879835426"/>
        <c:crosses val="autoZero"/>
        <c:crossBetween val="between"/>
      </c:valAx>
      <c:spPr>
        <a:solidFill>
          <a:srgbClr val="C0C0C0">
            <a:alpha val="100000"/>
          </a:srgbClr>
        </a:solidFill>
        <a:ln w="3175">
          <a:solidFill>
            <a:srgbClr val="808080">
              <a:alpha val="100000"/>
            </a:srgbClr>
          </a:solidFill>
          <a:prstDash val="solid"/>
        </a:ln>
      </c:spPr>
    </c:plotArea>
    <c:legend>
      <c:legendPos val="t"/>
      <c:layout>
        <c:manualLayout>
          <c:xMode val="edge"/>
          <c:yMode val="edge"/>
          <c:x val="0.4415"/>
          <c:y val="0.1315"/>
          <c:w val="0.16575"/>
          <c:h val="0.060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cd0f28e4-c6f3-4fe2-bf69-215ce06acd5e}"/>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3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2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收入决算结构图</a:t>
            </a:r>
            <a:endParaRPr sz="102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 val="-0.37775"/>
          <c:y val="0"/>
        </c:manualLayout>
      </c:layout>
      <c:overlay val="0"/>
      <c:spPr>
        <a:noFill/>
        <a:ln w="3175">
          <a:noFill/>
        </a:ln>
      </c:spPr>
    </c:title>
    <c:autoTitleDeleted val="0"/>
    <c:plotArea>
      <c:layout>
        <c:manualLayout>
          <c:layoutTarget val="inner"/>
          <c:xMode val="edge"/>
          <c:yMode val="edge"/>
          <c:x val="0.47"/>
          <c:y val="0.19675"/>
          <c:w val="0.3605"/>
          <c:h val="0.706"/>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Lbls>
            <c:dLbl>
              <c:idx val="0"/>
              <c:layout>
                <c:manualLayout>
                  <c:x val="0.141391738286665"/>
                  <c:y val="-0.0555408622057657"/>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395065151095093"/>
                  <c:y val="-0.0317376355461518"/>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10812309398392"/>
                  <c:y val="-0.0833112933086485"/>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0812309398392"/>
                  <c:y val="-0.0238032266596139"/>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Sheet1!$H$4:$K$4</c:f>
              <c:strCache>
                <c:ptCount val="4"/>
                <c:pt idx="0">
                  <c:v>一般公共预算财政拨款收入</c:v>
                </c:pt>
                <c:pt idx="1">
                  <c:v>政府性基金预算财政拨款收入</c:v>
                </c:pt>
                <c:pt idx="2">
                  <c:v>国有资本经营预算财政拨款</c:v>
                </c:pt>
                <c:pt idx="3">
                  <c:v>其他收入</c:v>
                </c:pt>
              </c:strCache>
            </c:strRef>
          </c:cat>
          <c:val>
            <c:numRef>
              <c:f>Sheet1!$H$5:$K$5</c:f>
              <c:numCache>
                <c:formatCode>General</c:formatCode>
                <c:ptCount val="4"/>
                <c:pt idx="0">
                  <c:v>2423.3</c:v>
                </c:pt>
                <c:pt idx="1">
                  <c:v>59.8</c:v>
                </c:pt>
                <c:pt idx="2">
                  <c:v>0</c:v>
                </c:pt>
                <c:pt idx="3">
                  <c:v>0</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0300186443027447"/>
          <c:y val="0.19593493784713"/>
          <c:w val="0.31475"/>
          <c:h val="0.221"/>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24fc74cb-e9cf-4640-9076-03591312166e}"/>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7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支出决算结构图</a:t>
            </a:r>
            <a:endParaRPr sz="9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Lbls>
            <c:dLbl>
              <c:idx val="0"/>
              <c:layout>
                <c:manualLayout>
                  <c:x val="0.0144449030127941"/>
                  <c:y val="-0.00448028673835125"/>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206355757325629"/>
                  <c:y val="0"/>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Sheet1!$N$4:$O$4</c:f>
              <c:strCache>
                <c:ptCount val="2"/>
                <c:pt idx="0">
                  <c:v>基本支出</c:v>
                </c:pt>
                <c:pt idx="1">
                  <c:v>项目支出</c:v>
                </c:pt>
              </c:strCache>
            </c:strRef>
          </c:cat>
          <c:val>
            <c:numRef>
              <c:f>Sheet1!$N$5:$O$5</c:f>
              <c:numCache>
                <c:formatCode>General</c:formatCode>
                <c:ptCount val="2"/>
                <c:pt idx="0">
                  <c:v>915.83</c:v>
                </c:pt>
                <c:pt idx="1">
                  <c:v>1704.91</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b"/>
      <c:layout>
        <c:manualLayout>
          <c:xMode val="edge"/>
          <c:yMode val="edge"/>
          <c:x val="0.389"/>
          <c:y val="0.914"/>
          <c:w val="0.22175"/>
          <c:h val="0.066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2868bf40-3dd0-4f13-b8ea-12eb134c601c}"/>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68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1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财政拨款收、支决算总计变动情况</a:t>
            </a:r>
            <a:endParaRPr sz="101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0"/>
          <c:order val="0"/>
          <c:tx>
            <c:strRef>
              <c:f>[公开决算比对表.xls]Sheet1!$B$28</c:f>
              <c:strCache>
                <c:ptCount val="1"/>
                <c:pt idx="0">
                  <c:v>2024</c:v>
                </c:pt>
              </c:strCache>
            </c:strRef>
          </c:tx>
          <c:spPr>
            <a:solidFill>
              <a:srgbClr val="9999FF">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Sheet1!$C$28:$D$28</c:f>
              <c:numCache>
                <c:formatCode>#,##0.00</c:formatCode>
                <c:ptCount val="2"/>
                <c:pt idx="0">
                  <c:v>2291.46</c:v>
                </c:pt>
                <c:pt idx="1">
                  <c:v>2291.46</c:v>
                </c:pt>
              </c:numCache>
            </c:numRef>
          </c:val>
        </c:ser>
        <c:ser>
          <c:idx val="1"/>
          <c:order val="1"/>
          <c:tx>
            <c:strRef>
              <c:f>[公开决算比对表.xls]Sheet1!$B$29</c:f>
              <c:strCache>
                <c:ptCount val="1"/>
                <c:pt idx="0">
                  <c:v>2025</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Sheet1!$C$29:$D$29</c:f>
              <c:numCache>
                <c:formatCode>General</c:formatCode>
                <c:ptCount val="2"/>
                <c:pt idx="0">
                  <c:v>2620.74</c:v>
                </c:pt>
                <c:pt idx="1">
                  <c:v>2620.74</c:v>
                </c:pt>
              </c:numCache>
            </c:numRef>
          </c:val>
        </c:ser>
        <c:dLbls>
          <c:showLegendKey val="0"/>
          <c:showVal val="0"/>
          <c:showCatName val="0"/>
          <c:showSerName val="0"/>
          <c:showPercent val="0"/>
          <c:showBubbleSize val="0"/>
        </c:dLbls>
        <c:gapWidth val="150"/>
        <c:overlap val="0"/>
        <c:axId val="314913574"/>
        <c:axId val="662963985"/>
      </c:barChart>
      <c:catAx>
        <c:axId val="314913574"/>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662963985"/>
        <c:crosses val="autoZero"/>
        <c:auto val="1"/>
        <c:lblAlgn val="ctr"/>
        <c:lblOffset val="100"/>
        <c:noMultiLvlLbl val="0"/>
      </c:catAx>
      <c:valAx>
        <c:axId val="662963985"/>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14913574"/>
        <c:crosses val="autoZero"/>
        <c:crossBetween val="between"/>
      </c:valAx>
      <c:spPr>
        <a:solidFill>
          <a:srgbClr val="C0C0C0">
            <a:alpha val="100000"/>
          </a:srgbClr>
        </a:solidFill>
        <a:ln w="3175">
          <a:solidFill>
            <a:srgbClr val="808080">
              <a:alpha val="100000"/>
            </a:srgbClr>
          </a:solidFill>
          <a:prstDash val="solid"/>
        </a:ln>
      </c:spPr>
    </c:plotArea>
    <c:legend>
      <c:legendPos val="t"/>
      <c:layout>
        <c:manualLayout>
          <c:xMode val="edge"/>
          <c:yMode val="edge"/>
          <c:x val="0.45"/>
          <c:y val="0.133"/>
          <c:w val="0.14225"/>
          <c:h val="0.060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e36d943a-7db0-44cc-9647-d762e9b7638c}"/>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6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76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一般公共预算财政拨款支出决算变动情况</a:t>
            </a:r>
            <a:endParaRPr sz="76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1"/>
          <c:order val="0"/>
          <c:tx>
            <c:strRef>
              <c:f>"一般公共预算财政拨款支出决算变动情况"</c:f>
              <c:strCache>
                <c:ptCount val="1"/>
                <c:pt idx="0">
                  <c:v>一般公共预算财政拨款支出决算变动情况</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Sheet1!$H$27:$I$27</c:f>
              <c:numCache>
                <c:formatCode>General</c:formatCode>
                <c:ptCount val="2"/>
                <c:pt idx="0">
                  <c:v>2024</c:v>
                </c:pt>
                <c:pt idx="1">
                  <c:v>2025</c:v>
                </c:pt>
              </c:numCache>
            </c:numRef>
          </c:cat>
          <c:val>
            <c:numRef>
              <c:f>Sheet1!$H$28:$I$28</c:f>
              <c:numCache>
                <c:formatCode>#,##0.00</c:formatCode>
                <c:ptCount val="2"/>
                <c:pt idx="0">
                  <c:v>1229.33</c:v>
                </c:pt>
                <c:pt idx="1" c:formatCode="General">
                  <c:v>2560.94</c:v>
                </c:pt>
              </c:numCache>
            </c:numRef>
          </c:val>
        </c:ser>
        <c:dLbls>
          <c:showLegendKey val="0"/>
          <c:showVal val="0"/>
          <c:showCatName val="0"/>
          <c:showSerName val="0"/>
          <c:showPercent val="0"/>
          <c:showBubbleSize val="0"/>
        </c:dLbls>
        <c:gapWidth val="150"/>
        <c:overlap val="0"/>
        <c:axId val="478587059"/>
        <c:axId val="494289833"/>
      </c:barChart>
      <c:catAx>
        <c:axId val="478587059"/>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494289833"/>
        <c:crosses val="autoZero"/>
        <c:auto val="1"/>
        <c:lblAlgn val="ctr"/>
        <c:lblOffset val="100"/>
        <c:noMultiLvlLbl val="0"/>
      </c:catAx>
      <c:valAx>
        <c:axId val="494289833"/>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78587059"/>
        <c:crosses val="autoZero"/>
        <c:crossBetween val="between"/>
      </c:valAx>
      <c:spPr>
        <a:solidFill>
          <a:srgbClr val="C0C0C0">
            <a:alpha val="100000"/>
          </a:srgbClr>
        </a:solidFill>
        <a:ln w="3175">
          <a:solidFill>
            <a:srgbClr val="808080">
              <a:alpha val="100000"/>
            </a:srgbClr>
          </a:solidFill>
          <a:prstDash val="solid"/>
        </a:ln>
      </c:spPr>
    </c:plotArea>
    <c:legend>
      <c:legendPos val="b"/>
      <c:layout>
        <c:manualLayout>
          <c:xMode val="edge"/>
          <c:yMode val="edge"/>
          <c:x val="0.297553749622014"/>
          <c:y val="0.916"/>
          <c:w val="0.46975"/>
          <c:h val="0.066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5b15ac50-b28b-489b-ae6d-dc29befe63bc}"/>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6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20" b="1"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一般公共预算财政拨款支出决算情况</a:t>
            </a:r>
            <a:endParaRPr sz="1420" b="1" i="0" u="sng"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manualLayout>
          <c:layoutTarget val="inner"/>
          <c:xMode val="edge"/>
          <c:yMode val="edge"/>
          <c:x val="0.24375"/>
          <c:y val="0.29"/>
          <c:w val="0.28825"/>
          <c:h val="0.51525"/>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chemeClr val="accent1">
                  <a:lumMod val="20000"/>
                  <a:lumOff val="80000"/>
                </a:schemeClr>
              </a:solidFill>
              <a:ln w="12700">
                <a:solidFill>
                  <a:srgbClr val="000000">
                    <a:alpha val="100000"/>
                  </a:srgbClr>
                </a:solidFill>
                <a:prstDash val="solid"/>
              </a:ln>
            </c:spPr>
          </c:dPt>
          <c:dPt>
            <c:idx val="1"/>
            <c:bubble3D val="0"/>
            <c:explosion val="0"/>
            <c:spPr>
              <a:solidFill>
                <a:srgbClr val="993366">
                  <a:alpha val="100000"/>
                </a:srgbClr>
              </a:solidFill>
              <a:ln w="19050">
                <a:solidFill>
                  <a:srgbClr val="000000">
                    <a:alpha val="100000"/>
                  </a:srgbClr>
                </a:solidFill>
                <a:prstDash val="solid"/>
              </a:ln>
            </c:spPr>
          </c:dPt>
          <c:dPt>
            <c:idx val="2"/>
            <c:bubble3D val="0"/>
            <c:explosion val="0"/>
            <c:spPr>
              <a:solidFill>
                <a:srgbClr val="FFFFCC">
                  <a:alpha val="100000"/>
                </a:srgbClr>
              </a:solidFill>
              <a:ln w="19050">
                <a:solidFill>
                  <a:srgbClr val="000000">
                    <a:alpha val="100000"/>
                  </a:srgbClr>
                </a:solidFill>
                <a:prstDash val="solid"/>
              </a:ln>
            </c:spPr>
          </c:dPt>
          <c:dPt>
            <c:idx val="3"/>
            <c:bubble3D val="0"/>
            <c:explosion val="0"/>
            <c:spPr>
              <a:solidFill>
                <a:srgbClr val="CCFFFF">
                  <a:alpha val="100000"/>
                </a:srgbClr>
              </a:solidFill>
              <a:ln w="19050">
                <a:solidFill>
                  <a:srgbClr val="000000">
                    <a:alpha val="100000"/>
                  </a:srgbClr>
                </a:solidFill>
                <a:prstDash val="solid"/>
              </a:ln>
            </c:spPr>
          </c:dPt>
          <c:dPt>
            <c:idx val="4"/>
            <c:bubble3D val="0"/>
            <c:spPr>
              <a:solidFill>
                <a:srgbClr val="9999FF">
                  <a:alpha val="100000"/>
                </a:srgbClr>
              </a:solidFill>
              <a:ln w="12700">
                <a:solidFill>
                  <a:srgbClr val="000000">
                    <a:alpha val="100000"/>
                  </a:srgbClr>
                </a:solidFill>
                <a:prstDash val="solid"/>
              </a:ln>
            </c:spPr>
          </c:dPt>
          <c:dLbls>
            <c:dLbl>
              <c:idx val="0"/>
              <c:layout>
                <c:manualLayout>
                  <c:x val="-0.00240444860648681"/>
                  <c:y val="-0.103067786444854"/>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800" b="0" i="0" u="sng" strike="noStrike" kern="1200"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54489865102566"/>
                  <c:y val="-0.0682715775248353"/>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800" b="0" i="0" u="sng" strike="noStrike" kern="1200"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751388174528498"/>
                  <c:y val="-0.0190985849743616"/>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800" b="0" i="0" u="sng" strike="noStrike" kern="1200"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16068955894879"/>
                  <c:y val="-0.0219835960623388"/>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800" b="0" i="0" u="sng" strike="noStrike" kern="1200"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4"/>
              <c:layout>
                <c:manualLayout>
                  <c:x val="-0.00290191526407429"/>
                  <c:y val="0"/>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8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[公开决算比对表.xls]Sheet1!$N$26:$R$26</c:f>
              <c:strCache>
                <c:ptCount val="5"/>
                <c:pt idx="0">
                  <c:v>社会保障和就业支出</c:v>
                </c:pt>
                <c:pt idx="1">
                  <c:v>卫生健康支出</c:v>
                </c:pt>
                <c:pt idx="2">
                  <c:v>农林水支出</c:v>
                </c:pt>
                <c:pt idx="3">
                  <c:v>住房保障支出</c:v>
                </c:pt>
                <c:pt idx="4">
                  <c:v>灾害防治及应急管理支出</c:v>
                </c:pt>
              </c:strCache>
            </c:strRef>
          </c:cat>
          <c:val>
            <c:numRef>
              <c:f>[公开决算比对表.xls]Sheet1!$N$27:$R$27</c:f>
              <c:numCache>
                <c:formatCode>General</c:formatCode>
                <c:ptCount val="5"/>
                <c:pt idx="0">
                  <c:v>100.41</c:v>
                </c:pt>
                <c:pt idx="1">
                  <c:v>44.87</c:v>
                </c:pt>
                <c:pt idx="2">
                  <c:v>146.84</c:v>
                </c:pt>
                <c:pt idx="3">
                  <c:v>62.43</c:v>
                </c:pt>
                <c:pt idx="4">
                  <c:v>2206.38</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egendEntry>
        <c:idx val="0"/>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1"/>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2"/>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3"/>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4"/>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ayout>
        <c:manualLayout>
          <c:xMode val="edge"/>
          <c:yMode val="edge"/>
          <c:x val="0.709295437881524"/>
          <c:y val="0.474968110160486"/>
          <c:w val="0.2715"/>
          <c:h val="0.44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826c3f8b-cf98-41ff-8632-3c09a112b988}"/>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065" b="0" i="0" u="sng"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00" b="0" i="1"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r>
              <a:rPr sz="1000" i="0" u="none" strike="noStrike" cap="none" normalizeH="0">
                <a:solidFill>
                  <a:srgbClr val="000000">
                    <a:alpha val="100000"/>
                  </a:srgbClr>
                </a:solidFill>
                <a:uFill>
                  <a:solidFill>
                    <a:srgbClr val="000000">
                      <a:alpha val="100000"/>
                    </a:srgbClr>
                  </a:solidFill>
                </a:uFill>
                <a:latin typeface="宋体" panose="02010600030101010101" charset="-122"/>
              </a:rPr>
              <a:t>“三公”经费财政拨款支出结构</a:t>
            </a:r>
            <a:endParaRPr sz="1000" b="0" i="0" u="none" strike="noStrike"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endParaRPr>
          </a:p>
        </c:rich>
      </c:tx>
      <c:layout>
        <c:manualLayout>
          <c:x val="-0.23125"/>
          <c:y val="-0.0105"/>
        </c:manualLayout>
      </c:layout>
      <c:overlay val="0"/>
      <c:spPr>
        <a:noFill/>
        <a:ln w="3175">
          <a:noFill/>
        </a:ln>
      </c:spPr>
    </c:title>
    <c:autoTitleDeleted val="0"/>
    <c:plotArea>
      <c:layout>
        <c:manualLayout>
          <c:layoutTarget val="inner"/>
          <c:xMode val="edge"/>
          <c:yMode val="edge"/>
          <c:x val="0.31975"/>
          <c:y val="0.2935"/>
          <c:w val="0.26575"/>
          <c:h val="0.55975"/>
        </c:manualLayout>
      </c:layout>
      <c:pieChart>
        <c:varyColors val="1"/>
        <c:ser>
          <c:idx val="0"/>
          <c:order val="0"/>
          <c:tx>
            <c:strRef>
              <c:f>"“三公”经费财政拨款支出结构"</c:f>
              <c:strCache>
                <c:ptCount val="1"/>
                <c:pt idx="0">
                  <c:v>“三公”经费财政拨款支出结构</c:v>
                </c:pt>
              </c:strCache>
            </c:strRef>
          </c:tx>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3175">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Lbls>
            <c:dLbl>
              <c:idx val="0"/>
              <c:layout>
                <c:manualLayout>
                  <c:x val="0.118376550169109"/>
                  <c:y val="-0.0117770217220623"/>
                </c:manualLayout>
              </c:layout>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cap="none" spc="0" normalizeH="0" baseline="0">
                      <a:solidFill>
                        <a:srgbClr val="000000"/>
                      </a:solidFill>
                      <a:uFill>
                        <a:solidFill>
                          <a:srgbClr val="000000"/>
                        </a:solidFill>
                      </a:u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0"/>
              <c:showPercent val="1"/>
              <c:showBubbleSize val="0"/>
              <c:extLst>
                <c:ext xmlns:c15="http://schemas.microsoft.com/office/drawing/2012/chart" uri="{CE6537A1-D6FC-4f65-9D91-7224C49458BB}">
                  <c15:layout/>
                </c:ext>
              </c:extLst>
            </c:dLbl>
            <c:dLbl>
              <c:idx val="1"/>
              <c:layout/>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cap="none" spc="0" normalizeH="0" baseline="0">
                      <a:solidFill>
                        <a:srgbClr val="000000"/>
                      </a:solidFill>
                      <a:uFill>
                        <a:solidFill>
                          <a:srgbClr val="000000"/>
                        </a:solidFill>
                      </a:u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2"/>
              <c:layout>
                <c:manualLayout>
                  <c:x val="-0.0253664036076663"/>
                  <c:y val="-0.039256739073541"/>
                </c:manualLayout>
              </c:layout>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cap="none" spc="0" normalizeH="0" baseline="0">
                      <a:solidFill>
                        <a:srgbClr val="000000"/>
                      </a:solidFill>
                      <a:uFill>
                        <a:solidFill>
                          <a:srgbClr val="000000"/>
                        </a:solidFill>
                      </a:u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0"/>
              <c:showPercent val="1"/>
              <c:showBubbleSize val="0"/>
              <c:extLst>
                <c:ext xmlns:c15="http://schemas.microsoft.com/office/drawing/2012/chart" uri="{CE6537A1-D6FC-4f65-9D91-7224C49458BB}">
                  <c15:layout/>
                </c:ext>
              </c:extLst>
            </c:dLbl>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cap="none" spc="0" normalizeH="0" baseline="0">
                    <a:solidFill>
                      <a:srgbClr val="000000"/>
                    </a:solidFill>
                    <a:uFill>
                      <a:solidFill>
                        <a:srgbClr val="000000"/>
                      </a:solidFill>
                    </a:u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[公开决算比对表.xls]Sheet1!$B$49:$D$49</c:f>
              <c:strCache>
                <c:ptCount val="3"/>
                <c:pt idx="0">
                  <c:v>因公出国（境）费支出决算</c:v>
                </c:pt>
                <c:pt idx="1">
                  <c:v>公务用车购置及运行维护费支出决算</c:v>
                </c:pt>
                <c:pt idx="2">
                  <c:v>公务接待费支出决算</c:v>
                </c:pt>
              </c:strCache>
            </c:strRef>
          </c:cat>
          <c:val>
            <c:numRef>
              <c:f>[公开决算比对表.xls]Sheet1!$B$50:$D$50</c:f>
              <c:numCache>
                <c:formatCode>General</c:formatCode>
                <c:ptCount val="3"/>
                <c:pt idx="0">
                  <c:v>0</c:v>
                </c:pt>
                <c:pt idx="1">
                  <c:v>6.06</c:v>
                </c:pt>
                <c:pt idx="2">
                  <c:v>1.82</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egendEntry>
        <c:idx val="0"/>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2"/>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ayout>
        <c:manualLayout>
          <c:xMode val="edge"/>
          <c:yMode val="edge"/>
          <c:x val="0.673"/>
          <c:y val="0.3825"/>
          <c:w val="0.31175"/>
          <c:h val="0.30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2fa73c65-efb0-43b1-bc48-cc4ffb1ef951}"/>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695" b="0" i="1"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0ec5e77d-9335-46e6-b9c4-bd74c7021806</errorID>
      <errorWord>任</errorWord>
      <group>L1_Word</group>
      <groupName>字词问题</groupName>
      <ability>L2_Typo</ability>
      <abilityName>字词错误</abilityName>
      <candidateList>
        <item>任制</item>
      </candidateList>
      <explain/>
      <paraID>69323229</paraID>
      <start>318</start>
      <end>319</end>
      <status>ignored</status>
      <modifiedWord/>
      <trackRevisions>false</trackRevisions>
    </reviewItem>
    <reviewItem>
      <errorID>f7761e57-71b0-453b-9f2f-73a7e22ff282</errorID>
      <errorWord>任</errorWord>
      <group>L1_Word</group>
      <groupName>字词问题</groupName>
      <ability>L2_Typo</ability>
      <abilityName>字词错误</abilityName>
      <candidateList>
        <item>任制</item>
      </candidateList>
      <explain/>
      <paraID>690C5331</paraID>
      <start>318</start>
      <end>319</end>
      <status>ignored</status>
      <modifiedWord/>
      <trackRevisions>false</trackRevisions>
    </reviewItem>
    <reviewItem>
      <errorID>00a5f4a7-a563-4d34-a111-c505e44d2811</errorID>
      <errorWord>通讯保障</errorWord>
      <group>L1_Word</group>
      <groupName>字词问题</groupName>
      <ability>L2_Alias</ability>
      <abilityName>也作/曾用词</abilityName>
      <candidateList>
        <item>通信保障</item>
      </candidateList>
      <explain>词汇[通讯保障]为不规范表述或旧称，其规范书面表述为[通信保障]。</explain>
      <paraID> AEC4130</paraID>
      <start>49</start>
      <end>53</end>
      <status>ignored</status>
      <modifiedWord/>
      <trackRevisions>false</trackRevisions>
    </reviewItem>
    <reviewItem>
      <errorID>1fb27900-4f7f-48af-92e6-52343587ea55</errorID>
      <errorWord>（</errorWord>
      <group>L1_Punc</group>
      <groupName>标点问题</groupName>
      <ability>L2_Punc_CN</ability>
      <abilityName>标点符号问题</abilityName>
      <candidateList/>
      <explain>同一形式括号套用。</explain>
      <paraID>42CBC1B8</paraID>
      <start>50</start>
      <end>51</end>
      <status>ignored</status>
      <modifiedWord/>
      <trackRevisions>false</trackRevisions>
    </reviewItem>
    <reviewItem>
      <errorID>e8c66c97-a14f-45ee-8898-cacafae1ca8f</errorID>
      <errorWord>）</errorWord>
      <group>L1_Punc</group>
      <groupName>标点问题</groupName>
      <ability>L2_Punc_CN</ability>
      <abilityName>标点符号问题</abilityName>
      <candidateList/>
      <explain>同一形式括号套用。</explain>
      <paraID>42CBC1B8</paraID>
      <start>57</start>
      <end>58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dfde96-c6b2-4bbc-b1f5-18863831712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65</Pages>
  <Words>479</Words>
  <Characters>509</Characters>
  <Lines>61</Lines>
  <Paragraphs>17</Paragraphs>
  <TotalTime>8</TotalTime>
  <ScaleCrop>false</ScaleCrop>
  <LinksUpToDate>false</LinksUpToDate>
  <CharactersWithSpaces>539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王恒毅</cp:lastModifiedBy>
  <cp:lastPrinted>2026-09-10T10:13:00Z</cp:lastPrinted>
  <dcterms:modified xsi:type="dcterms:W3CDTF">2026-09-11T09:15:23Z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eyJoZGlkIjoiODc3MWJhNGUwMmJmOWEwNmJiNjhmNDVjOWRiNWFlZjMiLCJ1c2VySWQiOiIxNjUwOTcxNjU5In0=</vt:lpwstr>
  </property>
</Properties>
</file>