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81DA7">
      <w:pPr>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jc w:val="center"/>
        <w:textAlignment w:val="auto"/>
        <w:rPr>
          <w:rFonts w:hint="eastAsia" w:ascii="黑体" w:hAnsi="黑体" w:eastAsia="黑体" w:cs="黑体"/>
          <w:b/>
          <w:bCs/>
          <w:color w:val="auto"/>
          <w:sz w:val="44"/>
          <w:szCs w:val="44"/>
          <w:highlight w:val="none"/>
          <w:lang w:val="en-US" w:eastAsia="zh-CN"/>
        </w:rPr>
      </w:pPr>
      <w:r>
        <w:rPr>
          <w:rFonts w:hint="eastAsia" w:ascii="黑体" w:hAnsi="黑体" w:eastAsia="黑体" w:cs="黑体"/>
          <w:b/>
          <w:bCs/>
          <w:color w:val="auto"/>
          <w:sz w:val="44"/>
          <w:szCs w:val="44"/>
          <w:highlight w:val="none"/>
          <w:lang w:eastAsia="zh-CN"/>
        </w:rPr>
        <w:t>202</w:t>
      </w:r>
      <w:r>
        <w:rPr>
          <w:rFonts w:hint="eastAsia" w:ascii="黑体" w:hAnsi="黑体" w:eastAsia="黑体" w:cs="黑体"/>
          <w:b/>
          <w:bCs/>
          <w:color w:val="auto"/>
          <w:sz w:val="44"/>
          <w:szCs w:val="44"/>
          <w:highlight w:val="none"/>
          <w:lang w:val="en-US" w:eastAsia="zh-CN"/>
        </w:rPr>
        <w:t>5</w:t>
      </w:r>
      <w:r>
        <w:rPr>
          <w:rFonts w:hint="eastAsia" w:ascii="黑体" w:hAnsi="黑体" w:eastAsia="黑体" w:cs="黑体"/>
          <w:b/>
          <w:bCs/>
          <w:color w:val="auto"/>
          <w:sz w:val="44"/>
          <w:szCs w:val="44"/>
          <w:highlight w:val="none"/>
          <w:lang w:eastAsia="zh-CN"/>
        </w:rPr>
        <w:t>年度</w:t>
      </w:r>
      <w:r>
        <w:rPr>
          <w:rFonts w:hint="eastAsia" w:ascii="黑体" w:hAnsi="黑体" w:eastAsia="黑体" w:cs="黑体"/>
          <w:b/>
          <w:bCs/>
          <w:color w:val="auto"/>
          <w:sz w:val="44"/>
          <w:szCs w:val="44"/>
          <w:highlight w:val="none"/>
          <w:lang w:val="en-US" w:eastAsia="zh-CN"/>
        </w:rPr>
        <w:t>攀枝花市仁和区</w:t>
      </w:r>
    </w:p>
    <w:p w14:paraId="7FF525EF">
      <w:pPr>
        <w:spacing w:line="580" w:lineRule="exact"/>
        <w:ind w:firstLine="0" w:firstLineChars="0"/>
        <w:jc w:val="center"/>
        <w:rPr>
          <w:rFonts w:hint="default" w:ascii="Times New Roman" w:hAnsi="Times New Roman" w:eastAsia="楷体_GB2312" w:cs="Times New Roman"/>
          <w:b/>
          <w:bCs/>
          <w:color w:val="auto"/>
          <w:sz w:val="52"/>
          <w:szCs w:val="52"/>
        </w:rPr>
      </w:pPr>
      <w:r>
        <w:rPr>
          <w:rFonts w:hint="eastAsia" w:ascii="黑体" w:hAnsi="黑体" w:eastAsia="黑体" w:cs="黑体"/>
          <w:b/>
          <w:bCs/>
          <w:color w:val="auto"/>
          <w:sz w:val="44"/>
          <w:szCs w:val="44"/>
          <w:highlight w:val="none"/>
          <w:lang w:val="en-US" w:eastAsia="zh-CN"/>
        </w:rPr>
        <w:t>专项预算项目</w:t>
      </w:r>
      <w:r>
        <w:rPr>
          <w:rFonts w:hint="eastAsia" w:ascii="黑体" w:hAnsi="黑体" w:eastAsia="黑体" w:cs="黑体"/>
          <w:b/>
          <w:bCs/>
          <w:color w:val="auto"/>
          <w:sz w:val="44"/>
          <w:szCs w:val="44"/>
          <w:highlight w:val="none"/>
          <w:lang w:eastAsia="zh-CN"/>
        </w:rPr>
        <w:t>绩效评价报告</w:t>
      </w:r>
    </w:p>
    <w:p w14:paraId="111C4652">
      <w:pPr>
        <w:spacing w:line="580" w:lineRule="exact"/>
        <w:ind w:left="2801" w:leftChars="665" w:hanging="1405" w:hangingChars="500"/>
        <w:jc w:val="both"/>
        <w:rPr>
          <w:rFonts w:hint="eastAsia" w:ascii="黑体" w:hAnsi="黑体" w:eastAsia="黑体" w:cs="黑体"/>
          <w:b/>
          <w:bCs/>
          <w:color w:val="auto"/>
          <w:sz w:val="28"/>
          <w:szCs w:val="28"/>
        </w:rPr>
      </w:pPr>
    </w:p>
    <w:p w14:paraId="386F7723">
      <w:pPr>
        <w:spacing w:line="580" w:lineRule="exact"/>
        <w:ind w:left="2801" w:leftChars="665" w:hanging="1405" w:hangingChars="500"/>
        <w:jc w:val="both"/>
        <w:rPr>
          <w:rFonts w:hint="eastAsia" w:ascii="黑体" w:hAnsi="黑体" w:eastAsia="黑体" w:cs="黑体"/>
          <w:b/>
          <w:bCs/>
          <w:color w:val="auto"/>
          <w:sz w:val="28"/>
          <w:szCs w:val="28"/>
        </w:rPr>
      </w:pPr>
    </w:p>
    <w:p w14:paraId="774DCFFB">
      <w:pPr>
        <w:spacing w:line="580" w:lineRule="exact"/>
        <w:ind w:left="2801" w:leftChars="665" w:hanging="1405" w:hangingChars="500"/>
        <w:jc w:val="both"/>
        <w:rPr>
          <w:rFonts w:hint="eastAsia" w:ascii="黑体" w:hAnsi="黑体" w:eastAsia="黑体" w:cs="黑体"/>
          <w:b/>
          <w:bCs/>
          <w:color w:val="auto"/>
          <w:sz w:val="28"/>
          <w:szCs w:val="28"/>
        </w:rPr>
      </w:pPr>
    </w:p>
    <w:p w14:paraId="32A9C831">
      <w:pPr>
        <w:spacing w:line="580" w:lineRule="exact"/>
        <w:ind w:left="2801" w:leftChars="665" w:hanging="1405" w:hangingChars="500"/>
        <w:jc w:val="both"/>
        <w:rPr>
          <w:rFonts w:hint="eastAsia" w:ascii="黑体" w:hAnsi="黑体" w:eastAsia="黑体" w:cs="黑体"/>
          <w:b/>
          <w:bCs/>
          <w:color w:val="auto"/>
          <w:sz w:val="28"/>
          <w:szCs w:val="28"/>
        </w:rPr>
      </w:pPr>
    </w:p>
    <w:p w14:paraId="3F6BB03D">
      <w:pPr>
        <w:spacing w:line="580" w:lineRule="exact"/>
        <w:ind w:left="2801" w:leftChars="665" w:hanging="1405" w:hangingChars="500"/>
        <w:jc w:val="both"/>
        <w:rPr>
          <w:rFonts w:hint="eastAsia" w:ascii="黑体" w:hAnsi="黑体" w:eastAsia="黑体" w:cs="黑体"/>
          <w:b/>
          <w:bCs/>
          <w:color w:val="auto"/>
          <w:sz w:val="28"/>
          <w:szCs w:val="28"/>
        </w:rPr>
      </w:pPr>
    </w:p>
    <w:p w14:paraId="54568BDC">
      <w:pPr>
        <w:spacing w:line="580" w:lineRule="exact"/>
        <w:jc w:val="both"/>
        <w:rPr>
          <w:rFonts w:hint="eastAsia" w:ascii="黑体" w:hAnsi="黑体" w:eastAsia="黑体" w:cs="黑体"/>
          <w:b/>
          <w:bCs/>
          <w:color w:val="auto"/>
          <w:sz w:val="28"/>
          <w:szCs w:val="28"/>
        </w:rPr>
      </w:pPr>
    </w:p>
    <w:p w14:paraId="1AA0B583">
      <w:pPr>
        <w:spacing w:line="580" w:lineRule="exact"/>
        <w:jc w:val="both"/>
        <w:rPr>
          <w:rFonts w:hint="eastAsia" w:ascii="黑体" w:hAnsi="黑体" w:eastAsia="黑体" w:cs="黑体"/>
          <w:b/>
          <w:bCs/>
          <w:color w:val="auto"/>
          <w:sz w:val="28"/>
          <w:szCs w:val="28"/>
        </w:rPr>
      </w:pPr>
    </w:p>
    <w:p w14:paraId="761D8AB7">
      <w:pPr>
        <w:spacing w:line="580" w:lineRule="exact"/>
        <w:ind w:left="2801" w:leftChars="665" w:hanging="1405" w:hangingChars="500"/>
        <w:jc w:val="both"/>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rPr>
        <w:t>项目名称：</w:t>
      </w:r>
      <w:r>
        <w:rPr>
          <w:rFonts w:hint="eastAsia" w:ascii="黑体" w:hAnsi="黑体" w:eastAsia="黑体" w:cs="黑体"/>
          <w:b/>
          <w:bCs/>
          <w:color w:val="auto"/>
          <w:sz w:val="28"/>
          <w:szCs w:val="28"/>
          <w:lang w:eastAsia="zh-CN"/>
        </w:rPr>
        <w:t>耕地地力保护补贴项目</w:t>
      </w:r>
    </w:p>
    <w:p w14:paraId="12E57430">
      <w:pPr>
        <w:spacing w:line="580" w:lineRule="exact"/>
        <w:ind w:firstLine="1405" w:firstLineChars="500"/>
        <w:jc w:val="both"/>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rPr>
        <w:t>项目单位：</w:t>
      </w:r>
      <w:r>
        <w:rPr>
          <w:rFonts w:hint="eastAsia" w:ascii="黑体" w:hAnsi="黑体" w:eastAsia="黑体" w:cs="黑体"/>
          <w:b/>
          <w:bCs/>
          <w:color w:val="auto"/>
          <w:sz w:val="28"/>
          <w:szCs w:val="28"/>
          <w:lang w:eastAsia="zh-CN"/>
        </w:rPr>
        <w:t>攀枝花市仁和区农业农村局</w:t>
      </w:r>
    </w:p>
    <w:p w14:paraId="5E9FCF2B">
      <w:pPr>
        <w:spacing w:line="580" w:lineRule="exact"/>
        <w:ind w:firstLine="1405" w:firstLineChars="500"/>
        <w:jc w:val="both"/>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rPr>
        <w:t>委托单位：</w:t>
      </w:r>
      <w:r>
        <w:rPr>
          <w:rFonts w:hint="eastAsia" w:ascii="黑体" w:hAnsi="黑体" w:eastAsia="黑体" w:cs="黑体"/>
          <w:b/>
          <w:bCs/>
          <w:color w:val="auto"/>
          <w:sz w:val="28"/>
          <w:szCs w:val="28"/>
          <w:lang w:eastAsia="zh-CN"/>
        </w:rPr>
        <w:t>攀枝花市仁和区财政局</w:t>
      </w:r>
    </w:p>
    <w:p w14:paraId="0F42FE54">
      <w:pPr>
        <w:spacing w:line="580" w:lineRule="exact"/>
        <w:ind w:firstLine="1405" w:firstLineChars="500"/>
        <w:jc w:val="both"/>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评价机构：</w:t>
      </w:r>
      <w:r>
        <w:rPr>
          <w:rFonts w:hint="eastAsia" w:ascii="黑体" w:hAnsi="黑体" w:eastAsia="黑体" w:cs="黑体"/>
          <w:b/>
          <w:bCs/>
          <w:color w:val="auto"/>
          <w:sz w:val="28"/>
          <w:szCs w:val="28"/>
          <w:lang w:eastAsia="zh-CN"/>
        </w:rPr>
        <w:t>四川璟合企业管理咨询有限公司</w:t>
      </w:r>
    </w:p>
    <w:p w14:paraId="5D78361C">
      <w:pPr>
        <w:spacing w:line="580" w:lineRule="exact"/>
        <w:jc w:val="center"/>
        <w:rPr>
          <w:rFonts w:hint="eastAsia" w:ascii="黑体" w:hAnsi="黑体" w:eastAsia="黑体" w:cs="黑体"/>
          <w:b/>
          <w:bCs/>
          <w:color w:val="auto"/>
          <w:sz w:val="28"/>
          <w:szCs w:val="28"/>
          <w:lang w:eastAsia="zh-CN"/>
        </w:rPr>
      </w:pPr>
    </w:p>
    <w:p w14:paraId="72DA718B">
      <w:pPr>
        <w:spacing w:line="580" w:lineRule="exact"/>
        <w:jc w:val="center"/>
        <w:rPr>
          <w:rFonts w:hint="eastAsia" w:ascii="黑体" w:hAnsi="黑体" w:eastAsia="黑体" w:cs="黑体"/>
          <w:b/>
          <w:bCs/>
          <w:color w:val="auto"/>
          <w:sz w:val="28"/>
          <w:szCs w:val="28"/>
          <w:lang w:eastAsia="zh-CN"/>
        </w:rPr>
      </w:pPr>
    </w:p>
    <w:p w14:paraId="6C772EE9">
      <w:pPr>
        <w:spacing w:line="580" w:lineRule="exact"/>
        <w:jc w:val="center"/>
        <w:rPr>
          <w:rFonts w:hint="eastAsia" w:ascii="黑体" w:hAnsi="黑体" w:eastAsia="黑体" w:cs="黑体"/>
          <w:b/>
          <w:bCs/>
          <w:color w:val="auto"/>
          <w:sz w:val="28"/>
          <w:szCs w:val="28"/>
          <w:lang w:eastAsia="zh-CN"/>
        </w:rPr>
      </w:pPr>
    </w:p>
    <w:p w14:paraId="7E2A75D7">
      <w:pPr>
        <w:spacing w:line="580" w:lineRule="exact"/>
        <w:jc w:val="both"/>
        <w:rPr>
          <w:rFonts w:hint="eastAsia" w:ascii="黑体" w:hAnsi="黑体" w:eastAsia="黑体" w:cs="黑体"/>
          <w:b/>
          <w:bCs/>
          <w:color w:val="auto"/>
          <w:sz w:val="28"/>
          <w:szCs w:val="28"/>
          <w:lang w:eastAsia="zh-CN"/>
        </w:rPr>
      </w:pPr>
    </w:p>
    <w:p w14:paraId="08C077D6">
      <w:pPr>
        <w:spacing w:line="580" w:lineRule="exact"/>
        <w:jc w:val="center"/>
        <w:rPr>
          <w:rFonts w:hint="eastAsia" w:ascii="黑体" w:hAnsi="黑体" w:eastAsia="黑体" w:cs="黑体"/>
          <w:b/>
          <w:bCs/>
          <w:color w:val="auto"/>
          <w:sz w:val="28"/>
          <w:szCs w:val="28"/>
          <w:lang w:eastAsia="zh-CN"/>
        </w:rPr>
      </w:pPr>
    </w:p>
    <w:p w14:paraId="2E31151C">
      <w:pPr>
        <w:spacing w:line="580" w:lineRule="exact"/>
        <w:jc w:val="center"/>
        <w:rPr>
          <w:rFonts w:hint="eastAsia" w:ascii="黑体" w:hAnsi="黑体" w:eastAsia="黑体" w:cs="黑体"/>
          <w:b/>
          <w:bCs/>
          <w:color w:val="auto"/>
          <w:sz w:val="28"/>
          <w:szCs w:val="28"/>
          <w:lang w:eastAsia="zh-CN"/>
        </w:rPr>
      </w:pPr>
    </w:p>
    <w:p w14:paraId="0C176CA4">
      <w:pPr>
        <w:spacing w:line="580" w:lineRule="exact"/>
        <w:jc w:val="center"/>
        <w:rPr>
          <w:rFonts w:hint="default" w:ascii="Times New Roman" w:hAnsi="Times New Roman" w:eastAsia="楷体_GB2312" w:cs="Times New Roman"/>
          <w:b/>
          <w:bCs/>
          <w:color w:val="auto"/>
          <w:szCs w:val="32"/>
        </w:rPr>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28" w:left="1587" w:header="851" w:footer="1701" w:gutter="0"/>
          <w:pgNumType w:fmt="upperRoman"/>
          <w:cols w:space="425" w:num="1"/>
          <w:docGrid w:type="lines" w:linePitch="312" w:charSpace="0"/>
        </w:sectPr>
      </w:pPr>
      <w:r>
        <w:rPr>
          <w:rFonts w:hint="eastAsia" w:ascii="黑体" w:hAnsi="黑体" w:eastAsia="黑体" w:cs="黑体"/>
          <w:b/>
          <w:bCs/>
          <w:color w:val="auto"/>
          <w:sz w:val="28"/>
          <w:szCs w:val="28"/>
          <w:lang w:eastAsia="zh-CN"/>
        </w:rPr>
        <w:t>二〇二</w:t>
      </w:r>
      <w:r>
        <w:rPr>
          <w:rFonts w:hint="eastAsia" w:ascii="黑体" w:hAnsi="黑体" w:eastAsia="黑体" w:cs="黑体"/>
          <w:b/>
          <w:bCs/>
          <w:color w:val="auto"/>
          <w:sz w:val="28"/>
          <w:szCs w:val="28"/>
          <w:lang w:val="en-US" w:eastAsia="zh-CN"/>
        </w:rPr>
        <w:t>五</w:t>
      </w:r>
      <w:r>
        <w:rPr>
          <w:rFonts w:hint="eastAsia" w:ascii="黑体" w:hAnsi="黑体" w:eastAsia="黑体" w:cs="黑体"/>
          <w:b/>
          <w:bCs/>
          <w:color w:val="auto"/>
          <w:sz w:val="28"/>
          <w:szCs w:val="28"/>
          <w:lang w:eastAsia="zh-CN"/>
        </w:rPr>
        <w:t>年</w:t>
      </w:r>
      <w:r>
        <w:rPr>
          <w:rFonts w:hint="eastAsia" w:ascii="黑体" w:hAnsi="黑体" w:eastAsia="黑体" w:cs="黑体"/>
          <w:b/>
          <w:bCs/>
          <w:color w:val="auto"/>
          <w:sz w:val="28"/>
          <w:szCs w:val="28"/>
          <w:lang w:val="en-US" w:eastAsia="zh-CN"/>
        </w:rPr>
        <w:t>十二</w:t>
      </w:r>
      <w:r>
        <w:rPr>
          <w:rFonts w:hint="eastAsia" w:ascii="黑体" w:hAnsi="黑体" w:eastAsia="黑体" w:cs="黑体"/>
          <w:b/>
          <w:bCs/>
          <w:color w:val="auto"/>
          <w:sz w:val="28"/>
          <w:szCs w:val="28"/>
          <w:lang w:eastAsia="zh-CN"/>
        </w:rPr>
        <w:t>月</w:t>
      </w:r>
    </w:p>
    <w:sdt>
      <w:sdtPr>
        <w:rPr>
          <w:rFonts w:ascii="宋体" w:hAnsi="宋体" w:eastAsia="宋体" w:cs="Times New Roman"/>
          <w:b/>
          <w:bCs/>
          <w:kern w:val="2"/>
          <w:sz w:val="24"/>
          <w:szCs w:val="32"/>
          <w:lang w:val="en-US" w:eastAsia="zh-CN" w:bidi="ar-SA"/>
        </w:rPr>
        <w:id w:val="147460256"/>
        <w15:color w:val="DBDBDB"/>
        <w:docPartObj>
          <w:docPartGallery w:val="Table of Contents"/>
          <w:docPartUnique/>
        </w:docPartObj>
      </w:sdtPr>
      <w:sdtEndPr>
        <w:rPr>
          <w:rFonts w:hint="default" w:ascii="Calibri" w:hAnsi="Calibri" w:eastAsia="宋体" w:cs="Times New Roman"/>
          <w:b/>
          <w:bCs/>
          <w:kern w:val="2"/>
          <w:sz w:val="21"/>
          <w:szCs w:val="24"/>
          <w:lang w:val="en-US" w:eastAsia="zh-CN" w:bidi="ar-SA"/>
        </w:rPr>
      </w:sdtEndPr>
      <w:sdtContent>
        <w:p w14:paraId="35F7D15F">
          <w:pPr>
            <w:spacing w:before="0" w:beforeLines="0" w:after="0" w:afterLines="0" w:line="240" w:lineRule="auto"/>
            <w:ind w:left="0" w:leftChars="0" w:right="0" w:rightChars="0" w:firstLine="0" w:firstLineChars="0"/>
            <w:jc w:val="center"/>
            <w:rPr>
              <w:b/>
              <w:bCs/>
              <w:sz w:val="24"/>
              <w:szCs w:val="32"/>
            </w:rPr>
          </w:pPr>
          <w:r>
            <w:rPr>
              <w:rFonts w:ascii="宋体" w:hAnsi="宋体" w:eastAsia="宋体"/>
              <w:b/>
              <w:bCs/>
              <w:sz w:val="24"/>
              <w:szCs w:val="32"/>
            </w:rPr>
            <w:t>目录</w:t>
          </w:r>
        </w:p>
        <w:p w14:paraId="3EC56016">
          <w:pPr>
            <w:pStyle w:val="8"/>
            <w:tabs>
              <w:tab w:val="right" w:leader="dot" w:pos="8845"/>
            </w:tabs>
            <w:rPr>
              <w:b/>
              <w:bCs/>
            </w:rPr>
          </w:pPr>
          <w:r>
            <w:rPr>
              <w:rFonts w:hint="default" w:ascii="Calibri" w:hAnsi="Calibri" w:eastAsia="宋体" w:cs="Times New Roman"/>
              <w:kern w:val="2"/>
              <w:sz w:val="21"/>
              <w:szCs w:val="24"/>
              <w:lang w:val="en-US" w:eastAsia="zh-CN" w:bidi="ar-SA"/>
            </w:rPr>
            <w:fldChar w:fldCharType="begin"/>
          </w:r>
          <w:r>
            <w:rPr>
              <w:rFonts w:hint="default" w:ascii="Calibri" w:hAnsi="Calibri" w:eastAsia="宋体" w:cs="Times New Roman"/>
              <w:kern w:val="2"/>
              <w:sz w:val="21"/>
              <w:szCs w:val="24"/>
              <w:lang w:val="en-US" w:eastAsia="zh-CN" w:bidi="ar-SA"/>
            </w:rPr>
            <w:instrText xml:space="preserve">TOC \o "1-3" \h \u </w:instrText>
          </w:r>
          <w:r>
            <w:rPr>
              <w:rFonts w:hint="default" w:ascii="Calibri" w:hAnsi="Calibri" w:eastAsia="宋体" w:cs="Times New Roman"/>
              <w:kern w:val="2"/>
              <w:sz w:val="21"/>
              <w:szCs w:val="24"/>
              <w:lang w:val="en-US" w:eastAsia="zh-CN" w:bidi="ar-SA"/>
            </w:rPr>
            <w:fldChar w:fldCharType="separate"/>
          </w: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_Toc28235 </w:instrText>
          </w:r>
          <w:r>
            <w:rPr>
              <w:rFonts w:hint="default" w:ascii="Calibri" w:hAnsi="Calibri" w:eastAsia="宋体" w:cs="Times New Roman"/>
              <w:b/>
              <w:bCs/>
              <w:kern w:val="2"/>
              <w:szCs w:val="24"/>
              <w:lang w:val="en-US" w:eastAsia="zh-CN" w:bidi="ar-SA"/>
            </w:rPr>
            <w:fldChar w:fldCharType="separate"/>
          </w:r>
          <w:r>
            <w:rPr>
              <w:rFonts w:hint="eastAsia" w:ascii="Times New Roman" w:hAnsi="Times New Roman" w:eastAsia="宋体" w:cs="Times New Roman"/>
              <w:b/>
              <w:bCs/>
              <w:szCs w:val="24"/>
              <w:lang w:val="en-US" w:eastAsia="zh-CN"/>
            </w:rPr>
            <w:t xml:space="preserve">一、 </w:t>
          </w:r>
          <w:r>
            <w:rPr>
              <w:rFonts w:hint="eastAsia" w:ascii="Times New Roman" w:hAnsi="Times New Roman" w:eastAsia="宋体" w:cs="Times New Roman"/>
              <w:b/>
              <w:bCs/>
              <w:szCs w:val="24"/>
              <w:highlight w:val="none"/>
              <w:lang w:val="en-US" w:eastAsia="zh-CN"/>
            </w:rPr>
            <w:t>项目基本情况</w:t>
          </w:r>
          <w:r>
            <w:rPr>
              <w:b/>
              <w:bCs/>
            </w:rPr>
            <w:tab/>
          </w:r>
          <w:r>
            <w:rPr>
              <w:b/>
              <w:bCs/>
            </w:rPr>
            <w:fldChar w:fldCharType="begin"/>
          </w:r>
          <w:r>
            <w:rPr>
              <w:b/>
              <w:bCs/>
            </w:rPr>
            <w:instrText xml:space="preserve"> PAGEREF _Toc28235 \h </w:instrText>
          </w:r>
          <w:r>
            <w:rPr>
              <w:b/>
              <w:bCs/>
            </w:rPr>
            <w:fldChar w:fldCharType="separate"/>
          </w:r>
          <w:r>
            <w:rPr>
              <w:b/>
              <w:bCs/>
            </w:rPr>
            <w:t>1</w:t>
          </w:r>
          <w:r>
            <w:rPr>
              <w:b/>
              <w:bCs/>
            </w:rPr>
            <w:fldChar w:fldCharType="end"/>
          </w:r>
          <w:r>
            <w:rPr>
              <w:rFonts w:hint="default" w:ascii="Calibri" w:hAnsi="Calibri" w:eastAsia="宋体" w:cs="Times New Roman"/>
              <w:b/>
              <w:bCs/>
              <w:kern w:val="2"/>
              <w:szCs w:val="24"/>
              <w:lang w:val="en-US" w:eastAsia="zh-CN" w:bidi="ar-SA"/>
            </w:rPr>
            <w:fldChar w:fldCharType="end"/>
          </w:r>
        </w:p>
        <w:p w14:paraId="72A8B884">
          <w:pPr>
            <w:pStyle w:val="8"/>
            <w:tabs>
              <w:tab w:val="right" w:leader="dot" w:pos="8845"/>
            </w:tabs>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_Toc13128 </w:instrText>
          </w:r>
          <w:r>
            <w:rPr>
              <w:rFonts w:hint="default" w:ascii="Calibri" w:hAnsi="Calibri" w:eastAsia="宋体" w:cs="Times New Roman"/>
              <w:b/>
              <w:bCs/>
              <w:kern w:val="2"/>
              <w:szCs w:val="24"/>
              <w:lang w:val="en-US" w:eastAsia="zh-CN" w:bidi="ar-SA"/>
            </w:rPr>
            <w:fldChar w:fldCharType="separate"/>
          </w:r>
          <w:r>
            <w:rPr>
              <w:rFonts w:hint="eastAsia" w:ascii="Times New Roman" w:hAnsi="Times New Roman" w:eastAsia="宋体" w:cs="Times New Roman"/>
              <w:b/>
              <w:bCs/>
              <w:szCs w:val="24"/>
              <w:highlight w:val="none"/>
              <w:lang w:val="en-US" w:eastAsia="zh-CN"/>
            </w:rPr>
            <w:t>二、评价工作开展情况</w:t>
          </w:r>
          <w:r>
            <w:rPr>
              <w:b/>
              <w:bCs/>
            </w:rPr>
            <w:tab/>
          </w:r>
          <w:r>
            <w:rPr>
              <w:b/>
              <w:bCs/>
            </w:rPr>
            <w:fldChar w:fldCharType="begin"/>
          </w:r>
          <w:r>
            <w:rPr>
              <w:b/>
              <w:bCs/>
            </w:rPr>
            <w:instrText xml:space="preserve"> PAGEREF _Toc13128 \h </w:instrText>
          </w:r>
          <w:r>
            <w:rPr>
              <w:b/>
              <w:bCs/>
            </w:rPr>
            <w:fldChar w:fldCharType="separate"/>
          </w:r>
          <w:r>
            <w:rPr>
              <w:b/>
              <w:bCs/>
            </w:rPr>
            <w:t>1</w:t>
          </w:r>
          <w:r>
            <w:rPr>
              <w:b/>
              <w:bCs/>
            </w:rPr>
            <w:fldChar w:fldCharType="end"/>
          </w:r>
          <w:r>
            <w:rPr>
              <w:rFonts w:hint="default" w:ascii="Calibri" w:hAnsi="Calibri" w:eastAsia="宋体" w:cs="Times New Roman"/>
              <w:b/>
              <w:bCs/>
              <w:kern w:val="2"/>
              <w:szCs w:val="24"/>
              <w:lang w:val="en-US" w:eastAsia="zh-CN" w:bidi="ar-SA"/>
            </w:rPr>
            <w:fldChar w:fldCharType="end"/>
          </w:r>
        </w:p>
        <w:p w14:paraId="607E83A1">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_Toc2808 </w:instrText>
          </w:r>
          <w:r>
            <w:rPr>
              <w:rFonts w:hint="default" w:ascii="Calibri" w:hAnsi="Calibri" w:eastAsia="宋体" w:cs="Times New Roman"/>
              <w:kern w:val="2"/>
              <w:szCs w:val="24"/>
              <w:lang w:val="en-US" w:eastAsia="zh-CN" w:bidi="ar-SA"/>
            </w:rPr>
            <w:fldChar w:fldCharType="separate"/>
          </w:r>
          <w:r>
            <w:rPr>
              <w:rFonts w:hint="default" w:ascii="Times New Roman" w:hAnsi="Times New Roman" w:eastAsia="宋体" w:cs="Times New Roman"/>
              <w:bCs/>
              <w:szCs w:val="24"/>
              <w:highlight w:val="none"/>
              <w:lang w:val="en-US" w:eastAsia="zh-CN"/>
            </w:rPr>
            <w:t>（一）</w:t>
          </w:r>
          <w:r>
            <w:rPr>
              <w:rFonts w:hint="eastAsia" w:ascii="Times New Roman" w:hAnsi="Times New Roman" w:eastAsia="宋体" w:cs="Times New Roman"/>
              <w:bCs/>
              <w:szCs w:val="24"/>
              <w:highlight w:val="none"/>
              <w:lang w:val="en-US" w:eastAsia="zh-CN"/>
            </w:rPr>
            <w:t>评价目的</w:t>
          </w:r>
          <w:r>
            <w:tab/>
          </w:r>
          <w:r>
            <w:fldChar w:fldCharType="begin"/>
          </w:r>
          <w:r>
            <w:instrText xml:space="preserve"> PAGEREF _Toc2808 \h </w:instrText>
          </w:r>
          <w:r>
            <w:fldChar w:fldCharType="separate"/>
          </w:r>
          <w:r>
            <w:t>1</w:t>
          </w:r>
          <w:r>
            <w:fldChar w:fldCharType="end"/>
          </w:r>
          <w:r>
            <w:rPr>
              <w:rFonts w:hint="default" w:ascii="Calibri" w:hAnsi="Calibri" w:eastAsia="宋体" w:cs="Times New Roman"/>
              <w:kern w:val="2"/>
              <w:szCs w:val="24"/>
              <w:lang w:val="en-US" w:eastAsia="zh-CN" w:bidi="ar-SA"/>
            </w:rPr>
            <w:fldChar w:fldCharType="end"/>
          </w:r>
        </w:p>
        <w:p w14:paraId="646EEB38">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_Toc31007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highlight w:val="none"/>
              <w:lang w:val="en-US" w:eastAsia="zh-CN"/>
            </w:rPr>
            <w:t>（二）评价方法</w:t>
          </w:r>
          <w:r>
            <w:tab/>
          </w:r>
          <w:r>
            <w:fldChar w:fldCharType="begin"/>
          </w:r>
          <w:r>
            <w:instrText xml:space="preserve"> PAGEREF _Toc31007 \h </w:instrText>
          </w:r>
          <w:r>
            <w:fldChar w:fldCharType="separate"/>
          </w:r>
          <w:r>
            <w:t>1</w:t>
          </w:r>
          <w:r>
            <w:fldChar w:fldCharType="end"/>
          </w:r>
          <w:r>
            <w:rPr>
              <w:rFonts w:hint="default" w:ascii="Calibri" w:hAnsi="Calibri" w:eastAsia="宋体" w:cs="Times New Roman"/>
              <w:kern w:val="2"/>
              <w:szCs w:val="24"/>
              <w:lang w:val="en-US" w:eastAsia="zh-CN" w:bidi="ar-SA"/>
            </w:rPr>
            <w:fldChar w:fldCharType="end"/>
          </w:r>
        </w:p>
        <w:p w14:paraId="34A5BB0D">
          <w:pPr>
            <w:pStyle w:val="8"/>
            <w:tabs>
              <w:tab w:val="right" w:leader="dot" w:pos="8845"/>
            </w:tabs>
            <w:rPr>
              <w:b/>
              <w:bCs/>
            </w:rPr>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_Toc21367 </w:instrText>
          </w:r>
          <w:r>
            <w:rPr>
              <w:rFonts w:hint="default" w:ascii="Calibri" w:hAnsi="Calibri" w:eastAsia="宋体" w:cs="Times New Roman"/>
              <w:b/>
              <w:bCs/>
              <w:kern w:val="2"/>
              <w:szCs w:val="24"/>
              <w:lang w:val="en-US" w:eastAsia="zh-CN" w:bidi="ar-SA"/>
            </w:rPr>
            <w:fldChar w:fldCharType="separate"/>
          </w:r>
          <w:r>
            <w:rPr>
              <w:rFonts w:hint="eastAsia" w:ascii="Times New Roman" w:hAnsi="Times New Roman" w:cs="Times New Roman"/>
              <w:b/>
              <w:bCs/>
              <w:szCs w:val="24"/>
              <w:lang w:val="en-US" w:eastAsia="zh-CN"/>
            </w:rPr>
            <w:t xml:space="preserve">三、 </w:t>
          </w:r>
          <w:r>
            <w:rPr>
              <w:rFonts w:hint="eastAsia" w:ascii="Times New Roman" w:hAnsi="Times New Roman" w:cs="Times New Roman"/>
              <w:b/>
              <w:bCs/>
              <w:szCs w:val="24"/>
              <w:highlight w:val="none"/>
              <w:lang w:val="en-US" w:eastAsia="zh-CN"/>
            </w:rPr>
            <w:t>评价指标</w:t>
          </w:r>
          <w:r>
            <w:rPr>
              <w:b/>
              <w:bCs/>
            </w:rPr>
            <w:tab/>
          </w:r>
          <w:r>
            <w:rPr>
              <w:b/>
              <w:bCs/>
            </w:rPr>
            <w:fldChar w:fldCharType="begin"/>
          </w:r>
          <w:r>
            <w:rPr>
              <w:b/>
              <w:bCs/>
            </w:rPr>
            <w:instrText xml:space="preserve"> PAGEREF _Toc21367 \h </w:instrText>
          </w:r>
          <w:r>
            <w:rPr>
              <w:b/>
              <w:bCs/>
            </w:rPr>
            <w:fldChar w:fldCharType="separate"/>
          </w:r>
          <w:r>
            <w:rPr>
              <w:b/>
              <w:bCs/>
            </w:rPr>
            <w:t>2</w:t>
          </w:r>
          <w:r>
            <w:rPr>
              <w:b/>
              <w:bCs/>
            </w:rPr>
            <w:fldChar w:fldCharType="end"/>
          </w:r>
          <w:r>
            <w:rPr>
              <w:rFonts w:hint="default" w:ascii="Calibri" w:hAnsi="Calibri" w:eastAsia="宋体" w:cs="Times New Roman"/>
              <w:b/>
              <w:bCs/>
              <w:kern w:val="2"/>
              <w:szCs w:val="24"/>
              <w:lang w:val="en-US" w:eastAsia="zh-CN" w:bidi="ar-SA"/>
            </w:rPr>
            <w:fldChar w:fldCharType="end"/>
          </w:r>
        </w:p>
        <w:p w14:paraId="70398723">
          <w:pPr>
            <w:pStyle w:val="8"/>
            <w:tabs>
              <w:tab w:val="right" w:leader="dot" w:pos="8845"/>
            </w:tabs>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_Toc2233 </w:instrText>
          </w:r>
          <w:r>
            <w:rPr>
              <w:rFonts w:hint="default" w:ascii="Calibri" w:hAnsi="Calibri" w:eastAsia="宋体" w:cs="Times New Roman"/>
              <w:b/>
              <w:bCs/>
              <w:kern w:val="2"/>
              <w:szCs w:val="24"/>
              <w:lang w:val="en-US" w:eastAsia="zh-CN" w:bidi="ar-SA"/>
            </w:rPr>
            <w:fldChar w:fldCharType="separate"/>
          </w:r>
          <w:r>
            <w:rPr>
              <w:rFonts w:hint="eastAsia" w:ascii="Times New Roman" w:hAnsi="Times New Roman" w:cs="Times New Roman"/>
              <w:b/>
              <w:bCs/>
              <w:szCs w:val="24"/>
              <w:lang w:val="en-US" w:eastAsia="zh-CN"/>
            </w:rPr>
            <w:t xml:space="preserve">四、 </w:t>
          </w:r>
          <w:r>
            <w:rPr>
              <w:rFonts w:hint="eastAsia" w:ascii="Times New Roman" w:hAnsi="Times New Roman" w:cs="Times New Roman"/>
              <w:b/>
              <w:bCs/>
              <w:szCs w:val="24"/>
              <w:highlight w:val="none"/>
              <w:lang w:val="en-US" w:eastAsia="zh-CN"/>
            </w:rPr>
            <w:t>评价结果与结论</w:t>
          </w:r>
          <w:r>
            <w:rPr>
              <w:b/>
              <w:bCs/>
            </w:rPr>
            <w:tab/>
          </w:r>
          <w:r>
            <w:rPr>
              <w:b/>
              <w:bCs/>
            </w:rPr>
            <w:fldChar w:fldCharType="begin"/>
          </w:r>
          <w:r>
            <w:rPr>
              <w:b/>
              <w:bCs/>
            </w:rPr>
            <w:instrText xml:space="preserve"> PAGEREF _Toc2233 \h </w:instrText>
          </w:r>
          <w:r>
            <w:rPr>
              <w:b/>
              <w:bCs/>
            </w:rPr>
            <w:fldChar w:fldCharType="separate"/>
          </w:r>
          <w:r>
            <w:rPr>
              <w:b/>
              <w:bCs/>
            </w:rPr>
            <w:t>2</w:t>
          </w:r>
          <w:r>
            <w:rPr>
              <w:b/>
              <w:bCs/>
            </w:rPr>
            <w:fldChar w:fldCharType="end"/>
          </w:r>
          <w:r>
            <w:rPr>
              <w:rFonts w:hint="default" w:ascii="Calibri" w:hAnsi="Calibri" w:eastAsia="宋体" w:cs="Times New Roman"/>
              <w:b/>
              <w:bCs/>
              <w:kern w:val="2"/>
              <w:szCs w:val="24"/>
              <w:lang w:val="en-US" w:eastAsia="zh-CN" w:bidi="ar-SA"/>
            </w:rPr>
            <w:fldChar w:fldCharType="end"/>
          </w:r>
        </w:p>
        <w:p w14:paraId="47291394">
          <w:pPr>
            <w:pStyle w:val="8"/>
            <w:tabs>
              <w:tab w:val="right" w:leader="dot" w:pos="8845"/>
            </w:tabs>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_Toc31880 </w:instrText>
          </w:r>
          <w:r>
            <w:rPr>
              <w:rFonts w:hint="default" w:ascii="Calibri" w:hAnsi="Calibri" w:eastAsia="宋体" w:cs="Times New Roman"/>
              <w:b/>
              <w:bCs/>
              <w:kern w:val="2"/>
              <w:szCs w:val="24"/>
              <w:lang w:val="en-US" w:eastAsia="zh-CN" w:bidi="ar-SA"/>
            </w:rPr>
            <w:fldChar w:fldCharType="separate"/>
          </w:r>
          <w:r>
            <w:rPr>
              <w:rFonts w:hint="eastAsia" w:ascii="Times New Roman" w:hAnsi="Times New Roman" w:eastAsia="宋体" w:cs="Times New Roman"/>
              <w:b/>
              <w:bCs/>
              <w:szCs w:val="24"/>
              <w:highlight w:val="none"/>
              <w:lang w:val="en-US" w:eastAsia="zh-CN"/>
            </w:rPr>
            <w:t>五、项目绩效分析</w:t>
          </w:r>
          <w:r>
            <w:rPr>
              <w:b/>
              <w:bCs/>
            </w:rPr>
            <w:tab/>
          </w:r>
          <w:r>
            <w:rPr>
              <w:b/>
              <w:bCs/>
            </w:rPr>
            <w:fldChar w:fldCharType="begin"/>
          </w:r>
          <w:r>
            <w:rPr>
              <w:b/>
              <w:bCs/>
            </w:rPr>
            <w:instrText xml:space="preserve"> PAGEREF _Toc31880 \h </w:instrText>
          </w:r>
          <w:r>
            <w:rPr>
              <w:b/>
              <w:bCs/>
            </w:rPr>
            <w:fldChar w:fldCharType="separate"/>
          </w:r>
          <w:r>
            <w:rPr>
              <w:b/>
              <w:bCs/>
            </w:rPr>
            <w:t>4</w:t>
          </w:r>
          <w:r>
            <w:rPr>
              <w:b/>
              <w:bCs/>
            </w:rPr>
            <w:fldChar w:fldCharType="end"/>
          </w:r>
          <w:r>
            <w:rPr>
              <w:rFonts w:hint="default" w:ascii="Calibri" w:hAnsi="Calibri" w:eastAsia="宋体" w:cs="Times New Roman"/>
              <w:b/>
              <w:bCs/>
              <w:kern w:val="2"/>
              <w:szCs w:val="24"/>
              <w:lang w:val="en-US" w:eastAsia="zh-CN" w:bidi="ar-SA"/>
            </w:rPr>
            <w:fldChar w:fldCharType="end"/>
          </w:r>
        </w:p>
        <w:p w14:paraId="20E37A79">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_Toc9230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cs="Times New Roman"/>
              <w:bCs/>
              <w:szCs w:val="24"/>
              <w:highlight w:val="none"/>
              <w:lang w:val="en-US" w:eastAsia="zh-CN"/>
            </w:rPr>
            <w:t>（一）</w:t>
          </w:r>
          <w:r>
            <w:rPr>
              <w:rFonts w:hint="default" w:ascii="Times New Roman" w:hAnsi="Times New Roman" w:cs="Times New Roman"/>
              <w:bCs/>
              <w:szCs w:val="24"/>
              <w:highlight w:val="none"/>
              <w:lang w:val="en-US" w:eastAsia="zh-CN"/>
            </w:rPr>
            <w:t>通用指标</w:t>
          </w:r>
          <w:r>
            <w:tab/>
          </w:r>
          <w:r>
            <w:fldChar w:fldCharType="begin"/>
          </w:r>
          <w:r>
            <w:instrText xml:space="preserve"> PAGEREF _Toc9230 \h </w:instrText>
          </w:r>
          <w:r>
            <w:fldChar w:fldCharType="separate"/>
          </w:r>
          <w:r>
            <w:t>4</w:t>
          </w:r>
          <w:r>
            <w:fldChar w:fldCharType="end"/>
          </w:r>
          <w:r>
            <w:rPr>
              <w:rFonts w:hint="default" w:ascii="Calibri" w:hAnsi="Calibri" w:eastAsia="宋体" w:cs="Times New Roman"/>
              <w:kern w:val="2"/>
              <w:szCs w:val="24"/>
              <w:lang w:val="en-US" w:eastAsia="zh-CN" w:bidi="ar-SA"/>
            </w:rPr>
            <w:fldChar w:fldCharType="end"/>
          </w:r>
        </w:p>
        <w:p w14:paraId="6980375C">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_Toc2727 </w:instrText>
          </w:r>
          <w:r>
            <w:rPr>
              <w:rFonts w:hint="default" w:ascii="Calibri" w:hAnsi="Calibri" w:eastAsia="宋体" w:cs="Times New Roman"/>
              <w:kern w:val="2"/>
              <w:szCs w:val="24"/>
              <w:lang w:val="en-US" w:eastAsia="zh-CN" w:bidi="ar-SA"/>
            </w:rPr>
            <w:fldChar w:fldCharType="separate"/>
          </w:r>
          <w:r>
            <w:rPr>
              <w:rFonts w:hint="default" w:ascii="Times New Roman" w:hAnsi="Times New Roman" w:cs="Times New Roman"/>
              <w:bCs/>
              <w:szCs w:val="24"/>
              <w:highlight w:val="none"/>
              <w:lang w:val="en-US" w:eastAsia="zh-CN"/>
            </w:rPr>
            <w:t>1.项目决策</w:t>
          </w:r>
          <w:r>
            <w:tab/>
          </w:r>
          <w:r>
            <w:fldChar w:fldCharType="begin"/>
          </w:r>
          <w:r>
            <w:instrText xml:space="preserve"> PAGEREF _Toc2727 \h </w:instrText>
          </w:r>
          <w:r>
            <w:fldChar w:fldCharType="separate"/>
          </w:r>
          <w:r>
            <w:t>4</w:t>
          </w:r>
          <w:r>
            <w:fldChar w:fldCharType="end"/>
          </w:r>
          <w:r>
            <w:rPr>
              <w:rFonts w:hint="default" w:ascii="Calibri" w:hAnsi="Calibri" w:eastAsia="宋体" w:cs="Times New Roman"/>
              <w:kern w:val="2"/>
              <w:szCs w:val="24"/>
              <w:lang w:val="en-US" w:eastAsia="zh-CN" w:bidi="ar-SA"/>
            </w:rPr>
            <w:fldChar w:fldCharType="end"/>
          </w:r>
        </w:p>
        <w:p w14:paraId="2CE709F6">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_Toc5769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highlight w:val="none"/>
              <w:lang w:val="en-US" w:eastAsia="zh-CN"/>
            </w:rPr>
            <w:t>2.项目管理</w:t>
          </w:r>
          <w:r>
            <w:tab/>
          </w:r>
          <w:r>
            <w:fldChar w:fldCharType="begin"/>
          </w:r>
          <w:r>
            <w:instrText xml:space="preserve"> PAGEREF _Toc5769 \h </w:instrText>
          </w:r>
          <w:r>
            <w:fldChar w:fldCharType="separate"/>
          </w:r>
          <w:r>
            <w:t>4</w:t>
          </w:r>
          <w:r>
            <w:fldChar w:fldCharType="end"/>
          </w:r>
          <w:r>
            <w:rPr>
              <w:rFonts w:hint="default" w:ascii="Calibri" w:hAnsi="Calibri" w:eastAsia="宋体" w:cs="Times New Roman"/>
              <w:kern w:val="2"/>
              <w:szCs w:val="24"/>
              <w:lang w:val="en-US" w:eastAsia="zh-CN" w:bidi="ar-SA"/>
            </w:rPr>
            <w:fldChar w:fldCharType="end"/>
          </w:r>
        </w:p>
        <w:p w14:paraId="14A81598">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_Toc28241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highlight w:val="none"/>
              <w:lang w:val="en-US" w:eastAsia="zh-CN"/>
            </w:rPr>
            <w:t>3.项目实施</w:t>
          </w:r>
          <w:r>
            <w:tab/>
          </w:r>
          <w:r>
            <w:fldChar w:fldCharType="begin"/>
          </w:r>
          <w:r>
            <w:instrText xml:space="preserve"> PAGEREF _Toc28241 \h </w:instrText>
          </w:r>
          <w:r>
            <w:fldChar w:fldCharType="separate"/>
          </w:r>
          <w:r>
            <w:t>5</w:t>
          </w:r>
          <w:r>
            <w:fldChar w:fldCharType="end"/>
          </w:r>
          <w:r>
            <w:rPr>
              <w:rFonts w:hint="default" w:ascii="Calibri" w:hAnsi="Calibri" w:eastAsia="宋体" w:cs="Times New Roman"/>
              <w:kern w:val="2"/>
              <w:szCs w:val="24"/>
              <w:lang w:val="en-US" w:eastAsia="zh-CN" w:bidi="ar-SA"/>
            </w:rPr>
            <w:fldChar w:fldCharType="end"/>
          </w:r>
        </w:p>
        <w:p w14:paraId="7A528DA0">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_Toc1378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highlight w:val="none"/>
              <w:lang w:val="en-US" w:eastAsia="zh-CN"/>
            </w:rPr>
            <w:t>4.项目结果</w:t>
          </w:r>
          <w:r>
            <w:tab/>
          </w:r>
          <w:r>
            <w:fldChar w:fldCharType="begin"/>
          </w:r>
          <w:r>
            <w:instrText xml:space="preserve"> PAGEREF _Toc1378 \h </w:instrText>
          </w:r>
          <w:r>
            <w:fldChar w:fldCharType="separate"/>
          </w:r>
          <w:r>
            <w:t>6</w:t>
          </w:r>
          <w:r>
            <w:fldChar w:fldCharType="end"/>
          </w:r>
          <w:r>
            <w:rPr>
              <w:rFonts w:hint="default" w:ascii="Calibri" w:hAnsi="Calibri" w:eastAsia="宋体" w:cs="Times New Roman"/>
              <w:kern w:val="2"/>
              <w:szCs w:val="24"/>
              <w:lang w:val="en-US" w:eastAsia="zh-CN" w:bidi="ar-SA"/>
            </w:rPr>
            <w:fldChar w:fldCharType="end"/>
          </w:r>
        </w:p>
        <w:p w14:paraId="08728169">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_Toc29408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lang w:val="en-US" w:eastAsia="zh-CN"/>
            </w:rPr>
            <w:t>（二）</w:t>
          </w:r>
          <w:r>
            <w:rPr>
              <w:rFonts w:hint="eastAsia" w:ascii="Times New Roman" w:hAnsi="Times New Roman" w:eastAsia="宋体" w:cs="Times New Roman"/>
              <w:bCs/>
              <w:szCs w:val="24"/>
              <w:highlight w:val="none"/>
              <w:lang w:val="en-US" w:eastAsia="zh-CN"/>
            </w:rPr>
            <w:t>专用指标</w:t>
          </w:r>
          <w:r>
            <w:tab/>
          </w:r>
          <w:r>
            <w:fldChar w:fldCharType="begin"/>
          </w:r>
          <w:r>
            <w:instrText xml:space="preserve"> PAGEREF _Toc29408 \h </w:instrText>
          </w:r>
          <w:r>
            <w:fldChar w:fldCharType="separate"/>
          </w:r>
          <w:r>
            <w:t>6</w:t>
          </w:r>
          <w:r>
            <w:fldChar w:fldCharType="end"/>
          </w:r>
          <w:r>
            <w:rPr>
              <w:rFonts w:hint="default" w:ascii="Calibri" w:hAnsi="Calibri" w:eastAsia="宋体" w:cs="Times New Roman"/>
              <w:kern w:val="2"/>
              <w:szCs w:val="24"/>
              <w:lang w:val="en-US" w:eastAsia="zh-CN" w:bidi="ar-SA"/>
            </w:rPr>
            <w:fldChar w:fldCharType="end"/>
          </w:r>
        </w:p>
        <w:p w14:paraId="235DC88B">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_Toc10373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highlight w:val="none"/>
              <w:lang w:val="en-US" w:eastAsia="zh-CN"/>
            </w:rPr>
            <w:t>1.行政运转</w:t>
          </w:r>
          <w:r>
            <w:tab/>
          </w:r>
          <w:r>
            <w:fldChar w:fldCharType="begin"/>
          </w:r>
          <w:r>
            <w:instrText xml:space="preserve"> PAGEREF _Toc10373 \h </w:instrText>
          </w:r>
          <w:r>
            <w:fldChar w:fldCharType="separate"/>
          </w:r>
          <w:r>
            <w:t>6</w:t>
          </w:r>
          <w:r>
            <w:fldChar w:fldCharType="end"/>
          </w:r>
          <w:r>
            <w:rPr>
              <w:rFonts w:hint="default" w:ascii="Calibri" w:hAnsi="Calibri" w:eastAsia="宋体" w:cs="Times New Roman"/>
              <w:kern w:val="2"/>
              <w:szCs w:val="24"/>
              <w:lang w:val="en-US" w:eastAsia="zh-CN" w:bidi="ar-SA"/>
            </w:rPr>
            <w:fldChar w:fldCharType="end"/>
          </w:r>
        </w:p>
        <w:p w14:paraId="53AA253F">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_Toc2724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lang w:val="en-US" w:eastAsia="zh-CN"/>
            </w:rPr>
            <w:t>（三）</w:t>
          </w:r>
          <w:r>
            <w:rPr>
              <w:rFonts w:hint="eastAsia" w:ascii="Times New Roman" w:hAnsi="Times New Roman" w:eastAsia="宋体" w:cs="Times New Roman"/>
              <w:bCs/>
              <w:szCs w:val="24"/>
              <w:highlight w:val="none"/>
              <w:lang w:val="en-US" w:eastAsia="zh-CN"/>
            </w:rPr>
            <w:t>个性指标</w:t>
          </w:r>
          <w:r>
            <w:tab/>
          </w:r>
          <w:r>
            <w:fldChar w:fldCharType="begin"/>
          </w:r>
          <w:r>
            <w:instrText xml:space="preserve"> PAGEREF _Toc2724 \h </w:instrText>
          </w:r>
          <w:r>
            <w:fldChar w:fldCharType="separate"/>
          </w:r>
          <w:r>
            <w:t>7</w:t>
          </w:r>
          <w:r>
            <w:fldChar w:fldCharType="end"/>
          </w:r>
          <w:r>
            <w:rPr>
              <w:rFonts w:hint="default" w:ascii="Calibri" w:hAnsi="Calibri" w:eastAsia="宋体" w:cs="Times New Roman"/>
              <w:kern w:val="2"/>
              <w:szCs w:val="24"/>
              <w:lang w:val="en-US" w:eastAsia="zh-CN" w:bidi="ar-SA"/>
            </w:rPr>
            <w:fldChar w:fldCharType="end"/>
          </w:r>
        </w:p>
        <w:p w14:paraId="37459EFD">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_Toc8910 </w:instrText>
          </w:r>
          <w:r>
            <w:rPr>
              <w:rFonts w:hint="default" w:ascii="Calibri" w:hAnsi="Calibri" w:eastAsia="宋体" w:cs="Times New Roman"/>
              <w:kern w:val="2"/>
              <w:szCs w:val="24"/>
              <w:lang w:val="en-US" w:eastAsia="zh-CN" w:bidi="ar-SA"/>
            </w:rPr>
            <w:fldChar w:fldCharType="separate"/>
          </w:r>
          <w:r>
            <w:rPr>
              <w:rFonts w:hint="default" w:ascii="宋体" w:hAnsi="宋体" w:eastAsia="宋体" w:cs="宋体"/>
              <w:bCs w:val="0"/>
              <w:szCs w:val="24"/>
              <w:lang w:val="en-US" w:eastAsia="zh-CN"/>
            </w:rPr>
            <w:t>1.补贴政策宣传覆盖有效性</w:t>
          </w:r>
          <w:r>
            <w:tab/>
          </w:r>
          <w:r>
            <w:fldChar w:fldCharType="begin"/>
          </w:r>
          <w:r>
            <w:instrText xml:space="preserve"> PAGEREF _Toc8910 \h </w:instrText>
          </w:r>
          <w:r>
            <w:fldChar w:fldCharType="separate"/>
          </w:r>
          <w:r>
            <w:t>7</w:t>
          </w:r>
          <w:r>
            <w:fldChar w:fldCharType="end"/>
          </w:r>
          <w:r>
            <w:rPr>
              <w:rFonts w:hint="default" w:ascii="Calibri" w:hAnsi="Calibri" w:eastAsia="宋体" w:cs="Times New Roman"/>
              <w:kern w:val="2"/>
              <w:szCs w:val="24"/>
              <w:lang w:val="en-US" w:eastAsia="zh-CN" w:bidi="ar-SA"/>
            </w:rPr>
            <w:fldChar w:fldCharType="end"/>
          </w:r>
        </w:p>
        <w:p w14:paraId="368B83A6">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_Toc1968 </w:instrText>
          </w:r>
          <w:r>
            <w:rPr>
              <w:rFonts w:hint="default" w:ascii="Calibri" w:hAnsi="Calibri" w:eastAsia="宋体" w:cs="Times New Roman"/>
              <w:kern w:val="2"/>
              <w:szCs w:val="24"/>
              <w:lang w:val="en-US" w:eastAsia="zh-CN" w:bidi="ar-SA"/>
            </w:rPr>
            <w:fldChar w:fldCharType="separate"/>
          </w:r>
          <w:r>
            <w:rPr>
              <w:rFonts w:hint="default" w:ascii="宋体" w:hAnsi="宋体" w:eastAsia="宋体" w:cs="宋体"/>
              <w:bCs w:val="0"/>
              <w:szCs w:val="24"/>
              <w:lang w:val="en-US" w:eastAsia="zh-CN"/>
            </w:rPr>
            <w:t>2.耕地地力保护补贴档案归档完整性</w:t>
          </w:r>
          <w:r>
            <w:tab/>
          </w:r>
          <w:r>
            <w:fldChar w:fldCharType="begin"/>
          </w:r>
          <w:r>
            <w:instrText xml:space="preserve"> PAGEREF _Toc1968 \h </w:instrText>
          </w:r>
          <w:r>
            <w:fldChar w:fldCharType="separate"/>
          </w:r>
          <w:r>
            <w:t>7</w:t>
          </w:r>
          <w:r>
            <w:fldChar w:fldCharType="end"/>
          </w:r>
          <w:r>
            <w:rPr>
              <w:rFonts w:hint="default" w:ascii="Calibri" w:hAnsi="Calibri" w:eastAsia="宋体" w:cs="Times New Roman"/>
              <w:kern w:val="2"/>
              <w:szCs w:val="24"/>
              <w:lang w:val="en-US" w:eastAsia="zh-CN" w:bidi="ar-SA"/>
            </w:rPr>
            <w:fldChar w:fldCharType="end"/>
          </w:r>
        </w:p>
        <w:p w14:paraId="7F43D684">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_Toc22043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lang w:val="en-US" w:eastAsia="zh-CN"/>
            </w:rPr>
            <w:t xml:space="preserve">（四） </w:t>
          </w:r>
          <w:r>
            <w:rPr>
              <w:rFonts w:hint="eastAsia" w:ascii="Times New Roman" w:hAnsi="Times New Roman" w:eastAsia="宋体" w:cs="Times New Roman"/>
              <w:bCs/>
              <w:szCs w:val="24"/>
              <w:highlight w:val="none"/>
              <w:lang w:val="en-US" w:eastAsia="zh-CN"/>
            </w:rPr>
            <w:t>扣分项</w:t>
          </w:r>
          <w:r>
            <w:tab/>
          </w:r>
          <w:r>
            <w:fldChar w:fldCharType="begin"/>
          </w:r>
          <w:r>
            <w:instrText xml:space="preserve"> PAGEREF _Toc22043 \h </w:instrText>
          </w:r>
          <w:r>
            <w:fldChar w:fldCharType="separate"/>
          </w:r>
          <w:r>
            <w:t>7</w:t>
          </w:r>
          <w:r>
            <w:fldChar w:fldCharType="end"/>
          </w:r>
          <w:r>
            <w:rPr>
              <w:rFonts w:hint="default" w:ascii="Calibri" w:hAnsi="Calibri" w:eastAsia="宋体" w:cs="Times New Roman"/>
              <w:kern w:val="2"/>
              <w:szCs w:val="24"/>
              <w:lang w:val="en-US" w:eastAsia="zh-CN" w:bidi="ar-SA"/>
            </w:rPr>
            <w:fldChar w:fldCharType="end"/>
          </w:r>
        </w:p>
        <w:p w14:paraId="6BE7E6BE">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_Toc9237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cs="Times New Roman"/>
              <w:bCs/>
              <w:szCs w:val="24"/>
              <w:lang w:val="en-US" w:eastAsia="zh-CN"/>
            </w:rPr>
            <w:t xml:space="preserve">1. </w:t>
          </w:r>
          <w:r>
            <w:rPr>
              <w:rFonts w:hint="eastAsia" w:ascii="Times New Roman" w:hAnsi="Times New Roman" w:cs="Times New Roman"/>
              <w:bCs/>
              <w:szCs w:val="24"/>
              <w:highlight w:val="none"/>
              <w:lang w:val="en-US" w:eastAsia="zh-CN"/>
            </w:rPr>
            <w:t>绩效管理存在问题</w:t>
          </w:r>
          <w:r>
            <w:tab/>
          </w:r>
          <w:r>
            <w:fldChar w:fldCharType="begin"/>
          </w:r>
          <w:r>
            <w:instrText xml:space="preserve"> PAGEREF _Toc9237 \h </w:instrText>
          </w:r>
          <w:r>
            <w:fldChar w:fldCharType="separate"/>
          </w:r>
          <w:r>
            <w:t>7</w:t>
          </w:r>
          <w:r>
            <w:fldChar w:fldCharType="end"/>
          </w:r>
          <w:r>
            <w:rPr>
              <w:rFonts w:hint="default" w:ascii="Calibri" w:hAnsi="Calibri" w:eastAsia="宋体" w:cs="Times New Roman"/>
              <w:kern w:val="2"/>
              <w:szCs w:val="24"/>
              <w:lang w:val="en-US" w:eastAsia="zh-CN" w:bidi="ar-SA"/>
            </w:rPr>
            <w:fldChar w:fldCharType="end"/>
          </w:r>
        </w:p>
        <w:p w14:paraId="078F3ECF">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_Toc15652 </w:instrText>
          </w:r>
          <w:r>
            <w:rPr>
              <w:rFonts w:hint="default" w:ascii="Calibri" w:hAnsi="Calibri" w:eastAsia="宋体" w:cs="Times New Roman"/>
              <w:kern w:val="2"/>
              <w:szCs w:val="24"/>
              <w:lang w:val="en-US" w:eastAsia="zh-CN" w:bidi="ar-SA"/>
            </w:rPr>
            <w:fldChar w:fldCharType="separate"/>
          </w:r>
          <w:r>
            <w:rPr>
              <w:rFonts w:hint="default" w:ascii="Times New Roman" w:hAnsi="Times New Roman" w:cs="Times New Roman"/>
              <w:bCs/>
              <w:szCs w:val="24"/>
              <w:lang w:val="en-US" w:eastAsia="zh-CN"/>
            </w:rPr>
            <w:t xml:space="preserve">2. </w:t>
          </w:r>
          <w:r>
            <w:rPr>
              <w:rFonts w:hint="eastAsia" w:ascii="Times New Roman" w:hAnsi="Times New Roman" w:cs="Times New Roman"/>
              <w:bCs/>
              <w:szCs w:val="24"/>
              <w:highlight w:val="none"/>
              <w:lang w:val="en-US" w:eastAsia="zh-CN"/>
            </w:rPr>
            <w:t>被评价部门配合度</w:t>
          </w:r>
          <w:r>
            <w:tab/>
          </w:r>
          <w:r>
            <w:fldChar w:fldCharType="begin"/>
          </w:r>
          <w:r>
            <w:instrText xml:space="preserve"> PAGEREF _Toc15652 \h </w:instrText>
          </w:r>
          <w:r>
            <w:fldChar w:fldCharType="separate"/>
          </w:r>
          <w:r>
            <w:t>7</w:t>
          </w:r>
          <w:r>
            <w:fldChar w:fldCharType="end"/>
          </w:r>
          <w:r>
            <w:rPr>
              <w:rFonts w:hint="default" w:ascii="Calibri" w:hAnsi="Calibri" w:eastAsia="宋体" w:cs="Times New Roman"/>
              <w:kern w:val="2"/>
              <w:szCs w:val="24"/>
              <w:lang w:val="en-US" w:eastAsia="zh-CN" w:bidi="ar-SA"/>
            </w:rPr>
            <w:fldChar w:fldCharType="end"/>
          </w:r>
        </w:p>
        <w:p w14:paraId="722525F2">
          <w:pPr>
            <w:pStyle w:val="8"/>
            <w:tabs>
              <w:tab w:val="right" w:leader="dot" w:pos="8845"/>
            </w:tabs>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_Toc7410 </w:instrText>
          </w:r>
          <w:r>
            <w:rPr>
              <w:rFonts w:hint="default" w:ascii="Calibri" w:hAnsi="Calibri" w:eastAsia="宋体" w:cs="Times New Roman"/>
              <w:b/>
              <w:bCs/>
              <w:kern w:val="2"/>
              <w:szCs w:val="24"/>
              <w:lang w:val="en-US" w:eastAsia="zh-CN" w:bidi="ar-SA"/>
            </w:rPr>
            <w:fldChar w:fldCharType="separate"/>
          </w:r>
          <w:r>
            <w:rPr>
              <w:rFonts w:hint="default" w:ascii="宋体" w:hAnsi="宋体" w:eastAsia="宋体" w:cs="宋体"/>
              <w:b/>
              <w:bCs/>
              <w:szCs w:val="24"/>
              <w:lang w:val="en-US" w:eastAsia="zh-CN"/>
            </w:rPr>
            <w:t>五、存在的主要问题</w:t>
          </w:r>
          <w:r>
            <w:rPr>
              <w:b/>
              <w:bCs/>
            </w:rPr>
            <w:tab/>
          </w:r>
          <w:r>
            <w:rPr>
              <w:b/>
              <w:bCs/>
            </w:rPr>
            <w:fldChar w:fldCharType="begin"/>
          </w:r>
          <w:r>
            <w:rPr>
              <w:b/>
              <w:bCs/>
            </w:rPr>
            <w:instrText xml:space="preserve"> PAGEREF _Toc7410 \h </w:instrText>
          </w:r>
          <w:r>
            <w:rPr>
              <w:b/>
              <w:bCs/>
            </w:rPr>
            <w:fldChar w:fldCharType="separate"/>
          </w:r>
          <w:r>
            <w:rPr>
              <w:b/>
              <w:bCs/>
            </w:rPr>
            <w:t>7</w:t>
          </w:r>
          <w:r>
            <w:rPr>
              <w:b/>
              <w:bCs/>
            </w:rPr>
            <w:fldChar w:fldCharType="end"/>
          </w:r>
          <w:r>
            <w:rPr>
              <w:rFonts w:hint="default" w:ascii="Calibri" w:hAnsi="Calibri" w:eastAsia="宋体" w:cs="Times New Roman"/>
              <w:b/>
              <w:bCs/>
              <w:kern w:val="2"/>
              <w:szCs w:val="24"/>
              <w:lang w:val="en-US" w:eastAsia="zh-CN" w:bidi="ar-SA"/>
            </w:rPr>
            <w:fldChar w:fldCharType="end"/>
          </w:r>
        </w:p>
        <w:p w14:paraId="59BEF346">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_Toc32512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（二）</w:t>
          </w:r>
          <w:r>
            <w:rPr>
              <w:rFonts w:hint="eastAsia" w:ascii="宋体" w:hAnsi="宋体" w:cs="宋体"/>
              <w:bCs w:val="0"/>
              <w:szCs w:val="24"/>
              <w:lang w:val="en-US" w:eastAsia="zh-CN"/>
            </w:rPr>
            <w:t>规划论证不完整，项目未设置总体绩效目标</w:t>
          </w:r>
          <w:r>
            <w:tab/>
          </w:r>
          <w:r>
            <w:fldChar w:fldCharType="begin"/>
          </w:r>
          <w:r>
            <w:instrText xml:space="preserve"> PAGEREF _Toc32512 \h </w:instrText>
          </w:r>
          <w:r>
            <w:fldChar w:fldCharType="separate"/>
          </w:r>
          <w:r>
            <w:t>7</w:t>
          </w:r>
          <w:r>
            <w:fldChar w:fldCharType="end"/>
          </w:r>
          <w:r>
            <w:rPr>
              <w:rFonts w:hint="default" w:ascii="Calibri" w:hAnsi="Calibri" w:eastAsia="宋体" w:cs="Times New Roman"/>
              <w:kern w:val="2"/>
              <w:szCs w:val="24"/>
              <w:lang w:val="en-US" w:eastAsia="zh-CN" w:bidi="ar-SA"/>
            </w:rPr>
            <w:fldChar w:fldCharType="end"/>
          </w:r>
        </w:p>
        <w:p w14:paraId="5659A7BF">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_Toc27872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（三）绩效监管不到位，未落实预算绩效管理工作要求</w:t>
          </w:r>
          <w:r>
            <w:tab/>
          </w:r>
          <w:r>
            <w:fldChar w:fldCharType="begin"/>
          </w:r>
          <w:r>
            <w:instrText xml:space="preserve"> PAGEREF _Toc27872 \h </w:instrText>
          </w:r>
          <w:r>
            <w:fldChar w:fldCharType="separate"/>
          </w:r>
          <w:r>
            <w:t>8</w:t>
          </w:r>
          <w:r>
            <w:fldChar w:fldCharType="end"/>
          </w:r>
          <w:r>
            <w:rPr>
              <w:rFonts w:hint="default" w:ascii="Calibri" w:hAnsi="Calibri" w:eastAsia="宋体" w:cs="Times New Roman"/>
              <w:kern w:val="2"/>
              <w:szCs w:val="24"/>
              <w:lang w:val="en-US" w:eastAsia="zh-CN" w:bidi="ar-SA"/>
            </w:rPr>
            <w:fldChar w:fldCharType="end"/>
          </w:r>
        </w:p>
        <w:p w14:paraId="034A7184">
          <w:pPr>
            <w:pStyle w:val="8"/>
            <w:tabs>
              <w:tab w:val="right" w:leader="dot" w:pos="8845"/>
            </w:tabs>
            <w:rPr>
              <w:b/>
              <w:bCs/>
            </w:rPr>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_Toc18686 </w:instrText>
          </w:r>
          <w:r>
            <w:rPr>
              <w:rFonts w:hint="default" w:ascii="Calibri" w:hAnsi="Calibri" w:eastAsia="宋体" w:cs="Times New Roman"/>
              <w:b/>
              <w:bCs/>
              <w:kern w:val="2"/>
              <w:szCs w:val="24"/>
              <w:lang w:val="en-US" w:eastAsia="zh-CN" w:bidi="ar-SA"/>
            </w:rPr>
            <w:fldChar w:fldCharType="separate"/>
          </w:r>
          <w:r>
            <w:rPr>
              <w:rFonts w:hint="default" w:ascii="宋体" w:hAnsi="宋体" w:eastAsia="宋体" w:cs="宋体"/>
              <w:b/>
              <w:bCs/>
              <w:szCs w:val="24"/>
              <w:lang w:val="en-US" w:eastAsia="zh-CN"/>
            </w:rPr>
            <w:t>六、相关建议</w:t>
          </w:r>
          <w:r>
            <w:rPr>
              <w:b/>
              <w:bCs/>
            </w:rPr>
            <w:tab/>
          </w:r>
          <w:r>
            <w:rPr>
              <w:b/>
              <w:bCs/>
            </w:rPr>
            <w:fldChar w:fldCharType="begin"/>
          </w:r>
          <w:r>
            <w:rPr>
              <w:b/>
              <w:bCs/>
            </w:rPr>
            <w:instrText xml:space="preserve"> PAGEREF _Toc18686 \h </w:instrText>
          </w:r>
          <w:r>
            <w:rPr>
              <w:b/>
              <w:bCs/>
            </w:rPr>
            <w:fldChar w:fldCharType="separate"/>
          </w:r>
          <w:r>
            <w:rPr>
              <w:b/>
              <w:bCs/>
            </w:rPr>
            <w:t>8</w:t>
          </w:r>
          <w:r>
            <w:rPr>
              <w:b/>
              <w:bCs/>
            </w:rPr>
            <w:fldChar w:fldCharType="end"/>
          </w:r>
          <w:r>
            <w:rPr>
              <w:rFonts w:hint="default" w:ascii="Calibri" w:hAnsi="Calibri" w:eastAsia="宋体" w:cs="Times New Roman"/>
              <w:b/>
              <w:bCs/>
              <w:kern w:val="2"/>
              <w:szCs w:val="24"/>
              <w:lang w:val="en-US" w:eastAsia="zh-CN" w:bidi="ar-SA"/>
            </w:rPr>
            <w:fldChar w:fldCharType="end"/>
          </w:r>
        </w:p>
        <w:p w14:paraId="48395D37">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_Toc25550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（一）明确总体绩效目标</w:t>
          </w:r>
          <w:r>
            <w:tab/>
          </w:r>
          <w:r>
            <w:fldChar w:fldCharType="begin"/>
          </w:r>
          <w:r>
            <w:instrText xml:space="preserve"> PAGEREF _Toc25550 \h </w:instrText>
          </w:r>
          <w:r>
            <w:fldChar w:fldCharType="separate"/>
          </w:r>
          <w:r>
            <w:t>8</w:t>
          </w:r>
          <w:r>
            <w:fldChar w:fldCharType="end"/>
          </w:r>
          <w:r>
            <w:rPr>
              <w:rFonts w:hint="default" w:ascii="Calibri" w:hAnsi="Calibri" w:eastAsia="宋体" w:cs="Times New Roman"/>
              <w:kern w:val="2"/>
              <w:szCs w:val="24"/>
              <w:lang w:val="en-US" w:eastAsia="zh-CN" w:bidi="ar-SA"/>
            </w:rPr>
            <w:fldChar w:fldCharType="end"/>
          </w:r>
        </w:p>
        <w:p w14:paraId="729301C4">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_Toc31579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（二）强化绩效全流程监管，落实预算管理要求</w:t>
          </w:r>
          <w:r>
            <w:rPr>
              <w:rFonts w:hint="default" w:ascii="Calibri" w:hAnsi="Calibri" w:eastAsia="宋体" w:cs="Times New Roman"/>
              <w:kern w:val="2"/>
              <w:szCs w:val="24"/>
              <w:lang w:val="en-US" w:eastAsia="zh-CN" w:bidi="ar-SA"/>
            </w:rPr>
            <w:fldChar w:fldCharType="end"/>
          </w:r>
          <w:r>
            <w:tab/>
          </w:r>
          <w:r>
            <w:fldChar w:fldCharType="begin"/>
          </w:r>
          <w:r>
            <w:instrText xml:space="preserve"> PAGEREF _Toc25550 \h </w:instrText>
          </w:r>
          <w:r>
            <w:fldChar w:fldCharType="separate"/>
          </w:r>
          <w:r>
            <w:t>8</w:t>
          </w:r>
          <w:r>
            <w:fldChar w:fldCharType="end"/>
          </w:r>
        </w:p>
        <w:p w14:paraId="6776EEFA">
          <w:pPr>
            <w:pStyle w:val="8"/>
            <w:tabs>
              <w:tab w:val="right" w:leader="dot" w:pos="8845"/>
            </w:tabs>
            <w:rPr>
              <w:b/>
              <w:bCs/>
            </w:rPr>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_Toc5801 </w:instrText>
          </w:r>
          <w:r>
            <w:rPr>
              <w:rFonts w:hint="default" w:ascii="Calibri" w:hAnsi="Calibri" w:eastAsia="宋体" w:cs="Times New Roman"/>
              <w:b/>
              <w:bCs/>
              <w:kern w:val="2"/>
              <w:szCs w:val="24"/>
              <w:lang w:val="en-US" w:eastAsia="zh-CN" w:bidi="ar-SA"/>
            </w:rPr>
            <w:fldChar w:fldCharType="separate"/>
          </w:r>
          <w:r>
            <w:rPr>
              <w:rFonts w:hint="default" w:ascii="宋体" w:hAnsi="宋体" w:eastAsia="宋体" w:cs="宋体"/>
              <w:b/>
              <w:bCs/>
              <w:szCs w:val="24"/>
              <w:lang w:val="en-US" w:eastAsia="zh-CN"/>
            </w:rPr>
            <w:t>附件1:耕地地力保护补贴项目支出绩效评价指标体系</w:t>
          </w:r>
          <w:r>
            <w:rPr>
              <w:b/>
              <w:bCs/>
            </w:rPr>
            <w:tab/>
          </w:r>
          <w:r>
            <w:rPr>
              <w:b/>
              <w:bCs/>
            </w:rPr>
            <w:fldChar w:fldCharType="begin"/>
          </w:r>
          <w:r>
            <w:rPr>
              <w:b/>
              <w:bCs/>
            </w:rPr>
            <w:instrText xml:space="preserve"> PAGEREF _Toc5801 \h </w:instrText>
          </w:r>
          <w:r>
            <w:rPr>
              <w:b/>
              <w:bCs/>
            </w:rPr>
            <w:fldChar w:fldCharType="separate"/>
          </w:r>
          <w:r>
            <w:rPr>
              <w:b/>
              <w:bCs/>
            </w:rPr>
            <w:t>8</w:t>
          </w:r>
          <w:r>
            <w:rPr>
              <w:b/>
              <w:bCs/>
            </w:rPr>
            <w:fldChar w:fldCharType="end"/>
          </w:r>
          <w:r>
            <w:rPr>
              <w:rFonts w:hint="default" w:ascii="Calibri" w:hAnsi="Calibri" w:eastAsia="宋体" w:cs="Times New Roman"/>
              <w:b/>
              <w:bCs/>
              <w:kern w:val="2"/>
              <w:szCs w:val="24"/>
              <w:lang w:val="en-US" w:eastAsia="zh-CN" w:bidi="ar-SA"/>
            </w:rPr>
            <w:fldChar w:fldCharType="end"/>
          </w:r>
        </w:p>
        <w:p w14:paraId="0822E83A">
          <w:pP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Cs w:val="24"/>
              <w:lang w:val="en-US" w:eastAsia="zh-CN" w:bidi="ar-SA"/>
            </w:rPr>
            <w:fldChar w:fldCharType="end"/>
          </w:r>
        </w:p>
      </w:sdtContent>
    </w:sdt>
    <w:p w14:paraId="0AA57F11">
      <w:pPr>
        <w:rPr>
          <w:rFonts w:hint="default"/>
        </w:rPr>
        <w:sectPr>
          <w:pgSz w:w="11906" w:h="16838"/>
          <w:pgMar w:top="2098" w:right="1474" w:bottom="1928" w:left="1587" w:header="851" w:footer="1701" w:gutter="0"/>
          <w:pgNumType w:fmt="upperRoman"/>
          <w:cols w:space="425" w:num="1"/>
          <w:docGrid w:type="lines" w:linePitch="312" w:charSpace="0"/>
        </w:sectPr>
      </w:pPr>
    </w:p>
    <w:p w14:paraId="0A2469B4">
      <w:pPr>
        <w:jc w:val="both"/>
        <w:rPr>
          <w:rFonts w:hint="eastAsia" w:ascii="黑体" w:hAnsi="黑体" w:eastAsia="黑体" w:cs="黑体"/>
          <w:bCs/>
          <w:sz w:val="32"/>
          <w:szCs w:val="32"/>
          <w:lang w:val="en-US" w:eastAsia="zh-CN"/>
        </w:rPr>
        <w:sectPr>
          <w:footerReference r:id="rId9" w:type="default"/>
          <w:type w:val="continuous"/>
          <w:pgSz w:w="11906" w:h="16838"/>
          <w:pgMar w:top="1440" w:right="1134" w:bottom="1440" w:left="1134" w:header="851" w:footer="992" w:gutter="0"/>
          <w:pgBorders>
            <w:top w:val="none" w:sz="0" w:space="0"/>
            <w:left w:val="none" w:sz="0" w:space="0"/>
            <w:bottom w:val="none" w:sz="0" w:space="0"/>
            <w:right w:val="none" w:sz="0" w:space="0"/>
          </w:pgBorders>
          <w:pgNumType w:fmt="decimal"/>
          <w:cols w:space="720" w:num="1"/>
          <w:rtlGutter w:val="0"/>
          <w:docGrid w:type="lines" w:linePitch="312" w:charSpace="0"/>
        </w:sectPr>
      </w:pPr>
    </w:p>
    <w:p w14:paraId="5AB66656">
      <w:pPr>
        <w:jc w:val="center"/>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摘 要</w:t>
      </w:r>
    </w:p>
    <w:p w14:paraId="0253C5B0">
      <w:pPr>
        <w:numPr>
          <w:ilvl w:val="0"/>
          <w:numId w:val="0"/>
        </w:numPr>
        <w:ind w:firstLine="482" w:firstLineChars="200"/>
        <w:jc w:val="both"/>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一、项目基本情况</w:t>
      </w:r>
    </w:p>
    <w:p w14:paraId="611FE928">
      <w:pPr>
        <w:spacing w:line="560" w:lineRule="exact"/>
        <w:ind w:firstLine="480" w:firstLineChars="200"/>
        <w:jc w:val="left"/>
        <w:rPr>
          <w:rFonts w:hint="eastAsia" w:ascii="宋体" w:hAnsi="宋体" w:eastAsia="宋体" w:cs="宋体"/>
          <w:bCs/>
          <w:sz w:val="24"/>
          <w:szCs w:val="24"/>
          <w:highlight w:val="yellow"/>
          <w:lang w:val="en-US" w:eastAsia="zh-CN"/>
        </w:rPr>
      </w:pPr>
      <w:r>
        <w:rPr>
          <w:rFonts w:hint="eastAsia" w:ascii="宋体" w:hAnsi="宋体" w:eastAsia="宋体" w:cs="宋体"/>
          <w:bCs/>
          <w:sz w:val="24"/>
          <w:szCs w:val="24"/>
          <w:lang w:val="en-US" w:eastAsia="zh-CN"/>
        </w:rPr>
        <w:t>项目根据党的十九大系列会议精神，以绿色生态为导向，引导农民采取秸秆还田、科学施肥用药、推进病虫害绿色防控和统防统治等综合措施，切实加强农业生态资源保护，提升耕地地力</w:t>
      </w:r>
      <w:r>
        <w:rPr>
          <w:rFonts w:hint="eastAsia" w:ascii="宋体" w:hAnsi="宋体" w:cs="宋体"/>
          <w:bCs/>
          <w:sz w:val="24"/>
          <w:szCs w:val="24"/>
          <w:lang w:val="en-US" w:eastAsia="zh-CN"/>
        </w:rPr>
        <w:t>。</w:t>
      </w:r>
      <w:r>
        <w:rPr>
          <w:rFonts w:hint="eastAsia" w:ascii="宋体" w:hAnsi="宋体" w:eastAsia="宋体" w:cs="宋体"/>
          <w:bCs/>
          <w:sz w:val="24"/>
          <w:szCs w:val="24"/>
          <w:lang w:val="en-US" w:eastAsia="zh-CN"/>
        </w:rPr>
        <w:t>成立了仁和区农业生产发展资金（耕地地力保护补贴）工作领导小组</w:t>
      </w:r>
      <w:r>
        <w:rPr>
          <w:rFonts w:hint="eastAsia" w:ascii="宋体" w:hAnsi="宋体" w:cs="宋体"/>
          <w:bCs/>
          <w:sz w:val="24"/>
          <w:szCs w:val="24"/>
          <w:lang w:val="en-US" w:eastAsia="zh-CN"/>
        </w:rPr>
        <w:t>，制定了《攀枝花市仁和区2024年中央财政耕地建设与利用资金（耕地地力保护补贴）实施方案》，补贴对象为拥有耕地承包权的种地农民或居民，享受补贴的农民要做到耕地不撂荒，地力不降低的要求。开展2024年耕地地力保护</w:t>
      </w:r>
      <w:r>
        <w:rPr>
          <w:rFonts w:hint="eastAsia" w:ascii="宋体" w:hAnsi="宋体" w:cs="宋体"/>
          <w:bCs/>
          <w:sz w:val="24"/>
          <w:szCs w:val="24"/>
          <w:highlight w:val="none"/>
          <w:lang w:val="en-US" w:eastAsia="zh-CN"/>
        </w:rPr>
        <w:t>补贴工作</w:t>
      </w:r>
      <w:r>
        <w:rPr>
          <w:rFonts w:hint="eastAsia" w:ascii="宋体" w:hAnsi="宋体" w:eastAsia="宋体" w:cs="宋体"/>
          <w:bCs/>
          <w:sz w:val="24"/>
          <w:szCs w:val="24"/>
          <w:highlight w:val="none"/>
          <w:lang w:val="en-US" w:eastAsia="zh-CN"/>
        </w:rPr>
        <w:t>。</w:t>
      </w:r>
    </w:p>
    <w:p w14:paraId="452E5699">
      <w:pPr>
        <w:widowControl w:val="0"/>
        <w:numPr>
          <w:ilvl w:val="0"/>
          <w:numId w:val="0"/>
        </w:numPr>
        <w:ind w:leftChars="0" w:firstLine="482" w:firstLineChars="200"/>
        <w:jc w:val="both"/>
        <w:rPr>
          <w:rFonts w:hint="default" w:ascii="宋体" w:hAnsi="宋体" w:eastAsia="宋体" w:cs="宋体"/>
          <w:bCs/>
          <w:sz w:val="24"/>
          <w:szCs w:val="24"/>
          <w:lang w:val="en-US" w:eastAsia="zh-CN"/>
        </w:rPr>
      </w:pPr>
      <w:r>
        <w:rPr>
          <w:rFonts w:hint="eastAsia" w:ascii="宋体" w:hAnsi="宋体" w:eastAsia="宋体" w:cs="宋体"/>
          <w:b/>
          <w:bCs w:val="0"/>
          <w:sz w:val="24"/>
          <w:szCs w:val="24"/>
          <w:lang w:val="en-US" w:eastAsia="zh-CN"/>
        </w:rPr>
        <w:t>二、主要绩效</w:t>
      </w:r>
    </w:p>
    <w:p w14:paraId="70B2699F">
      <w:pPr>
        <w:spacing w:line="560" w:lineRule="exact"/>
        <w:ind w:firstLine="480" w:firstLineChars="200"/>
        <w:jc w:val="left"/>
        <w:rPr>
          <w:rFonts w:hint="default" w:ascii="黑体" w:hAnsi="黑体" w:eastAsia="黑体" w:cs="黑体"/>
          <w:bCs/>
          <w:sz w:val="32"/>
          <w:szCs w:val="32"/>
          <w:highlight w:val="yellow"/>
          <w:lang w:val="en-US" w:eastAsia="zh-CN"/>
        </w:rPr>
      </w:pPr>
      <w:r>
        <w:rPr>
          <w:rFonts w:hint="eastAsia" w:ascii="宋体" w:hAnsi="宋体" w:eastAsia="宋体" w:cs="宋体"/>
          <w:bCs/>
          <w:sz w:val="24"/>
          <w:szCs w:val="24"/>
          <w:lang w:val="en-US" w:eastAsia="zh-CN"/>
        </w:rPr>
        <w:t>2024年度，该项目预算资金10,712,000.00元，实际到位资金10,712,000.00元。单位实际支付资金10,711,300.00。资金使用率99</w:t>
      </w:r>
      <w:r>
        <w:rPr>
          <w:rFonts w:hint="eastAsia" w:ascii="宋体" w:hAnsi="宋体" w:cs="宋体"/>
          <w:bCs/>
          <w:sz w:val="24"/>
          <w:szCs w:val="24"/>
          <w:lang w:val="en-US" w:eastAsia="zh-CN"/>
        </w:rPr>
        <w:t>%</w:t>
      </w:r>
      <w:r>
        <w:rPr>
          <w:rFonts w:hint="eastAsia" w:ascii="宋体" w:hAnsi="宋体" w:eastAsia="宋体" w:cs="宋体"/>
          <w:bCs/>
          <w:sz w:val="24"/>
          <w:szCs w:val="24"/>
          <w:lang w:val="en-US" w:eastAsia="zh-CN"/>
        </w:rPr>
        <w:t>(因补贴标准计算保留</w:t>
      </w:r>
      <w:r>
        <w:rPr>
          <w:rFonts w:hint="eastAsia" w:ascii="宋体" w:hAnsi="宋体" w:eastAsia="宋体" w:cs="宋体"/>
          <w:bCs/>
          <w:sz w:val="24"/>
          <w:szCs w:val="24"/>
          <w:highlight w:val="none"/>
          <w:lang w:val="en-US" w:eastAsia="zh-CN"/>
        </w:rPr>
        <w:t>到小数点后2位，四舍五入后舍去部分的原因，将剩余资料退回区财政项目资金专户）</w:t>
      </w:r>
      <w:r>
        <w:rPr>
          <w:rFonts w:hint="eastAsia" w:ascii="宋体" w:hAnsi="宋体" w:cs="宋体"/>
          <w:bCs/>
          <w:sz w:val="24"/>
          <w:szCs w:val="24"/>
          <w:highlight w:val="none"/>
          <w:lang w:val="en-US" w:eastAsia="zh-CN"/>
        </w:rPr>
        <w:t>。</w:t>
      </w:r>
      <w:r>
        <w:rPr>
          <w:rFonts w:hint="eastAsia" w:ascii="宋体" w:hAnsi="宋体" w:eastAsia="宋体" w:cs="宋体"/>
          <w:bCs/>
          <w:sz w:val="24"/>
          <w:szCs w:val="24"/>
          <w:highlight w:val="none"/>
          <w:lang w:val="en-US" w:eastAsia="zh-CN"/>
        </w:rPr>
        <w:t>实际补贴面积11.71万亩，仁和区农业农村局通过“一卡通”资金发放系统，把经过两级资金公示无异议的补贴资金，在规定时间内足额兑现到农户一卡通帐户，农户补贴率达100%。通过耕地地力补贴的发放，保护提升了耕地地力，切实降低了广大农户的生产成本，提高生产者生产积极性，促进农民增收，农业增效</w:t>
      </w:r>
      <w:r>
        <w:rPr>
          <w:rFonts w:hint="eastAsia" w:ascii="宋体" w:hAnsi="宋体" w:cs="宋体"/>
          <w:bCs/>
          <w:sz w:val="24"/>
          <w:szCs w:val="24"/>
          <w:highlight w:val="none"/>
          <w:lang w:val="en-US" w:eastAsia="zh-CN"/>
        </w:rPr>
        <w:t>。绩效评价得分为88.97分。</w:t>
      </w:r>
    </w:p>
    <w:p w14:paraId="4C9AD7FE">
      <w:pPr>
        <w:numPr>
          <w:ilvl w:val="0"/>
          <w:numId w:val="1"/>
        </w:numPr>
        <w:spacing w:line="560" w:lineRule="exact"/>
        <w:ind w:firstLine="482" w:firstLineChars="200"/>
        <w:jc w:val="left"/>
        <w:rPr>
          <w:rFonts w:hint="eastAsia" w:ascii="宋体" w:hAnsi="宋体" w:cs="宋体"/>
          <w:b/>
          <w:bCs w:val="0"/>
          <w:sz w:val="24"/>
          <w:szCs w:val="24"/>
          <w:lang w:val="en-US" w:eastAsia="zh-CN"/>
        </w:rPr>
      </w:pPr>
      <w:r>
        <w:rPr>
          <w:rFonts w:hint="eastAsia" w:ascii="宋体" w:hAnsi="宋体" w:cs="宋体"/>
          <w:b/>
          <w:bCs w:val="0"/>
          <w:sz w:val="24"/>
          <w:szCs w:val="24"/>
          <w:lang w:val="en-US" w:eastAsia="zh-CN"/>
        </w:rPr>
        <w:t>存在问题</w:t>
      </w:r>
    </w:p>
    <w:p w14:paraId="1C0E2923">
      <w:pPr>
        <w:widowControl w:val="0"/>
        <w:numPr>
          <w:ilvl w:val="0"/>
          <w:numId w:val="2"/>
        </w:numPr>
        <w:spacing w:line="560" w:lineRule="exact"/>
        <w:ind w:firstLine="240" w:firstLineChars="100"/>
        <w:jc w:val="left"/>
        <w:rPr>
          <w:rFonts w:hint="eastAsia" w:ascii="宋体" w:hAnsi="宋体" w:cs="宋体"/>
          <w:bCs/>
          <w:sz w:val="24"/>
          <w:szCs w:val="24"/>
          <w:lang w:val="en-US" w:eastAsia="zh-CN"/>
        </w:rPr>
      </w:pPr>
      <w:r>
        <w:rPr>
          <w:rFonts w:hint="eastAsia" w:ascii="宋体" w:hAnsi="宋体" w:cs="宋体"/>
          <w:bCs/>
          <w:sz w:val="24"/>
          <w:szCs w:val="24"/>
          <w:lang w:val="en-US" w:eastAsia="zh-CN"/>
        </w:rPr>
        <w:t>项目未设置总体绩效目标：违背绩效导向要求，导致项目缺乏统一方向指引；</w:t>
      </w:r>
    </w:p>
    <w:p w14:paraId="0F3189A4">
      <w:pPr>
        <w:widowControl w:val="0"/>
        <w:numPr>
          <w:ilvl w:val="0"/>
          <w:numId w:val="2"/>
        </w:numPr>
        <w:spacing w:line="560" w:lineRule="exact"/>
        <w:ind w:firstLine="240" w:firstLineChars="100"/>
        <w:jc w:val="left"/>
        <w:rPr>
          <w:rFonts w:hint="default" w:ascii="宋体" w:hAnsi="宋体" w:cs="宋体"/>
          <w:bCs/>
          <w:sz w:val="24"/>
          <w:szCs w:val="24"/>
          <w:lang w:val="en-US" w:eastAsia="zh-CN"/>
        </w:rPr>
      </w:pPr>
      <w:r>
        <w:rPr>
          <w:rFonts w:hint="default" w:ascii="宋体" w:hAnsi="宋体" w:cs="宋体"/>
          <w:bCs/>
          <w:sz w:val="24"/>
          <w:szCs w:val="24"/>
          <w:lang w:val="en-US" w:eastAsia="zh-CN"/>
        </w:rPr>
        <w:t>绩效监管不到位</w:t>
      </w:r>
      <w:r>
        <w:rPr>
          <w:rFonts w:hint="eastAsia" w:ascii="宋体" w:hAnsi="宋体" w:cs="宋体"/>
          <w:bCs/>
          <w:sz w:val="24"/>
          <w:szCs w:val="24"/>
          <w:lang w:val="en-US" w:eastAsia="zh-CN"/>
        </w:rPr>
        <w:t>：项目未按照预算绩效管理工作要求，开展绩效监控等工作。</w:t>
      </w:r>
    </w:p>
    <w:p w14:paraId="5DEE20CE">
      <w:pPr>
        <w:numPr>
          <w:ilvl w:val="0"/>
          <w:numId w:val="1"/>
        </w:numPr>
        <w:spacing w:line="560" w:lineRule="exact"/>
        <w:ind w:firstLine="482" w:firstLineChars="200"/>
        <w:jc w:val="left"/>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相关建议</w:t>
      </w:r>
    </w:p>
    <w:p w14:paraId="0BB87332">
      <w:pPr>
        <w:widowControl w:val="0"/>
        <w:numPr>
          <w:ilvl w:val="0"/>
          <w:numId w:val="3"/>
        </w:numPr>
        <w:spacing w:line="560" w:lineRule="exact"/>
        <w:ind w:firstLine="240" w:firstLineChars="100"/>
        <w:jc w:val="left"/>
        <w:rPr>
          <w:rFonts w:hint="eastAsia" w:ascii="宋体" w:hAnsi="宋体" w:eastAsia="宋体" w:cs="宋体"/>
          <w:b w:val="0"/>
          <w:bCs/>
          <w:sz w:val="24"/>
          <w:szCs w:val="24"/>
          <w:lang w:val="en-US" w:eastAsia="zh-CN"/>
        </w:rPr>
        <w:sectPr>
          <w:footerReference r:id="rId10" w:type="default"/>
          <w:pgSz w:w="11906" w:h="16838"/>
          <w:pgMar w:top="1440" w:right="1800" w:bottom="1440" w:left="1800" w:header="851" w:footer="992" w:gutter="0"/>
          <w:cols w:space="425" w:num="1"/>
          <w:docGrid w:type="lines" w:linePitch="312" w:charSpace="0"/>
        </w:sectPr>
      </w:pPr>
      <w:r>
        <w:rPr>
          <w:rFonts w:hint="eastAsia" w:ascii="宋体" w:hAnsi="宋体" w:eastAsia="宋体" w:cs="宋体"/>
          <w:b w:val="0"/>
          <w:bCs/>
          <w:sz w:val="24"/>
          <w:szCs w:val="24"/>
          <w:lang w:val="en-US" w:eastAsia="zh-CN"/>
        </w:rPr>
        <w:t xml:space="preserve">明确总体绩效目标：按 “具体、可衡量” 等原则，设定量化目标（如 </w:t>
      </w:r>
    </w:p>
    <w:p w14:paraId="730E928C">
      <w:pPr>
        <w:widowControl w:val="0"/>
        <w:numPr>
          <w:numId w:val="0"/>
        </w:numPr>
        <w:spacing w:line="560" w:lineRule="exact"/>
        <w:jc w:val="left"/>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“202X 年补贴精准发放率、符合条件农户覆盖率均达 100%”）；</w:t>
      </w:r>
    </w:p>
    <w:p w14:paraId="2DB52E9B">
      <w:pPr>
        <w:widowControl w:val="0"/>
        <w:numPr>
          <w:ilvl w:val="0"/>
          <w:numId w:val="3"/>
        </w:numPr>
        <w:spacing w:line="560" w:lineRule="exact"/>
        <w:ind w:firstLine="240" w:firstLineChars="100"/>
        <w:jc w:val="left"/>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强化绩效全流程监管：补全绩效管理流程，明确各环节责任与节点，定期梳理进展，精准把控财政资金使用效益。</w:t>
      </w:r>
    </w:p>
    <w:p w14:paraId="63471FE0">
      <w:pPr>
        <w:jc w:val="both"/>
        <w:rPr>
          <w:rFonts w:hint="eastAsia" w:ascii="黑体" w:hAnsi="黑体" w:eastAsia="黑体" w:cs="黑体"/>
          <w:bCs/>
          <w:sz w:val="32"/>
          <w:szCs w:val="32"/>
          <w:lang w:val="en-US" w:eastAsia="zh-CN"/>
        </w:rPr>
        <w:sectPr>
          <w:footerReference r:id="rId11" w:type="default"/>
          <w:pgSz w:w="11906" w:h="16838"/>
          <w:pgMar w:top="1440" w:right="1800" w:bottom="1440" w:left="1800" w:header="851" w:footer="992" w:gutter="0"/>
          <w:cols w:space="425" w:num="1"/>
          <w:docGrid w:type="lines" w:linePitch="312" w:charSpace="0"/>
        </w:sectPr>
      </w:pPr>
    </w:p>
    <w:p w14:paraId="1C12DC72">
      <w:pPr>
        <w:jc w:val="center"/>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耕地地力保护补贴项目</w:t>
      </w:r>
    </w:p>
    <w:p w14:paraId="29F50415">
      <w:pPr>
        <w:jc w:val="center"/>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项目支出绩效评价报告</w:t>
      </w:r>
    </w:p>
    <w:p w14:paraId="2E03184C">
      <w:pPr>
        <w:spacing w:line="560" w:lineRule="exact"/>
        <w:jc w:val="left"/>
        <w:rPr>
          <w:rFonts w:hint="eastAsia" w:ascii="黑体" w:hAnsi="黑体" w:eastAsia="黑体" w:cs="仿宋"/>
          <w:bCs/>
          <w:sz w:val="28"/>
          <w:szCs w:val="28"/>
          <w:lang w:val="en-US" w:eastAsia="zh-CN"/>
        </w:rPr>
      </w:pPr>
      <w:r>
        <w:rPr>
          <w:rFonts w:hint="eastAsia" w:ascii="黑体" w:hAnsi="黑体" w:eastAsia="黑体" w:cs="仿宋"/>
          <w:bCs/>
          <w:sz w:val="28"/>
          <w:szCs w:val="28"/>
          <w:lang w:val="en-US" w:eastAsia="zh-CN"/>
        </w:rPr>
        <w:t>攀枝花市仁和区财政局：</w:t>
      </w:r>
    </w:p>
    <w:p w14:paraId="27670290">
      <w:pPr>
        <w:spacing w:line="560" w:lineRule="exact"/>
        <w:ind w:firstLine="480" w:firstLineChars="200"/>
        <w:jc w:val="left"/>
        <w:rPr>
          <w:rFonts w:hint="eastAsia" w:ascii="宋体" w:hAnsi="宋体" w:cs="宋体"/>
          <w:bCs/>
          <w:sz w:val="24"/>
          <w:szCs w:val="24"/>
          <w:lang w:val="en-US" w:eastAsia="zh-CN"/>
        </w:rPr>
      </w:pPr>
      <w:r>
        <w:rPr>
          <w:rFonts w:hint="eastAsia" w:ascii="宋体" w:hAnsi="宋体" w:eastAsia="宋体" w:cs="宋体"/>
          <w:bCs/>
          <w:sz w:val="24"/>
          <w:szCs w:val="24"/>
          <w:lang w:val="en-US" w:eastAsia="zh-CN"/>
        </w:rPr>
        <w:t>我们接受委托，对</w:t>
      </w:r>
      <w:r>
        <w:rPr>
          <w:rFonts w:hint="eastAsia" w:ascii="宋体" w:hAnsi="宋体" w:cs="宋体"/>
          <w:bCs/>
          <w:sz w:val="24"/>
          <w:szCs w:val="24"/>
          <w:lang w:val="en-US" w:eastAsia="zh-CN"/>
        </w:rPr>
        <w:t>攀枝花市仁和区农业农村局</w:t>
      </w:r>
      <w:r>
        <w:rPr>
          <w:rFonts w:hint="eastAsia" w:ascii="宋体" w:hAnsi="宋体" w:eastAsia="宋体" w:cs="宋体"/>
          <w:bCs/>
          <w:sz w:val="24"/>
          <w:szCs w:val="24"/>
          <w:lang w:val="en-US" w:eastAsia="zh-CN"/>
        </w:rPr>
        <w:t>实施的耕地地力保护补贴项目的财政支出绩效进行评价。项目主管部门提供了与被评价项目财政支出绩效评价相关的财务资料及其他相关资料，上述资料的真实性、完整性、合法性由被评价项目主管部门负责</w:t>
      </w:r>
      <w:r>
        <w:rPr>
          <w:rFonts w:hint="eastAsia" w:ascii="宋体" w:hAnsi="宋体" w:cs="宋体"/>
          <w:bCs/>
          <w:sz w:val="24"/>
          <w:szCs w:val="24"/>
          <w:lang w:val="en-US" w:eastAsia="zh-CN"/>
        </w:rPr>
        <w:t>。</w:t>
      </w:r>
    </w:p>
    <w:p w14:paraId="31258F9F">
      <w:pPr>
        <w:spacing w:line="560" w:lineRule="exact"/>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我们的责任是根据被评价单位提供的上述评价资料，按照《攀枝花市仁和区财政局 关于开展 2025年度财政重点绩效评价工作的通知》(攀仁财〔2025〕54 号)的要求，对被评价项目财政支出绩效进行评价。项目开展“独立、客观、公正”的第三方绩效评价工作，对项目相关人员进行了访谈，对通过访谈、专家咨询、现场核查等方式进行了综合分析，现出具以下评价意见：</w:t>
      </w:r>
    </w:p>
    <w:p w14:paraId="56E12A72">
      <w:pPr>
        <w:keepNext w:val="0"/>
        <w:keepLines w:val="0"/>
        <w:pageBreakBefore w:val="0"/>
        <w:widowControl w:val="0"/>
        <w:numPr>
          <w:ilvl w:val="0"/>
          <w:numId w:val="4"/>
        </w:numPr>
        <w:kinsoku/>
        <w:wordWrap/>
        <w:overflowPunct/>
        <w:topLinePunct w:val="0"/>
        <w:autoSpaceDE/>
        <w:autoSpaceDN/>
        <w:bidi w:val="0"/>
        <w:adjustRightInd/>
        <w:snapToGrid/>
        <w:spacing w:before="157" w:beforeLines="50" w:line="360" w:lineRule="auto"/>
        <w:ind w:firstLine="482" w:firstLineChars="200"/>
        <w:textAlignment w:val="auto"/>
        <w:outlineLvl w:val="0"/>
        <w:rPr>
          <w:rFonts w:hint="eastAsia" w:ascii="Times New Roman" w:hAnsi="Times New Roman" w:eastAsia="宋体" w:cs="Times New Roman"/>
          <w:b/>
          <w:bCs/>
          <w:color w:val="auto"/>
          <w:sz w:val="24"/>
          <w:szCs w:val="24"/>
          <w:highlight w:val="none"/>
          <w:lang w:val="en-US" w:eastAsia="zh-CN"/>
        </w:rPr>
      </w:pPr>
      <w:bookmarkStart w:id="0" w:name="_Toc9165"/>
      <w:bookmarkStart w:id="1" w:name="_Toc27435"/>
      <w:bookmarkStart w:id="2" w:name="_Toc25394"/>
      <w:bookmarkStart w:id="3" w:name="_Toc21464"/>
      <w:bookmarkStart w:id="4" w:name="_Toc28235"/>
      <w:r>
        <w:rPr>
          <w:rFonts w:hint="eastAsia" w:ascii="Times New Roman" w:hAnsi="Times New Roman" w:eastAsia="宋体" w:cs="Times New Roman"/>
          <w:b/>
          <w:bCs/>
          <w:color w:val="auto"/>
          <w:sz w:val="24"/>
          <w:szCs w:val="24"/>
          <w:highlight w:val="none"/>
          <w:lang w:val="en-US" w:eastAsia="zh-CN"/>
        </w:rPr>
        <w:t>项目基本情况</w:t>
      </w:r>
      <w:bookmarkEnd w:id="0"/>
      <w:bookmarkEnd w:id="1"/>
      <w:bookmarkEnd w:id="2"/>
      <w:bookmarkEnd w:id="3"/>
      <w:bookmarkEnd w:id="4"/>
    </w:p>
    <w:p w14:paraId="711A8CB6">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根据党的十九大系列会议精神，以绿色生态为导向，引导农民采取秸秆还田、科学施肥用药、推进病虫害绿色防控和统防统治等综合措施，切实加强农业生态资源保护，提升耕地地力。</w:t>
      </w:r>
    </w:p>
    <w:p w14:paraId="4C973965">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2" w:firstLineChars="200"/>
        <w:textAlignment w:val="auto"/>
        <w:outlineLvl w:val="0"/>
        <w:rPr>
          <w:rFonts w:hint="eastAsia" w:ascii="Times New Roman" w:hAnsi="Times New Roman" w:eastAsia="宋体" w:cs="Times New Roman"/>
          <w:b/>
          <w:bCs/>
          <w:color w:val="auto"/>
          <w:sz w:val="24"/>
          <w:szCs w:val="24"/>
          <w:highlight w:val="none"/>
          <w:lang w:val="en-US" w:eastAsia="zh-CN"/>
        </w:rPr>
      </w:pPr>
      <w:bookmarkStart w:id="5" w:name="_Toc11186"/>
      <w:bookmarkStart w:id="6" w:name="_Toc20938"/>
      <w:bookmarkStart w:id="7" w:name="_Toc7387"/>
      <w:bookmarkStart w:id="8" w:name="_Toc8395"/>
      <w:bookmarkStart w:id="9" w:name="_Toc13128"/>
      <w:r>
        <w:rPr>
          <w:rFonts w:hint="eastAsia" w:ascii="Times New Roman" w:hAnsi="Times New Roman" w:eastAsia="宋体" w:cs="Times New Roman"/>
          <w:b/>
          <w:bCs/>
          <w:color w:val="auto"/>
          <w:sz w:val="24"/>
          <w:szCs w:val="24"/>
          <w:highlight w:val="none"/>
          <w:lang w:val="en-US" w:eastAsia="zh-CN"/>
        </w:rPr>
        <w:t>二、评价工作开展情况</w:t>
      </w:r>
      <w:bookmarkEnd w:id="5"/>
      <w:bookmarkEnd w:id="6"/>
      <w:bookmarkEnd w:id="7"/>
      <w:bookmarkEnd w:id="8"/>
      <w:bookmarkEnd w:id="9"/>
    </w:p>
    <w:p w14:paraId="0810A651">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2" w:firstLineChars="200"/>
        <w:textAlignment w:val="auto"/>
        <w:outlineLvl w:val="1"/>
        <w:rPr>
          <w:rFonts w:hint="default" w:ascii="Times New Roman" w:hAnsi="Times New Roman" w:eastAsia="宋体" w:cs="Times New Roman"/>
          <w:b/>
          <w:bCs/>
          <w:color w:val="auto"/>
          <w:sz w:val="24"/>
          <w:szCs w:val="24"/>
          <w:highlight w:val="none"/>
          <w:lang w:val="en-US" w:eastAsia="zh-CN"/>
        </w:rPr>
      </w:pPr>
      <w:bookmarkStart w:id="10" w:name="_Toc1043"/>
      <w:bookmarkStart w:id="11" w:name="_Toc31826"/>
      <w:bookmarkStart w:id="12" w:name="_Toc2808"/>
      <w:bookmarkStart w:id="13" w:name="_Toc12555"/>
      <w:bookmarkStart w:id="14" w:name="_Toc26898"/>
      <w:r>
        <w:rPr>
          <w:rFonts w:hint="default" w:ascii="Times New Roman" w:hAnsi="Times New Roman" w:eastAsia="宋体" w:cs="Times New Roman"/>
          <w:b/>
          <w:bCs/>
          <w:color w:val="auto"/>
          <w:sz w:val="24"/>
          <w:szCs w:val="24"/>
          <w:highlight w:val="none"/>
          <w:lang w:val="en-US" w:eastAsia="zh-CN"/>
        </w:rPr>
        <w:t>（一）</w:t>
      </w:r>
      <w:r>
        <w:rPr>
          <w:rFonts w:hint="eastAsia" w:ascii="Times New Roman" w:hAnsi="Times New Roman" w:eastAsia="宋体" w:cs="Times New Roman"/>
          <w:b/>
          <w:bCs/>
          <w:color w:val="auto"/>
          <w:sz w:val="24"/>
          <w:szCs w:val="24"/>
          <w:highlight w:val="none"/>
          <w:lang w:val="en-US" w:eastAsia="zh-CN"/>
        </w:rPr>
        <w:t>评价目的</w:t>
      </w:r>
      <w:bookmarkEnd w:id="10"/>
      <w:bookmarkEnd w:id="11"/>
      <w:bookmarkEnd w:id="12"/>
      <w:bookmarkEnd w:id="13"/>
      <w:bookmarkEnd w:id="14"/>
    </w:p>
    <w:p w14:paraId="1E3A9146">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为落实中央、省预算绩效管理要求，从项目依据、绩效目标、资金管理等方面，全面评价该资金使用的科学性、合理性与有效性，分析问题并提建议，为后续资金安排、预算编制提供依据，提升资金效益</w:t>
      </w:r>
      <w:r>
        <w:rPr>
          <w:rFonts w:hint="eastAsia" w:ascii="宋体" w:hAnsi="宋体" w:eastAsia="宋体" w:cs="宋体"/>
          <w:bCs/>
          <w:sz w:val="24"/>
          <w:szCs w:val="24"/>
          <w:highlight w:val="none"/>
          <w:lang w:val="en-US" w:eastAsia="zh-CN"/>
        </w:rPr>
        <w:t>。</w:t>
      </w:r>
    </w:p>
    <w:p w14:paraId="328A34C4">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2" w:firstLineChars="200"/>
        <w:textAlignment w:val="auto"/>
        <w:outlineLvl w:val="1"/>
        <w:rPr>
          <w:rFonts w:hint="default" w:ascii="Times New Roman" w:hAnsi="Times New Roman" w:eastAsia="宋体" w:cs="Times New Roman"/>
          <w:b/>
          <w:bCs/>
          <w:color w:val="auto"/>
          <w:sz w:val="24"/>
          <w:szCs w:val="24"/>
          <w:highlight w:val="none"/>
          <w:lang w:val="en-US" w:eastAsia="zh-CN"/>
        </w:rPr>
      </w:pPr>
      <w:bookmarkStart w:id="15" w:name="_Toc3924"/>
      <w:bookmarkStart w:id="16" w:name="_Toc19093"/>
      <w:bookmarkStart w:id="17" w:name="_Toc31007"/>
      <w:bookmarkStart w:id="18" w:name="_Toc16050"/>
      <w:bookmarkStart w:id="19" w:name="_Toc29506"/>
      <w:r>
        <w:rPr>
          <w:rFonts w:hint="eastAsia" w:ascii="Times New Roman" w:hAnsi="Times New Roman" w:eastAsia="宋体" w:cs="Times New Roman"/>
          <w:b/>
          <w:bCs/>
          <w:color w:val="auto"/>
          <w:sz w:val="24"/>
          <w:szCs w:val="24"/>
          <w:highlight w:val="none"/>
          <w:lang w:val="en-US" w:eastAsia="zh-CN"/>
        </w:rPr>
        <w:t>（二）评价方法</w:t>
      </w:r>
      <w:bookmarkEnd w:id="15"/>
      <w:bookmarkEnd w:id="16"/>
      <w:bookmarkEnd w:id="17"/>
      <w:bookmarkEnd w:id="18"/>
      <w:bookmarkEnd w:id="19"/>
    </w:p>
    <w:p w14:paraId="0AD85438">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sectPr>
          <w:footerReference r:id="rId12" w:type="default"/>
          <w:pgSz w:w="11906" w:h="16838"/>
          <w:pgMar w:top="1440" w:right="1800" w:bottom="1440" w:left="1800" w:header="851" w:footer="992" w:gutter="0"/>
          <w:pgNumType w:fmt="decimal" w:start="1"/>
          <w:cols w:space="425" w:num="1"/>
          <w:docGrid w:type="lines" w:linePitch="312" w:charSpace="0"/>
        </w:sectPr>
      </w:pPr>
      <w:bookmarkStart w:id="20" w:name="_Toc20121"/>
      <w:r>
        <w:rPr>
          <w:rFonts w:hint="eastAsia" w:ascii="Times New Roman" w:hAnsi="Times New Roman" w:eastAsia="宋体" w:cs="Times New Roman"/>
          <w:b w:val="0"/>
          <w:bCs w:val="0"/>
          <w:color w:val="auto"/>
          <w:sz w:val="24"/>
          <w:szCs w:val="24"/>
          <w:highlight w:val="none"/>
          <w:lang w:val="en-US" w:eastAsia="zh-CN"/>
        </w:rPr>
        <w:t>结合仁和区农业农村局耕地地力保护补贴项目的实施特点、绩效目标及</w:t>
      </w:r>
    </w:p>
    <w:p w14:paraId="669F399C">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评价要求，本次评价遵循科学规范、公正公开原则，采用“定量与定性结合、现场与非现场互补”的综合评价方法。具体结合项目情况阐述如下</w:t>
      </w:r>
      <w:bookmarkEnd w:id="20"/>
      <w:r>
        <w:rPr>
          <w:rFonts w:hint="eastAsia" w:ascii="Times New Roman" w:hAnsi="Times New Roman" w:cs="Times New Roman"/>
          <w:b w:val="0"/>
          <w:bCs w:val="0"/>
          <w:color w:val="auto"/>
          <w:sz w:val="24"/>
          <w:szCs w:val="24"/>
          <w:highlight w:val="none"/>
          <w:lang w:val="en-US" w:eastAsia="zh-CN"/>
        </w:rPr>
        <w:t>：</w:t>
      </w:r>
    </w:p>
    <w:p w14:paraId="7DA2C133">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bookmarkStart w:id="21" w:name="_Toc22540"/>
      <w:r>
        <w:rPr>
          <w:rFonts w:hint="eastAsia" w:ascii="Times New Roman" w:hAnsi="Times New Roman" w:eastAsia="宋体" w:cs="Times New Roman"/>
          <w:b w:val="0"/>
          <w:bCs w:val="0"/>
          <w:color w:val="auto"/>
          <w:sz w:val="24"/>
          <w:szCs w:val="24"/>
          <w:highlight w:val="none"/>
          <w:lang w:val="en-US" w:eastAsia="zh-CN"/>
        </w:rPr>
        <w:t>1. 项目资料查阅法。通过系统查阅政策文件、项目资料，验证项目决策与实施的合规性、目标设定的合理性。</w:t>
      </w:r>
      <w:bookmarkEnd w:id="21"/>
    </w:p>
    <w:p w14:paraId="3AAECE0C">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bookmarkStart w:id="22" w:name="_Toc26353"/>
      <w:r>
        <w:rPr>
          <w:rFonts w:hint="eastAsia" w:ascii="Times New Roman" w:hAnsi="Times New Roman" w:eastAsia="宋体" w:cs="Times New Roman"/>
          <w:b w:val="0"/>
          <w:bCs w:val="0"/>
          <w:color w:val="auto"/>
          <w:sz w:val="24"/>
          <w:szCs w:val="24"/>
          <w:highlight w:val="none"/>
          <w:lang w:val="en-US" w:eastAsia="zh-CN"/>
        </w:rPr>
        <w:t>2.资金凭证现场核验法。核查资金使用凭证，</w:t>
      </w:r>
      <w:r>
        <w:rPr>
          <w:rFonts w:hint="eastAsia" w:ascii="Times New Roman" w:hAnsi="Times New Roman" w:cs="Times New Roman"/>
          <w:b w:val="0"/>
          <w:bCs w:val="0"/>
          <w:color w:val="auto"/>
          <w:sz w:val="24"/>
          <w:szCs w:val="24"/>
          <w:highlight w:val="none"/>
          <w:lang w:val="en-US" w:eastAsia="zh-CN"/>
        </w:rPr>
        <w:t>重点核查</w:t>
      </w:r>
      <w:r>
        <w:rPr>
          <w:rFonts w:hint="eastAsia" w:ascii="Times New Roman" w:hAnsi="Times New Roman" w:eastAsia="宋体" w:cs="Times New Roman"/>
          <w:b w:val="0"/>
          <w:bCs w:val="0"/>
          <w:color w:val="auto"/>
          <w:sz w:val="24"/>
          <w:szCs w:val="24"/>
          <w:highlight w:val="none"/>
          <w:lang w:val="en-US" w:eastAsia="zh-CN"/>
        </w:rPr>
        <w:t>耕地地力补贴资金</w:t>
      </w:r>
      <w:r>
        <w:rPr>
          <w:rFonts w:hint="eastAsia" w:ascii="Times New Roman" w:hAnsi="Times New Roman" w:cs="Times New Roman"/>
          <w:b w:val="0"/>
          <w:bCs w:val="0"/>
          <w:color w:val="auto"/>
          <w:sz w:val="24"/>
          <w:szCs w:val="24"/>
          <w:highlight w:val="none"/>
          <w:lang w:val="en-US" w:eastAsia="zh-CN"/>
        </w:rPr>
        <w:t>兑付</w:t>
      </w:r>
      <w:r>
        <w:rPr>
          <w:rFonts w:hint="eastAsia" w:ascii="Times New Roman" w:hAnsi="Times New Roman" w:eastAsia="宋体" w:cs="Times New Roman"/>
          <w:b w:val="0"/>
          <w:bCs w:val="0"/>
          <w:color w:val="auto"/>
          <w:sz w:val="24"/>
          <w:szCs w:val="24"/>
          <w:highlight w:val="none"/>
          <w:lang w:val="en-US" w:eastAsia="zh-CN"/>
        </w:rPr>
        <w:t>等核心支出的会计凭证、银行转账记录、</w:t>
      </w:r>
      <w:r>
        <w:rPr>
          <w:rFonts w:hint="eastAsia" w:ascii="Times New Roman" w:hAnsi="Times New Roman" w:cs="Times New Roman"/>
          <w:b w:val="0"/>
          <w:bCs w:val="0"/>
          <w:color w:val="auto"/>
          <w:sz w:val="24"/>
          <w:szCs w:val="24"/>
          <w:highlight w:val="none"/>
          <w:lang w:val="en-US" w:eastAsia="zh-CN"/>
        </w:rPr>
        <w:t>兑付资料</w:t>
      </w:r>
      <w:r>
        <w:rPr>
          <w:rFonts w:hint="eastAsia" w:ascii="Times New Roman" w:hAnsi="Times New Roman" w:eastAsia="宋体" w:cs="Times New Roman"/>
          <w:b w:val="0"/>
          <w:bCs w:val="0"/>
          <w:color w:val="auto"/>
          <w:sz w:val="24"/>
          <w:szCs w:val="24"/>
          <w:highlight w:val="none"/>
          <w:lang w:val="en-US" w:eastAsia="zh-CN"/>
        </w:rPr>
        <w:t>，确认资金支付是否有完整审批程序、是否符合预算用途，无截留、挤占、挪用等违规情况。</w:t>
      </w:r>
      <w:bookmarkEnd w:id="22"/>
    </w:p>
    <w:p w14:paraId="54344B6B">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bookmarkStart w:id="23" w:name="_Toc29814"/>
      <w:r>
        <w:rPr>
          <w:rFonts w:hint="eastAsia" w:ascii="Times New Roman" w:hAnsi="Times New Roman" w:eastAsia="宋体" w:cs="Times New Roman"/>
          <w:b w:val="0"/>
          <w:bCs w:val="0"/>
          <w:color w:val="auto"/>
          <w:sz w:val="24"/>
          <w:szCs w:val="24"/>
          <w:highlight w:val="none"/>
          <w:lang w:val="en-US" w:eastAsia="zh-CN"/>
        </w:rPr>
        <w:t>3.数据对比分析法。围绕该项目核心任务与绩效指标，通过对比绩效目标与实际完成值，分析资金使用效率，关联耕地地力补贴成果数据等评估项目产出、效益与资金效率。</w:t>
      </w:r>
      <w:bookmarkEnd w:id="23"/>
    </w:p>
    <w:p w14:paraId="65AA3C1D">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bookmarkStart w:id="24" w:name="_Toc10616"/>
      <w:r>
        <w:rPr>
          <w:rFonts w:hint="eastAsia" w:ascii="Times New Roman" w:hAnsi="Times New Roman" w:eastAsia="宋体" w:cs="Times New Roman"/>
          <w:b w:val="0"/>
          <w:bCs w:val="0"/>
          <w:color w:val="auto"/>
          <w:sz w:val="24"/>
          <w:szCs w:val="24"/>
          <w:highlight w:val="none"/>
          <w:lang w:val="en-US" w:eastAsia="zh-CN"/>
        </w:rPr>
        <w:t>4.现场访谈法。围绕绩效目标，工作推进等方面，通过访谈相关部门开展面对面沟通，收集多方反馈，完善评价的全面性与客观性，为后续问题分析提供依据。</w:t>
      </w:r>
      <w:bookmarkEnd w:id="24"/>
    </w:p>
    <w:p w14:paraId="3AE49C37">
      <w:pPr>
        <w:keepNext w:val="0"/>
        <w:keepLines w:val="0"/>
        <w:pageBreakBefore w:val="0"/>
        <w:widowControl w:val="0"/>
        <w:numPr>
          <w:ilvl w:val="0"/>
          <w:numId w:val="5"/>
        </w:numPr>
        <w:kinsoku/>
        <w:wordWrap/>
        <w:overflowPunct/>
        <w:topLinePunct w:val="0"/>
        <w:autoSpaceDE/>
        <w:autoSpaceDN/>
        <w:bidi w:val="0"/>
        <w:adjustRightInd/>
        <w:snapToGrid/>
        <w:spacing w:before="157" w:beforeLines="50" w:line="360" w:lineRule="auto"/>
        <w:ind w:firstLine="482" w:firstLineChars="200"/>
        <w:textAlignment w:val="auto"/>
        <w:outlineLvl w:val="0"/>
        <w:rPr>
          <w:rFonts w:hint="eastAsia" w:ascii="Times New Roman" w:hAnsi="Times New Roman" w:cs="Times New Roman"/>
          <w:b/>
          <w:bCs/>
          <w:color w:val="auto"/>
          <w:sz w:val="24"/>
          <w:szCs w:val="24"/>
          <w:highlight w:val="none"/>
          <w:lang w:val="en-US" w:eastAsia="zh-CN"/>
        </w:rPr>
      </w:pPr>
      <w:bookmarkStart w:id="25" w:name="_Toc16163"/>
      <w:bookmarkStart w:id="26" w:name="_Toc21367"/>
      <w:bookmarkStart w:id="27" w:name="_Toc14566"/>
      <w:bookmarkStart w:id="28" w:name="_Toc18297"/>
      <w:bookmarkStart w:id="29" w:name="_Toc24428"/>
      <w:r>
        <w:rPr>
          <w:rFonts w:hint="eastAsia" w:ascii="Times New Roman" w:hAnsi="Times New Roman" w:cs="Times New Roman"/>
          <w:b/>
          <w:bCs/>
          <w:color w:val="auto"/>
          <w:sz w:val="24"/>
          <w:szCs w:val="24"/>
          <w:highlight w:val="none"/>
          <w:lang w:val="en-US" w:eastAsia="zh-CN"/>
        </w:rPr>
        <w:t>评价指标</w:t>
      </w:r>
      <w:bookmarkEnd w:id="25"/>
      <w:bookmarkEnd w:id="26"/>
      <w:bookmarkEnd w:id="27"/>
      <w:bookmarkEnd w:id="28"/>
      <w:bookmarkEnd w:id="29"/>
    </w:p>
    <w:p w14:paraId="721EEB07">
      <w:pPr>
        <w:spacing w:line="560" w:lineRule="exact"/>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依据(攀仁财〔2025〕54 号)附件3项目绩效评价指标体系为基础，采用了项目决策、项目管理、项目实施、项目结果四类通用指标</w:t>
      </w:r>
      <w:r>
        <w:rPr>
          <w:rFonts w:hint="eastAsia" w:ascii="宋体" w:hAnsi="宋体" w:cs="宋体"/>
          <w:bCs/>
          <w:sz w:val="24"/>
          <w:szCs w:val="24"/>
          <w:lang w:val="en-US" w:eastAsia="zh-CN"/>
        </w:rPr>
        <w:t>，</w:t>
      </w:r>
      <w:r>
        <w:rPr>
          <w:rFonts w:hint="eastAsia" w:ascii="宋体" w:hAnsi="宋体" w:eastAsia="宋体" w:cs="宋体"/>
          <w:bCs/>
          <w:sz w:val="24"/>
          <w:szCs w:val="24"/>
          <w:lang w:val="en-US" w:eastAsia="zh-CN"/>
        </w:rPr>
        <w:t>依据项目类别选取了专用指标-行政运转，并依据项目实际情况设置了补贴政策宣传覆盖有效性、耕地地力保护补贴档案归档完整性等个性指标</w:t>
      </w:r>
      <w:r>
        <w:rPr>
          <w:rFonts w:hint="eastAsia" w:ascii="宋体" w:hAnsi="宋体" w:cs="宋体"/>
          <w:bCs/>
          <w:sz w:val="24"/>
          <w:szCs w:val="24"/>
          <w:lang w:val="en-US" w:eastAsia="zh-CN"/>
        </w:rPr>
        <w:t>。</w:t>
      </w:r>
    </w:p>
    <w:p w14:paraId="28D5F77D">
      <w:pPr>
        <w:keepNext w:val="0"/>
        <w:keepLines w:val="0"/>
        <w:pageBreakBefore w:val="0"/>
        <w:widowControl w:val="0"/>
        <w:numPr>
          <w:ilvl w:val="0"/>
          <w:numId w:val="5"/>
        </w:numPr>
        <w:kinsoku/>
        <w:wordWrap/>
        <w:overflowPunct/>
        <w:topLinePunct w:val="0"/>
        <w:autoSpaceDE/>
        <w:autoSpaceDN/>
        <w:bidi w:val="0"/>
        <w:adjustRightInd/>
        <w:snapToGrid/>
        <w:spacing w:before="157" w:beforeLines="50" w:line="360" w:lineRule="auto"/>
        <w:ind w:left="0" w:leftChars="0" w:firstLine="482" w:firstLineChars="200"/>
        <w:textAlignment w:val="auto"/>
        <w:outlineLvl w:val="0"/>
        <w:rPr>
          <w:rFonts w:hint="eastAsia" w:ascii="Times New Roman" w:hAnsi="Times New Roman" w:cs="Times New Roman"/>
          <w:b/>
          <w:bCs/>
          <w:color w:val="auto"/>
          <w:sz w:val="24"/>
          <w:szCs w:val="24"/>
          <w:highlight w:val="none"/>
          <w:lang w:val="en-US" w:eastAsia="zh-CN"/>
        </w:rPr>
      </w:pPr>
      <w:bookmarkStart w:id="30" w:name="_Toc24382"/>
      <w:bookmarkStart w:id="31" w:name="_Toc2233"/>
      <w:bookmarkStart w:id="32" w:name="_Toc20730"/>
      <w:bookmarkStart w:id="33" w:name="_Toc9253"/>
      <w:bookmarkStart w:id="34" w:name="_Toc26962"/>
      <w:bookmarkStart w:id="125" w:name="_GoBack"/>
      <w:bookmarkEnd w:id="125"/>
      <w:r>
        <w:rPr>
          <w:rFonts w:hint="eastAsia" w:ascii="Times New Roman" w:hAnsi="Times New Roman" w:cs="Times New Roman"/>
          <w:b/>
          <w:bCs/>
          <w:color w:val="auto"/>
          <w:sz w:val="24"/>
          <w:szCs w:val="24"/>
          <w:highlight w:val="none"/>
          <w:lang w:val="en-US" w:eastAsia="zh-CN"/>
        </w:rPr>
        <w:t>评价结果与结论</w:t>
      </w:r>
      <w:bookmarkEnd w:id="30"/>
      <w:bookmarkEnd w:id="31"/>
      <w:bookmarkEnd w:id="32"/>
      <w:bookmarkEnd w:id="33"/>
      <w:bookmarkEnd w:id="34"/>
    </w:p>
    <w:p w14:paraId="54BB4926">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0" w:firstLineChars="200"/>
        <w:textAlignment w:val="auto"/>
        <w:outlineLvl w:val="1"/>
        <w:rPr>
          <w:rFonts w:hint="eastAsia" w:ascii="Times New Roman" w:hAnsi="Times New Roman" w:cs="Times New Roman"/>
          <w:b w:val="0"/>
          <w:bCs w:val="0"/>
          <w:color w:val="auto"/>
          <w:sz w:val="24"/>
          <w:szCs w:val="24"/>
          <w:highlight w:val="none"/>
          <w:lang w:val="en-US" w:eastAsia="zh-CN"/>
        </w:rPr>
      </w:pPr>
      <w:bookmarkStart w:id="35" w:name="_Toc2615"/>
      <w:bookmarkStart w:id="36" w:name="_Toc17414"/>
      <w:bookmarkStart w:id="37" w:name="_Toc23177"/>
      <w:bookmarkStart w:id="38" w:name="_Toc7994"/>
      <w:bookmarkStart w:id="39" w:name="_Toc8008"/>
      <w:r>
        <w:rPr>
          <w:rFonts w:hint="eastAsia" w:ascii="Times New Roman" w:hAnsi="Times New Roman" w:cs="Times New Roman"/>
          <w:b w:val="0"/>
          <w:bCs w:val="0"/>
          <w:color w:val="auto"/>
          <w:sz w:val="24"/>
          <w:szCs w:val="24"/>
          <w:highlight w:val="none"/>
          <w:lang w:val="en-US" w:eastAsia="zh-CN"/>
        </w:rPr>
        <w:t>总体而言，补贴项目作为农业支持保护的核心政策载体，为仁和区农业生产稳定发展提供了基础保障，契合区域农业发展实际需求。将补贴资金拨付至全区14个乡镇的受益农户。2024年补贴资金足额到位并通过“一卡通”系统直达农户账户，及时为农户提供了生产资金补充，在调动农民种粮积极性、遏制耕地撂荒现象等方面发挥了积极作用。</w:t>
      </w:r>
    </w:p>
    <w:p w14:paraId="7FB6ED8C">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0" w:firstLineChars="200"/>
        <w:textAlignment w:val="auto"/>
        <w:outlineLvl w:val="1"/>
        <w:rPr>
          <w:rFonts w:hint="eastAsia" w:ascii="Times New Roman" w:hAnsi="Times New Roman" w:cs="Times New Roman"/>
          <w:b w:val="0"/>
          <w:bCs w:val="0"/>
          <w:color w:val="auto"/>
          <w:sz w:val="24"/>
          <w:szCs w:val="24"/>
          <w:highlight w:val="none"/>
          <w:lang w:val="en-US" w:eastAsia="zh-CN"/>
        </w:rPr>
      </w:pPr>
      <w:r>
        <w:rPr>
          <w:rFonts w:hint="eastAsia" w:ascii="Times New Roman" w:hAnsi="Times New Roman" w:cs="Times New Roman"/>
          <w:b w:val="0"/>
          <w:bCs w:val="0"/>
          <w:color w:val="auto"/>
          <w:sz w:val="24"/>
          <w:szCs w:val="24"/>
          <w:highlight w:val="none"/>
          <w:lang w:val="en-US" w:eastAsia="zh-CN"/>
        </w:rPr>
        <w:t>同时，评价也发现项目在实施与管理环节存在部分问题：一是绩效目标管理存在根本性缺失，项目在立项及实施全过程未设置总体绩效目标，未围绕“补贴精准率、耕地保护成效、农户受益度”等核心维度明确预期标准，导致项目实施缺乏清晰的绩效导向，无法科学衡量政策目标的实现程度。二是预算绩效管理闭环未形成，项目未落实“事中监控”的流程管理要求。</w:t>
      </w:r>
    </w:p>
    <w:p w14:paraId="383BE473">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0" w:firstLineChars="200"/>
        <w:textAlignment w:val="auto"/>
        <w:outlineLvl w:val="1"/>
        <w:rPr>
          <w:rFonts w:hint="eastAsia" w:ascii="Times New Roman" w:hAnsi="Times New Roman" w:cs="Times New Roman"/>
          <w:b w:val="0"/>
          <w:bCs w:val="0"/>
          <w:color w:val="auto"/>
          <w:sz w:val="24"/>
          <w:szCs w:val="24"/>
          <w:highlight w:val="none"/>
          <w:lang w:val="en-US" w:eastAsia="zh-CN"/>
        </w:rPr>
      </w:pPr>
      <w:r>
        <w:rPr>
          <w:rFonts w:hint="eastAsia" w:ascii="Times New Roman" w:hAnsi="Times New Roman" w:cs="Times New Roman"/>
          <w:b w:val="0"/>
          <w:bCs w:val="0"/>
          <w:color w:val="auto"/>
          <w:sz w:val="24"/>
          <w:szCs w:val="24"/>
          <w:highlight w:val="none"/>
          <w:lang w:val="en-US" w:eastAsia="zh-CN"/>
        </w:rPr>
        <w:t>绩效评价组对《耕地地力保护补贴项目》进行综合评价，最终评分得分为88.97分，绩效评价结果定级为“良”。具体得分情况如下表所示：</w:t>
      </w:r>
    </w:p>
    <w:bookmarkEnd w:id="35"/>
    <w:bookmarkEnd w:id="36"/>
    <w:bookmarkEnd w:id="37"/>
    <w:bookmarkEnd w:id="38"/>
    <w:bookmarkEnd w:id="39"/>
    <w:p w14:paraId="7060371B">
      <w:pPr>
        <w:spacing w:before="14" w:line="219" w:lineRule="auto"/>
        <w:jc w:val="center"/>
        <w:rPr>
          <w:rFonts w:ascii="宋体" w:hAnsi="宋体" w:eastAsia="宋体" w:cs="宋体"/>
          <w:b/>
          <w:bCs/>
          <w:spacing w:val="-25"/>
          <w:sz w:val="30"/>
          <w:szCs w:val="30"/>
        </w:rPr>
      </w:pPr>
      <w:r>
        <w:rPr>
          <w:rFonts w:ascii="宋体" w:hAnsi="宋体" w:eastAsia="宋体" w:cs="宋体"/>
          <w:b/>
          <w:bCs/>
          <w:spacing w:val="-25"/>
          <w:sz w:val="30"/>
          <w:szCs w:val="30"/>
        </w:rPr>
        <w:t>表1</w:t>
      </w:r>
      <w:r>
        <w:rPr>
          <w:rFonts w:hint="eastAsia" w:ascii="宋体" w:hAnsi="宋体" w:eastAsia="宋体" w:cs="宋体"/>
          <w:b/>
          <w:bCs/>
          <w:spacing w:val="-25"/>
          <w:sz w:val="30"/>
          <w:szCs w:val="30"/>
        </w:rPr>
        <w:t>耕地地力保护补贴项目</w:t>
      </w:r>
    </w:p>
    <w:p w14:paraId="370A6EA6">
      <w:pPr>
        <w:spacing w:before="14" w:line="219" w:lineRule="auto"/>
        <w:jc w:val="center"/>
        <w:rPr>
          <w:rFonts w:ascii="宋体" w:hAnsi="宋体" w:eastAsia="宋体" w:cs="宋体"/>
          <w:sz w:val="27"/>
          <w:szCs w:val="27"/>
        </w:rPr>
      </w:pPr>
      <w:r>
        <w:rPr>
          <w:rFonts w:ascii="宋体" w:hAnsi="宋体" w:eastAsia="宋体" w:cs="宋体"/>
          <w:b/>
          <w:bCs/>
          <w:spacing w:val="-25"/>
          <w:sz w:val="30"/>
          <w:szCs w:val="30"/>
        </w:rPr>
        <w:t>绩效评价指标体系</w:t>
      </w:r>
    </w:p>
    <w:tbl>
      <w:tblPr>
        <w:tblStyle w:val="13"/>
        <w:tblW w:w="9100" w:type="dxa"/>
        <w:tblInd w:w="-2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987"/>
        <w:gridCol w:w="2663"/>
        <w:gridCol w:w="1450"/>
        <w:gridCol w:w="1450"/>
      </w:tblGrid>
      <w:tr w14:paraId="0602E5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6200" w:type="dxa"/>
            <w:gridSpan w:val="3"/>
            <w:noWrap w:val="0"/>
            <w:vAlign w:val="top"/>
          </w:tcPr>
          <w:p w14:paraId="7F6D51C7">
            <w:pPr>
              <w:pStyle w:val="14"/>
              <w:spacing w:before="193" w:line="219" w:lineRule="auto"/>
              <w:ind w:left="2351"/>
              <w:rPr>
                <w:highlight w:val="none"/>
              </w:rPr>
            </w:pPr>
            <w:r>
              <w:rPr>
                <w:spacing w:val="-2"/>
                <w:highlight w:val="none"/>
              </w:rPr>
              <w:t>分层分类指标</w:t>
            </w:r>
          </w:p>
        </w:tc>
        <w:tc>
          <w:tcPr>
            <w:tcW w:w="1450" w:type="dxa"/>
            <w:vMerge w:val="restart"/>
            <w:noWrap w:val="0"/>
            <w:vAlign w:val="top"/>
          </w:tcPr>
          <w:p w14:paraId="1032159D">
            <w:pPr>
              <w:pStyle w:val="14"/>
              <w:spacing w:before="65" w:line="219" w:lineRule="auto"/>
              <w:jc w:val="center"/>
              <w:rPr>
                <w:spacing w:val="-3"/>
                <w:highlight w:val="none"/>
              </w:rPr>
            </w:pPr>
            <w:r>
              <w:rPr>
                <w:rFonts w:hint="eastAsia"/>
                <w:spacing w:val="-3"/>
                <w:highlight w:val="none"/>
              </w:rPr>
              <w:t>指标分值</w:t>
            </w:r>
          </w:p>
        </w:tc>
        <w:tc>
          <w:tcPr>
            <w:tcW w:w="1450" w:type="dxa"/>
            <w:vMerge w:val="restart"/>
            <w:tcBorders>
              <w:bottom w:val="nil"/>
            </w:tcBorders>
            <w:noWrap w:val="0"/>
            <w:vAlign w:val="top"/>
          </w:tcPr>
          <w:p w14:paraId="757A78BC">
            <w:pPr>
              <w:pStyle w:val="14"/>
              <w:spacing w:before="65" w:line="219" w:lineRule="auto"/>
              <w:jc w:val="center"/>
              <w:rPr>
                <w:highlight w:val="none"/>
              </w:rPr>
            </w:pPr>
            <w:r>
              <w:rPr>
                <w:spacing w:val="-3"/>
                <w:highlight w:val="none"/>
              </w:rPr>
              <w:t>得分</w:t>
            </w:r>
          </w:p>
        </w:tc>
      </w:tr>
      <w:tr w14:paraId="43211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1550" w:type="dxa"/>
            <w:noWrap w:val="0"/>
            <w:vAlign w:val="top"/>
          </w:tcPr>
          <w:p w14:paraId="70E5FF21">
            <w:pPr>
              <w:pStyle w:val="14"/>
              <w:spacing w:before="189" w:line="219" w:lineRule="auto"/>
              <w:jc w:val="center"/>
              <w:rPr>
                <w:highlight w:val="none"/>
              </w:rPr>
            </w:pPr>
            <w:r>
              <w:rPr>
                <w:rFonts w:hint="eastAsia"/>
                <w:spacing w:val="-2"/>
                <w:highlight w:val="none"/>
                <w:lang w:val="en-US" w:eastAsia="zh-CN"/>
              </w:rPr>
              <w:t>一级</w:t>
            </w:r>
            <w:r>
              <w:rPr>
                <w:spacing w:val="-2"/>
                <w:highlight w:val="none"/>
              </w:rPr>
              <w:t>指标</w:t>
            </w:r>
          </w:p>
        </w:tc>
        <w:tc>
          <w:tcPr>
            <w:tcW w:w="1987" w:type="dxa"/>
            <w:noWrap w:val="0"/>
            <w:vAlign w:val="top"/>
          </w:tcPr>
          <w:p w14:paraId="555BCFDF">
            <w:pPr>
              <w:pStyle w:val="14"/>
              <w:spacing w:before="189" w:line="220" w:lineRule="auto"/>
              <w:jc w:val="center"/>
              <w:rPr>
                <w:highlight w:val="none"/>
              </w:rPr>
            </w:pPr>
            <w:r>
              <w:rPr>
                <w:rFonts w:hint="eastAsia"/>
                <w:spacing w:val="-3"/>
                <w:highlight w:val="none"/>
                <w:lang w:val="en-US" w:eastAsia="zh-CN"/>
              </w:rPr>
              <w:t>二</w:t>
            </w:r>
            <w:r>
              <w:rPr>
                <w:spacing w:val="-3"/>
                <w:highlight w:val="none"/>
              </w:rPr>
              <w:t>级指标</w:t>
            </w:r>
          </w:p>
        </w:tc>
        <w:tc>
          <w:tcPr>
            <w:tcW w:w="2663" w:type="dxa"/>
            <w:noWrap w:val="0"/>
            <w:vAlign w:val="top"/>
          </w:tcPr>
          <w:p w14:paraId="1DE2F97B">
            <w:pPr>
              <w:pStyle w:val="14"/>
              <w:spacing w:before="189" w:line="220" w:lineRule="auto"/>
              <w:ind w:left="1053"/>
              <w:rPr>
                <w:highlight w:val="none"/>
              </w:rPr>
            </w:pPr>
            <w:r>
              <w:rPr>
                <w:rFonts w:hint="eastAsia"/>
                <w:spacing w:val="-3"/>
                <w:highlight w:val="none"/>
                <w:lang w:val="en-US" w:eastAsia="zh-CN"/>
              </w:rPr>
              <w:t>三</w:t>
            </w:r>
            <w:r>
              <w:rPr>
                <w:spacing w:val="-3"/>
                <w:highlight w:val="none"/>
              </w:rPr>
              <w:t>级指标</w:t>
            </w:r>
          </w:p>
        </w:tc>
        <w:tc>
          <w:tcPr>
            <w:tcW w:w="1450" w:type="dxa"/>
            <w:vMerge w:val="continue"/>
            <w:noWrap w:val="0"/>
            <w:vAlign w:val="top"/>
          </w:tcPr>
          <w:p w14:paraId="1E98FDB8">
            <w:pPr>
              <w:jc w:val="center"/>
              <w:rPr>
                <w:rFonts w:ascii="Arial"/>
                <w:sz w:val="21"/>
                <w:highlight w:val="none"/>
              </w:rPr>
            </w:pPr>
          </w:p>
        </w:tc>
        <w:tc>
          <w:tcPr>
            <w:tcW w:w="1450" w:type="dxa"/>
            <w:vMerge w:val="continue"/>
            <w:tcBorders>
              <w:top w:val="nil"/>
            </w:tcBorders>
            <w:noWrap w:val="0"/>
            <w:vAlign w:val="top"/>
          </w:tcPr>
          <w:p w14:paraId="5A7A0899">
            <w:pPr>
              <w:jc w:val="center"/>
              <w:rPr>
                <w:rFonts w:ascii="Arial"/>
                <w:sz w:val="21"/>
                <w:highlight w:val="none"/>
              </w:rPr>
            </w:pPr>
          </w:p>
        </w:tc>
      </w:tr>
      <w:tr w14:paraId="48FCE5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restart"/>
            <w:noWrap w:val="0"/>
            <w:vAlign w:val="top"/>
          </w:tcPr>
          <w:p w14:paraId="460E3EE8">
            <w:pPr>
              <w:pStyle w:val="14"/>
              <w:spacing w:before="226" w:line="220" w:lineRule="auto"/>
              <w:ind w:left="130"/>
              <w:jc w:val="center"/>
              <w:rPr>
                <w:highlight w:val="none"/>
              </w:rPr>
            </w:pPr>
            <w:r>
              <w:rPr>
                <w:spacing w:val="-2"/>
                <w:highlight w:val="none"/>
              </w:rPr>
              <w:t>通用指标</w:t>
            </w:r>
          </w:p>
        </w:tc>
        <w:tc>
          <w:tcPr>
            <w:tcW w:w="1987" w:type="dxa"/>
            <w:vMerge w:val="restart"/>
            <w:tcBorders>
              <w:bottom w:val="nil"/>
            </w:tcBorders>
            <w:noWrap w:val="0"/>
            <w:vAlign w:val="top"/>
          </w:tcPr>
          <w:p w14:paraId="653D297A">
            <w:pPr>
              <w:pStyle w:val="14"/>
              <w:spacing w:before="65" w:line="219" w:lineRule="auto"/>
              <w:jc w:val="center"/>
              <w:rPr>
                <w:highlight w:val="none"/>
              </w:rPr>
            </w:pPr>
            <w:r>
              <w:rPr>
                <w:spacing w:val="-3"/>
                <w:highlight w:val="none"/>
              </w:rPr>
              <w:t>项目决策</w:t>
            </w:r>
          </w:p>
        </w:tc>
        <w:tc>
          <w:tcPr>
            <w:tcW w:w="2663" w:type="dxa"/>
            <w:noWrap w:val="0"/>
            <w:vAlign w:val="top"/>
          </w:tcPr>
          <w:p w14:paraId="6F09F09D">
            <w:pPr>
              <w:pStyle w:val="14"/>
              <w:spacing w:before="170" w:line="219" w:lineRule="auto"/>
              <w:ind w:left="1053"/>
              <w:rPr>
                <w:highlight w:val="none"/>
              </w:rPr>
            </w:pPr>
            <w:r>
              <w:rPr>
                <w:spacing w:val="2"/>
                <w:highlight w:val="none"/>
              </w:rPr>
              <w:t>决策程序</w:t>
            </w:r>
          </w:p>
        </w:tc>
        <w:tc>
          <w:tcPr>
            <w:tcW w:w="1450" w:type="dxa"/>
            <w:noWrap w:val="0"/>
            <w:vAlign w:val="top"/>
          </w:tcPr>
          <w:p w14:paraId="55EB312C">
            <w:pPr>
              <w:pStyle w:val="14"/>
              <w:spacing w:before="189"/>
              <w:jc w:val="center"/>
              <w:rPr>
                <w:rFonts w:hint="eastAsia"/>
                <w:highlight w:val="none"/>
                <w:lang w:val="en-US" w:eastAsia="zh-CN"/>
              </w:rPr>
            </w:pPr>
            <w:r>
              <w:rPr>
                <w:spacing w:val="-3"/>
                <w:highlight w:val="none"/>
              </w:rPr>
              <w:t>6</w:t>
            </w:r>
          </w:p>
        </w:tc>
        <w:tc>
          <w:tcPr>
            <w:tcW w:w="1450" w:type="dxa"/>
            <w:noWrap w:val="0"/>
            <w:vAlign w:val="top"/>
          </w:tcPr>
          <w:p w14:paraId="399BB144">
            <w:pPr>
              <w:pStyle w:val="14"/>
              <w:spacing w:before="189"/>
              <w:jc w:val="center"/>
              <w:rPr>
                <w:rFonts w:hint="eastAsia" w:eastAsia="宋体"/>
                <w:highlight w:val="none"/>
                <w:lang w:val="en-US" w:eastAsia="zh-CN"/>
              </w:rPr>
            </w:pPr>
            <w:r>
              <w:rPr>
                <w:rFonts w:hint="eastAsia"/>
                <w:highlight w:val="none"/>
                <w:lang w:val="en-US" w:eastAsia="zh-CN"/>
              </w:rPr>
              <w:t>6</w:t>
            </w:r>
          </w:p>
        </w:tc>
      </w:tr>
      <w:tr w14:paraId="6CBAB0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continue"/>
            <w:noWrap w:val="0"/>
            <w:vAlign w:val="top"/>
          </w:tcPr>
          <w:p w14:paraId="02B71FAB">
            <w:pPr>
              <w:jc w:val="center"/>
              <w:rPr>
                <w:rFonts w:ascii="Arial"/>
                <w:sz w:val="21"/>
                <w:highlight w:val="none"/>
              </w:rPr>
            </w:pPr>
          </w:p>
        </w:tc>
        <w:tc>
          <w:tcPr>
            <w:tcW w:w="1987" w:type="dxa"/>
            <w:vMerge w:val="continue"/>
            <w:tcBorders>
              <w:top w:val="nil"/>
              <w:bottom w:val="nil"/>
            </w:tcBorders>
            <w:noWrap w:val="0"/>
            <w:vAlign w:val="top"/>
          </w:tcPr>
          <w:p w14:paraId="362C06D3">
            <w:pPr>
              <w:jc w:val="center"/>
              <w:rPr>
                <w:rFonts w:ascii="Arial"/>
                <w:sz w:val="21"/>
                <w:highlight w:val="none"/>
              </w:rPr>
            </w:pPr>
          </w:p>
        </w:tc>
        <w:tc>
          <w:tcPr>
            <w:tcW w:w="2663" w:type="dxa"/>
            <w:noWrap w:val="0"/>
            <w:vAlign w:val="top"/>
          </w:tcPr>
          <w:p w14:paraId="77ADE026">
            <w:pPr>
              <w:pStyle w:val="14"/>
              <w:spacing w:before="173" w:line="221" w:lineRule="auto"/>
              <w:ind w:left="1053"/>
              <w:rPr>
                <w:highlight w:val="none"/>
              </w:rPr>
            </w:pPr>
            <w:r>
              <w:rPr>
                <w:rFonts w:hint="eastAsia"/>
                <w:spacing w:val="-2"/>
                <w:highlight w:val="none"/>
              </w:rPr>
              <w:t>规划论证</w:t>
            </w:r>
          </w:p>
        </w:tc>
        <w:tc>
          <w:tcPr>
            <w:tcW w:w="1450" w:type="dxa"/>
            <w:noWrap w:val="0"/>
            <w:vAlign w:val="top"/>
          </w:tcPr>
          <w:p w14:paraId="73B95422">
            <w:pPr>
              <w:pStyle w:val="14"/>
              <w:spacing w:before="190"/>
              <w:jc w:val="center"/>
              <w:rPr>
                <w:rFonts w:hint="eastAsia"/>
                <w:highlight w:val="none"/>
                <w:lang w:val="en-US" w:eastAsia="zh-CN"/>
              </w:rPr>
            </w:pPr>
            <w:r>
              <w:rPr>
                <w:spacing w:val="-3"/>
                <w:highlight w:val="none"/>
              </w:rPr>
              <w:t>6</w:t>
            </w:r>
          </w:p>
        </w:tc>
        <w:tc>
          <w:tcPr>
            <w:tcW w:w="1450" w:type="dxa"/>
            <w:noWrap w:val="0"/>
            <w:vAlign w:val="top"/>
          </w:tcPr>
          <w:p w14:paraId="07D9DDF4">
            <w:pPr>
              <w:pStyle w:val="14"/>
              <w:spacing w:before="190"/>
              <w:jc w:val="center"/>
              <w:rPr>
                <w:rFonts w:hint="default" w:eastAsia="宋体"/>
                <w:highlight w:val="none"/>
                <w:lang w:val="en-US" w:eastAsia="zh-CN"/>
              </w:rPr>
            </w:pPr>
            <w:r>
              <w:rPr>
                <w:rFonts w:hint="eastAsia"/>
                <w:highlight w:val="none"/>
                <w:lang w:val="en-US" w:eastAsia="zh-CN"/>
              </w:rPr>
              <w:t>3</w:t>
            </w:r>
          </w:p>
        </w:tc>
      </w:tr>
      <w:tr w14:paraId="2EB8E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continue"/>
            <w:noWrap w:val="0"/>
            <w:vAlign w:val="top"/>
          </w:tcPr>
          <w:p w14:paraId="68DA0546">
            <w:pPr>
              <w:jc w:val="center"/>
              <w:rPr>
                <w:rFonts w:ascii="Arial"/>
                <w:sz w:val="21"/>
                <w:highlight w:val="none"/>
              </w:rPr>
            </w:pPr>
          </w:p>
        </w:tc>
        <w:tc>
          <w:tcPr>
            <w:tcW w:w="1987" w:type="dxa"/>
            <w:vMerge w:val="continue"/>
            <w:tcBorders>
              <w:top w:val="nil"/>
            </w:tcBorders>
            <w:noWrap w:val="0"/>
            <w:vAlign w:val="top"/>
          </w:tcPr>
          <w:p w14:paraId="41F24623">
            <w:pPr>
              <w:jc w:val="center"/>
              <w:rPr>
                <w:rFonts w:ascii="Arial"/>
                <w:sz w:val="21"/>
                <w:highlight w:val="none"/>
              </w:rPr>
            </w:pPr>
          </w:p>
        </w:tc>
        <w:tc>
          <w:tcPr>
            <w:tcW w:w="2663" w:type="dxa"/>
            <w:noWrap w:val="0"/>
            <w:vAlign w:val="top"/>
          </w:tcPr>
          <w:p w14:paraId="1D5144A2">
            <w:pPr>
              <w:pStyle w:val="14"/>
              <w:spacing w:before="172" w:line="220" w:lineRule="auto"/>
              <w:ind w:left="1053"/>
              <w:rPr>
                <w:highlight w:val="none"/>
              </w:rPr>
            </w:pPr>
            <w:r>
              <w:rPr>
                <w:spacing w:val="5"/>
                <w:highlight w:val="none"/>
              </w:rPr>
              <w:t>资金投向</w:t>
            </w:r>
          </w:p>
        </w:tc>
        <w:tc>
          <w:tcPr>
            <w:tcW w:w="1450" w:type="dxa"/>
            <w:noWrap w:val="0"/>
            <w:vAlign w:val="top"/>
          </w:tcPr>
          <w:p w14:paraId="498E3013">
            <w:pPr>
              <w:pStyle w:val="14"/>
              <w:spacing w:before="191"/>
              <w:jc w:val="center"/>
              <w:rPr>
                <w:rFonts w:hint="eastAsia"/>
                <w:highlight w:val="none"/>
                <w:lang w:val="en-US" w:eastAsia="zh-CN"/>
              </w:rPr>
            </w:pPr>
            <w:r>
              <w:rPr>
                <w:spacing w:val="-3"/>
                <w:highlight w:val="none"/>
              </w:rPr>
              <w:t>6</w:t>
            </w:r>
          </w:p>
        </w:tc>
        <w:tc>
          <w:tcPr>
            <w:tcW w:w="1450" w:type="dxa"/>
            <w:noWrap w:val="0"/>
            <w:vAlign w:val="top"/>
          </w:tcPr>
          <w:p w14:paraId="4396E380">
            <w:pPr>
              <w:pStyle w:val="14"/>
              <w:spacing w:before="191"/>
              <w:jc w:val="center"/>
              <w:rPr>
                <w:rFonts w:hint="eastAsia" w:eastAsia="宋体"/>
                <w:highlight w:val="none"/>
                <w:lang w:val="en-US" w:eastAsia="zh-CN"/>
              </w:rPr>
            </w:pPr>
            <w:r>
              <w:rPr>
                <w:rFonts w:hint="eastAsia"/>
                <w:highlight w:val="none"/>
                <w:lang w:val="en-US" w:eastAsia="zh-CN"/>
              </w:rPr>
              <w:t>6</w:t>
            </w:r>
          </w:p>
        </w:tc>
      </w:tr>
      <w:tr w14:paraId="628277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continue"/>
            <w:noWrap w:val="0"/>
            <w:vAlign w:val="top"/>
          </w:tcPr>
          <w:p w14:paraId="482CE004">
            <w:pPr>
              <w:jc w:val="center"/>
              <w:rPr>
                <w:rFonts w:ascii="Arial"/>
                <w:sz w:val="21"/>
                <w:highlight w:val="yellow"/>
              </w:rPr>
            </w:pPr>
          </w:p>
        </w:tc>
        <w:tc>
          <w:tcPr>
            <w:tcW w:w="1987" w:type="dxa"/>
            <w:vMerge w:val="restart"/>
            <w:tcBorders>
              <w:bottom w:val="nil"/>
            </w:tcBorders>
            <w:noWrap w:val="0"/>
            <w:vAlign w:val="top"/>
          </w:tcPr>
          <w:p w14:paraId="4A4FAAB6">
            <w:pPr>
              <w:pStyle w:val="14"/>
              <w:spacing w:before="65" w:line="219" w:lineRule="auto"/>
              <w:jc w:val="center"/>
              <w:rPr>
                <w:highlight w:val="none"/>
              </w:rPr>
            </w:pPr>
            <w:r>
              <w:rPr>
                <w:spacing w:val="-3"/>
                <w:highlight w:val="none"/>
              </w:rPr>
              <w:t>项目管理</w:t>
            </w:r>
          </w:p>
        </w:tc>
        <w:tc>
          <w:tcPr>
            <w:tcW w:w="2663" w:type="dxa"/>
            <w:noWrap w:val="0"/>
            <w:vAlign w:val="top"/>
          </w:tcPr>
          <w:p w14:paraId="16770BF4">
            <w:pPr>
              <w:pStyle w:val="14"/>
              <w:spacing w:before="173" w:line="219" w:lineRule="auto"/>
              <w:ind w:left="1053"/>
              <w:rPr>
                <w:highlight w:val="none"/>
              </w:rPr>
            </w:pPr>
            <w:r>
              <w:rPr>
                <w:spacing w:val="-2"/>
                <w:highlight w:val="none"/>
              </w:rPr>
              <w:t>制度办法</w:t>
            </w:r>
          </w:p>
        </w:tc>
        <w:tc>
          <w:tcPr>
            <w:tcW w:w="1450" w:type="dxa"/>
            <w:noWrap w:val="0"/>
            <w:vAlign w:val="top"/>
          </w:tcPr>
          <w:p w14:paraId="077C28C4">
            <w:pPr>
              <w:pStyle w:val="14"/>
              <w:spacing w:before="192"/>
              <w:jc w:val="center"/>
              <w:rPr>
                <w:rFonts w:hint="eastAsia"/>
                <w:highlight w:val="none"/>
                <w:lang w:val="en-US" w:eastAsia="zh-CN"/>
              </w:rPr>
            </w:pPr>
            <w:r>
              <w:rPr>
                <w:spacing w:val="-3"/>
                <w:highlight w:val="none"/>
              </w:rPr>
              <w:t>2</w:t>
            </w:r>
          </w:p>
        </w:tc>
        <w:tc>
          <w:tcPr>
            <w:tcW w:w="1450" w:type="dxa"/>
            <w:noWrap w:val="0"/>
            <w:vAlign w:val="top"/>
          </w:tcPr>
          <w:p w14:paraId="2F86851B">
            <w:pPr>
              <w:pStyle w:val="14"/>
              <w:spacing w:before="193" w:line="241" w:lineRule="auto"/>
              <w:jc w:val="center"/>
              <w:rPr>
                <w:rFonts w:hint="eastAsia" w:eastAsia="宋体"/>
                <w:highlight w:val="none"/>
                <w:lang w:val="en-US" w:eastAsia="zh-CN"/>
              </w:rPr>
            </w:pPr>
            <w:r>
              <w:rPr>
                <w:rFonts w:hint="eastAsia"/>
                <w:highlight w:val="none"/>
                <w:lang w:val="en-US" w:eastAsia="zh-CN"/>
              </w:rPr>
              <w:t>2</w:t>
            </w:r>
          </w:p>
        </w:tc>
      </w:tr>
      <w:tr w14:paraId="31AA44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continue"/>
            <w:noWrap w:val="0"/>
            <w:vAlign w:val="top"/>
          </w:tcPr>
          <w:p w14:paraId="1D57820F">
            <w:pPr>
              <w:jc w:val="center"/>
              <w:rPr>
                <w:rFonts w:ascii="Arial"/>
                <w:sz w:val="21"/>
                <w:highlight w:val="yellow"/>
              </w:rPr>
            </w:pPr>
          </w:p>
        </w:tc>
        <w:tc>
          <w:tcPr>
            <w:tcW w:w="1987" w:type="dxa"/>
            <w:vMerge w:val="continue"/>
            <w:tcBorders>
              <w:top w:val="nil"/>
              <w:bottom w:val="nil"/>
            </w:tcBorders>
            <w:noWrap w:val="0"/>
            <w:vAlign w:val="top"/>
          </w:tcPr>
          <w:p w14:paraId="0DEA98B7">
            <w:pPr>
              <w:jc w:val="center"/>
              <w:rPr>
                <w:rFonts w:ascii="Arial"/>
                <w:sz w:val="21"/>
                <w:highlight w:val="yellow"/>
              </w:rPr>
            </w:pPr>
          </w:p>
        </w:tc>
        <w:tc>
          <w:tcPr>
            <w:tcW w:w="2663" w:type="dxa"/>
            <w:noWrap w:val="0"/>
            <w:vAlign w:val="top"/>
          </w:tcPr>
          <w:p w14:paraId="64B35E85">
            <w:pPr>
              <w:pStyle w:val="14"/>
              <w:spacing w:before="174" w:line="219" w:lineRule="auto"/>
              <w:ind w:left="1053"/>
              <w:rPr>
                <w:highlight w:val="none"/>
              </w:rPr>
            </w:pPr>
            <w:r>
              <w:rPr>
                <w:spacing w:val="-2"/>
                <w:highlight w:val="none"/>
              </w:rPr>
              <w:t>分配管理</w:t>
            </w:r>
          </w:p>
        </w:tc>
        <w:tc>
          <w:tcPr>
            <w:tcW w:w="1450" w:type="dxa"/>
            <w:noWrap w:val="0"/>
            <w:vAlign w:val="top"/>
          </w:tcPr>
          <w:p w14:paraId="020D096E">
            <w:pPr>
              <w:pStyle w:val="14"/>
              <w:spacing w:before="193"/>
              <w:jc w:val="center"/>
              <w:rPr>
                <w:rFonts w:hint="eastAsia"/>
                <w:highlight w:val="none"/>
                <w:lang w:val="en-US" w:eastAsia="zh-CN"/>
              </w:rPr>
            </w:pPr>
            <w:r>
              <w:rPr>
                <w:spacing w:val="-6"/>
                <w:highlight w:val="none"/>
              </w:rPr>
              <w:t>10</w:t>
            </w:r>
          </w:p>
        </w:tc>
        <w:tc>
          <w:tcPr>
            <w:tcW w:w="1450" w:type="dxa"/>
            <w:noWrap w:val="0"/>
            <w:vAlign w:val="top"/>
          </w:tcPr>
          <w:p w14:paraId="7819F93A">
            <w:pPr>
              <w:pStyle w:val="14"/>
              <w:spacing w:before="193"/>
              <w:jc w:val="center"/>
              <w:rPr>
                <w:rFonts w:hint="default" w:eastAsia="宋体"/>
                <w:highlight w:val="none"/>
                <w:lang w:val="en-US" w:eastAsia="zh-CN"/>
              </w:rPr>
            </w:pPr>
            <w:r>
              <w:rPr>
                <w:rFonts w:hint="eastAsia"/>
                <w:highlight w:val="none"/>
                <w:lang w:val="en-US" w:eastAsia="zh-CN"/>
              </w:rPr>
              <w:t>10</w:t>
            </w:r>
          </w:p>
        </w:tc>
      </w:tr>
      <w:tr w14:paraId="3FA1C2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continue"/>
            <w:noWrap w:val="0"/>
            <w:vAlign w:val="top"/>
          </w:tcPr>
          <w:p w14:paraId="416C2645">
            <w:pPr>
              <w:jc w:val="center"/>
              <w:rPr>
                <w:rFonts w:ascii="Arial"/>
                <w:sz w:val="21"/>
                <w:highlight w:val="yellow"/>
              </w:rPr>
            </w:pPr>
          </w:p>
        </w:tc>
        <w:tc>
          <w:tcPr>
            <w:tcW w:w="1987" w:type="dxa"/>
            <w:vMerge w:val="continue"/>
            <w:tcBorders>
              <w:top w:val="nil"/>
            </w:tcBorders>
            <w:noWrap w:val="0"/>
            <w:vAlign w:val="top"/>
          </w:tcPr>
          <w:p w14:paraId="310DFCE3">
            <w:pPr>
              <w:jc w:val="center"/>
              <w:rPr>
                <w:rFonts w:ascii="Arial"/>
                <w:sz w:val="21"/>
                <w:highlight w:val="yellow"/>
              </w:rPr>
            </w:pPr>
          </w:p>
        </w:tc>
        <w:tc>
          <w:tcPr>
            <w:tcW w:w="2663" w:type="dxa"/>
            <w:noWrap w:val="0"/>
            <w:vAlign w:val="top"/>
          </w:tcPr>
          <w:p w14:paraId="1C8C1417">
            <w:pPr>
              <w:pStyle w:val="14"/>
              <w:spacing w:before="175" w:line="219" w:lineRule="auto"/>
              <w:ind w:left="1053"/>
              <w:rPr>
                <w:highlight w:val="none"/>
              </w:rPr>
            </w:pPr>
            <w:r>
              <w:rPr>
                <w:spacing w:val="2"/>
                <w:highlight w:val="none"/>
              </w:rPr>
              <w:t>绩效监管</w:t>
            </w:r>
          </w:p>
        </w:tc>
        <w:tc>
          <w:tcPr>
            <w:tcW w:w="1450" w:type="dxa"/>
            <w:noWrap w:val="0"/>
            <w:vAlign w:val="top"/>
          </w:tcPr>
          <w:p w14:paraId="09C9D023">
            <w:pPr>
              <w:pStyle w:val="14"/>
              <w:spacing w:before="194"/>
              <w:jc w:val="center"/>
              <w:rPr>
                <w:rFonts w:hint="eastAsia"/>
                <w:highlight w:val="none"/>
                <w:lang w:val="en-US" w:eastAsia="zh-CN"/>
              </w:rPr>
            </w:pPr>
            <w:r>
              <w:rPr>
                <w:spacing w:val="-3"/>
                <w:highlight w:val="none"/>
              </w:rPr>
              <w:t>6</w:t>
            </w:r>
          </w:p>
        </w:tc>
        <w:tc>
          <w:tcPr>
            <w:tcW w:w="1450" w:type="dxa"/>
            <w:noWrap w:val="0"/>
            <w:vAlign w:val="top"/>
          </w:tcPr>
          <w:p w14:paraId="51A48D1D">
            <w:pPr>
              <w:pStyle w:val="14"/>
              <w:spacing w:before="194"/>
              <w:jc w:val="center"/>
              <w:rPr>
                <w:rFonts w:hint="default" w:eastAsia="宋体"/>
                <w:highlight w:val="none"/>
                <w:lang w:val="en-US" w:eastAsia="zh-CN"/>
              </w:rPr>
            </w:pPr>
            <w:r>
              <w:rPr>
                <w:rFonts w:hint="eastAsia"/>
                <w:highlight w:val="none"/>
                <w:lang w:val="en-US" w:eastAsia="zh-CN"/>
              </w:rPr>
              <w:t>2</w:t>
            </w:r>
          </w:p>
        </w:tc>
      </w:tr>
      <w:tr w14:paraId="49614E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continue"/>
            <w:noWrap w:val="0"/>
            <w:vAlign w:val="top"/>
          </w:tcPr>
          <w:p w14:paraId="75AEE0C4">
            <w:pPr>
              <w:pStyle w:val="14"/>
              <w:spacing w:before="226" w:line="220" w:lineRule="auto"/>
              <w:ind w:left="130"/>
              <w:jc w:val="center"/>
              <w:rPr>
                <w:highlight w:val="none"/>
              </w:rPr>
            </w:pPr>
          </w:p>
        </w:tc>
        <w:tc>
          <w:tcPr>
            <w:tcW w:w="1987" w:type="dxa"/>
            <w:vMerge w:val="restart"/>
            <w:tcBorders>
              <w:bottom w:val="nil"/>
            </w:tcBorders>
            <w:noWrap w:val="0"/>
            <w:vAlign w:val="top"/>
          </w:tcPr>
          <w:p w14:paraId="29987FD0">
            <w:pPr>
              <w:pStyle w:val="14"/>
              <w:spacing w:before="65" w:line="600" w:lineRule="auto"/>
              <w:jc w:val="center"/>
              <w:rPr>
                <w:highlight w:val="none"/>
              </w:rPr>
            </w:pPr>
            <w:r>
              <w:rPr>
                <w:spacing w:val="2"/>
                <w:highlight w:val="none"/>
              </w:rPr>
              <w:t>项目实施</w:t>
            </w:r>
          </w:p>
        </w:tc>
        <w:tc>
          <w:tcPr>
            <w:tcW w:w="2663" w:type="dxa"/>
            <w:noWrap w:val="0"/>
            <w:vAlign w:val="top"/>
          </w:tcPr>
          <w:p w14:paraId="7E43B01F">
            <w:pPr>
              <w:pStyle w:val="14"/>
              <w:spacing w:before="176" w:line="219" w:lineRule="auto"/>
              <w:ind w:left="1053"/>
              <w:rPr>
                <w:highlight w:val="none"/>
              </w:rPr>
            </w:pPr>
            <w:r>
              <w:rPr>
                <w:spacing w:val="-2"/>
                <w:highlight w:val="none"/>
              </w:rPr>
              <w:t>预算执行</w:t>
            </w:r>
          </w:p>
        </w:tc>
        <w:tc>
          <w:tcPr>
            <w:tcW w:w="1450" w:type="dxa"/>
            <w:noWrap w:val="0"/>
            <w:vAlign w:val="top"/>
          </w:tcPr>
          <w:p w14:paraId="2C57E7DB">
            <w:pPr>
              <w:pStyle w:val="14"/>
              <w:spacing w:before="195"/>
              <w:jc w:val="center"/>
              <w:rPr>
                <w:rFonts w:hint="eastAsia"/>
                <w:highlight w:val="none"/>
                <w:lang w:val="en-US" w:eastAsia="zh-CN"/>
              </w:rPr>
            </w:pPr>
            <w:r>
              <w:rPr>
                <w:rFonts w:hint="eastAsia"/>
                <w:spacing w:val="-3"/>
                <w:highlight w:val="none"/>
                <w:lang w:val="en-US" w:eastAsia="zh-CN"/>
              </w:rPr>
              <w:t>3</w:t>
            </w:r>
          </w:p>
        </w:tc>
        <w:tc>
          <w:tcPr>
            <w:tcW w:w="1450" w:type="dxa"/>
            <w:noWrap w:val="0"/>
            <w:vAlign w:val="top"/>
          </w:tcPr>
          <w:p w14:paraId="2F0190A4">
            <w:pPr>
              <w:pStyle w:val="14"/>
              <w:spacing w:before="196" w:line="239" w:lineRule="auto"/>
              <w:jc w:val="center"/>
              <w:rPr>
                <w:rFonts w:hint="default" w:eastAsia="宋体"/>
                <w:highlight w:val="none"/>
                <w:lang w:val="en-US" w:eastAsia="zh-CN"/>
              </w:rPr>
            </w:pPr>
            <w:r>
              <w:rPr>
                <w:rFonts w:hint="eastAsia"/>
                <w:highlight w:val="none"/>
                <w:lang w:val="en-US" w:eastAsia="zh-CN"/>
              </w:rPr>
              <w:t>2.97</w:t>
            </w:r>
          </w:p>
        </w:tc>
      </w:tr>
      <w:tr w14:paraId="45BEE3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1550" w:type="dxa"/>
            <w:vMerge w:val="continue"/>
            <w:noWrap w:val="0"/>
            <w:vAlign w:val="top"/>
          </w:tcPr>
          <w:p w14:paraId="48314FD5">
            <w:pPr>
              <w:jc w:val="center"/>
              <w:rPr>
                <w:rFonts w:ascii="Arial"/>
                <w:sz w:val="21"/>
                <w:highlight w:val="none"/>
              </w:rPr>
            </w:pPr>
          </w:p>
        </w:tc>
        <w:tc>
          <w:tcPr>
            <w:tcW w:w="1987" w:type="dxa"/>
            <w:vMerge w:val="continue"/>
            <w:tcBorders>
              <w:top w:val="nil"/>
            </w:tcBorders>
            <w:noWrap w:val="0"/>
            <w:vAlign w:val="top"/>
          </w:tcPr>
          <w:p w14:paraId="5CEC21FB">
            <w:pPr>
              <w:jc w:val="center"/>
              <w:rPr>
                <w:rFonts w:ascii="Arial"/>
                <w:sz w:val="21"/>
                <w:highlight w:val="none"/>
              </w:rPr>
            </w:pPr>
          </w:p>
        </w:tc>
        <w:tc>
          <w:tcPr>
            <w:tcW w:w="2663" w:type="dxa"/>
            <w:noWrap w:val="0"/>
            <w:vAlign w:val="top"/>
          </w:tcPr>
          <w:p w14:paraId="55BD04A7">
            <w:pPr>
              <w:pStyle w:val="14"/>
              <w:spacing w:before="147" w:line="219" w:lineRule="auto"/>
              <w:ind w:left="1053"/>
              <w:rPr>
                <w:highlight w:val="none"/>
              </w:rPr>
            </w:pPr>
            <w:r>
              <w:rPr>
                <w:spacing w:val="6"/>
                <w:highlight w:val="none"/>
              </w:rPr>
              <w:t>资金使用</w:t>
            </w:r>
          </w:p>
        </w:tc>
        <w:tc>
          <w:tcPr>
            <w:tcW w:w="1450" w:type="dxa"/>
            <w:noWrap w:val="0"/>
            <w:vAlign w:val="top"/>
          </w:tcPr>
          <w:p w14:paraId="3230917B">
            <w:pPr>
              <w:pStyle w:val="14"/>
              <w:spacing w:before="166"/>
              <w:jc w:val="center"/>
              <w:rPr>
                <w:rFonts w:hint="eastAsia"/>
                <w:highlight w:val="none"/>
                <w:lang w:val="en-US" w:eastAsia="zh-CN"/>
              </w:rPr>
            </w:pPr>
            <w:r>
              <w:rPr>
                <w:rFonts w:hint="eastAsia"/>
                <w:spacing w:val="-3"/>
                <w:highlight w:val="none"/>
                <w:lang w:val="en-US" w:eastAsia="zh-CN"/>
              </w:rPr>
              <w:t>6</w:t>
            </w:r>
          </w:p>
        </w:tc>
        <w:tc>
          <w:tcPr>
            <w:tcW w:w="1450" w:type="dxa"/>
            <w:noWrap w:val="0"/>
            <w:vAlign w:val="top"/>
          </w:tcPr>
          <w:p w14:paraId="21E4D282">
            <w:pPr>
              <w:pStyle w:val="14"/>
              <w:spacing w:before="166"/>
              <w:jc w:val="center"/>
              <w:rPr>
                <w:rFonts w:hint="default" w:eastAsia="宋体"/>
                <w:highlight w:val="none"/>
                <w:lang w:val="en-US" w:eastAsia="zh-CN"/>
              </w:rPr>
            </w:pPr>
            <w:r>
              <w:rPr>
                <w:rFonts w:hint="eastAsia"/>
                <w:highlight w:val="none"/>
                <w:lang w:val="en-US" w:eastAsia="zh-CN"/>
              </w:rPr>
              <w:t>5</w:t>
            </w:r>
          </w:p>
        </w:tc>
      </w:tr>
      <w:tr w14:paraId="7458FF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550" w:type="dxa"/>
            <w:vMerge w:val="continue"/>
            <w:noWrap w:val="0"/>
            <w:vAlign w:val="top"/>
          </w:tcPr>
          <w:p w14:paraId="63DF80C7">
            <w:pPr>
              <w:jc w:val="center"/>
              <w:rPr>
                <w:rFonts w:ascii="Arial"/>
                <w:sz w:val="21"/>
                <w:highlight w:val="none"/>
              </w:rPr>
            </w:pPr>
          </w:p>
        </w:tc>
        <w:tc>
          <w:tcPr>
            <w:tcW w:w="1987" w:type="dxa"/>
            <w:vMerge w:val="restart"/>
            <w:noWrap w:val="0"/>
            <w:vAlign w:val="top"/>
          </w:tcPr>
          <w:p w14:paraId="3FFF43C5">
            <w:pPr>
              <w:pStyle w:val="14"/>
              <w:spacing w:before="178" w:line="600" w:lineRule="auto"/>
              <w:jc w:val="center"/>
              <w:rPr>
                <w:highlight w:val="none"/>
              </w:rPr>
            </w:pPr>
            <w:r>
              <w:rPr>
                <w:spacing w:val="2"/>
                <w:highlight w:val="none"/>
              </w:rPr>
              <w:t>项目结果</w:t>
            </w:r>
          </w:p>
        </w:tc>
        <w:tc>
          <w:tcPr>
            <w:tcW w:w="2663" w:type="dxa"/>
            <w:noWrap w:val="0"/>
            <w:vAlign w:val="top"/>
          </w:tcPr>
          <w:p w14:paraId="5E5E5A08">
            <w:pPr>
              <w:pStyle w:val="14"/>
              <w:spacing w:before="178" w:line="219" w:lineRule="auto"/>
              <w:ind w:left="1053"/>
              <w:rPr>
                <w:highlight w:val="none"/>
              </w:rPr>
            </w:pPr>
            <w:r>
              <w:rPr>
                <w:spacing w:val="2"/>
                <w:highlight w:val="none"/>
              </w:rPr>
              <w:t>目标完成</w:t>
            </w:r>
          </w:p>
        </w:tc>
        <w:tc>
          <w:tcPr>
            <w:tcW w:w="1450" w:type="dxa"/>
            <w:noWrap w:val="0"/>
            <w:vAlign w:val="top"/>
          </w:tcPr>
          <w:p w14:paraId="06496F48">
            <w:pPr>
              <w:pStyle w:val="14"/>
              <w:spacing w:before="197"/>
              <w:jc w:val="center"/>
              <w:rPr>
                <w:rFonts w:hint="eastAsia"/>
                <w:highlight w:val="none"/>
                <w:lang w:val="en-US" w:eastAsia="zh-CN"/>
              </w:rPr>
            </w:pPr>
            <w:r>
              <w:rPr>
                <w:spacing w:val="-3"/>
                <w:highlight w:val="none"/>
              </w:rPr>
              <w:t>6</w:t>
            </w:r>
          </w:p>
        </w:tc>
        <w:tc>
          <w:tcPr>
            <w:tcW w:w="1450" w:type="dxa"/>
            <w:noWrap w:val="0"/>
            <w:vAlign w:val="top"/>
          </w:tcPr>
          <w:p w14:paraId="2DE11E46">
            <w:pPr>
              <w:pStyle w:val="14"/>
              <w:spacing w:before="197"/>
              <w:jc w:val="center"/>
              <w:rPr>
                <w:rFonts w:hint="default" w:eastAsia="宋体"/>
                <w:highlight w:val="none"/>
                <w:lang w:val="en-US" w:eastAsia="zh-CN"/>
              </w:rPr>
            </w:pPr>
            <w:r>
              <w:rPr>
                <w:rFonts w:hint="eastAsia"/>
                <w:highlight w:val="none"/>
                <w:lang w:val="en-US" w:eastAsia="zh-CN"/>
              </w:rPr>
              <w:t>6</w:t>
            </w:r>
          </w:p>
        </w:tc>
      </w:tr>
      <w:tr w14:paraId="1CDF1B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1550" w:type="dxa"/>
            <w:vMerge w:val="continue"/>
            <w:noWrap w:val="0"/>
            <w:vAlign w:val="top"/>
          </w:tcPr>
          <w:p w14:paraId="2E8987C4">
            <w:pPr>
              <w:jc w:val="center"/>
              <w:rPr>
                <w:rFonts w:ascii="Arial"/>
                <w:sz w:val="21"/>
                <w:highlight w:val="none"/>
              </w:rPr>
            </w:pPr>
          </w:p>
        </w:tc>
        <w:tc>
          <w:tcPr>
            <w:tcW w:w="1987" w:type="dxa"/>
            <w:vMerge w:val="continue"/>
            <w:noWrap w:val="0"/>
            <w:vAlign w:val="top"/>
          </w:tcPr>
          <w:p w14:paraId="33B00B29">
            <w:pPr>
              <w:jc w:val="center"/>
              <w:rPr>
                <w:rFonts w:ascii="Arial"/>
                <w:sz w:val="21"/>
                <w:highlight w:val="none"/>
              </w:rPr>
            </w:pPr>
          </w:p>
        </w:tc>
        <w:tc>
          <w:tcPr>
            <w:tcW w:w="2663" w:type="dxa"/>
            <w:noWrap w:val="0"/>
            <w:vAlign w:val="top"/>
          </w:tcPr>
          <w:p w14:paraId="37FCC664">
            <w:pPr>
              <w:pStyle w:val="14"/>
              <w:spacing w:before="173" w:line="219" w:lineRule="auto"/>
              <w:ind w:left="1053"/>
              <w:rPr>
                <w:highlight w:val="none"/>
              </w:rPr>
            </w:pPr>
            <w:r>
              <w:rPr>
                <w:spacing w:val="-2"/>
                <w:highlight w:val="none"/>
              </w:rPr>
              <w:t>完成时效</w:t>
            </w:r>
          </w:p>
        </w:tc>
        <w:tc>
          <w:tcPr>
            <w:tcW w:w="1450" w:type="dxa"/>
            <w:noWrap w:val="0"/>
            <w:vAlign w:val="top"/>
          </w:tcPr>
          <w:p w14:paraId="3D5DFC27">
            <w:pPr>
              <w:pStyle w:val="14"/>
              <w:spacing w:before="192"/>
              <w:jc w:val="center"/>
              <w:rPr>
                <w:rFonts w:hint="eastAsia"/>
                <w:highlight w:val="none"/>
                <w:lang w:val="en-US" w:eastAsia="zh-CN"/>
              </w:rPr>
            </w:pPr>
            <w:r>
              <w:rPr>
                <w:spacing w:val="-3"/>
                <w:highlight w:val="none"/>
              </w:rPr>
              <w:t>3</w:t>
            </w:r>
          </w:p>
        </w:tc>
        <w:tc>
          <w:tcPr>
            <w:tcW w:w="1450" w:type="dxa"/>
            <w:noWrap w:val="0"/>
            <w:vAlign w:val="top"/>
          </w:tcPr>
          <w:p w14:paraId="29CD01DB">
            <w:pPr>
              <w:pStyle w:val="14"/>
              <w:spacing w:before="192"/>
              <w:jc w:val="center"/>
              <w:rPr>
                <w:rFonts w:hint="eastAsia" w:eastAsia="宋体"/>
                <w:highlight w:val="none"/>
                <w:lang w:val="en-US" w:eastAsia="zh-CN"/>
              </w:rPr>
            </w:pPr>
            <w:r>
              <w:rPr>
                <w:rFonts w:hint="eastAsia"/>
                <w:highlight w:val="none"/>
                <w:lang w:val="en-US" w:eastAsia="zh-CN"/>
              </w:rPr>
              <w:t>3</w:t>
            </w:r>
          </w:p>
        </w:tc>
      </w:tr>
      <w:tr w14:paraId="4EBBF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550" w:type="dxa"/>
            <w:vMerge w:val="restart"/>
            <w:tcBorders>
              <w:top w:val="nil"/>
            </w:tcBorders>
            <w:noWrap w:val="0"/>
            <w:vAlign w:val="top"/>
          </w:tcPr>
          <w:p w14:paraId="1185169B">
            <w:pPr>
              <w:pStyle w:val="14"/>
              <w:spacing w:before="65" w:line="480" w:lineRule="auto"/>
              <w:jc w:val="center"/>
              <w:rPr>
                <w:rFonts w:hint="eastAsia" w:ascii="Arial" w:eastAsia="宋体"/>
                <w:sz w:val="21"/>
                <w:highlight w:val="none"/>
                <w:lang w:val="en-US" w:eastAsia="zh-CN"/>
              </w:rPr>
            </w:pPr>
            <w:r>
              <w:rPr>
                <w:rFonts w:hint="eastAsia" w:ascii="Arial"/>
                <w:sz w:val="21"/>
                <w:highlight w:val="none"/>
                <w:lang w:val="en-US" w:eastAsia="zh-CN"/>
              </w:rPr>
              <w:t>专用指标</w:t>
            </w:r>
          </w:p>
        </w:tc>
        <w:tc>
          <w:tcPr>
            <w:tcW w:w="1987" w:type="dxa"/>
            <w:vMerge w:val="restart"/>
            <w:tcBorders>
              <w:top w:val="nil"/>
            </w:tcBorders>
            <w:noWrap w:val="0"/>
            <w:vAlign w:val="top"/>
          </w:tcPr>
          <w:p w14:paraId="2101B7C0">
            <w:pPr>
              <w:jc w:val="center"/>
              <w:rPr>
                <w:rFonts w:hint="default" w:ascii="Arial" w:eastAsia="宋体"/>
                <w:sz w:val="21"/>
                <w:highlight w:val="none"/>
                <w:lang w:val="en-US" w:eastAsia="zh-CN"/>
              </w:rPr>
            </w:pPr>
            <w:r>
              <w:rPr>
                <w:rFonts w:hint="eastAsia" w:ascii="Arial"/>
                <w:sz w:val="21"/>
                <w:highlight w:val="none"/>
                <w:lang w:val="en-US" w:eastAsia="zh-CN"/>
              </w:rPr>
              <w:t>行政运转</w:t>
            </w:r>
          </w:p>
        </w:tc>
        <w:tc>
          <w:tcPr>
            <w:tcW w:w="2663" w:type="dxa"/>
            <w:noWrap w:val="0"/>
            <w:vAlign w:val="top"/>
          </w:tcPr>
          <w:p w14:paraId="5EBFF0BE">
            <w:pPr>
              <w:pStyle w:val="14"/>
              <w:spacing w:before="179" w:line="219" w:lineRule="auto"/>
              <w:jc w:val="center"/>
              <w:rPr>
                <w:highlight w:val="none"/>
              </w:rPr>
            </w:pPr>
            <w:r>
              <w:rPr>
                <w:rFonts w:hint="eastAsia"/>
                <w:spacing w:val="-2"/>
                <w:highlight w:val="none"/>
                <w:lang w:val="en-US" w:eastAsia="zh-CN"/>
              </w:rPr>
              <w:t xml:space="preserve">   </w:t>
            </w:r>
            <w:r>
              <w:rPr>
                <w:rFonts w:hint="eastAsia"/>
                <w:spacing w:val="-2"/>
                <w:highlight w:val="none"/>
              </w:rPr>
              <w:t>用途合规性</w:t>
            </w:r>
          </w:p>
        </w:tc>
        <w:tc>
          <w:tcPr>
            <w:tcW w:w="1450" w:type="dxa"/>
            <w:noWrap w:val="0"/>
            <w:vAlign w:val="top"/>
          </w:tcPr>
          <w:p w14:paraId="49B3B27D">
            <w:pPr>
              <w:pStyle w:val="14"/>
              <w:spacing w:before="191"/>
              <w:jc w:val="center"/>
              <w:rPr>
                <w:rFonts w:hint="eastAsia"/>
                <w:highlight w:val="none"/>
                <w:lang w:val="en-US" w:eastAsia="zh-CN"/>
              </w:rPr>
            </w:pPr>
            <w:r>
              <w:rPr>
                <w:rFonts w:hint="eastAsia" w:ascii="宋体" w:hAnsi="宋体" w:eastAsia="宋体" w:cs="宋体"/>
                <w:spacing w:val="-6"/>
                <w:highlight w:val="none"/>
                <w:lang w:val="en-US" w:eastAsia="zh-CN"/>
              </w:rPr>
              <w:t>10</w:t>
            </w:r>
          </w:p>
        </w:tc>
        <w:tc>
          <w:tcPr>
            <w:tcW w:w="1450" w:type="dxa"/>
            <w:noWrap w:val="0"/>
            <w:vAlign w:val="top"/>
          </w:tcPr>
          <w:p w14:paraId="3A95FADF">
            <w:pPr>
              <w:pStyle w:val="14"/>
              <w:spacing w:before="200"/>
              <w:jc w:val="center"/>
              <w:rPr>
                <w:rFonts w:hint="default" w:eastAsia="宋体"/>
                <w:highlight w:val="none"/>
                <w:lang w:val="en-US" w:eastAsia="zh-CN"/>
              </w:rPr>
            </w:pPr>
            <w:r>
              <w:rPr>
                <w:rFonts w:hint="eastAsia"/>
                <w:highlight w:val="none"/>
                <w:lang w:val="en-US" w:eastAsia="zh-CN"/>
              </w:rPr>
              <w:t>10</w:t>
            </w:r>
          </w:p>
        </w:tc>
      </w:tr>
      <w:tr w14:paraId="78A47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trPr>
        <w:tc>
          <w:tcPr>
            <w:tcW w:w="1550" w:type="dxa"/>
            <w:vMerge w:val="continue"/>
            <w:noWrap w:val="0"/>
            <w:vAlign w:val="top"/>
          </w:tcPr>
          <w:p w14:paraId="62DCA3F5">
            <w:pPr>
              <w:jc w:val="center"/>
              <w:rPr>
                <w:rFonts w:ascii="Arial"/>
                <w:sz w:val="21"/>
                <w:highlight w:val="none"/>
              </w:rPr>
            </w:pPr>
          </w:p>
        </w:tc>
        <w:tc>
          <w:tcPr>
            <w:tcW w:w="1987" w:type="dxa"/>
            <w:vMerge w:val="continue"/>
            <w:noWrap w:val="0"/>
            <w:vAlign w:val="top"/>
          </w:tcPr>
          <w:p w14:paraId="0D51E303">
            <w:pPr>
              <w:jc w:val="center"/>
              <w:rPr>
                <w:rFonts w:ascii="Arial"/>
                <w:sz w:val="21"/>
                <w:highlight w:val="none"/>
              </w:rPr>
            </w:pPr>
          </w:p>
        </w:tc>
        <w:tc>
          <w:tcPr>
            <w:tcW w:w="2663" w:type="dxa"/>
            <w:noWrap w:val="0"/>
            <w:vAlign w:val="top"/>
          </w:tcPr>
          <w:p w14:paraId="366B5D5C">
            <w:pPr>
              <w:pStyle w:val="14"/>
              <w:spacing w:before="172" w:line="220" w:lineRule="auto"/>
              <w:jc w:val="center"/>
              <w:rPr>
                <w:highlight w:val="none"/>
              </w:rPr>
            </w:pPr>
            <w:r>
              <w:rPr>
                <w:rFonts w:hint="eastAsia"/>
                <w:spacing w:val="-2"/>
                <w:highlight w:val="none"/>
                <w:lang w:val="en-US" w:eastAsia="zh-CN"/>
              </w:rPr>
              <w:t xml:space="preserve">   </w:t>
            </w:r>
            <w:r>
              <w:rPr>
                <w:rFonts w:hint="eastAsia"/>
                <w:spacing w:val="-2"/>
                <w:highlight w:val="none"/>
              </w:rPr>
              <w:t>程序合规性</w:t>
            </w:r>
          </w:p>
        </w:tc>
        <w:tc>
          <w:tcPr>
            <w:tcW w:w="1450" w:type="dxa"/>
            <w:noWrap w:val="0"/>
            <w:vAlign w:val="top"/>
          </w:tcPr>
          <w:p w14:paraId="672A8519">
            <w:pPr>
              <w:pStyle w:val="14"/>
              <w:spacing w:before="191"/>
              <w:jc w:val="center"/>
              <w:rPr>
                <w:rFonts w:hint="eastAsia"/>
                <w:highlight w:val="none"/>
                <w:lang w:val="en-US" w:eastAsia="zh-CN"/>
              </w:rPr>
            </w:pPr>
            <w:r>
              <w:rPr>
                <w:spacing w:val="-6"/>
                <w:highlight w:val="none"/>
              </w:rPr>
              <w:t>10</w:t>
            </w:r>
          </w:p>
        </w:tc>
        <w:tc>
          <w:tcPr>
            <w:tcW w:w="1450" w:type="dxa"/>
            <w:noWrap w:val="0"/>
            <w:vAlign w:val="top"/>
          </w:tcPr>
          <w:p w14:paraId="52B33896">
            <w:pPr>
              <w:pStyle w:val="14"/>
              <w:spacing w:before="191"/>
              <w:jc w:val="center"/>
              <w:rPr>
                <w:rFonts w:hint="default" w:eastAsia="宋体"/>
                <w:highlight w:val="none"/>
                <w:lang w:val="en-US" w:eastAsia="zh-CN"/>
              </w:rPr>
            </w:pPr>
            <w:r>
              <w:rPr>
                <w:rFonts w:hint="eastAsia"/>
                <w:highlight w:val="none"/>
                <w:lang w:val="en-US" w:eastAsia="zh-CN"/>
              </w:rPr>
              <w:t>8</w:t>
            </w:r>
          </w:p>
        </w:tc>
      </w:tr>
      <w:tr w14:paraId="78B8D8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continue"/>
            <w:noWrap w:val="0"/>
            <w:vAlign w:val="top"/>
          </w:tcPr>
          <w:p w14:paraId="5E96E62A">
            <w:pPr>
              <w:jc w:val="center"/>
              <w:rPr>
                <w:rFonts w:ascii="Arial"/>
                <w:sz w:val="21"/>
                <w:highlight w:val="none"/>
              </w:rPr>
            </w:pPr>
          </w:p>
        </w:tc>
        <w:tc>
          <w:tcPr>
            <w:tcW w:w="1987" w:type="dxa"/>
            <w:vMerge w:val="continue"/>
            <w:noWrap w:val="0"/>
            <w:vAlign w:val="top"/>
          </w:tcPr>
          <w:p w14:paraId="7D9A92C2">
            <w:pPr>
              <w:jc w:val="center"/>
              <w:rPr>
                <w:rFonts w:ascii="Arial"/>
                <w:sz w:val="21"/>
                <w:highlight w:val="none"/>
              </w:rPr>
            </w:pPr>
          </w:p>
        </w:tc>
        <w:tc>
          <w:tcPr>
            <w:tcW w:w="2663" w:type="dxa"/>
            <w:noWrap w:val="0"/>
            <w:vAlign w:val="top"/>
          </w:tcPr>
          <w:p w14:paraId="1C14DF56">
            <w:pPr>
              <w:pStyle w:val="14"/>
              <w:spacing w:before="174" w:line="219" w:lineRule="auto"/>
              <w:jc w:val="center"/>
              <w:rPr>
                <w:highlight w:val="none"/>
              </w:rPr>
            </w:pPr>
            <w:r>
              <w:rPr>
                <w:rFonts w:hint="eastAsia"/>
                <w:spacing w:val="-2"/>
                <w:highlight w:val="none"/>
                <w:lang w:val="en-US" w:eastAsia="zh-CN"/>
              </w:rPr>
              <w:t xml:space="preserve">   </w:t>
            </w:r>
            <w:r>
              <w:rPr>
                <w:rFonts w:hint="eastAsia"/>
                <w:spacing w:val="-2"/>
                <w:highlight w:val="none"/>
              </w:rPr>
              <w:t>标准合规性</w:t>
            </w:r>
          </w:p>
        </w:tc>
        <w:tc>
          <w:tcPr>
            <w:tcW w:w="1450" w:type="dxa"/>
            <w:noWrap w:val="0"/>
            <w:vAlign w:val="top"/>
          </w:tcPr>
          <w:p w14:paraId="47A3C5DF">
            <w:pPr>
              <w:pStyle w:val="14"/>
              <w:spacing w:before="193"/>
              <w:jc w:val="center"/>
              <w:rPr>
                <w:rFonts w:hint="eastAsia"/>
                <w:highlight w:val="none"/>
                <w:lang w:val="en-US" w:eastAsia="zh-CN"/>
              </w:rPr>
            </w:pPr>
            <w:r>
              <w:rPr>
                <w:spacing w:val="-6"/>
                <w:highlight w:val="none"/>
              </w:rPr>
              <w:t>10</w:t>
            </w:r>
          </w:p>
        </w:tc>
        <w:tc>
          <w:tcPr>
            <w:tcW w:w="1450" w:type="dxa"/>
            <w:noWrap w:val="0"/>
            <w:vAlign w:val="top"/>
          </w:tcPr>
          <w:p w14:paraId="01204572">
            <w:pPr>
              <w:pStyle w:val="14"/>
              <w:spacing w:before="193"/>
              <w:jc w:val="center"/>
              <w:rPr>
                <w:rFonts w:hint="default" w:eastAsia="宋体"/>
                <w:highlight w:val="none"/>
                <w:lang w:val="en-US" w:eastAsia="zh-CN"/>
              </w:rPr>
            </w:pPr>
            <w:r>
              <w:rPr>
                <w:rFonts w:hint="eastAsia"/>
                <w:highlight w:val="none"/>
                <w:lang w:val="en-US" w:eastAsia="zh-CN"/>
              </w:rPr>
              <w:t>10</w:t>
            </w:r>
          </w:p>
        </w:tc>
      </w:tr>
      <w:tr w14:paraId="3578FE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restart"/>
            <w:noWrap w:val="0"/>
            <w:vAlign w:val="top"/>
          </w:tcPr>
          <w:p w14:paraId="55E00F5B">
            <w:pPr>
              <w:pStyle w:val="14"/>
              <w:spacing w:before="65" w:line="720" w:lineRule="auto"/>
              <w:ind w:firstLine="392" w:firstLineChars="200"/>
              <w:jc w:val="both"/>
              <w:rPr>
                <w:highlight w:val="none"/>
              </w:rPr>
            </w:pPr>
            <w:r>
              <w:rPr>
                <w:spacing w:val="-2"/>
                <w:highlight w:val="none"/>
              </w:rPr>
              <w:t>个性指标</w:t>
            </w:r>
          </w:p>
        </w:tc>
        <w:tc>
          <w:tcPr>
            <w:tcW w:w="1987" w:type="dxa"/>
            <w:vMerge w:val="restart"/>
            <w:noWrap w:val="0"/>
            <w:vAlign w:val="top"/>
          </w:tcPr>
          <w:p w14:paraId="316238D3">
            <w:pPr>
              <w:pStyle w:val="14"/>
              <w:spacing w:before="175" w:line="600" w:lineRule="auto"/>
              <w:jc w:val="center"/>
              <w:rPr>
                <w:highlight w:val="none"/>
              </w:rPr>
            </w:pPr>
            <w:r>
              <w:rPr>
                <w:rFonts w:hint="eastAsia"/>
                <w:highlight w:val="none"/>
              </w:rPr>
              <w:t>根据具体项目制定</w:t>
            </w:r>
          </w:p>
        </w:tc>
        <w:tc>
          <w:tcPr>
            <w:tcW w:w="2663" w:type="dxa"/>
            <w:noWrap w:val="0"/>
            <w:vAlign w:val="top"/>
          </w:tcPr>
          <w:p w14:paraId="48B64738">
            <w:pPr>
              <w:pStyle w:val="14"/>
              <w:spacing w:before="175" w:line="219" w:lineRule="auto"/>
              <w:jc w:val="center"/>
              <w:rPr>
                <w:highlight w:val="none"/>
              </w:rPr>
            </w:pPr>
            <w:r>
              <w:rPr>
                <w:rFonts w:hint="eastAsia"/>
                <w:spacing w:val="-1"/>
                <w:highlight w:val="none"/>
              </w:rPr>
              <w:t>补贴政策宣传覆盖有效性</w:t>
            </w:r>
          </w:p>
        </w:tc>
        <w:tc>
          <w:tcPr>
            <w:tcW w:w="1450" w:type="dxa"/>
            <w:noWrap w:val="0"/>
            <w:vAlign w:val="top"/>
          </w:tcPr>
          <w:p w14:paraId="5A3D37EB">
            <w:pPr>
              <w:pStyle w:val="14"/>
              <w:spacing w:before="65"/>
              <w:jc w:val="center"/>
              <w:rPr>
                <w:rFonts w:hint="eastAsia"/>
                <w:highlight w:val="none"/>
                <w:lang w:val="en-US" w:eastAsia="zh-CN"/>
              </w:rPr>
            </w:pPr>
            <w:r>
              <w:rPr>
                <w:rFonts w:hint="eastAsia"/>
                <w:highlight w:val="none"/>
                <w:lang w:val="en-US" w:eastAsia="zh-CN"/>
              </w:rPr>
              <w:t>8</w:t>
            </w:r>
          </w:p>
        </w:tc>
        <w:tc>
          <w:tcPr>
            <w:tcW w:w="1450" w:type="dxa"/>
            <w:noWrap w:val="0"/>
            <w:vAlign w:val="top"/>
          </w:tcPr>
          <w:p w14:paraId="46844320">
            <w:pPr>
              <w:pStyle w:val="14"/>
              <w:spacing w:before="65"/>
              <w:jc w:val="center"/>
              <w:rPr>
                <w:rFonts w:hint="default"/>
                <w:highlight w:val="none"/>
                <w:lang w:val="en-US" w:eastAsia="zh-CN"/>
              </w:rPr>
            </w:pPr>
            <w:r>
              <w:rPr>
                <w:rFonts w:hint="eastAsia"/>
                <w:highlight w:val="none"/>
                <w:lang w:val="en-US" w:eastAsia="zh-CN"/>
              </w:rPr>
              <w:t>8</w:t>
            </w:r>
          </w:p>
        </w:tc>
      </w:tr>
      <w:tr w14:paraId="6FC6F3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continue"/>
            <w:noWrap w:val="0"/>
            <w:vAlign w:val="top"/>
          </w:tcPr>
          <w:p w14:paraId="23C4EF64">
            <w:pPr>
              <w:rPr>
                <w:rFonts w:ascii="Arial"/>
                <w:sz w:val="21"/>
                <w:highlight w:val="yellow"/>
              </w:rPr>
            </w:pPr>
          </w:p>
        </w:tc>
        <w:tc>
          <w:tcPr>
            <w:tcW w:w="1987" w:type="dxa"/>
            <w:vMerge w:val="continue"/>
            <w:noWrap w:val="0"/>
            <w:vAlign w:val="top"/>
          </w:tcPr>
          <w:p w14:paraId="3E8D7A92">
            <w:pPr>
              <w:pStyle w:val="14"/>
              <w:spacing w:before="175" w:line="219" w:lineRule="auto"/>
              <w:jc w:val="center"/>
              <w:rPr>
                <w:highlight w:val="yellow"/>
              </w:rPr>
            </w:pPr>
          </w:p>
        </w:tc>
        <w:tc>
          <w:tcPr>
            <w:tcW w:w="2663" w:type="dxa"/>
            <w:noWrap w:val="0"/>
            <w:vAlign w:val="top"/>
          </w:tcPr>
          <w:p w14:paraId="06A16560">
            <w:pPr>
              <w:pStyle w:val="14"/>
              <w:spacing w:before="175" w:line="219" w:lineRule="auto"/>
              <w:jc w:val="center"/>
              <w:rPr>
                <w:highlight w:val="none"/>
              </w:rPr>
            </w:pPr>
            <w:r>
              <w:rPr>
                <w:rFonts w:hint="default"/>
                <w:spacing w:val="-1"/>
                <w:highlight w:val="none"/>
                <w:lang w:val="en-US" w:eastAsia="zh-CN"/>
              </w:rPr>
              <w:t>耕地地力保护补贴档案归档完整性</w:t>
            </w:r>
          </w:p>
        </w:tc>
        <w:tc>
          <w:tcPr>
            <w:tcW w:w="1450" w:type="dxa"/>
            <w:noWrap w:val="0"/>
            <w:vAlign w:val="top"/>
          </w:tcPr>
          <w:p w14:paraId="45BD68F0">
            <w:pPr>
              <w:pStyle w:val="14"/>
              <w:spacing w:before="65"/>
              <w:jc w:val="center"/>
              <w:rPr>
                <w:rFonts w:hint="eastAsia"/>
                <w:highlight w:val="none"/>
                <w:lang w:val="en-US" w:eastAsia="zh-CN"/>
              </w:rPr>
            </w:pPr>
            <w:r>
              <w:rPr>
                <w:rFonts w:hint="eastAsia"/>
                <w:highlight w:val="none"/>
                <w:lang w:val="en-US" w:eastAsia="zh-CN"/>
              </w:rPr>
              <w:t>8</w:t>
            </w:r>
          </w:p>
        </w:tc>
        <w:tc>
          <w:tcPr>
            <w:tcW w:w="1450" w:type="dxa"/>
            <w:noWrap w:val="0"/>
            <w:vAlign w:val="top"/>
          </w:tcPr>
          <w:p w14:paraId="3D2B48C0">
            <w:pPr>
              <w:pStyle w:val="14"/>
              <w:spacing w:before="65"/>
              <w:jc w:val="center"/>
              <w:rPr>
                <w:rFonts w:hint="default"/>
                <w:highlight w:val="none"/>
                <w:lang w:val="en-US" w:eastAsia="zh-CN"/>
              </w:rPr>
            </w:pPr>
            <w:r>
              <w:rPr>
                <w:rFonts w:hint="eastAsia"/>
                <w:highlight w:val="none"/>
                <w:lang w:val="en-US" w:eastAsia="zh-CN"/>
              </w:rPr>
              <w:t>8</w:t>
            </w:r>
          </w:p>
        </w:tc>
      </w:tr>
      <w:tr w14:paraId="01CEB1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restart"/>
            <w:noWrap w:val="0"/>
            <w:vAlign w:val="top"/>
          </w:tcPr>
          <w:p w14:paraId="1082A367">
            <w:pPr>
              <w:pStyle w:val="14"/>
              <w:spacing w:before="65" w:line="600" w:lineRule="auto"/>
              <w:ind w:firstLine="392" w:firstLineChars="200"/>
              <w:jc w:val="both"/>
              <w:rPr>
                <w:rFonts w:hint="eastAsia" w:ascii="Arial" w:eastAsia="宋体"/>
                <w:sz w:val="21"/>
                <w:highlight w:val="yellow"/>
                <w:lang w:val="en-US" w:eastAsia="zh-CN"/>
              </w:rPr>
            </w:pPr>
            <w:r>
              <w:rPr>
                <w:rFonts w:hint="eastAsia"/>
                <w:spacing w:val="-2"/>
                <w:highlight w:val="none"/>
                <w:lang w:val="en-US" w:eastAsia="zh-CN"/>
              </w:rPr>
              <w:t>扣分项</w:t>
            </w:r>
          </w:p>
        </w:tc>
        <w:tc>
          <w:tcPr>
            <w:tcW w:w="1987" w:type="dxa"/>
            <w:noWrap w:val="0"/>
            <w:vAlign w:val="top"/>
          </w:tcPr>
          <w:p w14:paraId="764F50CF">
            <w:pPr>
              <w:pStyle w:val="14"/>
              <w:spacing w:before="175" w:line="219" w:lineRule="auto"/>
              <w:jc w:val="center"/>
              <w:rPr>
                <w:highlight w:val="yellow"/>
              </w:rPr>
            </w:pPr>
            <w:r>
              <w:rPr>
                <w:rFonts w:hint="eastAsia"/>
                <w:highlight w:val="none"/>
              </w:rPr>
              <w:t>绩效管理存在问题</w:t>
            </w:r>
          </w:p>
        </w:tc>
        <w:tc>
          <w:tcPr>
            <w:tcW w:w="2663" w:type="dxa"/>
            <w:noWrap w:val="0"/>
            <w:vAlign w:val="top"/>
          </w:tcPr>
          <w:p w14:paraId="2377FCF6">
            <w:pPr>
              <w:pStyle w:val="14"/>
              <w:spacing w:before="175" w:line="219" w:lineRule="auto"/>
              <w:jc w:val="center"/>
              <w:rPr>
                <w:rFonts w:hint="default"/>
                <w:spacing w:val="-1"/>
                <w:highlight w:val="none"/>
                <w:lang w:val="en-US" w:eastAsia="zh-CN"/>
              </w:rPr>
            </w:pPr>
            <w:r>
              <w:rPr>
                <w:rFonts w:hint="default"/>
                <w:spacing w:val="-1"/>
                <w:highlight w:val="none"/>
                <w:lang w:val="en-US" w:eastAsia="zh-CN"/>
              </w:rPr>
              <w:t>预算绩效管理工作存在问题</w:t>
            </w:r>
          </w:p>
        </w:tc>
        <w:tc>
          <w:tcPr>
            <w:tcW w:w="1450" w:type="dxa"/>
            <w:noWrap w:val="0"/>
            <w:vAlign w:val="top"/>
          </w:tcPr>
          <w:p w14:paraId="1D50A3DC">
            <w:pPr>
              <w:pStyle w:val="14"/>
              <w:spacing w:before="189"/>
              <w:jc w:val="center"/>
              <w:rPr>
                <w:rFonts w:hint="eastAsia"/>
                <w:highlight w:val="none"/>
                <w:lang w:val="en-US" w:eastAsia="zh-CN"/>
              </w:rPr>
            </w:pPr>
            <w:r>
              <w:rPr>
                <w:rFonts w:hint="eastAsia"/>
                <w:highlight w:val="none"/>
                <w:lang w:val="en-US" w:eastAsia="zh-CN"/>
              </w:rPr>
              <w:t>-</w:t>
            </w:r>
          </w:p>
        </w:tc>
        <w:tc>
          <w:tcPr>
            <w:tcW w:w="1450" w:type="dxa"/>
            <w:noWrap w:val="0"/>
            <w:vAlign w:val="top"/>
          </w:tcPr>
          <w:p w14:paraId="60DFDA80">
            <w:pPr>
              <w:pStyle w:val="14"/>
              <w:spacing w:before="195"/>
              <w:jc w:val="center"/>
              <w:rPr>
                <w:rFonts w:hint="default"/>
                <w:highlight w:val="none"/>
                <w:lang w:val="en-US" w:eastAsia="zh-CN"/>
              </w:rPr>
            </w:pPr>
            <w:r>
              <w:rPr>
                <w:rFonts w:hint="eastAsia"/>
                <w:highlight w:val="none"/>
                <w:lang w:val="en-US" w:eastAsia="zh-CN"/>
              </w:rPr>
              <w:t>-1</w:t>
            </w:r>
          </w:p>
        </w:tc>
      </w:tr>
      <w:tr w14:paraId="17AA3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continue"/>
            <w:noWrap w:val="0"/>
            <w:vAlign w:val="top"/>
          </w:tcPr>
          <w:p w14:paraId="6710BCFC">
            <w:pPr>
              <w:rPr>
                <w:rFonts w:ascii="Arial"/>
                <w:sz w:val="21"/>
                <w:highlight w:val="yellow"/>
              </w:rPr>
            </w:pPr>
          </w:p>
        </w:tc>
        <w:tc>
          <w:tcPr>
            <w:tcW w:w="1987" w:type="dxa"/>
            <w:noWrap w:val="0"/>
            <w:vAlign w:val="top"/>
          </w:tcPr>
          <w:p w14:paraId="211709F2">
            <w:pPr>
              <w:pStyle w:val="14"/>
              <w:spacing w:before="175" w:line="219" w:lineRule="auto"/>
              <w:jc w:val="center"/>
              <w:rPr>
                <w:highlight w:val="yellow"/>
              </w:rPr>
            </w:pPr>
            <w:r>
              <w:rPr>
                <w:rFonts w:hint="eastAsia"/>
                <w:highlight w:val="none"/>
              </w:rPr>
              <w:t>被评价部门配合度</w:t>
            </w:r>
          </w:p>
        </w:tc>
        <w:tc>
          <w:tcPr>
            <w:tcW w:w="2663" w:type="dxa"/>
            <w:noWrap w:val="0"/>
            <w:vAlign w:val="top"/>
          </w:tcPr>
          <w:p w14:paraId="06CC75B5">
            <w:pPr>
              <w:pStyle w:val="14"/>
              <w:spacing w:before="175" w:line="219" w:lineRule="auto"/>
              <w:jc w:val="center"/>
              <w:rPr>
                <w:rFonts w:hint="default"/>
                <w:spacing w:val="-1"/>
                <w:highlight w:val="none"/>
                <w:lang w:val="en-US" w:eastAsia="zh-CN"/>
              </w:rPr>
            </w:pPr>
            <w:r>
              <w:rPr>
                <w:rFonts w:hint="default"/>
                <w:spacing w:val="-1"/>
                <w:highlight w:val="none"/>
                <w:lang w:val="en-US" w:eastAsia="zh-CN"/>
              </w:rPr>
              <w:t>被评价对象工作配合情况</w:t>
            </w:r>
          </w:p>
        </w:tc>
        <w:tc>
          <w:tcPr>
            <w:tcW w:w="1450" w:type="dxa"/>
            <w:noWrap w:val="0"/>
            <w:vAlign w:val="top"/>
          </w:tcPr>
          <w:p w14:paraId="0B968F88">
            <w:pPr>
              <w:pStyle w:val="14"/>
              <w:spacing w:before="190"/>
              <w:jc w:val="center"/>
              <w:rPr>
                <w:rFonts w:hint="eastAsia"/>
                <w:highlight w:val="none"/>
                <w:lang w:val="en-US" w:eastAsia="zh-CN"/>
              </w:rPr>
            </w:pPr>
            <w:r>
              <w:rPr>
                <w:rFonts w:hint="eastAsia"/>
                <w:highlight w:val="none"/>
                <w:lang w:val="en-US" w:eastAsia="zh-CN"/>
              </w:rPr>
              <w:t>-</w:t>
            </w:r>
          </w:p>
        </w:tc>
        <w:tc>
          <w:tcPr>
            <w:tcW w:w="1450" w:type="dxa"/>
            <w:noWrap w:val="0"/>
            <w:vAlign w:val="top"/>
          </w:tcPr>
          <w:p w14:paraId="778853A2">
            <w:pPr>
              <w:pStyle w:val="14"/>
              <w:spacing w:before="195"/>
              <w:jc w:val="center"/>
              <w:rPr>
                <w:rFonts w:hint="default"/>
                <w:highlight w:val="none"/>
                <w:lang w:val="en-US" w:eastAsia="zh-CN"/>
              </w:rPr>
            </w:pPr>
            <w:r>
              <w:rPr>
                <w:rFonts w:hint="eastAsia"/>
                <w:highlight w:val="none"/>
                <w:lang w:val="en-US" w:eastAsia="zh-CN"/>
              </w:rPr>
              <w:t>0</w:t>
            </w:r>
          </w:p>
        </w:tc>
      </w:tr>
      <w:tr w14:paraId="4BFA9E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6200" w:type="dxa"/>
            <w:gridSpan w:val="3"/>
            <w:noWrap w:val="0"/>
            <w:vAlign w:val="top"/>
          </w:tcPr>
          <w:p w14:paraId="2C7729EC">
            <w:pPr>
              <w:pStyle w:val="14"/>
              <w:spacing w:before="175" w:line="219" w:lineRule="auto"/>
              <w:jc w:val="center"/>
              <w:rPr>
                <w:rFonts w:hint="default"/>
                <w:spacing w:val="-1"/>
                <w:highlight w:val="none"/>
                <w:lang w:val="en-US" w:eastAsia="zh-CN"/>
              </w:rPr>
            </w:pPr>
            <w:r>
              <w:rPr>
                <w:rFonts w:hint="eastAsia"/>
                <w:b/>
                <w:bCs/>
                <w:spacing w:val="-1"/>
                <w:highlight w:val="none"/>
                <w:lang w:val="en-US" w:eastAsia="zh-CN"/>
              </w:rPr>
              <w:t>合计</w:t>
            </w:r>
          </w:p>
        </w:tc>
        <w:tc>
          <w:tcPr>
            <w:tcW w:w="1450" w:type="dxa"/>
            <w:noWrap w:val="0"/>
            <w:vAlign w:val="top"/>
          </w:tcPr>
          <w:p w14:paraId="33C8EC51">
            <w:pPr>
              <w:pStyle w:val="14"/>
              <w:spacing w:before="190"/>
              <w:jc w:val="center"/>
              <w:rPr>
                <w:rFonts w:hint="default"/>
                <w:highlight w:val="none"/>
                <w:lang w:val="en-US" w:eastAsia="zh-CN"/>
              </w:rPr>
            </w:pPr>
            <w:r>
              <w:rPr>
                <w:rFonts w:hint="eastAsia"/>
                <w:highlight w:val="none"/>
                <w:lang w:val="en-US" w:eastAsia="zh-CN"/>
              </w:rPr>
              <w:t>100</w:t>
            </w:r>
          </w:p>
        </w:tc>
        <w:tc>
          <w:tcPr>
            <w:tcW w:w="1450" w:type="dxa"/>
            <w:noWrap w:val="0"/>
            <w:vAlign w:val="top"/>
          </w:tcPr>
          <w:p w14:paraId="262D0A38">
            <w:pPr>
              <w:pStyle w:val="14"/>
              <w:spacing w:before="195"/>
              <w:jc w:val="center"/>
              <w:rPr>
                <w:rFonts w:hint="default"/>
                <w:highlight w:val="yellow"/>
                <w:lang w:val="en-US" w:eastAsia="zh-CN"/>
              </w:rPr>
            </w:pPr>
            <w:r>
              <w:rPr>
                <w:rFonts w:hint="eastAsia"/>
                <w:highlight w:val="none"/>
                <w:lang w:val="en-US" w:eastAsia="zh-CN"/>
              </w:rPr>
              <w:t>88.97</w:t>
            </w:r>
          </w:p>
        </w:tc>
      </w:tr>
    </w:tbl>
    <w:p w14:paraId="39D8DFFB">
      <w:pPr>
        <w:spacing w:line="560" w:lineRule="exact"/>
        <w:ind w:firstLine="480" w:firstLineChars="200"/>
        <w:jc w:val="left"/>
        <w:rPr>
          <w:rFonts w:hint="default" w:ascii="宋体" w:hAnsi="宋体" w:cs="宋体"/>
          <w:bCs/>
          <w:sz w:val="24"/>
          <w:szCs w:val="24"/>
          <w:highlight w:val="none"/>
          <w:lang w:val="en-US" w:eastAsia="zh-CN"/>
        </w:rPr>
      </w:pPr>
      <w:r>
        <w:rPr>
          <w:rFonts w:hint="eastAsia" w:ascii="宋体" w:hAnsi="宋体" w:eastAsia="宋体" w:cs="宋体"/>
          <w:bCs/>
          <w:sz w:val="24"/>
          <w:szCs w:val="24"/>
          <w:lang w:val="en-US" w:eastAsia="zh-CN"/>
        </w:rPr>
        <w:t>（注：评价结果的等级划分为四档：90（含）-100分为“优”、80（含）-90分为“良”、70（含）-80分为“中”、70分以下为“差”）</w:t>
      </w:r>
    </w:p>
    <w:p w14:paraId="67DFC034">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2" w:firstLineChars="200"/>
        <w:textAlignment w:val="auto"/>
        <w:outlineLvl w:val="0"/>
        <w:rPr>
          <w:rFonts w:hint="default" w:ascii="Times New Roman" w:hAnsi="Times New Roman" w:eastAsia="宋体" w:cs="Times New Roman"/>
          <w:b/>
          <w:bCs/>
          <w:color w:val="auto"/>
          <w:sz w:val="24"/>
          <w:szCs w:val="24"/>
          <w:highlight w:val="none"/>
          <w:lang w:val="en-US" w:eastAsia="zh-CN"/>
        </w:rPr>
      </w:pPr>
      <w:bookmarkStart w:id="40" w:name="_Toc23097"/>
      <w:bookmarkStart w:id="41" w:name="_Toc5238"/>
      <w:bookmarkStart w:id="42" w:name="_Toc31880"/>
      <w:bookmarkStart w:id="43" w:name="_Toc2799"/>
      <w:bookmarkStart w:id="44" w:name="_Toc5273"/>
      <w:r>
        <w:rPr>
          <w:rFonts w:hint="eastAsia" w:ascii="Times New Roman" w:hAnsi="Times New Roman" w:eastAsia="宋体" w:cs="Times New Roman"/>
          <w:b/>
          <w:bCs/>
          <w:color w:val="auto"/>
          <w:sz w:val="24"/>
          <w:szCs w:val="24"/>
          <w:highlight w:val="none"/>
          <w:lang w:val="en-US" w:eastAsia="zh-CN"/>
        </w:rPr>
        <w:t>五、项目绩效分析</w:t>
      </w:r>
      <w:bookmarkEnd w:id="40"/>
      <w:bookmarkEnd w:id="41"/>
      <w:bookmarkEnd w:id="42"/>
      <w:bookmarkEnd w:id="43"/>
      <w:bookmarkEnd w:id="44"/>
    </w:p>
    <w:p w14:paraId="16DB66F7">
      <w:pPr>
        <w:numPr>
          <w:ilvl w:val="0"/>
          <w:numId w:val="0"/>
        </w:numPr>
        <w:tabs>
          <w:tab w:val="left" w:pos="0"/>
        </w:tabs>
        <w:spacing w:line="360" w:lineRule="auto"/>
        <w:ind w:left="0" w:leftChars="0" w:firstLine="482" w:firstLineChars="200"/>
        <w:jc w:val="left"/>
        <w:outlineLvl w:val="1"/>
        <w:rPr>
          <w:rFonts w:hint="default" w:ascii="Times New Roman" w:hAnsi="Times New Roman" w:cs="Times New Roman"/>
          <w:b/>
          <w:bCs/>
          <w:color w:val="auto"/>
          <w:sz w:val="24"/>
          <w:szCs w:val="24"/>
          <w:highlight w:val="none"/>
          <w:lang w:val="en-US" w:eastAsia="zh-CN"/>
        </w:rPr>
      </w:pPr>
      <w:bookmarkStart w:id="45" w:name="_Toc153"/>
      <w:bookmarkStart w:id="46" w:name="_Toc29460"/>
      <w:bookmarkStart w:id="47" w:name="_Toc9230"/>
      <w:bookmarkStart w:id="48" w:name="_Toc26444"/>
      <w:r>
        <w:rPr>
          <w:rFonts w:hint="eastAsia" w:ascii="Times New Roman" w:hAnsi="Times New Roman" w:cs="Times New Roman"/>
          <w:b/>
          <w:bCs/>
          <w:color w:val="auto"/>
          <w:sz w:val="24"/>
          <w:szCs w:val="24"/>
          <w:highlight w:val="none"/>
          <w:lang w:val="en-US" w:eastAsia="zh-CN"/>
        </w:rPr>
        <w:t>（一）</w:t>
      </w:r>
      <w:r>
        <w:rPr>
          <w:rFonts w:hint="default" w:ascii="Times New Roman" w:hAnsi="Times New Roman" w:cs="Times New Roman"/>
          <w:b/>
          <w:bCs/>
          <w:color w:val="auto"/>
          <w:sz w:val="24"/>
          <w:szCs w:val="24"/>
          <w:highlight w:val="none"/>
          <w:lang w:val="en-US" w:eastAsia="zh-CN"/>
        </w:rPr>
        <w:t>通用指标</w:t>
      </w:r>
      <w:bookmarkEnd w:id="45"/>
      <w:bookmarkEnd w:id="46"/>
      <w:bookmarkEnd w:id="47"/>
      <w:bookmarkEnd w:id="48"/>
    </w:p>
    <w:p w14:paraId="657C53C2">
      <w:pPr>
        <w:numPr>
          <w:ilvl w:val="0"/>
          <w:numId w:val="0"/>
        </w:numPr>
        <w:tabs>
          <w:tab w:val="left" w:pos="0"/>
        </w:tabs>
        <w:spacing w:line="360" w:lineRule="auto"/>
        <w:ind w:left="0" w:leftChars="0" w:firstLine="482" w:firstLineChars="200"/>
        <w:jc w:val="left"/>
        <w:outlineLvl w:val="2"/>
        <w:rPr>
          <w:rFonts w:hint="default" w:ascii="Times New Roman" w:hAnsi="Times New Roman" w:cs="Times New Roman"/>
          <w:b/>
          <w:bCs/>
          <w:color w:val="auto"/>
          <w:sz w:val="24"/>
          <w:szCs w:val="24"/>
          <w:highlight w:val="none"/>
          <w:lang w:val="en-US" w:eastAsia="zh-CN"/>
        </w:rPr>
      </w:pPr>
      <w:bookmarkStart w:id="49" w:name="_Toc3066"/>
      <w:bookmarkStart w:id="50" w:name="_Toc19156"/>
      <w:bookmarkStart w:id="51" w:name="_Toc2727"/>
      <w:bookmarkStart w:id="52" w:name="_Toc21744"/>
      <w:r>
        <w:rPr>
          <w:rFonts w:hint="default" w:ascii="Times New Roman" w:hAnsi="Times New Roman" w:cs="Times New Roman"/>
          <w:b/>
          <w:bCs/>
          <w:color w:val="auto"/>
          <w:sz w:val="24"/>
          <w:szCs w:val="24"/>
          <w:highlight w:val="none"/>
          <w:lang w:val="en-US" w:eastAsia="zh-CN"/>
        </w:rPr>
        <w:t>1.项目决策</w:t>
      </w:r>
      <w:bookmarkEnd w:id="49"/>
      <w:bookmarkEnd w:id="50"/>
      <w:bookmarkEnd w:id="51"/>
      <w:bookmarkEnd w:id="52"/>
    </w:p>
    <w:p w14:paraId="061BA283">
      <w:pPr>
        <w:numPr>
          <w:ilvl w:val="0"/>
          <w:numId w:val="0"/>
        </w:numPr>
        <w:tabs>
          <w:tab w:val="left" w:pos="0"/>
        </w:tabs>
        <w:spacing w:line="360" w:lineRule="auto"/>
        <w:ind w:left="0" w:leftChars="0" w:firstLine="482" w:firstLineChars="200"/>
        <w:jc w:val="left"/>
        <w:outlineLvl w:val="3"/>
        <w:rPr>
          <w:rFonts w:hint="default" w:ascii="Times New Roman" w:hAnsi="Times New Roman" w:cs="Times New Roman"/>
          <w:b/>
          <w:bCs/>
          <w:color w:val="auto"/>
          <w:sz w:val="24"/>
          <w:szCs w:val="24"/>
          <w:highlight w:val="none"/>
          <w:lang w:val="en-US" w:eastAsia="zh-CN"/>
        </w:rPr>
      </w:pPr>
      <w:bookmarkStart w:id="53" w:name="_Toc11669"/>
      <w:r>
        <w:rPr>
          <w:rFonts w:hint="eastAsia" w:ascii="Times New Roman" w:hAnsi="Times New Roman" w:cs="Times New Roman"/>
          <w:b/>
          <w:bCs/>
          <w:color w:val="auto"/>
          <w:sz w:val="24"/>
          <w:szCs w:val="24"/>
          <w:highlight w:val="none"/>
          <w:lang w:val="en-US" w:eastAsia="zh-CN"/>
        </w:rPr>
        <w:t>（1）</w:t>
      </w:r>
      <w:r>
        <w:rPr>
          <w:rFonts w:hint="default" w:ascii="Times New Roman" w:hAnsi="Times New Roman" w:cs="Times New Roman"/>
          <w:b/>
          <w:bCs/>
          <w:color w:val="auto"/>
          <w:sz w:val="24"/>
          <w:szCs w:val="24"/>
          <w:highlight w:val="none"/>
          <w:lang w:val="en-US" w:eastAsia="zh-CN"/>
        </w:rPr>
        <w:t>决策程序</w:t>
      </w:r>
      <w:bookmarkEnd w:id="53"/>
    </w:p>
    <w:p w14:paraId="07600778">
      <w:pPr>
        <w:spacing w:line="560" w:lineRule="exact"/>
        <w:ind w:firstLine="480" w:firstLineChars="200"/>
        <w:jc w:val="left"/>
        <w:rPr>
          <w:rFonts w:hint="default" w:ascii="宋体" w:hAnsi="宋体" w:eastAsia="宋体" w:cs="宋体"/>
          <w:bCs/>
          <w:sz w:val="24"/>
          <w:szCs w:val="24"/>
          <w:lang w:val="en-US" w:eastAsia="zh-CN"/>
        </w:rPr>
      </w:pPr>
      <w:r>
        <w:rPr>
          <w:rFonts w:hint="default" w:ascii="宋体" w:hAnsi="宋体" w:eastAsia="宋体" w:cs="宋体"/>
          <w:bCs/>
          <w:sz w:val="24"/>
          <w:szCs w:val="24"/>
          <w:highlight w:val="none"/>
          <w:lang w:val="en-US" w:eastAsia="zh-CN"/>
        </w:rPr>
        <w:t>根据党的十九大系列会议精神，以绿色生态为导向，引导农民采取秸秆还田、科学施肥用药、推进病虫害绿色防控和统防统治等综合措施，切实加强农业生态资源保护，提升耕地地力，该项目资金主要</w:t>
      </w:r>
      <w:r>
        <w:rPr>
          <w:rFonts w:hint="eastAsia" w:ascii="宋体" w:hAnsi="宋体" w:cs="宋体"/>
          <w:bCs/>
          <w:sz w:val="24"/>
          <w:szCs w:val="24"/>
          <w:highlight w:val="none"/>
          <w:lang w:val="en-US" w:eastAsia="zh-CN"/>
        </w:rPr>
        <w:t>用于开展耕地地力保护补贴</w:t>
      </w:r>
      <w:r>
        <w:rPr>
          <w:rFonts w:hint="eastAsia" w:ascii="宋体" w:hAnsi="宋体" w:cs="宋体"/>
          <w:bCs/>
          <w:sz w:val="24"/>
          <w:szCs w:val="24"/>
          <w:lang w:val="en-US" w:eastAsia="zh-CN"/>
        </w:rPr>
        <w:t>。</w:t>
      </w:r>
    </w:p>
    <w:p w14:paraId="124A8C4B">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该项目设立符合专项项目的基本规范及程序标准，项目定位与对应部门的职责范畴高度适配，符合地方事权支出责任划分原则</w:t>
      </w:r>
      <w:r>
        <w:rPr>
          <w:rFonts w:hint="eastAsia" w:ascii="宋体" w:hAnsi="宋体" w:cs="宋体"/>
          <w:bCs/>
          <w:sz w:val="24"/>
          <w:szCs w:val="24"/>
          <w:highlight w:val="none"/>
          <w:lang w:val="en-US" w:eastAsia="zh-CN"/>
        </w:rPr>
        <w:t>。</w:t>
      </w:r>
    </w:p>
    <w:p w14:paraId="48411D25">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综上，“决策程序”指标权重为6分，扣0分，得6分</w:t>
      </w:r>
      <w:r>
        <w:rPr>
          <w:rFonts w:hint="eastAsia" w:ascii="宋体" w:hAnsi="宋体" w:eastAsia="宋体" w:cs="宋体"/>
          <w:bCs/>
          <w:sz w:val="24"/>
          <w:szCs w:val="24"/>
          <w:highlight w:val="none"/>
          <w:lang w:val="en-US" w:eastAsia="zh-CN"/>
        </w:rPr>
        <w:t>。</w:t>
      </w:r>
    </w:p>
    <w:p w14:paraId="0FF33360">
      <w:pPr>
        <w:numPr>
          <w:ilvl w:val="0"/>
          <w:numId w:val="0"/>
        </w:numPr>
        <w:tabs>
          <w:tab w:val="left" w:pos="0"/>
        </w:tabs>
        <w:spacing w:line="360" w:lineRule="auto"/>
        <w:ind w:left="0" w:leftChars="0" w:firstLine="482" w:firstLineChars="200"/>
        <w:jc w:val="left"/>
        <w:outlineLvl w:val="3"/>
        <w:rPr>
          <w:rFonts w:hint="eastAsia" w:ascii="Times New Roman" w:hAnsi="Times New Roman" w:eastAsia="宋体" w:cs="Times New Roman"/>
          <w:b/>
          <w:bCs/>
          <w:color w:val="auto"/>
          <w:sz w:val="24"/>
          <w:szCs w:val="24"/>
          <w:highlight w:val="none"/>
          <w:lang w:val="en-US" w:eastAsia="zh-CN"/>
        </w:rPr>
      </w:pPr>
      <w:bookmarkStart w:id="54" w:name="_Toc1693"/>
      <w:r>
        <w:rPr>
          <w:rFonts w:hint="eastAsia" w:ascii="Times New Roman" w:hAnsi="Times New Roman" w:eastAsia="宋体" w:cs="Times New Roman"/>
          <w:b/>
          <w:bCs/>
          <w:color w:val="auto"/>
          <w:sz w:val="24"/>
          <w:szCs w:val="24"/>
          <w:highlight w:val="none"/>
          <w:lang w:val="en-US" w:eastAsia="zh-CN"/>
        </w:rPr>
        <w:t>（2）规划论证</w:t>
      </w:r>
      <w:bookmarkEnd w:id="54"/>
    </w:p>
    <w:p w14:paraId="560617B5">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该项目设立依据充分，项目规划符合省委、省政府决策部署和宏观政策规划，具备项目立项的必要性、前瞻性、合理性和可行性。</w:t>
      </w:r>
    </w:p>
    <w:p w14:paraId="2C5BBA6F">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w:t>
      </w:r>
      <w:r>
        <w:rPr>
          <w:rFonts w:hint="eastAsia" w:ascii="宋体" w:hAnsi="宋体" w:cs="宋体"/>
          <w:bCs/>
          <w:sz w:val="24"/>
          <w:szCs w:val="24"/>
          <w:highlight w:val="none"/>
          <w:lang w:val="en-US" w:eastAsia="zh-CN"/>
        </w:rPr>
        <w:t>未设置</w:t>
      </w:r>
      <w:r>
        <w:rPr>
          <w:rFonts w:hint="default" w:ascii="宋体" w:hAnsi="宋体" w:eastAsia="宋体" w:cs="宋体"/>
          <w:bCs/>
          <w:sz w:val="24"/>
          <w:szCs w:val="24"/>
          <w:highlight w:val="none"/>
          <w:lang w:val="en-US" w:eastAsia="zh-CN"/>
        </w:rPr>
        <w:t>总体绩效目标</w:t>
      </w:r>
      <w:r>
        <w:rPr>
          <w:rFonts w:hint="eastAsia" w:ascii="宋体" w:hAnsi="宋体" w:cs="宋体"/>
          <w:bCs/>
          <w:sz w:val="24"/>
          <w:szCs w:val="24"/>
          <w:highlight w:val="none"/>
          <w:lang w:val="en-US" w:eastAsia="zh-CN"/>
        </w:rPr>
        <w:t>。</w:t>
      </w:r>
    </w:p>
    <w:p w14:paraId="31500DD4">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综上，“规划论证”指标权重为6分，扣</w:t>
      </w:r>
      <w:r>
        <w:rPr>
          <w:rFonts w:hint="eastAsia" w:ascii="宋体" w:hAnsi="宋体" w:cs="宋体"/>
          <w:bCs/>
          <w:sz w:val="24"/>
          <w:szCs w:val="24"/>
          <w:highlight w:val="none"/>
          <w:lang w:val="en-US" w:eastAsia="zh-CN"/>
        </w:rPr>
        <w:t>3</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3</w:t>
      </w:r>
      <w:r>
        <w:rPr>
          <w:rFonts w:hint="eastAsia" w:ascii="宋体" w:hAnsi="宋体" w:eastAsia="宋体" w:cs="宋体"/>
          <w:bCs/>
          <w:sz w:val="24"/>
          <w:szCs w:val="24"/>
          <w:highlight w:val="none"/>
          <w:lang w:val="en-US" w:eastAsia="zh-CN"/>
        </w:rPr>
        <w:t>分。</w:t>
      </w:r>
    </w:p>
    <w:p w14:paraId="5BDDD5BD">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55" w:name="_Toc26317"/>
      <w:r>
        <w:rPr>
          <w:rFonts w:hint="eastAsia" w:ascii="Times New Roman" w:hAnsi="Times New Roman" w:eastAsia="宋体" w:cs="Times New Roman"/>
          <w:b/>
          <w:bCs/>
          <w:color w:val="auto"/>
          <w:sz w:val="24"/>
          <w:szCs w:val="24"/>
          <w:highlight w:val="none"/>
          <w:lang w:val="en-US" w:eastAsia="zh-CN"/>
        </w:rPr>
        <w:t>（3）资金投向</w:t>
      </w:r>
      <w:bookmarkEnd w:id="55"/>
    </w:p>
    <w:p w14:paraId="1EE7B5AC">
      <w:pPr>
        <w:spacing w:line="560" w:lineRule="exact"/>
        <w:ind w:firstLine="480" w:firstLineChars="200"/>
        <w:jc w:val="left"/>
        <w:rPr>
          <w:rFonts w:hint="eastAsia"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该项目属于政府支持范围，且符合财政事权支出责任划分规定，资金投向与行业事业发展相匹配</w:t>
      </w:r>
      <w:r>
        <w:rPr>
          <w:rFonts w:hint="eastAsia" w:ascii="宋体" w:hAnsi="宋体" w:eastAsia="宋体" w:cs="宋体"/>
          <w:bCs/>
          <w:sz w:val="24"/>
          <w:szCs w:val="24"/>
          <w:highlight w:val="none"/>
          <w:lang w:val="en-US" w:eastAsia="zh-CN"/>
        </w:rPr>
        <w:t>。聚焦重大任务、重点领域、重点环节，</w:t>
      </w:r>
      <w:r>
        <w:rPr>
          <w:rFonts w:hint="default" w:ascii="宋体" w:hAnsi="宋体" w:eastAsia="宋体" w:cs="宋体"/>
          <w:bCs/>
          <w:sz w:val="24"/>
          <w:szCs w:val="24"/>
          <w:highlight w:val="none"/>
          <w:lang w:val="en-US" w:eastAsia="zh-CN"/>
        </w:rPr>
        <w:t>未与其他同类项目或部门内部相关项目交叉重复</w:t>
      </w:r>
      <w:r>
        <w:rPr>
          <w:rFonts w:hint="eastAsia" w:ascii="宋体" w:hAnsi="宋体" w:eastAsia="宋体" w:cs="宋体"/>
          <w:bCs/>
          <w:sz w:val="24"/>
          <w:szCs w:val="24"/>
          <w:highlight w:val="none"/>
          <w:lang w:val="en-US" w:eastAsia="zh-CN"/>
        </w:rPr>
        <w:t>。</w:t>
      </w:r>
    </w:p>
    <w:p w14:paraId="3200096D">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综上，“资金投向”指标权重为6分，扣0分，得6分。</w:t>
      </w:r>
    </w:p>
    <w:p w14:paraId="350ACCB7">
      <w:pPr>
        <w:numPr>
          <w:ilvl w:val="0"/>
          <w:numId w:val="0"/>
        </w:numPr>
        <w:tabs>
          <w:tab w:val="left" w:pos="0"/>
        </w:tabs>
        <w:spacing w:line="360" w:lineRule="auto"/>
        <w:ind w:left="0" w:leftChars="0" w:firstLine="482" w:firstLineChars="200"/>
        <w:jc w:val="left"/>
        <w:outlineLvl w:val="2"/>
        <w:rPr>
          <w:rFonts w:hint="eastAsia" w:ascii="Times New Roman" w:hAnsi="Times New Roman" w:eastAsia="宋体" w:cs="Times New Roman"/>
          <w:b/>
          <w:bCs/>
          <w:color w:val="auto"/>
          <w:sz w:val="24"/>
          <w:szCs w:val="24"/>
          <w:highlight w:val="none"/>
          <w:lang w:val="en-US" w:eastAsia="zh-CN"/>
        </w:rPr>
      </w:pPr>
      <w:bookmarkStart w:id="56" w:name="_Toc14650"/>
      <w:bookmarkStart w:id="57" w:name="_Toc28244"/>
      <w:bookmarkStart w:id="58" w:name="_Toc5769"/>
      <w:bookmarkStart w:id="59" w:name="_Toc1999"/>
      <w:r>
        <w:rPr>
          <w:rFonts w:hint="eastAsia" w:ascii="Times New Roman" w:hAnsi="Times New Roman" w:eastAsia="宋体" w:cs="Times New Roman"/>
          <w:b/>
          <w:bCs/>
          <w:color w:val="auto"/>
          <w:sz w:val="24"/>
          <w:szCs w:val="24"/>
          <w:highlight w:val="none"/>
          <w:lang w:val="en-US" w:eastAsia="zh-CN"/>
        </w:rPr>
        <w:t>2.项目管理</w:t>
      </w:r>
      <w:bookmarkEnd w:id="56"/>
      <w:bookmarkEnd w:id="57"/>
      <w:bookmarkEnd w:id="58"/>
      <w:bookmarkEnd w:id="59"/>
    </w:p>
    <w:p w14:paraId="5C103585">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60" w:name="_Toc5573"/>
      <w:r>
        <w:rPr>
          <w:rFonts w:hint="eastAsia"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lang w:val="en-US" w:eastAsia="zh-CN"/>
        </w:rPr>
        <w:t>制度办法</w:t>
      </w:r>
      <w:bookmarkEnd w:id="60"/>
    </w:p>
    <w:p w14:paraId="413E3938">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该项目成立了仁和区农业生产发展资金（耕地地力保护补贴）工作领导小组，制定了《攀枝花市仁和区 2024 年中央财政耕地建设与利用资金（耕地地力保护补贴）实施方案》，明确了补贴范围及补贴对象。开展2024年耕地地力保护补贴工作</w:t>
      </w:r>
      <w:r>
        <w:rPr>
          <w:rFonts w:hint="eastAsia" w:ascii="宋体" w:hAnsi="宋体" w:eastAsia="宋体" w:cs="宋体"/>
          <w:bCs/>
          <w:sz w:val="24"/>
          <w:szCs w:val="24"/>
          <w:highlight w:val="none"/>
          <w:lang w:val="en-US" w:eastAsia="zh-CN"/>
        </w:rPr>
        <w:t>。</w:t>
      </w:r>
    </w:p>
    <w:p w14:paraId="512BE8CC">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综上，“制度办法”指标权重为2分，扣0分，得2分。</w:t>
      </w:r>
    </w:p>
    <w:p w14:paraId="5F2DDC8C">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61" w:name="_Toc14306"/>
      <w:r>
        <w:rPr>
          <w:rFonts w:hint="eastAsia"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lang w:val="en-US" w:eastAsia="zh-CN"/>
        </w:rPr>
        <w:t>分配管理</w:t>
      </w:r>
      <w:bookmarkEnd w:id="61"/>
    </w:p>
    <w:p w14:paraId="4BC4FE7D">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耕地地力保护补贴项目预算数为10,712,000.00元，项目到位资金10,712,000.00元，资金到位率100%。</w:t>
      </w:r>
    </w:p>
    <w:p w14:paraId="4F10BAAB">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综上，“分配管理”指标权重为10分，扣0分，得10分。</w:t>
      </w:r>
    </w:p>
    <w:p w14:paraId="6B321D8C">
      <w:pPr>
        <w:numPr>
          <w:ilvl w:val="0"/>
          <w:numId w:val="0"/>
        </w:numPr>
        <w:tabs>
          <w:tab w:val="left" w:pos="0"/>
        </w:tabs>
        <w:spacing w:line="360" w:lineRule="auto"/>
        <w:ind w:left="420" w:leftChars="200" w:firstLine="0" w:firstLineChars="0"/>
        <w:jc w:val="left"/>
        <w:outlineLvl w:val="3"/>
        <w:rPr>
          <w:rFonts w:hint="eastAsia" w:ascii="Times New Roman" w:hAnsi="Times New Roman" w:eastAsia="宋体" w:cs="Times New Roman"/>
          <w:b/>
          <w:bCs/>
          <w:color w:val="auto"/>
          <w:sz w:val="24"/>
          <w:szCs w:val="24"/>
          <w:highlight w:val="none"/>
          <w:lang w:val="en-US" w:eastAsia="zh-CN"/>
        </w:rPr>
      </w:pPr>
      <w:bookmarkStart w:id="62" w:name="_Toc20670"/>
      <w:r>
        <w:rPr>
          <w:rFonts w:hint="eastAsia" w:ascii="Times New Roman" w:hAnsi="Times New Roman" w:eastAsia="宋体" w:cs="Times New Roman"/>
          <w:b/>
          <w:bCs/>
          <w:color w:val="auto"/>
          <w:sz w:val="24"/>
          <w:szCs w:val="24"/>
          <w:highlight w:val="none"/>
          <w:lang w:val="en-US" w:eastAsia="zh-CN"/>
        </w:rPr>
        <w:t>（3）绩效监管</w:t>
      </w:r>
      <w:bookmarkEnd w:id="62"/>
    </w:p>
    <w:p w14:paraId="4A2632A9">
      <w:pPr>
        <w:spacing w:line="560" w:lineRule="exact"/>
        <w:ind w:firstLine="480" w:firstLineChars="200"/>
        <w:jc w:val="left"/>
        <w:rPr>
          <w:rFonts w:hint="eastAsia"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仁和区农业农村局</w:t>
      </w:r>
      <w:r>
        <w:rPr>
          <w:rFonts w:hint="eastAsia" w:ascii="宋体" w:hAnsi="宋体" w:cs="宋体"/>
          <w:bCs/>
          <w:sz w:val="24"/>
          <w:szCs w:val="24"/>
          <w:highlight w:val="none"/>
          <w:lang w:val="en-US" w:eastAsia="zh-CN"/>
        </w:rPr>
        <w:t>对</w:t>
      </w:r>
      <w:r>
        <w:rPr>
          <w:rFonts w:hint="default" w:ascii="宋体" w:hAnsi="宋体" w:eastAsia="宋体" w:cs="宋体"/>
          <w:bCs/>
          <w:sz w:val="24"/>
          <w:szCs w:val="24"/>
          <w:highlight w:val="none"/>
          <w:lang w:val="en-US" w:eastAsia="zh-CN"/>
        </w:rPr>
        <w:t>该项目未按照预算绩效管理工作要求完成</w:t>
      </w:r>
      <w:r>
        <w:rPr>
          <w:rFonts w:hint="eastAsia" w:ascii="宋体" w:hAnsi="宋体" w:cs="宋体"/>
          <w:bCs/>
          <w:sz w:val="24"/>
          <w:szCs w:val="24"/>
          <w:highlight w:val="none"/>
          <w:lang w:val="en-US" w:eastAsia="zh-CN"/>
        </w:rPr>
        <w:t>部分</w:t>
      </w:r>
      <w:r>
        <w:rPr>
          <w:rFonts w:hint="default" w:ascii="宋体" w:hAnsi="宋体" w:eastAsia="宋体" w:cs="宋体"/>
          <w:bCs/>
          <w:sz w:val="24"/>
          <w:szCs w:val="24"/>
          <w:highlight w:val="none"/>
          <w:lang w:val="en-US" w:eastAsia="zh-CN"/>
        </w:rPr>
        <w:t>绩效评价工作</w:t>
      </w:r>
      <w:r>
        <w:rPr>
          <w:rFonts w:hint="eastAsia" w:ascii="宋体" w:hAnsi="宋体" w:cs="宋体"/>
          <w:bCs/>
          <w:sz w:val="24"/>
          <w:szCs w:val="24"/>
          <w:highlight w:val="none"/>
          <w:lang w:val="en-US" w:eastAsia="zh-CN"/>
        </w:rPr>
        <w:t>，如绩效监控。</w:t>
      </w:r>
      <w:r>
        <w:rPr>
          <w:rFonts w:hint="default" w:ascii="宋体" w:hAnsi="宋体" w:eastAsia="宋体" w:cs="宋体"/>
          <w:bCs/>
          <w:sz w:val="24"/>
          <w:szCs w:val="24"/>
          <w:highlight w:val="none"/>
          <w:lang w:val="en-US" w:eastAsia="zh-CN"/>
        </w:rPr>
        <w:t>不符合预算绩效管理“全流程闭环监管”的规范</w:t>
      </w:r>
      <w:r>
        <w:rPr>
          <w:rFonts w:hint="eastAsia" w:ascii="宋体" w:hAnsi="宋体" w:eastAsia="宋体" w:cs="宋体"/>
          <w:bCs/>
          <w:sz w:val="24"/>
          <w:szCs w:val="24"/>
          <w:highlight w:val="none"/>
          <w:lang w:val="en-US" w:eastAsia="zh-CN"/>
        </w:rPr>
        <w:t>。</w:t>
      </w:r>
    </w:p>
    <w:p w14:paraId="429000D1">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综上，“绩效监管”指标权重为</w:t>
      </w:r>
      <w:r>
        <w:rPr>
          <w:rFonts w:hint="eastAsia" w:ascii="宋体" w:hAnsi="宋体" w:eastAsia="宋体" w:cs="宋体"/>
          <w:bCs/>
          <w:sz w:val="24"/>
          <w:szCs w:val="24"/>
          <w:highlight w:val="none"/>
          <w:lang w:val="en-US" w:eastAsia="zh-CN"/>
        </w:rPr>
        <w:t>6</w:t>
      </w:r>
      <w:r>
        <w:rPr>
          <w:rFonts w:hint="default" w:ascii="宋体" w:hAnsi="宋体" w:eastAsia="宋体" w:cs="宋体"/>
          <w:bCs/>
          <w:sz w:val="24"/>
          <w:szCs w:val="24"/>
          <w:highlight w:val="none"/>
          <w:lang w:val="en-US" w:eastAsia="zh-CN"/>
        </w:rPr>
        <w:t>分，扣</w:t>
      </w:r>
      <w:r>
        <w:rPr>
          <w:rFonts w:hint="eastAsia" w:ascii="宋体" w:hAnsi="宋体" w:cs="宋体"/>
          <w:bCs/>
          <w:sz w:val="24"/>
          <w:szCs w:val="24"/>
          <w:highlight w:val="none"/>
          <w:lang w:val="en-US" w:eastAsia="zh-CN"/>
        </w:rPr>
        <w:t>4</w:t>
      </w:r>
      <w:r>
        <w:rPr>
          <w:rFonts w:hint="default"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2</w:t>
      </w:r>
      <w:r>
        <w:rPr>
          <w:rFonts w:hint="default" w:ascii="宋体" w:hAnsi="宋体" w:eastAsia="宋体" w:cs="宋体"/>
          <w:bCs/>
          <w:sz w:val="24"/>
          <w:szCs w:val="24"/>
          <w:highlight w:val="none"/>
          <w:lang w:val="en-US" w:eastAsia="zh-CN"/>
        </w:rPr>
        <w:t>分。</w:t>
      </w:r>
    </w:p>
    <w:p w14:paraId="38BA7928">
      <w:pPr>
        <w:numPr>
          <w:ilvl w:val="0"/>
          <w:numId w:val="0"/>
        </w:numPr>
        <w:tabs>
          <w:tab w:val="left" w:pos="0"/>
        </w:tabs>
        <w:spacing w:line="360" w:lineRule="auto"/>
        <w:ind w:left="0" w:leftChars="0" w:firstLine="482" w:firstLineChars="200"/>
        <w:jc w:val="left"/>
        <w:outlineLvl w:val="2"/>
        <w:rPr>
          <w:rFonts w:hint="eastAsia" w:ascii="Times New Roman" w:hAnsi="Times New Roman" w:eastAsia="宋体" w:cs="Times New Roman"/>
          <w:b/>
          <w:bCs/>
          <w:color w:val="auto"/>
          <w:sz w:val="24"/>
          <w:szCs w:val="24"/>
          <w:highlight w:val="none"/>
          <w:lang w:val="en-US" w:eastAsia="zh-CN"/>
        </w:rPr>
      </w:pPr>
      <w:bookmarkStart w:id="63" w:name="_Toc7938"/>
      <w:bookmarkStart w:id="64" w:name="_Toc28241"/>
      <w:bookmarkStart w:id="65" w:name="_Toc23500"/>
      <w:bookmarkStart w:id="66" w:name="_Toc7432"/>
      <w:r>
        <w:rPr>
          <w:rFonts w:hint="eastAsia" w:ascii="Times New Roman" w:hAnsi="Times New Roman" w:eastAsia="宋体" w:cs="Times New Roman"/>
          <w:b/>
          <w:bCs/>
          <w:color w:val="auto"/>
          <w:sz w:val="24"/>
          <w:szCs w:val="24"/>
          <w:highlight w:val="none"/>
          <w:lang w:val="en-US" w:eastAsia="zh-CN"/>
        </w:rPr>
        <w:t>3.项目实施</w:t>
      </w:r>
      <w:bookmarkEnd w:id="63"/>
      <w:bookmarkEnd w:id="64"/>
      <w:bookmarkEnd w:id="65"/>
      <w:bookmarkEnd w:id="66"/>
    </w:p>
    <w:p w14:paraId="3D1A5801">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67" w:name="_Toc26206"/>
      <w:r>
        <w:rPr>
          <w:rFonts w:hint="eastAsia"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lang w:val="en-US" w:eastAsia="zh-CN"/>
        </w:rPr>
        <w:t>预算执行</w:t>
      </w:r>
      <w:bookmarkEnd w:id="67"/>
    </w:p>
    <w:p w14:paraId="08BD45CB">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该项目预算资金10,71</w:t>
      </w:r>
      <w:r>
        <w:rPr>
          <w:rFonts w:hint="eastAsia" w:ascii="宋体" w:hAnsi="宋体" w:cs="宋体"/>
          <w:bCs/>
          <w:sz w:val="24"/>
          <w:szCs w:val="24"/>
          <w:highlight w:val="none"/>
          <w:lang w:val="en-US" w:eastAsia="zh-CN"/>
        </w:rPr>
        <w:t>2</w:t>
      </w:r>
      <w:r>
        <w:rPr>
          <w:rFonts w:hint="default"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0</w:t>
      </w:r>
      <w:r>
        <w:rPr>
          <w:rFonts w:hint="default" w:ascii="宋体" w:hAnsi="宋体" w:eastAsia="宋体" w:cs="宋体"/>
          <w:bCs/>
          <w:sz w:val="24"/>
          <w:szCs w:val="24"/>
          <w:highlight w:val="none"/>
          <w:lang w:val="en-US" w:eastAsia="zh-CN"/>
        </w:rPr>
        <w:t>00.00元，实际到位资金10,71</w:t>
      </w:r>
      <w:r>
        <w:rPr>
          <w:rFonts w:hint="eastAsia" w:ascii="宋体" w:hAnsi="宋体" w:cs="宋体"/>
          <w:bCs/>
          <w:sz w:val="24"/>
          <w:szCs w:val="24"/>
          <w:highlight w:val="none"/>
          <w:lang w:val="en-US" w:eastAsia="zh-CN"/>
        </w:rPr>
        <w:t>2</w:t>
      </w:r>
      <w:r>
        <w:rPr>
          <w:rFonts w:hint="default"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0</w:t>
      </w:r>
      <w:r>
        <w:rPr>
          <w:rFonts w:hint="default" w:ascii="宋体" w:hAnsi="宋体" w:eastAsia="宋体" w:cs="宋体"/>
          <w:bCs/>
          <w:sz w:val="24"/>
          <w:szCs w:val="24"/>
          <w:highlight w:val="none"/>
          <w:lang w:val="en-US" w:eastAsia="zh-CN"/>
        </w:rPr>
        <w:t>00.00元</w:t>
      </w:r>
      <w:r>
        <w:rPr>
          <w:rFonts w:hint="eastAsia" w:ascii="宋体" w:hAnsi="宋体" w:eastAsia="宋体" w:cs="宋体"/>
          <w:bCs/>
          <w:sz w:val="24"/>
          <w:szCs w:val="24"/>
          <w:highlight w:val="none"/>
          <w:lang w:val="en-US" w:eastAsia="zh-CN"/>
        </w:rPr>
        <w:t>。</w:t>
      </w:r>
      <w:r>
        <w:rPr>
          <w:rFonts w:hint="default" w:ascii="宋体" w:hAnsi="宋体" w:eastAsia="宋体" w:cs="宋体"/>
          <w:bCs/>
          <w:sz w:val="24"/>
          <w:szCs w:val="24"/>
          <w:highlight w:val="none"/>
          <w:lang w:val="en-US" w:eastAsia="zh-CN"/>
        </w:rPr>
        <w:t>单位实际支付资金10</w:t>
      </w:r>
      <w:r>
        <w:rPr>
          <w:rFonts w:hint="eastAsia" w:ascii="宋体" w:hAnsi="宋体" w:cs="宋体"/>
          <w:bCs/>
          <w:sz w:val="24"/>
          <w:szCs w:val="24"/>
          <w:highlight w:val="none"/>
          <w:lang w:val="en-US" w:eastAsia="zh-CN"/>
        </w:rPr>
        <w:t>,</w:t>
      </w:r>
      <w:r>
        <w:rPr>
          <w:rFonts w:hint="default" w:ascii="宋体" w:hAnsi="宋体" w:eastAsia="宋体" w:cs="宋体"/>
          <w:bCs/>
          <w:sz w:val="24"/>
          <w:szCs w:val="24"/>
          <w:highlight w:val="none"/>
          <w:lang w:val="en-US" w:eastAsia="zh-CN"/>
        </w:rPr>
        <w:t>711</w:t>
      </w:r>
      <w:r>
        <w:rPr>
          <w:rFonts w:hint="eastAsia" w:ascii="宋体" w:hAnsi="宋体" w:cs="宋体"/>
          <w:bCs/>
          <w:sz w:val="24"/>
          <w:szCs w:val="24"/>
          <w:highlight w:val="none"/>
          <w:lang w:val="en-US" w:eastAsia="zh-CN"/>
        </w:rPr>
        <w:t>,</w:t>
      </w:r>
      <w:r>
        <w:rPr>
          <w:rFonts w:hint="default" w:ascii="宋体" w:hAnsi="宋体" w:eastAsia="宋体" w:cs="宋体"/>
          <w:bCs/>
          <w:sz w:val="24"/>
          <w:szCs w:val="24"/>
          <w:highlight w:val="none"/>
          <w:lang w:val="en-US" w:eastAsia="zh-CN"/>
        </w:rPr>
        <w:t>300</w:t>
      </w:r>
      <w:r>
        <w:rPr>
          <w:rFonts w:hint="eastAsia" w:ascii="宋体" w:hAnsi="宋体" w:cs="宋体"/>
          <w:bCs/>
          <w:sz w:val="24"/>
          <w:szCs w:val="24"/>
          <w:highlight w:val="none"/>
          <w:lang w:val="en-US" w:eastAsia="zh-CN"/>
        </w:rPr>
        <w:t>.00</w:t>
      </w:r>
      <w:r>
        <w:rPr>
          <w:rFonts w:hint="default" w:ascii="宋体" w:hAnsi="宋体" w:eastAsia="宋体" w:cs="宋体"/>
          <w:bCs/>
          <w:sz w:val="24"/>
          <w:szCs w:val="24"/>
          <w:highlight w:val="none"/>
          <w:lang w:val="en-US" w:eastAsia="zh-CN"/>
        </w:rPr>
        <w:t>元</w:t>
      </w:r>
      <w:r>
        <w:rPr>
          <w:rFonts w:hint="eastAsia" w:ascii="宋体" w:hAnsi="宋体" w:eastAsia="宋体" w:cs="宋体"/>
          <w:bCs/>
          <w:sz w:val="24"/>
          <w:szCs w:val="24"/>
          <w:highlight w:val="none"/>
          <w:lang w:val="en-US" w:eastAsia="zh-CN"/>
        </w:rPr>
        <w:t>。资金使用率</w:t>
      </w:r>
      <w:r>
        <w:rPr>
          <w:rFonts w:hint="eastAsia" w:ascii="宋体" w:hAnsi="宋体" w:cs="宋体"/>
          <w:bCs/>
          <w:sz w:val="24"/>
          <w:szCs w:val="24"/>
          <w:highlight w:val="none"/>
          <w:lang w:val="en-US" w:eastAsia="zh-CN"/>
        </w:rPr>
        <w:t>99</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(因补贴标准计算保留到小数点后2位，四舍五入后舍去部分的原因，将剩余资料退回区财政项目资金专户）</w:t>
      </w:r>
    </w:p>
    <w:p w14:paraId="16218796">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综上，“预算执行”指标权重为</w:t>
      </w:r>
      <w:r>
        <w:rPr>
          <w:rFonts w:hint="eastAsia" w:ascii="宋体" w:hAnsi="宋体" w:eastAsia="宋体" w:cs="宋体"/>
          <w:bCs/>
          <w:sz w:val="24"/>
          <w:szCs w:val="24"/>
          <w:highlight w:val="none"/>
          <w:lang w:val="en-US" w:eastAsia="zh-CN"/>
        </w:rPr>
        <w:t>3</w:t>
      </w:r>
      <w:r>
        <w:rPr>
          <w:rFonts w:hint="default" w:ascii="宋体" w:hAnsi="宋体" w:eastAsia="宋体" w:cs="宋体"/>
          <w:bCs/>
          <w:sz w:val="24"/>
          <w:szCs w:val="24"/>
          <w:highlight w:val="none"/>
          <w:lang w:val="en-US" w:eastAsia="zh-CN"/>
        </w:rPr>
        <w:t>分，扣</w:t>
      </w:r>
      <w:r>
        <w:rPr>
          <w:rFonts w:hint="eastAsia" w:ascii="宋体" w:hAnsi="宋体" w:cs="宋体"/>
          <w:bCs/>
          <w:sz w:val="24"/>
          <w:szCs w:val="24"/>
          <w:highlight w:val="none"/>
          <w:lang w:val="en-US" w:eastAsia="zh-CN"/>
        </w:rPr>
        <w:t>0.03</w:t>
      </w:r>
      <w:r>
        <w:rPr>
          <w:rFonts w:hint="default"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2.97</w:t>
      </w:r>
      <w:r>
        <w:rPr>
          <w:rFonts w:hint="default" w:ascii="宋体" w:hAnsi="宋体" w:eastAsia="宋体" w:cs="宋体"/>
          <w:bCs/>
          <w:sz w:val="24"/>
          <w:szCs w:val="24"/>
          <w:highlight w:val="none"/>
          <w:lang w:val="en-US" w:eastAsia="zh-CN"/>
        </w:rPr>
        <w:t>分。</w:t>
      </w:r>
    </w:p>
    <w:p w14:paraId="702C37E1">
      <w:pPr>
        <w:numPr>
          <w:ilvl w:val="0"/>
          <w:numId w:val="6"/>
        </w:numPr>
        <w:tabs>
          <w:tab w:val="left" w:pos="0"/>
        </w:tabs>
        <w:spacing w:line="360" w:lineRule="auto"/>
        <w:ind w:firstLine="482" w:firstLineChars="200"/>
        <w:jc w:val="left"/>
        <w:outlineLvl w:val="3"/>
        <w:rPr>
          <w:rFonts w:hint="eastAsia" w:ascii="Times New Roman" w:hAnsi="Times New Roman" w:eastAsia="宋体" w:cs="Times New Roman"/>
          <w:b/>
          <w:bCs/>
          <w:color w:val="auto"/>
          <w:sz w:val="24"/>
          <w:szCs w:val="24"/>
          <w:highlight w:val="none"/>
          <w:lang w:val="en-US" w:eastAsia="zh-CN"/>
        </w:rPr>
      </w:pPr>
      <w:bookmarkStart w:id="68" w:name="_Toc17342"/>
      <w:r>
        <w:rPr>
          <w:rFonts w:hint="eastAsia" w:ascii="Times New Roman" w:hAnsi="Times New Roman" w:eastAsia="宋体" w:cs="Times New Roman"/>
          <w:b/>
          <w:bCs/>
          <w:color w:val="auto"/>
          <w:sz w:val="24"/>
          <w:szCs w:val="24"/>
          <w:highlight w:val="none"/>
          <w:lang w:val="en-US" w:eastAsia="zh-CN"/>
        </w:rPr>
        <w:t>资金使用</w:t>
      </w:r>
      <w:bookmarkEnd w:id="68"/>
    </w:p>
    <w:p w14:paraId="1556E356">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截至202</w:t>
      </w:r>
      <w:r>
        <w:rPr>
          <w:rFonts w:hint="eastAsia" w:ascii="宋体" w:hAnsi="宋体" w:eastAsia="宋体" w:cs="宋体"/>
          <w:bCs/>
          <w:sz w:val="24"/>
          <w:szCs w:val="24"/>
          <w:highlight w:val="none"/>
          <w:lang w:val="en-US" w:eastAsia="zh-CN"/>
        </w:rPr>
        <w:t>4</w:t>
      </w:r>
      <w:r>
        <w:rPr>
          <w:rFonts w:hint="default" w:ascii="宋体" w:hAnsi="宋体" w:eastAsia="宋体" w:cs="宋体"/>
          <w:bCs/>
          <w:sz w:val="24"/>
          <w:szCs w:val="24"/>
          <w:highlight w:val="none"/>
          <w:lang w:val="en-US" w:eastAsia="zh-CN"/>
        </w:rPr>
        <w:t>年12月31日，该项目资金支付金额合计10,711,300.00元</w:t>
      </w:r>
      <w:r>
        <w:rPr>
          <w:rFonts w:hint="eastAsia" w:ascii="宋体" w:hAnsi="宋体" w:cs="宋体"/>
          <w:bCs/>
          <w:sz w:val="24"/>
          <w:szCs w:val="24"/>
          <w:highlight w:val="none"/>
          <w:lang w:val="en-US" w:eastAsia="zh-CN"/>
        </w:rPr>
        <w:t>，资金使用方面根据攀枝花市审计局出具的审计报告（攀审报〔2025〕17 号），项目实施中出现了耕地地力保护补贴被他人代领的情况，耕地地力保护补贴通常需由补贴对象本人领取，或按规定履行授权委托等合规代领手续，本次项目中的他人代领，属于资金管理程序不合规的情形。</w:t>
      </w:r>
    </w:p>
    <w:p w14:paraId="3CC11D79">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综上，“资金使用”指标权重为</w:t>
      </w:r>
      <w:r>
        <w:rPr>
          <w:rFonts w:hint="eastAsia" w:ascii="宋体" w:hAnsi="宋体" w:eastAsia="宋体" w:cs="宋体"/>
          <w:bCs/>
          <w:sz w:val="24"/>
          <w:szCs w:val="24"/>
          <w:highlight w:val="none"/>
          <w:lang w:val="en-US" w:eastAsia="zh-CN"/>
        </w:rPr>
        <w:t>6</w:t>
      </w:r>
      <w:r>
        <w:rPr>
          <w:rFonts w:hint="default" w:ascii="宋体" w:hAnsi="宋体" w:eastAsia="宋体" w:cs="宋体"/>
          <w:bCs/>
          <w:sz w:val="24"/>
          <w:szCs w:val="24"/>
          <w:highlight w:val="none"/>
          <w:lang w:val="en-US" w:eastAsia="zh-CN"/>
        </w:rPr>
        <w:t>分，扣</w:t>
      </w:r>
      <w:r>
        <w:rPr>
          <w:rFonts w:hint="eastAsia" w:ascii="宋体" w:hAnsi="宋体" w:cs="宋体"/>
          <w:bCs/>
          <w:sz w:val="24"/>
          <w:szCs w:val="24"/>
          <w:highlight w:val="none"/>
          <w:lang w:val="en-US" w:eastAsia="zh-CN"/>
        </w:rPr>
        <w:t>1</w:t>
      </w:r>
      <w:r>
        <w:rPr>
          <w:rFonts w:hint="default"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5</w:t>
      </w:r>
      <w:r>
        <w:rPr>
          <w:rFonts w:hint="default" w:ascii="宋体" w:hAnsi="宋体" w:eastAsia="宋体" w:cs="宋体"/>
          <w:bCs/>
          <w:sz w:val="24"/>
          <w:szCs w:val="24"/>
          <w:highlight w:val="none"/>
          <w:lang w:val="en-US" w:eastAsia="zh-CN"/>
        </w:rPr>
        <w:t>分。</w:t>
      </w:r>
    </w:p>
    <w:p w14:paraId="059D295E">
      <w:pPr>
        <w:numPr>
          <w:ilvl w:val="0"/>
          <w:numId w:val="0"/>
        </w:numPr>
        <w:tabs>
          <w:tab w:val="left" w:pos="0"/>
        </w:tabs>
        <w:spacing w:line="360" w:lineRule="auto"/>
        <w:ind w:left="0" w:leftChars="0" w:firstLine="482" w:firstLineChars="200"/>
        <w:jc w:val="left"/>
        <w:outlineLvl w:val="2"/>
        <w:rPr>
          <w:rFonts w:hint="eastAsia" w:ascii="Times New Roman" w:hAnsi="Times New Roman" w:eastAsia="宋体" w:cs="Times New Roman"/>
          <w:b/>
          <w:bCs/>
          <w:color w:val="auto"/>
          <w:sz w:val="24"/>
          <w:szCs w:val="24"/>
          <w:highlight w:val="none"/>
          <w:lang w:val="en-US" w:eastAsia="zh-CN"/>
        </w:rPr>
      </w:pPr>
      <w:bookmarkStart w:id="69" w:name="_Toc1378"/>
      <w:bookmarkStart w:id="70" w:name="_Toc29559"/>
      <w:bookmarkStart w:id="71" w:name="_Toc31447"/>
      <w:bookmarkStart w:id="72" w:name="_Toc32439"/>
      <w:r>
        <w:rPr>
          <w:rFonts w:hint="eastAsia" w:ascii="Times New Roman" w:hAnsi="Times New Roman" w:eastAsia="宋体" w:cs="Times New Roman"/>
          <w:b/>
          <w:bCs/>
          <w:color w:val="auto"/>
          <w:sz w:val="24"/>
          <w:szCs w:val="24"/>
          <w:highlight w:val="none"/>
          <w:lang w:val="en-US" w:eastAsia="zh-CN"/>
        </w:rPr>
        <w:t>4.项目结果</w:t>
      </w:r>
      <w:bookmarkEnd w:id="69"/>
      <w:bookmarkEnd w:id="70"/>
      <w:bookmarkEnd w:id="71"/>
      <w:bookmarkEnd w:id="72"/>
    </w:p>
    <w:p w14:paraId="0495549B">
      <w:pPr>
        <w:numPr>
          <w:ilvl w:val="0"/>
          <w:numId w:val="0"/>
        </w:numPr>
        <w:tabs>
          <w:tab w:val="left" w:pos="0"/>
        </w:tabs>
        <w:spacing w:line="360" w:lineRule="auto"/>
        <w:ind w:left="0" w:leftChars="0" w:firstLine="482" w:firstLineChars="200"/>
        <w:jc w:val="left"/>
        <w:outlineLvl w:val="3"/>
        <w:rPr>
          <w:rFonts w:hint="eastAsia" w:ascii="Times New Roman" w:hAnsi="Times New Roman" w:eastAsia="宋体" w:cs="Times New Roman"/>
          <w:b/>
          <w:bCs/>
          <w:color w:val="auto"/>
          <w:sz w:val="24"/>
          <w:szCs w:val="24"/>
          <w:highlight w:val="none"/>
          <w:lang w:val="en-US" w:eastAsia="zh-CN"/>
        </w:rPr>
      </w:pPr>
      <w:bookmarkStart w:id="73" w:name="_Toc9780"/>
      <w:r>
        <w:rPr>
          <w:rFonts w:hint="eastAsia" w:ascii="Times New Roman" w:hAnsi="Times New Roman" w:eastAsia="宋体" w:cs="Times New Roman"/>
          <w:b/>
          <w:bCs/>
          <w:color w:val="auto"/>
          <w:sz w:val="24"/>
          <w:szCs w:val="24"/>
          <w:highlight w:val="none"/>
          <w:lang w:val="en-US" w:eastAsia="zh-CN"/>
        </w:rPr>
        <w:t>（1）目标完成</w:t>
      </w:r>
      <w:bookmarkEnd w:id="73"/>
    </w:p>
    <w:p w14:paraId="3CA6713B">
      <w:pPr>
        <w:spacing w:line="560" w:lineRule="exact"/>
        <w:ind w:firstLine="480" w:firstLineChars="200"/>
        <w:jc w:val="left"/>
        <w:rPr>
          <w:rFonts w:hint="default" w:ascii="宋体" w:hAnsi="宋体" w:eastAsia="宋体" w:cs="宋体"/>
          <w:bCs/>
          <w:sz w:val="24"/>
          <w:szCs w:val="24"/>
          <w:highlight w:val="yellow"/>
          <w:lang w:val="en-US" w:eastAsia="zh-CN"/>
        </w:rPr>
      </w:pPr>
      <w:r>
        <w:rPr>
          <w:rFonts w:hint="eastAsia" w:ascii="宋体" w:hAnsi="宋体" w:cs="宋体"/>
          <w:bCs/>
          <w:sz w:val="24"/>
          <w:szCs w:val="24"/>
          <w:highlight w:val="none"/>
          <w:lang w:val="en-US" w:eastAsia="zh-CN"/>
        </w:rPr>
        <w:t>该项目2024年实际补贴面积11.71万亩，仁和区区农业农村局通过“一卡通”资金发放系统，把经过两级资金公示无异议的补贴资金，在规定时间内足额兑现到农户一卡通账户，农户补贴率达100%。通过耕地地力补贴的发放，保护提升了耕地地力，切实降低了广大农户的生产成本，提高生产者生产积极性，促进农民增收，农业增效。</w:t>
      </w:r>
    </w:p>
    <w:p w14:paraId="457FB7F2">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综上，“目标完成”指标权重为6分，扣</w:t>
      </w:r>
      <w:r>
        <w:rPr>
          <w:rFonts w:hint="eastAsia" w:ascii="宋体" w:hAnsi="宋体" w:cs="宋体"/>
          <w:bCs/>
          <w:sz w:val="24"/>
          <w:szCs w:val="24"/>
          <w:highlight w:val="none"/>
          <w:lang w:val="en-US" w:eastAsia="zh-CN"/>
        </w:rPr>
        <w:t>0</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6</w:t>
      </w:r>
      <w:r>
        <w:rPr>
          <w:rFonts w:hint="eastAsia" w:ascii="宋体" w:hAnsi="宋体" w:eastAsia="宋体" w:cs="宋体"/>
          <w:bCs/>
          <w:sz w:val="24"/>
          <w:szCs w:val="24"/>
          <w:highlight w:val="none"/>
          <w:lang w:val="en-US" w:eastAsia="zh-CN"/>
        </w:rPr>
        <w:t>分。</w:t>
      </w:r>
    </w:p>
    <w:p w14:paraId="55C40211">
      <w:pPr>
        <w:numPr>
          <w:ilvl w:val="0"/>
          <w:numId w:val="0"/>
        </w:numPr>
        <w:tabs>
          <w:tab w:val="left" w:pos="0"/>
        </w:tabs>
        <w:spacing w:line="360" w:lineRule="auto"/>
        <w:ind w:left="0" w:leftChars="0" w:firstLine="482" w:firstLineChars="200"/>
        <w:jc w:val="left"/>
        <w:outlineLvl w:val="3"/>
        <w:rPr>
          <w:rFonts w:hint="eastAsia" w:ascii="Times New Roman" w:hAnsi="Times New Roman" w:eastAsia="宋体" w:cs="Times New Roman"/>
          <w:b/>
          <w:bCs/>
          <w:color w:val="auto"/>
          <w:sz w:val="24"/>
          <w:szCs w:val="24"/>
          <w:highlight w:val="none"/>
          <w:lang w:val="en-US" w:eastAsia="zh-CN"/>
        </w:rPr>
      </w:pPr>
      <w:bookmarkStart w:id="74" w:name="_Toc15344"/>
      <w:r>
        <w:rPr>
          <w:rFonts w:hint="eastAsia" w:ascii="Times New Roman" w:hAnsi="Times New Roman" w:eastAsia="宋体" w:cs="Times New Roman"/>
          <w:b/>
          <w:bCs/>
          <w:color w:val="auto"/>
          <w:sz w:val="24"/>
          <w:szCs w:val="24"/>
          <w:highlight w:val="none"/>
          <w:lang w:val="en-US" w:eastAsia="zh-CN"/>
        </w:rPr>
        <w:t>（2）完成时效</w:t>
      </w:r>
      <w:bookmarkEnd w:id="74"/>
    </w:p>
    <w:p w14:paraId="5FBF5CA3">
      <w:pPr>
        <w:spacing w:line="560" w:lineRule="exact"/>
        <w:ind w:firstLine="480" w:firstLineChars="200"/>
        <w:jc w:val="left"/>
        <w:rPr>
          <w:rFonts w:hint="eastAsia" w:ascii="宋体" w:hAnsi="宋体" w:eastAsia="宋体" w:cs="宋体"/>
          <w:bCs/>
          <w:sz w:val="24"/>
          <w:szCs w:val="24"/>
          <w:lang w:val="en-US" w:eastAsia="zh-CN"/>
        </w:rPr>
      </w:pPr>
      <w:r>
        <w:rPr>
          <w:rFonts w:hint="default" w:ascii="宋体" w:hAnsi="宋体" w:eastAsia="宋体" w:cs="宋体"/>
          <w:bCs/>
          <w:sz w:val="24"/>
          <w:szCs w:val="24"/>
          <w:lang w:val="en-US" w:eastAsia="zh-CN"/>
        </w:rPr>
        <w:t>该项目计划完成期间为202</w:t>
      </w:r>
      <w:r>
        <w:rPr>
          <w:rFonts w:hint="eastAsia" w:ascii="宋体" w:hAnsi="宋体" w:eastAsia="宋体" w:cs="宋体"/>
          <w:bCs/>
          <w:sz w:val="24"/>
          <w:szCs w:val="24"/>
          <w:lang w:val="en-US" w:eastAsia="zh-CN"/>
        </w:rPr>
        <w:t>4</w:t>
      </w:r>
      <w:r>
        <w:rPr>
          <w:rFonts w:hint="default" w:ascii="宋体" w:hAnsi="宋体" w:eastAsia="宋体" w:cs="宋体"/>
          <w:bCs/>
          <w:sz w:val="24"/>
          <w:szCs w:val="24"/>
          <w:lang w:val="en-US" w:eastAsia="zh-CN"/>
        </w:rPr>
        <w:t>年</w:t>
      </w:r>
      <w:r>
        <w:rPr>
          <w:rFonts w:hint="eastAsia" w:ascii="宋体" w:hAnsi="宋体" w:cs="宋体"/>
          <w:bCs/>
          <w:sz w:val="24"/>
          <w:szCs w:val="24"/>
          <w:lang w:val="en-US" w:eastAsia="zh-CN"/>
        </w:rPr>
        <w:t>6</w:t>
      </w:r>
      <w:r>
        <w:rPr>
          <w:rFonts w:hint="default" w:ascii="宋体" w:hAnsi="宋体" w:eastAsia="宋体" w:cs="宋体"/>
          <w:bCs/>
          <w:sz w:val="24"/>
          <w:szCs w:val="24"/>
          <w:lang w:val="en-US" w:eastAsia="zh-CN"/>
        </w:rPr>
        <w:t>月</w:t>
      </w:r>
      <w:r>
        <w:rPr>
          <w:rFonts w:hint="eastAsia" w:ascii="宋体" w:hAnsi="宋体" w:cs="宋体"/>
          <w:bCs/>
          <w:sz w:val="24"/>
          <w:szCs w:val="24"/>
          <w:lang w:val="en-US" w:eastAsia="zh-CN"/>
        </w:rPr>
        <w:t>30日前</w:t>
      </w:r>
      <w:r>
        <w:rPr>
          <w:rFonts w:hint="default" w:ascii="宋体" w:hAnsi="宋体" w:eastAsia="宋体" w:cs="宋体"/>
          <w:bCs/>
          <w:sz w:val="24"/>
          <w:szCs w:val="24"/>
          <w:lang w:val="en-US" w:eastAsia="zh-CN"/>
        </w:rPr>
        <w:t>，实际完成期间为202</w:t>
      </w:r>
      <w:r>
        <w:rPr>
          <w:rFonts w:hint="eastAsia" w:ascii="宋体" w:hAnsi="宋体" w:eastAsia="宋体" w:cs="宋体"/>
          <w:bCs/>
          <w:sz w:val="24"/>
          <w:szCs w:val="24"/>
          <w:lang w:val="en-US" w:eastAsia="zh-CN"/>
        </w:rPr>
        <w:t>4</w:t>
      </w:r>
      <w:r>
        <w:rPr>
          <w:rFonts w:hint="default" w:ascii="宋体" w:hAnsi="宋体" w:eastAsia="宋体" w:cs="宋体"/>
          <w:bCs/>
          <w:sz w:val="24"/>
          <w:szCs w:val="24"/>
          <w:lang w:val="en-US" w:eastAsia="zh-CN"/>
        </w:rPr>
        <w:t>年</w:t>
      </w:r>
      <w:r>
        <w:rPr>
          <w:rFonts w:hint="eastAsia" w:ascii="宋体" w:hAnsi="宋体" w:cs="宋体"/>
          <w:bCs/>
          <w:sz w:val="24"/>
          <w:szCs w:val="24"/>
          <w:lang w:val="en-US" w:eastAsia="zh-CN"/>
        </w:rPr>
        <w:t>6</w:t>
      </w:r>
      <w:r>
        <w:rPr>
          <w:rFonts w:hint="default" w:ascii="宋体" w:hAnsi="宋体" w:eastAsia="宋体" w:cs="宋体"/>
          <w:bCs/>
          <w:sz w:val="24"/>
          <w:szCs w:val="24"/>
          <w:lang w:val="en-US" w:eastAsia="zh-CN"/>
        </w:rPr>
        <w:t>月</w:t>
      </w:r>
      <w:r>
        <w:rPr>
          <w:rFonts w:hint="eastAsia" w:ascii="宋体" w:hAnsi="宋体" w:cs="宋体"/>
          <w:bCs/>
          <w:sz w:val="24"/>
          <w:szCs w:val="24"/>
          <w:lang w:val="en-US" w:eastAsia="zh-CN"/>
        </w:rPr>
        <w:t>30日前</w:t>
      </w:r>
      <w:r>
        <w:rPr>
          <w:rFonts w:hint="eastAsia" w:ascii="宋体" w:hAnsi="宋体" w:eastAsia="宋体" w:cs="宋体"/>
          <w:bCs/>
          <w:sz w:val="24"/>
          <w:szCs w:val="24"/>
          <w:lang w:val="en-US" w:eastAsia="zh-CN"/>
        </w:rPr>
        <w:t>。</w:t>
      </w:r>
    </w:p>
    <w:p w14:paraId="2237C8D6">
      <w:pPr>
        <w:spacing w:line="560" w:lineRule="exact"/>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综上，“完成时效”指标权重为3分，扣0分，得3分。</w:t>
      </w:r>
    </w:p>
    <w:p w14:paraId="42F37992">
      <w:pPr>
        <w:numPr>
          <w:ilvl w:val="0"/>
          <w:numId w:val="7"/>
        </w:numPr>
        <w:tabs>
          <w:tab w:val="left" w:pos="0"/>
        </w:tabs>
        <w:spacing w:line="360" w:lineRule="auto"/>
        <w:ind w:firstLine="482" w:firstLineChars="200"/>
        <w:jc w:val="left"/>
        <w:outlineLvl w:val="1"/>
        <w:rPr>
          <w:rFonts w:hint="default" w:ascii="Times New Roman" w:hAnsi="Times New Roman" w:eastAsia="宋体" w:cs="Times New Roman"/>
          <w:b/>
          <w:bCs/>
          <w:color w:val="auto"/>
          <w:sz w:val="24"/>
          <w:szCs w:val="24"/>
          <w:highlight w:val="none"/>
          <w:lang w:val="en-US" w:eastAsia="zh-CN"/>
        </w:rPr>
      </w:pPr>
      <w:bookmarkStart w:id="75" w:name="_Toc8723"/>
      <w:bookmarkStart w:id="76" w:name="_Toc14909"/>
      <w:bookmarkStart w:id="77" w:name="_Toc29408"/>
      <w:bookmarkStart w:id="78" w:name="_Toc21968"/>
      <w:r>
        <w:rPr>
          <w:rFonts w:hint="eastAsia" w:ascii="Times New Roman" w:hAnsi="Times New Roman" w:eastAsia="宋体" w:cs="Times New Roman"/>
          <w:b/>
          <w:bCs/>
          <w:color w:val="auto"/>
          <w:sz w:val="24"/>
          <w:szCs w:val="24"/>
          <w:highlight w:val="none"/>
          <w:lang w:val="en-US" w:eastAsia="zh-CN"/>
        </w:rPr>
        <w:t>专用指标</w:t>
      </w:r>
      <w:bookmarkEnd w:id="75"/>
      <w:bookmarkEnd w:id="76"/>
      <w:bookmarkEnd w:id="77"/>
      <w:bookmarkEnd w:id="78"/>
    </w:p>
    <w:p w14:paraId="03AC0D69">
      <w:pPr>
        <w:numPr>
          <w:ilvl w:val="0"/>
          <w:numId w:val="0"/>
        </w:numPr>
        <w:tabs>
          <w:tab w:val="left" w:pos="0"/>
        </w:tabs>
        <w:spacing w:line="360" w:lineRule="auto"/>
        <w:ind w:left="0" w:leftChars="0" w:firstLine="482" w:firstLineChars="200"/>
        <w:jc w:val="left"/>
        <w:outlineLvl w:val="2"/>
        <w:rPr>
          <w:rFonts w:hint="default" w:ascii="Times New Roman" w:hAnsi="Times New Roman" w:eastAsia="宋体" w:cs="Times New Roman"/>
          <w:b/>
          <w:bCs/>
          <w:color w:val="auto"/>
          <w:sz w:val="24"/>
          <w:szCs w:val="24"/>
          <w:highlight w:val="none"/>
          <w:lang w:val="en-US" w:eastAsia="zh-CN"/>
        </w:rPr>
      </w:pPr>
      <w:bookmarkStart w:id="79" w:name="_Toc3657"/>
      <w:bookmarkStart w:id="80" w:name="_Toc2089"/>
      <w:bookmarkStart w:id="81" w:name="_Toc12053"/>
      <w:bookmarkStart w:id="82" w:name="_Toc10373"/>
      <w:r>
        <w:rPr>
          <w:rFonts w:hint="eastAsia" w:ascii="Times New Roman" w:hAnsi="Times New Roman" w:eastAsia="宋体" w:cs="Times New Roman"/>
          <w:b/>
          <w:bCs/>
          <w:color w:val="auto"/>
          <w:sz w:val="24"/>
          <w:szCs w:val="24"/>
          <w:highlight w:val="none"/>
          <w:lang w:val="en-US" w:eastAsia="zh-CN"/>
        </w:rPr>
        <w:t>1.</w:t>
      </w:r>
      <w:bookmarkEnd w:id="79"/>
      <w:bookmarkEnd w:id="80"/>
      <w:r>
        <w:rPr>
          <w:rFonts w:hint="eastAsia" w:ascii="Times New Roman" w:hAnsi="Times New Roman" w:eastAsia="宋体" w:cs="Times New Roman"/>
          <w:b/>
          <w:bCs/>
          <w:color w:val="auto"/>
          <w:sz w:val="24"/>
          <w:szCs w:val="24"/>
          <w:highlight w:val="none"/>
          <w:lang w:val="en-US" w:eastAsia="zh-CN"/>
        </w:rPr>
        <w:t>行政运转</w:t>
      </w:r>
      <w:bookmarkEnd w:id="81"/>
      <w:bookmarkEnd w:id="82"/>
    </w:p>
    <w:p w14:paraId="6F2B8EB5">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83" w:name="_Toc32163"/>
      <w:r>
        <w:rPr>
          <w:rFonts w:hint="eastAsia" w:ascii="Times New Roman" w:hAnsi="Times New Roman" w:eastAsia="宋体" w:cs="Times New Roman"/>
          <w:b/>
          <w:bCs/>
          <w:color w:val="auto"/>
          <w:sz w:val="24"/>
          <w:szCs w:val="24"/>
          <w:highlight w:val="none"/>
          <w:lang w:val="en-US" w:eastAsia="zh-CN"/>
        </w:rPr>
        <w:t>（1）</w:t>
      </w:r>
      <w:bookmarkEnd w:id="83"/>
      <w:r>
        <w:rPr>
          <w:rFonts w:hint="default" w:ascii="Times New Roman" w:hAnsi="Times New Roman" w:eastAsia="宋体" w:cs="Times New Roman"/>
          <w:b/>
          <w:bCs/>
          <w:color w:val="auto"/>
          <w:sz w:val="24"/>
          <w:szCs w:val="24"/>
          <w:highlight w:val="none"/>
          <w:lang w:val="en-US" w:eastAsia="zh-CN"/>
        </w:rPr>
        <w:t>用途合规性</w:t>
      </w:r>
    </w:p>
    <w:p w14:paraId="5E6531E2">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该项目资金主要用于</w:t>
      </w:r>
      <w:r>
        <w:rPr>
          <w:rFonts w:hint="eastAsia" w:ascii="宋体" w:hAnsi="宋体" w:cs="宋体"/>
          <w:bCs/>
          <w:sz w:val="24"/>
          <w:szCs w:val="24"/>
          <w:highlight w:val="none"/>
          <w:lang w:val="en-US" w:eastAsia="zh-CN"/>
        </w:rPr>
        <w:t>开展耕地地力保护补贴项目工作</w:t>
      </w:r>
      <w:r>
        <w:rPr>
          <w:rFonts w:hint="default" w:ascii="宋体" w:hAnsi="宋体" w:eastAsia="宋体" w:cs="宋体"/>
          <w:bCs/>
          <w:sz w:val="24"/>
          <w:szCs w:val="24"/>
          <w:highlight w:val="none"/>
          <w:lang w:val="en-US" w:eastAsia="zh-CN"/>
        </w:rPr>
        <w:t>事项上，资金实际用途与规定的适用范围相符。</w:t>
      </w:r>
    </w:p>
    <w:p w14:paraId="62DE945E">
      <w:pPr>
        <w:spacing w:line="560" w:lineRule="exact"/>
        <w:ind w:firstLine="480" w:firstLineChars="200"/>
        <w:jc w:val="left"/>
        <w:rPr>
          <w:rFonts w:hint="eastAsia"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综上，“用途合规性”指标权重为10分，扣0分，得10分</w:t>
      </w:r>
      <w:r>
        <w:rPr>
          <w:rFonts w:hint="eastAsia" w:ascii="宋体" w:hAnsi="宋体" w:eastAsia="宋体" w:cs="宋体"/>
          <w:bCs/>
          <w:sz w:val="24"/>
          <w:szCs w:val="24"/>
          <w:lang w:val="en-US" w:eastAsia="zh-CN"/>
        </w:rPr>
        <w:t>。</w:t>
      </w:r>
    </w:p>
    <w:p w14:paraId="32238B4F">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84" w:name="_Toc4689"/>
      <w:r>
        <w:rPr>
          <w:rFonts w:hint="eastAsia" w:ascii="Times New Roman" w:hAnsi="Times New Roman" w:eastAsia="宋体" w:cs="Times New Roman"/>
          <w:b/>
          <w:bCs/>
          <w:color w:val="auto"/>
          <w:sz w:val="24"/>
          <w:szCs w:val="24"/>
          <w:highlight w:val="none"/>
          <w:lang w:val="en-US" w:eastAsia="zh-CN"/>
        </w:rPr>
        <w:t>（2）</w:t>
      </w:r>
      <w:bookmarkEnd w:id="84"/>
      <w:r>
        <w:rPr>
          <w:rFonts w:hint="default" w:ascii="Times New Roman" w:hAnsi="Times New Roman" w:eastAsia="宋体" w:cs="Times New Roman"/>
          <w:b/>
          <w:bCs/>
          <w:color w:val="auto"/>
          <w:sz w:val="24"/>
          <w:szCs w:val="24"/>
          <w:highlight w:val="none"/>
          <w:lang w:val="en-US" w:eastAsia="zh-CN"/>
        </w:rPr>
        <w:t>程序合规性</w:t>
      </w:r>
    </w:p>
    <w:p w14:paraId="51A7F02A">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项目资金管理程序的多数环节基本契合专项资金管理要求</w:t>
      </w:r>
      <w:r>
        <w:rPr>
          <w:rFonts w:hint="eastAsia" w:ascii="宋体" w:hAnsi="宋体" w:cs="宋体"/>
          <w:bCs/>
          <w:sz w:val="24"/>
          <w:szCs w:val="24"/>
          <w:highlight w:val="none"/>
          <w:lang w:val="en-US" w:eastAsia="zh-CN"/>
        </w:rPr>
        <w:t>，但在耕地地力保护补贴发放环节存在被他人代领的情况（根据攀枝花市审计局出具的审计报告（攀审报〔2025〕17 号））。</w:t>
      </w:r>
    </w:p>
    <w:p w14:paraId="47A7C6AD">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综上，“程序合规性”指标权重为10分，扣</w:t>
      </w:r>
      <w:r>
        <w:rPr>
          <w:rFonts w:hint="eastAsia" w:ascii="宋体" w:hAnsi="宋体" w:cs="宋体"/>
          <w:bCs/>
          <w:sz w:val="24"/>
          <w:szCs w:val="24"/>
          <w:highlight w:val="none"/>
          <w:lang w:val="en-US" w:eastAsia="zh-CN"/>
        </w:rPr>
        <w:t>2</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8</w:t>
      </w:r>
      <w:r>
        <w:rPr>
          <w:rFonts w:hint="eastAsia" w:ascii="宋体" w:hAnsi="宋体" w:eastAsia="宋体" w:cs="宋体"/>
          <w:bCs/>
          <w:sz w:val="24"/>
          <w:szCs w:val="24"/>
          <w:highlight w:val="none"/>
          <w:lang w:val="en-US" w:eastAsia="zh-CN"/>
        </w:rPr>
        <w:t>分。</w:t>
      </w:r>
    </w:p>
    <w:p w14:paraId="6E46B1D9">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85" w:name="_Toc25829"/>
      <w:r>
        <w:rPr>
          <w:rFonts w:hint="eastAsia" w:ascii="Times New Roman" w:hAnsi="Times New Roman" w:eastAsia="宋体" w:cs="Times New Roman"/>
          <w:b/>
          <w:bCs/>
          <w:color w:val="auto"/>
          <w:sz w:val="24"/>
          <w:szCs w:val="24"/>
          <w:highlight w:val="none"/>
          <w:lang w:val="en-US" w:eastAsia="zh-CN"/>
        </w:rPr>
        <w:t>（3）</w:t>
      </w:r>
      <w:bookmarkEnd w:id="85"/>
      <w:r>
        <w:rPr>
          <w:rFonts w:hint="eastAsia" w:ascii="Times New Roman" w:hAnsi="Times New Roman" w:eastAsia="宋体" w:cs="Times New Roman"/>
          <w:b/>
          <w:bCs/>
          <w:color w:val="auto"/>
          <w:sz w:val="24"/>
          <w:szCs w:val="24"/>
          <w:highlight w:val="none"/>
          <w:lang w:val="en-US" w:eastAsia="zh-CN"/>
        </w:rPr>
        <w:t>标准合规性</w:t>
      </w:r>
    </w:p>
    <w:p w14:paraId="17410852">
      <w:pPr>
        <w:spacing w:line="560" w:lineRule="exact"/>
        <w:ind w:firstLine="480" w:firstLineChars="200"/>
        <w:jc w:val="left"/>
        <w:rPr>
          <w:rFonts w:hint="eastAsia" w:ascii="宋体" w:hAnsi="宋体" w:eastAsia="宋体" w:cs="宋体"/>
          <w:bCs/>
          <w:sz w:val="24"/>
          <w:szCs w:val="24"/>
          <w:highlight w:val="yellow"/>
          <w:lang w:val="en-US" w:eastAsia="zh-CN"/>
        </w:rPr>
      </w:pPr>
      <w:r>
        <w:rPr>
          <w:rFonts w:hint="eastAsia" w:ascii="宋体" w:hAnsi="宋体" w:eastAsia="宋体" w:cs="宋体"/>
          <w:bCs/>
          <w:sz w:val="24"/>
          <w:szCs w:val="24"/>
          <w:highlight w:val="none"/>
          <w:lang w:val="en-US" w:eastAsia="zh-CN"/>
        </w:rPr>
        <w:t>项目在资金分配标准的整体管控上，</w:t>
      </w:r>
      <w:r>
        <w:rPr>
          <w:rFonts w:hint="eastAsia" w:ascii="宋体" w:hAnsi="宋体" w:cs="宋体"/>
          <w:bCs/>
          <w:sz w:val="24"/>
          <w:szCs w:val="24"/>
          <w:highlight w:val="none"/>
          <w:lang w:val="en-US" w:eastAsia="zh-CN"/>
        </w:rPr>
        <w:t>严格按照每亩耕地补贴91.50元标准核算补贴资金，</w:t>
      </w:r>
      <w:r>
        <w:rPr>
          <w:rFonts w:hint="eastAsia" w:ascii="宋体" w:hAnsi="宋体" w:eastAsia="宋体" w:cs="宋体"/>
          <w:bCs/>
          <w:sz w:val="24"/>
          <w:szCs w:val="24"/>
          <w:highlight w:val="none"/>
          <w:lang w:val="en-US" w:eastAsia="zh-CN"/>
        </w:rPr>
        <w:t>未出现任何偏离既定分配标准的情形</w:t>
      </w:r>
      <w:r>
        <w:rPr>
          <w:rFonts w:hint="eastAsia" w:ascii="宋体" w:hAnsi="宋体" w:cs="宋体"/>
          <w:bCs/>
          <w:sz w:val="24"/>
          <w:szCs w:val="24"/>
          <w:highlight w:val="none"/>
          <w:lang w:val="en-US" w:eastAsia="zh-CN"/>
        </w:rPr>
        <w:t>。</w:t>
      </w:r>
    </w:p>
    <w:p w14:paraId="440A5A82">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综上，“标准合规性”指标权重为10分，扣</w:t>
      </w:r>
      <w:r>
        <w:rPr>
          <w:rFonts w:hint="eastAsia" w:ascii="宋体" w:hAnsi="宋体" w:cs="宋体"/>
          <w:bCs/>
          <w:sz w:val="24"/>
          <w:szCs w:val="24"/>
          <w:highlight w:val="none"/>
          <w:lang w:val="en-US" w:eastAsia="zh-CN"/>
        </w:rPr>
        <w:t>0</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10</w:t>
      </w:r>
      <w:r>
        <w:rPr>
          <w:rFonts w:hint="eastAsia" w:ascii="宋体" w:hAnsi="宋体" w:eastAsia="宋体" w:cs="宋体"/>
          <w:bCs/>
          <w:sz w:val="24"/>
          <w:szCs w:val="24"/>
          <w:highlight w:val="none"/>
          <w:lang w:val="en-US" w:eastAsia="zh-CN"/>
        </w:rPr>
        <w:t>分。</w:t>
      </w:r>
    </w:p>
    <w:p w14:paraId="2FC23B82">
      <w:pPr>
        <w:numPr>
          <w:ilvl w:val="0"/>
          <w:numId w:val="7"/>
        </w:numPr>
        <w:tabs>
          <w:tab w:val="left" w:pos="0"/>
        </w:tabs>
        <w:spacing w:line="360" w:lineRule="auto"/>
        <w:ind w:firstLine="482" w:firstLineChars="200"/>
        <w:jc w:val="left"/>
        <w:outlineLvl w:val="1"/>
        <w:rPr>
          <w:rFonts w:hint="default" w:ascii="Times New Roman" w:hAnsi="Times New Roman" w:eastAsia="宋体" w:cs="Times New Roman"/>
          <w:b/>
          <w:bCs/>
          <w:color w:val="auto"/>
          <w:sz w:val="24"/>
          <w:szCs w:val="24"/>
          <w:highlight w:val="none"/>
          <w:lang w:val="en-US" w:eastAsia="zh-CN"/>
        </w:rPr>
      </w:pPr>
      <w:bookmarkStart w:id="86" w:name="_Toc25596"/>
      <w:bookmarkStart w:id="87" w:name="_Toc11134"/>
      <w:bookmarkStart w:id="88" w:name="_Toc2724"/>
      <w:bookmarkStart w:id="89" w:name="_Toc29156"/>
      <w:r>
        <w:rPr>
          <w:rFonts w:hint="eastAsia" w:ascii="Times New Roman" w:hAnsi="Times New Roman" w:eastAsia="宋体" w:cs="Times New Roman"/>
          <w:b/>
          <w:bCs/>
          <w:color w:val="auto"/>
          <w:sz w:val="24"/>
          <w:szCs w:val="24"/>
          <w:highlight w:val="none"/>
          <w:lang w:val="en-US" w:eastAsia="zh-CN"/>
        </w:rPr>
        <w:t>个性指标</w:t>
      </w:r>
      <w:bookmarkEnd w:id="86"/>
      <w:bookmarkEnd w:id="87"/>
      <w:bookmarkEnd w:id="88"/>
      <w:bookmarkEnd w:id="89"/>
    </w:p>
    <w:p w14:paraId="2EB4B4D3">
      <w:pPr>
        <w:spacing w:line="560" w:lineRule="exact"/>
        <w:ind w:firstLine="482" w:firstLineChars="200"/>
        <w:jc w:val="left"/>
        <w:outlineLvl w:val="2"/>
        <w:rPr>
          <w:rFonts w:hint="default" w:ascii="宋体" w:hAnsi="宋体" w:eastAsia="宋体" w:cs="宋体"/>
          <w:b/>
          <w:bCs w:val="0"/>
          <w:sz w:val="24"/>
          <w:szCs w:val="24"/>
          <w:lang w:val="en-US" w:eastAsia="zh-CN"/>
        </w:rPr>
      </w:pPr>
      <w:bookmarkStart w:id="90" w:name="_Toc22056"/>
      <w:bookmarkStart w:id="91" w:name="_Toc3107"/>
      <w:bookmarkStart w:id="92" w:name="_Toc31823"/>
      <w:bookmarkStart w:id="93" w:name="_Toc8910"/>
      <w:r>
        <w:rPr>
          <w:rFonts w:hint="default" w:ascii="宋体" w:hAnsi="宋体" w:eastAsia="宋体" w:cs="宋体"/>
          <w:b/>
          <w:bCs w:val="0"/>
          <w:sz w:val="24"/>
          <w:szCs w:val="24"/>
          <w:lang w:val="en-US" w:eastAsia="zh-CN"/>
        </w:rPr>
        <w:t>1.</w:t>
      </w:r>
      <w:bookmarkEnd w:id="90"/>
      <w:bookmarkEnd w:id="91"/>
      <w:bookmarkEnd w:id="92"/>
      <w:r>
        <w:rPr>
          <w:rFonts w:hint="default" w:ascii="宋体" w:hAnsi="宋体" w:eastAsia="宋体" w:cs="宋体"/>
          <w:b/>
          <w:bCs w:val="0"/>
          <w:sz w:val="24"/>
          <w:szCs w:val="24"/>
          <w:lang w:val="en-US" w:eastAsia="zh-CN"/>
        </w:rPr>
        <w:t>补贴政策宣传覆盖有效性</w:t>
      </w:r>
      <w:bookmarkEnd w:id="93"/>
    </w:p>
    <w:p w14:paraId="41E8A464">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仁和区下辖8个镇、6个乡，根据仁和区农业农村局提供的2024年分乡镇耕地补贴发放完成名单，共涉及14个乡镇的耕地地力保护补贴。未出现任何乡镇或村组的宣传遗漏情况，全面保障了各区域农户对补贴政策的知晓渠道。</w:t>
      </w:r>
    </w:p>
    <w:p w14:paraId="0E30D572">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lang w:val="en-US" w:eastAsia="zh-CN"/>
        </w:rPr>
        <w:t>综上，“补贴政策宣传覆盖有效性”指标权重为</w:t>
      </w:r>
      <w:r>
        <w:rPr>
          <w:rFonts w:hint="eastAsia" w:ascii="宋体" w:hAnsi="宋体" w:cs="宋体"/>
          <w:bCs/>
          <w:sz w:val="24"/>
          <w:szCs w:val="24"/>
          <w:lang w:val="en-US" w:eastAsia="zh-CN"/>
        </w:rPr>
        <w:t>8</w:t>
      </w:r>
      <w:r>
        <w:rPr>
          <w:rFonts w:hint="eastAsia" w:ascii="宋体" w:hAnsi="宋体" w:eastAsia="宋体" w:cs="宋体"/>
          <w:bCs/>
          <w:sz w:val="24"/>
          <w:szCs w:val="24"/>
          <w:lang w:val="en-US" w:eastAsia="zh-CN"/>
        </w:rPr>
        <w:t>分，扣</w:t>
      </w:r>
      <w:r>
        <w:rPr>
          <w:rFonts w:hint="eastAsia" w:ascii="宋体" w:hAnsi="宋体" w:cs="宋体"/>
          <w:bCs/>
          <w:sz w:val="24"/>
          <w:szCs w:val="24"/>
          <w:lang w:val="en-US" w:eastAsia="zh-CN"/>
        </w:rPr>
        <w:t>0</w:t>
      </w:r>
      <w:r>
        <w:rPr>
          <w:rFonts w:hint="eastAsia" w:ascii="宋体" w:hAnsi="宋体" w:eastAsia="宋体" w:cs="宋体"/>
          <w:bCs/>
          <w:sz w:val="24"/>
          <w:szCs w:val="24"/>
          <w:lang w:val="en-US" w:eastAsia="zh-CN"/>
        </w:rPr>
        <w:t>分，得</w:t>
      </w:r>
      <w:r>
        <w:rPr>
          <w:rFonts w:hint="eastAsia" w:ascii="宋体" w:hAnsi="宋体" w:cs="宋体"/>
          <w:bCs/>
          <w:sz w:val="24"/>
          <w:szCs w:val="24"/>
          <w:lang w:val="en-US" w:eastAsia="zh-CN"/>
        </w:rPr>
        <w:t>8</w:t>
      </w:r>
      <w:r>
        <w:rPr>
          <w:rFonts w:hint="eastAsia" w:ascii="宋体" w:hAnsi="宋体" w:eastAsia="宋体" w:cs="宋体"/>
          <w:bCs/>
          <w:sz w:val="24"/>
          <w:szCs w:val="24"/>
          <w:lang w:val="en-US" w:eastAsia="zh-CN"/>
        </w:rPr>
        <w:t>分。</w:t>
      </w:r>
    </w:p>
    <w:p w14:paraId="42934DE5">
      <w:pPr>
        <w:spacing w:line="560" w:lineRule="exact"/>
        <w:ind w:firstLine="482" w:firstLineChars="200"/>
        <w:jc w:val="left"/>
        <w:outlineLvl w:val="2"/>
        <w:rPr>
          <w:rFonts w:hint="default" w:ascii="宋体" w:hAnsi="宋体" w:eastAsia="宋体" w:cs="宋体"/>
          <w:b/>
          <w:bCs w:val="0"/>
          <w:sz w:val="24"/>
          <w:szCs w:val="24"/>
          <w:lang w:val="en-US" w:eastAsia="zh-CN"/>
        </w:rPr>
      </w:pPr>
      <w:bookmarkStart w:id="94" w:name="_Toc31299"/>
      <w:bookmarkStart w:id="95" w:name="_Toc16018"/>
      <w:bookmarkStart w:id="96" w:name="_Toc9397"/>
      <w:bookmarkStart w:id="97" w:name="_Toc1968"/>
      <w:r>
        <w:rPr>
          <w:rFonts w:hint="default" w:ascii="宋体" w:hAnsi="宋体" w:eastAsia="宋体" w:cs="宋体"/>
          <w:b/>
          <w:bCs w:val="0"/>
          <w:sz w:val="24"/>
          <w:szCs w:val="24"/>
          <w:lang w:val="en-US" w:eastAsia="zh-CN"/>
        </w:rPr>
        <w:t>2.</w:t>
      </w:r>
      <w:bookmarkEnd w:id="94"/>
      <w:bookmarkEnd w:id="95"/>
      <w:bookmarkEnd w:id="96"/>
      <w:r>
        <w:rPr>
          <w:rFonts w:hint="default" w:ascii="宋体" w:hAnsi="宋体" w:eastAsia="宋体" w:cs="宋体"/>
          <w:b/>
          <w:bCs w:val="0"/>
          <w:sz w:val="24"/>
          <w:szCs w:val="24"/>
          <w:lang w:val="en-US" w:eastAsia="zh-CN"/>
        </w:rPr>
        <w:t>耕地地力保护补贴档案归档完整性</w:t>
      </w:r>
      <w:bookmarkEnd w:id="97"/>
    </w:p>
    <w:p w14:paraId="4E2EE520">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该项目严格按照程序要求，将申报、审核、公示、发放，区乡两级通过等资料归档，无归档不规范的情况。</w:t>
      </w:r>
    </w:p>
    <w:p w14:paraId="6E48FE01">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综上，“耕地地力保护补贴档案归档完整性”指标权重为</w:t>
      </w:r>
      <w:r>
        <w:rPr>
          <w:rFonts w:hint="eastAsia" w:ascii="宋体" w:hAnsi="宋体" w:cs="宋体"/>
          <w:bCs/>
          <w:sz w:val="24"/>
          <w:szCs w:val="24"/>
          <w:highlight w:val="none"/>
          <w:lang w:val="en-US" w:eastAsia="zh-CN"/>
        </w:rPr>
        <w:t>8</w:t>
      </w:r>
      <w:r>
        <w:rPr>
          <w:rFonts w:hint="eastAsia" w:ascii="宋体" w:hAnsi="宋体" w:eastAsia="宋体" w:cs="宋体"/>
          <w:bCs/>
          <w:sz w:val="24"/>
          <w:szCs w:val="24"/>
          <w:highlight w:val="none"/>
          <w:lang w:val="en-US" w:eastAsia="zh-CN"/>
        </w:rPr>
        <w:t>分，扣</w:t>
      </w:r>
      <w:r>
        <w:rPr>
          <w:rFonts w:hint="eastAsia" w:ascii="宋体" w:hAnsi="宋体" w:cs="宋体"/>
          <w:bCs/>
          <w:sz w:val="24"/>
          <w:szCs w:val="24"/>
          <w:highlight w:val="none"/>
          <w:lang w:val="en-US" w:eastAsia="zh-CN"/>
        </w:rPr>
        <w:t>0</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8</w:t>
      </w:r>
      <w:r>
        <w:rPr>
          <w:rFonts w:hint="eastAsia" w:ascii="宋体" w:hAnsi="宋体" w:eastAsia="宋体" w:cs="宋体"/>
          <w:bCs/>
          <w:sz w:val="24"/>
          <w:szCs w:val="24"/>
          <w:highlight w:val="none"/>
          <w:lang w:val="en-US" w:eastAsia="zh-CN"/>
        </w:rPr>
        <w:t>分。</w:t>
      </w:r>
    </w:p>
    <w:p w14:paraId="0814F8F7">
      <w:pPr>
        <w:numPr>
          <w:ilvl w:val="0"/>
          <w:numId w:val="7"/>
        </w:numPr>
        <w:tabs>
          <w:tab w:val="left" w:pos="0"/>
        </w:tabs>
        <w:spacing w:line="360" w:lineRule="auto"/>
        <w:ind w:firstLine="482" w:firstLineChars="200"/>
        <w:jc w:val="left"/>
        <w:outlineLvl w:val="1"/>
        <w:rPr>
          <w:rFonts w:hint="default" w:ascii="Times New Roman" w:hAnsi="Times New Roman" w:eastAsia="宋体" w:cs="Times New Roman"/>
          <w:b/>
          <w:bCs/>
          <w:color w:val="auto"/>
          <w:sz w:val="24"/>
          <w:szCs w:val="24"/>
          <w:highlight w:val="none"/>
          <w:lang w:val="en-US" w:eastAsia="zh-CN"/>
        </w:rPr>
      </w:pPr>
      <w:bookmarkStart w:id="98" w:name="_Toc22043"/>
      <w:r>
        <w:rPr>
          <w:rFonts w:hint="eastAsia" w:ascii="Times New Roman" w:hAnsi="Times New Roman" w:eastAsia="宋体" w:cs="Times New Roman"/>
          <w:b/>
          <w:bCs/>
          <w:color w:val="auto"/>
          <w:sz w:val="24"/>
          <w:szCs w:val="24"/>
          <w:highlight w:val="none"/>
          <w:lang w:val="en-US" w:eastAsia="zh-CN"/>
        </w:rPr>
        <w:t>扣分项</w:t>
      </w:r>
      <w:bookmarkEnd w:id="98"/>
    </w:p>
    <w:p w14:paraId="39186FBA">
      <w:pPr>
        <w:numPr>
          <w:ilvl w:val="0"/>
          <w:numId w:val="8"/>
        </w:numPr>
        <w:tabs>
          <w:tab w:val="left" w:pos="0"/>
          <w:tab w:val="clear" w:pos="312"/>
        </w:tabs>
        <w:spacing w:line="360" w:lineRule="auto"/>
        <w:ind w:firstLine="482" w:firstLineChars="200"/>
        <w:jc w:val="left"/>
        <w:outlineLvl w:val="2"/>
        <w:rPr>
          <w:rFonts w:hint="eastAsia" w:ascii="Times New Roman" w:hAnsi="Times New Roman" w:cs="Times New Roman"/>
          <w:b/>
          <w:bCs/>
          <w:color w:val="auto"/>
          <w:sz w:val="24"/>
          <w:szCs w:val="24"/>
          <w:highlight w:val="none"/>
          <w:lang w:val="en-US" w:eastAsia="zh-CN"/>
        </w:rPr>
      </w:pPr>
      <w:bookmarkStart w:id="99" w:name="_Toc9237"/>
      <w:r>
        <w:rPr>
          <w:rFonts w:hint="eastAsia" w:ascii="Times New Roman" w:hAnsi="Times New Roman" w:cs="Times New Roman"/>
          <w:b/>
          <w:bCs/>
          <w:color w:val="auto"/>
          <w:sz w:val="24"/>
          <w:szCs w:val="24"/>
          <w:highlight w:val="none"/>
          <w:lang w:val="en-US" w:eastAsia="zh-CN"/>
        </w:rPr>
        <w:t>绩效管理存在问题</w:t>
      </w:r>
      <w:bookmarkEnd w:id="99"/>
    </w:p>
    <w:p w14:paraId="31FD1715">
      <w:pPr>
        <w:spacing w:line="560" w:lineRule="exact"/>
        <w:ind w:firstLine="480" w:firstLineChars="200"/>
        <w:jc w:val="left"/>
        <w:rPr>
          <w:rFonts w:hint="eastAsia" w:ascii="宋体" w:hAnsi="宋体" w:cs="宋体"/>
          <w:bCs/>
          <w:sz w:val="24"/>
          <w:szCs w:val="24"/>
          <w:highlight w:val="none"/>
          <w:lang w:val="en-US" w:eastAsia="zh-CN"/>
        </w:rPr>
      </w:pPr>
      <w:r>
        <w:rPr>
          <w:rFonts w:hint="default" w:ascii="宋体" w:hAnsi="宋体" w:cs="宋体"/>
          <w:bCs/>
          <w:sz w:val="24"/>
          <w:szCs w:val="24"/>
          <w:highlight w:val="none"/>
          <w:lang w:val="en-US" w:eastAsia="zh-CN"/>
        </w:rPr>
        <w:t>根据攀枝花市审计局出具的审计报告（攀审报〔2025〕17号），项目实施出现了他人代领的情况</w:t>
      </w:r>
      <w:r>
        <w:rPr>
          <w:rFonts w:hint="eastAsia" w:ascii="宋体" w:hAnsi="宋体" w:cs="宋体"/>
          <w:bCs/>
          <w:sz w:val="24"/>
          <w:szCs w:val="24"/>
          <w:highlight w:val="none"/>
          <w:lang w:val="en-US" w:eastAsia="zh-CN"/>
        </w:rPr>
        <w:t>。</w:t>
      </w:r>
    </w:p>
    <w:p w14:paraId="6A760C14">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综上，“绩效管理存在问题”指标扣</w:t>
      </w:r>
      <w:r>
        <w:rPr>
          <w:rFonts w:hint="eastAsia" w:ascii="宋体" w:hAnsi="宋体" w:cs="宋体"/>
          <w:bCs/>
          <w:sz w:val="24"/>
          <w:szCs w:val="24"/>
          <w:highlight w:val="none"/>
          <w:lang w:val="en-US" w:eastAsia="zh-CN"/>
        </w:rPr>
        <w:t>1</w:t>
      </w:r>
      <w:r>
        <w:rPr>
          <w:rFonts w:hint="eastAsia" w:ascii="宋体" w:hAnsi="宋体" w:eastAsia="宋体" w:cs="宋体"/>
          <w:bCs/>
          <w:sz w:val="24"/>
          <w:szCs w:val="24"/>
          <w:highlight w:val="none"/>
          <w:lang w:val="en-US" w:eastAsia="zh-CN"/>
        </w:rPr>
        <w:t>分。</w:t>
      </w:r>
    </w:p>
    <w:p w14:paraId="73B1C394">
      <w:pPr>
        <w:numPr>
          <w:ilvl w:val="0"/>
          <w:numId w:val="8"/>
        </w:numPr>
        <w:tabs>
          <w:tab w:val="left" w:pos="0"/>
          <w:tab w:val="clear" w:pos="312"/>
        </w:tabs>
        <w:spacing w:line="360" w:lineRule="auto"/>
        <w:ind w:firstLine="482" w:firstLineChars="200"/>
        <w:jc w:val="left"/>
        <w:outlineLvl w:val="2"/>
        <w:rPr>
          <w:rFonts w:hint="default" w:ascii="Times New Roman" w:hAnsi="Times New Roman" w:cs="Times New Roman"/>
          <w:b/>
          <w:bCs/>
          <w:color w:val="auto"/>
          <w:sz w:val="24"/>
          <w:szCs w:val="24"/>
          <w:highlight w:val="none"/>
          <w:lang w:val="en-US" w:eastAsia="zh-CN"/>
        </w:rPr>
      </w:pPr>
      <w:bookmarkStart w:id="100" w:name="_Toc15652"/>
      <w:r>
        <w:rPr>
          <w:rFonts w:hint="eastAsia" w:ascii="Times New Roman" w:hAnsi="Times New Roman" w:cs="Times New Roman"/>
          <w:b/>
          <w:bCs/>
          <w:color w:val="auto"/>
          <w:sz w:val="24"/>
          <w:szCs w:val="24"/>
          <w:highlight w:val="none"/>
          <w:lang w:val="en-US" w:eastAsia="zh-CN"/>
        </w:rPr>
        <w:t>被评价部门配合度</w:t>
      </w:r>
      <w:bookmarkEnd w:id="100"/>
    </w:p>
    <w:p w14:paraId="3BC9C0D0">
      <w:pPr>
        <w:spacing w:line="560" w:lineRule="exact"/>
        <w:ind w:firstLine="480" w:firstLineChars="200"/>
        <w:jc w:val="left"/>
        <w:rPr>
          <w:rFonts w:hint="eastAsia" w:ascii="宋体" w:hAnsi="宋体" w:cs="宋体"/>
          <w:bCs/>
          <w:sz w:val="24"/>
          <w:szCs w:val="24"/>
          <w:highlight w:val="none"/>
          <w:lang w:val="en-US" w:eastAsia="zh-CN"/>
        </w:rPr>
      </w:pPr>
      <w:r>
        <w:rPr>
          <w:rFonts w:hint="default" w:ascii="宋体" w:hAnsi="宋体" w:cs="宋体"/>
          <w:bCs/>
          <w:sz w:val="24"/>
          <w:szCs w:val="24"/>
          <w:highlight w:val="none"/>
          <w:lang w:val="en-US" w:eastAsia="zh-CN"/>
        </w:rPr>
        <w:t>在本次绩效评价工作推进过程中，被评价对象未出现拖延推诿、提交资料不及时或拒不配合评价工作的情况，能够主动对接评价需求，及时按要求提供相关资料</w:t>
      </w:r>
      <w:r>
        <w:rPr>
          <w:rFonts w:hint="eastAsia" w:ascii="宋体" w:hAnsi="宋体" w:cs="宋体"/>
          <w:bCs/>
          <w:sz w:val="24"/>
          <w:szCs w:val="24"/>
          <w:highlight w:val="none"/>
          <w:lang w:val="en-US" w:eastAsia="zh-CN"/>
        </w:rPr>
        <w:t>。</w:t>
      </w:r>
    </w:p>
    <w:p w14:paraId="6552DF60">
      <w:pPr>
        <w:spacing w:line="560" w:lineRule="exact"/>
        <w:ind w:firstLine="480" w:firstLineChars="200"/>
        <w:jc w:val="left"/>
        <w:rPr>
          <w:rFonts w:hint="default" w:ascii="宋体" w:hAnsi="宋体" w:cs="宋体"/>
          <w:bCs/>
          <w:sz w:val="24"/>
          <w:szCs w:val="24"/>
          <w:highlight w:val="none"/>
          <w:lang w:val="en-US" w:eastAsia="zh-CN"/>
        </w:rPr>
      </w:pPr>
      <w:r>
        <w:rPr>
          <w:rFonts w:hint="eastAsia" w:ascii="宋体" w:hAnsi="宋体" w:eastAsia="宋体" w:cs="宋体"/>
          <w:bCs/>
          <w:sz w:val="24"/>
          <w:szCs w:val="24"/>
          <w:highlight w:val="none"/>
          <w:lang w:val="en-US" w:eastAsia="zh-CN"/>
        </w:rPr>
        <w:t>综上，“被评价部门配合度”指标未产生扣分情形。</w:t>
      </w:r>
    </w:p>
    <w:p w14:paraId="0E96B0F7">
      <w:pPr>
        <w:spacing w:line="560" w:lineRule="exact"/>
        <w:ind w:firstLine="482" w:firstLineChars="200"/>
        <w:jc w:val="left"/>
        <w:outlineLvl w:val="0"/>
        <w:rPr>
          <w:rFonts w:hint="default" w:ascii="宋体" w:hAnsi="宋体" w:eastAsia="宋体" w:cs="宋体"/>
          <w:bCs/>
          <w:sz w:val="24"/>
          <w:szCs w:val="24"/>
          <w:highlight w:val="yellow"/>
          <w:lang w:val="en-US" w:eastAsia="zh-CN"/>
        </w:rPr>
      </w:pPr>
      <w:bookmarkStart w:id="101" w:name="_Toc12812"/>
      <w:bookmarkStart w:id="102" w:name="_Toc18219"/>
      <w:bookmarkStart w:id="103" w:name="_Toc686"/>
      <w:bookmarkStart w:id="104" w:name="_Toc7410"/>
      <w:r>
        <w:rPr>
          <w:rFonts w:hint="default" w:ascii="宋体" w:hAnsi="宋体" w:eastAsia="宋体" w:cs="宋体"/>
          <w:b/>
          <w:bCs w:val="0"/>
          <w:sz w:val="24"/>
          <w:szCs w:val="24"/>
          <w:lang w:val="en-US" w:eastAsia="zh-CN"/>
        </w:rPr>
        <w:t>五、存在的主要问题</w:t>
      </w:r>
      <w:bookmarkEnd w:id="101"/>
      <w:bookmarkEnd w:id="102"/>
      <w:bookmarkEnd w:id="103"/>
      <w:bookmarkEnd w:id="104"/>
    </w:p>
    <w:p w14:paraId="3F5DE48C">
      <w:pPr>
        <w:spacing w:line="560" w:lineRule="exact"/>
        <w:ind w:firstLine="482" w:firstLineChars="200"/>
        <w:jc w:val="left"/>
        <w:outlineLvl w:val="1"/>
        <w:rPr>
          <w:rFonts w:hint="eastAsia" w:ascii="宋体" w:hAnsi="宋体" w:eastAsia="宋体" w:cs="宋体"/>
          <w:b/>
          <w:bCs w:val="0"/>
          <w:sz w:val="24"/>
          <w:szCs w:val="24"/>
          <w:lang w:val="en-US" w:eastAsia="zh-CN"/>
        </w:rPr>
      </w:pPr>
      <w:bookmarkStart w:id="105" w:name="_Toc17713"/>
      <w:bookmarkStart w:id="106" w:name="_Toc17368"/>
      <w:bookmarkStart w:id="107" w:name="_Toc32512"/>
      <w:bookmarkStart w:id="108" w:name="_Toc24397"/>
      <w:r>
        <w:rPr>
          <w:rFonts w:hint="eastAsia" w:ascii="宋体" w:hAnsi="宋体" w:eastAsia="宋体" w:cs="宋体"/>
          <w:b/>
          <w:bCs w:val="0"/>
          <w:sz w:val="24"/>
          <w:szCs w:val="24"/>
          <w:lang w:val="en-US" w:eastAsia="zh-CN"/>
        </w:rPr>
        <w:t>（</w:t>
      </w:r>
      <w:r>
        <w:rPr>
          <w:rFonts w:hint="eastAsia" w:ascii="宋体" w:hAnsi="宋体" w:cs="宋体"/>
          <w:b/>
          <w:bCs w:val="0"/>
          <w:sz w:val="24"/>
          <w:szCs w:val="24"/>
          <w:lang w:val="en-US" w:eastAsia="zh-CN"/>
        </w:rPr>
        <w:t>一</w:t>
      </w:r>
      <w:r>
        <w:rPr>
          <w:rFonts w:hint="eastAsia" w:ascii="宋体" w:hAnsi="宋体" w:eastAsia="宋体" w:cs="宋体"/>
          <w:b/>
          <w:bCs w:val="0"/>
          <w:sz w:val="24"/>
          <w:szCs w:val="24"/>
          <w:lang w:val="en-US" w:eastAsia="zh-CN"/>
        </w:rPr>
        <w:t>）</w:t>
      </w:r>
      <w:bookmarkEnd w:id="105"/>
      <w:bookmarkEnd w:id="106"/>
      <w:r>
        <w:rPr>
          <w:rFonts w:hint="eastAsia" w:ascii="宋体" w:hAnsi="宋体" w:cs="宋体"/>
          <w:b/>
          <w:bCs w:val="0"/>
          <w:sz w:val="24"/>
          <w:szCs w:val="24"/>
          <w:lang w:val="en-US" w:eastAsia="zh-CN"/>
        </w:rPr>
        <w:t>规划论证不完整，项目未设置总体绩效目标</w:t>
      </w:r>
      <w:bookmarkEnd w:id="107"/>
      <w:bookmarkEnd w:id="108"/>
    </w:p>
    <w:p w14:paraId="01FCEBB1">
      <w:pPr>
        <w:numPr>
          <w:ilvl w:val="0"/>
          <w:numId w:val="0"/>
        </w:num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项目</w:t>
      </w:r>
      <w:r>
        <w:rPr>
          <w:rFonts w:hint="default" w:ascii="宋体" w:hAnsi="宋体" w:eastAsia="宋体" w:cs="宋体"/>
          <w:bCs/>
          <w:sz w:val="24"/>
          <w:szCs w:val="24"/>
          <w:highlight w:val="none"/>
          <w:lang w:val="en-US" w:eastAsia="zh-CN"/>
        </w:rPr>
        <w:t>未设置总体绩效目标</w:t>
      </w:r>
      <w:r>
        <w:rPr>
          <w:rFonts w:hint="eastAsia" w:ascii="宋体" w:hAnsi="宋体" w:cs="宋体"/>
          <w:bCs/>
          <w:sz w:val="24"/>
          <w:szCs w:val="24"/>
          <w:highlight w:val="none"/>
          <w:lang w:val="en-US" w:eastAsia="zh-CN"/>
        </w:rPr>
        <w:t>，</w:t>
      </w:r>
      <w:r>
        <w:rPr>
          <w:rFonts w:hint="default" w:ascii="宋体" w:hAnsi="宋体" w:eastAsia="宋体" w:cs="宋体"/>
          <w:bCs/>
          <w:sz w:val="24"/>
          <w:szCs w:val="24"/>
          <w:highlight w:val="none"/>
          <w:lang w:val="en-US" w:eastAsia="zh-CN"/>
        </w:rPr>
        <w:t>这违背了项目规划论证中“以绩效为导向、明确目标指引”的工作要求，导致项目实施过程缺乏统一的绩效方向指引，无法精准锚定项目整体成效的衡量标准，难以系统评估项目的预期价值实现程度</w:t>
      </w:r>
      <w:r>
        <w:rPr>
          <w:rFonts w:hint="eastAsia" w:ascii="宋体" w:hAnsi="宋体" w:eastAsia="宋体" w:cs="宋体"/>
          <w:bCs/>
          <w:sz w:val="24"/>
          <w:szCs w:val="24"/>
          <w:highlight w:val="none"/>
          <w:lang w:val="en-US" w:eastAsia="zh-CN"/>
        </w:rPr>
        <w:t>。</w:t>
      </w:r>
    </w:p>
    <w:p w14:paraId="2B14CC90">
      <w:pPr>
        <w:numPr>
          <w:ilvl w:val="0"/>
          <w:numId w:val="0"/>
        </w:numPr>
        <w:spacing w:line="560" w:lineRule="exact"/>
        <w:ind w:left="0" w:leftChars="0" w:firstLine="482" w:firstLineChars="200"/>
        <w:jc w:val="left"/>
        <w:outlineLvl w:val="1"/>
        <w:rPr>
          <w:rFonts w:hint="eastAsia" w:ascii="宋体" w:hAnsi="宋体" w:eastAsia="宋体" w:cs="宋体"/>
          <w:b/>
          <w:bCs w:val="0"/>
          <w:sz w:val="24"/>
          <w:szCs w:val="24"/>
          <w:highlight w:val="none"/>
          <w:lang w:val="en-US" w:eastAsia="zh-CN"/>
        </w:rPr>
      </w:pPr>
      <w:bookmarkStart w:id="109" w:name="_Toc1353"/>
      <w:bookmarkStart w:id="110" w:name="_Toc6662"/>
      <w:bookmarkStart w:id="111" w:name="_Toc25989"/>
      <w:bookmarkStart w:id="112" w:name="_Toc27872"/>
      <w:r>
        <w:rPr>
          <w:rFonts w:hint="eastAsia" w:ascii="宋体" w:hAnsi="宋体" w:eastAsia="宋体" w:cs="宋体"/>
          <w:b/>
          <w:bCs w:val="0"/>
          <w:sz w:val="24"/>
          <w:szCs w:val="24"/>
          <w:highlight w:val="none"/>
          <w:lang w:val="en-US" w:eastAsia="zh-CN"/>
        </w:rPr>
        <w:t>（</w:t>
      </w:r>
      <w:r>
        <w:rPr>
          <w:rFonts w:hint="eastAsia" w:ascii="宋体" w:hAnsi="宋体" w:cs="宋体"/>
          <w:b/>
          <w:bCs w:val="0"/>
          <w:sz w:val="24"/>
          <w:szCs w:val="24"/>
          <w:highlight w:val="none"/>
          <w:lang w:val="en-US" w:eastAsia="zh-CN"/>
        </w:rPr>
        <w:t>二</w:t>
      </w:r>
      <w:r>
        <w:rPr>
          <w:rFonts w:hint="eastAsia" w:ascii="宋体" w:hAnsi="宋体" w:eastAsia="宋体" w:cs="宋体"/>
          <w:b/>
          <w:bCs w:val="0"/>
          <w:sz w:val="24"/>
          <w:szCs w:val="24"/>
          <w:highlight w:val="none"/>
          <w:lang w:val="en-US" w:eastAsia="zh-CN"/>
        </w:rPr>
        <w:t>）</w:t>
      </w:r>
      <w:bookmarkEnd w:id="109"/>
      <w:bookmarkEnd w:id="110"/>
      <w:r>
        <w:rPr>
          <w:rFonts w:hint="eastAsia" w:ascii="宋体" w:hAnsi="宋体" w:eastAsia="宋体" w:cs="宋体"/>
          <w:b/>
          <w:bCs w:val="0"/>
          <w:sz w:val="24"/>
          <w:szCs w:val="24"/>
          <w:highlight w:val="none"/>
          <w:lang w:val="en-US" w:eastAsia="zh-CN"/>
        </w:rPr>
        <w:t>绩效监管不到位，未落实预算绩效管理工作要求</w:t>
      </w:r>
      <w:bookmarkEnd w:id="111"/>
      <w:bookmarkEnd w:id="112"/>
    </w:p>
    <w:p w14:paraId="78E612C1">
      <w:pPr>
        <w:numPr>
          <w:ilvl w:val="0"/>
          <w:numId w:val="0"/>
        </w:num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项目未按照预算绩效管理工作要求完成部分绩效评价工作，如绩效监控。不符合预算绩效管理“全流程闭环监管”的规范。</w:t>
      </w:r>
    </w:p>
    <w:p w14:paraId="346F9626">
      <w:pPr>
        <w:spacing w:line="560" w:lineRule="exact"/>
        <w:ind w:firstLine="482" w:firstLineChars="200"/>
        <w:jc w:val="left"/>
        <w:outlineLvl w:val="0"/>
        <w:rPr>
          <w:rFonts w:hint="default" w:ascii="宋体" w:hAnsi="宋体" w:eastAsia="宋体" w:cs="宋体"/>
          <w:b/>
          <w:bCs w:val="0"/>
          <w:sz w:val="24"/>
          <w:szCs w:val="24"/>
          <w:lang w:val="en-US" w:eastAsia="zh-CN"/>
        </w:rPr>
      </w:pPr>
      <w:bookmarkStart w:id="113" w:name="_Toc30023"/>
      <w:bookmarkStart w:id="114" w:name="_Toc17274"/>
      <w:bookmarkStart w:id="115" w:name="_Toc4874"/>
      <w:bookmarkStart w:id="116" w:name="_Toc18686"/>
      <w:r>
        <w:rPr>
          <w:rFonts w:hint="default" w:ascii="宋体" w:hAnsi="宋体" w:eastAsia="宋体" w:cs="宋体"/>
          <w:b/>
          <w:bCs w:val="0"/>
          <w:sz w:val="24"/>
          <w:szCs w:val="24"/>
          <w:lang w:val="en-US" w:eastAsia="zh-CN"/>
        </w:rPr>
        <w:t>六、相关建议</w:t>
      </w:r>
      <w:bookmarkEnd w:id="113"/>
      <w:bookmarkEnd w:id="114"/>
      <w:bookmarkEnd w:id="115"/>
      <w:bookmarkEnd w:id="116"/>
    </w:p>
    <w:p w14:paraId="2A22F097">
      <w:pPr>
        <w:numPr>
          <w:ilvl w:val="0"/>
          <w:numId w:val="0"/>
        </w:numPr>
        <w:spacing w:line="560" w:lineRule="exact"/>
        <w:ind w:left="0" w:leftChars="0" w:firstLine="482" w:firstLineChars="200"/>
        <w:jc w:val="left"/>
        <w:outlineLvl w:val="1"/>
        <w:rPr>
          <w:rFonts w:hint="eastAsia" w:ascii="宋体" w:hAnsi="宋体" w:eastAsia="宋体" w:cs="宋体"/>
          <w:b/>
          <w:bCs w:val="0"/>
          <w:sz w:val="24"/>
          <w:szCs w:val="24"/>
          <w:highlight w:val="none"/>
          <w:lang w:val="en-US" w:eastAsia="zh-CN"/>
        </w:rPr>
      </w:pPr>
      <w:bookmarkStart w:id="117" w:name="_Toc25550"/>
      <w:bookmarkStart w:id="118" w:name="_Toc17709"/>
      <w:bookmarkStart w:id="119" w:name="_Toc24720"/>
      <w:bookmarkStart w:id="120" w:name="_Toc15674"/>
      <w:r>
        <w:rPr>
          <w:rFonts w:hint="eastAsia" w:ascii="宋体" w:hAnsi="宋体" w:eastAsia="宋体" w:cs="宋体"/>
          <w:b/>
          <w:bCs w:val="0"/>
          <w:sz w:val="24"/>
          <w:szCs w:val="24"/>
          <w:highlight w:val="none"/>
          <w:lang w:val="en-US" w:eastAsia="zh-CN"/>
        </w:rPr>
        <w:t>（一）</w:t>
      </w:r>
      <w:bookmarkEnd w:id="117"/>
      <w:bookmarkEnd w:id="118"/>
      <w:bookmarkEnd w:id="119"/>
      <w:bookmarkEnd w:id="120"/>
      <w:r>
        <w:rPr>
          <w:rFonts w:hint="eastAsia" w:ascii="宋体" w:hAnsi="宋体" w:eastAsia="宋体" w:cs="宋体"/>
          <w:b/>
          <w:bCs w:val="0"/>
          <w:sz w:val="24"/>
          <w:szCs w:val="24"/>
          <w:highlight w:val="none"/>
          <w:lang w:val="en-US" w:eastAsia="zh-CN"/>
        </w:rPr>
        <w:t>明确总体绩效目标</w:t>
      </w:r>
    </w:p>
    <w:p w14:paraId="0407E7B7">
      <w:pPr>
        <w:spacing w:line="560" w:lineRule="exact"/>
        <w:ind w:firstLine="480" w:firstLineChars="200"/>
        <w:jc w:val="left"/>
        <w:rPr>
          <w:rFonts w:hint="eastAsia"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在项目立项阶段，按照 “具体、可衡量、可实现、相关、时限明确”的原则，设定项目总体绩效目标（如“202X年耕地地力保护补贴精准发放率达100%、补贴覆盖符合条件农户比例达100%”）</w:t>
      </w:r>
      <w:r>
        <w:rPr>
          <w:rFonts w:hint="eastAsia" w:ascii="宋体" w:hAnsi="宋体" w:cs="宋体"/>
          <w:bCs/>
          <w:sz w:val="24"/>
          <w:szCs w:val="24"/>
          <w:highlight w:val="none"/>
          <w:lang w:val="en-US" w:eastAsia="zh-CN"/>
        </w:rPr>
        <w:t>，做到量化可衡量、贴合实际。</w:t>
      </w:r>
    </w:p>
    <w:p w14:paraId="0911BD98">
      <w:pPr>
        <w:numPr>
          <w:ilvl w:val="0"/>
          <w:numId w:val="9"/>
        </w:numPr>
        <w:spacing w:line="560" w:lineRule="exact"/>
        <w:ind w:firstLine="482" w:firstLineChars="200"/>
        <w:jc w:val="left"/>
        <w:outlineLvl w:val="1"/>
        <w:rPr>
          <w:rFonts w:hint="eastAsia" w:ascii="宋体" w:hAnsi="宋体" w:eastAsia="宋体" w:cs="宋体"/>
          <w:b/>
          <w:bCs w:val="0"/>
          <w:sz w:val="24"/>
          <w:szCs w:val="24"/>
          <w:highlight w:val="none"/>
          <w:lang w:val="en-US" w:eastAsia="zh-CN"/>
        </w:rPr>
      </w:pPr>
      <w:r>
        <w:rPr>
          <w:rFonts w:hint="eastAsia" w:ascii="宋体" w:hAnsi="宋体" w:eastAsia="宋体" w:cs="宋体"/>
          <w:b/>
          <w:bCs w:val="0"/>
          <w:sz w:val="24"/>
          <w:szCs w:val="24"/>
          <w:highlight w:val="none"/>
          <w:lang w:val="en-US" w:eastAsia="zh-CN"/>
        </w:rPr>
        <w:t>强化绩效全流程监管，落实预算管理要求</w:t>
      </w:r>
    </w:p>
    <w:p w14:paraId="329ECB8F">
      <w:pPr>
        <w:spacing w:line="560" w:lineRule="exact"/>
        <w:ind w:firstLine="480" w:firstLineChars="200"/>
        <w:jc w:val="left"/>
        <w:rPr>
          <w:rFonts w:hint="default" w:ascii="宋体" w:hAnsi="宋体" w:cs="宋体"/>
          <w:bCs/>
          <w:sz w:val="24"/>
          <w:szCs w:val="24"/>
          <w:highlight w:val="none"/>
          <w:lang w:val="en-US" w:eastAsia="zh-CN"/>
        </w:rPr>
      </w:pPr>
      <w:r>
        <w:rPr>
          <w:rFonts w:hint="default" w:ascii="宋体" w:hAnsi="宋体" w:eastAsia="宋体" w:cs="宋体"/>
          <w:bCs/>
          <w:sz w:val="24"/>
          <w:szCs w:val="24"/>
          <w:highlight w:val="none"/>
          <w:lang w:val="en-US" w:eastAsia="zh-CN"/>
        </w:rPr>
        <w:t>严格按照预算绩效管理规范</w:t>
      </w:r>
      <w:r>
        <w:rPr>
          <w:rFonts w:hint="eastAsia" w:ascii="宋体" w:hAnsi="宋体" w:cs="宋体"/>
          <w:bCs/>
          <w:sz w:val="24"/>
          <w:szCs w:val="24"/>
          <w:highlight w:val="none"/>
          <w:lang w:val="en-US" w:eastAsia="zh-CN"/>
        </w:rPr>
        <w:t>，补全绩效监控等流程，明确各环节责任主体与时间节点，定期梳理绩效管理进展，确保各项要求落地执行，实现财政资金使用效益的精准把控。</w:t>
      </w:r>
    </w:p>
    <w:p w14:paraId="0B0C560C">
      <w:pPr>
        <w:spacing w:line="560" w:lineRule="exact"/>
        <w:ind w:firstLine="480" w:firstLineChars="200"/>
        <w:jc w:val="left"/>
        <w:outlineLvl w:val="0"/>
        <w:rPr>
          <w:rFonts w:hint="default" w:ascii="宋体" w:hAnsi="宋体" w:eastAsia="宋体" w:cs="宋体"/>
          <w:bCs/>
          <w:sz w:val="24"/>
          <w:szCs w:val="24"/>
          <w:lang w:val="en-US" w:eastAsia="zh-CN"/>
        </w:rPr>
      </w:pPr>
      <w:bookmarkStart w:id="121" w:name="_Toc1683"/>
      <w:bookmarkStart w:id="122" w:name="_Toc4066"/>
      <w:bookmarkStart w:id="123" w:name="_Toc5801"/>
      <w:bookmarkStart w:id="124" w:name="_Toc8660"/>
    </w:p>
    <w:p w14:paraId="54BCA3B7">
      <w:pPr>
        <w:spacing w:line="560" w:lineRule="exact"/>
        <w:ind w:firstLine="480" w:firstLineChars="200"/>
        <w:jc w:val="left"/>
        <w:outlineLvl w:val="0"/>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附件1:</w:t>
      </w:r>
      <w:bookmarkEnd w:id="121"/>
      <w:r>
        <w:rPr>
          <w:rFonts w:hint="default" w:ascii="宋体" w:hAnsi="宋体" w:eastAsia="宋体" w:cs="宋体"/>
          <w:bCs/>
          <w:sz w:val="24"/>
          <w:szCs w:val="24"/>
          <w:lang w:val="en-US" w:eastAsia="zh-CN"/>
        </w:rPr>
        <w:t>耕地地力保护补贴项目支出绩效评价指标体系</w:t>
      </w:r>
      <w:bookmarkEnd w:id="122"/>
      <w:bookmarkEnd w:id="123"/>
      <w:bookmarkEnd w:id="124"/>
    </w:p>
    <w:p w14:paraId="25805C99">
      <w:pPr>
        <w:spacing w:line="560" w:lineRule="exact"/>
        <w:ind w:firstLine="480" w:firstLineChars="200"/>
        <w:jc w:val="right"/>
        <w:rPr>
          <w:rFonts w:hint="default" w:ascii="宋体" w:hAnsi="宋体" w:eastAsia="宋体" w:cs="宋体"/>
          <w:bCs/>
          <w:sz w:val="24"/>
          <w:szCs w:val="24"/>
          <w:lang w:val="en-US" w:eastAsia="zh-CN"/>
        </w:rPr>
      </w:pPr>
    </w:p>
    <w:p w14:paraId="52B4ED68">
      <w:pPr>
        <w:spacing w:line="560" w:lineRule="exact"/>
        <w:ind w:firstLine="480" w:firstLineChars="200"/>
        <w:jc w:val="right"/>
        <w:rPr>
          <w:rFonts w:hint="default" w:ascii="宋体" w:hAnsi="宋体" w:eastAsia="宋体" w:cs="宋体"/>
          <w:bCs/>
          <w:sz w:val="24"/>
          <w:szCs w:val="24"/>
          <w:lang w:val="en-US" w:eastAsia="zh-CN"/>
        </w:rPr>
      </w:pPr>
    </w:p>
    <w:p w14:paraId="79DE94F2">
      <w:pPr>
        <w:spacing w:line="560" w:lineRule="exact"/>
        <w:ind w:firstLine="480" w:firstLineChars="200"/>
        <w:jc w:val="right"/>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四川璟合企业管理咨询有限公司</w:t>
      </w:r>
    </w:p>
    <w:p w14:paraId="29893AA9">
      <w:pPr>
        <w:spacing w:line="560" w:lineRule="exact"/>
        <w:ind w:firstLine="480" w:firstLineChars="200"/>
        <w:jc w:val="right"/>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二</w:t>
      </w:r>
      <w:r>
        <w:rPr>
          <w:rFonts w:hint="eastAsia" w:ascii="宋体" w:hAnsi="宋体" w:cs="宋体"/>
          <w:bCs/>
          <w:sz w:val="24"/>
          <w:szCs w:val="24"/>
          <w:lang w:val="en-US" w:eastAsia="zh-CN"/>
        </w:rPr>
        <w:t>0</w:t>
      </w:r>
      <w:r>
        <w:rPr>
          <w:rFonts w:hint="eastAsia" w:ascii="宋体" w:hAnsi="宋体" w:eastAsia="宋体" w:cs="宋体"/>
          <w:bCs/>
          <w:sz w:val="24"/>
          <w:szCs w:val="24"/>
          <w:lang w:val="en-US" w:eastAsia="zh-CN"/>
        </w:rPr>
        <w:t>二五年十</w:t>
      </w:r>
      <w:r>
        <w:rPr>
          <w:rFonts w:hint="eastAsia" w:ascii="宋体" w:hAnsi="宋体" w:cs="宋体"/>
          <w:bCs/>
          <w:sz w:val="24"/>
          <w:szCs w:val="24"/>
          <w:lang w:val="en-US" w:eastAsia="zh-CN"/>
        </w:rPr>
        <w:t>二</w:t>
      </w:r>
      <w:r>
        <w:rPr>
          <w:rFonts w:hint="eastAsia" w:ascii="宋体" w:hAnsi="宋体" w:eastAsia="宋体" w:cs="宋体"/>
          <w:bCs/>
          <w:sz w:val="24"/>
          <w:szCs w:val="24"/>
          <w:lang w:val="en-US" w:eastAsia="zh-CN"/>
        </w:rPr>
        <w:t>月</w:t>
      </w:r>
      <w:r>
        <w:rPr>
          <w:rFonts w:hint="eastAsia" w:ascii="宋体" w:hAnsi="宋体" w:cs="宋体"/>
          <w:bCs/>
          <w:sz w:val="24"/>
          <w:szCs w:val="24"/>
          <w:lang w:val="en-US" w:eastAsia="zh-CN"/>
        </w:rPr>
        <w:t>三</w:t>
      </w:r>
      <w:r>
        <w:rPr>
          <w:rFonts w:hint="eastAsia" w:ascii="宋体" w:hAnsi="宋体" w:eastAsia="宋体" w:cs="宋体"/>
          <w:bCs/>
          <w:sz w:val="24"/>
          <w:szCs w:val="24"/>
          <w:lang w:val="en-US" w:eastAsia="zh-CN"/>
        </w:rPr>
        <w:t>日</w:t>
      </w:r>
    </w:p>
    <w:p w14:paraId="1E0E0CCB"/>
    <w:sectPr>
      <w:footerReference r:id="rId1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A5BCF">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A1B5C">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8C1A7">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B4FD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72F8BD">
                          <w:pPr>
                            <w:pStyle w:val="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272F8BD">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9FC2C">
    <w:pPr>
      <w:pStyle w:val="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4DA72">
    <w:pPr>
      <w:pStyle w:val="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3E3CD">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B5E0CB">
                          <w:pPr>
                            <w:pStyle w:val="6"/>
                          </w:pPr>
                          <w:r>
                            <w:fldChar w:fldCharType="begin"/>
                          </w:r>
                          <w:r>
                            <w:instrText xml:space="preserve"> PAGE  \* MERGEFORMAT </w:instrText>
                          </w:r>
                          <w:r>
                            <w:fldChar w:fldCharType="separate"/>
                          </w:r>
                          <w:r>
                            <w:t>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1B5E0CB">
                    <w:pPr>
                      <w:pStyle w:val="6"/>
                    </w:pPr>
                    <w:r>
                      <w:fldChar w:fldCharType="begin"/>
                    </w:r>
                    <w:r>
                      <w:instrText xml:space="preserve"> PAGE  \* MERGEFORMAT </w:instrText>
                    </w:r>
                    <w:r>
                      <w:fldChar w:fldCharType="separate"/>
                    </w:r>
                    <w:r>
                      <w:t>V</w:t>
                    </w:r>
                    <w:r>
                      <w:fldChar w:fldCharType="end"/>
                    </w:r>
                  </w:p>
                </w:txbxContent>
              </v:textbox>
            </v:shape>
          </w:pict>
        </mc:Fallback>
      </mc:AlternateContent>
    </w:r>
    <w:r>
      <w:rPr>
        <w:rFonts w:hint="eastAsia"/>
        <w:lang w:eastAsia="zh-CN"/>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95CAD">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3CB777">
                          <w:pPr>
                            <w:pStyle w:val="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343CB777">
                    <w:pPr>
                      <w:pStyle w:val="6"/>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8124A">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34ECB">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0B3BF">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BD80D"/>
    <w:multiLevelType w:val="singleLevel"/>
    <w:tmpl w:val="956BD80D"/>
    <w:lvl w:ilvl="0" w:tentative="0">
      <w:start w:val="2"/>
      <w:numFmt w:val="decimal"/>
      <w:suff w:val="nothing"/>
      <w:lvlText w:val="（%1）"/>
      <w:lvlJc w:val="left"/>
    </w:lvl>
  </w:abstractNum>
  <w:abstractNum w:abstractNumId="1">
    <w:nsid w:val="9ED7D491"/>
    <w:multiLevelType w:val="singleLevel"/>
    <w:tmpl w:val="9ED7D491"/>
    <w:lvl w:ilvl="0" w:tentative="0">
      <w:start w:val="3"/>
      <w:numFmt w:val="chineseCounting"/>
      <w:suff w:val="nothing"/>
      <w:lvlText w:val="%1、"/>
      <w:lvlJc w:val="left"/>
      <w:rPr>
        <w:rFonts w:hint="eastAsia"/>
      </w:rPr>
    </w:lvl>
  </w:abstractNum>
  <w:abstractNum w:abstractNumId="2">
    <w:nsid w:val="B95687C6"/>
    <w:multiLevelType w:val="singleLevel"/>
    <w:tmpl w:val="B95687C6"/>
    <w:lvl w:ilvl="0" w:tentative="0">
      <w:start w:val="1"/>
      <w:numFmt w:val="chineseCounting"/>
      <w:suff w:val="nothing"/>
      <w:lvlText w:val="（%1）"/>
      <w:lvlJc w:val="left"/>
      <w:rPr>
        <w:rFonts w:hint="eastAsia"/>
      </w:rPr>
    </w:lvl>
  </w:abstractNum>
  <w:abstractNum w:abstractNumId="3">
    <w:nsid w:val="BA9B2409"/>
    <w:multiLevelType w:val="singleLevel"/>
    <w:tmpl w:val="BA9B2409"/>
    <w:lvl w:ilvl="0" w:tentative="0">
      <w:start w:val="1"/>
      <w:numFmt w:val="chineseCounting"/>
      <w:suff w:val="nothing"/>
      <w:lvlText w:val="（%1）"/>
      <w:lvlJc w:val="left"/>
      <w:rPr>
        <w:rFonts w:hint="eastAsia"/>
      </w:rPr>
    </w:lvl>
  </w:abstractNum>
  <w:abstractNum w:abstractNumId="4">
    <w:nsid w:val="F9BF44DC"/>
    <w:multiLevelType w:val="singleLevel"/>
    <w:tmpl w:val="F9BF44DC"/>
    <w:lvl w:ilvl="0" w:tentative="0">
      <w:start w:val="2"/>
      <w:numFmt w:val="chineseCounting"/>
      <w:suff w:val="nothing"/>
      <w:lvlText w:val="（%1）"/>
      <w:lvlJc w:val="left"/>
      <w:rPr>
        <w:rFonts w:hint="eastAsia"/>
      </w:rPr>
    </w:lvl>
  </w:abstractNum>
  <w:abstractNum w:abstractNumId="5">
    <w:nsid w:val="2A53EA7C"/>
    <w:multiLevelType w:val="singleLevel"/>
    <w:tmpl w:val="2A53EA7C"/>
    <w:lvl w:ilvl="0" w:tentative="0">
      <w:start w:val="3"/>
      <w:numFmt w:val="chineseCounting"/>
      <w:suff w:val="nothing"/>
      <w:lvlText w:val="%1、"/>
      <w:lvlJc w:val="left"/>
      <w:rPr>
        <w:rFonts w:hint="eastAsia"/>
      </w:rPr>
    </w:lvl>
  </w:abstractNum>
  <w:abstractNum w:abstractNumId="6">
    <w:nsid w:val="2EB4C75B"/>
    <w:multiLevelType w:val="singleLevel"/>
    <w:tmpl w:val="2EB4C75B"/>
    <w:lvl w:ilvl="0" w:tentative="0">
      <w:start w:val="1"/>
      <w:numFmt w:val="decimal"/>
      <w:lvlText w:val="%1."/>
      <w:lvlJc w:val="left"/>
      <w:pPr>
        <w:tabs>
          <w:tab w:val="left" w:pos="312"/>
        </w:tabs>
      </w:pPr>
    </w:lvl>
  </w:abstractNum>
  <w:abstractNum w:abstractNumId="7">
    <w:nsid w:val="5F4291DE"/>
    <w:multiLevelType w:val="singleLevel"/>
    <w:tmpl w:val="5F4291DE"/>
    <w:lvl w:ilvl="0" w:tentative="0">
      <w:start w:val="2"/>
      <w:numFmt w:val="chineseCounting"/>
      <w:suff w:val="nothing"/>
      <w:lvlText w:val="（%1）"/>
      <w:lvlJc w:val="left"/>
      <w:rPr>
        <w:rFonts w:hint="eastAsia"/>
      </w:rPr>
    </w:lvl>
  </w:abstractNum>
  <w:abstractNum w:abstractNumId="8">
    <w:nsid w:val="6B249201"/>
    <w:multiLevelType w:val="singleLevel"/>
    <w:tmpl w:val="6B249201"/>
    <w:lvl w:ilvl="0" w:tentative="0">
      <w:start w:val="1"/>
      <w:numFmt w:val="chineseCounting"/>
      <w:suff w:val="nothing"/>
      <w:lvlText w:val="%1、"/>
      <w:lvlJc w:val="left"/>
      <w:rPr>
        <w:rFonts w:hint="eastAsia"/>
      </w:rPr>
    </w:lvl>
  </w:abstractNum>
  <w:num w:numId="1">
    <w:abstractNumId w:val="5"/>
  </w:num>
  <w:num w:numId="2">
    <w:abstractNumId w:val="3"/>
  </w:num>
  <w:num w:numId="3">
    <w:abstractNumId w:val="2"/>
  </w:num>
  <w:num w:numId="4">
    <w:abstractNumId w:val="8"/>
  </w:num>
  <w:num w:numId="5">
    <w:abstractNumId w:val="1"/>
  </w:num>
  <w:num w:numId="6">
    <w:abstractNumId w:val="0"/>
  </w:num>
  <w:num w:numId="7">
    <w:abstractNumId w:val="4"/>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06622E"/>
    <w:rsid w:val="0C5A4D20"/>
    <w:rsid w:val="15A76195"/>
    <w:rsid w:val="19DB57DC"/>
    <w:rsid w:val="1BFA7574"/>
    <w:rsid w:val="280B04BC"/>
    <w:rsid w:val="29D775E0"/>
    <w:rsid w:val="2F230A1D"/>
    <w:rsid w:val="300B4017"/>
    <w:rsid w:val="367233EE"/>
    <w:rsid w:val="3ACD1DA9"/>
    <w:rsid w:val="40180D21"/>
    <w:rsid w:val="43C25692"/>
    <w:rsid w:val="58811D6A"/>
    <w:rsid w:val="65050A55"/>
    <w:rsid w:val="6506622E"/>
    <w:rsid w:val="6FEC1573"/>
    <w:rsid w:val="78915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w:basedOn w:val="1"/>
    <w:qFormat/>
    <w:uiPriority w:val="0"/>
    <w:pPr>
      <w:ind w:left="200" w:hanging="200" w:hangingChars="200"/>
    </w:pPr>
  </w:style>
  <w:style w:type="paragraph" w:styleId="4">
    <w:name w:val="toc 3"/>
    <w:basedOn w:val="1"/>
    <w:next w:val="1"/>
    <w:qFormat/>
    <w:uiPriority w:val="0"/>
    <w:pPr>
      <w:ind w:left="840" w:leftChars="400"/>
    </w:pPr>
  </w:style>
  <w:style w:type="paragraph" w:styleId="5">
    <w:name w:val="Plain Text"/>
    <w:basedOn w:val="1"/>
    <w:unhideWhenUsed/>
    <w:qFormat/>
    <w:uiPriority w:val="99"/>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Body Text First Indent"/>
    <w:basedOn w:val="2"/>
    <w:next w:val="1"/>
    <w:unhideWhenUsed/>
    <w:qFormat/>
    <w:uiPriority w:val="99"/>
    <w:pPr>
      <w:ind w:firstLine="420" w:firstLineChars="100"/>
    </w:pPr>
  </w:style>
  <w:style w:type="table" w:customStyle="1" w:styleId="13">
    <w:name w:val="Table Normal"/>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rPr>
      <w:rFonts w:ascii="宋体" w:hAnsi="宋体" w:eastAsia="宋体" w:cs="宋体"/>
      <w:sz w:val="20"/>
      <w:szCs w:val="20"/>
      <w:lang w:val="en-US" w:eastAsia="en-US" w:bidi="ar-SA"/>
    </w:rPr>
  </w:style>
  <w:style w:type="character" w:customStyle="1" w:styleId="15">
    <w:name w:val="font3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02b6d6fb-dd17-4d07-b683-9d8a210a47ee</errorID>
      <errorWord>低的要求</errorWord>
      <group>L1_Grammar</group>
      <groupName>语法问题</groupName>
      <ability>L2_Missing</ability>
      <abilityName>成分残缺</abilityName>
      <candidateList>
        <item>低</item>
      </candidateList>
      <explain>句子中可能存在主谓宾、修饰语或者必要的词语残缺。</explain>
      <paraID>611FE928</paraID>
      <start>200</start>
      <end>204</end>
      <status>ignored</status>
      <modifiedWord/>
      <trackRevisions>false</trackRevisions>
    </reviewItem>
    <reviewItem>
      <errorID>9ccbf0a8-bd01-429b-9cda-aa9ff1fe53ee</errorID>
      <errorWord>(</errorWord>
      <group>L1_Format</group>
      <groupName>格式问题</groupName>
      <ability>L2_HalfPunc</ability>
      <abilityName>全半角检查</abilityName>
      <candidateList>
        <item>（</item>
      </candidateList>
      <explain>文本全半角错误。</explain>
      <paraID>70B2699F</paraID>
      <start>80</start>
      <end>81</end>
      <status>ignored</status>
      <modifiedWord/>
      <trackRevisions>false</trackRevisions>
    </reviewItem>
    <reviewItem>
      <errorID>98e40e25-4f70-4716-a863-8f550f2c1791</errorID>
      <errorWord>帐户</errorWord>
      <group>L1_Word</group>
      <groupName>字词问题</groupName>
      <ability>L2_Typo</ability>
      <abilityName>字词错误</abilityName>
      <candidateList>
        <item>账户</item>
      </candidateList>
      <explain>〈名〉会计上指账簿中对各种资金运用、来源和周转过程等设置的分类。</explain>
      <paraID>70B2699F</paraID>
      <start>199</start>
      <end>201</end>
      <status>ignored</status>
      <modifiedWord/>
      <trackRevisions>false</trackRevisions>
    </reviewItem>
    <reviewItem>
      <errorID>5829125f-90f2-4375-8805-305fd82b7a5c</errorID>
      <errorWord>，</errorWord>
      <group>L1_Word</group>
      <groupName>字词问题</groupName>
      <ability>L2_Typo</ability>
      <abilityName>字词错误</abilityName>
      <candidateList>
        <item>，导</item>
      </candidateList>
      <explain/>
      <paraID>1C0E2923</paraID>
      <start>20</start>
      <end>21</end>
      <status>ignored</status>
      <modifiedWord/>
      <trackRevisions>false</trackRevisions>
    </reviewItem>
    <reviewItem>
      <errorID>3ea6d9d1-2b97-494f-a656-004ade59cdaa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BB87332</paraID>
      <start>30</start>
      <end>31</end>
      <status>unmodified</status>
      <modifiedWord/>
      <trackRevisions>false</trackRevisions>
    </reviewItem>
    <reviewItem>
      <errorID>d1240fe6-1060-443c-aba0-63347d15b8fa</errorID>
      <errorWord>(</errorWord>
      <group>L1_Format</group>
      <groupName>格式问题</groupName>
      <ability>L2_HalfPunc</ability>
      <abilityName>全半角检查</abilityName>
      <candidateList>
        <item>（</item>
      </candidateList>
      <explain>文本全半角错误。</explain>
      <paraID>31258F9F</paraID>
      <start>62</start>
      <end>63</end>
      <status>ignored</status>
      <modifiedWord/>
      <trackRevisions>false</trackRevisions>
    </reviewItem>
    <reviewItem>
      <errorID>31b73ac1-8e3e-4939-b416-20c45bbf5106</errorID>
      <errorWord>)</errorWord>
      <group>L1_Format</group>
      <groupName>格式问题</groupName>
      <ability>L2_HalfPunc</ability>
      <abilityName>全半角检查</abilityName>
      <candidateList>
        <item>）</item>
      </candidateList>
      <explain>文本全半角错误。</explain>
      <paraID>31258F9F</paraID>
      <start>76</start>
      <end>77</end>
      <status>ignored</status>
      <modifiedWord/>
      <trackRevisions>false</trackRevisions>
    </reviewItem>
    <reviewItem>
      <errorID>4898e763-b12f-4602-9229-d54a6b849a28</errorID>
      <errorWord>，对</errorWord>
      <group>L1_Word</group>
      <groupName>字词问题</groupName>
      <ability>L2_Typo</ability>
      <abilityName>字词错误</abilityName>
      <candidateList>
        <item>，</item>
      </candidateList>
      <explain/>
      <paraID>31258F9F</paraID>
      <start>135</start>
      <end>137</end>
      <status>ignored</status>
      <modifiedWord/>
      <trackRevisions>false</trackRevisions>
    </reviewItem>
    <reviewItem>
      <errorID>88326889-2446-4e80-bcca-93e76ef0909b</errorID>
      <errorWord>提</errorWord>
      <group>L1_Word</group>
      <groupName>字词问题</groupName>
      <ability>L2_Typo</ability>
      <abilityName>字词错误</abilityName>
      <candidateList>
        <item>提出</item>
      </candidateList>
      <explain/>
      <paraID>1E3A9146</paraID>
      <start>62</start>
      <end>63</end>
      <status>ignored</status>
      <modifiedWord/>
      <trackRevisions>false</trackRevisions>
    </reviewItem>
    <reviewItem>
      <errorID>d6bdcee1-dcc9-44a6-aee7-6c7154f1781e</errorID>
      <errorWord>(</errorWord>
      <group>L1_Format</group>
      <groupName>格式问题</groupName>
      <ability>L2_HalfPunc</ability>
      <abilityName>全半角检查</abilityName>
      <candidateList>
        <item>（</item>
      </candidateList>
      <explain>文本全半角错误。</explain>
      <paraID>721EEB07</paraID>
      <start>2</start>
      <end>3</end>
      <status>unmodified</status>
      <modifiedWord/>
      <trackRevisions>false</trackRevisions>
    </reviewItem>
    <reviewItem>
      <errorID>62f96e59-9368-491a-a40f-8ca3703f0c98</errorID>
      <errorWord>)</errorWord>
      <group>L1_Format</group>
      <groupName>格式问题</groupName>
      <ability>L2_HalfPunc</ability>
      <abilityName>全半角检查</abilityName>
      <candidateList>
        <item>）</item>
      </candidateList>
      <explain>文本全半角错误。</explain>
      <paraID>721EEB07</paraID>
      <start>16</start>
      <end>17</end>
      <status>unmodified</status>
      <modifiedWord/>
      <trackRevisions>false</trackRevisions>
    </reviewItem>
    <reviewItem>
      <errorID>25fb26b9-5c98-4a03-95e7-e832037abbb2</errorID>
      <errorWord>-</errorWord>
      <group>L1_Format</group>
      <groupName>格式问题</groupName>
      <ability>L2_HalfPunc</ability>
      <abilityName>全半角检查</abilityName>
      <candidateList>
        <item>－</item>
      </candidateList>
      <explain>文本全半角错误。</explain>
      <paraID>721EEB07</paraID>
      <start>76</start>
      <end>77</end>
      <status>unmodified</status>
      <modifiedWord/>
      <trackRevisions>false</trackRevisions>
    </reviewItem>
    <reviewItem>
      <errorID>b3f897a4-cff0-4c1a-895d-410a950ad801</errorID>
      <errorWord>(</errorWord>
      <group>L1_Format</group>
      <groupName>格式问题</groupName>
      <ability>L2_HalfPunc</ability>
      <abilityName>全半角检查</abilityName>
      <candidateList>
        <item>（</item>
      </candidateList>
      <explain>文本全半角错误。</explain>
      <paraID> 8BD45CB</paraID>
      <start>75</start>
      <end>76</end>
      <status>unmodified</status>
      <modifiedWord/>
      <trackRevisions>false</trackRevisions>
    </reviewItem>
    <reviewItem>
      <errorID>ca3a9afa-364e-4905-90e5-bf0134f68f25</errorID>
      <errorWord>区区</errorWord>
      <group>L1_Word</group>
      <groupName>字词问题</groupName>
      <ability>L2_Typo</ability>
      <abilityName>字词错误</abilityName>
      <candidateList>
        <item>区</item>
      </candidateList>
      <explain>（區）qū❶区别；划分：～分。❷地区；区域：山～｜市～｜解放～｜工业～｜风景～。❸〈名〉行政区划单位，如自治区、市辖区、县辖区等。</explain>
      <paraID>3CA6713B</paraID>
      <start>24</start>
      <end>26</end>
      <status>ignored</status>
      <modifiedWord/>
      <trackRevisions>false</trackRevisions>
    </reviewItem>
    <reviewItem>
      <errorID>d9efc2eb-68c3-4fb3-891c-f8f60c06ccca</errorID>
      <errorWord>帐户</errorWord>
      <group>L1_Word</group>
      <groupName>字词问题</groupName>
      <ability>L2_Typo</ability>
      <abilityName>字词错误</abilityName>
      <candidateList>
        <item>账户</item>
      </candidateList>
      <explain>〈名〉会计上指账簿中对各种资金运用、来源和周转过程等设置的分类。</explain>
      <paraID>3CA6713B</paraID>
      <start>79</start>
      <end>81</end>
      <status>modified</status>
      <modifiedWord>账户</modifiedWord>
      <trackRevisions>false</trackRevisions>
    </reviewItem>
    <reviewItem>
      <errorID>d76a671c-5392-4a22-82c5-5887c794a17c</errorID>
      <errorWord>事项上</errorWord>
      <group>L1_Word</group>
      <groupName>字词问题</groupName>
      <ability>L2_Typo</ability>
      <abilityName>字词错误</abilityName>
      <candidateList>
        <item>事项</item>
      </candidateList>
      <explain/>
      <paraID>5E6531E2</paraID>
      <start>23</start>
      <end>26</end>
      <status>unmodified</status>
      <modifiedWord/>
      <trackRevisions>false</trackRevisions>
    </reviewItem>
    <reviewItem>
      <errorID>3c45c951-8b52-4603-813b-d3609fca1647</errorID>
      <errorWord>（</errorWord>
      <group>L1_Punc</group>
      <groupName>标点问题</groupName>
      <ability>L2_Punc</ability>
      <abilityName>标点符号检查</abilityName>
      <candidateList/>
      <explain>同一形式括号套用。</explain>
      <paraID>51A7F02A</paraID>
      <start>67</start>
      <end>68</end>
      <status>unmodified</status>
      <modifiedWord/>
      <trackRevisions>false</trackRevisions>
    </reviewItem>
    <reviewItem>
      <errorID>f5a5fca2-b145-442d-bc35-7ca35dcaaa42</errorID>
      <errorWord>）</errorWord>
      <group>L1_Punc</group>
      <groupName>标点问题</groupName>
      <ability>L2_Punc</ability>
      <abilityName>标点符号检查</abilityName>
      <candidateList/>
      <explain>同一形式括号套用。</explain>
      <paraID>51A7F02A</paraID>
      <start>81</start>
      <end>82</end>
      <status>unmodified</status>
      <modifiedWord/>
      <trackRevisions>false</trackRevisions>
    </reviewItem>
    <reviewItem>
      <errorID>3d72f8b7-23be-46f0-b5b4-5c825c7c46dc</errorID>
      <errorWord>:</errorWord>
      <group>L1_Format</group>
      <groupName>格式问题</groupName>
      <ability>L2_HalfPunc</ability>
      <abilityName>全半角检查</abilityName>
      <candidateList>
        <item>：</item>
      </candidateList>
      <explain>文本全半角错误。</explain>
      <paraID>54BCA3B7</paraID>
      <start>3</start>
      <end>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d95708-d202-4c6a-8f90-9f469ef82713}">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5181</Words>
  <Characters>5466</Characters>
  <Lines>0</Lines>
  <Paragraphs>0</Paragraphs>
  <TotalTime>357</TotalTime>
  <ScaleCrop>false</ScaleCrop>
  <LinksUpToDate>false</LinksUpToDate>
  <CharactersWithSpaces>5578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2025-11-30T16:15:00Z</dcterms:created>
  <dc:creator>try</dc:creator>
  <cp:lastModifiedBy>try</cp:lastModifiedBy>
  <dcterms:modified xsi:type="dcterms:W3CDTF">2026-02-12T01:42:39Z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513D26B68AE747F49D2BFF4D61AFE0C7_11</vt:lpwstr>
  </property>
  <property fmtid="{D5CDD505-2E9C-101B-9397-08002B2CF9AE}" pid="4" name="KSOTemplateDocerSaveRecord">
    <vt:lpwstr>eyJoZGlkIjoiZThlYmFlMzM1OWFlNDM3OTFmZTNkODFmMTJlNjQ5MWYiLCJ1c2VySWQiOiIxNzM1MDIzNSJ9</vt:lpwstr>
  </property>
</Properties>
</file>