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黑体" w:hAnsi="黑体" w:eastAsia="黑体"/>
          <w:lang w:val="en-US" w:eastAsia="zh-CN"/>
        </w:rPr>
      </w:pPr>
      <w:r>
        <w:rPr>
          <w:rFonts w:hint="eastAsia" w:ascii="黑体" w:hAnsi="黑体" w:eastAsia="黑体"/>
        </w:rPr>
        <w:t>附件</w:t>
      </w:r>
      <w:r>
        <w:rPr>
          <w:rFonts w:hint="eastAsia" w:ascii="黑体" w:hAnsi="黑体" w:eastAsia="黑体"/>
          <w:lang w:val="en-US" w:eastAsia="zh-CN"/>
        </w:rPr>
        <w:t>3-3</w:t>
      </w:r>
    </w:p>
    <w:p>
      <w:pPr>
        <w:tabs>
          <w:tab w:val="left" w:pos="1440"/>
        </w:tabs>
        <w:spacing w:line="560" w:lineRule="exact"/>
        <w:rPr>
          <w:rFonts w:ascii="宋体" w:hAnsi="宋体" w:eastAsia="宋体"/>
          <w:sz w:val="30"/>
          <w:szCs w:val="30"/>
        </w:rPr>
      </w:pPr>
    </w:p>
    <w:p>
      <w:pPr>
        <w:pStyle w:val="4"/>
        <w:spacing w:line="560" w:lineRule="exact"/>
        <w:jc w:val="center"/>
        <w:rPr>
          <w:rFonts w:ascii="方正小标宋简体" w:hAnsi="宋体" w:eastAsia="方正小标宋简体"/>
          <w:sz w:val="44"/>
          <w:szCs w:val="44"/>
        </w:rPr>
      </w:pPr>
      <w:r>
        <w:rPr>
          <w:rFonts w:hint="default" w:ascii="Times New Roman" w:hAnsi="Times New Roman" w:eastAsia="方正小标宋简体" w:cs="Times New Roman"/>
          <w:sz w:val="52"/>
          <w:szCs w:val="52"/>
          <w:lang w:val="en-US"/>
        </w:rPr>
        <w:t>2023</w:t>
      </w:r>
      <w:r>
        <w:rPr>
          <w:rFonts w:hint="eastAsia" w:ascii="方正小标宋简体" w:hAnsi="宋体" w:eastAsia="方正小标宋简体"/>
          <w:sz w:val="44"/>
          <w:szCs w:val="44"/>
          <w:lang w:val="en-US"/>
        </w:rPr>
        <w:t>年</w:t>
      </w:r>
      <w:r>
        <w:rPr>
          <w:rFonts w:hint="eastAsia" w:ascii="方正小标宋简体" w:hAnsi="宋体" w:eastAsia="方正小标宋简体"/>
          <w:sz w:val="44"/>
          <w:szCs w:val="44"/>
          <w:lang w:val="en-US" w:eastAsia="zh-CN"/>
        </w:rPr>
        <w:t>医疗运转经费</w:t>
      </w:r>
      <w:r>
        <w:rPr>
          <w:rFonts w:hint="eastAsia" w:ascii="方正小标宋简体" w:hAnsi="宋体" w:eastAsia="方正小标宋简体"/>
          <w:sz w:val="44"/>
          <w:szCs w:val="44"/>
        </w:rPr>
        <w:t>项目支出绩效自评</w:t>
      </w:r>
    </w:p>
    <w:p>
      <w:pPr>
        <w:pStyle w:val="4"/>
        <w:spacing w:line="560" w:lineRule="exact"/>
        <w:jc w:val="both"/>
        <w:rPr>
          <w:rFonts w:hint="default" w:ascii="宋体" w:hAnsi="宋体" w:eastAsia="宋体"/>
          <w:color w:val="auto"/>
          <w:kern w:val="2"/>
          <w:sz w:val="32"/>
          <w:szCs w:val="32"/>
          <w:lang w:val="en-US" w:eastAsia="zh-CN"/>
        </w:rPr>
      </w:pPr>
    </w:p>
    <w:p>
      <w:pPr>
        <w:adjustRightInd w:val="0"/>
        <w:snapToGrid w:val="0"/>
        <w:spacing w:line="560" w:lineRule="exact"/>
        <w:ind w:firstLine="72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（一）项目资金申报及批复情况。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根据区财政全面预算管理通知的要求，区医院将医疗运转经费上缴财政平台后再由财政按支付计划下达指标计划。根据攀枝花市仁和区财政局《关于批复</w:t>
      </w:r>
      <w:r>
        <w:rPr>
          <w:rFonts w:hint="default" w:ascii="Times New Roman" w:hAnsi="Times New Roman" w:eastAsia="仿宋_GB2312" w:cs="Times New Roman"/>
          <w:sz w:val="32"/>
          <w:szCs w:val="32"/>
          <w:lang w:val="en-US" w:eastAsia="zh-CN"/>
        </w:rPr>
        <w:t>2022</w:t>
      </w:r>
      <w:r>
        <w:rPr>
          <w:rFonts w:hint="eastAsia" w:ascii="仿宋_GB2312" w:hAnsi="仿宋" w:eastAsia="仿宋_GB2312"/>
          <w:sz w:val="32"/>
          <w:szCs w:val="32"/>
          <w:lang w:val="en-US" w:eastAsia="zh-CN"/>
        </w:rPr>
        <w:t>年部门预算的通知》，我院计划收到</w:t>
      </w:r>
      <w:r>
        <w:rPr>
          <w:rFonts w:hint="default" w:ascii="Times New Roman" w:hAnsi="Times New Roman" w:eastAsia="仿宋_GB2312" w:cs="Times New Roman"/>
          <w:sz w:val="32"/>
          <w:szCs w:val="32"/>
          <w:lang w:val="en-US" w:eastAsia="zh-CN"/>
        </w:rPr>
        <w:t>2022</w:t>
      </w:r>
      <w:r>
        <w:rPr>
          <w:rFonts w:hint="eastAsia" w:ascii="仿宋_GB2312" w:hAnsi="仿宋" w:eastAsia="仿宋_GB2312"/>
          <w:sz w:val="32"/>
          <w:szCs w:val="32"/>
          <w:lang w:val="en-US" w:eastAsia="zh-CN"/>
        </w:rPr>
        <w:t>年医疗运转经费</w:t>
      </w:r>
      <w:r>
        <w:rPr>
          <w:rFonts w:hint="default" w:ascii="Times New Roman" w:hAnsi="Times New Roman" w:eastAsia="仿宋_GB2312" w:cs="Times New Roman"/>
          <w:sz w:val="32"/>
          <w:szCs w:val="32"/>
          <w:lang w:val="en-US" w:eastAsia="zh-CN"/>
        </w:rPr>
        <w:t>14387</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61</w:t>
      </w:r>
      <w:r>
        <w:rPr>
          <w:rFonts w:hint="eastAsia" w:ascii="仿宋_GB2312" w:hAnsi="仿宋" w:eastAsia="仿宋_GB2312"/>
          <w:sz w:val="32"/>
          <w:szCs w:val="32"/>
          <w:lang w:val="en-US" w:eastAsia="zh-CN"/>
        </w:rPr>
        <w:t>万元。</w:t>
      </w:r>
    </w:p>
    <w:p>
      <w:pPr>
        <w:numPr>
          <w:ilvl w:val="0"/>
          <w:numId w:val="1"/>
        </w:num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项目绩效目标。</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项目计划实现的定性目标为深化公立医院综合改革，建立健全现代医院管理制度，协调推进医疗价格、人事薪酬、药品流通、医保支付改革，提高医疗卫生服务质量；减轻群众经济负担，满足群众医疗卫生服务需求，改善就医环境，巩固等级医院的建设，服务质量持续改进。</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定量目标为维持医院正常运转，完成特定目标任务，保证全院约</w:t>
      </w:r>
      <w:r>
        <w:rPr>
          <w:rFonts w:hint="default" w:ascii="Times New Roman" w:hAnsi="Times New Roman" w:eastAsia="仿宋_GB2312" w:cs="Times New Roman"/>
          <w:sz w:val="32"/>
          <w:szCs w:val="32"/>
          <w:lang w:val="en-US" w:eastAsia="zh-CN"/>
        </w:rPr>
        <w:t>430</w:t>
      </w:r>
      <w:r>
        <w:rPr>
          <w:rFonts w:hint="eastAsia" w:ascii="仿宋_GB2312" w:hAnsi="仿宋" w:eastAsia="仿宋_GB2312"/>
          <w:sz w:val="32"/>
          <w:szCs w:val="32"/>
          <w:lang w:val="en-US" w:eastAsia="zh-CN"/>
        </w:rPr>
        <w:t>余名职工工资及保险的正常发放及缴纳，每年为约</w:t>
      </w:r>
      <w:r>
        <w:rPr>
          <w:rFonts w:hint="default" w:ascii="Times New Roman" w:hAnsi="Times New Roman" w:eastAsia="仿宋_GB2312" w:cs="Times New Roman"/>
          <w:sz w:val="32"/>
          <w:szCs w:val="32"/>
          <w:lang w:val="en-US" w:eastAsia="zh-CN"/>
        </w:rPr>
        <w:t>40</w:t>
      </w:r>
      <w:r>
        <w:rPr>
          <w:rFonts w:hint="eastAsia" w:ascii="仿宋_GB2312" w:hAnsi="仿宋" w:eastAsia="仿宋_GB2312"/>
          <w:sz w:val="32"/>
          <w:szCs w:val="32"/>
          <w:lang w:val="en-US" w:eastAsia="zh-CN"/>
        </w:rPr>
        <w:t>万名患者提供优质的医疗服务。项目按照年初计划进行。</w:t>
      </w:r>
    </w:p>
    <w:p>
      <w:pPr>
        <w:numPr>
          <w:ilvl w:val="0"/>
          <w:numId w:val="0"/>
        </w:numPr>
        <w:adjustRightInd w:val="0"/>
        <w:snapToGrid w:val="0"/>
        <w:spacing w:line="560" w:lineRule="exact"/>
        <w:ind w:left="720" w:leftChars="0"/>
        <w:rPr>
          <w:rFonts w:hint="eastAsia" w:ascii="楷体_GB2312" w:hAnsi="宋体" w:eastAsia="楷体_GB2312"/>
          <w:b/>
          <w:lang w:val="zh-CN"/>
        </w:rPr>
      </w:pPr>
      <w:r>
        <w:rPr>
          <w:rFonts w:hint="eastAsia" w:ascii="楷体_GB2312" w:hAnsi="宋体" w:eastAsia="楷体_GB2312"/>
          <w:b/>
          <w:lang w:val="zh-CN"/>
        </w:rPr>
        <w:t>（</w:t>
      </w:r>
      <w:r>
        <w:rPr>
          <w:rFonts w:hint="eastAsia" w:ascii="楷体_GB2312" w:hAnsi="宋体" w:eastAsia="楷体_GB2312"/>
          <w:b/>
          <w:lang w:val="en-US" w:eastAsia="zh-CN"/>
        </w:rPr>
        <w:t>三</w:t>
      </w:r>
      <w:r>
        <w:rPr>
          <w:rFonts w:hint="eastAsia" w:ascii="楷体_GB2312" w:hAnsi="宋体" w:eastAsia="楷体_GB2312"/>
          <w:b/>
          <w:lang w:val="zh-CN"/>
        </w:rPr>
        <w:t>）项目资金申报相符性。</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项目申报内容与具体实施内容相符，申报目标合理可行。</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hint="eastAsia" w:ascii="楷体_GB2312" w:hAnsi="宋体" w:eastAsia="楷体_GB2312"/>
          <w:lang w:val="zh-CN"/>
        </w:rPr>
      </w:pPr>
      <w:r>
        <w:rPr>
          <w:rFonts w:hint="default" w:ascii="Times New Roman" w:hAnsi="Times New Roman" w:eastAsia="楷体_GB2312" w:cs="Times New Roman"/>
          <w:sz w:val="32"/>
          <w:szCs w:val="32"/>
          <w:lang w:val="zh-CN"/>
        </w:rPr>
        <w:t>1</w:t>
      </w:r>
      <w:r>
        <w:rPr>
          <w:rFonts w:hint="eastAsia" w:ascii="楷体_GB2312" w:hAnsi="宋体" w:eastAsia="楷体_GB2312"/>
          <w:lang w:val="zh-CN"/>
        </w:rPr>
        <w:t>．资金计划及到位。</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根据攀枝花市仁和区财政局《关于批复</w:t>
      </w:r>
      <w:r>
        <w:rPr>
          <w:rFonts w:hint="default" w:ascii="Times New Roman" w:hAnsi="Times New Roman" w:eastAsia="仿宋_GB2312" w:cs="Times New Roman"/>
          <w:sz w:val="32"/>
          <w:szCs w:val="32"/>
          <w:lang w:val="en-US" w:eastAsia="zh-CN"/>
        </w:rPr>
        <w:t>2022</w:t>
      </w:r>
      <w:r>
        <w:rPr>
          <w:rFonts w:hint="eastAsia" w:ascii="仿宋_GB2312" w:hAnsi="仿宋" w:eastAsia="仿宋_GB2312"/>
          <w:sz w:val="32"/>
          <w:szCs w:val="32"/>
          <w:lang w:val="en-US" w:eastAsia="zh-CN"/>
        </w:rPr>
        <w:t>年部门预算的通知》，我院计划收到</w:t>
      </w:r>
      <w:r>
        <w:rPr>
          <w:rFonts w:hint="default" w:ascii="Times New Roman" w:hAnsi="Times New Roman" w:eastAsia="仿宋_GB2312" w:cs="Times New Roman"/>
          <w:sz w:val="32"/>
          <w:szCs w:val="32"/>
          <w:lang w:val="en-US" w:eastAsia="zh-CN"/>
        </w:rPr>
        <w:t>2022</w:t>
      </w:r>
      <w:r>
        <w:rPr>
          <w:rFonts w:hint="eastAsia" w:ascii="仿宋_GB2312" w:hAnsi="仿宋" w:eastAsia="仿宋_GB2312"/>
          <w:sz w:val="32"/>
          <w:szCs w:val="32"/>
          <w:lang w:val="en-US" w:eastAsia="zh-CN"/>
        </w:rPr>
        <w:t>年医疗运转经费</w:t>
      </w:r>
      <w:r>
        <w:rPr>
          <w:rFonts w:hint="default" w:ascii="Times New Roman" w:hAnsi="Times New Roman" w:eastAsia="仿宋_GB2312" w:cs="Times New Roman"/>
          <w:sz w:val="32"/>
          <w:szCs w:val="32"/>
          <w:lang w:val="en-US" w:eastAsia="zh-CN"/>
        </w:rPr>
        <w:t>14387</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61</w:t>
      </w:r>
      <w:r>
        <w:rPr>
          <w:rFonts w:hint="eastAsia" w:ascii="仿宋_GB2312" w:hAnsi="仿宋" w:eastAsia="仿宋_GB2312"/>
          <w:sz w:val="32"/>
          <w:szCs w:val="32"/>
          <w:lang w:val="en-US" w:eastAsia="zh-CN"/>
        </w:rPr>
        <w:t>万元，资金计划实际下达</w:t>
      </w:r>
      <w:r>
        <w:rPr>
          <w:rFonts w:hint="default" w:ascii="Times New Roman" w:hAnsi="Times New Roman" w:eastAsia="仿宋_GB2312" w:cs="Times New Roman"/>
          <w:sz w:val="32"/>
          <w:szCs w:val="32"/>
          <w:lang w:val="en-US" w:eastAsia="zh-CN"/>
        </w:rPr>
        <w:t>5364</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17</w:t>
      </w:r>
      <w:r>
        <w:rPr>
          <w:rFonts w:hint="eastAsia" w:ascii="仿宋_GB2312" w:hAnsi="仿宋" w:eastAsia="仿宋_GB2312"/>
          <w:sz w:val="32"/>
          <w:szCs w:val="32"/>
          <w:lang w:val="en-US" w:eastAsia="zh-CN"/>
        </w:rPr>
        <w:t>万元。计划未完全下达的原因是从</w:t>
      </w:r>
      <w:r>
        <w:rPr>
          <w:rFonts w:hint="default" w:ascii="Times New Roman" w:hAnsi="Times New Roman" w:eastAsia="仿宋_GB2312" w:cs="Times New Roman"/>
          <w:sz w:val="32"/>
          <w:szCs w:val="32"/>
          <w:lang w:val="en-US" w:eastAsia="zh-CN"/>
        </w:rPr>
        <w:t>2022</w:t>
      </w:r>
      <w:r>
        <w:rPr>
          <w:rFonts w:hint="eastAsia" w:ascii="仿宋_GB2312" w:hAnsi="仿宋" w:eastAsia="仿宋_GB2312"/>
          <w:sz w:val="32"/>
          <w:szCs w:val="32"/>
          <w:lang w:val="en-US" w:eastAsia="zh-CN"/>
        </w:rPr>
        <w:t>年起医院的医疗运转经费不再完全上缴财政平台，只是分别在一、二季度进行资金归垫</w:t>
      </w:r>
      <w:r>
        <w:rPr>
          <w:rFonts w:hint="default" w:ascii="Times New Roman" w:hAnsi="Times New Roman" w:eastAsia="仿宋_GB2312" w:cs="Times New Roman"/>
          <w:sz w:val="32"/>
          <w:szCs w:val="32"/>
          <w:lang w:val="en-US" w:eastAsia="zh-CN"/>
        </w:rPr>
        <w:t>4014</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17</w:t>
      </w:r>
      <w:r>
        <w:rPr>
          <w:rFonts w:hint="eastAsia" w:ascii="仿宋_GB2312" w:hAnsi="仿宋" w:eastAsia="仿宋_GB2312"/>
          <w:sz w:val="32"/>
          <w:szCs w:val="32"/>
          <w:lang w:val="en-US" w:eastAsia="zh-CN"/>
        </w:rPr>
        <w:t>万元，上缴平台</w:t>
      </w:r>
      <w:r>
        <w:rPr>
          <w:rFonts w:hint="default" w:ascii="Times New Roman" w:hAnsi="Times New Roman" w:eastAsia="仿宋_GB2312" w:cs="Times New Roman"/>
          <w:sz w:val="32"/>
          <w:szCs w:val="32"/>
          <w:lang w:val="en-US" w:eastAsia="zh-CN"/>
        </w:rPr>
        <w:t>1350</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0</w:t>
      </w:r>
      <w:r>
        <w:rPr>
          <w:rFonts w:hint="eastAsia" w:ascii="仿宋_GB2312" w:hAnsi="仿宋" w:eastAsia="仿宋_GB2312"/>
          <w:sz w:val="32"/>
          <w:szCs w:val="32"/>
          <w:lang w:val="en-US" w:eastAsia="zh-CN"/>
        </w:rPr>
        <w:t>万元用于药品及卫生材料等的支付。</w:t>
      </w:r>
    </w:p>
    <w:p>
      <w:pPr>
        <w:numPr>
          <w:ilvl w:val="0"/>
          <w:numId w:val="2"/>
        </w:numPr>
        <w:adjustRightInd w:val="0"/>
        <w:snapToGrid w:val="0"/>
        <w:spacing w:line="560" w:lineRule="exact"/>
        <w:ind w:firstLine="720"/>
        <w:rPr>
          <w:rFonts w:hint="eastAsia" w:ascii="仿宋_GB2312" w:hAnsi="宋体"/>
          <w:lang w:val="zh-CN"/>
        </w:rPr>
      </w:pPr>
      <w:r>
        <w:rPr>
          <w:rFonts w:hint="eastAsia" w:ascii="楷体_GB2312" w:hAnsi="宋体" w:eastAsia="楷体_GB2312"/>
          <w:lang w:val="zh-CN"/>
        </w:rPr>
        <w:t>资金使用。</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default" w:ascii="仿宋_GB2312" w:hAnsi="仿宋" w:eastAsia="仿宋_GB2312"/>
          <w:sz w:val="32"/>
          <w:szCs w:val="32"/>
          <w:lang w:val="en-US" w:eastAsia="zh-CN"/>
        </w:rPr>
      </w:pPr>
      <w:r>
        <w:rPr>
          <w:rFonts w:hint="eastAsia" w:ascii="仿宋_GB2312" w:hAnsi="仿宋"/>
          <w:sz w:val="32"/>
          <w:szCs w:val="32"/>
          <w:lang w:val="en-US" w:eastAsia="zh-CN"/>
        </w:rPr>
        <w:t>截至</w:t>
      </w:r>
      <w:r>
        <w:rPr>
          <w:rFonts w:hint="default" w:ascii="Times New Roman" w:hAnsi="Times New Roman" w:eastAsia="仿宋_GB2312" w:cs="Times New Roman"/>
          <w:sz w:val="32"/>
          <w:szCs w:val="32"/>
          <w:lang w:val="en-US" w:eastAsia="zh-CN"/>
        </w:rPr>
        <w:t>2022</w:t>
      </w:r>
      <w:r>
        <w:rPr>
          <w:rFonts w:hint="eastAsia" w:ascii="仿宋_GB2312" w:hAnsi="仿宋" w:eastAsia="仿宋_GB2312"/>
          <w:sz w:val="32"/>
          <w:szCs w:val="32"/>
          <w:lang w:val="en-US" w:eastAsia="zh-CN"/>
        </w:rPr>
        <w:t>年底下达的</w:t>
      </w:r>
      <w:r>
        <w:rPr>
          <w:rFonts w:hint="default" w:ascii="Times New Roman" w:hAnsi="Times New Roman" w:eastAsia="仿宋_GB2312" w:cs="Times New Roman"/>
          <w:sz w:val="32"/>
          <w:szCs w:val="32"/>
          <w:lang w:val="en-US" w:eastAsia="zh-CN"/>
        </w:rPr>
        <w:t>5364</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17</w:t>
      </w:r>
      <w:r>
        <w:rPr>
          <w:rFonts w:hint="eastAsia" w:ascii="仿宋_GB2312" w:hAnsi="仿宋" w:eastAsia="仿宋_GB2312"/>
          <w:sz w:val="32"/>
          <w:szCs w:val="32"/>
          <w:lang w:val="en-US" w:eastAsia="zh-CN"/>
        </w:rPr>
        <w:t>万元医疗运转经费已全部支付，资金支付率为</w:t>
      </w:r>
      <w:r>
        <w:rPr>
          <w:rFonts w:hint="default" w:ascii="Times New Roman" w:hAnsi="Times New Roman" w:eastAsia="仿宋_GB2312" w:cs="Times New Roman"/>
          <w:sz w:val="32"/>
          <w:szCs w:val="32"/>
          <w:lang w:val="en-US" w:eastAsia="zh-CN"/>
        </w:rPr>
        <w:t>100</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0</w:t>
      </w:r>
      <w:r>
        <w:rPr>
          <w:rFonts w:hint="eastAsia" w:ascii="仿宋_GB2312" w:hAnsi="仿宋" w:eastAsia="仿宋_GB2312"/>
          <w:sz w:val="32"/>
          <w:szCs w:val="32"/>
          <w:lang w:val="en-US" w:eastAsia="zh-CN"/>
        </w:rPr>
        <w:t>%。支付依据合规合法，资金支付与年初部门支出经济分类科目批复未完全相符，原因为归垫资金计划未按照实际支付分类补下达。</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hint="eastAsia" w:ascii="方正仿宋_GB2312" w:hAnsi="方正仿宋_GB2312" w:eastAsia="方正仿宋_GB2312" w:cs="方正仿宋_GB2312"/>
          <w:lang w:val="en-US" w:eastAsia="zh-CN"/>
        </w:rPr>
      </w:pPr>
      <w:r>
        <w:rPr>
          <w:rFonts w:hint="eastAsia" w:ascii="仿宋_GB2312" w:hAnsi="仿宋" w:eastAsia="仿宋_GB2312"/>
          <w:sz w:val="32"/>
          <w:szCs w:val="32"/>
          <w:lang w:val="en-US" w:eastAsia="zh-CN"/>
        </w:rPr>
        <w:t>医疗运转经费项目严格执行财务管理制度，区财政根据资金使用计划安排医院上缴经费及完成资金归垫。医院按照业务发生月份进行账务处理，财务处理及时规范</w:t>
      </w:r>
      <w:r>
        <w:rPr>
          <w:rFonts w:hint="eastAsia" w:ascii="方正仿宋_GB2312" w:hAnsi="方正仿宋_GB2312" w:eastAsia="方正仿宋_GB2312" w:cs="方正仿宋_GB2312"/>
          <w:lang w:val="en-US" w:eastAsia="zh-CN"/>
        </w:rPr>
        <w:t>。</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项目由医院财务科根据年初预算批复进行资金使用计划。其中归垫资金</w:t>
      </w:r>
      <w:r>
        <w:rPr>
          <w:rFonts w:hint="default" w:ascii="Times New Roman" w:hAnsi="Times New Roman" w:eastAsia="仿宋_GB2312" w:cs="Times New Roman"/>
          <w:sz w:val="32"/>
          <w:szCs w:val="32"/>
          <w:lang w:val="en-US" w:eastAsia="zh-CN"/>
        </w:rPr>
        <w:t>4014</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17</w:t>
      </w:r>
      <w:r>
        <w:rPr>
          <w:rFonts w:hint="eastAsia" w:ascii="仿宋_GB2312" w:hAnsi="仿宋" w:eastAsia="仿宋_GB2312"/>
          <w:sz w:val="32"/>
          <w:szCs w:val="32"/>
          <w:lang w:val="en-US" w:eastAsia="zh-CN"/>
        </w:rPr>
        <w:t>万元已由医院先行支付工资及各种保险，后再办理归垫；上缴财政平台</w:t>
      </w:r>
      <w:bookmarkStart w:id="0" w:name="_GoBack"/>
      <w:bookmarkEnd w:id="0"/>
      <w:r>
        <w:rPr>
          <w:rFonts w:hint="default" w:ascii="Times New Roman" w:hAnsi="Times New Roman" w:eastAsia="仿宋_GB2312" w:cs="Times New Roman"/>
          <w:sz w:val="32"/>
          <w:szCs w:val="32"/>
          <w:lang w:val="en-US" w:eastAsia="zh-CN"/>
        </w:rPr>
        <w:t>1350</w:t>
      </w:r>
      <w:r>
        <w:rPr>
          <w:rFonts w:hint="eastAsia" w:ascii="仿宋_GB2312" w:hAnsi="仿宋" w:eastAsia="仿宋_GB2312"/>
          <w:sz w:val="32"/>
          <w:szCs w:val="32"/>
          <w:lang w:val="en-US" w:eastAsia="zh-CN"/>
        </w:rPr>
        <w:t>.</w:t>
      </w:r>
      <w:r>
        <w:rPr>
          <w:rFonts w:hint="default" w:ascii="Times New Roman" w:hAnsi="Times New Roman" w:eastAsia="仿宋_GB2312" w:cs="Times New Roman"/>
          <w:sz w:val="32"/>
          <w:szCs w:val="32"/>
          <w:lang w:val="en-US" w:eastAsia="zh-CN"/>
        </w:rPr>
        <w:t>0</w:t>
      </w:r>
      <w:r>
        <w:rPr>
          <w:rFonts w:hint="eastAsia" w:ascii="仿宋_GB2312" w:hAnsi="仿宋" w:eastAsia="仿宋_GB2312"/>
          <w:sz w:val="32"/>
          <w:szCs w:val="32"/>
          <w:lang w:val="en-US" w:eastAsia="zh-CN"/>
        </w:rPr>
        <w:t>万元用于支付医院购置药品及卫材款项。</w:t>
      </w:r>
    </w:p>
    <w:p>
      <w:pPr>
        <w:adjustRightInd w:val="0"/>
        <w:snapToGrid w:val="0"/>
        <w:spacing w:line="560" w:lineRule="exact"/>
        <w:ind w:firstLine="720"/>
        <w:rPr>
          <w:rFonts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项目根据下达指标用于支付职工工资、绩效工资、奖励性绩效</w:t>
      </w:r>
      <w:r>
        <w:rPr>
          <w:rFonts w:hint="default" w:ascii="Times New Roman" w:hAnsi="Times New Roman" w:eastAsia="仿宋_GB2312" w:cs="Times New Roman"/>
          <w:sz w:val="32"/>
          <w:szCs w:val="32"/>
          <w:lang w:val="en-US" w:eastAsia="zh-CN"/>
        </w:rPr>
        <w:t>30</w:t>
      </w:r>
      <w:r>
        <w:rPr>
          <w:rFonts w:hint="eastAsia" w:ascii="仿宋_GB2312" w:hAnsi="仿宋" w:eastAsia="仿宋_GB2312"/>
          <w:sz w:val="32"/>
          <w:szCs w:val="32"/>
          <w:lang w:val="en-US" w:eastAsia="zh-CN"/>
        </w:rPr>
        <w:t>%及各种保险、药品和卫生材料款项等。</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（二）项目效益情况。</w:t>
      </w:r>
    </w:p>
    <w:tbl>
      <w:tblPr>
        <w:tblStyle w:val="2"/>
        <w:tblW w:w="0" w:type="auto"/>
        <w:tblInd w:w="0" w:type="dxa"/>
        <w:tblLayout w:type="autofit"/>
        <w:tblCellMar>
          <w:top w:w="0" w:type="dxa"/>
          <w:left w:w="108" w:type="dxa"/>
          <w:bottom w:w="0" w:type="dxa"/>
          <w:right w:w="108" w:type="dxa"/>
        </w:tblCellMar>
      </w:tblPr>
      <w:tblGrid>
        <w:gridCol w:w="842"/>
        <w:gridCol w:w="807"/>
        <w:gridCol w:w="925"/>
        <w:gridCol w:w="837"/>
        <w:gridCol w:w="1474"/>
        <w:gridCol w:w="3637"/>
      </w:tblGrid>
      <w:tr>
        <w:tblPrEx>
          <w:tblCellMar>
            <w:top w:w="0" w:type="dxa"/>
            <w:left w:w="108" w:type="dxa"/>
            <w:bottom w:w="0" w:type="dxa"/>
            <w:right w:w="108" w:type="dxa"/>
          </w:tblCellMar>
        </w:tblPrEx>
        <w:trPr>
          <w:trHeight w:val="57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年度总体目标</w:t>
            </w:r>
          </w:p>
        </w:tc>
        <w:tc>
          <w:tcPr>
            <w:tcW w:w="0" w:type="auto"/>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预期目标</w:t>
            </w:r>
          </w:p>
        </w:tc>
        <w:tc>
          <w:tcPr>
            <w:tcW w:w="0" w:type="auto"/>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目标实际完成情况</w:t>
            </w:r>
          </w:p>
        </w:tc>
      </w:tr>
      <w:tr>
        <w:tblPrEx>
          <w:tblCellMar>
            <w:top w:w="0" w:type="dxa"/>
            <w:left w:w="108" w:type="dxa"/>
            <w:bottom w:w="0" w:type="dxa"/>
            <w:right w:w="108" w:type="dxa"/>
          </w:tblCellMar>
        </w:tblPrEx>
        <w:trPr>
          <w:trHeight w:val="97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完成情况</w:t>
            </w:r>
          </w:p>
        </w:tc>
        <w:tc>
          <w:tcPr>
            <w:tcW w:w="0" w:type="auto"/>
            <w:gridSpan w:val="3"/>
            <w:tcBorders>
              <w:top w:val="single" w:color="auto" w:sz="4" w:space="0"/>
              <w:left w:val="nil"/>
              <w:bottom w:val="single" w:color="auto" w:sz="4" w:space="0"/>
              <w:right w:val="single" w:color="000000"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保障医院正常运行，促进区政府对国有资产管控，把有限的资金用在刀刃上</w:t>
            </w:r>
          </w:p>
        </w:tc>
        <w:tc>
          <w:tcPr>
            <w:tcW w:w="0" w:type="auto"/>
            <w:gridSpan w:val="2"/>
            <w:tcBorders>
              <w:top w:val="single" w:color="auto" w:sz="4" w:space="0"/>
              <w:left w:val="nil"/>
              <w:bottom w:val="single" w:color="auto" w:sz="4" w:space="0"/>
              <w:right w:val="single" w:color="000000"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通过项目的实施，保障医院正常运行，促进区政府对国有资产管控，促进了医院在资金使用上更加规范化、制度化，全面提升医院综合水平</w:t>
            </w:r>
          </w:p>
        </w:tc>
      </w:tr>
      <w:tr>
        <w:tblPrEx>
          <w:tblCellMar>
            <w:top w:w="0" w:type="dxa"/>
            <w:left w:w="108" w:type="dxa"/>
            <w:bottom w:w="0" w:type="dxa"/>
            <w:right w:w="108" w:type="dxa"/>
          </w:tblCellMar>
        </w:tblPrEx>
        <w:trPr>
          <w:trHeight w:val="660" w:hRule="atLeast"/>
        </w:trPr>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年度绩效指标完成情况</w:t>
            </w:r>
          </w:p>
        </w:tc>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一级      指标</w:t>
            </w:r>
          </w:p>
        </w:tc>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二级          指标</w:t>
            </w:r>
          </w:p>
        </w:tc>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三级       指标</w:t>
            </w:r>
          </w:p>
        </w:tc>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预期指标值</w:t>
            </w:r>
          </w:p>
        </w:tc>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实际完成指标值</w:t>
            </w:r>
          </w:p>
        </w:tc>
      </w:tr>
      <w:tr>
        <w:tblPrEx>
          <w:tblCellMar>
            <w:top w:w="0" w:type="dxa"/>
            <w:left w:w="108" w:type="dxa"/>
            <w:bottom w:w="0" w:type="dxa"/>
            <w:right w:w="108" w:type="dxa"/>
          </w:tblCellMar>
        </w:tblPrEx>
        <w:trPr>
          <w:trHeight w:val="312" w:hRule="atLeast"/>
        </w:trPr>
        <w:tc>
          <w:tcPr>
            <w:tcW w:w="0" w:type="auto"/>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方正仿宋_GB2312" w:hAnsi="方正仿宋_GB2312" w:eastAsia="方正仿宋_GB2312" w:cs="方正仿宋_GB2312"/>
                <w:color w:val="000000"/>
                <w:kern w:val="0"/>
                <w:sz w:val="21"/>
                <w:szCs w:val="21"/>
              </w:rPr>
            </w:pPr>
          </w:p>
        </w:tc>
      </w:tr>
      <w:tr>
        <w:tblPrEx>
          <w:tblCellMar>
            <w:top w:w="0" w:type="dxa"/>
            <w:left w:w="108" w:type="dxa"/>
            <w:bottom w:w="0" w:type="dxa"/>
            <w:right w:w="108" w:type="dxa"/>
          </w:tblCellMar>
        </w:tblPrEx>
        <w:trPr>
          <w:trHeight w:val="405" w:hRule="atLeast"/>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完成     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数量指标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　</w:t>
            </w:r>
          </w:p>
        </w:tc>
        <w:tc>
          <w:tcPr>
            <w:tcW w:w="0" w:type="auto"/>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预期指标执行率</w:t>
            </w:r>
            <w:r>
              <w:rPr>
                <w:rFonts w:hint="default" w:ascii="Times New Roman" w:hAnsi="Times New Roman" w:eastAsia="方正仿宋_GB2312" w:cs="Times New Roman"/>
                <w:color w:val="000000"/>
                <w:kern w:val="0"/>
                <w:sz w:val="21"/>
                <w:szCs w:val="21"/>
                <w:lang w:val="en-US" w:eastAsia="zh-CN"/>
              </w:rPr>
              <w:t>100</w:t>
            </w:r>
            <w:r>
              <w:rPr>
                <w:rFonts w:hint="eastAsia" w:ascii="方正仿宋_GB2312" w:hAnsi="方正仿宋_GB2312" w:eastAsia="方正仿宋_GB2312" w:cs="方正仿宋_GB2312"/>
                <w:color w:val="000000"/>
                <w:kern w:val="0"/>
                <w:sz w:val="21"/>
                <w:szCs w:val="21"/>
              </w:rPr>
              <w:t>%</w:t>
            </w:r>
          </w:p>
        </w:tc>
        <w:tc>
          <w:tcPr>
            <w:tcW w:w="0" w:type="auto"/>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实际完成指标值</w:t>
            </w:r>
            <w:r>
              <w:rPr>
                <w:rFonts w:hint="default" w:ascii="Times New Roman" w:hAnsi="Times New Roman" w:eastAsia="方正仿宋_GB2312" w:cs="Times New Roman"/>
                <w:color w:val="000000"/>
                <w:kern w:val="0"/>
                <w:sz w:val="21"/>
                <w:szCs w:val="21"/>
                <w:lang w:val="en-US" w:eastAsia="zh-CN"/>
              </w:rPr>
              <w:t>37</w:t>
            </w:r>
            <w:r>
              <w:rPr>
                <w:rFonts w:hint="eastAsia" w:ascii="方正仿宋_GB2312" w:hAnsi="方正仿宋_GB2312" w:eastAsia="方正仿宋_GB2312" w:cs="方正仿宋_GB2312"/>
                <w:color w:val="000000"/>
                <w:kern w:val="0"/>
                <w:sz w:val="21"/>
                <w:szCs w:val="21"/>
                <w:lang w:val="en-US" w:eastAsia="zh-CN"/>
              </w:rPr>
              <w:t>.</w:t>
            </w:r>
            <w:r>
              <w:rPr>
                <w:rFonts w:hint="default" w:ascii="Times New Roman" w:hAnsi="Times New Roman" w:eastAsia="方正仿宋_GB2312" w:cs="Times New Roman"/>
                <w:color w:val="000000"/>
                <w:kern w:val="0"/>
                <w:sz w:val="21"/>
                <w:szCs w:val="21"/>
                <w:lang w:val="en-US" w:eastAsia="zh-CN"/>
              </w:rPr>
              <w:t>28</w:t>
            </w:r>
            <w:r>
              <w:rPr>
                <w:rFonts w:hint="eastAsia" w:ascii="方正仿宋_GB2312" w:hAnsi="方正仿宋_GB2312" w:eastAsia="方正仿宋_GB2312" w:cs="方正仿宋_GB2312"/>
                <w:color w:val="000000"/>
                <w:kern w:val="0"/>
                <w:sz w:val="21"/>
                <w:szCs w:val="21"/>
              </w:rPr>
              <w:t>%</w:t>
            </w:r>
          </w:p>
        </w:tc>
      </w:tr>
      <w:tr>
        <w:tblPrEx>
          <w:tblCellMar>
            <w:top w:w="0" w:type="dxa"/>
            <w:left w:w="108" w:type="dxa"/>
            <w:bottom w:w="0" w:type="dxa"/>
            <w:right w:w="108" w:type="dxa"/>
          </w:tblCellMar>
        </w:tblPrEx>
        <w:trPr>
          <w:trHeight w:val="690" w:hRule="atLeast"/>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质量指标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　</w:t>
            </w:r>
          </w:p>
        </w:tc>
        <w:tc>
          <w:tcPr>
            <w:tcW w:w="0" w:type="auto"/>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加强财务管理，夯实经济管理基础，开源节流</w:t>
            </w:r>
          </w:p>
        </w:tc>
        <w:tc>
          <w:tcPr>
            <w:tcW w:w="0" w:type="auto"/>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减少了医院自筹资金支出，促进了医院健康持续发展</w:t>
            </w:r>
          </w:p>
        </w:tc>
      </w:tr>
      <w:tr>
        <w:tblPrEx>
          <w:tblCellMar>
            <w:top w:w="0" w:type="dxa"/>
            <w:left w:w="108" w:type="dxa"/>
            <w:bottom w:w="0" w:type="dxa"/>
            <w:right w:w="108" w:type="dxa"/>
          </w:tblCellMar>
        </w:tblPrEx>
        <w:trPr>
          <w:trHeight w:val="405" w:hRule="atLeast"/>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时效指标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　</w:t>
            </w:r>
          </w:p>
        </w:tc>
        <w:tc>
          <w:tcPr>
            <w:tcW w:w="0" w:type="auto"/>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r>
              <w:rPr>
                <w:rFonts w:hint="default" w:ascii="Times New Roman" w:hAnsi="Times New Roman" w:eastAsia="方正仿宋_GB2312" w:cs="Times New Roman"/>
                <w:color w:val="000000"/>
                <w:kern w:val="0"/>
                <w:sz w:val="21"/>
                <w:szCs w:val="21"/>
              </w:rPr>
              <w:t>2022</w:t>
            </w:r>
            <w:r>
              <w:rPr>
                <w:rFonts w:hint="eastAsia" w:ascii="方正仿宋_GB2312" w:hAnsi="方正仿宋_GB2312" w:eastAsia="方正仿宋_GB2312" w:cs="方正仿宋_GB2312"/>
                <w:color w:val="000000"/>
                <w:kern w:val="0"/>
                <w:sz w:val="21"/>
                <w:szCs w:val="21"/>
              </w:rPr>
              <w:t>年内完成</w:t>
            </w:r>
          </w:p>
        </w:tc>
        <w:tc>
          <w:tcPr>
            <w:tcW w:w="0" w:type="auto"/>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r>
              <w:rPr>
                <w:rFonts w:hint="default" w:ascii="Times New Roman" w:hAnsi="Times New Roman" w:eastAsia="方正仿宋_GB2312" w:cs="Times New Roman"/>
                <w:color w:val="000000"/>
                <w:kern w:val="0"/>
                <w:sz w:val="21"/>
                <w:szCs w:val="21"/>
              </w:rPr>
              <w:t>2022</w:t>
            </w:r>
            <w:r>
              <w:rPr>
                <w:rFonts w:hint="eastAsia" w:ascii="方正仿宋_GB2312" w:hAnsi="方正仿宋_GB2312" w:eastAsia="方正仿宋_GB2312" w:cs="方正仿宋_GB2312"/>
                <w:color w:val="000000"/>
                <w:kern w:val="0"/>
                <w:sz w:val="21"/>
                <w:szCs w:val="21"/>
              </w:rPr>
              <w:t>年末已完成</w:t>
            </w:r>
          </w:p>
        </w:tc>
      </w:tr>
      <w:tr>
        <w:tblPrEx>
          <w:tblCellMar>
            <w:top w:w="0" w:type="dxa"/>
            <w:left w:w="108" w:type="dxa"/>
            <w:bottom w:w="0" w:type="dxa"/>
            <w:right w:w="108" w:type="dxa"/>
          </w:tblCellMar>
        </w:tblPrEx>
        <w:trPr>
          <w:trHeight w:val="480" w:hRule="atLeast"/>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成本指标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　</w:t>
            </w:r>
          </w:p>
        </w:tc>
        <w:tc>
          <w:tcPr>
            <w:tcW w:w="0" w:type="auto"/>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把成本控制在可控范围内</w:t>
            </w:r>
          </w:p>
        </w:tc>
        <w:tc>
          <w:tcPr>
            <w:tcW w:w="0" w:type="auto"/>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已完成</w:t>
            </w:r>
          </w:p>
        </w:tc>
      </w:tr>
      <w:tr>
        <w:tblPrEx>
          <w:tblCellMar>
            <w:top w:w="0" w:type="dxa"/>
            <w:left w:w="108" w:type="dxa"/>
            <w:bottom w:w="0" w:type="dxa"/>
            <w:right w:w="108" w:type="dxa"/>
          </w:tblCellMar>
        </w:tblPrEx>
        <w:trPr>
          <w:trHeight w:val="1560" w:hRule="atLeast"/>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可持续影响 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　</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　</w:t>
            </w:r>
          </w:p>
        </w:tc>
        <w:tc>
          <w:tcPr>
            <w:tcW w:w="0" w:type="auto"/>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全面提升医院综合水平，把医院建设成为医疗、预防、康复、保健、科研、教学、急救为一体的具有较强创新能力与教学水平的“三级”乙等医院</w:t>
            </w:r>
          </w:p>
        </w:tc>
      </w:tr>
      <w:tr>
        <w:tblPrEx>
          <w:tblCellMar>
            <w:top w:w="0" w:type="dxa"/>
            <w:left w:w="108" w:type="dxa"/>
            <w:bottom w:w="0" w:type="dxa"/>
            <w:right w:w="108" w:type="dxa"/>
          </w:tblCellMar>
        </w:tblPrEx>
        <w:trPr>
          <w:trHeight w:val="540" w:hRule="atLeast"/>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方正仿宋_GB2312" w:hAnsi="方正仿宋_GB2312" w:eastAsia="方正仿宋_GB2312" w:cs="方正仿宋_GB2312"/>
                <w:color w:val="000000"/>
                <w:kern w:val="0"/>
                <w:sz w:val="21"/>
                <w:szCs w:val="21"/>
              </w:rPr>
            </w:pP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满意度指标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满意度指标</w:t>
            </w:r>
          </w:p>
        </w:tc>
        <w:tc>
          <w:tcPr>
            <w:tcW w:w="0" w:type="auto"/>
            <w:tcBorders>
              <w:top w:val="nil"/>
              <w:left w:val="nil"/>
              <w:bottom w:val="single" w:color="auto" w:sz="4" w:space="0"/>
              <w:right w:val="single" w:color="auto" w:sz="4" w:space="0"/>
            </w:tcBorders>
            <w:shd w:val="clear" w:color="auto" w:fill="auto"/>
            <w:noWrap w:val="0"/>
            <w:vAlign w:val="bottom"/>
          </w:tcPr>
          <w:p>
            <w:pPr>
              <w:widowControl/>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　</w:t>
            </w:r>
          </w:p>
        </w:tc>
        <w:tc>
          <w:tcPr>
            <w:tcW w:w="0" w:type="auto"/>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lang w:val="en-US" w:eastAsia="zh-CN"/>
              </w:rPr>
              <w:t>职工、患者</w:t>
            </w:r>
            <w:r>
              <w:rPr>
                <w:rFonts w:hint="eastAsia" w:ascii="方正仿宋_GB2312" w:hAnsi="方正仿宋_GB2312" w:eastAsia="方正仿宋_GB2312" w:cs="方正仿宋_GB2312"/>
                <w:color w:val="000000"/>
                <w:kern w:val="0"/>
                <w:sz w:val="21"/>
                <w:szCs w:val="21"/>
              </w:rPr>
              <w:t>满意度≥</w:t>
            </w:r>
            <w:r>
              <w:rPr>
                <w:rFonts w:hint="default" w:ascii="Times New Roman" w:hAnsi="Times New Roman" w:eastAsia="方正仿宋_GB2312" w:cs="Times New Roman"/>
                <w:color w:val="000000"/>
                <w:kern w:val="0"/>
                <w:sz w:val="21"/>
                <w:szCs w:val="21"/>
              </w:rPr>
              <w:t>90</w:t>
            </w:r>
            <w:r>
              <w:rPr>
                <w:rFonts w:hint="eastAsia" w:ascii="方正仿宋_GB2312" w:hAnsi="方正仿宋_GB2312" w:eastAsia="方正仿宋_GB2312" w:cs="方正仿宋_GB2312"/>
                <w:color w:val="000000"/>
                <w:kern w:val="0"/>
                <w:sz w:val="21"/>
                <w:szCs w:val="21"/>
              </w:rPr>
              <w:t>%</w:t>
            </w:r>
          </w:p>
        </w:tc>
        <w:tc>
          <w:tcPr>
            <w:tcW w:w="0" w:type="auto"/>
            <w:tcBorders>
              <w:top w:val="nil"/>
              <w:left w:val="nil"/>
              <w:bottom w:val="single" w:color="auto" w:sz="4" w:space="0"/>
              <w:right w:val="single" w:color="auto" w:sz="4" w:space="0"/>
            </w:tcBorders>
            <w:shd w:val="clear" w:color="auto" w:fill="auto"/>
            <w:noWrap w:val="0"/>
            <w:vAlign w:val="top"/>
          </w:tcPr>
          <w:p>
            <w:pPr>
              <w:widowControl/>
              <w:jc w:val="left"/>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满意度≥</w:t>
            </w:r>
            <w:r>
              <w:rPr>
                <w:rFonts w:hint="default" w:ascii="Times New Roman" w:hAnsi="Times New Roman" w:eastAsia="方正仿宋_GB2312" w:cs="Times New Roman"/>
                <w:color w:val="000000"/>
                <w:kern w:val="0"/>
                <w:sz w:val="21"/>
                <w:szCs w:val="21"/>
                <w:lang w:val="en-US" w:eastAsia="zh-CN"/>
              </w:rPr>
              <w:t>90</w:t>
            </w:r>
            <w:r>
              <w:rPr>
                <w:rFonts w:hint="eastAsia" w:ascii="方正仿宋_GB2312" w:hAnsi="方正仿宋_GB2312" w:eastAsia="方正仿宋_GB2312" w:cs="方正仿宋_GB2312"/>
                <w:color w:val="000000"/>
                <w:kern w:val="0"/>
                <w:sz w:val="21"/>
                <w:szCs w:val="21"/>
              </w:rPr>
              <w:t>%</w:t>
            </w:r>
          </w:p>
        </w:tc>
      </w:tr>
    </w:tbl>
    <w:p>
      <w:pPr>
        <w:adjustRightInd w:val="0"/>
        <w:snapToGrid w:val="0"/>
        <w:spacing w:line="560" w:lineRule="exact"/>
        <w:ind w:firstLine="720"/>
        <w:rPr>
          <w:rFonts w:hint="eastAsia" w:ascii="方正仿宋_GB2312" w:hAnsi="方正仿宋_GB2312" w:eastAsia="方正仿宋_GB2312" w:cs="方正仿宋_GB2312"/>
          <w:sz w:val="21"/>
          <w:szCs w:val="21"/>
          <w:lang w:val="en-US" w:eastAsia="zh-CN"/>
        </w:rPr>
      </w:pPr>
    </w:p>
    <w:p>
      <w:pPr>
        <w:adjustRightInd w:val="0"/>
        <w:snapToGrid w:val="0"/>
        <w:spacing w:line="560" w:lineRule="exact"/>
        <w:ind w:firstLine="720"/>
        <w:rPr>
          <w:rFonts w:ascii="黑体" w:hAnsi="宋体" w:eastAsia="黑体"/>
        </w:rPr>
      </w:pPr>
      <w:r>
        <w:rPr>
          <w:rFonts w:hint="eastAsia" w:ascii="黑体" w:hAnsi="宋体" w:eastAsia="黑体"/>
        </w:rPr>
        <w:t>四、问题及建议</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（一）存在的问题。</w:t>
      </w:r>
    </w:p>
    <w:p>
      <w:pPr>
        <w:adjustRightInd w:val="0"/>
        <w:snapToGrid w:val="0"/>
        <w:spacing w:line="560" w:lineRule="exact"/>
        <w:ind w:firstLine="72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无</w:t>
      </w:r>
    </w:p>
    <w:p>
      <w:pPr>
        <w:numPr>
          <w:ilvl w:val="0"/>
          <w:numId w:val="0"/>
        </w:numPr>
        <w:adjustRightInd w:val="0"/>
        <w:snapToGrid w:val="0"/>
        <w:spacing w:line="560" w:lineRule="exact"/>
        <w:ind w:left="720" w:leftChars="0"/>
        <w:rPr>
          <w:rFonts w:hint="eastAsia" w:ascii="方正仿宋_GB2312" w:hAnsi="方正仿宋_GB2312" w:eastAsia="方正仿宋_GB2312" w:cs="方正仿宋_GB2312"/>
          <w:b w:val="0"/>
          <w:bCs/>
          <w:lang w:val="en-US" w:eastAsia="zh-CN"/>
        </w:rPr>
      </w:pPr>
      <w:r>
        <w:rPr>
          <w:rFonts w:hint="eastAsia" w:ascii="楷体_GB2312" w:hAnsi="宋体" w:eastAsia="楷体_GB2312"/>
          <w:b/>
          <w:lang w:val="zh-CN"/>
        </w:rPr>
        <w:t>（</w:t>
      </w:r>
      <w:r>
        <w:rPr>
          <w:rFonts w:hint="eastAsia" w:ascii="楷体_GB2312" w:hAnsi="宋体" w:eastAsia="楷体_GB2312"/>
          <w:b/>
          <w:lang w:val="en-US" w:eastAsia="zh-CN"/>
        </w:rPr>
        <w:t>二</w:t>
      </w:r>
      <w:r>
        <w:rPr>
          <w:rFonts w:hint="eastAsia" w:ascii="楷体_GB2312" w:hAnsi="宋体" w:eastAsia="楷体_GB2312"/>
          <w:b/>
          <w:lang w:val="zh-CN"/>
        </w:rPr>
        <w:t>）相关建议。</w:t>
      </w:r>
    </w:p>
    <w:p>
      <w:pPr>
        <w:adjustRightInd w:val="0"/>
        <w:snapToGrid w:val="0"/>
        <w:spacing w:line="560" w:lineRule="exact"/>
        <w:ind w:firstLine="72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6AF2A3"/>
    <w:multiLevelType w:val="singleLevel"/>
    <w:tmpl w:val="4E6AF2A3"/>
    <w:lvl w:ilvl="0" w:tentative="0">
      <w:start w:val="2"/>
      <w:numFmt w:val="chineseCounting"/>
      <w:suff w:val="nothing"/>
      <w:lvlText w:val="（%1）"/>
      <w:lvlJc w:val="left"/>
      <w:rPr>
        <w:rFonts w:hint="eastAsia"/>
      </w:rPr>
    </w:lvl>
  </w:abstractNum>
  <w:abstractNum w:abstractNumId="1">
    <w:nsid w:val="7E56B2C3"/>
    <w:multiLevelType w:val="singleLevel"/>
    <w:tmpl w:val="7E56B2C3"/>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jFjNTE5YTY0NjUzOWY2NjU5ZmJmMWIzYmYyNjcifQ=="/>
  </w:docVars>
  <w:rsids>
    <w:rsidRoot w:val="291C455A"/>
    <w:rsid w:val="003414A3"/>
    <w:rsid w:val="00515A0C"/>
    <w:rsid w:val="00866E99"/>
    <w:rsid w:val="0C98326C"/>
    <w:rsid w:val="0EDB478C"/>
    <w:rsid w:val="12744159"/>
    <w:rsid w:val="18E216F1"/>
    <w:rsid w:val="21415B4F"/>
    <w:rsid w:val="252A663B"/>
    <w:rsid w:val="26E72AF1"/>
    <w:rsid w:val="286E6AFD"/>
    <w:rsid w:val="291C455A"/>
    <w:rsid w:val="2DDD0FDC"/>
    <w:rsid w:val="2E4E65AC"/>
    <w:rsid w:val="31E340B8"/>
    <w:rsid w:val="36926D0C"/>
    <w:rsid w:val="3C487939"/>
    <w:rsid w:val="3DB86D41"/>
    <w:rsid w:val="400C03D9"/>
    <w:rsid w:val="4DAF2BCF"/>
    <w:rsid w:val="4DDB6F66"/>
    <w:rsid w:val="4FD10728"/>
    <w:rsid w:val="56813763"/>
    <w:rsid w:val="58B845B8"/>
    <w:rsid w:val="59B3031D"/>
    <w:rsid w:val="5D7F2B9C"/>
    <w:rsid w:val="61FC621E"/>
    <w:rsid w:val="69986017"/>
    <w:rsid w:val="727F3CDD"/>
    <w:rsid w:val="76890D9B"/>
    <w:rsid w:val="792F2AEE"/>
    <w:rsid w:val="BFFE83F2"/>
    <w:rsid w:val="D7FDD76B"/>
    <w:rsid w:val="FFFF6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1269</Words>
  <Characters>1366</Characters>
  <Lines>6</Lines>
  <Paragraphs>1</Paragraphs>
  <TotalTime>21</TotalTime>
  <ScaleCrop>false</ScaleCrop>
  <LinksUpToDate>false</LinksUpToDate>
  <CharactersWithSpaces>1408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2020-07-01T08:19:00Z</dcterms:created>
  <dc:creator>Administrator</dc:creator>
  <cp:lastModifiedBy>user</cp:lastModifiedBy>
  <dcterms:modified xsi:type="dcterms:W3CDTF">2026-07-22T18:23:11Z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BDF8F2F2D672435C8599BF3D2EF57527</vt:lpwstr>
  </property>
</Properties>
</file>