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440"/>
        </w:tabs>
        <w:spacing w:line="560" w:lineRule="exact"/>
        <w:rPr>
          <w:rFonts w:ascii="宋体" w:hAnsi="宋体" w:eastAsia="宋体"/>
          <w:sz w:val="30"/>
          <w:szCs w:val="30"/>
        </w:rPr>
      </w:pPr>
    </w:p>
    <w:p>
      <w:pPr>
        <w:pStyle w:val="8"/>
        <w:spacing w:line="560" w:lineRule="exact"/>
        <w:jc w:val="center"/>
        <w:rPr>
          <w:rFonts w:hint="eastAsia" w:ascii="方正小标宋简体" w:hAnsi="宋体" w:eastAsia="方正小标宋简体"/>
          <w:sz w:val="44"/>
          <w:szCs w:val="44"/>
        </w:rPr>
      </w:pPr>
      <w:r>
        <w:rPr>
          <w:rFonts w:hint="eastAsia" w:ascii="方正小标宋简体" w:hAnsi="宋体" w:eastAsia="方正小标宋简体"/>
          <w:sz w:val="44"/>
          <w:szCs w:val="44"/>
          <w:lang w:val="en-US"/>
        </w:rPr>
        <w:t>202</w:t>
      </w:r>
      <w:r>
        <w:rPr>
          <w:rFonts w:hint="eastAsia" w:ascii="方正小标宋简体" w:hAnsi="宋体" w:eastAsia="方正小标宋简体"/>
          <w:sz w:val="44"/>
          <w:szCs w:val="44"/>
          <w:lang w:val="en-US" w:eastAsia="zh-CN"/>
        </w:rPr>
        <w:t>2</w:t>
      </w:r>
      <w:r>
        <w:rPr>
          <w:rFonts w:hint="eastAsia" w:ascii="方正小标宋简体" w:hAnsi="宋体" w:eastAsia="方正小标宋简体"/>
          <w:sz w:val="44"/>
          <w:szCs w:val="44"/>
          <w:lang w:val="en-US"/>
        </w:rPr>
        <w:t>年</w:t>
      </w:r>
      <w:r>
        <w:rPr>
          <w:rFonts w:hint="eastAsia" w:ascii="方正小标宋简体" w:hAnsi="宋体" w:eastAsia="方正小标宋简体"/>
          <w:sz w:val="44"/>
          <w:szCs w:val="44"/>
        </w:rPr>
        <w:t>专项预算项目支出绩效</w:t>
      </w:r>
    </w:p>
    <w:p>
      <w:pPr>
        <w:pStyle w:val="8"/>
        <w:spacing w:line="560"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自评报告</w:t>
      </w:r>
    </w:p>
    <w:p>
      <w:pPr>
        <w:pStyle w:val="8"/>
        <w:spacing w:line="560" w:lineRule="exact"/>
        <w:jc w:val="center"/>
        <w:rPr>
          <w:rFonts w:ascii="仿宋_GB2312" w:hAnsi="宋体" w:eastAsia="仿宋_GB2312"/>
          <w:b/>
          <w:bCs/>
          <w:color w:val="auto"/>
          <w:kern w:val="2"/>
          <w:sz w:val="32"/>
          <w:szCs w:val="32"/>
        </w:rPr>
      </w:pPr>
      <w:r>
        <w:rPr>
          <w:rFonts w:hint="eastAsia" w:ascii="仿宋_GB2312" w:hAnsi="宋体" w:eastAsia="仿宋_GB2312"/>
          <w:b/>
          <w:bCs/>
          <w:color w:val="auto"/>
          <w:kern w:val="2"/>
          <w:sz w:val="32"/>
          <w:szCs w:val="32"/>
        </w:rPr>
        <w:t>（</w:t>
      </w:r>
      <w:r>
        <w:rPr>
          <w:rFonts w:hint="eastAsia" w:ascii="仿宋_GB2312" w:hAnsi="宋体" w:eastAsia="仿宋_GB2312"/>
          <w:b/>
          <w:bCs/>
          <w:color w:val="auto"/>
          <w:kern w:val="2"/>
          <w:sz w:val="32"/>
          <w:szCs w:val="32"/>
          <w:lang w:val="en-US" w:eastAsia="zh-CN"/>
        </w:rPr>
        <w:t>艾滋病综合防治项目</w:t>
      </w:r>
      <w:r>
        <w:rPr>
          <w:rFonts w:hint="eastAsia" w:ascii="仿宋_GB2312" w:hAnsi="宋体" w:eastAsia="仿宋_GB2312"/>
          <w:b/>
          <w:bCs/>
          <w:color w:val="auto"/>
          <w:kern w:val="2"/>
          <w:sz w:val="32"/>
          <w:szCs w:val="32"/>
        </w:rPr>
        <w:t>）</w:t>
      </w:r>
    </w:p>
    <w:p>
      <w:pPr>
        <w:pStyle w:val="8"/>
        <w:spacing w:line="560" w:lineRule="exact"/>
        <w:ind w:firstLine="640"/>
        <w:jc w:val="center"/>
        <w:rPr>
          <w:rFonts w:ascii="宋体" w:hAnsi="宋体"/>
          <w:color w:val="auto"/>
          <w:kern w:val="2"/>
          <w:sz w:val="32"/>
          <w:szCs w:val="32"/>
        </w:rPr>
      </w:pPr>
    </w:p>
    <w:p>
      <w:pPr>
        <w:adjustRightInd w:val="0"/>
        <w:snapToGrid w:val="0"/>
        <w:spacing w:line="560" w:lineRule="exact"/>
        <w:ind w:firstLine="720"/>
        <w:rPr>
          <w:rFonts w:ascii="黑体" w:hAnsi="宋体" w:eastAsia="黑体"/>
          <w:lang w:val="zh-CN"/>
        </w:rPr>
      </w:pPr>
      <w:r>
        <w:rPr>
          <w:rFonts w:hint="eastAsia" w:ascii="黑体" w:hAnsi="宋体" w:eastAsia="黑体"/>
        </w:rPr>
        <w:t>一、</w:t>
      </w:r>
      <w:r>
        <w:rPr>
          <w:rFonts w:hint="eastAsia" w:ascii="黑体" w:hAnsi="宋体" w:eastAsia="黑体"/>
          <w:lang w:val="zh-CN"/>
        </w:rPr>
        <w:t>项目概况</w:t>
      </w:r>
    </w:p>
    <w:p>
      <w:pPr>
        <w:numPr>
          <w:ilvl w:val="0"/>
          <w:numId w:val="1"/>
        </w:numPr>
        <w:autoSpaceDE w:val="0"/>
        <w:autoSpaceDN w:val="0"/>
        <w:adjustRightInd w:val="0"/>
        <w:spacing w:line="360" w:lineRule="auto"/>
        <w:ind w:firstLine="642" w:firstLineChars="200"/>
        <w:jc w:val="left"/>
        <w:rPr>
          <w:rFonts w:hint="eastAsia" w:ascii="楷体_GB2312" w:hAnsi="宋体" w:eastAsia="楷体_GB2312"/>
          <w:b/>
          <w:lang w:val="zh-CN"/>
        </w:rPr>
      </w:pPr>
      <w:r>
        <w:rPr>
          <w:rFonts w:hint="eastAsia" w:ascii="楷体_GB2312" w:hAnsi="宋体" w:eastAsia="楷体_GB2312"/>
          <w:b/>
          <w:lang w:val="zh-CN"/>
        </w:rPr>
        <w:t>项目资金申报及批复情况。</w:t>
      </w:r>
    </w:p>
    <w:p>
      <w:pPr>
        <w:autoSpaceDE w:val="0"/>
        <w:autoSpaceDN w:val="0"/>
        <w:adjustRightInd w:val="0"/>
        <w:spacing w:line="360" w:lineRule="auto"/>
        <w:ind w:firstLine="640" w:firstLineChars="200"/>
        <w:jc w:val="left"/>
        <w:rPr>
          <w:rFonts w:hint="eastAsia" w:ascii="仿宋" w:hAnsi="仿宋" w:eastAsia="仿宋"/>
          <w:kern w:val="0"/>
          <w:sz w:val="32"/>
          <w:szCs w:val="32"/>
          <w:lang w:eastAsia="zh-CN"/>
        </w:rPr>
      </w:pPr>
      <w:r>
        <w:rPr>
          <w:rFonts w:hint="eastAsia" w:ascii="仿宋" w:hAnsi="仿宋" w:eastAsia="仿宋"/>
          <w:kern w:val="0"/>
          <w:sz w:val="32"/>
          <w:szCs w:val="32"/>
        </w:rPr>
        <w:t>艾滋病</w:t>
      </w:r>
      <w:r>
        <w:rPr>
          <w:rFonts w:ascii="仿宋" w:hAnsi="仿宋" w:eastAsia="仿宋"/>
          <w:kern w:val="0"/>
          <w:sz w:val="32"/>
          <w:szCs w:val="32"/>
        </w:rPr>
        <w:t>综合防治项目是按照攀枝花市重大传染病防治办公室依据</w:t>
      </w:r>
      <w:r>
        <w:rPr>
          <w:rFonts w:ascii="仿宋" w:hAnsi="仿宋" w:eastAsia="仿宋"/>
          <w:sz w:val="32"/>
          <w:szCs w:val="32"/>
        </w:rPr>
        <w:t>《攀枝花市人民政府关于全面加强艾滋病防治工作的实施意见》《攀枝花市遏制艾滋病传播重点工作任务台账（2020—2022 年）》要求印发攀枝花市艾滋病防治工作重点任务，要求各县（区）财政总投入继续按照户籍人口人均不低于 1 元且不低于上一年度投入的标准保障艾滋病防治经费</w:t>
      </w:r>
      <w:r>
        <w:rPr>
          <w:rFonts w:hint="eastAsia" w:ascii="仿宋" w:hAnsi="仿宋" w:eastAsia="仿宋"/>
          <w:sz w:val="32"/>
          <w:szCs w:val="32"/>
        </w:rPr>
        <w:t>。</w:t>
      </w:r>
      <w:r>
        <w:rPr>
          <w:rFonts w:hint="eastAsia" w:ascii="仿宋" w:hAnsi="仿宋" w:eastAsia="仿宋"/>
          <w:kern w:val="0"/>
          <w:sz w:val="32"/>
          <w:szCs w:val="32"/>
        </w:rPr>
        <w:t>202</w:t>
      </w:r>
      <w:r>
        <w:rPr>
          <w:rFonts w:hint="eastAsia" w:ascii="仿宋" w:hAnsi="仿宋" w:eastAsia="仿宋"/>
          <w:kern w:val="0"/>
          <w:sz w:val="32"/>
          <w:szCs w:val="32"/>
          <w:lang w:val="en-US" w:eastAsia="zh-CN"/>
        </w:rPr>
        <w:t>2</w:t>
      </w:r>
      <w:r>
        <w:rPr>
          <w:rFonts w:hint="eastAsia" w:ascii="仿宋" w:hAnsi="仿宋" w:eastAsia="仿宋"/>
          <w:kern w:val="0"/>
          <w:sz w:val="32"/>
          <w:szCs w:val="32"/>
        </w:rPr>
        <w:t>年申报</w:t>
      </w:r>
      <w:r>
        <w:rPr>
          <w:rFonts w:hint="eastAsia" w:ascii="仿宋" w:hAnsi="仿宋" w:eastAsia="仿宋"/>
          <w:kern w:val="0"/>
          <w:sz w:val="32"/>
          <w:szCs w:val="32"/>
          <w:lang w:val="en-US" w:eastAsia="zh-CN"/>
        </w:rPr>
        <w:t>并获批复</w:t>
      </w:r>
      <w:r>
        <w:rPr>
          <w:rFonts w:hint="eastAsia" w:ascii="仿宋" w:hAnsi="仿宋" w:eastAsia="仿宋"/>
          <w:kern w:val="0"/>
          <w:sz w:val="32"/>
          <w:szCs w:val="32"/>
        </w:rPr>
        <w:t>艾滋病防治项目资金55.00万元</w:t>
      </w:r>
      <w:r>
        <w:rPr>
          <w:rFonts w:hint="eastAsia" w:ascii="仿宋" w:hAnsi="仿宋" w:eastAsia="仿宋"/>
          <w:kern w:val="0"/>
          <w:sz w:val="32"/>
          <w:szCs w:val="32"/>
          <w:lang w:eastAsia="zh-CN"/>
        </w:rPr>
        <w:t>。</w:t>
      </w:r>
    </w:p>
    <w:p>
      <w:pPr>
        <w:numPr>
          <w:ilvl w:val="0"/>
          <w:numId w:val="1"/>
        </w:numPr>
        <w:autoSpaceDE w:val="0"/>
        <w:autoSpaceDN w:val="0"/>
        <w:adjustRightInd w:val="0"/>
        <w:spacing w:line="360" w:lineRule="auto"/>
        <w:ind w:left="0" w:leftChars="0" w:firstLine="642" w:firstLineChars="200"/>
        <w:jc w:val="left"/>
        <w:rPr>
          <w:rFonts w:hint="eastAsia" w:ascii="楷体_GB2312" w:hAnsi="宋体" w:eastAsia="楷体_GB2312"/>
          <w:b/>
          <w:lang w:val="zh-CN"/>
        </w:rPr>
      </w:pPr>
      <w:r>
        <w:rPr>
          <w:rFonts w:hint="eastAsia" w:ascii="楷体_GB2312" w:hAnsi="宋体" w:eastAsia="楷体_GB2312"/>
          <w:b/>
          <w:lang w:val="zh-CN"/>
        </w:rPr>
        <w:t>项目绩效目标。</w:t>
      </w:r>
    </w:p>
    <w:p>
      <w:pPr>
        <w:adjustRightInd w:val="0"/>
        <w:snapToGrid w:val="0"/>
        <w:spacing w:line="560" w:lineRule="exact"/>
        <w:ind w:firstLine="640" w:firstLineChars="200"/>
        <w:rPr>
          <w:rFonts w:hint="eastAsia" w:ascii="仿宋" w:hAnsi="仿宋" w:eastAsia="仿宋"/>
          <w:sz w:val="32"/>
          <w:szCs w:val="32"/>
        </w:rPr>
      </w:pPr>
      <w:r>
        <w:rPr>
          <w:rFonts w:ascii="仿宋" w:hAnsi="仿宋" w:eastAsia="仿宋"/>
          <w:kern w:val="0"/>
          <w:sz w:val="32"/>
          <w:szCs w:val="32"/>
        </w:rPr>
        <w:t>项目总体目标是</w:t>
      </w:r>
      <w:r>
        <w:rPr>
          <w:rFonts w:ascii="仿宋" w:hAnsi="仿宋" w:eastAsia="仿宋"/>
          <w:sz w:val="32"/>
          <w:szCs w:val="32"/>
        </w:rPr>
        <w:t>坚持“政府主导、部门各负其责、全社会共同参与”的工作方 针，明确年度艾滋病防治任务分工，加强部门间沟通协调，密 切配合、互通信息，充分发挥联防联控作用，共同推进</w:t>
      </w:r>
      <w:r>
        <w:rPr>
          <w:rFonts w:hint="eastAsia" w:ascii="仿宋" w:hAnsi="仿宋" w:eastAsia="仿宋"/>
          <w:sz w:val="32"/>
          <w:szCs w:val="32"/>
        </w:rPr>
        <w:t>艾滋病综合防治工作；开展艾滋病监测检测，加大感染者发现力度，开展艾滋病报告管理；开展病人随访管理、配偶检测、结核筛查、CD4检测、抗病毒治疗等工作；开展艾滋病感染者关怀支持活动。</w:t>
      </w:r>
    </w:p>
    <w:p>
      <w:pPr>
        <w:numPr>
          <w:ilvl w:val="0"/>
          <w:numId w:val="0"/>
        </w:numPr>
        <w:autoSpaceDE w:val="0"/>
        <w:autoSpaceDN w:val="0"/>
        <w:adjustRightInd w:val="0"/>
        <w:spacing w:line="360" w:lineRule="auto"/>
        <w:ind w:firstLine="640" w:firstLineChars="200"/>
        <w:jc w:val="left"/>
        <w:rPr>
          <w:rFonts w:hint="eastAsia" w:ascii="仿宋" w:hAnsi="仿宋" w:eastAsia="仿宋"/>
          <w:sz w:val="32"/>
          <w:szCs w:val="32"/>
          <w:lang w:val="zh-CN"/>
        </w:rPr>
      </w:pPr>
      <w:r>
        <w:rPr>
          <w:rFonts w:hint="eastAsia" w:ascii="仿宋" w:hAnsi="仿宋" w:eastAsia="仿宋"/>
          <w:kern w:val="0"/>
          <w:sz w:val="32"/>
          <w:szCs w:val="32"/>
        </w:rPr>
        <w:t>艾滋病</w:t>
      </w:r>
      <w:r>
        <w:rPr>
          <w:rFonts w:ascii="仿宋" w:hAnsi="仿宋" w:eastAsia="仿宋"/>
          <w:kern w:val="0"/>
          <w:sz w:val="32"/>
          <w:szCs w:val="32"/>
        </w:rPr>
        <w:t>综合防治项目</w:t>
      </w:r>
      <w:r>
        <w:rPr>
          <w:rFonts w:ascii="仿宋" w:hAnsi="仿宋" w:eastAsia="仿宋"/>
          <w:sz w:val="32"/>
          <w:szCs w:val="32"/>
        </w:rPr>
        <w:t>为贯彻落实《国务院防治艾滋病工作委员会办公室关于印发研 究部署“十四五”时期艾滋病防治工作会议纪要部门任务分工方案 的通知》《攀枝花市人民政府关于全面加强艾滋病防治工作的实施意 见》《攀枝花市遏制艾滋病传播重点工作任务台账（2020—2022 年）》及仁和区艾滋病防治工作重点任务要求，深入推进全</w:t>
      </w:r>
      <w:r>
        <w:rPr>
          <w:rFonts w:hint="eastAsia" w:ascii="仿宋" w:hAnsi="仿宋" w:eastAsia="仿宋"/>
          <w:sz w:val="32"/>
          <w:szCs w:val="32"/>
        </w:rPr>
        <w:t>区</w:t>
      </w:r>
      <w:r>
        <w:rPr>
          <w:rFonts w:ascii="仿宋" w:hAnsi="仿宋" w:eastAsia="仿宋"/>
          <w:sz w:val="32"/>
          <w:szCs w:val="32"/>
        </w:rPr>
        <w:t>艾滋病综合防治</w:t>
      </w:r>
      <w:r>
        <w:rPr>
          <w:rFonts w:hint="eastAsia" w:ascii="仿宋" w:hAnsi="仿宋" w:eastAsia="仿宋"/>
          <w:sz w:val="32"/>
          <w:szCs w:val="32"/>
        </w:rPr>
        <w:t>工作。</w:t>
      </w:r>
    </w:p>
    <w:p>
      <w:pPr>
        <w:adjustRightInd w:val="0"/>
        <w:snapToGrid w:val="0"/>
        <w:spacing w:line="560" w:lineRule="exact"/>
        <w:ind w:firstLine="720"/>
        <w:rPr>
          <w:rFonts w:ascii="黑体" w:hAnsi="宋体" w:eastAsia="黑体"/>
        </w:rPr>
      </w:pPr>
      <w:r>
        <w:rPr>
          <w:rFonts w:hint="eastAsia" w:ascii="黑体" w:hAnsi="宋体" w:eastAsia="黑体"/>
        </w:rPr>
        <w:t>二、项目实施及管理情况</w:t>
      </w:r>
    </w:p>
    <w:p>
      <w:pPr>
        <w:adjustRightInd w:val="0"/>
        <w:snapToGrid w:val="0"/>
        <w:spacing w:line="560" w:lineRule="exact"/>
        <w:ind w:firstLine="720"/>
        <w:rPr>
          <w:rFonts w:ascii="楷体_GB2312" w:hAnsi="宋体" w:eastAsia="楷体_GB2312"/>
          <w:b/>
          <w:lang w:val="zh-CN"/>
        </w:rPr>
      </w:pPr>
      <w:r>
        <w:rPr>
          <w:rFonts w:hint="eastAsia" w:ascii="仿宋_GB2312" w:hAnsi="宋体"/>
          <w:lang w:val="zh-CN"/>
        </w:rPr>
        <w:tab/>
      </w:r>
      <w:r>
        <w:rPr>
          <w:rFonts w:hint="eastAsia" w:ascii="楷体_GB2312" w:hAnsi="宋体" w:eastAsia="楷体_GB2312"/>
          <w:b/>
          <w:lang w:val="zh-CN"/>
        </w:rPr>
        <w:t>（一）资金计划、到位及使用情况。</w:t>
      </w:r>
    </w:p>
    <w:p>
      <w:pPr>
        <w:adjustRightInd w:val="0"/>
        <w:snapToGrid w:val="0"/>
        <w:spacing w:line="560" w:lineRule="exact"/>
        <w:ind w:firstLine="720"/>
        <w:rPr>
          <w:rFonts w:hint="eastAsia" w:ascii="楷体_GB2312" w:hAnsi="宋体" w:eastAsia="楷体_GB2312"/>
          <w:lang w:val="zh-CN"/>
        </w:rPr>
      </w:pPr>
      <w:r>
        <w:rPr>
          <w:rFonts w:hint="eastAsia" w:ascii="楷体_GB2312" w:hAnsi="宋体" w:eastAsia="楷体_GB2312"/>
          <w:lang w:val="zh-CN"/>
        </w:rPr>
        <w:t>1．资金计划及到位。</w:t>
      </w:r>
    </w:p>
    <w:p>
      <w:pPr>
        <w:adjustRightInd w:val="0"/>
        <w:snapToGrid w:val="0"/>
        <w:spacing w:line="560" w:lineRule="exact"/>
        <w:ind w:firstLine="720"/>
        <w:rPr>
          <w:rFonts w:hint="default" w:ascii="仿宋_GB2312" w:hAnsi="宋体" w:eastAsia="仿宋"/>
          <w:lang w:val="en-US" w:eastAsia="zh-CN"/>
        </w:rPr>
      </w:pPr>
      <w:r>
        <w:rPr>
          <w:rFonts w:hint="eastAsia" w:ascii="仿宋" w:hAnsi="仿宋" w:eastAsia="仿宋"/>
          <w:kern w:val="0"/>
          <w:sz w:val="32"/>
          <w:szCs w:val="32"/>
        </w:rPr>
        <w:t>202</w:t>
      </w:r>
      <w:r>
        <w:rPr>
          <w:rFonts w:hint="eastAsia" w:ascii="仿宋" w:hAnsi="仿宋" w:eastAsia="仿宋"/>
          <w:kern w:val="0"/>
          <w:sz w:val="32"/>
          <w:szCs w:val="32"/>
          <w:lang w:val="en-US" w:eastAsia="zh-CN"/>
        </w:rPr>
        <w:t>2</w:t>
      </w:r>
      <w:r>
        <w:rPr>
          <w:rFonts w:hint="eastAsia" w:ascii="仿宋" w:hAnsi="仿宋" w:eastAsia="仿宋"/>
          <w:kern w:val="0"/>
          <w:sz w:val="32"/>
          <w:szCs w:val="32"/>
        </w:rPr>
        <w:t>年申报艾滋病综合防治项目资金55.00万元,202</w:t>
      </w:r>
      <w:r>
        <w:rPr>
          <w:rFonts w:hint="eastAsia" w:ascii="仿宋" w:hAnsi="仿宋" w:eastAsia="仿宋"/>
          <w:kern w:val="0"/>
          <w:sz w:val="32"/>
          <w:szCs w:val="32"/>
          <w:lang w:val="en-US" w:eastAsia="zh-CN"/>
        </w:rPr>
        <w:t>2</w:t>
      </w:r>
      <w:r>
        <w:rPr>
          <w:rFonts w:hint="eastAsia" w:ascii="仿宋" w:hAnsi="仿宋" w:eastAsia="仿宋"/>
          <w:kern w:val="0"/>
          <w:sz w:val="32"/>
          <w:szCs w:val="32"/>
        </w:rPr>
        <w:t>年3月区财政下达项目预算资金55.00万元。</w:t>
      </w:r>
      <w:r>
        <w:rPr>
          <w:rFonts w:hint="eastAsia" w:ascii="仿宋_GB2312" w:hAnsi="宋体" w:eastAsia="仿宋"/>
          <w:lang w:val="en-US" w:eastAsia="zh-CN"/>
        </w:rPr>
        <w:t>资金到位率100%。</w:t>
      </w:r>
    </w:p>
    <w:p>
      <w:pPr>
        <w:autoSpaceDE w:val="0"/>
        <w:autoSpaceDN w:val="0"/>
        <w:adjustRightInd w:val="0"/>
        <w:spacing w:line="360" w:lineRule="auto"/>
        <w:ind w:firstLine="640" w:firstLineChars="200"/>
        <w:jc w:val="left"/>
        <w:rPr>
          <w:rFonts w:hint="eastAsia" w:ascii="楷体_GB2312" w:hAnsi="宋体" w:eastAsia="楷体_GB2312"/>
          <w:lang w:val="zh-CN"/>
        </w:rPr>
      </w:pPr>
      <w:r>
        <w:rPr>
          <w:rFonts w:hint="eastAsia" w:ascii="楷体_GB2312" w:hAnsi="宋体" w:eastAsia="楷体_GB2312"/>
          <w:lang w:val="zh-CN"/>
        </w:rPr>
        <w:t>2．资金使用。</w:t>
      </w:r>
    </w:p>
    <w:p>
      <w:pPr>
        <w:adjustRightInd w:val="0"/>
        <w:snapToGrid w:val="0"/>
        <w:spacing w:line="560" w:lineRule="exact"/>
        <w:ind w:firstLine="720"/>
        <w:rPr>
          <w:rFonts w:hint="default" w:ascii="仿宋_GB2312" w:hAnsi="宋体"/>
          <w:lang w:val="en-US"/>
        </w:rPr>
      </w:pPr>
      <w:r>
        <w:rPr>
          <w:rFonts w:hint="eastAsia" w:ascii="仿宋" w:hAnsi="仿宋" w:eastAsia="仿宋"/>
          <w:kern w:val="0"/>
          <w:sz w:val="32"/>
          <w:szCs w:val="32"/>
          <w:lang w:val="en-US" w:eastAsia="zh-CN"/>
        </w:rPr>
        <w:t>2022年艾滋病综合防治项目预算安排资金55.00万元，其中管理办公室及社会组织安排经费12.2万元（区重传办卫健局5.0万元；“三线”管理办公室共3个*2万元/个=6万元；社会组织1.2万元），用于家庭困难艾滋病感染者及病人抗病毒治疗检测费用补助5.2万元，仁和区社区药物维持治疗延伸服药点人员及运转经费37.6万元。由于财政资金紧张</w:t>
      </w:r>
      <w:r>
        <w:rPr>
          <w:rFonts w:hint="eastAsia" w:ascii="仿宋" w:hAnsi="仿宋" w:eastAsia="仿宋"/>
          <w:kern w:val="0"/>
          <w:sz w:val="32"/>
          <w:szCs w:val="32"/>
        </w:rPr>
        <w:t>202</w:t>
      </w:r>
      <w:r>
        <w:rPr>
          <w:rFonts w:hint="eastAsia" w:ascii="仿宋" w:hAnsi="仿宋" w:eastAsia="仿宋"/>
          <w:kern w:val="0"/>
          <w:sz w:val="32"/>
          <w:szCs w:val="32"/>
          <w:lang w:val="en-US" w:eastAsia="zh-CN"/>
        </w:rPr>
        <w:t>2</w:t>
      </w:r>
      <w:r>
        <w:rPr>
          <w:rFonts w:hint="eastAsia" w:ascii="仿宋" w:hAnsi="仿宋" w:eastAsia="仿宋"/>
          <w:kern w:val="0"/>
          <w:sz w:val="32"/>
          <w:szCs w:val="32"/>
        </w:rPr>
        <w:t>年项目</w:t>
      </w:r>
      <w:r>
        <w:rPr>
          <w:rFonts w:hint="eastAsia" w:ascii="仿宋" w:hAnsi="仿宋" w:eastAsia="仿宋"/>
          <w:kern w:val="0"/>
          <w:sz w:val="32"/>
          <w:szCs w:val="32"/>
          <w:lang w:val="en-US" w:eastAsia="zh-CN"/>
        </w:rPr>
        <w:t>实际完成</w:t>
      </w:r>
      <w:r>
        <w:rPr>
          <w:rFonts w:hint="eastAsia" w:ascii="仿宋" w:hAnsi="仿宋" w:eastAsia="仿宋"/>
          <w:kern w:val="0"/>
          <w:sz w:val="32"/>
          <w:szCs w:val="32"/>
        </w:rPr>
        <w:t>支出</w:t>
      </w:r>
      <w:r>
        <w:rPr>
          <w:rFonts w:hint="eastAsia" w:ascii="仿宋" w:hAnsi="仿宋" w:eastAsia="仿宋"/>
          <w:kern w:val="0"/>
          <w:sz w:val="32"/>
          <w:szCs w:val="32"/>
          <w:lang w:val="en-US" w:eastAsia="zh-CN"/>
        </w:rPr>
        <w:t>1.1</w:t>
      </w:r>
      <w:r>
        <w:rPr>
          <w:rFonts w:hint="eastAsia" w:ascii="仿宋" w:hAnsi="仿宋" w:eastAsia="仿宋"/>
          <w:kern w:val="0"/>
          <w:sz w:val="32"/>
          <w:szCs w:val="32"/>
        </w:rPr>
        <w:t>万元，</w:t>
      </w:r>
      <w:r>
        <w:rPr>
          <w:rFonts w:hint="eastAsia" w:ascii="仿宋" w:hAnsi="仿宋" w:eastAsia="仿宋"/>
          <w:kern w:val="0"/>
          <w:sz w:val="32"/>
          <w:szCs w:val="32"/>
          <w:lang w:val="en-US" w:eastAsia="zh-CN"/>
        </w:rPr>
        <w:t>主要是美沙酮门诊安保服务费及协管员劳务费。已发生未支付的费用在2023年的结转结余经费进行支付。</w:t>
      </w:r>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lang w:val="zh-CN"/>
        </w:rPr>
        <w:t>（二）项目财务管理情况。</w:t>
      </w:r>
    </w:p>
    <w:p>
      <w:pPr>
        <w:adjustRightInd w:val="0"/>
        <w:snapToGrid w:val="0"/>
        <w:spacing w:line="560" w:lineRule="exact"/>
        <w:ind w:firstLine="720"/>
        <w:rPr>
          <w:rFonts w:hint="eastAsia" w:ascii="仿宋" w:hAnsi="仿宋" w:eastAsia="仿宋"/>
          <w:sz w:val="32"/>
          <w:szCs w:val="32"/>
        </w:rPr>
      </w:pPr>
      <w:r>
        <w:rPr>
          <w:rFonts w:ascii="仿宋" w:hAnsi="仿宋" w:eastAsia="仿宋"/>
          <w:kern w:val="0"/>
          <w:sz w:val="32"/>
          <w:szCs w:val="32"/>
        </w:rPr>
        <w:t>项目资金管理严格按照财务管理要求进行</w:t>
      </w:r>
      <w:r>
        <w:rPr>
          <w:rFonts w:hint="eastAsia" w:ascii="仿宋" w:hAnsi="仿宋" w:eastAsia="仿宋"/>
          <w:kern w:val="0"/>
          <w:sz w:val="32"/>
          <w:szCs w:val="32"/>
        </w:rPr>
        <w:t>，</w:t>
      </w:r>
      <w:r>
        <w:rPr>
          <w:rFonts w:ascii="仿宋" w:hAnsi="仿宋" w:eastAsia="仿宋"/>
          <w:kern w:val="0"/>
          <w:sz w:val="32"/>
          <w:szCs w:val="32"/>
        </w:rPr>
        <w:t>做到</w:t>
      </w:r>
      <w:r>
        <w:rPr>
          <w:rFonts w:hint="eastAsia" w:ascii="仿宋" w:hAnsi="仿宋" w:eastAsia="仿宋"/>
          <w:kern w:val="0"/>
          <w:sz w:val="32"/>
          <w:szCs w:val="32"/>
        </w:rPr>
        <w:t>专款专用。</w:t>
      </w:r>
      <w:r>
        <w:rPr>
          <w:rFonts w:hint="eastAsia" w:ascii="仿宋" w:hAnsi="仿宋" w:eastAsia="仿宋"/>
          <w:sz w:val="32"/>
          <w:szCs w:val="32"/>
        </w:rPr>
        <w:t>严格规范各项资金的审批和使用，杜绝无预算支出，合理安排资金使用进度，</w:t>
      </w:r>
      <w:r>
        <w:rPr>
          <w:rFonts w:ascii="仿宋" w:hAnsi="仿宋" w:eastAsia="仿宋"/>
          <w:kern w:val="0"/>
          <w:sz w:val="32"/>
          <w:szCs w:val="32"/>
        </w:rPr>
        <w:t>严格按照上级主管部门制定的艾滋病防治工作方案保障艾滋病防治相关工作的开展，</w:t>
      </w:r>
      <w:r>
        <w:rPr>
          <w:rFonts w:hint="eastAsia" w:ascii="仿宋" w:hAnsi="仿宋" w:eastAsia="仿宋"/>
          <w:sz w:val="32"/>
          <w:szCs w:val="32"/>
        </w:rPr>
        <w:t>严格执行政府采购程序，规范管理资产，按季度公示财务信息。</w:t>
      </w:r>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lang w:val="zh-CN"/>
        </w:rPr>
        <w:t>（三）项目组织实施情况。</w:t>
      </w:r>
    </w:p>
    <w:p>
      <w:pPr>
        <w:autoSpaceDE w:val="0"/>
        <w:autoSpaceDN w:val="0"/>
        <w:adjustRightInd w:val="0"/>
        <w:spacing w:line="360" w:lineRule="auto"/>
        <w:ind w:firstLine="640" w:firstLineChars="200"/>
        <w:jc w:val="left"/>
        <w:rPr>
          <w:rFonts w:hint="eastAsia" w:ascii="仿宋" w:hAnsi="仿宋" w:eastAsia="仿宋"/>
          <w:sz w:val="32"/>
          <w:szCs w:val="32"/>
        </w:rPr>
      </w:pPr>
      <w:r>
        <w:rPr>
          <w:rFonts w:ascii="仿宋" w:hAnsi="仿宋" w:eastAsia="仿宋"/>
          <w:kern w:val="0"/>
          <w:sz w:val="32"/>
          <w:szCs w:val="32"/>
        </w:rPr>
        <w:t>艾滋病综合防治工作由仁和区重大传染病防治工作领导小组制定下达年度工作重点任务，</w:t>
      </w:r>
      <w:r>
        <w:rPr>
          <w:rFonts w:ascii="仿宋" w:hAnsi="仿宋" w:eastAsia="仿宋"/>
          <w:sz w:val="32"/>
          <w:szCs w:val="32"/>
        </w:rPr>
        <w:t>区级“三线”（疾控、定点医疗、妇幼保健机构）管理办公室分别</w:t>
      </w:r>
      <w:r>
        <w:rPr>
          <w:rFonts w:hint="eastAsia" w:ascii="仿宋" w:hAnsi="仿宋" w:eastAsia="仿宋"/>
          <w:sz w:val="32"/>
          <w:szCs w:val="32"/>
        </w:rPr>
        <w:t>负责</w:t>
      </w:r>
      <w:r>
        <w:rPr>
          <w:rFonts w:ascii="仿宋" w:hAnsi="仿宋" w:eastAsia="仿宋"/>
          <w:sz w:val="32"/>
          <w:szCs w:val="32"/>
        </w:rPr>
        <w:t>具体的综合防治工作</w:t>
      </w:r>
      <w:r>
        <w:rPr>
          <w:rFonts w:hint="eastAsia" w:ascii="仿宋" w:hAnsi="仿宋" w:eastAsia="仿宋"/>
          <w:sz w:val="32"/>
          <w:szCs w:val="32"/>
        </w:rPr>
        <w:t>。</w:t>
      </w:r>
    </w:p>
    <w:p>
      <w:pPr>
        <w:autoSpaceDE w:val="0"/>
        <w:autoSpaceDN w:val="0"/>
        <w:adjustRightInd w:val="0"/>
        <w:spacing w:line="360" w:lineRule="auto"/>
        <w:ind w:firstLine="640" w:firstLineChars="200"/>
        <w:jc w:val="left"/>
        <w:rPr>
          <w:rFonts w:hint="eastAsia" w:ascii="仿宋" w:hAnsi="仿宋" w:eastAsia="仿宋"/>
          <w:sz w:val="32"/>
          <w:szCs w:val="32"/>
        </w:rPr>
      </w:pPr>
      <w:r>
        <w:rPr>
          <w:rFonts w:hint="eastAsia" w:ascii="仿宋" w:hAnsi="仿宋" w:eastAsia="仿宋"/>
          <w:kern w:val="0"/>
          <w:sz w:val="32"/>
          <w:szCs w:val="32"/>
        </w:rPr>
        <w:t>仁和</w:t>
      </w:r>
      <w:r>
        <w:rPr>
          <w:rFonts w:ascii="仿宋" w:hAnsi="仿宋" w:eastAsia="仿宋"/>
          <w:sz w:val="32"/>
          <w:szCs w:val="32"/>
        </w:rPr>
        <w:t>区治疗管理办公室切实落实抗病 毒治疗管理牵头责任，进一步完善各项管理制度、职责，完善 调研指导、通报、月报等，负责建立完善 本级抗病毒治疗质控管理标准和规范</w:t>
      </w:r>
      <w:r>
        <w:rPr>
          <w:rFonts w:hint="eastAsia" w:ascii="仿宋" w:hAnsi="仿宋" w:eastAsia="仿宋"/>
          <w:sz w:val="32"/>
          <w:szCs w:val="32"/>
        </w:rPr>
        <w:t>，</w:t>
      </w:r>
      <w:r>
        <w:rPr>
          <w:rFonts w:ascii="仿宋" w:hAnsi="仿宋" w:eastAsia="仿宋"/>
          <w:sz w:val="32"/>
          <w:szCs w:val="32"/>
        </w:rPr>
        <w:t>加强 在治人员依从性教育和随访管理，做好重点和治疗失败病例的 分类管理，建立规范分析档案。</w:t>
      </w:r>
    </w:p>
    <w:p>
      <w:pPr>
        <w:autoSpaceDE w:val="0"/>
        <w:autoSpaceDN w:val="0"/>
        <w:adjustRightInd w:val="0"/>
        <w:spacing w:line="360" w:lineRule="auto"/>
        <w:ind w:firstLine="640" w:firstLineChars="200"/>
        <w:jc w:val="left"/>
        <w:rPr>
          <w:rFonts w:hint="eastAsia" w:ascii="仿宋" w:hAnsi="仿宋" w:eastAsia="仿宋"/>
          <w:sz w:val="32"/>
          <w:szCs w:val="32"/>
        </w:rPr>
      </w:pPr>
      <w:r>
        <w:rPr>
          <w:rFonts w:hint="eastAsia" w:ascii="仿宋" w:hAnsi="仿宋" w:eastAsia="仿宋"/>
          <w:kern w:val="0"/>
          <w:sz w:val="32"/>
          <w:szCs w:val="32"/>
        </w:rPr>
        <w:t>仁和</w:t>
      </w:r>
      <w:r>
        <w:rPr>
          <w:rFonts w:ascii="仿宋" w:hAnsi="仿宋" w:eastAsia="仿宋"/>
          <w:sz w:val="32"/>
          <w:szCs w:val="32"/>
        </w:rPr>
        <w:t>区妇幼保健机构牵头，乡镇人民政府（街道办事处）会同基层医疗机构进一步完善辖区孕情早发现工作机制，分层分类管理育龄妇女，开展孕情监测工作为艾滋病感染孕产 妇及所生儿童实施“一对一”专案管理，有效落实抗病毒服药、相关辅助检测、安全助产、儿童预防性治疗及科学喂养等各项 措施，有效控制母婴传播。</w:t>
      </w:r>
    </w:p>
    <w:p>
      <w:pPr>
        <w:autoSpaceDE w:val="0"/>
        <w:autoSpaceDN w:val="0"/>
        <w:adjustRightInd w:val="0"/>
        <w:spacing w:line="360" w:lineRule="auto"/>
        <w:ind w:firstLine="640" w:firstLineChars="200"/>
        <w:jc w:val="left"/>
        <w:rPr>
          <w:rFonts w:ascii="仿宋" w:hAnsi="仿宋" w:eastAsia="仿宋"/>
          <w:kern w:val="0"/>
          <w:sz w:val="32"/>
          <w:szCs w:val="32"/>
        </w:rPr>
      </w:pPr>
      <w:r>
        <w:rPr>
          <w:rFonts w:hint="eastAsia" w:ascii="仿宋" w:hAnsi="仿宋" w:eastAsia="仿宋"/>
          <w:kern w:val="0"/>
          <w:sz w:val="32"/>
          <w:szCs w:val="32"/>
        </w:rPr>
        <w:t>仁和区疾病预防控</w:t>
      </w:r>
      <w:r>
        <w:rPr>
          <w:rFonts w:hint="eastAsia" w:ascii="仿宋" w:hAnsi="仿宋" w:eastAsia="仿宋"/>
          <w:kern w:val="0"/>
          <w:sz w:val="32"/>
          <w:szCs w:val="32"/>
          <w:lang w:eastAsia="zh-CN"/>
        </w:rPr>
        <w:t>制</w:t>
      </w:r>
      <w:r>
        <w:rPr>
          <w:rFonts w:hint="eastAsia" w:ascii="仿宋" w:hAnsi="仿宋" w:eastAsia="仿宋"/>
          <w:kern w:val="0"/>
          <w:sz w:val="32"/>
          <w:szCs w:val="32"/>
        </w:rPr>
        <w:t>中心</w:t>
      </w:r>
      <w:r>
        <w:rPr>
          <w:rFonts w:hint="eastAsia" w:ascii="仿宋" w:hAnsi="仿宋" w:eastAsia="仿宋" w:cs="仿宋_GB2312"/>
          <w:sz w:val="32"/>
          <w:szCs w:val="32"/>
        </w:rPr>
        <w:t>主要负责</w:t>
      </w:r>
      <w:r>
        <w:rPr>
          <w:rFonts w:ascii="仿宋" w:hAnsi="仿宋" w:eastAsia="仿宋"/>
          <w:sz w:val="32"/>
          <w:szCs w:val="32"/>
        </w:rPr>
        <w:t>全面落实各项艾滋病和性病预防控制措施，按要求规范完成上级下达的哨点监测任务。加强艾滋病检测信息管理，规范“初筛-筛查阳性告知-确 诊检测”流程，强化初筛阳性后续咨询检测和个案追踪，加强流行病学调查。落实本辖区的溯源调查工作，做好新报告感染者的流行病学调查及溯源调查，有效追查感染者和病人的高危行为接触者并进行检测，提高感染者发现效率，摸清辖区艾滋病传播风险网络。开展新发感染检测，精准分析新近感染的重点人群和重点区域， 针对性采取防控措施。</w:t>
      </w:r>
    </w:p>
    <w:p>
      <w:pPr>
        <w:adjustRightInd w:val="0"/>
        <w:snapToGrid w:val="0"/>
        <w:spacing w:line="560" w:lineRule="exact"/>
        <w:ind w:firstLine="720"/>
        <w:rPr>
          <w:rFonts w:ascii="仿宋_GB2312" w:hAnsi="宋体"/>
          <w:lang w:val="zh-CN"/>
        </w:rPr>
      </w:pPr>
      <w:r>
        <w:rPr>
          <w:rFonts w:hint="eastAsia" w:ascii="黑体" w:hAnsi="宋体" w:eastAsia="黑体"/>
        </w:rPr>
        <w:t>三、项目绩效情况</w:t>
      </w:r>
      <w:r>
        <w:rPr>
          <w:rFonts w:hint="eastAsia" w:ascii="仿宋_GB2312" w:hAnsi="宋体"/>
          <w:lang w:val="zh-CN"/>
        </w:rPr>
        <w:tab/>
      </w:r>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lang w:val="zh-CN"/>
        </w:rPr>
        <w:t>（一）项目完成情况。</w:t>
      </w:r>
    </w:p>
    <w:p>
      <w:pPr>
        <w:adjustRightInd w:val="0"/>
        <w:snapToGrid w:val="0"/>
        <w:spacing w:line="560" w:lineRule="exact"/>
        <w:ind w:firstLine="720"/>
        <w:rPr>
          <w:rFonts w:hint="eastAsia" w:ascii="仿宋_GB2312" w:hAnsi="仿宋_GB2312" w:eastAsia="仿宋_GB2312" w:cs="仿宋_GB2312"/>
          <w:color w:val="auto"/>
          <w:sz w:val="32"/>
          <w:szCs w:val="32"/>
          <w:lang w:val="en-US" w:eastAsia="zh-CN"/>
        </w:rPr>
      </w:pPr>
      <w:r>
        <w:rPr>
          <w:rFonts w:hint="eastAsia" w:ascii="仿宋_GB2312" w:hAnsi="宋体"/>
          <w:color w:val="auto"/>
          <w:lang w:val="en-US" w:eastAsia="zh-CN"/>
        </w:rPr>
        <w:t>严格</w:t>
      </w:r>
      <w:r>
        <w:rPr>
          <w:rFonts w:hint="eastAsia" w:ascii="仿宋_GB2312" w:hAnsi="仿宋_GB2312" w:eastAsia="仿宋_GB2312" w:cs="仿宋_GB2312"/>
          <w:color w:val="auto"/>
          <w:sz w:val="32"/>
          <w:szCs w:val="32"/>
        </w:rPr>
        <w:t>按照2022年艾滋病综合防治工作计划开展</w:t>
      </w:r>
      <w:r>
        <w:rPr>
          <w:rFonts w:hint="eastAsia" w:ascii="仿宋_GB2312" w:hAnsi="仿宋_GB2312" w:cs="仿宋_GB2312"/>
          <w:color w:val="auto"/>
          <w:sz w:val="32"/>
          <w:szCs w:val="32"/>
          <w:lang w:val="en-US" w:eastAsia="zh-CN"/>
        </w:rPr>
        <w:t>相关</w:t>
      </w:r>
      <w:r>
        <w:rPr>
          <w:rFonts w:hint="eastAsia" w:ascii="仿宋_GB2312" w:hAnsi="仿宋_GB2312" w:eastAsia="仿宋_GB2312" w:cs="仿宋_GB2312"/>
          <w:color w:val="auto"/>
          <w:sz w:val="32"/>
          <w:szCs w:val="32"/>
        </w:rPr>
        <w:t>工作</w:t>
      </w:r>
      <w:r>
        <w:rPr>
          <w:rFonts w:hint="eastAsia" w:ascii="仿宋_GB2312" w:hAnsi="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02</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年1月至12月</w:t>
      </w:r>
      <w:r>
        <w:rPr>
          <w:rFonts w:hint="eastAsia" w:ascii="仿宋_GB2312" w:hAnsi="仿宋_GB2312" w:cs="仿宋_GB2312"/>
          <w:color w:val="auto"/>
          <w:sz w:val="32"/>
          <w:szCs w:val="32"/>
          <w:lang w:val="en-US" w:eastAsia="zh-CN"/>
        </w:rPr>
        <w:t>认真</w:t>
      </w:r>
      <w:r>
        <w:rPr>
          <w:rFonts w:hint="eastAsia" w:ascii="仿宋_GB2312" w:hAnsi="仿宋_GB2312" w:eastAsia="仿宋_GB2312" w:cs="仿宋_GB2312"/>
          <w:color w:val="auto"/>
          <w:sz w:val="32"/>
          <w:szCs w:val="32"/>
        </w:rPr>
        <w:t>落实</w:t>
      </w:r>
      <w:r>
        <w:rPr>
          <w:rFonts w:hint="eastAsia" w:ascii="仿宋_GB2312" w:hAnsi="仿宋_GB2312" w:cs="仿宋_GB2312"/>
          <w:color w:val="auto"/>
          <w:sz w:val="32"/>
          <w:szCs w:val="32"/>
          <w:lang w:val="en-US" w:eastAsia="zh-CN"/>
        </w:rPr>
        <w:t>各项</w:t>
      </w:r>
      <w:r>
        <w:rPr>
          <w:rFonts w:hint="eastAsia" w:ascii="仿宋_GB2312" w:hAnsi="仿宋_GB2312" w:eastAsia="仿宋_GB2312" w:cs="仿宋_GB2312"/>
          <w:color w:val="auto"/>
          <w:sz w:val="32"/>
          <w:szCs w:val="32"/>
        </w:rPr>
        <w:t>工作措施，12月底各项考核指标任务</w:t>
      </w:r>
      <w:r>
        <w:rPr>
          <w:rFonts w:hint="eastAsia" w:ascii="仿宋_GB2312" w:hAnsi="仿宋_GB2312" w:cs="仿宋_GB2312"/>
          <w:color w:val="auto"/>
          <w:sz w:val="32"/>
          <w:szCs w:val="32"/>
          <w:lang w:val="en-US" w:eastAsia="zh-CN"/>
        </w:rPr>
        <w:t>均</w:t>
      </w:r>
      <w:r>
        <w:rPr>
          <w:rFonts w:hint="eastAsia" w:ascii="仿宋_GB2312" w:hAnsi="仿宋_GB2312" w:eastAsia="仿宋_GB2312" w:cs="仿宋_GB2312"/>
          <w:color w:val="auto"/>
          <w:sz w:val="32"/>
          <w:szCs w:val="32"/>
        </w:rPr>
        <w:t>达到上级</w:t>
      </w:r>
      <w:r>
        <w:rPr>
          <w:rFonts w:hint="eastAsia" w:ascii="仿宋_GB2312" w:hAnsi="仿宋_GB2312" w:cs="仿宋_GB2312"/>
          <w:color w:val="auto"/>
          <w:sz w:val="32"/>
          <w:szCs w:val="32"/>
          <w:lang w:val="en-US" w:eastAsia="zh-CN"/>
        </w:rPr>
        <w:t>考核</w:t>
      </w:r>
      <w:r>
        <w:rPr>
          <w:rFonts w:hint="eastAsia" w:ascii="仿宋_GB2312" w:hAnsi="仿宋_GB2312" w:eastAsia="仿宋_GB2312" w:cs="仿宋_GB2312"/>
          <w:color w:val="auto"/>
          <w:sz w:val="32"/>
          <w:szCs w:val="32"/>
        </w:rPr>
        <w:t>要求</w:t>
      </w:r>
      <w:r>
        <w:rPr>
          <w:rFonts w:hint="eastAsia" w:ascii="仿宋_GB2312" w:hAnsi="仿宋_GB2312" w:cs="仿宋_GB2312"/>
          <w:color w:val="auto"/>
          <w:sz w:val="32"/>
          <w:szCs w:val="32"/>
          <w:lang w:eastAsia="zh-CN"/>
        </w:rPr>
        <w:t>。</w:t>
      </w:r>
    </w:p>
    <w:p>
      <w:pPr>
        <w:numPr>
          <w:ilvl w:val="0"/>
          <w:numId w:val="0"/>
        </w:numPr>
        <w:adjustRightInd w:val="0"/>
        <w:snapToGrid w:val="0"/>
        <w:spacing w:line="560" w:lineRule="exact"/>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宋体"/>
          <w:color w:val="auto"/>
          <w:lang w:val="en-US" w:eastAsia="zh-CN"/>
        </w:rPr>
        <w:t xml:space="preserve">1、美沙酮维持治疗 </w:t>
      </w:r>
      <w:r>
        <w:rPr>
          <w:rFonts w:hint="eastAsia" w:ascii="仿宋_GB2312" w:hAnsi="仿宋_GB2312" w:eastAsia="仿宋_GB2312" w:cs="仿宋_GB2312"/>
          <w:color w:val="auto"/>
          <w:sz w:val="32"/>
          <w:szCs w:val="32"/>
          <w:lang w:val="en-US" w:eastAsia="zh-CN"/>
        </w:rPr>
        <w:t>在组治疗60人，日均治疗50人次，全年1.8387万人次</w:t>
      </w:r>
      <w:r>
        <w:rPr>
          <w:rFonts w:hint="eastAsia" w:ascii="仿宋_GB2312" w:hAnsi="仿宋_GB2312" w:cs="仿宋_GB2312"/>
          <w:color w:val="auto"/>
          <w:sz w:val="32"/>
          <w:szCs w:val="32"/>
          <w:lang w:val="en-US" w:eastAsia="zh-CN"/>
        </w:rPr>
        <w:t>；</w:t>
      </w:r>
      <w:r>
        <w:rPr>
          <w:rFonts w:hint="eastAsia" w:ascii="仿宋_GB2312" w:hAnsi="仿宋_GB2312" w:eastAsia="仿宋_GB2312" w:cs="仿宋_GB2312"/>
          <w:color w:val="auto"/>
          <w:sz w:val="32"/>
          <w:szCs w:val="32"/>
        </w:rPr>
        <w:t>全年维持治疗率</w:t>
      </w:r>
      <w:r>
        <w:rPr>
          <w:rFonts w:hint="eastAsia" w:ascii="仿宋_GB2312" w:hAnsi="仿宋_GB2312" w:eastAsia="仿宋_GB2312" w:cs="仿宋_GB2312"/>
          <w:color w:val="auto"/>
          <w:sz w:val="32"/>
          <w:szCs w:val="32"/>
          <w:lang w:val="en-US" w:eastAsia="zh-CN"/>
        </w:rPr>
        <w:t>87.72%。</w:t>
      </w:r>
    </w:p>
    <w:p>
      <w:pPr>
        <w:numPr>
          <w:ilvl w:val="0"/>
          <w:numId w:val="0"/>
        </w:numPr>
        <w:adjustRightInd w:val="0"/>
        <w:snapToGrid w:val="0"/>
        <w:spacing w:line="560" w:lineRule="exact"/>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cs="仿宋_GB2312"/>
          <w:color w:val="auto"/>
          <w:sz w:val="32"/>
          <w:szCs w:val="32"/>
          <w:lang w:val="en-US" w:eastAsia="zh-CN"/>
        </w:rPr>
        <w:t>2、</w:t>
      </w:r>
      <w:r>
        <w:rPr>
          <w:rFonts w:hint="eastAsia" w:ascii="仿宋_GB2312" w:hAnsi="仿宋_GB2312" w:eastAsia="仿宋_GB2312" w:cs="仿宋_GB2312"/>
          <w:color w:val="auto"/>
          <w:sz w:val="32"/>
          <w:szCs w:val="32"/>
        </w:rPr>
        <w:t>落实各项防控措施</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全年开展艾滋病抗体检测达到</w:t>
      </w:r>
      <w:r>
        <w:rPr>
          <w:rFonts w:hint="eastAsia" w:ascii="仿宋_GB2312" w:hAnsi="仿宋_GB2312" w:eastAsia="仿宋_GB2312" w:cs="仿宋_GB2312"/>
          <w:color w:val="auto"/>
          <w:sz w:val="32"/>
          <w:szCs w:val="32"/>
          <w:lang w:val="en-US" w:eastAsia="zh-CN"/>
        </w:rPr>
        <w:t>9.9万</w:t>
      </w:r>
      <w:r>
        <w:rPr>
          <w:rFonts w:hint="eastAsia" w:ascii="仿宋_GB2312" w:hAnsi="仿宋_GB2312" w:eastAsia="仿宋_GB2312" w:cs="仿宋_GB2312"/>
          <w:color w:val="auto"/>
          <w:sz w:val="32"/>
          <w:szCs w:val="32"/>
        </w:rPr>
        <w:t>人次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随访艾滋病感染者</w:t>
      </w:r>
      <w:r>
        <w:rPr>
          <w:rFonts w:hint="eastAsia" w:ascii="仿宋_GB2312" w:hAnsi="仿宋_GB2312" w:eastAsia="仿宋_GB2312" w:cs="仿宋_GB2312"/>
          <w:color w:val="auto"/>
          <w:sz w:val="32"/>
          <w:szCs w:val="32"/>
          <w:lang w:val="en-US" w:eastAsia="zh-CN"/>
        </w:rPr>
        <w:t>822</w:t>
      </w:r>
      <w:r>
        <w:rPr>
          <w:rFonts w:hint="eastAsia" w:ascii="仿宋_GB2312" w:hAnsi="仿宋_GB2312" w:eastAsia="仿宋_GB2312" w:cs="仿宋_GB2312"/>
          <w:color w:val="auto"/>
          <w:sz w:val="32"/>
          <w:szCs w:val="32"/>
        </w:rPr>
        <w:t>人，开展CD4检测</w:t>
      </w:r>
      <w:r>
        <w:rPr>
          <w:rFonts w:hint="eastAsia" w:ascii="仿宋_GB2312" w:hAnsi="仿宋_GB2312" w:eastAsia="仿宋_GB2312" w:cs="仿宋_GB2312"/>
          <w:color w:val="auto"/>
          <w:sz w:val="32"/>
          <w:szCs w:val="32"/>
          <w:lang w:val="en-US" w:eastAsia="zh-CN"/>
        </w:rPr>
        <w:t>788</w:t>
      </w:r>
      <w:r>
        <w:rPr>
          <w:rFonts w:hint="eastAsia" w:ascii="仿宋_GB2312" w:hAnsi="仿宋_GB2312" w:eastAsia="仿宋_GB2312" w:cs="仿宋_GB2312"/>
          <w:color w:val="auto"/>
          <w:sz w:val="32"/>
          <w:szCs w:val="32"/>
        </w:rPr>
        <w:t>人次，配偶告知及检测达9</w:t>
      </w:r>
      <w:r>
        <w:rPr>
          <w:rFonts w:hint="eastAsia" w:ascii="仿宋_GB2312" w:hAnsi="仿宋_GB2312" w:eastAsia="仿宋_GB2312" w:cs="仿宋_GB2312"/>
          <w:color w:val="auto"/>
          <w:sz w:val="32"/>
          <w:szCs w:val="32"/>
          <w:lang w:val="en-US" w:eastAsia="zh-CN"/>
        </w:rPr>
        <w:t>3.6</w:t>
      </w:r>
      <w:r>
        <w:rPr>
          <w:rFonts w:hint="eastAsia" w:ascii="仿宋_GB2312" w:hAnsi="仿宋_GB2312" w:eastAsia="仿宋_GB2312" w:cs="仿宋_GB2312"/>
          <w:color w:val="auto"/>
          <w:sz w:val="32"/>
          <w:szCs w:val="32"/>
        </w:rPr>
        <w:t>%，抗病毒治疗</w:t>
      </w:r>
      <w:r>
        <w:rPr>
          <w:rFonts w:hint="eastAsia" w:ascii="仿宋_GB2312" w:hAnsi="仿宋_GB2312" w:eastAsia="仿宋_GB2312" w:cs="仿宋_GB2312"/>
          <w:color w:val="auto"/>
          <w:sz w:val="32"/>
          <w:szCs w:val="32"/>
          <w:lang w:val="en-US" w:eastAsia="zh-CN"/>
        </w:rPr>
        <w:t>795</w:t>
      </w:r>
      <w:r>
        <w:rPr>
          <w:rFonts w:hint="eastAsia" w:ascii="仿宋_GB2312" w:hAnsi="仿宋_GB2312" w:eastAsia="仿宋_GB2312" w:cs="仿宋_GB2312"/>
          <w:color w:val="auto"/>
          <w:sz w:val="32"/>
          <w:szCs w:val="32"/>
        </w:rPr>
        <w:t>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扩大检测新发现艾滋病感染者/病人</w:t>
      </w:r>
      <w:r>
        <w:rPr>
          <w:rFonts w:hint="eastAsia" w:ascii="仿宋_GB2312" w:hAnsi="仿宋_GB2312" w:eastAsia="仿宋_GB2312" w:cs="仿宋_GB2312"/>
          <w:color w:val="auto"/>
          <w:sz w:val="32"/>
          <w:szCs w:val="32"/>
          <w:lang w:val="en-US" w:eastAsia="zh-CN"/>
        </w:rPr>
        <w:t>86</w:t>
      </w:r>
      <w:r>
        <w:rPr>
          <w:rFonts w:hint="eastAsia" w:ascii="仿宋_GB2312" w:hAnsi="仿宋_GB2312" w:eastAsia="仿宋_GB2312" w:cs="仿宋_GB2312"/>
          <w:color w:val="auto"/>
          <w:sz w:val="32"/>
          <w:szCs w:val="32"/>
        </w:rPr>
        <w:t>例</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随访检测比例、配偶检测率、结核筛查率</w:t>
      </w:r>
      <w:r>
        <w:rPr>
          <w:rFonts w:hint="eastAsia" w:ascii="仿宋_GB2312" w:hAnsi="仿宋_GB2312" w:eastAsia="仿宋_GB2312" w:cs="仿宋_GB2312"/>
          <w:color w:val="auto"/>
          <w:sz w:val="32"/>
          <w:szCs w:val="32"/>
          <w:lang w:val="en-US" w:eastAsia="zh-CN"/>
        </w:rPr>
        <w:t>全面</w:t>
      </w:r>
      <w:r>
        <w:rPr>
          <w:rFonts w:hint="eastAsia" w:ascii="仿宋_GB2312" w:hAnsi="仿宋_GB2312" w:eastAsia="仿宋_GB2312" w:cs="仿宋_GB2312"/>
          <w:color w:val="auto"/>
          <w:sz w:val="32"/>
          <w:szCs w:val="32"/>
        </w:rPr>
        <w:t>达到上级考核要</w:t>
      </w:r>
      <w:r>
        <w:rPr>
          <w:rFonts w:hint="eastAsia" w:ascii="仿宋_GB2312" w:hAnsi="仿宋_GB2312" w:eastAsia="仿宋_GB2312" w:cs="仿宋_GB2312"/>
          <w:color w:val="auto"/>
          <w:sz w:val="32"/>
          <w:szCs w:val="32"/>
          <w:lang w:val="en-US" w:eastAsia="zh-CN"/>
        </w:rPr>
        <w:t>求</w:t>
      </w:r>
      <w:r>
        <w:rPr>
          <w:rFonts w:hint="eastAsia" w:ascii="仿宋_GB2312" w:hAnsi="仿宋_GB2312" w:eastAsia="仿宋_GB2312" w:cs="仿宋_GB2312"/>
          <w:color w:val="auto"/>
          <w:sz w:val="32"/>
          <w:szCs w:val="32"/>
        </w:rPr>
        <w:t>，通过实施患者随访管理、动员，使艾滋病患者抗病毒治疗率达到9</w:t>
      </w:r>
      <w:r>
        <w:rPr>
          <w:rFonts w:hint="eastAsia" w:ascii="仿宋_GB2312" w:hAnsi="仿宋_GB2312" w:eastAsia="仿宋_GB2312" w:cs="仿宋_GB2312"/>
          <w:color w:val="auto"/>
          <w:sz w:val="32"/>
          <w:szCs w:val="32"/>
          <w:lang w:val="en-US" w:eastAsia="zh-CN"/>
        </w:rPr>
        <w:t>6.13</w:t>
      </w:r>
      <w:r>
        <w:rPr>
          <w:rFonts w:hint="eastAsia" w:ascii="仿宋_GB2312" w:hAnsi="仿宋_GB2312" w:eastAsia="仿宋_GB2312" w:cs="仿宋_GB2312"/>
          <w:color w:val="auto"/>
          <w:sz w:val="32"/>
          <w:szCs w:val="32"/>
        </w:rPr>
        <w:t>%，治疗有效率达到9</w:t>
      </w:r>
      <w:r>
        <w:rPr>
          <w:rFonts w:hint="eastAsia" w:ascii="仿宋_GB2312" w:hAnsi="仿宋_GB2312" w:eastAsia="仿宋_GB2312" w:cs="仿宋_GB2312"/>
          <w:color w:val="auto"/>
          <w:sz w:val="32"/>
          <w:szCs w:val="32"/>
          <w:lang w:val="en-US" w:eastAsia="zh-CN"/>
        </w:rPr>
        <w:t>6.88</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w:t>
      </w:r>
    </w:p>
    <w:p>
      <w:pPr>
        <w:numPr>
          <w:ilvl w:val="0"/>
          <w:numId w:val="0"/>
        </w:numPr>
        <w:adjustRightInd w:val="0"/>
        <w:snapToGrid w:val="0"/>
        <w:spacing w:line="560" w:lineRule="exact"/>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cs="仿宋_GB2312"/>
          <w:color w:val="auto"/>
          <w:sz w:val="32"/>
          <w:szCs w:val="32"/>
          <w:lang w:val="en-US" w:eastAsia="zh-CN"/>
        </w:rPr>
        <w:t>3、</w:t>
      </w:r>
      <w:r>
        <w:rPr>
          <w:rFonts w:hint="eastAsia" w:ascii="仿宋_GB2312" w:hAnsi="仿宋_GB2312" w:eastAsia="仿宋_GB2312" w:cs="仿宋_GB2312"/>
          <w:color w:val="auto"/>
          <w:sz w:val="32"/>
          <w:szCs w:val="32"/>
        </w:rPr>
        <w:t>部门、乡镇/街办参与艾滋病防治</w:t>
      </w:r>
      <w:r>
        <w:rPr>
          <w:rFonts w:hint="eastAsia" w:ascii="仿宋_GB2312" w:hAnsi="仿宋_GB2312" w:eastAsia="仿宋_GB2312" w:cs="仿宋_GB2312"/>
          <w:color w:val="auto"/>
          <w:sz w:val="32"/>
          <w:szCs w:val="32"/>
          <w:lang w:val="en-US" w:eastAsia="zh-CN"/>
        </w:rPr>
        <w:t xml:space="preserve">  全年</w:t>
      </w:r>
      <w:r>
        <w:rPr>
          <w:rFonts w:hint="eastAsia" w:ascii="仿宋_GB2312" w:hAnsi="仿宋_GB2312" w:eastAsia="仿宋_GB2312" w:cs="仿宋_GB2312"/>
          <w:color w:val="auto"/>
          <w:sz w:val="32"/>
          <w:szCs w:val="32"/>
        </w:rPr>
        <w:t>开展宣传，干预，动员检测</w:t>
      </w:r>
      <w:r>
        <w:rPr>
          <w:rFonts w:hint="eastAsia" w:ascii="仿宋_GB2312" w:hAnsi="仿宋_GB2312" w:eastAsia="仿宋_GB2312" w:cs="仿宋_GB2312"/>
          <w:color w:val="auto"/>
          <w:sz w:val="32"/>
          <w:szCs w:val="32"/>
          <w:lang w:val="en-US" w:eastAsia="zh-CN"/>
        </w:rPr>
        <w:t>等中大型活动13次</w:t>
      </w:r>
      <w:r>
        <w:rPr>
          <w:rFonts w:hint="eastAsia" w:ascii="仿宋_GB2312" w:hAnsi="仿宋_GB2312" w:eastAsia="仿宋_GB2312" w:cs="仿宋_GB2312"/>
          <w:color w:val="auto"/>
          <w:sz w:val="32"/>
          <w:szCs w:val="32"/>
        </w:rPr>
        <w:t>，追踪失访及未治疗感染者参与治疗</w:t>
      </w:r>
      <w:r>
        <w:rPr>
          <w:rFonts w:hint="eastAsia" w:ascii="仿宋_GB2312" w:hAnsi="仿宋_GB2312" w:eastAsia="仿宋_GB2312" w:cs="仿宋_GB2312"/>
          <w:color w:val="auto"/>
          <w:sz w:val="32"/>
          <w:szCs w:val="32"/>
          <w:lang w:val="en-US" w:eastAsia="zh-CN"/>
        </w:rPr>
        <w:t>382人次</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及时</w:t>
      </w:r>
      <w:r>
        <w:rPr>
          <w:rFonts w:hint="eastAsia" w:ascii="仿宋_GB2312" w:hAnsi="仿宋_GB2312" w:eastAsia="仿宋_GB2312" w:cs="仿宋_GB2312"/>
          <w:color w:val="auto"/>
          <w:sz w:val="32"/>
          <w:szCs w:val="32"/>
        </w:rPr>
        <w:t>掌握</w:t>
      </w:r>
      <w:r>
        <w:rPr>
          <w:rFonts w:hint="eastAsia" w:ascii="仿宋_GB2312" w:hAnsi="仿宋_GB2312" w:eastAsia="仿宋_GB2312" w:cs="仿宋_GB2312"/>
          <w:color w:val="auto"/>
          <w:sz w:val="32"/>
          <w:szCs w:val="32"/>
          <w:lang w:val="en-US" w:eastAsia="zh-CN"/>
        </w:rPr>
        <w:t>感染</w:t>
      </w:r>
      <w:r>
        <w:rPr>
          <w:rFonts w:hint="eastAsia" w:ascii="仿宋_GB2312" w:hAnsi="仿宋_GB2312" w:eastAsia="仿宋_GB2312" w:cs="仿宋_GB2312"/>
          <w:color w:val="auto"/>
          <w:sz w:val="32"/>
          <w:szCs w:val="32"/>
        </w:rPr>
        <w:t>育龄妇女信息</w:t>
      </w:r>
      <w:r>
        <w:rPr>
          <w:rFonts w:hint="eastAsia" w:ascii="仿宋_GB2312" w:hAnsi="仿宋_GB2312" w:eastAsia="仿宋_GB2312" w:cs="仿宋_GB2312"/>
          <w:color w:val="auto"/>
          <w:sz w:val="32"/>
          <w:szCs w:val="32"/>
          <w:lang w:val="en-US" w:eastAsia="zh-CN"/>
        </w:rPr>
        <w:t>8人</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经动员终止妊娠8人，规范</w:t>
      </w:r>
      <w:r>
        <w:rPr>
          <w:rFonts w:hint="eastAsia" w:ascii="仿宋_GB2312" w:hAnsi="仿宋_GB2312" w:eastAsia="仿宋_GB2312" w:cs="仿宋_GB2312"/>
          <w:color w:val="auto"/>
          <w:sz w:val="32"/>
          <w:szCs w:val="32"/>
        </w:rPr>
        <w:t>随访管理、督导服药</w:t>
      </w:r>
      <w:r>
        <w:rPr>
          <w:rFonts w:hint="eastAsia" w:ascii="仿宋_GB2312" w:hAnsi="仿宋_GB2312" w:eastAsia="仿宋_GB2312" w:cs="仿宋_GB2312"/>
          <w:color w:val="auto"/>
          <w:sz w:val="32"/>
          <w:szCs w:val="32"/>
          <w:lang w:val="en-US" w:eastAsia="zh-CN"/>
        </w:rPr>
        <w:t>5人；</w:t>
      </w:r>
      <w:r>
        <w:rPr>
          <w:rFonts w:hint="eastAsia" w:ascii="仿宋_GB2312" w:hAnsi="仿宋_GB2312" w:eastAsia="仿宋_GB2312" w:cs="仿宋_GB2312"/>
          <w:color w:val="auto"/>
          <w:sz w:val="32"/>
          <w:szCs w:val="32"/>
        </w:rPr>
        <w:t>艾滋病防治知识知晓率9</w:t>
      </w:r>
      <w:r>
        <w:rPr>
          <w:rFonts w:hint="eastAsia" w:ascii="仿宋_GB2312" w:hAnsi="仿宋_GB2312" w:eastAsia="仿宋_GB2312" w:cs="仿宋_GB2312"/>
          <w:color w:val="auto"/>
          <w:sz w:val="32"/>
          <w:szCs w:val="32"/>
          <w:lang w:val="en-US" w:eastAsia="zh-CN"/>
        </w:rPr>
        <w:t>4.3</w:t>
      </w:r>
      <w:r>
        <w:rPr>
          <w:rFonts w:hint="eastAsia" w:ascii="仿宋_GB2312" w:hAnsi="仿宋_GB2312" w:eastAsia="仿宋_GB2312" w:cs="仿宋_GB2312"/>
          <w:color w:val="auto"/>
          <w:sz w:val="32"/>
          <w:szCs w:val="32"/>
        </w:rPr>
        <w:t>%以上，常住人口HIV筛查率</w:t>
      </w:r>
      <w:r>
        <w:rPr>
          <w:rFonts w:hint="eastAsia" w:ascii="仿宋_GB2312" w:hAnsi="仿宋_GB2312" w:eastAsia="仿宋_GB2312" w:cs="仿宋_GB2312"/>
          <w:color w:val="auto"/>
          <w:sz w:val="32"/>
          <w:szCs w:val="32"/>
          <w:lang w:val="en-US" w:eastAsia="zh-CN"/>
        </w:rPr>
        <w:t>37.28</w:t>
      </w:r>
      <w:r>
        <w:rPr>
          <w:rFonts w:hint="eastAsia" w:ascii="仿宋_GB2312" w:hAnsi="仿宋_GB2312" w:eastAsia="仿宋_GB2312" w:cs="仿宋_GB2312"/>
          <w:color w:val="auto"/>
          <w:sz w:val="32"/>
          <w:szCs w:val="32"/>
        </w:rPr>
        <w:t>%，治疗覆盖率9</w:t>
      </w:r>
      <w:r>
        <w:rPr>
          <w:rFonts w:hint="eastAsia" w:ascii="仿宋_GB2312" w:hAnsi="仿宋_GB2312" w:eastAsia="仿宋_GB2312" w:cs="仿宋_GB2312"/>
          <w:color w:val="auto"/>
          <w:sz w:val="32"/>
          <w:szCs w:val="32"/>
          <w:lang w:val="en-US" w:eastAsia="zh-CN"/>
        </w:rPr>
        <w:t>6.13</w:t>
      </w:r>
      <w:r>
        <w:rPr>
          <w:rFonts w:hint="eastAsia" w:ascii="仿宋_GB2312" w:hAnsi="仿宋_GB2312" w:eastAsia="仿宋_GB2312" w:cs="仿宋_GB2312"/>
          <w:color w:val="auto"/>
          <w:sz w:val="32"/>
          <w:szCs w:val="32"/>
        </w:rPr>
        <w:t>%。</w:t>
      </w:r>
    </w:p>
    <w:p>
      <w:pPr>
        <w:numPr>
          <w:ilvl w:val="0"/>
          <w:numId w:val="0"/>
        </w:numPr>
        <w:adjustRightInd w:val="0"/>
        <w:snapToGrid w:val="0"/>
        <w:spacing w:line="560" w:lineRule="exact"/>
        <w:ind w:firstLine="642" w:firstLineChars="200"/>
        <w:rPr>
          <w:rFonts w:hint="eastAsia" w:ascii="楷体_GB2312" w:hAnsi="宋体" w:eastAsia="楷体_GB2312"/>
          <w:b/>
          <w:color w:val="auto"/>
          <w:lang w:val="zh-CN"/>
        </w:rPr>
      </w:pPr>
      <w:r>
        <w:rPr>
          <w:rFonts w:hint="eastAsia" w:ascii="楷体_GB2312" w:hAnsi="宋体" w:eastAsia="楷体_GB2312"/>
          <w:b/>
          <w:color w:val="auto"/>
          <w:lang w:val="zh-CN"/>
        </w:rPr>
        <w:t>（二）项目效益情况。</w:t>
      </w:r>
    </w:p>
    <w:p>
      <w:pPr>
        <w:numPr>
          <w:ilvl w:val="0"/>
          <w:numId w:val="0"/>
        </w:numPr>
        <w:adjustRightInd w:val="0"/>
        <w:snapToGrid w:val="0"/>
        <w:spacing w:line="560" w:lineRule="exact"/>
        <w:ind w:firstLine="640" w:firstLineChars="200"/>
        <w:rPr>
          <w:rFonts w:hint="eastAsia" w:ascii="仿宋_GB2312" w:hAnsi="仿宋_GB2312" w:cs="仿宋_GB2312"/>
          <w:color w:val="auto"/>
          <w:sz w:val="32"/>
          <w:szCs w:val="32"/>
          <w:lang w:eastAsia="zh-CN"/>
        </w:rPr>
      </w:pPr>
      <w:r>
        <w:rPr>
          <w:rFonts w:hint="eastAsia" w:ascii="仿宋_GB2312" w:hAnsi="仿宋_GB2312" w:cs="仿宋_GB2312"/>
          <w:b w:val="0"/>
          <w:bCs/>
          <w:color w:val="auto"/>
          <w:lang w:val="en-US" w:eastAsia="zh-CN"/>
        </w:rPr>
        <w:t>1、</w:t>
      </w:r>
      <w:r>
        <w:rPr>
          <w:rFonts w:hint="eastAsia" w:ascii="仿宋_GB2312" w:hAnsi="仿宋_GB2312" w:eastAsia="仿宋_GB2312" w:cs="仿宋_GB2312"/>
          <w:b w:val="0"/>
          <w:bCs/>
          <w:color w:val="auto"/>
          <w:lang w:val="en-US" w:eastAsia="zh-CN"/>
        </w:rPr>
        <w:t>社会效益指标</w:t>
      </w:r>
      <w:r>
        <w:rPr>
          <w:rFonts w:hint="eastAsia" w:ascii="楷体_GB2312" w:hAnsi="宋体" w:eastAsia="楷体_GB2312"/>
          <w:b/>
          <w:color w:val="auto"/>
          <w:lang w:val="en-US" w:eastAsia="zh-CN"/>
        </w:rPr>
        <w:t xml:space="preserve"> ，</w:t>
      </w:r>
      <w:r>
        <w:rPr>
          <w:rFonts w:hint="eastAsia" w:ascii="仿宋_GB2312" w:hAnsi="仿宋_GB2312" w:eastAsia="仿宋_GB2312" w:cs="仿宋_GB2312"/>
          <w:color w:val="auto"/>
          <w:sz w:val="32"/>
          <w:szCs w:val="32"/>
        </w:rPr>
        <w:t>通过持续开展工作，艾滋病流行</w:t>
      </w:r>
      <w:r>
        <w:rPr>
          <w:rFonts w:hint="eastAsia" w:ascii="仿宋_GB2312" w:hAnsi="仿宋_GB2312" w:eastAsia="仿宋_GB2312" w:cs="仿宋_GB2312"/>
          <w:color w:val="auto"/>
          <w:sz w:val="32"/>
          <w:szCs w:val="32"/>
          <w:lang w:val="en-US" w:eastAsia="zh-CN"/>
        </w:rPr>
        <w:t>得到遏制并处于低流行状态</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lang w:val="en-US" w:eastAsia="zh-CN"/>
        </w:rPr>
        <w:t>我区</w:t>
      </w:r>
      <w:r>
        <w:rPr>
          <w:rFonts w:hint="eastAsia" w:ascii="仿宋_GB2312" w:hAnsi="仿宋_GB2312" w:eastAsia="仿宋_GB2312" w:cs="仿宋_GB2312"/>
          <w:color w:val="auto"/>
          <w:sz w:val="32"/>
          <w:szCs w:val="32"/>
          <w:lang w:val="en-US" w:eastAsia="zh-CN"/>
        </w:rPr>
        <w:t>新发报告感染者较2021年降低27.2%，切实</w:t>
      </w:r>
      <w:r>
        <w:rPr>
          <w:rFonts w:hint="eastAsia" w:ascii="仿宋_GB2312" w:hAnsi="仿宋_GB2312" w:eastAsia="仿宋_GB2312" w:cs="仿宋_GB2312"/>
          <w:color w:val="auto"/>
          <w:sz w:val="32"/>
          <w:szCs w:val="32"/>
        </w:rPr>
        <w:t>降低艾滋病社会危害，减少艾滋病流行所致的经济负担、社会负担，提升</w:t>
      </w:r>
      <w:r>
        <w:rPr>
          <w:rFonts w:hint="eastAsia" w:ascii="仿宋_GB2312" w:hAnsi="仿宋_GB2312" w:eastAsia="仿宋_GB2312" w:cs="仿宋_GB2312"/>
          <w:color w:val="auto"/>
          <w:sz w:val="32"/>
          <w:szCs w:val="32"/>
          <w:lang w:val="en-US" w:eastAsia="zh-CN"/>
        </w:rPr>
        <w:t>了</w:t>
      </w:r>
      <w:r>
        <w:rPr>
          <w:rFonts w:hint="eastAsia" w:ascii="仿宋_GB2312" w:hAnsi="仿宋_GB2312" w:eastAsia="仿宋_GB2312" w:cs="仿宋_GB2312"/>
          <w:color w:val="auto"/>
          <w:sz w:val="32"/>
          <w:szCs w:val="32"/>
        </w:rPr>
        <w:t>人民群众健康水平，保持</w:t>
      </w:r>
      <w:r>
        <w:rPr>
          <w:rFonts w:hint="eastAsia" w:ascii="仿宋_GB2312" w:hAnsi="仿宋_GB2312" w:eastAsia="仿宋_GB2312" w:cs="仿宋_GB2312"/>
          <w:color w:val="auto"/>
          <w:sz w:val="32"/>
          <w:szCs w:val="32"/>
          <w:lang w:val="en-US" w:eastAsia="zh-CN"/>
        </w:rPr>
        <w:t>了</w:t>
      </w:r>
      <w:r>
        <w:rPr>
          <w:rFonts w:hint="eastAsia" w:ascii="仿宋_GB2312" w:hAnsi="仿宋_GB2312" w:eastAsia="仿宋_GB2312" w:cs="仿宋_GB2312"/>
          <w:color w:val="auto"/>
          <w:sz w:val="32"/>
          <w:szCs w:val="32"/>
        </w:rPr>
        <w:t>经济社会稳定发展</w:t>
      </w:r>
      <w:r>
        <w:rPr>
          <w:rFonts w:hint="eastAsia" w:ascii="仿宋_GB2312" w:hAnsi="仿宋_GB2312" w:cs="仿宋_GB2312"/>
          <w:color w:val="auto"/>
          <w:sz w:val="32"/>
          <w:szCs w:val="32"/>
          <w:lang w:eastAsia="zh-CN"/>
        </w:rPr>
        <w:t>。</w:t>
      </w:r>
    </w:p>
    <w:p>
      <w:pPr>
        <w:numPr>
          <w:ilvl w:val="0"/>
          <w:numId w:val="0"/>
        </w:numPr>
        <w:adjustRightInd w:val="0"/>
        <w:snapToGrid w:val="0"/>
        <w:spacing w:line="560" w:lineRule="exact"/>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cs="仿宋_GB2312"/>
          <w:color w:val="auto"/>
          <w:sz w:val="32"/>
          <w:szCs w:val="32"/>
          <w:lang w:val="en-US" w:eastAsia="zh-CN"/>
        </w:rPr>
        <w:t>2、</w:t>
      </w:r>
      <w:r>
        <w:rPr>
          <w:rFonts w:hint="eastAsia" w:ascii="仿宋_GB2312" w:hAnsi="仿宋_GB2312" w:eastAsia="仿宋_GB2312" w:cs="仿宋_GB2312"/>
          <w:color w:val="auto"/>
          <w:sz w:val="32"/>
          <w:szCs w:val="32"/>
        </w:rPr>
        <w:t>服务对象满意度指标</w:t>
      </w:r>
      <w:r>
        <w:rPr>
          <w:rFonts w:hint="eastAsia" w:ascii="仿宋_GB2312" w:hAnsi="仿宋_GB2312" w:cs="仿宋_GB2312"/>
          <w:color w:val="auto"/>
          <w:sz w:val="32"/>
          <w:szCs w:val="32"/>
          <w:lang w:eastAsia="zh-CN"/>
        </w:rPr>
        <w:t>，</w:t>
      </w:r>
      <w:r>
        <w:rPr>
          <w:rFonts w:hint="eastAsia" w:ascii="仿宋_GB2312" w:hAnsi="仿宋_GB2312" w:eastAsia="仿宋_GB2312" w:cs="仿宋_GB2312"/>
          <w:color w:val="auto"/>
          <w:sz w:val="32"/>
          <w:szCs w:val="32"/>
        </w:rPr>
        <w:t>高危人群满意度</w:t>
      </w:r>
      <w:r>
        <w:rPr>
          <w:rFonts w:hint="eastAsia" w:ascii="仿宋_GB2312" w:hAnsi="仿宋_GB2312" w:eastAsia="仿宋_GB2312" w:cs="仿宋_GB2312"/>
          <w:color w:val="auto"/>
          <w:sz w:val="32"/>
          <w:szCs w:val="32"/>
          <w:lang w:val="en-US" w:eastAsia="zh-CN"/>
        </w:rPr>
        <w:t>,艾滋病患者满意度</w:t>
      </w:r>
      <w:r>
        <w:rPr>
          <w:rFonts w:hint="eastAsia" w:ascii="仿宋_GB2312" w:hAnsi="仿宋_GB2312" w:eastAsia="仿宋_GB2312" w:cs="仿宋_GB2312"/>
          <w:color w:val="auto"/>
          <w:sz w:val="32"/>
          <w:szCs w:val="32"/>
        </w:rPr>
        <w:t>抽样调查满意度达到</w:t>
      </w:r>
      <w:r>
        <w:rPr>
          <w:rFonts w:hint="eastAsia" w:ascii="仿宋_GB2312" w:hAnsi="仿宋_GB2312" w:eastAsia="仿宋_GB2312" w:cs="仿宋_GB2312"/>
          <w:color w:val="auto"/>
          <w:sz w:val="32"/>
          <w:szCs w:val="32"/>
          <w:lang w:val="en-US" w:eastAsia="zh-CN"/>
        </w:rPr>
        <w:t>88.37</w:t>
      </w:r>
      <w:r>
        <w:rPr>
          <w:rFonts w:hint="eastAsia" w:ascii="仿宋_GB2312" w:hAnsi="仿宋_GB2312" w:eastAsia="仿宋_GB2312" w:cs="仿宋_GB2312"/>
          <w:color w:val="auto"/>
          <w:sz w:val="32"/>
          <w:szCs w:val="32"/>
        </w:rPr>
        <w:t>%</w:t>
      </w:r>
    </w:p>
    <w:p>
      <w:pPr>
        <w:adjustRightInd w:val="0"/>
        <w:snapToGrid w:val="0"/>
        <w:spacing w:line="560" w:lineRule="exact"/>
        <w:ind w:firstLine="720"/>
        <w:rPr>
          <w:rFonts w:ascii="黑体" w:hAnsi="宋体" w:eastAsia="黑体"/>
        </w:rPr>
      </w:pPr>
      <w:r>
        <w:rPr>
          <w:rFonts w:hint="eastAsia" w:ascii="黑体" w:hAnsi="宋体" w:eastAsia="黑体"/>
        </w:rPr>
        <w:t>四、问题及建议</w:t>
      </w:r>
    </w:p>
    <w:p>
      <w:pPr>
        <w:adjustRightInd w:val="0"/>
        <w:snapToGrid w:val="0"/>
        <w:spacing w:line="560" w:lineRule="exact"/>
        <w:ind w:firstLine="720"/>
        <w:rPr>
          <w:rFonts w:hint="eastAsia" w:ascii="楷体_GB2312" w:hAnsi="宋体" w:eastAsia="楷体_GB2312"/>
          <w:b/>
          <w:lang w:val="zh-CN"/>
        </w:rPr>
      </w:pPr>
      <w:r>
        <w:rPr>
          <w:rFonts w:hint="eastAsia" w:ascii="楷体_GB2312" w:hAnsi="宋体" w:eastAsia="楷体_GB2312"/>
          <w:b/>
          <w:lang w:val="zh-CN"/>
        </w:rPr>
        <w:t>（一）存在的问题。</w:t>
      </w:r>
    </w:p>
    <w:p>
      <w:pPr>
        <w:adjustRightInd w:val="0"/>
        <w:snapToGrid w:val="0"/>
        <w:spacing w:line="560" w:lineRule="exact"/>
        <w:ind w:firstLine="720"/>
        <w:rPr>
          <w:rFonts w:hint="eastAsia" w:ascii="仿宋" w:hAnsi="仿宋" w:eastAsia="仿宋" w:cs="仿宋"/>
          <w:b w:val="0"/>
          <w:bCs/>
          <w:lang w:val="en-US" w:eastAsia="zh-CN"/>
        </w:rPr>
      </w:pPr>
      <w:r>
        <w:rPr>
          <w:rFonts w:hint="eastAsia" w:ascii="仿宋" w:hAnsi="仿宋" w:eastAsia="仿宋" w:cs="仿宋"/>
          <w:b w:val="0"/>
          <w:bCs/>
          <w:lang w:val="en-US" w:eastAsia="zh-CN"/>
        </w:rPr>
        <w:t>由于财政资金紧张2022年项目资金执行与预算差距较大。</w:t>
      </w:r>
    </w:p>
    <w:p>
      <w:pPr>
        <w:adjustRightInd w:val="0"/>
        <w:snapToGrid w:val="0"/>
        <w:spacing w:line="560" w:lineRule="exact"/>
        <w:ind w:firstLine="720"/>
        <w:rPr>
          <w:rFonts w:hint="eastAsia" w:ascii="楷体_GB2312" w:hAnsi="宋体" w:eastAsia="楷体_GB2312"/>
          <w:b w:val="0"/>
          <w:bCs/>
          <w:lang w:val="en-US" w:eastAsia="zh-CN"/>
        </w:rPr>
      </w:pPr>
    </w:p>
    <w:p>
      <w:pPr>
        <w:adjustRightInd w:val="0"/>
        <w:snapToGrid w:val="0"/>
        <w:spacing w:line="560" w:lineRule="exact"/>
        <w:ind w:firstLine="720"/>
        <w:rPr>
          <w:rFonts w:hint="eastAsia" w:ascii="楷体_GB2312" w:hAnsi="宋体" w:eastAsia="楷体_GB2312"/>
          <w:b w:val="0"/>
          <w:bCs/>
          <w:lang w:val="en-US" w:eastAsia="zh-CN"/>
        </w:rPr>
      </w:pPr>
    </w:p>
    <w:p>
      <w:pPr>
        <w:adjustRightInd w:val="0"/>
        <w:snapToGrid w:val="0"/>
        <w:spacing w:line="560" w:lineRule="exact"/>
        <w:ind w:firstLine="720"/>
        <w:rPr>
          <w:rFonts w:hint="eastAsia" w:ascii="楷体_GB2312" w:hAnsi="宋体" w:eastAsia="楷体_GB2312"/>
          <w:b w:val="0"/>
          <w:bCs/>
          <w:lang w:val="en-US" w:eastAsia="zh-CN"/>
        </w:rPr>
      </w:pPr>
    </w:p>
    <w:p>
      <w:pPr>
        <w:adjustRightInd w:val="0"/>
        <w:snapToGrid w:val="0"/>
        <w:spacing w:line="560" w:lineRule="exact"/>
        <w:ind w:firstLine="720"/>
        <w:rPr>
          <w:rFonts w:hint="eastAsia" w:ascii="楷体_GB2312" w:hAnsi="宋体" w:eastAsia="楷体_GB2312"/>
          <w:b w:val="0"/>
          <w:bCs/>
          <w:lang w:val="en-US" w:eastAsia="zh-CN"/>
        </w:rPr>
      </w:pPr>
    </w:p>
    <w:p>
      <w:pPr>
        <w:adjustRightInd w:val="0"/>
        <w:snapToGrid w:val="0"/>
        <w:spacing w:line="560" w:lineRule="exact"/>
        <w:ind w:firstLine="720"/>
        <w:rPr>
          <w:rFonts w:hint="eastAsia" w:ascii="楷体_GB2312" w:hAnsi="宋体" w:eastAsia="楷体_GB2312"/>
          <w:b w:val="0"/>
          <w:bCs/>
          <w:lang w:val="en-US" w:eastAsia="zh-CN"/>
        </w:rPr>
      </w:pPr>
    </w:p>
    <w:p>
      <w:pPr>
        <w:adjustRightInd w:val="0"/>
        <w:snapToGrid w:val="0"/>
        <w:spacing w:line="560" w:lineRule="exact"/>
        <w:ind w:firstLine="720"/>
        <w:rPr>
          <w:rFonts w:hint="eastAsia" w:ascii="楷体_GB2312" w:hAnsi="宋体" w:eastAsia="楷体_GB2312"/>
          <w:b w:val="0"/>
          <w:bCs/>
          <w:lang w:val="en-US" w:eastAsia="zh-CN"/>
        </w:rPr>
      </w:pPr>
    </w:p>
    <w:p>
      <w:pPr>
        <w:adjustRightInd w:val="0"/>
        <w:snapToGrid w:val="0"/>
        <w:spacing w:line="560" w:lineRule="exact"/>
        <w:ind w:firstLine="720"/>
        <w:rPr>
          <w:rFonts w:hint="eastAsia" w:ascii="楷体_GB2312" w:hAnsi="宋体" w:eastAsia="楷体_GB2312"/>
          <w:b w:val="0"/>
          <w:bCs/>
          <w:lang w:val="en-US" w:eastAsia="zh-CN"/>
        </w:rPr>
      </w:pPr>
    </w:p>
    <w:p>
      <w:pPr>
        <w:adjustRightInd w:val="0"/>
        <w:snapToGrid w:val="0"/>
        <w:spacing w:line="560" w:lineRule="exact"/>
        <w:ind w:firstLine="720"/>
        <w:rPr>
          <w:rFonts w:hint="eastAsia" w:ascii="楷体_GB2312" w:hAnsi="宋体" w:eastAsia="楷体_GB2312"/>
          <w:b w:val="0"/>
          <w:bCs/>
          <w:lang w:val="en-US" w:eastAsia="zh-CN"/>
        </w:rPr>
      </w:pPr>
    </w:p>
    <w:p>
      <w:pPr>
        <w:adjustRightInd w:val="0"/>
        <w:snapToGrid w:val="0"/>
        <w:spacing w:line="560" w:lineRule="exact"/>
        <w:ind w:firstLine="720"/>
        <w:rPr>
          <w:rFonts w:hint="eastAsia" w:ascii="楷体_GB2312" w:hAnsi="宋体" w:eastAsia="楷体_GB2312"/>
          <w:b w:val="0"/>
          <w:bCs/>
          <w:lang w:val="en-US" w:eastAsia="zh-CN"/>
        </w:rPr>
      </w:pPr>
    </w:p>
    <w:p>
      <w:pPr>
        <w:widowControl/>
        <w:adjustRightInd w:val="0"/>
        <w:snapToGrid w:val="0"/>
        <w:spacing w:line="580" w:lineRule="exact"/>
        <w:contextualSpacing/>
        <w:jc w:val="both"/>
        <w:rPr>
          <w:color w:val="000000"/>
          <w:kern w:val="0"/>
          <w:szCs w:val="32"/>
          <w:shd w:val="clear" w:color="auto" w:fill="FFFFFF"/>
          <w:lang w:val="zh-CN"/>
        </w:rPr>
      </w:pPr>
    </w:p>
    <w:p>
      <w:pPr>
        <w:widowControl/>
        <w:adjustRightInd w:val="0"/>
        <w:snapToGrid w:val="0"/>
        <w:spacing w:line="580" w:lineRule="exact"/>
        <w:contextualSpacing/>
        <w:jc w:val="both"/>
        <w:rPr>
          <w:color w:val="000000"/>
          <w:kern w:val="0"/>
          <w:szCs w:val="32"/>
          <w:shd w:val="clear" w:color="auto" w:fill="FFFFFF"/>
          <w:lang w:val="zh-CN"/>
        </w:rPr>
      </w:pPr>
      <w:r>
        <w:rPr>
          <w:color w:val="000000"/>
          <w:kern w:val="0"/>
          <w:szCs w:val="32"/>
          <w:shd w:val="clear" w:color="auto" w:fill="FFFFFF"/>
          <w:lang w:val="zh-CN"/>
        </w:rPr>
        <w:t>附表</w:t>
      </w:r>
      <w:r>
        <w:rPr>
          <w:rFonts w:hint="eastAsia"/>
          <w:color w:val="000000"/>
          <w:kern w:val="0"/>
          <w:szCs w:val="32"/>
          <w:shd w:val="clear" w:color="auto" w:fill="FFFFFF"/>
          <w:lang w:val="zh-CN"/>
        </w:rPr>
        <w:t>：</w:t>
      </w:r>
    </w:p>
    <w:tbl>
      <w:tblPr>
        <w:tblStyle w:val="6"/>
        <w:tblpPr w:leftFromText="180" w:rightFromText="180" w:vertAnchor="text" w:horzAnchor="page" w:tblpX="1247" w:tblpY="221"/>
        <w:tblOverlap w:val="never"/>
        <w:tblW w:w="5770" w:type="pct"/>
        <w:tblInd w:w="0" w:type="dxa"/>
        <w:tblLayout w:type="fixed"/>
        <w:tblCellMar>
          <w:top w:w="0" w:type="dxa"/>
          <w:left w:w="108" w:type="dxa"/>
          <w:bottom w:w="0" w:type="dxa"/>
          <w:right w:w="108" w:type="dxa"/>
        </w:tblCellMar>
      </w:tblPr>
      <w:tblGrid>
        <w:gridCol w:w="930"/>
        <w:gridCol w:w="810"/>
        <w:gridCol w:w="930"/>
        <w:gridCol w:w="1515"/>
        <w:gridCol w:w="2699"/>
        <w:gridCol w:w="2714"/>
        <w:gridCol w:w="236"/>
      </w:tblGrid>
      <w:tr>
        <w:tblPrEx>
          <w:tblCellMar>
            <w:top w:w="0" w:type="dxa"/>
            <w:left w:w="108" w:type="dxa"/>
            <w:bottom w:w="0" w:type="dxa"/>
            <w:right w:w="108" w:type="dxa"/>
          </w:tblCellMar>
        </w:tblPrEx>
        <w:trPr>
          <w:trHeight w:val="675" w:hRule="atLeast"/>
        </w:trPr>
        <w:tc>
          <w:tcPr>
            <w:tcW w:w="4880" w:type="pct"/>
            <w:gridSpan w:val="6"/>
            <w:tcBorders>
              <w:top w:val="nil"/>
              <w:left w:val="nil"/>
              <w:bottom w:val="nil"/>
              <w:right w:val="nil"/>
            </w:tcBorders>
            <w:shd w:val="clear" w:color="auto" w:fill="auto"/>
            <w:vAlign w:val="center"/>
          </w:tcPr>
          <w:p>
            <w:pPr>
              <w:widowControl/>
              <w:jc w:val="center"/>
              <w:textAlignment w:val="center"/>
              <w:rPr>
                <w:rFonts w:eastAsia="宋体"/>
                <w:b/>
                <w:color w:val="000000"/>
                <w:szCs w:val="32"/>
              </w:rPr>
            </w:pPr>
            <w:r>
              <w:rPr>
                <w:rFonts w:eastAsia="宋体"/>
                <w:b/>
                <w:color w:val="000000"/>
                <w:szCs w:val="32"/>
              </w:rPr>
              <w:t>2022年50万元以上（含）特定目标类部门预算项目绩效目标</w:t>
            </w:r>
            <w:r>
              <w:rPr>
                <w:rFonts w:hint="eastAsia" w:eastAsia="宋体"/>
                <w:b/>
                <w:color w:val="000000"/>
                <w:szCs w:val="32"/>
                <w:lang w:val="en-US" w:eastAsia="zh-CN"/>
              </w:rPr>
              <w:t>自</w:t>
            </w:r>
            <w:r>
              <w:rPr>
                <w:rFonts w:eastAsia="宋体"/>
                <w:b/>
                <w:color w:val="000000"/>
                <w:szCs w:val="32"/>
              </w:rPr>
              <w:t>评</w:t>
            </w:r>
          </w:p>
          <w:p>
            <w:pPr>
              <w:widowControl/>
              <w:jc w:val="center"/>
              <w:textAlignment w:val="center"/>
              <w:rPr>
                <w:rFonts w:hint="eastAsia" w:eastAsia="宋体"/>
                <w:b/>
                <w:color w:val="000000"/>
                <w:szCs w:val="32"/>
                <w:lang w:eastAsia="zh-CN"/>
              </w:rPr>
            </w:pPr>
            <w:r>
              <w:rPr>
                <w:rFonts w:hint="eastAsia" w:eastAsia="宋体"/>
                <w:b/>
                <w:color w:val="000000"/>
                <w:szCs w:val="32"/>
                <w:lang w:eastAsia="zh-CN"/>
              </w:rPr>
              <w:t>（</w:t>
            </w:r>
            <w:r>
              <w:rPr>
                <w:rFonts w:hint="eastAsia" w:eastAsia="宋体"/>
                <w:b/>
                <w:color w:val="000000"/>
                <w:szCs w:val="32"/>
                <w:lang w:val="en-US" w:eastAsia="zh-CN"/>
              </w:rPr>
              <w:t>区级艾滋病综合防治项目</w:t>
            </w:r>
            <w:r>
              <w:rPr>
                <w:rFonts w:hint="eastAsia" w:eastAsia="宋体"/>
                <w:b/>
                <w:color w:val="000000"/>
                <w:szCs w:val="32"/>
                <w:lang w:eastAsia="zh-CN"/>
              </w:rPr>
              <w:t>）</w:t>
            </w:r>
          </w:p>
        </w:tc>
        <w:tc>
          <w:tcPr>
            <w:tcW w:w="119" w:type="pct"/>
            <w:tcBorders>
              <w:top w:val="nil"/>
              <w:left w:val="nil"/>
              <w:bottom w:val="nil"/>
              <w:right w:val="nil"/>
            </w:tcBorders>
            <w:shd w:val="clear" w:color="auto" w:fill="auto"/>
            <w:vAlign w:val="center"/>
          </w:tcPr>
          <w:p>
            <w:pPr>
              <w:widowControl/>
              <w:jc w:val="center"/>
              <w:textAlignment w:val="center"/>
              <w:rPr>
                <w:rFonts w:eastAsia="宋体"/>
                <w:b/>
                <w:color w:val="000000"/>
                <w:kern w:val="0"/>
                <w:szCs w:val="32"/>
                <w:lang w:bidi="ar"/>
              </w:rPr>
            </w:pPr>
          </w:p>
        </w:tc>
      </w:tr>
      <w:tr>
        <w:tblPrEx>
          <w:tblCellMar>
            <w:top w:w="0" w:type="dxa"/>
            <w:left w:w="108" w:type="dxa"/>
            <w:bottom w:w="0" w:type="dxa"/>
            <w:right w:w="108" w:type="dxa"/>
          </w:tblCellMar>
        </w:tblPrEx>
        <w:trPr>
          <w:gridAfter w:val="1"/>
          <w:wAfter w:w="119" w:type="pct"/>
          <w:trHeight w:val="254" w:hRule="atLeast"/>
        </w:trPr>
        <w:tc>
          <w:tcPr>
            <w:tcW w:w="88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color w:val="000000"/>
                <w:sz w:val="24"/>
              </w:rPr>
            </w:pPr>
            <w:r>
              <w:rPr>
                <w:color w:val="000000"/>
                <w:kern w:val="0"/>
                <w:sz w:val="24"/>
                <w:lang w:bidi="ar"/>
              </w:rPr>
              <w:t>主管部门及代码</w:t>
            </w:r>
          </w:p>
        </w:tc>
        <w:tc>
          <w:tcPr>
            <w:tcW w:w="12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textAlignment w:val="center"/>
              <w:rPr>
                <w:rFonts w:hint="default" w:eastAsia="仿宋_GB2312"/>
                <w:color w:val="000000"/>
                <w:sz w:val="24"/>
                <w:lang w:val="en-US" w:eastAsia="zh-CN"/>
              </w:rPr>
            </w:pPr>
            <w:r>
              <w:rPr>
                <w:rFonts w:hint="eastAsia"/>
                <w:color w:val="000000"/>
                <w:sz w:val="24"/>
                <w:lang w:val="en-US" w:eastAsia="zh-CN"/>
              </w:rPr>
              <w:t>仁和区卫生健康局</w:t>
            </w:r>
          </w:p>
        </w:tc>
        <w:tc>
          <w:tcPr>
            <w:tcW w:w="13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color w:val="000000"/>
                <w:sz w:val="24"/>
              </w:rPr>
            </w:pPr>
            <w:r>
              <w:rPr>
                <w:color w:val="000000"/>
                <w:kern w:val="0"/>
                <w:sz w:val="24"/>
                <w:lang w:bidi="ar"/>
              </w:rPr>
              <w:t>实施单位</w:t>
            </w:r>
          </w:p>
        </w:tc>
        <w:tc>
          <w:tcPr>
            <w:tcW w:w="138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hint="default" w:eastAsia="仿宋_GB2312"/>
                <w:color w:val="000000"/>
                <w:sz w:val="24"/>
                <w:lang w:val="en-US" w:eastAsia="zh-CN"/>
              </w:rPr>
            </w:pPr>
            <w:r>
              <w:rPr>
                <w:rFonts w:hint="eastAsia"/>
                <w:color w:val="000000"/>
                <w:sz w:val="24"/>
                <w:lang w:val="en-US" w:eastAsia="zh-CN"/>
              </w:rPr>
              <w:t>仁和区疾病预防控制中心</w:t>
            </w:r>
          </w:p>
        </w:tc>
      </w:tr>
      <w:tr>
        <w:tblPrEx>
          <w:tblCellMar>
            <w:top w:w="0" w:type="dxa"/>
            <w:left w:w="108" w:type="dxa"/>
            <w:bottom w:w="0" w:type="dxa"/>
            <w:right w:w="108" w:type="dxa"/>
          </w:tblCellMar>
        </w:tblPrEx>
        <w:trPr>
          <w:gridAfter w:val="1"/>
          <w:wAfter w:w="119" w:type="pct"/>
          <w:trHeight w:val="451" w:hRule="atLeast"/>
        </w:trPr>
        <w:tc>
          <w:tcPr>
            <w:tcW w:w="88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color w:val="000000"/>
                <w:sz w:val="24"/>
              </w:rPr>
            </w:pPr>
            <w:r>
              <w:rPr>
                <w:color w:val="000000"/>
                <w:kern w:val="0"/>
                <w:sz w:val="24"/>
                <w:lang w:bidi="ar"/>
              </w:rPr>
              <w:t>项目预算</w:t>
            </w:r>
            <w:r>
              <w:rPr>
                <w:color w:val="000000"/>
                <w:kern w:val="0"/>
                <w:sz w:val="24"/>
                <w:lang w:bidi="ar"/>
              </w:rPr>
              <w:br w:type="textWrapping"/>
            </w:r>
            <w:r>
              <w:rPr>
                <w:color w:val="000000"/>
                <w:kern w:val="0"/>
                <w:sz w:val="24"/>
                <w:lang w:bidi="ar"/>
              </w:rPr>
              <w:t>执行情况</w:t>
            </w:r>
            <w:r>
              <w:rPr>
                <w:color w:val="000000"/>
                <w:kern w:val="0"/>
                <w:sz w:val="24"/>
                <w:lang w:bidi="ar"/>
              </w:rPr>
              <w:br w:type="textWrapping"/>
            </w:r>
            <w:r>
              <w:rPr>
                <w:color w:val="000000"/>
                <w:kern w:val="0"/>
                <w:sz w:val="24"/>
                <w:lang w:bidi="ar"/>
              </w:rPr>
              <w:t>（万元）</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color w:val="000000"/>
                <w:sz w:val="24"/>
              </w:rPr>
            </w:pPr>
            <w:r>
              <w:rPr>
                <w:color w:val="000000"/>
                <w:kern w:val="0"/>
                <w:sz w:val="24"/>
                <w:lang w:bidi="ar"/>
              </w:rPr>
              <w:t>预算数：</w:t>
            </w:r>
          </w:p>
        </w:tc>
        <w:tc>
          <w:tcPr>
            <w:tcW w:w="77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hint="default" w:eastAsia="仿宋_GB2312"/>
                <w:color w:val="000000"/>
                <w:sz w:val="24"/>
                <w:lang w:val="en-US" w:eastAsia="zh-CN"/>
              </w:rPr>
            </w:pPr>
            <w:r>
              <w:rPr>
                <w:rFonts w:hint="eastAsia"/>
                <w:color w:val="000000"/>
                <w:sz w:val="24"/>
                <w:lang w:val="en-US" w:eastAsia="zh-CN"/>
              </w:rPr>
              <w:t>55</w:t>
            </w:r>
          </w:p>
        </w:tc>
        <w:tc>
          <w:tcPr>
            <w:tcW w:w="13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color w:val="000000"/>
                <w:sz w:val="24"/>
              </w:rPr>
            </w:pPr>
            <w:r>
              <w:rPr>
                <w:color w:val="000000"/>
                <w:kern w:val="0"/>
                <w:sz w:val="24"/>
                <w:lang w:bidi="ar"/>
              </w:rPr>
              <w:t xml:space="preserve"> 执行数：</w:t>
            </w:r>
          </w:p>
        </w:tc>
        <w:tc>
          <w:tcPr>
            <w:tcW w:w="138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hint="default" w:eastAsia="仿宋_GB2312"/>
                <w:color w:val="000000"/>
                <w:sz w:val="24"/>
                <w:lang w:val="en-US" w:eastAsia="zh-CN"/>
              </w:rPr>
            </w:pPr>
            <w:r>
              <w:rPr>
                <w:rFonts w:hint="eastAsia"/>
                <w:color w:val="000000"/>
                <w:sz w:val="24"/>
                <w:lang w:val="en-US" w:eastAsia="zh-CN"/>
              </w:rPr>
              <w:t>1.1</w:t>
            </w:r>
          </w:p>
        </w:tc>
      </w:tr>
      <w:tr>
        <w:tblPrEx>
          <w:tblCellMar>
            <w:top w:w="0" w:type="dxa"/>
            <w:left w:w="108" w:type="dxa"/>
            <w:bottom w:w="0" w:type="dxa"/>
            <w:right w:w="108" w:type="dxa"/>
          </w:tblCellMar>
        </w:tblPrEx>
        <w:trPr>
          <w:gridAfter w:val="1"/>
          <w:wAfter w:w="119" w:type="pct"/>
          <w:trHeight w:val="577" w:hRule="atLeast"/>
        </w:trPr>
        <w:tc>
          <w:tcPr>
            <w:tcW w:w="88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jc w:val="center"/>
              <w:rPr>
                <w:color w:val="000000"/>
                <w:sz w:val="24"/>
              </w:rPr>
            </w:pP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color w:val="000000"/>
                <w:kern w:val="0"/>
                <w:sz w:val="24"/>
                <w:lang w:bidi="ar"/>
              </w:rPr>
            </w:pPr>
            <w:r>
              <w:rPr>
                <w:color w:val="000000"/>
                <w:kern w:val="0"/>
                <w:sz w:val="24"/>
                <w:lang w:bidi="ar"/>
              </w:rPr>
              <w:t>其中：</w:t>
            </w:r>
          </w:p>
          <w:p>
            <w:pPr>
              <w:widowControl/>
              <w:spacing w:line="320" w:lineRule="exact"/>
              <w:jc w:val="left"/>
              <w:textAlignment w:val="center"/>
              <w:rPr>
                <w:color w:val="000000"/>
                <w:sz w:val="24"/>
              </w:rPr>
            </w:pPr>
            <w:r>
              <w:rPr>
                <w:color w:val="000000"/>
                <w:kern w:val="0"/>
                <w:sz w:val="24"/>
                <w:lang w:bidi="ar"/>
              </w:rPr>
              <w:t>财政拨款</w:t>
            </w:r>
          </w:p>
        </w:tc>
        <w:tc>
          <w:tcPr>
            <w:tcW w:w="77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hint="default" w:eastAsia="仿宋_GB2312"/>
                <w:color w:val="000000"/>
                <w:sz w:val="24"/>
                <w:lang w:val="en-US" w:eastAsia="zh-CN"/>
              </w:rPr>
            </w:pPr>
            <w:r>
              <w:rPr>
                <w:rFonts w:hint="eastAsia"/>
                <w:color w:val="000000"/>
                <w:sz w:val="24"/>
                <w:lang w:val="en-US" w:eastAsia="zh-CN"/>
              </w:rPr>
              <w:t>55</w:t>
            </w:r>
          </w:p>
        </w:tc>
        <w:tc>
          <w:tcPr>
            <w:tcW w:w="13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color w:val="000000"/>
                <w:kern w:val="0"/>
                <w:sz w:val="24"/>
                <w:lang w:bidi="ar"/>
              </w:rPr>
            </w:pPr>
            <w:r>
              <w:rPr>
                <w:color w:val="000000"/>
                <w:kern w:val="0"/>
                <w:sz w:val="24"/>
                <w:lang w:bidi="ar"/>
              </w:rPr>
              <w:t>其中：</w:t>
            </w:r>
          </w:p>
          <w:p>
            <w:pPr>
              <w:widowControl/>
              <w:spacing w:line="320" w:lineRule="exact"/>
              <w:jc w:val="left"/>
              <w:textAlignment w:val="center"/>
              <w:rPr>
                <w:color w:val="000000"/>
                <w:sz w:val="24"/>
              </w:rPr>
            </w:pPr>
            <w:r>
              <w:rPr>
                <w:color w:val="000000"/>
                <w:kern w:val="0"/>
                <w:sz w:val="24"/>
                <w:lang w:bidi="ar"/>
              </w:rPr>
              <w:t>财政拨款</w:t>
            </w:r>
          </w:p>
        </w:tc>
        <w:tc>
          <w:tcPr>
            <w:tcW w:w="138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textAlignment w:val="center"/>
              <w:rPr>
                <w:rFonts w:hint="default" w:eastAsia="仿宋_GB2312"/>
                <w:color w:val="000000"/>
                <w:sz w:val="24"/>
                <w:lang w:val="en-US" w:eastAsia="zh-CN"/>
              </w:rPr>
            </w:pPr>
            <w:r>
              <w:rPr>
                <w:rFonts w:hint="eastAsia"/>
                <w:color w:val="000000"/>
                <w:sz w:val="24"/>
                <w:lang w:val="en-US" w:eastAsia="zh-CN"/>
              </w:rPr>
              <w:t>1.1</w:t>
            </w:r>
          </w:p>
        </w:tc>
      </w:tr>
      <w:tr>
        <w:tblPrEx>
          <w:tblCellMar>
            <w:top w:w="0" w:type="dxa"/>
            <w:left w:w="108" w:type="dxa"/>
            <w:bottom w:w="0" w:type="dxa"/>
            <w:right w:w="108" w:type="dxa"/>
          </w:tblCellMar>
        </w:tblPrEx>
        <w:trPr>
          <w:gridAfter w:val="1"/>
          <w:wAfter w:w="119" w:type="pct"/>
          <w:trHeight w:val="341" w:hRule="atLeast"/>
        </w:trPr>
        <w:tc>
          <w:tcPr>
            <w:tcW w:w="88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jc w:val="center"/>
              <w:rPr>
                <w:color w:val="000000"/>
                <w:sz w:val="24"/>
              </w:rPr>
            </w:pP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color w:val="000000"/>
                <w:sz w:val="24"/>
              </w:rPr>
            </w:pPr>
            <w:r>
              <w:rPr>
                <w:color w:val="000000"/>
                <w:kern w:val="0"/>
                <w:sz w:val="24"/>
                <w:lang w:bidi="ar"/>
              </w:rPr>
              <w:t>其他资金</w:t>
            </w:r>
          </w:p>
        </w:tc>
        <w:tc>
          <w:tcPr>
            <w:tcW w:w="77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color w:val="000000"/>
                <w:sz w:val="24"/>
              </w:rPr>
            </w:pPr>
          </w:p>
        </w:tc>
        <w:tc>
          <w:tcPr>
            <w:tcW w:w="13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color w:val="000000"/>
                <w:sz w:val="24"/>
              </w:rPr>
            </w:pPr>
            <w:r>
              <w:rPr>
                <w:color w:val="000000"/>
                <w:kern w:val="0"/>
                <w:sz w:val="24"/>
                <w:lang w:bidi="ar"/>
              </w:rPr>
              <w:t>其他资金</w:t>
            </w:r>
          </w:p>
        </w:tc>
        <w:tc>
          <w:tcPr>
            <w:tcW w:w="138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color w:val="000000"/>
                <w:sz w:val="24"/>
              </w:rPr>
            </w:pPr>
          </w:p>
        </w:tc>
      </w:tr>
      <w:tr>
        <w:tblPrEx>
          <w:tblCellMar>
            <w:top w:w="0" w:type="dxa"/>
            <w:left w:w="108" w:type="dxa"/>
            <w:bottom w:w="0" w:type="dxa"/>
            <w:right w:w="108" w:type="dxa"/>
          </w:tblCellMar>
        </w:tblPrEx>
        <w:trPr>
          <w:gridAfter w:val="1"/>
          <w:wAfter w:w="119" w:type="pct"/>
          <w:trHeight w:val="217" w:hRule="atLeast"/>
        </w:trPr>
        <w:tc>
          <w:tcPr>
            <w:tcW w:w="47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color w:val="000000"/>
                <w:kern w:val="0"/>
                <w:sz w:val="24"/>
                <w:lang w:bidi="ar"/>
              </w:rPr>
            </w:pPr>
            <w:r>
              <w:rPr>
                <w:color w:val="000000"/>
                <w:kern w:val="0"/>
                <w:sz w:val="24"/>
                <w:lang w:bidi="ar"/>
              </w:rPr>
              <w:t>年度总体目标</w:t>
            </w:r>
          </w:p>
          <w:p>
            <w:pPr>
              <w:widowControl/>
              <w:spacing w:line="320" w:lineRule="exact"/>
              <w:jc w:val="center"/>
              <w:textAlignment w:val="center"/>
              <w:rPr>
                <w:color w:val="000000"/>
                <w:sz w:val="24"/>
              </w:rPr>
            </w:pPr>
            <w:r>
              <w:rPr>
                <w:color w:val="000000"/>
                <w:kern w:val="0"/>
                <w:sz w:val="24"/>
                <w:lang w:bidi="ar"/>
              </w:rPr>
              <w:t>完成情况</w:t>
            </w:r>
          </w:p>
        </w:tc>
        <w:tc>
          <w:tcPr>
            <w:tcW w:w="165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color w:val="000000"/>
                <w:sz w:val="24"/>
              </w:rPr>
            </w:pPr>
            <w:r>
              <w:rPr>
                <w:color w:val="000000"/>
                <w:kern w:val="0"/>
                <w:sz w:val="24"/>
                <w:lang w:bidi="ar"/>
              </w:rPr>
              <w:t>预期目标</w:t>
            </w:r>
          </w:p>
        </w:tc>
        <w:tc>
          <w:tcPr>
            <w:tcW w:w="27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color w:val="000000"/>
                <w:sz w:val="24"/>
              </w:rPr>
            </w:pPr>
            <w:r>
              <w:rPr>
                <w:color w:val="000000"/>
                <w:kern w:val="0"/>
                <w:sz w:val="24"/>
                <w:lang w:bidi="ar"/>
              </w:rPr>
              <w:t>目标实际完成情况</w:t>
            </w:r>
          </w:p>
        </w:tc>
      </w:tr>
      <w:tr>
        <w:tblPrEx>
          <w:tblCellMar>
            <w:top w:w="0" w:type="dxa"/>
            <w:left w:w="108" w:type="dxa"/>
            <w:bottom w:w="0" w:type="dxa"/>
            <w:right w:w="108" w:type="dxa"/>
          </w:tblCellMar>
        </w:tblPrEx>
        <w:trPr>
          <w:gridAfter w:val="1"/>
          <w:wAfter w:w="119" w:type="pct"/>
          <w:trHeight w:val="1297" w:hRule="atLeast"/>
        </w:trPr>
        <w:tc>
          <w:tcPr>
            <w:tcW w:w="4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jc w:val="center"/>
              <w:rPr>
                <w:color w:val="000000"/>
                <w:sz w:val="24"/>
              </w:rPr>
            </w:pPr>
          </w:p>
        </w:tc>
        <w:tc>
          <w:tcPr>
            <w:tcW w:w="1654" w:type="pct"/>
            <w:gridSpan w:val="3"/>
            <w:tcBorders>
              <w:top w:val="single" w:color="000000" w:sz="4" w:space="0"/>
              <w:left w:val="single" w:color="000000" w:sz="4" w:space="0"/>
              <w:bottom w:val="single" w:color="000000" w:sz="4" w:space="0"/>
              <w:right w:val="single" w:color="000000" w:sz="4" w:space="0"/>
            </w:tcBorders>
            <w:shd w:val="clear" w:color="auto" w:fill="auto"/>
          </w:tcPr>
          <w:p>
            <w:pPr>
              <w:keepNext w:val="0"/>
              <w:keepLines w:val="0"/>
              <w:pageBreakBefore w:val="0"/>
              <w:widowControl/>
              <w:kinsoku/>
              <w:wordWrap/>
              <w:overflowPunct/>
              <w:topLinePunct w:val="0"/>
              <w:autoSpaceDE/>
              <w:autoSpaceDN/>
              <w:bidi w:val="0"/>
              <w:adjustRightInd/>
              <w:snapToGrid/>
              <w:spacing w:line="320" w:lineRule="exact"/>
              <w:jc w:val="left"/>
              <w:textAlignment w:val="top"/>
              <w:rPr>
                <w:rFonts w:hint="eastAsia" w:ascii="仿宋" w:hAnsi="仿宋" w:eastAsia="仿宋" w:cs="仿宋"/>
                <w:color w:val="000000"/>
                <w:sz w:val="21"/>
                <w:szCs w:val="21"/>
              </w:rPr>
            </w:pPr>
            <w:r>
              <w:rPr>
                <w:rFonts w:hint="eastAsia" w:ascii="仿宋" w:hAnsi="仿宋" w:eastAsia="仿宋" w:cs="仿宋"/>
                <w:color w:val="000000"/>
                <w:sz w:val="21"/>
                <w:szCs w:val="21"/>
              </w:rPr>
              <w:t>部门/乡镇开展艾滋病综合防治工作；开展艾滋病监测检测，加大感染者发现力度，开展艾滋病报告管理；开展病人随访管理、配偶检测、结核筛查、CD4检测、抗病毒治疗等工作；开展艾滋病感染者关怀支持活动</w:t>
            </w:r>
          </w:p>
        </w:tc>
        <w:tc>
          <w:tcPr>
            <w:tcW w:w="2752" w:type="pct"/>
            <w:gridSpan w:val="2"/>
            <w:tcBorders>
              <w:top w:val="single" w:color="000000" w:sz="4" w:space="0"/>
              <w:left w:val="single" w:color="000000" w:sz="4" w:space="0"/>
              <w:bottom w:val="single" w:color="000000" w:sz="4" w:space="0"/>
              <w:right w:val="single" w:color="000000" w:sz="4" w:space="0"/>
            </w:tcBorders>
            <w:shd w:val="clear" w:color="auto" w:fill="auto"/>
          </w:tcPr>
          <w:p>
            <w:pPr>
              <w:keepNext w:val="0"/>
              <w:keepLines w:val="0"/>
              <w:pageBreakBefore w:val="0"/>
              <w:widowControl/>
              <w:kinsoku/>
              <w:wordWrap/>
              <w:overflowPunct/>
              <w:topLinePunct w:val="0"/>
              <w:autoSpaceDE/>
              <w:autoSpaceDN/>
              <w:bidi w:val="0"/>
              <w:adjustRightInd/>
              <w:snapToGrid/>
              <w:spacing w:line="320" w:lineRule="exact"/>
              <w:jc w:val="left"/>
              <w:textAlignment w:val="top"/>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各</w:t>
            </w:r>
            <w:r>
              <w:rPr>
                <w:rFonts w:hint="eastAsia" w:ascii="仿宋" w:hAnsi="仿宋" w:eastAsia="仿宋" w:cs="仿宋"/>
                <w:color w:val="000000"/>
                <w:sz w:val="21"/>
                <w:szCs w:val="21"/>
              </w:rPr>
              <w:t>部门/乡镇开展艾滋病综合防治工作</w:t>
            </w:r>
            <w:r>
              <w:rPr>
                <w:rFonts w:hint="eastAsia" w:ascii="仿宋" w:hAnsi="仿宋" w:eastAsia="仿宋" w:cs="仿宋"/>
                <w:color w:val="000000"/>
                <w:sz w:val="21"/>
                <w:szCs w:val="21"/>
                <w:lang w:val="en-US" w:eastAsia="zh-CN"/>
              </w:rPr>
              <w:t>一进步推进</w:t>
            </w:r>
            <w:r>
              <w:rPr>
                <w:rFonts w:hint="eastAsia" w:ascii="仿宋" w:hAnsi="仿宋" w:eastAsia="仿宋" w:cs="仿宋"/>
                <w:color w:val="000000"/>
                <w:sz w:val="21"/>
                <w:szCs w:val="21"/>
              </w:rPr>
              <w:t>；</w:t>
            </w:r>
            <w:r>
              <w:rPr>
                <w:rFonts w:hint="eastAsia" w:ascii="仿宋" w:hAnsi="仿宋" w:eastAsia="仿宋" w:cs="仿宋"/>
                <w:color w:val="000000"/>
                <w:sz w:val="21"/>
                <w:szCs w:val="21"/>
                <w:lang w:val="en-US" w:eastAsia="zh-CN"/>
              </w:rPr>
              <w:t>积极开展</w:t>
            </w:r>
            <w:r>
              <w:rPr>
                <w:rFonts w:hint="eastAsia" w:ascii="仿宋" w:hAnsi="仿宋" w:eastAsia="仿宋" w:cs="仿宋"/>
                <w:color w:val="000000"/>
                <w:sz w:val="21"/>
                <w:szCs w:val="21"/>
              </w:rPr>
              <w:t>艾滋病监测检测，加大感染者发现力度</w:t>
            </w:r>
            <w:r>
              <w:rPr>
                <w:rFonts w:hint="eastAsia" w:ascii="仿宋" w:hAnsi="仿宋" w:eastAsia="仿宋" w:cs="仿宋"/>
                <w:color w:val="000000"/>
                <w:sz w:val="21"/>
                <w:szCs w:val="21"/>
                <w:lang w:eastAsia="zh-CN"/>
              </w:rPr>
              <w:t>；</w:t>
            </w:r>
            <w:r>
              <w:rPr>
                <w:rFonts w:hint="eastAsia" w:ascii="仿宋" w:hAnsi="仿宋" w:eastAsia="仿宋" w:cs="仿宋"/>
                <w:color w:val="000000"/>
                <w:sz w:val="21"/>
                <w:szCs w:val="21"/>
                <w:lang w:val="en-US" w:eastAsia="zh-CN"/>
              </w:rPr>
              <w:t>规范</w:t>
            </w:r>
            <w:r>
              <w:rPr>
                <w:rFonts w:hint="eastAsia" w:ascii="仿宋" w:hAnsi="仿宋" w:eastAsia="仿宋" w:cs="仿宋"/>
                <w:color w:val="000000"/>
                <w:sz w:val="21"/>
                <w:szCs w:val="21"/>
              </w:rPr>
              <w:t>开展艾滋病报告管理；</w:t>
            </w:r>
            <w:r>
              <w:rPr>
                <w:rFonts w:hint="eastAsia" w:ascii="仿宋" w:hAnsi="仿宋" w:eastAsia="仿宋" w:cs="仿宋"/>
                <w:color w:val="000000"/>
                <w:sz w:val="21"/>
                <w:szCs w:val="21"/>
                <w:lang w:val="en-US" w:eastAsia="zh-CN"/>
              </w:rPr>
              <w:t>积极</w:t>
            </w:r>
            <w:r>
              <w:rPr>
                <w:rFonts w:hint="eastAsia" w:ascii="仿宋" w:hAnsi="仿宋" w:eastAsia="仿宋" w:cs="仿宋"/>
                <w:color w:val="000000"/>
                <w:sz w:val="21"/>
                <w:szCs w:val="21"/>
              </w:rPr>
              <w:t>开展</w:t>
            </w:r>
            <w:r>
              <w:rPr>
                <w:rFonts w:hint="eastAsia" w:ascii="仿宋" w:hAnsi="仿宋" w:eastAsia="仿宋" w:cs="仿宋"/>
                <w:color w:val="000000"/>
                <w:sz w:val="21"/>
                <w:szCs w:val="21"/>
                <w:lang w:val="en-US" w:eastAsia="zh-CN"/>
              </w:rPr>
              <w:t>了</w:t>
            </w:r>
            <w:r>
              <w:rPr>
                <w:rFonts w:hint="eastAsia" w:ascii="仿宋" w:hAnsi="仿宋" w:eastAsia="仿宋" w:cs="仿宋"/>
                <w:color w:val="000000"/>
                <w:sz w:val="21"/>
                <w:szCs w:val="21"/>
              </w:rPr>
              <w:t>病人随访管理、配偶检测、结核筛查、CD4检测、抗病毒治疗等工作；</w:t>
            </w:r>
            <w:r>
              <w:rPr>
                <w:rFonts w:hint="eastAsia" w:ascii="仿宋" w:hAnsi="仿宋" w:eastAsia="仿宋" w:cs="仿宋"/>
                <w:color w:val="000000"/>
                <w:sz w:val="21"/>
                <w:szCs w:val="21"/>
                <w:lang w:val="en-US" w:eastAsia="zh-CN"/>
              </w:rPr>
              <w:t>结合工作实际、积极</w:t>
            </w:r>
            <w:r>
              <w:rPr>
                <w:rFonts w:hint="eastAsia" w:ascii="仿宋" w:hAnsi="仿宋" w:eastAsia="仿宋" w:cs="仿宋"/>
                <w:color w:val="000000"/>
                <w:sz w:val="21"/>
                <w:szCs w:val="21"/>
              </w:rPr>
              <w:t>开展</w:t>
            </w:r>
            <w:r>
              <w:rPr>
                <w:rFonts w:hint="eastAsia" w:ascii="仿宋" w:hAnsi="仿宋" w:eastAsia="仿宋" w:cs="仿宋"/>
                <w:color w:val="000000"/>
                <w:sz w:val="21"/>
                <w:szCs w:val="21"/>
                <w:lang w:val="en-US" w:eastAsia="zh-CN"/>
              </w:rPr>
              <w:t>了</w:t>
            </w:r>
            <w:r>
              <w:rPr>
                <w:rFonts w:hint="eastAsia" w:ascii="仿宋" w:hAnsi="仿宋" w:eastAsia="仿宋" w:cs="仿宋"/>
                <w:color w:val="000000"/>
                <w:sz w:val="21"/>
                <w:szCs w:val="21"/>
              </w:rPr>
              <w:t>艾滋病感染者关怀支持活动</w:t>
            </w:r>
            <w:r>
              <w:rPr>
                <w:rFonts w:hint="eastAsia" w:ascii="仿宋" w:hAnsi="仿宋" w:eastAsia="仿宋" w:cs="仿宋"/>
                <w:color w:val="000000"/>
                <w:sz w:val="21"/>
                <w:szCs w:val="21"/>
                <w:lang w:eastAsia="zh-CN"/>
              </w:rPr>
              <w:t>，</w:t>
            </w:r>
            <w:r>
              <w:rPr>
                <w:rFonts w:hint="eastAsia" w:ascii="仿宋" w:hAnsi="仿宋" w:eastAsia="仿宋" w:cs="仿宋"/>
                <w:color w:val="000000"/>
                <w:sz w:val="21"/>
                <w:szCs w:val="21"/>
                <w:lang w:val="en-US" w:eastAsia="zh-CN"/>
              </w:rPr>
              <w:t>年终各项工作指标经上级考核优良。</w:t>
            </w:r>
          </w:p>
        </w:tc>
      </w:tr>
      <w:tr>
        <w:tblPrEx>
          <w:tblCellMar>
            <w:top w:w="0" w:type="dxa"/>
            <w:left w:w="108" w:type="dxa"/>
            <w:bottom w:w="0" w:type="dxa"/>
            <w:right w:w="108" w:type="dxa"/>
          </w:tblCellMar>
        </w:tblPrEx>
        <w:trPr>
          <w:gridAfter w:val="1"/>
          <w:wAfter w:w="119" w:type="pct"/>
          <w:trHeight w:val="738" w:hRule="atLeast"/>
        </w:trPr>
        <w:tc>
          <w:tcPr>
            <w:tcW w:w="472" w:type="pct"/>
            <w:vMerge w:val="restart"/>
            <w:tcBorders>
              <w:top w:val="single" w:color="000000" w:sz="4" w:space="0"/>
              <w:left w:val="single" w:color="000000" w:sz="4" w:space="0"/>
              <w:right w:val="single" w:color="000000" w:sz="4" w:space="0"/>
            </w:tcBorders>
            <w:shd w:val="clear" w:color="auto" w:fill="auto"/>
            <w:vAlign w:val="center"/>
          </w:tcPr>
          <w:p>
            <w:pPr>
              <w:widowControl/>
              <w:spacing w:line="320" w:lineRule="exact"/>
              <w:jc w:val="center"/>
              <w:textAlignment w:val="center"/>
              <w:rPr>
                <w:color w:val="000000"/>
                <w:sz w:val="28"/>
                <w:szCs w:val="28"/>
              </w:rPr>
            </w:pPr>
            <w:r>
              <w:rPr>
                <w:color w:val="000000"/>
                <w:kern w:val="0"/>
                <w:sz w:val="28"/>
                <w:szCs w:val="28"/>
                <w:lang w:bidi="ar"/>
              </w:rPr>
              <w:t>年度绩效指标完成情况</w:t>
            </w:r>
          </w:p>
        </w:tc>
        <w:tc>
          <w:tcPr>
            <w:tcW w:w="411" w:type="pct"/>
            <w:tcBorders>
              <w:top w:val="single" w:color="000000" w:sz="4" w:space="0"/>
              <w:left w:val="nil"/>
              <w:bottom w:val="single" w:color="000000" w:sz="4" w:space="0"/>
              <w:right w:val="single" w:color="000000" w:sz="4" w:space="0"/>
            </w:tcBorders>
            <w:shd w:val="clear" w:color="auto" w:fill="auto"/>
            <w:vAlign w:val="center"/>
          </w:tcPr>
          <w:p>
            <w:pPr>
              <w:widowControl/>
              <w:spacing w:line="320" w:lineRule="exact"/>
              <w:jc w:val="center"/>
              <w:textAlignment w:val="center"/>
              <w:rPr>
                <w:color w:val="000000"/>
                <w:kern w:val="0"/>
                <w:sz w:val="28"/>
                <w:szCs w:val="28"/>
                <w:lang w:bidi="ar"/>
              </w:rPr>
            </w:pPr>
            <w:r>
              <w:rPr>
                <w:color w:val="000000"/>
                <w:kern w:val="0"/>
                <w:sz w:val="28"/>
                <w:szCs w:val="28"/>
                <w:lang w:bidi="ar"/>
              </w:rPr>
              <w:t>一级</w:t>
            </w:r>
          </w:p>
          <w:p>
            <w:pPr>
              <w:widowControl/>
              <w:spacing w:line="320" w:lineRule="exact"/>
              <w:jc w:val="center"/>
              <w:textAlignment w:val="center"/>
              <w:rPr>
                <w:color w:val="000000"/>
                <w:sz w:val="28"/>
                <w:szCs w:val="28"/>
              </w:rPr>
            </w:pPr>
            <w:r>
              <w:rPr>
                <w:color w:val="000000"/>
                <w:kern w:val="0"/>
                <w:sz w:val="28"/>
                <w:szCs w:val="28"/>
                <w:lang w:bidi="ar"/>
              </w:rPr>
              <w:t>指标</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color w:val="000000"/>
                <w:kern w:val="0"/>
                <w:sz w:val="28"/>
                <w:szCs w:val="28"/>
                <w:lang w:bidi="ar"/>
              </w:rPr>
            </w:pPr>
            <w:r>
              <w:rPr>
                <w:color w:val="000000"/>
                <w:kern w:val="0"/>
                <w:sz w:val="28"/>
                <w:szCs w:val="28"/>
                <w:lang w:bidi="ar"/>
              </w:rPr>
              <w:t>二级</w:t>
            </w:r>
          </w:p>
          <w:p>
            <w:pPr>
              <w:widowControl/>
              <w:spacing w:line="320" w:lineRule="exact"/>
              <w:jc w:val="center"/>
              <w:textAlignment w:val="center"/>
              <w:rPr>
                <w:color w:val="000000"/>
                <w:sz w:val="28"/>
                <w:szCs w:val="28"/>
              </w:rPr>
            </w:pPr>
            <w:r>
              <w:rPr>
                <w:color w:val="000000"/>
                <w:kern w:val="0"/>
                <w:sz w:val="28"/>
                <w:szCs w:val="28"/>
                <w:lang w:bidi="ar"/>
              </w:rPr>
              <w:t>指标</w:t>
            </w:r>
          </w:p>
        </w:tc>
        <w:tc>
          <w:tcPr>
            <w:tcW w:w="77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color w:val="000000"/>
                <w:kern w:val="0"/>
                <w:sz w:val="28"/>
                <w:szCs w:val="28"/>
                <w:lang w:bidi="ar"/>
              </w:rPr>
            </w:pPr>
            <w:r>
              <w:rPr>
                <w:color w:val="000000"/>
                <w:kern w:val="0"/>
                <w:sz w:val="28"/>
                <w:szCs w:val="28"/>
                <w:lang w:bidi="ar"/>
              </w:rPr>
              <w:t>三级</w:t>
            </w:r>
          </w:p>
          <w:p>
            <w:pPr>
              <w:widowControl/>
              <w:spacing w:line="320" w:lineRule="exact"/>
              <w:jc w:val="center"/>
              <w:textAlignment w:val="center"/>
              <w:rPr>
                <w:color w:val="000000"/>
                <w:sz w:val="28"/>
                <w:szCs w:val="28"/>
              </w:rPr>
            </w:pPr>
            <w:r>
              <w:rPr>
                <w:color w:val="000000"/>
                <w:kern w:val="0"/>
                <w:sz w:val="28"/>
                <w:szCs w:val="28"/>
                <w:lang w:bidi="ar"/>
              </w:rPr>
              <w:t>指标</w:t>
            </w:r>
          </w:p>
        </w:tc>
        <w:tc>
          <w:tcPr>
            <w:tcW w:w="13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color w:val="000000"/>
                <w:sz w:val="28"/>
                <w:szCs w:val="28"/>
              </w:rPr>
            </w:pPr>
            <w:r>
              <w:rPr>
                <w:color w:val="000000"/>
                <w:kern w:val="0"/>
                <w:sz w:val="28"/>
                <w:szCs w:val="28"/>
                <w:lang w:bidi="ar"/>
              </w:rPr>
              <w:t>预期指标值</w:t>
            </w:r>
          </w:p>
        </w:tc>
        <w:tc>
          <w:tcPr>
            <w:tcW w:w="138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color w:val="000000"/>
                <w:sz w:val="28"/>
                <w:szCs w:val="28"/>
              </w:rPr>
            </w:pPr>
            <w:r>
              <w:rPr>
                <w:color w:val="000000"/>
                <w:kern w:val="0"/>
                <w:sz w:val="28"/>
                <w:szCs w:val="28"/>
                <w:lang w:bidi="ar"/>
              </w:rPr>
              <w:t>实际完成指标值</w:t>
            </w:r>
          </w:p>
        </w:tc>
      </w:tr>
      <w:tr>
        <w:tblPrEx>
          <w:tblCellMar>
            <w:top w:w="0" w:type="dxa"/>
            <w:left w:w="108" w:type="dxa"/>
            <w:bottom w:w="0" w:type="dxa"/>
            <w:right w:w="108" w:type="dxa"/>
          </w:tblCellMar>
        </w:tblPrEx>
        <w:trPr>
          <w:gridAfter w:val="1"/>
          <w:wAfter w:w="119" w:type="pct"/>
          <w:trHeight w:val="880" w:hRule="atLeast"/>
        </w:trPr>
        <w:tc>
          <w:tcPr>
            <w:tcW w:w="472" w:type="pct"/>
            <w:vMerge w:val="continue"/>
            <w:tcBorders>
              <w:left w:val="single" w:color="000000" w:sz="4" w:space="0"/>
              <w:right w:val="single" w:color="000000" w:sz="4" w:space="0"/>
            </w:tcBorders>
            <w:shd w:val="clear" w:color="auto" w:fill="auto"/>
            <w:vAlign w:val="center"/>
          </w:tcPr>
          <w:p>
            <w:pPr>
              <w:spacing w:line="320" w:lineRule="exact"/>
              <w:jc w:val="center"/>
              <w:rPr>
                <w:color w:val="000000"/>
                <w:sz w:val="28"/>
                <w:szCs w:val="28"/>
              </w:rPr>
            </w:pPr>
          </w:p>
        </w:tc>
        <w:tc>
          <w:tcPr>
            <w:tcW w:w="4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完成</w:t>
            </w:r>
          </w:p>
          <w:p>
            <w:pPr>
              <w:widowControl/>
              <w:spacing w:line="320" w:lineRule="exact"/>
              <w:jc w:val="center"/>
              <w:textAlignment w:val="bottom"/>
              <w:rPr>
                <w:rFonts w:hint="eastAsia" w:ascii="仿宋" w:hAnsi="仿宋" w:eastAsia="仿宋" w:cs="仿宋"/>
                <w:color w:val="000000"/>
                <w:sz w:val="21"/>
                <w:szCs w:val="21"/>
              </w:rPr>
            </w:pPr>
            <w:r>
              <w:rPr>
                <w:rFonts w:hint="eastAsia" w:ascii="仿宋" w:hAnsi="仿宋" w:eastAsia="仿宋" w:cs="仿宋"/>
                <w:color w:val="000000"/>
                <w:kern w:val="0"/>
                <w:sz w:val="21"/>
                <w:szCs w:val="21"/>
                <w:lang w:bidi="ar"/>
              </w:rPr>
              <w:t>指标</w:t>
            </w:r>
          </w:p>
        </w:tc>
        <w:tc>
          <w:tcPr>
            <w:tcW w:w="472" w:type="pct"/>
            <w:vMerge w:val="restart"/>
            <w:tcBorders>
              <w:top w:val="single" w:color="000000" w:sz="4" w:space="0"/>
              <w:left w:val="single" w:color="000000" w:sz="4" w:space="0"/>
              <w:right w:val="single" w:color="000000" w:sz="4" w:space="0"/>
            </w:tcBorders>
            <w:shd w:val="clear" w:color="auto" w:fill="auto"/>
            <w:vAlign w:val="center"/>
          </w:tcPr>
          <w:p>
            <w:pPr>
              <w:widowControl/>
              <w:spacing w:line="320" w:lineRule="exact"/>
              <w:jc w:val="both"/>
              <w:textAlignment w:val="bottom"/>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数量指标</w:t>
            </w:r>
          </w:p>
          <w:p>
            <w:pPr>
              <w:widowControl/>
              <w:spacing w:line="320" w:lineRule="exact"/>
              <w:jc w:val="both"/>
              <w:textAlignment w:val="bottom"/>
              <w:rPr>
                <w:rFonts w:hint="eastAsia" w:ascii="仿宋" w:hAnsi="仿宋" w:eastAsia="仿宋" w:cs="仿宋"/>
                <w:color w:val="000000"/>
                <w:kern w:val="0"/>
                <w:sz w:val="21"/>
                <w:szCs w:val="21"/>
                <w:lang w:bidi="ar"/>
              </w:rPr>
            </w:pPr>
          </w:p>
        </w:tc>
        <w:tc>
          <w:tcPr>
            <w:tcW w:w="770" w:type="pct"/>
            <w:tcBorders>
              <w:top w:val="single" w:color="000000" w:sz="4" w:space="0"/>
              <w:left w:val="single" w:color="000000" w:sz="4" w:space="0"/>
              <w:bottom w:val="single" w:color="auto" w:sz="4" w:space="0"/>
              <w:right w:val="single" w:color="000000" w:sz="4" w:space="0"/>
            </w:tcBorders>
            <w:shd w:val="clear" w:color="auto" w:fill="auto"/>
            <w:vAlign w:val="top"/>
          </w:tcPr>
          <w:p>
            <w:pPr>
              <w:keepNext w:val="0"/>
              <w:keepLines w:val="0"/>
              <w:pageBreakBefore w:val="0"/>
              <w:widowControl/>
              <w:numPr>
                <w:ilvl w:val="0"/>
                <w:numId w:val="0"/>
              </w:numPr>
              <w:kinsoku/>
              <w:wordWrap/>
              <w:overflowPunct/>
              <w:topLinePunct w:val="0"/>
              <w:autoSpaceDE/>
              <w:autoSpaceDN/>
              <w:bidi w:val="0"/>
              <w:adjustRightInd/>
              <w:snapToGrid/>
              <w:spacing w:line="320" w:lineRule="exact"/>
              <w:jc w:val="left"/>
              <w:textAlignment w:val="bottom"/>
              <w:rPr>
                <w:rFonts w:hint="eastAsia" w:ascii="仿宋" w:hAnsi="仿宋" w:eastAsia="仿宋" w:cs="仿宋"/>
                <w:color w:val="000000"/>
                <w:sz w:val="21"/>
                <w:szCs w:val="21"/>
              </w:rPr>
            </w:pPr>
            <w:r>
              <w:rPr>
                <w:rFonts w:hint="eastAsia" w:ascii="仿宋" w:hAnsi="仿宋" w:eastAsia="仿宋" w:cs="仿宋"/>
                <w:color w:val="000000"/>
                <w:sz w:val="21"/>
                <w:szCs w:val="21"/>
              </w:rPr>
              <w:t>吸毒人员美沙酮维持治疗</w:t>
            </w:r>
          </w:p>
        </w:tc>
        <w:tc>
          <w:tcPr>
            <w:tcW w:w="1372" w:type="pct"/>
            <w:tcBorders>
              <w:top w:val="single" w:color="000000" w:sz="4" w:space="0"/>
              <w:left w:val="single" w:color="000000" w:sz="4" w:space="0"/>
              <w:bottom w:val="single" w:color="auto" w:sz="4" w:space="0"/>
              <w:right w:val="single" w:color="000000" w:sz="4" w:space="0"/>
            </w:tcBorders>
            <w:shd w:val="clear" w:color="auto" w:fill="auto"/>
            <w:vAlign w:val="top"/>
          </w:tcPr>
          <w:p>
            <w:pPr>
              <w:keepNext w:val="0"/>
              <w:keepLines w:val="0"/>
              <w:pageBreakBefore w:val="0"/>
              <w:widowControl/>
              <w:kinsoku/>
              <w:wordWrap/>
              <w:overflowPunct/>
              <w:topLinePunct w:val="0"/>
              <w:autoSpaceDE/>
              <w:autoSpaceDN/>
              <w:bidi w:val="0"/>
              <w:adjustRightInd/>
              <w:snapToGrid/>
              <w:spacing w:line="320" w:lineRule="exact"/>
              <w:jc w:val="left"/>
              <w:textAlignment w:val="bottom"/>
              <w:rPr>
                <w:rFonts w:hint="eastAsia" w:ascii="仿宋" w:hAnsi="仿宋" w:eastAsia="仿宋" w:cs="仿宋"/>
                <w:color w:val="000000"/>
                <w:sz w:val="21"/>
                <w:szCs w:val="21"/>
              </w:rPr>
            </w:pPr>
            <w:r>
              <w:rPr>
                <w:rFonts w:hint="eastAsia" w:ascii="仿宋" w:hAnsi="仿宋" w:eastAsia="仿宋" w:cs="仿宋"/>
                <w:color w:val="000000"/>
                <w:sz w:val="21"/>
                <w:szCs w:val="21"/>
              </w:rPr>
              <w:t>3万人次以上</w:t>
            </w:r>
          </w:p>
        </w:tc>
        <w:tc>
          <w:tcPr>
            <w:tcW w:w="1380" w:type="pct"/>
            <w:tcBorders>
              <w:top w:val="single" w:color="000000" w:sz="4" w:space="0"/>
              <w:left w:val="single" w:color="000000" w:sz="4" w:space="0"/>
              <w:bottom w:val="single" w:color="auto" w:sz="4" w:space="0"/>
              <w:right w:val="single" w:color="000000" w:sz="4" w:space="0"/>
            </w:tcBorders>
            <w:shd w:val="clear" w:color="auto" w:fill="auto"/>
            <w:vAlign w:val="top"/>
          </w:tcPr>
          <w:p>
            <w:pPr>
              <w:keepNext w:val="0"/>
              <w:keepLines w:val="0"/>
              <w:pageBreakBefore w:val="0"/>
              <w:widowControl/>
              <w:kinsoku/>
              <w:wordWrap/>
              <w:overflowPunct/>
              <w:topLinePunct w:val="0"/>
              <w:autoSpaceDE/>
              <w:autoSpaceDN/>
              <w:bidi w:val="0"/>
              <w:adjustRightInd/>
              <w:snapToGrid/>
              <w:spacing w:line="320" w:lineRule="exact"/>
              <w:jc w:val="left"/>
              <w:textAlignment w:val="bottom"/>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在组治疗60人，日均治疗50人次，全年1.8387万人次</w:t>
            </w:r>
          </w:p>
        </w:tc>
      </w:tr>
      <w:tr>
        <w:tblPrEx>
          <w:tblCellMar>
            <w:top w:w="0" w:type="dxa"/>
            <w:left w:w="108" w:type="dxa"/>
            <w:bottom w:w="0" w:type="dxa"/>
            <w:right w:w="108" w:type="dxa"/>
          </w:tblCellMar>
        </w:tblPrEx>
        <w:trPr>
          <w:gridAfter w:val="1"/>
          <w:wAfter w:w="119" w:type="pct"/>
          <w:trHeight w:val="570" w:hRule="atLeast"/>
        </w:trPr>
        <w:tc>
          <w:tcPr>
            <w:tcW w:w="472" w:type="pct"/>
            <w:vMerge w:val="continue"/>
            <w:tcBorders>
              <w:left w:val="single" w:color="000000" w:sz="4" w:space="0"/>
              <w:right w:val="single" w:color="000000" w:sz="4" w:space="0"/>
            </w:tcBorders>
            <w:shd w:val="clear" w:color="auto" w:fill="auto"/>
            <w:vAlign w:val="center"/>
          </w:tcPr>
          <w:p>
            <w:pPr>
              <w:spacing w:line="320" w:lineRule="exact"/>
              <w:jc w:val="center"/>
              <w:rPr>
                <w:color w:val="000000"/>
                <w:sz w:val="28"/>
                <w:szCs w:val="28"/>
              </w:rPr>
            </w:pPr>
          </w:p>
        </w:tc>
        <w:tc>
          <w:tcPr>
            <w:tcW w:w="411" w:type="pct"/>
            <w:vMerge w:val="continue"/>
            <w:tcBorders>
              <w:left w:val="single" w:color="000000" w:sz="4" w:space="0"/>
              <w:right w:val="single" w:color="000000" w:sz="4" w:space="0"/>
            </w:tcBorders>
            <w:shd w:val="clear" w:color="auto" w:fill="auto"/>
            <w:vAlign w:val="center"/>
          </w:tcPr>
          <w:p>
            <w:pPr>
              <w:widowControl/>
              <w:spacing w:line="320" w:lineRule="exact"/>
              <w:jc w:val="center"/>
              <w:textAlignment w:val="bottom"/>
              <w:rPr>
                <w:rFonts w:hint="eastAsia" w:ascii="仿宋" w:hAnsi="仿宋" w:eastAsia="仿宋" w:cs="仿宋"/>
                <w:color w:val="000000"/>
                <w:kern w:val="0"/>
                <w:sz w:val="21"/>
                <w:szCs w:val="21"/>
                <w:lang w:bidi="ar"/>
              </w:rPr>
            </w:pPr>
          </w:p>
        </w:tc>
        <w:tc>
          <w:tcPr>
            <w:tcW w:w="472" w:type="pct"/>
            <w:vMerge w:val="continue"/>
            <w:tcBorders>
              <w:left w:val="single" w:color="000000" w:sz="4" w:space="0"/>
              <w:right w:val="single" w:color="000000" w:sz="4" w:space="0"/>
            </w:tcBorders>
            <w:shd w:val="clear" w:color="auto" w:fill="auto"/>
            <w:vAlign w:val="center"/>
          </w:tcPr>
          <w:p>
            <w:pPr>
              <w:widowControl/>
              <w:spacing w:line="320" w:lineRule="exact"/>
              <w:jc w:val="center"/>
              <w:textAlignment w:val="bottom"/>
              <w:rPr>
                <w:rFonts w:hint="eastAsia" w:ascii="仿宋" w:hAnsi="仿宋" w:eastAsia="仿宋" w:cs="仿宋"/>
                <w:color w:val="000000"/>
                <w:kern w:val="0"/>
                <w:sz w:val="21"/>
                <w:szCs w:val="21"/>
                <w:lang w:bidi="ar"/>
              </w:rPr>
            </w:pPr>
          </w:p>
        </w:tc>
        <w:tc>
          <w:tcPr>
            <w:tcW w:w="770" w:type="pc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line="320" w:lineRule="exact"/>
              <w:jc w:val="both"/>
              <w:textAlignment w:val="bottom"/>
              <w:rPr>
                <w:rFonts w:hint="eastAsia" w:ascii="仿宋" w:hAnsi="仿宋" w:eastAsia="仿宋" w:cs="仿宋"/>
                <w:color w:val="000000"/>
                <w:sz w:val="21"/>
                <w:szCs w:val="21"/>
              </w:rPr>
            </w:pPr>
            <w:r>
              <w:rPr>
                <w:rFonts w:hint="eastAsia" w:ascii="仿宋" w:hAnsi="仿宋" w:eastAsia="仿宋" w:cs="仿宋"/>
                <w:color w:val="000000"/>
                <w:sz w:val="21"/>
                <w:szCs w:val="21"/>
              </w:rPr>
              <w:t>落实各项防控措施</w:t>
            </w:r>
          </w:p>
        </w:tc>
        <w:tc>
          <w:tcPr>
            <w:tcW w:w="1372" w:type="pc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bottom"/>
              <w:rPr>
                <w:rFonts w:hint="eastAsia" w:ascii="仿宋" w:hAnsi="仿宋" w:eastAsia="仿宋" w:cs="仿宋"/>
                <w:color w:val="000000"/>
                <w:sz w:val="21"/>
                <w:szCs w:val="21"/>
              </w:rPr>
            </w:pPr>
            <w:r>
              <w:rPr>
                <w:rFonts w:hint="eastAsia" w:ascii="仿宋" w:hAnsi="仿宋" w:eastAsia="仿宋" w:cs="仿宋"/>
                <w:color w:val="000000"/>
                <w:sz w:val="21"/>
                <w:szCs w:val="21"/>
              </w:rPr>
              <w:t>继续扩大艾滋病抗体检测，全年开展艾滋病抗体检测达到8.4万人次以上，随访艾滋病感染者850人以上，开展CD4检测800人次，配偶告知及检测达90%，抗病毒治疗800人以上</w:t>
            </w:r>
          </w:p>
        </w:tc>
        <w:tc>
          <w:tcPr>
            <w:tcW w:w="1380" w:type="pc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bottom"/>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rPr>
              <w:t>全年开展艾滋病抗体检测达到</w:t>
            </w:r>
            <w:r>
              <w:rPr>
                <w:rFonts w:hint="eastAsia" w:ascii="仿宋" w:hAnsi="仿宋" w:eastAsia="仿宋" w:cs="仿宋"/>
                <w:color w:val="000000"/>
                <w:sz w:val="21"/>
                <w:szCs w:val="21"/>
                <w:lang w:val="en-US" w:eastAsia="zh-CN"/>
              </w:rPr>
              <w:t>9.9万</w:t>
            </w:r>
            <w:r>
              <w:rPr>
                <w:rFonts w:hint="eastAsia" w:ascii="仿宋" w:hAnsi="仿宋" w:eastAsia="仿宋" w:cs="仿宋"/>
                <w:color w:val="000000"/>
                <w:sz w:val="21"/>
                <w:szCs w:val="21"/>
              </w:rPr>
              <w:t>人次</w:t>
            </w:r>
            <w:r>
              <w:rPr>
                <w:rFonts w:hint="eastAsia" w:ascii="仿宋" w:hAnsi="仿宋" w:eastAsia="仿宋" w:cs="仿宋"/>
                <w:color w:val="000000"/>
                <w:sz w:val="21"/>
                <w:szCs w:val="21"/>
                <w:lang w:eastAsia="zh-CN"/>
              </w:rPr>
              <w:t>，</w:t>
            </w:r>
            <w:r>
              <w:rPr>
                <w:rFonts w:hint="eastAsia" w:ascii="仿宋" w:hAnsi="仿宋" w:eastAsia="仿宋" w:cs="仿宋"/>
                <w:color w:val="000000"/>
                <w:sz w:val="21"/>
                <w:szCs w:val="21"/>
              </w:rPr>
              <w:t>随访艾滋病感染者</w:t>
            </w:r>
            <w:r>
              <w:rPr>
                <w:rFonts w:hint="eastAsia" w:ascii="仿宋" w:hAnsi="仿宋" w:eastAsia="仿宋" w:cs="仿宋"/>
                <w:color w:val="000000"/>
                <w:sz w:val="21"/>
                <w:szCs w:val="21"/>
                <w:lang w:val="en-US" w:eastAsia="zh-CN"/>
              </w:rPr>
              <w:t>822</w:t>
            </w:r>
            <w:r>
              <w:rPr>
                <w:rFonts w:hint="eastAsia" w:ascii="仿宋" w:hAnsi="仿宋" w:eastAsia="仿宋" w:cs="仿宋"/>
                <w:color w:val="000000"/>
                <w:sz w:val="21"/>
                <w:szCs w:val="21"/>
              </w:rPr>
              <w:t>人，开展CD4检测</w:t>
            </w:r>
            <w:r>
              <w:rPr>
                <w:rFonts w:hint="eastAsia" w:ascii="仿宋" w:hAnsi="仿宋" w:eastAsia="仿宋" w:cs="仿宋"/>
                <w:color w:val="000000"/>
                <w:sz w:val="21"/>
                <w:szCs w:val="21"/>
                <w:lang w:val="en-US" w:eastAsia="zh-CN"/>
              </w:rPr>
              <w:t>788</w:t>
            </w:r>
            <w:r>
              <w:rPr>
                <w:rFonts w:hint="eastAsia" w:ascii="仿宋" w:hAnsi="仿宋" w:eastAsia="仿宋" w:cs="仿宋"/>
                <w:color w:val="000000"/>
                <w:sz w:val="21"/>
                <w:szCs w:val="21"/>
              </w:rPr>
              <w:t>人次，配偶告知及检测达9</w:t>
            </w:r>
            <w:r>
              <w:rPr>
                <w:rFonts w:hint="eastAsia" w:ascii="仿宋" w:hAnsi="仿宋" w:eastAsia="仿宋" w:cs="仿宋"/>
                <w:color w:val="000000"/>
                <w:sz w:val="21"/>
                <w:szCs w:val="21"/>
                <w:lang w:val="en-US" w:eastAsia="zh-CN"/>
              </w:rPr>
              <w:t>3.6</w:t>
            </w:r>
            <w:r>
              <w:rPr>
                <w:rFonts w:hint="eastAsia" w:ascii="仿宋" w:hAnsi="仿宋" w:eastAsia="仿宋" w:cs="仿宋"/>
                <w:color w:val="000000"/>
                <w:sz w:val="21"/>
                <w:szCs w:val="21"/>
              </w:rPr>
              <w:t>%，抗病毒治疗</w:t>
            </w:r>
            <w:r>
              <w:rPr>
                <w:rFonts w:hint="eastAsia" w:ascii="仿宋" w:hAnsi="仿宋" w:eastAsia="仿宋" w:cs="仿宋"/>
                <w:color w:val="000000"/>
                <w:sz w:val="21"/>
                <w:szCs w:val="21"/>
                <w:lang w:val="en-US" w:eastAsia="zh-CN"/>
              </w:rPr>
              <w:t>795</w:t>
            </w:r>
            <w:r>
              <w:rPr>
                <w:rFonts w:hint="eastAsia" w:ascii="仿宋" w:hAnsi="仿宋" w:eastAsia="仿宋" w:cs="仿宋"/>
                <w:color w:val="000000"/>
                <w:sz w:val="21"/>
                <w:szCs w:val="21"/>
              </w:rPr>
              <w:t>人</w:t>
            </w:r>
            <w:r>
              <w:rPr>
                <w:rFonts w:hint="eastAsia" w:ascii="仿宋" w:hAnsi="仿宋" w:eastAsia="仿宋" w:cs="仿宋"/>
                <w:color w:val="000000"/>
                <w:sz w:val="21"/>
                <w:szCs w:val="21"/>
                <w:lang w:eastAsia="zh-CN"/>
              </w:rPr>
              <w:t>。</w:t>
            </w:r>
          </w:p>
        </w:tc>
      </w:tr>
      <w:tr>
        <w:tblPrEx>
          <w:tblCellMar>
            <w:top w:w="0" w:type="dxa"/>
            <w:left w:w="108" w:type="dxa"/>
            <w:bottom w:w="0" w:type="dxa"/>
            <w:right w:w="108" w:type="dxa"/>
          </w:tblCellMar>
        </w:tblPrEx>
        <w:trPr>
          <w:gridAfter w:val="1"/>
          <w:wAfter w:w="119" w:type="pct"/>
          <w:trHeight w:val="2330" w:hRule="atLeast"/>
        </w:trPr>
        <w:tc>
          <w:tcPr>
            <w:tcW w:w="472" w:type="pct"/>
            <w:vMerge w:val="continue"/>
            <w:tcBorders>
              <w:left w:val="single" w:color="000000" w:sz="4" w:space="0"/>
              <w:right w:val="single" w:color="000000" w:sz="4" w:space="0"/>
            </w:tcBorders>
            <w:shd w:val="clear" w:color="auto" w:fill="auto"/>
            <w:vAlign w:val="center"/>
          </w:tcPr>
          <w:p>
            <w:pPr>
              <w:spacing w:line="320" w:lineRule="exact"/>
              <w:jc w:val="center"/>
              <w:rPr>
                <w:color w:val="000000"/>
                <w:sz w:val="28"/>
                <w:szCs w:val="28"/>
              </w:rPr>
            </w:pPr>
          </w:p>
        </w:tc>
        <w:tc>
          <w:tcPr>
            <w:tcW w:w="411" w:type="pct"/>
            <w:vMerge w:val="continue"/>
            <w:tcBorders>
              <w:left w:val="single" w:color="000000" w:sz="4" w:space="0"/>
              <w:right w:val="single" w:color="000000" w:sz="4" w:space="0"/>
            </w:tcBorders>
            <w:shd w:val="clear" w:color="auto" w:fill="auto"/>
            <w:vAlign w:val="center"/>
          </w:tcPr>
          <w:p>
            <w:pPr>
              <w:widowControl/>
              <w:spacing w:line="320" w:lineRule="exact"/>
              <w:jc w:val="center"/>
              <w:textAlignment w:val="bottom"/>
              <w:rPr>
                <w:rFonts w:hint="eastAsia" w:ascii="仿宋" w:hAnsi="仿宋" w:eastAsia="仿宋" w:cs="仿宋"/>
                <w:color w:val="000000"/>
                <w:kern w:val="0"/>
                <w:sz w:val="21"/>
                <w:szCs w:val="21"/>
                <w:lang w:bidi="ar"/>
              </w:rPr>
            </w:pPr>
          </w:p>
        </w:tc>
        <w:tc>
          <w:tcPr>
            <w:tcW w:w="472" w:type="pct"/>
            <w:vMerge w:val="continue"/>
            <w:tcBorders>
              <w:left w:val="single" w:color="000000" w:sz="4" w:space="0"/>
              <w:bottom w:val="single" w:color="000000" w:sz="4" w:space="0"/>
              <w:right w:val="single" w:color="000000" w:sz="4" w:space="0"/>
            </w:tcBorders>
            <w:shd w:val="clear" w:color="auto" w:fill="auto"/>
            <w:vAlign w:val="center"/>
          </w:tcPr>
          <w:p>
            <w:pPr>
              <w:widowControl/>
              <w:spacing w:line="320" w:lineRule="exact"/>
              <w:jc w:val="both"/>
              <w:textAlignment w:val="bottom"/>
              <w:rPr>
                <w:rFonts w:hint="eastAsia" w:ascii="仿宋" w:hAnsi="仿宋" w:eastAsia="仿宋" w:cs="仿宋"/>
                <w:color w:val="000000"/>
                <w:kern w:val="0"/>
                <w:sz w:val="21"/>
                <w:szCs w:val="21"/>
                <w:lang w:bidi="ar"/>
              </w:rPr>
            </w:pPr>
          </w:p>
        </w:tc>
        <w:tc>
          <w:tcPr>
            <w:tcW w:w="770"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line="320" w:lineRule="exact"/>
              <w:jc w:val="both"/>
              <w:textAlignment w:val="bottom"/>
              <w:rPr>
                <w:rFonts w:hint="eastAsia" w:ascii="仿宋" w:hAnsi="仿宋" w:eastAsia="仿宋" w:cs="仿宋"/>
                <w:color w:val="000000"/>
                <w:sz w:val="21"/>
                <w:szCs w:val="21"/>
              </w:rPr>
            </w:pPr>
            <w:r>
              <w:rPr>
                <w:rFonts w:hint="eastAsia" w:ascii="仿宋" w:hAnsi="仿宋" w:eastAsia="仿宋" w:cs="仿宋"/>
                <w:color w:val="000000"/>
                <w:sz w:val="21"/>
                <w:szCs w:val="21"/>
              </w:rPr>
              <w:t>部门、乡镇/街办参与艾滋病防治</w:t>
            </w:r>
          </w:p>
        </w:tc>
        <w:tc>
          <w:tcPr>
            <w:tcW w:w="1372"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bottom"/>
              <w:rPr>
                <w:rFonts w:hint="eastAsia" w:ascii="仿宋" w:hAnsi="仿宋" w:eastAsia="仿宋" w:cs="仿宋"/>
                <w:color w:val="000000"/>
                <w:sz w:val="21"/>
                <w:szCs w:val="21"/>
              </w:rPr>
            </w:pPr>
            <w:r>
              <w:rPr>
                <w:rFonts w:hint="eastAsia" w:ascii="仿宋" w:hAnsi="仿宋" w:eastAsia="仿宋" w:cs="仿宋"/>
                <w:color w:val="000000"/>
                <w:sz w:val="21"/>
                <w:szCs w:val="21"/>
              </w:rPr>
              <w:t>开展宣传，干预，动员检测，追踪失访及未治疗感染者参与治疗，掌握</w:t>
            </w:r>
            <w:r>
              <w:rPr>
                <w:rFonts w:hint="eastAsia" w:ascii="仿宋" w:hAnsi="仿宋" w:eastAsia="仿宋" w:cs="仿宋"/>
                <w:color w:val="000000"/>
                <w:sz w:val="21"/>
                <w:szCs w:val="21"/>
                <w:lang w:val="en-US" w:eastAsia="zh-CN"/>
              </w:rPr>
              <w:t>感染</w:t>
            </w:r>
            <w:r>
              <w:rPr>
                <w:rFonts w:hint="eastAsia" w:ascii="仿宋" w:hAnsi="仿宋" w:eastAsia="仿宋" w:cs="仿宋"/>
                <w:color w:val="000000"/>
                <w:sz w:val="21"/>
                <w:szCs w:val="21"/>
              </w:rPr>
              <w:t>育龄妇女信息，随访管理、督导服药等</w:t>
            </w:r>
          </w:p>
        </w:tc>
        <w:tc>
          <w:tcPr>
            <w:tcW w:w="1380"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bottom"/>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全年</w:t>
            </w:r>
            <w:r>
              <w:rPr>
                <w:rFonts w:hint="eastAsia" w:ascii="仿宋" w:hAnsi="仿宋" w:eastAsia="仿宋" w:cs="仿宋"/>
                <w:color w:val="000000"/>
                <w:sz w:val="21"/>
                <w:szCs w:val="21"/>
              </w:rPr>
              <w:t>开展宣传，干预，动员检测</w:t>
            </w:r>
            <w:r>
              <w:rPr>
                <w:rFonts w:hint="eastAsia" w:ascii="仿宋" w:hAnsi="仿宋" w:eastAsia="仿宋" w:cs="仿宋"/>
                <w:color w:val="000000"/>
                <w:sz w:val="21"/>
                <w:szCs w:val="21"/>
                <w:lang w:val="en-US" w:eastAsia="zh-CN"/>
              </w:rPr>
              <w:t>等中大型活动13次</w:t>
            </w:r>
            <w:r>
              <w:rPr>
                <w:rFonts w:hint="eastAsia" w:ascii="仿宋" w:hAnsi="仿宋" w:eastAsia="仿宋" w:cs="仿宋"/>
                <w:color w:val="000000"/>
                <w:sz w:val="21"/>
                <w:szCs w:val="21"/>
              </w:rPr>
              <w:t>，追踪失访及未治疗感染者参与治疗</w:t>
            </w:r>
            <w:r>
              <w:rPr>
                <w:rFonts w:hint="eastAsia" w:ascii="仿宋" w:hAnsi="仿宋" w:eastAsia="仿宋" w:cs="仿宋"/>
                <w:color w:val="000000"/>
                <w:sz w:val="21"/>
                <w:szCs w:val="21"/>
                <w:lang w:val="en-US" w:eastAsia="zh-CN"/>
              </w:rPr>
              <w:t>382人次</w:t>
            </w:r>
            <w:r>
              <w:rPr>
                <w:rFonts w:hint="eastAsia" w:ascii="仿宋" w:hAnsi="仿宋" w:eastAsia="仿宋" w:cs="仿宋"/>
                <w:color w:val="000000"/>
                <w:sz w:val="21"/>
                <w:szCs w:val="21"/>
              </w:rPr>
              <w:t>，</w:t>
            </w:r>
            <w:r>
              <w:rPr>
                <w:rFonts w:hint="eastAsia" w:ascii="仿宋" w:hAnsi="仿宋" w:eastAsia="仿宋" w:cs="仿宋"/>
                <w:color w:val="000000"/>
                <w:sz w:val="21"/>
                <w:szCs w:val="21"/>
                <w:lang w:val="en-US" w:eastAsia="zh-CN"/>
              </w:rPr>
              <w:t>及时</w:t>
            </w:r>
            <w:r>
              <w:rPr>
                <w:rFonts w:hint="eastAsia" w:ascii="仿宋" w:hAnsi="仿宋" w:eastAsia="仿宋" w:cs="仿宋"/>
                <w:color w:val="000000"/>
                <w:sz w:val="21"/>
                <w:szCs w:val="21"/>
              </w:rPr>
              <w:t>掌握</w:t>
            </w:r>
            <w:r>
              <w:rPr>
                <w:rFonts w:hint="eastAsia" w:ascii="仿宋" w:hAnsi="仿宋" w:eastAsia="仿宋" w:cs="仿宋"/>
                <w:color w:val="000000"/>
                <w:sz w:val="21"/>
                <w:szCs w:val="21"/>
                <w:lang w:val="en-US" w:eastAsia="zh-CN"/>
              </w:rPr>
              <w:t>感染</w:t>
            </w:r>
            <w:r>
              <w:rPr>
                <w:rFonts w:hint="eastAsia" w:ascii="仿宋" w:hAnsi="仿宋" w:eastAsia="仿宋" w:cs="仿宋"/>
                <w:color w:val="000000"/>
                <w:sz w:val="21"/>
                <w:szCs w:val="21"/>
              </w:rPr>
              <w:t>育龄妇女信息</w:t>
            </w:r>
            <w:r>
              <w:rPr>
                <w:rFonts w:hint="eastAsia" w:ascii="仿宋" w:hAnsi="仿宋" w:eastAsia="仿宋" w:cs="仿宋"/>
                <w:color w:val="000000"/>
                <w:sz w:val="21"/>
                <w:szCs w:val="21"/>
                <w:lang w:val="en-US" w:eastAsia="zh-CN"/>
              </w:rPr>
              <w:t>8人</w:t>
            </w:r>
            <w:r>
              <w:rPr>
                <w:rFonts w:hint="eastAsia" w:ascii="仿宋" w:hAnsi="仿宋" w:eastAsia="仿宋" w:cs="仿宋"/>
                <w:color w:val="000000"/>
                <w:sz w:val="21"/>
                <w:szCs w:val="21"/>
              </w:rPr>
              <w:t>，</w:t>
            </w:r>
            <w:r>
              <w:rPr>
                <w:rFonts w:hint="eastAsia" w:ascii="仿宋" w:hAnsi="仿宋" w:eastAsia="仿宋" w:cs="仿宋"/>
                <w:color w:val="000000"/>
                <w:sz w:val="21"/>
                <w:szCs w:val="21"/>
                <w:lang w:val="en-US" w:eastAsia="zh-CN"/>
              </w:rPr>
              <w:t>经动员终止妊娠8人，规范</w:t>
            </w:r>
            <w:r>
              <w:rPr>
                <w:rFonts w:hint="eastAsia" w:ascii="仿宋" w:hAnsi="仿宋" w:eastAsia="仿宋" w:cs="仿宋"/>
                <w:color w:val="000000"/>
                <w:sz w:val="21"/>
                <w:szCs w:val="21"/>
              </w:rPr>
              <w:t>随访管理、督导服药</w:t>
            </w:r>
            <w:r>
              <w:rPr>
                <w:rFonts w:hint="eastAsia" w:ascii="仿宋" w:hAnsi="仿宋" w:eastAsia="仿宋" w:cs="仿宋"/>
                <w:color w:val="000000"/>
                <w:sz w:val="21"/>
                <w:szCs w:val="21"/>
                <w:lang w:val="en-US" w:eastAsia="zh-CN"/>
              </w:rPr>
              <w:t>5人</w:t>
            </w:r>
            <w:r>
              <w:rPr>
                <w:rFonts w:hint="eastAsia" w:ascii="仿宋" w:hAnsi="仿宋" w:eastAsia="仿宋" w:cs="仿宋"/>
                <w:color w:val="000000"/>
                <w:sz w:val="21"/>
                <w:szCs w:val="21"/>
              </w:rPr>
              <w:t>。</w:t>
            </w:r>
          </w:p>
        </w:tc>
      </w:tr>
      <w:tr>
        <w:tblPrEx>
          <w:tblCellMar>
            <w:top w:w="0" w:type="dxa"/>
            <w:left w:w="108" w:type="dxa"/>
            <w:bottom w:w="0" w:type="dxa"/>
            <w:right w:w="108" w:type="dxa"/>
          </w:tblCellMar>
        </w:tblPrEx>
        <w:trPr>
          <w:gridAfter w:val="1"/>
          <w:wAfter w:w="119" w:type="pct"/>
          <w:trHeight w:val="700" w:hRule="atLeast"/>
        </w:trPr>
        <w:tc>
          <w:tcPr>
            <w:tcW w:w="472" w:type="pct"/>
            <w:vMerge w:val="continue"/>
            <w:tcBorders>
              <w:left w:val="single" w:color="000000" w:sz="4" w:space="0"/>
              <w:right w:val="single" w:color="000000" w:sz="4" w:space="0"/>
            </w:tcBorders>
            <w:shd w:val="clear" w:color="auto" w:fill="auto"/>
            <w:vAlign w:val="center"/>
          </w:tcPr>
          <w:p>
            <w:pPr>
              <w:spacing w:line="320" w:lineRule="exact"/>
              <w:jc w:val="center"/>
              <w:rPr>
                <w:color w:val="000000"/>
                <w:sz w:val="28"/>
                <w:szCs w:val="28"/>
              </w:rPr>
            </w:pPr>
          </w:p>
        </w:tc>
        <w:tc>
          <w:tcPr>
            <w:tcW w:w="411" w:type="pct"/>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20" w:lineRule="exact"/>
              <w:jc w:val="center"/>
              <w:rPr>
                <w:rFonts w:hint="eastAsia" w:ascii="仿宋" w:hAnsi="仿宋" w:eastAsia="仿宋" w:cs="仿宋"/>
                <w:color w:val="000000"/>
                <w:sz w:val="21"/>
                <w:szCs w:val="21"/>
              </w:rPr>
            </w:pPr>
          </w:p>
        </w:tc>
        <w:tc>
          <w:tcPr>
            <w:tcW w:w="472" w:type="pct"/>
            <w:vMerge w:val="restart"/>
            <w:tcBorders>
              <w:top w:val="single" w:color="000000" w:sz="4" w:space="0"/>
              <w:left w:val="single" w:color="000000" w:sz="4" w:space="0"/>
              <w:right w:val="single" w:color="000000" w:sz="4" w:space="0"/>
            </w:tcBorders>
            <w:shd w:val="clear" w:color="auto" w:fill="auto"/>
            <w:vAlign w:val="center"/>
          </w:tcPr>
          <w:p>
            <w:pPr>
              <w:widowControl/>
              <w:spacing w:line="320" w:lineRule="exact"/>
              <w:jc w:val="both"/>
              <w:textAlignment w:val="bottom"/>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质量指标</w:t>
            </w:r>
          </w:p>
          <w:p>
            <w:pPr>
              <w:widowControl/>
              <w:spacing w:line="320" w:lineRule="exact"/>
              <w:jc w:val="both"/>
              <w:textAlignment w:val="bottom"/>
              <w:rPr>
                <w:rFonts w:hint="eastAsia" w:ascii="仿宋" w:hAnsi="仿宋" w:eastAsia="仿宋" w:cs="仿宋"/>
                <w:color w:val="000000"/>
                <w:kern w:val="0"/>
                <w:sz w:val="21"/>
                <w:szCs w:val="21"/>
                <w:lang w:bidi="ar"/>
              </w:rPr>
            </w:pPr>
          </w:p>
        </w:tc>
        <w:tc>
          <w:tcPr>
            <w:tcW w:w="770" w:type="pct"/>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line="320" w:lineRule="exact"/>
              <w:jc w:val="both"/>
              <w:textAlignment w:val="bottom"/>
              <w:rPr>
                <w:rFonts w:hint="eastAsia" w:ascii="仿宋" w:hAnsi="仿宋" w:eastAsia="仿宋" w:cs="仿宋"/>
                <w:color w:val="000000"/>
                <w:sz w:val="21"/>
                <w:szCs w:val="21"/>
              </w:rPr>
            </w:pPr>
            <w:r>
              <w:rPr>
                <w:rFonts w:hint="eastAsia" w:ascii="仿宋" w:hAnsi="仿宋" w:eastAsia="仿宋" w:cs="仿宋"/>
                <w:color w:val="000000"/>
                <w:sz w:val="21"/>
                <w:szCs w:val="21"/>
              </w:rPr>
              <w:t>吸毒人员美沙酮维持治疗</w:t>
            </w:r>
          </w:p>
          <w:p>
            <w:pPr>
              <w:keepNext w:val="0"/>
              <w:keepLines w:val="0"/>
              <w:pageBreakBefore w:val="0"/>
              <w:widowControl/>
              <w:numPr>
                <w:ilvl w:val="0"/>
                <w:numId w:val="0"/>
              </w:numPr>
              <w:kinsoku/>
              <w:wordWrap/>
              <w:overflowPunct/>
              <w:topLinePunct w:val="0"/>
              <w:autoSpaceDE/>
              <w:autoSpaceDN/>
              <w:bidi w:val="0"/>
              <w:adjustRightInd/>
              <w:snapToGrid/>
              <w:spacing w:line="320" w:lineRule="exact"/>
              <w:ind w:left="0" w:leftChars="0" w:firstLine="0" w:firstLineChars="0"/>
              <w:jc w:val="both"/>
              <w:textAlignment w:val="bottom"/>
              <w:rPr>
                <w:rFonts w:hint="eastAsia" w:ascii="仿宋" w:hAnsi="仿宋" w:eastAsia="仿宋" w:cs="仿宋"/>
                <w:color w:val="000000"/>
                <w:sz w:val="21"/>
                <w:szCs w:val="21"/>
              </w:rPr>
            </w:pPr>
          </w:p>
        </w:tc>
        <w:tc>
          <w:tcPr>
            <w:tcW w:w="1372" w:type="pct"/>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全年维持治疗率80%以上</w:t>
            </w:r>
          </w:p>
        </w:tc>
        <w:tc>
          <w:tcPr>
            <w:tcW w:w="1380" w:type="pct"/>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bottom"/>
              <w:rPr>
                <w:rFonts w:hint="eastAsia" w:ascii="仿宋" w:hAnsi="仿宋" w:eastAsia="仿宋" w:cs="仿宋"/>
                <w:color w:val="000000"/>
                <w:sz w:val="21"/>
                <w:szCs w:val="21"/>
              </w:rPr>
            </w:pPr>
            <w:r>
              <w:rPr>
                <w:rFonts w:hint="eastAsia" w:ascii="仿宋" w:hAnsi="仿宋" w:eastAsia="仿宋" w:cs="仿宋"/>
                <w:color w:val="000000"/>
                <w:sz w:val="21"/>
                <w:szCs w:val="21"/>
              </w:rPr>
              <w:t>全年维持治疗率</w:t>
            </w:r>
            <w:r>
              <w:rPr>
                <w:rFonts w:hint="eastAsia" w:ascii="仿宋" w:hAnsi="仿宋" w:eastAsia="仿宋" w:cs="仿宋"/>
                <w:color w:val="000000"/>
                <w:sz w:val="21"/>
                <w:szCs w:val="21"/>
                <w:lang w:val="en-US" w:eastAsia="zh-CN"/>
              </w:rPr>
              <w:t>87.72%</w:t>
            </w:r>
          </w:p>
        </w:tc>
      </w:tr>
      <w:tr>
        <w:tblPrEx>
          <w:tblCellMar>
            <w:top w:w="0" w:type="dxa"/>
            <w:left w:w="108" w:type="dxa"/>
            <w:bottom w:w="0" w:type="dxa"/>
            <w:right w:w="108" w:type="dxa"/>
          </w:tblCellMar>
        </w:tblPrEx>
        <w:trPr>
          <w:gridAfter w:val="1"/>
          <w:wAfter w:w="119" w:type="pct"/>
          <w:trHeight w:val="2860" w:hRule="atLeast"/>
        </w:trPr>
        <w:tc>
          <w:tcPr>
            <w:tcW w:w="472" w:type="pct"/>
            <w:vMerge w:val="continue"/>
            <w:tcBorders>
              <w:left w:val="single" w:color="000000" w:sz="4" w:space="0"/>
              <w:right w:val="single" w:color="000000" w:sz="4" w:space="0"/>
            </w:tcBorders>
            <w:shd w:val="clear" w:color="auto" w:fill="auto"/>
            <w:vAlign w:val="center"/>
          </w:tcPr>
          <w:p>
            <w:pPr>
              <w:spacing w:line="320" w:lineRule="exact"/>
              <w:jc w:val="center"/>
              <w:rPr>
                <w:color w:val="000000"/>
                <w:sz w:val="28"/>
                <w:szCs w:val="28"/>
              </w:rPr>
            </w:pPr>
          </w:p>
        </w:tc>
        <w:tc>
          <w:tcPr>
            <w:tcW w:w="411" w:type="pct"/>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20" w:lineRule="exact"/>
              <w:jc w:val="center"/>
              <w:rPr>
                <w:rFonts w:hint="eastAsia" w:ascii="仿宋" w:hAnsi="仿宋" w:eastAsia="仿宋" w:cs="仿宋"/>
                <w:color w:val="000000"/>
                <w:sz w:val="21"/>
                <w:szCs w:val="21"/>
              </w:rPr>
            </w:pPr>
          </w:p>
        </w:tc>
        <w:tc>
          <w:tcPr>
            <w:tcW w:w="472" w:type="pct"/>
            <w:vMerge w:val="continue"/>
            <w:tcBorders>
              <w:left w:val="single" w:color="000000" w:sz="4" w:space="0"/>
              <w:right w:val="single" w:color="000000" w:sz="4" w:space="0"/>
            </w:tcBorders>
            <w:shd w:val="clear" w:color="auto" w:fill="auto"/>
            <w:vAlign w:val="center"/>
          </w:tcPr>
          <w:p>
            <w:pPr>
              <w:widowControl/>
              <w:spacing w:line="320" w:lineRule="exact"/>
              <w:jc w:val="both"/>
              <w:textAlignment w:val="bottom"/>
              <w:rPr>
                <w:rFonts w:hint="eastAsia" w:ascii="仿宋" w:hAnsi="仿宋" w:eastAsia="仿宋" w:cs="仿宋"/>
                <w:color w:val="000000"/>
                <w:kern w:val="0"/>
                <w:sz w:val="21"/>
                <w:szCs w:val="21"/>
                <w:lang w:bidi="ar"/>
              </w:rPr>
            </w:pPr>
          </w:p>
        </w:tc>
        <w:tc>
          <w:tcPr>
            <w:tcW w:w="770" w:type="pc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line="320" w:lineRule="exact"/>
              <w:ind w:left="0" w:leftChars="0" w:firstLine="0" w:firstLineChars="0"/>
              <w:jc w:val="both"/>
              <w:textAlignment w:val="bottom"/>
              <w:rPr>
                <w:rFonts w:hint="eastAsia" w:ascii="仿宋" w:hAnsi="仿宋" w:eastAsia="仿宋" w:cs="仿宋"/>
                <w:color w:val="000000"/>
                <w:sz w:val="21"/>
                <w:szCs w:val="21"/>
              </w:rPr>
            </w:pPr>
            <w:r>
              <w:rPr>
                <w:rFonts w:hint="eastAsia" w:ascii="仿宋" w:hAnsi="仿宋" w:eastAsia="仿宋" w:cs="仿宋"/>
                <w:color w:val="000000"/>
                <w:sz w:val="21"/>
                <w:szCs w:val="21"/>
              </w:rPr>
              <w:t>落实各项防控措施</w:t>
            </w:r>
          </w:p>
        </w:tc>
        <w:tc>
          <w:tcPr>
            <w:tcW w:w="1372" w:type="pc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扩大检测新发现艾滋病感染者/病人不低于90例，随访检测比例、配偶检测率、结核筛查率达到上级考核要，通过实施患者随访管理、动员，使艾滋病患者抗病毒治疗率达到95%以上，治疗有效率达到94%</w:t>
            </w:r>
          </w:p>
        </w:tc>
        <w:tc>
          <w:tcPr>
            <w:tcW w:w="1380" w:type="pc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bottom"/>
              <w:rPr>
                <w:rFonts w:hint="eastAsia" w:ascii="仿宋" w:hAnsi="仿宋" w:eastAsia="仿宋" w:cs="仿宋"/>
                <w:color w:val="000000"/>
                <w:sz w:val="21"/>
                <w:szCs w:val="21"/>
              </w:rPr>
            </w:pPr>
            <w:r>
              <w:rPr>
                <w:rFonts w:hint="eastAsia" w:ascii="仿宋" w:hAnsi="仿宋" w:eastAsia="仿宋" w:cs="仿宋"/>
                <w:color w:val="000000"/>
                <w:sz w:val="21"/>
                <w:szCs w:val="21"/>
              </w:rPr>
              <w:t>扩大检测新发现艾滋病感染者/病人</w:t>
            </w:r>
            <w:r>
              <w:rPr>
                <w:rFonts w:hint="eastAsia" w:ascii="仿宋" w:hAnsi="仿宋" w:eastAsia="仿宋" w:cs="仿宋"/>
                <w:color w:val="000000"/>
                <w:sz w:val="21"/>
                <w:szCs w:val="21"/>
                <w:lang w:val="en-US" w:eastAsia="zh-CN"/>
              </w:rPr>
              <w:t>86</w:t>
            </w:r>
            <w:r>
              <w:rPr>
                <w:rFonts w:hint="eastAsia" w:ascii="仿宋" w:hAnsi="仿宋" w:eastAsia="仿宋" w:cs="仿宋"/>
                <w:color w:val="000000"/>
                <w:sz w:val="21"/>
                <w:szCs w:val="21"/>
              </w:rPr>
              <w:t>例</w:t>
            </w:r>
            <w:r>
              <w:rPr>
                <w:rFonts w:hint="eastAsia" w:ascii="仿宋" w:hAnsi="仿宋" w:eastAsia="仿宋" w:cs="仿宋"/>
                <w:color w:val="000000"/>
                <w:sz w:val="21"/>
                <w:szCs w:val="21"/>
                <w:lang w:eastAsia="zh-CN"/>
              </w:rPr>
              <w:t>；</w:t>
            </w:r>
            <w:r>
              <w:rPr>
                <w:rFonts w:hint="eastAsia" w:ascii="仿宋" w:hAnsi="仿宋" w:eastAsia="仿宋" w:cs="仿宋"/>
                <w:color w:val="000000"/>
                <w:sz w:val="21"/>
                <w:szCs w:val="21"/>
              </w:rPr>
              <w:t>随访检测比例、配偶检测率、结核筛查率</w:t>
            </w:r>
            <w:r>
              <w:rPr>
                <w:rFonts w:hint="eastAsia" w:ascii="仿宋" w:hAnsi="仿宋" w:eastAsia="仿宋" w:cs="仿宋"/>
                <w:color w:val="000000"/>
                <w:sz w:val="21"/>
                <w:szCs w:val="21"/>
                <w:lang w:val="en-US" w:eastAsia="zh-CN"/>
              </w:rPr>
              <w:t>全面</w:t>
            </w:r>
            <w:r>
              <w:rPr>
                <w:rFonts w:hint="eastAsia" w:ascii="仿宋" w:hAnsi="仿宋" w:eastAsia="仿宋" w:cs="仿宋"/>
                <w:color w:val="000000"/>
                <w:sz w:val="21"/>
                <w:szCs w:val="21"/>
              </w:rPr>
              <w:t>达到上级考核要</w:t>
            </w:r>
            <w:r>
              <w:rPr>
                <w:rFonts w:hint="eastAsia" w:ascii="仿宋" w:hAnsi="仿宋" w:eastAsia="仿宋" w:cs="仿宋"/>
                <w:color w:val="000000"/>
                <w:sz w:val="21"/>
                <w:szCs w:val="21"/>
                <w:lang w:val="en-US" w:eastAsia="zh-CN"/>
              </w:rPr>
              <w:t>求</w:t>
            </w:r>
            <w:r>
              <w:rPr>
                <w:rFonts w:hint="eastAsia" w:ascii="仿宋" w:hAnsi="仿宋" w:eastAsia="仿宋" w:cs="仿宋"/>
                <w:color w:val="000000"/>
                <w:sz w:val="21"/>
                <w:szCs w:val="21"/>
              </w:rPr>
              <w:t>，通过实施患者随访管理、动员，使艾滋病患者抗病毒治疗率达到9</w:t>
            </w:r>
            <w:r>
              <w:rPr>
                <w:rFonts w:hint="eastAsia" w:ascii="仿宋" w:hAnsi="仿宋" w:eastAsia="仿宋" w:cs="仿宋"/>
                <w:color w:val="000000"/>
                <w:sz w:val="21"/>
                <w:szCs w:val="21"/>
                <w:lang w:val="en-US" w:eastAsia="zh-CN"/>
              </w:rPr>
              <w:t>6.13</w:t>
            </w:r>
            <w:r>
              <w:rPr>
                <w:rFonts w:hint="eastAsia" w:ascii="仿宋" w:hAnsi="仿宋" w:eastAsia="仿宋" w:cs="仿宋"/>
                <w:color w:val="000000"/>
                <w:sz w:val="21"/>
                <w:szCs w:val="21"/>
              </w:rPr>
              <w:t>%，治疗有效率达到9</w:t>
            </w:r>
            <w:r>
              <w:rPr>
                <w:rFonts w:hint="eastAsia" w:ascii="仿宋" w:hAnsi="仿宋" w:eastAsia="仿宋" w:cs="仿宋"/>
                <w:color w:val="000000"/>
                <w:sz w:val="21"/>
                <w:szCs w:val="21"/>
                <w:lang w:val="en-US" w:eastAsia="zh-CN"/>
              </w:rPr>
              <w:t>6.88</w:t>
            </w:r>
            <w:r>
              <w:rPr>
                <w:rFonts w:hint="eastAsia" w:ascii="仿宋" w:hAnsi="仿宋" w:eastAsia="仿宋" w:cs="仿宋"/>
                <w:color w:val="000000"/>
                <w:sz w:val="21"/>
                <w:szCs w:val="21"/>
              </w:rPr>
              <w:t>%</w:t>
            </w:r>
            <w:r>
              <w:rPr>
                <w:rFonts w:hint="eastAsia" w:ascii="仿宋" w:hAnsi="仿宋" w:eastAsia="仿宋" w:cs="仿宋"/>
                <w:color w:val="000000"/>
                <w:sz w:val="21"/>
                <w:szCs w:val="21"/>
                <w:lang w:eastAsia="zh-CN"/>
              </w:rPr>
              <w:t>。</w:t>
            </w:r>
          </w:p>
        </w:tc>
      </w:tr>
      <w:tr>
        <w:tblPrEx>
          <w:tblCellMar>
            <w:top w:w="0" w:type="dxa"/>
            <w:left w:w="108" w:type="dxa"/>
            <w:bottom w:w="0" w:type="dxa"/>
            <w:right w:w="108" w:type="dxa"/>
          </w:tblCellMar>
        </w:tblPrEx>
        <w:trPr>
          <w:gridAfter w:val="1"/>
          <w:wAfter w:w="119" w:type="pct"/>
          <w:trHeight w:val="756" w:hRule="atLeast"/>
        </w:trPr>
        <w:tc>
          <w:tcPr>
            <w:tcW w:w="472" w:type="pct"/>
            <w:vMerge w:val="continue"/>
            <w:tcBorders>
              <w:left w:val="single" w:color="000000" w:sz="4" w:space="0"/>
              <w:right w:val="single" w:color="000000" w:sz="4" w:space="0"/>
            </w:tcBorders>
            <w:shd w:val="clear" w:color="auto" w:fill="auto"/>
            <w:vAlign w:val="center"/>
          </w:tcPr>
          <w:p>
            <w:pPr>
              <w:spacing w:line="320" w:lineRule="exact"/>
              <w:jc w:val="center"/>
              <w:rPr>
                <w:color w:val="000000"/>
                <w:sz w:val="28"/>
                <w:szCs w:val="28"/>
              </w:rPr>
            </w:pPr>
          </w:p>
        </w:tc>
        <w:tc>
          <w:tcPr>
            <w:tcW w:w="411" w:type="pct"/>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20" w:lineRule="exact"/>
              <w:jc w:val="center"/>
              <w:rPr>
                <w:rFonts w:hint="eastAsia" w:ascii="仿宋" w:hAnsi="仿宋" w:eastAsia="仿宋" w:cs="仿宋"/>
                <w:color w:val="000000"/>
                <w:sz w:val="21"/>
                <w:szCs w:val="21"/>
              </w:rPr>
            </w:pPr>
          </w:p>
        </w:tc>
        <w:tc>
          <w:tcPr>
            <w:tcW w:w="472" w:type="pct"/>
            <w:vMerge w:val="continue"/>
            <w:tcBorders>
              <w:left w:val="single" w:color="000000" w:sz="4" w:space="0"/>
              <w:bottom w:val="single" w:color="000000" w:sz="4" w:space="0"/>
              <w:right w:val="single" w:color="000000" w:sz="4" w:space="0"/>
            </w:tcBorders>
            <w:shd w:val="clear" w:color="auto" w:fill="auto"/>
            <w:vAlign w:val="center"/>
          </w:tcPr>
          <w:p>
            <w:pPr>
              <w:widowControl/>
              <w:spacing w:line="320" w:lineRule="exact"/>
              <w:jc w:val="both"/>
              <w:textAlignment w:val="bottom"/>
              <w:rPr>
                <w:rFonts w:hint="eastAsia" w:ascii="仿宋" w:hAnsi="仿宋" w:eastAsia="仿宋" w:cs="仿宋"/>
                <w:color w:val="000000"/>
                <w:kern w:val="0"/>
                <w:sz w:val="21"/>
                <w:szCs w:val="21"/>
                <w:lang w:bidi="ar"/>
              </w:rPr>
            </w:pPr>
          </w:p>
        </w:tc>
        <w:tc>
          <w:tcPr>
            <w:tcW w:w="770"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line="320" w:lineRule="exact"/>
              <w:ind w:left="0" w:leftChars="0" w:firstLine="0" w:firstLineChars="0"/>
              <w:jc w:val="both"/>
              <w:textAlignment w:val="bottom"/>
              <w:rPr>
                <w:rFonts w:hint="eastAsia" w:ascii="仿宋" w:hAnsi="仿宋" w:eastAsia="仿宋" w:cs="仿宋"/>
                <w:color w:val="000000"/>
                <w:sz w:val="21"/>
                <w:szCs w:val="21"/>
              </w:rPr>
            </w:pPr>
            <w:r>
              <w:rPr>
                <w:rFonts w:hint="eastAsia" w:ascii="仿宋" w:hAnsi="仿宋" w:eastAsia="仿宋" w:cs="仿宋"/>
                <w:color w:val="000000"/>
                <w:sz w:val="21"/>
                <w:szCs w:val="21"/>
              </w:rPr>
              <w:t>部门、乡镇/街办参与艾滋病防治</w:t>
            </w:r>
          </w:p>
        </w:tc>
        <w:tc>
          <w:tcPr>
            <w:tcW w:w="1372"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艾滋病防治知识知晓率90%以上，常住人口HIV筛查率25%以上，治疗覆盖率90%以上。</w:t>
            </w:r>
          </w:p>
        </w:tc>
        <w:tc>
          <w:tcPr>
            <w:tcW w:w="1380"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bottom"/>
              <w:rPr>
                <w:rFonts w:hint="eastAsia" w:ascii="仿宋" w:hAnsi="仿宋" w:eastAsia="仿宋" w:cs="仿宋"/>
                <w:color w:val="000000"/>
                <w:sz w:val="21"/>
                <w:szCs w:val="21"/>
              </w:rPr>
            </w:pPr>
            <w:r>
              <w:rPr>
                <w:rFonts w:hint="eastAsia" w:ascii="仿宋" w:hAnsi="仿宋" w:eastAsia="仿宋" w:cs="仿宋"/>
                <w:color w:val="000000"/>
                <w:sz w:val="21"/>
                <w:szCs w:val="21"/>
              </w:rPr>
              <w:t>艾滋病防治知识知晓率9</w:t>
            </w:r>
            <w:r>
              <w:rPr>
                <w:rFonts w:hint="eastAsia" w:ascii="仿宋" w:hAnsi="仿宋" w:eastAsia="仿宋" w:cs="仿宋"/>
                <w:color w:val="000000"/>
                <w:sz w:val="21"/>
                <w:szCs w:val="21"/>
                <w:lang w:val="en-US" w:eastAsia="zh-CN"/>
              </w:rPr>
              <w:t>4.3</w:t>
            </w:r>
            <w:r>
              <w:rPr>
                <w:rFonts w:hint="eastAsia" w:ascii="仿宋" w:hAnsi="仿宋" w:eastAsia="仿宋" w:cs="仿宋"/>
                <w:color w:val="000000"/>
                <w:sz w:val="21"/>
                <w:szCs w:val="21"/>
              </w:rPr>
              <w:t>%以上，常住人口HIV筛查率</w:t>
            </w:r>
            <w:r>
              <w:rPr>
                <w:rFonts w:hint="eastAsia" w:ascii="仿宋" w:hAnsi="仿宋" w:eastAsia="仿宋" w:cs="仿宋"/>
                <w:color w:val="000000"/>
                <w:sz w:val="21"/>
                <w:szCs w:val="21"/>
                <w:lang w:val="en-US" w:eastAsia="zh-CN"/>
              </w:rPr>
              <w:t>37.28</w:t>
            </w:r>
            <w:r>
              <w:rPr>
                <w:rFonts w:hint="eastAsia" w:ascii="仿宋" w:hAnsi="仿宋" w:eastAsia="仿宋" w:cs="仿宋"/>
                <w:color w:val="000000"/>
                <w:sz w:val="21"/>
                <w:szCs w:val="21"/>
              </w:rPr>
              <w:t>%，治疗覆盖率9</w:t>
            </w:r>
            <w:r>
              <w:rPr>
                <w:rFonts w:hint="eastAsia" w:ascii="仿宋" w:hAnsi="仿宋" w:eastAsia="仿宋" w:cs="仿宋"/>
                <w:color w:val="000000"/>
                <w:sz w:val="21"/>
                <w:szCs w:val="21"/>
                <w:lang w:val="en-US" w:eastAsia="zh-CN"/>
              </w:rPr>
              <w:t>6.13</w:t>
            </w:r>
            <w:r>
              <w:rPr>
                <w:rFonts w:hint="eastAsia" w:ascii="仿宋" w:hAnsi="仿宋" w:eastAsia="仿宋" w:cs="仿宋"/>
                <w:color w:val="000000"/>
                <w:sz w:val="21"/>
                <w:szCs w:val="21"/>
              </w:rPr>
              <w:t>%。</w:t>
            </w:r>
          </w:p>
        </w:tc>
      </w:tr>
      <w:tr>
        <w:tblPrEx>
          <w:tblCellMar>
            <w:top w:w="0" w:type="dxa"/>
            <w:left w:w="108" w:type="dxa"/>
            <w:bottom w:w="0" w:type="dxa"/>
            <w:right w:w="108" w:type="dxa"/>
          </w:tblCellMar>
        </w:tblPrEx>
        <w:trPr>
          <w:gridAfter w:val="1"/>
          <w:wAfter w:w="119" w:type="pct"/>
          <w:trHeight w:val="480" w:hRule="atLeast"/>
        </w:trPr>
        <w:tc>
          <w:tcPr>
            <w:tcW w:w="472" w:type="pct"/>
            <w:vMerge w:val="continue"/>
            <w:tcBorders>
              <w:left w:val="single" w:color="000000" w:sz="4" w:space="0"/>
              <w:right w:val="single" w:color="000000" w:sz="4" w:space="0"/>
            </w:tcBorders>
            <w:shd w:val="clear" w:color="auto" w:fill="auto"/>
            <w:vAlign w:val="center"/>
          </w:tcPr>
          <w:p>
            <w:pPr>
              <w:spacing w:line="320" w:lineRule="exact"/>
              <w:jc w:val="center"/>
              <w:rPr>
                <w:color w:val="000000"/>
                <w:sz w:val="28"/>
                <w:szCs w:val="28"/>
              </w:rPr>
            </w:pPr>
          </w:p>
        </w:tc>
        <w:tc>
          <w:tcPr>
            <w:tcW w:w="411" w:type="pct"/>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20" w:lineRule="exact"/>
              <w:jc w:val="center"/>
              <w:rPr>
                <w:rFonts w:hint="eastAsia" w:ascii="仿宋" w:hAnsi="仿宋" w:eastAsia="仿宋" w:cs="仿宋"/>
                <w:color w:val="000000"/>
                <w:sz w:val="21"/>
                <w:szCs w:val="21"/>
              </w:rPr>
            </w:pP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both"/>
              <w:textAlignment w:val="bottom"/>
              <w:rPr>
                <w:rFonts w:hint="eastAsia" w:ascii="仿宋" w:hAnsi="仿宋" w:eastAsia="仿宋" w:cs="仿宋"/>
                <w:color w:val="000000"/>
                <w:sz w:val="21"/>
                <w:szCs w:val="21"/>
              </w:rPr>
            </w:pPr>
            <w:r>
              <w:rPr>
                <w:rFonts w:hint="eastAsia" w:ascii="仿宋" w:hAnsi="仿宋" w:eastAsia="仿宋" w:cs="仿宋"/>
                <w:color w:val="000000"/>
                <w:kern w:val="0"/>
                <w:sz w:val="21"/>
                <w:szCs w:val="21"/>
                <w:lang w:bidi="ar"/>
              </w:rPr>
              <w:t>时效指标</w:t>
            </w:r>
          </w:p>
        </w:tc>
        <w:tc>
          <w:tcPr>
            <w:tcW w:w="7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bottom"/>
              <w:rPr>
                <w:rFonts w:hint="eastAsia" w:ascii="仿宋" w:hAnsi="仿宋" w:eastAsia="仿宋" w:cs="仿宋"/>
                <w:color w:val="000000"/>
                <w:sz w:val="21"/>
                <w:szCs w:val="21"/>
              </w:rPr>
            </w:pPr>
            <w:r>
              <w:rPr>
                <w:rFonts w:hint="eastAsia" w:ascii="仿宋" w:hAnsi="仿宋" w:eastAsia="仿宋" w:cs="仿宋"/>
                <w:color w:val="000000"/>
                <w:sz w:val="21"/>
                <w:szCs w:val="21"/>
              </w:rPr>
              <w:t>按照2022年艾滋病综合防治工作计划开展工作</w:t>
            </w:r>
          </w:p>
        </w:tc>
        <w:tc>
          <w:tcPr>
            <w:tcW w:w="137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bottom"/>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2</w:t>
            </w:r>
            <w:r>
              <w:rPr>
                <w:rFonts w:hint="eastAsia" w:ascii="仿宋" w:hAnsi="仿宋" w:eastAsia="仿宋" w:cs="仿宋"/>
                <w:color w:val="000000"/>
                <w:sz w:val="21"/>
                <w:szCs w:val="21"/>
              </w:rPr>
              <w:t>02</w:t>
            </w:r>
            <w:r>
              <w:rPr>
                <w:rFonts w:hint="eastAsia" w:ascii="仿宋" w:hAnsi="仿宋" w:eastAsia="仿宋" w:cs="仿宋"/>
                <w:color w:val="000000"/>
                <w:sz w:val="21"/>
                <w:szCs w:val="21"/>
                <w:lang w:val="en-US" w:eastAsia="zh-CN"/>
              </w:rPr>
              <w:t>2</w:t>
            </w:r>
            <w:r>
              <w:rPr>
                <w:rFonts w:hint="eastAsia" w:ascii="仿宋" w:hAnsi="仿宋" w:eastAsia="仿宋" w:cs="仿宋"/>
                <w:color w:val="000000"/>
                <w:sz w:val="21"/>
                <w:szCs w:val="21"/>
              </w:rPr>
              <w:t>年1月至202</w:t>
            </w:r>
            <w:r>
              <w:rPr>
                <w:rFonts w:hint="eastAsia" w:ascii="仿宋" w:hAnsi="仿宋" w:eastAsia="仿宋" w:cs="仿宋"/>
                <w:color w:val="000000"/>
                <w:sz w:val="21"/>
                <w:szCs w:val="21"/>
                <w:lang w:val="en-US" w:eastAsia="zh-CN"/>
              </w:rPr>
              <w:t>2</w:t>
            </w:r>
            <w:r>
              <w:rPr>
                <w:rFonts w:hint="eastAsia" w:ascii="仿宋" w:hAnsi="仿宋" w:eastAsia="仿宋" w:cs="仿宋"/>
                <w:color w:val="000000"/>
                <w:sz w:val="21"/>
                <w:szCs w:val="21"/>
              </w:rPr>
              <w:t>年12月落实工作措施，12月底各项考核指标任务达到上级要求</w:t>
            </w:r>
          </w:p>
        </w:tc>
        <w:tc>
          <w:tcPr>
            <w:tcW w:w="138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bottom"/>
              <w:rPr>
                <w:rFonts w:hint="eastAsia" w:ascii="仿宋" w:hAnsi="仿宋" w:eastAsia="仿宋" w:cs="仿宋"/>
                <w:color w:val="000000"/>
                <w:sz w:val="21"/>
                <w:szCs w:val="21"/>
              </w:rPr>
            </w:pPr>
            <w:r>
              <w:rPr>
                <w:rFonts w:hint="eastAsia" w:ascii="仿宋" w:hAnsi="仿宋" w:eastAsia="仿宋" w:cs="仿宋"/>
                <w:color w:val="000000"/>
                <w:sz w:val="21"/>
                <w:szCs w:val="21"/>
              </w:rPr>
              <w:t>12月底各项考核指标任务</w:t>
            </w:r>
            <w:r>
              <w:rPr>
                <w:rFonts w:hint="eastAsia" w:ascii="仿宋" w:hAnsi="仿宋" w:eastAsia="仿宋" w:cs="仿宋"/>
                <w:color w:val="000000"/>
                <w:sz w:val="21"/>
                <w:szCs w:val="21"/>
                <w:lang w:val="en-US" w:eastAsia="zh-CN"/>
              </w:rPr>
              <w:t>全面</w:t>
            </w:r>
            <w:r>
              <w:rPr>
                <w:rFonts w:hint="eastAsia" w:ascii="仿宋" w:hAnsi="仿宋" w:eastAsia="仿宋" w:cs="仿宋"/>
                <w:color w:val="000000"/>
                <w:sz w:val="21"/>
                <w:szCs w:val="21"/>
              </w:rPr>
              <w:t>达到上级要求</w:t>
            </w:r>
          </w:p>
        </w:tc>
      </w:tr>
      <w:tr>
        <w:tblPrEx>
          <w:tblCellMar>
            <w:top w:w="0" w:type="dxa"/>
            <w:left w:w="108" w:type="dxa"/>
            <w:bottom w:w="0" w:type="dxa"/>
            <w:right w:w="108" w:type="dxa"/>
          </w:tblCellMar>
        </w:tblPrEx>
        <w:trPr>
          <w:gridAfter w:val="1"/>
          <w:wAfter w:w="119" w:type="pct"/>
          <w:trHeight w:val="480" w:hRule="atLeast"/>
        </w:trPr>
        <w:tc>
          <w:tcPr>
            <w:tcW w:w="472" w:type="pct"/>
            <w:vMerge w:val="continue"/>
            <w:tcBorders>
              <w:left w:val="single" w:color="000000" w:sz="4" w:space="0"/>
              <w:right w:val="single" w:color="000000" w:sz="4" w:space="0"/>
            </w:tcBorders>
            <w:shd w:val="clear" w:color="auto" w:fill="auto"/>
            <w:vAlign w:val="center"/>
          </w:tcPr>
          <w:p>
            <w:pPr>
              <w:spacing w:line="320" w:lineRule="exact"/>
              <w:jc w:val="center"/>
              <w:rPr>
                <w:color w:val="000000"/>
                <w:sz w:val="28"/>
                <w:szCs w:val="28"/>
              </w:rPr>
            </w:pPr>
          </w:p>
        </w:tc>
        <w:tc>
          <w:tcPr>
            <w:tcW w:w="411" w:type="pct"/>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20" w:lineRule="exact"/>
              <w:jc w:val="center"/>
              <w:rPr>
                <w:rFonts w:hint="eastAsia" w:ascii="仿宋" w:hAnsi="仿宋" w:eastAsia="仿宋" w:cs="仿宋"/>
                <w:color w:val="000000"/>
                <w:sz w:val="21"/>
                <w:szCs w:val="21"/>
              </w:rPr>
            </w:pP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both"/>
              <w:textAlignment w:val="bottom"/>
              <w:rPr>
                <w:rFonts w:hint="eastAsia" w:ascii="仿宋" w:hAnsi="仿宋" w:eastAsia="仿宋" w:cs="仿宋"/>
                <w:color w:val="000000"/>
                <w:sz w:val="21"/>
                <w:szCs w:val="21"/>
              </w:rPr>
            </w:pPr>
            <w:r>
              <w:rPr>
                <w:rFonts w:hint="eastAsia" w:ascii="仿宋" w:hAnsi="仿宋" w:eastAsia="仿宋" w:cs="仿宋"/>
                <w:color w:val="000000"/>
                <w:kern w:val="0"/>
                <w:sz w:val="21"/>
                <w:szCs w:val="21"/>
                <w:lang w:bidi="ar"/>
              </w:rPr>
              <w:t>成本指标</w:t>
            </w:r>
          </w:p>
        </w:tc>
        <w:tc>
          <w:tcPr>
            <w:tcW w:w="77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both"/>
              <w:textAlignment w:val="bottom"/>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吸毒人员美沙酮维持治疗维持艾滋病病人抗病毒治疗</w:t>
            </w:r>
          </w:p>
        </w:tc>
        <w:tc>
          <w:tcPr>
            <w:tcW w:w="13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both"/>
              <w:textAlignment w:val="bottom"/>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55.00万</w:t>
            </w:r>
          </w:p>
        </w:tc>
        <w:tc>
          <w:tcPr>
            <w:tcW w:w="138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both"/>
              <w:textAlignment w:val="bottom"/>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1.1万元</w:t>
            </w:r>
          </w:p>
        </w:tc>
      </w:tr>
      <w:tr>
        <w:tblPrEx>
          <w:tblCellMar>
            <w:top w:w="0" w:type="dxa"/>
            <w:left w:w="108" w:type="dxa"/>
            <w:bottom w:w="0" w:type="dxa"/>
            <w:right w:w="108" w:type="dxa"/>
          </w:tblCellMar>
        </w:tblPrEx>
        <w:trPr>
          <w:gridAfter w:val="1"/>
          <w:wAfter w:w="119" w:type="pct"/>
          <w:trHeight w:val="2815" w:hRule="atLeast"/>
        </w:trPr>
        <w:tc>
          <w:tcPr>
            <w:tcW w:w="472" w:type="pct"/>
            <w:vMerge w:val="continue"/>
            <w:tcBorders>
              <w:left w:val="single" w:color="000000" w:sz="4" w:space="0"/>
              <w:right w:val="single" w:color="000000" w:sz="4" w:space="0"/>
            </w:tcBorders>
            <w:shd w:val="clear" w:color="auto" w:fill="auto"/>
            <w:vAlign w:val="center"/>
          </w:tcPr>
          <w:p>
            <w:pPr>
              <w:spacing w:line="320" w:lineRule="exact"/>
              <w:jc w:val="center"/>
              <w:rPr>
                <w:color w:val="000000"/>
                <w:sz w:val="28"/>
                <w:szCs w:val="28"/>
              </w:rPr>
            </w:pPr>
          </w:p>
        </w:tc>
        <w:tc>
          <w:tcPr>
            <w:tcW w:w="411" w:type="pct"/>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20" w:lineRule="exact"/>
              <w:jc w:val="center"/>
              <w:rPr>
                <w:rFonts w:hint="eastAsia" w:ascii="仿宋" w:hAnsi="仿宋" w:eastAsia="仿宋" w:cs="仿宋"/>
                <w:color w:val="000000"/>
                <w:sz w:val="21"/>
                <w:szCs w:val="21"/>
              </w:rPr>
            </w:pP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both"/>
              <w:textAlignment w:val="bottom"/>
              <w:rPr>
                <w:rFonts w:hint="eastAsia" w:ascii="仿宋" w:hAnsi="仿宋" w:eastAsia="仿宋" w:cs="仿宋"/>
                <w:color w:val="000000"/>
                <w:sz w:val="21"/>
                <w:szCs w:val="21"/>
              </w:rPr>
            </w:pPr>
            <w:r>
              <w:rPr>
                <w:rFonts w:hint="eastAsia" w:ascii="仿宋" w:hAnsi="仿宋" w:eastAsia="仿宋" w:cs="仿宋"/>
                <w:color w:val="000000"/>
                <w:kern w:val="0"/>
                <w:sz w:val="21"/>
                <w:szCs w:val="21"/>
                <w:lang w:bidi="ar"/>
              </w:rPr>
              <w:t>社会效益指标</w:t>
            </w:r>
          </w:p>
        </w:tc>
        <w:tc>
          <w:tcPr>
            <w:tcW w:w="7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bottom"/>
              <w:rPr>
                <w:rFonts w:hint="eastAsia" w:ascii="仿宋" w:hAnsi="仿宋" w:eastAsia="仿宋" w:cs="仿宋"/>
                <w:color w:val="000000"/>
                <w:sz w:val="21"/>
                <w:szCs w:val="21"/>
              </w:rPr>
            </w:pPr>
            <w:r>
              <w:rPr>
                <w:rFonts w:hint="eastAsia" w:ascii="仿宋" w:hAnsi="仿宋" w:eastAsia="仿宋" w:cs="仿宋"/>
                <w:color w:val="000000"/>
                <w:sz w:val="21"/>
                <w:szCs w:val="21"/>
              </w:rPr>
              <w:t>遏制艾滋病传播流行，降低社会危害</w:t>
            </w:r>
          </w:p>
        </w:tc>
        <w:tc>
          <w:tcPr>
            <w:tcW w:w="137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bottom"/>
              <w:rPr>
                <w:rFonts w:hint="eastAsia" w:ascii="仿宋" w:hAnsi="仿宋" w:eastAsia="仿宋" w:cs="仿宋"/>
                <w:color w:val="000000"/>
                <w:sz w:val="21"/>
                <w:szCs w:val="21"/>
              </w:rPr>
            </w:pPr>
            <w:r>
              <w:rPr>
                <w:rFonts w:hint="eastAsia" w:ascii="仿宋" w:hAnsi="仿宋" w:eastAsia="仿宋" w:cs="仿宋"/>
                <w:color w:val="000000"/>
                <w:sz w:val="21"/>
                <w:szCs w:val="21"/>
              </w:rPr>
              <w:t>通过持续开展工作，遏制艾滋病流行，降低艾滋病社会危害，减少艾滋病流行所致的经济负担、社会负担，提升人民群众健康水平，保持经济社会稳定发展</w:t>
            </w:r>
          </w:p>
        </w:tc>
        <w:tc>
          <w:tcPr>
            <w:tcW w:w="138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bottom"/>
              <w:rPr>
                <w:rFonts w:hint="eastAsia" w:ascii="仿宋" w:hAnsi="仿宋" w:eastAsia="仿宋" w:cs="仿宋"/>
                <w:color w:val="000000"/>
                <w:sz w:val="21"/>
                <w:szCs w:val="21"/>
              </w:rPr>
            </w:pPr>
            <w:r>
              <w:rPr>
                <w:rFonts w:hint="eastAsia" w:ascii="仿宋" w:hAnsi="仿宋" w:eastAsia="仿宋" w:cs="仿宋"/>
                <w:color w:val="000000"/>
                <w:sz w:val="21"/>
                <w:szCs w:val="21"/>
              </w:rPr>
              <w:t>通过持续开展工作，艾滋病流行</w:t>
            </w:r>
            <w:r>
              <w:rPr>
                <w:rFonts w:hint="eastAsia" w:ascii="仿宋" w:hAnsi="仿宋" w:eastAsia="仿宋" w:cs="仿宋"/>
                <w:color w:val="000000"/>
                <w:sz w:val="21"/>
                <w:szCs w:val="21"/>
                <w:lang w:val="en-US" w:eastAsia="zh-CN"/>
              </w:rPr>
              <w:t>得到遏制并处于低流行状态</w:t>
            </w:r>
            <w:r>
              <w:rPr>
                <w:rFonts w:hint="eastAsia" w:ascii="仿宋" w:hAnsi="仿宋" w:eastAsia="仿宋" w:cs="仿宋"/>
                <w:color w:val="000000"/>
                <w:sz w:val="21"/>
                <w:szCs w:val="21"/>
              </w:rPr>
              <w:t>，</w:t>
            </w:r>
            <w:r>
              <w:rPr>
                <w:rFonts w:hint="eastAsia" w:ascii="仿宋" w:hAnsi="仿宋" w:eastAsia="仿宋" w:cs="仿宋"/>
                <w:color w:val="000000"/>
                <w:sz w:val="21"/>
                <w:szCs w:val="21"/>
                <w:lang w:val="en-US" w:eastAsia="zh-CN"/>
              </w:rPr>
              <w:t>我区新发报告感染者较2021年降低27.2%，切实</w:t>
            </w:r>
            <w:r>
              <w:rPr>
                <w:rFonts w:hint="eastAsia" w:ascii="仿宋" w:hAnsi="仿宋" w:eastAsia="仿宋" w:cs="仿宋"/>
                <w:color w:val="000000"/>
                <w:sz w:val="21"/>
                <w:szCs w:val="21"/>
              </w:rPr>
              <w:t>降低艾滋病社会危害，减少艾滋病流行所致的经济负担、社会负担，提升</w:t>
            </w:r>
            <w:r>
              <w:rPr>
                <w:rFonts w:hint="eastAsia" w:ascii="仿宋" w:hAnsi="仿宋" w:eastAsia="仿宋" w:cs="仿宋"/>
                <w:color w:val="000000"/>
                <w:sz w:val="21"/>
                <w:szCs w:val="21"/>
                <w:lang w:val="en-US" w:eastAsia="zh-CN"/>
              </w:rPr>
              <w:t>了</w:t>
            </w:r>
            <w:r>
              <w:rPr>
                <w:rFonts w:hint="eastAsia" w:ascii="仿宋" w:hAnsi="仿宋" w:eastAsia="仿宋" w:cs="仿宋"/>
                <w:color w:val="000000"/>
                <w:sz w:val="21"/>
                <w:szCs w:val="21"/>
              </w:rPr>
              <w:t>人民群众健康水平，保持</w:t>
            </w:r>
            <w:r>
              <w:rPr>
                <w:rFonts w:hint="eastAsia" w:ascii="仿宋" w:hAnsi="仿宋" w:eastAsia="仿宋" w:cs="仿宋"/>
                <w:color w:val="000000"/>
                <w:sz w:val="21"/>
                <w:szCs w:val="21"/>
                <w:lang w:val="en-US" w:eastAsia="zh-CN"/>
              </w:rPr>
              <w:t>了</w:t>
            </w:r>
            <w:r>
              <w:rPr>
                <w:rFonts w:hint="eastAsia" w:ascii="仿宋" w:hAnsi="仿宋" w:eastAsia="仿宋" w:cs="仿宋"/>
                <w:color w:val="000000"/>
                <w:sz w:val="21"/>
                <w:szCs w:val="21"/>
              </w:rPr>
              <w:t>经济社会稳定发展</w:t>
            </w:r>
            <w:r>
              <w:rPr>
                <w:rFonts w:hint="eastAsia" w:ascii="仿宋" w:hAnsi="仿宋" w:eastAsia="仿宋" w:cs="仿宋"/>
                <w:color w:val="000000"/>
                <w:sz w:val="21"/>
                <w:szCs w:val="21"/>
                <w:lang w:eastAsia="zh-CN"/>
              </w:rPr>
              <w:t>。</w:t>
            </w:r>
          </w:p>
        </w:tc>
      </w:tr>
      <w:tr>
        <w:tblPrEx>
          <w:tblCellMar>
            <w:top w:w="0" w:type="dxa"/>
            <w:left w:w="108" w:type="dxa"/>
            <w:bottom w:w="0" w:type="dxa"/>
            <w:right w:w="108" w:type="dxa"/>
          </w:tblCellMar>
        </w:tblPrEx>
        <w:trPr>
          <w:gridAfter w:val="1"/>
          <w:wAfter w:w="119" w:type="pct"/>
          <w:trHeight w:val="1400" w:hRule="atLeast"/>
        </w:trPr>
        <w:tc>
          <w:tcPr>
            <w:tcW w:w="472" w:type="pct"/>
            <w:vMerge w:val="continue"/>
            <w:tcBorders>
              <w:left w:val="single" w:color="000000" w:sz="4" w:space="0"/>
              <w:bottom w:val="single" w:color="000000" w:sz="4" w:space="0"/>
              <w:right w:val="single" w:color="000000" w:sz="4" w:space="0"/>
            </w:tcBorders>
            <w:shd w:val="clear" w:color="auto" w:fill="auto"/>
            <w:vAlign w:val="center"/>
          </w:tcPr>
          <w:p>
            <w:pPr>
              <w:spacing w:line="320" w:lineRule="exact"/>
              <w:jc w:val="center"/>
              <w:rPr>
                <w:color w:val="000000"/>
                <w:sz w:val="28"/>
                <w:szCs w:val="28"/>
              </w:rPr>
            </w:pP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both"/>
              <w:textAlignment w:val="bottom"/>
              <w:rPr>
                <w:rFonts w:hint="eastAsia" w:ascii="仿宋" w:hAnsi="仿宋" w:eastAsia="仿宋" w:cs="仿宋"/>
                <w:color w:val="000000"/>
                <w:sz w:val="21"/>
                <w:szCs w:val="21"/>
              </w:rPr>
            </w:pPr>
            <w:r>
              <w:rPr>
                <w:rFonts w:hint="eastAsia" w:ascii="仿宋" w:hAnsi="仿宋" w:eastAsia="仿宋" w:cs="仿宋"/>
                <w:color w:val="000000"/>
                <w:kern w:val="0"/>
                <w:sz w:val="21"/>
                <w:szCs w:val="21"/>
                <w:lang w:bidi="ar"/>
              </w:rPr>
              <w:t>满意度指标</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both"/>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服务对象满意度指标</w:t>
            </w:r>
          </w:p>
        </w:tc>
        <w:tc>
          <w:tcPr>
            <w:tcW w:w="7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高危人群满意度</w:t>
            </w:r>
            <w:r>
              <w:rPr>
                <w:rFonts w:hint="eastAsia" w:ascii="仿宋" w:hAnsi="仿宋" w:eastAsia="仿宋" w:cs="仿宋"/>
                <w:color w:val="000000"/>
                <w:sz w:val="21"/>
                <w:szCs w:val="21"/>
                <w:lang w:val="en-US" w:eastAsia="zh-CN"/>
              </w:rPr>
              <w:t>,艾滋病患者满意度</w:t>
            </w:r>
          </w:p>
        </w:tc>
        <w:tc>
          <w:tcPr>
            <w:tcW w:w="137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抽样调查满意度达到85%及以上</w:t>
            </w:r>
          </w:p>
        </w:tc>
        <w:tc>
          <w:tcPr>
            <w:tcW w:w="138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抽样调查满意度达到</w:t>
            </w:r>
            <w:r>
              <w:rPr>
                <w:rFonts w:hint="eastAsia" w:ascii="仿宋" w:hAnsi="仿宋" w:eastAsia="仿宋" w:cs="仿宋"/>
                <w:color w:val="000000"/>
                <w:sz w:val="21"/>
                <w:szCs w:val="21"/>
                <w:lang w:val="en-US" w:eastAsia="zh-CN"/>
              </w:rPr>
              <w:t>88.37</w:t>
            </w:r>
            <w:r>
              <w:rPr>
                <w:rFonts w:hint="eastAsia" w:ascii="仿宋" w:hAnsi="仿宋" w:eastAsia="仿宋" w:cs="仿宋"/>
                <w:color w:val="000000"/>
                <w:sz w:val="21"/>
                <w:szCs w:val="21"/>
              </w:rPr>
              <w:t>%</w:t>
            </w:r>
          </w:p>
        </w:tc>
      </w:tr>
    </w:tbl>
    <w:p/>
    <w:p/>
    <w:p>
      <w:pPr>
        <w:tabs>
          <w:tab w:val="left" w:pos="1440"/>
        </w:tabs>
        <w:spacing w:line="560" w:lineRule="exact"/>
        <w:rPr>
          <w:rFonts w:ascii="宋体" w:hAnsi="宋体" w:eastAsia="宋体"/>
          <w:sz w:val="30"/>
          <w:szCs w:val="30"/>
        </w:rPr>
      </w:pPr>
    </w:p>
    <w:p>
      <w:pPr>
        <w:pStyle w:val="8"/>
        <w:spacing w:line="560" w:lineRule="exact"/>
        <w:jc w:val="center"/>
        <w:rPr>
          <w:rFonts w:hint="eastAsia" w:ascii="方正小标宋简体" w:hAnsi="宋体" w:eastAsia="方正小标宋简体"/>
          <w:sz w:val="44"/>
          <w:szCs w:val="44"/>
        </w:rPr>
      </w:pPr>
      <w:r>
        <w:rPr>
          <w:rFonts w:hint="eastAsia" w:ascii="方正小标宋简体" w:hAnsi="宋体" w:eastAsia="方正小标宋简体"/>
          <w:sz w:val="44"/>
          <w:szCs w:val="44"/>
          <w:lang w:val="en-US"/>
        </w:rPr>
        <w:t>202</w:t>
      </w:r>
      <w:r>
        <w:rPr>
          <w:rFonts w:hint="eastAsia" w:ascii="方正小标宋简体" w:hAnsi="宋体" w:eastAsia="方正小标宋简体"/>
          <w:sz w:val="44"/>
          <w:szCs w:val="44"/>
          <w:lang w:val="en-US" w:eastAsia="zh-CN"/>
        </w:rPr>
        <w:t>2</w:t>
      </w:r>
      <w:r>
        <w:rPr>
          <w:rFonts w:hint="eastAsia" w:ascii="方正小标宋简体" w:hAnsi="宋体" w:eastAsia="方正小标宋简体"/>
          <w:sz w:val="44"/>
          <w:szCs w:val="44"/>
          <w:lang w:val="en-US"/>
        </w:rPr>
        <w:t>年</w:t>
      </w:r>
      <w:r>
        <w:rPr>
          <w:rFonts w:hint="eastAsia" w:ascii="方正小标宋简体" w:hAnsi="宋体" w:eastAsia="方正小标宋简体"/>
          <w:sz w:val="44"/>
          <w:szCs w:val="44"/>
        </w:rPr>
        <w:t>专项预算项目支出绩效</w:t>
      </w:r>
    </w:p>
    <w:p>
      <w:pPr>
        <w:pStyle w:val="8"/>
        <w:spacing w:line="560" w:lineRule="exact"/>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自评报告</w:t>
      </w:r>
    </w:p>
    <w:p>
      <w:pPr>
        <w:pStyle w:val="8"/>
        <w:spacing w:line="560" w:lineRule="exact"/>
        <w:jc w:val="center"/>
        <w:rPr>
          <w:rFonts w:hint="eastAsia" w:ascii="仿宋_GB2312" w:hAnsi="宋体" w:eastAsia="仿宋_GB2312"/>
          <w:color w:val="auto"/>
          <w:kern w:val="2"/>
          <w:sz w:val="32"/>
          <w:szCs w:val="32"/>
          <w:lang w:val="en-US" w:eastAsia="zh-CN"/>
        </w:rPr>
      </w:pPr>
      <w:r>
        <w:rPr>
          <w:rFonts w:hint="eastAsia" w:ascii="仿宋_GB2312" w:hAnsi="宋体" w:eastAsia="仿宋_GB2312"/>
          <w:color w:val="auto"/>
          <w:kern w:val="2"/>
          <w:sz w:val="32"/>
          <w:szCs w:val="32"/>
        </w:rPr>
        <w:t>（</w:t>
      </w:r>
      <w:r>
        <w:rPr>
          <w:rFonts w:hint="eastAsia" w:ascii="仿宋_GB2312" w:hAnsi="宋体" w:eastAsia="仿宋_GB2312"/>
          <w:color w:val="auto"/>
          <w:kern w:val="2"/>
          <w:sz w:val="32"/>
          <w:szCs w:val="32"/>
          <w:lang w:val="en-US" w:eastAsia="zh-CN"/>
        </w:rPr>
        <w:t>医疗服务与保障能力提升疾病预防控制机构</w:t>
      </w:r>
    </w:p>
    <w:p>
      <w:pPr>
        <w:pStyle w:val="8"/>
        <w:spacing w:line="560" w:lineRule="exact"/>
        <w:jc w:val="center"/>
        <w:rPr>
          <w:rFonts w:hint="eastAsia" w:ascii="仿宋_GB2312" w:hAnsi="宋体" w:eastAsia="仿宋_GB2312"/>
          <w:color w:val="auto"/>
          <w:kern w:val="2"/>
          <w:sz w:val="32"/>
          <w:szCs w:val="32"/>
        </w:rPr>
      </w:pPr>
      <w:r>
        <w:rPr>
          <w:rFonts w:hint="eastAsia" w:ascii="仿宋_GB2312" w:hAnsi="宋体" w:eastAsia="仿宋_GB2312"/>
          <w:color w:val="auto"/>
          <w:kern w:val="2"/>
          <w:sz w:val="32"/>
          <w:szCs w:val="32"/>
          <w:lang w:val="en-US" w:eastAsia="zh-CN"/>
        </w:rPr>
        <w:t>能力建设中央资金</w:t>
      </w:r>
      <w:r>
        <w:rPr>
          <w:rFonts w:hint="eastAsia" w:ascii="仿宋_GB2312" w:hAnsi="宋体" w:eastAsia="仿宋_GB2312"/>
          <w:color w:val="auto"/>
          <w:kern w:val="2"/>
          <w:sz w:val="32"/>
          <w:szCs w:val="32"/>
        </w:rPr>
        <w:t>）</w:t>
      </w:r>
    </w:p>
    <w:p>
      <w:pPr>
        <w:pStyle w:val="8"/>
        <w:numPr>
          <w:ilvl w:val="0"/>
          <w:numId w:val="2"/>
        </w:numPr>
        <w:spacing w:line="560" w:lineRule="exact"/>
        <w:ind w:firstLine="640" w:firstLineChars="200"/>
        <w:jc w:val="both"/>
        <w:rPr>
          <w:rFonts w:hint="eastAsia" w:ascii="黑体" w:hAnsi="宋体" w:eastAsia="黑体"/>
          <w:sz w:val="32"/>
          <w:szCs w:val="32"/>
          <w:lang w:val="zh-CN"/>
        </w:rPr>
      </w:pPr>
      <w:r>
        <w:rPr>
          <w:rFonts w:hint="eastAsia" w:ascii="黑体" w:hAnsi="宋体" w:eastAsia="黑体"/>
          <w:sz w:val="32"/>
          <w:szCs w:val="32"/>
          <w:lang w:val="zh-CN"/>
        </w:rPr>
        <w:t>项目概况</w:t>
      </w:r>
    </w:p>
    <w:p>
      <w:pPr>
        <w:pStyle w:val="8"/>
        <w:numPr>
          <w:ilvl w:val="0"/>
          <w:numId w:val="0"/>
        </w:numPr>
        <w:spacing w:line="560" w:lineRule="exact"/>
        <w:ind w:firstLine="562" w:firstLineChars="200"/>
        <w:jc w:val="both"/>
        <w:rPr>
          <w:rFonts w:hint="eastAsia" w:ascii="楷体_GB2312" w:hAnsi="宋体" w:eastAsia="楷体_GB2312"/>
          <w:b/>
          <w:lang w:val="zh-CN"/>
        </w:rPr>
      </w:pPr>
      <w:r>
        <w:rPr>
          <w:rFonts w:hint="eastAsia" w:ascii="楷体_GB2312" w:hAnsi="宋体" w:eastAsia="楷体_GB2312"/>
          <w:b/>
          <w:lang w:val="zh-CN"/>
        </w:rPr>
        <w:t>（一）项目资金申报及批复情况。</w:t>
      </w:r>
    </w:p>
    <w:p>
      <w:pPr>
        <w:pStyle w:val="8"/>
        <w:spacing w:line="560" w:lineRule="exact"/>
        <w:jc w:val="left"/>
        <w:rPr>
          <w:rFonts w:hint="eastAsia" w:ascii="仿宋" w:hAnsi="仿宋" w:eastAsia="仿宋" w:cs="仿宋"/>
          <w:sz w:val="32"/>
          <w:szCs w:val="32"/>
          <w:lang w:val="zh-CN"/>
        </w:rPr>
      </w:pPr>
      <w:r>
        <w:rPr>
          <w:rFonts w:hint="eastAsia" w:ascii="仿宋" w:hAnsi="仿宋" w:eastAsia="仿宋" w:cs="仿宋"/>
          <w:i w:val="0"/>
          <w:iCs w:val="0"/>
          <w:caps w:val="0"/>
          <w:color w:val="000000"/>
          <w:spacing w:val="0"/>
          <w:sz w:val="32"/>
          <w:szCs w:val="32"/>
          <w:lang w:val="en-US" w:eastAsia="zh-CN"/>
        </w:rPr>
        <w:t xml:space="preserve">    </w:t>
      </w:r>
      <w:r>
        <w:rPr>
          <w:rFonts w:hint="eastAsia" w:ascii="仿宋" w:hAnsi="仿宋" w:eastAsia="仿宋" w:cs="仿宋"/>
          <w:i w:val="0"/>
          <w:iCs w:val="0"/>
          <w:caps w:val="0"/>
          <w:color w:val="000000"/>
          <w:spacing w:val="0"/>
          <w:sz w:val="32"/>
          <w:szCs w:val="32"/>
        </w:rPr>
        <w:t xml:space="preserve">攀枝花市财政局 </w:t>
      </w:r>
      <w:r>
        <w:rPr>
          <w:rFonts w:hint="eastAsia" w:ascii="仿宋" w:hAnsi="仿宋" w:eastAsia="仿宋" w:cs="仿宋"/>
          <w:i w:val="0"/>
          <w:iCs w:val="0"/>
          <w:caps w:val="0"/>
          <w:color w:val="000000"/>
          <w:spacing w:val="0"/>
          <w:sz w:val="32"/>
          <w:szCs w:val="32"/>
          <w:lang w:eastAsia="zh-CN"/>
        </w:rPr>
        <w:t>、</w:t>
      </w:r>
      <w:r>
        <w:rPr>
          <w:rFonts w:hint="eastAsia" w:ascii="仿宋" w:hAnsi="仿宋" w:eastAsia="仿宋" w:cs="仿宋"/>
          <w:i w:val="0"/>
          <w:iCs w:val="0"/>
          <w:caps w:val="0"/>
          <w:color w:val="000000"/>
          <w:spacing w:val="0"/>
          <w:sz w:val="32"/>
          <w:szCs w:val="32"/>
        </w:rPr>
        <w:t>攀枝花市卫生健康委员会</w:t>
      </w:r>
      <w:r>
        <w:rPr>
          <w:rFonts w:hint="eastAsia" w:ascii="仿宋" w:hAnsi="仿宋" w:eastAsia="仿宋" w:cs="仿宋"/>
          <w:i w:val="0"/>
          <w:iCs w:val="0"/>
          <w:caps w:val="0"/>
          <w:color w:val="000000"/>
          <w:spacing w:val="0"/>
          <w:sz w:val="32"/>
          <w:szCs w:val="32"/>
          <w:lang w:eastAsia="zh-CN"/>
        </w:rPr>
        <w:t>《</w:t>
      </w:r>
      <w:r>
        <w:rPr>
          <w:rFonts w:hint="eastAsia" w:ascii="仿宋" w:hAnsi="仿宋" w:eastAsia="仿宋" w:cs="仿宋"/>
          <w:i w:val="0"/>
          <w:iCs w:val="0"/>
          <w:caps w:val="0"/>
          <w:color w:val="000000"/>
          <w:spacing w:val="0"/>
          <w:sz w:val="32"/>
          <w:szCs w:val="32"/>
        </w:rPr>
        <w:t>关于下达2022 年医疗服务与保障能力提升（医疗卫生机构能力建设）中央补助资金的通知</w:t>
      </w:r>
      <w:r>
        <w:rPr>
          <w:rFonts w:hint="eastAsia" w:ascii="仿宋" w:hAnsi="仿宋" w:eastAsia="仿宋" w:cs="仿宋"/>
          <w:i w:val="0"/>
          <w:iCs w:val="0"/>
          <w:caps w:val="0"/>
          <w:color w:val="000000"/>
          <w:spacing w:val="0"/>
          <w:sz w:val="32"/>
          <w:szCs w:val="32"/>
          <w:lang w:eastAsia="zh-CN"/>
        </w:rPr>
        <w:t>》</w:t>
      </w:r>
      <w:r>
        <w:rPr>
          <w:rFonts w:hint="eastAsia" w:ascii="仿宋" w:hAnsi="仿宋" w:eastAsia="仿宋" w:cs="仿宋"/>
          <w:i w:val="0"/>
          <w:iCs w:val="0"/>
          <w:caps w:val="0"/>
          <w:color w:val="000000"/>
          <w:spacing w:val="0"/>
          <w:sz w:val="32"/>
          <w:szCs w:val="32"/>
        </w:rPr>
        <w:t xml:space="preserve"> 攀财资社〔2022〕83号</w:t>
      </w:r>
      <w:r>
        <w:rPr>
          <w:rFonts w:hint="eastAsia" w:ascii="仿宋" w:hAnsi="仿宋" w:eastAsia="仿宋" w:cs="仿宋"/>
          <w:i w:val="0"/>
          <w:iCs w:val="0"/>
          <w:caps w:val="0"/>
          <w:color w:val="000000"/>
          <w:spacing w:val="0"/>
          <w:sz w:val="32"/>
          <w:szCs w:val="32"/>
          <w:lang w:val="en-US" w:eastAsia="zh-CN"/>
        </w:rPr>
        <w:t>文安排</w:t>
      </w:r>
      <w:r>
        <w:rPr>
          <w:rFonts w:hint="eastAsia" w:ascii="仿宋" w:hAnsi="仿宋" w:eastAsia="仿宋" w:cs="仿宋"/>
          <w:i w:val="0"/>
          <w:iCs w:val="0"/>
          <w:caps w:val="0"/>
          <w:color w:val="000000"/>
          <w:spacing w:val="0"/>
          <w:sz w:val="32"/>
          <w:szCs w:val="32"/>
        </w:rPr>
        <w:t>2022 年医疗服务与保障能力提升（</w:t>
      </w:r>
      <w:r>
        <w:rPr>
          <w:rFonts w:hint="eastAsia" w:ascii="仿宋_GB2312" w:hAnsi="宋体" w:eastAsia="仿宋_GB2312"/>
          <w:color w:val="auto"/>
          <w:kern w:val="2"/>
          <w:sz w:val="32"/>
          <w:szCs w:val="32"/>
          <w:lang w:val="en-US" w:eastAsia="zh-CN"/>
        </w:rPr>
        <w:t>疾病预防控制机构能力建设</w:t>
      </w:r>
      <w:r>
        <w:rPr>
          <w:rFonts w:hint="eastAsia" w:ascii="仿宋" w:hAnsi="仿宋" w:eastAsia="仿宋" w:cs="仿宋"/>
          <w:i w:val="0"/>
          <w:iCs w:val="0"/>
          <w:caps w:val="0"/>
          <w:color w:val="000000"/>
          <w:spacing w:val="0"/>
          <w:sz w:val="32"/>
          <w:szCs w:val="32"/>
        </w:rPr>
        <w:t>）中央补助资金</w:t>
      </w:r>
      <w:r>
        <w:rPr>
          <w:rFonts w:hint="eastAsia" w:ascii="仿宋" w:hAnsi="仿宋" w:eastAsia="仿宋" w:cs="仿宋"/>
          <w:i w:val="0"/>
          <w:iCs w:val="0"/>
          <w:caps w:val="0"/>
          <w:color w:val="000000"/>
          <w:spacing w:val="0"/>
          <w:sz w:val="32"/>
          <w:szCs w:val="32"/>
          <w:lang w:val="en-US" w:eastAsia="zh-CN"/>
        </w:rPr>
        <w:t>200.00万元。</w:t>
      </w:r>
    </w:p>
    <w:p>
      <w:pPr>
        <w:numPr>
          <w:ilvl w:val="0"/>
          <w:numId w:val="3"/>
        </w:numPr>
        <w:adjustRightInd w:val="0"/>
        <w:snapToGrid w:val="0"/>
        <w:spacing w:line="560" w:lineRule="exact"/>
        <w:ind w:left="-80" w:leftChars="0" w:firstLine="720" w:firstLineChars="0"/>
        <w:rPr>
          <w:rFonts w:hint="eastAsia" w:ascii="楷体_GB2312" w:hAnsi="宋体" w:eastAsia="楷体_GB2312"/>
          <w:b/>
          <w:lang w:val="zh-CN"/>
        </w:rPr>
      </w:pPr>
      <w:r>
        <w:rPr>
          <w:rFonts w:hint="eastAsia" w:ascii="楷体_GB2312" w:hAnsi="宋体" w:eastAsia="楷体_GB2312"/>
          <w:b/>
          <w:lang w:val="zh-CN"/>
        </w:rPr>
        <w:t>项目绩效目标。</w:t>
      </w:r>
    </w:p>
    <w:p>
      <w:pPr>
        <w:numPr>
          <w:ilvl w:val="0"/>
          <w:numId w:val="0"/>
        </w:numPr>
        <w:adjustRightInd w:val="0"/>
        <w:snapToGrid w:val="0"/>
        <w:spacing w:line="560" w:lineRule="exact"/>
        <w:ind w:firstLine="960" w:firstLineChars="300"/>
        <w:rPr>
          <w:rFonts w:hint="eastAsia" w:ascii="仿宋" w:hAnsi="仿宋" w:eastAsia="仿宋" w:cs="仿宋"/>
          <w:b w:val="0"/>
          <w:bCs/>
          <w:sz w:val="32"/>
          <w:szCs w:val="32"/>
          <w:lang w:val="zh-CN"/>
        </w:rPr>
      </w:pPr>
      <w:r>
        <w:rPr>
          <w:rFonts w:hint="eastAsia" w:ascii="仿宋" w:hAnsi="仿宋" w:eastAsia="仿宋" w:cs="仿宋"/>
          <w:b w:val="0"/>
          <w:bCs/>
          <w:sz w:val="32"/>
          <w:szCs w:val="32"/>
          <w:lang w:val="en-US" w:eastAsia="zh-CN"/>
        </w:rPr>
        <w:t>项目实施总体目标是进一步提升县级疾控机构能力建设，标准为每个县级疾控机构 200 万元。主要用于实验室能力建设、信息化建设和紧缺人才培训等。各项项目工作于 2023 年 6 月底前完成。</w:t>
      </w:r>
    </w:p>
    <w:p>
      <w:pPr>
        <w:adjustRightInd w:val="0"/>
        <w:snapToGrid w:val="0"/>
        <w:spacing w:line="560" w:lineRule="exact"/>
        <w:ind w:firstLine="720"/>
        <w:rPr>
          <w:rFonts w:ascii="黑体" w:hAnsi="宋体" w:eastAsia="黑体"/>
        </w:rPr>
      </w:pPr>
      <w:r>
        <w:rPr>
          <w:rFonts w:hint="eastAsia" w:ascii="黑体" w:hAnsi="宋体" w:eastAsia="黑体"/>
        </w:rPr>
        <w:t>二、项目实施及管理情况</w:t>
      </w:r>
    </w:p>
    <w:p>
      <w:pPr>
        <w:adjustRightInd w:val="0"/>
        <w:snapToGrid w:val="0"/>
        <w:spacing w:line="560" w:lineRule="exact"/>
        <w:ind w:firstLine="720"/>
        <w:rPr>
          <w:rFonts w:ascii="楷体_GB2312" w:hAnsi="宋体" w:eastAsia="楷体_GB2312"/>
          <w:b/>
          <w:lang w:val="zh-CN"/>
        </w:rPr>
      </w:pPr>
      <w:r>
        <w:rPr>
          <w:rFonts w:hint="eastAsia" w:ascii="仿宋_GB2312" w:hAnsi="宋体"/>
          <w:lang w:val="zh-CN"/>
        </w:rPr>
        <w:tab/>
      </w:r>
      <w:r>
        <w:rPr>
          <w:rFonts w:hint="eastAsia" w:ascii="楷体_GB2312" w:hAnsi="宋体" w:eastAsia="楷体_GB2312"/>
          <w:b/>
          <w:lang w:val="zh-CN"/>
        </w:rPr>
        <w:t>（一）资金计划、到位及使用情况。</w:t>
      </w:r>
    </w:p>
    <w:p>
      <w:pPr>
        <w:adjustRightInd w:val="0"/>
        <w:snapToGrid w:val="0"/>
        <w:spacing w:line="560" w:lineRule="exact"/>
        <w:ind w:firstLine="720"/>
        <w:rPr>
          <w:rFonts w:hint="eastAsia" w:ascii="楷体_GB2312" w:hAnsi="宋体" w:eastAsia="楷体_GB2312"/>
          <w:lang w:val="zh-CN"/>
        </w:rPr>
      </w:pPr>
      <w:r>
        <w:rPr>
          <w:rFonts w:hint="eastAsia" w:ascii="楷体_GB2312" w:hAnsi="宋体" w:eastAsia="楷体_GB2312"/>
          <w:lang w:val="zh-CN"/>
        </w:rPr>
        <w:t>1．资金计划及到位。</w:t>
      </w:r>
    </w:p>
    <w:p>
      <w:pPr>
        <w:adjustRightInd w:val="0"/>
        <w:snapToGrid w:val="0"/>
        <w:spacing w:line="560" w:lineRule="exact"/>
        <w:ind w:firstLine="720"/>
        <w:rPr>
          <w:rFonts w:hint="eastAsia" w:ascii="仿宋" w:hAnsi="仿宋" w:eastAsia="仿宋" w:cs="仿宋"/>
          <w:sz w:val="32"/>
          <w:szCs w:val="32"/>
          <w:lang w:val="zh-CN"/>
        </w:rPr>
      </w:pPr>
      <w:r>
        <w:rPr>
          <w:rFonts w:hint="eastAsia" w:ascii="仿宋" w:hAnsi="仿宋" w:eastAsia="仿宋" w:cs="仿宋"/>
          <w:sz w:val="32"/>
          <w:szCs w:val="32"/>
          <w:lang w:val="en-US" w:eastAsia="zh-CN"/>
        </w:rPr>
        <w:t>2022年10月仁和区疾病预防控制中心收到财政下达</w:t>
      </w:r>
      <w:r>
        <w:rPr>
          <w:rFonts w:hint="eastAsia" w:ascii="仿宋" w:hAnsi="仿宋" w:eastAsia="仿宋" w:cs="仿宋"/>
          <w:i w:val="0"/>
          <w:iCs w:val="0"/>
          <w:caps w:val="0"/>
          <w:color w:val="000000"/>
          <w:spacing w:val="0"/>
          <w:sz w:val="32"/>
          <w:szCs w:val="32"/>
        </w:rPr>
        <w:t>2022 年医疗服务与保障能力提升（</w:t>
      </w:r>
      <w:r>
        <w:rPr>
          <w:rFonts w:hint="eastAsia" w:ascii="仿宋" w:hAnsi="仿宋" w:eastAsia="仿宋" w:cs="仿宋"/>
          <w:color w:val="auto"/>
          <w:kern w:val="2"/>
          <w:sz w:val="32"/>
          <w:szCs w:val="32"/>
          <w:lang w:val="en-US" w:eastAsia="zh-CN"/>
        </w:rPr>
        <w:t>疾病预防控制机构能力建设</w:t>
      </w:r>
      <w:r>
        <w:rPr>
          <w:rFonts w:hint="eastAsia" w:ascii="仿宋" w:hAnsi="仿宋" w:eastAsia="仿宋" w:cs="仿宋"/>
          <w:i w:val="0"/>
          <w:iCs w:val="0"/>
          <w:caps w:val="0"/>
          <w:color w:val="000000"/>
          <w:spacing w:val="0"/>
          <w:sz w:val="32"/>
          <w:szCs w:val="32"/>
        </w:rPr>
        <w:t>）中央补助资金</w:t>
      </w:r>
      <w:r>
        <w:rPr>
          <w:rFonts w:hint="eastAsia" w:ascii="仿宋" w:hAnsi="仿宋" w:eastAsia="仿宋" w:cs="仿宋"/>
          <w:i w:val="0"/>
          <w:iCs w:val="0"/>
          <w:caps w:val="0"/>
          <w:color w:val="000000"/>
          <w:spacing w:val="0"/>
          <w:sz w:val="32"/>
          <w:szCs w:val="32"/>
          <w:lang w:val="en-US" w:eastAsia="zh-CN"/>
        </w:rPr>
        <w:t>200万元，资金到位率100%。</w:t>
      </w:r>
    </w:p>
    <w:p>
      <w:pPr>
        <w:numPr>
          <w:ilvl w:val="0"/>
          <w:numId w:val="4"/>
        </w:numPr>
        <w:adjustRightInd w:val="0"/>
        <w:snapToGrid w:val="0"/>
        <w:spacing w:line="560" w:lineRule="exact"/>
        <w:ind w:firstLine="720"/>
        <w:rPr>
          <w:rFonts w:hint="eastAsia" w:ascii="楷体_GB2312" w:hAnsi="宋体" w:eastAsia="楷体_GB2312"/>
          <w:lang w:val="zh-CN"/>
        </w:rPr>
      </w:pPr>
      <w:r>
        <w:rPr>
          <w:rFonts w:hint="eastAsia" w:ascii="楷体_GB2312" w:hAnsi="宋体" w:eastAsia="楷体_GB2312"/>
          <w:lang w:val="zh-CN"/>
        </w:rPr>
        <w:t>资金使用。</w:t>
      </w:r>
    </w:p>
    <w:p>
      <w:pPr>
        <w:numPr>
          <w:ilvl w:val="0"/>
          <w:numId w:val="0"/>
        </w:numPr>
        <w:adjustRightInd w:val="0"/>
        <w:snapToGrid w:val="0"/>
        <w:spacing w:line="560" w:lineRule="exact"/>
        <w:ind w:firstLine="640" w:firstLineChars="200"/>
        <w:rPr>
          <w:rFonts w:hint="eastAsia" w:ascii="仿宋" w:hAnsi="仿宋" w:eastAsia="仿宋" w:cs="仿宋"/>
          <w:sz w:val="32"/>
          <w:szCs w:val="32"/>
          <w:lang w:val="zh-CN"/>
        </w:rPr>
      </w:pPr>
      <w:r>
        <w:rPr>
          <w:rFonts w:hint="eastAsia" w:ascii="仿宋" w:hAnsi="仿宋" w:eastAsia="仿宋" w:cs="仿宋"/>
          <w:sz w:val="32"/>
          <w:szCs w:val="32"/>
          <w:lang w:val="en-US" w:eastAsia="zh-CN"/>
        </w:rPr>
        <w:t>截至2022年12月项目资金暂未支付，2022年完成了项目申报及项目采购前期招标流程工作，项目资金待采购完成并验收后支付。资金结转2023年继续使用</w:t>
      </w:r>
      <w:r>
        <w:rPr>
          <w:rFonts w:hint="eastAsia" w:ascii="仿宋" w:hAnsi="仿宋" w:eastAsia="仿宋" w:cs="仿宋"/>
          <w:sz w:val="32"/>
          <w:szCs w:val="32"/>
          <w:lang w:val="zh-CN"/>
        </w:rPr>
        <w:t>。</w:t>
      </w:r>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lang w:val="zh-CN"/>
        </w:rPr>
        <w:t>（二）项目财务管理情况。</w:t>
      </w:r>
    </w:p>
    <w:p>
      <w:pPr>
        <w:adjustRightInd w:val="0"/>
        <w:snapToGrid w:val="0"/>
        <w:spacing w:line="560" w:lineRule="exact"/>
        <w:ind w:firstLine="720"/>
        <w:rPr>
          <w:rFonts w:hint="eastAsia" w:ascii="仿宋" w:hAnsi="仿宋" w:eastAsia="仿宋"/>
          <w:sz w:val="32"/>
          <w:szCs w:val="32"/>
        </w:rPr>
      </w:pPr>
      <w:r>
        <w:rPr>
          <w:rFonts w:ascii="仿宋" w:hAnsi="仿宋" w:eastAsia="仿宋"/>
          <w:kern w:val="0"/>
          <w:sz w:val="32"/>
          <w:szCs w:val="32"/>
        </w:rPr>
        <w:t>项目资金管理严格按照财务管理要求进行</w:t>
      </w:r>
      <w:r>
        <w:rPr>
          <w:rFonts w:hint="eastAsia" w:ascii="仿宋" w:hAnsi="仿宋" w:eastAsia="仿宋"/>
          <w:kern w:val="0"/>
          <w:sz w:val="32"/>
          <w:szCs w:val="32"/>
        </w:rPr>
        <w:t>，</w:t>
      </w:r>
      <w:r>
        <w:rPr>
          <w:rFonts w:ascii="仿宋" w:hAnsi="仿宋" w:eastAsia="仿宋"/>
          <w:kern w:val="0"/>
          <w:sz w:val="32"/>
          <w:szCs w:val="32"/>
        </w:rPr>
        <w:t>做到</w:t>
      </w:r>
      <w:r>
        <w:rPr>
          <w:rFonts w:hint="eastAsia" w:ascii="仿宋" w:hAnsi="仿宋" w:eastAsia="仿宋"/>
          <w:kern w:val="0"/>
          <w:sz w:val="32"/>
          <w:szCs w:val="32"/>
        </w:rPr>
        <w:t>专款专用。</w:t>
      </w:r>
      <w:r>
        <w:rPr>
          <w:rFonts w:hint="eastAsia" w:ascii="仿宋" w:hAnsi="仿宋" w:eastAsia="仿宋"/>
          <w:sz w:val="32"/>
          <w:szCs w:val="32"/>
        </w:rPr>
        <w:t>严格规范各项资金的审批和使用，杜绝无预算支出，合理安排资金使用进度，</w:t>
      </w:r>
      <w:r>
        <w:rPr>
          <w:rFonts w:ascii="仿宋" w:hAnsi="仿宋" w:eastAsia="仿宋"/>
          <w:kern w:val="0"/>
          <w:sz w:val="32"/>
          <w:szCs w:val="32"/>
        </w:rPr>
        <w:t>按照上级主管部门制定的</w:t>
      </w:r>
      <w:r>
        <w:rPr>
          <w:rFonts w:hint="eastAsia" w:ascii="仿宋" w:hAnsi="仿宋" w:eastAsia="仿宋"/>
          <w:kern w:val="0"/>
          <w:sz w:val="32"/>
          <w:szCs w:val="32"/>
          <w:lang w:val="en-US" w:eastAsia="zh-CN"/>
        </w:rPr>
        <w:t>项目</w:t>
      </w:r>
      <w:r>
        <w:rPr>
          <w:rFonts w:ascii="仿宋" w:hAnsi="仿宋" w:eastAsia="仿宋"/>
          <w:kern w:val="0"/>
          <w:sz w:val="32"/>
          <w:szCs w:val="32"/>
        </w:rPr>
        <w:t>工作方案</w:t>
      </w:r>
      <w:r>
        <w:rPr>
          <w:rFonts w:hint="eastAsia" w:ascii="仿宋" w:hAnsi="仿宋" w:eastAsia="仿宋"/>
          <w:kern w:val="0"/>
          <w:sz w:val="32"/>
          <w:szCs w:val="32"/>
          <w:lang w:val="en-US" w:eastAsia="zh-CN"/>
        </w:rPr>
        <w:t>开展</w:t>
      </w:r>
      <w:r>
        <w:rPr>
          <w:rFonts w:ascii="仿宋" w:hAnsi="仿宋" w:eastAsia="仿宋"/>
          <w:kern w:val="0"/>
          <w:sz w:val="32"/>
          <w:szCs w:val="32"/>
        </w:rPr>
        <w:t>相关工作，</w:t>
      </w:r>
      <w:r>
        <w:rPr>
          <w:rFonts w:hint="eastAsia" w:ascii="仿宋" w:hAnsi="仿宋" w:eastAsia="仿宋"/>
          <w:sz w:val="32"/>
          <w:szCs w:val="32"/>
        </w:rPr>
        <w:t>严格执行政府采购程序，规范管理资产，按季度公示财务信息。</w:t>
      </w:r>
      <w:bookmarkStart w:id="0" w:name="_GoBack"/>
      <w:bookmarkEnd w:id="0"/>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lang w:val="zh-CN"/>
        </w:rPr>
        <w:t>（三）项目组织实施情况。</w:t>
      </w:r>
    </w:p>
    <w:p>
      <w:pPr>
        <w:adjustRightInd w:val="0"/>
        <w:snapToGrid w:val="0"/>
        <w:spacing w:line="560" w:lineRule="exact"/>
        <w:ind w:firstLine="720"/>
        <w:rPr>
          <w:rFonts w:hint="eastAsia" w:ascii="仿宋_GB2312" w:hAnsi="宋体"/>
          <w:color w:val="auto"/>
          <w:lang w:val="en-US" w:eastAsia="zh-CN"/>
        </w:rPr>
      </w:pPr>
      <w:r>
        <w:rPr>
          <w:rFonts w:hint="eastAsia" w:ascii="仿宋_GB2312" w:hAnsi="宋体"/>
          <w:color w:val="auto"/>
          <w:lang w:val="en-US" w:eastAsia="zh-CN"/>
        </w:rPr>
        <w:t>2022年6月能力提升信息化建设项目已完成项目方案并申报；2022年11月30日于“四川省政府采购网”发布采购公告；2022年12月12日正式开标，确定中标单位；2022年12月20日签订合同。项目计划于2023年6月底前完工。</w:t>
      </w:r>
    </w:p>
    <w:p>
      <w:pPr>
        <w:adjustRightInd w:val="0"/>
        <w:snapToGrid w:val="0"/>
        <w:spacing w:line="560" w:lineRule="exact"/>
        <w:ind w:firstLine="720"/>
        <w:rPr>
          <w:rFonts w:ascii="仿宋_GB2312" w:hAnsi="宋体"/>
          <w:lang w:val="zh-CN"/>
        </w:rPr>
      </w:pPr>
      <w:r>
        <w:rPr>
          <w:rFonts w:hint="eastAsia" w:ascii="黑体" w:hAnsi="宋体" w:eastAsia="黑体"/>
        </w:rPr>
        <w:t>三、项目绩效情况</w:t>
      </w:r>
      <w:r>
        <w:rPr>
          <w:rFonts w:hint="eastAsia" w:ascii="仿宋_GB2312" w:hAnsi="宋体"/>
          <w:lang w:val="zh-CN"/>
        </w:rPr>
        <w:tab/>
      </w:r>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lang w:val="zh-CN"/>
        </w:rPr>
        <w:t>（一）项目完成情况。</w:t>
      </w:r>
    </w:p>
    <w:p>
      <w:pPr>
        <w:adjustRightInd w:val="0"/>
        <w:snapToGrid w:val="0"/>
        <w:spacing w:line="560" w:lineRule="exact"/>
        <w:ind w:firstLine="720"/>
        <w:rPr>
          <w:rFonts w:hint="eastAsia" w:ascii="仿宋_GB2312" w:hAnsi="仿宋_GB2312" w:cs="仿宋_GB2312"/>
          <w:color w:val="auto"/>
          <w:sz w:val="32"/>
          <w:szCs w:val="32"/>
          <w:lang w:eastAsia="zh-CN"/>
        </w:rPr>
      </w:pPr>
      <w:r>
        <w:rPr>
          <w:rFonts w:hint="eastAsia" w:ascii="仿宋_GB2312" w:hAnsi="宋体"/>
          <w:color w:val="auto"/>
          <w:lang w:val="en-US" w:eastAsia="zh-CN"/>
        </w:rPr>
        <w:t>严格</w:t>
      </w:r>
      <w:r>
        <w:rPr>
          <w:rFonts w:hint="eastAsia" w:ascii="仿宋_GB2312" w:hAnsi="仿宋_GB2312" w:eastAsia="仿宋_GB2312" w:cs="仿宋_GB2312"/>
          <w:color w:val="auto"/>
          <w:sz w:val="32"/>
          <w:szCs w:val="32"/>
        </w:rPr>
        <w:t>按照2022年</w:t>
      </w:r>
      <w:r>
        <w:rPr>
          <w:rFonts w:hint="eastAsia" w:ascii="仿宋_GB2312" w:hAnsi="仿宋_GB2312" w:cs="仿宋_GB2312"/>
          <w:color w:val="auto"/>
          <w:sz w:val="32"/>
          <w:szCs w:val="32"/>
          <w:lang w:val="en-US" w:eastAsia="zh-CN"/>
        </w:rPr>
        <w:t>能力提升项目</w:t>
      </w:r>
      <w:r>
        <w:rPr>
          <w:rFonts w:hint="eastAsia" w:ascii="仿宋_GB2312" w:hAnsi="仿宋_GB2312" w:eastAsia="仿宋_GB2312" w:cs="仿宋_GB2312"/>
          <w:color w:val="auto"/>
          <w:sz w:val="32"/>
          <w:szCs w:val="32"/>
        </w:rPr>
        <w:t>工作计划开展</w:t>
      </w:r>
      <w:r>
        <w:rPr>
          <w:rFonts w:hint="eastAsia" w:ascii="仿宋_GB2312" w:hAnsi="仿宋_GB2312" w:cs="仿宋_GB2312"/>
          <w:color w:val="auto"/>
          <w:sz w:val="32"/>
          <w:szCs w:val="32"/>
          <w:lang w:val="en-US" w:eastAsia="zh-CN"/>
        </w:rPr>
        <w:t>相关</w:t>
      </w:r>
      <w:r>
        <w:rPr>
          <w:rFonts w:hint="eastAsia" w:ascii="仿宋_GB2312" w:hAnsi="仿宋_GB2312" w:eastAsia="仿宋_GB2312" w:cs="仿宋_GB2312"/>
          <w:color w:val="auto"/>
          <w:sz w:val="32"/>
          <w:szCs w:val="32"/>
        </w:rPr>
        <w:t>工作</w:t>
      </w:r>
      <w:r>
        <w:rPr>
          <w:rFonts w:hint="eastAsia" w:ascii="仿宋_GB2312" w:hAnsi="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02</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年</w:t>
      </w:r>
      <w:r>
        <w:rPr>
          <w:rFonts w:hint="eastAsia" w:ascii="仿宋_GB2312" w:hAnsi="仿宋_GB2312" w:cs="仿宋_GB2312"/>
          <w:color w:val="auto"/>
          <w:sz w:val="32"/>
          <w:szCs w:val="32"/>
          <w:lang w:val="en-US" w:eastAsia="zh-CN"/>
        </w:rPr>
        <w:t>6月项目进行申报</w:t>
      </w:r>
      <w:r>
        <w:rPr>
          <w:rFonts w:hint="eastAsia" w:ascii="仿宋_GB2312" w:hAnsi="仿宋_GB2312" w:eastAsia="仿宋_GB2312" w:cs="仿宋_GB2312"/>
          <w:color w:val="auto"/>
          <w:sz w:val="32"/>
          <w:szCs w:val="32"/>
        </w:rPr>
        <w:t>至12月</w:t>
      </w:r>
      <w:r>
        <w:rPr>
          <w:rFonts w:hint="eastAsia" w:ascii="仿宋_GB2312" w:hAnsi="仿宋_GB2312" w:cs="仿宋_GB2312"/>
          <w:color w:val="auto"/>
          <w:sz w:val="32"/>
          <w:szCs w:val="32"/>
          <w:lang w:val="en-US" w:eastAsia="zh-CN"/>
        </w:rPr>
        <w:t>认真</w:t>
      </w:r>
      <w:r>
        <w:rPr>
          <w:rFonts w:hint="eastAsia" w:ascii="仿宋_GB2312" w:hAnsi="仿宋_GB2312" w:eastAsia="仿宋_GB2312" w:cs="仿宋_GB2312"/>
          <w:color w:val="auto"/>
          <w:sz w:val="32"/>
          <w:szCs w:val="32"/>
        </w:rPr>
        <w:t>落实</w:t>
      </w:r>
      <w:r>
        <w:rPr>
          <w:rFonts w:hint="eastAsia" w:ascii="仿宋_GB2312" w:hAnsi="仿宋_GB2312" w:cs="仿宋_GB2312"/>
          <w:color w:val="auto"/>
          <w:sz w:val="32"/>
          <w:szCs w:val="32"/>
          <w:lang w:val="en-US" w:eastAsia="zh-CN"/>
        </w:rPr>
        <w:t>各项</w:t>
      </w:r>
      <w:r>
        <w:rPr>
          <w:rFonts w:hint="eastAsia" w:ascii="仿宋_GB2312" w:hAnsi="仿宋_GB2312" w:eastAsia="仿宋_GB2312" w:cs="仿宋_GB2312"/>
          <w:color w:val="auto"/>
          <w:sz w:val="32"/>
          <w:szCs w:val="32"/>
        </w:rPr>
        <w:t>工作</w:t>
      </w:r>
      <w:r>
        <w:rPr>
          <w:rFonts w:hint="eastAsia" w:ascii="仿宋_GB2312" w:hAnsi="仿宋_GB2312" w:cs="仿宋_GB2312"/>
          <w:color w:val="auto"/>
          <w:sz w:val="32"/>
          <w:szCs w:val="32"/>
          <w:lang w:val="en-US" w:eastAsia="zh-CN"/>
        </w:rPr>
        <w:t>任务</w:t>
      </w:r>
      <w:r>
        <w:rPr>
          <w:rFonts w:hint="eastAsia" w:ascii="仿宋_GB2312" w:hAnsi="仿宋_GB2312" w:eastAsia="仿宋_GB2312" w:cs="仿宋_GB2312"/>
          <w:color w:val="auto"/>
          <w:sz w:val="32"/>
          <w:szCs w:val="32"/>
        </w:rPr>
        <w:t>，12月底各项指标任务</w:t>
      </w:r>
      <w:r>
        <w:rPr>
          <w:rFonts w:hint="eastAsia" w:ascii="仿宋_GB2312" w:hAnsi="仿宋_GB2312" w:cs="仿宋_GB2312"/>
          <w:color w:val="auto"/>
          <w:sz w:val="32"/>
          <w:szCs w:val="32"/>
          <w:lang w:val="en-US" w:eastAsia="zh-CN"/>
        </w:rPr>
        <w:t>均</w:t>
      </w:r>
      <w:r>
        <w:rPr>
          <w:rFonts w:hint="eastAsia" w:ascii="仿宋_GB2312" w:hAnsi="仿宋_GB2312" w:eastAsia="仿宋_GB2312" w:cs="仿宋_GB2312"/>
          <w:color w:val="auto"/>
          <w:sz w:val="32"/>
          <w:szCs w:val="32"/>
        </w:rPr>
        <w:t>达到</w:t>
      </w:r>
      <w:r>
        <w:rPr>
          <w:rFonts w:hint="eastAsia" w:ascii="仿宋_GB2312" w:hAnsi="仿宋_GB2312" w:cs="仿宋_GB2312"/>
          <w:color w:val="auto"/>
          <w:sz w:val="32"/>
          <w:szCs w:val="32"/>
          <w:lang w:val="en-US" w:eastAsia="zh-CN"/>
        </w:rPr>
        <w:t>工作任务</w:t>
      </w:r>
      <w:r>
        <w:rPr>
          <w:rFonts w:hint="eastAsia" w:ascii="仿宋_GB2312" w:hAnsi="仿宋_GB2312" w:eastAsia="仿宋_GB2312" w:cs="仿宋_GB2312"/>
          <w:color w:val="auto"/>
          <w:sz w:val="32"/>
          <w:szCs w:val="32"/>
        </w:rPr>
        <w:t>要求</w:t>
      </w:r>
      <w:r>
        <w:rPr>
          <w:rFonts w:hint="eastAsia" w:ascii="仿宋_GB2312" w:hAnsi="仿宋_GB2312" w:cs="仿宋_GB2312"/>
          <w:color w:val="auto"/>
          <w:sz w:val="32"/>
          <w:szCs w:val="32"/>
          <w:lang w:eastAsia="zh-CN"/>
        </w:rPr>
        <w:t>。</w:t>
      </w:r>
      <w:r>
        <w:rPr>
          <w:rFonts w:hint="eastAsia" w:ascii="仿宋_GB2312" w:hAnsi="宋体"/>
          <w:color w:val="auto"/>
          <w:lang w:val="en-US" w:eastAsia="zh-CN"/>
        </w:rPr>
        <w:t>项目正在建设过程中，计划于2023年6月底前完工。</w:t>
      </w:r>
    </w:p>
    <w:p>
      <w:pPr>
        <w:numPr>
          <w:ilvl w:val="0"/>
          <w:numId w:val="3"/>
        </w:numPr>
        <w:adjustRightInd w:val="0"/>
        <w:snapToGrid w:val="0"/>
        <w:spacing w:line="560" w:lineRule="exact"/>
        <w:ind w:left="-80" w:leftChars="0" w:firstLine="720" w:firstLineChars="0"/>
        <w:rPr>
          <w:rFonts w:hint="eastAsia" w:ascii="楷体_GB2312" w:hAnsi="宋体" w:eastAsia="楷体_GB2312"/>
          <w:b/>
          <w:lang w:val="zh-CN"/>
        </w:rPr>
      </w:pPr>
      <w:r>
        <w:rPr>
          <w:rFonts w:hint="eastAsia" w:ascii="楷体_GB2312" w:hAnsi="宋体" w:eastAsia="楷体_GB2312"/>
          <w:b/>
          <w:lang w:val="zh-CN"/>
        </w:rPr>
        <w:t>项目效益情况。</w:t>
      </w:r>
    </w:p>
    <w:p>
      <w:pPr>
        <w:numPr>
          <w:ilvl w:val="0"/>
          <w:numId w:val="0"/>
        </w:numPr>
        <w:adjustRightInd w:val="0"/>
        <w:snapToGrid w:val="0"/>
        <w:spacing w:line="560" w:lineRule="exact"/>
        <w:ind w:firstLine="640" w:firstLineChars="200"/>
        <w:rPr>
          <w:rFonts w:hint="eastAsia" w:ascii="仿宋_GB2312" w:hAnsi="宋体"/>
          <w:color w:val="auto"/>
          <w:lang w:val="en-US" w:eastAsia="zh-CN"/>
        </w:rPr>
      </w:pPr>
      <w:r>
        <w:rPr>
          <w:rFonts w:hint="eastAsia" w:ascii="仿宋_GB2312" w:hAnsi="宋体"/>
          <w:color w:val="auto"/>
          <w:lang w:val="en-US" w:eastAsia="zh-CN"/>
        </w:rPr>
        <w:t>建设区级疾病预防控制一体化综合管理信息系统、采购部分检测仪器及配套设施设备。初步考虑涵盖一体化支撑平台、OA 办公管理、实验室管理、应急作业管理、现场流调管理、移动端管理、数据信息可视化平台和信息安全保障等建设内容。以满足区疾控中心各项疾病预防控制工作相应检测项目需要，进一步提升应对部分食源性疾病、职业卫生危害、新发传染病防控应急处置能力。</w:t>
      </w:r>
    </w:p>
    <w:p>
      <w:pPr>
        <w:adjustRightInd w:val="0"/>
        <w:snapToGrid w:val="0"/>
        <w:spacing w:line="560" w:lineRule="exact"/>
        <w:ind w:firstLine="720"/>
        <w:rPr>
          <w:rFonts w:hint="default" w:ascii="仿宋_GB2312" w:hAnsi="宋体"/>
          <w:color w:val="auto"/>
          <w:lang w:val="en-US" w:eastAsia="zh-CN"/>
        </w:rPr>
      </w:pPr>
      <w:r>
        <w:rPr>
          <w:rFonts w:hint="eastAsia" w:ascii="仿宋_GB2312" w:hAnsi="宋体"/>
          <w:color w:val="auto"/>
          <w:lang w:val="en-US" w:eastAsia="zh-CN"/>
        </w:rPr>
        <w:t>项目建成投入使用后，将从根本上解决当前仁和区疾控中心在信息化管理上不足的短板，显著增强我区在突发公共卫生事件信息管理上的综合协调与处置能力，为进一步及时、高效、科学、规范开展疾病预防控制，提升区疾控中心服务能力，保障人民群众的身体健康和生命安全。</w:t>
      </w:r>
    </w:p>
    <w:p>
      <w:pPr>
        <w:adjustRightInd w:val="0"/>
        <w:snapToGrid w:val="0"/>
        <w:spacing w:line="560" w:lineRule="exact"/>
        <w:ind w:firstLine="720"/>
        <w:rPr>
          <w:rFonts w:ascii="黑体" w:hAnsi="宋体" w:eastAsia="黑体"/>
        </w:rPr>
      </w:pPr>
      <w:r>
        <w:rPr>
          <w:rFonts w:hint="eastAsia" w:ascii="黑体" w:hAnsi="宋体" w:eastAsia="黑体"/>
        </w:rPr>
        <w:t>四、问题及建议</w:t>
      </w:r>
    </w:p>
    <w:p>
      <w:pPr>
        <w:adjustRightInd w:val="0"/>
        <w:snapToGrid w:val="0"/>
        <w:spacing w:line="560" w:lineRule="exact"/>
        <w:ind w:firstLine="720"/>
        <w:rPr>
          <w:rFonts w:hint="eastAsia" w:ascii="楷体_GB2312" w:hAnsi="宋体" w:eastAsia="楷体_GB2312"/>
          <w:b/>
          <w:lang w:val="zh-CN"/>
        </w:rPr>
      </w:pPr>
      <w:r>
        <w:rPr>
          <w:rFonts w:hint="eastAsia" w:ascii="楷体_GB2312" w:hAnsi="宋体" w:eastAsia="楷体_GB2312"/>
          <w:b/>
          <w:lang w:val="zh-CN"/>
        </w:rPr>
        <w:t>（一）存在的问题。</w:t>
      </w:r>
    </w:p>
    <w:p>
      <w:pPr>
        <w:adjustRightInd w:val="0"/>
        <w:snapToGrid w:val="0"/>
        <w:spacing w:line="560" w:lineRule="exact"/>
        <w:ind w:firstLine="720"/>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项目资金在2022年10月下达，要求2023年6月份前完成，加之能力提升项目涉及政府采购，前期基础工作较多，流程复杂，时间紧张。目前按照合同约定的首付款不能及时划拨，致使项目推进滞后。</w:t>
      </w:r>
    </w:p>
    <w:p>
      <w:pPr>
        <w:adjustRightInd w:val="0"/>
        <w:snapToGrid w:val="0"/>
        <w:spacing w:line="560" w:lineRule="exact"/>
        <w:ind w:firstLine="720"/>
        <w:rPr>
          <w:rFonts w:hint="eastAsia" w:ascii="仿宋" w:hAnsi="仿宋" w:eastAsia="仿宋" w:cs="仿宋"/>
          <w:b w:val="0"/>
          <w:bCs/>
          <w:sz w:val="32"/>
          <w:szCs w:val="32"/>
          <w:lang w:val="en-US" w:eastAsia="zh-CN"/>
        </w:rPr>
      </w:pPr>
    </w:p>
    <w:p>
      <w:pPr>
        <w:adjustRightInd w:val="0"/>
        <w:snapToGrid w:val="0"/>
        <w:spacing w:line="560" w:lineRule="exact"/>
        <w:ind w:firstLine="720"/>
        <w:rPr>
          <w:rFonts w:hint="eastAsia" w:ascii="仿宋" w:hAnsi="仿宋" w:eastAsia="仿宋" w:cs="仿宋"/>
          <w:b w:val="0"/>
          <w:bCs/>
          <w:sz w:val="32"/>
          <w:szCs w:val="32"/>
          <w:lang w:val="en-US" w:eastAsia="zh-CN"/>
        </w:rPr>
      </w:pPr>
    </w:p>
    <w:p>
      <w:pPr>
        <w:adjustRightInd w:val="0"/>
        <w:snapToGrid w:val="0"/>
        <w:spacing w:line="560" w:lineRule="exact"/>
        <w:ind w:firstLine="720"/>
        <w:rPr>
          <w:rFonts w:hint="eastAsia" w:ascii="仿宋" w:hAnsi="仿宋" w:eastAsia="仿宋" w:cs="仿宋"/>
          <w:b w:val="0"/>
          <w:bCs/>
          <w:sz w:val="32"/>
          <w:szCs w:val="32"/>
          <w:lang w:val="en-US" w:eastAsia="zh-CN"/>
        </w:rPr>
      </w:pPr>
    </w:p>
    <w:p>
      <w:pPr>
        <w:adjustRightInd w:val="0"/>
        <w:snapToGrid w:val="0"/>
        <w:spacing w:line="560" w:lineRule="exact"/>
        <w:ind w:firstLine="720"/>
        <w:rPr>
          <w:rFonts w:hint="eastAsia" w:ascii="仿宋" w:hAnsi="仿宋" w:eastAsia="仿宋" w:cs="仿宋"/>
          <w:b w:val="0"/>
          <w:bCs/>
          <w:sz w:val="32"/>
          <w:szCs w:val="32"/>
          <w:lang w:val="en-US" w:eastAsia="zh-CN"/>
        </w:rPr>
      </w:pPr>
    </w:p>
    <w:p>
      <w:pPr>
        <w:adjustRightInd w:val="0"/>
        <w:snapToGrid w:val="0"/>
        <w:spacing w:line="560" w:lineRule="exact"/>
        <w:ind w:firstLine="720"/>
        <w:rPr>
          <w:rFonts w:hint="eastAsia" w:ascii="仿宋" w:hAnsi="仿宋" w:eastAsia="仿宋" w:cs="仿宋"/>
          <w:b w:val="0"/>
          <w:bCs/>
          <w:sz w:val="32"/>
          <w:szCs w:val="32"/>
          <w:lang w:val="en-US" w:eastAsia="zh-CN"/>
        </w:rPr>
      </w:pPr>
    </w:p>
    <w:p>
      <w:pPr>
        <w:adjustRightInd w:val="0"/>
        <w:snapToGrid w:val="0"/>
        <w:spacing w:line="560" w:lineRule="exact"/>
        <w:ind w:firstLine="720"/>
        <w:rPr>
          <w:rFonts w:hint="eastAsia" w:ascii="仿宋" w:hAnsi="仿宋" w:eastAsia="仿宋" w:cs="仿宋"/>
          <w:b w:val="0"/>
          <w:bCs/>
          <w:sz w:val="32"/>
          <w:szCs w:val="32"/>
          <w:lang w:val="en-US" w:eastAsia="zh-CN"/>
        </w:rPr>
      </w:pPr>
    </w:p>
    <w:p>
      <w:pPr>
        <w:adjustRightInd w:val="0"/>
        <w:snapToGrid w:val="0"/>
        <w:spacing w:line="560" w:lineRule="exact"/>
        <w:ind w:firstLine="720"/>
        <w:rPr>
          <w:rFonts w:hint="eastAsia" w:ascii="仿宋" w:hAnsi="仿宋" w:eastAsia="仿宋" w:cs="仿宋"/>
          <w:b w:val="0"/>
          <w:bCs/>
          <w:sz w:val="32"/>
          <w:szCs w:val="32"/>
          <w:lang w:val="en-US" w:eastAsia="zh-CN"/>
        </w:rPr>
      </w:pPr>
    </w:p>
    <w:p>
      <w:pPr>
        <w:adjustRightInd w:val="0"/>
        <w:snapToGrid w:val="0"/>
        <w:spacing w:line="560" w:lineRule="exact"/>
        <w:ind w:firstLine="720"/>
        <w:rPr>
          <w:rFonts w:hint="eastAsia" w:ascii="仿宋" w:hAnsi="仿宋" w:eastAsia="仿宋" w:cs="仿宋"/>
          <w:b w:val="0"/>
          <w:bCs/>
          <w:sz w:val="32"/>
          <w:szCs w:val="32"/>
          <w:lang w:val="en-US" w:eastAsia="zh-CN"/>
        </w:rPr>
      </w:pPr>
    </w:p>
    <w:p>
      <w:pPr>
        <w:widowControl/>
        <w:adjustRightInd w:val="0"/>
        <w:snapToGrid w:val="0"/>
        <w:spacing w:line="580" w:lineRule="exact"/>
        <w:contextualSpacing/>
        <w:jc w:val="left"/>
        <w:rPr>
          <w:color w:val="000000"/>
          <w:kern w:val="0"/>
          <w:szCs w:val="32"/>
          <w:shd w:val="clear" w:color="auto" w:fill="FFFFFF"/>
          <w:lang w:val="zh-CN"/>
        </w:rPr>
      </w:pPr>
    </w:p>
    <w:p>
      <w:pPr>
        <w:widowControl/>
        <w:adjustRightInd w:val="0"/>
        <w:snapToGrid w:val="0"/>
        <w:spacing w:line="580" w:lineRule="exact"/>
        <w:contextualSpacing/>
        <w:jc w:val="left"/>
        <w:rPr>
          <w:color w:val="000000"/>
          <w:kern w:val="0"/>
          <w:szCs w:val="32"/>
          <w:shd w:val="clear" w:color="auto" w:fill="FFFFFF"/>
          <w:lang w:val="zh-CN"/>
        </w:rPr>
      </w:pPr>
    </w:p>
    <w:p>
      <w:pPr>
        <w:widowControl/>
        <w:adjustRightInd w:val="0"/>
        <w:snapToGrid w:val="0"/>
        <w:spacing w:line="580" w:lineRule="exact"/>
        <w:contextualSpacing/>
        <w:jc w:val="left"/>
        <w:rPr>
          <w:color w:val="000000"/>
          <w:kern w:val="0"/>
          <w:szCs w:val="32"/>
          <w:shd w:val="clear" w:color="auto" w:fill="FFFFFF"/>
          <w:lang w:val="zh-CN"/>
        </w:rPr>
      </w:pPr>
      <w:r>
        <w:rPr>
          <w:color w:val="000000"/>
          <w:kern w:val="0"/>
          <w:szCs w:val="32"/>
          <w:shd w:val="clear" w:color="auto" w:fill="FFFFFF"/>
          <w:lang w:val="zh-CN"/>
        </w:rPr>
        <w:t>附表：</w:t>
      </w:r>
    </w:p>
    <w:tbl>
      <w:tblPr>
        <w:tblStyle w:val="6"/>
        <w:tblpPr w:leftFromText="180" w:rightFromText="180" w:vertAnchor="text" w:horzAnchor="page" w:tblpX="1256" w:tblpY="221"/>
        <w:tblOverlap w:val="never"/>
        <w:tblW w:w="5624" w:type="pct"/>
        <w:tblInd w:w="0" w:type="dxa"/>
        <w:tblLayout w:type="fixed"/>
        <w:tblCellMar>
          <w:top w:w="0" w:type="dxa"/>
          <w:left w:w="108" w:type="dxa"/>
          <w:bottom w:w="0" w:type="dxa"/>
          <w:right w:w="108" w:type="dxa"/>
        </w:tblCellMar>
      </w:tblPr>
      <w:tblGrid>
        <w:gridCol w:w="781"/>
        <w:gridCol w:w="843"/>
        <w:gridCol w:w="952"/>
        <w:gridCol w:w="2271"/>
        <w:gridCol w:w="2220"/>
        <w:gridCol w:w="2284"/>
        <w:gridCol w:w="236"/>
      </w:tblGrid>
      <w:tr>
        <w:tblPrEx>
          <w:tblCellMar>
            <w:top w:w="0" w:type="dxa"/>
            <w:left w:w="108" w:type="dxa"/>
            <w:bottom w:w="0" w:type="dxa"/>
            <w:right w:w="108" w:type="dxa"/>
          </w:tblCellMar>
        </w:tblPrEx>
        <w:trPr>
          <w:trHeight w:val="675" w:hRule="atLeast"/>
        </w:trPr>
        <w:tc>
          <w:tcPr>
            <w:tcW w:w="4876" w:type="pct"/>
            <w:gridSpan w:val="6"/>
            <w:tcBorders>
              <w:top w:val="nil"/>
              <w:left w:val="nil"/>
              <w:bottom w:val="nil"/>
              <w:right w:val="nil"/>
            </w:tcBorders>
            <w:shd w:val="clear" w:color="auto" w:fill="auto"/>
            <w:vAlign w:val="center"/>
          </w:tcPr>
          <w:p>
            <w:pPr>
              <w:widowControl/>
              <w:jc w:val="center"/>
              <w:textAlignment w:val="center"/>
              <w:rPr>
                <w:rFonts w:eastAsia="宋体"/>
                <w:b/>
                <w:color w:val="000000"/>
                <w:szCs w:val="32"/>
              </w:rPr>
            </w:pPr>
            <w:r>
              <w:rPr>
                <w:rFonts w:eastAsia="宋体"/>
                <w:b/>
                <w:color w:val="000000"/>
                <w:szCs w:val="32"/>
              </w:rPr>
              <w:t>2022年50万元以上（含）特定目标类部门预算项目绩效目标自评</w:t>
            </w:r>
          </w:p>
          <w:p>
            <w:pPr>
              <w:pStyle w:val="8"/>
              <w:spacing w:line="560" w:lineRule="exact"/>
              <w:jc w:val="center"/>
              <w:rPr>
                <w:rFonts w:hint="eastAsia" w:eastAsia="宋体"/>
                <w:b/>
                <w:color w:val="000000"/>
                <w:szCs w:val="32"/>
                <w:lang w:eastAsia="zh-CN"/>
              </w:rPr>
            </w:pPr>
            <w:r>
              <w:rPr>
                <w:rFonts w:hint="eastAsia" w:eastAsia="宋体"/>
                <w:b/>
                <w:color w:val="000000"/>
                <w:szCs w:val="32"/>
                <w:lang w:eastAsia="zh-CN"/>
              </w:rPr>
              <w:t>（</w:t>
            </w:r>
            <w:r>
              <w:rPr>
                <w:rFonts w:hint="eastAsia" w:ascii="仿宋_GB2312" w:hAnsi="宋体" w:eastAsia="仿宋_GB2312"/>
                <w:color w:val="auto"/>
                <w:kern w:val="2"/>
                <w:sz w:val="32"/>
                <w:szCs w:val="32"/>
                <w:lang w:val="en-US" w:eastAsia="zh-CN"/>
              </w:rPr>
              <w:t>医疗服务与保障能力提升疾病预防控制机构能力建设中央资金</w:t>
            </w:r>
            <w:r>
              <w:rPr>
                <w:rFonts w:hint="eastAsia" w:eastAsia="宋体"/>
                <w:b/>
                <w:color w:val="000000"/>
                <w:szCs w:val="32"/>
                <w:lang w:eastAsia="zh-CN"/>
              </w:rPr>
              <w:t>）</w:t>
            </w:r>
          </w:p>
        </w:tc>
        <w:tc>
          <w:tcPr>
            <w:tcW w:w="123" w:type="pct"/>
            <w:tcBorders>
              <w:top w:val="nil"/>
              <w:left w:val="nil"/>
              <w:bottom w:val="nil"/>
              <w:right w:val="nil"/>
            </w:tcBorders>
            <w:shd w:val="clear" w:color="auto" w:fill="auto"/>
            <w:vAlign w:val="center"/>
          </w:tcPr>
          <w:p>
            <w:pPr>
              <w:widowControl/>
              <w:jc w:val="center"/>
              <w:textAlignment w:val="center"/>
              <w:rPr>
                <w:rFonts w:eastAsia="宋体"/>
                <w:b/>
                <w:color w:val="000000"/>
                <w:kern w:val="0"/>
                <w:szCs w:val="32"/>
                <w:lang w:bidi="ar"/>
              </w:rPr>
            </w:pPr>
          </w:p>
        </w:tc>
      </w:tr>
      <w:tr>
        <w:tblPrEx>
          <w:tblCellMar>
            <w:top w:w="0" w:type="dxa"/>
            <w:left w:w="108" w:type="dxa"/>
            <w:bottom w:w="0" w:type="dxa"/>
            <w:right w:w="108" w:type="dxa"/>
          </w:tblCellMar>
        </w:tblPrEx>
        <w:trPr>
          <w:gridAfter w:val="1"/>
          <w:wAfter w:w="123" w:type="pct"/>
          <w:trHeight w:val="254" w:hRule="atLeast"/>
        </w:trPr>
        <w:tc>
          <w:tcPr>
            <w:tcW w:w="84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color w:val="000000"/>
                <w:sz w:val="24"/>
              </w:rPr>
            </w:pPr>
            <w:r>
              <w:rPr>
                <w:color w:val="000000"/>
                <w:kern w:val="0"/>
                <w:sz w:val="24"/>
                <w:lang w:bidi="ar"/>
              </w:rPr>
              <w:t>主管部门及代码</w:t>
            </w:r>
          </w:p>
        </w:tc>
        <w:tc>
          <w:tcPr>
            <w:tcW w:w="168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textAlignment w:val="center"/>
              <w:rPr>
                <w:rFonts w:hint="default" w:eastAsia="仿宋_GB2312"/>
                <w:color w:val="000000"/>
                <w:sz w:val="24"/>
                <w:lang w:val="en-US" w:eastAsia="zh-CN"/>
              </w:rPr>
            </w:pPr>
            <w:r>
              <w:rPr>
                <w:rFonts w:hint="eastAsia"/>
                <w:color w:val="000000"/>
                <w:sz w:val="24"/>
                <w:lang w:val="en-US" w:eastAsia="zh-CN"/>
              </w:rPr>
              <w:t>仁和区卫生健康局</w:t>
            </w:r>
          </w:p>
        </w:tc>
        <w:tc>
          <w:tcPr>
            <w:tcW w:w="11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color w:val="000000"/>
                <w:sz w:val="24"/>
              </w:rPr>
            </w:pPr>
            <w:r>
              <w:rPr>
                <w:color w:val="000000"/>
                <w:kern w:val="0"/>
                <w:sz w:val="24"/>
                <w:lang w:bidi="ar"/>
              </w:rPr>
              <w:t>实施单位</w:t>
            </w:r>
          </w:p>
        </w:tc>
        <w:tc>
          <w:tcPr>
            <w:tcW w:w="119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hint="default" w:eastAsia="仿宋_GB2312"/>
                <w:color w:val="000000"/>
                <w:sz w:val="24"/>
                <w:lang w:val="en-US" w:eastAsia="zh-CN"/>
              </w:rPr>
            </w:pPr>
            <w:r>
              <w:rPr>
                <w:rFonts w:hint="eastAsia"/>
                <w:color w:val="000000"/>
                <w:sz w:val="24"/>
                <w:lang w:val="en-US" w:eastAsia="zh-CN"/>
              </w:rPr>
              <w:t>攀枝花市仁和区疾病预防控制中心</w:t>
            </w:r>
          </w:p>
        </w:tc>
      </w:tr>
      <w:tr>
        <w:tblPrEx>
          <w:tblCellMar>
            <w:top w:w="0" w:type="dxa"/>
            <w:left w:w="108" w:type="dxa"/>
            <w:bottom w:w="0" w:type="dxa"/>
            <w:right w:w="108" w:type="dxa"/>
          </w:tblCellMar>
        </w:tblPrEx>
        <w:trPr>
          <w:gridAfter w:val="1"/>
          <w:wAfter w:w="123" w:type="pct"/>
          <w:trHeight w:val="341" w:hRule="atLeast"/>
        </w:trPr>
        <w:tc>
          <w:tcPr>
            <w:tcW w:w="84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color w:val="000000"/>
                <w:sz w:val="24"/>
              </w:rPr>
            </w:pPr>
            <w:r>
              <w:rPr>
                <w:color w:val="000000"/>
                <w:kern w:val="0"/>
                <w:sz w:val="24"/>
                <w:lang w:bidi="ar"/>
              </w:rPr>
              <w:t>项目预算</w:t>
            </w:r>
            <w:r>
              <w:rPr>
                <w:color w:val="000000"/>
                <w:kern w:val="0"/>
                <w:sz w:val="24"/>
                <w:lang w:bidi="ar"/>
              </w:rPr>
              <w:br w:type="textWrapping"/>
            </w:r>
            <w:r>
              <w:rPr>
                <w:color w:val="000000"/>
                <w:kern w:val="0"/>
                <w:sz w:val="24"/>
                <w:lang w:bidi="ar"/>
              </w:rPr>
              <w:t>执行情况</w:t>
            </w:r>
            <w:r>
              <w:rPr>
                <w:color w:val="000000"/>
                <w:kern w:val="0"/>
                <w:sz w:val="24"/>
                <w:lang w:bidi="ar"/>
              </w:rPr>
              <w:br w:type="textWrapping"/>
            </w:r>
            <w:r>
              <w:rPr>
                <w:color w:val="000000"/>
                <w:kern w:val="0"/>
                <w:sz w:val="24"/>
                <w:lang w:bidi="ar"/>
              </w:rPr>
              <w:t>（万元）</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color w:val="000000"/>
                <w:sz w:val="24"/>
              </w:rPr>
            </w:pPr>
            <w:r>
              <w:rPr>
                <w:color w:val="000000"/>
                <w:kern w:val="0"/>
                <w:sz w:val="24"/>
                <w:lang w:bidi="ar"/>
              </w:rPr>
              <w:t>预算数：</w:t>
            </w:r>
          </w:p>
        </w:tc>
        <w:tc>
          <w:tcPr>
            <w:tcW w:w="11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hint="default" w:eastAsia="仿宋_GB2312"/>
                <w:color w:val="auto"/>
                <w:sz w:val="24"/>
                <w:lang w:val="en-US" w:eastAsia="zh-CN"/>
              </w:rPr>
            </w:pPr>
            <w:r>
              <w:rPr>
                <w:rFonts w:hint="eastAsia"/>
                <w:color w:val="auto"/>
                <w:sz w:val="24"/>
                <w:lang w:val="en-US" w:eastAsia="zh-CN"/>
              </w:rPr>
              <w:t>200</w:t>
            </w:r>
          </w:p>
        </w:tc>
        <w:tc>
          <w:tcPr>
            <w:tcW w:w="11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color w:val="000000"/>
                <w:sz w:val="24"/>
              </w:rPr>
            </w:pPr>
            <w:r>
              <w:rPr>
                <w:color w:val="000000"/>
                <w:kern w:val="0"/>
                <w:sz w:val="24"/>
                <w:lang w:bidi="ar"/>
              </w:rPr>
              <w:t xml:space="preserve"> 执行数：</w:t>
            </w:r>
          </w:p>
        </w:tc>
        <w:tc>
          <w:tcPr>
            <w:tcW w:w="119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right"/>
              <w:textAlignment w:val="center"/>
              <w:rPr>
                <w:rFonts w:hint="default" w:eastAsia="仿宋_GB2312"/>
                <w:color w:val="000000"/>
                <w:sz w:val="24"/>
                <w:lang w:val="en-US" w:eastAsia="zh-CN"/>
              </w:rPr>
            </w:pPr>
            <w:r>
              <w:rPr>
                <w:rFonts w:hint="eastAsia"/>
                <w:color w:val="000000"/>
                <w:sz w:val="24"/>
                <w:lang w:val="en-US" w:eastAsia="zh-CN"/>
              </w:rPr>
              <w:t>0</w:t>
            </w:r>
          </w:p>
        </w:tc>
      </w:tr>
      <w:tr>
        <w:tblPrEx>
          <w:tblCellMar>
            <w:top w:w="0" w:type="dxa"/>
            <w:left w:w="108" w:type="dxa"/>
            <w:bottom w:w="0" w:type="dxa"/>
            <w:right w:w="108" w:type="dxa"/>
          </w:tblCellMar>
        </w:tblPrEx>
        <w:trPr>
          <w:gridAfter w:val="1"/>
          <w:wAfter w:w="123" w:type="pct"/>
          <w:trHeight w:val="577" w:hRule="atLeast"/>
        </w:trPr>
        <w:tc>
          <w:tcPr>
            <w:tcW w:w="8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jc w:val="center"/>
              <w:rPr>
                <w:color w:val="000000"/>
                <w:sz w:val="24"/>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color w:val="000000"/>
                <w:kern w:val="0"/>
                <w:sz w:val="24"/>
                <w:lang w:bidi="ar"/>
              </w:rPr>
            </w:pPr>
            <w:r>
              <w:rPr>
                <w:color w:val="000000"/>
                <w:kern w:val="0"/>
                <w:sz w:val="24"/>
                <w:lang w:bidi="ar"/>
              </w:rPr>
              <w:t>其中：</w:t>
            </w:r>
          </w:p>
          <w:p>
            <w:pPr>
              <w:widowControl/>
              <w:spacing w:line="320" w:lineRule="exact"/>
              <w:jc w:val="left"/>
              <w:textAlignment w:val="center"/>
              <w:rPr>
                <w:color w:val="000000"/>
                <w:sz w:val="24"/>
              </w:rPr>
            </w:pPr>
            <w:r>
              <w:rPr>
                <w:color w:val="000000"/>
                <w:kern w:val="0"/>
                <w:sz w:val="24"/>
                <w:lang w:bidi="ar"/>
              </w:rPr>
              <w:t>财政拨款</w:t>
            </w:r>
          </w:p>
        </w:tc>
        <w:tc>
          <w:tcPr>
            <w:tcW w:w="11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hint="default" w:eastAsia="仿宋_GB2312"/>
                <w:color w:val="auto"/>
                <w:sz w:val="24"/>
                <w:lang w:val="en-US" w:eastAsia="zh-CN"/>
              </w:rPr>
            </w:pPr>
            <w:r>
              <w:rPr>
                <w:rFonts w:hint="eastAsia"/>
                <w:color w:val="auto"/>
                <w:sz w:val="24"/>
                <w:lang w:val="en-US" w:eastAsia="zh-CN"/>
              </w:rPr>
              <w:t>200</w:t>
            </w:r>
          </w:p>
        </w:tc>
        <w:tc>
          <w:tcPr>
            <w:tcW w:w="11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color w:val="000000"/>
                <w:kern w:val="0"/>
                <w:sz w:val="24"/>
                <w:lang w:bidi="ar"/>
              </w:rPr>
            </w:pPr>
            <w:r>
              <w:rPr>
                <w:color w:val="000000"/>
                <w:kern w:val="0"/>
                <w:sz w:val="24"/>
                <w:lang w:bidi="ar"/>
              </w:rPr>
              <w:t>其中：</w:t>
            </w:r>
          </w:p>
          <w:p>
            <w:pPr>
              <w:widowControl/>
              <w:spacing w:line="320" w:lineRule="exact"/>
              <w:jc w:val="left"/>
              <w:textAlignment w:val="center"/>
              <w:rPr>
                <w:color w:val="000000"/>
                <w:sz w:val="24"/>
              </w:rPr>
            </w:pPr>
            <w:r>
              <w:rPr>
                <w:color w:val="000000"/>
                <w:kern w:val="0"/>
                <w:sz w:val="24"/>
                <w:lang w:bidi="ar"/>
              </w:rPr>
              <w:t>财政拨款</w:t>
            </w:r>
          </w:p>
        </w:tc>
        <w:tc>
          <w:tcPr>
            <w:tcW w:w="119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textAlignment w:val="center"/>
              <w:rPr>
                <w:rFonts w:hint="eastAsia" w:eastAsia="仿宋_GB2312"/>
                <w:color w:val="000000"/>
                <w:sz w:val="24"/>
                <w:lang w:val="en-US" w:eastAsia="zh-CN"/>
              </w:rPr>
            </w:pPr>
            <w:r>
              <w:rPr>
                <w:rFonts w:hint="eastAsia"/>
                <w:color w:val="000000"/>
                <w:sz w:val="24"/>
                <w:lang w:val="en-US" w:eastAsia="zh-CN"/>
              </w:rPr>
              <w:t>0</w:t>
            </w:r>
          </w:p>
        </w:tc>
      </w:tr>
      <w:tr>
        <w:tblPrEx>
          <w:tblCellMar>
            <w:top w:w="0" w:type="dxa"/>
            <w:left w:w="108" w:type="dxa"/>
            <w:bottom w:w="0" w:type="dxa"/>
            <w:right w:w="108" w:type="dxa"/>
          </w:tblCellMar>
        </w:tblPrEx>
        <w:trPr>
          <w:gridAfter w:val="1"/>
          <w:wAfter w:w="123" w:type="pct"/>
          <w:trHeight w:val="341" w:hRule="atLeast"/>
        </w:trPr>
        <w:tc>
          <w:tcPr>
            <w:tcW w:w="8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jc w:val="center"/>
              <w:rPr>
                <w:color w:val="000000"/>
                <w:sz w:val="24"/>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color w:val="000000"/>
                <w:sz w:val="24"/>
              </w:rPr>
            </w:pPr>
            <w:r>
              <w:rPr>
                <w:color w:val="000000"/>
                <w:kern w:val="0"/>
                <w:sz w:val="24"/>
                <w:lang w:bidi="ar"/>
              </w:rPr>
              <w:t>其他资金</w:t>
            </w:r>
          </w:p>
        </w:tc>
        <w:tc>
          <w:tcPr>
            <w:tcW w:w="11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color w:val="000000"/>
                <w:sz w:val="24"/>
              </w:rPr>
            </w:pPr>
          </w:p>
        </w:tc>
        <w:tc>
          <w:tcPr>
            <w:tcW w:w="11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color w:val="000000"/>
                <w:sz w:val="24"/>
              </w:rPr>
            </w:pPr>
            <w:r>
              <w:rPr>
                <w:color w:val="000000"/>
                <w:kern w:val="0"/>
                <w:sz w:val="24"/>
                <w:lang w:bidi="ar"/>
              </w:rPr>
              <w:t>其他资金</w:t>
            </w:r>
          </w:p>
        </w:tc>
        <w:tc>
          <w:tcPr>
            <w:tcW w:w="119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color w:val="000000"/>
                <w:sz w:val="24"/>
              </w:rPr>
            </w:pPr>
          </w:p>
        </w:tc>
      </w:tr>
      <w:tr>
        <w:tblPrEx>
          <w:tblCellMar>
            <w:top w:w="0" w:type="dxa"/>
            <w:left w:w="108" w:type="dxa"/>
            <w:bottom w:w="0" w:type="dxa"/>
            <w:right w:w="108" w:type="dxa"/>
          </w:tblCellMar>
        </w:tblPrEx>
        <w:trPr>
          <w:gridAfter w:val="1"/>
          <w:wAfter w:w="123" w:type="pct"/>
          <w:trHeight w:val="640" w:hRule="atLeast"/>
        </w:trPr>
        <w:tc>
          <w:tcPr>
            <w:tcW w:w="4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color w:val="000000"/>
                <w:kern w:val="0"/>
                <w:sz w:val="24"/>
                <w:lang w:bidi="ar"/>
              </w:rPr>
            </w:pPr>
            <w:r>
              <w:rPr>
                <w:color w:val="000000"/>
                <w:kern w:val="0"/>
                <w:sz w:val="24"/>
                <w:lang w:bidi="ar"/>
              </w:rPr>
              <w:t>年度总体目标</w:t>
            </w:r>
          </w:p>
          <w:p>
            <w:pPr>
              <w:widowControl/>
              <w:spacing w:line="320" w:lineRule="exact"/>
              <w:jc w:val="center"/>
              <w:textAlignment w:val="center"/>
              <w:rPr>
                <w:color w:val="000000"/>
                <w:sz w:val="24"/>
              </w:rPr>
            </w:pPr>
            <w:r>
              <w:rPr>
                <w:color w:val="000000"/>
                <w:kern w:val="0"/>
                <w:sz w:val="24"/>
                <w:lang w:bidi="ar"/>
              </w:rPr>
              <w:t>完成情况</w:t>
            </w:r>
          </w:p>
        </w:tc>
        <w:tc>
          <w:tcPr>
            <w:tcW w:w="212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color w:val="000000"/>
                <w:sz w:val="24"/>
              </w:rPr>
            </w:pPr>
            <w:r>
              <w:rPr>
                <w:color w:val="000000"/>
                <w:kern w:val="0"/>
                <w:sz w:val="24"/>
                <w:lang w:bidi="ar"/>
              </w:rPr>
              <w:t>预期目标</w:t>
            </w:r>
          </w:p>
        </w:tc>
        <w:tc>
          <w:tcPr>
            <w:tcW w:w="23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color w:val="000000"/>
                <w:sz w:val="24"/>
              </w:rPr>
            </w:pPr>
            <w:r>
              <w:rPr>
                <w:color w:val="000000"/>
                <w:kern w:val="0"/>
                <w:sz w:val="24"/>
                <w:lang w:bidi="ar"/>
              </w:rPr>
              <w:t>目标实际完成情况</w:t>
            </w:r>
          </w:p>
        </w:tc>
      </w:tr>
      <w:tr>
        <w:tblPrEx>
          <w:tblCellMar>
            <w:top w:w="0" w:type="dxa"/>
            <w:left w:w="108" w:type="dxa"/>
            <w:bottom w:w="0" w:type="dxa"/>
            <w:right w:w="108" w:type="dxa"/>
          </w:tblCellMar>
        </w:tblPrEx>
        <w:trPr>
          <w:gridAfter w:val="1"/>
          <w:wAfter w:w="123" w:type="pct"/>
          <w:trHeight w:val="1482" w:hRule="atLeast"/>
        </w:trPr>
        <w:tc>
          <w:tcPr>
            <w:tcW w:w="4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jc w:val="center"/>
              <w:rPr>
                <w:color w:val="000000"/>
                <w:sz w:val="24"/>
              </w:rPr>
            </w:pPr>
          </w:p>
        </w:tc>
        <w:tc>
          <w:tcPr>
            <w:tcW w:w="2120" w:type="pct"/>
            <w:gridSpan w:val="3"/>
            <w:tcBorders>
              <w:top w:val="single" w:color="000000" w:sz="4" w:space="0"/>
              <w:left w:val="single" w:color="000000" w:sz="4" w:space="0"/>
              <w:bottom w:val="single" w:color="000000" w:sz="4" w:space="0"/>
              <w:right w:val="single" w:color="000000" w:sz="4" w:space="0"/>
            </w:tcBorders>
            <w:shd w:val="clear" w:color="auto" w:fill="auto"/>
          </w:tcPr>
          <w:p>
            <w:pPr>
              <w:keepNext w:val="0"/>
              <w:keepLines w:val="0"/>
              <w:pageBreakBefore w:val="0"/>
              <w:widowControl/>
              <w:kinsoku/>
              <w:wordWrap/>
              <w:overflowPunct/>
              <w:topLinePunct w:val="0"/>
              <w:autoSpaceDE/>
              <w:autoSpaceDN/>
              <w:bidi w:val="0"/>
              <w:adjustRightInd w:val="0"/>
              <w:snapToGrid w:val="0"/>
              <w:spacing w:line="240" w:lineRule="atLeast"/>
              <w:contextualSpacing/>
              <w:jc w:val="left"/>
              <w:textAlignment w:val="auto"/>
              <w:rPr>
                <w:rFonts w:hint="default" w:ascii="Times New Roman" w:hAnsi="Times New Roman" w:eastAsia="仿宋_GB2312" w:cs="Times New Roman"/>
                <w:color w:val="auto"/>
                <w:kern w:val="2"/>
                <w:sz w:val="32"/>
                <w:szCs w:val="24"/>
                <w:lang w:val="en-US" w:eastAsia="zh-CN" w:bidi="ar-SA"/>
              </w:rPr>
            </w:pPr>
            <w:r>
              <w:rPr>
                <w:rFonts w:hint="eastAsia"/>
                <w:color w:val="auto"/>
                <w:kern w:val="0"/>
                <w:sz w:val="21"/>
                <w:szCs w:val="21"/>
                <w:shd w:val="clear" w:color="auto" w:fill="FFFFFF"/>
                <w:lang w:val="en-US" w:eastAsia="zh-CN"/>
              </w:rPr>
              <w:t>为全面提升区疾控中心疾病预防控制技术管理和服务能力，2022年度计划完成信息化建设项目方案，进行项目申报，完成项目调研，完成项目招标，确定中标单位。</w:t>
            </w:r>
          </w:p>
        </w:tc>
        <w:tc>
          <w:tcPr>
            <w:tcW w:w="2349" w:type="pct"/>
            <w:gridSpan w:val="2"/>
            <w:tcBorders>
              <w:top w:val="single" w:color="000000" w:sz="4" w:space="0"/>
              <w:left w:val="single" w:color="000000" w:sz="4" w:space="0"/>
              <w:bottom w:val="single" w:color="000000" w:sz="4" w:space="0"/>
              <w:right w:val="single" w:color="000000" w:sz="4" w:space="0"/>
            </w:tcBorders>
            <w:shd w:val="clear" w:color="auto" w:fill="auto"/>
          </w:tcPr>
          <w:p>
            <w:pPr>
              <w:widowControl/>
              <w:spacing w:line="320" w:lineRule="exact"/>
              <w:jc w:val="left"/>
              <w:textAlignment w:val="top"/>
              <w:rPr>
                <w:rFonts w:hint="default" w:eastAsia="仿宋_GB2312"/>
                <w:color w:val="auto"/>
                <w:sz w:val="24"/>
                <w:lang w:val="en-US" w:eastAsia="zh-CN"/>
              </w:rPr>
            </w:pPr>
            <w:r>
              <w:rPr>
                <w:rFonts w:hint="eastAsia"/>
                <w:color w:val="auto"/>
                <w:kern w:val="0"/>
                <w:sz w:val="21"/>
                <w:szCs w:val="21"/>
                <w:shd w:val="clear" w:color="auto" w:fill="FFFFFF"/>
                <w:lang w:val="en-US" w:eastAsia="zh-CN"/>
              </w:rPr>
              <w:t>已完成项目申报、实验室信息管理系统调研报告，确定信息化建设项目方案，已完成项目招标，已确定中标单位，签订合同。</w:t>
            </w:r>
          </w:p>
        </w:tc>
      </w:tr>
      <w:tr>
        <w:tblPrEx>
          <w:tblCellMar>
            <w:top w:w="0" w:type="dxa"/>
            <w:left w:w="108" w:type="dxa"/>
            <w:bottom w:w="0" w:type="dxa"/>
            <w:right w:w="108" w:type="dxa"/>
          </w:tblCellMar>
        </w:tblPrEx>
        <w:trPr>
          <w:gridAfter w:val="1"/>
          <w:wAfter w:w="123" w:type="pct"/>
          <w:trHeight w:val="738" w:hRule="atLeast"/>
        </w:trPr>
        <w:tc>
          <w:tcPr>
            <w:tcW w:w="407" w:type="pct"/>
            <w:vMerge w:val="restart"/>
            <w:tcBorders>
              <w:top w:val="single" w:color="000000" w:sz="4" w:space="0"/>
              <w:left w:val="single" w:color="000000" w:sz="4" w:space="0"/>
              <w:right w:val="single" w:color="000000" w:sz="4" w:space="0"/>
            </w:tcBorders>
            <w:shd w:val="clear" w:color="auto" w:fill="auto"/>
            <w:vAlign w:val="center"/>
          </w:tcPr>
          <w:p>
            <w:pPr>
              <w:widowControl/>
              <w:spacing w:line="320" w:lineRule="exact"/>
              <w:jc w:val="center"/>
              <w:textAlignment w:val="center"/>
              <w:rPr>
                <w:color w:val="000000"/>
                <w:sz w:val="28"/>
                <w:szCs w:val="28"/>
              </w:rPr>
            </w:pPr>
            <w:r>
              <w:rPr>
                <w:color w:val="000000"/>
                <w:kern w:val="0"/>
                <w:sz w:val="28"/>
                <w:szCs w:val="28"/>
                <w:lang w:bidi="ar"/>
              </w:rPr>
              <w:t>年度绩效指标完成情况</w:t>
            </w:r>
          </w:p>
        </w:tc>
        <w:tc>
          <w:tcPr>
            <w:tcW w:w="439" w:type="pct"/>
            <w:tcBorders>
              <w:top w:val="single" w:color="000000" w:sz="4" w:space="0"/>
              <w:left w:val="nil"/>
              <w:bottom w:val="single" w:color="000000" w:sz="4" w:space="0"/>
              <w:right w:val="single" w:color="000000" w:sz="4" w:space="0"/>
            </w:tcBorders>
            <w:shd w:val="clear" w:color="auto" w:fill="auto"/>
            <w:vAlign w:val="center"/>
          </w:tcPr>
          <w:p>
            <w:pPr>
              <w:widowControl/>
              <w:spacing w:line="320" w:lineRule="exact"/>
              <w:jc w:val="center"/>
              <w:textAlignment w:val="center"/>
              <w:rPr>
                <w:color w:val="000000"/>
                <w:kern w:val="0"/>
                <w:sz w:val="28"/>
                <w:szCs w:val="28"/>
                <w:lang w:bidi="ar"/>
              </w:rPr>
            </w:pPr>
            <w:r>
              <w:rPr>
                <w:color w:val="000000"/>
                <w:kern w:val="0"/>
                <w:sz w:val="28"/>
                <w:szCs w:val="28"/>
                <w:lang w:bidi="ar"/>
              </w:rPr>
              <w:t>一级</w:t>
            </w:r>
          </w:p>
          <w:p>
            <w:pPr>
              <w:widowControl/>
              <w:spacing w:line="320" w:lineRule="exact"/>
              <w:jc w:val="center"/>
              <w:textAlignment w:val="center"/>
              <w:rPr>
                <w:color w:val="000000"/>
                <w:sz w:val="28"/>
                <w:szCs w:val="28"/>
              </w:rPr>
            </w:pPr>
            <w:r>
              <w:rPr>
                <w:color w:val="000000"/>
                <w:kern w:val="0"/>
                <w:sz w:val="28"/>
                <w:szCs w:val="28"/>
                <w:lang w:bidi="ar"/>
              </w:rPr>
              <w:t>指标</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color w:val="000000"/>
                <w:kern w:val="0"/>
                <w:sz w:val="28"/>
                <w:szCs w:val="28"/>
                <w:lang w:bidi="ar"/>
              </w:rPr>
            </w:pPr>
            <w:r>
              <w:rPr>
                <w:color w:val="000000"/>
                <w:kern w:val="0"/>
                <w:sz w:val="28"/>
                <w:szCs w:val="28"/>
                <w:lang w:bidi="ar"/>
              </w:rPr>
              <w:t>二级</w:t>
            </w:r>
          </w:p>
          <w:p>
            <w:pPr>
              <w:widowControl/>
              <w:spacing w:line="320" w:lineRule="exact"/>
              <w:jc w:val="center"/>
              <w:textAlignment w:val="center"/>
              <w:rPr>
                <w:color w:val="000000"/>
                <w:sz w:val="28"/>
                <w:szCs w:val="28"/>
              </w:rPr>
            </w:pPr>
            <w:r>
              <w:rPr>
                <w:color w:val="000000"/>
                <w:kern w:val="0"/>
                <w:sz w:val="28"/>
                <w:szCs w:val="28"/>
                <w:lang w:bidi="ar"/>
              </w:rPr>
              <w:t>指标</w:t>
            </w:r>
          </w:p>
        </w:tc>
        <w:tc>
          <w:tcPr>
            <w:tcW w:w="11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color w:val="000000"/>
                <w:kern w:val="0"/>
                <w:sz w:val="28"/>
                <w:szCs w:val="28"/>
                <w:lang w:bidi="ar"/>
              </w:rPr>
            </w:pPr>
            <w:r>
              <w:rPr>
                <w:color w:val="000000"/>
                <w:kern w:val="0"/>
                <w:sz w:val="28"/>
                <w:szCs w:val="28"/>
                <w:lang w:bidi="ar"/>
              </w:rPr>
              <w:t>三级</w:t>
            </w:r>
          </w:p>
          <w:p>
            <w:pPr>
              <w:widowControl/>
              <w:spacing w:line="320" w:lineRule="exact"/>
              <w:jc w:val="center"/>
              <w:textAlignment w:val="center"/>
              <w:rPr>
                <w:color w:val="000000"/>
                <w:sz w:val="28"/>
                <w:szCs w:val="28"/>
              </w:rPr>
            </w:pPr>
            <w:r>
              <w:rPr>
                <w:color w:val="000000"/>
                <w:kern w:val="0"/>
                <w:sz w:val="28"/>
                <w:szCs w:val="28"/>
                <w:lang w:bidi="ar"/>
              </w:rPr>
              <w:t>指标</w:t>
            </w:r>
          </w:p>
        </w:tc>
        <w:tc>
          <w:tcPr>
            <w:tcW w:w="11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color w:val="000000"/>
                <w:sz w:val="28"/>
                <w:szCs w:val="28"/>
              </w:rPr>
            </w:pPr>
            <w:r>
              <w:rPr>
                <w:color w:val="000000"/>
                <w:kern w:val="0"/>
                <w:sz w:val="28"/>
                <w:szCs w:val="28"/>
                <w:lang w:bidi="ar"/>
              </w:rPr>
              <w:t>预期指标值</w:t>
            </w:r>
          </w:p>
        </w:tc>
        <w:tc>
          <w:tcPr>
            <w:tcW w:w="119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color w:val="000000"/>
                <w:sz w:val="28"/>
                <w:szCs w:val="28"/>
              </w:rPr>
            </w:pPr>
            <w:r>
              <w:rPr>
                <w:color w:val="000000"/>
                <w:kern w:val="0"/>
                <w:sz w:val="28"/>
                <w:szCs w:val="28"/>
                <w:lang w:bidi="ar"/>
              </w:rPr>
              <w:t>实际完成指标值</w:t>
            </w:r>
          </w:p>
        </w:tc>
      </w:tr>
      <w:tr>
        <w:tblPrEx>
          <w:tblCellMar>
            <w:top w:w="0" w:type="dxa"/>
            <w:left w:w="108" w:type="dxa"/>
            <w:bottom w:w="0" w:type="dxa"/>
            <w:right w:w="108" w:type="dxa"/>
          </w:tblCellMar>
        </w:tblPrEx>
        <w:trPr>
          <w:gridAfter w:val="1"/>
          <w:wAfter w:w="123" w:type="pct"/>
          <w:trHeight w:val="2355" w:hRule="atLeast"/>
        </w:trPr>
        <w:tc>
          <w:tcPr>
            <w:tcW w:w="407" w:type="pct"/>
            <w:vMerge w:val="continue"/>
            <w:tcBorders>
              <w:left w:val="single" w:color="000000" w:sz="4" w:space="0"/>
              <w:right w:val="single" w:color="000000" w:sz="4" w:space="0"/>
            </w:tcBorders>
            <w:shd w:val="clear" w:color="auto" w:fill="auto"/>
            <w:vAlign w:val="center"/>
          </w:tcPr>
          <w:p>
            <w:pPr>
              <w:spacing w:line="320" w:lineRule="exact"/>
              <w:jc w:val="center"/>
              <w:rPr>
                <w:color w:val="000000"/>
                <w:sz w:val="28"/>
                <w:szCs w:val="28"/>
              </w:rPr>
            </w:pPr>
          </w:p>
        </w:tc>
        <w:tc>
          <w:tcPr>
            <w:tcW w:w="43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color w:val="000000"/>
                <w:kern w:val="0"/>
                <w:sz w:val="28"/>
                <w:szCs w:val="28"/>
                <w:lang w:bidi="ar"/>
              </w:rPr>
            </w:pPr>
            <w:r>
              <w:rPr>
                <w:color w:val="000000"/>
                <w:kern w:val="0"/>
                <w:sz w:val="28"/>
                <w:szCs w:val="28"/>
                <w:lang w:bidi="ar"/>
              </w:rPr>
              <w:t>完成</w:t>
            </w:r>
          </w:p>
          <w:p>
            <w:pPr>
              <w:widowControl/>
              <w:spacing w:line="320" w:lineRule="exact"/>
              <w:jc w:val="center"/>
              <w:textAlignment w:val="bottom"/>
              <w:rPr>
                <w:color w:val="000000"/>
                <w:sz w:val="28"/>
                <w:szCs w:val="28"/>
              </w:rPr>
            </w:pPr>
            <w:r>
              <w:rPr>
                <w:color w:val="000000"/>
                <w:kern w:val="0"/>
                <w:sz w:val="28"/>
                <w:szCs w:val="28"/>
                <w:lang w:bidi="ar"/>
              </w:rPr>
              <w:t>指标</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top"/>
          </w:tcPr>
          <w:p>
            <w:pPr>
              <w:widowControl/>
              <w:spacing w:line="320" w:lineRule="exact"/>
              <w:ind w:left="278" w:leftChars="87" w:firstLine="280" w:firstLineChars="100"/>
              <w:jc w:val="left"/>
              <w:textAlignment w:val="bottom"/>
              <w:rPr>
                <w:color w:val="000000"/>
                <w:sz w:val="28"/>
                <w:szCs w:val="28"/>
              </w:rPr>
            </w:pPr>
            <w:r>
              <w:rPr>
                <w:rFonts w:hint="eastAsia"/>
                <w:color w:val="000000"/>
                <w:kern w:val="0"/>
                <w:sz w:val="28"/>
                <w:szCs w:val="28"/>
                <w:lang w:val="en-US" w:eastAsia="zh-CN" w:bidi="ar"/>
              </w:rPr>
              <w:t xml:space="preserve"> 数量</w:t>
            </w:r>
            <w:r>
              <w:rPr>
                <w:color w:val="000000"/>
                <w:kern w:val="0"/>
                <w:sz w:val="28"/>
                <w:szCs w:val="28"/>
                <w:lang w:bidi="ar"/>
              </w:rPr>
              <w:t>指标</w:t>
            </w:r>
          </w:p>
        </w:tc>
        <w:tc>
          <w:tcPr>
            <w:tcW w:w="1184" w:type="pct"/>
            <w:tcBorders>
              <w:top w:val="single" w:color="000000" w:sz="4" w:space="0"/>
              <w:left w:val="single" w:color="000000" w:sz="4" w:space="0"/>
              <w:bottom w:val="single" w:color="000000" w:sz="4" w:space="0"/>
              <w:right w:val="single" w:color="000000" w:sz="4" w:space="0"/>
            </w:tcBorders>
            <w:shd w:val="clear" w:color="auto" w:fill="auto"/>
            <w:vAlign w:val="top"/>
          </w:tcPr>
          <w:p>
            <w:pPr>
              <w:widowControl/>
              <w:tabs>
                <w:tab w:val="left" w:pos="554"/>
              </w:tabs>
              <w:spacing w:line="320" w:lineRule="exact"/>
              <w:jc w:val="left"/>
              <w:textAlignment w:val="bottom"/>
              <w:rPr>
                <w:rFonts w:hint="eastAsia" w:eastAsia="仿宋_GB2312"/>
                <w:color w:val="auto"/>
                <w:sz w:val="28"/>
                <w:szCs w:val="28"/>
                <w:lang w:eastAsia="zh-CN"/>
              </w:rPr>
            </w:pPr>
            <w:r>
              <w:rPr>
                <w:rFonts w:hint="eastAsia"/>
                <w:color w:val="auto"/>
                <w:kern w:val="0"/>
                <w:sz w:val="21"/>
                <w:szCs w:val="21"/>
                <w:shd w:val="clear" w:color="auto" w:fill="FFFFFF"/>
                <w:lang w:val="en-US" w:eastAsia="zh-CN"/>
              </w:rPr>
              <w:t>建设区级疾病预防控制一体化综合管理信息系统。采购部分检测仪器及配套设施设备。</w:t>
            </w:r>
          </w:p>
        </w:tc>
        <w:tc>
          <w:tcPr>
            <w:tcW w:w="1157" w:type="pct"/>
            <w:tcBorders>
              <w:top w:val="single" w:color="000000" w:sz="4" w:space="0"/>
              <w:left w:val="single" w:color="000000" w:sz="4" w:space="0"/>
              <w:bottom w:val="single" w:color="000000" w:sz="4" w:space="0"/>
              <w:right w:val="single" w:color="000000" w:sz="4" w:space="0"/>
            </w:tcBorders>
            <w:shd w:val="clear" w:color="auto" w:fill="auto"/>
            <w:vAlign w:val="top"/>
          </w:tcPr>
          <w:p>
            <w:pPr>
              <w:widowControl/>
              <w:tabs>
                <w:tab w:val="left" w:pos="239"/>
                <w:tab w:val="center" w:pos="869"/>
              </w:tabs>
              <w:spacing w:line="320" w:lineRule="exact"/>
              <w:jc w:val="left"/>
              <w:textAlignment w:val="bottom"/>
              <w:rPr>
                <w:rFonts w:hint="eastAsia" w:eastAsia="仿宋_GB2312"/>
                <w:color w:val="auto"/>
                <w:sz w:val="28"/>
                <w:szCs w:val="28"/>
                <w:lang w:eastAsia="zh-CN"/>
              </w:rPr>
            </w:pPr>
            <w:r>
              <w:rPr>
                <w:rFonts w:hint="eastAsia"/>
                <w:color w:val="auto"/>
                <w:kern w:val="0"/>
                <w:sz w:val="21"/>
                <w:szCs w:val="21"/>
                <w:shd w:val="clear" w:color="auto" w:fill="FFFFFF"/>
                <w:lang w:val="en-US" w:eastAsia="zh-CN"/>
              </w:rPr>
              <w:t>初步考虑涵盖一体化支撑平台、OA 办公管理、实验室管理、应急作业管理、现场流调管理、移动端管理、数据信息可视化平台和信息安全保障等建设内容。</w:t>
            </w:r>
          </w:p>
        </w:tc>
        <w:tc>
          <w:tcPr>
            <w:tcW w:w="1191" w:type="pct"/>
            <w:tcBorders>
              <w:top w:val="single" w:color="000000" w:sz="4" w:space="0"/>
              <w:left w:val="single" w:color="000000" w:sz="4" w:space="0"/>
              <w:bottom w:val="single" w:color="000000" w:sz="4" w:space="0"/>
              <w:right w:val="single" w:color="000000" w:sz="4" w:space="0"/>
            </w:tcBorders>
            <w:shd w:val="clear" w:color="auto" w:fill="auto"/>
            <w:vAlign w:val="top"/>
          </w:tcPr>
          <w:p>
            <w:pPr>
              <w:widowControl/>
              <w:spacing w:line="320" w:lineRule="exact"/>
              <w:jc w:val="left"/>
              <w:textAlignment w:val="bottom"/>
              <w:rPr>
                <w:color w:val="auto"/>
                <w:sz w:val="28"/>
                <w:szCs w:val="28"/>
              </w:rPr>
            </w:pPr>
            <w:r>
              <w:rPr>
                <w:rFonts w:hint="eastAsia"/>
                <w:color w:val="auto"/>
                <w:kern w:val="0"/>
                <w:sz w:val="21"/>
                <w:szCs w:val="21"/>
                <w:shd w:val="clear" w:color="auto" w:fill="FFFFFF"/>
                <w:lang w:val="en-US" w:eastAsia="zh-CN"/>
              </w:rPr>
              <w:t>已完成项目申报、实验室信息管理系统调研报告，确定信息化建设项目方案，完成项目招标，确定中标单位，签订合同。</w:t>
            </w:r>
          </w:p>
        </w:tc>
      </w:tr>
      <w:tr>
        <w:tblPrEx>
          <w:tblCellMar>
            <w:top w:w="0" w:type="dxa"/>
            <w:left w:w="108" w:type="dxa"/>
            <w:bottom w:w="0" w:type="dxa"/>
            <w:right w:w="108" w:type="dxa"/>
          </w:tblCellMar>
        </w:tblPrEx>
        <w:trPr>
          <w:gridAfter w:val="1"/>
          <w:wAfter w:w="123" w:type="pct"/>
          <w:trHeight w:val="480" w:hRule="atLeast"/>
        </w:trPr>
        <w:tc>
          <w:tcPr>
            <w:tcW w:w="407" w:type="pct"/>
            <w:vMerge w:val="continue"/>
            <w:tcBorders>
              <w:left w:val="single" w:color="000000" w:sz="4" w:space="0"/>
              <w:right w:val="single" w:color="000000" w:sz="4" w:space="0"/>
            </w:tcBorders>
            <w:shd w:val="clear" w:color="auto" w:fill="auto"/>
            <w:vAlign w:val="center"/>
          </w:tcPr>
          <w:p>
            <w:pPr>
              <w:spacing w:line="320" w:lineRule="exact"/>
              <w:jc w:val="center"/>
              <w:rPr>
                <w:color w:val="000000"/>
                <w:sz w:val="28"/>
                <w:szCs w:val="28"/>
              </w:rPr>
            </w:pPr>
          </w:p>
        </w:tc>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20" w:lineRule="exact"/>
              <w:jc w:val="center"/>
              <w:rPr>
                <w:color w:val="000000"/>
                <w:sz w:val="28"/>
                <w:szCs w:val="28"/>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top"/>
          </w:tcPr>
          <w:p>
            <w:pPr>
              <w:widowControl/>
              <w:spacing w:line="320" w:lineRule="exact"/>
              <w:jc w:val="center"/>
              <w:textAlignment w:val="bottom"/>
              <w:rPr>
                <w:rFonts w:hint="eastAsia"/>
                <w:color w:val="000000"/>
                <w:kern w:val="0"/>
                <w:sz w:val="28"/>
                <w:szCs w:val="28"/>
                <w:lang w:val="en-US" w:eastAsia="zh-CN" w:bidi="ar"/>
              </w:rPr>
            </w:pPr>
            <w:r>
              <w:rPr>
                <w:rFonts w:hint="eastAsia"/>
                <w:color w:val="000000"/>
                <w:kern w:val="0"/>
                <w:sz w:val="28"/>
                <w:szCs w:val="28"/>
                <w:lang w:val="en-US" w:eastAsia="zh-CN" w:bidi="ar"/>
              </w:rPr>
              <w:t>质</w:t>
            </w:r>
          </w:p>
          <w:p>
            <w:pPr>
              <w:widowControl/>
              <w:spacing w:line="320" w:lineRule="exact"/>
              <w:jc w:val="center"/>
              <w:textAlignment w:val="bottom"/>
              <w:rPr>
                <w:rFonts w:hint="eastAsia"/>
                <w:color w:val="000000"/>
                <w:kern w:val="0"/>
                <w:sz w:val="28"/>
                <w:szCs w:val="28"/>
                <w:lang w:val="en-US" w:eastAsia="zh-CN" w:bidi="ar"/>
              </w:rPr>
            </w:pPr>
            <w:r>
              <w:rPr>
                <w:rFonts w:hint="eastAsia"/>
                <w:color w:val="000000"/>
                <w:kern w:val="0"/>
                <w:sz w:val="28"/>
                <w:szCs w:val="28"/>
                <w:lang w:val="en-US" w:eastAsia="zh-CN" w:bidi="ar"/>
              </w:rPr>
              <w:t>量</w:t>
            </w:r>
          </w:p>
          <w:p>
            <w:pPr>
              <w:widowControl/>
              <w:spacing w:line="320" w:lineRule="exact"/>
              <w:jc w:val="center"/>
              <w:textAlignment w:val="bottom"/>
              <w:rPr>
                <w:rFonts w:hint="eastAsia"/>
                <w:color w:val="000000"/>
                <w:kern w:val="0"/>
                <w:sz w:val="28"/>
                <w:szCs w:val="28"/>
                <w:lang w:val="en-US" w:eastAsia="zh-CN" w:bidi="ar"/>
              </w:rPr>
            </w:pPr>
            <w:r>
              <w:rPr>
                <w:rFonts w:hint="eastAsia"/>
                <w:color w:val="000000"/>
                <w:kern w:val="0"/>
                <w:sz w:val="28"/>
                <w:szCs w:val="28"/>
                <w:lang w:val="en-US" w:eastAsia="zh-CN" w:bidi="ar"/>
              </w:rPr>
              <w:t>指</w:t>
            </w:r>
          </w:p>
          <w:p>
            <w:pPr>
              <w:widowControl/>
              <w:spacing w:line="320" w:lineRule="exact"/>
              <w:jc w:val="center"/>
              <w:textAlignment w:val="bottom"/>
              <w:rPr>
                <w:rFonts w:hint="default" w:eastAsia="仿宋_GB2312"/>
                <w:color w:val="000000"/>
                <w:sz w:val="28"/>
                <w:szCs w:val="28"/>
                <w:lang w:val="en-US" w:eastAsia="zh-CN"/>
              </w:rPr>
            </w:pPr>
            <w:r>
              <w:rPr>
                <w:rFonts w:hint="eastAsia"/>
                <w:color w:val="000000"/>
                <w:kern w:val="0"/>
                <w:sz w:val="28"/>
                <w:szCs w:val="28"/>
                <w:lang w:val="en-US" w:eastAsia="zh-CN" w:bidi="ar"/>
              </w:rPr>
              <w:t>标</w:t>
            </w:r>
          </w:p>
        </w:tc>
        <w:tc>
          <w:tcPr>
            <w:tcW w:w="1184" w:type="pct"/>
            <w:tcBorders>
              <w:top w:val="single" w:color="000000" w:sz="4" w:space="0"/>
              <w:left w:val="single" w:color="000000" w:sz="4" w:space="0"/>
              <w:bottom w:val="single" w:color="000000" w:sz="4" w:space="0"/>
              <w:right w:val="single" w:color="000000" w:sz="4" w:space="0"/>
            </w:tcBorders>
            <w:shd w:val="clear" w:color="auto" w:fill="auto"/>
            <w:vAlign w:val="top"/>
          </w:tcPr>
          <w:p>
            <w:pPr>
              <w:widowControl/>
              <w:tabs>
                <w:tab w:val="left" w:pos="599"/>
              </w:tabs>
              <w:spacing w:line="320" w:lineRule="exact"/>
              <w:jc w:val="left"/>
              <w:textAlignment w:val="bottom"/>
              <w:rPr>
                <w:rFonts w:hint="eastAsia" w:eastAsia="仿宋_GB2312"/>
                <w:color w:val="auto"/>
                <w:sz w:val="28"/>
                <w:szCs w:val="28"/>
                <w:lang w:eastAsia="zh-CN"/>
              </w:rPr>
            </w:pPr>
            <w:r>
              <w:rPr>
                <w:rFonts w:hint="eastAsia"/>
                <w:color w:val="auto"/>
                <w:kern w:val="0"/>
                <w:sz w:val="21"/>
                <w:szCs w:val="21"/>
                <w:shd w:val="clear" w:color="auto" w:fill="FFFFFF"/>
                <w:lang w:val="en-US" w:eastAsia="zh-CN"/>
              </w:rPr>
              <w:t>实现进一步优化工作流程，提高工作质量和效率，强化业务协同，创新管理方式，提高管理效能。</w:t>
            </w:r>
          </w:p>
        </w:tc>
        <w:tc>
          <w:tcPr>
            <w:tcW w:w="1157" w:type="pct"/>
            <w:tcBorders>
              <w:top w:val="single" w:color="000000" w:sz="4" w:space="0"/>
              <w:left w:val="single" w:color="000000" w:sz="4" w:space="0"/>
              <w:bottom w:val="single" w:color="000000" w:sz="4" w:space="0"/>
              <w:right w:val="single" w:color="000000" w:sz="4" w:space="0"/>
            </w:tcBorders>
            <w:shd w:val="clear" w:color="auto" w:fill="auto"/>
            <w:vAlign w:val="top"/>
          </w:tcPr>
          <w:p>
            <w:pPr>
              <w:widowControl/>
              <w:spacing w:line="320" w:lineRule="exact"/>
              <w:jc w:val="left"/>
              <w:textAlignment w:val="bottom"/>
              <w:rPr>
                <w:rFonts w:hint="eastAsia"/>
                <w:color w:val="auto"/>
                <w:kern w:val="0"/>
                <w:sz w:val="21"/>
                <w:szCs w:val="21"/>
                <w:shd w:val="clear" w:color="auto" w:fill="FFFFFF"/>
                <w:lang w:val="en-US" w:eastAsia="zh-CN"/>
              </w:rPr>
            </w:pPr>
            <w:r>
              <w:rPr>
                <w:rFonts w:hint="eastAsia"/>
                <w:color w:val="auto"/>
                <w:kern w:val="0"/>
                <w:sz w:val="21"/>
                <w:szCs w:val="21"/>
                <w:shd w:val="clear" w:color="auto" w:fill="FFFFFF"/>
                <w:lang w:val="en-US" w:eastAsia="zh-CN"/>
              </w:rPr>
              <w:t>全面提升区疾控中心疾病预防控制技术管理和服务能力。</w:t>
            </w:r>
          </w:p>
        </w:tc>
        <w:tc>
          <w:tcPr>
            <w:tcW w:w="1191" w:type="pct"/>
            <w:tcBorders>
              <w:top w:val="single" w:color="000000" w:sz="4" w:space="0"/>
              <w:left w:val="single" w:color="000000" w:sz="4" w:space="0"/>
              <w:bottom w:val="single" w:color="000000" w:sz="4" w:space="0"/>
              <w:right w:val="single" w:color="000000" w:sz="4" w:space="0"/>
            </w:tcBorders>
            <w:shd w:val="clear" w:color="auto" w:fill="auto"/>
            <w:vAlign w:val="top"/>
          </w:tcPr>
          <w:p>
            <w:pPr>
              <w:widowControl/>
              <w:spacing w:line="320" w:lineRule="exact"/>
              <w:jc w:val="left"/>
              <w:textAlignment w:val="bottom"/>
              <w:rPr>
                <w:rFonts w:hint="default" w:eastAsia="仿宋_GB2312"/>
                <w:color w:val="auto"/>
                <w:sz w:val="28"/>
                <w:szCs w:val="28"/>
                <w:lang w:val="en-US" w:eastAsia="zh-CN"/>
              </w:rPr>
            </w:pPr>
            <w:r>
              <w:rPr>
                <w:rFonts w:hint="eastAsia"/>
                <w:color w:val="auto"/>
                <w:kern w:val="0"/>
                <w:sz w:val="21"/>
                <w:szCs w:val="21"/>
                <w:shd w:val="clear" w:color="auto" w:fill="FFFFFF"/>
                <w:lang w:val="en-US" w:eastAsia="zh-CN"/>
              </w:rPr>
              <w:t>建设中</w:t>
            </w:r>
          </w:p>
        </w:tc>
      </w:tr>
      <w:tr>
        <w:tblPrEx>
          <w:tblCellMar>
            <w:top w:w="0" w:type="dxa"/>
            <w:left w:w="108" w:type="dxa"/>
            <w:bottom w:w="0" w:type="dxa"/>
            <w:right w:w="108" w:type="dxa"/>
          </w:tblCellMar>
        </w:tblPrEx>
        <w:trPr>
          <w:gridAfter w:val="1"/>
          <w:wAfter w:w="123" w:type="pct"/>
          <w:trHeight w:val="480" w:hRule="atLeast"/>
        </w:trPr>
        <w:tc>
          <w:tcPr>
            <w:tcW w:w="407" w:type="pct"/>
            <w:vMerge w:val="continue"/>
            <w:tcBorders>
              <w:left w:val="single" w:color="000000" w:sz="4" w:space="0"/>
              <w:right w:val="single" w:color="000000" w:sz="4" w:space="0"/>
            </w:tcBorders>
            <w:shd w:val="clear" w:color="auto" w:fill="auto"/>
            <w:vAlign w:val="center"/>
          </w:tcPr>
          <w:p>
            <w:pPr>
              <w:spacing w:line="320" w:lineRule="exact"/>
              <w:jc w:val="center"/>
              <w:rPr>
                <w:color w:val="000000"/>
                <w:sz w:val="28"/>
                <w:szCs w:val="28"/>
              </w:rPr>
            </w:pPr>
          </w:p>
        </w:tc>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20" w:lineRule="exact"/>
              <w:jc w:val="center"/>
              <w:rPr>
                <w:color w:val="000000"/>
                <w:sz w:val="28"/>
                <w:szCs w:val="28"/>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color w:val="000000"/>
                <w:sz w:val="28"/>
                <w:szCs w:val="28"/>
              </w:rPr>
            </w:pPr>
            <w:r>
              <w:rPr>
                <w:color w:val="000000"/>
                <w:kern w:val="0"/>
                <w:sz w:val="28"/>
                <w:szCs w:val="28"/>
                <w:lang w:bidi="ar"/>
              </w:rPr>
              <w:t>时效指标</w:t>
            </w:r>
          </w:p>
        </w:tc>
        <w:tc>
          <w:tcPr>
            <w:tcW w:w="1184" w:type="pct"/>
            <w:tcBorders>
              <w:top w:val="single" w:color="000000" w:sz="4" w:space="0"/>
              <w:left w:val="single" w:color="000000" w:sz="4" w:space="0"/>
              <w:bottom w:val="single" w:color="000000" w:sz="4" w:space="0"/>
              <w:right w:val="single" w:color="000000" w:sz="4" w:space="0"/>
            </w:tcBorders>
            <w:shd w:val="clear" w:color="auto" w:fill="auto"/>
            <w:vAlign w:val="top"/>
          </w:tcPr>
          <w:p>
            <w:pPr>
              <w:widowControl/>
              <w:spacing w:line="320" w:lineRule="exact"/>
              <w:jc w:val="left"/>
              <w:textAlignment w:val="bottom"/>
              <w:rPr>
                <w:rFonts w:hint="eastAsia"/>
                <w:color w:val="auto"/>
                <w:kern w:val="0"/>
                <w:sz w:val="21"/>
                <w:szCs w:val="21"/>
                <w:shd w:val="clear" w:color="auto" w:fill="FFFFFF"/>
                <w:lang w:val="en-US" w:eastAsia="zh-CN"/>
              </w:rPr>
            </w:pPr>
            <w:r>
              <w:rPr>
                <w:rFonts w:hint="eastAsia"/>
                <w:color w:val="auto"/>
                <w:kern w:val="0"/>
                <w:sz w:val="21"/>
                <w:szCs w:val="21"/>
                <w:shd w:val="clear" w:color="auto" w:fill="FFFFFF"/>
                <w:lang w:val="en-US" w:eastAsia="zh-CN"/>
              </w:rPr>
              <w:t>2023年6月底前</w:t>
            </w:r>
          </w:p>
        </w:tc>
        <w:tc>
          <w:tcPr>
            <w:tcW w:w="1157" w:type="pct"/>
            <w:tcBorders>
              <w:top w:val="single" w:color="000000" w:sz="4" w:space="0"/>
              <w:left w:val="single" w:color="000000" w:sz="4" w:space="0"/>
              <w:bottom w:val="single" w:color="000000" w:sz="4" w:space="0"/>
              <w:right w:val="single" w:color="000000" w:sz="4" w:space="0"/>
            </w:tcBorders>
            <w:shd w:val="clear" w:color="auto" w:fill="auto"/>
            <w:vAlign w:val="top"/>
          </w:tcPr>
          <w:p>
            <w:pPr>
              <w:widowControl/>
              <w:spacing w:line="320" w:lineRule="exact"/>
              <w:jc w:val="left"/>
              <w:textAlignment w:val="bottom"/>
              <w:rPr>
                <w:rFonts w:hint="default"/>
                <w:color w:val="auto"/>
                <w:kern w:val="0"/>
                <w:sz w:val="21"/>
                <w:szCs w:val="21"/>
                <w:shd w:val="clear" w:color="auto" w:fill="FFFFFF"/>
                <w:lang w:val="en-US" w:eastAsia="zh-CN"/>
              </w:rPr>
            </w:pPr>
            <w:r>
              <w:rPr>
                <w:rFonts w:hint="eastAsia"/>
                <w:color w:val="auto"/>
                <w:kern w:val="0"/>
                <w:sz w:val="21"/>
                <w:szCs w:val="21"/>
                <w:shd w:val="clear" w:color="auto" w:fill="FFFFFF"/>
                <w:lang w:val="en-US" w:eastAsia="zh-CN"/>
              </w:rPr>
              <w:t>2023年6月底前</w:t>
            </w:r>
          </w:p>
        </w:tc>
        <w:tc>
          <w:tcPr>
            <w:tcW w:w="1191" w:type="pct"/>
            <w:tcBorders>
              <w:top w:val="single" w:color="000000" w:sz="4" w:space="0"/>
              <w:left w:val="single" w:color="000000" w:sz="4" w:space="0"/>
              <w:bottom w:val="single" w:color="000000" w:sz="4" w:space="0"/>
              <w:right w:val="single" w:color="000000" w:sz="4" w:space="0"/>
            </w:tcBorders>
            <w:shd w:val="clear" w:color="auto" w:fill="auto"/>
            <w:vAlign w:val="top"/>
          </w:tcPr>
          <w:p>
            <w:pPr>
              <w:widowControl/>
              <w:spacing w:line="320" w:lineRule="exact"/>
              <w:jc w:val="left"/>
              <w:textAlignment w:val="bottom"/>
              <w:rPr>
                <w:rFonts w:hint="eastAsia"/>
                <w:color w:val="auto"/>
                <w:kern w:val="0"/>
                <w:sz w:val="21"/>
                <w:szCs w:val="21"/>
                <w:shd w:val="clear" w:color="auto" w:fill="FFFFFF"/>
                <w:lang w:val="en-US" w:eastAsia="zh-CN"/>
              </w:rPr>
            </w:pPr>
            <w:r>
              <w:rPr>
                <w:rFonts w:hint="eastAsia"/>
                <w:color w:val="auto"/>
                <w:kern w:val="0"/>
                <w:sz w:val="21"/>
                <w:szCs w:val="21"/>
                <w:shd w:val="clear" w:color="auto" w:fill="FFFFFF"/>
                <w:lang w:val="en-US" w:eastAsia="zh-CN"/>
              </w:rPr>
              <w:t>建设中</w:t>
            </w:r>
          </w:p>
        </w:tc>
      </w:tr>
      <w:tr>
        <w:tblPrEx>
          <w:tblCellMar>
            <w:top w:w="0" w:type="dxa"/>
            <w:left w:w="108" w:type="dxa"/>
            <w:bottom w:w="0" w:type="dxa"/>
            <w:right w:w="108" w:type="dxa"/>
          </w:tblCellMar>
        </w:tblPrEx>
        <w:trPr>
          <w:gridAfter w:val="1"/>
          <w:wAfter w:w="123" w:type="pct"/>
          <w:trHeight w:val="1710" w:hRule="atLeast"/>
        </w:trPr>
        <w:tc>
          <w:tcPr>
            <w:tcW w:w="407" w:type="pct"/>
            <w:vMerge w:val="continue"/>
            <w:tcBorders>
              <w:left w:val="single" w:color="000000" w:sz="4" w:space="0"/>
              <w:right w:val="single" w:color="000000" w:sz="4" w:space="0"/>
            </w:tcBorders>
            <w:shd w:val="clear" w:color="auto" w:fill="auto"/>
            <w:vAlign w:val="center"/>
          </w:tcPr>
          <w:p>
            <w:pPr>
              <w:spacing w:line="320" w:lineRule="exact"/>
              <w:jc w:val="center"/>
              <w:rPr>
                <w:color w:val="000000"/>
                <w:sz w:val="28"/>
                <w:szCs w:val="28"/>
              </w:rPr>
            </w:pPr>
          </w:p>
        </w:tc>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20" w:lineRule="exact"/>
              <w:jc w:val="center"/>
              <w:rPr>
                <w:color w:val="000000"/>
                <w:sz w:val="28"/>
                <w:szCs w:val="28"/>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color w:val="000000"/>
                <w:sz w:val="28"/>
                <w:szCs w:val="28"/>
              </w:rPr>
            </w:pPr>
            <w:r>
              <w:rPr>
                <w:color w:val="000000"/>
                <w:kern w:val="0"/>
                <w:sz w:val="28"/>
                <w:szCs w:val="28"/>
                <w:lang w:bidi="ar"/>
              </w:rPr>
              <w:t>成本指标</w:t>
            </w:r>
          </w:p>
        </w:tc>
        <w:tc>
          <w:tcPr>
            <w:tcW w:w="1184" w:type="pct"/>
            <w:tcBorders>
              <w:top w:val="single" w:color="000000" w:sz="4" w:space="0"/>
              <w:left w:val="single" w:color="000000" w:sz="4" w:space="0"/>
              <w:bottom w:val="single" w:color="000000" w:sz="4" w:space="0"/>
              <w:right w:val="single" w:color="000000" w:sz="4" w:space="0"/>
            </w:tcBorders>
            <w:shd w:val="clear" w:color="auto" w:fill="auto"/>
            <w:vAlign w:val="top"/>
          </w:tcPr>
          <w:p>
            <w:pPr>
              <w:widowControl/>
              <w:spacing w:line="320" w:lineRule="exact"/>
              <w:jc w:val="left"/>
              <w:textAlignment w:val="bottom"/>
              <w:rPr>
                <w:color w:val="auto"/>
                <w:sz w:val="28"/>
                <w:szCs w:val="28"/>
              </w:rPr>
            </w:pPr>
            <w:r>
              <w:rPr>
                <w:rFonts w:hint="eastAsia"/>
                <w:color w:val="auto"/>
                <w:kern w:val="0"/>
                <w:sz w:val="21"/>
                <w:szCs w:val="21"/>
                <w:shd w:val="clear" w:color="auto" w:fill="FFFFFF"/>
                <w:lang w:val="en-US" w:eastAsia="zh-CN"/>
              </w:rPr>
              <w:t>建设区级疾病预防控制一体化综合管理信息系统。采购部分检测仪器及配套设施设备。</w:t>
            </w:r>
          </w:p>
        </w:tc>
        <w:tc>
          <w:tcPr>
            <w:tcW w:w="1157" w:type="pct"/>
            <w:tcBorders>
              <w:top w:val="single" w:color="000000" w:sz="4" w:space="0"/>
              <w:left w:val="single" w:color="000000" w:sz="4" w:space="0"/>
              <w:bottom w:val="single" w:color="000000" w:sz="4" w:space="0"/>
              <w:right w:val="single" w:color="000000" w:sz="4" w:space="0"/>
            </w:tcBorders>
            <w:shd w:val="clear" w:color="auto" w:fill="auto"/>
            <w:vAlign w:val="top"/>
          </w:tcPr>
          <w:p>
            <w:pPr>
              <w:widowControl/>
              <w:spacing w:line="320" w:lineRule="exact"/>
              <w:jc w:val="left"/>
              <w:textAlignment w:val="bottom"/>
              <w:rPr>
                <w:rFonts w:hint="default"/>
                <w:color w:val="auto"/>
                <w:kern w:val="0"/>
                <w:sz w:val="21"/>
                <w:szCs w:val="21"/>
                <w:shd w:val="clear" w:color="auto" w:fill="FFFFFF"/>
                <w:lang w:val="en-US" w:eastAsia="zh-CN"/>
              </w:rPr>
            </w:pPr>
            <w:r>
              <w:rPr>
                <w:rFonts w:hint="eastAsia"/>
                <w:color w:val="auto"/>
                <w:kern w:val="0"/>
                <w:sz w:val="21"/>
                <w:szCs w:val="21"/>
                <w:shd w:val="clear" w:color="auto" w:fill="FFFFFF"/>
                <w:lang w:val="en-US" w:eastAsia="zh-CN"/>
              </w:rPr>
              <w:t>200万</w:t>
            </w:r>
          </w:p>
        </w:tc>
        <w:tc>
          <w:tcPr>
            <w:tcW w:w="1191" w:type="pct"/>
            <w:tcBorders>
              <w:top w:val="single" w:color="000000" w:sz="4" w:space="0"/>
              <w:left w:val="single" w:color="000000" w:sz="4" w:space="0"/>
              <w:bottom w:val="single" w:color="000000" w:sz="4" w:space="0"/>
              <w:right w:val="single" w:color="000000" w:sz="4" w:space="0"/>
            </w:tcBorders>
            <w:shd w:val="clear" w:color="auto" w:fill="auto"/>
            <w:vAlign w:val="top"/>
          </w:tcPr>
          <w:p>
            <w:pPr>
              <w:widowControl/>
              <w:spacing w:line="320" w:lineRule="exact"/>
              <w:jc w:val="left"/>
              <w:textAlignment w:val="bottom"/>
              <w:rPr>
                <w:rFonts w:hint="default"/>
                <w:color w:val="auto"/>
                <w:kern w:val="0"/>
                <w:sz w:val="21"/>
                <w:szCs w:val="21"/>
                <w:shd w:val="clear" w:color="auto" w:fill="FFFFFF"/>
                <w:lang w:val="en-US" w:eastAsia="zh-CN"/>
              </w:rPr>
            </w:pPr>
            <w:r>
              <w:rPr>
                <w:rFonts w:hint="eastAsia"/>
                <w:color w:val="auto"/>
                <w:kern w:val="0"/>
                <w:sz w:val="21"/>
                <w:szCs w:val="21"/>
                <w:shd w:val="clear" w:color="auto" w:fill="FFFFFF"/>
                <w:lang w:val="en-US" w:eastAsia="zh-CN"/>
              </w:rPr>
              <w:t>0</w:t>
            </w:r>
          </w:p>
        </w:tc>
      </w:tr>
      <w:tr>
        <w:tblPrEx>
          <w:tblCellMar>
            <w:top w:w="0" w:type="dxa"/>
            <w:left w:w="108" w:type="dxa"/>
            <w:bottom w:w="0" w:type="dxa"/>
            <w:right w:w="108" w:type="dxa"/>
          </w:tblCellMar>
        </w:tblPrEx>
        <w:trPr>
          <w:gridAfter w:val="1"/>
          <w:wAfter w:w="123" w:type="pct"/>
          <w:trHeight w:val="480" w:hRule="atLeast"/>
        </w:trPr>
        <w:tc>
          <w:tcPr>
            <w:tcW w:w="407" w:type="pct"/>
            <w:vMerge w:val="continue"/>
            <w:tcBorders>
              <w:left w:val="single" w:color="000000" w:sz="4" w:space="0"/>
              <w:right w:val="single" w:color="000000" w:sz="4" w:space="0"/>
            </w:tcBorders>
            <w:shd w:val="clear" w:color="auto" w:fill="auto"/>
            <w:vAlign w:val="center"/>
          </w:tcPr>
          <w:p>
            <w:pPr>
              <w:spacing w:line="320" w:lineRule="exact"/>
              <w:jc w:val="center"/>
              <w:rPr>
                <w:color w:val="000000"/>
                <w:sz w:val="28"/>
                <w:szCs w:val="28"/>
              </w:rPr>
            </w:pPr>
          </w:p>
        </w:tc>
        <w:tc>
          <w:tcPr>
            <w:tcW w:w="43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color w:val="000000"/>
                <w:sz w:val="28"/>
                <w:szCs w:val="28"/>
              </w:rPr>
            </w:pPr>
            <w:r>
              <w:rPr>
                <w:color w:val="000000"/>
                <w:kern w:val="0"/>
                <w:sz w:val="28"/>
                <w:szCs w:val="28"/>
                <w:lang w:bidi="ar"/>
              </w:rPr>
              <w:t>效益</w:t>
            </w:r>
            <w:r>
              <w:rPr>
                <w:color w:val="000000"/>
                <w:kern w:val="0"/>
                <w:sz w:val="28"/>
                <w:szCs w:val="28"/>
                <w:lang w:bidi="ar"/>
              </w:rPr>
              <w:br w:type="textWrapping"/>
            </w:r>
            <w:r>
              <w:rPr>
                <w:color w:val="000000"/>
                <w:kern w:val="0"/>
                <w:sz w:val="28"/>
                <w:szCs w:val="28"/>
                <w:lang w:bidi="ar"/>
              </w:rPr>
              <w:t>指标</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color w:val="000000"/>
                <w:sz w:val="28"/>
                <w:szCs w:val="28"/>
              </w:rPr>
            </w:pPr>
            <w:r>
              <w:rPr>
                <w:color w:val="000000"/>
                <w:kern w:val="0"/>
                <w:sz w:val="28"/>
                <w:szCs w:val="28"/>
                <w:lang w:bidi="ar"/>
              </w:rPr>
              <w:t>经济效益  指标</w:t>
            </w:r>
          </w:p>
        </w:tc>
        <w:tc>
          <w:tcPr>
            <w:tcW w:w="1184" w:type="pct"/>
            <w:tcBorders>
              <w:top w:val="single" w:color="000000" w:sz="4" w:space="0"/>
              <w:left w:val="single" w:color="000000" w:sz="4" w:space="0"/>
              <w:bottom w:val="single" w:color="000000" w:sz="4" w:space="0"/>
              <w:right w:val="single" w:color="000000" w:sz="4" w:space="0"/>
            </w:tcBorders>
            <w:shd w:val="clear" w:color="auto" w:fill="auto"/>
            <w:vAlign w:val="top"/>
          </w:tcPr>
          <w:p>
            <w:pPr>
              <w:widowControl/>
              <w:spacing w:line="320" w:lineRule="exact"/>
              <w:jc w:val="left"/>
              <w:textAlignment w:val="bottom"/>
              <w:rPr>
                <w:color w:val="000000"/>
                <w:sz w:val="28"/>
                <w:szCs w:val="28"/>
              </w:rPr>
            </w:pPr>
          </w:p>
        </w:tc>
        <w:tc>
          <w:tcPr>
            <w:tcW w:w="1157" w:type="pct"/>
            <w:tcBorders>
              <w:top w:val="single" w:color="000000" w:sz="4" w:space="0"/>
              <w:left w:val="single" w:color="000000" w:sz="4" w:space="0"/>
              <w:bottom w:val="single" w:color="000000" w:sz="4" w:space="0"/>
              <w:right w:val="single" w:color="000000" w:sz="4" w:space="0"/>
            </w:tcBorders>
            <w:shd w:val="clear" w:color="auto" w:fill="auto"/>
            <w:vAlign w:val="top"/>
          </w:tcPr>
          <w:p>
            <w:pPr>
              <w:widowControl/>
              <w:spacing w:line="320" w:lineRule="exact"/>
              <w:jc w:val="left"/>
              <w:textAlignment w:val="bottom"/>
              <w:rPr>
                <w:rFonts w:hint="default"/>
                <w:color w:val="FF0000"/>
                <w:kern w:val="0"/>
                <w:sz w:val="21"/>
                <w:szCs w:val="21"/>
                <w:shd w:val="clear" w:color="auto" w:fill="FFFFFF"/>
                <w:lang w:val="en-US" w:eastAsia="zh-CN"/>
              </w:rPr>
            </w:pPr>
          </w:p>
        </w:tc>
        <w:tc>
          <w:tcPr>
            <w:tcW w:w="1191" w:type="pct"/>
            <w:tcBorders>
              <w:top w:val="single" w:color="000000" w:sz="4" w:space="0"/>
              <w:left w:val="single" w:color="000000" w:sz="4" w:space="0"/>
              <w:bottom w:val="single" w:color="000000" w:sz="4" w:space="0"/>
              <w:right w:val="single" w:color="000000" w:sz="4" w:space="0"/>
            </w:tcBorders>
            <w:shd w:val="clear" w:color="auto" w:fill="auto"/>
            <w:vAlign w:val="top"/>
          </w:tcPr>
          <w:p>
            <w:pPr>
              <w:widowControl/>
              <w:spacing w:line="320" w:lineRule="exact"/>
              <w:jc w:val="left"/>
              <w:textAlignment w:val="bottom"/>
              <w:rPr>
                <w:rFonts w:hint="default"/>
                <w:color w:val="FF0000"/>
                <w:kern w:val="0"/>
                <w:sz w:val="21"/>
                <w:szCs w:val="21"/>
                <w:shd w:val="clear" w:color="auto" w:fill="FFFFFF"/>
                <w:lang w:val="en-US" w:eastAsia="zh-CN"/>
              </w:rPr>
            </w:pPr>
          </w:p>
        </w:tc>
      </w:tr>
      <w:tr>
        <w:tblPrEx>
          <w:tblCellMar>
            <w:top w:w="0" w:type="dxa"/>
            <w:left w:w="108" w:type="dxa"/>
            <w:bottom w:w="0" w:type="dxa"/>
            <w:right w:w="108" w:type="dxa"/>
          </w:tblCellMar>
        </w:tblPrEx>
        <w:trPr>
          <w:gridAfter w:val="1"/>
          <w:wAfter w:w="123" w:type="pct"/>
          <w:trHeight w:val="480" w:hRule="atLeast"/>
        </w:trPr>
        <w:tc>
          <w:tcPr>
            <w:tcW w:w="407" w:type="pct"/>
            <w:vMerge w:val="continue"/>
            <w:tcBorders>
              <w:left w:val="single" w:color="000000" w:sz="4" w:space="0"/>
              <w:right w:val="single" w:color="000000" w:sz="4" w:space="0"/>
            </w:tcBorders>
            <w:shd w:val="clear" w:color="auto" w:fill="auto"/>
            <w:vAlign w:val="center"/>
          </w:tcPr>
          <w:p>
            <w:pPr>
              <w:spacing w:line="320" w:lineRule="exact"/>
              <w:jc w:val="center"/>
              <w:rPr>
                <w:color w:val="000000"/>
                <w:sz w:val="28"/>
                <w:szCs w:val="28"/>
              </w:rPr>
            </w:pPr>
          </w:p>
        </w:tc>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20" w:lineRule="exact"/>
              <w:jc w:val="center"/>
              <w:rPr>
                <w:color w:val="000000"/>
                <w:sz w:val="28"/>
                <w:szCs w:val="28"/>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color w:val="000000"/>
                <w:sz w:val="28"/>
                <w:szCs w:val="28"/>
              </w:rPr>
            </w:pPr>
            <w:r>
              <w:rPr>
                <w:color w:val="000000"/>
                <w:kern w:val="0"/>
                <w:sz w:val="28"/>
                <w:szCs w:val="28"/>
                <w:lang w:bidi="ar"/>
              </w:rPr>
              <w:t>社会效益  指标</w:t>
            </w:r>
          </w:p>
        </w:tc>
        <w:tc>
          <w:tcPr>
            <w:tcW w:w="1184" w:type="pct"/>
            <w:tcBorders>
              <w:top w:val="single" w:color="000000" w:sz="4" w:space="0"/>
              <w:left w:val="single" w:color="000000" w:sz="4" w:space="0"/>
              <w:bottom w:val="single" w:color="000000" w:sz="4" w:space="0"/>
              <w:right w:val="single" w:color="000000" w:sz="4" w:space="0"/>
            </w:tcBorders>
            <w:shd w:val="clear" w:color="auto" w:fill="auto"/>
            <w:vAlign w:val="top"/>
          </w:tcPr>
          <w:p>
            <w:pPr>
              <w:widowControl/>
              <w:spacing w:line="320" w:lineRule="exact"/>
              <w:jc w:val="left"/>
              <w:textAlignment w:val="bottom"/>
              <w:rPr>
                <w:color w:val="auto"/>
                <w:sz w:val="28"/>
                <w:szCs w:val="28"/>
              </w:rPr>
            </w:pPr>
            <w:r>
              <w:rPr>
                <w:rFonts w:hint="eastAsia"/>
                <w:color w:val="auto"/>
                <w:kern w:val="0"/>
                <w:sz w:val="21"/>
                <w:szCs w:val="21"/>
                <w:shd w:val="clear" w:color="auto" w:fill="FFFFFF"/>
              </w:rPr>
              <w:t>从根本上解决当前在疾病预防控制一体化综合管理信息系统建设不足、部分检测仪器设备陈旧及新项目开展仪器设备配备不足等问题，项目建成后将全面提升区疾控中心疾病预防控制技术管理和服务能力；为创建二级甲等疾控机构、实验室通过计量认证提供必要保障。</w:t>
            </w:r>
          </w:p>
        </w:tc>
        <w:tc>
          <w:tcPr>
            <w:tcW w:w="1157" w:type="pct"/>
            <w:tcBorders>
              <w:top w:val="single" w:color="000000" w:sz="4" w:space="0"/>
              <w:left w:val="single" w:color="000000" w:sz="4" w:space="0"/>
              <w:bottom w:val="single" w:color="000000" w:sz="4" w:space="0"/>
              <w:right w:val="single" w:color="000000" w:sz="4" w:space="0"/>
            </w:tcBorders>
            <w:shd w:val="clear" w:color="auto" w:fill="auto"/>
            <w:vAlign w:val="top"/>
          </w:tcPr>
          <w:p>
            <w:pPr>
              <w:widowControl/>
              <w:spacing w:line="320" w:lineRule="exact"/>
              <w:jc w:val="left"/>
              <w:textAlignment w:val="bottom"/>
              <w:rPr>
                <w:rFonts w:hint="eastAsia"/>
                <w:color w:val="auto"/>
                <w:kern w:val="0"/>
                <w:sz w:val="21"/>
                <w:szCs w:val="21"/>
                <w:shd w:val="clear" w:color="auto" w:fill="FFFFFF"/>
              </w:rPr>
            </w:pPr>
            <w:r>
              <w:rPr>
                <w:rFonts w:hint="eastAsia"/>
                <w:color w:val="auto"/>
                <w:kern w:val="0"/>
                <w:sz w:val="21"/>
                <w:szCs w:val="21"/>
                <w:shd w:val="clear" w:color="auto" w:fill="FFFFFF"/>
              </w:rPr>
              <w:t>项目建成投入使用后，将从根本上解决当前仁和区疾控中心在信息化管理上不足的短板，显著增强我区在突发公共卫生事件信息管理上的综合协调与处置能力，为进一步及时、高效、科学、规范开展疾病预防控制，提升区疾控中心服务能力，保障人民群众的身体健康和生命安全。</w:t>
            </w:r>
          </w:p>
        </w:tc>
        <w:tc>
          <w:tcPr>
            <w:tcW w:w="1191" w:type="pct"/>
            <w:tcBorders>
              <w:top w:val="single" w:color="000000" w:sz="4" w:space="0"/>
              <w:left w:val="single" w:color="000000" w:sz="4" w:space="0"/>
              <w:bottom w:val="single" w:color="000000" w:sz="4" w:space="0"/>
              <w:right w:val="single" w:color="000000" w:sz="4" w:space="0"/>
            </w:tcBorders>
            <w:shd w:val="clear" w:color="auto" w:fill="auto"/>
            <w:vAlign w:val="top"/>
          </w:tcPr>
          <w:p>
            <w:pPr>
              <w:widowControl/>
              <w:spacing w:line="320" w:lineRule="exact"/>
              <w:jc w:val="left"/>
              <w:textAlignment w:val="bottom"/>
              <w:rPr>
                <w:rFonts w:hint="default"/>
                <w:color w:val="auto"/>
                <w:kern w:val="0"/>
                <w:sz w:val="21"/>
                <w:szCs w:val="21"/>
                <w:shd w:val="clear" w:color="auto" w:fill="FFFFFF"/>
                <w:lang w:val="en-US" w:eastAsia="zh-CN"/>
              </w:rPr>
            </w:pPr>
            <w:r>
              <w:rPr>
                <w:rFonts w:hint="eastAsia"/>
                <w:color w:val="auto"/>
                <w:kern w:val="0"/>
                <w:sz w:val="21"/>
                <w:szCs w:val="21"/>
                <w:shd w:val="clear" w:color="auto" w:fill="FFFFFF"/>
                <w:lang w:val="en-US" w:eastAsia="zh-CN"/>
              </w:rPr>
              <w:t>建设中</w:t>
            </w:r>
          </w:p>
        </w:tc>
      </w:tr>
      <w:tr>
        <w:tblPrEx>
          <w:tblCellMar>
            <w:top w:w="0" w:type="dxa"/>
            <w:left w:w="108" w:type="dxa"/>
            <w:bottom w:w="0" w:type="dxa"/>
            <w:right w:w="108" w:type="dxa"/>
          </w:tblCellMar>
        </w:tblPrEx>
        <w:trPr>
          <w:gridAfter w:val="1"/>
          <w:wAfter w:w="123" w:type="pct"/>
          <w:trHeight w:val="480" w:hRule="atLeast"/>
        </w:trPr>
        <w:tc>
          <w:tcPr>
            <w:tcW w:w="407" w:type="pct"/>
            <w:vMerge w:val="continue"/>
            <w:tcBorders>
              <w:left w:val="single" w:color="000000" w:sz="4" w:space="0"/>
              <w:right w:val="single" w:color="000000" w:sz="4" w:space="0"/>
            </w:tcBorders>
            <w:shd w:val="clear" w:color="auto" w:fill="auto"/>
            <w:vAlign w:val="center"/>
          </w:tcPr>
          <w:p>
            <w:pPr>
              <w:spacing w:line="320" w:lineRule="exact"/>
              <w:jc w:val="center"/>
              <w:rPr>
                <w:color w:val="000000"/>
                <w:sz w:val="28"/>
                <w:szCs w:val="28"/>
              </w:rPr>
            </w:pPr>
          </w:p>
        </w:tc>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20" w:lineRule="exact"/>
              <w:jc w:val="center"/>
              <w:rPr>
                <w:color w:val="000000"/>
                <w:sz w:val="28"/>
                <w:szCs w:val="28"/>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color w:val="000000"/>
                <w:sz w:val="28"/>
                <w:szCs w:val="28"/>
              </w:rPr>
            </w:pPr>
            <w:r>
              <w:rPr>
                <w:color w:val="000000"/>
                <w:kern w:val="0"/>
                <w:sz w:val="28"/>
                <w:szCs w:val="28"/>
                <w:lang w:bidi="ar"/>
              </w:rPr>
              <w:t>可持续影响 指标</w:t>
            </w:r>
          </w:p>
        </w:tc>
        <w:tc>
          <w:tcPr>
            <w:tcW w:w="1184" w:type="pct"/>
            <w:tcBorders>
              <w:top w:val="single" w:color="000000" w:sz="4" w:space="0"/>
              <w:left w:val="single" w:color="000000" w:sz="4" w:space="0"/>
              <w:bottom w:val="single" w:color="000000" w:sz="4" w:space="0"/>
              <w:right w:val="single" w:color="000000" w:sz="4" w:space="0"/>
            </w:tcBorders>
            <w:shd w:val="clear" w:color="auto" w:fill="auto"/>
            <w:vAlign w:val="top"/>
          </w:tcPr>
          <w:p>
            <w:pPr>
              <w:widowControl/>
              <w:spacing w:line="320" w:lineRule="exact"/>
              <w:jc w:val="left"/>
              <w:textAlignment w:val="bottom"/>
              <w:rPr>
                <w:color w:val="000000"/>
                <w:sz w:val="28"/>
                <w:szCs w:val="28"/>
              </w:rPr>
            </w:pPr>
          </w:p>
        </w:tc>
        <w:tc>
          <w:tcPr>
            <w:tcW w:w="1157" w:type="pct"/>
            <w:tcBorders>
              <w:top w:val="single" w:color="000000" w:sz="4" w:space="0"/>
              <w:left w:val="single" w:color="000000" w:sz="4" w:space="0"/>
              <w:bottom w:val="single" w:color="000000" w:sz="4" w:space="0"/>
              <w:right w:val="single" w:color="000000" w:sz="4" w:space="0"/>
            </w:tcBorders>
            <w:shd w:val="clear" w:color="auto" w:fill="auto"/>
            <w:vAlign w:val="top"/>
          </w:tcPr>
          <w:p>
            <w:pPr>
              <w:widowControl/>
              <w:spacing w:line="320" w:lineRule="exact"/>
              <w:jc w:val="left"/>
              <w:textAlignment w:val="bottom"/>
              <w:rPr>
                <w:color w:val="000000"/>
                <w:sz w:val="28"/>
                <w:szCs w:val="28"/>
              </w:rPr>
            </w:pPr>
          </w:p>
        </w:tc>
        <w:tc>
          <w:tcPr>
            <w:tcW w:w="1191" w:type="pct"/>
            <w:tcBorders>
              <w:top w:val="single" w:color="000000" w:sz="4" w:space="0"/>
              <w:left w:val="single" w:color="000000" w:sz="4" w:space="0"/>
              <w:bottom w:val="single" w:color="000000" w:sz="4" w:space="0"/>
              <w:right w:val="single" w:color="000000" w:sz="4" w:space="0"/>
            </w:tcBorders>
            <w:shd w:val="clear" w:color="auto" w:fill="auto"/>
            <w:vAlign w:val="top"/>
          </w:tcPr>
          <w:p>
            <w:pPr>
              <w:widowControl/>
              <w:spacing w:line="320" w:lineRule="exact"/>
              <w:jc w:val="left"/>
              <w:textAlignment w:val="bottom"/>
              <w:rPr>
                <w:color w:val="000000"/>
                <w:sz w:val="28"/>
                <w:szCs w:val="28"/>
              </w:rPr>
            </w:pPr>
          </w:p>
        </w:tc>
      </w:tr>
      <w:tr>
        <w:tblPrEx>
          <w:tblCellMar>
            <w:top w:w="0" w:type="dxa"/>
            <w:left w:w="108" w:type="dxa"/>
            <w:bottom w:w="0" w:type="dxa"/>
            <w:right w:w="108" w:type="dxa"/>
          </w:tblCellMar>
        </w:tblPrEx>
        <w:trPr>
          <w:gridAfter w:val="1"/>
          <w:wAfter w:w="123" w:type="pct"/>
          <w:trHeight w:val="480" w:hRule="atLeast"/>
        </w:trPr>
        <w:tc>
          <w:tcPr>
            <w:tcW w:w="407" w:type="pct"/>
            <w:vMerge w:val="continue"/>
            <w:tcBorders>
              <w:left w:val="single" w:color="000000" w:sz="4" w:space="0"/>
              <w:bottom w:val="single" w:color="000000" w:sz="4" w:space="0"/>
              <w:right w:val="single" w:color="000000" w:sz="4" w:space="0"/>
            </w:tcBorders>
            <w:shd w:val="clear" w:color="auto" w:fill="auto"/>
            <w:vAlign w:val="center"/>
          </w:tcPr>
          <w:p>
            <w:pPr>
              <w:spacing w:line="320" w:lineRule="exact"/>
              <w:jc w:val="center"/>
              <w:rPr>
                <w:color w:val="000000"/>
                <w:sz w:val="28"/>
                <w:szCs w:val="28"/>
              </w:rPr>
            </w:pP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color w:val="000000"/>
                <w:sz w:val="28"/>
                <w:szCs w:val="28"/>
              </w:rPr>
            </w:pPr>
            <w:r>
              <w:rPr>
                <w:color w:val="000000"/>
                <w:kern w:val="0"/>
                <w:sz w:val="28"/>
                <w:szCs w:val="28"/>
                <w:lang w:bidi="ar"/>
              </w:rPr>
              <w:t>满意</w:t>
            </w:r>
            <w:r>
              <w:rPr>
                <w:color w:val="000000"/>
                <w:kern w:val="0"/>
                <w:sz w:val="28"/>
                <w:szCs w:val="28"/>
                <w:lang w:bidi="ar"/>
              </w:rPr>
              <w:br w:type="textWrapping"/>
            </w:r>
            <w:r>
              <w:rPr>
                <w:color w:val="000000"/>
                <w:kern w:val="0"/>
                <w:sz w:val="28"/>
                <w:szCs w:val="28"/>
                <w:lang w:bidi="ar"/>
              </w:rPr>
              <w:t>度指标</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color w:val="000000"/>
                <w:kern w:val="0"/>
                <w:sz w:val="28"/>
                <w:szCs w:val="28"/>
                <w:lang w:bidi="ar"/>
              </w:rPr>
            </w:pPr>
            <w:r>
              <w:rPr>
                <w:color w:val="000000"/>
                <w:kern w:val="0"/>
                <w:sz w:val="28"/>
                <w:szCs w:val="28"/>
                <w:lang w:bidi="ar"/>
              </w:rPr>
              <w:t>满意度</w:t>
            </w:r>
          </w:p>
          <w:p>
            <w:pPr>
              <w:widowControl/>
              <w:spacing w:line="320" w:lineRule="exact"/>
              <w:jc w:val="center"/>
              <w:textAlignment w:val="bottom"/>
              <w:rPr>
                <w:color w:val="000000"/>
                <w:sz w:val="28"/>
                <w:szCs w:val="28"/>
              </w:rPr>
            </w:pPr>
            <w:r>
              <w:rPr>
                <w:color w:val="000000"/>
                <w:kern w:val="0"/>
                <w:sz w:val="28"/>
                <w:szCs w:val="28"/>
                <w:lang w:bidi="ar"/>
              </w:rPr>
              <w:t>指标</w:t>
            </w:r>
          </w:p>
        </w:tc>
        <w:tc>
          <w:tcPr>
            <w:tcW w:w="1184" w:type="pct"/>
            <w:tcBorders>
              <w:top w:val="single" w:color="000000" w:sz="4" w:space="0"/>
              <w:left w:val="single" w:color="000000" w:sz="4" w:space="0"/>
              <w:bottom w:val="single" w:color="000000" w:sz="4" w:space="0"/>
              <w:right w:val="single" w:color="000000" w:sz="4" w:space="0"/>
            </w:tcBorders>
            <w:shd w:val="clear" w:color="auto" w:fill="auto"/>
            <w:vAlign w:val="top"/>
          </w:tcPr>
          <w:p>
            <w:pPr>
              <w:widowControl/>
              <w:spacing w:line="320" w:lineRule="exact"/>
              <w:jc w:val="left"/>
              <w:textAlignment w:val="bottom"/>
              <w:rPr>
                <w:color w:val="000000"/>
                <w:sz w:val="28"/>
                <w:szCs w:val="28"/>
              </w:rPr>
            </w:pPr>
          </w:p>
        </w:tc>
        <w:tc>
          <w:tcPr>
            <w:tcW w:w="1157" w:type="pct"/>
            <w:tcBorders>
              <w:top w:val="single" w:color="000000" w:sz="4" w:space="0"/>
              <w:left w:val="single" w:color="000000" w:sz="4" w:space="0"/>
              <w:bottom w:val="single" w:color="000000" w:sz="4" w:space="0"/>
              <w:right w:val="single" w:color="000000" w:sz="4" w:space="0"/>
            </w:tcBorders>
            <w:shd w:val="clear" w:color="auto" w:fill="auto"/>
            <w:vAlign w:val="top"/>
          </w:tcPr>
          <w:p>
            <w:pPr>
              <w:widowControl/>
              <w:spacing w:line="320" w:lineRule="exact"/>
              <w:jc w:val="left"/>
              <w:textAlignment w:val="bottom"/>
              <w:rPr>
                <w:color w:val="000000"/>
                <w:sz w:val="28"/>
                <w:szCs w:val="28"/>
              </w:rPr>
            </w:pPr>
          </w:p>
        </w:tc>
        <w:tc>
          <w:tcPr>
            <w:tcW w:w="1191" w:type="pct"/>
            <w:tcBorders>
              <w:top w:val="single" w:color="000000" w:sz="4" w:space="0"/>
              <w:left w:val="single" w:color="000000" w:sz="4" w:space="0"/>
              <w:bottom w:val="single" w:color="000000" w:sz="4" w:space="0"/>
              <w:right w:val="single" w:color="000000" w:sz="4" w:space="0"/>
            </w:tcBorders>
            <w:shd w:val="clear" w:color="auto" w:fill="auto"/>
            <w:vAlign w:val="top"/>
          </w:tcPr>
          <w:p>
            <w:pPr>
              <w:widowControl/>
              <w:spacing w:line="320" w:lineRule="exact"/>
              <w:jc w:val="left"/>
              <w:textAlignment w:val="bottom"/>
              <w:rPr>
                <w:color w:val="000000"/>
                <w:sz w:val="28"/>
                <w:szCs w:val="28"/>
              </w:rPr>
            </w:pPr>
          </w:p>
        </w:tc>
      </w:tr>
    </w:tbl>
    <w:p>
      <w:pPr>
        <w:adjustRightInd w:val="0"/>
        <w:snapToGrid w:val="0"/>
        <w:spacing w:line="560" w:lineRule="exact"/>
        <w:ind w:firstLine="720"/>
        <w:rPr>
          <w:rFonts w:hint="eastAsia" w:ascii="仿宋" w:hAnsi="仿宋" w:eastAsia="仿宋" w:cs="仿宋"/>
          <w:b w:val="0"/>
          <w:bCs/>
          <w:sz w:val="32"/>
          <w:szCs w:val="32"/>
          <w:lang w:val="en-US" w:eastAsia="zh-CN"/>
        </w:rPr>
      </w:pPr>
    </w:p>
    <w:p>
      <w:pPr>
        <w:adjustRightInd w:val="0"/>
        <w:snapToGrid w:val="0"/>
        <w:spacing w:line="560" w:lineRule="exact"/>
        <w:ind w:firstLine="720"/>
        <w:rPr>
          <w:rFonts w:hint="eastAsia" w:ascii="仿宋" w:hAnsi="仿宋" w:eastAsia="仿宋" w:cs="仿宋"/>
          <w:b w:val="0"/>
          <w:bCs/>
          <w:sz w:val="32"/>
          <w:szCs w:val="32"/>
          <w:lang w:val="en-US" w:eastAsia="zh-CN"/>
        </w:rPr>
      </w:pPr>
    </w:p>
    <w:p>
      <w:pPr>
        <w:adjustRightInd w:val="0"/>
        <w:snapToGrid w:val="0"/>
        <w:spacing w:line="560" w:lineRule="exact"/>
        <w:ind w:firstLine="720"/>
        <w:rPr>
          <w:rFonts w:hint="eastAsia" w:ascii="仿宋" w:hAnsi="仿宋" w:eastAsia="仿宋" w:cs="仿宋"/>
          <w:b w:val="0"/>
          <w:bCs/>
          <w:sz w:val="32"/>
          <w:szCs w:val="32"/>
          <w:lang w:val="en-US" w:eastAsia="zh-CN"/>
        </w:rPr>
      </w:pPr>
    </w:p>
    <w:p>
      <w:pPr>
        <w:tabs>
          <w:tab w:val="left" w:pos="1440"/>
        </w:tabs>
        <w:spacing w:line="560" w:lineRule="exact"/>
        <w:rPr>
          <w:rFonts w:ascii="宋体" w:hAnsi="宋体" w:eastAsia="宋体"/>
          <w:sz w:val="30"/>
          <w:szCs w:val="30"/>
        </w:rPr>
      </w:pPr>
    </w:p>
    <w:p>
      <w:pPr>
        <w:tabs>
          <w:tab w:val="left" w:pos="1440"/>
        </w:tabs>
        <w:spacing w:line="560" w:lineRule="exact"/>
        <w:rPr>
          <w:rFonts w:ascii="宋体" w:hAnsi="宋体" w:eastAsia="宋体"/>
          <w:sz w:val="30"/>
          <w:szCs w:val="30"/>
        </w:rPr>
      </w:pPr>
    </w:p>
    <w:p>
      <w:pPr>
        <w:tabs>
          <w:tab w:val="left" w:pos="1440"/>
        </w:tabs>
        <w:spacing w:line="560" w:lineRule="exact"/>
        <w:rPr>
          <w:rFonts w:ascii="宋体" w:hAnsi="宋体" w:eastAsia="宋体"/>
          <w:sz w:val="30"/>
          <w:szCs w:val="30"/>
        </w:rPr>
      </w:pPr>
    </w:p>
    <w:p>
      <w:pPr>
        <w:tabs>
          <w:tab w:val="left" w:pos="1440"/>
        </w:tabs>
        <w:spacing w:line="560" w:lineRule="exact"/>
        <w:rPr>
          <w:rFonts w:ascii="宋体" w:hAnsi="宋体" w:eastAsia="宋体"/>
          <w:sz w:val="30"/>
          <w:szCs w:val="30"/>
        </w:rPr>
      </w:pPr>
    </w:p>
    <w:p>
      <w:pPr>
        <w:tabs>
          <w:tab w:val="left" w:pos="1440"/>
        </w:tabs>
        <w:spacing w:line="560" w:lineRule="exact"/>
        <w:rPr>
          <w:rFonts w:ascii="宋体" w:hAnsi="宋体" w:eastAsia="宋体"/>
          <w:sz w:val="30"/>
          <w:szCs w:val="30"/>
        </w:rPr>
      </w:pPr>
    </w:p>
    <w:p>
      <w:pPr>
        <w:pStyle w:val="8"/>
        <w:spacing w:line="560" w:lineRule="exact"/>
        <w:jc w:val="center"/>
        <w:rPr>
          <w:rFonts w:hint="eastAsia" w:ascii="方正小标宋简体" w:hAnsi="宋体" w:eastAsia="方正小标宋简体"/>
          <w:sz w:val="44"/>
          <w:szCs w:val="44"/>
        </w:rPr>
      </w:pPr>
      <w:r>
        <w:rPr>
          <w:rFonts w:hint="eastAsia" w:ascii="方正小标宋简体" w:hAnsi="宋体" w:eastAsia="方正小标宋简体"/>
          <w:sz w:val="44"/>
          <w:szCs w:val="44"/>
          <w:lang w:val="en-US"/>
        </w:rPr>
        <w:t>202</w:t>
      </w:r>
      <w:r>
        <w:rPr>
          <w:rFonts w:hint="eastAsia" w:ascii="方正小标宋简体" w:hAnsi="宋体" w:eastAsia="方正小标宋简体"/>
          <w:sz w:val="44"/>
          <w:szCs w:val="44"/>
          <w:lang w:val="en-US" w:eastAsia="zh-CN"/>
        </w:rPr>
        <w:t>2</w:t>
      </w:r>
      <w:r>
        <w:rPr>
          <w:rFonts w:hint="eastAsia" w:ascii="方正小标宋简体" w:hAnsi="宋体" w:eastAsia="方正小标宋简体"/>
          <w:sz w:val="44"/>
          <w:szCs w:val="44"/>
          <w:lang w:val="en-US"/>
        </w:rPr>
        <w:t>年</w:t>
      </w:r>
      <w:r>
        <w:rPr>
          <w:rFonts w:hint="eastAsia" w:ascii="方正小标宋简体" w:hAnsi="宋体" w:eastAsia="方正小标宋简体"/>
          <w:sz w:val="44"/>
          <w:szCs w:val="44"/>
        </w:rPr>
        <w:t>专项预算项目支出绩效</w:t>
      </w:r>
    </w:p>
    <w:p>
      <w:pPr>
        <w:pStyle w:val="8"/>
        <w:spacing w:line="560"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自评报告</w:t>
      </w:r>
    </w:p>
    <w:p>
      <w:pPr>
        <w:pStyle w:val="8"/>
        <w:spacing w:line="560" w:lineRule="exact"/>
        <w:jc w:val="center"/>
        <w:rPr>
          <w:rFonts w:ascii="仿宋_GB2312" w:hAnsi="宋体" w:eastAsia="仿宋_GB2312"/>
          <w:color w:val="auto"/>
          <w:kern w:val="2"/>
          <w:sz w:val="32"/>
          <w:szCs w:val="32"/>
        </w:rPr>
      </w:pPr>
      <w:r>
        <w:rPr>
          <w:rFonts w:hint="eastAsia" w:ascii="仿宋_GB2312" w:hAnsi="宋体" w:eastAsia="仿宋_GB2312"/>
          <w:color w:val="auto"/>
          <w:kern w:val="2"/>
          <w:sz w:val="32"/>
          <w:szCs w:val="32"/>
        </w:rPr>
        <w:t>（仁和区公共卫生服务中心</w:t>
      </w:r>
      <w:r>
        <w:rPr>
          <w:rFonts w:hint="eastAsia" w:ascii="仿宋_GB2312" w:hAnsi="宋体" w:eastAsia="仿宋_GB2312"/>
          <w:color w:val="auto"/>
          <w:kern w:val="2"/>
          <w:sz w:val="32"/>
          <w:szCs w:val="32"/>
          <w:lang w:val="en-US" w:eastAsia="zh-CN"/>
        </w:rPr>
        <w:t>一期建设项目</w:t>
      </w:r>
      <w:r>
        <w:rPr>
          <w:rFonts w:hint="eastAsia" w:ascii="仿宋_GB2312" w:hAnsi="宋体" w:eastAsia="仿宋_GB2312"/>
          <w:color w:val="auto"/>
          <w:kern w:val="2"/>
          <w:sz w:val="32"/>
          <w:szCs w:val="32"/>
        </w:rPr>
        <w:t>）</w:t>
      </w:r>
    </w:p>
    <w:p>
      <w:pPr>
        <w:pStyle w:val="8"/>
        <w:spacing w:line="560" w:lineRule="exact"/>
        <w:ind w:firstLine="640"/>
        <w:jc w:val="center"/>
        <w:rPr>
          <w:rFonts w:ascii="宋体" w:hAnsi="宋体"/>
          <w:color w:val="auto"/>
          <w:kern w:val="2"/>
          <w:sz w:val="32"/>
          <w:szCs w:val="32"/>
        </w:rPr>
      </w:pPr>
    </w:p>
    <w:p>
      <w:pPr>
        <w:adjustRightInd w:val="0"/>
        <w:snapToGrid w:val="0"/>
        <w:spacing w:line="560" w:lineRule="exact"/>
        <w:ind w:firstLine="720"/>
        <w:rPr>
          <w:rFonts w:ascii="黑体" w:hAnsi="宋体" w:eastAsia="黑体"/>
          <w:lang w:val="zh-CN"/>
        </w:rPr>
      </w:pPr>
      <w:r>
        <w:rPr>
          <w:rFonts w:hint="eastAsia" w:ascii="黑体" w:hAnsi="宋体" w:eastAsia="黑体"/>
        </w:rPr>
        <w:t>一、</w:t>
      </w:r>
      <w:r>
        <w:rPr>
          <w:rFonts w:hint="eastAsia" w:ascii="黑体" w:hAnsi="宋体" w:eastAsia="黑体"/>
          <w:lang w:val="zh-CN"/>
        </w:rPr>
        <w:t>项目概况</w:t>
      </w:r>
    </w:p>
    <w:p>
      <w:pPr>
        <w:numPr>
          <w:ilvl w:val="0"/>
          <w:numId w:val="5"/>
        </w:numPr>
        <w:adjustRightInd w:val="0"/>
        <w:snapToGrid w:val="0"/>
        <w:spacing w:line="560" w:lineRule="exact"/>
        <w:ind w:firstLine="720"/>
        <w:rPr>
          <w:rFonts w:hint="eastAsia" w:ascii="楷体_GB2312" w:hAnsi="宋体" w:eastAsia="楷体_GB2312"/>
          <w:b/>
          <w:lang w:val="zh-CN"/>
        </w:rPr>
      </w:pPr>
      <w:r>
        <w:rPr>
          <w:rFonts w:hint="eastAsia" w:ascii="楷体_GB2312" w:hAnsi="宋体" w:eastAsia="楷体_GB2312"/>
          <w:b/>
          <w:lang w:val="zh-CN"/>
        </w:rPr>
        <w:t>项目资金申报及批复情况。</w:t>
      </w:r>
    </w:p>
    <w:p>
      <w:pPr>
        <w:numPr>
          <w:ilvl w:val="0"/>
          <w:numId w:val="0"/>
        </w:numPr>
        <w:adjustRightInd w:val="0"/>
        <w:snapToGrid w:val="0"/>
        <w:spacing w:line="560" w:lineRule="exact"/>
        <w:ind w:firstLine="960" w:firstLineChars="300"/>
        <w:rPr>
          <w:rFonts w:hint="default" w:ascii="仿宋_GB2312" w:hAnsi="宋体" w:cs="仿宋_GB2312"/>
          <w:sz w:val="32"/>
          <w:szCs w:val="32"/>
          <w:lang w:val="en-US" w:eastAsia="zh-CN"/>
        </w:rPr>
      </w:pPr>
      <w:r>
        <w:rPr>
          <w:rFonts w:hint="eastAsia" w:ascii="仿宋_GB2312" w:hAnsi="宋体" w:eastAsia="仿宋_GB2312" w:cs="仿宋_GB2312"/>
          <w:sz w:val="32"/>
          <w:szCs w:val="32"/>
        </w:rPr>
        <w:t>2020年经</w:t>
      </w:r>
      <w:r>
        <w:rPr>
          <w:rFonts w:hint="eastAsia" w:ascii="仿宋_GB2312" w:hAnsi="宋体" w:cs="仿宋_GB2312"/>
          <w:sz w:val="32"/>
          <w:szCs w:val="32"/>
          <w:lang w:val="en-US" w:eastAsia="zh-CN"/>
        </w:rPr>
        <w:t>仁和</w:t>
      </w:r>
      <w:r>
        <w:rPr>
          <w:rFonts w:hint="eastAsia" w:ascii="仿宋_GB2312" w:hAnsi="宋体" w:eastAsia="仿宋_GB2312" w:cs="仿宋_GB2312"/>
          <w:sz w:val="32"/>
          <w:szCs w:val="32"/>
        </w:rPr>
        <w:t>区发改局立项“仁和区公共卫生服务中心一期（仁和区疾病预防控制中心业务用房新建项目）”建设项目，建设规模及主要内容为:</w:t>
      </w:r>
      <w:r>
        <w:rPr>
          <w:rFonts w:hint="eastAsia" w:ascii="仿宋_GB2312" w:hAnsi="宋体" w:eastAsia="仿宋_GB2312"/>
          <w:sz w:val="32"/>
          <w:szCs w:val="32"/>
        </w:rPr>
        <w:t xml:space="preserve"> 建筑面积6800</w:t>
      </w:r>
      <w:r>
        <w:rPr>
          <w:rFonts w:hint="eastAsia" w:ascii="仿宋_GB2312" w:hAnsi="宋体" w:eastAsia="仿宋_GB2312" w:cs="仿宋_GB2312"/>
          <w:sz w:val="32"/>
          <w:szCs w:val="32"/>
        </w:rPr>
        <w:t>平方米，其中仁和区疾病预防控制中心业务用房（含配套设施设备、公共卫生检测中心及实验室专业建设和检验仪器设备采购）4500平方米，仁和区公共卫生服务中心2300平方米。总投资及资金来源为：项目估算总投资5375万元，资金来源为使用抗疫特别国债和业主筹。</w:t>
      </w:r>
      <w:r>
        <w:rPr>
          <w:rFonts w:hint="eastAsia" w:ascii="仿宋_GB2312" w:hAnsi="宋体" w:cs="仿宋_GB2312"/>
          <w:sz w:val="32"/>
          <w:szCs w:val="32"/>
          <w:lang w:val="en-US" w:eastAsia="zh-CN"/>
        </w:rPr>
        <w:t>项目建设工期预计4年。</w:t>
      </w:r>
    </w:p>
    <w:p>
      <w:pPr>
        <w:numPr>
          <w:ilvl w:val="0"/>
          <w:numId w:val="5"/>
        </w:numPr>
        <w:adjustRightInd w:val="0"/>
        <w:snapToGrid w:val="0"/>
        <w:spacing w:line="560" w:lineRule="exact"/>
        <w:ind w:left="0" w:leftChars="0" w:firstLine="720" w:firstLineChars="0"/>
        <w:rPr>
          <w:rFonts w:hint="eastAsia" w:ascii="楷体_GB2312" w:hAnsi="宋体" w:eastAsia="楷体_GB2312"/>
          <w:b/>
          <w:lang w:val="zh-CN"/>
        </w:rPr>
      </w:pPr>
      <w:r>
        <w:rPr>
          <w:rFonts w:hint="eastAsia" w:ascii="楷体_GB2312" w:hAnsi="宋体" w:eastAsia="楷体_GB2312"/>
          <w:b/>
          <w:lang w:val="zh-CN"/>
        </w:rPr>
        <w:t>项目绩效目标。</w:t>
      </w:r>
    </w:p>
    <w:p>
      <w:pPr>
        <w:numPr>
          <w:ilvl w:val="0"/>
          <w:numId w:val="0"/>
        </w:numPr>
        <w:adjustRightInd w:val="0"/>
        <w:snapToGrid w:val="0"/>
        <w:spacing w:line="560" w:lineRule="exact"/>
        <w:ind w:firstLine="960" w:firstLineChars="300"/>
        <w:rPr>
          <w:rFonts w:ascii="仿宋_GB2312" w:hAnsi="宋体"/>
          <w:lang w:val="zh-CN"/>
        </w:rPr>
      </w:pPr>
      <w:r>
        <w:rPr>
          <w:rFonts w:hint="eastAsia" w:ascii="仿宋_GB2312" w:hAnsi="宋体"/>
          <w:lang w:val="en-US" w:eastAsia="zh-CN"/>
        </w:rPr>
        <w:t>一期建设项目</w:t>
      </w:r>
      <w:r>
        <w:rPr>
          <w:rFonts w:hint="eastAsia" w:ascii="仿宋_GB2312" w:hAnsi="宋体"/>
          <w:lang w:val="zh-CN"/>
        </w:rPr>
        <w:t>建筑面积 6800平方米，其中仁和区疾病预防控制中心业务用房 4500 平方米，仁和区公共卫生服务中心 2300 平方米。服务总人口27.11万，通过项目的实施，推进基层疾控能力建设，提高公共卫生服务能力。以基层培训指导为导向，加强基层业务培训健康指导，提升基层公共卫生服务能力。完善公共卫生服务中心业务，建立信息化、现代化的公共卫生服务系统。</w:t>
      </w:r>
    </w:p>
    <w:p>
      <w:pPr>
        <w:adjustRightInd w:val="0"/>
        <w:snapToGrid w:val="0"/>
        <w:spacing w:line="560" w:lineRule="exact"/>
        <w:ind w:firstLine="720"/>
        <w:rPr>
          <w:rFonts w:ascii="黑体" w:hAnsi="宋体" w:eastAsia="黑体"/>
        </w:rPr>
      </w:pPr>
      <w:r>
        <w:rPr>
          <w:rFonts w:hint="eastAsia" w:ascii="黑体" w:hAnsi="宋体" w:eastAsia="黑体"/>
        </w:rPr>
        <w:t>二、项目实施及管理情况</w:t>
      </w:r>
    </w:p>
    <w:p>
      <w:pPr>
        <w:adjustRightInd w:val="0"/>
        <w:snapToGrid w:val="0"/>
        <w:spacing w:line="560" w:lineRule="exact"/>
        <w:ind w:firstLine="720"/>
        <w:rPr>
          <w:rFonts w:ascii="楷体_GB2312" w:hAnsi="宋体" w:eastAsia="楷体_GB2312"/>
          <w:b/>
          <w:lang w:val="zh-CN"/>
        </w:rPr>
      </w:pPr>
      <w:r>
        <w:rPr>
          <w:rFonts w:hint="eastAsia" w:ascii="仿宋_GB2312" w:hAnsi="宋体"/>
          <w:lang w:val="zh-CN"/>
        </w:rPr>
        <w:tab/>
      </w:r>
      <w:r>
        <w:rPr>
          <w:rFonts w:hint="eastAsia" w:ascii="楷体_GB2312" w:hAnsi="宋体" w:eastAsia="楷体_GB2312"/>
          <w:b/>
          <w:lang w:val="zh-CN"/>
        </w:rPr>
        <w:t>（一）资金计划、到位及使用情况。</w:t>
      </w:r>
    </w:p>
    <w:p>
      <w:pPr>
        <w:numPr>
          <w:ilvl w:val="0"/>
          <w:numId w:val="0"/>
        </w:numPr>
        <w:adjustRightInd w:val="0"/>
        <w:snapToGrid w:val="0"/>
        <w:spacing w:line="560" w:lineRule="exact"/>
        <w:ind w:firstLine="960" w:firstLineChars="300"/>
        <w:rPr>
          <w:rFonts w:hint="eastAsia" w:ascii="楷体_GB2312" w:hAnsi="宋体" w:eastAsia="楷体_GB2312"/>
          <w:lang w:val="zh-CN"/>
        </w:rPr>
      </w:pPr>
      <w:r>
        <w:rPr>
          <w:rFonts w:hint="eastAsia" w:ascii="楷体_GB2312" w:hAnsi="宋体" w:eastAsia="楷体_GB2312"/>
          <w:lang w:val="zh-CN"/>
        </w:rPr>
        <w:t>1．资金计划及到位。</w:t>
      </w:r>
    </w:p>
    <w:p>
      <w:pPr>
        <w:numPr>
          <w:ilvl w:val="0"/>
          <w:numId w:val="0"/>
        </w:numPr>
        <w:adjustRightInd w:val="0"/>
        <w:snapToGrid w:val="0"/>
        <w:spacing w:line="560" w:lineRule="exact"/>
        <w:ind w:firstLine="960" w:firstLineChars="300"/>
        <w:rPr>
          <w:rFonts w:hint="eastAsia" w:ascii="仿宋" w:hAnsi="仿宋" w:eastAsia="仿宋" w:cs="仿宋"/>
          <w:lang w:val="en-US"/>
        </w:rPr>
      </w:pPr>
      <w:r>
        <w:rPr>
          <w:rFonts w:hint="eastAsia" w:ascii="仿宋" w:hAnsi="仿宋" w:eastAsia="仿宋" w:cs="仿宋"/>
          <w:sz w:val="32"/>
          <w:szCs w:val="32"/>
          <w:lang w:val="en-US" w:eastAsia="zh-CN"/>
        </w:rPr>
        <w:t>2022年财政安排项目建设资金3800万元，其中结余结转资金安排1150万元。资金到位率100%。</w:t>
      </w:r>
    </w:p>
    <w:p>
      <w:pPr>
        <w:numPr>
          <w:ilvl w:val="0"/>
          <w:numId w:val="6"/>
        </w:numPr>
        <w:adjustRightInd w:val="0"/>
        <w:snapToGrid w:val="0"/>
        <w:spacing w:line="560" w:lineRule="exact"/>
        <w:ind w:firstLine="720"/>
        <w:rPr>
          <w:rFonts w:hint="eastAsia" w:ascii="楷体_GB2312" w:hAnsi="宋体" w:eastAsia="楷体_GB2312"/>
          <w:lang w:val="en-US" w:eastAsia="zh-CN"/>
        </w:rPr>
      </w:pPr>
      <w:r>
        <w:rPr>
          <w:rFonts w:hint="eastAsia" w:ascii="楷体_GB2312" w:hAnsi="宋体" w:eastAsia="楷体_GB2312"/>
          <w:lang w:val="zh-CN"/>
        </w:rPr>
        <w:t>资金使用。</w:t>
      </w:r>
    </w:p>
    <w:p>
      <w:pPr>
        <w:numPr>
          <w:ilvl w:val="0"/>
          <w:numId w:val="0"/>
        </w:numPr>
        <w:adjustRightInd w:val="0"/>
        <w:snapToGrid w:val="0"/>
        <w:spacing w:line="560" w:lineRule="exact"/>
        <w:ind w:firstLine="640" w:firstLineChars="200"/>
        <w:rPr>
          <w:rFonts w:hint="eastAsia" w:ascii="仿宋" w:hAnsi="仿宋" w:eastAsia="仿宋" w:cs="仿宋"/>
          <w:lang w:val="en-US" w:eastAsia="zh-CN"/>
        </w:rPr>
      </w:pPr>
      <w:r>
        <w:rPr>
          <w:rFonts w:hint="eastAsia" w:ascii="仿宋" w:hAnsi="仿宋" w:eastAsia="仿宋" w:cs="仿宋"/>
          <w:lang w:val="en-US" w:eastAsia="zh-CN"/>
        </w:rPr>
        <w:t>截至2022年资金支出2522万元，其中结余结转资金支付1150万元，其中实验室设备采购支出100万元，资金执行进度未达标。</w:t>
      </w:r>
    </w:p>
    <w:p>
      <w:pPr>
        <w:numPr>
          <w:ilvl w:val="0"/>
          <w:numId w:val="0"/>
        </w:numPr>
        <w:adjustRightInd w:val="0"/>
        <w:snapToGrid w:val="0"/>
        <w:spacing w:line="560" w:lineRule="exact"/>
        <w:ind w:firstLine="642" w:firstLineChars="200"/>
        <w:rPr>
          <w:rFonts w:ascii="楷体_GB2312" w:hAnsi="宋体" w:eastAsia="楷体_GB2312"/>
          <w:b/>
          <w:lang w:val="zh-CN"/>
        </w:rPr>
      </w:pPr>
      <w:r>
        <w:rPr>
          <w:rFonts w:hint="eastAsia" w:ascii="楷体_GB2312" w:hAnsi="宋体" w:eastAsia="楷体_GB2312"/>
          <w:b/>
          <w:lang w:val="zh-CN"/>
        </w:rPr>
        <w:t>（二）项目财务管理情况。</w:t>
      </w:r>
    </w:p>
    <w:p>
      <w:pPr>
        <w:adjustRightInd w:val="0"/>
        <w:snapToGrid w:val="0"/>
        <w:spacing w:line="560" w:lineRule="exact"/>
        <w:ind w:firstLine="720"/>
        <w:rPr>
          <w:rFonts w:hint="eastAsia" w:ascii="仿宋" w:hAnsi="仿宋" w:eastAsia="仿宋"/>
          <w:sz w:val="32"/>
          <w:szCs w:val="32"/>
        </w:rPr>
      </w:pPr>
      <w:r>
        <w:rPr>
          <w:rFonts w:ascii="仿宋" w:hAnsi="仿宋" w:eastAsia="仿宋"/>
          <w:kern w:val="0"/>
          <w:sz w:val="32"/>
          <w:szCs w:val="32"/>
        </w:rPr>
        <w:t>项目资金管理严格按照财务管理要求进行</w:t>
      </w:r>
      <w:r>
        <w:rPr>
          <w:rFonts w:hint="eastAsia" w:ascii="仿宋" w:hAnsi="仿宋" w:eastAsia="仿宋"/>
          <w:kern w:val="0"/>
          <w:sz w:val="32"/>
          <w:szCs w:val="32"/>
        </w:rPr>
        <w:t>，</w:t>
      </w:r>
      <w:r>
        <w:rPr>
          <w:rFonts w:ascii="仿宋" w:hAnsi="仿宋" w:eastAsia="仿宋"/>
          <w:kern w:val="0"/>
          <w:sz w:val="32"/>
          <w:szCs w:val="32"/>
        </w:rPr>
        <w:t>做到</w:t>
      </w:r>
      <w:r>
        <w:rPr>
          <w:rFonts w:hint="eastAsia" w:ascii="仿宋" w:hAnsi="仿宋" w:eastAsia="仿宋"/>
          <w:kern w:val="0"/>
          <w:sz w:val="32"/>
          <w:szCs w:val="32"/>
        </w:rPr>
        <w:t>专款专用。</w:t>
      </w:r>
      <w:r>
        <w:rPr>
          <w:rFonts w:hint="eastAsia" w:ascii="仿宋" w:hAnsi="仿宋" w:eastAsia="仿宋"/>
          <w:sz w:val="32"/>
          <w:szCs w:val="32"/>
        </w:rPr>
        <w:t>严格规范各项资金的审批和使用，杜绝无预算支出，合理安排资金使用进度，严格执行政府采购程序，规范管理资产，按季度公示财务信息。</w:t>
      </w:r>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lang w:val="zh-CN"/>
        </w:rPr>
        <w:t>（三）项目组织实施情况。</w:t>
      </w:r>
    </w:p>
    <w:p>
      <w:pPr>
        <w:adjustRightInd w:val="0"/>
        <w:snapToGrid w:val="0"/>
        <w:spacing w:line="560" w:lineRule="exact"/>
        <w:ind w:firstLine="720"/>
        <w:rPr>
          <w:rFonts w:hint="default" w:ascii="仿宋_GB2312" w:hAnsi="宋体"/>
          <w:color w:val="auto"/>
          <w:lang w:val="en-US" w:eastAsia="zh-CN"/>
        </w:rPr>
      </w:pPr>
      <w:r>
        <w:rPr>
          <w:rFonts w:hint="eastAsia" w:ascii="仿宋_GB2312" w:hAnsi="宋体"/>
          <w:color w:val="auto"/>
          <w:lang w:val="en-US" w:eastAsia="zh-CN"/>
        </w:rPr>
        <w:t>建设项目由攀枝花市仁和城市发展建设（集团）有限</w:t>
      </w:r>
      <w:r>
        <w:rPr>
          <w:rFonts w:hint="default" w:ascii="仿宋_GB2312" w:hAnsi="宋体"/>
          <w:color w:val="auto"/>
          <w:lang w:val="en-US" w:eastAsia="zh-CN"/>
        </w:rPr>
        <w:t>公司</w:t>
      </w:r>
      <w:r>
        <w:rPr>
          <w:rFonts w:hint="eastAsia" w:ascii="仿宋_GB2312" w:hAnsi="宋体"/>
          <w:color w:val="auto"/>
          <w:lang w:val="en-US" w:eastAsia="zh-CN"/>
        </w:rPr>
        <w:t>负责具体</w:t>
      </w:r>
      <w:r>
        <w:rPr>
          <w:rFonts w:hint="default" w:ascii="仿宋_GB2312" w:hAnsi="宋体"/>
          <w:color w:val="auto"/>
          <w:lang w:val="en-US" w:eastAsia="zh-CN"/>
        </w:rPr>
        <w:t>施工管理，同时为确保工程质量，按规定本项目已委托具有相应资质的监理机构对项目实行全过程管理，严格执行有关标准规范</w:t>
      </w:r>
      <w:r>
        <w:rPr>
          <w:rFonts w:hint="eastAsia" w:ascii="仿宋_GB2312" w:hAnsi="宋体"/>
          <w:color w:val="auto"/>
          <w:lang w:val="en-US" w:eastAsia="zh-CN"/>
        </w:rPr>
        <w:t>，</w:t>
      </w:r>
      <w:r>
        <w:rPr>
          <w:rFonts w:hint="default" w:ascii="仿宋_GB2312" w:hAnsi="宋体"/>
          <w:color w:val="auto"/>
          <w:lang w:val="en-US" w:eastAsia="zh-CN"/>
        </w:rPr>
        <w:t>对质量进度进行监督和管理</w:t>
      </w:r>
      <w:r>
        <w:rPr>
          <w:rFonts w:hint="eastAsia" w:ascii="仿宋_GB2312" w:hAnsi="宋体"/>
          <w:color w:val="auto"/>
          <w:lang w:val="en-US" w:eastAsia="zh-CN"/>
        </w:rPr>
        <w:t>。工程需要达到行业规范要求。项目涉及的政府采购严格按照政府采购流程规范开展各项工作。</w:t>
      </w:r>
    </w:p>
    <w:p>
      <w:pPr>
        <w:adjustRightInd w:val="0"/>
        <w:snapToGrid w:val="0"/>
        <w:spacing w:line="560" w:lineRule="exact"/>
        <w:ind w:firstLine="720"/>
        <w:rPr>
          <w:rFonts w:ascii="仿宋_GB2312" w:hAnsi="宋体"/>
          <w:lang w:val="zh-CN"/>
        </w:rPr>
      </w:pPr>
      <w:r>
        <w:rPr>
          <w:rFonts w:hint="eastAsia" w:ascii="黑体" w:hAnsi="宋体" w:eastAsia="黑体"/>
        </w:rPr>
        <w:t>三、项目绩效情况</w:t>
      </w:r>
      <w:r>
        <w:rPr>
          <w:rFonts w:hint="eastAsia" w:ascii="仿宋_GB2312" w:hAnsi="宋体"/>
          <w:lang w:val="zh-CN"/>
        </w:rPr>
        <w:tab/>
      </w:r>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lang w:val="zh-CN"/>
        </w:rPr>
        <w:t>（一）项目完成情况。</w:t>
      </w:r>
    </w:p>
    <w:p>
      <w:pPr>
        <w:adjustRightInd w:val="0"/>
        <w:snapToGrid w:val="0"/>
        <w:spacing w:line="560" w:lineRule="exact"/>
        <w:ind w:firstLine="720"/>
        <w:rPr>
          <w:rFonts w:hint="default" w:ascii="仿宋_GB2312" w:hAnsi="宋体"/>
          <w:color w:val="auto"/>
          <w:lang w:val="en-US" w:eastAsia="zh-CN"/>
        </w:rPr>
      </w:pPr>
      <w:r>
        <w:rPr>
          <w:rFonts w:hint="eastAsia" w:ascii="仿宋_GB2312" w:hAnsi="宋体"/>
          <w:color w:val="auto"/>
          <w:lang w:val="en-US" w:eastAsia="zh-CN"/>
        </w:rPr>
        <w:t>严格按照仁和区2022年“六大工程”重点项目目标任务</w:t>
      </w:r>
      <w:r>
        <w:rPr>
          <w:rFonts w:hint="eastAsia" w:ascii="仿宋_GB2312" w:hAnsi="仿宋_GB2312" w:eastAsia="仿宋_GB2312" w:cs="仿宋_GB2312"/>
          <w:color w:val="auto"/>
          <w:sz w:val="32"/>
          <w:szCs w:val="32"/>
        </w:rPr>
        <w:t>计划开展</w:t>
      </w:r>
      <w:r>
        <w:rPr>
          <w:rFonts w:hint="eastAsia" w:ascii="仿宋_GB2312" w:hAnsi="仿宋_GB2312" w:cs="仿宋_GB2312"/>
          <w:color w:val="auto"/>
          <w:sz w:val="32"/>
          <w:szCs w:val="32"/>
          <w:lang w:val="en-US" w:eastAsia="zh-CN"/>
        </w:rPr>
        <w:t>相关</w:t>
      </w:r>
      <w:r>
        <w:rPr>
          <w:rFonts w:hint="eastAsia" w:ascii="仿宋_GB2312" w:hAnsi="仿宋_GB2312" w:eastAsia="仿宋_GB2312" w:cs="仿宋_GB2312"/>
          <w:color w:val="auto"/>
          <w:sz w:val="32"/>
          <w:szCs w:val="32"/>
        </w:rPr>
        <w:t>工作</w:t>
      </w:r>
      <w:r>
        <w:rPr>
          <w:rFonts w:hint="eastAsia" w:ascii="仿宋_GB2312" w:hAnsi="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02</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年1月至12月</w:t>
      </w:r>
      <w:r>
        <w:rPr>
          <w:rFonts w:hint="eastAsia" w:ascii="仿宋_GB2312" w:hAnsi="仿宋_GB2312" w:cs="仿宋_GB2312"/>
          <w:color w:val="auto"/>
          <w:sz w:val="32"/>
          <w:szCs w:val="32"/>
          <w:lang w:val="en-US" w:eastAsia="zh-CN"/>
        </w:rPr>
        <w:t>认真</w:t>
      </w:r>
      <w:r>
        <w:rPr>
          <w:rFonts w:hint="eastAsia" w:ascii="仿宋_GB2312" w:hAnsi="仿宋_GB2312" w:eastAsia="仿宋_GB2312" w:cs="仿宋_GB2312"/>
          <w:color w:val="auto"/>
          <w:sz w:val="32"/>
          <w:szCs w:val="32"/>
        </w:rPr>
        <w:t>落实</w:t>
      </w:r>
      <w:r>
        <w:rPr>
          <w:rFonts w:hint="eastAsia" w:ascii="仿宋_GB2312" w:hAnsi="仿宋_GB2312" w:cs="仿宋_GB2312"/>
          <w:color w:val="auto"/>
          <w:sz w:val="32"/>
          <w:szCs w:val="32"/>
          <w:lang w:val="en-US" w:eastAsia="zh-CN"/>
        </w:rPr>
        <w:t>各项</w:t>
      </w:r>
      <w:r>
        <w:rPr>
          <w:rFonts w:hint="eastAsia" w:ascii="仿宋_GB2312" w:hAnsi="仿宋_GB2312" w:eastAsia="仿宋_GB2312" w:cs="仿宋_GB2312"/>
          <w:color w:val="auto"/>
          <w:sz w:val="32"/>
          <w:szCs w:val="32"/>
        </w:rPr>
        <w:t>工作措施，12月底各项考核指标任务</w:t>
      </w:r>
      <w:r>
        <w:rPr>
          <w:rFonts w:hint="eastAsia" w:ascii="仿宋_GB2312" w:hAnsi="仿宋_GB2312" w:cs="仿宋_GB2312"/>
          <w:color w:val="auto"/>
          <w:sz w:val="32"/>
          <w:szCs w:val="32"/>
          <w:lang w:val="en-US" w:eastAsia="zh-CN"/>
        </w:rPr>
        <w:t>均</w:t>
      </w:r>
      <w:r>
        <w:rPr>
          <w:rFonts w:hint="eastAsia" w:ascii="仿宋_GB2312" w:hAnsi="仿宋_GB2312" w:eastAsia="仿宋_GB2312" w:cs="仿宋_GB2312"/>
          <w:color w:val="auto"/>
          <w:sz w:val="32"/>
          <w:szCs w:val="32"/>
        </w:rPr>
        <w:t>达到上级</w:t>
      </w:r>
      <w:r>
        <w:rPr>
          <w:rFonts w:hint="eastAsia" w:ascii="仿宋_GB2312" w:hAnsi="仿宋_GB2312" w:cs="仿宋_GB2312"/>
          <w:color w:val="auto"/>
          <w:sz w:val="32"/>
          <w:szCs w:val="32"/>
          <w:lang w:val="en-US" w:eastAsia="zh-CN"/>
        </w:rPr>
        <w:t>考核</w:t>
      </w:r>
      <w:r>
        <w:rPr>
          <w:rFonts w:hint="eastAsia" w:ascii="仿宋_GB2312" w:hAnsi="仿宋_GB2312" w:eastAsia="仿宋_GB2312" w:cs="仿宋_GB2312"/>
          <w:color w:val="auto"/>
          <w:sz w:val="32"/>
          <w:szCs w:val="32"/>
        </w:rPr>
        <w:t>要求</w:t>
      </w:r>
      <w:r>
        <w:rPr>
          <w:rFonts w:hint="eastAsia" w:ascii="仿宋_GB2312" w:hAnsi="仿宋_GB2312" w:cs="仿宋_GB2312"/>
          <w:color w:val="auto"/>
          <w:sz w:val="32"/>
          <w:szCs w:val="32"/>
          <w:lang w:eastAsia="zh-CN"/>
        </w:rPr>
        <w:t>。</w:t>
      </w:r>
    </w:p>
    <w:p>
      <w:pPr>
        <w:adjustRightInd w:val="0"/>
        <w:snapToGrid w:val="0"/>
        <w:spacing w:line="560" w:lineRule="exact"/>
        <w:ind w:firstLine="640" w:firstLineChars="200"/>
        <w:rPr>
          <w:rFonts w:hint="eastAsia" w:ascii="仿宋_GB2312" w:hAnsi="宋体"/>
          <w:color w:val="auto"/>
          <w:lang w:val="en-US" w:eastAsia="zh-CN"/>
        </w:rPr>
      </w:pPr>
      <w:r>
        <w:rPr>
          <w:rFonts w:hint="eastAsia" w:ascii="仿宋_GB2312" w:hAnsi="宋体"/>
          <w:color w:val="auto"/>
          <w:lang w:val="en-US" w:eastAsia="zh-CN"/>
        </w:rPr>
        <w:t>截至2022年底，已完成6800平方米建设，其中仁和区疾病预防控制中心业务用房 4500 平方米，仁和区公共卫生服务中心 2300 平方米。实验室专业设备正进行调试，采购的设施设备已安装到位，实验室专业验收通过后将投入使用，</w:t>
      </w:r>
      <w:r>
        <w:rPr>
          <w:rFonts w:hint="eastAsia" w:ascii="仿宋_GB2312" w:hAnsi="宋体"/>
          <w:color w:val="auto"/>
          <w:lang w:val="zh-CN"/>
        </w:rPr>
        <w:t>原</w:t>
      </w:r>
      <w:r>
        <w:rPr>
          <w:rFonts w:hint="eastAsia" w:ascii="仿宋_GB2312" w:hAnsi="宋体"/>
          <w:color w:val="auto"/>
          <w:lang w:val="en-US" w:eastAsia="zh-CN"/>
        </w:rPr>
        <w:t>区疾控及公共卫生服务中心</w:t>
      </w:r>
      <w:r>
        <w:rPr>
          <w:rFonts w:hint="eastAsia" w:ascii="仿宋_GB2312" w:hAnsi="宋体"/>
          <w:color w:val="auto"/>
          <w:lang w:val="zh-CN"/>
        </w:rPr>
        <w:t>搬迁</w:t>
      </w:r>
      <w:r>
        <w:rPr>
          <w:rFonts w:hint="eastAsia" w:ascii="仿宋_GB2312" w:hAnsi="宋体"/>
          <w:color w:val="auto"/>
          <w:lang w:val="en-US" w:eastAsia="zh-CN"/>
        </w:rPr>
        <w:t>至新址，试运行。</w:t>
      </w:r>
    </w:p>
    <w:p>
      <w:pPr>
        <w:numPr>
          <w:ilvl w:val="0"/>
          <w:numId w:val="0"/>
        </w:numPr>
        <w:adjustRightInd w:val="0"/>
        <w:snapToGrid w:val="0"/>
        <w:spacing w:line="560" w:lineRule="exact"/>
        <w:ind w:firstLine="642" w:firstLineChars="200"/>
        <w:rPr>
          <w:rFonts w:hint="eastAsia" w:ascii="仿宋_GB2312" w:hAnsi="宋体"/>
          <w:b/>
          <w:bCs/>
          <w:color w:val="auto"/>
          <w:lang w:val="en-US" w:eastAsia="zh-CN"/>
        </w:rPr>
      </w:pPr>
      <w:r>
        <w:rPr>
          <w:rFonts w:hint="eastAsia" w:ascii="楷体_GB2312" w:hAnsi="宋体" w:eastAsia="楷体_GB2312"/>
          <w:b/>
          <w:lang w:val="zh-CN"/>
        </w:rPr>
        <w:t>（</w:t>
      </w:r>
      <w:r>
        <w:rPr>
          <w:rFonts w:hint="eastAsia" w:ascii="楷体_GB2312" w:hAnsi="宋体" w:eastAsia="楷体_GB2312"/>
          <w:b/>
          <w:lang w:val="en-US" w:eastAsia="zh-CN"/>
        </w:rPr>
        <w:t>二</w:t>
      </w:r>
      <w:r>
        <w:rPr>
          <w:rFonts w:hint="eastAsia" w:ascii="楷体_GB2312" w:hAnsi="宋体" w:eastAsia="楷体_GB2312"/>
          <w:b/>
          <w:lang w:val="zh-CN"/>
        </w:rPr>
        <w:t>）项目效益情况。</w:t>
      </w:r>
    </w:p>
    <w:p>
      <w:pPr>
        <w:numPr>
          <w:ilvl w:val="0"/>
          <w:numId w:val="0"/>
        </w:numPr>
        <w:adjustRightInd w:val="0"/>
        <w:snapToGrid w:val="0"/>
        <w:spacing w:line="560" w:lineRule="exact"/>
        <w:ind w:firstLine="640" w:firstLineChars="200"/>
        <w:rPr>
          <w:rFonts w:hint="eastAsia" w:ascii="仿宋" w:hAnsi="仿宋" w:eastAsia="仿宋" w:cs="仿宋"/>
          <w:color w:val="auto"/>
          <w:sz w:val="32"/>
          <w:szCs w:val="32"/>
          <w:lang w:val="en-US" w:eastAsia="zh-CN"/>
        </w:rPr>
      </w:pPr>
      <w:r>
        <w:rPr>
          <w:rFonts w:hint="eastAsia" w:ascii="仿宋_GB2312" w:hAnsi="宋体"/>
          <w:color w:val="auto"/>
          <w:lang w:val="zh-CN"/>
        </w:rPr>
        <w:t>项目建成后将为仁和区建设公共卫生检测中心奠定实验室、检测仪器设备等重要硬件基础。</w:t>
      </w:r>
      <w:r>
        <w:rPr>
          <w:rFonts w:hint="eastAsia" w:ascii="仿宋_GB2312" w:hAnsi="宋体"/>
          <w:color w:val="auto"/>
          <w:lang w:val="en-US" w:eastAsia="zh-CN"/>
        </w:rPr>
        <w:t>推进基层疾控能力建设，</w:t>
      </w:r>
      <w:r>
        <w:rPr>
          <w:rFonts w:hint="eastAsia" w:ascii="仿宋" w:hAnsi="仿宋" w:eastAsia="仿宋" w:cs="仿宋"/>
          <w:sz w:val="32"/>
          <w:szCs w:val="32"/>
        </w:rPr>
        <w:t>完善公共卫生服务中心业务，建立信息化、现代化的公共卫生服务系统。</w:t>
      </w:r>
      <w:r>
        <w:rPr>
          <w:rFonts w:hint="eastAsia" w:ascii="仿宋" w:hAnsi="仿宋" w:eastAsia="仿宋" w:cs="仿宋"/>
          <w:color w:val="000000"/>
          <w:sz w:val="32"/>
          <w:szCs w:val="32"/>
        </w:rPr>
        <w:t>达到《疾病预防控制中心建设标准》中县级要求，进一步提升突发传染病防治、应急物资储备、综合协调与处置等综合能力</w:t>
      </w:r>
    </w:p>
    <w:p>
      <w:pPr>
        <w:adjustRightInd w:val="0"/>
        <w:snapToGrid w:val="0"/>
        <w:spacing w:line="560" w:lineRule="exact"/>
        <w:ind w:firstLine="720"/>
        <w:rPr>
          <w:rFonts w:ascii="黑体" w:hAnsi="宋体" w:eastAsia="黑体"/>
        </w:rPr>
      </w:pPr>
      <w:r>
        <w:rPr>
          <w:rFonts w:hint="eastAsia" w:ascii="黑体" w:hAnsi="宋体" w:eastAsia="黑体"/>
        </w:rPr>
        <w:t>四、问题及建议</w:t>
      </w:r>
    </w:p>
    <w:p>
      <w:pPr>
        <w:adjustRightInd w:val="0"/>
        <w:snapToGrid w:val="0"/>
        <w:spacing w:line="560" w:lineRule="exact"/>
        <w:ind w:firstLine="720"/>
        <w:rPr>
          <w:rFonts w:hint="eastAsia" w:ascii="楷体_GB2312" w:hAnsi="宋体" w:eastAsia="楷体_GB2312"/>
          <w:b/>
          <w:lang w:val="zh-CN"/>
        </w:rPr>
      </w:pPr>
      <w:r>
        <w:rPr>
          <w:rFonts w:hint="eastAsia" w:ascii="楷体_GB2312" w:hAnsi="宋体" w:eastAsia="楷体_GB2312"/>
          <w:b/>
          <w:lang w:val="zh-CN"/>
        </w:rPr>
        <w:t>（一）存在的问题。</w:t>
      </w:r>
    </w:p>
    <w:p>
      <w:pPr>
        <w:adjustRightInd w:val="0"/>
        <w:snapToGrid w:val="0"/>
        <w:spacing w:line="560" w:lineRule="exact"/>
        <w:ind w:firstLine="720"/>
        <w:rPr>
          <w:rFonts w:hint="eastAsia" w:ascii="仿宋" w:hAnsi="仿宋" w:eastAsia="仿宋" w:cs="仿宋"/>
          <w:b w:val="0"/>
          <w:bCs/>
          <w:lang w:val="en-US" w:eastAsia="zh-CN"/>
        </w:rPr>
      </w:pPr>
      <w:r>
        <w:rPr>
          <w:rFonts w:hint="eastAsia" w:ascii="仿宋" w:hAnsi="仿宋" w:eastAsia="仿宋" w:cs="仿宋"/>
          <w:b w:val="0"/>
          <w:bCs/>
          <w:lang w:val="en-US" w:eastAsia="zh-CN"/>
        </w:rPr>
        <w:t>目前项目已完工并试运行使用，由于财政资金紧张，已完成的采购和建设项目还有一千多万元未完成支付。项目竣工决算还没有完成。</w:t>
      </w:r>
    </w:p>
    <w:p>
      <w:pPr>
        <w:numPr>
          <w:ilvl w:val="0"/>
          <w:numId w:val="7"/>
        </w:numPr>
        <w:adjustRightInd w:val="0"/>
        <w:snapToGrid w:val="0"/>
        <w:spacing w:line="560" w:lineRule="exact"/>
        <w:ind w:firstLine="642" w:firstLineChars="200"/>
        <w:rPr>
          <w:rFonts w:hint="eastAsia" w:ascii="楷体_GB2312" w:hAnsi="宋体" w:eastAsia="楷体_GB2312"/>
          <w:b/>
          <w:lang w:val="zh-CN"/>
        </w:rPr>
      </w:pPr>
      <w:r>
        <w:rPr>
          <w:rFonts w:hint="eastAsia" w:ascii="楷体_GB2312" w:hAnsi="宋体" w:eastAsia="楷体_GB2312"/>
          <w:b/>
          <w:lang w:val="zh-CN"/>
        </w:rPr>
        <w:t>相关建议。</w:t>
      </w:r>
    </w:p>
    <w:p>
      <w:pPr>
        <w:numPr>
          <w:ilvl w:val="0"/>
          <w:numId w:val="0"/>
        </w:numPr>
        <w:adjustRightInd w:val="0"/>
        <w:snapToGrid w:val="0"/>
        <w:spacing w:line="560" w:lineRule="exact"/>
        <w:ind w:firstLine="640" w:firstLineChars="200"/>
        <w:rPr>
          <w:rFonts w:hint="eastAsia" w:ascii="仿宋" w:hAnsi="仿宋" w:eastAsia="仿宋" w:cs="仿宋"/>
          <w:b w:val="0"/>
          <w:bCs/>
          <w:lang w:val="en-US" w:eastAsia="zh-CN"/>
        </w:rPr>
      </w:pPr>
      <w:r>
        <w:rPr>
          <w:rFonts w:hint="eastAsia" w:ascii="仿宋" w:hAnsi="仿宋" w:eastAsia="仿宋" w:cs="仿宋"/>
          <w:b w:val="0"/>
          <w:bCs/>
          <w:lang w:val="en-US" w:eastAsia="zh-CN"/>
        </w:rPr>
        <w:t>中心将积极与财政沟通争取及时拨付项目欠款，协调审计部门及时开展项目竣工决算审计工作。</w:t>
      </w:r>
    </w:p>
    <w:p>
      <w:pPr>
        <w:numPr>
          <w:ilvl w:val="0"/>
          <w:numId w:val="0"/>
        </w:numPr>
        <w:adjustRightInd w:val="0"/>
        <w:snapToGrid w:val="0"/>
        <w:spacing w:line="560" w:lineRule="exact"/>
        <w:ind w:firstLine="640" w:firstLineChars="200"/>
        <w:rPr>
          <w:rFonts w:hint="eastAsia" w:ascii="仿宋" w:hAnsi="仿宋" w:eastAsia="仿宋" w:cs="仿宋"/>
          <w:b w:val="0"/>
          <w:bCs/>
          <w:lang w:val="en-US" w:eastAsia="zh-CN"/>
        </w:rPr>
      </w:pPr>
    </w:p>
    <w:p>
      <w:pPr>
        <w:numPr>
          <w:ilvl w:val="0"/>
          <w:numId w:val="0"/>
        </w:numPr>
        <w:adjustRightInd w:val="0"/>
        <w:snapToGrid w:val="0"/>
        <w:spacing w:line="560" w:lineRule="exact"/>
        <w:ind w:firstLine="640" w:firstLineChars="200"/>
        <w:rPr>
          <w:rFonts w:hint="eastAsia" w:ascii="仿宋" w:hAnsi="仿宋" w:eastAsia="仿宋" w:cs="仿宋"/>
          <w:b w:val="0"/>
          <w:bCs/>
          <w:lang w:val="en-US" w:eastAsia="zh-CN"/>
        </w:rPr>
      </w:pPr>
    </w:p>
    <w:p>
      <w:pPr>
        <w:widowControl/>
        <w:adjustRightInd w:val="0"/>
        <w:snapToGrid w:val="0"/>
        <w:spacing w:line="580" w:lineRule="exact"/>
        <w:contextualSpacing/>
        <w:jc w:val="both"/>
        <w:rPr>
          <w:color w:val="000000"/>
          <w:kern w:val="0"/>
          <w:sz w:val="28"/>
          <w:szCs w:val="28"/>
          <w:shd w:val="clear" w:color="auto" w:fill="FFFFFF"/>
          <w:lang w:val="zh-CN"/>
        </w:rPr>
      </w:pPr>
    </w:p>
    <w:p>
      <w:pPr>
        <w:widowControl/>
        <w:adjustRightInd w:val="0"/>
        <w:snapToGrid w:val="0"/>
        <w:spacing w:line="580" w:lineRule="exact"/>
        <w:contextualSpacing/>
        <w:jc w:val="both"/>
        <w:rPr>
          <w:color w:val="000000"/>
          <w:kern w:val="0"/>
          <w:sz w:val="28"/>
          <w:szCs w:val="28"/>
          <w:shd w:val="clear" w:color="auto" w:fill="FFFFFF"/>
          <w:lang w:val="zh-CN"/>
        </w:rPr>
      </w:pPr>
    </w:p>
    <w:p>
      <w:pPr>
        <w:widowControl/>
        <w:adjustRightInd w:val="0"/>
        <w:snapToGrid w:val="0"/>
        <w:spacing w:line="580" w:lineRule="exact"/>
        <w:contextualSpacing/>
        <w:jc w:val="both"/>
        <w:rPr>
          <w:color w:val="000000"/>
          <w:kern w:val="0"/>
          <w:sz w:val="28"/>
          <w:szCs w:val="28"/>
          <w:shd w:val="clear" w:color="auto" w:fill="FFFFFF"/>
          <w:lang w:val="zh-CN"/>
        </w:rPr>
      </w:pPr>
      <w:r>
        <w:rPr>
          <w:color w:val="000000"/>
          <w:kern w:val="0"/>
          <w:sz w:val="28"/>
          <w:szCs w:val="28"/>
          <w:shd w:val="clear" w:color="auto" w:fill="FFFFFF"/>
          <w:lang w:val="zh-CN"/>
        </w:rPr>
        <w:t>附表</w:t>
      </w:r>
      <w:r>
        <w:rPr>
          <w:rFonts w:hint="eastAsia"/>
          <w:color w:val="000000"/>
          <w:kern w:val="0"/>
          <w:sz w:val="28"/>
          <w:szCs w:val="28"/>
          <w:shd w:val="clear" w:color="auto" w:fill="FFFFFF"/>
          <w:lang w:val="zh-CN"/>
        </w:rPr>
        <w:t>：</w:t>
      </w:r>
    </w:p>
    <w:tbl>
      <w:tblPr>
        <w:tblStyle w:val="6"/>
        <w:tblpPr w:leftFromText="180" w:rightFromText="180" w:vertAnchor="text" w:horzAnchor="page" w:tblpX="1256" w:tblpY="221"/>
        <w:tblOverlap w:val="never"/>
        <w:tblW w:w="5620" w:type="pct"/>
        <w:tblInd w:w="0" w:type="dxa"/>
        <w:tblLayout w:type="fixed"/>
        <w:tblCellMar>
          <w:top w:w="0" w:type="dxa"/>
          <w:left w:w="108" w:type="dxa"/>
          <w:bottom w:w="0" w:type="dxa"/>
          <w:right w:w="108" w:type="dxa"/>
        </w:tblCellMar>
      </w:tblPr>
      <w:tblGrid>
        <w:gridCol w:w="771"/>
        <w:gridCol w:w="810"/>
        <w:gridCol w:w="1215"/>
        <w:gridCol w:w="2610"/>
        <w:gridCol w:w="2400"/>
        <w:gridCol w:w="1538"/>
        <w:gridCol w:w="236"/>
      </w:tblGrid>
      <w:tr>
        <w:tblPrEx>
          <w:tblCellMar>
            <w:top w:w="0" w:type="dxa"/>
            <w:left w:w="108" w:type="dxa"/>
            <w:bottom w:w="0" w:type="dxa"/>
            <w:right w:w="108" w:type="dxa"/>
          </w:tblCellMar>
        </w:tblPrEx>
        <w:trPr>
          <w:trHeight w:val="675" w:hRule="atLeast"/>
        </w:trPr>
        <w:tc>
          <w:tcPr>
            <w:tcW w:w="4876" w:type="pct"/>
            <w:gridSpan w:val="6"/>
            <w:tcBorders>
              <w:top w:val="nil"/>
              <w:left w:val="nil"/>
              <w:bottom w:val="nil"/>
              <w:right w:val="nil"/>
            </w:tcBorders>
            <w:shd w:val="clear" w:color="auto" w:fill="auto"/>
            <w:vAlign w:val="center"/>
          </w:tcPr>
          <w:p>
            <w:pPr>
              <w:widowControl/>
              <w:jc w:val="both"/>
              <w:textAlignment w:val="center"/>
              <w:rPr>
                <w:rFonts w:eastAsia="宋体"/>
                <w:b/>
                <w:color w:val="000000"/>
                <w:szCs w:val="32"/>
              </w:rPr>
            </w:pPr>
            <w:r>
              <w:rPr>
                <w:rFonts w:eastAsia="宋体"/>
                <w:b/>
                <w:color w:val="000000"/>
                <w:szCs w:val="32"/>
              </w:rPr>
              <w:t>2022年50万元以上（含）特定目标类部门预算项目绩效目标自评</w:t>
            </w:r>
          </w:p>
          <w:p>
            <w:pPr>
              <w:widowControl/>
              <w:jc w:val="center"/>
              <w:textAlignment w:val="center"/>
              <w:rPr>
                <w:rFonts w:hint="eastAsia" w:eastAsia="宋体"/>
                <w:b/>
                <w:color w:val="000000"/>
                <w:szCs w:val="32"/>
                <w:lang w:eastAsia="zh-CN"/>
              </w:rPr>
            </w:pPr>
            <w:r>
              <w:rPr>
                <w:rFonts w:hint="eastAsia" w:eastAsia="宋体"/>
                <w:b/>
                <w:color w:val="000000"/>
                <w:szCs w:val="32"/>
                <w:lang w:eastAsia="zh-CN"/>
              </w:rPr>
              <w:t>（</w:t>
            </w:r>
            <w:r>
              <w:rPr>
                <w:rFonts w:hint="eastAsia" w:eastAsia="宋体"/>
                <w:b/>
                <w:color w:val="000000"/>
                <w:szCs w:val="32"/>
                <w:lang w:val="en-US" w:eastAsia="zh-CN"/>
              </w:rPr>
              <w:t>仁和区公共卫生服务中心一期建设项目</w:t>
            </w:r>
            <w:r>
              <w:rPr>
                <w:rFonts w:hint="eastAsia" w:eastAsia="宋体"/>
                <w:b/>
                <w:color w:val="000000"/>
                <w:szCs w:val="32"/>
                <w:lang w:eastAsia="zh-CN"/>
              </w:rPr>
              <w:t>）</w:t>
            </w:r>
          </w:p>
        </w:tc>
        <w:tc>
          <w:tcPr>
            <w:tcW w:w="123" w:type="pct"/>
            <w:tcBorders>
              <w:top w:val="nil"/>
              <w:left w:val="nil"/>
              <w:bottom w:val="nil"/>
              <w:right w:val="nil"/>
            </w:tcBorders>
            <w:shd w:val="clear" w:color="auto" w:fill="auto"/>
            <w:vAlign w:val="center"/>
          </w:tcPr>
          <w:p>
            <w:pPr>
              <w:widowControl/>
              <w:jc w:val="center"/>
              <w:textAlignment w:val="center"/>
              <w:rPr>
                <w:rFonts w:eastAsia="宋体"/>
                <w:b/>
                <w:color w:val="000000"/>
                <w:kern w:val="0"/>
                <w:szCs w:val="32"/>
                <w:lang w:bidi="ar"/>
              </w:rPr>
            </w:pPr>
          </w:p>
        </w:tc>
      </w:tr>
      <w:tr>
        <w:tblPrEx>
          <w:tblCellMar>
            <w:top w:w="0" w:type="dxa"/>
            <w:left w:w="108" w:type="dxa"/>
            <w:bottom w:w="0" w:type="dxa"/>
            <w:right w:w="108" w:type="dxa"/>
          </w:tblCellMar>
        </w:tblPrEx>
        <w:trPr>
          <w:gridAfter w:val="1"/>
          <w:wAfter w:w="123" w:type="pct"/>
          <w:trHeight w:val="254" w:hRule="atLeast"/>
        </w:trPr>
        <w:tc>
          <w:tcPr>
            <w:tcW w:w="82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b/>
                <w:bCs/>
                <w:color w:val="000000"/>
                <w:sz w:val="24"/>
              </w:rPr>
            </w:pPr>
            <w:r>
              <w:rPr>
                <w:b/>
                <w:bCs/>
                <w:color w:val="000000"/>
                <w:kern w:val="0"/>
                <w:sz w:val="24"/>
                <w:lang w:bidi="ar"/>
              </w:rPr>
              <w:t>主管部门及代码</w:t>
            </w:r>
          </w:p>
        </w:tc>
        <w:tc>
          <w:tcPr>
            <w:tcW w:w="199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hint="default" w:eastAsia="仿宋_GB2312"/>
                <w:color w:val="000000"/>
                <w:sz w:val="24"/>
                <w:lang w:val="en-US" w:eastAsia="zh-CN"/>
              </w:rPr>
            </w:pPr>
            <w:r>
              <w:rPr>
                <w:rFonts w:hint="eastAsia"/>
                <w:color w:val="000000"/>
                <w:sz w:val="24"/>
                <w:lang w:val="en-US" w:eastAsia="zh-CN"/>
              </w:rPr>
              <w:t>仁和区卫生健康局</w:t>
            </w:r>
          </w:p>
        </w:tc>
        <w:tc>
          <w:tcPr>
            <w:tcW w:w="125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b/>
                <w:bCs/>
                <w:color w:val="000000"/>
                <w:sz w:val="24"/>
              </w:rPr>
            </w:pPr>
            <w:r>
              <w:rPr>
                <w:b/>
                <w:bCs/>
                <w:color w:val="000000"/>
                <w:kern w:val="0"/>
                <w:sz w:val="24"/>
                <w:lang w:bidi="ar"/>
              </w:rPr>
              <w:t>实施单位</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hint="default" w:eastAsia="仿宋_GB2312"/>
                <w:color w:val="000000"/>
                <w:sz w:val="24"/>
                <w:lang w:val="en-US" w:eastAsia="zh-CN"/>
              </w:rPr>
            </w:pPr>
            <w:r>
              <w:rPr>
                <w:rFonts w:hint="eastAsia"/>
                <w:color w:val="000000"/>
                <w:sz w:val="24"/>
                <w:lang w:val="en-US" w:eastAsia="zh-CN"/>
              </w:rPr>
              <w:t>攀枝花市仁和区疾病预防控制中心</w:t>
            </w:r>
          </w:p>
        </w:tc>
      </w:tr>
      <w:tr>
        <w:tblPrEx>
          <w:tblCellMar>
            <w:top w:w="0" w:type="dxa"/>
            <w:left w:w="108" w:type="dxa"/>
            <w:bottom w:w="0" w:type="dxa"/>
            <w:right w:w="108" w:type="dxa"/>
          </w:tblCellMar>
        </w:tblPrEx>
        <w:trPr>
          <w:gridAfter w:val="1"/>
          <w:wAfter w:w="123" w:type="pct"/>
          <w:trHeight w:val="341" w:hRule="atLeast"/>
        </w:trPr>
        <w:tc>
          <w:tcPr>
            <w:tcW w:w="82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b/>
                <w:bCs/>
                <w:color w:val="000000"/>
                <w:sz w:val="24"/>
              </w:rPr>
            </w:pPr>
            <w:r>
              <w:rPr>
                <w:b/>
                <w:bCs/>
                <w:color w:val="000000"/>
                <w:kern w:val="0"/>
                <w:sz w:val="24"/>
                <w:lang w:bidi="ar"/>
              </w:rPr>
              <w:t>项目预算</w:t>
            </w:r>
            <w:r>
              <w:rPr>
                <w:b/>
                <w:bCs/>
                <w:color w:val="000000"/>
                <w:kern w:val="0"/>
                <w:sz w:val="24"/>
                <w:lang w:bidi="ar"/>
              </w:rPr>
              <w:br w:type="textWrapping"/>
            </w:r>
            <w:r>
              <w:rPr>
                <w:b/>
                <w:bCs/>
                <w:color w:val="000000"/>
                <w:kern w:val="0"/>
                <w:sz w:val="24"/>
                <w:lang w:bidi="ar"/>
              </w:rPr>
              <w:t>执行情况</w:t>
            </w:r>
            <w:r>
              <w:rPr>
                <w:b/>
                <w:bCs/>
                <w:color w:val="000000"/>
                <w:kern w:val="0"/>
                <w:sz w:val="24"/>
                <w:lang w:bidi="ar"/>
              </w:rPr>
              <w:br w:type="textWrapping"/>
            </w:r>
            <w:r>
              <w:rPr>
                <w:b/>
                <w:bCs/>
                <w:color w:val="000000"/>
                <w:kern w:val="0"/>
                <w:sz w:val="24"/>
                <w:lang w:bidi="ar"/>
              </w:rPr>
              <w:t>（万元）</w:t>
            </w: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b/>
                <w:bCs/>
                <w:color w:val="000000"/>
                <w:sz w:val="24"/>
              </w:rPr>
            </w:pPr>
            <w:r>
              <w:rPr>
                <w:b/>
                <w:bCs/>
                <w:color w:val="000000"/>
                <w:kern w:val="0"/>
                <w:sz w:val="24"/>
                <w:lang w:bidi="ar"/>
              </w:rPr>
              <w:t>预算数：</w:t>
            </w:r>
          </w:p>
        </w:tc>
        <w:tc>
          <w:tcPr>
            <w:tcW w:w="136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hint="default" w:eastAsia="仿宋_GB2312"/>
                <w:color w:val="000000"/>
                <w:sz w:val="24"/>
                <w:lang w:val="en-US" w:eastAsia="zh-CN"/>
              </w:rPr>
            </w:pPr>
            <w:r>
              <w:rPr>
                <w:rFonts w:hint="eastAsia"/>
                <w:color w:val="auto"/>
                <w:sz w:val="24"/>
                <w:lang w:val="en-US" w:eastAsia="zh-CN"/>
              </w:rPr>
              <w:t>3800</w:t>
            </w:r>
          </w:p>
        </w:tc>
        <w:tc>
          <w:tcPr>
            <w:tcW w:w="125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b/>
                <w:bCs/>
                <w:color w:val="000000"/>
                <w:sz w:val="24"/>
              </w:rPr>
            </w:pPr>
            <w:r>
              <w:rPr>
                <w:b/>
                <w:bCs/>
                <w:color w:val="000000"/>
                <w:kern w:val="0"/>
                <w:sz w:val="24"/>
                <w:lang w:bidi="ar"/>
              </w:rPr>
              <w:t>执行数：</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hint="default" w:eastAsia="仿宋_GB2312"/>
                <w:color w:val="000000"/>
                <w:sz w:val="24"/>
                <w:lang w:val="en-US" w:eastAsia="zh-CN"/>
              </w:rPr>
            </w:pPr>
            <w:r>
              <w:rPr>
                <w:rFonts w:hint="eastAsia"/>
                <w:color w:val="000000"/>
                <w:sz w:val="24"/>
                <w:lang w:val="en-US" w:eastAsia="zh-CN"/>
              </w:rPr>
              <w:t>2522</w:t>
            </w:r>
          </w:p>
        </w:tc>
      </w:tr>
      <w:tr>
        <w:tblPrEx>
          <w:tblCellMar>
            <w:top w:w="0" w:type="dxa"/>
            <w:left w:w="108" w:type="dxa"/>
            <w:bottom w:w="0" w:type="dxa"/>
            <w:right w:w="108" w:type="dxa"/>
          </w:tblCellMar>
        </w:tblPrEx>
        <w:trPr>
          <w:gridAfter w:val="1"/>
          <w:wAfter w:w="123" w:type="pct"/>
          <w:trHeight w:val="577" w:hRule="atLeast"/>
        </w:trPr>
        <w:tc>
          <w:tcPr>
            <w:tcW w:w="82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jc w:val="center"/>
              <w:rPr>
                <w:color w:val="000000"/>
                <w:sz w:val="24"/>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b/>
                <w:bCs/>
                <w:color w:val="000000"/>
                <w:kern w:val="0"/>
                <w:sz w:val="24"/>
                <w:lang w:bidi="ar"/>
              </w:rPr>
            </w:pPr>
            <w:r>
              <w:rPr>
                <w:b/>
                <w:bCs/>
                <w:color w:val="000000"/>
                <w:kern w:val="0"/>
                <w:sz w:val="24"/>
                <w:lang w:bidi="ar"/>
              </w:rPr>
              <w:t>其中：</w:t>
            </w:r>
          </w:p>
          <w:p>
            <w:pPr>
              <w:widowControl/>
              <w:spacing w:line="320" w:lineRule="exact"/>
              <w:jc w:val="both"/>
              <w:textAlignment w:val="center"/>
              <w:rPr>
                <w:b/>
                <w:bCs/>
                <w:color w:val="000000"/>
                <w:sz w:val="24"/>
              </w:rPr>
            </w:pPr>
            <w:r>
              <w:rPr>
                <w:b/>
                <w:bCs/>
                <w:color w:val="000000"/>
                <w:kern w:val="0"/>
                <w:sz w:val="24"/>
                <w:lang w:bidi="ar"/>
              </w:rPr>
              <w:t>财政拨款</w:t>
            </w:r>
          </w:p>
        </w:tc>
        <w:tc>
          <w:tcPr>
            <w:tcW w:w="136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hint="default" w:eastAsia="仿宋_GB2312"/>
                <w:color w:val="000000"/>
                <w:sz w:val="24"/>
                <w:lang w:val="en-US" w:eastAsia="zh-CN"/>
              </w:rPr>
            </w:pPr>
          </w:p>
        </w:tc>
        <w:tc>
          <w:tcPr>
            <w:tcW w:w="125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b/>
                <w:bCs/>
                <w:color w:val="000000"/>
                <w:kern w:val="0"/>
                <w:sz w:val="24"/>
                <w:lang w:bidi="ar"/>
              </w:rPr>
            </w:pPr>
            <w:r>
              <w:rPr>
                <w:b/>
                <w:bCs/>
                <w:color w:val="000000"/>
                <w:kern w:val="0"/>
                <w:sz w:val="24"/>
                <w:lang w:bidi="ar"/>
              </w:rPr>
              <w:t>其中：</w:t>
            </w:r>
          </w:p>
          <w:p>
            <w:pPr>
              <w:widowControl/>
              <w:spacing w:line="320" w:lineRule="exact"/>
              <w:jc w:val="center"/>
              <w:textAlignment w:val="center"/>
              <w:rPr>
                <w:b/>
                <w:bCs/>
                <w:color w:val="000000"/>
                <w:sz w:val="24"/>
              </w:rPr>
            </w:pPr>
            <w:r>
              <w:rPr>
                <w:b/>
                <w:bCs/>
                <w:color w:val="000000"/>
                <w:kern w:val="0"/>
                <w:sz w:val="24"/>
                <w:lang w:bidi="ar"/>
              </w:rPr>
              <w:t>财政拨款</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color w:val="000000"/>
                <w:sz w:val="24"/>
              </w:rPr>
            </w:pPr>
          </w:p>
        </w:tc>
      </w:tr>
      <w:tr>
        <w:tblPrEx>
          <w:tblCellMar>
            <w:top w:w="0" w:type="dxa"/>
            <w:left w:w="108" w:type="dxa"/>
            <w:bottom w:w="0" w:type="dxa"/>
            <w:right w:w="108" w:type="dxa"/>
          </w:tblCellMar>
        </w:tblPrEx>
        <w:trPr>
          <w:gridAfter w:val="1"/>
          <w:wAfter w:w="123" w:type="pct"/>
          <w:trHeight w:val="341" w:hRule="atLeast"/>
        </w:trPr>
        <w:tc>
          <w:tcPr>
            <w:tcW w:w="82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jc w:val="center"/>
              <w:rPr>
                <w:color w:val="000000"/>
                <w:sz w:val="24"/>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both"/>
              <w:textAlignment w:val="center"/>
              <w:rPr>
                <w:b/>
                <w:bCs/>
                <w:color w:val="000000"/>
                <w:sz w:val="24"/>
              </w:rPr>
            </w:pPr>
            <w:r>
              <w:rPr>
                <w:b/>
                <w:bCs/>
                <w:color w:val="000000"/>
                <w:kern w:val="0"/>
                <w:sz w:val="24"/>
                <w:lang w:bidi="ar"/>
              </w:rPr>
              <w:t>其他资金</w:t>
            </w:r>
          </w:p>
        </w:tc>
        <w:tc>
          <w:tcPr>
            <w:tcW w:w="136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color w:val="000000"/>
                <w:sz w:val="24"/>
              </w:rPr>
            </w:pPr>
          </w:p>
        </w:tc>
        <w:tc>
          <w:tcPr>
            <w:tcW w:w="125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b/>
                <w:bCs/>
                <w:color w:val="000000"/>
                <w:sz w:val="24"/>
              </w:rPr>
            </w:pPr>
            <w:r>
              <w:rPr>
                <w:b/>
                <w:bCs/>
                <w:color w:val="000000"/>
                <w:kern w:val="0"/>
                <w:sz w:val="24"/>
                <w:lang w:bidi="ar"/>
              </w:rPr>
              <w:t>其他资金</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color w:val="000000"/>
                <w:sz w:val="24"/>
              </w:rPr>
            </w:pPr>
          </w:p>
        </w:tc>
      </w:tr>
      <w:tr>
        <w:tblPrEx>
          <w:tblCellMar>
            <w:top w:w="0" w:type="dxa"/>
            <w:left w:w="108" w:type="dxa"/>
            <w:bottom w:w="0" w:type="dxa"/>
            <w:right w:w="108" w:type="dxa"/>
          </w:tblCellMar>
        </w:tblPrEx>
        <w:trPr>
          <w:gridAfter w:val="1"/>
          <w:wAfter w:w="123" w:type="pct"/>
          <w:trHeight w:val="217" w:hRule="atLeast"/>
        </w:trPr>
        <w:tc>
          <w:tcPr>
            <w:tcW w:w="40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b/>
                <w:bCs/>
                <w:color w:val="000000"/>
                <w:kern w:val="0"/>
                <w:sz w:val="24"/>
                <w:lang w:bidi="ar"/>
              </w:rPr>
            </w:pPr>
            <w:r>
              <w:rPr>
                <w:b/>
                <w:bCs/>
                <w:color w:val="000000"/>
                <w:kern w:val="0"/>
                <w:sz w:val="24"/>
                <w:lang w:bidi="ar"/>
              </w:rPr>
              <w:t>年度总体目标</w:t>
            </w:r>
          </w:p>
          <w:p>
            <w:pPr>
              <w:widowControl/>
              <w:spacing w:line="320" w:lineRule="exact"/>
              <w:jc w:val="center"/>
              <w:textAlignment w:val="center"/>
              <w:rPr>
                <w:b/>
                <w:bCs/>
                <w:color w:val="000000"/>
                <w:sz w:val="24"/>
              </w:rPr>
            </w:pPr>
            <w:r>
              <w:rPr>
                <w:b/>
                <w:bCs/>
                <w:color w:val="000000"/>
                <w:kern w:val="0"/>
                <w:sz w:val="24"/>
                <w:lang w:bidi="ar"/>
              </w:rPr>
              <w:t>完成情况</w:t>
            </w:r>
          </w:p>
        </w:tc>
        <w:tc>
          <w:tcPr>
            <w:tcW w:w="241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color w:val="000000"/>
                <w:sz w:val="24"/>
              </w:rPr>
            </w:pPr>
            <w:r>
              <w:rPr>
                <w:color w:val="000000"/>
                <w:kern w:val="0"/>
                <w:sz w:val="24"/>
                <w:lang w:bidi="ar"/>
              </w:rPr>
              <w:t>预期目标</w:t>
            </w:r>
          </w:p>
        </w:tc>
        <w:tc>
          <w:tcPr>
            <w:tcW w:w="205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color w:val="000000"/>
                <w:sz w:val="24"/>
              </w:rPr>
            </w:pPr>
            <w:r>
              <w:rPr>
                <w:color w:val="000000"/>
                <w:kern w:val="0"/>
                <w:sz w:val="24"/>
                <w:lang w:bidi="ar"/>
              </w:rPr>
              <w:t>目标实际完成情况</w:t>
            </w:r>
          </w:p>
        </w:tc>
      </w:tr>
      <w:tr>
        <w:tblPrEx>
          <w:tblCellMar>
            <w:top w:w="0" w:type="dxa"/>
            <w:left w:w="108" w:type="dxa"/>
            <w:bottom w:w="0" w:type="dxa"/>
            <w:right w:w="108" w:type="dxa"/>
          </w:tblCellMar>
        </w:tblPrEx>
        <w:trPr>
          <w:gridAfter w:val="1"/>
          <w:wAfter w:w="123" w:type="pct"/>
          <w:trHeight w:val="2090" w:hRule="atLeast"/>
        </w:trPr>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jc w:val="center"/>
              <w:rPr>
                <w:b/>
                <w:bCs/>
                <w:color w:val="000000"/>
                <w:sz w:val="24"/>
              </w:rPr>
            </w:pPr>
          </w:p>
        </w:tc>
        <w:tc>
          <w:tcPr>
            <w:tcW w:w="2419" w:type="pct"/>
            <w:gridSpan w:val="3"/>
            <w:tcBorders>
              <w:top w:val="single" w:color="000000" w:sz="4" w:space="0"/>
              <w:left w:val="single" w:color="000000" w:sz="4" w:space="0"/>
              <w:bottom w:val="single" w:color="000000" w:sz="4" w:space="0"/>
              <w:right w:val="single" w:color="000000" w:sz="4" w:space="0"/>
            </w:tcBorders>
            <w:shd w:val="clear" w:color="auto" w:fill="auto"/>
          </w:tcPr>
          <w:p>
            <w:pPr>
              <w:keepNext w:val="0"/>
              <w:keepLines w:val="0"/>
              <w:pageBreakBefore w:val="0"/>
              <w:widowControl/>
              <w:numPr>
                <w:ilvl w:val="0"/>
                <w:numId w:val="0"/>
              </w:numPr>
              <w:kinsoku/>
              <w:wordWrap/>
              <w:overflowPunct/>
              <w:topLinePunct w:val="0"/>
              <w:autoSpaceDE/>
              <w:autoSpaceDN/>
              <w:bidi w:val="0"/>
              <w:adjustRightInd w:val="0"/>
              <w:snapToGrid w:val="0"/>
              <w:spacing w:line="240" w:lineRule="atLeast"/>
              <w:contextualSpacing/>
              <w:jc w:val="center"/>
              <w:textAlignment w:val="auto"/>
              <w:rPr>
                <w:rFonts w:ascii="Times New Roman" w:hAnsi="Times New Roman" w:eastAsia="仿宋_GB2312" w:cs="Times New Roman"/>
                <w:color w:val="auto"/>
                <w:kern w:val="2"/>
                <w:sz w:val="32"/>
                <w:szCs w:val="24"/>
                <w:lang w:val="en-US" w:eastAsia="zh-CN" w:bidi="ar-SA"/>
              </w:rPr>
            </w:pPr>
            <w:r>
              <w:rPr>
                <w:rFonts w:hint="eastAsia"/>
                <w:color w:val="auto"/>
                <w:kern w:val="0"/>
                <w:sz w:val="21"/>
                <w:szCs w:val="21"/>
                <w:shd w:val="clear" w:color="auto" w:fill="FFFFFF"/>
                <w:lang w:val="en-US" w:eastAsia="zh-CN"/>
              </w:rPr>
              <w:t>建筑面积 6800平方米，其中仁和区疾病预防控制中心业务用房 4500 平方米，仁和区公共卫生服务中心 2300 平方米。1、</w:t>
            </w:r>
            <w:r>
              <w:rPr>
                <w:rFonts w:hint="eastAsia"/>
                <w:color w:val="auto"/>
                <w:kern w:val="0"/>
                <w:sz w:val="21"/>
                <w:szCs w:val="21"/>
                <w:shd w:val="clear" w:color="auto" w:fill="FFFFFF"/>
              </w:rPr>
              <w:t>完成</w:t>
            </w:r>
            <w:r>
              <w:rPr>
                <w:rFonts w:hint="eastAsia"/>
                <w:color w:val="auto"/>
                <w:kern w:val="0"/>
                <w:sz w:val="21"/>
                <w:szCs w:val="21"/>
                <w:shd w:val="clear" w:color="auto" w:fill="FFFFFF"/>
                <w:lang w:val="en-US" w:eastAsia="zh-CN"/>
              </w:rPr>
              <w:t>第</w:t>
            </w:r>
            <w:r>
              <w:rPr>
                <w:rFonts w:hint="eastAsia"/>
                <w:color w:val="auto"/>
                <w:kern w:val="0"/>
                <w:sz w:val="21"/>
                <w:szCs w:val="21"/>
                <w:shd w:val="clear" w:color="auto" w:fill="FFFFFF"/>
              </w:rPr>
              <w:t>1-3层装饰装修</w:t>
            </w:r>
            <w:r>
              <w:rPr>
                <w:rFonts w:hint="eastAsia"/>
                <w:color w:val="auto"/>
                <w:kern w:val="0"/>
                <w:sz w:val="21"/>
                <w:szCs w:val="21"/>
                <w:shd w:val="clear" w:color="auto" w:fill="FFFFFF"/>
                <w:lang w:eastAsia="zh-CN"/>
              </w:rPr>
              <w:t>；</w:t>
            </w:r>
            <w:r>
              <w:rPr>
                <w:rFonts w:hint="eastAsia"/>
                <w:color w:val="auto"/>
                <w:kern w:val="0"/>
                <w:sz w:val="21"/>
                <w:szCs w:val="21"/>
                <w:shd w:val="clear" w:color="auto" w:fill="FFFFFF"/>
                <w:lang w:val="en-US" w:eastAsia="zh-CN"/>
              </w:rPr>
              <w:t>2、完成</w:t>
            </w:r>
            <w:r>
              <w:rPr>
                <w:rFonts w:hint="eastAsia"/>
                <w:color w:val="auto"/>
                <w:kern w:val="0"/>
                <w:sz w:val="21"/>
                <w:szCs w:val="21"/>
                <w:shd w:val="clear" w:color="auto" w:fill="FFFFFF"/>
              </w:rPr>
              <w:t>室外工程</w:t>
            </w:r>
            <w:r>
              <w:rPr>
                <w:rFonts w:hint="eastAsia"/>
                <w:color w:val="auto"/>
                <w:kern w:val="0"/>
                <w:sz w:val="21"/>
                <w:szCs w:val="21"/>
                <w:shd w:val="clear" w:color="auto" w:fill="FFFFFF"/>
                <w:lang w:eastAsia="zh-CN"/>
              </w:rPr>
              <w:t>；</w:t>
            </w:r>
            <w:r>
              <w:rPr>
                <w:rFonts w:hint="eastAsia"/>
                <w:color w:val="auto"/>
                <w:kern w:val="0"/>
                <w:sz w:val="21"/>
                <w:szCs w:val="21"/>
                <w:shd w:val="clear" w:color="auto" w:fill="FFFFFF"/>
                <w:lang w:val="en-US" w:eastAsia="zh-CN"/>
              </w:rPr>
              <w:t>3、完成第</w:t>
            </w:r>
            <w:r>
              <w:rPr>
                <w:rFonts w:hint="eastAsia"/>
                <w:color w:val="auto"/>
                <w:kern w:val="0"/>
                <w:sz w:val="21"/>
                <w:szCs w:val="21"/>
                <w:shd w:val="clear" w:color="auto" w:fill="FFFFFF"/>
              </w:rPr>
              <w:t>4-5层工艺装修；</w:t>
            </w:r>
            <w:r>
              <w:rPr>
                <w:rFonts w:hint="eastAsia"/>
                <w:color w:val="auto"/>
                <w:kern w:val="0"/>
                <w:sz w:val="21"/>
                <w:szCs w:val="21"/>
                <w:shd w:val="clear" w:color="auto" w:fill="FFFFFF"/>
                <w:lang w:val="en-US" w:eastAsia="zh-CN"/>
              </w:rPr>
              <w:t>4、完成</w:t>
            </w:r>
            <w:r>
              <w:rPr>
                <w:rFonts w:hint="eastAsia"/>
                <w:color w:val="auto"/>
                <w:kern w:val="0"/>
                <w:sz w:val="21"/>
                <w:szCs w:val="21"/>
                <w:shd w:val="clear" w:color="auto" w:fill="FFFFFF"/>
              </w:rPr>
              <w:t>疫苗储存冷库</w:t>
            </w:r>
            <w:r>
              <w:rPr>
                <w:rFonts w:hint="eastAsia"/>
                <w:color w:val="auto"/>
                <w:kern w:val="0"/>
                <w:sz w:val="21"/>
                <w:szCs w:val="21"/>
                <w:shd w:val="clear" w:color="auto" w:fill="FFFFFF"/>
                <w:lang w:eastAsia="zh-CN"/>
              </w:rPr>
              <w:t>、</w:t>
            </w:r>
            <w:r>
              <w:rPr>
                <w:rFonts w:hint="eastAsia"/>
                <w:color w:val="auto"/>
                <w:kern w:val="0"/>
                <w:sz w:val="21"/>
                <w:szCs w:val="21"/>
                <w:shd w:val="clear" w:color="auto" w:fill="FFFFFF"/>
              </w:rPr>
              <w:t>实验室检测设备</w:t>
            </w:r>
            <w:r>
              <w:rPr>
                <w:rFonts w:hint="eastAsia"/>
                <w:color w:val="auto"/>
                <w:kern w:val="0"/>
                <w:sz w:val="21"/>
                <w:szCs w:val="21"/>
                <w:shd w:val="clear" w:color="auto" w:fill="FFFFFF"/>
                <w:lang w:eastAsia="zh-CN"/>
              </w:rPr>
              <w:t>、</w:t>
            </w:r>
            <w:r>
              <w:rPr>
                <w:rFonts w:hint="eastAsia"/>
                <w:color w:val="auto"/>
                <w:kern w:val="0"/>
                <w:sz w:val="21"/>
                <w:szCs w:val="21"/>
                <w:shd w:val="clear" w:color="auto" w:fill="FFFFFF"/>
              </w:rPr>
              <w:t>办公</w:t>
            </w:r>
            <w:r>
              <w:rPr>
                <w:rFonts w:hint="eastAsia"/>
                <w:color w:val="auto"/>
                <w:kern w:val="0"/>
                <w:sz w:val="21"/>
                <w:szCs w:val="21"/>
                <w:shd w:val="clear" w:color="auto" w:fill="FFFFFF"/>
                <w:lang w:val="en-US" w:eastAsia="zh-CN"/>
              </w:rPr>
              <w:t>家具</w:t>
            </w:r>
            <w:r>
              <w:rPr>
                <w:rFonts w:hint="eastAsia"/>
                <w:color w:val="auto"/>
                <w:kern w:val="0"/>
                <w:sz w:val="21"/>
                <w:szCs w:val="21"/>
                <w:shd w:val="clear" w:color="auto" w:fill="FFFFFF"/>
              </w:rPr>
              <w:t>招标采购</w:t>
            </w:r>
            <w:r>
              <w:rPr>
                <w:rFonts w:hint="eastAsia"/>
                <w:color w:val="auto"/>
                <w:kern w:val="0"/>
                <w:sz w:val="21"/>
                <w:szCs w:val="21"/>
                <w:shd w:val="clear" w:color="auto" w:fill="FFFFFF"/>
                <w:lang w:val="en-US" w:eastAsia="zh-CN"/>
              </w:rPr>
              <w:t>及安装调试；5、</w:t>
            </w:r>
            <w:r>
              <w:rPr>
                <w:rFonts w:hint="eastAsia"/>
                <w:color w:val="auto"/>
                <w:kern w:val="0"/>
                <w:sz w:val="21"/>
                <w:szCs w:val="21"/>
                <w:shd w:val="clear" w:color="auto" w:fill="FFFFFF"/>
              </w:rPr>
              <w:t>原业务用房旧办公用品搬迁</w:t>
            </w:r>
            <w:r>
              <w:rPr>
                <w:rFonts w:hint="eastAsia"/>
                <w:color w:val="auto"/>
                <w:kern w:val="0"/>
                <w:sz w:val="21"/>
                <w:szCs w:val="21"/>
                <w:shd w:val="clear" w:color="auto" w:fill="FFFFFF"/>
                <w:lang w:eastAsia="zh-CN"/>
              </w:rPr>
              <w:t>，</w:t>
            </w:r>
            <w:r>
              <w:rPr>
                <w:rFonts w:hint="eastAsia"/>
                <w:color w:val="auto"/>
                <w:kern w:val="0"/>
                <w:sz w:val="21"/>
                <w:szCs w:val="21"/>
                <w:shd w:val="clear" w:color="auto" w:fill="FFFFFF"/>
              </w:rPr>
              <w:t>正式投入使用。</w:t>
            </w:r>
          </w:p>
        </w:tc>
        <w:tc>
          <w:tcPr>
            <w:tcW w:w="2055" w:type="pct"/>
            <w:gridSpan w:val="2"/>
            <w:tcBorders>
              <w:top w:val="single" w:color="000000" w:sz="4" w:space="0"/>
              <w:left w:val="single" w:color="000000" w:sz="4" w:space="0"/>
              <w:bottom w:val="single" w:color="000000" w:sz="4" w:space="0"/>
              <w:right w:val="single" w:color="000000" w:sz="4" w:space="0"/>
            </w:tcBorders>
            <w:shd w:val="clear" w:color="auto" w:fill="auto"/>
          </w:tcPr>
          <w:p>
            <w:pPr>
              <w:widowControl/>
              <w:spacing w:line="320" w:lineRule="exact"/>
              <w:jc w:val="center"/>
              <w:textAlignment w:val="top"/>
              <w:rPr>
                <w:rFonts w:hint="default" w:eastAsia="仿宋_GB2312"/>
                <w:color w:val="auto"/>
                <w:sz w:val="24"/>
                <w:lang w:val="en-US" w:eastAsia="zh-CN"/>
              </w:rPr>
            </w:pPr>
            <w:r>
              <w:rPr>
                <w:rFonts w:hint="eastAsia"/>
                <w:color w:val="auto"/>
                <w:kern w:val="0"/>
                <w:sz w:val="21"/>
                <w:szCs w:val="21"/>
                <w:shd w:val="clear" w:color="auto" w:fill="FFFFFF"/>
                <w:lang w:val="en-US" w:eastAsia="zh-CN"/>
              </w:rPr>
              <w:t>目前项目土建工程已完工、验收并投入使用，旧址搬迁已完成。项目通过政府采购程序购置的设备，如冷库、办公家具、空调、实验室专业设备等均已安装验收，设备正进行试运行。实验室工艺建设工程待专项验收</w:t>
            </w:r>
          </w:p>
        </w:tc>
      </w:tr>
      <w:tr>
        <w:tblPrEx>
          <w:tblCellMar>
            <w:top w:w="0" w:type="dxa"/>
            <w:left w:w="108" w:type="dxa"/>
            <w:bottom w:w="0" w:type="dxa"/>
            <w:right w:w="108" w:type="dxa"/>
          </w:tblCellMar>
        </w:tblPrEx>
        <w:trPr>
          <w:gridAfter w:val="1"/>
          <w:wAfter w:w="123" w:type="pct"/>
          <w:trHeight w:val="738" w:hRule="atLeast"/>
        </w:trPr>
        <w:tc>
          <w:tcPr>
            <w:tcW w:w="402" w:type="pct"/>
            <w:vMerge w:val="restart"/>
            <w:tcBorders>
              <w:top w:val="single" w:color="000000" w:sz="4" w:space="0"/>
              <w:left w:val="single" w:color="000000" w:sz="4" w:space="0"/>
              <w:right w:val="single" w:color="000000" w:sz="4" w:space="0"/>
            </w:tcBorders>
            <w:shd w:val="clear" w:color="auto" w:fill="auto"/>
            <w:vAlign w:val="center"/>
          </w:tcPr>
          <w:p>
            <w:pPr>
              <w:widowControl/>
              <w:spacing w:line="320" w:lineRule="exact"/>
              <w:jc w:val="center"/>
              <w:textAlignment w:val="center"/>
              <w:rPr>
                <w:b/>
                <w:bCs/>
                <w:color w:val="000000"/>
                <w:sz w:val="28"/>
                <w:szCs w:val="28"/>
              </w:rPr>
            </w:pPr>
            <w:r>
              <w:rPr>
                <w:b/>
                <w:bCs/>
                <w:color w:val="000000"/>
                <w:kern w:val="0"/>
                <w:sz w:val="28"/>
                <w:szCs w:val="28"/>
                <w:lang w:bidi="ar"/>
              </w:rPr>
              <w:t>年度绩效指标完成情况</w:t>
            </w:r>
          </w:p>
        </w:tc>
        <w:tc>
          <w:tcPr>
            <w:tcW w:w="422" w:type="pct"/>
            <w:tcBorders>
              <w:top w:val="single" w:color="000000" w:sz="4" w:space="0"/>
              <w:left w:val="nil"/>
              <w:bottom w:val="single" w:color="000000" w:sz="4" w:space="0"/>
              <w:right w:val="single" w:color="000000" w:sz="4" w:space="0"/>
            </w:tcBorders>
            <w:shd w:val="clear" w:color="auto" w:fill="auto"/>
            <w:vAlign w:val="center"/>
          </w:tcPr>
          <w:p>
            <w:pPr>
              <w:widowControl/>
              <w:spacing w:line="320" w:lineRule="exact"/>
              <w:jc w:val="center"/>
              <w:textAlignment w:val="center"/>
              <w:rPr>
                <w:rFonts w:hint="eastAsia"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一级</w:t>
            </w:r>
          </w:p>
          <w:p>
            <w:pPr>
              <w:widowControl/>
              <w:spacing w:line="320" w:lineRule="exact"/>
              <w:jc w:val="center"/>
              <w:textAlignment w:val="center"/>
              <w:rPr>
                <w:rFonts w:hint="eastAsia" w:ascii="仿宋" w:hAnsi="仿宋" w:eastAsia="仿宋" w:cs="仿宋"/>
                <w:b/>
                <w:bCs/>
                <w:color w:val="000000"/>
                <w:sz w:val="28"/>
                <w:szCs w:val="28"/>
              </w:rPr>
            </w:pPr>
            <w:r>
              <w:rPr>
                <w:rFonts w:hint="eastAsia" w:ascii="仿宋" w:hAnsi="仿宋" w:eastAsia="仿宋" w:cs="仿宋"/>
                <w:b/>
                <w:bCs/>
                <w:color w:val="000000"/>
                <w:kern w:val="0"/>
                <w:sz w:val="28"/>
                <w:szCs w:val="28"/>
                <w:lang w:bidi="ar"/>
              </w:rPr>
              <w:t>指标</w:t>
            </w: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hint="eastAsia"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二级</w:t>
            </w:r>
          </w:p>
          <w:p>
            <w:pPr>
              <w:widowControl/>
              <w:spacing w:line="320" w:lineRule="exact"/>
              <w:jc w:val="center"/>
              <w:textAlignment w:val="center"/>
              <w:rPr>
                <w:rFonts w:hint="eastAsia" w:ascii="仿宋" w:hAnsi="仿宋" w:eastAsia="仿宋" w:cs="仿宋"/>
                <w:b/>
                <w:bCs/>
                <w:color w:val="000000"/>
                <w:sz w:val="28"/>
                <w:szCs w:val="28"/>
              </w:rPr>
            </w:pPr>
            <w:r>
              <w:rPr>
                <w:rFonts w:hint="eastAsia" w:ascii="仿宋" w:hAnsi="仿宋" w:eastAsia="仿宋" w:cs="仿宋"/>
                <w:b/>
                <w:bCs/>
                <w:color w:val="000000"/>
                <w:kern w:val="0"/>
                <w:sz w:val="28"/>
                <w:szCs w:val="28"/>
                <w:lang w:bidi="ar"/>
              </w:rPr>
              <w:t>指标</w:t>
            </w:r>
          </w:p>
        </w:tc>
        <w:tc>
          <w:tcPr>
            <w:tcW w:w="136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hint="eastAsia"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三级</w:t>
            </w:r>
          </w:p>
          <w:p>
            <w:pPr>
              <w:widowControl/>
              <w:spacing w:line="320" w:lineRule="exact"/>
              <w:jc w:val="center"/>
              <w:textAlignment w:val="center"/>
              <w:rPr>
                <w:rFonts w:hint="eastAsia" w:ascii="仿宋" w:hAnsi="仿宋" w:eastAsia="仿宋" w:cs="仿宋"/>
                <w:b/>
                <w:bCs/>
                <w:color w:val="000000"/>
                <w:sz w:val="28"/>
                <w:szCs w:val="28"/>
              </w:rPr>
            </w:pPr>
            <w:r>
              <w:rPr>
                <w:rFonts w:hint="eastAsia" w:ascii="仿宋" w:hAnsi="仿宋" w:eastAsia="仿宋" w:cs="仿宋"/>
                <w:b/>
                <w:bCs/>
                <w:color w:val="000000"/>
                <w:kern w:val="0"/>
                <w:sz w:val="28"/>
                <w:szCs w:val="28"/>
                <w:lang w:bidi="ar"/>
              </w:rPr>
              <w:t>指标</w:t>
            </w:r>
          </w:p>
        </w:tc>
        <w:tc>
          <w:tcPr>
            <w:tcW w:w="125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hint="eastAsia" w:ascii="仿宋" w:hAnsi="仿宋" w:eastAsia="仿宋" w:cs="仿宋"/>
                <w:b/>
                <w:bCs/>
                <w:color w:val="000000"/>
                <w:sz w:val="28"/>
                <w:szCs w:val="28"/>
              </w:rPr>
            </w:pPr>
            <w:r>
              <w:rPr>
                <w:rFonts w:hint="eastAsia" w:ascii="仿宋" w:hAnsi="仿宋" w:eastAsia="仿宋" w:cs="仿宋"/>
                <w:b/>
                <w:bCs/>
                <w:color w:val="000000"/>
                <w:kern w:val="0"/>
                <w:sz w:val="28"/>
                <w:szCs w:val="28"/>
                <w:lang w:bidi="ar"/>
              </w:rPr>
              <w:t>预期指标值</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hint="eastAsia" w:ascii="仿宋" w:hAnsi="仿宋" w:eastAsia="仿宋" w:cs="仿宋"/>
                <w:b/>
                <w:bCs/>
                <w:color w:val="000000"/>
                <w:sz w:val="28"/>
                <w:szCs w:val="28"/>
              </w:rPr>
            </w:pPr>
            <w:r>
              <w:rPr>
                <w:rFonts w:hint="eastAsia" w:ascii="仿宋" w:hAnsi="仿宋" w:eastAsia="仿宋" w:cs="仿宋"/>
                <w:b/>
                <w:bCs/>
                <w:color w:val="000000"/>
                <w:kern w:val="0"/>
                <w:sz w:val="28"/>
                <w:szCs w:val="28"/>
                <w:lang w:bidi="ar"/>
              </w:rPr>
              <w:t>实际完成指标值</w:t>
            </w:r>
          </w:p>
        </w:tc>
      </w:tr>
      <w:tr>
        <w:tblPrEx>
          <w:tblCellMar>
            <w:top w:w="0" w:type="dxa"/>
            <w:left w:w="108" w:type="dxa"/>
            <w:bottom w:w="0" w:type="dxa"/>
            <w:right w:w="108" w:type="dxa"/>
          </w:tblCellMar>
        </w:tblPrEx>
        <w:trPr>
          <w:gridAfter w:val="1"/>
          <w:wAfter w:w="123" w:type="pct"/>
          <w:trHeight w:val="480" w:hRule="atLeast"/>
        </w:trPr>
        <w:tc>
          <w:tcPr>
            <w:tcW w:w="402" w:type="pct"/>
            <w:vMerge w:val="continue"/>
            <w:tcBorders>
              <w:left w:val="single" w:color="000000" w:sz="4" w:space="0"/>
              <w:right w:val="single" w:color="000000" w:sz="4" w:space="0"/>
            </w:tcBorders>
            <w:shd w:val="clear" w:color="auto" w:fill="auto"/>
            <w:vAlign w:val="center"/>
          </w:tcPr>
          <w:p>
            <w:pPr>
              <w:spacing w:line="320" w:lineRule="exact"/>
              <w:jc w:val="center"/>
              <w:rPr>
                <w:color w:val="000000"/>
                <w:sz w:val="28"/>
                <w:szCs w:val="28"/>
              </w:rPr>
            </w:pP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hint="eastAsia" w:ascii="仿宋" w:hAnsi="仿宋" w:eastAsia="仿宋" w:cs="仿宋"/>
                <w:b/>
                <w:bCs/>
                <w:color w:val="000000"/>
                <w:kern w:val="0"/>
                <w:sz w:val="24"/>
                <w:szCs w:val="24"/>
                <w:lang w:bidi="ar"/>
              </w:rPr>
            </w:pPr>
            <w:r>
              <w:rPr>
                <w:rFonts w:hint="eastAsia" w:ascii="仿宋" w:hAnsi="仿宋" w:eastAsia="仿宋" w:cs="仿宋"/>
                <w:b/>
                <w:bCs/>
                <w:color w:val="000000"/>
                <w:kern w:val="0"/>
                <w:sz w:val="24"/>
                <w:szCs w:val="24"/>
                <w:lang w:bidi="ar"/>
              </w:rPr>
              <w:t>完成</w:t>
            </w:r>
          </w:p>
          <w:p>
            <w:pPr>
              <w:widowControl/>
              <w:spacing w:line="320" w:lineRule="exact"/>
              <w:jc w:val="center"/>
              <w:textAlignment w:val="bottom"/>
              <w:rPr>
                <w:rFonts w:hint="eastAsia" w:ascii="仿宋" w:hAnsi="仿宋" w:eastAsia="仿宋" w:cs="仿宋"/>
                <w:b/>
                <w:bCs/>
                <w:color w:val="000000"/>
                <w:sz w:val="24"/>
                <w:szCs w:val="24"/>
              </w:rPr>
            </w:pPr>
            <w:r>
              <w:rPr>
                <w:rFonts w:hint="eastAsia" w:ascii="仿宋" w:hAnsi="仿宋" w:eastAsia="仿宋" w:cs="仿宋"/>
                <w:b/>
                <w:bCs/>
                <w:color w:val="000000"/>
                <w:kern w:val="0"/>
                <w:sz w:val="24"/>
                <w:szCs w:val="24"/>
                <w:lang w:bidi="ar"/>
              </w:rPr>
              <w:t>指标</w:t>
            </w: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hint="eastAsia" w:ascii="仿宋" w:hAnsi="仿宋" w:eastAsia="仿宋" w:cs="仿宋"/>
                <w:b/>
                <w:bCs/>
                <w:color w:val="000000"/>
                <w:sz w:val="24"/>
                <w:szCs w:val="24"/>
              </w:rPr>
            </w:pPr>
            <w:r>
              <w:rPr>
                <w:rFonts w:hint="eastAsia" w:ascii="仿宋" w:hAnsi="仿宋" w:eastAsia="仿宋" w:cs="仿宋"/>
                <w:b/>
                <w:bCs/>
                <w:color w:val="000000"/>
                <w:kern w:val="0"/>
                <w:sz w:val="24"/>
                <w:szCs w:val="24"/>
                <w:lang w:bidi="ar"/>
              </w:rPr>
              <w:t>数量指标</w:t>
            </w:r>
          </w:p>
        </w:tc>
        <w:tc>
          <w:tcPr>
            <w:tcW w:w="1362"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hint="eastAsia" w:ascii="仿宋" w:hAnsi="仿宋" w:eastAsia="仿宋" w:cs="仿宋"/>
                <w:color w:val="auto"/>
                <w:sz w:val="21"/>
                <w:szCs w:val="21"/>
              </w:rPr>
            </w:pPr>
            <w:r>
              <w:rPr>
                <w:rFonts w:hint="eastAsia"/>
                <w:color w:val="auto"/>
                <w:kern w:val="0"/>
                <w:sz w:val="21"/>
                <w:szCs w:val="21"/>
                <w:shd w:val="clear" w:color="auto" w:fill="FFFFFF"/>
                <w:lang w:val="en-US" w:eastAsia="zh-CN"/>
              </w:rPr>
              <w:t>建筑面积 6800平方米，其中仁和区疾病预防控制中心业务用房 4500 平方米</w:t>
            </w:r>
          </w:p>
        </w:tc>
        <w:tc>
          <w:tcPr>
            <w:tcW w:w="1252"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tabs>
                <w:tab w:val="left" w:pos="239"/>
              </w:tabs>
              <w:spacing w:line="320" w:lineRule="exact"/>
              <w:jc w:val="center"/>
              <w:textAlignment w:val="bottom"/>
              <w:rPr>
                <w:rFonts w:hint="eastAsia" w:ascii="仿宋" w:hAnsi="仿宋" w:eastAsia="仿宋" w:cs="仿宋"/>
                <w:color w:val="auto"/>
                <w:sz w:val="21"/>
                <w:szCs w:val="21"/>
                <w:lang w:eastAsia="zh-CN"/>
              </w:rPr>
            </w:pPr>
            <w:r>
              <w:rPr>
                <w:rFonts w:hint="eastAsia" w:ascii="仿宋" w:hAnsi="仿宋" w:eastAsia="仿宋" w:cs="仿宋"/>
                <w:color w:val="auto"/>
                <w:kern w:val="0"/>
                <w:sz w:val="21"/>
                <w:szCs w:val="21"/>
                <w:shd w:val="clear" w:color="auto" w:fill="FFFFFF"/>
                <w:lang w:eastAsia="zh-CN"/>
              </w:rPr>
              <w:t>6800平方米。</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hint="eastAsia" w:ascii="仿宋" w:hAnsi="仿宋" w:eastAsia="仿宋" w:cs="仿宋"/>
                <w:color w:val="auto"/>
                <w:sz w:val="21"/>
                <w:szCs w:val="21"/>
              </w:rPr>
            </w:pPr>
            <w:r>
              <w:rPr>
                <w:rFonts w:hint="eastAsia" w:ascii="仿宋" w:hAnsi="仿宋" w:eastAsia="仿宋" w:cs="仿宋"/>
                <w:color w:val="auto"/>
                <w:kern w:val="0"/>
                <w:sz w:val="21"/>
                <w:szCs w:val="21"/>
                <w:shd w:val="clear" w:color="auto" w:fill="FFFFFF"/>
                <w:lang w:eastAsia="zh-CN"/>
              </w:rPr>
              <w:t>6800平方米。</w:t>
            </w:r>
          </w:p>
        </w:tc>
      </w:tr>
      <w:tr>
        <w:tblPrEx>
          <w:tblCellMar>
            <w:top w:w="0" w:type="dxa"/>
            <w:left w:w="108" w:type="dxa"/>
            <w:bottom w:w="0" w:type="dxa"/>
            <w:right w:w="108" w:type="dxa"/>
          </w:tblCellMar>
        </w:tblPrEx>
        <w:trPr>
          <w:gridAfter w:val="1"/>
          <w:wAfter w:w="123" w:type="pct"/>
          <w:trHeight w:val="480" w:hRule="atLeast"/>
        </w:trPr>
        <w:tc>
          <w:tcPr>
            <w:tcW w:w="402" w:type="pct"/>
            <w:vMerge w:val="continue"/>
            <w:tcBorders>
              <w:left w:val="single" w:color="000000" w:sz="4" w:space="0"/>
              <w:right w:val="single" w:color="000000" w:sz="4" w:space="0"/>
            </w:tcBorders>
            <w:shd w:val="clear" w:color="auto" w:fill="auto"/>
            <w:vAlign w:val="center"/>
          </w:tcPr>
          <w:p>
            <w:pPr>
              <w:spacing w:line="320" w:lineRule="exact"/>
              <w:jc w:val="center"/>
              <w:rPr>
                <w:color w:val="000000"/>
                <w:sz w:val="28"/>
                <w:szCs w:val="28"/>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20" w:lineRule="exact"/>
              <w:jc w:val="center"/>
              <w:rPr>
                <w:rFonts w:hint="eastAsia" w:ascii="仿宋" w:hAnsi="仿宋" w:eastAsia="仿宋" w:cs="仿宋"/>
                <w:b/>
                <w:bCs/>
                <w:color w:val="000000"/>
                <w:sz w:val="24"/>
                <w:szCs w:val="24"/>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hint="eastAsia" w:ascii="仿宋" w:hAnsi="仿宋" w:eastAsia="仿宋" w:cs="仿宋"/>
                <w:b/>
                <w:bCs/>
                <w:color w:val="000000"/>
                <w:sz w:val="24"/>
                <w:szCs w:val="24"/>
              </w:rPr>
            </w:pPr>
            <w:r>
              <w:rPr>
                <w:rFonts w:hint="eastAsia" w:ascii="仿宋" w:hAnsi="仿宋" w:eastAsia="仿宋" w:cs="仿宋"/>
                <w:b/>
                <w:bCs/>
                <w:color w:val="000000"/>
                <w:kern w:val="0"/>
                <w:sz w:val="24"/>
                <w:szCs w:val="24"/>
                <w:lang w:bidi="ar"/>
              </w:rPr>
              <w:t>质量指标</w:t>
            </w:r>
          </w:p>
        </w:tc>
        <w:tc>
          <w:tcPr>
            <w:tcW w:w="1362"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hint="eastAsia" w:ascii="仿宋" w:hAnsi="仿宋" w:eastAsia="仿宋" w:cs="仿宋"/>
                <w:color w:val="auto"/>
                <w:sz w:val="21"/>
                <w:szCs w:val="21"/>
              </w:rPr>
            </w:pPr>
            <w:r>
              <w:rPr>
                <w:rFonts w:hint="eastAsia" w:ascii="仿宋" w:hAnsi="仿宋" w:eastAsia="仿宋" w:cs="仿宋"/>
                <w:color w:val="auto"/>
                <w:kern w:val="0"/>
                <w:sz w:val="21"/>
                <w:szCs w:val="21"/>
                <w:shd w:val="clear" w:color="auto" w:fill="FFFFFF"/>
              </w:rPr>
              <w:t>工程</w:t>
            </w:r>
            <w:r>
              <w:rPr>
                <w:rFonts w:hint="eastAsia" w:ascii="仿宋" w:hAnsi="仿宋" w:eastAsia="仿宋" w:cs="仿宋"/>
                <w:color w:val="auto"/>
                <w:kern w:val="0"/>
                <w:sz w:val="21"/>
                <w:szCs w:val="21"/>
                <w:shd w:val="clear" w:color="auto" w:fill="FFFFFF"/>
                <w:lang w:val="en-US" w:eastAsia="zh-CN"/>
              </w:rPr>
              <w:t>需要</w:t>
            </w:r>
            <w:r>
              <w:rPr>
                <w:rFonts w:hint="eastAsia" w:ascii="仿宋" w:hAnsi="仿宋" w:eastAsia="仿宋" w:cs="仿宋"/>
                <w:color w:val="auto"/>
                <w:kern w:val="0"/>
                <w:sz w:val="21"/>
                <w:szCs w:val="21"/>
                <w:shd w:val="clear" w:color="auto" w:fill="FFFFFF"/>
              </w:rPr>
              <w:t>达到的</w:t>
            </w:r>
            <w:r>
              <w:rPr>
                <w:rFonts w:hint="eastAsia" w:ascii="仿宋" w:hAnsi="仿宋" w:eastAsia="仿宋" w:cs="仿宋"/>
                <w:color w:val="auto"/>
                <w:kern w:val="0"/>
                <w:sz w:val="21"/>
                <w:szCs w:val="21"/>
                <w:shd w:val="clear" w:color="auto" w:fill="FFFFFF"/>
                <w:lang w:val="en-US" w:eastAsia="zh-CN"/>
              </w:rPr>
              <w:t>行业规范</w:t>
            </w:r>
            <w:r>
              <w:rPr>
                <w:rFonts w:hint="eastAsia" w:ascii="仿宋" w:hAnsi="仿宋" w:eastAsia="仿宋" w:cs="仿宋"/>
                <w:color w:val="auto"/>
                <w:kern w:val="0"/>
                <w:sz w:val="21"/>
                <w:szCs w:val="21"/>
                <w:shd w:val="clear" w:color="auto" w:fill="FFFFFF"/>
              </w:rPr>
              <w:t>要求</w:t>
            </w:r>
          </w:p>
        </w:tc>
        <w:tc>
          <w:tcPr>
            <w:tcW w:w="1252"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hint="eastAsia" w:ascii="仿宋" w:hAnsi="仿宋" w:eastAsia="仿宋" w:cs="仿宋"/>
                <w:color w:val="auto"/>
                <w:sz w:val="21"/>
                <w:szCs w:val="21"/>
                <w:lang w:eastAsia="zh-CN"/>
              </w:rPr>
            </w:pPr>
            <w:r>
              <w:rPr>
                <w:rFonts w:hint="eastAsia" w:ascii="仿宋" w:hAnsi="仿宋" w:eastAsia="仿宋" w:cs="仿宋"/>
                <w:color w:val="auto"/>
                <w:kern w:val="0"/>
                <w:sz w:val="21"/>
                <w:szCs w:val="21"/>
                <w:shd w:val="clear" w:color="auto" w:fill="FFFFFF"/>
              </w:rPr>
              <w:t>工程</w:t>
            </w:r>
            <w:r>
              <w:rPr>
                <w:rFonts w:hint="eastAsia" w:ascii="仿宋" w:hAnsi="仿宋" w:eastAsia="仿宋" w:cs="仿宋"/>
                <w:color w:val="auto"/>
                <w:kern w:val="0"/>
                <w:sz w:val="21"/>
                <w:szCs w:val="21"/>
                <w:shd w:val="clear" w:color="auto" w:fill="FFFFFF"/>
                <w:lang w:val="en-US" w:eastAsia="zh-CN"/>
              </w:rPr>
              <w:t>需要</w:t>
            </w:r>
            <w:r>
              <w:rPr>
                <w:rFonts w:hint="eastAsia" w:ascii="仿宋" w:hAnsi="仿宋" w:eastAsia="仿宋" w:cs="仿宋"/>
                <w:color w:val="auto"/>
                <w:kern w:val="0"/>
                <w:sz w:val="21"/>
                <w:szCs w:val="21"/>
                <w:shd w:val="clear" w:color="auto" w:fill="FFFFFF"/>
              </w:rPr>
              <w:t>达到的</w:t>
            </w:r>
            <w:r>
              <w:rPr>
                <w:rFonts w:hint="eastAsia" w:ascii="仿宋" w:hAnsi="仿宋" w:eastAsia="仿宋" w:cs="仿宋"/>
                <w:color w:val="auto"/>
                <w:kern w:val="0"/>
                <w:sz w:val="21"/>
                <w:szCs w:val="21"/>
                <w:shd w:val="clear" w:color="auto" w:fill="FFFFFF"/>
                <w:lang w:val="en-US" w:eastAsia="zh-CN"/>
              </w:rPr>
              <w:t>行业规范</w:t>
            </w:r>
            <w:r>
              <w:rPr>
                <w:rFonts w:hint="eastAsia" w:ascii="仿宋" w:hAnsi="仿宋" w:eastAsia="仿宋" w:cs="仿宋"/>
                <w:color w:val="auto"/>
                <w:kern w:val="0"/>
                <w:sz w:val="21"/>
                <w:szCs w:val="21"/>
                <w:shd w:val="clear" w:color="auto" w:fill="FFFFFF"/>
              </w:rPr>
              <w:t>要求</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hint="default" w:ascii="仿宋" w:hAnsi="仿宋" w:eastAsia="仿宋" w:cs="仿宋"/>
                <w:color w:val="auto"/>
                <w:sz w:val="21"/>
                <w:szCs w:val="21"/>
                <w:lang w:val="en-US" w:eastAsia="zh-CN"/>
              </w:rPr>
            </w:pPr>
            <w:r>
              <w:rPr>
                <w:rFonts w:hint="eastAsia" w:ascii="仿宋" w:hAnsi="仿宋" w:eastAsia="仿宋" w:cs="仿宋"/>
                <w:color w:val="auto"/>
                <w:kern w:val="0"/>
                <w:sz w:val="21"/>
                <w:szCs w:val="21"/>
                <w:shd w:val="clear" w:color="auto" w:fill="FFFFFF"/>
                <w:lang w:val="en-US" w:eastAsia="zh-CN"/>
              </w:rPr>
              <w:t>已完成初步验收，试运行</w:t>
            </w:r>
          </w:p>
        </w:tc>
      </w:tr>
      <w:tr>
        <w:tblPrEx>
          <w:tblCellMar>
            <w:top w:w="0" w:type="dxa"/>
            <w:left w:w="108" w:type="dxa"/>
            <w:bottom w:w="0" w:type="dxa"/>
            <w:right w:w="108" w:type="dxa"/>
          </w:tblCellMar>
        </w:tblPrEx>
        <w:trPr>
          <w:gridAfter w:val="1"/>
          <w:wAfter w:w="123" w:type="pct"/>
          <w:trHeight w:val="480" w:hRule="atLeast"/>
        </w:trPr>
        <w:tc>
          <w:tcPr>
            <w:tcW w:w="402" w:type="pct"/>
            <w:vMerge w:val="continue"/>
            <w:tcBorders>
              <w:left w:val="single" w:color="000000" w:sz="4" w:space="0"/>
              <w:right w:val="single" w:color="000000" w:sz="4" w:space="0"/>
            </w:tcBorders>
            <w:shd w:val="clear" w:color="auto" w:fill="auto"/>
            <w:vAlign w:val="center"/>
          </w:tcPr>
          <w:p>
            <w:pPr>
              <w:spacing w:line="320" w:lineRule="exact"/>
              <w:jc w:val="center"/>
              <w:rPr>
                <w:color w:val="000000"/>
                <w:sz w:val="28"/>
                <w:szCs w:val="28"/>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20" w:lineRule="exact"/>
              <w:jc w:val="center"/>
              <w:rPr>
                <w:rFonts w:hint="eastAsia" w:ascii="仿宋" w:hAnsi="仿宋" w:eastAsia="仿宋" w:cs="仿宋"/>
                <w:b/>
                <w:bCs/>
                <w:color w:val="000000"/>
                <w:sz w:val="24"/>
                <w:szCs w:val="24"/>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hint="eastAsia" w:ascii="仿宋" w:hAnsi="仿宋" w:eastAsia="仿宋" w:cs="仿宋"/>
                <w:b/>
                <w:bCs/>
                <w:color w:val="000000"/>
                <w:sz w:val="24"/>
                <w:szCs w:val="24"/>
              </w:rPr>
            </w:pPr>
            <w:r>
              <w:rPr>
                <w:rFonts w:hint="eastAsia" w:ascii="仿宋" w:hAnsi="仿宋" w:eastAsia="仿宋" w:cs="仿宋"/>
                <w:b/>
                <w:bCs/>
                <w:color w:val="000000"/>
                <w:kern w:val="0"/>
                <w:sz w:val="24"/>
                <w:szCs w:val="24"/>
                <w:lang w:bidi="ar"/>
              </w:rPr>
              <w:t>时效指标</w:t>
            </w:r>
          </w:p>
        </w:tc>
        <w:tc>
          <w:tcPr>
            <w:tcW w:w="1362"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项目建设工期4年</w:t>
            </w:r>
          </w:p>
        </w:tc>
        <w:tc>
          <w:tcPr>
            <w:tcW w:w="1252"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hint="default"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2023年</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hint="default"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2022年底</w:t>
            </w:r>
          </w:p>
        </w:tc>
      </w:tr>
      <w:tr>
        <w:tblPrEx>
          <w:tblCellMar>
            <w:top w:w="0" w:type="dxa"/>
            <w:left w:w="108" w:type="dxa"/>
            <w:bottom w:w="0" w:type="dxa"/>
            <w:right w:w="108" w:type="dxa"/>
          </w:tblCellMar>
        </w:tblPrEx>
        <w:trPr>
          <w:gridAfter w:val="1"/>
          <w:wAfter w:w="123" w:type="pct"/>
          <w:trHeight w:val="480" w:hRule="atLeast"/>
        </w:trPr>
        <w:tc>
          <w:tcPr>
            <w:tcW w:w="402" w:type="pct"/>
            <w:vMerge w:val="continue"/>
            <w:tcBorders>
              <w:left w:val="single" w:color="000000" w:sz="4" w:space="0"/>
              <w:right w:val="single" w:color="000000" w:sz="4" w:space="0"/>
            </w:tcBorders>
            <w:shd w:val="clear" w:color="auto" w:fill="auto"/>
            <w:vAlign w:val="center"/>
          </w:tcPr>
          <w:p>
            <w:pPr>
              <w:spacing w:line="320" w:lineRule="exact"/>
              <w:jc w:val="center"/>
              <w:rPr>
                <w:color w:val="000000"/>
                <w:sz w:val="28"/>
                <w:szCs w:val="28"/>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20" w:lineRule="exact"/>
              <w:jc w:val="center"/>
              <w:rPr>
                <w:rFonts w:hint="eastAsia" w:ascii="仿宋" w:hAnsi="仿宋" w:eastAsia="仿宋" w:cs="仿宋"/>
                <w:b/>
                <w:bCs/>
                <w:color w:val="000000"/>
                <w:sz w:val="24"/>
                <w:szCs w:val="24"/>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hint="eastAsia" w:ascii="仿宋" w:hAnsi="仿宋" w:eastAsia="仿宋" w:cs="仿宋"/>
                <w:b/>
                <w:bCs/>
                <w:color w:val="000000"/>
                <w:sz w:val="24"/>
                <w:szCs w:val="24"/>
              </w:rPr>
            </w:pPr>
            <w:r>
              <w:rPr>
                <w:rFonts w:hint="eastAsia" w:ascii="仿宋" w:hAnsi="仿宋" w:eastAsia="仿宋" w:cs="仿宋"/>
                <w:b/>
                <w:bCs/>
                <w:color w:val="000000"/>
                <w:kern w:val="0"/>
                <w:sz w:val="24"/>
                <w:szCs w:val="24"/>
                <w:lang w:bidi="ar"/>
              </w:rPr>
              <w:t>成本指标</w:t>
            </w:r>
          </w:p>
        </w:tc>
        <w:tc>
          <w:tcPr>
            <w:tcW w:w="1362"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hint="default"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项目投资总计5375万，2022年安排3800万</w:t>
            </w:r>
          </w:p>
        </w:tc>
        <w:tc>
          <w:tcPr>
            <w:tcW w:w="1252"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3800万元</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2522万元</w:t>
            </w:r>
          </w:p>
        </w:tc>
      </w:tr>
      <w:tr>
        <w:tblPrEx>
          <w:tblCellMar>
            <w:top w:w="0" w:type="dxa"/>
            <w:left w:w="108" w:type="dxa"/>
            <w:bottom w:w="0" w:type="dxa"/>
            <w:right w:w="108" w:type="dxa"/>
          </w:tblCellMar>
        </w:tblPrEx>
        <w:trPr>
          <w:gridAfter w:val="1"/>
          <w:wAfter w:w="123" w:type="pct"/>
          <w:trHeight w:val="480" w:hRule="atLeast"/>
        </w:trPr>
        <w:tc>
          <w:tcPr>
            <w:tcW w:w="402" w:type="pct"/>
            <w:vMerge w:val="continue"/>
            <w:tcBorders>
              <w:left w:val="single" w:color="000000" w:sz="4" w:space="0"/>
              <w:right w:val="single" w:color="000000" w:sz="4" w:space="0"/>
            </w:tcBorders>
            <w:shd w:val="clear" w:color="auto" w:fill="auto"/>
            <w:vAlign w:val="center"/>
          </w:tcPr>
          <w:p>
            <w:pPr>
              <w:spacing w:line="320" w:lineRule="exact"/>
              <w:jc w:val="center"/>
              <w:rPr>
                <w:color w:val="000000"/>
                <w:sz w:val="28"/>
                <w:szCs w:val="28"/>
              </w:rPr>
            </w:pP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hint="eastAsia" w:ascii="仿宋" w:hAnsi="仿宋" w:eastAsia="仿宋" w:cs="仿宋"/>
                <w:b/>
                <w:bCs/>
                <w:color w:val="000000"/>
                <w:sz w:val="24"/>
                <w:szCs w:val="24"/>
              </w:rPr>
            </w:pPr>
            <w:r>
              <w:rPr>
                <w:rFonts w:hint="eastAsia" w:ascii="仿宋" w:hAnsi="仿宋" w:eastAsia="仿宋" w:cs="仿宋"/>
                <w:b/>
                <w:bCs/>
                <w:color w:val="000000"/>
                <w:kern w:val="0"/>
                <w:sz w:val="24"/>
                <w:szCs w:val="24"/>
                <w:lang w:bidi="ar"/>
              </w:rPr>
              <w:t>效益</w:t>
            </w:r>
            <w:r>
              <w:rPr>
                <w:rFonts w:hint="eastAsia" w:ascii="仿宋" w:hAnsi="仿宋" w:eastAsia="仿宋" w:cs="仿宋"/>
                <w:b/>
                <w:bCs/>
                <w:color w:val="000000"/>
                <w:kern w:val="0"/>
                <w:sz w:val="24"/>
                <w:szCs w:val="24"/>
                <w:lang w:bidi="ar"/>
              </w:rPr>
              <w:br w:type="textWrapping"/>
            </w:r>
            <w:r>
              <w:rPr>
                <w:rFonts w:hint="eastAsia" w:ascii="仿宋" w:hAnsi="仿宋" w:eastAsia="仿宋" w:cs="仿宋"/>
                <w:b/>
                <w:bCs/>
                <w:color w:val="000000"/>
                <w:kern w:val="0"/>
                <w:sz w:val="24"/>
                <w:szCs w:val="24"/>
                <w:lang w:bidi="ar"/>
              </w:rPr>
              <w:t>指标</w:t>
            </w: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hint="eastAsia" w:ascii="仿宋" w:hAnsi="仿宋" w:eastAsia="仿宋" w:cs="仿宋"/>
                <w:b/>
                <w:bCs/>
                <w:color w:val="000000"/>
                <w:sz w:val="24"/>
                <w:szCs w:val="24"/>
              </w:rPr>
            </w:pPr>
            <w:r>
              <w:rPr>
                <w:rFonts w:hint="eastAsia" w:ascii="仿宋" w:hAnsi="仿宋" w:eastAsia="仿宋" w:cs="仿宋"/>
                <w:b/>
                <w:bCs/>
                <w:color w:val="000000"/>
                <w:kern w:val="0"/>
                <w:sz w:val="24"/>
                <w:szCs w:val="24"/>
                <w:lang w:bidi="ar"/>
              </w:rPr>
              <w:t>经济</w:t>
            </w:r>
            <w:r>
              <w:rPr>
                <w:rFonts w:hint="eastAsia" w:ascii="仿宋" w:hAnsi="仿宋" w:eastAsia="仿宋" w:cs="仿宋"/>
                <w:b/>
                <w:bCs/>
                <w:color w:val="000000"/>
                <w:kern w:val="0"/>
                <w:sz w:val="24"/>
                <w:szCs w:val="24"/>
                <w:lang w:val="en-US" w:eastAsia="zh-CN" w:bidi="ar"/>
              </w:rPr>
              <w:t>效</w:t>
            </w:r>
            <w:r>
              <w:rPr>
                <w:rFonts w:hint="eastAsia" w:ascii="仿宋" w:hAnsi="仿宋" w:eastAsia="仿宋" w:cs="仿宋"/>
                <w:b/>
                <w:bCs/>
                <w:color w:val="000000"/>
                <w:kern w:val="0"/>
                <w:sz w:val="24"/>
                <w:szCs w:val="24"/>
                <w:lang w:bidi="ar"/>
              </w:rPr>
              <w:t>益指标</w:t>
            </w:r>
          </w:p>
        </w:tc>
        <w:tc>
          <w:tcPr>
            <w:tcW w:w="1362"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hint="eastAsia" w:ascii="仿宋" w:hAnsi="仿宋" w:eastAsia="仿宋" w:cs="仿宋"/>
                <w:color w:val="auto"/>
                <w:sz w:val="21"/>
                <w:szCs w:val="21"/>
              </w:rPr>
            </w:pPr>
          </w:p>
        </w:tc>
        <w:tc>
          <w:tcPr>
            <w:tcW w:w="1252"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hint="eastAsia" w:ascii="仿宋" w:hAnsi="仿宋" w:eastAsia="仿宋" w:cs="仿宋"/>
                <w:color w:val="auto"/>
                <w:kern w:val="0"/>
                <w:sz w:val="21"/>
                <w:szCs w:val="21"/>
                <w:shd w:val="clear" w:color="auto" w:fill="FFFFFF"/>
                <w:lang w:val="en-US" w:eastAsia="zh-CN"/>
              </w:rPr>
            </w:pP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hint="eastAsia" w:ascii="仿宋" w:hAnsi="仿宋" w:eastAsia="仿宋" w:cs="仿宋"/>
                <w:color w:val="auto"/>
                <w:kern w:val="0"/>
                <w:sz w:val="21"/>
                <w:szCs w:val="21"/>
                <w:shd w:val="clear" w:color="auto" w:fill="FFFFFF"/>
                <w:lang w:val="en-US" w:eastAsia="zh-CN"/>
              </w:rPr>
            </w:pPr>
          </w:p>
        </w:tc>
      </w:tr>
      <w:tr>
        <w:tblPrEx>
          <w:tblCellMar>
            <w:top w:w="0" w:type="dxa"/>
            <w:left w:w="108" w:type="dxa"/>
            <w:bottom w:w="0" w:type="dxa"/>
            <w:right w:w="108" w:type="dxa"/>
          </w:tblCellMar>
        </w:tblPrEx>
        <w:trPr>
          <w:gridAfter w:val="1"/>
          <w:wAfter w:w="123" w:type="pct"/>
          <w:trHeight w:val="1280" w:hRule="atLeast"/>
        </w:trPr>
        <w:tc>
          <w:tcPr>
            <w:tcW w:w="402" w:type="pct"/>
            <w:vMerge w:val="continue"/>
            <w:tcBorders>
              <w:left w:val="single" w:color="000000" w:sz="4" w:space="0"/>
              <w:right w:val="single" w:color="000000" w:sz="4" w:space="0"/>
            </w:tcBorders>
            <w:shd w:val="clear" w:color="auto" w:fill="auto"/>
            <w:vAlign w:val="center"/>
          </w:tcPr>
          <w:p>
            <w:pPr>
              <w:spacing w:line="320" w:lineRule="exact"/>
              <w:jc w:val="center"/>
              <w:rPr>
                <w:color w:val="000000"/>
                <w:sz w:val="28"/>
                <w:szCs w:val="28"/>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20" w:lineRule="exact"/>
              <w:jc w:val="center"/>
              <w:rPr>
                <w:rFonts w:hint="eastAsia" w:ascii="仿宋" w:hAnsi="仿宋" w:eastAsia="仿宋" w:cs="仿宋"/>
                <w:b/>
                <w:bCs/>
                <w:color w:val="000000"/>
                <w:sz w:val="24"/>
                <w:szCs w:val="24"/>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top"/>
          </w:tcPr>
          <w:p>
            <w:pPr>
              <w:widowControl/>
              <w:spacing w:line="320" w:lineRule="exact"/>
              <w:jc w:val="center"/>
              <w:textAlignment w:val="bottom"/>
              <w:rPr>
                <w:rFonts w:hint="eastAsia" w:ascii="仿宋" w:hAnsi="仿宋" w:eastAsia="仿宋" w:cs="仿宋"/>
                <w:b/>
                <w:bCs/>
                <w:color w:val="000000"/>
                <w:sz w:val="24"/>
                <w:szCs w:val="24"/>
              </w:rPr>
            </w:pPr>
            <w:r>
              <w:rPr>
                <w:rFonts w:hint="eastAsia" w:ascii="仿宋" w:hAnsi="仿宋" w:eastAsia="仿宋" w:cs="仿宋"/>
                <w:b/>
                <w:bCs/>
                <w:color w:val="000000"/>
                <w:kern w:val="0"/>
                <w:sz w:val="24"/>
                <w:szCs w:val="24"/>
                <w:lang w:bidi="ar"/>
              </w:rPr>
              <w:t>社会效益指标</w:t>
            </w:r>
          </w:p>
        </w:tc>
        <w:tc>
          <w:tcPr>
            <w:tcW w:w="1362" w:type="pct"/>
            <w:tcBorders>
              <w:top w:val="single" w:color="000000" w:sz="4" w:space="0"/>
              <w:left w:val="single" w:color="000000" w:sz="4" w:space="0"/>
              <w:bottom w:val="single" w:color="000000" w:sz="4" w:space="0"/>
              <w:right w:val="single" w:color="000000" w:sz="4" w:space="0"/>
            </w:tcBorders>
            <w:shd w:val="clear" w:color="auto" w:fill="auto"/>
            <w:vAlign w:val="top"/>
          </w:tcPr>
          <w:p>
            <w:pPr>
              <w:widowControl/>
              <w:spacing w:line="320" w:lineRule="exact"/>
              <w:jc w:val="center"/>
              <w:textAlignment w:val="bottom"/>
              <w:rPr>
                <w:rFonts w:hint="default"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提升基层公共卫生服务能力，完善公共卫生服务中心业务，建立信息化、现代化的公共卫生服务系统</w:t>
            </w:r>
          </w:p>
        </w:tc>
        <w:tc>
          <w:tcPr>
            <w:tcW w:w="1252" w:type="pct"/>
            <w:tcBorders>
              <w:top w:val="single" w:color="000000" w:sz="4" w:space="0"/>
              <w:left w:val="single" w:color="000000" w:sz="4" w:space="0"/>
              <w:bottom w:val="single" w:color="000000" w:sz="4" w:space="0"/>
              <w:right w:val="single" w:color="000000" w:sz="4" w:space="0"/>
            </w:tcBorders>
            <w:shd w:val="clear" w:color="auto" w:fill="auto"/>
            <w:vAlign w:val="top"/>
          </w:tcPr>
          <w:p>
            <w:pPr>
              <w:widowControl/>
              <w:spacing w:line="320" w:lineRule="exact"/>
              <w:jc w:val="center"/>
              <w:textAlignment w:val="bottom"/>
              <w:rPr>
                <w:rFonts w:hint="eastAsia" w:ascii="仿宋" w:hAnsi="仿宋" w:eastAsia="仿宋" w:cs="仿宋"/>
                <w:color w:val="auto"/>
                <w:kern w:val="0"/>
                <w:sz w:val="21"/>
                <w:szCs w:val="21"/>
                <w:shd w:val="clear" w:color="auto" w:fill="FFFFFF"/>
              </w:rPr>
            </w:pPr>
            <w:r>
              <w:rPr>
                <w:rFonts w:hint="eastAsia" w:ascii="仿宋" w:hAnsi="仿宋" w:eastAsia="仿宋" w:cs="仿宋"/>
                <w:color w:val="auto"/>
                <w:kern w:val="0"/>
                <w:sz w:val="21"/>
                <w:szCs w:val="21"/>
                <w:shd w:val="clear" w:color="auto" w:fill="FFFFFF"/>
              </w:rPr>
              <w:t>项目建成后将为仁和区建设公共卫生检测中心奠定实验室、检测仪器设备等重要硬件基础</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top"/>
          </w:tcPr>
          <w:p>
            <w:pPr>
              <w:widowControl/>
              <w:spacing w:line="320" w:lineRule="exact"/>
              <w:jc w:val="center"/>
              <w:textAlignment w:val="bottom"/>
              <w:rPr>
                <w:rFonts w:hint="eastAsia" w:ascii="仿宋" w:hAnsi="仿宋" w:eastAsia="仿宋" w:cs="仿宋"/>
                <w:color w:val="auto"/>
                <w:kern w:val="0"/>
                <w:sz w:val="21"/>
                <w:szCs w:val="21"/>
                <w:shd w:val="clear" w:color="auto" w:fill="FFFFFF"/>
                <w:lang w:val="en-US" w:eastAsia="zh-CN"/>
              </w:rPr>
            </w:pPr>
            <w:r>
              <w:rPr>
                <w:rFonts w:hint="eastAsia" w:ascii="仿宋" w:hAnsi="仿宋" w:eastAsia="仿宋" w:cs="仿宋"/>
                <w:color w:val="auto"/>
                <w:kern w:val="0"/>
                <w:sz w:val="21"/>
                <w:szCs w:val="21"/>
                <w:shd w:val="clear" w:color="auto" w:fill="FFFFFF"/>
                <w:lang w:val="en-US" w:eastAsia="zh-CN"/>
              </w:rPr>
              <w:t>推进基层疾控能力建设，提高了公共卫生服务能力</w:t>
            </w:r>
          </w:p>
        </w:tc>
      </w:tr>
      <w:tr>
        <w:tblPrEx>
          <w:tblCellMar>
            <w:top w:w="0" w:type="dxa"/>
            <w:left w:w="108" w:type="dxa"/>
            <w:bottom w:w="0" w:type="dxa"/>
            <w:right w:w="108" w:type="dxa"/>
          </w:tblCellMar>
        </w:tblPrEx>
        <w:trPr>
          <w:gridAfter w:val="1"/>
          <w:wAfter w:w="123" w:type="pct"/>
          <w:trHeight w:val="480" w:hRule="atLeast"/>
        </w:trPr>
        <w:tc>
          <w:tcPr>
            <w:tcW w:w="402" w:type="pct"/>
            <w:vMerge w:val="continue"/>
            <w:tcBorders>
              <w:left w:val="single" w:color="000000" w:sz="4" w:space="0"/>
              <w:right w:val="single" w:color="000000" w:sz="4" w:space="0"/>
            </w:tcBorders>
            <w:shd w:val="clear" w:color="auto" w:fill="auto"/>
            <w:vAlign w:val="center"/>
          </w:tcPr>
          <w:p>
            <w:pPr>
              <w:spacing w:line="320" w:lineRule="exact"/>
              <w:jc w:val="center"/>
              <w:rPr>
                <w:color w:val="000000"/>
                <w:sz w:val="28"/>
                <w:szCs w:val="28"/>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20" w:lineRule="exact"/>
              <w:jc w:val="center"/>
              <w:rPr>
                <w:rFonts w:hint="eastAsia" w:ascii="仿宋" w:hAnsi="仿宋" w:eastAsia="仿宋" w:cs="仿宋"/>
                <w:b/>
                <w:bCs/>
                <w:color w:val="000000"/>
                <w:sz w:val="24"/>
                <w:szCs w:val="24"/>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hint="eastAsia" w:ascii="仿宋" w:hAnsi="仿宋" w:eastAsia="仿宋" w:cs="仿宋"/>
                <w:b/>
                <w:bCs/>
                <w:color w:val="000000"/>
                <w:sz w:val="24"/>
                <w:szCs w:val="24"/>
              </w:rPr>
            </w:pPr>
            <w:r>
              <w:rPr>
                <w:rFonts w:hint="eastAsia" w:ascii="仿宋" w:hAnsi="仿宋" w:eastAsia="仿宋" w:cs="仿宋"/>
                <w:b/>
                <w:bCs/>
                <w:color w:val="000000"/>
                <w:kern w:val="0"/>
                <w:sz w:val="24"/>
                <w:szCs w:val="24"/>
                <w:lang w:bidi="ar"/>
              </w:rPr>
              <w:t>可持续</w:t>
            </w:r>
            <w:r>
              <w:rPr>
                <w:rFonts w:hint="eastAsia" w:ascii="仿宋" w:hAnsi="仿宋" w:eastAsia="仿宋" w:cs="仿宋"/>
                <w:b/>
                <w:bCs/>
                <w:color w:val="000000"/>
                <w:kern w:val="0"/>
                <w:sz w:val="24"/>
                <w:szCs w:val="24"/>
                <w:lang w:val="en-US" w:eastAsia="zh-CN" w:bidi="ar"/>
              </w:rPr>
              <w:t>影</w:t>
            </w:r>
            <w:r>
              <w:rPr>
                <w:rFonts w:hint="eastAsia" w:ascii="仿宋" w:hAnsi="仿宋" w:eastAsia="仿宋" w:cs="仿宋"/>
                <w:b/>
                <w:bCs/>
                <w:color w:val="000000"/>
                <w:kern w:val="0"/>
                <w:sz w:val="24"/>
                <w:szCs w:val="24"/>
                <w:lang w:bidi="ar"/>
              </w:rPr>
              <w:t>响指标</w:t>
            </w:r>
          </w:p>
        </w:tc>
        <w:tc>
          <w:tcPr>
            <w:tcW w:w="1362"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color w:val="000000"/>
                <w:sz w:val="28"/>
                <w:szCs w:val="28"/>
              </w:rPr>
            </w:pPr>
          </w:p>
        </w:tc>
        <w:tc>
          <w:tcPr>
            <w:tcW w:w="1252"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color w:val="000000"/>
                <w:sz w:val="28"/>
                <w:szCs w:val="28"/>
              </w:rPr>
            </w:pP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color w:val="000000"/>
                <w:sz w:val="28"/>
                <w:szCs w:val="28"/>
              </w:rPr>
            </w:pPr>
          </w:p>
        </w:tc>
      </w:tr>
      <w:tr>
        <w:tblPrEx>
          <w:tblCellMar>
            <w:top w:w="0" w:type="dxa"/>
            <w:left w:w="108" w:type="dxa"/>
            <w:bottom w:w="0" w:type="dxa"/>
            <w:right w:w="108" w:type="dxa"/>
          </w:tblCellMar>
        </w:tblPrEx>
        <w:trPr>
          <w:gridAfter w:val="1"/>
          <w:wAfter w:w="123" w:type="pct"/>
          <w:trHeight w:val="750" w:hRule="atLeast"/>
        </w:trPr>
        <w:tc>
          <w:tcPr>
            <w:tcW w:w="402" w:type="pct"/>
            <w:vMerge w:val="continue"/>
            <w:tcBorders>
              <w:left w:val="single" w:color="000000" w:sz="4" w:space="0"/>
              <w:bottom w:val="single" w:color="000000" w:sz="4" w:space="0"/>
              <w:right w:val="single" w:color="000000" w:sz="4" w:space="0"/>
            </w:tcBorders>
            <w:shd w:val="clear" w:color="auto" w:fill="auto"/>
            <w:vAlign w:val="center"/>
          </w:tcPr>
          <w:p>
            <w:pPr>
              <w:spacing w:line="320" w:lineRule="exact"/>
              <w:jc w:val="center"/>
              <w:rPr>
                <w:color w:val="000000"/>
                <w:sz w:val="28"/>
                <w:szCs w:val="28"/>
              </w:rPr>
            </w:pP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hint="eastAsia" w:ascii="仿宋" w:hAnsi="仿宋" w:eastAsia="仿宋" w:cs="仿宋"/>
                <w:b/>
                <w:bCs/>
                <w:color w:val="000000"/>
                <w:sz w:val="24"/>
                <w:szCs w:val="24"/>
              </w:rPr>
            </w:pPr>
            <w:r>
              <w:rPr>
                <w:rFonts w:hint="eastAsia" w:ascii="仿宋" w:hAnsi="仿宋" w:eastAsia="仿宋" w:cs="仿宋"/>
                <w:b/>
                <w:bCs/>
                <w:color w:val="000000"/>
                <w:kern w:val="0"/>
                <w:sz w:val="24"/>
                <w:szCs w:val="24"/>
                <w:lang w:bidi="ar"/>
              </w:rPr>
              <w:t>满意</w:t>
            </w:r>
            <w:r>
              <w:rPr>
                <w:rFonts w:hint="eastAsia" w:ascii="仿宋" w:hAnsi="仿宋" w:eastAsia="仿宋" w:cs="仿宋"/>
                <w:b/>
                <w:bCs/>
                <w:color w:val="000000"/>
                <w:kern w:val="0"/>
                <w:sz w:val="24"/>
                <w:szCs w:val="24"/>
                <w:lang w:bidi="ar"/>
              </w:rPr>
              <w:br w:type="textWrapping"/>
            </w:r>
            <w:r>
              <w:rPr>
                <w:rFonts w:hint="eastAsia" w:ascii="仿宋" w:hAnsi="仿宋" w:eastAsia="仿宋" w:cs="仿宋"/>
                <w:b/>
                <w:bCs/>
                <w:color w:val="000000"/>
                <w:kern w:val="0"/>
                <w:sz w:val="24"/>
                <w:szCs w:val="24"/>
                <w:lang w:bidi="ar"/>
              </w:rPr>
              <w:t>度指标</w:t>
            </w: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hint="eastAsia" w:ascii="仿宋" w:hAnsi="仿宋" w:eastAsia="仿宋" w:cs="仿宋"/>
                <w:b/>
                <w:bCs/>
                <w:color w:val="000000"/>
                <w:kern w:val="0"/>
                <w:sz w:val="24"/>
                <w:szCs w:val="24"/>
                <w:lang w:bidi="ar"/>
              </w:rPr>
            </w:pPr>
            <w:r>
              <w:rPr>
                <w:rFonts w:hint="eastAsia" w:ascii="仿宋" w:hAnsi="仿宋" w:eastAsia="仿宋" w:cs="仿宋"/>
                <w:b/>
                <w:bCs/>
                <w:color w:val="000000"/>
                <w:kern w:val="0"/>
                <w:sz w:val="24"/>
                <w:szCs w:val="24"/>
                <w:lang w:bidi="ar"/>
              </w:rPr>
              <w:t>满意度</w:t>
            </w:r>
          </w:p>
          <w:p>
            <w:pPr>
              <w:widowControl/>
              <w:spacing w:line="320" w:lineRule="exact"/>
              <w:jc w:val="center"/>
              <w:textAlignment w:val="bottom"/>
              <w:rPr>
                <w:rFonts w:hint="eastAsia" w:ascii="仿宋" w:hAnsi="仿宋" w:eastAsia="仿宋" w:cs="仿宋"/>
                <w:b/>
                <w:bCs/>
                <w:color w:val="000000"/>
                <w:sz w:val="24"/>
                <w:szCs w:val="24"/>
              </w:rPr>
            </w:pPr>
            <w:r>
              <w:rPr>
                <w:rFonts w:hint="eastAsia" w:ascii="仿宋" w:hAnsi="仿宋" w:eastAsia="仿宋" w:cs="仿宋"/>
                <w:b/>
                <w:bCs/>
                <w:color w:val="000000"/>
                <w:kern w:val="0"/>
                <w:sz w:val="24"/>
                <w:szCs w:val="24"/>
                <w:lang w:bidi="ar"/>
              </w:rPr>
              <w:t>指标</w:t>
            </w:r>
          </w:p>
        </w:tc>
        <w:tc>
          <w:tcPr>
            <w:tcW w:w="1362"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color w:val="000000"/>
                <w:sz w:val="21"/>
                <w:szCs w:val="21"/>
              </w:rPr>
            </w:pPr>
            <w:r>
              <w:rPr>
                <w:rFonts w:hint="eastAsia"/>
                <w:color w:val="000000"/>
                <w:sz w:val="21"/>
                <w:szCs w:val="21"/>
              </w:rPr>
              <w:t>社会群体满意度</w:t>
            </w:r>
          </w:p>
        </w:tc>
        <w:tc>
          <w:tcPr>
            <w:tcW w:w="1252"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color w:val="000000"/>
                <w:sz w:val="21"/>
                <w:szCs w:val="21"/>
              </w:rPr>
            </w:pPr>
            <w:r>
              <w:rPr>
                <w:rFonts w:hint="eastAsia"/>
                <w:color w:val="000000"/>
                <w:sz w:val="21"/>
                <w:szCs w:val="21"/>
              </w:rPr>
              <w:t>建成后群众满意度达到90%以上</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color w:val="000000"/>
                <w:sz w:val="28"/>
                <w:szCs w:val="28"/>
              </w:rPr>
            </w:pPr>
          </w:p>
        </w:tc>
      </w:tr>
    </w:tbl>
    <w:p>
      <w:pPr>
        <w:pStyle w:val="8"/>
        <w:spacing w:line="560" w:lineRule="exact"/>
        <w:ind w:firstLine="1320" w:firstLineChars="300"/>
        <w:jc w:val="both"/>
        <w:rPr>
          <w:rFonts w:hint="eastAsia" w:ascii="黑体" w:hAnsi="黑体" w:eastAsia="黑体" w:cs="黑体"/>
          <w:sz w:val="44"/>
          <w:szCs w:val="44"/>
        </w:rPr>
      </w:pPr>
      <w:r>
        <w:rPr>
          <w:rFonts w:hint="eastAsia" w:ascii="黑体" w:hAnsi="黑体" w:eastAsia="黑体" w:cs="黑体"/>
          <w:sz w:val="44"/>
          <w:szCs w:val="44"/>
          <w:lang w:val="en-US"/>
        </w:rPr>
        <w:t>202</w:t>
      </w:r>
      <w:r>
        <w:rPr>
          <w:rFonts w:hint="eastAsia" w:ascii="黑体" w:hAnsi="黑体" w:eastAsia="黑体" w:cs="黑体"/>
          <w:sz w:val="44"/>
          <w:szCs w:val="44"/>
          <w:lang w:val="en-US" w:eastAsia="zh-CN"/>
        </w:rPr>
        <w:t>2</w:t>
      </w:r>
      <w:r>
        <w:rPr>
          <w:rFonts w:hint="eastAsia" w:ascii="黑体" w:hAnsi="黑体" w:eastAsia="黑体" w:cs="黑体"/>
          <w:sz w:val="44"/>
          <w:szCs w:val="44"/>
          <w:lang w:val="en-US"/>
        </w:rPr>
        <w:t>年</w:t>
      </w:r>
      <w:r>
        <w:rPr>
          <w:rFonts w:hint="eastAsia" w:ascii="黑体" w:hAnsi="黑体" w:eastAsia="黑体" w:cs="黑体"/>
          <w:sz w:val="44"/>
          <w:szCs w:val="44"/>
        </w:rPr>
        <w:t>专项预算项目支出绩效</w:t>
      </w:r>
    </w:p>
    <w:p>
      <w:pPr>
        <w:pStyle w:val="8"/>
        <w:spacing w:line="560" w:lineRule="exact"/>
        <w:jc w:val="center"/>
        <w:rPr>
          <w:rFonts w:hint="eastAsia" w:ascii="黑体" w:hAnsi="黑体" w:eastAsia="黑体" w:cs="黑体"/>
          <w:sz w:val="44"/>
          <w:szCs w:val="44"/>
        </w:rPr>
      </w:pPr>
      <w:r>
        <w:rPr>
          <w:rFonts w:hint="eastAsia" w:ascii="黑体" w:hAnsi="黑体" w:eastAsia="黑体" w:cs="黑体"/>
          <w:sz w:val="44"/>
          <w:szCs w:val="44"/>
        </w:rPr>
        <w:t>自评报告</w:t>
      </w:r>
    </w:p>
    <w:p>
      <w:pPr>
        <w:pStyle w:val="8"/>
        <w:spacing w:line="560" w:lineRule="exact"/>
        <w:jc w:val="center"/>
        <w:rPr>
          <w:rFonts w:ascii="仿宋_GB2312" w:hAnsi="宋体" w:eastAsia="仿宋_GB2312"/>
          <w:color w:val="auto"/>
          <w:kern w:val="2"/>
          <w:sz w:val="32"/>
          <w:szCs w:val="32"/>
        </w:rPr>
      </w:pPr>
      <w:r>
        <w:rPr>
          <w:rFonts w:hint="eastAsia" w:ascii="仿宋_GB2312" w:hAnsi="宋体" w:eastAsia="仿宋_GB2312"/>
          <w:color w:val="auto"/>
          <w:kern w:val="2"/>
          <w:sz w:val="32"/>
          <w:szCs w:val="32"/>
        </w:rPr>
        <w:t>（</w:t>
      </w:r>
      <w:r>
        <w:rPr>
          <w:rFonts w:hint="eastAsia" w:ascii="仿宋_GB2312" w:hAnsi="宋体" w:eastAsia="仿宋_GB2312"/>
          <w:color w:val="auto"/>
          <w:kern w:val="2"/>
          <w:sz w:val="32"/>
          <w:szCs w:val="32"/>
          <w:lang w:val="en-US" w:eastAsia="zh-CN"/>
        </w:rPr>
        <w:t>新并入基本公共卫生服务中央</w:t>
      </w:r>
      <w:r>
        <w:rPr>
          <w:rFonts w:hint="eastAsia" w:ascii="仿宋" w:hAnsi="仿宋" w:eastAsia="仿宋" w:cs="仿宋"/>
          <w:i w:val="0"/>
          <w:iCs w:val="0"/>
          <w:caps w:val="0"/>
          <w:color w:val="000000"/>
          <w:spacing w:val="0"/>
          <w:sz w:val="32"/>
          <w:szCs w:val="32"/>
        </w:rPr>
        <w:t>补助</w:t>
      </w:r>
      <w:r>
        <w:rPr>
          <w:rFonts w:hint="eastAsia" w:ascii="仿宋_GB2312" w:hAnsi="宋体" w:eastAsia="仿宋_GB2312"/>
          <w:color w:val="auto"/>
          <w:kern w:val="2"/>
          <w:sz w:val="32"/>
          <w:szCs w:val="32"/>
          <w:lang w:val="en-US" w:eastAsia="zh-CN"/>
        </w:rPr>
        <w:t>资金</w:t>
      </w:r>
      <w:r>
        <w:rPr>
          <w:rFonts w:hint="eastAsia" w:ascii="仿宋_GB2312" w:hAnsi="宋体" w:eastAsia="仿宋_GB2312"/>
          <w:color w:val="auto"/>
          <w:kern w:val="2"/>
          <w:sz w:val="32"/>
          <w:szCs w:val="32"/>
        </w:rPr>
        <w:t>）</w:t>
      </w:r>
    </w:p>
    <w:p>
      <w:pPr>
        <w:adjustRightInd w:val="0"/>
        <w:snapToGrid w:val="0"/>
        <w:spacing w:line="560" w:lineRule="exact"/>
        <w:ind w:firstLine="960" w:firstLineChars="300"/>
        <w:rPr>
          <w:rFonts w:ascii="黑体" w:hAnsi="宋体" w:eastAsia="黑体"/>
          <w:lang w:val="zh-CN"/>
        </w:rPr>
      </w:pPr>
      <w:r>
        <w:rPr>
          <w:rFonts w:hint="eastAsia" w:ascii="黑体" w:hAnsi="宋体" w:eastAsia="黑体"/>
        </w:rPr>
        <w:t>一、</w:t>
      </w:r>
      <w:r>
        <w:rPr>
          <w:rFonts w:hint="eastAsia" w:ascii="黑体" w:hAnsi="宋体" w:eastAsia="黑体"/>
          <w:lang w:val="zh-CN"/>
        </w:rPr>
        <w:t>项目概况</w:t>
      </w:r>
    </w:p>
    <w:p>
      <w:pPr>
        <w:adjustRightInd w:val="0"/>
        <w:snapToGrid w:val="0"/>
        <w:spacing w:line="560" w:lineRule="exact"/>
        <w:ind w:firstLine="720"/>
        <w:rPr>
          <w:rFonts w:hint="eastAsia" w:ascii="楷体_GB2312" w:hAnsi="宋体" w:eastAsia="楷体_GB2312"/>
          <w:b/>
          <w:lang w:val="zh-CN"/>
        </w:rPr>
      </w:pPr>
      <w:r>
        <w:rPr>
          <w:rFonts w:hint="eastAsia" w:ascii="楷体_GB2312" w:hAnsi="宋体" w:eastAsia="楷体_GB2312"/>
          <w:b/>
          <w:lang w:val="zh-CN"/>
        </w:rPr>
        <w:t>（一）项目资金申报及批复情况。</w:t>
      </w:r>
    </w:p>
    <w:p>
      <w:pPr>
        <w:adjustRightInd w:val="0"/>
        <w:snapToGrid w:val="0"/>
        <w:spacing w:line="560" w:lineRule="exact"/>
        <w:ind w:firstLine="720"/>
        <w:rPr>
          <w:rFonts w:hint="eastAsia" w:ascii="仿宋" w:hAnsi="仿宋" w:eastAsia="仿宋" w:cs="仿宋"/>
          <w:sz w:val="32"/>
          <w:szCs w:val="32"/>
          <w:lang w:val="zh-CN"/>
        </w:rPr>
      </w:pPr>
      <w:r>
        <w:rPr>
          <w:rFonts w:hint="eastAsia" w:ascii="仿宋" w:hAnsi="仿宋" w:eastAsia="仿宋" w:cs="仿宋"/>
          <w:i w:val="0"/>
          <w:iCs w:val="0"/>
          <w:caps w:val="0"/>
          <w:color w:val="000000"/>
          <w:spacing w:val="0"/>
          <w:sz w:val="32"/>
          <w:szCs w:val="32"/>
        </w:rPr>
        <w:t>攀枝花市财政局 攀枝花市卫生健康委员会</w:t>
      </w:r>
      <w:r>
        <w:rPr>
          <w:rFonts w:hint="eastAsia" w:ascii="仿宋" w:hAnsi="仿宋" w:eastAsia="仿宋" w:cs="仿宋"/>
          <w:i w:val="0"/>
          <w:iCs w:val="0"/>
          <w:caps w:val="0"/>
          <w:color w:val="000000"/>
          <w:spacing w:val="0"/>
          <w:sz w:val="32"/>
          <w:szCs w:val="32"/>
          <w:lang w:eastAsia="zh-CN"/>
        </w:rPr>
        <w:t>《</w:t>
      </w:r>
      <w:r>
        <w:rPr>
          <w:rFonts w:hint="eastAsia" w:ascii="仿宋" w:hAnsi="仿宋" w:eastAsia="仿宋" w:cs="仿宋"/>
          <w:i w:val="0"/>
          <w:iCs w:val="0"/>
          <w:caps w:val="0"/>
          <w:color w:val="000000"/>
          <w:spacing w:val="0"/>
          <w:sz w:val="32"/>
          <w:szCs w:val="32"/>
        </w:rPr>
        <w:t>关于下达2022年基本公共卫生服务（新并入基本公共卫生服务项目）中央补助资金的通知</w:t>
      </w:r>
      <w:r>
        <w:rPr>
          <w:rFonts w:hint="eastAsia" w:ascii="仿宋" w:hAnsi="仿宋" w:eastAsia="仿宋" w:cs="仿宋"/>
          <w:i w:val="0"/>
          <w:iCs w:val="0"/>
          <w:caps w:val="0"/>
          <w:color w:val="000000"/>
          <w:spacing w:val="0"/>
          <w:sz w:val="32"/>
          <w:szCs w:val="32"/>
          <w:lang w:eastAsia="zh-CN"/>
        </w:rPr>
        <w:t>》</w:t>
      </w:r>
      <w:r>
        <w:rPr>
          <w:rFonts w:hint="eastAsia" w:ascii="仿宋" w:hAnsi="仿宋" w:eastAsia="仿宋" w:cs="仿宋"/>
          <w:i w:val="0"/>
          <w:iCs w:val="0"/>
          <w:caps w:val="0"/>
          <w:color w:val="000000"/>
          <w:spacing w:val="0"/>
          <w:sz w:val="32"/>
          <w:szCs w:val="32"/>
        </w:rPr>
        <w:t xml:space="preserve"> 攀财资社〔2022〕28号</w:t>
      </w:r>
      <w:r>
        <w:rPr>
          <w:rFonts w:hint="eastAsia" w:ascii="仿宋" w:hAnsi="仿宋" w:eastAsia="仿宋" w:cs="仿宋"/>
          <w:i w:val="0"/>
          <w:iCs w:val="0"/>
          <w:caps w:val="0"/>
          <w:color w:val="000000"/>
          <w:spacing w:val="0"/>
          <w:sz w:val="32"/>
          <w:szCs w:val="32"/>
          <w:lang w:val="en-US" w:eastAsia="zh-CN"/>
        </w:rPr>
        <w:t>文件，安排2022年</w:t>
      </w:r>
      <w:r>
        <w:rPr>
          <w:rFonts w:hint="eastAsia" w:ascii="仿宋" w:hAnsi="仿宋" w:eastAsia="仿宋" w:cs="仿宋"/>
          <w:i w:val="0"/>
          <w:iCs w:val="0"/>
          <w:caps w:val="0"/>
          <w:color w:val="000000"/>
          <w:spacing w:val="0"/>
          <w:sz w:val="32"/>
          <w:szCs w:val="32"/>
        </w:rPr>
        <w:t>新并入基本公共卫生服务项目中央补助资金</w:t>
      </w:r>
      <w:r>
        <w:rPr>
          <w:rFonts w:hint="eastAsia" w:ascii="仿宋" w:hAnsi="仿宋" w:eastAsia="仿宋" w:cs="仿宋"/>
          <w:i w:val="0"/>
          <w:iCs w:val="0"/>
          <w:caps w:val="0"/>
          <w:color w:val="000000"/>
          <w:spacing w:val="0"/>
          <w:sz w:val="32"/>
          <w:szCs w:val="32"/>
          <w:lang w:val="en-US" w:eastAsia="zh-CN"/>
        </w:rPr>
        <w:t>73.005万，市级调整收回其中重大疾病与健康危害因素监测部分资金34.135万，2022年仁和区疾病预防控制中心实际收到项目下达资金38.87万元。</w:t>
      </w:r>
    </w:p>
    <w:p>
      <w:pPr>
        <w:numPr>
          <w:ilvl w:val="0"/>
          <w:numId w:val="3"/>
        </w:numPr>
        <w:adjustRightInd w:val="0"/>
        <w:snapToGrid w:val="0"/>
        <w:spacing w:line="560" w:lineRule="exact"/>
        <w:ind w:left="240" w:leftChars="0" w:firstLine="720" w:firstLineChars="0"/>
        <w:rPr>
          <w:rFonts w:hint="eastAsia" w:ascii="楷体_GB2312" w:hAnsi="宋体" w:eastAsia="楷体_GB2312"/>
          <w:b/>
          <w:lang w:val="zh-CN"/>
        </w:rPr>
      </w:pPr>
      <w:r>
        <w:rPr>
          <w:rFonts w:hint="eastAsia" w:ascii="楷体_GB2312" w:hAnsi="宋体" w:eastAsia="楷体_GB2312"/>
          <w:b/>
          <w:lang w:val="zh-CN"/>
        </w:rPr>
        <w:t>项目绩效目标。</w:t>
      </w:r>
    </w:p>
    <w:p>
      <w:pPr>
        <w:numPr>
          <w:ilvl w:val="0"/>
          <w:numId w:val="0"/>
        </w:numPr>
        <w:adjustRightInd w:val="0"/>
        <w:snapToGrid w:val="0"/>
        <w:spacing w:line="560" w:lineRule="exact"/>
        <w:ind w:firstLine="640" w:firstLineChars="200"/>
        <w:rPr>
          <w:rFonts w:hint="eastAsia" w:ascii="仿宋" w:hAnsi="仿宋" w:eastAsia="仿宋" w:cs="仿宋"/>
          <w:b w:val="0"/>
          <w:bCs/>
          <w:sz w:val="32"/>
          <w:szCs w:val="32"/>
          <w:lang w:val="zh-CN"/>
        </w:rPr>
      </w:pPr>
      <w:r>
        <w:rPr>
          <w:rFonts w:hint="eastAsia" w:ascii="仿宋" w:hAnsi="仿宋" w:eastAsia="仿宋" w:cs="仿宋"/>
          <w:b w:val="0"/>
          <w:bCs/>
          <w:sz w:val="32"/>
          <w:szCs w:val="32"/>
          <w:lang w:val="en-US" w:eastAsia="zh-CN"/>
        </w:rPr>
        <w:t>项目实施总体目标是开</w:t>
      </w:r>
      <w:r>
        <w:rPr>
          <w:rFonts w:hint="eastAsia" w:ascii="仿宋" w:hAnsi="仿宋" w:eastAsia="仿宋" w:cs="仿宋"/>
          <w:b w:val="0"/>
          <w:bCs/>
          <w:sz w:val="32"/>
          <w:szCs w:val="32"/>
          <w:lang w:val="zh-CN"/>
        </w:rPr>
        <w:t>展</w:t>
      </w:r>
      <w:r>
        <w:rPr>
          <w:rFonts w:hint="eastAsia" w:ascii="仿宋" w:hAnsi="仿宋" w:eastAsia="仿宋" w:cs="仿宋"/>
          <w:b w:val="0"/>
          <w:bCs/>
          <w:sz w:val="32"/>
          <w:szCs w:val="32"/>
          <w:lang w:val="en-US" w:eastAsia="zh-CN"/>
        </w:rPr>
        <w:t>鼠疫防治</w:t>
      </w:r>
      <w:r>
        <w:rPr>
          <w:rFonts w:hint="eastAsia" w:ascii="仿宋" w:hAnsi="仿宋" w:eastAsia="仿宋" w:cs="仿宋"/>
          <w:b w:val="0"/>
          <w:bCs/>
          <w:sz w:val="32"/>
          <w:szCs w:val="32"/>
          <w:lang w:val="zh-CN"/>
        </w:rPr>
        <w:t>监测，有效控制疾病流行，为制定相关政策提供科学依据。保持重点地方疾病防治措施全面落实。开展职业病监测，最大限度地保护放射工作人员、患者和公众的健康权益。</w:t>
      </w:r>
    </w:p>
    <w:p>
      <w:pPr>
        <w:adjustRightInd w:val="0"/>
        <w:snapToGrid w:val="0"/>
        <w:spacing w:line="560" w:lineRule="exact"/>
        <w:ind w:firstLine="720"/>
        <w:rPr>
          <w:rFonts w:ascii="黑体" w:hAnsi="宋体" w:eastAsia="黑体"/>
        </w:rPr>
      </w:pPr>
      <w:r>
        <w:rPr>
          <w:rFonts w:hint="eastAsia" w:ascii="黑体" w:hAnsi="宋体" w:eastAsia="黑体"/>
        </w:rPr>
        <w:t>二、项目实施及管理情况</w:t>
      </w:r>
    </w:p>
    <w:p>
      <w:pPr>
        <w:adjustRightInd w:val="0"/>
        <w:snapToGrid w:val="0"/>
        <w:spacing w:line="560" w:lineRule="exact"/>
        <w:ind w:firstLine="720"/>
        <w:rPr>
          <w:rFonts w:ascii="楷体_GB2312" w:hAnsi="宋体" w:eastAsia="楷体_GB2312"/>
          <w:b/>
          <w:lang w:val="zh-CN"/>
        </w:rPr>
      </w:pPr>
      <w:r>
        <w:rPr>
          <w:rFonts w:hint="eastAsia" w:ascii="仿宋_GB2312" w:hAnsi="宋体"/>
          <w:lang w:val="zh-CN"/>
        </w:rPr>
        <w:tab/>
      </w:r>
      <w:r>
        <w:rPr>
          <w:rFonts w:hint="eastAsia" w:ascii="楷体_GB2312" w:hAnsi="宋体" w:eastAsia="楷体_GB2312"/>
          <w:b/>
          <w:lang w:val="zh-CN"/>
        </w:rPr>
        <w:t>（一）资金计划、到位及使用情况。</w:t>
      </w:r>
    </w:p>
    <w:p>
      <w:pPr>
        <w:numPr>
          <w:ilvl w:val="0"/>
          <w:numId w:val="0"/>
        </w:numPr>
        <w:adjustRightInd w:val="0"/>
        <w:snapToGrid w:val="0"/>
        <w:spacing w:line="56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zh-CN"/>
        </w:rPr>
        <w:t>1．资金计划及到位。</w:t>
      </w:r>
      <w:r>
        <w:rPr>
          <w:rFonts w:hint="eastAsia" w:ascii="仿宋" w:hAnsi="仿宋" w:eastAsia="仿宋" w:cs="仿宋"/>
          <w:i w:val="0"/>
          <w:iCs w:val="0"/>
          <w:caps w:val="0"/>
          <w:color w:val="000000"/>
          <w:spacing w:val="0"/>
          <w:sz w:val="32"/>
          <w:szCs w:val="32"/>
          <w:lang w:val="en-US" w:eastAsia="zh-CN"/>
        </w:rPr>
        <w:t>仁和区疾病预防控制中心2022年7月收到仁和区财政局下达项目资金38.87万元，主要包括重点地方病防治资金13.4万元、职业病防治资金9.47万元、鼠疫防治监测14万元、食品安全与营养健康2万元。</w:t>
      </w:r>
      <w:r>
        <w:rPr>
          <w:rFonts w:hint="eastAsia" w:ascii="仿宋" w:hAnsi="仿宋" w:eastAsia="仿宋" w:cs="仿宋"/>
          <w:sz w:val="32"/>
          <w:szCs w:val="32"/>
          <w:lang w:val="en-US" w:eastAsia="zh-CN"/>
        </w:rPr>
        <w:t>资金到位率100%。</w:t>
      </w:r>
    </w:p>
    <w:p>
      <w:pPr>
        <w:adjustRightInd w:val="0"/>
        <w:snapToGrid w:val="0"/>
        <w:spacing w:line="560" w:lineRule="exact"/>
        <w:ind w:firstLine="720"/>
        <w:rPr>
          <w:rFonts w:hint="eastAsia" w:ascii="仿宋" w:hAnsi="仿宋" w:eastAsia="仿宋" w:cs="仿宋"/>
          <w:sz w:val="32"/>
          <w:szCs w:val="32"/>
          <w:lang w:val="zh-CN"/>
        </w:rPr>
      </w:pPr>
      <w:r>
        <w:rPr>
          <w:rFonts w:hint="eastAsia" w:ascii="仿宋" w:hAnsi="仿宋" w:eastAsia="仿宋" w:cs="仿宋"/>
          <w:sz w:val="32"/>
          <w:szCs w:val="32"/>
          <w:lang w:val="zh-CN"/>
        </w:rPr>
        <w:t>2．资金使用。</w:t>
      </w:r>
    </w:p>
    <w:p>
      <w:pPr>
        <w:adjustRightInd w:val="0"/>
        <w:snapToGrid w:val="0"/>
        <w:spacing w:line="560" w:lineRule="exact"/>
        <w:ind w:firstLine="720"/>
        <w:rPr>
          <w:rFonts w:hint="eastAsia" w:ascii="仿宋" w:hAnsi="仿宋" w:eastAsia="仿宋" w:cs="仿宋"/>
          <w:color w:val="000000"/>
          <w:sz w:val="32"/>
          <w:szCs w:val="32"/>
          <w:lang w:val="en-US" w:eastAsia="zh-CN"/>
        </w:rPr>
      </w:pPr>
      <w:r>
        <w:rPr>
          <w:rFonts w:hint="eastAsia" w:ascii="仿宋" w:hAnsi="仿宋" w:eastAsia="仿宋" w:cs="仿宋"/>
          <w:sz w:val="32"/>
          <w:szCs w:val="32"/>
          <w:lang w:val="en-US" w:eastAsia="zh-CN"/>
        </w:rPr>
        <w:t>截至2022年12月31日按照项目实施方案开展项目工作，已经发生的支出合计38.78万元，实际完成支付8.24万元，由于财政资金紧张还有</w:t>
      </w:r>
      <w:r>
        <w:rPr>
          <w:rFonts w:hint="eastAsia" w:ascii="仿宋" w:hAnsi="仿宋" w:eastAsia="仿宋" w:cs="仿宋"/>
          <w:color w:val="000000"/>
          <w:sz w:val="32"/>
          <w:szCs w:val="32"/>
          <w:lang w:val="en-US" w:eastAsia="zh-CN"/>
        </w:rPr>
        <w:t>由于财政资金紧张还有30.54万已发生支出财政还未确认支付</w:t>
      </w:r>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lang w:val="zh-CN"/>
        </w:rPr>
        <w:t>（二）项目财务管理情况。</w:t>
      </w:r>
    </w:p>
    <w:p>
      <w:pPr>
        <w:adjustRightInd w:val="0"/>
        <w:snapToGrid w:val="0"/>
        <w:spacing w:line="560" w:lineRule="exact"/>
        <w:ind w:firstLine="720"/>
        <w:rPr>
          <w:rFonts w:hint="eastAsia" w:ascii="仿宋" w:hAnsi="仿宋" w:eastAsia="仿宋"/>
          <w:sz w:val="32"/>
          <w:szCs w:val="32"/>
        </w:rPr>
      </w:pPr>
      <w:r>
        <w:rPr>
          <w:rFonts w:ascii="仿宋" w:hAnsi="仿宋" w:eastAsia="仿宋"/>
          <w:kern w:val="0"/>
          <w:sz w:val="32"/>
          <w:szCs w:val="32"/>
        </w:rPr>
        <w:t>项目资金管理严格按照财务管理要求进行</w:t>
      </w:r>
      <w:r>
        <w:rPr>
          <w:rFonts w:hint="eastAsia" w:ascii="仿宋" w:hAnsi="仿宋" w:eastAsia="仿宋"/>
          <w:kern w:val="0"/>
          <w:sz w:val="32"/>
          <w:szCs w:val="32"/>
        </w:rPr>
        <w:t>，</w:t>
      </w:r>
      <w:r>
        <w:rPr>
          <w:rFonts w:ascii="仿宋" w:hAnsi="仿宋" w:eastAsia="仿宋"/>
          <w:kern w:val="0"/>
          <w:sz w:val="32"/>
          <w:szCs w:val="32"/>
        </w:rPr>
        <w:t>做到</w:t>
      </w:r>
      <w:r>
        <w:rPr>
          <w:rFonts w:hint="eastAsia" w:ascii="仿宋" w:hAnsi="仿宋" w:eastAsia="仿宋"/>
          <w:kern w:val="0"/>
          <w:sz w:val="32"/>
          <w:szCs w:val="32"/>
        </w:rPr>
        <w:t>专款专用。</w:t>
      </w:r>
      <w:r>
        <w:rPr>
          <w:rFonts w:hint="eastAsia" w:ascii="仿宋" w:hAnsi="仿宋" w:eastAsia="仿宋"/>
          <w:sz w:val="32"/>
          <w:szCs w:val="32"/>
        </w:rPr>
        <w:t>严格规范各项资金的审批和使用，杜绝无预算支出，合理安排资金使用进度，</w:t>
      </w:r>
      <w:r>
        <w:rPr>
          <w:rFonts w:ascii="仿宋" w:hAnsi="仿宋" w:eastAsia="仿宋"/>
          <w:kern w:val="0"/>
          <w:sz w:val="32"/>
          <w:szCs w:val="32"/>
        </w:rPr>
        <w:t>按照上级主管部门制定的</w:t>
      </w:r>
      <w:r>
        <w:rPr>
          <w:rFonts w:hint="eastAsia" w:ascii="仿宋" w:hAnsi="仿宋" w:eastAsia="仿宋"/>
          <w:kern w:val="0"/>
          <w:sz w:val="32"/>
          <w:szCs w:val="32"/>
          <w:lang w:val="en-US" w:eastAsia="zh-CN"/>
        </w:rPr>
        <w:t>项目</w:t>
      </w:r>
      <w:r>
        <w:rPr>
          <w:rFonts w:ascii="仿宋" w:hAnsi="仿宋" w:eastAsia="仿宋"/>
          <w:kern w:val="0"/>
          <w:sz w:val="32"/>
          <w:szCs w:val="32"/>
        </w:rPr>
        <w:t>工作方案</w:t>
      </w:r>
      <w:r>
        <w:rPr>
          <w:rFonts w:hint="eastAsia" w:ascii="仿宋" w:hAnsi="仿宋" w:eastAsia="仿宋"/>
          <w:kern w:val="0"/>
          <w:sz w:val="32"/>
          <w:szCs w:val="32"/>
          <w:lang w:val="en-US" w:eastAsia="zh-CN"/>
        </w:rPr>
        <w:t>开展基本公共卫生服务</w:t>
      </w:r>
      <w:r>
        <w:rPr>
          <w:rFonts w:ascii="仿宋" w:hAnsi="仿宋" w:eastAsia="仿宋"/>
          <w:kern w:val="0"/>
          <w:sz w:val="32"/>
          <w:szCs w:val="32"/>
        </w:rPr>
        <w:t>相关工作，</w:t>
      </w:r>
      <w:r>
        <w:rPr>
          <w:rFonts w:hint="eastAsia" w:ascii="仿宋" w:hAnsi="仿宋" w:eastAsia="仿宋"/>
          <w:sz w:val="32"/>
          <w:szCs w:val="32"/>
        </w:rPr>
        <w:t>严格执行政府采购程序，规范管理资产，按季度公示财务信息。</w:t>
      </w:r>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lang w:val="zh-CN"/>
        </w:rPr>
        <w:t>（三）项目组织实施情况。</w:t>
      </w:r>
    </w:p>
    <w:p>
      <w:pPr>
        <w:adjustRightInd w:val="0"/>
        <w:snapToGrid w:val="0"/>
        <w:spacing w:line="560" w:lineRule="exact"/>
        <w:ind w:firstLine="72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仁和区疾病预防控制中心按照上级业务部门下达的项目实施方案、</w:t>
      </w:r>
      <w:r>
        <w:rPr>
          <w:rFonts w:hint="eastAsia" w:ascii="仿宋" w:hAnsi="仿宋" w:eastAsia="仿宋" w:cs="仿宋"/>
          <w:sz w:val="32"/>
          <w:szCs w:val="32"/>
          <w:lang w:val="zh-CN"/>
        </w:rPr>
        <w:t>年初制定的绩效目标和各项工作指标开展各项工作，</w:t>
      </w:r>
      <w:r>
        <w:rPr>
          <w:rFonts w:hint="eastAsia" w:ascii="仿宋" w:hAnsi="仿宋" w:eastAsia="仿宋" w:cs="仿宋"/>
          <w:sz w:val="32"/>
          <w:szCs w:val="32"/>
          <w:lang w:val="en-US" w:eastAsia="zh-CN"/>
        </w:rPr>
        <w:t>将具体指标分解到具体承担业务工作的相关业务科室确保各项工作顺利推进。</w:t>
      </w:r>
    </w:p>
    <w:p>
      <w:pPr>
        <w:adjustRightInd w:val="0"/>
        <w:snapToGrid w:val="0"/>
        <w:spacing w:line="560" w:lineRule="exact"/>
        <w:ind w:firstLine="720"/>
        <w:rPr>
          <w:rFonts w:ascii="仿宋_GB2312" w:hAnsi="宋体"/>
          <w:lang w:val="zh-CN"/>
        </w:rPr>
      </w:pPr>
      <w:r>
        <w:rPr>
          <w:rFonts w:hint="eastAsia" w:ascii="黑体" w:hAnsi="宋体" w:eastAsia="黑体"/>
        </w:rPr>
        <w:t>三、项目绩效情况</w:t>
      </w:r>
      <w:r>
        <w:rPr>
          <w:rFonts w:hint="eastAsia" w:ascii="仿宋_GB2312" w:hAnsi="宋体"/>
          <w:lang w:val="zh-CN"/>
        </w:rPr>
        <w:tab/>
      </w:r>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lang w:val="zh-CN"/>
        </w:rPr>
        <w:t>（一）项目完成情况。</w:t>
      </w:r>
    </w:p>
    <w:p>
      <w:pPr>
        <w:bidi w:val="0"/>
        <w:ind w:firstLine="640" w:firstLineChars="200"/>
        <w:rPr>
          <w:rFonts w:hint="eastAsia" w:ascii="仿宋" w:hAnsi="仿宋" w:eastAsia="仿宋" w:cs="仿宋"/>
          <w:sz w:val="32"/>
          <w:szCs w:val="32"/>
          <w:lang w:val="en-US" w:eastAsia="zh-CN"/>
        </w:rPr>
      </w:pPr>
      <w:r>
        <w:rPr>
          <w:rFonts w:hint="eastAsia" w:ascii="仿宋_GB2312" w:hAnsi="宋体"/>
          <w:color w:val="auto"/>
          <w:lang w:val="en-US" w:eastAsia="zh-CN"/>
        </w:rPr>
        <w:t>严格</w:t>
      </w:r>
      <w:r>
        <w:rPr>
          <w:rFonts w:hint="eastAsia" w:ascii="仿宋_GB2312" w:hAnsi="仿宋_GB2312" w:eastAsia="仿宋_GB2312" w:cs="仿宋_GB2312"/>
          <w:color w:val="auto"/>
          <w:sz w:val="32"/>
          <w:szCs w:val="32"/>
        </w:rPr>
        <w:t>按照</w:t>
      </w:r>
      <w:r>
        <w:rPr>
          <w:rFonts w:hint="eastAsia" w:ascii="仿宋_GB2312" w:hAnsi="仿宋_GB2312" w:cs="仿宋_GB2312"/>
          <w:color w:val="auto"/>
          <w:sz w:val="32"/>
          <w:szCs w:val="32"/>
          <w:lang w:val="en-US" w:eastAsia="zh-CN"/>
        </w:rPr>
        <w:t>项目工作方案</w:t>
      </w:r>
      <w:r>
        <w:rPr>
          <w:rFonts w:hint="eastAsia" w:ascii="仿宋_GB2312" w:hAnsi="仿宋_GB2312" w:eastAsia="仿宋_GB2312" w:cs="仿宋_GB2312"/>
          <w:color w:val="auto"/>
          <w:sz w:val="32"/>
          <w:szCs w:val="32"/>
        </w:rPr>
        <w:t>开展</w:t>
      </w:r>
      <w:r>
        <w:rPr>
          <w:rFonts w:hint="eastAsia" w:ascii="仿宋_GB2312" w:hAnsi="仿宋_GB2312" w:cs="仿宋_GB2312"/>
          <w:color w:val="auto"/>
          <w:sz w:val="32"/>
          <w:szCs w:val="32"/>
          <w:lang w:val="en-US" w:eastAsia="zh-CN"/>
        </w:rPr>
        <w:t>相关</w:t>
      </w:r>
      <w:r>
        <w:rPr>
          <w:rFonts w:hint="eastAsia" w:ascii="仿宋_GB2312" w:hAnsi="仿宋_GB2312" w:eastAsia="仿宋_GB2312" w:cs="仿宋_GB2312"/>
          <w:color w:val="auto"/>
          <w:sz w:val="32"/>
          <w:szCs w:val="32"/>
        </w:rPr>
        <w:t>工作</w:t>
      </w:r>
      <w:r>
        <w:rPr>
          <w:rFonts w:hint="eastAsia" w:ascii="仿宋_GB2312" w:hAnsi="仿宋_GB2312" w:cs="仿宋_GB2312"/>
          <w:color w:val="auto"/>
          <w:sz w:val="32"/>
          <w:szCs w:val="32"/>
          <w:lang w:eastAsia="zh-CN"/>
        </w:rPr>
        <w:t>，</w:t>
      </w:r>
      <w:r>
        <w:rPr>
          <w:rFonts w:hint="eastAsia" w:ascii="仿宋_GB2312" w:hAnsi="仿宋_GB2312" w:cs="仿宋_GB2312"/>
          <w:color w:val="auto"/>
          <w:sz w:val="32"/>
          <w:szCs w:val="32"/>
          <w:lang w:val="en-US" w:eastAsia="zh-CN"/>
        </w:rPr>
        <w:t>认真</w:t>
      </w:r>
      <w:r>
        <w:rPr>
          <w:rFonts w:hint="eastAsia" w:ascii="仿宋_GB2312" w:hAnsi="仿宋_GB2312" w:eastAsia="仿宋_GB2312" w:cs="仿宋_GB2312"/>
          <w:color w:val="auto"/>
          <w:sz w:val="32"/>
          <w:szCs w:val="32"/>
        </w:rPr>
        <w:t>落实</w:t>
      </w:r>
      <w:r>
        <w:rPr>
          <w:rFonts w:hint="eastAsia" w:ascii="仿宋_GB2312" w:hAnsi="仿宋_GB2312" w:cs="仿宋_GB2312"/>
          <w:color w:val="auto"/>
          <w:sz w:val="32"/>
          <w:szCs w:val="32"/>
          <w:lang w:val="en-US" w:eastAsia="zh-CN"/>
        </w:rPr>
        <w:t>各项</w:t>
      </w:r>
      <w:r>
        <w:rPr>
          <w:rFonts w:hint="eastAsia" w:ascii="仿宋_GB2312" w:hAnsi="仿宋_GB2312" w:eastAsia="仿宋_GB2312" w:cs="仿宋_GB2312"/>
          <w:color w:val="auto"/>
          <w:sz w:val="32"/>
          <w:szCs w:val="32"/>
        </w:rPr>
        <w:t>工作措施，</w:t>
      </w:r>
      <w:r>
        <w:rPr>
          <w:rFonts w:hint="eastAsia" w:ascii="仿宋" w:hAnsi="仿宋" w:eastAsia="仿宋" w:cs="仿宋"/>
          <w:sz w:val="32"/>
          <w:szCs w:val="32"/>
          <w:lang w:val="en-US" w:eastAsia="zh-CN"/>
        </w:rPr>
        <w:t>2022年12月31日各项考核指标任务达到上级要求。</w:t>
      </w:r>
    </w:p>
    <w:p>
      <w:pPr>
        <w:numPr>
          <w:ilvl w:val="0"/>
          <w:numId w:val="8"/>
        </w:numPr>
        <w:bidi w:val="0"/>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重点地方病防治工作</w:t>
      </w:r>
    </w:p>
    <w:p>
      <w:pPr>
        <w:numPr>
          <w:ilvl w:val="0"/>
          <w:numId w:val="0"/>
        </w:numPr>
        <w:bidi w:val="0"/>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克山病、碘缺乏病继续保持消除水平。主动搜索发现5例疑似克山病病例，对9例慢型克山病患者进行了免费诊治，完成36例患者随访。采集五个乡镇儿童尿样、碘盐各200份，孕妇尿样、碘盐各100份，尿碘盐碘检测均达到碘盐适宜水平。地氟病维持在国家控制水平。采集病区乡8个村8份水样进行检测,氟含量均小于1mg/L，对病区学校8-12岁524名学生进行氟斑牙检诊发现氟斑牙49人，氟斑牙患病率9.35%，低于地氟病病区村氟斑牙患病率30%的控制标准；  </w:t>
      </w:r>
    </w:p>
    <w:p>
      <w:pPr>
        <w:numPr>
          <w:ilvl w:val="0"/>
          <w:numId w:val="8"/>
        </w:numPr>
        <w:bidi w:val="0"/>
        <w:ind w:left="0" w:leftChars="0"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职业病防治，在四川省职业病防治综合管理信息系统内，审核职业健康检查个案报告5182条。完成20家工作场所职业病危害因素监测工作。对71名尘肺病患者开展随访工作。</w:t>
      </w:r>
    </w:p>
    <w:p>
      <w:pPr>
        <w:numPr>
          <w:ilvl w:val="0"/>
          <w:numId w:val="0"/>
        </w:numPr>
        <w:bidi w:val="0"/>
        <w:ind w:firstLine="640" w:firstLineChars="200"/>
        <w:rPr>
          <w:rFonts w:ascii="楷体_GB2312" w:hAnsi="宋体" w:eastAsia="楷体_GB2312"/>
          <w:b/>
          <w:lang w:val="zh-CN"/>
        </w:rPr>
      </w:pPr>
      <w:r>
        <w:rPr>
          <w:rFonts w:hint="eastAsia" w:ascii="仿宋" w:hAnsi="仿宋" w:eastAsia="仿宋" w:cs="仿宋"/>
          <w:sz w:val="32"/>
          <w:szCs w:val="32"/>
          <w:lang w:val="en-US" w:eastAsia="zh-CN"/>
        </w:rPr>
        <w:t>3、鼠疫防治，在4个乡镇开展鼠疫监测，捕获啮齿类动物178只，鼠疫F1抗体结果阴性。</w:t>
      </w:r>
    </w:p>
    <w:p>
      <w:pPr>
        <w:adjustRightInd w:val="0"/>
        <w:snapToGrid w:val="0"/>
        <w:spacing w:line="560" w:lineRule="exact"/>
        <w:ind w:firstLine="720"/>
        <w:rPr>
          <w:rFonts w:hint="eastAsia" w:ascii="楷体_GB2312" w:hAnsi="宋体" w:eastAsia="楷体_GB2312"/>
          <w:b/>
          <w:lang w:val="zh-CN"/>
        </w:rPr>
      </w:pPr>
      <w:r>
        <w:rPr>
          <w:rFonts w:hint="eastAsia" w:ascii="楷体_GB2312" w:hAnsi="宋体" w:eastAsia="楷体_GB2312"/>
          <w:b/>
          <w:lang w:val="zh-CN"/>
        </w:rPr>
        <w:t>（二）项目效益情况。</w:t>
      </w:r>
    </w:p>
    <w:p>
      <w:pPr>
        <w:pStyle w:val="5"/>
        <w:ind w:left="0" w:leftChars="0" w:firstLine="640" w:firstLineChars="200"/>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通过项目实施逐年缩小</w:t>
      </w:r>
      <w:r>
        <w:rPr>
          <w:rFonts w:hint="eastAsia" w:ascii="仿宋" w:hAnsi="仿宋" w:eastAsia="仿宋" w:cs="仿宋"/>
          <w:b w:val="0"/>
          <w:bCs/>
          <w:i w:val="0"/>
          <w:iCs w:val="0"/>
          <w:color w:val="000000"/>
          <w:kern w:val="0"/>
          <w:sz w:val="32"/>
          <w:szCs w:val="32"/>
          <w:u w:val="none"/>
          <w:lang w:val="en-US" w:eastAsia="zh-CN" w:bidi="ar"/>
        </w:rPr>
        <w:t>城乡居民公共卫生差距，提升基本公共卫生服务水平，提高居民健康素养水平</w:t>
      </w:r>
    </w:p>
    <w:p>
      <w:pPr>
        <w:adjustRightInd w:val="0"/>
        <w:snapToGrid w:val="0"/>
        <w:spacing w:line="560" w:lineRule="exact"/>
        <w:ind w:firstLine="640" w:firstLineChars="200"/>
        <w:rPr>
          <w:rFonts w:ascii="黑体" w:hAnsi="宋体" w:eastAsia="黑体"/>
        </w:rPr>
      </w:pPr>
      <w:r>
        <w:rPr>
          <w:rFonts w:hint="eastAsia" w:ascii="黑体" w:hAnsi="宋体" w:eastAsia="黑体"/>
        </w:rPr>
        <w:t>四、问题及建议</w:t>
      </w:r>
    </w:p>
    <w:p>
      <w:pPr>
        <w:adjustRightInd w:val="0"/>
        <w:snapToGrid w:val="0"/>
        <w:spacing w:line="560" w:lineRule="exact"/>
        <w:ind w:firstLine="321" w:firstLineChars="100"/>
        <w:rPr>
          <w:rFonts w:hint="eastAsia" w:ascii="楷体_GB2312" w:hAnsi="宋体" w:eastAsia="楷体_GB2312"/>
          <w:b/>
          <w:lang w:val="zh-CN"/>
        </w:rPr>
      </w:pPr>
      <w:r>
        <w:rPr>
          <w:rFonts w:hint="eastAsia" w:ascii="楷体_GB2312" w:hAnsi="宋体" w:eastAsia="楷体_GB2312"/>
          <w:b/>
          <w:lang w:val="zh-CN"/>
        </w:rPr>
        <w:t>（一）存在的问题。</w:t>
      </w:r>
    </w:p>
    <w:p>
      <w:pPr>
        <w:pStyle w:val="5"/>
        <w:ind w:left="0" w:leftChars="0" w:firstLine="960" w:firstLineChars="300"/>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由于财政资金紧张，财政资金不能全额支付已经发生的项目工作费用，致使项目资金执行进度未达到预期及上级要求。</w:t>
      </w:r>
    </w:p>
    <w:p>
      <w:pPr>
        <w:widowControl/>
        <w:adjustRightInd w:val="0"/>
        <w:snapToGrid w:val="0"/>
        <w:spacing w:line="580" w:lineRule="exact"/>
        <w:contextualSpacing/>
        <w:jc w:val="left"/>
        <w:rPr>
          <w:rFonts w:hint="eastAsia" w:ascii="仿宋_GB2312" w:hAnsi="宋体"/>
          <w:lang w:val="zh-CN"/>
        </w:rPr>
      </w:pPr>
    </w:p>
    <w:p>
      <w:pPr>
        <w:widowControl/>
        <w:adjustRightInd w:val="0"/>
        <w:snapToGrid w:val="0"/>
        <w:spacing w:line="580" w:lineRule="exact"/>
        <w:contextualSpacing/>
        <w:jc w:val="left"/>
        <w:rPr>
          <w:color w:val="000000"/>
          <w:kern w:val="0"/>
          <w:szCs w:val="32"/>
          <w:shd w:val="clear" w:color="auto" w:fill="FFFFFF"/>
          <w:lang w:val="zh-CN"/>
        </w:rPr>
      </w:pPr>
    </w:p>
    <w:p>
      <w:pPr>
        <w:widowControl/>
        <w:adjustRightInd w:val="0"/>
        <w:snapToGrid w:val="0"/>
        <w:spacing w:line="580" w:lineRule="exact"/>
        <w:contextualSpacing/>
        <w:jc w:val="left"/>
        <w:rPr>
          <w:color w:val="000000"/>
          <w:kern w:val="0"/>
          <w:sz w:val="24"/>
          <w:szCs w:val="24"/>
          <w:shd w:val="clear" w:color="auto" w:fill="FFFFFF"/>
          <w:lang w:val="zh-CN"/>
        </w:rPr>
      </w:pPr>
    </w:p>
    <w:p>
      <w:pPr>
        <w:widowControl/>
        <w:adjustRightInd w:val="0"/>
        <w:snapToGrid w:val="0"/>
        <w:spacing w:line="580" w:lineRule="exact"/>
        <w:contextualSpacing/>
        <w:jc w:val="left"/>
        <w:rPr>
          <w:color w:val="000000"/>
          <w:kern w:val="0"/>
          <w:sz w:val="32"/>
          <w:szCs w:val="32"/>
          <w:shd w:val="clear" w:color="auto" w:fill="FFFFFF"/>
          <w:lang w:val="zh-CN"/>
        </w:rPr>
      </w:pPr>
      <w:r>
        <w:rPr>
          <w:color w:val="000000"/>
          <w:kern w:val="0"/>
          <w:sz w:val="32"/>
          <w:szCs w:val="32"/>
          <w:shd w:val="clear" w:color="auto" w:fill="FFFFFF"/>
          <w:lang w:val="zh-CN"/>
        </w:rPr>
        <w:t>附表：</w:t>
      </w:r>
    </w:p>
    <w:tbl>
      <w:tblPr>
        <w:tblStyle w:val="6"/>
        <w:tblpPr w:leftFromText="180" w:rightFromText="180" w:vertAnchor="text" w:horzAnchor="page" w:tblpX="1256" w:tblpY="221"/>
        <w:tblOverlap w:val="never"/>
        <w:tblW w:w="5633" w:type="pct"/>
        <w:tblInd w:w="0" w:type="dxa"/>
        <w:tblLayout w:type="autofit"/>
        <w:tblCellMar>
          <w:top w:w="0" w:type="dxa"/>
          <w:left w:w="108" w:type="dxa"/>
          <w:bottom w:w="0" w:type="dxa"/>
          <w:right w:w="108" w:type="dxa"/>
        </w:tblCellMar>
      </w:tblPr>
      <w:tblGrid>
        <w:gridCol w:w="529"/>
        <w:gridCol w:w="901"/>
        <w:gridCol w:w="1181"/>
        <w:gridCol w:w="1465"/>
        <w:gridCol w:w="2706"/>
        <w:gridCol w:w="2590"/>
        <w:gridCol w:w="229"/>
      </w:tblGrid>
      <w:tr>
        <w:tblPrEx>
          <w:tblCellMar>
            <w:top w:w="0" w:type="dxa"/>
            <w:left w:w="108" w:type="dxa"/>
            <w:bottom w:w="0" w:type="dxa"/>
            <w:right w:w="108" w:type="dxa"/>
          </w:tblCellMar>
        </w:tblPrEx>
        <w:trPr>
          <w:trHeight w:val="675" w:hRule="atLeast"/>
        </w:trPr>
        <w:tc>
          <w:tcPr>
            <w:tcW w:w="4880" w:type="pct"/>
            <w:gridSpan w:val="6"/>
            <w:tcBorders>
              <w:top w:val="nil"/>
              <w:left w:val="nil"/>
              <w:bottom w:val="nil"/>
              <w:right w:val="nil"/>
            </w:tcBorders>
            <w:shd w:val="clear" w:color="auto" w:fill="auto"/>
            <w:vAlign w:val="center"/>
          </w:tcPr>
          <w:p>
            <w:pPr>
              <w:widowControl/>
              <w:jc w:val="center"/>
              <w:textAlignment w:val="center"/>
              <w:rPr>
                <w:rFonts w:eastAsia="宋体"/>
                <w:b/>
                <w:color w:val="000000"/>
                <w:szCs w:val="32"/>
              </w:rPr>
            </w:pPr>
            <w:r>
              <w:rPr>
                <w:rFonts w:eastAsia="宋体"/>
                <w:b/>
                <w:color w:val="000000"/>
                <w:szCs w:val="32"/>
              </w:rPr>
              <w:t>2022年50万元以上（含）特定目标类部门预算项目绩效目标自评</w:t>
            </w:r>
          </w:p>
          <w:p>
            <w:pPr>
              <w:widowControl/>
              <w:jc w:val="center"/>
              <w:textAlignment w:val="center"/>
              <w:rPr>
                <w:rFonts w:hint="eastAsia" w:eastAsia="宋体"/>
                <w:b/>
                <w:color w:val="000000"/>
                <w:szCs w:val="32"/>
                <w:lang w:val="en-US" w:eastAsia="zh-CN"/>
              </w:rPr>
            </w:pPr>
            <w:r>
              <w:rPr>
                <w:rFonts w:hint="eastAsia" w:eastAsia="宋体"/>
                <w:b/>
                <w:color w:val="000000"/>
                <w:szCs w:val="32"/>
                <w:lang w:eastAsia="zh-CN"/>
              </w:rPr>
              <w:t>（</w:t>
            </w:r>
            <w:r>
              <w:rPr>
                <w:rFonts w:hint="eastAsia" w:eastAsia="宋体"/>
                <w:b/>
                <w:color w:val="000000"/>
                <w:szCs w:val="32"/>
                <w:lang w:val="en-US" w:eastAsia="zh-CN"/>
              </w:rPr>
              <w:t>2022年基本公共卫生服务（新并入基本公共卫生服务）</w:t>
            </w:r>
          </w:p>
          <w:p>
            <w:pPr>
              <w:widowControl/>
              <w:jc w:val="center"/>
              <w:textAlignment w:val="center"/>
              <w:rPr>
                <w:rFonts w:hint="eastAsia" w:eastAsia="宋体"/>
                <w:b/>
                <w:color w:val="000000"/>
                <w:szCs w:val="32"/>
                <w:lang w:eastAsia="zh-CN"/>
              </w:rPr>
            </w:pPr>
            <w:r>
              <w:rPr>
                <w:rFonts w:hint="eastAsia" w:eastAsia="宋体"/>
                <w:b/>
                <w:color w:val="000000"/>
                <w:szCs w:val="32"/>
                <w:lang w:val="en-US" w:eastAsia="zh-CN"/>
              </w:rPr>
              <w:t>中央财政补助资金</w:t>
            </w:r>
            <w:r>
              <w:rPr>
                <w:rFonts w:hint="eastAsia" w:eastAsia="宋体"/>
                <w:b/>
                <w:color w:val="000000"/>
                <w:szCs w:val="32"/>
                <w:lang w:eastAsia="zh-CN"/>
              </w:rPr>
              <w:t>）</w:t>
            </w:r>
          </w:p>
        </w:tc>
        <w:tc>
          <w:tcPr>
            <w:tcW w:w="119" w:type="pct"/>
            <w:tcBorders>
              <w:top w:val="nil"/>
              <w:left w:val="nil"/>
              <w:bottom w:val="nil"/>
              <w:right w:val="nil"/>
            </w:tcBorders>
            <w:shd w:val="clear" w:color="auto" w:fill="auto"/>
            <w:vAlign w:val="center"/>
          </w:tcPr>
          <w:p>
            <w:pPr>
              <w:widowControl/>
              <w:jc w:val="center"/>
              <w:textAlignment w:val="center"/>
              <w:rPr>
                <w:rFonts w:eastAsia="宋体"/>
                <w:b/>
                <w:color w:val="000000"/>
                <w:kern w:val="0"/>
                <w:szCs w:val="32"/>
                <w:lang w:bidi="ar"/>
              </w:rPr>
            </w:pPr>
          </w:p>
        </w:tc>
      </w:tr>
      <w:tr>
        <w:tblPrEx>
          <w:tblCellMar>
            <w:top w:w="0" w:type="dxa"/>
            <w:left w:w="108" w:type="dxa"/>
            <w:bottom w:w="0" w:type="dxa"/>
            <w:right w:w="108" w:type="dxa"/>
          </w:tblCellMar>
        </w:tblPrEx>
        <w:trPr>
          <w:gridAfter w:val="1"/>
          <w:wAfter w:w="119" w:type="pct"/>
          <w:trHeight w:val="254" w:hRule="atLeast"/>
        </w:trPr>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top"/>
          </w:tcPr>
          <w:p>
            <w:pPr>
              <w:widowControl/>
              <w:spacing w:line="320" w:lineRule="exact"/>
              <w:jc w:val="both"/>
              <w:textAlignment w:val="center"/>
              <w:rPr>
                <w:color w:val="000000"/>
                <w:sz w:val="24"/>
              </w:rPr>
            </w:pPr>
            <w:r>
              <w:rPr>
                <w:color w:val="000000"/>
                <w:kern w:val="0"/>
                <w:sz w:val="24"/>
                <w:lang w:bidi="ar"/>
              </w:rPr>
              <w:t>主管部门及代码</w:t>
            </w:r>
          </w:p>
        </w:tc>
        <w:tc>
          <w:tcPr>
            <w:tcW w:w="1378" w:type="pct"/>
            <w:gridSpan w:val="2"/>
            <w:tcBorders>
              <w:top w:val="single" w:color="000000" w:sz="4" w:space="0"/>
              <w:left w:val="single" w:color="000000" w:sz="4" w:space="0"/>
              <w:bottom w:val="single" w:color="000000" w:sz="4" w:space="0"/>
              <w:right w:val="single" w:color="000000" w:sz="4" w:space="0"/>
            </w:tcBorders>
            <w:shd w:val="clear" w:color="auto" w:fill="auto"/>
            <w:vAlign w:val="top"/>
          </w:tcPr>
          <w:p>
            <w:pPr>
              <w:widowControl/>
              <w:spacing w:line="320" w:lineRule="exact"/>
              <w:jc w:val="both"/>
              <w:textAlignment w:val="center"/>
              <w:rPr>
                <w:rFonts w:hint="default" w:eastAsia="仿宋_GB2312"/>
                <w:color w:val="000000"/>
                <w:sz w:val="24"/>
                <w:lang w:val="en-US" w:eastAsia="zh-CN"/>
              </w:rPr>
            </w:pPr>
            <w:r>
              <w:rPr>
                <w:rFonts w:hint="eastAsia"/>
                <w:color w:val="000000"/>
                <w:sz w:val="24"/>
                <w:lang w:val="en-US" w:eastAsia="zh-CN"/>
              </w:rPr>
              <w:t>仁和区卫生健康局</w:t>
            </w:r>
          </w:p>
        </w:tc>
        <w:tc>
          <w:tcPr>
            <w:tcW w:w="1409" w:type="pct"/>
            <w:tcBorders>
              <w:top w:val="single" w:color="000000" w:sz="4" w:space="0"/>
              <w:left w:val="single" w:color="000000" w:sz="4" w:space="0"/>
              <w:bottom w:val="single" w:color="000000" w:sz="4" w:space="0"/>
              <w:right w:val="single" w:color="000000" w:sz="4" w:space="0"/>
            </w:tcBorders>
            <w:shd w:val="clear" w:color="auto" w:fill="auto"/>
            <w:vAlign w:val="top"/>
          </w:tcPr>
          <w:p>
            <w:pPr>
              <w:widowControl/>
              <w:spacing w:line="320" w:lineRule="exact"/>
              <w:jc w:val="both"/>
              <w:textAlignment w:val="center"/>
              <w:rPr>
                <w:color w:val="000000"/>
                <w:sz w:val="24"/>
              </w:rPr>
            </w:pPr>
            <w:r>
              <w:rPr>
                <w:color w:val="000000"/>
                <w:kern w:val="0"/>
                <w:sz w:val="24"/>
                <w:lang w:bidi="ar"/>
              </w:rPr>
              <w:t>实施单位</w:t>
            </w:r>
          </w:p>
        </w:tc>
        <w:tc>
          <w:tcPr>
            <w:tcW w:w="1347" w:type="pct"/>
            <w:tcBorders>
              <w:top w:val="single" w:color="000000" w:sz="4" w:space="0"/>
              <w:left w:val="single" w:color="000000" w:sz="4" w:space="0"/>
              <w:bottom w:val="single" w:color="000000" w:sz="4" w:space="0"/>
              <w:right w:val="single" w:color="000000" w:sz="4" w:space="0"/>
            </w:tcBorders>
            <w:shd w:val="clear" w:color="auto" w:fill="auto"/>
            <w:vAlign w:val="top"/>
          </w:tcPr>
          <w:p>
            <w:pPr>
              <w:widowControl/>
              <w:spacing w:line="320" w:lineRule="exact"/>
              <w:jc w:val="both"/>
              <w:textAlignment w:val="center"/>
              <w:rPr>
                <w:rFonts w:hint="default" w:eastAsia="仿宋_GB2312"/>
                <w:color w:val="000000"/>
                <w:sz w:val="24"/>
                <w:lang w:val="en-US" w:eastAsia="zh-CN"/>
              </w:rPr>
            </w:pPr>
            <w:r>
              <w:rPr>
                <w:rFonts w:hint="eastAsia"/>
                <w:color w:val="000000"/>
                <w:sz w:val="24"/>
                <w:lang w:val="en-US" w:eastAsia="zh-CN"/>
              </w:rPr>
              <w:t>仁和区疾病预防控制中心</w:t>
            </w:r>
          </w:p>
        </w:tc>
      </w:tr>
      <w:tr>
        <w:tblPrEx>
          <w:tblCellMar>
            <w:top w:w="0" w:type="dxa"/>
            <w:left w:w="108" w:type="dxa"/>
            <w:bottom w:w="0" w:type="dxa"/>
            <w:right w:w="108" w:type="dxa"/>
          </w:tblCellMar>
        </w:tblPrEx>
        <w:trPr>
          <w:gridAfter w:val="1"/>
          <w:wAfter w:w="119" w:type="pct"/>
          <w:trHeight w:val="341" w:hRule="atLeast"/>
        </w:trPr>
        <w:tc>
          <w:tcPr>
            <w:tcW w:w="74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top"/>
          </w:tcPr>
          <w:p>
            <w:pPr>
              <w:widowControl/>
              <w:spacing w:line="320" w:lineRule="exact"/>
              <w:jc w:val="both"/>
              <w:textAlignment w:val="center"/>
              <w:rPr>
                <w:color w:val="000000"/>
                <w:sz w:val="24"/>
              </w:rPr>
            </w:pPr>
            <w:r>
              <w:rPr>
                <w:color w:val="000000"/>
                <w:kern w:val="0"/>
                <w:sz w:val="24"/>
                <w:lang w:bidi="ar"/>
              </w:rPr>
              <w:t>项目预算</w:t>
            </w:r>
            <w:r>
              <w:rPr>
                <w:color w:val="000000"/>
                <w:kern w:val="0"/>
                <w:sz w:val="24"/>
                <w:lang w:bidi="ar"/>
              </w:rPr>
              <w:br w:type="textWrapping"/>
            </w:r>
            <w:r>
              <w:rPr>
                <w:color w:val="000000"/>
                <w:kern w:val="0"/>
                <w:sz w:val="24"/>
                <w:lang w:bidi="ar"/>
              </w:rPr>
              <w:t>执行情况</w:t>
            </w:r>
            <w:r>
              <w:rPr>
                <w:color w:val="000000"/>
                <w:kern w:val="0"/>
                <w:sz w:val="24"/>
                <w:lang w:bidi="ar"/>
              </w:rPr>
              <w:br w:type="textWrapping"/>
            </w:r>
            <w:r>
              <w:rPr>
                <w:color w:val="000000"/>
                <w:kern w:val="0"/>
                <w:sz w:val="24"/>
                <w:lang w:bidi="ar"/>
              </w:rPr>
              <w:t>（万元）</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top"/>
          </w:tcPr>
          <w:p>
            <w:pPr>
              <w:widowControl/>
              <w:spacing w:line="320" w:lineRule="exact"/>
              <w:jc w:val="both"/>
              <w:textAlignment w:val="center"/>
              <w:rPr>
                <w:color w:val="000000"/>
                <w:sz w:val="24"/>
              </w:rPr>
            </w:pPr>
            <w:r>
              <w:rPr>
                <w:color w:val="000000"/>
                <w:kern w:val="0"/>
                <w:sz w:val="24"/>
                <w:lang w:bidi="ar"/>
              </w:rPr>
              <w:t>预算数：</w:t>
            </w:r>
          </w:p>
        </w:tc>
        <w:tc>
          <w:tcPr>
            <w:tcW w:w="762" w:type="pct"/>
            <w:tcBorders>
              <w:top w:val="single" w:color="000000" w:sz="4" w:space="0"/>
              <w:left w:val="single" w:color="000000" w:sz="4" w:space="0"/>
              <w:bottom w:val="single" w:color="000000" w:sz="4" w:space="0"/>
              <w:right w:val="single" w:color="000000" w:sz="4" w:space="0"/>
            </w:tcBorders>
            <w:shd w:val="clear" w:color="auto" w:fill="auto"/>
            <w:vAlign w:val="top"/>
          </w:tcPr>
          <w:p>
            <w:pPr>
              <w:widowControl/>
              <w:spacing w:line="320" w:lineRule="exact"/>
              <w:jc w:val="both"/>
              <w:textAlignment w:val="center"/>
              <w:rPr>
                <w:rFonts w:hint="default" w:eastAsia="仿宋_GB2312"/>
                <w:color w:val="000000"/>
                <w:sz w:val="24"/>
                <w:lang w:val="en-US" w:eastAsia="zh-CN"/>
              </w:rPr>
            </w:pPr>
            <w:r>
              <w:rPr>
                <w:rFonts w:hint="eastAsia"/>
                <w:color w:val="000000"/>
                <w:sz w:val="24"/>
                <w:lang w:val="en-US" w:eastAsia="zh-CN"/>
              </w:rPr>
              <w:t>38.87</w:t>
            </w:r>
          </w:p>
        </w:tc>
        <w:tc>
          <w:tcPr>
            <w:tcW w:w="1409" w:type="pct"/>
            <w:tcBorders>
              <w:top w:val="single" w:color="000000" w:sz="4" w:space="0"/>
              <w:left w:val="single" w:color="000000" w:sz="4" w:space="0"/>
              <w:bottom w:val="single" w:color="000000" w:sz="4" w:space="0"/>
              <w:right w:val="single" w:color="000000" w:sz="4" w:space="0"/>
            </w:tcBorders>
            <w:shd w:val="clear" w:color="auto" w:fill="auto"/>
            <w:vAlign w:val="top"/>
          </w:tcPr>
          <w:p>
            <w:pPr>
              <w:widowControl/>
              <w:spacing w:line="320" w:lineRule="exact"/>
              <w:jc w:val="both"/>
              <w:textAlignment w:val="center"/>
              <w:rPr>
                <w:color w:val="000000"/>
                <w:sz w:val="24"/>
              </w:rPr>
            </w:pPr>
            <w:r>
              <w:rPr>
                <w:color w:val="000000"/>
                <w:kern w:val="0"/>
                <w:sz w:val="24"/>
                <w:lang w:bidi="ar"/>
              </w:rPr>
              <w:t>执行数：</w:t>
            </w:r>
          </w:p>
        </w:tc>
        <w:tc>
          <w:tcPr>
            <w:tcW w:w="1347" w:type="pct"/>
            <w:tcBorders>
              <w:top w:val="single" w:color="000000" w:sz="4" w:space="0"/>
              <w:left w:val="single" w:color="000000" w:sz="4" w:space="0"/>
              <w:bottom w:val="single" w:color="000000" w:sz="4" w:space="0"/>
              <w:right w:val="single" w:color="000000" w:sz="4" w:space="0"/>
            </w:tcBorders>
            <w:shd w:val="clear" w:color="auto" w:fill="auto"/>
            <w:vAlign w:val="top"/>
          </w:tcPr>
          <w:p>
            <w:pPr>
              <w:widowControl/>
              <w:spacing w:line="320" w:lineRule="exact"/>
              <w:jc w:val="both"/>
              <w:textAlignment w:val="center"/>
              <w:rPr>
                <w:rFonts w:hint="default" w:eastAsia="仿宋_GB2312"/>
                <w:color w:val="000000"/>
                <w:sz w:val="24"/>
                <w:lang w:val="en-US" w:eastAsia="zh-CN"/>
              </w:rPr>
            </w:pPr>
            <w:r>
              <w:rPr>
                <w:rFonts w:hint="eastAsia"/>
                <w:color w:val="000000"/>
                <w:sz w:val="24"/>
                <w:lang w:val="en-US" w:eastAsia="zh-CN"/>
              </w:rPr>
              <w:t>8.24</w:t>
            </w:r>
          </w:p>
        </w:tc>
      </w:tr>
      <w:tr>
        <w:tblPrEx>
          <w:tblCellMar>
            <w:top w:w="0" w:type="dxa"/>
            <w:left w:w="108" w:type="dxa"/>
            <w:bottom w:w="0" w:type="dxa"/>
            <w:right w:w="108" w:type="dxa"/>
          </w:tblCellMar>
        </w:tblPrEx>
        <w:trPr>
          <w:gridAfter w:val="1"/>
          <w:wAfter w:w="119" w:type="pct"/>
          <w:trHeight w:val="577" w:hRule="atLeast"/>
        </w:trPr>
        <w:tc>
          <w:tcPr>
            <w:tcW w:w="74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pPr>
              <w:spacing w:line="320" w:lineRule="exact"/>
              <w:jc w:val="both"/>
              <w:rPr>
                <w:color w:val="000000"/>
                <w:sz w:val="24"/>
              </w:rPr>
            </w:pP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top"/>
          </w:tcPr>
          <w:p>
            <w:pPr>
              <w:widowControl/>
              <w:spacing w:line="320" w:lineRule="exact"/>
              <w:jc w:val="both"/>
              <w:textAlignment w:val="center"/>
              <w:rPr>
                <w:color w:val="000000"/>
                <w:kern w:val="0"/>
                <w:sz w:val="24"/>
                <w:lang w:bidi="ar"/>
              </w:rPr>
            </w:pPr>
            <w:r>
              <w:rPr>
                <w:color w:val="000000"/>
                <w:kern w:val="0"/>
                <w:sz w:val="24"/>
                <w:lang w:bidi="ar"/>
              </w:rPr>
              <w:t>其中：</w:t>
            </w:r>
          </w:p>
          <w:p>
            <w:pPr>
              <w:widowControl/>
              <w:spacing w:line="320" w:lineRule="exact"/>
              <w:jc w:val="both"/>
              <w:textAlignment w:val="center"/>
              <w:rPr>
                <w:color w:val="000000"/>
                <w:sz w:val="24"/>
              </w:rPr>
            </w:pPr>
            <w:r>
              <w:rPr>
                <w:rFonts w:hint="eastAsia"/>
                <w:color w:val="000000"/>
                <w:kern w:val="0"/>
                <w:sz w:val="24"/>
                <w:lang w:val="en-US" w:eastAsia="zh-CN" w:bidi="ar"/>
              </w:rPr>
              <w:t>财</w:t>
            </w:r>
            <w:r>
              <w:rPr>
                <w:color w:val="000000"/>
                <w:kern w:val="0"/>
                <w:sz w:val="24"/>
                <w:lang w:bidi="ar"/>
              </w:rPr>
              <w:t>政拨款</w:t>
            </w:r>
          </w:p>
        </w:tc>
        <w:tc>
          <w:tcPr>
            <w:tcW w:w="762" w:type="pct"/>
            <w:tcBorders>
              <w:top w:val="single" w:color="000000" w:sz="4" w:space="0"/>
              <w:left w:val="single" w:color="000000" w:sz="4" w:space="0"/>
              <w:bottom w:val="single" w:color="000000" w:sz="4" w:space="0"/>
              <w:right w:val="single" w:color="000000" w:sz="4" w:space="0"/>
            </w:tcBorders>
            <w:shd w:val="clear" w:color="auto" w:fill="auto"/>
            <w:vAlign w:val="top"/>
          </w:tcPr>
          <w:p>
            <w:pPr>
              <w:widowControl/>
              <w:spacing w:line="320" w:lineRule="exact"/>
              <w:jc w:val="both"/>
              <w:textAlignment w:val="center"/>
              <w:rPr>
                <w:rFonts w:hint="default" w:eastAsia="仿宋_GB2312"/>
                <w:color w:val="000000"/>
                <w:sz w:val="24"/>
                <w:lang w:val="en-US" w:eastAsia="zh-CN"/>
              </w:rPr>
            </w:pPr>
            <w:r>
              <w:rPr>
                <w:rFonts w:hint="eastAsia"/>
                <w:color w:val="000000"/>
                <w:sz w:val="24"/>
                <w:lang w:val="en-US" w:eastAsia="zh-CN"/>
              </w:rPr>
              <w:t>38.87</w:t>
            </w:r>
          </w:p>
        </w:tc>
        <w:tc>
          <w:tcPr>
            <w:tcW w:w="1409" w:type="pct"/>
            <w:tcBorders>
              <w:top w:val="single" w:color="000000" w:sz="4" w:space="0"/>
              <w:left w:val="single" w:color="000000" w:sz="4" w:space="0"/>
              <w:bottom w:val="single" w:color="000000" w:sz="4" w:space="0"/>
              <w:right w:val="single" w:color="000000" w:sz="4" w:space="0"/>
            </w:tcBorders>
            <w:shd w:val="clear" w:color="auto" w:fill="auto"/>
            <w:vAlign w:val="top"/>
          </w:tcPr>
          <w:p>
            <w:pPr>
              <w:widowControl/>
              <w:spacing w:line="320" w:lineRule="exact"/>
              <w:jc w:val="both"/>
              <w:textAlignment w:val="center"/>
              <w:rPr>
                <w:color w:val="000000"/>
                <w:kern w:val="0"/>
                <w:sz w:val="24"/>
                <w:lang w:bidi="ar"/>
              </w:rPr>
            </w:pPr>
            <w:r>
              <w:rPr>
                <w:color w:val="000000"/>
                <w:kern w:val="0"/>
                <w:sz w:val="24"/>
                <w:lang w:bidi="ar"/>
              </w:rPr>
              <w:t>其中：</w:t>
            </w:r>
          </w:p>
          <w:p>
            <w:pPr>
              <w:widowControl/>
              <w:spacing w:line="320" w:lineRule="exact"/>
              <w:jc w:val="both"/>
              <w:textAlignment w:val="center"/>
              <w:rPr>
                <w:color w:val="000000"/>
                <w:sz w:val="24"/>
              </w:rPr>
            </w:pPr>
            <w:r>
              <w:rPr>
                <w:color w:val="000000"/>
                <w:kern w:val="0"/>
                <w:sz w:val="24"/>
                <w:lang w:bidi="ar"/>
              </w:rPr>
              <w:t>财政拨款</w:t>
            </w:r>
          </w:p>
        </w:tc>
        <w:tc>
          <w:tcPr>
            <w:tcW w:w="1347" w:type="pct"/>
            <w:tcBorders>
              <w:top w:val="single" w:color="000000" w:sz="4" w:space="0"/>
              <w:left w:val="single" w:color="000000" w:sz="4" w:space="0"/>
              <w:bottom w:val="single" w:color="000000" w:sz="4" w:space="0"/>
              <w:right w:val="single" w:color="000000" w:sz="4" w:space="0"/>
            </w:tcBorders>
            <w:shd w:val="clear" w:color="auto" w:fill="auto"/>
            <w:vAlign w:val="top"/>
          </w:tcPr>
          <w:p>
            <w:pPr>
              <w:widowControl/>
              <w:spacing w:line="320" w:lineRule="exact"/>
              <w:jc w:val="both"/>
              <w:textAlignment w:val="center"/>
              <w:rPr>
                <w:rFonts w:hint="default" w:eastAsia="仿宋_GB2312"/>
                <w:color w:val="000000"/>
                <w:sz w:val="24"/>
                <w:lang w:val="en-US" w:eastAsia="zh-CN"/>
              </w:rPr>
            </w:pPr>
            <w:r>
              <w:rPr>
                <w:rFonts w:hint="eastAsia"/>
                <w:color w:val="000000"/>
                <w:sz w:val="24"/>
                <w:lang w:val="en-US" w:eastAsia="zh-CN"/>
              </w:rPr>
              <w:t>8.24</w:t>
            </w:r>
          </w:p>
        </w:tc>
      </w:tr>
      <w:tr>
        <w:tblPrEx>
          <w:tblCellMar>
            <w:top w:w="0" w:type="dxa"/>
            <w:left w:w="108" w:type="dxa"/>
            <w:bottom w:w="0" w:type="dxa"/>
            <w:right w:w="108" w:type="dxa"/>
          </w:tblCellMar>
        </w:tblPrEx>
        <w:trPr>
          <w:gridAfter w:val="1"/>
          <w:wAfter w:w="119" w:type="pct"/>
          <w:trHeight w:val="341" w:hRule="atLeast"/>
        </w:trPr>
        <w:tc>
          <w:tcPr>
            <w:tcW w:w="74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pPr>
              <w:spacing w:line="320" w:lineRule="exact"/>
              <w:jc w:val="both"/>
              <w:rPr>
                <w:color w:val="000000"/>
                <w:sz w:val="24"/>
              </w:rPr>
            </w:pP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top"/>
          </w:tcPr>
          <w:p>
            <w:pPr>
              <w:widowControl/>
              <w:spacing w:line="320" w:lineRule="exact"/>
              <w:jc w:val="both"/>
              <w:textAlignment w:val="center"/>
              <w:rPr>
                <w:color w:val="000000"/>
                <w:sz w:val="24"/>
              </w:rPr>
            </w:pPr>
            <w:r>
              <w:rPr>
                <w:color w:val="000000"/>
                <w:kern w:val="0"/>
                <w:sz w:val="24"/>
                <w:lang w:bidi="ar"/>
              </w:rPr>
              <w:t>其他资金</w:t>
            </w:r>
          </w:p>
        </w:tc>
        <w:tc>
          <w:tcPr>
            <w:tcW w:w="762" w:type="pct"/>
            <w:tcBorders>
              <w:top w:val="single" w:color="000000" w:sz="4" w:space="0"/>
              <w:left w:val="single" w:color="000000" w:sz="4" w:space="0"/>
              <w:bottom w:val="single" w:color="000000" w:sz="4" w:space="0"/>
              <w:right w:val="single" w:color="000000" w:sz="4" w:space="0"/>
            </w:tcBorders>
            <w:shd w:val="clear" w:color="auto" w:fill="auto"/>
            <w:vAlign w:val="top"/>
          </w:tcPr>
          <w:p>
            <w:pPr>
              <w:widowControl/>
              <w:spacing w:line="320" w:lineRule="exact"/>
              <w:jc w:val="both"/>
              <w:textAlignment w:val="center"/>
              <w:rPr>
                <w:color w:val="000000"/>
                <w:sz w:val="24"/>
              </w:rPr>
            </w:pPr>
          </w:p>
        </w:tc>
        <w:tc>
          <w:tcPr>
            <w:tcW w:w="1409" w:type="pct"/>
            <w:tcBorders>
              <w:top w:val="single" w:color="000000" w:sz="4" w:space="0"/>
              <w:left w:val="single" w:color="000000" w:sz="4" w:space="0"/>
              <w:bottom w:val="single" w:color="000000" w:sz="4" w:space="0"/>
              <w:right w:val="single" w:color="000000" w:sz="4" w:space="0"/>
            </w:tcBorders>
            <w:shd w:val="clear" w:color="auto" w:fill="auto"/>
            <w:vAlign w:val="top"/>
          </w:tcPr>
          <w:p>
            <w:pPr>
              <w:widowControl/>
              <w:spacing w:line="320" w:lineRule="exact"/>
              <w:jc w:val="both"/>
              <w:textAlignment w:val="center"/>
              <w:rPr>
                <w:color w:val="000000"/>
                <w:sz w:val="24"/>
              </w:rPr>
            </w:pPr>
            <w:r>
              <w:rPr>
                <w:color w:val="000000"/>
                <w:kern w:val="0"/>
                <w:sz w:val="24"/>
                <w:lang w:bidi="ar"/>
              </w:rPr>
              <w:t>其他资金</w:t>
            </w:r>
          </w:p>
        </w:tc>
        <w:tc>
          <w:tcPr>
            <w:tcW w:w="1347" w:type="pct"/>
            <w:tcBorders>
              <w:top w:val="single" w:color="000000" w:sz="4" w:space="0"/>
              <w:left w:val="single" w:color="000000" w:sz="4" w:space="0"/>
              <w:bottom w:val="single" w:color="000000" w:sz="4" w:space="0"/>
              <w:right w:val="single" w:color="000000" w:sz="4" w:space="0"/>
            </w:tcBorders>
            <w:shd w:val="clear" w:color="auto" w:fill="auto"/>
            <w:vAlign w:val="top"/>
          </w:tcPr>
          <w:p>
            <w:pPr>
              <w:widowControl/>
              <w:spacing w:line="320" w:lineRule="exact"/>
              <w:jc w:val="both"/>
              <w:textAlignment w:val="center"/>
              <w:rPr>
                <w:color w:val="000000"/>
                <w:sz w:val="24"/>
              </w:rPr>
            </w:pPr>
          </w:p>
        </w:tc>
      </w:tr>
      <w:tr>
        <w:tblPrEx>
          <w:tblCellMar>
            <w:top w:w="0" w:type="dxa"/>
            <w:left w:w="108" w:type="dxa"/>
            <w:bottom w:w="0" w:type="dxa"/>
            <w:right w:w="108" w:type="dxa"/>
          </w:tblCellMar>
        </w:tblPrEx>
        <w:trPr>
          <w:gridAfter w:val="1"/>
          <w:wAfter w:w="119" w:type="pct"/>
          <w:trHeight w:val="217" w:hRule="atLeast"/>
        </w:trPr>
        <w:tc>
          <w:tcPr>
            <w:tcW w:w="276" w:type="pct"/>
            <w:vMerge w:val="restart"/>
            <w:tcBorders>
              <w:top w:val="single" w:color="000000" w:sz="4" w:space="0"/>
              <w:left w:val="single" w:color="000000" w:sz="4" w:space="0"/>
              <w:bottom w:val="single" w:color="000000" w:sz="4" w:space="0"/>
              <w:right w:val="single" w:color="000000" w:sz="4" w:space="0"/>
            </w:tcBorders>
            <w:shd w:val="clear" w:color="auto" w:fill="auto"/>
            <w:vAlign w:val="top"/>
          </w:tcPr>
          <w:p>
            <w:pPr>
              <w:widowControl/>
              <w:spacing w:line="320" w:lineRule="exact"/>
              <w:jc w:val="both"/>
              <w:textAlignment w:val="center"/>
              <w:rPr>
                <w:color w:val="000000"/>
                <w:kern w:val="0"/>
                <w:sz w:val="24"/>
                <w:lang w:bidi="ar"/>
              </w:rPr>
            </w:pPr>
            <w:r>
              <w:rPr>
                <w:color w:val="000000"/>
                <w:kern w:val="0"/>
                <w:sz w:val="24"/>
                <w:lang w:bidi="ar"/>
              </w:rPr>
              <w:t>年度总体目标</w:t>
            </w:r>
          </w:p>
          <w:p>
            <w:pPr>
              <w:widowControl/>
              <w:spacing w:line="320" w:lineRule="exact"/>
              <w:jc w:val="both"/>
              <w:textAlignment w:val="center"/>
              <w:rPr>
                <w:color w:val="000000"/>
                <w:sz w:val="24"/>
              </w:rPr>
            </w:pPr>
            <w:r>
              <w:rPr>
                <w:color w:val="000000"/>
                <w:kern w:val="0"/>
                <w:sz w:val="24"/>
                <w:lang w:bidi="ar"/>
              </w:rPr>
              <w:t>完成情况</w:t>
            </w:r>
          </w:p>
        </w:tc>
        <w:tc>
          <w:tcPr>
            <w:tcW w:w="1847" w:type="pct"/>
            <w:gridSpan w:val="3"/>
            <w:tcBorders>
              <w:top w:val="single" w:color="000000" w:sz="4" w:space="0"/>
              <w:left w:val="single" w:color="000000" w:sz="4" w:space="0"/>
              <w:bottom w:val="single" w:color="000000" w:sz="4" w:space="0"/>
              <w:right w:val="single" w:color="000000" w:sz="4" w:space="0"/>
            </w:tcBorders>
            <w:shd w:val="clear" w:color="auto" w:fill="auto"/>
            <w:vAlign w:val="top"/>
          </w:tcPr>
          <w:p>
            <w:pPr>
              <w:widowControl/>
              <w:spacing w:line="320" w:lineRule="exact"/>
              <w:jc w:val="both"/>
              <w:textAlignment w:val="center"/>
              <w:rPr>
                <w:color w:val="000000"/>
                <w:sz w:val="24"/>
              </w:rPr>
            </w:pPr>
            <w:r>
              <w:rPr>
                <w:color w:val="000000"/>
                <w:kern w:val="0"/>
                <w:sz w:val="24"/>
                <w:lang w:bidi="ar"/>
              </w:rPr>
              <w:t>预期目标</w:t>
            </w:r>
          </w:p>
        </w:tc>
        <w:tc>
          <w:tcPr>
            <w:tcW w:w="2757" w:type="pct"/>
            <w:gridSpan w:val="2"/>
            <w:tcBorders>
              <w:top w:val="single" w:color="000000" w:sz="4" w:space="0"/>
              <w:left w:val="single" w:color="000000" w:sz="4" w:space="0"/>
              <w:bottom w:val="single" w:color="000000" w:sz="4" w:space="0"/>
              <w:right w:val="single" w:color="000000" w:sz="4" w:space="0"/>
            </w:tcBorders>
            <w:shd w:val="clear" w:color="auto" w:fill="auto"/>
            <w:vAlign w:val="top"/>
          </w:tcPr>
          <w:p>
            <w:pPr>
              <w:widowControl/>
              <w:spacing w:line="320" w:lineRule="exact"/>
              <w:jc w:val="both"/>
              <w:textAlignment w:val="center"/>
              <w:rPr>
                <w:color w:val="000000"/>
                <w:sz w:val="24"/>
              </w:rPr>
            </w:pPr>
            <w:r>
              <w:rPr>
                <w:color w:val="000000"/>
                <w:kern w:val="0"/>
                <w:sz w:val="24"/>
                <w:lang w:bidi="ar"/>
              </w:rPr>
              <w:t>目标实际完成情况</w:t>
            </w:r>
          </w:p>
        </w:tc>
      </w:tr>
      <w:tr>
        <w:tblPrEx>
          <w:tblCellMar>
            <w:top w:w="0" w:type="dxa"/>
            <w:left w:w="108" w:type="dxa"/>
            <w:bottom w:w="0" w:type="dxa"/>
            <w:right w:w="108" w:type="dxa"/>
          </w:tblCellMar>
        </w:tblPrEx>
        <w:trPr>
          <w:gridAfter w:val="1"/>
          <w:wAfter w:w="119" w:type="pct"/>
          <w:trHeight w:val="1297" w:hRule="atLeast"/>
        </w:trPr>
        <w:tc>
          <w:tcPr>
            <w:tcW w:w="276" w:type="pct"/>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pPr>
              <w:spacing w:line="320" w:lineRule="exact"/>
              <w:jc w:val="both"/>
              <w:rPr>
                <w:color w:val="000000"/>
                <w:sz w:val="24"/>
              </w:rPr>
            </w:pPr>
          </w:p>
        </w:tc>
        <w:tc>
          <w:tcPr>
            <w:tcW w:w="1847" w:type="pct"/>
            <w:gridSpan w:val="3"/>
            <w:tcBorders>
              <w:top w:val="single" w:color="000000" w:sz="4" w:space="0"/>
              <w:left w:val="single" w:color="000000" w:sz="4" w:space="0"/>
              <w:bottom w:val="single" w:color="000000" w:sz="4" w:space="0"/>
              <w:right w:val="single" w:color="000000" w:sz="4" w:space="0"/>
            </w:tcBorders>
            <w:shd w:val="clear" w:color="auto" w:fill="auto"/>
            <w:vAlign w:val="top"/>
          </w:tcPr>
          <w:p>
            <w:pPr>
              <w:widowControl/>
              <w:spacing w:line="320" w:lineRule="exact"/>
              <w:jc w:val="both"/>
              <w:textAlignment w:val="top"/>
              <w:rPr>
                <w:color w:val="000000"/>
                <w:sz w:val="21"/>
                <w:szCs w:val="21"/>
              </w:rPr>
            </w:pPr>
            <w:r>
              <w:rPr>
                <w:rFonts w:hint="eastAsia"/>
                <w:color w:val="000000"/>
                <w:sz w:val="21"/>
                <w:szCs w:val="21"/>
              </w:rPr>
              <w:t>开展对重点疾病及危害因素监测，有效控制疾病流行，为制定相关政策提供科学依据。保持重点地方疾病防治措施全面落实。开展职业病监测，最大限度地保护放射工作人员、患者和公众的健康权益。</w:t>
            </w:r>
          </w:p>
        </w:tc>
        <w:tc>
          <w:tcPr>
            <w:tcW w:w="2757" w:type="pct"/>
            <w:gridSpan w:val="2"/>
            <w:tcBorders>
              <w:top w:val="single" w:color="000000" w:sz="4" w:space="0"/>
              <w:left w:val="single" w:color="000000" w:sz="4" w:space="0"/>
              <w:bottom w:val="single" w:color="000000" w:sz="4" w:space="0"/>
              <w:right w:val="single" w:color="000000" w:sz="4" w:space="0"/>
            </w:tcBorders>
            <w:shd w:val="clear" w:color="auto" w:fill="auto"/>
            <w:vAlign w:val="top"/>
          </w:tcPr>
          <w:p>
            <w:pPr>
              <w:widowControl/>
              <w:spacing w:line="320" w:lineRule="exact"/>
              <w:jc w:val="both"/>
              <w:textAlignment w:val="top"/>
              <w:rPr>
                <w:color w:val="000000"/>
                <w:sz w:val="21"/>
                <w:szCs w:val="21"/>
              </w:rPr>
            </w:pPr>
            <w:r>
              <w:rPr>
                <w:rFonts w:hint="eastAsia"/>
                <w:color w:val="000000"/>
                <w:sz w:val="21"/>
                <w:szCs w:val="21"/>
                <w:lang w:eastAsia="zh-CN"/>
              </w:rPr>
              <w:t>截至</w:t>
            </w:r>
            <w:r>
              <w:rPr>
                <w:rFonts w:hint="eastAsia"/>
                <w:color w:val="000000"/>
                <w:sz w:val="21"/>
                <w:szCs w:val="21"/>
              </w:rPr>
              <w:t>2022年12月31</w:t>
            </w:r>
            <w:r>
              <w:rPr>
                <w:rFonts w:hint="eastAsia"/>
                <w:color w:val="000000"/>
                <w:sz w:val="21"/>
                <w:szCs w:val="21"/>
                <w:lang w:eastAsia="zh-CN"/>
              </w:rPr>
              <w:t>，</w:t>
            </w:r>
            <w:r>
              <w:rPr>
                <w:rFonts w:hint="eastAsia"/>
                <w:color w:val="000000"/>
                <w:sz w:val="21"/>
                <w:szCs w:val="21"/>
              </w:rPr>
              <w:t>1、克山病、碘缺乏病继续保持消除水平。主动搜索发现5例疑似克山病病例，对9例慢型克山病患者进行了免费诊治，完成36例患者随访。采集五个乡镇儿童尿样、碘盐各200份，孕妇尿样、碘盐各100份，尿碘盐碘检测均达到碘盐适宜水平。2、地氟病维持在国家控制水平。采集病区乡8个村8份水样进行检测,氟含量均小于1mg/L，对病区学校8-12岁524名学生进行氟斑牙检诊发现氟斑牙49人，氟斑牙患病率9.35%，低于地氟病病区村氟斑牙患病率30%的控制标准；3、职业病防治，在四川省职业病防治综合管理信息系统内，审核职业健康检查个案报告5182条。完成20家工作场所职业病危害因素监测工作。对71名尘肺病患者开展随访工作。4、鼠疫防治，在4个乡镇开展鼠疫监测，捕获啮齿类动物178只，鼠疫F1抗体结果阴性。</w:t>
            </w:r>
          </w:p>
        </w:tc>
      </w:tr>
      <w:tr>
        <w:tblPrEx>
          <w:tblCellMar>
            <w:top w:w="0" w:type="dxa"/>
            <w:left w:w="108" w:type="dxa"/>
            <w:bottom w:w="0" w:type="dxa"/>
            <w:right w:w="108" w:type="dxa"/>
          </w:tblCellMar>
        </w:tblPrEx>
        <w:trPr>
          <w:gridAfter w:val="1"/>
          <w:wAfter w:w="119" w:type="pct"/>
          <w:trHeight w:val="738" w:hRule="atLeast"/>
        </w:trPr>
        <w:tc>
          <w:tcPr>
            <w:tcW w:w="276" w:type="pct"/>
            <w:vMerge w:val="restart"/>
            <w:tcBorders>
              <w:top w:val="single" w:color="000000" w:sz="4" w:space="0"/>
              <w:left w:val="single" w:color="000000" w:sz="4" w:space="0"/>
              <w:right w:val="single" w:color="000000" w:sz="4" w:space="0"/>
            </w:tcBorders>
            <w:shd w:val="clear" w:color="auto" w:fill="auto"/>
            <w:vAlign w:val="top"/>
          </w:tcPr>
          <w:p>
            <w:pPr>
              <w:widowControl/>
              <w:spacing w:line="320" w:lineRule="exact"/>
              <w:jc w:val="both"/>
              <w:textAlignment w:val="center"/>
              <w:rPr>
                <w:color w:val="000000"/>
                <w:sz w:val="28"/>
                <w:szCs w:val="28"/>
              </w:rPr>
            </w:pPr>
            <w:r>
              <w:rPr>
                <w:color w:val="000000"/>
                <w:kern w:val="0"/>
                <w:sz w:val="28"/>
                <w:szCs w:val="28"/>
                <w:lang w:bidi="ar"/>
              </w:rPr>
              <w:t>年度绩效指标完成情况</w:t>
            </w:r>
          </w:p>
        </w:tc>
        <w:tc>
          <w:tcPr>
            <w:tcW w:w="468" w:type="pct"/>
            <w:tcBorders>
              <w:top w:val="single" w:color="000000" w:sz="4" w:space="0"/>
              <w:left w:val="nil"/>
              <w:bottom w:val="single" w:color="000000" w:sz="4" w:space="0"/>
              <w:right w:val="single" w:color="000000" w:sz="4" w:space="0"/>
            </w:tcBorders>
            <w:shd w:val="clear" w:color="auto" w:fill="auto"/>
            <w:vAlign w:val="top"/>
          </w:tcPr>
          <w:p>
            <w:pPr>
              <w:widowControl/>
              <w:spacing w:line="320" w:lineRule="exact"/>
              <w:jc w:val="both"/>
              <w:textAlignment w:val="center"/>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一级</w:t>
            </w:r>
          </w:p>
          <w:p>
            <w:pPr>
              <w:widowControl/>
              <w:spacing w:line="320" w:lineRule="exact"/>
              <w:jc w:val="both"/>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1"/>
                <w:szCs w:val="21"/>
                <w:lang w:bidi="ar"/>
              </w:rPr>
              <w:t>指标</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top"/>
          </w:tcPr>
          <w:p>
            <w:pPr>
              <w:widowControl/>
              <w:spacing w:line="320" w:lineRule="exact"/>
              <w:jc w:val="both"/>
              <w:textAlignment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二级</w:t>
            </w:r>
          </w:p>
          <w:p>
            <w:pPr>
              <w:widowControl/>
              <w:spacing w:line="320" w:lineRule="exact"/>
              <w:jc w:val="both"/>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指标</w:t>
            </w:r>
          </w:p>
        </w:tc>
        <w:tc>
          <w:tcPr>
            <w:tcW w:w="762" w:type="pct"/>
            <w:tcBorders>
              <w:top w:val="single" w:color="000000" w:sz="4" w:space="0"/>
              <w:left w:val="single" w:color="000000" w:sz="4" w:space="0"/>
              <w:bottom w:val="single" w:color="000000" w:sz="4" w:space="0"/>
              <w:right w:val="single" w:color="000000" w:sz="4" w:space="0"/>
            </w:tcBorders>
            <w:shd w:val="clear" w:color="auto" w:fill="auto"/>
            <w:vAlign w:val="top"/>
          </w:tcPr>
          <w:p>
            <w:pPr>
              <w:widowControl/>
              <w:spacing w:line="320" w:lineRule="exact"/>
              <w:jc w:val="both"/>
              <w:textAlignment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三级</w:t>
            </w:r>
          </w:p>
          <w:p>
            <w:pPr>
              <w:widowControl/>
              <w:spacing w:line="320" w:lineRule="exact"/>
              <w:jc w:val="both"/>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指标</w:t>
            </w:r>
          </w:p>
        </w:tc>
        <w:tc>
          <w:tcPr>
            <w:tcW w:w="1409" w:type="pct"/>
            <w:tcBorders>
              <w:top w:val="single" w:color="000000" w:sz="4" w:space="0"/>
              <w:left w:val="single" w:color="000000" w:sz="4" w:space="0"/>
              <w:bottom w:val="single" w:color="000000" w:sz="4" w:space="0"/>
              <w:right w:val="single" w:color="000000" w:sz="4" w:space="0"/>
            </w:tcBorders>
            <w:shd w:val="clear" w:color="auto" w:fill="auto"/>
            <w:vAlign w:val="top"/>
          </w:tcPr>
          <w:p>
            <w:pPr>
              <w:widowControl/>
              <w:spacing w:line="320" w:lineRule="exact"/>
              <w:jc w:val="both"/>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预期指标值</w:t>
            </w:r>
          </w:p>
        </w:tc>
        <w:tc>
          <w:tcPr>
            <w:tcW w:w="1347" w:type="pct"/>
            <w:tcBorders>
              <w:top w:val="single" w:color="000000" w:sz="4" w:space="0"/>
              <w:left w:val="single" w:color="000000" w:sz="4" w:space="0"/>
              <w:bottom w:val="single" w:color="000000" w:sz="4" w:space="0"/>
              <w:right w:val="single" w:color="000000" w:sz="4" w:space="0"/>
            </w:tcBorders>
            <w:shd w:val="clear" w:color="auto" w:fill="auto"/>
            <w:vAlign w:val="top"/>
          </w:tcPr>
          <w:p>
            <w:pPr>
              <w:widowControl/>
              <w:spacing w:line="320" w:lineRule="exact"/>
              <w:jc w:val="both"/>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实际完成指标值</w:t>
            </w:r>
          </w:p>
        </w:tc>
      </w:tr>
      <w:tr>
        <w:tblPrEx>
          <w:tblCellMar>
            <w:top w:w="0" w:type="dxa"/>
            <w:left w:w="108" w:type="dxa"/>
            <w:bottom w:w="0" w:type="dxa"/>
            <w:right w:w="108" w:type="dxa"/>
          </w:tblCellMar>
        </w:tblPrEx>
        <w:trPr>
          <w:gridAfter w:val="1"/>
          <w:wAfter w:w="119" w:type="pct"/>
          <w:trHeight w:val="480" w:hRule="atLeast"/>
        </w:trPr>
        <w:tc>
          <w:tcPr>
            <w:tcW w:w="276" w:type="pct"/>
            <w:vMerge w:val="continue"/>
            <w:tcBorders>
              <w:left w:val="single" w:color="000000" w:sz="4" w:space="0"/>
              <w:right w:val="single" w:color="000000" w:sz="4" w:space="0"/>
            </w:tcBorders>
            <w:shd w:val="clear" w:color="auto" w:fill="auto"/>
            <w:vAlign w:val="top"/>
          </w:tcPr>
          <w:p>
            <w:pPr>
              <w:spacing w:line="320" w:lineRule="exact"/>
              <w:jc w:val="both"/>
              <w:rPr>
                <w:color w:val="000000"/>
                <w:sz w:val="21"/>
                <w:szCs w:val="21"/>
              </w:rPr>
            </w:pPr>
          </w:p>
        </w:tc>
        <w:tc>
          <w:tcPr>
            <w:tcW w:w="468" w:type="pct"/>
            <w:vMerge w:val="restart"/>
            <w:tcBorders>
              <w:top w:val="single" w:color="000000" w:sz="4" w:space="0"/>
              <w:left w:val="single" w:color="000000" w:sz="4" w:space="0"/>
              <w:bottom w:val="single" w:color="000000" w:sz="4" w:space="0"/>
              <w:right w:val="single" w:color="000000" w:sz="4" w:space="0"/>
            </w:tcBorders>
            <w:shd w:val="clear" w:color="auto" w:fill="auto"/>
            <w:vAlign w:val="top"/>
          </w:tcPr>
          <w:p>
            <w:pPr>
              <w:widowControl/>
              <w:spacing w:line="320" w:lineRule="exact"/>
              <w:jc w:val="both"/>
              <w:textAlignment w:val="bottom"/>
              <w:rPr>
                <w:color w:val="000000"/>
                <w:kern w:val="0"/>
                <w:sz w:val="21"/>
                <w:szCs w:val="21"/>
                <w:lang w:bidi="ar"/>
              </w:rPr>
            </w:pPr>
            <w:r>
              <w:rPr>
                <w:color w:val="000000"/>
                <w:kern w:val="0"/>
                <w:sz w:val="21"/>
                <w:szCs w:val="21"/>
                <w:lang w:bidi="ar"/>
              </w:rPr>
              <w:t>完成</w:t>
            </w:r>
          </w:p>
          <w:p>
            <w:pPr>
              <w:widowControl/>
              <w:spacing w:line="320" w:lineRule="exact"/>
              <w:jc w:val="both"/>
              <w:textAlignment w:val="bottom"/>
              <w:rPr>
                <w:color w:val="000000"/>
                <w:sz w:val="21"/>
                <w:szCs w:val="21"/>
              </w:rPr>
            </w:pPr>
            <w:r>
              <w:rPr>
                <w:color w:val="000000"/>
                <w:kern w:val="0"/>
                <w:sz w:val="21"/>
                <w:szCs w:val="21"/>
                <w:lang w:bidi="ar"/>
              </w:rPr>
              <w:t>指标</w:t>
            </w:r>
          </w:p>
        </w:tc>
        <w:tc>
          <w:tcPr>
            <w:tcW w:w="615" w:type="pct"/>
            <w:vMerge w:val="restart"/>
            <w:tcBorders>
              <w:top w:val="single" w:color="000000" w:sz="4" w:space="0"/>
              <w:left w:val="single" w:color="000000" w:sz="4" w:space="0"/>
              <w:right w:val="single" w:color="000000" w:sz="4" w:space="0"/>
            </w:tcBorders>
            <w:shd w:val="clear" w:color="auto" w:fill="auto"/>
            <w:vAlign w:val="top"/>
          </w:tcPr>
          <w:p>
            <w:pPr>
              <w:widowControl/>
              <w:spacing w:line="320" w:lineRule="exact"/>
              <w:jc w:val="both"/>
              <w:textAlignment w:val="bottom"/>
              <w:rPr>
                <w:color w:val="000000"/>
                <w:sz w:val="21"/>
                <w:szCs w:val="21"/>
              </w:rPr>
            </w:pPr>
            <w:r>
              <w:rPr>
                <w:color w:val="000000"/>
                <w:kern w:val="0"/>
                <w:sz w:val="21"/>
                <w:szCs w:val="21"/>
                <w:lang w:bidi="ar"/>
              </w:rPr>
              <w:t>数量指标</w:t>
            </w:r>
          </w:p>
        </w:tc>
        <w:tc>
          <w:tcPr>
            <w:tcW w:w="762"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both"/>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碘缺乏病监测</w:t>
            </w:r>
          </w:p>
        </w:tc>
        <w:tc>
          <w:tcPr>
            <w:tcW w:w="1409"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both"/>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抽查五个乡镇孕妇、儿童8-10尿碘盐碘检测</w:t>
            </w:r>
          </w:p>
        </w:tc>
        <w:tc>
          <w:tcPr>
            <w:tcW w:w="1347"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both"/>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采集五个乡镇儿童尿样、碘盐各200份，孕妇尿样、碘盐各100份，尿碘盐碘检测均达到碘盐适宜水平。完成率：100%</w:t>
            </w:r>
          </w:p>
        </w:tc>
      </w:tr>
      <w:tr>
        <w:tblPrEx>
          <w:tblCellMar>
            <w:top w:w="0" w:type="dxa"/>
            <w:left w:w="108" w:type="dxa"/>
            <w:bottom w:w="0" w:type="dxa"/>
            <w:right w:w="108" w:type="dxa"/>
          </w:tblCellMar>
        </w:tblPrEx>
        <w:trPr>
          <w:gridAfter w:val="1"/>
          <w:wAfter w:w="119" w:type="pct"/>
          <w:trHeight w:val="480" w:hRule="atLeast"/>
        </w:trPr>
        <w:tc>
          <w:tcPr>
            <w:tcW w:w="276" w:type="pct"/>
            <w:vMerge w:val="continue"/>
            <w:tcBorders>
              <w:left w:val="single" w:color="000000" w:sz="4" w:space="0"/>
              <w:right w:val="single" w:color="000000" w:sz="4" w:space="0"/>
            </w:tcBorders>
            <w:shd w:val="clear" w:color="auto" w:fill="auto"/>
            <w:vAlign w:val="top"/>
          </w:tcPr>
          <w:p>
            <w:pPr>
              <w:spacing w:line="320" w:lineRule="exact"/>
              <w:jc w:val="both"/>
              <w:rPr>
                <w:color w:val="000000"/>
                <w:sz w:val="21"/>
                <w:szCs w:val="21"/>
              </w:rPr>
            </w:pPr>
          </w:p>
        </w:tc>
        <w:tc>
          <w:tcPr>
            <w:tcW w:w="468" w:type="pct"/>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pPr>
              <w:spacing w:line="320" w:lineRule="exact"/>
              <w:jc w:val="both"/>
              <w:rPr>
                <w:color w:val="000000"/>
                <w:sz w:val="21"/>
                <w:szCs w:val="21"/>
              </w:rPr>
            </w:pPr>
          </w:p>
        </w:tc>
        <w:tc>
          <w:tcPr>
            <w:tcW w:w="615" w:type="pct"/>
            <w:vMerge w:val="continue"/>
            <w:tcBorders>
              <w:left w:val="single" w:color="000000" w:sz="4" w:space="0"/>
              <w:right w:val="single" w:color="000000" w:sz="4" w:space="0"/>
            </w:tcBorders>
            <w:shd w:val="clear" w:color="auto" w:fill="auto"/>
            <w:vAlign w:val="top"/>
          </w:tcPr>
          <w:p>
            <w:pPr>
              <w:widowControl/>
              <w:spacing w:line="320" w:lineRule="exact"/>
              <w:jc w:val="both"/>
              <w:textAlignment w:val="bottom"/>
              <w:rPr>
                <w:color w:val="000000"/>
                <w:kern w:val="0"/>
                <w:sz w:val="21"/>
                <w:szCs w:val="21"/>
                <w:lang w:bidi="ar"/>
              </w:rPr>
            </w:pPr>
          </w:p>
        </w:tc>
        <w:tc>
          <w:tcPr>
            <w:tcW w:w="762"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both"/>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克山病监测</w:t>
            </w:r>
          </w:p>
        </w:tc>
        <w:tc>
          <w:tcPr>
            <w:tcW w:w="1409"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both"/>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在辖区医疗机构主动搜索克山病病例。</w:t>
            </w:r>
          </w:p>
        </w:tc>
        <w:tc>
          <w:tcPr>
            <w:tcW w:w="1347"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both"/>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主动搜索发现5例疑似克山病病例。完成率：100%</w:t>
            </w:r>
          </w:p>
        </w:tc>
      </w:tr>
      <w:tr>
        <w:tblPrEx>
          <w:tblCellMar>
            <w:top w:w="0" w:type="dxa"/>
            <w:left w:w="108" w:type="dxa"/>
            <w:bottom w:w="0" w:type="dxa"/>
            <w:right w:w="108" w:type="dxa"/>
          </w:tblCellMar>
        </w:tblPrEx>
        <w:trPr>
          <w:gridAfter w:val="1"/>
          <w:wAfter w:w="119" w:type="pct"/>
          <w:trHeight w:val="480" w:hRule="atLeast"/>
        </w:trPr>
        <w:tc>
          <w:tcPr>
            <w:tcW w:w="276" w:type="pct"/>
            <w:vMerge w:val="continue"/>
            <w:tcBorders>
              <w:left w:val="single" w:color="000000" w:sz="4" w:space="0"/>
              <w:right w:val="single" w:color="000000" w:sz="4" w:space="0"/>
            </w:tcBorders>
            <w:shd w:val="clear" w:color="auto" w:fill="auto"/>
            <w:vAlign w:val="top"/>
          </w:tcPr>
          <w:p>
            <w:pPr>
              <w:spacing w:line="320" w:lineRule="exact"/>
              <w:jc w:val="both"/>
              <w:rPr>
                <w:color w:val="000000"/>
                <w:sz w:val="21"/>
                <w:szCs w:val="21"/>
              </w:rPr>
            </w:pPr>
          </w:p>
        </w:tc>
        <w:tc>
          <w:tcPr>
            <w:tcW w:w="468" w:type="pct"/>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pPr>
              <w:spacing w:line="320" w:lineRule="exact"/>
              <w:jc w:val="both"/>
              <w:rPr>
                <w:color w:val="000000"/>
                <w:sz w:val="21"/>
                <w:szCs w:val="21"/>
              </w:rPr>
            </w:pPr>
          </w:p>
        </w:tc>
        <w:tc>
          <w:tcPr>
            <w:tcW w:w="615" w:type="pct"/>
            <w:vMerge w:val="continue"/>
            <w:tcBorders>
              <w:left w:val="single" w:color="000000" w:sz="4" w:space="0"/>
              <w:right w:val="single" w:color="000000" w:sz="4" w:space="0"/>
            </w:tcBorders>
            <w:shd w:val="clear" w:color="auto" w:fill="auto"/>
            <w:vAlign w:val="top"/>
          </w:tcPr>
          <w:p>
            <w:pPr>
              <w:widowControl/>
              <w:spacing w:line="320" w:lineRule="exact"/>
              <w:jc w:val="both"/>
              <w:textAlignment w:val="bottom"/>
              <w:rPr>
                <w:color w:val="000000"/>
                <w:kern w:val="0"/>
                <w:sz w:val="21"/>
                <w:szCs w:val="21"/>
                <w:lang w:bidi="ar"/>
              </w:rPr>
            </w:pPr>
          </w:p>
        </w:tc>
        <w:tc>
          <w:tcPr>
            <w:tcW w:w="762"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both"/>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饮水型地方性氟中毒监测</w:t>
            </w:r>
          </w:p>
        </w:tc>
        <w:tc>
          <w:tcPr>
            <w:tcW w:w="1409"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both"/>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5个病区乡的8个村8-12岁儿童氟斑牙筛查，8个村生活饮用水采集水样做水氟含量监测。</w:t>
            </w:r>
          </w:p>
        </w:tc>
        <w:tc>
          <w:tcPr>
            <w:tcW w:w="1347"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both"/>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采集病区乡8个村8份水样进行检测,氟含量均小1mg/L，对病区学校8-12岁524名学生进行氟斑牙检诊发现氟斑牙49人，氟斑牙患病率9.35%，低于地氟病病区村氟斑牙患病率30%的控制标准。完成率：100%</w:t>
            </w:r>
          </w:p>
        </w:tc>
      </w:tr>
      <w:tr>
        <w:tblPrEx>
          <w:tblCellMar>
            <w:top w:w="0" w:type="dxa"/>
            <w:left w:w="108" w:type="dxa"/>
            <w:bottom w:w="0" w:type="dxa"/>
            <w:right w:w="108" w:type="dxa"/>
          </w:tblCellMar>
        </w:tblPrEx>
        <w:trPr>
          <w:gridAfter w:val="1"/>
          <w:wAfter w:w="119" w:type="pct"/>
          <w:trHeight w:val="480" w:hRule="atLeast"/>
        </w:trPr>
        <w:tc>
          <w:tcPr>
            <w:tcW w:w="276" w:type="pct"/>
            <w:vMerge w:val="continue"/>
            <w:tcBorders>
              <w:left w:val="single" w:color="000000" w:sz="4" w:space="0"/>
              <w:right w:val="single" w:color="000000" w:sz="4" w:space="0"/>
            </w:tcBorders>
            <w:shd w:val="clear" w:color="auto" w:fill="auto"/>
            <w:vAlign w:val="top"/>
          </w:tcPr>
          <w:p>
            <w:pPr>
              <w:spacing w:line="320" w:lineRule="exact"/>
              <w:jc w:val="both"/>
              <w:rPr>
                <w:color w:val="000000"/>
                <w:sz w:val="21"/>
                <w:szCs w:val="21"/>
              </w:rPr>
            </w:pPr>
          </w:p>
        </w:tc>
        <w:tc>
          <w:tcPr>
            <w:tcW w:w="468" w:type="pct"/>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pPr>
              <w:spacing w:line="320" w:lineRule="exact"/>
              <w:jc w:val="both"/>
              <w:rPr>
                <w:color w:val="000000"/>
                <w:sz w:val="21"/>
                <w:szCs w:val="21"/>
              </w:rPr>
            </w:pPr>
          </w:p>
        </w:tc>
        <w:tc>
          <w:tcPr>
            <w:tcW w:w="615" w:type="pct"/>
            <w:vMerge w:val="continue"/>
            <w:tcBorders>
              <w:left w:val="single" w:color="000000" w:sz="4" w:space="0"/>
              <w:right w:val="single" w:color="000000" w:sz="4" w:space="0"/>
            </w:tcBorders>
            <w:shd w:val="clear" w:color="auto" w:fill="auto"/>
            <w:vAlign w:val="top"/>
          </w:tcPr>
          <w:p>
            <w:pPr>
              <w:widowControl/>
              <w:spacing w:line="320" w:lineRule="exact"/>
              <w:jc w:val="both"/>
              <w:textAlignment w:val="bottom"/>
              <w:rPr>
                <w:color w:val="000000"/>
                <w:kern w:val="0"/>
                <w:sz w:val="21"/>
                <w:szCs w:val="21"/>
                <w:lang w:bidi="ar"/>
              </w:rPr>
            </w:pPr>
          </w:p>
        </w:tc>
        <w:tc>
          <w:tcPr>
            <w:tcW w:w="762"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both"/>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克山病人治疗</w:t>
            </w:r>
          </w:p>
        </w:tc>
        <w:tc>
          <w:tcPr>
            <w:tcW w:w="1409"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both"/>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对克山病慢克患者开展治疗，克山病患者随访体检。</w:t>
            </w:r>
          </w:p>
        </w:tc>
        <w:tc>
          <w:tcPr>
            <w:tcW w:w="1347"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both"/>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对9例慢型克山病患者进行了免费诊治，完成36例患者随访。完成率100%</w:t>
            </w:r>
          </w:p>
        </w:tc>
      </w:tr>
      <w:tr>
        <w:tblPrEx>
          <w:tblCellMar>
            <w:top w:w="0" w:type="dxa"/>
            <w:left w:w="108" w:type="dxa"/>
            <w:bottom w:w="0" w:type="dxa"/>
            <w:right w:w="108" w:type="dxa"/>
          </w:tblCellMar>
        </w:tblPrEx>
        <w:trPr>
          <w:gridAfter w:val="1"/>
          <w:wAfter w:w="119" w:type="pct"/>
          <w:trHeight w:val="480" w:hRule="atLeast"/>
        </w:trPr>
        <w:tc>
          <w:tcPr>
            <w:tcW w:w="276" w:type="pct"/>
            <w:vMerge w:val="continue"/>
            <w:tcBorders>
              <w:left w:val="single" w:color="000000" w:sz="4" w:space="0"/>
              <w:right w:val="single" w:color="000000" w:sz="4" w:space="0"/>
            </w:tcBorders>
            <w:shd w:val="clear" w:color="auto" w:fill="auto"/>
            <w:vAlign w:val="top"/>
          </w:tcPr>
          <w:p>
            <w:pPr>
              <w:spacing w:line="320" w:lineRule="exact"/>
              <w:jc w:val="both"/>
              <w:rPr>
                <w:color w:val="000000"/>
                <w:sz w:val="21"/>
                <w:szCs w:val="21"/>
              </w:rPr>
            </w:pPr>
          </w:p>
        </w:tc>
        <w:tc>
          <w:tcPr>
            <w:tcW w:w="468" w:type="pct"/>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pPr>
              <w:spacing w:line="320" w:lineRule="exact"/>
              <w:jc w:val="both"/>
              <w:rPr>
                <w:color w:val="000000"/>
                <w:sz w:val="21"/>
                <w:szCs w:val="21"/>
              </w:rPr>
            </w:pPr>
          </w:p>
        </w:tc>
        <w:tc>
          <w:tcPr>
            <w:tcW w:w="615" w:type="pct"/>
            <w:vMerge w:val="continue"/>
            <w:tcBorders>
              <w:left w:val="single" w:color="000000" w:sz="4" w:space="0"/>
              <w:right w:val="single" w:color="000000" w:sz="4" w:space="0"/>
            </w:tcBorders>
            <w:shd w:val="clear" w:color="auto" w:fill="auto"/>
            <w:vAlign w:val="top"/>
          </w:tcPr>
          <w:p>
            <w:pPr>
              <w:widowControl/>
              <w:spacing w:line="320" w:lineRule="exact"/>
              <w:jc w:val="both"/>
              <w:textAlignment w:val="bottom"/>
              <w:rPr>
                <w:color w:val="000000"/>
                <w:kern w:val="0"/>
                <w:sz w:val="21"/>
                <w:szCs w:val="21"/>
                <w:lang w:bidi="ar"/>
              </w:rPr>
            </w:pPr>
          </w:p>
        </w:tc>
        <w:tc>
          <w:tcPr>
            <w:tcW w:w="762"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both"/>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职业健康核心指标监测区县覆盖率</w:t>
            </w:r>
          </w:p>
        </w:tc>
        <w:tc>
          <w:tcPr>
            <w:tcW w:w="1409"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both"/>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≥92%</w:t>
            </w:r>
          </w:p>
        </w:tc>
        <w:tc>
          <w:tcPr>
            <w:tcW w:w="1347"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both"/>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100.00%</w:t>
            </w:r>
          </w:p>
        </w:tc>
      </w:tr>
      <w:tr>
        <w:tblPrEx>
          <w:tblCellMar>
            <w:top w:w="0" w:type="dxa"/>
            <w:left w:w="108" w:type="dxa"/>
            <w:bottom w:w="0" w:type="dxa"/>
            <w:right w:w="108" w:type="dxa"/>
          </w:tblCellMar>
        </w:tblPrEx>
        <w:trPr>
          <w:gridAfter w:val="1"/>
          <w:wAfter w:w="119" w:type="pct"/>
          <w:trHeight w:val="480" w:hRule="atLeast"/>
        </w:trPr>
        <w:tc>
          <w:tcPr>
            <w:tcW w:w="276" w:type="pct"/>
            <w:vMerge w:val="continue"/>
            <w:tcBorders>
              <w:left w:val="single" w:color="000000" w:sz="4" w:space="0"/>
              <w:right w:val="single" w:color="000000" w:sz="4" w:space="0"/>
            </w:tcBorders>
            <w:shd w:val="clear" w:color="auto" w:fill="auto"/>
            <w:vAlign w:val="top"/>
          </w:tcPr>
          <w:p>
            <w:pPr>
              <w:spacing w:line="320" w:lineRule="exact"/>
              <w:jc w:val="both"/>
              <w:rPr>
                <w:color w:val="000000"/>
                <w:sz w:val="21"/>
                <w:szCs w:val="21"/>
              </w:rPr>
            </w:pPr>
          </w:p>
        </w:tc>
        <w:tc>
          <w:tcPr>
            <w:tcW w:w="468" w:type="pct"/>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pPr>
              <w:spacing w:line="320" w:lineRule="exact"/>
              <w:jc w:val="both"/>
              <w:rPr>
                <w:color w:val="000000"/>
                <w:sz w:val="21"/>
                <w:szCs w:val="21"/>
              </w:rPr>
            </w:pPr>
          </w:p>
        </w:tc>
        <w:tc>
          <w:tcPr>
            <w:tcW w:w="615" w:type="pct"/>
            <w:vMerge w:val="continue"/>
            <w:tcBorders>
              <w:left w:val="single" w:color="000000" w:sz="4" w:space="0"/>
              <w:bottom w:val="single" w:color="000000" w:sz="4" w:space="0"/>
              <w:right w:val="single" w:color="000000" w:sz="4" w:space="0"/>
            </w:tcBorders>
            <w:shd w:val="clear" w:color="auto" w:fill="auto"/>
            <w:vAlign w:val="top"/>
          </w:tcPr>
          <w:p>
            <w:pPr>
              <w:widowControl/>
              <w:spacing w:line="320" w:lineRule="exact"/>
              <w:jc w:val="both"/>
              <w:textAlignment w:val="bottom"/>
              <w:rPr>
                <w:color w:val="000000"/>
                <w:kern w:val="0"/>
                <w:sz w:val="21"/>
                <w:szCs w:val="21"/>
                <w:lang w:bidi="ar"/>
              </w:rPr>
            </w:pPr>
          </w:p>
        </w:tc>
        <w:tc>
          <w:tcPr>
            <w:tcW w:w="762"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both"/>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鼠疫防治工作</w:t>
            </w:r>
          </w:p>
        </w:tc>
        <w:tc>
          <w:tcPr>
            <w:tcW w:w="1409"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both"/>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在4个乡镇开展鼠疫监测，捕获啮齿类动物178只，鼠疫F1抗体结果阴性。</w:t>
            </w:r>
          </w:p>
        </w:tc>
        <w:tc>
          <w:tcPr>
            <w:tcW w:w="1347"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both"/>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100.00%</w:t>
            </w:r>
          </w:p>
        </w:tc>
      </w:tr>
      <w:tr>
        <w:tblPrEx>
          <w:tblCellMar>
            <w:top w:w="0" w:type="dxa"/>
            <w:left w:w="108" w:type="dxa"/>
            <w:bottom w:w="0" w:type="dxa"/>
            <w:right w:w="108" w:type="dxa"/>
          </w:tblCellMar>
        </w:tblPrEx>
        <w:trPr>
          <w:gridAfter w:val="1"/>
          <w:wAfter w:w="119" w:type="pct"/>
          <w:trHeight w:val="480" w:hRule="atLeast"/>
        </w:trPr>
        <w:tc>
          <w:tcPr>
            <w:tcW w:w="276" w:type="pct"/>
            <w:vMerge w:val="continue"/>
            <w:tcBorders>
              <w:left w:val="single" w:color="000000" w:sz="4" w:space="0"/>
              <w:right w:val="single" w:color="000000" w:sz="4" w:space="0"/>
            </w:tcBorders>
            <w:shd w:val="clear" w:color="auto" w:fill="auto"/>
            <w:vAlign w:val="top"/>
          </w:tcPr>
          <w:p>
            <w:pPr>
              <w:spacing w:line="320" w:lineRule="exact"/>
              <w:jc w:val="both"/>
              <w:rPr>
                <w:color w:val="000000"/>
                <w:sz w:val="21"/>
                <w:szCs w:val="21"/>
              </w:rPr>
            </w:pPr>
          </w:p>
        </w:tc>
        <w:tc>
          <w:tcPr>
            <w:tcW w:w="468" w:type="pct"/>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pPr>
              <w:spacing w:line="320" w:lineRule="exact"/>
              <w:jc w:val="both"/>
              <w:rPr>
                <w:color w:val="000000"/>
                <w:sz w:val="21"/>
                <w:szCs w:val="21"/>
              </w:rPr>
            </w:pPr>
          </w:p>
        </w:tc>
        <w:tc>
          <w:tcPr>
            <w:tcW w:w="615" w:type="pct"/>
            <w:vMerge w:val="restart"/>
            <w:tcBorders>
              <w:top w:val="single" w:color="000000" w:sz="4" w:space="0"/>
              <w:left w:val="single" w:color="000000" w:sz="4" w:space="0"/>
              <w:right w:val="single" w:color="000000" w:sz="4" w:space="0"/>
            </w:tcBorders>
            <w:shd w:val="clear" w:color="auto" w:fill="auto"/>
            <w:vAlign w:val="top"/>
          </w:tcPr>
          <w:p>
            <w:pPr>
              <w:widowControl/>
              <w:spacing w:line="320" w:lineRule="exact"/>
              <w:jc w:val="both"/>
              <w:textAlignment w:val="bottom"/>
              <w:rPr>
                <w:color w:val="000000"/>
                <w:sz w:val="21"/>
                <w:szCs w:val="21"/>
              </w:rPr>
            </w:pPr>
            <w:r>
              <w:rPr>
                <w:color w:val="000000"/>
                <w:kern w:val="0"/>
                <w:sz w:val="21"/>
                <w:szCs w:val="21"/>
                <w:lang w:bidi="ar"/>
              </w:rPr>
              <w:t>质量指标</w:t>
            </w:r>
          </w:p>
        </w:tc>
        <w:tc>
          <w:tcPr>
            <w:tcW w:w="762"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both"/>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克山病监测及治疗、碘缺乏病监测</w:t>
            </w:r>
          </w:p>
        </w:tc>
        <w:tc>
          <w:tcPr>
            <w:tcW w:w="1409"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both"/>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任务完成率100%</w:t>
            </w:r>
          </w:p>
        </w:tc>
        <w:tc>
          <w:tcPr>
            <w:tcW w:w="1347"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both"/>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100.00%</w:t>
            </w:r>
          </w:p>
        </w:tc>
      </w:tr>
      <w:tr>
        <w:tblPrEx>
          <w:tblCellMar>
            <w:top w:w="0" w:type="dxa"/>
            <w:left w:w="108" w:type="dxa"/>
            <w:bottom w:w="0" w:type="dxa"/>
            <w:right w:w="108" w:type="dxa"/>
          </w:tblCellMar>
        </w:tblPrEx>
        <w:trPr>
          <w:gridAfter w:val="1"/>
          <w:wAfter w:w="119" w:type="pct"/>
          <w:trHeight w:val="480" w:hRule="atLeast"/>
        </w:trPr>
        <w:tc>
          <w:tcPr>
            <w:tcW w:w="276" w:type="pct"/>
            <w:vMerge w:val="continue"/>
            <w:tcBorders>
              <w:left w:val="single" w:color="000000" w:sz="4" w:space="0"/>
              <w:right w:val="single" w:color="000000" w:sz="4" w:space="0"/>
            </w:tcBorders>
            <w:shd w:val="clear" w:color="auto" w:fill="auto"/>
            <w:vAlign w:val="top"/>
          </w:tcPr>
          <w:p>
            <w:pPr>
              <w:spacing w:line="320" w:lineRule="exact"/>
              <w:jc w:val="both"/>
              <w:rPr>
                <w:color w:val="000000"/>
                <w:sz w:val="21"/>
                <w:szCs w:val="21"/>
              </w:rPr>
            </w:pPr>
          </w:p>
        </w:tc>
        <w:tc>
          <w:tcPr>
            <w:tcW w:w="468" w:type="pct"/>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pPr>
              <w:spacing w:line="320" w:lineRule="exact"/>
              <w:jc w:val="both"/>
              <w:rPr>
                <w:color w:val="000000"/>
                <w:sz w:val="21"/>
                <w:szCs w:val="21"/>
              </w:rPr>
            </w:pPr>
          </w:p>
        </w:tc>
        <w:tc>
          <w:tcPr>
            <w:tcW w:w="615" w:type="pct"/>
            <w:vMerge w:val="continue"/>
            <w:tcBorders>
              <w:left w:val="single" w:color="000000" w:sz="4" w:space="0"/>
              <w:right w:val="single" w:color="000000" w:sz="4" w:space="0"/>
            </w:tcBorders>
            <w:shd w:val="clear" w:color="auto" w:fill="auto"/>
            <w:vAlign w:val="top"/>
          </w:tcPr>
          <w:p>
            <w:pPr>
              <w:widowControl/>
              <w:spacing w:line="320" w:lineRule="exact"/>
              <w:jc w:val="both"/>
              <w:textAlignment w:val="bottom"/>
              <w:rPr>
                <w:color w:val="000000"/>
                <w:kern w:val="0"/>
                <w:sz w:val="21"/>
                <w:szCs w:val="21"/>
                <w:lang w:bidi="ar"/>
              </w:rPr>
            </w:pPr>
          </w:p>
        </w:tc>
        <w:tc>
          <w:tcPr>
            <w:tcW w:w="762"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both"/>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职业病防治</w:t>
            </w:r>
          </w:p>
        </w:tc>
        <w:tc>
          <w:tcPr>
            <w:tcW w:w="1409"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both"/>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按照省、市级监测工作方案要求，抽取20家涉及职业危害的企业开展工作场所职业病危害因素监测工作。完成现场调查、实验室委托监测、数据上报。</w:t>
            </w:r>
          </w:p>
        </w:tc>
        <w:tc>
          <w:tcPr>
            <w:tcW w:w="1347"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both"/>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100.00%</w:t>
            </w:r>
          </w:p>
        </w:tc>
      </w:tr>
      <w:tr>
        <w:tblPrEx>
          <w:tblCellMar>
            <w:top w:w="0" w:type="dxa"/>
            <w:left w:w="108" w:type="dxa"/>
            <w:bottom w:w="0" w:type="dxa"/>
            <w:right w:w="108" w:type="dxa"/>
          </w:tblCellMar>
        </w:tblPrEx>
        <w:trPr>
          <w:gridAfter w:val="1"/>
          <w:wAfter w:w="119" w:type="pct"/>
          <w:trHeight w:val="480" w:hRule="atLeast"/>
        </w:trPr>
        <w:tc>
          <w:tcPr>
            <w:tcW w:w="276" w:type="pct"/>
            <w:vMerge w:val="continue"/>
            <w:tcBorders>
              <w:left w:val="single" w:color="000000" w:sz="4" w:space="0"/>
              <w:right w:val="single" w:color="000000" w:sz="4" w:space="0"/>
            </w:tcBorders>
            <w:shd w:val="clear" w:color="auto" w:fill="auto"/>
            <w:vAlign w:val="top"/>
          </w:tcPr>
          <w:p>
            <w:pPr>
              <w:spacing w:line="320" w:lineRule="exact"/>
              <w:jc w:val="both"/>
              <w:rPr>
                <w:color w:val="000000"/>
                <w:sz w:val="21"/>
                <w:szCs w:val="21"/>
              </w:rPr>
            </w:pPr>
          </w:p>
        </w:tc>
        <w:tc>
          <w:tcPr>
            <w:tcW w:w="468" w:type="pct"/>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pPr>
              <w:spacing w:line="320" w:lineRule="exact"/>
              <w:jc w:val="both"/>
              <w:rPr>
                <w:color w:val="000000"/>
                <w:sz w:val="21"/>
                <w:szCs w:val="21"/>
              </w:rPr>
            </w:pPr>
          </w:p>
        </w:tc>
        <w:tc>
          <w:tcPr>
            <w:tcW w:w="615" w:type="pct"/>
            <w:vMerge w:val="continue"/>
            <w:tcBorders>
              <w:left w:val="single" w:color="000000" w:sz="4" w:space="0"/>
              <w:bottom w:val="single" w:color="000000" w:sz="4" w:space="0"/>
              <w:right w:val="single" w:color="000000" w:sz="4" w:space="0"/>
            </w:tcBorders>
            <w:shd w:val="clear" w:color="auto" w:fill="auto"/>
            <w:vAlign w:val="top"/>
          </w:tcPr>
          <w:p>
            <w:pPr>
              <w:widowControl/>
              <w:spacing w:line="320" w:lineRule="exact"/>
              <w:jc w:val="both"/>
              <w:textAlignment w:val="bottom"/>
              <w:rPr>
                <w:color w:val="000000"/>
                <w:sz w:val="21"/>
                <w:szCs w:val="21"/>
              </w:rPr>
            </w:pPr>
          </w:p>
        </w:tc>
        <w:tc>
          <w:tcPr>
            <w:tcW w:w="762"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both"/>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鼠疫监测</w:t>
            </w:r>
          </w:p>
        </w:tc>
        <w:tc>
          <w:tcPr>
            <w:tcW w:w="1409"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both"/>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在4个乡镇开展鼠疫监测，捕获啮齿类动物178只，鼠疫F1抗体结果阴性。</w:t>
            </w:r>
          </w:p>
        </w:tc>
        <w:tc>
          <w:tcPr>
            <w:tcW w:w="1347"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both"/>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100.00%</w:t>
            </w:r>
          </w:p>
        </w:tc>
      </w:tr>
      <w:tr>
        <w:tblPrEx>
          <w:tblCellMar>
            <w:top w:w="0" w:type="dxa"/>
            <w:left w:w="108" w:type="dxa"/>
            <w:bottom w:w="0" w:type="dxa"/>
            <w:right w:w="108" w:type="dxa"/>
          </w:tblCellMar>
        </w:tblPrEx>
        <w:trPr>
          <w:gridAfter w:val="1"/>
          <w:wAfter w:w="119" w:type="pct"/>
          <w:trHeight w:val="480" w:hRule="atLeast"/>
        </w:trPr>
        <w:tc>
          <w:tcPr>
            <w:tcW w:w="276" w:type="pct"/>
            <w:vMerge w:val="continue"/>
            <w:tcBorders>
              <w:left w:val="single" w:color="000000" w:sz="4" w:space="0"/>
              <w:right w:val="single" w:color="000000" w:sz="4" w:space="0"/>
            </w:tcBorders>
            <w:shd w:val="clear" w:color="auto" w:fill="auto"/>
            <w:vAlign w:val="top"/>
          </w:tcPr>
          <w:p>
            <w:pPr>
              <w:spacing w:line="320" w:lineRule="exact"/>
              <w:jc w:val="both"/>
              <w:rPr>
                <w:color w:val="000000"/>
                <w:sz w:val="21"/>
                <w:szCs w:val="21"/>
              </w:rPr>
            </w:pPr>
          </w:p>
        </w:tc>
        <w:tc>
          <w:tcPr>
            <w:tcW w:w="468" w:type="pct"/>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pPr>
              <w:spacing w:line="320" w:lineRule="exact"/>
              <w:jc w:val="both"/>
              <w:rPr>
                <w:color w:val="000000"/>
                <w:sz w:val="21"/>
                <w:szCs w:val="21"/>
              </w:rPr>
            </w:pP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top"/>
          </w:tcPr>
          <w:p>
            <w:pPr>
              <w:widowControl/>
              <w:spacing w:line="320" w:lineRule="exact"/>
              <w:jc w:val="both"/>
              <w:textAlignment w:val="bottom"/>
              <w:rPr>
                <w:color w:val="000000"/>
                <w:sz w:val="21"/>
                <w:szCs w:val="21"/>
              </w:rPr>
            </w:pPr>
            <w:r>
              <w:rPr>
                <w:color w:val="000000"/>
                <w:kern w:val="0"/>
                <w:sz w:val="21"/>
                <w:szCs w:val="21"/>
                <w:lang w:bidi="ar"/>
              </w:rPr>
              <w:t>时效指标</w:t>
            </w:r>
          </w:p>
        </w:tc>
        <w:tc>
          <w:tcPr>
            <w:tcW w:w="762" w:type="pct"/>
            <w:tcBorders>
              <w:top w:val="single" w:color="000000" w:sz="4" w:space="0"/>
              <w:left w:val="single" w:color="000000" w:sz="4" w:space="0"/>
              <w:bottom w:val="single" w:color="000000" w:sz="4" w:space="0"/>
              <w:right w:val="single" w:color="000000" w:sz="4" w:space="0"/>
            </w:tcBorders>
            <w:shd w:val="clear" w:color="auto" w:fill="auto"/>
            <w:vAlign w:val="top"/>
          </w:tcPr>
          <w:p>
            <w:pPr>
              <w:widowControl/>
              <w:spacing w:line="320" w:lineRule="exact"/>
              <w:jc w:val="both"/>
              <w:textAlignment w:val="bottom"/>
              <w:rPr>
                <w:color w:val="000000"/>
                <w:sz w:val="21"/>
                <w:szCs w:val="21"/>
              </w:rPr>
            </w:pPr>
            <w:r>
              <w:rPr>
                <w:rFonts w:hint="eastAsia"/>
                <w:color w:val="000000"/>
                <w:sz w:val="21"/>
                <w:szCs w:val="21"/>
              </w:rPr>
              <w:t>2022年1月至2022年12月</w:t>
            </w:r>
          </w:p>
        </w:tc>
        <w:tc>
          <w:tcPr>
            <w:tcW w:w="1409" w:type="pct"/>
            <w:tcBorders>
              <w:top w:val="single" w:color="000000" w:sz="4" w:space="0"/>
              <w:left w:val="single" w:color="000000" w:sz="4" w:space="0"/>
              <w:bottom w:val="single" w:color="000000" w:sz="4" w:space="0"/>
              <w:right w:val="single" w:color="000000" w:sz="4" w:space="0"/>
            </w:tcBorders>
            <w:shd w:val="clear" w:color="auto" w:fill="auto"/>
            <w:vAlign w:val="top"/>
          </w:tcPr>
          <w:p>
            <w:pPr>
              <w:widowControl/>
              <w:spacing w:line="320" w:lineRule="exact"/>
              <w:jc w:val="both"/>
              <w:textAlignment w:val="bottom"/>
              <w:rPr>
                <w:color w:val="000000"/>
                <w:sz w:val="21"/>
                <w:szCs w:val="21"/>
              </w:rPr>
            </w:pPr>
            <w:r>
              <w:rPr>
                <w:rFonts w:hint="eastAsia"/>
                <w:color w:val="000000"/>
                <w:sz w:val="21"/>
                <w:szCs w:val="21"/>
              </w:rPr>
              <w:t>落实工作措施，12月底各项考核指标任务达到上级要求</w:t>
            </w:r>
          </w:p>
        </w:tc>
        <w:tc>
          <w:tcPr>
            <w:tcW w:w="1347" w:type="pct"/>
            <w:tcBorders>
              <w:top w:val="single" w:color="000000" w:sz="4" w:space="0"/>
              <w:left w:val="single" w:color="000000" w:sz="4" w:space="0"/>
              <w:bottom w:val="single" w:color="000000" w:sz="4" w:space="0"/>
              <w:right w:val="single" w:color="000000" w:sz="4" w:space="0"/>
            </w:tcBorders>
            <w:shd w:val="clear" w:color="auto" w:fill="auto"/>
            <w:vAlign w:val="top"/>
          </w:tcPr>
          <w:p>
            <w:pPr>
              <w:widowControl/>
              <w:spacing w:line="320" w:lineRule="exact"/>
              <w:jc w:val="both"/>
              <w:textAlignment w:val="bottom"/>
              <w:rPr>
                <w:color w:val="000000"/>
                <w:sz w:val="21"/>
                <w:szCs w:val="21"/>
              </w:rPr>
            </w:pPr>
            <w:r>
              <w:rPr>
                <w:rFonts w:hint="eastAsia"/>
                <w:color w:val="000000"/>
                <w:sz w:val="21"/>
                <w:szCs w:val="21"/>
              </w:rPr>
              <w:t>2022年12月31日各项考核指标任务达到上级要求</w:t>
            </w:r>
          </w:p>
        </w:tc>
      </w:tr>
      <w:tr>
        <w:tblPrEx>
          <w:tblCellMar>
            <w:top w:w="0" w:type="dxa"/>
            <w:left w:w="108" w:type="dxa"/>
            <w:bottom w:w="0" w:type="dxa"/>
            <w:right w:w="108" w:type="dxa"/>
          </w:tblCellMar>
        </w:tblPrEx>
        <w:trPr>
          <w:gridAfter w:val="1"/>
          <w:wAfter w:w="119" w:type="pct"/>
          <w:trHeight w:val="1020" w:hRule="atLeast"/>
        </w:trPr>
        <w:tc>
          <w:tcPr>
            <w:tcW w:w="276" w:type="pct"/>
            <w:vMerge w:val="continue"/>
            <w:tcBorders>
              <w:left w:val="single" w:color="000000" w:sz="4" w:space="0"/>
              <w:right w:val="single" w:color="000000" w:sz="4" w:space="0"/>
            </w:tcBorders>
            <w:shd w:val="clear" w:color="auto" w:fill="auto"/>
            <w:vAlign w:val="top"/>
          </w:tcPr>
          <w:p>
            <w:pPr>
              <w:spacing w:line="320" w:lineRule="exact"/>
              <w:jc w:val="both"/>
              <w:rPr>
                <w:color w:val="000000"/>
                <w:sz w:val="21"/>
                <w:szCs w:val="21"/>
              </w:rPr>
            </w:pPr>
          </w:p>
        </w:tc>
        <w:tc>
          <w:tcPr>
            <w:tcW w:w="468" w:type="pct"/>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pPr>
              <w:spacing w:line="320" w:lineRule="exact"/>
              <w:jc w:val="both"/>
              <w:rPr>
                <w:color w:val="000000"/>
                <w:sz w:val="21"/>
                <w:szCs w:val="21"/>
              </w:rPr>
            </w:pP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top"/>
          </w:tcPr>
          <w:p>
            <w:pPr>
              <w:widowControl/>
              <w:spacing w:line="320" w:lineRule="exact"/>
              <w:jc w:val="both"/>
              <w:textAlignment w:val="bottom"/>
              <w:rPr>
                <w:color w:val="000000"/>
                <w:sz w:val="21"/>
                <w:szCs w:val="21"/>
              </w:rPr>
            </w:pPr>
            <w:r>
              <w:rPr>
                <w:color w:val="000000"/>
                <w:kern w:val="0"/>
                <w:sz w:val="21"/>
                <w:szCs w:val="21"/>
                <w:lang w:bidi="ar"/>
              </w:rPr>
              <w:t>成本指标</w:t>
            </w:r>
          </w:p>
        </w:tc>
        <w:tc>
          <w:tcPr>
            <w:tcW w:w="762" w:type="pct"/>
            <w:tcBorders>
              <w:top w:val="single" w:color="000000" w:sz="4" w:space="0"/>
              <w:left w:val="single" w:color="000000" w:sz="4" w:space="0"/>
              <w:bottom w:val="single" w:color="000000" w:sz="4" w:space="0"/>
              <w:right w:val="single" w:color="000000" w:sz="4" w:space="0"/>
            </w:tcBorders>
            <w:shd w:val="clear" w:color="auto" w:fill="auto"/>
            <w:vAlign w:val="top"/>
          </w:tcPr>
          <w:p>
            <w:pPr>
              <w:widowControl/>
              <w:spacing w:line="320" w:lineRule="exact"/>
              <w:jc w:val="both"/>
              <w:textAlignment w:val="bottom"/>
              <w:rPr>
                <w:rFonts w:hint="eastAsia" w:ascii="仿宋" w:hAnsi="仿宋" w:eastAsia="仿宋" w:cs="仿宋"/>
                <w:color w:val="000000"/>
                <w:sz w:val="21"/>
                <w:szCs w:val="21"/>
              </w:rPr>
            </w:pPr>
            <w:r>
              <w:rPr>
                <w:rFonts w:hint="eastAsia" w:ascii="仿宋" w:hAnsi="仿宋" w:eastAsia="仿宋" w:cs="仿宋"/>
                <w:color w:val="000000"/>
                <w:sz w:val="21"/>
                <w:szCs w:val="21"/>
              </w:rPr>
              <w:t>职业病、重点地方病及鼠疫防治工作</w:t>
            </w:r>
          </w:p>
        </w:tc>
        <w:tc>
          <w:tcPr>
            <w:tcW w:w="1409" w:type="pct"/>
            <w:tcBorders>
              <w:top w:val="single" w:color="000000" w:sz="4" w:space="0"/>
              <w:left w:val="single" w:color="000000" w:sz="4" w:space="0"/>
              <w:bottom w:val="single" w:color="000000" w:sz="4" w:space="0"/>
              <w:right w:val="single" w:color="000000" w:sz="4" w:space="0"/>
            </w:tcBorders>
            <w:shd w:val="clear" w:color="auto" w:fill="auto"/>
            <w:vAlign w:val="top"/>
          </w:tcPr>
          <w:p>
            <w:pPr>
              <w:widowControl/>
              <w:spacing w:line="320" w:lineRule="exact"/>
              <w:jc w:val="both"/>
              <w:textAlignment w:val="bottom"/>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38.87万元</w:t>
            </w:r>
          </w:p>
        </w:tc>
        <w:tc>
          <w:tcPr>
            <w:tcW w:w="1347" w:type="pct"/>
            <w:tcBorders>
              <w:top w:val="single" w:color="000000" w:sz="4" w:space="0"/>
              <w:left w:val="single" w:color="000000" w:sz="4" w:space="0"/>
              <w:bottom w:val="single" w:color="000000" w:sz="4" w:space="0"/>
              <w:right w:val="single" w:color="000000" w:sz="4" w:space="0"/>
            </w:tcBorders>
            <w:shd w:val="clear" w:color="auto" w:fill="auto"/>
            <w:vAlign w:val="top"/>
          </w:tcPr>
          <w:p>
            <w:pPr>
              <w:widowControl/>
              <w:spacing w:line="320" w:lineRule="exact"/>
              <w:jc w:val="both"/>
              <w:textAlignment w:val="bottom"/>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实际完成支付8.24万元，由于财政资金紧张还有30.54万已发生支出财政未确认支付</w:t>
            </w:r>
          </w:p>
        </w:tc>
      </w:tr>
      <w:tr>
        <w:tblPrEx>
          <w:tblCellMar>
            <w:top w:w="0" w:type="dxa"/>
            <w:left w:w="108" w:type="dxa"/>
            <w:bottom w:w="0" w:type="dxa"/>
            <w:right w:w="108" w:type="dxa"/>
          </w:tblCellMar>
        </w:tblPrEx>
        <w:trPr>
          <w:gridAfter w:val="1"/>
          <w:wAfter w:w="119" w:type="pct"/>
          <w:trHeight w:val="480" w:hRule="atLeast"/>
        </w:trPr>
        <w:tc>
          <w:tcPr>
            <w:tcW w:w="276" w:type="pct"/>
            <w:vMerge w:val="continue"/>
            <w:tcBorders>
              <w:left w:val="single" w:color="000000" w:sz="4" w:space="0"/>
              <w:right w:val="single" w:color="000000" w:sz="4" w:space="0"/>
            </w:tcBorders>
            <w:shd w:val="clear" w:color="auto" w:fill="auto"/>
            <w:vAlign w:val="top"/>
          </w:tcPr>
          <w:p>
            <w:pPr>
              <w:spacing w:line="320" w:lineRule="exact"/>
              <w:jc w:val="both"/>
              <w:rPr>
                <w:color w:val="000000"/>
                <w:sz w:val="21"/>
                <w:szCs w:val="21"/>
              </w:rPr>
            </w:pPr>
          </w:p>
        </w:tc>
        <w:tc>
          <w:tcPr>
            <w:tcW w:w="468" w:type="pct"/>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pPr>
              <w:spacing w:line="320" w:lineRule="exact"/>
              <w:jc w:val="both"/>
              <w:rPr>
                <w:color w:val="000000"/>
                <w:sz w:val="21"/>
                <w:szCs w:val="21"/>
              </w:rPr>
            </w:pPr>
          </w:p>
        </w:tc>
        <w:tc>
          <w:tcPr>
            <w:tcW w:w="615" w:type="pct"/>
            <w:vMerge w:val="restart"/>
            <w:tcBorders>
              <w:top w:val="single" w:color="000000" w:sz="4" w:space="0"/>
              <w:left w:val="single" w:color="000000" w:sz="4" w:space="0"/>
              <w:right w:val="single" w:color="000000" w:sz="4" w:space="0"/>
            </w:tcBorders>
            <w:shd w:val="clear" w:color="auto" w:fill="auto"/>
            <w:vAlign w:val="top"/>
          </w:tcPr>
          <w:p>
            <w:pPr>
              <w:widowControl/>
              <w:spacing w:line="320" w:lineRule="exact"/>
              <w:jc w:val="both"/>
              <w:textAlignment w:val="bottom"/>
              <w:rPr>
                <w:color w:val="000000"/>
                <w:sz w:val="21"/>
                <w:szCs w:val="21"/>
              </w:rPr>
            </w:pPr>
            <w:r>
              <w:rPr>
                <w:color w:val="000000"/>
                <w:kern w:val="0"/>
                <w:sz w:val="21"/>
                <w:szCs w:val="21"/>
                <w:lang w:bidi="ar"/>
              </w:rPr>
              <w:t>社会效益指标</w:t>
            </w:r>
          </w:p>
        </w:tc>
        <w:tc>
          <w:tcPr>
            <w:tcW w:w="762"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both"/>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城乡居民公共卫生差距</w:t>
            </w:r>
          </w:p>
        </w:tc>
        <w:tc>
          <w:tcPr>
            <w:tcW w:w="1409"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both"/>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不断缩小</w:t>
            </w:r>
          </w:p>
        </w:tc>
        <w:tc>
          <w:tcPr>
            <w:tcW w:w="1347"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both"/>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逐年缩小</w:t>
            </w:r>
          </w:p>
        </w:tc>
      </w:tr>
      <w:tr>
        <w:tblPrEx>
          <w:tblCellMar>
            <w:top w:w="0" w:type="dxa"/>
            <w:left w:w="108" w:type="dxa"/>
            <w:bottom w:w="0" w:type="dxa"/>
            <w:right w:w="108" w:type="dxa"/>
          </w:tblCellMar>
        </w:tblPrEx>
        <w:trPr>
          <w:gridAfter w:val="1"/>
          <w:wAfter w:w="119" w:type="pct"/>
          <w:trHeight w:val="484" w:hRule="atLeast"/>
        </w:trPr>
        <w:tc>
          <w:tcPr>
            <w:tcW w:w="276" w:type="pct"/>
            <w:vMerge w:val="continue"/>
            <w:tcBorders>
              <w:left w:val="single" w:color="000000" w:sz="4" w:space="0"/>
              <w:right w:val="single" w:color="000000" w:sz="4" w:space="0"/>
            </w:tcBorders>
            <w:shd w:val="clear" w:color="auto" w:fill="auto"/>
            <w:vAlign w:val="top"/>
          </w:tcPr>
          <w:p>
            <w:pPr>
              <w:spacing w:line="320" w:lineRule="exact"/>
              <w:jc w:val="both"/>
              <w:rPr>
                <w:color w:val="000000"/>
                <w:sz w:val="21"/>
                <w:szCs w:val="21"/>
              </w:rPr>
            </w:pPr>
          </w:p>
        </w:tc>
        <w:tc>
          <w:tcPr>
            <w:tcW w:w="468" w:type="pct"/>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pPr>
              <w:spacing w:line="320" w:lineRule="exact"/>
              <w:jc w:val="both"/>
              <w:rPr>
                <w:color w:val="000000"/>
                <w:sz w:val="21"/>
                <w:szCs w:val="21"/>
              </w:rPr>
            </w:pPr>
          </w:p>
        </w:tc>
        <w:tc>
          <w:tcPr>
            <w:tcW w:w="615" w:type="pct"/>
            <w:vMerge w:val="continue"/>
            <w:tcBorders>
              <w:left w:val="single" w:color="000000" w:sz="4" w:space="0"/>
              <w:bottom w:val="single" w:color="000000" w:sz="4" w:space="0"/>
              <w:right w:val="single" w:color="000000" w:sz="4" w:space="0"/>
            </w:tcBorders>
            <w:shd w:val="clear" w:color="auto" w:fill="auto"/>
            <w:vAlign w:val="top"/>
          </w:tcPr>
          <w:p>
            <w:pPr>
              <w:widowControl/>
              <w:spacing w:line="320" w:lineRule="exact"/>
              <w:jc w:val="both"/>
              <w:textAlignment w:val="bottom"/>
              <w:rPr>
                <w:color w:val="000000"/>
                <w:sz w:val="21"/>
                <w:szCs w:val="21"/>
              </w:rPr>
            </w:pPr>
          </w:p>
        </w:tc>
        <w:tc>
          <w:tcPr>
            <w:tcW w:w="762"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both"/>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居民健康素养水平</w:t>
            </w:r>
          </w:p>
        </w:tc>
        <w:tc>
          <w:tcPr>
            <w:tcW w:w="1409"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both"/>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不断提高</w:t>
            </w:r>
          </w:p>
        </w:tc>
        <w:tc>
          <w:tcPr>
            <w:tcW w:w="1347"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both"/>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逐年提高</w:t>
            </w:r>
          </w:p>
        </w:tc>
      </w:tr>
      <w:tr>
        <w:tblPrEx>
          <w:tblCellMar>
            <w:top w:w="0" w:type="dxa"/>
            <w:left w:w="108" w:type="dxa"/>
            <w:bottom w:w="0" w:type="dxa"/>
            <w:right w:w="108" w:type="dxa"/>
          </w:tblCellMar>
        </w:tblPrEx>
        <w:trPr>
          <w:gridAfter w:val="1"/>
          <w:wAfter w:w="119" w:type="pct"/>
          <w:trHeight w:val="480" w:hRule="atLeast"/>
        </w:trPr>
        <w:tc>
          <w:tcPr>
            <w:tcW w:w="276" w:type="pct"/>
            <w:vMerge w:val="continue"/>
            <w:tcBorders>
              <w:left w:val="single" w:color="000000" w:sz="4" w:space="0"/>
              <w:right w:val="single" w:color="000000" w:sz="4" w:space="0"/>
            </w:tcBorders>
            <w:shd w:val="clear" w:color="auto" w:fill="auto"/>
            <w:vAlign w:val="top"/>
          </w:tcPr>
          <w:p>
            <w:pPr>
              <w:spacing w:line="320" w:lineRule="exact"/>
              <w:jc w:val="both"/>
              <w:rPr>
                <w:color w:val="000000"/>
                <w:sz w:val="21"/>
                <w:szCs w:val="21"/>
              </w:rPr>
            </w:pPr>
          </w:p>
        </w:tc>
        <w:tc>
          <w:tcPr>
            <w:tcW w:w="468" w:type="pct"/>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pPr>
              <w:spacing w:line="320" w:lineRule="exact"/>
              <w:jc w:val="both"/>
              <w:rPr>
                <w:color w:val="000000"/>
                <w:sz w:val="21"/>
                <w:szCs w:val="21"/>
              </w:rPr>
            </w:pP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top"/>
          </w:tcPr>
          <w:p>
            <w:pPr>
              <w:widowControl/>
              <w:spacing w:line="320" w:lineRule="exact"/>
              <w:jc w:val="both"/>
              <w:textAlignment w:val="bottom"/>
              <w:rPr>
                <w:color w:val="000000"/>
                <w:sz w:val="21"/>
                <w:szCs w:val="21"/>
              </w:rPr>
            </w:pPr>
            <w:r>
              <w:rPr>
                <w:rFonts w:hint="eastAsia"/>
                <w:color w:val="000000"/>
                <w:kern w:val="0"/>
                <w:sz w:val="21"/>
                <w:szCs w:val="21"/>
                <w:lang w:val="en-US" w:eastAsia="zh-CN" w:bidi="ar"/>
              </w:rPr>
              <w:t>可持续影</w:t>
            </w:r>
            <w:r>
              <w:rPr>
                <w:color w:val="000000"/>
                <w:kern w:val="0"/>
                <w:sz w:val="21"/>
                <w:szCs w:val="21"/>
                <w:lang w:bidi="ar"/>
              </w:rPr>
              <w:t>响指标</w:t>
            </w:r>
          </w:p>
        </w:tc>
        <w:tc>
          <w:tcPr>
            <w:tcW w:w="762"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both"/>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基本公共卫生服务水平</w:t>
            </w:r>
          </w:p>
        </w:tc>
        <w:tc>
          <w:tcPr>
            <w:tcW w:w="1409"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both"/>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不断提高</w:t>
            </w:r>
          </w:p>
        </w:tc>
        <w:tc>
          <w:tcPr>
            <w:tcW w:w="1347"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both"/>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逐年提高</w:t>
            </w:r>
          </w:p>
        </w:tc>
      </w:tr>
      <w:tr>
        <w:tblPrEx>
          <w:tblCellMar>
            <w:top w:w="0" w:type="dxa"/>
            <w:left w:w="108" w:type="dxa"/>
            <w:bottom w:w="0" w:type="dxa"/>
            <w:right w:w="108" w:type="dxa"/>
          </w:tblCellMar>
        </w:tblPrEx>
        <w:trPr>
          <w:gridAfter w:val="1"/>
          <w:wAfter w:w="119" w:type="pct"/>
          <w:trHeight w:val="590" w:hRule="atLeast"/>
        </w:trPr>
        <w:tc>
          <w:tcPr>
            <w:tcW w:w="276" w:type="pct"/>
            <w:vMerge w:val="continue"/>
            <w:tcBorders>
              <w:left w:val="single" w:color="000000" w:sz="4" w:space="0"/>
              <w:bottom w:val="single" w:color="000000" w:sz="4" w:space="0"/>
              <w:right w:val="single" w:color="000000" w:sz="4" w:space="0"/>
            </w:tcBorders>
            <w:shd w:val="clear" w:color="auto" w:fill="auto"/>
            <w:vAlign w:val="top"/>
          </w:tcPr>
          <w:p>
            <w:pPr>
              <w:spacing w:line="320" w:lineRule="exact"/>
              <w:jc w:val="both"/>
              <w:rPr>
                <w:color w:val="000000"/>
                <w:sz w:val="21"/>
                <w:szCs w:val="21"/>
              </w:rPr>
            </w:pP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top"/>
          </w:tcPr>
          <w:p>
            <w:pPr>
              <w:widowControl/>
              <w:spacing w:line="320" w:lineRule="exact"/>
              <w:jc w:val="both"/>
              <w:textAlignment w:val="bottom"/>
              <w:rPr>
                <w:color w:val="000000"/>
                <w:sz w:val="21"/>
                <w:szCs w:val="21"/>
              </w:rPr>
            </w:pP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top"/>
          </w:tcPr>
          <w:p>
            <w:pPr>
              <w:widowControl/>
              <w:spacing w:line="320" w:lineRule="exact"/>
              <w:jc w:val="both"/>
              <w:textAlignment w:val="bottom"/>
              <w:rPr>
                <w:color w:val="000000"/>
                <w:kern w:val="0"/>
                <w:sz w:val="21"/>
                <w:szCs w:val="21"/>
                <w:lang w:bidi="ar"/>
              </w:rPr>
            </w:pPr>
            <w:r>
              <w:rPr>
                <w:color w:val="000000"/>
                <w:kern w:val="0"/>
                <w:sz w:val="21"/>
                <w:szCs w:val="21"/>
                <w:lang w:bidi="ar"/>
              </w:rPr>
              <w:t>满意度</w:t>
            </w:r>
          </w:p>
          <w:p>
            <w:pPr>
              <w:widowControl/>
              <w:spacing w:line="320" w:lineRule="exact"/>
              <w:jc w:val="both"/>
              <w:textAlignment w:val="bottom"/>
              <w:rPr>
                <w:color w:val="000000"/>
                <w:sz w:val="21"/>
                <w:szCs w:val="21"/>
              </w:rPr>
            </w:pPr>
            <w:r>
              <w:rPr>
                <w:color w:val="000000"/>
                <w:kern w:val="0"/>
                <w:sz w:val="21"/>
                <w:szCs w:val="21"/>
                <w:lang w:bidi="ar"/>
              </w:rPr>
              <w:t>指标</w:t>
            </w:r>
          </w:p>
        </w:tc>
        <w:tc>
          <w:tcPr>
            <w:tcW w:w="762"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both"/>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重点人群满意度</w:t>
            </w:r>
          </w:p>
        </w:tc>
        <w:tc>
          <w:tcPr>
            <w:tcW w:w="1409"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both"/>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抽样调查满意度达到95%及以上</w:t>
            </w:r>
          </w:p>
        </w:tc>
        <w:tc>
          <w:tcPr>
            <w:tcW w:w="1347"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both"/>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抽样调查满意度达到95%</w:t>
            </w:r>
          </w:p>
        </w:tc>
      </w:tr>
    </w:tbl>
    <w:p>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073099"/>
    <w:multiLevelType w:val="singleLevel"/>
    <w:tmpl w:val="A9073099"/>
    <w:lvl w:ilvl="0" w:tentative="0">
      <w:start w:val="2"/>
      <w:numFmt w:val="decimal"/>
      <w:suff w:val="nothing"/>
      <w:lvlText w:val="%1．"/>
      <w:lvlJc w:val="left"/>
    </w:lvl>
  </w:abstractNum>
  <w:abstractNum w:abstractNumId="1">
    <w:nsid w:val="BED490B9"/>
    <w:multiLevelType w:val="singleLevel"/>
    <w:tmpl w:val="BED490B9"/>
    <w:lvl w:ilvl="0" w:tentative="0">
      <w:start w:val="1"/>
      <w:numFmt w:val="chineseCounting"/>
      <w:suff w:val="nothing"/>
      <w:lvlText w:val="%1、"/>
      <w:lvlJc w:val="left"/>
      <w:rPr>
        <w:rFonts w:hint="eastAsia"/>
      </w:rPr>
    </w:lvl>
  </w:abstractNum>
  <w:abstractNum w:abstractNumId="2">
    <w:nsid w:val="0519EEEE"/>
    <w:multiLevelType w:val="singleLevel"/>
    <w:tmpl w:val="0519EEEE"/>
    <w:lvl w:ilvl="0" w:tentative="0">
      <w:start w:val="2"/>
      <w:numFmt w:val="decimal"/>
      <w:suff w:val="nothing"/>
      <w:lvlText w:val="%1．"/>
      <w:lvlJc w:val="left"/>
    </w:lvl>
  </w:abstractNum>
  <w:abstractNum w:abstractNumId="3">
    <w:nsid w:val="103D7733"/>
    <w:multiLevelType w:val="singleLevel"/>
    <w:tmpl w:val="103D7733"/>
    <w:lvl w:ilvl="0" w:tentative="0">
      <w:start w:val="1"/>
      <w:numFmt w:val="decimal"/>
      <w:suff w:val="nothing"/>
      <w:lvlText w:val="%1、"/>
      <w:lvlJc w:val="left"/>
    </w:lvl>
  </w:abstractNum>
  <w:abstractNum w:abstractNumId="4">
    <w:nsid w:val="10FF40CB"/>
    <w:multiLevelType w:val="singleLevel"/>
    <w:tmpl w:val="10FF40CB"/>
    <w:lvl w:ilvl="0" w:tentative="0">
      <w:start w:val="2"/>
      <w:numFmt w:val="chineseCounting"/>
      <w:suff w:val="nothing"/>
      <w:lvlText w:val="（%1）"/>
      <w:lvlJc w:val="left"/>
      <w:pPr>
        <w:ind w:left="-80"/>
      </w:pPr>
      <w:rPr>
        <w:rFonts w:hint="eastAsia"/>
      </w:rPr>
    </w:lvl>
  </w:abstractNum>
  <w:abstractNum w:abstractNumId="5">
    <w:nsid w:val="179F7B2D"/>
    <w:multiLevelType w:val="singleLevel"/>
    <w:tmpl w:val="179F7B2D"/>
    <w:lvl w:ilvl="0" w:tentative="0">
      <w:start w:val="2"/>
      <w:numFmt w:val="chineseCounting"/>
      <w:suff w:val="nothing"/>
      <w:lvlText w:val="（%1）"/>
      <w:lvlJc w:val="left"/>
      <w:rPr>
        <w:rFonts w:hint="eastAsia"/>
      </w:rPr>
    </w:lvl>
  </w:abstractNum>
  <w:abstractNum w:abstractNumId="6">
    <w:nsid w:val="291FD66E"/>
    <w:multiLevelType w:val="singleLevel"/>
    <w:tmpl w:val="291FD66E"/>
    <w:lvl w:ilvl="0" w:tentative="0">
      <w:start w:val="1"/>
      <w:numFmt w:val="chineseCounting"/>
      <w:suff w:val="nothing"/>
      <w:lvlText w:val="（%1）"/>
      <w:lvlJc w:val="left"/>
      <w:rPr>
        <w:rFonts w:hint="eastAsia"/>
      </w:rPr>
    </w:lvl>
  </w:abstractNum>
  <w:abstractNum w:abstractNumId="7">
    <w:nsid w:val="718656FD"/>
    <w:multiLevelType w:val="singleLevel"/>
    <w:tmpl w:val="718656FD"/>
    <w:lvl w:ilvl="0" w:tentative="0">
      <w:start w:val="1"/>
      <w:numFmt w:val="chineseCounting"/>
      <w:suff w:val="nothing"/>
      <w:lvlText w:val="（%1）"/>
      <w:lvlJc w:val="left"/>
      <w:rPr>
        <w:rFonts w:hint="eastAsia"/>
      </w:rPr>
    </w:lvl>
  </w:abstractNum>
  <w:num w:numId="1">
    <w:abstractNumId w:val="7"/>
  </w:num>
  <w:num w:numId="2">
    <w:abstractNumId w:val="1"/>
  </w:num>
  <w:num w:numId="3">
    <w:abstractNumId w:val="4"/>
  </w:num>
  <w:num w:numId="4">
    <w:abstractNumId w:val="0"/>
  </w:num>
  <w:num w:numId="5">
    <w:abstractNumId w:val="6"/>
  </w:num>
  <w:num w:numId="6">
    <w:abstractNumId w:val="2"/>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1C455A"/>
    <w:rsid w:val="003414A3"/>
    <w:rsid w:val="00515A0C"/>
    <w:rsid w:val="00866E99"/>
    <w:rsid w:val="072D128E"/>
    <w:rsid w:val="0B1F77BD"/>
    <w:rsid w:val="0C193B8E"/>
    <w:rsid w:val="0C397212"/>
    <w:rsid w:val="0DE102D0"/>
    <w:rsid w:val="0EDB478C"/>
    <w:rsid w:val="103F1B22"/>
    <w:rsid w:val="119B44C9"/>
    <w:rsid w:val="25087128"/>
    <w:rsid w:val="256C6B71"/>
    <w:rsid w:val="25FF434D"/>
    <w:rsid w:val="291C455A"/>
    <w:rsid w:val="36926D0C"/>
    <w:rsid w:val="39B767F3"/>
    <w:rsid w:val="3FC918BF"/>
    <w:rsid w:val="4190710A"/>
    <w:rsid w:val="4A0A4275"/>
    <w:rsid w:val="4DAF2BCF"/>
    <w:rsid w:val="4DDB6F66"/>
    <w:rsid w:val="4E130FE5"/>
    <w:rsid w:val="4FCC1E83"/>
    <w:rsid w:val="5854137A"/>
    <w:rsid w:val="5B476A1A"/>
    <w:rsid w:val="6C1E05FF"/>
    <w:rsid w:val="6F8E7B25"/>
    <w:rsid w:val="74561EEC"/>
    <w:rsid w:val="792F2AEE"/>
    <w:rsid w:val="7A6B4E37"/>
    <w:rsid w:val="7A884506"/>
    <w:rsid w:val="7ED05638"/>
    <w:rsid w:val="BFFE83F2"/>
    <w:rsid w:val="D7FDD76B"/>
    <w:rsid w:val="F7FEB9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Indent"/>
    <w:basedOn w:val="1"/>
    <w:qFormat/>
    <w:uiPriority w:val="0"/>
    <w:pPr>
      <w:ind w:left="420" w:leftChars="200"/>
    </w:pPr>
  </w:style>
  <w:style w:type="paragraph" w:styleId="3">
    <w:name w:val="footer"/>
    <w:basedOn w:val="1"/>
    <w:qFormat/>
    <w:uiPriority w:val="99"/>
    <w:pPr>
      <w:tabs>
        <w:tab w:val="center" w:pos="4153"/>
        <w:tab w:val="right" w:pos="8306"/>
      </w:tabs>
      <w:snapToGrid w:val="0"/>
      <w:jc w:val="left"/>
    </w:pPr>
    <w:rPr>
      <w:rFonts w:eastAsia="宋体"/>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rFonts w:eastAsia="宋体"/>
      <w:sz w:val="18"/>
      <w:szCs w:val="18"/>
    </w:rPr>
  </w:style>
  <w:style w:type="paragraph" w:styleId="5">
    <w:name w:val="Body Text First Indent 2"/>
    <w:basedOn w:val="2"/>
    <w:qFormat/>
    <w:uiPriority w:val="0"/>
    <w:pPr>
      <w:ind w:firstLine="420"/>
    </w:pPr>
  </w:style>
  <w:style w:type="paragraph" w:customStyle="1" w:styleId="8">
    <w:name w:val="四号正文"/>
    <w:basedOn w:val="1"/>
    <w:qFormat/>
    <w:uiPriority w:val="0"/>
    <w:pPr>
      <w:spacing w:line="360" w:lineRule="auto"/>
    </w:pPr>
    <w:rPr>
      <w:rFonts w:ascii="??" w:hAnsi="??" w:eastAsia="宋体"/>
      <w:color w:val="000000"/>
      <w:kern w:val="0"/>
      <w:sz w:val="28"/>
      <w:szCs w:val="21"/>
      <w:lang w:val="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Hewlett-Packard Company</Company>
  <Pages>1</Pages>
  <Words>0</Words>
  <Characters>0</Characters>
  <Lines>0</Lines>
  <Paragraphs>0</Paragraphs>
  <TotalTime>4</TotalTime>
  <ScaleCrop>false</ScaleCrop>
  <LinksUpToDate>false</LinksUpToDate>
  <CharactersWithSpaces>0</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2023-04-19T15:41:00Z</dcterms:created>
  <dc:creator>admin</dc:creator>
  <cp:lastModifiedBy>user</cp:lastModifiedBy>
  <dcterms:modified xsi:type="dcterms:W3CDTF">2026-07-22T16:32:38Z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2A7DBF20435F4D2A92C8FB1F932911DF</vt:lpwstr>
  </property>
</Properties>
</file>