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198" w:firstLineChars="62"/>
        <w:rPr>
          <w:rFonts w:hint="default" w:ascii="Times New Roman" w:hAnsi="Times New Roman" w:eastAsia="方正黑体_GBK" w:cs="Times New Roman"/>
          <w:bCs/>
          <w:kern w:val="44"/>
          <w:szCs w:val="32"/>
        </w:rPr>
      </w:pPr>
      <w:r>
        <w:rPr>
          <w:rFonts w:hint="default" w:ascii="Times New Roman" w:hAnsi="Times New Roman" w:eastAsia="方正黑体_GBK" w:cs="Times New Roman"/>
          <w:bCs/>
          <w:kern w:val="44"/>
          <w:szCs w:val="32"/>
        </w:rPr>
        <w:t>附件1</w:t>
      </w:r>
    </w:p>
    <w:p>
      <w:pPr>
        <w:spacing w:line="600" w:lineRule="exact"/>
        <w:ind w:firstLine="272" w:firstLineChars="62"/>
        <w:jc w:val="center"/>
        <w:rPr>
          <w:rFonts w:ascii="Times New Roman" w:hAnsi="Times New Roman" w:eastAsia="方正小标宋_GBK" w:cs="Times New Roman"/>
          <w:bCs/>
          <w:sz w:val="44"/>
          <w:szCs w:val="44"/>
        </w:rPr>
      </w:pPr>
    </w:p>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方正小标宋_GBK" w:cs="Times New Roman"/>
          <w:b/>
          <w:bCs w:val="0"/>
          <w:sz w:val="44"/>
          <w:szCs w:val="44"/>
        </w:rPr>
      </w:pPr>
      <w:r>
        <w:rPr>
          <w:rFonts w:ascii="Times New Roman" w:hAnsi="Times New Roman" w:eastAsia="方正小标宋_GBK" w:cs="Times New Roman"/>
          <w:b/>
          <w:bCs w:val="0"/>
          <w:sz w:val="44"/>
          <w:szCs w:val="44"/>
        </w:rPr>
        <w:t>攀枝花市</w:t>
      </w:r>
      <w:r>
        <w:rPr>
          <w:rFonts w:hint="eastAsia" w:ascii="Times New Roman" w:hAnsi="Times New Roman" w:eastAsia="方正小标宋_GBK" w:cs="Times New Roman"/>
          <w:b/>
          <w:bCs w:val="0"/>
          <w:sz w:val="44"/>
          <w:szCs w:val="44"/>
          <w:lang w:eastAsia="zh-CN"/>
        </w:rPr>
        <w:t>仁和区</w:t>
      </w:r>
      <w:r>
        <w:rPr>
          <w:rFonts w:ascii="Times New Roman" w:hAnsi="Times New Roman" w:eastAsia="方正小标宋_GBK" w:cs="Times New Roman"/>
          <w:b/>
          <w:bCs w:val="0"/>
          <w:sz w:val="44"/>
          <w:szCs w:val="44"/>
        </w:rPr>
        <w:t>财政局</w:t>
      </w:r>
    </w:p>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ascii="Times New Roman" w:hAnsi="Times New Roman" w:eastAsia="方正小标宋_GBK" w:cs="Times New Roman"/>
          <w:b/>
          <w:bCs w:val="0"/>
          <w:sz w:val="44"/>
          <w:szCs w:val="44"/>
        </w:rPr>
      </w:pPr>
      <w:r>
        <w:rPr>
          <w:rFonts w:ascii="Times New Roman" w:hAnsi="Times New Roman" w:eastAsia="方正小标宋_GBK" w:cs="Times New Roman"/>
          <w:b/>
          <w:bCs w:val="0"/>
          <w:sz w:val="44"/>
          <w:szCs w:val="44"/>
        </w:rPr>
        <w:t>2026年财政重点绩效评价服务项目</w:t>
      </w:r>
    </w:p>
    <w:p>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eastAsia" w:ascii="Times New Roman" w:hAnsi="Times New Roman" w:eastAsia="方正小标宋_GBK" w:cs="Times New Roman"/>
          <w:b/>
          <w:bCs w:val="0"/>
          <w:sz w:val="44"/>
          <w:szCs w:val="44"/>
        </w:rPr>
      </w:pPr>
      <w:r>
        <w:rPr>
          <w:rFonts w:ascii="Times New Roman" w:hAnsi="Times New Roman" w:eastAsia="方正小标宋_GBK" w:cs="Times New Roman"/>
          <w:b/>
          <w:bCs w:val="0"/>
          <w:sz w:val="44"/>
          <w:szCs w:val="44"/>
        </w:rPr>
        <w:t>比选</w:t>
      </w:r>
      <w:r>
        <w:rPr>
          <w:rFonts w:hint="eastAsia" w:ascii="Times New Roman" w:hAnsi="Times New Roman" w:eastAsia="方正小标宋_GBK" w:cs="Times New Roman"/>
          <w:b/>
          <w:bCs w:val="0"/>
          <w:sz w:val="44"/>
          <w:szCs w:val="44"/>
        </w:rPr>
        <w:t>文件</w:t>
      </w:r>
    </w:p>
    <w:p>
      <w:pPr>
        <w:spacing w:line="600" w:lineRule="exact"/>
        <w:ind w:firstLine="835" w:firstLineChars="261"/>
        <w:jc w:val="left"/>
        <w:rPr>
          <w:rFonts w:hint="eastAsia" w:ascii="方正黑体_GBK" w:hAnsi="方正黑体_GBK" w:eastAsia="方正黑体_GBK" w:cs="方正黑体_GBK"/>
          <w:b w:val="0"/>
          <w:szCs w:val="32"/>
        </w:rPr>
      </w:pPr>
    </w:p>
    <w:p>
      <w:pPr>
        <w:spacing w:line="600" w:lineRule="exact"/>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一、项目概况</w:t>
      </w:r>
    </w:p>
    <w:p>
      <w:pPr>
        <w:spacing w:line="600" w:lineRule="exact"/>
        <w:ind w:firstLine="640"/>
        <w:rPr>
          <w:rFonts w:ascii="Times New Roman" w:hAnsi="Times New Roman" w:cs="Times New Roman"/>
          <w:szCs w:val="32"/>
        </w:rPr>
      </w:pPr>
      <w:r>
        <w:rPr>
          <w:rFonts w:hint="default" w:ascii="Times New Roman" w:hAnsi="Times New Roman" w:eastAsia="方正仿宋_GBK" w:cs="Times New Roman"/>
          <w:szCs w:val="32"/>
        </w:rPr>
        <w:t>为积极推进</w:t>
      </w:r>
      <w:r>
        <w:rPr>
          <w:rFonts w:hint="default" w:ascii="Times New Roman" w:hAnsi="Times New Roman" w:eastAsia="方正仿宋_GBK" w:cs="Times New Roman"/>
          <w:szCs w:val="32"/>
          <w:lang w:eastAsia="zh-CN"/>
        </w:rPr>
        <w:t>区</w:t>
      </w:r>
      <w:r>
        <w:rPr>
          <w:rFonts w:hint="default" w:ascii="Times New Roman" w:hAnsi="Times New Roman" w:eastAsia="方正仿宋_GBK" w:cs="Times New Roman"/>
          <w:szCs w:val="32"/>
        </w:rPr>
        <w:t>级财政预算绩效管理工作，提升绩效管理客观性、公正性，按照2026年攀枝花市</w:t>
      </w:r>
      <w:r>
        <w:rPr>
          <w:rFonts w:hint="default" w:ascii="Times New Roman" w:hAnsi="Times New Roman" w:eastAsia="方正仿宋_GBK" w:cs="Times New Roman"/>
          <w:szCs w:val="32"/>
          <w:lang w:eastAsia="zh-CN"/>
        </w:rPr>
        <w:t>仁和区</w:t>
      </w:r>
      <w:r>
        <w:rPr>
          <w:rFonts w:hint="default" w:ascii="Times New Roman" w:hAnsi="Times New Roman" w:eastAsia="方正仿宋_GBK" w:cs="Times New Roman"/>
          <w:szCs w:val="32"/>
        </w:rPr>
        <w:t>财政局绩效</w:t>
      </w:r>
      <w:r>
        <w:rPr>
          <w:rFonts w:hint="default" w:ascii="Times New Roman" w:hAnsi="Times New Roman" w:eastAsia="方正仿宋_GBK" w:cs="Times New Roman"/>
          <w:szCs w:val="32"/>
          <w:lang w:eastAsia="zh-CN"/>
        </w:rPr>
        <w:t>管理</w:t>
      </w:r>
      <w:r>
        <w:rPr>
          <w:rFonts w:hint="default" w:ascii="Times New Roman" w:hAnsi="Times New Roman" w:eastAsia="方正仿宋_GBK" w:cs="Times New Roman"/>
          <w:szCs w:val="32"/>
        </w:rPr>
        <w:t>工作安排，攀枝花市</w:t>
      </w:r>
      <w:r>
        <w:rPr>
          <w:rFonts w:hint="default" w:ascii="Times New Roman" w:hAnsi="Times New Roman" w:eastAsia="方正仿宋_GBK" w:cs="Times New Roman"/>
          <w:szCs w:val="32"/>
          <w:lang w:eastAsia="zh-CN"/>
        </w:rPr>
        <w:t>仁和区</w:t>
      </w:r>
      <w:r>
        <w:rPr>
          <w:rFonts w:hint="default" w:ascii="Times New Roman" w:hAnsi="Times New Roman" w:eastAsia="方正仿宋_GBK" w:cs="Times New Roman"/>
          <w:szCs w:val="32"/>
        </w:rPr>
        <w:t>财政局拟采取比选采购方式选择</w:t>
      </w:r>
      <w:r>
        <w:rPr>
          <w:rFonts w:hint="default" w:ascii="Times New Roman" w:hAnsi="Times New Roman" w:eastAsia="方正仿宋_GBK" w:cs="Times New Roman"/>
          <w:szCs w:val="32"/>
          <w:lang w:val="en-US" w:eastAsia="zh-CN"/>
        </w:rPr>
        <w:t>2</w:t>
      </w:r>
      <w:r>
        <w:rPr>
          <w:rFonts w:hint="default" w:ascii="Times New Roman" w:hAnsi="Times New Roman" w:eastAsia="方正仿宋_GBK" w:cs="Times New Roman"/>
          <w:szCs w:val="32"/>
        </w:rPr>
        <w:t>家第三方机构提供2026年财政重点绩效评价服务，本次比选采购项目共</w:t>
      </w:r>
      <w:r>
        <w:rPr>
          <w:rFonts w:hint="default" w:ascii="Times New Roman" w:hAnsi="Times New Roman" w:eastAsia="方正仿宋_GBK" w:cs="Times New Roman"/>
          <w:szCs w:val="32"/>
          <w:lang w:val="en-US" w:eastAsia="zh-CN"/>
        </w:rPr>
        <w:t>2个</w:t>
      </w:r>
      <w:r>
        <w:rPr>
          <w:rFonts w:hint="default" w:ascii="Times New Roman" w:hAnsi="Times New Roman" w:eastAsia="方正仿宋_GBK" w:cs="Times New Roman"/>
          <w:szCs w:val="32"/>
        </w:rPr>
        <w:t>包件。</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二、项目名称</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攀枝花市</w:t>
      </w:r>
      <w:r>
        <w:rPr>
          <w:rFonts w:hint="eastAsia" w:ascii="Times New Roman" w:hAnsi="Times New Roman" w:eastAsia="方正仿宋_GBK" w:cs="Times New Roman"/>
          <w:szCs w:val="32"/>
          <w:lang w:eastAsia="zh-CN"/>
        </w:rPr>
        <w:t>仁和区</w:t>
      </w:r>
      <w:r>
        <w:rPr>
          <w:rFonts w:hint="default" w:ascii="Times New Roman" w:hAnsi="Times New Roman" w:eastAsia="方正仿宋_GBK" w:cs="Times New Roman"/>
          <w:szCs w:val="32"/>
        </w:rPr>
        <w:t>财政局2026年财政重点绩效评价服务项目。</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三、项目预算</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该项目采购</w:t>
      </w:r>
      <w:r>
        <w:rPr>
          <w:rFonts w:hint="eastAsia" w:ascii="Times New Roman" w:hAnsi="Times New Roman" w:eastAsia="方正仿宋_GBK" w:cs="Times New Roman"/>
          <w:szCs w:val="32"/>
        </w:rPr>
        <w:t>总</w:t>
      </w:r>
      <w:r>
        <w:rPr>
          <w:rFonts w:hint="default" w:ascii="Times New Roman" w:hAnsi="Times New Roman" w:eastAsia="方正仿宋_GBK" w:cs="Times New Roman"/>
          <w:szCs w:val="32"/>
        </w:rPr>
        <w:t>预算为</w:t>
      </w:r>
      <w:r>
        <w:rPr>
          <w:rFonts w:hint="eastAsia" w:ascii="Times New Roman" w:hAnsi="Times New Roman" w:eastAsia="方正仿宋_GBK" w:cs="Times New Roman"/>
          <w:szCs w:val="32"/>
          <w:lang w:val="en-US" w:eastAsia="zh-CN"/>
        </w:rPr>
        <w:t>6</w:t>
      </w:r>
      <w:r>
        <w:rPr>
          <w:rFonts w:hint="default" w:ascii="Times New Roman" w:hAnsi="Times New Roman" w:eastAsia="方正仿宋_GBK" w:cs="Times New Roman"/>
          <w:szCs w:val="32"/>
        </w:rPr>
        <w:t>万元，</w:t>
      </w:r>
      <w:r>
        <w:rPr>
          <w:rFonts w:hint="eastAsia" w:ascii="Times New Roman" w:hAnsi="Times New Roman" w:eastAsia="方正仿宋_GBK" w:cs="Times New Roman"/>
          <w:szCs w:val="32"/>
        </w:rPr>
        <w:t>分为</w:t>
      </w:r>
      <w:r>
        <w:rPr>
          <w:rFonts w:hint="eastAsia" w:ascii="Times New Roman" w:hAnsi="Times New Roman" w:eastAsia="方正仿宋_GBK" w:cs="Times New Roman"/>
          <w:szCs w:val="32"/>
          <w:lang w:val="en-US" w:eastAsia="zh-CN"/>
        </w:rPr>
        <w:t>2</w:t>
      </w:r>
      <w:r>
        <w:rPr>
          <w:rFonts w:hint="eastAsia" w:ascii="Times New Roman" w:hAnsi="Times New Roman" w:eastAsia="方正仿宋_GBK" w:cs="Times New Roman"/>
          <w:szCs w:val="32"/>
        </w:rPr>
        <w:t>个</w:t>
      </w:r>
      <w:r>
        <w:rPr>
          <w:rFonts w:hint="default" w:ascii="Times New Roman" w:hAnsi="Times New Roman" w:eastAsia="方正仿宋_GBK" w:cs="Times New Roman"/>
          <w:szCs w:val="32"/>
        </w:rPr>
        <w:t>包，</w:t>
      </w:r>
      <w:r>
        <w:rPr>
          <w:rFonts w:hint="eastAsia" w:ascii="Times New Roman" w:hAnsi="Times New Roman" w:eastAsia="方正仿宋_GBK" w:cs="Times New Roman"/>
          <w:szCs w:val="32"/>
        </w:rPr>
        <w:t>其中</w:t>
      </w:r>
      <w:r>
        <w:rPr>
          <w:rFonts w:hint="eastAsia" w:ascii="Times New Roman" w:hAnsi="Times New Roman" w:eastAsia="方正仿宋_GBK" w:cs="Times New Roman"/>
          <w:szCs w:val="32"/>
          <w:lang w:eastAsia="zh-CN"/>
        </w:rPr>
        <w:t>：包一</w:t>
      </w:r>
      <w:r>
        <w:rPr>
          <w:rFonts w:hint="eastAsia" w:ascii="Times New Roman" w:hAnsi="Times New Roman" w:eastAsia="方正仿宋_GBK" w:cs="Times New Roman"/>
          <w:szCs w:val="32"/>
        </w:rPr>
        <w:t>预算</w:t>
      </w:r>
      <w:r>
        <w:rPr>
          <w:rFonts w:hint="default" w:ascii="Times New Roman" w:hAnsi="Times New Roman" w:eastAsia="方正仿宋_GBK" w:cs="Times New Roman"/>
          <w:szCs w:val="32"/>
        </w:rPr>
        <w:t>为</w:t>
      </w:r>
      <w:r>
        <w:rPr>
          <w:rFonts w:hint="eastAsia" w:ascii="Times New Roman" w:hAnsi="Times New Roman" w:eastAsia="方正仿宋_GBK" w:cs="Times New Roman"/>
          <w:szCs w:val="32"/>
          <w:lang w:val="en-US" w:eastAsia="zh-CN"/>
        </w:rPr>
        <w:t>3</w:t>
      </w:r>
      <w:r>
        <w:rPr>
          <w:rFonts w:hint="eastAsia" w:ascii="Times New Roman" w:hAnsi="Times New Roman" w:eastAsia="方正仿宋_GBK" w:cs="Times New Roman"/>
          <w:szCs w:val="32"/>
        </w:rPr>
        <w:t>万元</w:t>
      </w:r>
      <w:r>
        <w:rPr>
          <w:rFonts w:hint="eastAsia" w:ascii="Times New Roman" w:hAnsi="Times New Roman" w:eastAsia="方正仿宋_GBK" w:cs="Times New Roman"/>
          <w:szCs w:val="32"/>
          <w:lang w:eastAsia="zh-CN"/>
        </w:rPr>
        <w:t>、包二</w:t>
      </w:r>
      <w:r>
        <w:rPr>
          <w:rFonts w:hint="eastAsia" w:ascii="Times New Roman" w:hAnsi="Times New Roman" w:eastAsia="方正仿宋_GBK" w:cs="Times New Roman"/>
          <w:szCs w:val="32"/>
        </w:rPr>
        <w:t>预算</w:t>
      </w:r>
      <w:r>
        <w:rPr>
          <w:rFonts w:hint="default" w:ascii="Times New Roman" w:hAnsi="Times New Roman" w:eastAsia="方正仿宋_GBK" w:cs="Times New Roman"/>
          <w:szCs w:val="32"/>
        </w:rPr>
        <w:t>为</w:t>
      </w:r>
      <w:r>
        <w:rPr>
          <w:rFonts w:hint="eastAsia" w:ascii="Times New Roman" w:hAnsi="Times New Roman" w:eastAsia="方正仿宋_GBK" w:cs="Times New Roman"/>
          <w:szCs w:val="32"/>
          <w:lang w:val="en-US" w:eastAsia="zh-CN"/>
        </w:rPr>
        <w:t>3</w:t>
      </w:r>
      <w:r>
        <w:rPr>
          <w:rFonts w:hint="eastAsia" w:ascii="Times New Roman" w:hAnsi="Times New Roman" w:eastAsia="方正仿宋_GBK" w:cs="Times New Roman"/>
          <w:szCs w:val="32"/>
        </w:rPr>
        <w:t>万元</w:t>
      </w:r>
      <w:r>
        <w:rPr>
          <w:rFonts w:hint="default" w:ascii="Times New Roman" w:hAnsi="Times New Roman" w:eastAsia="方正仿宋_GBK" w:cs="Times New Roman"/>
          <w:szCs w:val="32"/>
        </w:rPr>
        <w:t>，最终报价超过采购预算的为无效响应文件。</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四、比选申请人资格条件</w:t>
      </w:r>
    </w:p>
    <w:p>
      <w:pPr>
        <w:spacing w:line="600" w:lineRule="exact"/>
        <w:ind w:firstLine="640"/>
        <w:rPr>
          <w:rFonts w:hint="default" w:ascii="Times New Roman" w:hAnsi="Times New Roman" w:eastAsia="方正仿宋_GBK" w:cs="Times New Roman"/>
          <w:szCs w:val="32"/>
        </w:rPr>
      </w:pPr>
      <w:r>
        <w:rPr>
          <w:rFonts w:hint="eastAsia" w:ascii="方正楷体_GBK" w:hAnsi="方正楷体_GBK" w:eastAsia="方正楷体_GBK" w:cs="方正楷体_GBK"/>
          <w:b/>
          <w:bCs/>
          <w:szCs w:val="32"/>
        </w:rPr>
        <w:t>（一）</w:t>
      </w:r>
      <w:r>
        <w:rPr>
          <w:rFonts w:hint="default" w:ascii="Times New Roman" w:hAnsi="Times New Roman" w:eastAsia="方正仿宋_GBK" w:cs="Times New Roman"/>
          <w:szCs w:val="32"/>
        </w:rPr>
        <w:t>具有独立承担民事责任</w:t>
      </w:r>
      <w:r>
        <w:rPr>
          <w:rFonts w:hint="eastAsia" w:ascii="Times New Roman" w:hAnsi="Times New Roman" w:eastAsia="方正仿宋_GBK" w:cs="Times New Roman"/>
          <w:szCs w:val="32"/>
        </w:rPr>
        <w:t>的</w:t>
      </w:r>
      <w:r>
        <w:rPr>
          <w:rFonts w:hint="default" w:ascii="Times New Roman" w:hAnsi="Times New Roman" w:eastAsia="方正仿宋_GBK" w:cs="Times New Roman"/>
          <w:szCs w:val="32"/>
        </w:rPr>
        <w:t>能力；</w:t>
      </w:r>
    </w:p>
    <w:p>
      <w:pPr>
        <w:spacing w:line="600" w:lineRule="exact"/>
        <w:ind w:firstLine="640"/>
        <w:rPr>
          <w:rFonts w:hint="default" w:ascii="Times New Roman" w:hAnsi="Times New Roman" w:eastAsia="方正仿宋_GBK" w:cs="Times New Roman"/>
          <w:szCs w:val="32"/>
        </w:rPr>
      </w:pPr>
      <w:r>
        <w:rPr>
          <w:rFonts w:hint="default" w:ascii="方正楷体_GBK" w:hAnsi="方正楷体_GBK" w:eastAsia="方正楷体_GBK" w:cs="方正楷体_GBK"/>
          <w:b/>
          <w:bCs/>
          <w:szCs w:val="32"/>
        </w:rPr>
        <w:t>（二）</w:t>
      </w:r>
      <w:r>
        <w:rPr>
          <w:rFonts w:hint="default" w:ascii="Times New Roman" w:hAnsi="Times New Roman" w:eastAsia="方正仿宋_GBK" w:cs="Times New Roman"/>
          <w:szCs w:val="32"/>
        </w:rPr>
        <w:t>具有良好的商业信誉和健全的财务会计制度；</w:t>
      </w:r>
    </w:p>
    <w:p>
      <w:pPr>
        <w:spacing w:line="600" w:lineRule="exact"/>
        <w:ind w:firstLine="640"/>
        <w:rPr>
          <w:rFonts w:hint="default" w:ascii="方正楷体_GBK" w:hAnsi="方正楷体_GBK" w:eastAsia="方正楷体_GBK" w:cs="方正楷体_GBK"/>
          <w:b/>
          <w:bCs/>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425" w:num="1"/>
          <w:docGrid w:type="lines" w:linePitch="312" w:charSpace="0"/>
        </w:sectPr>
      </w:pPr>
    </w:p>
    <w:p>
      <w:pPr>
        <w:spacing w:line="600" w:lineRule="exact"/>
        <w:ind w:firstLine="640"/>
        <w:rPr>
          <w:rFonts w:hint="default" w:ascii="Times New Roman" w:hAnsi="Times New Roman" w:eastAsia="方正仿宋_GBK" w:cs="Times New Roman"/>
          <w:szCs w:val="32"/>
        </w:rPr>
      </w:pPr>
      <w:r>
        <w:rPr>
          <w:rFonts w:hint="default" w:ascii="方正楷体_GBK" w:hAnsi="方正楷体_GBK" w:eastAsia="方正楷体_GBK" w:cs="方正楷体_GBK"/>
          <w:b/>
          <w:bCs/>
          <w:szCs w:val="32"/>
        </w:rPr>
        <w:t>（三）</w:t>
      </w:r>
      <w:r>
        <w:rPr>
          <w:rFonts w:hint="default" w:ascii="Times New Roman" w:hAnsi="Times New Roman" w:eastAsia="方正仿宋_GBK" w:cs="Times New Roman"/>
          <w:szCs w:val="32"/>
        </w:rPr>
        <w:t>具有履行合同所必须的专业技术能力；</w:t>
      </w:r>
    </w:p>
    <w:p>
      <w:pPr>
        <w:spacing w:line="600" w:lineRule="exact"/>
        <w:ind w:firstLine="640"/>
        <w:rPr>
          <w:rFonts w:hint="default" w:ascii="Times New Roman" w:hAnsi="Times New Roman" w:eastAsia="方正仿宋_GBK" w:cs="Times New Roman"/>
          <w:szCs w:val="32"/>
        </w:rPr>
      </w:pPr>
      <w:r>
        <w:rPr>
          <w:rFonts w:hint="default" w:ascii="方正楷体_GBK" w:hAnsi="方正楷体_GBK" w:eastAsia="方正楷体_GBK" w:cs="方正楷体_GBK"/>
          <w:b/>
          <w:bCs/>
          <w:szCs w:val="32"/>
        </w:rPr>
        <w:t>（四）</w:t>
      </w:r>
      <w:r>
        <w:rPr>
          <w:rFonts w:hint="default" w:ascii="Times New Roman" w:hAnsi="Times New Roman" w:eastAsia="方正仿宋_GBK" w:cs="Times New Roman"/>
          <w:szCs w:val="32"/>
        </w:rPr>
        <w:t>有依法缴纳税收和社会保障资金的良好记录；</w:t>
      </w:r>
    </w:p>
    <w:p>
      <w:pPr>
        <w:spacing w:line="600" w:lineRule="exact"/>
        <w:ind w:firstLine="640"/>
        <w:rPr>
          <w:rFonts w:hint="default" w:ascii="Times New Roman" w:hAnsi="Times New Roman" w:eastAsia="方正仿宋_GBK" w:cs="Times New Roman"/>
          <w:szCs w:val="32"/>
        </w:rPr>
      </w:pPr>
      <w:r>
        <w:rPr>
          <w:rFonts w:hint="default" w:ascii="方正楷体_GBK" w:hAnsi="方正楷体_GBK" w:eastAsia="方正楷体_GBK" w:cs="方正楷体_GBK"/>
          <w:b/>
          <w:bCs/>
          <w:szCs w:val="32"/>
        </w:rPr>
        <w:t>（五）</w:t>
      </w:r>
      <w:r>
        <w:rPr>
          <w:rFonts w:hint="default" w:ascii="Times New Roman" w:hAnsi="Times New Roman" w:eastAsia="方正仿宋_GBK" w:cs="Times New Roman"/>
          <w:szCs w:val="32"/>
        </w:rPr>
        <w:t>参加比选活动前三年内，在经营活动中没有重大违法记录，遵守相关的法律和法规；</w:t>
      </w:r>
    </w:p>
    <w:p>
      <w:pPr>
        <w:spacing w:line="600" w:lineRule="exact"/>
        <w:ind w:firstLine="640"/>
        <w:rPr>
          <w:rFonts w:hint="default" w:ascii="Times New Roman" w:hAnsi="Times New Roman" w:eastAsia="方正仿宋_GBK" w:cs="Times New Roman"/>
          <w:szCs w:val="32"/>
        </w:rPr>
      </w:pPr>
      <w:r>
        <w:rPr>
          <w:rFonts w:hint="eastAsia" w:ascii="方正楷体_GBK" w:hAnsi="方正楷体_GBK" w:eastAsia="方正楷体_GBK" w:cs="方正楷体_GBK"/>
          <w:b/>
          <w:bCs/>
          <w:szCs w:val="32"/>
        </w:rPr>
        <w:t>（六</w:t>
      </w:r>
      <w:r>
        <w:rPr>
          <w:rFonts w:hint="default" w:ascii="方正楷体_GBK" w:hAnsi="方正楷体_GBK" w:eastAsia="方正楷体_GBK" w:cs="方正楷体_GBK"/>
          <w:b/>
          <w:bCs/>
          <w:szCs w:val="32"/>
        </w:rPr>
        <w:t>）</w:t>
      </w:r>
      <w:r>
        <w:rPr>
          <w:rFonts w:hint="eastAsia" w:ascii="Times New Roman" w:hAnsi="Times New Roman" w:eastAsia="方正仿宋_GBK" w:cs="Times New Roman"/>
          <w:szCs w:val="32"/>
        </w:rPr>
        <w:t>比选</w:t>
      </w:r>
      <w:r>
        <w:rPr>
          <w:rFonts w:hint="default" w:ascii="Times New Roman" w:hAnsi="Times New Roman" w:eastAsia="方正仿宋_GBK" w:cs="Times New Roman"/>
          <w:szCs w:val="32"/>
        </w:rPr>
        <w:t>申请人单位及现任法定代表人/</w:t>
      </w:r>
      <w:r>
        <w:rPr>
          <w:rFonts w:hint="eastAsia" w:ascii="Times New Roman" w:hAnsi="Times New Roman" w:eastAsia="方正仿宋_GBK" w:cs="Times New Roman"/>
          <w:szCs w:val="32"/>
        </w:rPr>
        <w:t>单位</w:t>
      </w:r>
      <w:r>
        <w:rPr>
          <w:rFonts w:hint="default" w:ascii="Times New Roman" w:hAnsi="Times New Roman" w:eastAsia="方正仿宋_GBK" w:cs="Times New Roman"/>
          <w:szCs w:val="32"/>
        </w:rPr>
        <w:t>责任人、主要负责人不得具有行贿犯罪记录；</w:t>
      </w:r>
    </w:p>
    <w:p>
      <w:pPr>
        <w:spacing w:line="600" w:lineRule="exact"/>
        <w:ind w:firstLine="640"/>
        <w:rPr>
          <w:rFonts w:hint="default" w:ascii="Times New Roman" w:hAnsi="Times New Roman" w:eastAsia="方正仿宋_GBK" w:cs="Times New Roman"/>
          <w:szCs w:val="32"/>
        </w:rPr>
      </w:pPr>
      <w:r>
        <w:rPr>
          <w:rFonts w:hint="eastAsia" w:ascii="方正楷体_GBK" w:hAnsi="方正楷体_GBK" w:eastAsia="方正楷体_GBK" w:cs="方正楷体_GBK"/>
          <w:b/>
          <w:bCs/>
          <w:szCs w:val="32"/>
          <w:lang w:eastAsia="zh-CN"/>
        </w:rPr>
        <w:t>（</w:t>
      </w:r>
      <w:r>
        <w:rPr>
          <w:rFonts w:hint="eastAsia" w:ascii="方正楷体_GBK" w:hAnsi="方正楷体_GBK" w:eastAsia="方正楷体_GBK" w:cs="方正楷体_GBK"/>
          <w:b/>
          <w:bCs/>
          <w:szCs w:val="32"/>
        </w:rPr>
        <w:t>七</w:t>
      </w:r>
      <w:r>
        <w:rPr>
          <w:rFonts w:hint="eastAsia" w:ascii="方正楷体_GBK" w:hAnsi="方正楷体_GBK" w:eastAsia="方正楷体_GBK" w:cs="方正楷体_GBK"/>
          <w:b/>
          <w:bCs/>
          <w:szCs w:val="32"/>
          <w:lang w:eastAsia="zh-CN"/>
        </w:rPr>
        <w:t>）</w:t>
      </w:r>
      <w:r>
        <w:rPr>
          <w:rFonts w:hint="eastAsia" w:ascii="Times New Roman" w:hAnsi="Times New Roman" w:eastAsia="方正仿宋_GBK" w:cs="Times New Roman"/>
          <w:szCs w:val="32"/>
        </w:rPr>
        <w:t>比选</w:t>
      </w:r>
      <w:r>
        <w:rPr>
          <w:rFonts w:hint="default" w:ascii="Times New Roman" w:hAnsi="Times New Roman" w:eastAsia="方正仿宋_GBK" w:cs="Times New Roman"/>
          <w:szCs w:val="32"/>
        </w:rPr>
        <w:t>申请人不得为“</w:t>
      </w:r>
      <w:r>
        <w:rPr>
          <w:rFonts w:hint="eastAsia" w:ascii="Times New Roman" w:hAnsi="Times New Roman" w:eastAsia="方正仿宋_GBK" w:cs="Times New Roman"/>
          <w:szCs w:val="32"/>
        </w:rPr>
        <w:t>信用</w:t>
      </w:r>
      <w:r>
        <w:rPr>
          <w:rFonts w:hint="default" w:ascii="Times New Roman" w:hAnsi="Times New Roman" w:eastAsia="方正仿宋_GBK" w:cs="Times New Roman"/>
          <w:szCs w:val="32"/>
        </w:rPr>
        <w:t>中国”</w:t>
      </w:r>
      <w:r>
        <w:rPr>
          <w:rFonts w:hint="eastAsia" w:ascii="Times New Roman" w:hAnsi="Times New Roman" w:eastAsia="方正仿宋_GBK" w:cs="Times New Roman"/>
          <w:szCs w:val="32"/>
        </w:rPr>
        <w:t>网站</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rPr>
        <w:t>www.creditchina.gov.cn</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rPr>
        <w:t>中</w:t>
      </w:r>
      <w:r>
        <w:rPr>
          <w:rFonts w:hint="default" w:ascii="Times New Roman" w:hAnsi="Times New Roman" w:eastAsia="方正仿宋_GBK" w:cs="Times New Roman"/>
          <w:szCs w:val="32"/>
        </w:rPr>
        <w:t>列入失信被执行人和重大税收违法失信主体</w:t>
      </w:r>
      <w:r>
        <w:rPr>
          <w:rFonts w:hint="eastAsia" w:ascii="Times New Roman" w:hAnsi="Times New Roman" w:eastAsia="方正仿宋_GBK" w:cs="Times New Roman"/>
          <w:szCs w:val="32"/>
        </w:rPr>
        <w:t>名单</w:t>
      </w:r>
      <w:r>
        <w:rPr>
          <w:rFonts w:hint="default" w:ascii="Times New Roman" w:hAnsi="Times New Roman" w:eastAsia="方正仿宋_GBK" w:cs="Times New Roman"/>
          <w:szCs w:val="32"/>
        </w:rPr>
        <w:t>的比选申请人，不得为中国政府采购网（</w:t>
      </w:r>
      <w:r>
        <w:rPr>
          <w:rFonts w:hint="eastAsia" w:ascii="Times New Roman" w:hAnsi="Times New Roman" w:eastAsia="方正仿宋_GBK" w:cs="Times New Roman"/>
          <w:szCs w:val="32"/>
        </w:rPr>
        <w:t>www</w:t>
      </w:r>
      <w:r>
        <w:rPr>
          <w:rFonts w:hint="default" w:ascii="Times New Roman" w:hAnsi="Times New Roman" w:eastAsia="方正仿宋_GBK" w:cs="Times New Roman"/>
          <w:szCs w:val="32"/>
        </w:rPr>
        <w:t>.ccgp.gov.cn）</w:t>
      </w:r>
      <w:r>
        <w:rPr>
          <w:rFonts w:hint="eastAsia" w:ascii="Times New Roman" w:hAnsi="Times New Roman" w:eastAsia="方正仿宋_GBK" w:cs="Times New Roman"/>
          <w:szCs w:val="32"/>
        </w:rPr>
        <w:t>政府</w:t>
      </w:r>
      <w:r>
        <w:rPr>
          <w:rFonts w:hint="default" w:ascii="Times New Roman" w:hAnsi="Times New Roman" w:eastAsia="方正仿宋_GBK" w:cs="Times New Roman"/>
          <w:szCs w:val="32"/>
        </w:rPr>
        <w:t>采购严重违法失信行为信息</w:t>
      </w:r>
      <w:r>
        <w:rPr>
          <w:rFonts w:hint="eastAsia" w:ascii="Times New Roman" w:hAnsi="Times New Roman" w:eastAsia="方正仿宋_GBK" w:cs="Times New Roman"/>
          <w:szCs w:val="32"/>
        </w:rPr>
        <w:t>记录</w:t>
      </w:r>
      <w:r>
        <w:rPr>
          <w:rFonts w:hint="default" w:ascii="Times New Roman" w:hAnsi="Times New Roman" w:eastAsia="方正仿宋_GBK" w:cs="Times New Roman"/>
          <w:szCs w:val="32"/>
        </w:rPr>
        <w:t>名单中被财政部门禁止参加</w:t>
      </w:r>
      <w:r>
        <w:rPr>
          <w:rFonts w:hint="eastAsia" w:ascii="Times New Roman" w:hAnsi="Times New Roman" w:eastAsia="方正仿宋_GBK" w:cs="Times New Roman"/>
          <w:szCs w:val="32"/>
        </w:rPr>
        <w:t>政府</w:t>
      </w:r>
      <w:r>
        <w:rPr>
          <w:rFonts w:hint="default" w:ascii="Times New Roman" w:hAnsi="Times New Roman" w:eastAsia="方正仿宋_GBK" w:cs="Times New Roman"/>
          <w:szCs w:val="32"/>
        </w:rPr>
        <w:t>采购活动的比选申请人。</w:t>
      </w:r>
    </w:p>
    <w:p>
      <w:pPr>
        <w:spacing w:line="600" w:lineRule="exact"/>
        <w:ind w:firstLine="640"/>
        <w:rPr>
          <w:rFonts w:hint="default" w:ascii="Times New Roman" w:hAnsi="Times New Roman" w:eastAsia="方正仿宋_GBK" w:cs="Times New Roman"/>
          <w:szCs w:val="32"/>
        </w:rPr>
      </w:pPr>
      <w:r>
        <w:rPr>
          <w:rFonts w:hint="eastAsia" w:ascii="方正楷体_GBK" w:hAnsi="方正楷体_GBK" w:eastAsia="方正楷体_GBK" w:cs="方正楷体_GBK"/>
          <w:b/>
          <w:bCs/>
          <w:szCs w:val="32"/>
        </w:rPr>
        <w:t>（八</w:t>
      </w:r>
      <w:r>
        <w:rPr>
          <w:rFonts w:hint="default" w:ascii="方正楷体_GBK" w:hAnsi="方正楷体_GBK" w:eastAsia="方正楷体_GBK" w:cs="方正楷体_GBK"/>
          <w:b/>
          <w:bCs/>
          <w:szCs w:val="32"/>
        </w:rPr>
        <w:t>）</w:t>
      </w:r>
      <w:r>
        <w:rPr>
          <w:rFonts w:hint="default" w:ascii="Times New Roman" w:hAnsi="Times New Roman" w:eastAsia="方正仿宋_GBK" w:cs="Times New Roman"/>
          <w:szCs w:val="32"/>
        </w:rPr>
        <w:t>本项目不接受联合体形式的</w:t>
      </w:r>
      <w:r>
        <w:rPr>
          <w:rFonts w:hint="eastAsia" w:ascii="Times New Roman" w:hAnsi="Times New Roman" w:eastAsia="方正仿宋_GBK" w:cs="Times New Roman"/>
          <w:szCs w:val="32"/>
        </w:rPr>
        <w:t>比选申请</w:t>
      </w:r>
      <w:r>
        <w:rPr>
          <w:rFonts w:hint="default" w:ascii="Times New Roman" w:hAnsi="Times New Roman" w:eastAsia="方正仿宋_GBK" w:cs="Times New Roman"/>
          <w:szCs w:val="32"/>
        </w:rPr>
        <w:t>，不允许将部分项目分包和转包。</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五、比选申请人需提供的资格证明文件</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比选申请人应根据本比选文件的规定提交响应文件，相应的证明文件至少包括：</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（一）</w:t>
      </w:r>
      <w:r>
        <w:rPr>
          <w:rFonts w:hint="eastAsia" w:ascii="Times New Roman" w:hAnsi="Times New Roman" w:eastAsia="方正仿宋_GBK" w:cs="Times New Roman"/>
          <w:szCs w:val="32"/>
        </w:rPr>
        <w:t>比选申请人若为法人</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提供</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统一社会信用代码营业执照</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未换证的提供</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营业执照、税务登记证、组织机构代码证或三证合一的营业执照</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若为其他组织</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提供</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对应主管部门颁发的准许执业证明文件或营业执照</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以上均提供复印件并加盖比选申请人公章。</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（二）</w:t>
      </w:r>
      <w:r>
        <w:rPr>
          <w:rFonts w:hint="eastAsia" w:ascii="Times New Roman" w:hAnsi="Times New Roman" w:eastAsia="方正仿宋_GBK" w:cs="Times New Roman"/>
          <w:szCs w:val="32"/>
        </w:rPr>
        <w:t>如为法定代表人参加比选的，</w:t>
      </w:r>
      <w:r>
        <w:rPr>
          <w:rFonts w:hint="eastAsia" w:ascii="Times New Roman" w:hAnsi="Times New Roman" w:eastAsia="方正仿宋_GBK" w:cs="Times New Roman"/>
          <w:szCs w:val="32"/>
          <w:highlight w:val="none"/>
        </w:rPr>
        <w:t>必须提供法定代表人身份证复印件。如为委托代理人参加比选的</w:t>
      </w:r>
      <w:r>
        <w:rPr>
          <w:rFonts w:hint="eastAsia" w:ascii="Times New Roman" w:hAnsi="Times New Roman" w:eastAsia="方正仿宋_GBK" w:cs="Times New Roman"/>
          <w:szCs w:val="32"/>
        </w:rPr>
        <w:t>，须提供法定代表人签名或盖章的授权委托书原件（须加盖公章）及委托代理人身份证明材料复印件（须加盖公章）。</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（三）</w:t>
      </w:r>
      <w:r>
        <w:rPr>
          <w:rFonts w:hint="eastAsia" w:ascii="Times New Roman" w:hAnsi="Times New Roman" w:eastAsia="方正仿宋_GBK" w:cs="Times New Roman"/>
          <w:szCs w:val="32"/>
        </w:rPr>
        <w:t>具有良好的商业信誉证明材料（提供承诺函，格式自拟）。</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（四）</w:t>
      </w:r>
      <w:r>
        <w:rPr>
          <w:rFonts w:hint="eastAsia" w:ascii="Times New Roman" w:hAnsi="Times New Roman" w:eastAsia="方正仿宋_GBK" w:cs="Times New Roman"/>
          <w:szCs w:val="32"/>
        </w:rPr>
        <w:t>具有健全的财务会计制度的证明材料（提供经审计的近1年的公司财务报告或承诺函）。</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（五）</w:t>
      </w:r>
      <w:r>
        <w:rPr>
          <w:rFonts w:hint="eastAsia" w:ascii="Times New Roman" w:hAnsi="Times New Roman" w:eastAsia="方正仿宋_GBK" w:cs="Times New Roman"/>
          <w:szCs w:val="32"/>
        </w:rPr>
        <w:t>近三年内（供应商</w:t>
      </w:r>
      <w:r>
        <w:rPr>
          <w:rFonts w:hint="eastAsia" w:ascii="Times New Roman" w:hAnsi="Times New Roman" w:eastAsia="方正仿宋_GBK" w:cs="Times New Roman"/>
          <w:szCs w:val="32"/>
          <w:lang w:eastAsia="zh-CN"/>
        </w:rPr>
        <w:t>成立</w:t>
      </w:r>
      <w:r>
        <w:rPr>
          <w:rFonts w:hint="eastAsia" w:ascii="Times New Roman" w:hAnsi="Times New Roman" w:eastAsia="方正仿宋_GBK" w:cs="Times New Roman"/>
          <w:szCs w:val="32"/>
        </w:rPr>
        <w:t>不足3年的可从成立之日起算）无重大违法犯罪记录和不存在处于被禁止参与采购活动期限情形的证明材料（提供承诺函，格式自拟）。</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（六）</w:t>
      </w:r>
      <w:r>
        <w:rPr>
          <w:rFonts w:hint="eastAsia" w:ascii="Times New Roman" w:hAnsi="Times New Roman" w:eastAsia="方正仿宋_GBK" w:cs="Times New Roman"/>
          <w:szCs w:val="32"/>
        </w:rPr>
        <w:t>近一年内任意一个月的完税证明和缴纳社保证明。</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（七）</w:t>
      </w:r>
      <w:r>
        <w:rPr>
          <w:rFonts w:hint="eastAsia" w:ascii="Times New Roman" w:hAnsi="Times New Roman" w:eastAsia="方正仿宋_GBK" w:cs="Times New Roman"/>
          <w:szCs w:val="32"/>
        </w:rPr>
        <w:t>参选承诺函。</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六、服务内容及要求</w:t>
      </w:r>
    </w:p>
    <w:p>
      <w:pPr>
        <w:spacing w:line="600" w:lineRule="exact"/>
        <w:ind w:firstLine="640"/>
        <w:rPr>
          <w:rFonts w:hint="eastAsia" w:ascii="方正楷体_GBK" w:hAnsi="方正楷体_GBK" w:eastAsia="方正楷体_GBK" w:cs="方正楷体_GBK"/>
          <w:b/>
          <w:bCs/>
          <w:szCs w:val="32"/>
        </w:rPr>
      </w:pPr>
      <w:r>
        <w:rPr>
          <w:rFonts w:hint="eastAsia" w:ascii="方正楷体_GBK" w:hAnsi="方正楷体_GBK" w:eastAsia="方正楷体_GBK" w:cs="方正楷体_GBK"/>
          <w:b/>
          <w:bCs/>
          <w:szCs w:val="32"/>
        </w:rPr>
        <w:t>（一）服务内容</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1.绩效评价服务包1，项目预算</w:t>
      </w:r>
      <w:r>
        <w:rPr>
          <w:rFonts w:hint="eastAsia" w:ascii="Times New Roman" w:hAnsi="Times New Roman" w:eastAsia="方正仿宋_GBK" w:cs="Times New Roman"/>
          <w:szCs w:val="32"/>
          <w:lang w:val="en-US" w:eastAsia="zh-CN"/>
        </w:rPr>
        <w:t>3</w:t>
      </w:r>
      <w:r>
        <w:rPr>
          <w:rFonts w:hint="eastAsia" w:ascii="Times New Roman" w:hAnsi="Times New Roman" w:eastAsia="方正仿宋_GBK" w:cs="Times New Roman"/>
          <w:szCs w:val="32"/>
        </w:rPr>
        <w:t>万元。具体评价项目见下表：</w:t>
      </w:r>
    </w:p>
    <w:tbl>
      <w:tblPr>
        <w:tblStyle w:val="16"/>
        <w:tblW w:w="8333" w:type="dxa"/>
        <w:tblInd w:w="108" w:type="dxa"/>
        <w:tblLayout w:type="autofit"/>
        <w:tblCellMar>
          <w:top w:w="0" w:type="dxa"/>
          <w:left w:w="108" w:type="dxa"/>
          <w:bottom w:w="0" w:type="dxa"/>
          <w:right w:w="108" w:type="dxa"/>
        </w:tblCellMar>
      </w:tblPr>
      <w:tblGrid>
        <w:gridCol w:w="1073"/>
        <w:gridCol w:w="3133"/>
        <w:gridCol w:w="2577"/>
        <w:gridCol w:w="1550"/>
      </w:tblGrid>
      <w:tr>
        <w:tblPrEx>
          <w:tblCellMar>
            <w:top w:w="0" w:type="dxa"/>
            <w:left w:w="108" w:type="dxa"/>
            <w:bottom w:w="0" w:type="dxa"/>
            <w:right w:w="108" w:type="dxa"/>
          </w:tblCellMar>
        </w:tblPrEx>
        <w:trPr>
          <w:trHeight w:val="620" w:hRule="atLeast"/>
        </w:trPr>
        <w:tc>
          <w:tcPr>
            <w:tcW w:w="10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14:ligatures w14:val="none"/>
              </w:rPr>
              <w:t>序号</w:t>
            </w:r>
          </w:p>
        </w:tc>
        <w:tc>
          <w:tcPr>
            <w:tcW w:w="313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14:ligatures w14:val="none"/>
              </w:rPr>
              <w:t>项目（政策）/部门名称</w:t>
            </w:r>
          </w:p>
        </w:tc>
        <w:tc>
          <w:tcPr>
            <w:tcW w:w="257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lang w:eastAsia="zh-CN"/>
                <w14:ligatures w14:val="none"/>
              </w:rPr>
            </w:pPr>
            <w:r>
              <w:rPr>
                <w:rFonts w:hint="default" w:ascii="Times New Roman" w:hAnsi="Times New Roman" w:eastAsia="方正仿宋_GBK" w:cs="Times New Roman"/>
                <w:b/>
                <w:bCs/>
                <w:color w:val="000000"/>
                <w:kern w:val="0"/>
                <w:sz w:val="22"/>
                <w:szCs w:val="22"/>
                <w:lang w:eastAsia="zh-CN"/>
                <w14:ligatures w14:val="none"/>
              </w:rPr>
              <w:t>项目单位</w:t>
            </w:r>
          </w:p>
        </w:tc>
        <w:tc>
          <w:tcPr>
            <w:tcW w:w="15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14:ligatures w14:val="none"/>
              </w:rPr>
              <w:t>备注</w:t>
            </w:r>
          </w:p>
        </w:tc>
      </w:tr>
      <w:tr>
        <w:tblPrEx>
          <w:tblCellMar>
            <w:top w:w="0" w:type="dxa"/>
            <w:left w:w="108" w:type="dxa"/>
            <w:bottom w:w="0" w:type="dxa"/>
            <w:right w:w="108" w:type="dxa"/>
          </w:tblCellMar>
        </w:tblPrEx>
        <w:trPr>
          <w:trHeight w:val="562" w:hRule="atLeast"/>
        </w:trPr>
        <w:tc>
          <w:tcPr>
            <w:tcW w:w="10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1</w:t>
            </w:r>
          </w:p>
        </w:tc>
        <w:tc>
          <w:tcPr>
            <w:tcW w:w="3133" w:type="dxa"/>
            <w:tcBorders>
              <w:top w:val="nil"/>
              <w:left w:val="nil"/>
              <w:bottom w:val="single" w:color="auto" w:sz="4" w:space="0"/>
              <w:right w:val="single" w:color="auto" w:sz="4" w:space="0"/>
            </w:tcBorders>
            <w:shd w:val="clear" w:color="auto" w:fill="auto"/>
            <w:vAlign w:val="center"/>
          </w:tcPr>
          <w:p>
            <w:pPr>
              <w:widowControl/>
              <w:spacing w:line="240" w:lineRule="auto"/>
              <w:ind w:left="0" w:leftChars="0"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t>2025年部门预算</w:t>
            </w:r>
          </w:p>
        </w:tc>
        <w:tc>
          <w:tcPr>
            <w:tcW w:w="257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Times New Roman" w:hAnsi="Times New Roman" w:eastAsia="方正仿宋_GBK" w:cs="Times New Roman"/>
                <w:i w:val="0"/>
                <w:iCs w:val="0"/>
                <w:color w:val="000000"/>
                <w:kern w:val="2"/>
                <w:sz w:val="22"/>
                <w:szCs w:val="22"/>
                <w:u w:val="none"/>
                <w:lang w:val="en-US" w:eastAsia="zh-CN" w:bidi="ar-SA"/>
                <w14:ligatures w14:val="standardContextual"/>
              </w:rPr>
            </w:pPr>
            <w: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t>区城乡建设开发中心</w:t>
            </w:r>
          </w:p>
        </w:tc>
        <w:tc>
          <w:tcPr>
            <w:tcW w:w="15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val="en-US"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部门</w:t>
            </w:r>
          </w:p>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val="en-US" w:eastAsia="zh-CN"/>
                <w14:ligatures w14:val="none"/>
              </w:rPr>
              <w:t>整体</w:t>
            </w:r>
            <w:r>
              <w:rPr>
                <w:rFonts w:hint="default" w:ascii="Times New Roman" w:hAnsi="Times New Roman" w:eastAsia="方正仿宋_GBK" w:cs="Times New Roman"/>
                <w:color w:val="000000"/>
                <w:kern w:val="0"/>
                <w:sz w:val="22"/>
                <w:szCs w:val="22"/>
                <w14:ligatures w14:val="none"/>
              </w:rPr>
              <w:t>　</w:t>
            </w:r>
          </w:p>
        </w:tc>
      </w:tr>
      <w:tr>
        <w:tblPrEx>
          <w:tblCellMar>
            <w:top w:w="0" w:type="dxa"/>
            <w:left w:w="108" w:type="dxa"/>
            <w:bottom w:w="0" w:type="dxa"/>
            <w:right w:w="108" w:type="dxa"/>
          </w:tblCellMar>
        </w:tblPrEx>
        <w:trPr>
          <w:trHeight w:val="562" w:hRule="atLeast"/>
        </w:trPr>
        <w:tc>
          <w:tcPr>
            <w:tcW w:w="10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2</w:t>
            </w:r>
          </w:p>
        </w:tc>
        <w:tc>
          <w:tcPr>
            <w:tcW w:w="3133" w:type="dxa"/>
            <w:tcBorders>
              <w:top w:val="nil"/>
              <w:left w:val="nil"/>
              <w:bottom w:val="single" w:color="auto" w:sz="4" w:space="0"/>
              <w:right w:val="single" w:color="auto" w:sz="4" w:space="0"/>
            </w:tcBorders>
            <w:shd w:val="clear" w:color="auto" w:fill="auto"/>
            <w:vAlign w:val="center"/>
          </w:tcPr>
          <w:p>
            <w:pPr>
              <w:widowControl/>
              <w:spacing w:line="240" w:lineRule="auto"/>
              <w:ind w:left="0" w:leftChars="0"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t>2025年部门预算</w:t>
            </w:r>
          </w:p>
        </w:tc>
        <w:tc>
          <w:tcPr>
            <w:tcW w:w="257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务本乡</w:t>
            </w:r>
          </w:p>
        </w:tc>
        <w:tc>
          <w:tcPr>
            <w:tcW w:w="15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val="en-US"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部门</w:t>
            </w:r>
          </w:p>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val="en-US" w:eastAsia="zh-CN"/>
                <w14:ligatures w14:val="none"/>
              </w:rPr>
              <w:t>整体</w:t>
            </w:r>
          </w:p>
        </w:tc>
      </w:tr>
      <w:tr>
        <w:tblPrEx>
          <w:tblCellMar>
            <w:top w:w="0" w:type="dxa"/>
            <w:left w:w="108" w:type="dxa"/>
            <w:bottom w:w="0" w:type="dxa"/>
            <w:right w:w="108" w:type="dxa"/>
          </w:tblCellMar>
        </w:tblPrEx>
        <w:trPr>
          <w:trHeight w:val="724" w:hRule="atLeast"/>
        </w:trPr>
        <w:tc>
          <w:tcPr>
            <w:tcW w:w="10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3</w:t>
            </w:r>
          </w:p>
        </w:tc>
        <w:tc>
          <w:tcPr>
            <w:tcW w:w="313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2023-2025年区级森林草原防灭火经费</w:t>
            </w:r>
          </w:p>
        </w:tc>
        <w:tc>
          <w:tcPr>
            <w:tcW w:w="257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highlight w:val="none"/>
                <w14:ligatures w14:val="none"/>
              </w:rPr>
              <w:t>各乡镇</w:t>
            </w:r>
            <w:r>
              <w:rPr>
                <w:rFonts w:hint="eastAsia" w:ascii="Times New Roman" w:hAnsi="Times New Roman" w:eastAsia="方正仿宋_GBK" w:cs="Times New Roman"/>
                <w:color w:val="000000"/>
                <w:kern w:val="0"/>
                <w:sz w:val="22"/>
                <w:szCs w:val="22"/>
                <w:highlight w:val="none"/>
                <w:lang w:eastAsia="zh-CN"/>
                <w14:ligatures w14:val="none"/>
              </w:rPr>
              <w:t>（</w:t>
            </w:r>
            <w:r>
              <w:rPr>
                <w:rFonts w:hint="default" w:ascii="Times New Roman" w:hAnsi="Times New Roman" w:eastAsia="方正仿宋_GBK" w:cs="Times New Roman"/>
                <w:color w:val="000000"/>
                <w:kern w:val="0"/>
                <w:sz w:val="22"/>
                <w:szCs w:val="22"/>
                <w:highlight w:val="none"/>
                <w14:ligatures w14:val="none"/>
              </w:rPr>
              <w:t>街</w:t>
            </w:r>
            <w:r>
              <w:rPr>
                <w:rFonts w:hint="default" w:ascii="Times New Roman" w:hAnsi="Times New Roman" w:eastAsia="方正仿宋_GBK" w:cs="Times New Roman"/>
                <w:color w:val="000000"/>
                <w:kern w:val="0"/>
                <w:sz w:val="22"/>
                <w:szCs w:val="22"/>
                <w:highlight w:val="none"/>
                <w:lang w:eastAsia="zh-CN"/>
                <w14:ligatures w14:val="none"/>
              </w:rPr>
              <w:t>道</w:t>
            </w:r>
            <w:r>
              <w:rPr>
                <w:rFonts w:hint="default" w:ascii="Times New Roman" w:hAnsi="Times New Roman" w:eastAsia="方正仿宋_GBK" w:cs="Times New Roman"/>
                <w:color w:val="000000"/>
                <w:kern w:val="0"/>
                <w:sz w:val="22"/>
                <w:szCs w:val="22"/>
                <w:lang w:eastAsia="zh-CN"/>
                <w14:ligatures w14:val="none"/>
              </w:rPr>
              <w:t>）</w:t>
            </w:r>
            <w:r>
              <w:rPr>
                <w:rFonts w:hint="default" w:ascii="Times New Roman" w:hAnsi="Times New Roman" w:eastAsia="方正仿宋_GBK" w:cs="Times New Roman"/>
                <w:color w:val="000000"/>
                <w:kern w:val="0"/>
                <w:sz w:val="22"/>
                <w:szCs w:val="22"/>
                <w14:ligatures w14:val="none"/>
              </w:rPr>
              <w:t>、</w:t>
            </w:r>
            <w:r>
              <w:rPr>
                <w:rFonts w:hint="default" w:ascii="Times New Roman" w:hAnsi="Times New Roman" w:eastAsia="方正仿宋_GBK" w:cs="Times New Roman"/>
                <w:color w:val="000000"/>
                <w:kern w:val="0"/>
                <w:sz w:val="22"/>
                <w:szCs w:val="22"/>
                <w:lang w:eastAsia="zh-CN"/>
                <w14:ligatures w14:val="none"/>
              </w:rPr>
              <w:t>南山管委会</w:t>
            </w:r>
            <w:r>
              <w:rPr>
                <w:rFonts w:hint="default" w:ascii="Times New Roman" w:hAnsi="Times New Roman" w:eastAsia="方正仿宋_GBK" w:cs="Times New Roman"/>
                <w:color w:val="000000"/>
                <w:kern w:val="0"/>
                <w:sz w:val="22"/>
                <w:szCs w:val="22"/>
                <w14:ligatures w14:val="none"/>
              </w:rPr>
              <w:t>、区林业局</w:t>
            </w:r>
          </w:p>
        </w:tc>
        <w:tc>
          <w:tcPr>
            <w:tcW w:w="15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项目</w:t>
            </w:r>
          </w:p>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绩效</w:t>
            </w:r>
            <w:r>
              <w:rPr>
                <w:rFonts w:hint="default" w:ascii="Times New Roman" w:hAnsi="Times New Roman" w:eastAsia="方正仿宋_GBK" w:cs="Times New Roman"/>
                <w:color w:val="000000"/>
                <w:kern w:val="0"/>
                <w:sz w:val="22"/>
                <w:szCs w:val="22"/>
                <w14:ligatures w14:val="none"/>
              </w:rPr>
              <w:t>　</w:t>
            </w:r>
          </w:p>
        </w:tc>
      </w:tr>
      <w:tr>
        <w:tblPrEx>
          <w:tblCellMar>
            <w:top w:w="0" w:type="dxa"/>
            <w:left w:w="108" w:type="dxa"/>
            <w:bottom w:w="0" w:type="dxa"/>
            <w:right w:w="108" w:type="dxa"/>
          </w:tblCellMar>
        </w:tblPrEx>
        <w:trPr>
          <w:trHeight w:val="572" w:hRule="atLeast"/>
        </w:trPr>
        <w:tc>
          <w:tcPr>
            <w:tcW w:w="10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val="en-US"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4</w:t>
            </w:r>
          </w:p>
        </w:tc>
        <w:tc>
          <w:tcPr>
            <w:tcW w:w="313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2023-2025年第五次经济</w:t>
            </w:r>
          </w:p>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普查项目</w:t>
            </w:r>
          </w:p>
        </w:tc>
        <w:tc>
          <w:tcPr>
            <w:tcW w:w="257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区统计局</w:t>
            </w:r>
          </w:p>
        </w:tc>
        <w:tc>
          <w:tcPr>
            <w:tcW w:w="15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项目</w:t>
            </w:r>
          </w:p>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绩效</w:t>
            </w:r>
          </w:p>
        </w:tc>
      </w:tr>
      <w:tr>
        <w:tblPrEx>
          <w:tblCellMar>
            <w:top w:w="0" w:type="dxa"/>
            <w:left w:w="108" w:type="dxa"/>
            <w:bottom w:w="0" w:type="dxa"/>
            <w:right w:w="108" w:type="dxa"/>
          </w:tblCellMar>
        </w:tblPrEx>
        <w:trPr>
          <w:trHeight w:val="572" w:hRule="atLeast"/>
        </w:trPr>
        <w:tc>
          <w:tcPr>
            <w:tcW w:w="1073"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val="en-US"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5</w:t>
            </w:r>
          </w:p>
        </w:tc>
        <w:tc>
          <w:tcPr>
            <w:tcW w:w="3133"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2025年财政衔接推进乡村振兴补助资金项目</w:t>
            </w:r>
          </w:p>
        </w:tc>
        <w:tc>
          <w:tcPr>
            <w:tcW w:w="2577"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区农业农村局、</w:t>
            </w:r>
            <w:r>
              <w:rPr>
                <w:rFonts w:hint="default" w:ascii="Times New Roman" w:hAnsi="Times New Roman" w:eastAsia="方正仿宋_GBK" w:cs="Times New Roman"/>
                <w:color w:val="000000"/>
                <w:kern w:val="0"/>
                <w:sz w:val="22"/>
                <w:szCs w:val="22"/>
                <w:lang w:eastAsia="zh-CN"/>
                <w14:ligatures w14:val="none"/>
              </w:rPr>
              <w:t>区民族宗教</w:t>
            </w:r>
            <w:r>
              <w:rPr>
                <w:rFonts w:hint="default" w:ascii="Times New Roman" w:hAnsi="Times New Roman" w:eastAsia="方正仿宋_GBK" w:cs="Times New Roman"/>
                <w:color w:val="000000"/>
                <w:kern w:val="0"/>
                <w:sz w:val="22"/>
                <w:szCs w:val="22"/>
                <w14:ligatures w14:val="none"/>
              </w:rPr>
              <w:t>局、</w:t>
            </w:r>
            <w:r>
              <w:rPr>
                <w:rFonts w:hint="default" w:ascii="Times New Roman" w:hAnsi="Times New Roman" w:eastAsia="方正仿宋_GBK" w:cs="Times New Roman"/>
                <w:color w:val="000000"/>
                <w:kern w:val="0"/>
                <w:sz w:val="22"/>
                <w:szCs w:val="22"/>
                <w:lang w:eastAsia="zh-CN"/>
                <w14:ligatures w14:val="none"/>
              </w:rPr>
              <w:t>区</w:t>
            </w:r>
            <w:r>
              <w:rPr>
                <w:rFonts w:hint="default" w:ascii="Times New Roman" w:hAnsi="Times New Roman" w:eastAsia="方正仿宋_GBK" w:cs="Times New Roman"/>
                <w:color w:val="000000"/>
                <w:kern w:val="0"/>
                <w:sz w:val="22"/>
                <w:szCs w:val="22"/>
                <w14:ligatures w14:val="none"/>
              </w:rPr>
              <w:t>人</w:t>
            </w:r>
            <w:r>
              <w:rPr>
                <w:rFonts w:hint="default" w:ascii="Times New Roman" w:hAnsi="Times New Roman" w:eastAsia="方正仿宋_GBK" w:cs="Times New Roman"/>
                <w:color w:val="000000"/>
                <w:kern w:val="0"/>
                <w:sz w:val="22"/>
                <w:szCs w:val="22"/>
                <w:lang w:eastAsia="zh-CN"/>
                <w14:ligatures w14:val="none"/>
              </w:rPr>
              <w:t>力资源社会保障</w:t>
            </w:r>
            <w:r>
              <w:rPr>
                <w:rFonts w:hint="default" w:ascii="Times New Roman" w:hAnsi="Times New Roman" w:eastAsia="方正仿宋_GBK" w:cs="Times New Roman"/>
                <w:color w:val="000000"/>
                <w:kern w:val="0"/>
                <w:sz w:val="22"/>
                <w:szCs w:val="22"/>
                <w14:ligatures w14:val="none"/>
              </w:rPr>
              <w:t>局</w:t>
            </w:r>
          </w:p>
        </w:tc>
        <w:tc>
          <w:tcPr>
            <w:tcW w:w="155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项目</w:t>
            </w:r>
          </w:p>
          <w:p>
            <w:pPr>
              <w:widowControl/>
              <w:spacing w:line="240" w:lineRule="auto"/>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绩效</w:t>
            </w:r>
            <w:r>
              <w:rPr>
                <w:rFonts w:hint="default" w:ascii="Times New Roman" w:hAnsi="Times New Roman" w:eastAsia="方正仿宋_GBK" w:cs="Times New Roman"/>
                <w:color w:val="000000"/>
                <w:kern w:val="0"/>
                <w:sz w:val="22"/>
                <w:szCs w:val="22"/>
                <w14:ligatures w14:val="none"/>
              </w:rPr>
              <w:t>　</w:t>
            </w:r>
          </w:p>
        </w:tc>
      </w:tr>
    </w:tbl>
    <w:p>
      <w:pPr>
        <w:spacing w:line="600" w:lineRule="exact"/>
        <w:ind w:firstLine="640"/>
        <w:rPr>
          <w:rFonts w:ascii="Times New Roman" w:hAnsi="Times New Roman" w:cs="Times New Roman"/>
          <w:bCs/>
        </w:rPr>
      </w:pP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2.绩效评价服务包2，项目预算</w:t>
      </w:r>
      <w:r>
        <w:rPr>
          <w:rFonts w:hint="eastAsia" w:ascii="Times New Roman" w:hAnsi="Times New Roman" w:eastAsia="方正仿宋_GBK" w:cs="Times New Roman"/>
          <w:szCs w:val="32"/>
          <w:lang w:val="en-US" w:eastAsia="zh-CN"/>
        </w:rPr>
        <w:t>3</w:t>
      </w:r>
      <w:r>
        <w:rPr>
          <w:rFonts w:hint="eastAsia" w:ascii="Times New Roman" w:hAnsi="Times New Roman" w:eastAsia="方正仿宋_GBK" w:cs="Times New Roman"/>
          <w:szCs w:val="32"/>
        </w:rPr>
        <w:t>万元。具体评价项目见下表：</w:t>
      </w:r>
    </w:p>
    <w:tbl>
      <w:tblPr>
        <w:tblStyle w:val="16"/>
        <w:tblpPr w:leftFromText="180" w:rightFromText="180" w:vertAnchor="text" w:horzAnchor="page" w:tblpX="2422" w:tblpY="81"/>
        <w:tblOverlap w:val="never"/>
        <w:tblW w:w="7693" w:type="dxa"/>
        <w:tblInd w:w="0" w:type="dxa"/>
        <w:tblLayout w:type="autofit"/>
        <w:tblCellMar>
          <w:top w:w="0" w:type="dxa"/>
          <w:left w:w="108" w:type="dxa"/>
          <w:bottom w:w="0" w:type="dxa"/>
          <w:right w:w="108" w:type="dxa"/>
        </w:tblCellMar>
      </w:tblPr>
      <w:tblGrid>
        <w:gridCol w:w="851"/>
        <w:gridCol w:w="4210"/>
        <w:gridCol w:w="1466"/>
        <w:gridCol w:w="1166"/>
      </w:tblGrid>
      <w:tr>
        <w:tblPrEx>
          <w:tblCellMar>
            <w:top w:w="0" w:type="dxa"/>
            <w:left w:w="108" w:type="dxa"/>
            <w:bottom w:w="0" w:type="dxa"/>
            <w:right w:w="108" w:type="dxa"/>
          </w:tblCellMar>
        </w:tblPrEx>
        <w:trPr>
          <w:trHeight w:val="795" w:hRule="atLeast"/>
        </w:trPr>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14:ligatures w14:val="none"/>
              </w:rPr>
              <w:t>序号</w:t>
            </w:r>
          </w:p>
        </w:tc>
        <w:tc>
          <w:tcPr>
            <w:tcW w:w="421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14:ligatures w14:val="none"/>
              </w:rPr>
              <w:t>项目（政策）/部门名称</w:t>
            </w:r>
          </w:p>
        </w:tc>
        <w:tc>
          <w:tcPr>
            <w:tcW w:w="146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lang w:eastAsia="zh-CN"/>
                <w14:ligatures w14:val="none"/>
              </w:rPr>
              <w:t>项目</w:t>
            </w:r>
            <w:r>
              <w:rPr>
                <w:rFonts w:hint="default" w:ascii="Times New Roman" w:hAnsi="Times New Roman" w:eastAsia="方正仿宋_GBK" w:cs="Times New Roman"/>
                <w:b/>
                <w:bCs/>
                <w:color w:val="000000"/>
                <w:kern w:val="0"/>
                <w:sz w:val="22"/>
                <w:szCs w:val="22"/>
                <w14:ligatures w14:val="none"/>
              </w:rPr>
              <w:t>部门</w:t>
            </w:r>
          </w:p>
        </w:tc>
        <w:tc>
          <w:tcPr>
            <w:tcW w:w="116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hint="default" w:ascii="Times New Roman" w:hAnsi="Times New Roman" w:eastAsia="方正仿宋_GBK" w:cs="Times New Roman"/>
                <w:b/>
                <w:bCs/>
                <w:color w:val="000000"/>
                <w:kern w:val="0"/>
                <w:sz w:val="22"/>
                <w:szCs w:val="22"/>
                <w14:ligatures w14:val="none"/>
              </w:rPr>
            </w:pPr>
            <w:r>
              <w:rPr>
                <w:rFonts w:hint="default" w:ascii="Times New Roman" w:hAnsi="Times New Roman" w:eastAsia="方正仿宋_GBK" w:cs="Times New Roman"/>
                <w:b/>
                <w:bCs/>
                <w:color w:val="000000"/>
                <w:kern w:val="0"/>
                <w:sz w:val="22"/>
                <w:szCs w:val="22"/>
                <w14:ligatures w14:val="none"/>
              </w:rPr>
              <w:t>备注</w:t>
            </w:r>
          </w:p>
        </w:tc>
      </w:tr>
      <w:tr>
        <w:tblPrEx>
          <w:tblCellMar>
            <w:top w:w="0" w:type="dxa"/>
            <w:left w:w="108" w:type="dxa"/>
            <w:bottom w:w="0" w:type="dxa"/>
            <w:right w:w="108" w:type="dxa"/>
          </w:tblCellMar>
        </w:tblPrEx>
        <w:trPr>
          <w:trHeight w:val="600"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1</w:t>
            </w:r>
          </w:p>
        </w:tc>
        <w:tc>
          <w:tcPr>
            <w:tcW w:w="42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pPr>
            <w:r>
              <w:rPr>
                <w:rFonts w:hint="default" w:ascii="Times New Roman" w:hAnsi="Times New Roman" w:eastAsia="方正仿宋_GBK" w:cs="Times New Roman"/>
                <w:color w:val="000000"/>
                <w:kern w:val="0"/>
                <w:sz w:val="22"/>
                <w:szCs w:val="22"/>
                <w:lang w:val="en-US" w:eastAsia="zh-CN"/>
                <w14:ligatures w14:val="none"/>
              </w:rPr>
              <w:t>2025年部门预算</w:t>
            </w:r>
          </w:p>
        </w:tc>
        <w:tc>
          <w:tcPr>
            <w:tcW w:w="14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pPr>
            <w:r>
              <w:rPr>
                <w:rFonts w:hint="default" w:ascii="Times New Roman" w:hAnsi="Times New Roman" w:eastAsia="方正仿宋_GBK" w:cs="Times New Roman"/>
                <w:color w:val="000000"/>
                <w:kern w:val="0"/>
                <w:sz w:val="22"/>
                <w:szCs w:val="22"/>
                <w14:ligatures w14:val="none"/>
              </w:rPr>
              <w:t>区委党校</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val="en-US"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部门</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整体</w:t>
            </w:r>
          </w:p>
        </w:tc>
      </w:tr>
      <w:tr>
        <w:tblPrEx>
          <w:tblCellMar>
            <w:top w:w="0" w:type="dxa"/>
            <w:left w:w="108" w:type="dxa"/>
            <w:bottom w:w="0" w:type="dxa"/>
            <w:right w:w="108" w:type="dxa"/>
          </w:tblCellMar>
        </w:tblPrEx>
        <w:trPr>
          <w:trHeight w:val="600"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2</w:t>
            </w:r>
          </w:p>
        </w:tc>
        <w:tc>
          <w:tcPr>
            <w:tcW w:w="42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K" w:cs="Times New Roman"/>
                <w:i w:val="0"/>
                <w:iCs w:val="0"/>
                <w:color w:val="000000"/>
                <w:kern w:val="2"/>
                <w:sz w:val="22"/>
                <w:szCs w:val="22"/>
                <w:u w:val="none"/>
                <w:lang w:val="en-US" w:eastAsia="zh-CN" w:bidi="ar-SA"/>
                <w14:ligatures w14:val="standardContextual"/>
              </w:rPr>
            </w:pPr>
            <w:r>
              <w:rPr>
                <w:rFonts w:hint="default" w:ascii="Times New Roman" w:hAnsi="Times New Roman" w:eastAsia="方正仿宋_GBK" w:cs="Times New Roman"/>
                <w:color w:val="000000"/>
                <w:kern w:val="0"/>
                <w:sz w:val="22"/>
                <w:szCs w:val="22"/>
                <w:lang w:val="en-US" w:eastAsia="zh-CN"/>
                <w14:ligatures w14:val="none"/>
              </w:rPr>
              <w:t>2025年部门预算</w:t>
            </w:r>
          </w:p>
        </w:tc>
        <w:tc>
          <w:tcPr>
            <w:tcW w:w="14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jc w:val="both"/>
              <w:rPr>
                <w:rFonts w:hint="default" w:ascii="Times New Roman" w:hAnsi="Times New Roman" w:eastAsia="方正仿宋_GBK" w:cs="Times New Roman"/>
                <w:i w:val="0"/>
                <w:iCs w:val="0"/>
                <w:color w:val="000000"/>
                <w:kern w:val="2"/>
                <w:sz w:val="22"/>
                <w:szCs w:val="22"/>
                <w:u w:val="none"/>
                <w:lang w:val="en-US" w:eastAsia="zh-CN" w:bidi="ar-SA"/>
                <w14:ligatures w14:val="standardContextual"/>
              </w:rPr>
            </w:pPr>
            <w:r>
              <w:rPr>
                <w:rFonts w:hint="default" w:ascii="Times New Roman" w:hAnsi="Times New Roman" w:eastAsia="方正仿宋_GBK" w:cs="Times New Roman"/>
                <w:color w:val="000000"/>
                <w:kern w:val="0"/>
                <w:sz w:val="22"/>
                <w:szCs w:val="22"/>
                <w:lang w:val="en-US" w:eastAsia="zh-CN"/>
                <w14:ligatures w14:val="none"/>
              </w:rPr>
              <w:t>区人力资源社会保障局</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部门</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整体</w:t>
            </w:r>
            <w:r>
              <w:rPr>
                <w:rFonts w:hint="default" w:ascii="Times New Roman" w:hAnsi="Times New Roman" w:eastAsia="方正仿宋_GBK" w:cs="Times New Roman"/>
                <w:color w:val="000000"/>
                <w:kern w:val="0"/>
                <w:sz w:val="22"/>
                <w:szCs w:val="22"/>
                <w14:ligatures w14:val="none"/>
              </w:rPr>
              <w:t>　</w:t>
            </w:r>
          </w:p>
        </w:tc>
      </w:tr>
      <w:tr>
        <w:tblPrEx>
          <w:tblCellMar>
            <w:top w:w="0" w:type="dxa"/>
            <w:left w:w="108" w:type="dxa"/>
            <w:bottom w:w="0" w:type="dxa"/>
            <w:right w:w="108" w:type="dxa"/>
          </w:tblCellMar>
        </w:tblPrEx>
        <w:trPr>
          <w:trHeight w:val="908"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3</w:t>
            </w:r>
          </w:p>
        </w:tc>
        <w:tc>
          <w:tcPr>
            <w:tcW w:w="42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K" w:cs="Times New Roman"/>
                <w:i w:val="0"/>
                <w:iCs w:val="0"/>
                <w:color w:val="000000"/>
                <w:kern w:val="2"/>
                <w:sz w:val="22"/>
                <w:szCs w:val="22"/>
                <w:u w:val="none"/>
                <w:lang w:val="en-US" w:eastAsia="zh-CN" w:bidi="ar-SA"/>
                <w14:ligatures w14:val="standardContextual"/>
              </w:rPr>
            </w:pPr>
            <w:r>
              <w:rPr>
                <w:rFonts w:hint="default" w:ascii="Times New Roman" w:hAnsi="Times New Roman" w:eastAsia="方正仿宋_GBK" w:cs="Times New Roman"/>
                <w:color w:val="000000"/>
                <w:kern w:val="0"/>
                <w:sz w:val="22"/>
                <w:szCs w:val="22"/>
                <w:lang w:val="en-US" w:eastAsia="zh-CN"/>
                <w14:ligatures w14:val="none"/>
              </w:rPr>
              <w:t>2025年中央财政林业草原专项资（国家公园外非国有林生态保护补偿）</w:t>
            </w:r>
          </w:p>
        </w:tc>
        <w:tc>
          <w:tcPr>
            <w:tcW w:w="14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220" w:firstLineChars="100"/>
              <w:jc w:val="center"/>
              <w:textAlignment w:val="center"/>
              <w:rPr>
                <w:rFonts w:hint="default" w:ascii="Times New Roman" w:hAnsi="Times New Roman" w:eastAsia="方正仿宋_GBK" w:cs="Times New Roman"/>
                <w:i w:val="0"/>
                <w:iCs w:val="0"/>
                <w:color w:val="000000"/>
                <w:kern w:val="2"/>
                <w:sz w:val="22"/>
                <w:szCs w:val="22"/>
                <w:u w:val="none"/>
                <w:lang w:val="en-US" w:eastAsia="zh-CN" w:bidi="ar-SA"/>
                <w14:ligatures w14:val="standardContextual"/>
              </w:rPr>
            </w:pPr>
            <w: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t>区林业局</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项目</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绩效</w:t>
            </w:r>
            <w:r>
              <w:rPr>
                <w:rFonts w:hint="default" w:ascii="Times New Roman" w:hAnsi="Times New Roman" w:eastAsia="方正仿宋_GBK" w:cs="Times New Roman"/>
                <w:color w:val="000000"/>
                <w:kern w:val="0"/>
                <w:sz w:val="22"/>
                <w:szCs w:val="22"/>
                <w14:ligatures w14:val="none"/>
              </w:rPr>
              <w:t>　</w:t>
            </w:r>
          </w:p>
        </w:tc>
      </w:tr>
      <w:tr>
        <w:tblPrEx>
          <w:tblCellMar>
            <w:top w:w="0" w:type="dxa"/>
            <w:left w:w="108" w:type="dxa"/>
            <w:bottom w:w="0" w:type="dxa"/>
            <w:right w:w="108" w:type="dxa"/>
          </w:tblCellMar>
        </w:tblPrEx>
        <w:trPr>
          <w:trHeight w:val="802"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4</w:t>
            </w:r>
          </w:p>
        </w:tc>
        <w:tc>
          <w:tcPr>
            <w:tcW w:w="42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攀枝花市仁和区第一污水处理厂及配套</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设施更新项目</w:t>
            </w:r>
          </w:p>
        </w:tc>
        <w:tc>
          <w:tcPr>
            <w:tcW w:w="14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220" w:firstLineChars="10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区住建局</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项目</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绩效</w:t>
            </w:r>
            <w:r>
              <w:rPr>
                <w:rFonts w:hint="default" w:ascii="Times New Roman" w:hAnsi="Times New Roman" w:eastAsia="方正仿宋_GBK" w:cs="Times New Roman"/>
                <w:color w:val="000000"/>
                <w:kern w:val="0"/>
                <w:sz w:val="22"/>
                <w:szCs w:val="22"/>
                <w14:ligatures w14:val="none"/>
              </w:rPr>
              <w:t>　</w:t>
            </w:r>
          </w:p>
        </w:tc>
      </w:tr>
      <w:tr>
        <w:tblPrEx>
          <w:tblCellMar>
            <w:top w:w="0" w:type="dxa"/>
            <w:left w:w="108" w:type="dxa"/>
            <w:bottom w:w="0" w:type="dxa"/>
            <w:right w:w="108" w:type="dxa"/>
          </w:tblCellMar>
        </w:tblPrEx>
        <w:trPr>
          <w:trHeight w:val="1581" w:hRule="atLeast"/>
        </w:trPr>
        <w:tc>
          <w:tcPr>
            <w:tcW w:w="851"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val="en-US" w:eastAsia="zh-CN"/>
                <w14:ligatures w14:val="none"/>
              </w:rPr>
              <w:t>5</w:t>
            </w:r>
          </w:p>
        </w:tc>
        <w:tc>
          <w:tcPr>
            <w:tcW w:w="4210"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攀枝花市仁和区南向片区农村人居环境</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14:ligatures w14:val="none"/>
              </w:rPr>
              <w:t>整治工程</w:t>
            </w:r>
          </w:p>
        </w:tc>
        <w:tc>
          <w:tcPr>
            <w:tcW w:w="14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pPr>
            <w: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t>区农业农村局、区城乡建设开发</w:t>
            </w:r>
          </w:p>
          <w:p>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0" w:firstLineChars="0"/>
              <w:jc w:val="center"/>
              <w:textAlignment w:val="center"/>
              <w:rPr>
                <w:rFonts w:hint="default" w:ascii="Times New Roman" w:hAnsi="Times New Roman" w:eastAsia="方正仿宋_GBK" w:cs="Times New Roman"/>
                <w:i w:val="0"/>
                <w:iCs w:val="0"/>
                <w:color w:val="000000"/>
                <w:kern w:val="2"/>
                <w:sz w:val="22"/>
                <w:szCs w:val="22"/>
                <w:u w:val="none"/>
                <w:lang w:val="en-US" w:eastAsia="zh-CN" w:bidi="ar-SA"/>
                <w14:ligatures w14:val="standardContextual"/>
              </w:rPr>
            </w:pPr>
            <w:r>
              <w:rPr>
                <w:rFonts w:hint="default" w:ascii="Times New Roman" w:hAnsi="Times New Roman" w:eastAsia="方正仿宋_GBK" w:cs="Times New Roman"/>
                <w:i w:val="0"/>
                <w:iCs w:val="0"/>
                <w:color w:val="000000"/>
                <w:kern w:val="0"/>
                <w:sz w:val="22"/>
                <w:szCs w:val="22"/>
                <w:u w:val="none"/>
                <w:lang w:val="en-US" w:eastAsia="zh-CN" w:bidi="ar"/>
                <w14:ligatures w14:val="standardContextual"/>
              </w:rPr>
              <w:t>中心</w:t>
            </w:r>
          </w:p>
        </w:tc>
        <w:tc>
          <w:tcPr>
            <w:tcW w:w="116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lang w:eastAsia="zh-CN"/>
                <w14:ligatures w14:val="none"/>
              </w:rPr>
            </w:pPr>
            <w:r>
              <w:rPr>
                <w:rFonts w:hint="default" w:ascii="Times New Roman" w:hAnsi="Times New Roman" w:eastAsia="方正仿宋_GBK" w:cs="Times New Roman"/>
                <w:color w:val="000000"/>
                <w:kern w:val="0"/>
                <w:sz w:val="22"/>
                <w:szCs w:val="22"/>
                <w:lang w:eastAsia="zh-CN"/>
                <w14:ligatures w14:val="none"/>
              </w:rPr>
              <w:t>项目</w:t>
            </w:r>
          </w:p>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rPr>
                <w:rFonts w:hint="default" w:ascii="Times New Roman" w:hAnsi="Times New Roman" w:eastAsia="方正仿宋_GBK" w:cs="Times New Roman"/>
                <w:color w:val="000000"/>
                <w:kern w:val="0"/>
                <w:sz w:val="22"/>
                <w:szCs w:val="22"/>
                <w14:ligatures w14:val="none"/>
              </w:rPr>
            </w:pPr>
            <w:r>
              <w:rPr>
                <w:rFonts w:hint="default" w:ascii="Times New Roman" w:hAnsi="Times New Roman" w:eastAsia="方正仿宋_GBK" w:cs="Times New Roman"/>
                <w:color w:val="000000"/>
                <w:kern w:val="0"/>
                <w:sz w:val="22"/>
                <w:szCs w:val="22"/>
                <w:lang w:eastAsia="zh-CN"/>
                <w14:ligatures w14:val="none"/>
              </w:rPr>
              <w:t>绩效</w:t>
            </w:r>
            <w:r>
              <w:rPr>
                <w:rFonts w:hint="default" w:ascii="Times New Roman" w:hAnsi="Times New Roman" w:eastAsia="方正仿宋_GBK" w:cs="Times New Roman"/>
                <w:color w:val="000000"/>
                <w:kern w:val="0"/>
                <w:sz w:val="22"/>
                <w:szCs w:val="22"/>
                <w14:ligatures w14:val="none"/>
              </w:rPr>
              <w:t>　</w:t>
            </w:r>
          </w:p>
        </w:tc>
      </w:tr>
    </w:tbl>
    <w:p>
      <w:pPr>
        <w:spacing w:line="600" w:lineRule="exact"/>
        <w:ind w:firstLine="640"/>
        <w:rPr>
          <w:rFonts w:ascii="Times New Roman" w:hAnsi="Times New Roman" w:cs="Times New Roman"/>
          <w:bCs/>
        </w:rPr>
      </w:pPr>
      <w:r>
        <w:rPr>
          <w:rFonts w:hint="eastAsia" w:ascii="方正楷体_GBK" w:hAnsi="方正楷体_GBK" w:eastAsia="方正楷体_GBK" w:cs="方正楷体_GBK"/>
          <w:b/>
          <w:bCs/>
          <w:szCs w:val="32"/>
        </w:rPr>
        <w:t>（二）服务要求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w:t>
      </w:r>
      <w:r>
        <w:rPr>
          <w:rFonts w:hint="eastAsia" w:ascii="Times New Roman" w:hAnsi="Times New Roman" w:eastAsia="方正仿宋_GBK" w:cs="Times New Roman"/>
          <w:szCs w:val="32"/>
          <w:lang w:eastAsia="zh-CN"/>
        </w:rPr>
        <w:t>.</w:t>
      </w:r>
      <w:r>
        <w:rPr>
          <w:rFonts w:hint="eastAsia" w:ascii="Times New Roman" w:hAnsi="Times New Roman" w:eastAsia="方正仿宋_GBK" w:cs="Times New Roman"/>
          <w:szCs w:val="32"/>
        </w:rPr>
        <w:t>对于专项项目要对项目决策、项目实施以及项目效果进行全面梳理，评价项目完成情况及资金使用绩效情况。对于部门整体要围绕部门职责、行业发展规划，以预算资金管理为主线，从履职效能、管理效率、运行成本等方面评价部门整体支出及核心职能实施效果，查找问题要具体深入，提出的建议要有针对性和可操作性。需要选取现场评价点位的项目，点位选取比例不得低于30%，采购人有权根据实际工作需求提高点位选取比例，每个点位评价人员不得少于3人。第三方机构需要按照评价任务制定评价工作方案，报攀枝花市</w:t>
      </w:r>
      <w:r>
        <w:rPr>
          <w:rFonts w:hint="eastAsia" w:ascii="Times New Roman" w:hAnsi="Times New Roman" w:eastAsia="方正仿宋_GBK" w:cs="Times New Roman"/>
          <w:szCs w:val="32"/>
          <w:lang w:eastAsia="zh-CN"/>
        </w:rPr>
        <w:t>仁和区</w:t>
      </w:r>
      <w:r>
        <w:rPr>
          <w:rFonts w:hint="eastAsia" w:ascii="Times New Roman" w:hAnsi="Times New Roman" w:eastAsia="方正仿宋_GBK" w:cs="Times New Roman"/>
          <w:szCs w:val="32"/>
        </w:rPr>
        <w:t>财政局</w:t>
      </w:r>
      <w:r>
        <w:rPr>
          <w:rFonts w:hint="eastAsia" w:ascii="Times New Roman" w:hAnsi="Times New Roman" w:eastAsia="方正仿宋_GBK" w:cs="Times New Roman"/>
          <w:szCs w:val="32"/>
          <w:lang w:eastAsia="zh-CN"/>
        </w:rPr>
        <w:t>财政监督与</w:t>
      </w:r>
      <w:r>
        <w:rPr>
          <w:rFonts w:hint="eastAsia" w:ascii="Times New Roman" w:hAnsi="Times New Roman" w:eastAsia="方正仿宋_GBK" w:cs="Times New Roman"/>
          <w:szCs w:val="32"/>
        </w:rPr>
        <w:t>绩效管理</w:t>
      </w:r>
      <w:r>
        <w:rPr>
          <w:rFonts w:hint="eastAsia" w:ascii="Times New Roman" w:hAnsi="Times New Roman" w:eastAsia="方正仿宋_GBK" w:cs="Times New Roman"/>
          <w:szCs w:val="32"/>
          <w:lang w:eastAsia="zh-CN"/>
        </w:rPr>
        <w:t>股</w:t>
      </w:r>
      <w:r>
        <w:rPr>
          <w:rFonts w:hint="eastAsia" w:ascii="Times New Roman" w:hAnsi="Times New Roman" w:eastAsia="方正仿宋_GBK" w:cs="Times New Roman"/>
          <w:szCs w:val="32"/>
        </w:rPr>
        <w:t>审核后开展后续评价工作。</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2.2026年财政重点绩效评价</w:t>
      </w:r>
      <w:r>
        <w:rPr>
          <w:rFonts w:hint="eastAsia" w:ascii="Times New Roman" w:hAnsi="Times New Roman" w:eastAsia="方正仿宋_GBK" w:cs="Times New Roman"/>
          <w:szCs w:val="32"/>
          <w:lang w:eastAsia="zh-CN"/>
        </w:rPr>
        <w:t>工作需在</w:t>
      </w:r>
      <w:r>
        <w:rPr>
          <w:rFonts w:hint="eastAsia" w:ascii="Times New Roman" w:hAnsi="Times New Roman" w:eastAsia="方正仿宋_GBK" w:cs="Times New Roman"/>
          <w:szCs w:val="32"/>
        </w:rPr>
        <w:t>2026年</w:t>
      </w:r>
      <w:r>
        <w:rPr>
          <w:rFonts w:hint="eastAsia" w:ascii="Times New Roman" w:hAnsi="Times New Roman" w:eastAsia="方正仿宋_GBK" w:cs="Times New Roman"/>
          <w:szCs w:val="32"/>
          <w:lang w:val="en-US" w:eastAsia="zh-CN"/>
        </w:rPr>
        <w:t>10</w:t>
      </w:r>
      <w:r>
        <w:rPr>
          <w:rFonts w:hint="eastAsia" w:ascii="Times New Roman" w:hAnsi="Times New Roman" w:eastAsia="方正仿宋_GBK" w:cs="Times New Roman"/>
          <w:szCs w:val="32"/>
        </w:rPr>
        <w:t>月下旬</w:t>
      </w:r>
      <w:r>
        <w:rPr>
          <w:rFonts w:hint="eastAsia" w:ascii="Times New Roman" w:hAnsi="Times New Roman" w:eastAsia="方正仿宋_GBK" w:cs="Times New Roman"/>
          <w:szCs w:val="32"/>
          <w:lang w:eastAsia="zh-CN"/>
        </w:rPr>
        <w:t>全面</w:t>
      </w:r>
      <w:bookmarkStart w:id="0" w:name="_GoBack"/>
      <w:bookmarkEnd w:id="0"/>
      <w:r>
        <w:rPr>
          <w:rFonts w:hint="eastAsia" w:ascii="Times New Roman" w:hAnsi="Times New Roman" w:eastAsia="方正仿宋_GBK" w:cs="Times New Roman"/>
          <w:szCs w:val="32"/>
        </w:rPr>
        <w:t>完成。</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上述需求均为初步服务要求，具体细节及服务要求待比选中选后由采购人、第三方机构进一步</w:t>
      </w:r>
      <w:r>
        <w:rPr>
          <w:rFonts w:hint="eastAsia" w:ascii="Times New Roman" w:hAnsi="Times New Roman" w:eastAsia="方正仿宋_GBK" w:cs="Times New Roman"/>
          <w:szCs w:val="32"/>
          <w:lang w:eastAsia="zh-CN"/>
        </w:rPr>
        <w:t>协商</w:t>
      </w:r>
      <w:r>
        <w:rPr>
          <w:rFonts w:hint="eastAsia" w:ascii="Times New Roman" w:hAnsi="Times New Roman" w:eastAsia="方正仿宋_GBK" w:cs="Times New Roman"/>
          <w:szCs w:val="32"/>
        </w:rPr>
        <w:t>决定。</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七、项目说明</w:t>
      </w:r>
    </w:p>
    <w:p>
      <w:pPr>
        <w:spacing w:line="600" w:lineRule="exact"/>
        <w:ind w:firstLine="640"/>
        <w:rPr>
          <w:rFonts w:hint="eastAsia" w:ascii="Times New Roman" w:hAnsi="Times New Roman" w:eastAsia="方正仿宋_GBK" w:cs="Times New Roman"/>
          <w:szCs w:val="32"/>
        </w:rPr>
      </w:pPr>
      <w:r>
        <w:rPr>
          <w:rFonts w:hint="eastAsia" w:ascii="方正楷体_GBK" w:hAnsi="方正楷体_GBK" w:eastAsia="方正楷体_GBK" w:cs="方正楷体_GBK"/>
          <w:b/>
          <w:bCs/>
          <w:szCs w:val="32"/>
        </w:rPr>
        <w:t>（一）</w:t>
      </w:r>
      <w:r>
        <w:rPr>
          <w:rFonts w:hint="eastAsia" w:ascii="Times New Roman" w:hAnsi="Times New Roman" w:eastAsia="方正仿宋_GBK" w:cs="Times New Roman"/>
          <w:szCs w:val="32"/>
        </w:rPr>
        <w:t>比选申请人或成交供应商发生以下情形之一的，采购人有权取消其成交资格、不与其签订合同或单方面解除已签订合同，且该方自行为发生之日起三年内不得参与采购人组织的任何绩效评价采购活动或承接任何绩效评价业务：</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1.比选申请人在提交响应文件截止时间后撤回响应文件的；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2.比选申请人与采购人、其他比选申请人恶意串通的；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3.除因不可抗力或比选文件认可的情形以外，成交供应商不与采购人签订合同的；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4.比选申请人在比选过程中有违反有关法律法规行为的；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5.比选文件规定的其他情形。</w:t>
      </w:r>
    </w:p>
    <w:p>
      <w:pPr>
        <w:spacing w:line="600" w:lineRule="exact"/>
        <w:ind w:firstLine="640"/>
        <w:rPr>
          <w:rFonts w:hint="eastAsia" w:ascii="方正楷体_GBK" w:hAnsi="方正楷体_GBK" w:eastAsia="方正楷体_GBK" w:cs="方正楷体_GBK"/>
          <w:b/>
          <w:bCs/>
          <w:szCs w:val="32"/>
          <w:lang w:eastAsia="zh-CN"/>
        </w:rPr>
      </w:pPr>
      <w:r>
        <w:rPr>
          <w:rFonts w:hint="eastAsia" w:ascii="方正楷体_GBK" w:hAnsi="方正楷体_GBK" w:eastAsia="方正楷体_GBK" w:cs="方正楷体_GBK"/>
          <w:b/>
          <w:bCs/>
          <w:szCs w:val="32"/>
        </w:rPr>
        <w:t>（二）</w:t>
      </w:r>
      <w:r>
        <w:rPr>
          <w:rFonts w:hint="eastAsia" w:ascii="方正楷体_GBK" w:hAnsi="方正楷体_GBK" w:eastAsia="方正楷体_GBK" w:cs="方正楷体_GBK"/>
          <w:b/>
          <w:bCs/>
          <w:szCs w:val="32"/>
          <w:lang w:eastAsia="zh-CN"/>
        </w:rPr>
        <w:t>对第三方机构开展工作的相关要求。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1.对第三方机构实施绩效评价的工作人员的要求。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（1）第三方机构应为每个项目成立项目组，配备足够的专业技术力量。</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项目组人员一经确定，不得随意变更。符合以下条件，经采购人同意后可以进行变更：①变更后的人员职务、职称、执业资格数量、参加绩效评价工作经历等各方面均与原人员相当或优于原人员。②绩效评价工作方案论证前。</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2.对第三方机构实施绩效评价的工作内容要求。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承接财政重点绩效评价项目的第三方机构应按照《攀枝花市</w:t>
      </w:r>
      <w:r>
        <w:rPr>
          <w:rFonts w:hint="eastAsia" w:ascii="Times New Roman" w:hAnsi="Times New Roman" w:eastAsia="方正仿宋_GBK" w:cs="Times New Roman"/>
          <w:szCs w:val="32"/>
          <w:lang w:eastAsia="zh-CN"/>
        </w:rPr>
        <w:t>仁和区</w:t>
      </w:r>
      <w:r>
        <w:rPr>
          <w:rFonts w:hint="eastAsia" w:ascii="Times New Roman" w:hAnsi="Times New Roman" w:eastAsia="方正仿宋_GBK" w:cs="Times New Roman"/>
          <w:szCs w:val="32"/>
        </w:rPr>
        <w:t>财政局关于开展2026年度</w:t>
      </w:r>
      <w:r>
        <w:rPr>
          <w:rFonts w:hint="eastAsia" w:ascii="Times New Roman" w:hAnsi="Times New Roman" w:eastAsia="方正仿宋_GBK" w:cs="Times New Roman"/>
          <w:szCs w:val="32"/>
          <w:lang w:eastAsia="zh-CN"/>
        </w:rPr>
        <w:t>区</w:t>
      </w:r>
      <w:r>
        <w:rPr>
          <w:rFonts w:hint="eastAsia" w:ascii="Times New Roman" w:hAnsi="Times New Roman" w:eastAsia="方正仿宋_GBK" w:cs="Times New Roman"/>
          <w:szCs w:val="32"/>
        </w:rPr>
        <w:t>级财政重点绩效评价工作的通知》（攀</w:t>
      </w:r>
      <w:r>
        <w:rPr>
          <w:rFonts w:hint="eastAsia" w:ascii="Times New Roman" w:hAnsi="Times New Roman" w:eastAsia="方正仿宋_GBK" w:cs="Times New Roman"/>
          <w:szCs w:val="32"/>
          <w:lang w:eastAsia="zh-CN"/>
        </w:rPr>
        <w:t>仁</w:t>
      </w:r>
      <w:r>
        <w:rPr>
          <w:rFonts w:hint="eastAsia" w:ascii="Times New Roman" w:hAnsi="Times New Roman" w:eastAsia="方正仿宋_GBK" w:cs="Times New Roman"/>
          <w:szCs w:val="32"/>
        </w:rPr>
        <w:t>财〔2026〕</w:t>
      </w:r>
      <w:r>
        <w:rPr>
          <w:rFonts w:hint="eastAsia" w:ascii="Times New Roman" w:hAnsi="Times New Roman" w:eastAsia="方正仿宋_GBK" w:cs="Times New Roman"/>
          <w:szCs w:val="32"/>
          <w:lang w:val="en-US" w:eastAsia="zh-CN"/>
        </w:rPr>
        <w:t>38</w:t>
      </w:r>
      <w:r>
        <w:rPr>
          <w:rFonts w:hint="eastAsia" w:ascii="Times New Roman" w:hAnsi="Times New Roman" w:eastAsia="方正仿宋_GBK" w:cs="Times New Roman"/>
          <w:szCs w:val="32"/>
        </w:rPr>
        <w:t>号）文件要求完成评价任务。</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承接财政重点绩效评价项目的第三方机构应对评价内容、数据的真实性、合法性负责。主要工作内容包括：</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制定评价方案。①进行项目调研；②确定评价依据；③设定评价指标体系；④按照百分制制定评价标准和分值；⑤制定实施措施及质量保证措施；⑥制定工作步骤与完成时限；⑦明确评价人员及分工；⑧其他事项。</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开展绩效评价。①听取项目实施单位情况介绍；②查阅各种资料，并收集相关数据；③实地查看项目实施情况；④对项目开展满意度测评或访谈，形成满意度调查报告；⑤账务核查；⑥制作绩效评价工作底稿；⑦形成绩效评价初稿；⑧其他事项。</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（3）将评价结果反馈项目单位，对项目单位的反馈意见提出认证意见。</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（4）根据认证意见修改评价报告，形成修改稿。</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（5）按照攀枝花市</w:t>
      </w:r>
      <w:r>
        <w:rPr>
          <w:rFonts w:hint="eastAsia" w:ascii="Times New Roman" w:hAnsi="Times New Roman" w:eastAsia="方正仿宋_GBK" w:cs="Times New Roman"/>
          <w:szCs w:val="32"/>
          <w:lang w:eastAsia="zh-CN"/>
        </w:rPr>
        <w:t>仁和区</w:t>
      </w:r>
      <w:r>
        <w:rPr>
          <w:rFonts w:hint="eastAsia" w:ascii="Times New Roman" w:hAnsi="Times New Roman" w:eastAsia="方正仿宋_GBK" w:cs="Times New Roman"/>
          <w:szCs w:val="32"/>
        </w:rPr>
        <w:t>财政局反馈意见进行修改。</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（6）出具书面评价报告定稿，格式及内容需符合采购人要求。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3.第三方机构应构建严格的内控制度，实施内部质量控制，确保评价工作质量，并根据工作需要，外聘各类专业人员参与评价工作，所需费用包含在报价内。</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4.承接财政重点绩效评价项目的第三方机构应严守职业道德和</w:t>
      </w:r>
      <w:r>
        <w:rPr>
          <w:rFonts w:hint="eastAsia" w:ascii="Times New Roman" w:hAnsi="Times New Roman" w:eastAsia="方正仿宋_GBK" w:cs="Times New Roman"/>
          <w:szCs w:val="32"/>
          <w:highlight w:val="none"/>
        </w:rPr>
        <w:t>廉洁纪律，</w:t>
      </w:r>
      <w:r>
        <w:rPr>
          <w:rFonts w:hint="eastAsia" w:ascii="Times New Roman" w:hAnsi="Times New Roman" w:eastAsia="方正仿宋_GBK" w:cs="Times New Roman"/>
          <w:szCs w:val="32"/>
        </w:rPr>
        <w:t>构建严格有效的内部质量控制体系，接受采购人的指导和监督。</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5.承接财政重点绩效评价项目的第三方机构人员</w:t>
      </w:r>
      <w:r>
        <w:rPr>
          <w:rFonts w:hint="eastAsia" w:ascii="Times New Roman" w:hAnsi="Times New Roman" w:eastAsia="方正仿宋_GBK" w:cs="Times New Roman"/>
          <w:szCs w:val="32"/>
          <w:lang w:eastAsia="zh-CN"/>
        </w:rPr>
        <w:t>如</w:t>
      </w:r>
      <w:r>
        <w:rPr>
          <w:rFonts w:hint="eastAsia" w:ascii="Times New Roman" w:hAnsi="Times New Roman" w:eastAsia="方正仿宋_GBK" w:cs="Times New Roman"/>
          <w:szCs w:val="32"/>
        </w:rPr>
        <w:t>遇有应当回避的情况，应当主动提出回避，否则攀枝花市</w:t>
      </w:r>
      <w:r>
        <w:rPr>
          <w:rFonts w:hint="eastAsia" w:ascii="Times New Roman" w:hAnsi="Times New Roman" w:eastAsia="方正仿宋_GBK" w:cs="Times New Roman"/>
          <w:szCs w:val="32"/>
          <w:lang w:eastAsia="zh-CN"/>
        </w:rPr>
        <w:t>仁和区</w:t>
      </w:r>
      <w:r>
        <w:rPr>
          <w:rFonts w:hint="eastAsia" w:ascii="Times New Roman" w:hAnsi="Times New Roman" w:eastAsia="方正仿宋_GBK" w:cs="Times New Roman"/>
          <w:szCs w:val="32"/>
        </w:rPr>
        <w:t>财政局有权取消该项业务约定。</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6.不得将承担的财政重点绩效评价项目转包或分包给其它单位或个人，否则攀枝花市</w:t>
      </w:r>
      <w:r>
        <w:rPr>
          <w:rFonts w:hint="eastAsia" w:ascii="Times New Roman" w:hAnsi="Times New Roman" w:eastAsia="方正仿宋_GBK" w:cs="Times New Roman"/>
          <w:szCs w:val="32"/>
          <w:lang w:eastAsia="zh-CN"/>
        </w:rPr>
        <w:t>仁和区</w:t>
      </w:r>
      <w:r>
        <w:rPr>
          <w:rFonts w:hint="eastAsia" w:ascii="Times New Roman" w:hAnsi="Times New Roman" w:eastAsia="方正仿宋_GBK" w:cs="Times New Roman"/>
          <w:szCs w:val="32"/>
        </w:rPr>
        <w:t>财政局有权终止合同。</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7.根据项目情况和评价需求，第三方机构须制</w:t>
      </w:r>
      <w:r>
        <w:rPr>
          <w:rFonts w:hint="eastAsia" w:ascii="Times New Roman" w:hAnsi="Times New Roman" w:eastAsia="方正仿宋_GBK" w:cs="Times New Roman"/>
          <w:szCs w:val="32"/>
          <w:lang w:eastAsia="zh-CN"/>
        </w:rPr>
        <w:t>定</w:t>
      </w:r>
      <w:r>
        <w:rPr>
          <w:rFonts w:hint="eastAsia" w:ascii="Times New Roman" w:hAnsi="Times New Roman" w:eastAsia="方正仿宋_GBK" w:cs="Times New Roman"/>
          <w:szCs w:val="32"/>
        </w:rPr>
        <w:t>及时有效的服务方案，并做到在发生紧急情况时，项目经理或主要负责人能及时响应处理突发情况。</w:t>
      </w:r>
    </w:p>
    <w:p>
      <w:pPr>
        <w:spacing w:line="600" w:lineRule="exact"/>
        <w:ind w:left="0" w:leftChars="0" w:firstLine="640" w:firstLineChars="200"/>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八、</w:t>
      </w:r>
      <w:r>
        <w:rPr>
          <w:rFonts w:hint="eastAsia" w:ascii="方正黑体_GBK" w:hAnsi="方正黑体_GBK" w:eastAsia="方正黑体_GBK" w:cs="方正黑体_GBK"/>
          <w:b w:val="0"/>
          <w:szCs w:val="32"/>
          <w:lang w:eastAsia="zh-CN"/>
        </w:rPr>
        <w:t>商务</w:t>
      </w:r>
      <w:r>
        <w:rPr>
          <w:rFonts w:hint="eastAsia" w:ascii="方正黑体_GBK" w:hAnsi="方正黑体_GBK" w:eastAsia="方正黑体_GBK" w:cs="方正黑体_GBK"/>
          <w:b w:val="0"/>
          <w:szCs w:val="32"/>
        </w:rPr>
        <w:t>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1.服务期限：签订采购合同起一年，因成交供应商后续履约质量无法保障或者采购人采购需求发生变化，可依法终止合同。</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2.服务地点：采购人指定地点（攀枝花市范围内）。</w:t>
      </w:r>
    </w:p>
    <w:p>
      <w:pPr>
        <w:spacing w:line="600" w:lineRule="exact"/>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九、其他要求</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1.售后服务要求：供应商需按采购人要求，在本次绩效评价完成后3年内免费配合采购人及有关部门开展审计、监察等相关工作（提供承诺函加盖公章）。</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2.供应商应承诺保证本项目所涉及的数据（资料）的安全，不得造成数据（资料）泄露（提供承诺函加盖公章）。</w:t>
      </w:r>
    </w:p>
    <w:p>
      <w:pPr>
        <w:spacing w:line="600" w:lineRule="exact"/>
        <w:ind w:firstLine="835" w:firstLineChars="261"/>
        <w:jc w:val="left"/>
        <w:rPr>
          <w:rFonts w:hint="eastAsia" w:ascii="方正黑体_GBK" w:hAnsi="方正黑体_GBK" w:eastAsia="方正黑体_GBK" w:cs="方正黑体_GBK"/>
          <w:b w:val="0"/>
          <w:szCs w:val="32"/>
        </w:rPr>
      </w:pPr>
      <w:r>
        <w:rPr>
          <w:rFonts w:hint="eastAsia" w:ascii="方正黑体_GBK" w:hAnsi="方正黑体_GBK" w:eastAsia="方正黑体_GBK" w:cs="方正黑体_GBK"/>
          <w:b w:val="0"/>
          <w:szCs w:val="32"/>
        </w:rPr>
        <w:t>十、评审细则及标准</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1.本项目评审方法为：综合评分法，即在全部满足比选文件实质性响应要求的前提下，以得分最高的供应商作为成交供应商的评审方法。</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2.比选过程中，有下列情形之一的，比选失败：</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（1）出现影响采购公正的违法、违规行为的；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（2）比选申请人的报价均超过了采购预算，采购人不能支付的；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（3）参与比选供应商少于三家的；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（4）因重大变故，采购任务取消的。</w:t>
      </w:r>
    </w:p>
    <w:p>
      <w:pPr>
        <w:spacing w:line="600" w:lineRule="exact"/>
        <w:ind w:firstLine="640"/>
        <w:rPr>
          <w:rFonts w:hint="eastAsia" w:ascii="Times New Roman" w:hAnsi="Times New Roman" w:eastAsia="方正仿宋_GBK" w:cs="Times New Roman"/>
          <w:szCs w:val="32"/>
        </w:rPr>
      </w:pPr>
      <w:r>
        <w:rPr>
          <w:rFonts w:hint="eastAsia" w:ascii="Times New Roman" w:hAnsi="Times New Roman" w:eastAsia="方正仿宋_GBK" w:cs="Times New Roman"/>
          <w:szCs w:val="32"/>
        </w:rPr>
        <w:t>3.综合评分明细表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939"/>
        <w:gridCol w:w="5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pPr>
              <w:pStyle w:val="42"/>
              <w:jc w:val="center"/>
              <w:rPr>
                <w:rFonts w:hint="default" w:ascii="Times New Roman" w:hAnsi="Times New Roman" w:eastAsia="方正仿宋_GBK" w:cs="Times New Roman"/>
                <w:b/>
                <w:bCs w:val="0"/>
                <w:sz w:val="24"/>
              </w:rPr>
            </w:pPr>
            <w:r>
              <w:rPr>
                <w:rFonts w:hint="default" w:ascii="Times New Roman" w:hAnsi="Times New Roman" w:eastAsia="方正仿宋_GBK" w:cs="Times New Roman"/>
                <w:b/>
                <w:bCs w:val="0"/>
                <w:sz w:val="24"/>
              </w:rPr>
              <w:t>序号</w:t>
            </w:r>
          </w:p>
        </w:tc>
        <w:tc>
          <w:tcPr>
            <w:tcW w:w="1418" w:type="dxa"/>
            <w:vAlign w:val="center"/>
          </w:tcPr>
          <w:p>
            <w:pPr>
              <w:pStyle w:val="42"/>
              <w:jc w:val="center"/>
              <w:rPr>
                <w:rFonts w:hint="default" w:ascii="Times New Roman" w:hAnsi="Times New Roman" w:eastAsia="方正仿宋_GBK" w:cs="Times New Roman"/>
                <w:b/>
                <w:bCs w:val="0"/>
                <w:sz w:val="24"/>
              </w:rPr>
            </w:pPr>
            <w:r>
              <w:rPr>
                <w:rFonts w:hint="default" w:ascii="Times New Roman" w:hAnsi="Times New Roman" w:eastAsia="方正仿宋_GBK" w:cs="Times New Roman"/>
                <w:b/>
                <w:bCs w:val="0"/>
                <w:sz w:val="24"/>
              </w:rPr>
              <w:t>评分因素及权重</w:t>
            </w:r>
          </w:p>
        </w:tc>
        <w:tc>
          <w:tcPr>
            <w:tcW w:w="939" w:type="dxa"/>
            <w:vAlign w:val="center"/>
          </w:tcPr>
          <w:p>
            <w:pPr>
              <w:pStyle w:val="42"/>
              <w:jc w:val="center"/>
              <w:rPr>
                <w:rFonts w:hint="default" w:ascii="Times New Roman" w:hAnsi="Times New Roman" w:eastAsia="方正仿宋_GBK" w:cs="Times New Roman"/>
                <w:b/>
                <w:bCs w:val="0"/>
                <w:sz w:val="24"/>
              </w:rPr>
            </w:pPr>
            <w:r>
              <w:rPr>
                <w:rFonts w:hint="default" w:ascii="Times New Roman" w:hAnsi="Times New Roman" w:eastAsia="方正仿宋_GBK" w:cs="Times New Roman"/>
                <w:b/>
                <w:bCs w:val="0"/>
                <w:sz w:val="24"/>
              </w:rPr>
              <w:t>分值</w:t>
            </w:r>
          </w:p>
        </w:tc>
        <w:tc>
          <w:tcPr>
            <w:tcW w:w="5438" w:type="dxa"/>
            <w:vAlign w:val="center"/>
          </w:tcPr>
          <w:p>
            <w:pPr>
              <w:pStyle w:val="42"/>
              <w:jc w:val="center"/>
              <w:rPr>
                <w:rFonts w:hint="default" w:ascii="Times New Roman" w:hAnsi="Times New Roman" w:eastAsia="方正仿宋_GBK" w:cs="Times New Roman"/>
                <w:b/>
                <w:bCs w:val="0"/>
                <w:sz w:val="24"/>
              </w:rPr>
            </w:pPr>
            <w:r>
              <w:rPr>
                <w:rFonts w:hint="default" w:ascii="Times New Roman" w:hAnsi="Times New Roman" w:eastAsia="方正仿宋_GBK" w:cs="Times New Roman"/>
                <w:b/>
                <w:bCs w:val="0"/>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675"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1</w:t>
            </w:r>
          </w:p>
        </w:tc>
        <w:tc>
          <w:tcPr>
            <w:tcW w:w="141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报价（20%）</w:t>
            </w:r>
          </w:p>
        </w:tc>
        <w:tc>
          <w:tcPr>
            <w:tcW w:w="939"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20.00分</w:t>
            </w:r>
          </w:p>
        </w:tc>
        <w:tc>
          <w:tcPr>
            <w:tcW w:w="543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供应商最低报价为基准价得20分，其他供应商报价得分=基准价/供应商报价*20。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675"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2</w:t>
            </w:r>
          </w:p>
        </w:tc>
        <w:tc>
          <w:tcPr>
            <w:tcW w:w="141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人员配置</w:t>
            </w:r>
          </w:p>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（26%）</w:t>
            </w:r>
          </w:p>
        </w:tc>
        <w:tc>
          <w:tcPr>
            <w:tcW w:w="939"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26.00分</w:t>
            </w:r>
          </w:p>
        </w:tc>
        <w:tc>
          <w:tcPr>
            <w:tcW w:w="543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1.评价工作组组长：组长需具备会计类、经济类中级及以上职称或注册会计师执业资格，且从事预算绩效评价工作达3年以上，得6分；从事绩效评价工作年限在3年基础上每增加1年，增得2分。本项最多得12分。</w:t>
            </w:r>
          </w:p>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2.评价工作组组员：每有1人具有会计类、经济类中级及以上职称或注册会计师执业资格，且从事预算绩效评价工作达2年以上，得3分；从事绩效评价工作年限在2年基础上每增加1年，增得2分，本项最多得14分。</w:t>
            </w:r>
          </w:p>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注：1.以上人员不重复计分。2.提供相关证明材料（①身份证复印件；②职称或执业资格材料复印件；③参与绩效评价工作简介及工作年限证明材料，提供绩效评价工作年限（工作经历）的证明材料包括但不限于本人参与绩效评价现场记录（需被评价单位盖章和本人签字或署名）复印件并加盖供应商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75"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3</w:t>
            </w:r>
          </w:p>
        </w:tc>
        <w:tc>
          <w:tcPr>
            <w:tcW w:w="141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履约能力</w:t>
            </w:r>
          </w:p>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（40%）</w:t>
            </w:r>
          </w:p>
        </w:tc>
        <w:tc>
          <w:tcPr>
            <w:tcW w:w="939"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40.00分</w:t>
            </w:r>
          </w:p>
        </w:tc>
        <w:tc>
          <w:tcPr>
            <w:tcW w:w="5438" w:type="dxa"/>
          </w:tcPr>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1.供应商提供2023年1月1日以来承担过财政部门委托的项目或政策支出（不含部门运转类项目）绩效评价项目，项目数量不超过8个，其中每有一个省级财政部门委托的项目得6分，每有一个市级财政部门委托的项目得3分，每有一个县级财政部门委托的项目得1.5分。该项最高得分不超过24分。</w:t>
            </w:r>
          </w:p>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注：对同一委托方不同年度的第三方评价项目合同或协议视为一份，提供中标（成交）通知书复印件或合同复印件（时间以合同签订、通知书落款时间为准）和其中一份合同对应的一份成果物（报告）加盖供应商签章。</w:t>
            </w:r>
          </w:p>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2.供应商提供2023年1月1日以来承担过财政部门委托的部门整体支出绩效评价项目的，项目数量不超过8个，其中每有一个市级财政委托的项目得2分，每有一个县级财政局部门委托的得1分。该项最高分不得超过16分。</w:t>
            </w:r>
          </w:p>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注：对同一委托方不同年度的第三方评价项目合同或协议视为一份，提供中标（成交）通知书复印件或合同复印件（时间以合同签订、通知书落款时间为准）和其中一份合同对应的一份成果物（报告）加盖供应商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675"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4</w:t>
            </w:r>
          </w:p>
        </w:tc>
        <w:tc>
          <w:tcPr>
            <w:tcW w:w="141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服务方案(14%)</w:t>
            </w:r>
          </w:p>
        </w:tc>
        <w:tc>
          <w:tcPr>
            <w:tcW w:w="939"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14.00分</w:t>
            </w:r>
          </w:p>
        </w:tc>
        <w:tc>
          <w:tcPr>
            <w:tcW w:w="5438" w:type="dxa"/>
            <w:vAlign w:val="center"/>
          </w:tcPr>
          <w:p>
            <w:pPr>
              <w:pStyle w:val="42"/>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rPr>
                <w:rFonts w:hint="default" w:ascii="Times New Roman" w:hAnsi="Times New Roman" w:eastAsia="方正仿宋_GBK" w:cs="Times New Roman"/>
                <w:sz w:val="28"/>
                <w:szCs w:val="22"/>
              </w:rPr>
            </w:pPr>
            <w:r>
              <w:rPr>
                <w:rFonts w:hint="default" w:ascii="Times New Roman" w:hAnsi="Times New Roman" w:eastAsia="方正仿宋_GBK" w:cs="Times New Roman"/>
                <w:sz w:val="28"/>
                <w:szCs w:val="22"/>
              </w:rPr>
              <w:t>根据供应商针对本项目提供的实施保障方案进行评审，内容包括①工作组管理组织架构②人员安排及职责分工③绩效评价工作流程及时间进度管理④绩效评价工作方法</w:t>
            </w:r>
            <w:r>
              <w:rPr>
                <w:rFonts w:hint="default" w:ascii="Times New Roman" w:hAnsi="Times New Roman" w:eastAsia="方正仿宋_GBK" w:cs="Times New Roman"/>
                <w:sz w:val="28"/>
                <w:szCs w:val="22"/>
              </w:rPr>
              <w:fldChar w:fldCharType="begin"/>
            </w:r>
            <w:r>
              <w:rPr>
                <w:rFonts w:hint="default" w:ascii="Times New Roman" w:hAnsi="Times New Roman" w:eastAsia="方正仿宋_GBK" w:cs="Times New Roman"/>
                <w:sz w:val="28"/>
                <w:szCs w:val="22"/>
              </w:rPr>
              <w:instrText xml:space="preserve"> = 5 \* GB3 </w:instrText>
            </w:r>
            <w:r>
              <w:rPr>
                <w:rFonts w:hint="default" w:ascii="Times New Roman" w:hAnsi="Times New Roman" w:eastAsia="方正仿宋_GBK" w:cs="Times New Roman"/>
                <w:sz w:val="28"/>
                <w:szCs w:val="22"/>
              </w:rPr>
              <w:fldChar w:fldCharType="separate"/>
            </w:r>
            <w:r>
              <w:rPr>
                <w:rFonts w:hint="default" w:ascii="Times New Roman" w:hAnsi="Times New Roman" w:eastAsia="方正仿宋_GBK" w:cs="Times New Roman"/>
                <w:sz w:val="28"/>
                <w:szCs w:val="22"/>
              </w:rPr>
              <w:t>⑤</w:t>
            </w:r>
            <w:r>
              <w:rPr>
                <w:rFonts w:hint="default" w:ascii="Times New Roman" w:hAnsi="Times New Roman" w:eastAsia="方正仿宋_GBK" w:cs="Times New Roman"/>
                <w:sz w:val="28"/>
                <w:szCs w:val="22"/>
              </w:rPr>
              <w:fldChar w:fldCharType="end"/>
            </w:r>
            <w:r>
              <w:rPr>
                <w:rFonts w:hint="default" w:ascii="Times New Roman" w:hAnsi="Times New Roman" w:eastAsia="方正仿宋_GBK" w:cs="Times New Roman"/>
                <w:sz w:val="28"/>
                <w:szCs w:val="22"/>
              </w:rPr>
              <w:t>质量控制措施（包括评价工作全过程质量管理关键要素、质量控制体系、服务商内部质量管理措施以及内部质量控制管理制度）</w:t>
            </w:r>
            <w:r>
              <w:rPr>
                <w:rFonts w:hint="default" w:ascii="Times New Roman" w:hAnsi="Times New Roman" w:eastAsia="方正仿宋_GBK" w:cs="Times New Roman"/>
                <w:sz w:val="28"/>
                <w:szCs w:val="22"/>
              </w:rPr>
              <w:fldChar w:fldCharType="begin"/>
            </w:r>
            <w:r>
              <w:rPr>
                <w:rFonts w:hint="default" w:ascii="Times New Roman" w:hAnsi="Times New Roman" w:eastAsia="方正仿宋_GBK" w:cs="Times New Roman"/>
                <w:sz w:val="28"/>
                <w:szCs w:val="22"/>
              </w:rPr>
              <w:instrText xml:space="preserve"> = 6 \* GB3 </w:instrText>
            </w:r>
            <w:r>
              <w:rPr>
                <w:rFonts w:hint="default" w:ascii="Times New Roman" w:hAnsi="Times New Roman" w:eastAsia="方正仿宋_GBK" w:cs="Times New Roman"/>
                <w:sz w:val="28"/>
                <w:szCs w:val="22"/>
              </w:rPr>
              <w:fldChar w:fldCharType="separate"/>
            </w:r>
            <w:r>
              <w:rPr>
                <w:rFonts w:hint="default" w:ascii="Times New Roman" w:hAnsi="Times New Roman" w:eastAsia="方正仿宋_GBK" w:cs="Times New Roman"/>
                <w:sz w:val="28"/>
                <w:szCs w:val="22"/>
              </w:rPr>
              <w:t>⑥</w:t>
            </w:r>
            <w:r>
              <w:rPr>
                <w:rFonts w:hint="default" w:ascii="Times New Roman" w:hAnsi="Times New Roman" w:eastAsia="方正仿宋_GBK" w:cs="Times New Roman"/>
                <w:sz w:val="28"/>
                <w:szCs w:val="22"/>
              </w:rPr>
              <w:fldChar w:fldCharType="end"/>
            </w:r>
            <w:r>
              <w:rPr>
                <w:rFonts w:hint="default" w:ascii="Times New Roman" w:hAnsi="Times New Roman" w:eastAsia="方正仿宋_GBK" w:cs="Times New Roman"/>
                <w:sz w:val="28"/>
                <w:szCs w:val="22"/>
              </w:rPr>
              <w:t>档案及保密管理方案</w:t>
            </w:r>
            <w:r>
              <w:rPr>
                <w:rFonts w:hint="default" w:ascii="Times New Roman" w:hAnsi="Times New Roman" w:eastAsia="方正仿宋_GBK" w:cs="Times New Roman"/>
                <w:sz w:val="28"/>
                <w:szCs w:val="22"/>
              </w:rPr>
              <w:fldChar w:fldCharType="begin"/>
            </w:r>
            <w:r>
              <w:rPr>
                <w:rFonts w:hint="default" w:ascii="Times New Roman" w:hAnsi="Times New Roman" w:eastAsia="方正仿宋_GBK" w:cs="Times New Roman"/>
                <w:sz w:val="28"/>
                <w:szCs w:val="22"/>
              </w:rPr>
              <w:instrText xml:space="preserve"> = 7 \* GB3 </w:instrText>
            </w:r>
            <w:r>
              <w:rPr>
                <w:rFonts w:hint="default" w:ascii="Times New Roman" w:hAnsi="Times New Roman" w:eastAsia="方正仿宋_GBK" w:cs="Times New Roman"/>
                <w:sz w:val="28"/>
                <w:szCs w:val="22"/>
              </w:rPr>
              <w:fldChar w:fldCharType="separate"/>
            </w:r>
            <w:r>
              <w:rPr>
                <w:rFonts w:hint="default" w:ascii="Times New Roman" w:hAnsi="Times New Roman" w:eastAsia="方正仿宋_GBK" w:cs="Times New Roman"/>
                <w:sz w:val="28"/>
                <w:szCs w:val="22"/>
              </w:rPr>
              <w:t>⑦</w:t>
            </w:r>
            <w:r>
              <w:rPr>
                <w:rFonts w:hint="default" w:ascii="Times New Roman" w:hAnsi="Times New Roman" w:eastAsia="方正仿宋_GBK" w:cs="Times New Roman"/>
                <w:sz w:val="28"/>
                <w:szCs w:val="22"/>
              </w:rPr>
              <w:fldChar w:fldCharType="end"/>
            </w:r>
            <w:r>
              <w:rPr>
                <w:rFonts w:hint="default" w:ascii="Times New Roman" w:hAnsi="Times New Roman" w:eastAsia="方正仿宋_GBK" w:cs="Times New Roman"/>
                <w:sz w:val="28"/>
                <w:szCs w:val="22"/>
              </w:rPr>
              <w:t>被评价单位配合不积极等突发情况的应对预案等，完全满足得14分，缺一项扣2分，每项中存在缺陷（缺陷是指存在项目名称错误、地点区域错误、方案内容矛盾、仅有框架或标题、适用的标准（方法）错误、明显复制其他项目内容等任意一种情形)的，每有一处扣1分，扣完为止；未提供方案不得分。</w:t>
            </w:r>
          </w:p>
        </w:tc>
      </w:tr>
    </w:tbl>
    <w:p>
      <w:pPr>
        <w:ind w:firstLine="640"/>
        <w:rPr>
          <w:rFonts w:ascii="Times New Roman" w:hAnsi="Times New Roman" w:cs="Times New Roman"/>
        </w:rPr>
      </w:pPr>
    </w:p>
    <w:p>
      <w:pPr>
        <w:ind w:firstLine="640"/>
        <w:rPr>
          <w:rFonts w:ascii="Times New Roman" w:hAnsi="Times New Roman" w:cs="Times New Roman"/>
        </w:rPr>
      </w:pPr>
      <w:r>
        <w:rPr>
          <w:rFonts w:ascii="Times New Roman" w:hAnsi="Times New Roman" w:cs="Times New Roman"/>
        </w:rPr>
        <w:br w:type="page"/>
      </w:r>
    </w:p>
    <w:p>
      <w:pPr>
        <w:numPr>
          <w:ilvl w:val="0"/>
          <w:numId w:val="0"/>
        </w:numPr>
        <w:spacing w:line="600" w:lineRule="exact"/>
        <w:ind w:firstLine="640" w:firstLineChars="200"/>
        <w:jc w:val="left"/>
        <w:rPr>
          <w:rFonts w:ascii="Times New Roman" w:hAnsi="Times New Roman" w:eastAsia="仿宋_GB2312" w:cs="Times New Roman"/>
          <w:b w:val="0"/>
          <w:bCs w:val="0"/>
          <w:szCs w:val="21"/>
        </w:rPr>
      </w:pPr>
      <w:r>
        <w:rPr>
          <w:rFonts w:hint="eastAsia" w:ascii="方正黑体_GBK" w:hAnsi="方正黑体_GBK" w:eastAsia="方正黑体_GBK" w:cs="方正黑体_GBK"/>
          <w:b w:val="0"/>
          <w:szCs w:val="32"/>
          <w:lang w:val="en-US" w:eastAsia="zh-CN"/>
        </w:rPr>
        <w:t>十一、</w:t>
      </w:r>
      <w:r>
        <w:rPr>
          <w:rFonts w:hint="eastAsia" w:ascii="方正黑体_GBK" w:hAnsi="方正黑体_GBK" w:eastAsia="方正黑体_GBK" w:cs="方正黑体_GBK"/>
          <w:b w:val="0"/>
          <w:szCs w:val="32"/>
        </w:rPr>
        <w:t>响应文件格式</w:t>
      </w:r>
    </w:p>
    <w:p>
      <w:pPr>
        <w:numPr>
          <w:ilvl w:val="0"/>
          <w:numId w:val="0"/>
        </w:numPr>
        <w:spacing w:line="600" w:lineRule="exact"/>
        <w:ind w:firstLine="640" w:firstLineChars="200"/>
        <w:jc w:val="left"/>
        <w:rPr>
          <w:rFonts w:hint="default" w:ascii="Times New Roman" w:hAnsi="Times New Roman" w:eastAsia="方正仿宋_GBK" w:cs="Times New Roman"/>
          <w:b w:val="0"/>
          <w:bCs w:val="0"/>
          <w:szCs w:val="21"/>
        </w:rPr>
      </w:pPr>
      <w:r>
        <w:rPr>
          <w:rFonts w:hint="default" w:ascii="Times New Roman" w:hAnsi="Times New Roman" w:eastAsia="方正仿宋_GBK" w:cs="Times New Roman"/>
          <w:b w:val="0"/>
          <w:bCs w:val="0"/>
          <w:szCs w:val="21"/>
        </w:rPr>
        <w:t>11-1响应文件封面</w:t>
      </w:r>
    </w:p>
    <w:p>
      <w:pPr>
        <w:pStyle w:val="11"/>
        <w:spacing w:after="0" w:line="600" w:lineRule="exact"/>
        <w:ind w:left="1000"/>
        <w:rPr>
          <w:rFonts w:ascii="Times New Roman" w:hAnsi="Times New Roman" w:eastAsia="黑体" w:cs="Times New Roman"/>
          <w:sz w:val="32"/>
          <w:szCs w:val="32"/>
        </w:rPr>
      </w:pP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firstLine="880"/>
        <w:jc w:val="center"/>
        <w:textAlignment w:val="auto"/>
        <w:rPr>
          <w:rFonts w:hint="eastAsia" w:ascii="方正小标宋_GBK" w:hAnsi="方正小标宋_GBK" w:eastAsia="方正小标宋_GBK" w:cs="方正小标宋_GBK"/>
          <w:b/>
          <w:bCs/>
          <w:sz w:val="44"/>
          <w:szCs w:val="44"/>
          <w:shd w:val="clear" w:color="000000" w:fill="FFFFFF"/>
        </w:rPr>
      </w:pPr>
      <w:r>
        <w:rPr>
          <w:rFonts w:hint="eastAsia" w:ascii="方正小标宋_GBK" w:hAnsi="方正小标宋_GBK" w:eastAsia="方正小标宋_GBK" w:cs="方正小标宋_GBK"/>
          <w:b/>
          <w:bCs/>
          <w:sz w:val="44"/>
          <w:szCs w:val="44"/>
          <w:shd w:val="clear" w:color="000000" w:fill="FFFFFF"/>
        </w:rPr>
        <w:t>攀枝花市</w:t>
      </w:r>
      <w:r>
        <w:rPr>
          <w:rFonts w:hint="eastAsia" w:ascii="方正小标宋_GBK" w:hAnsi="方正小标宋_GBK" w:eastAsia="方正小标宋_GBK" w:cs="方正小标宋_GBK"/>
          <w:b/>
          <w:bCs/>
          <w:sz w:val="44"/>
          <w:szCs w:val="44"/>
          <w:shd w:val="clear" w:color="000000" w:fill="FFFFFF"/>
          <w:lang w:eastAsia="zh-CN"/>
        </w:rPr>
        <w:t>仁和</w:t>
      </w:r>
      <w:r>
        <w:rPr>
          <w:rFonts w:hint="eastAsia" w:ascii="方正小标宋_GBK" w:hAnsi="方正小标宋_GBK" w:eastAsia="方正小标宋_GBK" w:cs="方正小标宋_GBK"/>
          <w:b/>
          <w:bCs/>
          <w:sz w:val="44"/>
          <w:szCs w:val="44"/>
          <w:shd w:val="clear" w:color="000000" w:fill="FFFFFF"/>
        </w:rPr>
        <w:t>财政局2026年财政重点</w:t>
      </w: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firstLine="880"/>
        <w:jc w:val="center"/>
        <w:textAlignment w:val="auto"/>
        <w:rPr>
          <w:rFonts w:hint="eastAsia" w:ascii="方正小标宋_GBK" w:hAnsi="方正小标宋_GBK" w:eastAsia="方正小标宋_GBK" w:cs="方正小标宋_GBK"/>
          <w:b/>
          <w:bCs/>
          <w:sz w:val="36"/>
          <w:szCs w:val="36"/>
          <w:shd w:val="clear" w:color="000000" w:fill="FFFFFF"/>
        </w:rPr>
      </w:pPr>
      <w:r>
        <w:rPr>
          <w:rFonts w:hint="eastAsia" w:ascii="方正小标宋_GBK" w:hAnsi="方正小标宋_GBK" w:eastAsia="方正小标宋_GBK" w:cs="方正小标宋_GBK"/>
          <w:b/>
          <w:bCs/>
          <w:sz w:val="44"/>
          <w:szCs w:val="44"/>
          <w:shd w:val="clear" w:color="000000" w:fill="FFFFFF"/>
        </w:rPr>
        <w:t>绩效评价服务项目</w:t>
      </w: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firstLine="880"/>
        <w:jc w:val="center"/>
        <w:textAlignment w:val="auto"/>
        <w:rPr>
          <w:rFonts w:hint="eastAsia" w:ascii="方正小标宋_GBK" w:hAnsi="方正小标宋_GBK" w:eastAsia="方正小标宋_GBK" w:cs="方正小标宋_GBK"/>
          <w:b/>
          <w:bCs/>
          <w:sz w:val="44"/>
          <w:szCs w:val="44"/>
          <w:shd w:val="clear" w:color="000000" w:fill="FFFFFF"/>
        </w:rPr>
      </w:pP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firstLine="880"/>
        <w:jc w:val="center"/>
        <w:textAlignment w:val="auto"/>
        <w:rPr>
          <w:rFonts w:hint="eastAsia" w:ascii="方正小标宋_GBK" w:hAnsi="方正小标宋_GBK" w:eastAsia="方正小标宋_GBK" w:cs="方正小标宋_GBK"/>
          <w:b w:val="0"/>
          <w:bCs w:val="0"/>
          <w:sz w:val="36"/>
          <w:szCs w:val="36"/>
          <w:shd w:val="clear" w:color="000000" w:fill="FFFFFF"/>
        </w:rPr>
      </w:pPr>
      <w:r>
        <w:rPr>
          <w:rFonts w:hint="eastAsia" w:ascii="方正小标宋_GBK" w:hAnsi="方正小标宋_GBK" w:eastAsia="方正小标宋_GBK" w:cs="方正小标宋_GBK"/>
          <w:b w:val="0"/>
          <w:bCs w:val="0"/>
          <w:sz w:val="36"/>
          <w:szCs w:val="36"/>
          <w:shd w:val="clear" w:color="000000" w:fill="FFFFFF"/>
        </w:rPr>
        <w:t>响  应 文 件</w:t>
      </w: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shd w:val="clear" w:color="000000" w:fill="FFFFFF"/>
        <w:spacing w:line="600" w:lineRule="exact"/>
        <w:ind w:firstLine="720"/>
        <w:rPr>
          <w:rFonts w:ascii="Times New Roman" w:hAnsi="Times New Roman" w:eastAsia="方正小标宋简体" w:cs="Times New Roman"/>
          <w:sz w:val="36"/>
          <w:szCs w:val="36"/>
          <w:shd w:val="clear" w:color="000000" w:fill="FFFFFF"/>
        </w:rPr>
      </w:pPr>
    </w:p>
    <w:p>
      <w:pPr>
        <w:shd w:val="clear" w:color="000000" w:fill="FFFFFF"/>
        <w:spacing w:line="600" w:lineRule="exact"/>
        <w:ind w:firstLine="640"/>
        <w:rPr>
          <w:rFonts w:hint="default" w:ascii="Times New Roman" w:hAnsi="Times New Roman" w:eastAsia="方正仿宋_GBK" w:cs="Times New Roman"/>
          <w:sz w:val="36"/>
          <w:szCs w:val="36"/>
          <w:u w:val="single"/>
        </w:rPr>
      </w:pPr>
      <w:r>
        <w:rPr>
          <w:rFonts w:hint="default" w:ascii="Times New Roman" w:hAnsi="Times New Roman" w:eastAsia="方正仿宋_GBK" w:cs="Times New Roman"/>
          <w:szCs w:val="32"/>
          <w:shd w:val="clear" w:color="000000" w:fill="FFFFFF"/>
        </w:rPr>
        <w:t>供应商名称（盖章）：</w:t>
      </w:r>
      <w:r>
        <w:rPr>
          <w:rFonts w:hint="default" w:ascii="Times New Roman" w:hAnsi="Times New Roman" w:eastAsia="方正仿宋_GBK" w:cs="Times New Roman"/>
          <w:szCs w:val="32"/>
          <w:u w:val="single"/>
          <w:shd w:val="clear" w:color="000000" w:fill="FFFFFF"/>
        </w:rPr>
        <w:t xml:space="preserve">                            </w:t>
      </w:r>
    </w:p>
    <w:p>
      <w:pPr>
        <w:shd w:val="clear" w:color="000000" w:fill="FFFFFF"/>
        <w:spacing w:line="600" w:lineRule="exact"/>
        <w:ind w:firstLine="640"/>
        <w:rPr>
          <w:rFonts w:hint="default" w:ascii="Times New Roman" w:hAnsi="Times New Roman" w:eastAsia="方正仿宋_GBK" w:cs="Times New Roman"/>
          <w:szCs w:val="32"/>
          <w:shd w:val="clear" w:color="000000" w:fill="FFFFFF"/>
        </w:rPr>
      </w:pPr>
    </w:p>
    <w:p>
      <w:pPr>
        <w:shd w:val="clear" w:color="000000" w:fill="FFFFFF"/>
        <w:spacing w:line="600" w:lineRule="exact"/>
        <w:ind w:firstLine="640"/>
        <w:rPr>
          <w:rFonts w:hint="default" w:ascii="Times New Roman" w:hAnsi="Times New Roman" w:eastAsia="方正仿宋_GBK" w:cs="Times New Roman"/>
          <w:szCs w:val="32"/>
          <w:u w:val="single"/>
          <w:shd w:val="clear" w:color="000000" w:fill="FFFFFF"/>
        </w:rPr>
      </w:pPr>
      <w:r>
        <w:rPr>
          <w:rFonts w:hint="default" w:ascii="Times New Roman" w:hAnsi="Times New Roman" w:eastAsia="方正仿宋_GBK" w:cs="Times New Roman"/>
          <w:szCs w:val="32"/>
          <w:shd w:val="clear" w:color="000000" w:fill="FFFFFF"/>
        </w:rPr>
        <w:t>法定代表人或委托代理人签字：</w:t>
      </w:r>
      <w:r>
        <w:rPr>
          <w:rFonts w:hint="default" w:ascii="Times New Roman" w:hAnsi="Times New Roman" w:eastAsia="方正仿宋_GBK" w:cs="Times New Roman"/>
          <w:szCs w:val="32"/>
          <w:u w:val="single"/>
          <w:shd w:val="clear" w:color="000000" w:fill="FFFFFF"/>
        </w:rPr>
        <w:t xml:space="preserve">                </w:t>
      </w:r>
    </w:p>
    <w:p>
      <w:pPr>
        <w:pStyle w:val="11"/>
        <w:spacing w:after="0" w:line="600" w:lineRule="exact"/>
        <w:ind w:firstLine="640"/>
        <w:rPr>
          <w:rFonts w:hint="default" w:ascii="Times New Roman" w:hAnsi="Times New Roman" w:eastAsia="方正仿宋_GBK" w:cs="Times New Roman"/>
        </w:rPr>
      </w:pPr>
    </w:p>
    <w:p>
      <w:pPr>
        <w:shd w:val="clear" w:color="000000" w:fill="FFFFFF"/>
        <w:spacing w:line="600" w:lineRule="exact"/>
        <w:ind w:firstLine="640"/>
        <w:jc w:val="left"/>
        <w:rPr>
          <w:rFonts w:hint="default" w:ascii="Times New Roman" w:hAnsi="Times New Roman" w:eastAsia="方正仿宋_GBK" w:cs="Times New Roman"/>
          <w:szCs w:val="32"/>
          <w:shd w:val="clear" w:color="000000" w:fill="FFFFFF"/>
        </w:rPr>
      </w:pPr>
      <w:r>
        <w:rPr>
          <w:rFonts w:hint="default" w:ascii="Times New Roman" w:hAnsi="Times New Roman" w:eastAsia="方正仿宋_GBK" w:cs="Times New Roman"/>
          <w:szCs w:val="32"/>
          <w:shd w:val="clear" w:color="000000" w:fill="FFFFFF"/>
        </w:rPr>
        <w:t>2026年</w:t>
      </w:r>
      <w:r>
        <w:rPr>
          <w:rFonts w:hint="default" w:ascii="Times New Roman" w:hAnsi="Times New Roman" w:eastAsia="方正仿宋_GBK" w:cs="Times New Roman"/>
          <w:szCs w:val="32"/>
          <w:u w:val="single"/>
          <w:shd w:val="clear" w:color="000000" w:fill="FFFFFF"/>
        </w:rPr>
        <w:t xml:space="preserve">   </w:t>
      </w:r>
      <w:r>
        <w:rPr>
          <w:rFonts w:hint="default" w:ascii="Times New Roman" w:hAnsi="Times New Roman" w:eastAsia="方正仿宋_GBK" w:cs="Times New Roman"/>
          <w:szCs w:val="32"/>
          <w:shd w:val="clear" w:color="000000" w:fill="FFFFFF"/>
        </w:rPr>
        <w:t>月</w:t>
      </w:r>
      <w:r>
        <w:rPr>
          <w:rFonts w:hint="default" w:ascii="Times New Roman" w:hAnsi="Times New Roman" w:eastAsia="方正仿宋_GBK" w:cs="Times New Roman"/>
          <w:szCs w:val="32"/>
          <w:u w:val="single"/>
          <w:shd w:val="clear" w:color="000000" w:fill="FFFFFF"/>
        </w:rPr>
        <w:t xml:space="preserve">   </w:t>
      </w:r>
      <w:r>
        <w:rPr>
          <w:rFonts w:hint="default" w:ascii="Times New Roman" w:hAnsi="Times New Roman" w:eastAsia="方正仿宋_GBK" w:cs="Times New Roman"/>
          <w:szCs w:val="32"/>
          <w:shd w:val="clear" w:color="000000" w:fill="FFFFFF"/>
        </w:rPr>
        <w:t>日</w:t>
      </w:r>
    </w:p>
    <w:p>
      <w:pPr>
        <w:ind w:firstLine="640"/>
        <w:rPr>
          <w:rFonts w:ascii="Times New Roman" w:hAnsi="Times New Roman" w:cs="Times New Roman"/>
        </w:rPr>
      </w:pPr>
      <w:r>
        <w:rPr>
          <w:rFonts w:ascii="Times New Roman" w:hAnsi="Times New Roman" w:cs="Times New Roman"/>
        </w:rPr>
        <w:br w:type="page"/>
      </w:r>
    </w:p>
    <w:p>
      <w:pPr>
        <w:numPr>
          <w:ilvl w:val="0"/>
          <w:numId w:val="0"/>
        </w:numPr>
        <w:spacing w:line="600" w:lineRule="exact"/>
        <w:ind w:firstLine="640" w:firstLineChars="200"/>
        <w:jc w:val="left"/>
        <w:rPr>
          <w:rFonts w:hint="default" w:ascii="Times New Roman" w:hAnsi="Times New Roman" w:eastAsia="方正仿宋_GBK" w:cs="Times New Roman"/>
          <w:b w:val="0"/>
          <w:bCs w:val="0"/>
          <w:szCs w:val="21"/>
        </w:rPr>
      </w:pPr>
      <w:r>
        <w:rPr>
          <w:rFonts w:hint="default" w:ascii="Times New Roman" w:hAnsi="Times New Roman" w:eastAsia="方正仿宋_GBK" w:cs="Times New Roman"/>
          <w:b w:val="0"/>
          <w:bCs w:val="0"/>
          <w:szCs w:val="21"/>
        </w:rPr>
        <w:t>11-2法定代表人授权书</w:t>
      </w: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firstLine="880"/>
        <w:jc w:val="center"/>
        <w:textAlignment w:val="auto"/>
        <w:rPr>
          <w:rFonts w:hint="eastAsia" w:ascii="方正小标宋_GBK" w:hAnsi="方正小标宋_GBK" w:eastAsia="方正小标宋_GBK" w:cs="方正小标宋_GBK"/>
          <w:b/>
          <w:bCs/>
          <w:sz w:val="44"/>
          <w:szCs w:val="44"/>
          <w:shd w:val="clear" w:color="000000" w:fill="FFFFFF"/>
        </w:rPr>
      </w:pP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left="0" w:leftChars="0" w:firstLine="0" w:firstLineChars="0"/>
        <w:jc w:val="center"/>
        <w:textAlignment w:val="auto"/>
        <w:rPr>
          <w:rFonts w:hint="eastAsia" w:ascii="方正小标宋_GBK" w:hAnsi="方正小标宋_GBK" w:eastAsia="方正小标宋_GBK" w:cs="方正小标宋_GBK"/>
          <w:b/>
          <w:bCs/>
          <w:sz w:val="44"/>
          <w:szCs w:val="44"/>
          <w:shd w:val="clear" w:color="000000" w:fill="FFFFFF"/>
        </w:rPr>
      </w:pPr>
      <w:r>
        <w:rPr>
          <w:rFonts w:hint="eastAsia" w:ascii="方正小标宋_GBK" w:hAnsi="方正小标宋_GBK" w:eastAsia="方正小标宋_GBK" w:cs="方正小标宋_GBK"/>
          <w:b/>
          <w:bCs/>
          <w:sz w:val="44"/>
          <w:szCs w:val="44"/>
          <w:shd w:val="clear" w:color="000000" w:fill="FFFFFF"/>
        </w:rPr>
        <w:t>法定代表人授权书</w:t>
      </w:r>
    </w:p>
    <w:p>
      <w:pPr>
        <w:spacing w:line="600" w:lineRule="exact"/>
        <w:ind w:firstLine="480"/>
        <w:jc w:val="center"/>
        <w:rPr>
          <w:rFonts w:ascii="Times New Roman" w:hAnsi="Times New Roman" w:eastAsia="宋体" w:cs="Times New Roman"/>
          <w:sz w:val="24"/>
          <w:szCs w:val="24"/>
        </w:rPr>
      </w:pPr>
    </w:p>
    <w:p>
      <w:pPr>
        <w:spacing w:line="600" w:lineRule="exact"/>
        <w:ind w:firstLine="0" w:firstLineChars="0"/>
        <w:rPr>
          <w:rFonts w:hint="default" w:ascii="Times New Roman" w:hAnsi="Times New Roman" w:eastAsia="方正仿宋_GBK" w:cs="Times New Roman"/>
          <w:szCs w:val="32"/>
        </w:rPr>
      </w:pPr>
      <w:r>
        <w:rPr>
          <w:rFonts w:hint="default" w:ascii="Times New Roman" w:hAnsi="Times New Roman" w:eastAsia="方正仿宋_GBK" w:cs="Times New Roman"/>
          <w:szCs w:val="32"/>
        </w:rPr>
        <w:t>攀枝花市</w:t>
      </w:r>
      <w:r>
        <w:rPr>
          <w:rFonts w:hint="default" w:ascii="Times New Roman" w:hAnsi="Times New Roman" w:eastAsia="方正仿宋_GBK" w:cs="Times New Roman"/>
          <w:szCs w:val="32"/>
          <w:lang w:eastAsia="zh-CN"/>
        </w:rPr>
        <w:t>仁和区</w:t>
      </w:r>
      <w:r>
        <w:rPr>
          <w:rFonts w:hint="default" w:ascii="Times New Roman" w:hAnsi="Times New Roman" w:eastAsia="方正仿宋_GBK" w:cs="Times New Roman"/>
          <w:szCs w:val="32"/>
        </w:rPr>
        <w:t>财政局：</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本授权声明：XXX（单位名称），XXX（法定代表人姓名、职务）授权XXX（委托代理人姓名、职务）为我方参加该项目比选活动的合法代表，以我方名义全权处理该项目有关报价、签订合同以及执行合同等一切事宜。</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特此声明。</w:t>
      </w:r>
    </w:p>
    <w:p>
      <w:pPr>
        <w:autoSpaceDE w:val="0"/>
        <w:autoSpaceDN w:val="0"/>
        <w:spacing w:line="600" w:lineRule="exact"/>
        <w:ind w:firstLine="640"/>
        <w:jc w:val="left"/>
        <w:rPr>
          <w:rFonts w:hint="default" w:ascii="Times New Roman" w:hAnsi="Times New Roman" w:eastAsia="方正仿宋_GBK" w:cs="Times New Roman"/>
          <w:szCs w:val="32"/>
        </w:rPr>
      </w:pPr>
      <w:r>
        <w:rPr>
          <w:rFonts w:hint="default" w:ascii="Times New Roman" w:hAnsi="Times New Roman" w:eastAsia="方正仿宋_GBK" w:cs="Times New Roman"/>
          <w:szCs w:val="32"/>
        </w:rPr>
        <w:t>（需附授权人和委托代理人身份证复印件）</w:t>
      </w:r>
    </w:p>
    <w:p>
      <w:pPr>
        <w:autoSpaceDE w:val="0"/>
        <w:autoSpaceDN w:val="0"/>
        <w:spacing w:line="600" w:lineRule="exact"/>
        <w:ind w:firstLine="640"/>
        <w:jc w:val="left"/>
        <w:rPr>
          <w:rFonts w:hint="default" w:ascii="Times New Roman" w:hAnsi="Times New Roman" w:eastAsia="方正仿宋_GBK" w:cs="Times New Roman"/>
          <w:szCs w:val="32"/>
        </w:rPr>
      </w:pPr>
    </w:p>
    <w:p>
      <w:pPr>
        <w:spacing w:line="600" w:lineRule="exact"/>
        <w:ind w:firstLine="640"/>
        <w:jc w:val="left"/>
        <w:rPr>
          <w:rFonts w:hint="default" w:ascii="Times New Roman" w:hAnsi="Times New Roman" w:eastAsia="方正仿宋_GBK" w:cs="Times New Roman"/>
          <w:szCs w:val="32"/>
        </w:rPr>
      </w:pPr>
      <w:r>
        <w:rPr>
          <w:rFonts w:hint="default" w:ascii="Times New Roman" w:hAnsi="Times New Roman" w:eastAsia="方正仿宋_GBK" w:cs="Times New Roman"/>
          <w:szCs w:val="32"/>
        </w:rPr>
        <w:t>供应商名称：XXX（盖单位公章）</w:t>
      </w:r>
    </w:p>
    <w:p>
      <w:pPr>
        <w:spacing w:line="600" w:lineRule="exact"/>
        <w:ind w:firstLine="640"/>
        <w:jc w:val="left"/>
        <w:rPr>
          <w:rFonts w:hint="default" w:ascii="Times New Roman" w:hAnsi="Times New Roman" w:eastAsia="方正仿宋_GBK" w:cs="Times New Roman"/>
          <w:szCs w:val="32"/>
        </w:rPr>
      </w:pPr>
      <w:r>
        <w:rPr>
          <w:rFonts w:hint="default" w:ascii="Times New Roman" w:hAnsi="Times New Roman" w:eastAsia="方正仿宋_GBK" w:cs="Times New Roman"/>
          <w:szCs w:val="32"/>
        </w:rPr>
        <w:t>法定代表人或委托代理人（签字或盖章）：XXX</w:t>
      </w:r>
    </w:p>
    <w:p>
      <w:pPr>
        <w:spacing w:line="600" w:lineRule="exact"/>
        <w:ind w:firstLine="640"/>
        <w:jc w:val="left"/>
        <w:rPr>
          <w:rFonts w:hint="default" w:ascii="Times New Roman" w:hAnsi="Times New Roman" w:eastAsia="方正仿宋_GBK" w:cs="Times New Roman"/>
          <w:szCs w:val="32"/>
        </w:rPr>
      </w:pPr>
      <w:r>
        <w:rPr>
          <w:rFonts w:hint="default" w:ascii="Times New Roman" w:hAnsi="Times New Roman" w:eastAsia="方正仿宋_GBK" w:cs="Times New Roman"/>
          <w:szCs w:val="32"/>
        </w:rPr>
        <w:t>日  期：XXX年XXX月XXX日</w:t>
      </w:r>
    </w:p>
    <w:p>
      <w:pPr>
        <w:ind w:firstLine="198" w:firstLineChars="62"/>
        <w:rPr>
          <w:rFonts w:ascii="Times New Roman" w:hAnsi="Times New Roman" w:cs="Times New Roman"/>
          <w:bCs/>
        </w:rPr>
      </w:pPr>
    </w:p>
    <w:p>
      <w:pPr>
        <w:ind w:firstLine="198" w:firstLineChars="62"/>
        <w:rPr>
          <w:rFonts w:ascii="Times New Roman" w:hAnsi="Times New Roman" w:cs="Times New Roman"/>
          <w:bCs/>
        </w:rPr>
      </w:pPr>
      <w:r>
        <w:rPr>
          <w:rFonts w:ascii="Times New Roman" w:hAnsi="Times New Roman" w:cs="Times New Roman"/>
          <w:bCs/>
        </w:rPr>
        <w:br w:type="page"/>
      </w:r>
    </w:p>
    <w:p>
      <w:pPr>
        <w:numPr>
          <w:ilvl w:val="0"/>
          <w:numId w:val="0"/>
        </w:numPr>
        <w:spacing w:line="600" w:lineRule="exact"/>
        <w:ind w:firstLine="640" w:firstLineChars="200"/>
        <w:jc w:val="left"/>
        <w:rPr>
          <w:rFonts w:hint="default" w:ascii="Times New Roman" w:hAnsi="Times New Roman" w:eastAsia="方正仿宋_GBK" w:cs="Times New Roman"/>
          <w:b w:val="0"/>
          <w:bCs w:val="0"/>
          <w:szCs w:val="21"/>
        </w:rPr>
      </w:pPr>
      <w:r>
        <w:rPr>
          <w:rFonts w:hint="default" w:ascii="Times New Roman" w:hAnsi="Times New Roman" w:eastAsia="方正仿宋_GBK" w:cs="Times New Roman"/>
          <w:b w:val="0"/>
          <w:bCs w:val="0"/>
          <w:szCs w:val="21"/>
        </w:rPr>
        <w:t>11-3参选承诺函</w:t>
      </w:r>
    </w:p>
    <w:p>
      <w:pPr>
        <w:ind w:firstLine="198" w:firstLineChars="62"/>
        <w:rPr>
          <w:rFonts w:ascii="Times New Roman" w:hAnsi="Times New Roman" w:cs="Times New Roman"/>
          <w:bCs/>
        </w:rPr>
      </w:pP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left="0" w:leftChars="0" w:firstLine="0" w:firstLineChars="0"/>
        <w:jc w:val="center"/>
        <w:textAlignment w:val="auto"/>
        <w:rPr>
          <w:rFonts w:hint="eastAsia" w:ascii="方正小标宋_GBK" w:hAnsi="方正小标宋_GBK" w:eastAsia="方正小标宋_GBK" w:cs="方正小标宋_GBK"/>
          <w:b/>
          <w:bCs/>
          <w:sz w:val="44"/>
          <w:szCs w:val="44"/>
          <w:shd w:val="clear" w:color="000000" w:fill="FFFFFF"/>
        </w:rPr>
      </w:pPr>
      <w:r>
        <w:rPr>
          <w:rFonts w:hint="eastAsia" w:ascii="方正小标宋_GBK" w:hAnsi="方正小标宋_GBK" w:eastAsia="方正小标宋_GBK" w:cs="方正小标宋_GBK"/>
          <w:b/>
          <w:bCs/>
          <w:sz w:val="44"/>
          <w:szCs w:val="44"/>
          <w:shd w:val="clear" w:color="000000" w:fill="FFFFFF"/>
        </w:rPr>
        <w:t>参选承诺函</w:t>
      </w:r>
    </w:p>
    <w:p>
      <w:pPr>
        <w:spacing w:line="600" w:lineRule="exact"/>
        <w:ind w:firstLine="880"/>
        <w:jc w:val="center"/>
        <w:rPr>
          <w:rFonts w:ascii="Times New Roman" w:hAnsi="Times New Roman" w:eastAsia="方正小标宋_GBK" w:cs="Times New Roman"/>
          <w:sz w:val="44"/>
          <w:szCs w:val="44"/>
        </w:rPr>
      </w:pPr>
    </w:p>
    <w:p>
      <w:pPr>
        <w:spacing w:line="600" w:lineRule="exact"/>
        <w:ind w:left="0" w:leftChars="0" w:firstLine="0" w:firstLineChars="0"/>
        <w:rPr>
          <w:rFonts w:hint="default" w:ascii="Times New Roman" w:hAnsi="Times New Roman" w:eastAsia="方正仿宋_GBK" w:cs="Times New Roman"/>
          <w:szCs w:val="32"/>
        </w:rPr>
      </w:pPr>
      <w:r>
        <w:rPr>
          <w:rFonts w:hint="default" w:ascii="Times New Roman" w:hAnsi="Times New Roman" w:eastAsia="方正仿宋_GBK" w:cs="Times New Roman"/>
          <w:szCs w:val="32"/>
        </w:rPr>
        <w:t>攀枝花市</w:t>
      </w:r>
      <w:r>
        <w:rPr>
          <w:rFonts w:hint="eastAsia" w:ascii="Times New Roman" w:hAnsi="Times New Roman" w:eastAsia="方正仿宋_GBK" w:cs="Times New Roman"/>
          <w:szCs w:val="32"/>
          <w:lang w:eastAsia="zh-CN"/>
        </w:rPr>
        <w:t>仁和区</w:t>
      </w:r>
      <w:r>
        <w:rPr>
          <w:rFonts w:hint="default" w:ascii="Times New Roman" w:hAnsi="Times New Roman" w:eastAsia="方正仿宋_GBK" w:cs="Times New Roman"/>
          <w:szCs w:val="32"/>
        </w:rPr>
        <w:t>财政局：</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我方作为本次比选项目的供应商，现郑重承诺如下：</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1.我方全面研究了“攀枝花市</w:t>
      </w:r>
      <w:r>
        <w:rPr>
          <w:rFonts w:hint="eastAsia" w:ascii="Times New Roman" w:hAnsi="Times New Roman" w:eastAsia="方正仿宋_GBK" w:cs="Times New Roman"/>
          <w:szCs w:val="32"/>
          <w:lang w:eastAsia="zh-CN"/>
        </w:rPr>
        <w:t>仁和区</w:t>
      </w:r>
      <w:r>
        <w:rPr>
          <w:rFonts w:hint="default" w:ascii="Times New Roman" w:hAnsi="Times New Roman" w:eastAsia="方正仿宋_GBK" w:cs="Times New Roman"/>
          <w:szCs w:val="32"/>
        </w:rPr>
        <w:t>财政局2026年财政重点绩效评价服务项目”比选公告，决定参加贵单位组织的本项目比选。</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2.我单位自行承担参加此次参选所发生的一切费用。</w:t>
      </w:r>
    </w:p>
    <w:p>
      <w:pPr>
        <w:spacing w:line="600" w:lineRule="exact"/>
        <w:ind w:firstLine="640"/>
        <w:rPr>
          <w:rFonts w:hint="eastAsia" w:ascii="Times New Roman" w:hAnsi="Times New Roman" w:eastAsia="方正仿宋_GBK" w:cs="Times New Roman"/>
          <w:szCs w:val="32"/>
        </w:rPr>
      </w:pPr>
      <w:r>
        <w:rPr>
          <w:rFonts w:hint="default" w:ascii="Times New Roman" w:hAnsi="Times New Roman" w:eastAsia="方正仿宋_GBK" w:cs="Times New Roman"/>
          <w:szCs w:val="32"/>
        </w:rPr>
        <w:t>3.一旦我方成交，我方将严格按照比选</w:t>
      </w:r>
      <w:r>
        <w:rPr>
          <w:rFonts w:hint="eastAsia" w:ascii="Times New Roman" w:hAnsi="Times New Roman" w:eastAsia="方正仿宋_GBK" w:cs="Times New Roman"/>
          <w:szCs w:val="32"/>
        </w:rPr>
        <w:t>文件</w:t>
      </w:r>
      <w:r>
        <w:rPr>
          <w:rFonts w:hint="default" w:ascii="Times New Roman" w:hAnsi="Times New Roman" w:eastAsia="方正仿宋_GBK" w:cs="Times New Roman"/>
          <w:szCs w:val="32"/>
        </w:rPr>
        <w:t>规定的各项要求向采购人提供所需服务，</w:t>
      </w:r>
      <w:r>
        <w:rPr>
          <w:rFonts w:hint="eastAsia" w:ascii="Times New Roman" w:hAnsi="Times New Roman" w:eastAsia="方正仿宋_GBK" w:cs="Times New Roman"/>
          <w:szCs w:val="32"/>
        </w:rPr>
        <w:t>严格</w:t>
      </w:r>
      <w:r>
        <w:rPr>
          <w:rFonts w:hint="default" w:ascii="Times New Roman" w:hAnsi="Times New Roman" w:eastAsia="方正仿宋_GBK" w:cs="Times New Roman"/>
          <w:szCs w:val="32"/>
        </w:rPr>
        <w:t>履行合同规定的责任和义务，并对提交的材料中的所有陈述和声明的真实性、准确性、可靠性负责。若采购人发现我方提交的资料中有与事实不符的情况，有权拒绝我们的参选。若在中选后，采购人发现我单位所递交的响应文件与事实不符，有欺诈中选嫌疑的，可立即终止协议，由此</w:t>
      </w:r>
      <w:r>
        <w:rPr>
          <w:rFonts w:hint="eastAsia" w:ascii="Times New Roman" w:hAnsi="Times New Roman" w:eastAsia="方正仿宋_GBK" w:cs="Times New Roman"/>
          <w:szCs w:val="32"/>
        </w:rPr>
        <w:t>给</w:t>
      </w:r>
      <w:r>
        <w:rPr>
          <w:rFonts w:hint="default" w:ascii="Times New Roman" w:hAnsi="Times New Roman" w:eastAsia="方正仿宋_GBK" w:cs="Times New Roman"/>
          <w:szCs w:val="32"/>
        </w:rPr>
        <w:t>采购人造成的损失由我单位承担</w:t>
      </w:r>
      <w:r>
        <w:rPr>
          <w:rFonts w:hint="eastAsia" w:ascii="Times New Roman" w:hAnsi="Times New Roman" w:eastAsia="方正仿宋_GBK" w:cs="Times New Roman"/>
          <w:szCs w:val="32"/>
        </w:rPr>
        <w:t>。</w:t>
      </w:r>
    </w:p>
    <w:p>
      <w:pPr>
        <w:spacing w:line="600" w:lineRule="exact"/>
        <w:ind w:firstLine="640"/>
        <w:rPr>
          <w:rFonts w:hint="default" w:ascii="Times New Roman" w:hAnsi="Times New Roman" w:eastAsia="方正仿宋_GBK" w:cs="Times New Roman"/>
          <w:szCs w:val="32"/>
        </w:rPr>
      </w:pP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供应商名称：XXX（盖单位公章）</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法定代表人或授权代表（签字或盖章）：XXX</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日      期：XXX年XXX月XXX日</w:t>
      </w:r>
    </w:p>
    <w:p>
      <w:pPr>
        <w:ind w:firstLine="198" w:firstLineChars="62"/>
        <w:rPr>
          <w:rFonts w:ascii="Times New Roman" w:hAnsi="Times New Roman" w:cs="Times New Roman"/>
          <w:b/>
          <w:bCs/>
        </w:rPr>
      </w:pPr>
      <w:r>
        <w:rPr>
          <w:rFonts w:ascii="Times New Roman" w:hAnsi="Times New Roman" w:cs="Times New Roman"/>
          <w:bCs/>
        </w:rPr>
        <w:br w:type="page"/>
      </w:r>
      <w:r>
        <w:rPr>
          <w:rFonts w:hint="default" w:ascii="Times New Roman" w:hAnsi="Times New Roman" w:eastAsia="方正仿宋_GBK" w:cs="Times New Roman"/>
          <w:b w:val="0"/>
          <w:bCs w:val="0"/>
          <w:szCs w:val="21"/>
        </w:rPr>
        <w:t>11-4报价表</w:t>
      </w:r>
    </w:p>
    <w:p>
      <w:pPr>
        <w:keepNext w:val="0"/>
        <w:keepLines w:val="0"/>
        <w:pageBreakBefore w:val="0"/>
        <w:widowControl w:val="0"/>
        <w:shd w:val="clear" w:color="000000" w:fill="FFFFFF"/>
        <w:kinsoku/>
        <w:wordWrap/>
        <w:overflowPunct/>
        <w:topLinePunct w:val="0"/>
        <w:autoSpaceDE/>
        <w:autoSpaceDN/>
        <w:bidi w:val="0"/>
        <w:adjustRightInd/>
        <w:snapToGrid/>
        <w:spacing w:line="0" w:lineRule="atLeast"/>
        <w:ind w:left="0" w:leftChars="0" w:firstLine="0" w:firstLineChars="0"/>
        <w:jc w:val="center"/>
        <w:textAlignment w:val="auto"/>
        <w:rPr>
          <w:rFonts w:hint="eastAsia" w:ascii="方正小标宋_GBK" w:hAnsi="方正小标宋_GBK" w:eastAsia="方正小标宋_GBK" w:cs="方正小标宋_GBK"/>
          <w:b/>
          <w:bCs/>
          <w:sz w:val="44"/>
          <w:szCs w:val="44"/>
          <w:shd w:val="clear" w:color="000000" w:fill="FFFFFF"/>
        </w:rPr>
      </w:pPr>
      <w:r>
        <w:rPr>
          <w:rFonts w:hint="eastAsia" w:ascii="方正小标宋_GBK" w:hAnsi="方正小标宋_GBK" w:eastAsia="方正小标宋_GBK" w:cs="方正小标宋_GBK"/>
          <w:b/>
          <w:bCs/>
          <w:sz w:val="44"/>
          <w:szCs w:val="44"/>
          <w:shd w:val="clear" w:color="000000" w:fill="FFFFFF"/>
        </w:rPr>
        <w:t>报价表</w:t>
      </w:r>
    </w:p>
    <w:tbl>
      <w:tblPr>
        <w:tblStyle w:val="16"/>
        <w:tblpPr w:leftFromText="180" w:rightFromText="180" w:vertAnchor="text" w:horzAnchor="margin" w:tblpXSpec="center" w:tblpY="220"/>
        <w:tblOverlap w:val="never"/>
        <w:tblW w:w="875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9"/>
        <w:gridCol w:w="3421"/>
        <w:gridCol w:w="2107"/>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atLeast"/>
        </w:trPr>
        <w:tc>
          <w:tcPr>
            <w:tcW w:w="959"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序号</w:t>
            </w:r>
          </w:p>
        </w:tc>
        <w:tc>
          <w:tcPr>
            <w:tcW w:w="3421"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服务内容</w:t>
            </w:r>
          </w:p>
        </w:tc>
        <w:tc>
          <w:tcPr>
            <w:tcW w:w="2107"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报价（元）</w:t>
            </w:r>
          </w:p>
        </w:tc>
        <w:tc>
          <w:tcPr>
            <w:tcW w:w="2268"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959"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1</w:t>
            </w:r>
          </w:p>
        </w:tc>
        <w:tc>
          <w:tcPr>
            <w:tcW w:w="3421"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攀枝花市</w:t>
            </w:r>
            <w:r>
              <w:rPr>
                <w:rFonts w:hint="eastAsia" w:ascii="Times New Roman" w:hAnsi="Times New Roman" w:cs="Times New Roman"/>
                <w:lang w:eastAsia="zh-CN"/>
              </w:rPr>
              <w:t>仁和区</w:t>
            </w:r>
            <w:r>
              <w:rPr>
                <w:rFonts w:ascii="Times New Roman" w:hAnsi="Times New Roman" w:cs="Times New Roman"/>
              </w:rPr>
              <w:t>财政局2026年财政重点绩效评价服务项目</w:t>
            </w:r>
            <w:r>
              <w:rPr>
                <w:rFonts w:hint="eastAsia" w:ascii="Times New Roman" w:hAnsi="Times New Roman" w:cs="Times New Roman"/>
              </w:rPr>
              <w:t>（包1</w:t>
            </w:r>
            <w:r>
              <w:rPr>
                <w:rFonts w:ascii="Times New Roman" w:hAnsi="Times New Roman" w:cs="Times New Roman"/>
              </w:rPr>
              <w:t>）</w:t>
            </w:r>
          </w:p>
        </w:tc>
        <w:tc>
          <w:tcPr>
            <w:tcW w:w="2107" w:type="dxa"/>
            <w:tcMar>
              <w:left w:w="108" w:type="dxa"/>
              <w:right w:w="108" w:type="dxa"/>
            </w:tcMar>
            <w:vAlign w:val="center"/>
          </w:tcPr>
          <w:p>
            <w:pPr>
              <w:pStyle w:val="42"/>
              <w:rPr>
                <w:rFonts w:ascii="Times New Roman" w:hAnsi="Times New Roman" w:cs="Times New Roman"/>
              </w:rPr>
            </w:pPr>
          </w:p>
        </w:tc>
        <w:tc>
          <w:tcPr>
            <w:tcW w:w="2268" w:type="dxa"/>
            <w:tcMar>
              <w:left w:w="108" w:type="dxa"/>
              <w:right w:w="108" w:type="dxa"/>
            </w:tcMar>
            <w:vAlign w:val="center"/>
          </w:tcPr>
          <w:p>
            <w:pPr>
              <w:pStyle w:val="42"/>
              <w:rPr>
                <w:rFonts w:ascii="Times New Roman" w:hAnsi="Times New Roman"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trPr>
        <w:tc>
          <w:tcPr>
            <w:tcW w:w="959" w:type="dxa"/>
            <w:tcMar>
              <w:left w:w="108" w:type="dxa"/>
              <w:right w:w="108" w:type="dxa"/>
            </w:tcMar>
            <w:vAlign w:val="center"/>
          </w:tcPr>
          <w:p>
            <w:pPr>
              <w:pStyle w:val="42"/>
              <w:rPr>
                <w:rFonts w:ascii="Times New Roman" w:hAnsi="Times New Roman" w:cs="Times New Roman"/>
              </w:rPr>
            </w:pPr>
            <w:r>
              <w:rPr>
                <w:rFonts w:hint="eastAsia" w:ascii="Times New Roman" w:hAnsi="Times New Roman" w:cs="Times New Roman"/>
              </w:rPr>
              <w:t>2</w:t>
            </w:r>
          </w:p>
        </w:tc>
        <w:tc>
          <w:tcPr>
            <w:tcW w:w="3421" w:type="dxa"/>
            <w:tcMar>
              <w:left w:w="108" w:type="dxa"/>
              <w:right w:w="108" w:type="dxa"/>
            </w:tcMar>
            <w:vAlign w:val="center"/>
          </w:tcPr>
          <w:p>
            <w:pPr>
              <w:pStyle w:val="42"/>
              <w:rPr>
                <w:rFonts w:ascii="Times New Roman" w:hAnsi="Times New Roman" w:cs="Times New Roman"/>
              </w:rPr>
            </w:pPr>
            <w:r>
              <w:rPr>
                <w:rFonts w:ascii="Times New Roman" w:hAnsi="Times New Roman" w:cs="Times New Roman"/>
              </w:rPr>
              <w:t>攀枝花市</w:t>
            </w:r>
            <w:r>
              <w:rPr>
                <w:rFonts w:hint="eastAsia" w:ascii="Times New Roman" w:hAnsi="Times New Roman" w:cs="Times New Roman"/>
                <w:lang w:eastAsia="zh-CN"/>
              </w:rPr>
              <w:t>仁和区</w:t>
            </w:r>
            <w:r>
              <w:rPr>
                <w:rFonts w:ascii="Times New Roman" w:hAnsi="Times New Roman" w:cs="Times New Roman"/>
              </w:rPr>
              <w:t>财政局2026年财政重点绩效评价服务项目</w:t>
            </w:r>
            <w:r>
              <w:rPr>
                <w:rFonts w:hint="eastAsia" w:ascii="Times New Roman" w:hAnsi="Times New Roman" w:cs="Times New Roman"/>
              </w:rPr>
              <w:t>（包</w:t>
            </w:r>
            <w:r>
              <w:rPr>
                <w:rFonts w:ascii="Times New Roman" w:hAnsi="Times New Roman" w:cs="Times New Roman"/>
              </w:rPr>
              <w:t>2）</w:t>
            </w:r>
          </w:p>
        </w:tc>
        <w:tc>
          <w:tcPr>
            <w:tcW w:w="2107" w:type="dxa"/>
            <w:tcMar>
              <w:left w:w="108" w:type="dxa"/>
              <w:right w:w="108" w:type="dxa"/>
            </w:tcMar>
            <w:vAlign w:val="center"/>
          </w:tcPr>
          <w:p>
            <w:pPr>
              <w:pStyle w:val="42"/>
              <w:rPr>
                <w:rFonts w:ascii="Times New Roman" w:hAnsi="Times New Roman" w:cs="Times New Roman"/>
              </w:rPr>
            </w:pPr>
          </w:p>
        </w:tc>
        <w:tc>
          <w:tcPr>
            <w:tcW w:w="2268" w:type="dxa"/>
            <w:tcMar>
              <w:left w:w="108" w:type="dxa"/>
              <w:right w:w="108" w:type="dxa"/>
            </w:tcMar>
            <w:vAlign w:val="center"/>
          </w:tcPr>
          <w:p>
            <w:pPr>
              <w:pStyle w:val="42"/>
              <w:rPr>
                <w:rFonts w:ascii="Times New Roman" w:hAnsi="Times New Roman" w:cs="Times New Roman"/>
              </w:rPr>
            </w:pPr>
          </w:p>
        </w:tc>
      </w:tr>
    </w:tbl>
    <w:p>
      <w:pPr>
        <w:spacing w:line="600" w:lineRule="exact"/>
        <w:ind w:firstLine="640"/>
        <w:rPr>
          <w:rFonts w:hint="eastAsia" w:ascii="Times New Roman" w:hAnsi="Times New Roman" w:eastAsia="方正仿宋_GBK" w:cs="Times New Roman"/>
          <w:szCs w:val="32"/>
        </w:rPr>
      </w:pPr>
      <w:r>
        <w:rPr>
          <w:rFonts w:hint="default" w:ascii="Times New Roman" w:hAnsi="Times New Roman" w:eastAsia="方正仿宋_GBK" w:cs="Times New Roman"/>
          <w:szCs w:val="32"/>
        </w:rPr>
        <w:t>注:1.所有报价均用人民币表示</w:t>
      </w:r>
      <w:r>
        <w:rPr>
          <w:rFonts w:hint="eastAsia" w:ascii="Times New Roman" w:hAnsi="Times New Roman" w:eastAsia="方正仿宋_GBK" w:cs="Times New Roman"/>
          <w:szCs w:val="32"/>
        </w:rPr>
        <w:t>，</w:t>
      </w:r>
      <w:r>
        <w:rPr>
          <w:rFonts w:hint="default" w:ascii="Times New Roman" w:hAnsi="Times New Roman" w:eastAsia="方正仿宋_GBK" w:cs="Times New Roman"/>
          <w:szCs w:val="32"/>
        </w:rPr>
        <w:t>所报价格即为履行合同的固定价格，税金、</w:t>
      </w:r>
      <w:r>
        <w:rPr>
          <w:rFonts w:hint="eastAsia" w:ascii="Times New Roman" w:hAnsi="Times New Roman" w:eastAsia="方正仿宋_GBK" w:cs="Times New Roman"/>
          <w:szCs w:val="32"/>
        </w:rPr>
        <w:t>差旅</w:t>
      </w:r>
      <w:r>
        <w:rPr>
          <w:rFonts w:hint="default" w:ascii="Times New Roman" w:hAnsi="Times New Roman" w:eastAsia="方正仿宋_GBK" w:cs="Times New Roman"/>
          <w:szCs w:val="32"/>
        </w:rPr>
        <w:t>费、人工费、现场踏勘</w:t>
      </w:r>
      <w:r>
        <w:rPr>
          <w:rFonts w:hint="eastAsia" w:ascii="Times New Roman" w:hAnsi="Times New Roman" w:eastAsia="方正仿宋_GBK" w:cs="Times New Roman"/>
          <w:szCs w:val="32"/>
        </w:rPr>
        <w:t>费</w:t>
      </w:r>
      <w:r>
        <w:rPr>
          <w:rFonts w:hint="default" w:ascii="Times New Roman" w:hAnsi="Times New Roman" w:eastAsia="方正仿宋_GBK" w:cs="Times New Roman"/>
          <w:szCs w:val="32"/>
        </w:rPr>
        <w:t>、售后服务等费用以及比选文件规定的其他费用均应包含在报价中。</w:t>
      </w:r>
    </w:p>
    <w:p>
      <w:pPr>
        <w:spacing w:line="600" w:lineRule="exact"/>
        <w:ind w:firstLine="640"/>
        <w:rPr>
          <w:rFonts w:hint="default" w:ascii="Times New Roman" w:hAnsi="Times New Roman" w:eastAsia="方正仿宋_GBK" w:cs="Times New Roman"/>
          <w:szCs w:val="32"/>
        </w:rPr>
      </w:pPr>
      <w:r>
        <w:rPr>
          <w:rFonts w:hint="eastAsia" w:ascii="Times New Roman" w:hAnsi="Times New Roman" w:eastAsia="方正仿宋_GBK" w:cs="Times New Roman"/>
          <w:szCs w:val="32"/>
        </w:rPr>
        <w:t>2</w:t>
      </w:r>
      <w:r>
        <w:rPr>
          <w:rFonts w:hint="default" w:ascii="Times New Roman" w:hAnsi="Times New Roman" w:eastAsia="方正仿宋_GBK" w:cs="Times New Roman"/>
          <w:szCs w:val="32"/>
        </w:rPr>
        <w:t>.</w:t>
      </w:r>
      <w:r>
        <w:rPr>
          <w:rFonts w:hint="eastAsia" w:ascii="Times New Roman" w:hAnsi="Times New Roman" w:eastAsia="方正仿宋_GBK" w:cs="Times New Roman"/>
          <w:szCs w:val="32"/>
        </w:rPr>
        <w:t>比选按包号1-2顺序进行。</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3.一旦我方成交，我方将严格履行合同规定的责任和义务。</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供应商名称：XXX（盖单位公章）</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法定代表人或授权代表（签字或盖章）：XXX</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日      期：XXX年XXX月XXX日</w:t>
      </w:r>
    </w:p>
    <w:p>
      <w:pPr>
        <w:spacing w:line="600" w:lineRule="exact"/>
        <w:ind w:firstLine="640"/>
        <w:rPr>
          <w:rFonts w:hint="default" w:ascii="Times New Roman" w:hAnsi="Times New Roman" w:eastAsia="方正仿宋_GBK" w:cs="Times New Roman"/>
          <w:szCs w:val="32"/>
        </w:rPr>
      </w:pP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11-5其他</w:t>
      </w:r>
    </w:p>
    <w:p>
      <w:pPr>
        <w:spacing w:line="600" w:lineRule="exact"/>
        <w:ind w:firstLine="640"/>
        <w:rPr>
          <w:rFonts w:hint="default" w:ascii="Times New Roman" w:hAnsi="Times New Roman" w:eastAsia="方正仿宋_GBK" w:cs="Times New Roman"/>
          <w:szCs w:val="32"/>
        </w:rPr>
      </w:pPr>
      <w:r>
        <w:rPr>
          <w:rFonts w:hint="default" w:ascii="Times New Roman" w:hAnsi="Times New Roman" w:eastAsia="方正仿宋_GBK" w:cs="Times New Roman"/>
          <w:szCs w:val="32"/>
        </w:rPr>
        <w:t>供应商应根据比选文件要求提供其他相关响应内容，格式自拟。</w:t>
      </w:r>
    </w:p>
    <w:p>
      <w:pPr>
        <w:ind w:firstLine="640"/>
        <w:rPr>
          <w:rFonts w:ascii="Times New Roman" w:hAnsi="Times New Roman" w:cs="Times New Roman"/>
        </w:rPr>
      </w:pPr>
    </w:p>
    <w:sectPr>
      <w:footerReference r:id="rId11"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2"/>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9"/>
      </w:rPr>
      <w:id w:val="-224530989"/>
      <w:docPartObj>
        <w:docPartGallery w:val="autotext"/>
      </w:docPartObj>
    </w:sdtPr>
    <w:sdtEndPr>
      <w:rPr>
        <w:rStyle w:val="19"/>
      </w:rPr>
    </w:sdtEndPr>
    <w:sdtContent>
      <w:p>
        <w:pPr>
          <w:pStyle w:val="12"/>
          <w:framePr w:wrap="auto" w:vAnchor="text" w:hAnchor="margin" w:xAlign="center" w:y="1"/>
          <w:ind w:firstLine="360"/>
          <w:rPr>
            <w:rStyle w:val="19"/>
          </w:rPr>
        </w:pPr>
        <w:r>
          <w:rPr>
            <w:rStyle w:val="19"/>
          </w:rPr>
          <w:fldChar w:fldCharType="begin"/>
        </w:r>
        <w:r>
          <w:rPr>
            <w:rStyle w:val="19"/>
          </w:rPr>
          <w:instrText xml:space="preserve"> PAGE </w:instrText>
        </w:r>
        <w:r>
          <w:rPr>
            <w:rStyle w:val="19"/>
          </w:rPr>
          <w:fldChar w:fldCharType="end"/>
        </w:r>
      </w:p>
    </w:sdtContent>
  </w:sdt>
  <w:p>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r>
      <w:rPr>
        <w:sz w:val="18"/>
      </w:rPr>
      <w:pict>
        <v:shape id="_x0000_s4098" o:spid="_x0000_s4098"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2"/>
                  <w:ind w:left="0" w:leftChars="0" w:firstLine="0" w:firstLineChars="0"/>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rsids>
    <w:rsidRoot w:val="007E23AB"/>
    <w:rsid w:val="000346A6"/>
    <w:rsid w:val="00051411"/>
    <w:rsid w:val="00073F46"/>
    <w:rsid w:val="000A4334"/>
    <w:rsid w:val="000B004C"/>
    <w:rsid w:val="000B4163"/>
    <w:rsid w:val="000B4D77"/>
    <w:rsid w:val="001842CA"/>
    <w:rsid w:val="001F1298"/>
    <w:rsid w:val="00203FE3"/>
    <w:rsid w:val="00232A23"/>
    <w:rsid w:val="002340FA"/>
    <w:rsid w:val="00235A3B"/>
    <w:rsid w:val="00242878"/>
    <w:rsid w:val="0024797F"/>
    <w:rsid w:val="00254284"/>
    <w:rsid w:val="0025533C"/>
    <w:rsid w:val="00284CD0"/>
    <w:rsid w:val="00293F05"/>
    <w:rsid w:val="002D7A8E"/>
    <w:rsid w:val="002E1708"/>
    <w:rsid w:val="002F6D97"/>
    <w:rsid w:val="00310FA1"/>
    <w:rsid w:val="00323D17"/>
    <w:rsid w:val="003311DC"/>
    <w:rsid w:val="0034349C"/>
    <w:rsid w:val="00351866"/>
    <w:rsid w:val="00382F38"/>
    <w:rsid w:val="00385F57"/>
    <w:rsid w:val="003B54D9"/>
    <w:rsid w:val="003E3AE7"/>
    <w:rsid w:val="004143DC"/>
    <w:rsid w:val="00432BFF"/>
    <w:rsid w:val="004526C8"/>
    <w:rsid w:val="00471CFF"/>
    <w:rsid w:val="004A2143"/>
    <w:rsid w:val="004A64CF"/>
    <w:rsid w:val="004B055D"/>
    <w:rsid w:val="004C05A8"/>
    <w:rsid w:val="004D6826"/>
    <w:rsid w:val="00510EA2"/>
    <w:rsid w:val="005A4645"/>
    <w:rsid w:val="005B2AEA"/>
    <w:rsid w:val="005C14B9"/>
    <w:rsid w:val="00666287"/>
    <w:rsid w:val="00681F65"/>
    <w:rsid w:val="00685485"/>
    <w:rsid w:val="006D32E9"/>
    <w:rsid w:val="006F1255"/>
    <w:rsid w:val="0070380B"/>
    <w:rsid w:val="00713517"/>
    <w:rsid w:val="00720A35"/>
    <w:rsid w:val="00720BC1"/>
    <w:rsid w:val="00731EA9"/>
    <w:rsid w:val="00775F36"/>
    <w:rsid w:val="0078085B"/>
    <w:rsid w:val="007E23AB"/>
    <w:rsid w:val="00825EF8"/>
    <w:rsid w:val="00840911"/>
    <w:rsid w:val="008622D5"/>
    <w:rsid w:val="00875539"/>
    <w:rsid w:val="008A7853"/>
    <w:rsid w:val="008E0EFB"/>
    <w:rsid w:val="008F506A"/>
    <w:rsid w:val="00997706"/>
    <w:rsid w:val="009B200B"/>
    <w:rsid w:val="009D6989"/>
    <w:rsid w:val="009E72FE"/>
    <w:rsid w:val="00A01EFB"/>
    <w:rsid w:val="00A05E47"/>
    <w:rsid w:val="00A323FD"/>
    <w:rsid w:val="00A5208C"/>
    <w:rsid w:val="00A538FD"/>
    <w:rsid w:val="00A64F32"/>
    <w:rsid w:val="00A73597"/>
    <w:rsid w:val="00A95F15"/>
    <w:rsid w:val="00AE1DBE"/>
    <w:rsid w:val="00B0385A"/>
    <w:rsid w:val="00B13970"/>
    <w:rsid w:val="00B30D51"/>
    <w:rsid w:val="00B33468"/>
    <w:rsid w:val="00BB139B"/>
    <w:rsid w:val="00BE13D2"/>
    <w:rsid w:val="00BE778C"/>
    <w:rsid w:val="00C04F62"/>
    <w:rsid w:val="00C1023D"/>
    <w:rsid w:val="00C14B40"/>
    <w:rsid w:val="00C45E17"/>
    <w:rsid w:val="00C54652"/>
    <w:rsid w:val="00CB0BC5"/>
    <w:rsid w:val="00D01591"/>
    <w:rsid w:val="00D0312D"/>
    <w:rsid w:val="00D54831"/>
    <w:rsid w:val="00D60B6A"/>
    <w:rsid w:val="00D76EBF"/>
    <w:rsid w:val="00DA224C"/>
    <w:rsid w:val="00DC4516"/>
    <w:rsid w:val="00DC534C"/>
    <w:rsid w:val="00DD59EF"/>
    <w:rsid w:val="00DF756B"/>
    <w:rsid w:val="00E16615"/>
    <w:rsid w:val="00E32ED0"/>
    <w:rsid w:val="00E60F11"/>
    <w:rsid w:val="00E65BF9"/>
    <w:rsid w:val="00E87311"/>
    <w:rsid w:val="00EF2435"/>
    <w:rsid w:val="00F031F5"/>
    <w:rsid w:val="00F50DE2"/>
    <w:rsid w:val="00F537B1"/>
    <w:rsid w:val="00F57B2E"/>
    <w:rsid w:val="00F71701"/>
    <w:rsid w:val="00F90C9E"/>
    <w:rsid w:val="00FA4052"/>
    <w:rsid w:val="00FC3460"/>
    <w:rsid w:val="00FE3812"/>
    <w:rsid w:val="00FF248B"/>
    <w:rsid w:val="042B5630"/>
    <w:rsid w:val="04825678"/>
    <w:rsid w:val="07545496"/>
    <w:rsid w:val="08F02CB9"/>
    <w:rsid w:val="0A391B12"/>
    <w:rsid w:val="0B156DBB"/>
    <w:rsid w:val="0CD56D9C"/>
    <w:rsid w:val="0E14552A"/>
    <w:rsid w:val="0F3C4F8C"/>
    <w:rsid w:val="0FF643BB"/>
    <w:rsid w:val="1054194A"/>
    <w:rsid w:val="110B3F03"/>
    <w:rsid w:val="129F7021"/>
    <w:rsid w:val="136E6F70"/>
    <w:rsid w:val="137B2A03"/>
    <w:rsid w:val="1443218C"/>
    <w:rsid w:val="16E3789C"/>
    <w:rsid w:val="1FBC2FB1"/>
    <w:rsid w:val="20814BDB"/>
    <w:rsid w:val="23DC34AB"/>
    <w:rsid w:val="24A72550"/>
    <w:rsid w:val="25976E8E"/>
    <w:rsid w:val="276A1EBA"/>
    <w:rsid w:val="27CA1ED3"/>
    <w:rsid w:val="28D6645B"/>
    <w:rsid w:val="29A518E1"/>
    <w:rsid w:val="2A346ACA"/>
    <w:rsid w:val="2AFF7497"/>
    <w:rsid w:val="2BC94961"/>
    <w:rsid w:val="2C8D37A6"/>
    <w:rsid w:val="2F055600"/>
    <w:rsid w:val="31B60980"/>
    <w:rsid w:val="32D62E49"/>
    <w:rsid w:val="33540FF1"/>
    <w:rsid w:val="34575868"/>
    <w:rsid w:val="347C6E83"/>
    <w:rsid w:val="37140DF7"/>
    <w:rsid w:val="3811011D"/>
    <w:rsid w:val="3A037403"/>
    <w:rsid w:val="3C1B2328"/>
    <w:rsid w:val="3C9D638A"/>
    <w:rsid w:val="3E721FA2"/>
    <w:rsid w:val="41CA6B4E"/>
    <w:rsid w:val="429A2961"/>
    <w:rsid w:val="4A674758"/>
    <w:rsid w:val="4C871D94"/>
    <w:rsid w:val="4D1A1118"/>
    <w:rsid w:val="4F0D55E5"/>
    <w:rsid w:val="4F1137C6"/>
    <w:rsid w:val="4F4102C0"/>
    <w:rsid w:val="51C40308"/>
    <w:rsid w:val="51E67A6C"/>
    <w:rsid w:val="52374280"/>
    <w:rsid w:val="52B850D0"/>
    <w:rsid w:val="52B9308D"/>
    <w:rsid w:val="53036F3E"/>
    <w:rsid w:val="565C5C31"/>
    <w:rsid w:val="5758207A"/>
    <w:rsid w:val="57E20321"/>
    <w:rsid w:val="586E7633"/>
    <w:rsid w:val="596404E6"/>
    <w:rsid w:val="599D2616"/>
    <w:rsid w:val="5ACF0409"/>
    <w:rsid w:val="5B9818D4"/>
    <w:rsid w:val="5BC91AA6"/>
    <w:rsid w:val="5D0F10A0"/>
    <w:rsid w:val="5DA13E74"/>
    <w:rsid w:val="5F895537"/>
    <w:rsid w:val="600A4E1D"/>
    <w:rsid w:val="620C71E5"/>
    <w:rsid w:val="63BC68FB"/>
    <w:rsid w:val="64037F21"/>
    <w:rsid w:val="66E856D7"/>
    <w:rsid w:val="68833C24"/>
    <w:rsid w:val="69474158"/>
    <w:rsid w:val="6985632B"/>
    <w:rsid w:val="6C600CDA"/>
    <w:rsid w:val="6EF210E6"/>
    <w:rsid w:val="6F9C56DA"/>
    <w:rsid w:val="6FF7503E"/>
    <w:rsid w:val="709C67C5"/>
    <w:rsid w:val="74CC552D"/>
    <w:rsid w:val="76B33E71"/>
    <w:rsid w:val="77204910"/>
    <w:rsid w:val="779A0F48"/>
    <w:rsid w:val="78C3642C"/>
    <w:rsid w:val="78C862CA"/>
    <w:rsid w:val="798C15B9"/>
    <w:rsid w:val="7D131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仿宋_GB2312" w:asciiTheme="minorHAnsi" w:hAnsiTheme="minorHAnsi" w:cstheme="minorBidi"/>
      <w:kern w:val="2"/>
      <w:sz w:val="32"/>
      <w:szCs w:val="21"/>
      <w:lang w:val="en-US" w:eastAsia="zh-CN" w:bidi="ar-SA"/>
      <w14:ligatures w14:val="standardContextual"/>
    </w:rPr>
  </w:style>
  <w:style w:type="paragraph" w:styleId="2">
    <w:name w:val="heading 1"/>
    <w:basedOn w:val="1"/>
    <w:next w:val="1"/>
    <w:link w:val="20"/>
    <w:qFormat/>
    <w:uiPriority w:val="9"/>
    <w:pPr>
      <w:keepNext/>
      <w:keepLines/>
      <w:spacing w:before="120" w:after="120"/>
      <w:outlineLvl w:val="0"/>
    </w:pPr>
    <w:rPr>
      <w:rFonts w:eastAsia="黑体"/>
      <w:b/>
      <w:bCs/>
      <w:kern w:val="44"/>
      <w:szCs w:val="44"/>
    </w:rPr>
  </w:style>
  <w:style w:type="paragraph" w:styleId="3">
    <w:name w:val="heading 2"/>
    <w:basedOn w:val="1"/>
    <w:next w:val="1"/>
    <w:link w:val="21"/>
    <w:unhideWhenUsed/>
    <w:qFormat/>
    <w:uiPriority w:val="9"/>
    <w:pPr>
      <w:keepNext/>
      <w:keepLines/>
      <w:spacing w:before="260" w:after="260" w:line="416" w:lineRule="auto"/>
      <w:outlineLvl w:val="1"/>
    </w:pPr>
    <w:rPr>
      <w:rFonts w:asciiTheme="majorHAnsi" w:hAnsiTheme="majorHAnsi" w:eastAsiaTheme="majorEastAsia" w:cstheme="majorBidi"/>
      <w:b/>
      <w:bCs/>
      <w:szCs w:val="32"/>
    </w:rPr>
  </w:style>
  <w:style w:type="paragraph" w:styleId="4">
    <w:name w:val="heading 3"/>
    <w:basedOn w:val="1"/>
    <w:next w:val="1"/>
    <w:link w:val="22"/>
    <w:unhideWhenUsed/>
    <w:qFormat/>
    <w:uiPriority w:val="9"/>
    <w:pPr>
      <w:keepNext/>
      <w:keepLines/>
      <w:spacing w:before="160" w:after="80"/>
      <w:outlineLvl w:val="2"/>
    </w:pPr>
    <w:rPr>
      <w:rFonts w:asciiTheme="majorHAnsi" w:hAnsiTheme="majorHAnsi" w:eastAsiaTheme="majorEastAsia" w:cstheme="majorBidi"/>
      <w:color w:val="0F4761" w:themeColor="accent1" w:themeShade="BF"/>
      <w:szCs w:val="32"/>
    </w:rPr>
  </w:style>
  <w:style w:type="paragraph" w:styleId="5">
    <w:name w:val="heading 4"/>
    <w:basedOn w:val="1"/>
    <w:next w:val="1"/>
    <w:link w:val="23"/>
    <w:unhideWhenUsed/>
    <w:qFormat/>
    <w:uiPriority w:val="9"/>
    <w:pPr>
      <w:keepNext/>
      <w:keepLines/>
      <w:spacing w:before="80" w:after="40"/>
      <w:outlineLvl w:val="3"/>
    </w:pPr>
    <w:rPr>
      <w:rFonts w:cstheme="majorBidi"/>
      <w:color w:val="0F4761"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0F4761"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0F4761"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85858" w:themeColor="text1" w:themeTint="A6"/>
    </w:rPr>
  </w:style>
  <w:style w:type="paragraph" w:styleId="9">
    <w:name w:val="heading 8"/>
    <w:basedOn w:val="1"/>
    <w:next w:val="1"/>
    <w:link w:val="27"/>
    <w:semiHidden/>
    <w:unhideWhenUsed/>
    <w:qFormat/>
    <w:uiPriority w:val="9"/>
    <w:pPr>
      <w:keepNext/>
      <w:keepLines/>
      <w:outlineLvl w:val="7"/>
    </w:pPr>
    <w:rPr>
      <w:rFonts w:cstheme="majorBidi"/>
      <w:color w:val="585858" w:themeColor="text1" w:themeTint="A6"/>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85858" w:themeColor="text1" w:themeTint="A6"/>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link w:val="44"/>
    <w:qFormat/>
    <w:uiPriority w:val="0"/>
    <w:pPr>
      <w:widowControl/>
      <w:spacing w:after="120" w:line="240" w:lineRule="auto"/>
      <w:ind w:firstLine="0" w:firstLineChars="0"/>
    </w:pPr>
    <w:rPr>
      <w:rFonts w:eastAsiaTheme="minorEastAsia"/>
      <w:kern w:val="0"/>
      <w:sz w:val="21"/>
    </w:r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ind w:firstLine="200" w:firstLineChars="200"/>
      <w:jc w:val="center"/>
    </w:pPr>
    <w:rPr>
      <w:rFonts w:asciiTheme="majorHAnsi" w:hAnsiTheme="majorHAnsi" w:eastAsiaTheme="majorEastAsia" w:cstheme="majorBidi"/>
      <w:color w:val="585858" w:themeColor="text1" w:themeTint="A6"/>
      <w:spacing w:val="15"/>
      <w:sz w:val="28"/>
      <w:szCs w:val="28"/>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page number"/>
    <w:basedOn w:val="18"/>
    <w:semiHidden/>
    <w:unhideWhenUsed/>
    <w:qFormat/>
    <w:uiPriority w:val="99"/>
  </w:style>
  <w:style w:type="character" w:customStyle="1" w:styleId="20">
    <w:name w:val="标题 1 字符"/>
    <w:basedOn w:val="18"/>
    <w:link w:val="2"/>
    <w:qFormat/>
    <w:uiPriority w:val="9"/>
    <w:rPr>
      <w:rFonts w:eastAsia="黑体"/>
      <w:b/>
      <w:bCs/>
      <w:kern w:val="44"/>
      <w:sz w:val="32"/>
      <w:szCs w:val="44"/>
    </w:rPr>
  </w:style>
  <w:style w:type="character" w:customStyle="1" w:styleId="21">
    <w:name w:val="标题 2 字符"/>
    <w:basedOn w:val="18"/>
    <w:link w:val="3"/>
    <w:qFormat/>
    <w:uiPriority w:val="9"/>
    <w:rPr>
      <w:rFonts w:asciiTheme="majorHAnsi" w:hAnsiTheme="majorHAnsi" w:eastAsiaTheme="majorEastAsia" w:cstheme="majorBidi"/>
      <w:b/>
      <w:bCs/>
      <w:sz w:val="32"/>
      <w:szCs w:val="32"/>
    </w:rPr>
  </w:style>
  <w:style w:type="character" w:customStyle="1" w:styleId="22">
    <w:name w:val="标题 3 字符"/>
    <w:basedOn w:val="18"/>
    <w:link w:val="4"/>
    <w:qFormat/>
    <w:uiPriority w:val="9"/>
    <w:rPr>
      <w:rFonts w:asciiTheme="majorHAnsi" w:hAnsiTheme="majorHAnsi" w:eastAsiaTheme="majorEastAsia" w:cstheme="majorBidi"/>
      <w:color w:val="0F4761" w:themeColor="accent1" w:themeShade="BF"/>
      <w:sz w:val="32"/>
      <w:szCs w:val="32"/>
    </w:rPr>
  </w:style>
  <w:style w:type="character" w:customStyle="1" w:styleId="23">
    <w:name w:val="标题 4 字符"/>
    <w:basedOn w:val="18"/>
    <w:link w:val="5"/>
    <w:qFormat/>
    <w:uiPriority w:val="9"/>
    <w:rPr>
      <w:rFonts w:cstheme="majorBidi"/>
      <w:color w:val="0F4761" w:themeColor="accent1" w:themeShade="BF"/>
      <w:sz w:val="28"/>
      <w:szCs w:val="28"/>
    </w:rPr>
  </w:style>
  <w:style w:type="character" w:customStyle="1" w:styleId="24">
    <w:name w:val="标题 5 字符"/>
    <w:basedOn w:val="18"/>
    <w:link w:val="6"/>
    <w:semiHidden/>
    <w:qFormat/>
    <w:uiPriority w:val="9"/>
    <w:rPr>
      <w:rFonts w:cstheme="majorBidi"/>
      <w:color w:val="0F4761" w:themeColor="accent1" w:themeShade="BF"/>
      <w:sz w:val="24"/>
      <w:szCs w:val="24"/>
    </w:rPr>
  </w:style>
  <w:style w:type="character" w:customStyle="1" w:styleId="25">
    <w:name w:val="标题 6 字符"/>
    <w:basedOn w:val="18"/>
    <w:link w:val="7"/>
    <w:semiHidden/>
    <w:qFormat/>
    <w:uiPriority w:val="9"/>
    <w:rPr>
      <w:rFonts w:cstheme="majorBidi"/>
      <w:b/>
      <w:bCs/>
      <w:color w:val="0F4761" w:themeColor="accent1" w:themeShade="BF"/>
    </w:rPr>
  </w:style>
  <w:style w:type="character" w:customStyle="1" w:styleId="26">
    <w:name w:val="标题 7 字符"/>
    <w:basedOn w:val="18"/>
    <w:link w:val="8"/>
    <w:semiHidden/>
    <w:qFormat/>
    <w:uiPriority w:val="9"/>
    <w:rPr>
      <w:rFonts w:cstheme="majorBidi"/>
      <w:b/>
      <w:bCs/>
      <w:color w:val="585858" w:themeColor="text1" w:themeTint="A6"/>
    </w:rPr>
  </w:style>
  <w:style w:type="character" w:customStyle="1" w:styleId="27">
    <w:name w:val="标题 8 字符"/>
    <w:basedOn w:val="18"/>
    <w:link w:val="9"/>
    <w:semiHidden/>
    <w:qFormat/>
    <w:uiPriority w:val="9"/>
    <w:rPr>
      <w:rFonts w:cstheme="majorBidi"/>
      <w:color w:val="585858" w:themeColor="text1" w:themeTint="A6"/>
    </w:rPr>
  </w:style>
  <w:style w:type="character" w:customStyle="1" w:styleId="28">
    <w:name w:val="标题 9 字符"/>
    <w:basedOn w:val="18"/>
    <w:link w:val="10"/>
    <w:semiHidden/>
    <w:qFormat/>
    <w:uiPriority w:val="9"/>
    <w:rPr>
      <w:rFonts w:eastAsiaTheme="majorEastAsia" w:cstheme="majorBidi"/>
      <w:color w:val="585858" w:themeColor="text1" w:themeTint="A6"/>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85858" w:themeColor="text1" w:themeTint="A6"/>
      <w:spacing w:val="15"/>
      <w:sz w:val="28"/>
      <w:szCs w:val="28"/>
    </w:rPr>
  </w:style>
  <w:style w:type="paragraph" w:styleId="31">
    <w:name w:val="List Paragraph"/>
    <w:basedOn w:val="1"/>
    <w:qFormat/>
    <w:uiPriority w:val="34"/>
    <w:pPr>
      <w:ind w:left="720"/>
      <w:contextualSpacing/>
    </w:pPr>
  </w:style>
  <w:style w:type="paragraph" w:styleId="32">
    <w:name w:val="Quote"/>
    <w:basedOn w:val="1"/>
    <w:next w:val="1"/>
    <w:link w:val="33"/>
    <w:qFormat/>
    <w:uiPriority w:val="29"/>
    <w:pPr>
      <w:spacing w:before="160" w:after="160"/>
      <w:jc w:val="center"/>
    </w:pPr>
    <w:rPr>
      <w:i/>
      <w:iCs/>
      <w:color w:val="3F3F3F" w:themeColor="text1" w:themeTint="BF"/>
    </w:rPr>
  </w:style>
  <w:style w:type="character" w:customStyle="1" w:styleId="33">
    <w:name w:val="引用 字符"/>
    <w:basedOn w:val="18"/>
    <w:link w:val="32"/>
    <w:qFormat/>
    <w:uiPriority w:val="29"/>
    <w:rPr>
      <w:i/>
      <w:iCs/>
      <w:color w:val="3F3F3F" w:themeColor="text1" w:themeTint="BF"/>
      <w:szCs w:val="21"/>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customStyle="1" w:styleId="35">
    <w:name w:val="明显引用 字符"/>
    <w:basedOn w:val="18"/>
    <w:link w:val="34"/>
    <w:qFormat/>
    <w:uiPriority w:val="30"/>
    <w:rPr>
      <w:i/>
      <w:iCs/>
      <w:color w:val="0F4761" w:themeColor="accent1" w:themeShade="BF"/>
      <w:szCs w:val="21"/>
    </w:rPr>
  </w:style>
  <w:style w:type="character" w:customStyle="1" w:styleId="36">
    <w:name w:val="Intense Emphasis"/>
    <w:basedOn w:val="18"/>
    <w:qFormat/>
    <w:uiPriority w:val="21"/>
    <w:rPr>
      <w:i/>
      <w:iCs/>
      <w:color w:val="0F4761" w:themeColor="accent1" w:themeShade="BF"/>
    </w:rPr>
  </w:style>
  <w:style w:type="character" w:customStyle="1" w:styleId="37">
    <w:name w:val="Intense Reference"/>
    <w:basedOn w:val="18"/>
    <w:qFormat/>
    <w:uiPriority w:val="32"/>
    <w:rPr>
      <w:b/>
      <w:bCs/>
      <w:smallCaps/>
      <w:color w:val="0F4761"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paragraph" w:customStyle="1" w:styleId="40">
    <w:name w:val="表格式"/>
    <w:basedOn w:val="1"/>
    <w:link w:val="41"/>
    <w:qFormat/>
    <w:uiPriority w:val="0"/>
    <w:pPr>
      <w:spacing w:line="240" w:lineRule="auto"/>
      <w:ind w:firstLine="0" w:firstLineChars="0"/>
      <w:jc w:val="center"/>
    </w:pPr>
    <w:rPr>
      <w:sz w:val="24"/>
      <w:szCs w:val="24"/>
    </w:rPr>
  </w:style>
  <w:style w:type="character" w:customStyle="1" w:styleId="41">
    <w:name w:val="表格式 字符"/>
    <w:basedOn w:val="18"/>
    <w:link w:val="40"/>
    <w:qFormat/>
    <w:uiPriority w:val="0"/>
    <w:rPr>
      <w:rFonts w:eastAsia="仿宋_GB2312"/>
      <w:sz w:val="24"/>
      <w:szCs w:val="24"/>
    </w:rPr>
  </w:style>
  <w:style w:type="paragraph" w:customStyle="1" w:styleId="42">
    <w:name w:val="表格样式"/>
    <w:basedOn w:val="1"/>
    <w:link w:val="43"/>
    <w:qFormat/>
    <w:uiPriority w:val="0"/>
    <w:pPr>
      <w:spacing w:line="240" w:lineRule="auto"/>
      <w:ind w:firstLine="0" w:firstLineChars="0"/>
      <w:jc w:val="center"/>
    </w:pPr>
    <w:rPr>
      <w:sz w:val="28"/>
    </w:rPr>
  </w:style>
  <w:style w:type="character" w:customStyle="1" w:styleId="43">
    <w:name w:val="表格样式 字符"/>
    <w:basedOn w:val="18"/>
    <w:link w:val="42"/>
    <w:qFormat/>
    <w:uiPriority w:val="0"/>
    <w:rPr>
      <w:rFonts w:eastAsia="仿宋_GB2312"/>
      <w:sz w:val="28"/>
    </w:rPr>
  </w:style>
  <w:style w:type="character" w:customStyle="1" w:styleId="44">
    <w:name w:val="正文文本 字符"/>
    <w:basedOn w:val="18"/>
    <w:link w:val="11"/>
    <w:qFormat/>
    <w:uiPriority w:val="0"/>
    <w:rPr>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textRotate="1"/>
    <customShpInfo spid="_x0000_s4098"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971</Words>
  <Characters>5539</Characters>
  <Lines>46</Lines>
  <Paragraphs>12</Paragraphs>
  <TotalTime>2</TotalTime>
  <ScaleCrop>false</ScaleCrop>
  <LinksUpToDate>false</LinksUpToDate>
  <CharactersWithSpaces>6498</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2025-03-24T08:44:00Z</dcterms:created>
  <dc:creator>苏伟</dc:creator>
  <cp:lastModifiedBy>龙柱洵</cp:lastModifiedBy>
  <cp:lastPrinted>2026-07-03T01:30:00Z</cp:lastPrinted>
  <dcterms:modified xsi:type="dcterms:W3CDTF">2026-07-21T01:43:13Z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23E7D6A0906E472F93D0889961FAE631</vt:lpwstr>
  </property>
</Properties>
</file>