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8782B">
      <w:pPr>
        <w:snapToGrid w:val="0"/>
        <w:spacing w:line="800" w:lineRule="exact"/>
        <w:jc w:val="center"/>
        <w:rPr>
          <w:rFonts w:hint="eastAsia" w:ascii="方正小标宋_GBK" w:hAnsi="Times New Roman" w:eastAsia="方正小标宋_GBK" w:cs="Times New Roman"/>
          <w:bCs/>
          <w:color w:val="FF0000"/>
          <w:spacing w:val="30"/>
          <w:sz w:val="54"/>
          <w:szCs w:val="54"/>
        </w:rPr>
      </w:pPr>
      <w:r>
        <w:rPr>
          <w:rFonts w:hint="eastAsia" w:ascii="方正小标宋_GBK" w:hAnsi="Times New Roman" w:eastAsia="方正小标宋_GBK" w:cs="Times New Roman"/>
          <w:bCs/>
          <w:color w:val="FF0000"/>
          <w:spacing w:val="30"/>
          <w:sz w:val="54"/>
          <w:szCs w:val="54"/>
        </w:rPr>
        <w:t>攀枝花市仁和区同德镇人民政府</w:t>
      </w:r>
    </w:p>
    <w:p w14:paraId="28D644E9">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_GBK" w:hAnsi="方正小标宋_GBK" w:eastAsia="方正小标宋_GBK" w:cs="方正小标宋_GBK"/>
          <w:color w:val="000000"/>
          <w:sz w:val="44"/>
          <w:szCs w:val="22"/>
          <w:lang w:val="en-US"/>
        </w:rPr>
      </w:pPr>
      <w:r>
        <w:rPr>
          <w:rFonts w:hint="eastAsia" w:ascii="方正小标宋_GBK" w:hAnsi="方正小标宋_GBK" w:eastAsia="方正小标宋_GBK" w:cs="方正小标宋_GBK"/>
          <w:color w:val="000000"/>
          <w:sz w:val="44"/>
          <w:szCs w:val="22"/>
          <w:lang w:val="en-US"/>
        </w:rPr>
        <mc:AlternateContent>
          <mc:Choice Requires="wpg">
            <w:drawing>
              <wp:anchor distT="0" distB="0" distL="114300" distR="114300" simplePos="0" relativeHeight="251660288" behindDoc="0" locked="0" layoutInCell="1" allowOverlap="1">
                <wp:simplePos x="0" y="0"/>
                <wp:positionH relativeFrom="column">
                  <wp:posOffset>57785</wp:posOffset>
                </wp:positionH>
                <wp:positionV relativeFrom="paragraph">
                  <wp:posOffset>8890</wp:posOffset>
                </wp:positionV>
                <wp:extent cx="5486400" cy="60960"/>
                <wp:effectExtent l="0" t="19050" r="0" b="15240"/>
                <wp:wrapNone/>
                <wp:docPr id="37" name="组合 37"/>
                <wp:cNvGraphicFramePr/>
                <a:graphic xmlns:a="http://schemas.openxmlformats.org/drawingml/2006/main">
                  <a:graphicData uri="http://schemas.microsoft.com/office/word/2010/wordprocessingGroup">
                    <wpg:wgp>
                      <wpg:cNvGrpSpPr/>
                      <wpg:grpSpPr>
                        <a:xfrm>
                          <a:off x="0" y="0"/>
                          <a:ext cx="5486400" cy="60960"/>
                          <a:chOff x="1620" y="2532"/>
                          <a:chExt cx="8640" cy="156"/>
                        </a:xfrm>
                        <a:effectLst/>
                      </wpg:grpSpPr>
                      <wps:wsp>
                        <wps:cNvPr id="35" name="直接连接符 35"/>
                        <wps:cNvCnPr/>
                        <wps:spPr>
                          <a:xfrm>
                            <a:off x="1620" y="2532"/>
                            <a:ext cx="8640" cy="0"/>
                          </a:xfrm>
                          <a:prstGeom prst="line">
                            <a:avLst/>
                          </a:prstGeom>
                          <a:ln w="38100" cap="flat" cmpd="sng">
                            <a:solidFill>
                              <a:srgbClr val="FF0000"/>
                            </a:solidFill>
                            <a:prstDash val="solid"/>
                            <a:headEnd type="none" w="med" len="med"/>
                            <a:tailEnd type="none" w="med" len="med"/>
                          </a:ln>
                          <a:effectLst/>
                        </wps:spPr>
                        <wps:bodyPr upright="1"/>
                      </wps:wsp>
                      <wps:wsp>
                        <wps:cNvPr id="36" name="直接连接符 36"/>
                        <wps:cNvCnPr/>
                        <wps:spPr>
                          <a:xfrm>
                            <a:off x="1620" y="2688"/>
                            <a:ext cx="8640" cy="0"/>
                          </a:xfrm>
                          <a:prstGeom prst="line">
                            <a:avLst/>
                          </a:prstGeom>
                          <a:ln w="9525" cap="flat" cmpd="sng">
                            <a:solidFill>
                              <a:srgbClr val="FF0000"/>
                            </a:solidFill>
                            <a:prstDash val="solid"/>
                            <a:headEnd type="none" w="med" len="med"/>
                            <a:tailEnd type="none" w="med" len="med"/>
                          </a:ln>
                          <a:effectLst/>
                        </wps:spPr>
                        <wps:bodyPr upright="1"/>
                      </wps:wsp>
                    </wpg:wgp>
                  </a:graphicData>
                </a:graphic>
              </wp:anchor>
            </w:drawing>
          </mc:Choice>
          <mc:Fallback>
            <w:pict>
              <v:group id="_x0000_s1026" o:spid="_x0000_s1026" o:spt="203" style="position:absolute;left:0pt;margin-left:4.55pt;margin-top:0.7pt;height:4.8pt;width:432pt;z-index:251660288;mso-width-relative:page;mso-height-relative:page;" coordorigin="1620,2532" coordsize="8640,156" o:gfxdata="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Dr7D3z1QAA&#10;AAYBAAAPAAAAAAAAAAEAIAAAACIAAABkcnMvZG93bnJldi54bWxQSwECFAAUAAAACACHTuJAj1s6&#10;DpMCAABPBwAADgAAAAAAAAABACAAAAAkAQAAZHJzL2Uyb0RvYy54bWxQSwUGAAAAAAYABgBZAQAA&#10;KQYAAAAA&#10;">
                <o:lock v:ext="edit" aspectratio="f"/>
                <v:line id="_x0000_s1026" o:spid="_x0000_s1026" o:spt="20" style="position:absolute;left:1620;top:2532;height:0;width:8640;" filled="f" stroked="t" coordsize="21600,21600" o:gfxdata="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4xTxh&#10;wAAAANsAAAAPAAAAAAAAAAEAIAAAACIAAABkcnMvZG93bnJldi54bWxQSwECFAAUAAAACACHTuJA&#10;My8FnjsAAAA5AAAAEAAAAAAAAAABACAAAAAPAQAAZHJzL3NoYXBleG1sLnhtbFBLBQYAAAAABgAG&#10;AFsBAAC5AwAAAAA=&#10;">
                  <v:fill on="f" focussize="0,0"/>
                  <v:stroke weight="3pt" color="#FF0000" joinstyle="round"/>
                  <v:imagedata o:title=""/>
                  <o:lock v:ext="edit" aspectratio="f"/>
                </v:line>
                <v:line id="_x0000_s1026" o:spid="_x0000_s1026" o:spt="20" style="position:absolute;left:1620;top:2688;height:0;width:8640;" filled="f" stroked="t" coordsize="21600,21600" o:gfxdata="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r7i7vQAA&#10;ANsAAAAPAAAAAAAAAAEAIAAAACIAAABkcnMvZG93bnJldi54bWxQSwECFAAUAAAACACHTuJAMy8F&#10;njsAAAA5AAAAEAAAAAAAAAABACAAAAAMAQAAZHJzL3NoYXBleG1sLnhtbFBLBQYAAAAABgAGAFsB&#10;AAC2AwAAAAA=&#10;">
                  <v:fill on="f" focussize="0,0"/>
                  <v:stroke color="#FF0000" joinstyle="round"/>
                  <v:imagedata o:title=""/>
                  <o:lock v:ext="edit" aspectratio="f"/>
                </v:line>
              </v:group>
            </w:pict>
          </mc:Fallback>
        </mc:AlternateContent>
      </w:r>
    </w:p>
    <w:p w14:paraId="04B24809">
      <w:pPr>
        <w:spacing w:line="760" w:lineRule="exact"/>
        <w:jc w:val="center"/>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攀枝花市仁和区同德镇人民政府</w:t>
      </w:r>
    </w:p>
    <w:p w14:paraId="7B1AF53B">
      <w:pPr>
        <w:spacing w:line="760" w:lineRule="exact"/>
        <w:jc w:val="center"/>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2023年专项预算项目支出绩效自评报告</w:t>
      </w:r>
    </w:p>
    <w:p w14:paraId="5965E0B2">
      <w:pPr>
        <w:spacing w:line="760" w:lineRule="exact"/>
        <w:jc w:val="center"/>
        <w:rPr>
          <w:rFonts w:hint="eastAsia"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（2022年扶持村级集体经济发展项目）</w:t>
      </w:r>
    </w:p>
    <w:p w14:paraId="78647F27">
      <w:pPr>
        <w:pStyle w:val="11"/>
        <w:spacing w:line="560" w:lineRule="exact"/>
        <w:ind w:firstLine="640"/>
        <w:jc w:val="center"/>
        <w:rPr>
          <w:rFonts w:ascii="宋体" w:hAnsi="宋体"/>
          <w:color w:val="auto"/>
          <w:kern w:val="2"/>
          <w:sz w:val="32"/>
          <w:szCs w:val="32"/>
        </w:rPr>
      </w:pPr>
    </w:p>
    <w:p w14:paraId="075BACFC">
      <w:pPr>
        <w:adjustRightInd w:val="0"/>
        <w:snapToGrid w:val="0"/>
        <w:spacing w:line="560" w:lineRule="exact"/>
        <w:ind w:firstLine="720"/>
        <w:rPr>
          <w:rFonts w:hint="eastAsia" w:ascii="黑体" w:hAnsi="宋体" w:eastAsia="黑体" w:cs="Times New Roman"/>
          <w:lang w:val="zh-CN"/>
        </w:rPr>
      </w:pPr>
      <w:r>
        <w:rPr>
          <w:rFonts w:hint="eastAsia" w:ascii="黑体" w:hAnsi="宋体" w:eastAsia="黑体" w:cs="Times New Roman"/>
        </w:rPr>
        <w:t>一、</w:t>
      </w:r>
      <w:r>
        <w:rPr>
          <w:rFonts w:hint="eastAsia" w:ascii="黑体" w:hAnsi="宋体" w:eastAsia="黑体" w:cs="Times New Roman"/>
          <w:lang w:val="zh-CN"/>
        </w:rPr>
        <w:t>项目概况</w:t>
      </w:r>
    </w:p>
    <w:p w14:paraId="3A3BF2D7">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宋体" w:eastAsia="楷体_GB2312" w:cs="Times New Roman"/>
          <w:b/>
          <w:lang w:val="zh-CN"/>
        </w:rPr>
      </w:pPr>
      <w:r>
        <w:rPr>
          <w:rFonts w:hint="eastAsia" w:ascii="楷体_GB2312" w:hAnsi="宋体" w:eastAsia="楷体_GB2312" w:cs="Times New Roman"/>
          <w:b/>
          <w:lang w:val="zh-CN"/>
        </w:rPr>
        <w:t>（一）项目资金申报及批复情况</w:t>
      </w:r>
    </w:p>
    <w:p w14:paraId="65612044">
      <w:pPr>
        <w:spacing w:line="240" w:lineRule="auto"/>
        <w:ind w:firstLine="640" w:firstLineChars="200"/>
        <w:jc w:val="both"/>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按照区委组织部要求，制定项目实施方案、项目申报表，逐级评估后，报市委组织部确定为市级集体经济薄弱村，按照攀财资农〔2022〕77号、攀仁财资农〔2022〕165号文安排</w:t>
      </w:r>
      <w:r>
        <w:rPr>
          <w:rFonts w:hint="default" w:ascii="Times New Roman" w:hAnsi="Times New Roman" w:eastAsia="仿宋_GB2312" w:cs="Times New Roman"/>
          <w:b w:val="0"/>
          <w:bCs w:val="0"/>
          <w:kern w:val="2"/>
          <w:sz w:val="32"/>
          <w:szCs w:val="32"/>
          <w:lang w:val="zh-CN" w:eastAsia="zh-CN" w:bidi="ar-SA"/>
        </w:rPr>
        <w:t>项目资金</w:t>
      </w:r>
      <w:r>
        <w:rPr>
          <w:rFonts w:hint="default" w:ascii="Times New Roman" w:hAnsi="Times New Roman" w:eastAsia="仿宋_GB2312" w:cs="Times New Roman"/>
          <w:b w:val="0"/>
          <w:bCs w:val="0"/>
          <w:kern w:val="2"/>
          <w:sz w:val="32"/>
          <w:szCs w:val="32"/>
          <w:lang w:val="en-US" w:eastAsia="zh-CN" w:bidi="ar-SA"/>
        </w:rPr>
        <w:t>15万元</w:t>
      </w:r>
      <w:r>
        <w:rPr>
          <w:rFonts w:hint="default" w:ascii="Times New Roman" w:hAnsi="Times New Roman" w:eastAsia="仿宋_GB2312" w:cs="Times New Roman"/>
          <w:b w:val="0"/>
          <w:bCs w:val="0"/>
          <w:kern w:val="2"/>
          <w:sz w:val="32"/>
          <w:szCs w:val="32"/>
          <w:lang w:val="zh-CN" w:eastAsia="zh-CN" w:bidi="ar-SA"/>
        </w:rPr>
        <w:t>。</w:t>
      </w:r>
    </w:p>
    <w:p w14:paraId="2F8DD7A0">
      <w:pPr>
        <w:pStyle w:val="6"/>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宋体" w:eastAsia="楷体_GB2312" w:cs="Times New Roman"/>
          <w:b/>
          <w:kern w:val="2"/>
          <w:sz w:val="32"/>
          <w:szCs w:val="32"/>
          <w:lang w:val="zh-CN" w:eastAsia="zh-CN" w:bidi="ar-SA"/>
        </w:rPr>
      </w:pPr>
      <w:r>
        <w:rPr>
          <w:rFonts w:hint="eastAsia" w:ascii="楷体_GB2312" w:hAnsi="宋体" w:eastAsia="楷体_GB2312" w:cs="Times New Roman"/>
          <w:b/>
          <w:kern w:val="2"/>
          <w:sz w:val="32"/>
          <w:szCs w:val="32"/>
          <w:lang w:val="zh-CN" w:eastAsia="zh-CN" w:bidi="ar-SA"/>
        </w:rPr>
        <w:t>（二）项目绩效目标</w:t>
      </w:r>
    </w:p>
    <w:p w14:paraId="21ACC222">
      <w:pPr>
        <w:pStyle w:val="6"/>
        <w:spacing w:line="240" w:lineRule="auto"/>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1.发展的集体经济项目：与萨萨农庄合作发展农家乐项目；生态养殖垂钓项目；万寿菊种植观赏及销售项目。</w:t>
      </w:r>
    </w:p>
    <w:p w14:paraId="610DEA22">
      <w:pPr>
        <w:spacing w:line="240" w:lineRule="auto"/>
        <w:ind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建设的内容：一是以万寿菊种植销售为主的生态观光园，力争在2022年形成约300亩万寿菊种植区带动万寿菊观光、销售、初加工和休闲娱乐融合发展。建设发酵池1个，万寿菊花期到后，采摘粗加工后销售给公司用于化工原料。二是以群众自有土地入股和现有山坪塘结合方式，按照土地入股面积分配股份，建设垂钓台、频道等设施，盘活闲置的9个山坪塘，通过与社会资本合作，发展亲子游玩、休闲垂钓、餐饮娱乐等农文旅融合产业。三是村集体经济组织与“萨萨农庄”农家乐合作，打造以傈僳文化为主的民俗文化餐厅，邀请民族歌手驻唱、表演傈僳族舞蹈等方式打造与众不同的傈僳文化体验区，推广傈僳油茶、傈僳粑粑、涨水鸡等傈僳特色美食。</w:t>
      </w:r>
    </w:p>
    <w:p w14:paraId="0FD60702">
      <w:pPr>
        <w:spacing w:line="240" w:lineRule="auto"/>
        <w:ind w:firstLine="640" w:firstLineChars="200"/>
        <w:jc w:val="both"/>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3.项目收益：一是集体经济以入股方式参与“萨萨农庄”项目，每年按签订协议首先保证保底收入，在保底收入完成后，再按照所占比例进行分红。二是集体经济在万寿菊收购时，按照每砘30元进行提成。三是集体经济在生态浅水养殖垂钓项目中按照山坪塘等集体资产所占比例进行分红。2022年村集体经济收入达到3万元以上。</w:t>
      </w:r>
    </w:p>
    <w:p w14:paraId="73E0AB32">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（三）项目资金申报相符性</w:t>
      </w:r>
    </w:p>
    <w:p w14:paraId="6CF8FDAC">
      <w:pPr>
        <w:spacing w:line="240" w:lineRule="auto"/>
        <w:ind w:firstLine="640" w:firstLineChars="200"/>
        <w:jc w:val="both"/>
        <w:rPr>
          <w:rFonts w:hint="eastAsia" w:ascii="仿宋_GB2312" w:hAnsi="仿宋_GB2312" w:eastAsia="仿宋_GB2312" w:cs="仿宋_GB2312"/>
          <w:b w:val="0"/>
          <w:bCs w:val="0"/>
          <w:kern w:val="2"/>
          <w:sz w:val="32"/>
          <w:szCs w:val="32"/>
          <w:lang w:val="zh-CN" w:eastAsia="zh-CN" w:bidi="ar-SA"/>
        </w:rPr>
      </w:pPr>
      <w:r>
        <w:rPr>
          <w:rFonts w:hint="eastAsia" w:ascii="仿宋_GB2312" w:hAnsi="仿宋_GB2312" w:eastAsia="仿宋_GB2312" w:cs="仿宋_GB2312"/>
          <w:b w:val="0"/>
          <w:bCs w:val="0"/>
          <w:kern w:val="2"/>
          <w:sz w:val="32"/>
          <w:szCs w:val="32"/>
          <w:lang w:val="zh-CN" w:eastAsia="zh-CN" w:bidi="ar-SA"/>
        </w:rPr>
        <w:t>项目申报内容与具体实施内容相符、申报目标合理可行。</w:t>
      </w:r>
    </w:p>
    <w:p w14:paraId="1D23E534">
      <w:pPr>
        <w:adjustRightInd w:val="0"/>
        <w:snapToGrid w:val="0"/>
        <w:spacing w:line="560" w:lineRule="exact"/>
        <w:ind w:firstLine="720"/>
        <w:rPr>
          <w:rFonts w:hint="eastAsia" w:ascii="黑体" w:hAnsi="宋体" w:eastAsia="黑体"/>
        </w:rPr>
      </w:pPr>
      <w:r>
        <w:rPr>
          <w:rFonts w:hint="eastAsia" w:ascii="黑体" w:hAnsi="宋体" w:eastAsia="黑体"/>
        </w:rPr>
        <w:t>二、项目实施及管理情况</w:t>
      </w:r>
    </w:p>
    <w:p w14:paraId="60F6B153">
      <w:pPr>
        <w:adjustRightInd w:val="0"/>
        <w:snapToGrid w:val="0"/>
        <w:spacing w:line="560" w:lineRule="exact"/>
        <w:ind w:firstLine="643" w:firstLineChars="200"/>
        <w:rPr>
          <w:rFonts w:hint="eastAsia" w:ascii="楷体_GB2312" w:hAnsi="宋体" w:eastAsia="楷体_GB2312" w:cs="Times New Roman"/>
          <w:b/>
          <w:kern w:val="2"/>
          <w:sz w:val="32"/>
          <w:szCs w:val="32"/>
          <w:lang w:val="zh-CN" w:eastAsia="zh-CN" w:bidi="ar-SA"/>
        </w:rPr>
      </w:pPr>
      <w:r>
        <w:rPr>
          <w:rFonts w:hint="eastAsia" w:ascii="楷体_GB2312" w:hAnsi="宋体" w:eastAsia="楷体_GB2312" w:cs="Times New Roman"/>
          <w:b/>
          <w:kern w:val="2"/>
          <w:sz w:val="32"/>
          <w:szCs w:val="32"/>
          <w:lang w:val="zh-CN" w:eastAsia="zh-CN" w:bidi="ar-SA"/>
        </w:rPr>
        <w:t>（一）资金计划、到位及使用情况。</w:t>
      </w:r>
    </w:p>
    <w:p w14:paraId="62D167F6">
      <w:pPr>
        <w:spacing w:line="240" w:lineRule="auto"/>
        <w:ind w:firstLine="640" w:firstLineChars="200"/>
        <w:jc w:val="both"/>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zh-CN" w:eastAsia="zh-CN" w:bidi="ar-SA"/>
        </w:rPr>
        <w:t>1</w:t>
      </w:r>
      <w:r>
        <w:rPr>
          <w:rFonts w:hint="default"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kern w:val="2"/>
          <w:sz w:val="32"/>
          <w:szCs w:val="32"/>
          <w:lang w:val="zh-CN" w:eastAsia="zh-CN" w:bidi="ar-SA"/>
        </w:rPr>
        <w:t>资金计划及到位。</w:t>
      </w:r>
    </w:p>
    <w:p w14:paraId="20A78DED">
      <w:pPr>
        <w:spacing w:line="240" w:lineRule="auto"/>
        <w:ind w:firstLine="640" w:firstLineChars="200"/>
        <w:jc w:val="both"/>
        <w:rPr>
          <w:rFonts w:hint="default" w:ascii="Times New Roman" w:hAnsi="Times New Roman" w:eastAsia="仿宋_GB2312" w:cs="Times New Roman"/>
          <w:b w:val="0"/>
          <w:bCs w:val="0"/>
          <w:kern w:val="2"/>
          <w:sz w:val="32"/>
          <w:szCs w:val="32"/>
          <w:highlight w:val="none"/>
          <w:lang w:val="zh-CN" w:eastAsia="zh-CN" w:bidi="ar-SA"/>
        </w:rPr>
      </w:pPr>
      <w:r>
        <w:rPr>
          <w:rFonts w:hint="default" w:ascii="Times New Roman" w:hAnsi="Times New Roman" w:eastAsia="仿宋_GB2312" w:cs="Times New Roman"/>
          <w:b w:val="0"/>
          <w:bCs w:val="0"/>
          <w:kern w:val="2"/>
          <w:sz w:val="32"/>
          <w:szCs w:val="32"/>
          <w:highlight w:val="none"/>
          <w:lang w:val="zh-CN" w:eastAsia="zh-CN" w:bidi="ar-SA"/>
        </w:rPr>
        <w:t>项目资金</w:t>
      </w:r>
      <w:r>
        <w:rPr>
          <w:rFonts w:hint="eastAsia" w:cs="Times New Roman"/>
          <w:b w:val="0"/>
          <w:bCs w:val="0"/>
          <w:kern w:val="2"/>
          <w:sz w:val="32"/>
          <w:szCs w:val="32"/>
          <w:highlight w:val="none"/>
          <w:lang w:val="zh-CN" w:eastAsia="zh-CN" w:bidi="ar-SA"/>
        </w:rPr>
        <w:t>计划</w:t>
      </w:r>
      <w:r>
        <w:rPr>
          <w:rFonts w:hint="eastAsia" w:cs="Times New Roman"/>
          <w:b w:val="0"/>
          <w:bCs w:val="0"/>
          <w:kern w:val="2"/>
          <w:sz w:val="32"/>
          <w:szCs w:val="32"/>
          <w:highlight w:val="none"/>
          <w:lang w:val="en-US" w:eastAsia="zh-CN" w:bidi="ar-SA"/>
        </w:rPr>
        <w:t>15万元，</w:t>
      </w:r>
      <w:r>
        <w:rPr>
          <w:rFonts w:hint="default" w:ascii="Times New Roman" w:hAnsi="Times New Roman" w:eastAsia="仿宋_GB2312" w:cs="Times New Roman"/>
          <w:b w:val="0"/>
          <w:bCs w:val="0"/>
          <w:kern w:val="2"/>
          <w:sz w:val="32"/>
          <w:szCs w:val="32"/>
          <w:highlight w:val="none"/>
          <w:lang w:val="en-US" w:eastAsia="zh-CN" w:bidi="ar-SA"/>
        </w:rPr>
        <w:t>目前</w:t>
      </w:r>
      <w:r>
        <w:rPr>
          <w:rFonts w:hint="default" w:ascii="Times New Roman" w:hAnsi="Times New Roman" w:eastAsia="仿宋_GB2312" w:cs="Times New Roman"/>
          <w:b w:val="0"/>
          <w:bCs w:val="0"/>
          <w:kern w:val="2"/>
          <w:sz w:val="32"/>
          <w:szCs w:val="32"/>
          <w:highlight w:val="none"/>
          <w:lang w:val="zh-CN" w:eastAsia="zh-CN" w:bidi="ar-SA"/>
        </w:rPr>
        <w:t>实际到位</w:t>
      </w:r>
      <w:r>
        <w:rPr>
          <w:rFonts w:hint="eastAsia" w:cs="Times New Roman"/>
          <w:b w:val="0"/>
          <w:bCs w:val="0"/>
          <w:kern w:val="2"/>
          <w:sz w:val="32"/>
          <w:szCs w:val="32"/>
          <w:highlight w:val="none"/>
          <w:lang w:val="en-US" w:eastAsia="zh-CN" w:bidi="ar-SA"/>
        </w:rPr>
        <w:t>15万元，到位率100%</w:t>
      </w:r>
      <w:r>
        <w:rPr>
          <w:rFonts w:hint="default" w:ascii="Times New Roman" w:hAnsi="Times New Roman" w:eastAsia="仿宋_GB2312" w:cs="Times New Roman"/>
          <w:b w:val="0"/>
          <w:bCs w:val="0"/>
          <w:kern w:val="2"/>
          <w:sz w:val="32"/>
          <w:szCs w:val="32"/>
          <w:highlight w:val="none"/>
          <w:lang w:val="zh-CN" w:eastAsia="zh-CN" w:bidi="ar-SA"/>
        </w:rPr>
        <w:t>。</w:t>
      </w:r>
    </w:p>
    <w:p w14:paraId="31C59B1B">
      <w:pPr>
        <w:spacing w:line="240" w:lineRule="auto"/>
        <w:ind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zh-CN" w:eastAsia="zh-CN" w:bidi="ar-SA"/>
        </w:rPr>
        <w:t>2</w:t>
      </w:r>
      <w:r>
        <w:rPr>
          <w:rFonts w:hint="default"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kern w:val="2"/>
          <w:sz w:val="32"/>
          <w:szCs w:val="32"/>
          <w:lang w:val="zh-CN" w:eastAsia="zh-CN" w:bidi="ar-SA"/>
        </w:rPr>
        <w:t>资金使用。</w:t>
      </w:r>
    </w:p>
    <w:p w14:paraId="3A649023">
      <w:pPr>
        <w:pStyle w:val="2"/>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default"/>
          <w:lang w:val="en-US" w:eastAsia="zh-CN"/>
        </w:rPr>
      </w:pPr>
      <w:r>
        <w:rPr>
          <w:rFonts w:hint="eastAsia"/>
          <w:lang w:val="en-US" w:eastAsia="zh-CN"/>
        </w:rPr>
        <w:t>该项目资金2022年11月7日到位，因财政资金紧张，财政未审核支付。</w:t>
      </w:r>
    </w:p>
    <w:p w14:paraId="2645946C">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7A5D20BB">
      <w:pPr>
        <w:spacing w:line="240" w:lineRule="auto"/>
        <w:ind w:firstLine="640" w:firstLineChars="200"/>
        <w:jc w:val="both"/>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新民村集体经济制定有资金管理制度并严格执行，按照要求聘请第三方会计人员进行会计管理，镇纪委、财政所和新民村村民监督委员会负责进行监督，</w:t>
      </w:r>
      <w:r>
        <w:rPr>
          <w:rFonts w:hint="eastAsia" w:cs="Times New Roman"/>
          <w:b w:val="0"/>
          <w:bCs w:val="0"/>
          <w:kern w:val="2"/>
          <w:sz w:val="32"/>
          <w:szCs w:val="32"/>
          <w:lang w:val="en-US" w:eastAsia="zh-CN" w:bidi="ar-SA"/>
        </w:rPr>
        <w:t>账</w:t>
      </w:r>
      <w:bookmarkStart w:id="0" w:name="_GoBack"/>
      <w:bookmarkEnd w:id="0"/>
      <w:r>
        <w:rPr>
          <w:rFonts w:hint="default" w:ascii="Times New Roman" w:hAnsi="Times New Roman" w:eastAsia="仿宋_GB2312" w:cs="Times New Roman"/>
          <w:b w:val="0"/>
          <w:bCs w:val="0"/>
          <w:kern w:val="2"/>
          <w:sz w:val="32"/>
          <w:szCs w:val="32"/>
          <w:lang w:val="en-US" w:eastAsia="zh-CN" w:bidi="ar-SA"/>
        </w:rPr>
        <w:t>目管理规范</w:t>
      </w:r>
      <w:r>
        <w:rPr>
          <w:rFonts w:hint="default" w:ascii="Times New Roman" w:hAnsi="Times New Roman" w:eastAsia="仿宋_GB2312" w:cs="Times New Roman"/>
          <w:b w:val="0"/>
          <w:bCs w:val="0"/>
          <w:kern w:val="2"/>
          <w:sz w:val="32"/>
          <w:szCs w:val="32"/>
          <w:lang w:val="zh-CN" w:eastAsia="zh-CN" w:bidi="ar-SA"/>
        </w:rPr>
        <w:t>、财务处理及时、会计核算规范。</w:t>
      </w:r>
    </w:p>
    <w:p w14:paraId="1C8C9B06">
      <w:pPr>
        <w:numPr>
          <w:ilvl w:val="0"/>
          <w:numId w:val="1"/>
        </w:numPr>
        <w:adjustRightInd w:val="0"/>
        <w:snapToGrid w:val="0"/>
        <w:spacing w:line="560" w:lineRule="exact"/>
        <w:ind w:firstLine="720"/>
        <w:rPr>
          <w:rFonts w:hint="eastAsia" w:ascii="楷体_GB2312" w:hAnsi="宋体" w:eastAsia="楷体_GB2312" w:cs="Times New Roman"/>
          <w:b/>
          <w:lang w:val="zh-CN" w:eastAsia="zh-CN"/>
        </w:rPr>
      </w:pPr>
      <w:r>
        <w:rPr>
          <w:rFonts w:hint="eastAsia" w:ascii="楷体_GB2312" w:hAnsi="宋体" w:eastAsia="楷体_GB2312" w:cs="Times New Roman"/>
          <w:b/>
          <w:lang w:val="zh-CN" w:eastAsia="zh-CN"/>
        </w:rPr>
        <w:t>项目组织实施情况</w:t>
      </w:r>
    </w:p>
    <w:p w14:paraId="3B2D6E06">
      <w:pPr>
        <w:spacing w:line="240" w:lineRule="auto"/>
        <w:ind w:firstLine="640" w:firstLineChars="200"/>
        <w:jc w:val="both"/>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该</w:t>
      </w:r>
      <w:r>
        <w:rPr>
          <w:rFonts w:hint="default" w:ascii="Times New Roman" w:hAnsi="Times New Roman" w:eastAsia="仿宋_GB2312" w:cs="Times New Roman"/>
          <w:b w:val="0"/>
          <w:bCs w:val="0"/>
          <w:kern w:val="2"/>
          <w:sz w:val="32"/>
          <w:szCs w:val="32"/>
          <w:lang w:val="zh-CN" w:eastAsia="zh-CN" w:bidi="ar-SA"/>
        </w:rPr>
        <w:t>项目</w:t>
      </w:r>
      <w:r>
        <w:rPr>
          <w:rFonts w:hint="default" w:ascii="Times New Roman" w:hAnsi="Times New Roman" w:eastAsia="仿宋_GB2312" w:cs="Times New Roman"/>
          <w:b w:val="0"/>
          <w:bCs w:val="0"/>
          <w:kern w:val="2"/>
          <w:sz w:val="32"/>
          <w:szCs w:val="32"/>
          <w:lang w:val="en-US" w:eastAsia="zh-CN" w:bidi="ar-SA"/>
        </w:rPr>
        <w:t>由新民村党总支全面统筹，新民村集体经济组织负责</w:t>
      </w:r>
      <w:r>
        <w:rPr>
          <w:rFonts w:hint="default" w:ascii="Times New Roman" w:hAnsi="Times New Roman" w:eastAsia="仿宋_GB2312" w:cs="Times New Roman"/>
          <w:b w:val="0"/>
          <w:bCs w:val="0"/>
          <w:kern w:val="2"/>
          <w:sz w:val="32"/>
          <w:szCs w:val="32"/>
          <w:lang w:val="zh-CN" w:eastAsia="zh-CN" w:bidi="ar-SA"/>
        </w:rPr>
        <w:t>组织管理</w:t>
      </w:r>
      <w:r>
        <w:rPr>
          <w:rFonts w:hint="default" w:ascii="Times New Roman" w:hAnsi="Times New Roman" w:eastAsia="仿宋_GB2312" w:cs="Times New Roman"/>
          <w:b w:val="0"/>
          <w:bCs w:val="0"/>
          <w:kern w:val="2"/>
          <w:sz w:val="32"/>
          <w:szCs w:val="32"/>
          <w:lang w:val="en-US" w:eastAsia="zh-CN" w:bidi="ar-SA"/>
        </w:rPr>
        <w:t>和具体实施</w:t>
      </w:r>
      <w:r>
        <w:rPr>
          <w:rFonts w:hint="default" w:ascii="Times New Roman" w:hAnsi="Times New Roman" w:eastAsia="仿宋_GB2312" w:cs="Times New Roman"/>
          <w:b w:val="0"/>
          <w:bCs w:val="0"/>
          <w:kern w:val="2"/>
          <w:sz w:val="32"/>
          <w:szCs w:val="32"/>
          <w:lang w:val="zh-CN" w:eastAsia="zh-CN" w:bidi="ar-SA"/>
        </w:rPr>
        <w:t>，</w:t>
      </w:r>
      <w:r>
        <w:rPr>
          <w:rFonts w:hint="default" w:ascii="Times New Roman" w:hAnsi="Times New Roman" w:eastAsia="仿宋_GB2312" w:cs="Times New Roman"/>
          <w:b w:val="0"/>
          <w:bCs w:val="0"/>
          <w:kern w:val="2"/>
          <w:sz w:val="32"/>
          <w:szCs w:val="32"/>
          <w:lang w:val="en-US" w:eastAsia="zh-CN" w:bidi="ar-SA"/>
        </w:rPr>
        <w:t>按照四议两公开和集体决策方式研究项目实施具体事宜。</w:t>
      </w:r>
    </w:p>
    <w:p w14:paraId="73E824AE">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5E8B4C1C">
      <w:pPr>
        <w:adjustRightInd w:val="0"/>
        <w:snapToGrid w:val="0"/>
        <w:spacing w:line="560" w:lineRule="exact"/>
        <w:ind w:firstLine="720"/>
        <w:rPr>
          <w:rFonts w:hint="eastAsia" w:ascii="楷体_GB2312" w:hAnsi="宋体" w:eastAsia="楷体_GB2312" w:cs="Times New Roman"/>
          <w:b/>
          <w:lang w:val="zh-CN" w:eastAsia="zh-CN"/>
        </w:rPr>
      </w:pPr>
      <w:r>
        <w:rPr>
          <w:rFonts w:hint="eastAsia" w:ascii="楷体_GB2312" w:hAnsi="宋体" w:eastAsia="楷体_GB2312" w:cs="Times New Roman"/>
          <w:b/>
          <w:lang w:val="zh-CN" w:eastAsia="zh-CN"/>
        </w:rPr>
        <w:t>（一）项目完成情况</w:t>
      </w:r>
    </w:p>
    <w:p w14:paraId="5CB22C9F">
      <w:pPr>
        <w:adjustRightInd w:val="0"/>
        <w:snapToGrid w:val="0"/>
        <w:spacing w:line="560" w:lineRule="exact"/>
        <w:ind w:firstLine="720"/>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该</w:t>
      </w:r>
      <w:r>
        <w:rPr>
          <w:rFonts w:hint="default" w:ascii="Times New Roman" w:hAnsi="Times New Roman" w:eastAsia="仿宋_GB2312" w:cs="Times New Roman"/>
          <w:b w:val="0"/>
          <w:bCs w:val="0"/>
          <w:kern w:val="2"/>
          <w:sz w:val="32"/>
          <w:szCs w:val="32"/>
          <w:lang w:val="zh-CN" w:eastAsia="zh-CN" w:bidi="ar-SA"/>
        </w:rPr>
        <w:t>项目</w:t>
      </w:r>
      <w:r>
        <w:rPr>
          <w:rFonts w:hint="default" w:ascii="Times New Roman" w:hAnsi="Times New Roman" w:eastAsia="仿宋_GB2312" w:cs="Times New Roman"/>
          <w:b w:val="0"/>
          <w:bCs w:val="0"/>
          <w:kern w:val="2"/>
          <w:sz w:val="32"/>
          <w:szCs w:val="32"/>
          <w:lang w:val="en-US" w:eastAsia="zh-CN" w:bidi="ar-SA"/>
        </w:rPr>
        <w:t>种植万寿菊200亩，建设发酵池1个，盘活闲置山坪塘9个。</w:t>
      </w:r>
    </w:p>
    <w:p w14:paraId="7FE8BE77">
      <w:pPr>
        <w:numPr>
          <w:ilvl w:val="0"/>
          <w:numId w:val="2"/>
        </w:numPr>
        <w:adjustRightInd w:val="0"/>
        <w:snapToGrid w:val="0"/>
        <w:spacing w:line="560" w:lineRule="exact"/>
        <w:ind w:firstLine="720"/>
        <w:rPr>
          <w:rFonts w:hint="eastAsia" w:ascii="楷体_GB2312" w:hAnsi="宋体" w:eastAsia="楷体_GB2312" w:cs="Times New Roman"/>
          <w:b/>
          <w:lang w:val="zh-CN" w:eastAsia="zh-CN"/>
        </w:rPr>
      </w:pPr>
      <w:r>
        <w:rPr>
          <w:rFonts w:hint="eastAsia" w:ascii="楷体_GB2312" w:hAnsi="宋体" w:eastAsia="楷体_GB2312" w:cs="Times New Roman"/>
          <w:b/>
          <w:lang w:val="zh-CN" w:eastAsia="zh-CN"/>
        </w:rPr>
        <w:t>项目效益情况</w:t>
      </w:r>
    </w:p>
    <w:p w14:paraId="41CB6292">
      <w:pPr>
        <w:adjustRightInd w:val="0"/>
        <w:snapToGrid w:val="0"/>
        <w:spacing w:line="560" w:lineRule="exact"/>
        <w:ind w:firstLine="720"/>
        <w:rPr>
          <w:rFonts w:hint="default" w:ascii="Times New Roman" w:hAnsi="Times New Roman" w:eastAsia="仿宋_GB2312" w:cs="Times New Roman"/>
          <w:b w:val="0"/>
          <w:bCs w:val="0"/>
          <w:kern w:val="2"/>
          <w:sz w:val="32"/>
          <w:szCs w:val="32"/>
          <w:lang w:val="zh-CN" w:eastAsia="zh-CN" w:bidi="ar-SA"/>
        </w:rPr>
      </w:pPr>
      <w:r>
        <w:rPr>
          <w:rFonts w:hint="default" w:ascii="Times New Roman" w:hAnsi="Times New Roman" w:eastAsia="仿宋_GB2312" w:cs="Times New Roman"/>
          <w:b w:val="0"/>
          <w:bCs w:val="0"/>
          <w:kern w:val="2"/>
          <w:sz w:val="32"/>
          <w:szCs w:val="32"/>
          <w:lang w:val="en-US" w:eastAsia="zh-CN" w:bidi="ar-SA"/>
        </w:rPr>
        <w:t>该</w:t>
      </w:r>
      <w:r>
        <w:rPr>
          <w:rFonts w:hint="default" w:ascii="Times New Roman" w:hAnsi="Times New Roman" w:eastAsia="仿宋_GB2312" w:cs="Times New Roman"/>
          <w:b w:val="0"/>
          <w:bCs w:val="0"/>
          <w:kern w:val="2"/>
          <w:sz w:val="32"/>
          <w:szCs w:val="32"/>
          <w:lang w:val="zh-CN" w:eastAsia="zh-CN" w:bidi="ar-SA"/>
        </w:rPr>
        <w:t>项目经济年</w:t>
      </w:r>
      <w:r>
        <w:rPr>
          <w:rFonts w:hint="default" w:ascii="Times New Roman" w:hAnsi="Times New Roman" w:eastAsia="仿宋_GB2312" w:cs="Times New Roman"/>
          <w:b w:val="0"/>
          <w:bCs w:val="0"/>
          <w:kern w:val="2"/>
          <w:sz w:val="32"/>
          <w:szCs w:val="32"/>
          <w:lang w:val="en-US" w:eastAsia="zh-CN" w:bidi="ar-SA"/>
        </w:rPr>
        <w:t>收益2万元，促进周边农户发展万寿菊种植提高收入，</w:t>
      </w:r>
      <w:r>
        <w:rPr>
          <w:rFonts w:hint="default" w:ascii="Times New Roman" w:hAnsi="Times New Roman" w:eastAsia="仿宋_GB2312" w:cs="Times New Roman"/>
          <w:b w:val="0"/>
          <w:bCs w:val="0"/>
          <w:kern w:val="2"/>
          <w:sz w:val="32"/>
          <w:szCs w:val="32"/>
          <w:lang w:val="zh-CN" w:eastAsia="zh-CN" w:bidi="ar-SA"/>
        </w:rPr>
        <w:t>满意度</w:t>
      </w:r>
      <w:r>
        <w:rPr>
          <w:rFonts w:hint="default" w:ascii="Times New Roman" w:hAnsi="Times New Roman" w:eastAsia="仿宋_GB2312" w:cs="Times New Roman"/>
          <w:b w:val="0"/>
          <w:bCs w:val="0"/>
          <w:kern w:val="2"/>
          <w:sz w:val="32"/>
          <w:szCs w:val="32"/>
          <w:lang w:val="en-US" w:eastAsia="zh-CN" w:bidi="ar-SA"/>
        </w:rPr>
        <w:t>较高</w:t>
      </w:r>
      <w:r>
        <w:rPr>
          <w:rFonts w:hint="default" w:ascii="Times New Roman" w:hAnsi="Times New Roman" w:eastAsia="仿宋_GB2312" w:cs="Times New Roman"/>
          <w:b w:val="0"/>
          <w:bCs w:val="0"/>
          <w:kern w:val="2"/>
          <w:sz w:val="32"/>
          <w:szCs w:val="32"/>
          <w:lang w:val="zh-CN" w:eastAsia="zh-CN" w:bidi="ar-SA"/>
        </w:rPr>
        <w:t>。</w:t>
      </w:r>
    </w:p>
    <w:p w14:paraId="42ABEED5">
      <w:pPr>
        <w:pStyle w:val="6"/>
        <w:keepNext w:val="0"/>
        <w:keepLines w:val="0"/>
        <w:pageBreakBefore w:val="0"/>
        <w:kinsoku/>
        <w:wordWrap/>
        <w:overflowPunct/>
        <w:topLinePunct w:val="0"/>
        <w:autoSpaceDE/>
        <w:autoSpaceDN/>
        <w:bidi w:val="0"/>
        <w:spacing w:line="579" w:lineRule="exact"/>
        <w:ind w:firstLine="640" w:firstLineChars="200"/>
        <w:jc w:val="left"/>
        <w:textAlignment w:val="auto"/>
        <w:rPr>
          <w:rFonts w:ascii="黑体" w:hAnsi="宋体" w:eastAsia="黑体"/>
        </w:rPr>
      </w:pPr>
      <w:r>
        <w:rPr>
          <w:rFonts w:hint="eastAsia" w:ascii="黑体" w:hAnsi="宋体" w:eastAsia="黑体"/>
        </w:rPr>
        <w:t>四、问题及建议</w:t>
      </w:r>
    </w:p>
    <w:p w14:paraId="51632ED2">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14:paraId="6A9F4637">
      <w:pPr>
        <w:pStyle w:val="2"/>
        <w:ind w:left="0" w:leftChars="0" w:firstLine="640" w:firstLineChars="200"/>
        <w:rPr>
          <w:rFonts w:hint="default" w:ascii="Times New Roman" w:hAnsi="Times New Roman" w:cs="Times New Roman"/>
          <w:b w:val="0"/>
          <w:bCs/>
          <w:lang w:val="zh-CN"/>
        </w:rPr>
      </w:pPr>
      <w:r>
        <w:rPr>
          <w:rFonts w:hint="default" w:ascii="Times New Roman" w:hAnsi="Times New Roman" w:eastAsia="楷体_GB2312" w:cs="Times New Roman"/>
          <w:b w:val="0"/>
          <w:bCs/>
          <w:lang w:val="zh-CN"/>
        </w:rPr>
        <w:t>无</w:t>
      </w:r>
    </w:p>
    <w:p w14:paraId="4BF0C078">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（二）相关建议</w:t>
      </w:r>
    </w:p>
    <w:p w14:paraId="003039AB">
      <w:pPr>
        <w:pStyle w:val="2"/>
        <w:ind w:left="0" w:leftChars="0" w:firstLine="640" w:firstLineChars="200"/>
        <w:rPr>
          <w:b w:val="0"/>
          <w:bCs/>
          <w:lang w:val="zh-CN"/>
        </w:rPr>
      </w:pPr>
      <w:r>
        <w:rPr>
          <w:rFonts w:hint="eastAsia" w:ascii="楷体_GB2312" w:hAnsi="宋体" w:eastAsia="楷体_GB2312"/>
          <w:b w:val="0"/>
          <w:bCs/>
          <w:lang w:val="zh-CN"/>
        </w:rPr>
        <w:t>无</w:t>
      </w:r>
    </w:p>
    <w:p w14:paraId="35564309">
      <w:pPr>
        <w:pStyle w:val="2"/>
        <w:rPr>
          <w:rFonts w:hint="default"/>
          <w:lang w:val="en-US" w:eastAsia="zh-CN"/>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2AEE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975088">
                          <w:pPr>
                            <w:pStyle w:val="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9975088">
                    <w:pPr>
                      <w:pStyle w:val="7"/>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B04FED"/>
    <w:multiLevelType w:val="singleLevel"/>
    <w:tmpl w:val="22B04FED"/>
    <w:lvl w:ilvl="0" w:tentative="0">
      <w:start w:val="3"/>
      <w:numFmt w:val="chineseCounting"/>
      <w:suff w:val="nothing"/>
      <w:lvlText w:val="（%1）"/>
      <w:lvlJc w:val="left"/>
      <w:rPr>
        <w:rFonts w:hint="eastAsia"/>
      </w:rPr>
    </w:lvl>
  </w:abstractNum>
  <w:abstractNum w:abstractNumId="1">
    <w:nsid w:val="512E6819"/>
    <w:multiLevelType w:val="singleLevel"/>
    <w:tmpl w:val="512E6819"/>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3414A3"/>
    <w:rsid w:val="00515A0C"/>
    <w:rsid w:val="00866E99"/>
    <w:rsid w:val="00F46721"/>
    <w:rsid w:val="05D67331"/>
    <w:rsid w:val="07C73508"/>
    <w:rsid w:val="09B61269"/>
    <w:rsid w:val="0A65029C"/>
    <w:rsid w:val="0EDB478C"/>
    <w:rsid w:val="0FE912C9"/>
    <w:rsid w:val="17AF0C07"/>
    <w:rsid w:val="1BCC5585"/>
    <w:rsid w:val="1C8A18A3"/>
    <w:rsid w:val="1E77318B"/>
    <w:rsid w:val="236D292E"/>
    <w:rsid w:val="239D4702"/>
    <w:rsid w:val="25D565A0"/>
    <w:rsid w:val="262A3AAC"/>
    <w:rsid w:val="291C455A"/>
    <w:rsid w:val="2A0F431D"/>
    <w:rsid w:val="2B20324F"/>
    <w:rsid w:val="2B226752"/>
    <w:rsid w:val="2EFA4957"/>
    <w:rsid w:val="31AF2660"/>
    <w:rsid w:val="32751BBC"/>
    <w:rsid w:val="34DA7B23"/>
    <w:rsid w:val="36926D0C"/>
    <w:rsid w:val="3DAC0833"/>
    <w:rsid w:val="414E51B4"/>
    <w:rsid w:val="45E44A0A"/>
    <w:rsid w:val="4A247CD5"/>
    <w:rsid w:val="4DAF2BCF"/>
    <w:rsid w:val="4DDB6F66"/>
    <w:rsid w:val="58BC728D"/>
    <w:rsid w:val="5BAA7871"/>
    <w:rsid w:val="5C254185"/>
    <w:rsid w:val="5FA93971"/>
    <w:rsid w:val="67E46C83"/>
    <w:rsid w:val="6BB9504A"/>
    <w:rsid w:val="6DD05A39"/>
    <w:rsid w:val="792F2AEE"/>
    <w:rsid w:val="7B0531C7"/>
    <w:rsid w:val="7E343DD3"/>
    <w:rsid w:val="7FC93EBA"/>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ind w:left="420" w:leftChars="200"/>
    </w:pPr>
  </w:style>
  <w:style w:type="paragraph" w:styleId="4">
    <w:name w:val="Salutation"/>
    <w:basedOn w:val="1"/>
    <w:next w:val="1"/>
    <w:semiHidden/>
    <w:unhideWhenUsed/>
    <w:qFormat/>
    <w:uiPriority w:val="99"/>
  </w:style>
  <w:style w:type="paragraph" w:styleId="5">
    <w:name w:val="Body Text"/>
    <w:basedOn w:val="1"/>
    <w:next w:val="1"/>
    <w:qFormat/>
    <w:uiPriority w:val="0"/>
    <w:pPr>
      <w:spacing w:after="120"/>
    </w:pPr>
  </w:style>
  <w:style w:type="paragraph" w:styleId="6">
    <w:name w:val="Plain Text"/>
    <w:basedOn w:val="1"/>
    <w:qFormat/>
    <w:uiPriority w:val="99"/>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1067</Words>
  <Characters>1108</Characters>
  <Lines>6</Lines>
  <Paragraphs>1</Paragraphs>
  <TotalTime>2</TotalTime>
  <ScaleCrop>false</ScaleCrop>
  <LinksUpToDate>false</LinksUpToDate>
  <CharactersWithSpaces>1109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鲁青松</cp:lastModifiedBy>
  <dcterms:modified xsi:type="dcterms:W3CDTF">2026-07-15T07:30:09Z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697CEC44134748A68458670DB3505AF3</vt:lpwstr>
  </property>
  <property fmtid="{D5CDD505-2E9C-101B-9397-08002B2CF9AE}" pid="4" name="KSOTemplateDocerSaveRecord">
    <vt:lpwstr>eyJoZGlkIjoiNmVmZDYwNWM4YTFjNjBmZDkxNzljNWRhNGY4Y2E4ZDQiLCJ1c2VySWQiOiIxNjU3MzQ5OTUzIn0=</vt:lpwstr>
  </property>
</Properties>
</file>