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8D545">
      <w:pPr>
        <w:spacing w:line="600" w:lineRule="exact"/>
        <w:jc w:val="center"/>
        <w:outlineLvl w:val="0"/>
        <w:rPr>
          <w:rFonts w:ascii="方正小标宋简体" w:hAnsi="宋体" w:eastAsia="方正小标宋简体"/>
          <w:color w:val="000000"/>
          <w:sz w:val="72"/>
          <w:szCs w:val="72"/>
        </w:rPr>
      </w:pPr>
      <w:bookmarkStart w:id="0" w:name="_Toc15306267"/>
    </w:p>
    <w:p w14:paraId="6315C4CA">
      <w:pPr>
        <w:spacing w:line="600" w:lineRule="exact"/>
        <w:jc w:val="center"/>
        <w:outlineLvl w:val="0"/>
        <w:rPr>
          <w:rFonts w:ascii="方正小标宋简体" w:hAnsi="宋体" w:eastAsia="方正小标宋简体"/>
          <w:color w:val="000000"/>
          <w:sz w:val="72"/>
          <w:szCs w:val="72"/>
        </w:rPr>
      </w:pPr>
    </w:p>
    <w:p w14:paraId="6C3DAB9E">
      <w:pPr>
        <w:spacing w:line="600" w:lineRule="exact"/>
        <w:jc w:val="center"/>
        <w:outlineLvl w:val="0"/>
        <w:rPr>
          <w:rFonts w:ascii="方正小标宋简体" w:hAnsi="宋体" w:eastAsia="方正小标宋简体"/>
          <w:color w:val="000000"/>
          <w:sz w:val="72"/>
          <w:szCs w:val="72"/>
        </w:rPr>
      </w:pPr>
    </w:p>
    <w:p w14:paraId="627B9116">
      <w:pPr>
        <w:spacing w:line="600" w:lineRule="exact"/>
        <w:jc w:val="center"/>
        <w:outlineLvl w:val="0"/>
        <w:rPr>
          <w:rFonts w:ascii="方正小标宋简体" w:hAnsi="宋体" w:eastAsia="方正小标宋简体"/>
          <w:color w:val="000000"/>
          <w:sz w:val="72"/>
          <w:szCs w:val="72"/>
        </w:rPr>
      </w:pPr>
    </w:p>
    <w:p w14:paraId="32EAEBC9">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77425"/>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4C437A8F">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194"/>
      <w:bookmarkStart w:id="8" w:name="_Toc15396598"/>
      <w:bookmarkStart w:id="9" w:name="_Toc15396476"/>
      <w:bookmarkStart w:id="10" w:name="_Toc15377426"/>
      <w:bookmarkStart w:id="11" w:name="_Toc15306268"/>
      <w:r>
        <w:rPr>
          <w:rFonts w:hint="eastAsia" w:ascii="方正小标宋简体" w:hAnsi="宋体" w:eastAsia="方正小标宋简体"/>
          <w:color w:val="000000"/>
          <w:sz w:val="72"/>
          <w:szCs w:val="72"/>
          <w:lang w:eastAsia="zh-CN"/>
        </w:rPr>
        <w:t>攀枝花市仁和区前进镇卫生院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11A3998B">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3AB2F073">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53414109">
      <w:pPr>
        <w:jc w:val="left"/>
      </w:pPr>
    </w:p>
    <w:p w14:paraId="678AA044">
      <w:pPr>
        <w:pStyle w:val="10"/>
        <w:jc w:val="left"/>
        <w:rPr>
          <w:rFonts w:cstheme="minorBidi"/>
        </w:rPr>
      </w:pPr>
      <w:r>
        <w:fldChar w:fldCharType="begin"/>
      </w:r>
      <w:r>
        <w:instrText xml:space="preserve"> HYPERLINK \l "_Toc15396599" </w:instrText>
      </w:r>
      <w:r>
        <w:fldChar w:fldCharType="separate"/>
      </w:r>
      <w:r>
        <w:rPr>
          <w:rStyle w:val="16"/>
          <w:rFonts w:hint="eastAsia"/>
        </w:rPr>
        <w:t>第一部分部门概况</w:t>
      </w:r>
      <w:r>
        <w:rPr>
          <w:rFonts w:hint="eastAsia"/>
        </w:rPr>
        <w:fldChar w:fldCharType="end"/>
      </w:r>
    </w:p>
    <w:p w14:paraId="2CDB94C4">
      <w:pPr>
        <w:pStyle w:val="11"/>
        <w:jc w:val="left"/>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hint="eastAsia" w:ascii="仿宋" w:hAnsi="仿宋" w:eastAsia="仿宋"/>
          <w:sz w:val="28"/>
          <w:szCs w:val="28"/>
        </w:rPr>
        <w:fldChar w:fldCharType="end"/>
      </w:r>
    </w:p>
    <w:p w14:paraId="70209F0B">
      <w:pPr>
        <w:pStyle w:val="11"/>
        <w:jc w:val="left"/>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fldChar w:fldCharType="end"/>
      </w:r>
    </w:p>
    <w:p w14:paraId="2537091C">
      <w:pPr>
        <w:pStyle w:val="10"/>
        <w:jc w:val="left"/>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fldChar w:fldCharType="end"/>
      </w:r>
    </w:p>
    <w:p w14:paraId="57B472F5">
      <w:pPr>
        <w:pStyle w:val="11"/>
        <w:jc w:val="left"/>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fldChar w:fldCharType="end"/>
      </w:r>
    </w:p>
    <w:p w14:paraId="1B141EA0">
      <w:pPr>
        <w:pStyle w:val="11"/>
        <w:jc w:val="left"/>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fldChar w:fldCharType="end"/>
      </w:r>
    </w:p>
    <w:p w14:paraId="35ACC43D">
      <w:pPr>
        <w:pStyle w:val="11"/>
        <w:jc w:val="left"/>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fldChar w:fldCharType="end"/>
      </w:r>
    </w:p>
    <w:p w14:paraId="6AE16996">
      <w:pPr>
        <w:pStyle w:val="11"/>
        <w:jc w:val="left"/>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fldChar w:fldCharType="end"/>
      </w:r>
    </w:p>
    <w:p w14:paraId="619F552F">
      <w:pPr>
        <w:pStyle w:val="11"/>
        <w:jc w:val="left"/>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fldChar w:fldCharType="end"/>
      </w:r>
    </w:p>
    <w:p w14:paraId="02A9F109">
      <w:pPr>
        <w:pStyle w:val="11"/>
        <w:jc w:val="left"/>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fldChar w:fldCharType="end"/>
      </w:r>
    </w:p>
    <w:p w14:paraId="15AC5792">
      <w:pPr>
        <w:pStyle w:val="11"/>
        <w:jc w:val="left"/>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fldChar w:fldCharType="end"/>
      </w:r>
    </w:p>
    <w:p w14:paraId="7BC50C46">
      <w:pPr>
        <w:pStyle w:val="11"/>
        <w:jc w:val="left"/>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fldChar w:fldCharType="end"/>
      </w:r>
    </w:p>
    <w:p w14:paraId="3107699D">
      <w:pPr>
        <w:pStyle w:val="11"/>
        <w:jc w:val="left"/>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fldChar w:fldCharType="end"/>
      </w:r>
    </w:p>
    <w:p w14:paraId="63EB6EE9">
      <w:pPr>
        <w:pStyle w:val="11"/>
        <w:jc w:val="left"/>
        <w:rPr>
          <w:rFonts w:ascii="仿宋" w:hAnsi="仿宋" w:eastAsia="仿宋" w:cstheme="minorBidi"/>
          <w:sz w:val="28"/>
          <w:szCs w:val="28"/>
        </w:rPr>
      </w:pPr>
      <w:r>
        <w:rPr>
          <w:rStyle w:val="16"/>
          <w:rFonts w:hint="eastAsia" w:ascii="仿宋" w:hAnsi="仿宋" w:eastAsia="仿宋" w:cstheme="majorBidi"/>
          <w:bCs/>
          <w:sz w:val="28"/>
          <w:szCs w:val="28"/>
          <w:lang w:eastAsia="zh-CN"/>
        </w:rPr>
        <w:t>十、</w:t>
      </w:r>
      <w:r>
        <w:fldChar w:fldCharType="begin"/>
      </w:r>
      <w:r>
        <w:instrText xml:space="preserve"> HYPERLINK \l "_Toc15396612" </w:instrText>
      </w:r>
      <w:r>
        <w:fldChar w:fldCharType="separate"/>
      </w:r>
      <w:r>
        <w:rPr>
          <w:rStyle w:val="16"/>
          <w:rFonts w:hint="eastAsia" w:ascii="仿宋" w:hAnsi="仿宋" w:eastAsia="仿宋" w:cstheme="majorBidi"/>
          <w:bCs/>
          <w:sz w:val="28"/>
          <w:szCs w:val="28"/>
        </w:rPr>
        <w:t>其他重要事项的情况说明</w:t>
      </w:r>
      <w:r>
        <w:rPr>
          <w:rFonts w:ascii="仿宋" w:hAnsi="仿宋" w:eastAsia="仿宋"/>
          <w:sz w:val="28"/>
          <w:szCs w:val="28"/>
        </w:rPr>
        <w:fldChar w:fldCharType="end"/>
      </w:r>
    </w:p>
    <w:p w14:paraId="14B943F6">
      <w:pPr>
        <w:pStyle w:val="10"/>
        <w:jc w:val="left"/>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fldChar w:fldCharType="end"/>
      </w:r>
    </w:p>
    <w:p w14:paraId="569E3C07">
      <w:pPr>
        <w:pStyle w:val="10"/>
        <w:jc w:val="left"/>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fldChar w:fldCharType="end"/>
      </w:r>
    </w:p>
    <w:p w14:paraId="5EE0FE48">
      <w:pPr>
        <w:pStyle w:val="11"/>
        <w:jc w:val="left"/>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fldChar w:fldCharType="end"/>
      </w:r>
    </w:p>
    <w:p w14:paraId="20CA0139">
      <w:pPr>
        <w:pStyle w:val="10"/>
        <w:jc w:val="left"/>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fldChar w:fldCharType="end"/>
      </w:r>
    </w:p>
    <w:p w14:paraId="0ADFC85C">
      <w:pPr>
        <w:pStyle w:val="11"/>
        <w:jc w:val="left"/>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fldChar w:fldCharType="end"/>
      </w:r>
    </w:p>
    <w:p w14:paraId="3EE5F4F6">
      <w:pPr>
        <w:pStyle w:val="11"/>
        <w:jc w:val="left"/>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fldChar w:fldCharType="end"/>
      </w:r>
    </w:p>
    <w:p w14:paraId="03465407">
      <w:pPr>
        <w:pStyle w:val="11"/>
        <w:jc w:val="left"/>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fldChar w:fldCharType="end"/>
      </w:r>
    </w:p>
    <w:p w14:paraId="56F25CDA">
      <w:pPr>
        <w:pStyle w:val="11"/>
        <w:jc w:val="left"/>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fldChar w:fldCharType="end"/>
      </w:r>
    </w:p>
    <w:p w14:paraId="2A23FFE8">
      <w:pPr>
        <w:pStyle w:val="11"/>
        <w:jc w:val="left"/>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fldChar w:fldCharType="end"/>
      </w:r>
    </w:p>
    <w:p w14:paraId="23F39CAE">
      <w:pPr>
        <w:pStyle w:val="11"/>
        <w:jc w:val="left"/>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fldChar w:fldCharType="end"/>
      </w:r>
    </w:p>
    <w:p w14:paraId="72AFC65B">
      <w:pPr>
        <w:pStyle w:val="11"/>
        <w:jc w:val="left"/>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fldChar w:fldCharType="end"/>
      </w:r>
    </w:p>
    <w:p w14:paraId="294DBB95">
      <w:pPr>
        <w:pStyle w:val="11"/>
        <w:jc w:val="left"/>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fldChar w:fldCharType="end"/>
      </w:r>
    </w:p>
    <w:p w14:paraId="58F8749F">
      <w:pPr>
        <w:pStyle w:val="11"/>
        <w:jc w:val="left"/>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fldChar w:fldCharType="end"/>
      </w:r>
    </w:p>
    <w:p w14:paraId="71F4A20B">
      <w:pPr>
        <w:pStyle w:val="11"/>
        <w:jc w:val="left"/>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fldChar w:fldCharType="end"/>
      </w:r>
    </w:p>
    <w:p w14:paraId="2CDB90D2">
      <w:pPr>
        <w:pStyle w:val="11"/>
        <w:jc w:val="left"/>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fldChar w:fldCharType="end"/>
      </w:r>
    </w:p>
    <w:p w14:paraId="0CF36F58">
      <w:pPr>
        <w:pStyle w:val="11"/>
        <w:jc w:val="left"/>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fldChar w:fldCharType="end"/>
      </w:r>
    </w:p>
    <w:p w14:paraId="0D11D767">
      <w:pPr>
        <w:pStyle w:val="11"/>
        <w:jc w:val="left"/>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fldChar w:fldCharType="end"/>
      </w:r>
    </w:p>
    <w:p w14:paraId="3F6FA10A">
      <w:pPr>
        <w:widowControl/>
        <w:jc w:val="left"/>
        <w:rPr>
          <w:rFonts w:ascii="仿宋" w:hAnsi="仿宋" w:eastAsia="仿宋"/>
          <w:color w:val="000000"/>
          <w:sz w:val="24"/>
        </w:rPr>
      </w:pPr>
      <w:r>
        <w:rPr>
          <w:rFonts w:ascii="仿宋" w:hAnsi="仿宋" w:eastAsia="仿宋"/>
          <w:color w:val="000000"/>
          <w:sz w:val="24"/>
        </w:rPr>
        <w:fldChar w:fldCharType="end"/>
      </w:r>
    </w:p>
    <w:p w14:paraId="23400C31">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02F19F90">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7ECD2C88">
      <w:pPr>
        <w:widowControl/>
        <w:jc w:val="left"/>
        <w:rPr>
          <w:rFonts w:ascii="黑体" w:eastAsia="黑体"/>
          <w:color w:val="000000"/>
          <w:sz w:val="32"/>
          <w:szCs w:val="32"/>
        </w:rPr>
      </w:pPr>
    </w:p>
    <w:p w14:paraId="18133D7D">
      <w:pPr>
        <w:spacing w:line="600" w:lineRule="exact"/>
        <w:ind w:firstLine="602" w:firstLineChars="200"/>
        <w:rPr>
          <w:rFonts w:hint="eastAsia" w:ascii="仿宋_GB2312" w:hAnsi="仿宋_GB2312" w:eastAsia="仿宋_GB2312" w:cs="仿宋_GB2312"/>
          <w:b/>
          <w:bCs/>
          <w:color w:val="000000"/>
          <w:sz w:val="30"/>
          <w:szCs w:val="30"/>
        </w:rPr>
      </w:pPr>
      <w:bookmarkStart w:id="14" w:name="_Toc15377197"/>
      <w:bookmarkStart w:id="15" w:name="_Toc15396600"/>
      <w:r>
        <w:rPr>
          <w:rFonts w:hint="eastAsia" w:ascii="仿宋_GB2312" w:hAnsi="仿宋_GB2312" w:eastAsia="仿宋_GB2312" w:cs="仿宋_GB2312"/>
          <w:b/>
          <w:bCs/>
          <w:color w:val="000000"/>
          <w:sz w:val="30"/>
          <w:szCs w:val="30"/>
        </w:rPr>
        <w:t>一、基本职能及主要工作</w:t>
      </w:r>
    </w:p>
    <w:p w14:paraId="7E9795E8">
      <w:pPr>
        <w:pStyle w:val="5"/>
        <w:adjustRightInd w:val="0"/>
        <w:snapToGrid w:val="0"/>
        <w:spacing w:line="600" w:lineRule="exact"/>
        <w:ind w:firstLine="632" w:firstLineChars="210"/>
        <w:rPr>
          <w:rFonts w:hint="eastAsia" w:ascii="仿宋_GB2312" w:hAnsi="仿宋_GB2312" w:eastAsia="仿宋_GB2312" w:cs="仿宋_GB2312"/>
          <w:b/>
          <w:bCs w:val="0"/>
          <w:color w:val="000000"/>
          <w:sz w:val="30"/>
          <w:szCs w:val="30"/>
        </w:rPr>
      </w:pPr>
      <w:r>
        <w:rPr>
          <w:rFonts w:hint="eastAsia" w:ascii="仿宋_GB2312" w:hAnsi="仿宋_GB2312" w:eastAsia="仿宋_GB2312" w:cs="仿宋_GB2312"/>
          <w:b/>
          <w:bCs w:val="0"/>
          <w:color w:val="000000"/>
          <w:sz w:val="30"/>
          <w:szCs w:val="30"/>
        </w:rPr>
        <w:t>（一）主要职能</w:t>
      </w:r>
    </w:p>
    <w:p w14:paraId="7A3622C6">
      <w:pPr>
        <w:pStyle w:val="5"/>
        <w:adjustRightInd w:val="0"/>
        <w:snapToGrid w:val="0"/>
        <w:spacing w:line="600" w:lineRule="exact"/>
        <w:ind w:firstLine="632" w:firstLineChars="210"/>
        <w:rPr>
          <w:rFonts w:hint="eastAsia" w:ascii="仿宋_GB2312" w:hAnsi="仿宋_GB2312" w:eastAsia="仿宋_GB2312" w:cs="仿宋_GB2312"/>
          <w:i w:val="0"/>
          <w:caps w:val="0"/>
          <w:color w:val="333333"/>
          <w:spacing w:val="0"/>
          <w:sz w:val="30"/>
          <w:szCs w:val="30"/>
          <w:shd w:val="clear" w:color="auto" w:fill="FFFFFF"/>
          <w:lang w:val="en-US" w:eastAsia="zh-CN"/>
        </w:rPr>
      </w:pPr>
      <w:r>
        <w:rPr>
          <w:rFonts w:hint="eastAsia" w:ascii="仿宋_GB2312" w:hAnsi="仿宋_GB2312" w:eastAsia="仿宋_GB2312" w:cs="仿宋_GB2312"/>
          <w:b/>
          <w:bCs/>
          <w:i w:val="0"/>
          <w:caps w:val="0"/>
          <w:color w:val="333333"/>
          <w:spacing w:val="0"/>
          <w:sz w:val="30"/>
          <w:szCs w:val="30"/>
          <w:shd w:val="clear" w:color="auto" w:fill="FFFFFF"/>
        </w:rPr>
        <w:t>1、</w:t>
      </w:r>
      <w:r>
        <w:rPr>
          <w:rFonts w:hint="eastAsia" w:ascii="仿宋_GB2312" w:hAnsi="仿宋_GB2312" w:eastAsia="仿宋_GB2312" w:cs="仿宋_GB2312"/>
          <w:i w:val="0"/>
          <w:caps w:val="0"/>
          <w:color w:val="333333"/>
          <w:spacing w:val="0"/>
          <w:sz w:val="30"/>
          <w:szCs w:val="30"/>
          <w:shd w:val="clear" w:color="auto" w:fill="FFFFFF"/>
        </w:rPr>
        <w:t>负责</w:t>
      </w:r>
      <w:r>
        <w:rPr>
          <w:rFonts w:hint="eastAsia" w:hAnsi="仿宋_GB2312" w:cs="仿宋_GB2312"/>
          <w:i w:val="0"/>
          <w:caps w:val="0"/>
          <w:color w:val="333333"/>
          <w:spacing w:val="0"/>
          <w:sz w:val="30"/>
          <w:szCs w:val="30"/>
          <w:shd w:val="clear" w:color="auto" w:fill="FFFFFF"/>
          <w:lang w:eastAsia="zh-CN"/>
        </w:rPr>
        <w:t>前进</w:t>
      </w:r>
      <w:r>
        <w:rPr>
          <w:rFonts w:hint="eastAsia" w:ascii="仿宋_GB2312" w:hAnsi="仿宋_GB2312" w:eastAsia="仿宋_GB2312" w:cs="仿宋_GB2312"/>
          <w:i w:val="0"/>
          <w:caps w:val="0"/>
          <w:color w:val="333333"/>
          <w:spacing w:val="0"/>
          <w:sz w:val="30"/>
          <w:szCs w:val="30"/>
          <w:shd w:val="clear" w:color="auto" w:fill="FFFFFF"/>
          <w:lang w:eastAsia="zh-CN"/>
        </w:rPr>
        <w:t>镇</w:t>
      </w:r>
      <w:r>
        <w:rPr>
          <w:rFonts w:hint="eastAsia" w:ascii="仿宋_GB2312" w:hAnsi="仿宋_GB2312" w:eastAsia="仿宋_GB2312" w:cs="仿宋_GB2312"/>
          <w:i w:val="0"/>
          <w:caps w:val="0"/>
          <w:color w:val="333333"/>
          <w:spacing w:val="0"/>
          <w:sz w:val="30"/>
          <w:szCs w:val="30"/>
          <w:shd w:val="clear" w:color="auto" w:fill="FFFFFF"/>
        </w:rPr>
        <w:t>的卫生工作法律、法规、政策的贯彻，卫生事业发展规划和工作计划的制订，社会公共卫生工作的组织和实施</w:t>
      </w:r>
      <w:r>
        <w:rPr>
          <w:rFonts w:hint="eastAsia" w:ascii="仿宋_GB2312" w:hAnsi="仿宋_GB2312" w:eastAsia="仿宋_GB2312" w:cs="仿宋_GB2312"/>
          <w:i w:val="0"/>
          <w:caps w:val="0"/>
          <w:color w:val="333333"/>
          <w:spacing w:val="0"/>
          <w:sz w:val="30"/>
          <w:szCs w:val="30"/>
          <w:shd w:val="clear" w:color="auto" w:fill="FFFFFF"/>
          <w:lang w:eastAsia="zh-CN"/>
        </w:rPr>
        <w:t>；</w:t>
      </w:r>
      <w:r>
        <w:rPr>
          <w:rFonts w:hint="eastAsia" w:ascii="仿宋_GB2312" w:hAnsi="仿宋_GB2312" w:eastAsia="仿宋_GB2312" w:cs="仿宋_GB2312"/>
          <w:b/>
          <w:bCs/>
          <w:i w:val="0"/>
          <w:caps w:val="0"/>
          <w:color w:val="333333"/>
          <w:spacing w:val="0"/>
          <w:sz w:val="30"/>
          <w:szCs w:val="30"/>
          <w:shd w:val="clear" w:color="auto" w:fill="FFFFFF"/>
        </w:rPr>
        <w:t>2、</w:t>
      </w:r>
      <w:r>
        <w:rPr>
          <w:rFonts w:hint="eastAsia" w:ascii="仿宋_GB2312" w:hAnsi="仿宋_GB2312" w:eastAsia="仿宋_GB2312" w:cs="仿宋_GB2312"/>
          <w:i w:val="0"/>
          <w:caps w:val="0"/>
          <w:color w:val="333333"/>
          <w:spacing w:val="0"/>
          <w:sz w:val="30"/>
          <w:szCs w:val="30"/>
          <w:shd w:val="clear" w:color="auto" w:fill="FFFFFF"/>
        </w:rPr>
        <w:t>负责本乡镇的基本医疗服务</w:t>
      </w:r>
      <w:r>
        <w:rPr>
          <w:rFonts w:hint="eastAsia" w:ascii="仿宋_GB2312" w:hAnsi="仿宋_GB2312" w:eastAsia="仿宋_GB2312" w:cs="仿宋_GB2312"/>
          <w:i w:val="0"/>
          <w:caps w:val="0"/>
          <w:color w:val="333333"/>
          <w:spacing w:val="0"/>
          <w:sz w:val="30"/>
          <w:szCs w:val="30"/>
          <w:shd w:val="clear" w:color="auto" w:fill="FFFFFF"/>
          <w:lang w:eastAsia="zh-CN"/>
        </w:rPr>
        <w:t>、基本公共卫生服务、卫生监督协管服务、卫生行政管理职能</w:t>
      </w:r>
      <w:r>
        <w:rPr>
          <w:rFonts w:hint="eastAsia" w:ascii="仿宋_GB2312" w:hAnsi="仿宋_GB2312" w:eastAsia="仿宋_GB2312" w:cs="仿宋_GB2312"/>
          <w:i w:val="0"/>
          <w:caps w:val="0"/>
          <w:color w:val="333333"/>
          <w:spacing w:val="0"/>
          <w:sz w:val="30"/>
          <w:szCs w:val="30"/>
          <w:shd w:val="clear" w:color="auto" w:fill="FFFFFF"/>
        </w:rPr>
        <w:t>；</w:t>
      </w:r>
      <w:r>
        <w:rPr>
          <w:rFonts w:hint="eastAsia" w:ascii="仿宋_GB2312" w:hAnsi="仿宋_GB2312" w:eastAsia="仿宋_GB2312" w:cs="仿宋_GB2312"/>
          <w:b/>
          <w:bCs/>
          <w:i w:val="0"/>
          <w:caps w:val="0"/>
          <w:color w:val="333333"/>
          <w:spacing w:val="0"/>
          <w:sz w:val="30"/>
          <w:szCs w:val="30"/>
          <w:shd w:val="clear" w:color="auto" w:fill="FFFFFF"/>
        </w:rPr>
        <w:t>3、</w:t>
      </w:r>
      <w:r>
        <w:rPr>
          <w:rFonts w:hint="eastAsia" w:ascii="仿宋_GB2312" w:hAnsi="仿宋_GB2312" w:eastAsia="仿宋_GB2312" w:cs="仿宋_GB2312"/>
          <w:i w:val="0"/>
          <w:caps w:val="0"/>
          <w:color w:val="333333"/>
          <w:spacing w:val="0"/>
          <w:sz w:val="30"/>
          <w:szCs w:val="30"/>
          <w:shd w:val="clear" w:color="auto" w:fill="FFFFFF"/>
        </w:rPr>
        <w:t>负责本乡镇突发公共卫生事件的报告，并依据上级部门要求组织实施处置；</w:t>
      </w:r>
      <w:r>
        <w:rPr>
          <w:rFonts w:hint="eastAsia" w:ascii="仿宋_GB2312" w:hAnsi="仿宋_GB2312" w:eastAsia="仿宋_GB2312" w:cs="仿宋_GB2312"/>
          <w:b/>
          <w:bCs/>
          <w:i w:val="0"/>
          <w:caps w:val="0"/>
          <w:color w:val="333333"/>
          <w:spacing w:val="0"/>
          <w:sz w:val="30"/>
          <w:szCs w:val="30"/>
          <w:shd w:val="clear" w:color="auto" w:fill="FFFFFF"/>
        </w:rPr>
        <w:t>4、</w:t>
      </w:r>
      <w:r>
        <w:rPr>
          <w:rFonts w:hint="eastAsia" w:ascii="仿宋_GB2312" w:hAnsi="仿宋_GB2312" w:eastAsia="仿宋_GB2312" w:cs="仿宋_GB2312"/>
          <w:i w:val="0"/>
          <w:caps w:val="0"/>
          <w:color w:val="333333"/>
          <w:spacing w:val="0"/>
          <w:sz w:val="30"/>
          <w:szCs w:val="30"/>
          <w:shd w:val="clear" w:color="auto" w:fill="FFFFFF"/>
        </w:rPr>
        <w:t>负责本乡镇辖区内的卫生信息统计、分析、上报；</w:t>
      </w:r>
      <w:r>
        <w:rPr>
          <w:rFonts w:hint="eastAsia" w:ascii="仿宋_GB2312" w:hAnsi="仿宋_GB2312" w:eastAsia="仿宋_GB2312" w:cs="仿宋_GB2312"/>
          <w:b/>
          <w:bCs/>
          <w:i w:val="0"/>
          <w:caps w:val="0"/>
          <w:color w:val="333333"/>
          <w:spacing w:val="0"/>
          <w:sz w:val="30"/>
          <w:szCs w:val="30"/>
          <w:shd w:val="clear" w:color="auto" w:fill="FFFFFF"/>
        </w:rPr>
        <w:t>5、</w:t>
      </w:r>
      <w:r>
        <w:rPr>
          <w:rFonts w:hint="eastAsia" w:ascii="仿宋_GB2312" w:hAnsi="仿宋_GB2312" w:eastAsia="仿宋_GB2312" w:cs="仿宋_GB2312"/>
          <w:i w:val="0"/>
          <w:caps w:val="0"/>
          <w:color w:val="333333"/>
          <w:spacing w:val="0"/>
          <w:sz w:val="30"/>
          <w:szCs w:val="30"/>
          <w:shd w:val="clear" w:color="auto" w:fill="FFFFFF"/>
        </w:rPr>
        <w:t>负责对本乡镇辖区内村级卫生组织和乡村医生的业务指导和培训；</w:t>
      </w:r>
      <w:r>
        <w:rPr>
          <w:rFonts w:hint="eastAsia" w:ascii="仿宋_GB2312" w:hAnsi="仿宋_GB2312" w:eastAsia="仿宋_GB2312" w:cs="仿宋_GB2312"/>
          <w:b/>
          <w:bCs/>
          <w:i w:val="0"/>
          <w:caps w:val="0"/>
          <w:color w:val="333333"/>
          <w:spacing w:val="0"/>
          <w:sz w:val="30"/>
          <w:szCs w:val="30"/>
          <w:shd w:val="clear" w:color="auto" w:fill="FFFFFF"/>
        </w:rPr>
        <w:t>6、</w:t>
      </w:r>
      <w:r>
        <w:rPr>
          <w:rFonts w:hint="eastAsia" w:ascii="仿宋_GB2312" w:hAnsi="仿宋_GB2312" w:eastAsia="仿宋_GB2312" w:cs="仿宋_GB2312"/>
          <w:i w:val="0"/>
          <w:caps w:val="0"/>
          <w:color w:val="333333"/>
          <w:spacing w:val="0"/>
          <w:sz w:val="30"/>
          <w:szCs w:val="30"/>
          <w:shd w:val="clear" w:color="auto" w:fill="FFFFFF"/>
        </w:rPr>
        <w:t>负责承办政府卫生行政部门委托的相关业务或事项；</w:t>
      </w:r>
      <w:r>
        <w:rPr>
          <w:rFonts w:hint="eastAsia" w:ascii="仿宋_GB2312" w:hAnsi="仿宋_GB2312" w:eastAsia="仿宋_GB2312" w:cs="仿宋_GB2312"/>
          <w:b/>
          <w:bCs/>
          <w:i w:val="0"/>
          <w:caps w:val="0"/>
          <w:color w:val="333333"/>
          <w:spacing w:val="0"/>
          <w:sz w:val="30"/>
          <w:szCs w:val="30"/>
          <w:shd w:val="clear" w:color="auto" w:fill="FFFFFF"/>
        </w:rPr>
        <w:t>7、</w:t>
      </w:r>
      <w:r>
        <w:rPr>
          <w:rFonts w:hint="eastAsia" w:ascii="仿宋_GB2312" w:hAnsi="仿宋_GB2312" w:eastAsia="仿宋_GB2312" w:cs="仿宋_GB2312"/>
          <w:i w:val="0"/>
          <w:caps w:val="0"/>
          <w:color w:val="333333"/>
          <w:spacing w:val="0"/>
          <w:sz w:val="30"/>
          <w:szCs w:val="30"/>
          <w:shd w:val="clear" w:color="auto" w:fill="FFFFFF"/>
        </w:rPr>
        <w:t>负责上级卫生行政部门下达的其他工作。</w:t>
      </w:r>
      <w:r>
        <w:rPr>
          <w:rFonts w:hint="eastAsia" w:ascii="仿宋_GB2312" w:hAnsi="仿宋_GB2312" w:eastAsia="仿宋_GB2312" w:cs="仿宋_GB2312"/>
          <w:i w:val="0"/>
          <w:caps w:val="0"/>
          <w:color w:val="333333"/>
          <w:spacing w:val="0"/>
          <w:sz w:val="30"/>
          <w:szCs w:val="30"/>
          <w:shd w:val="clear" w:color="auto" w:fill="FFFFFF"/>
          <w:lang w:eastAsia="zh-CN"/>
        </w:rPr>
        <w:t>主要工作是搞好基本公共卫生和基本医疗。</w:t>
      </w:r>
    </w:p>
    <w:p w14:paraId="0592CF74">
      <w:pPr>
        <w:pStyle w:val="5"/>
        <w:adjustRightInd w:val="0"/>
        <w:snapToGrid w:val="0"/>
        <w:spacing w:line="600" w:lineRule="exact"/>
        <w:ind w:firstLine="904" w:firstLineChars="300"/>
        <w:rPr>
          <w:rFonts w:hint="eastAsia" w:ascii="仿宋_GB2312" w:hAnsi="仿宋_GB2312" w:eastAsia="仿宋_GB2312" w:cs="仿宋_GB2312"/>
          <w:b/>
          <w:bCs w:val="0"/>
          <w:color w:val="000000"/>
          <w:sz w:val="30"/>
          <w:szCs w:val="30"/>
        </w:rPr>
      </w:pPr>
      <w:r>
        <w:rPr>
          <w:rFonts w:hint="eastAsia" w:ascii="仿宋_GB2312" w:hAnsi="仿宋_GB2312" w:eastAsia="仿宋_GB2312" w:cs="仿宋_GB2312"/>
          <w:b/>
          <w:bCs w:val="0"/>
          <w:color w:val="000000"/>
          <w:sz w:val="30"/>
          <w:szCs w:val="30"/>
        </w:rPr>
        <w:t>（二）201</w:t>
      </w:r>
      <w:r>
        <w:rPr>
          <w:rFonts w:hint="eastAsia" w:ascii="仿宋_GB2312" w:hAnsi="仿宋_GB2312" w:eastAsia="仿宋_GB2312" w:cs="仿宋_GB2312"/>
          <w:b/>
          <w:bCs w:val="0"/>
          <w:color w:val="000000"/>
          <w:sz w:val="30"/>
          <w:szCs w:val="30"/>
          <w:lang w:val="en-US" w:eastAsia="zh-CN"/>
        </w:rPr>
        <w:t>8</w:t>
      </w:r>
      <w:r>
        <w:rPr>
          <w:rFonts w:hint="eastAsia" w:ascii="仿宋_GB2312" w:hAnsi="仿宋_GB2312" w:eastAsia="仿宋_GB2312" w:cs="仿宋_GB2312"/>
          <w:b/>
          <w:bCs w:val="0"/>
          <w:color w:val="000000"/>
          <w:sz w:val="30"/>
          <w:szCs w:val="30"/>
        </w:rPr>
        <w:t>年重点工作完成情况</w:t>
      </w:r>
    </w:p>
    <w:p w14:paraId="07700564">
      <w:pPr>
        <w:pStyle w:val="5"/>
        <w:adjustRightInd w:val="0"/>
        <w:snapToGrid w:val="0"/>
        <w:spacing w:before="93" w:line="580" w:lineRule="exact"/>
        <w:ind w:firstLine="630" w:firstLineChars="210"/>
        <w:rPr>
          <w:rFonts w:hint="eastAsia" w:ascii="仿宋_GB2312" w:hAnsi="仿宋_GB2312" w:eastAsia="仿宋_GB2312" w:cs="仿宋_GB2312"/>
          <w:i w:val="0"/>
          <w:caps w:val="0"/>
          <w:color w:val="333333"/>
          <w:spacing w:val="0"/>
          <w:sz w:val="30"/>
          <w:szCs w:val="30"/>
          <w:shd w:val="clear" w:color="auto" w:fill="FFFFFF"/>
        </w:rPr>
      </w:pPr>
      <w:r>
        <w:rPr>
          <w:rFonts w:hint="eastAsia" w:ascii="仿宋_GB2312" w:hAnsi="仿宋_GB2312" w:eastAsia="仿宋_GB2312" w:cs="仿宋_GB2312"/>
          <w:i w:val="0"/>
          <w:caps w:val="0"/>
          <w:color w:val="333333"/>
          <w:spacing w:val="0"/>
          <w:sz w:val="30"/>
          <w:szCs w:val="30"/>
          <w:shd w:val="clear" w:color="auto" w:fill="FFFFFF"/>
        </w:rPr>
        <w:t xml:space="preserve">一是全面建立覆盖全乡居民的基本医疗卫生服务制度，使全乡居民人人享有基本医疗保障，人人享有基本公共卫生服务，医疗卫生服务质量、服务效率和群众满意度显著提高，切实解决看病难问题;二是基本建立分工明确、信息互通、资源共享、协调互动的公共卫生服务体系，促进全乡居民享有均等化的基本公共卫生服务;三是基本建立规范有序、结构合理、覆盖全乡的医疗服务体系，为群众提供安全、有效、方便、价廉的基本医疗服务;四是以国家基本药物制度为基础的药品器械供应保障体系进一步规范，确保基本药物安全有效、公平可及、合理使用;五是建立健全支撑卫生事业全面、协调、可持续发展的各项体制机制，有效保障医药卫生体系规范运行;六是加强卫生院硬件设施建设，改造或新建业务用房，使卫生院业务用房布局更加合理化、人性化，将二楼手术室改建为输液大厅，并安装电视等人性化服务设施;七是培养一支留得住、用得上、满足群众健康需求、技术过硬的基础医疗卫生队伍。   </w:t>
      </w:r>
      <w:bookmarkEnd w:id="14"/>
      <w:bookmarkEnd w:id="15"/>
      <w:bookmarkStart w:id="16" w:name="_Toc15377200"/>
      <w:bookmarkStart w:id="17" w:name="_Toc15396601"/>
    </w:p>
    <w:bookmarkEnd w:id="16"/>
    <w:bookmarkEnd w:id="17"/>
    <w:p w14:paraId="6E1BCEF7">
      <w:pPr>
        <w:spacing w:line="600" w:lineRule="exact"/>
        <w:ind w:firstLine="602"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二、部门概况</w:t>
      </w:r>
    </w:p>
    <w:p w14:paraId="320897FA">
      <w:pPr>
        <w:pStyle w:val="12"/>
        <w:keepNext w:val="0"/>
        <w:keepLines w:val="0"/>
        <w:widowControl/>
        <w:suppressLineNumbers w:val="0"/>
        <w:shd w:val="clear" w:color="auto" w:fill="FFFFFF"/>
        <w:spacing w:before="100" w:beforeAutospacing="0" w:after="100" w:afterAutospacing="0" w:line="600" w:lineRule="atLeast"/>
        <w:ind w:left="0" w:right="0" w:firstLine="600"/>
        <w:rPr>
          <w:rFonts w:hint="eastAsia" w:ascii="仿宋_GB2312" w:hAnsi="仿宋_GB2312" w:eastAsia="仿宋_GB2312" w:cs="仿宋_GB2312"/>
          <w:b/>
          <w:bCs/>
          <w:i w:val="0"/>
          <w:caps w:val="0"/>
          <w:color w:val="333333"/>
          <w:spacing w:val="0"/>
          <w:sz w:val="30"/>
          <w:szCs w:val="30"/>
        </w:rPr>
      </w:pPr>
      <w:r>
        <w:rPr>
          <w:rFonts w:hint="eastAsia" w:ascii="仿宋_GB2312" w:hAnsi="仿宋_GB2312" w:eastAsia="仿宋_GB2312" w:cs="仿宋_GB2312"/>
          <w:b/>
          <w:bCs/>
          <w:i w:val="0"/>
          <w:caps w:val="0"/>
          <w:color w:val="333333"/>
          <w:spacing w:val="0"/>
          <w:sz w:val="30"/>
          <w:szCs w:val="30"/>
          <w:shd w:val="clear" w:color="auto" w:fill="FFFFFF"/>
        </w:rPr>
        <w:t>（一）部门决算单位构成</w:t>
      </w:r>
    </w:p>
    <w:p w14:paraId="116BD7D2">
      <w:pPr>
        <w:pStyle w:val="12"/>
        <w:keepNext w:val="0"/>
        <w:keepLines w:val="0"/>
        <w:widowControl/>
        <w:suppressLineNumbers w:val="0"/>
        <w:shd w:val="clear" w:color="auto" w:fill="FFFFFF"/>
        <w:spacing w:before="100" w:beforeAutospacing="0" w:after="100" w:afterAutospacing="0" w:line="600" w:lineRule="atLeast"/>
        <w:ind w:left="0" w:right="0" w:firstLine="600"/>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pPr>
      <w:r>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t>仁和区前进镇卫生院部门2018年度部门决算编报的单位共1个。其中：行政单位0个，事业单位1个，其他单位0个。</w:t>
      </w:r>
    </w:p>
    <w:p w14:paraId="3CEFD93B">
      <w:pPr>
        <w:pStyle w:val="12"/>
        <w:keepNext w:val="0"/>
        <w:keepLines w:val="0"/>
        <w:widowControl/>
        <w:suppressLineNumbers w:val="0"/>
        <w:shd w:val="clear" w:color="auto" w:fill="FFFFFF"/>
        <w:spacing w:before="100" w:beforeAutospacing="0" w:after="100" w:afterAutospacing="0" w:line="378" w:lineRule="atLeast"/>
        <w:ind w:left="0" w:right="0" w:firstLine="600"/>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pPr>
      <w:r>
        <w:rPr>
          <w:rFonts w:hint="eastAsia" w:ascii="仿宋_GB2312" w:hAnsi="仿宋_GB2312" w:eastAsia="仿宋_GB2312" w:cs="仿宋_GB2312"/>
          <w:b/>
          <w:bCs/>
          <w:i w:val="0"/>
          <w:caps w:val="0"/>
          <w:color w:val="333333"/>
          <w:spacing w:val="0"/>
          <w:kern w:val="2"/>
          <w:sz w:val="30"/>
          <w:szCs w:val="30"/>
          <w:shd w:val="clear" w:color="auto" w:fill="FFFFFF"/>
          <w:lang w:val="en-US" w:eastAsia="zh-CN" w:bidi="ar-SA"/>
        </w:rPr>
        <w:t>（二）部门人员和车辆的编制及实有情况</w:t>
      </w:r>
      <w:r>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t> </w:t>
      </w:r>
    </w:p>
    <w:p w14:paraId="76082528">
      <w:pPr>
        <w:pStyle w:val="12"/>
        <w:keepNext w:val="0"/>
        <w:keepLines w:val="0"/>
        <w:widowControl/>
        <w:suppressLineNumbers w:val="0"/>
        <w:shd w:val="clear" w:color="auto" w:fill="FFFFFF"/>
        <w:spacing w:before="100" w:beforeAutospacing="0" w:after="100" w:afterAutospacing="0" w:line="600" w:lineRule="atLeast"/>
        <w:ind w:left="0" w:right="0" w:firstLine="600"/>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pPr>
      <w:r>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t>仁和区前进镇卫生院部门2018年末实有在岗人员20人。其中：事业编制12人，临聘人员8人。</w:t>
      </w:r>
    </w:p>
    <w:p w14:paraId="07304C58">
      <w:pPr>
        <w:pStyle w:val="12"/>
        <w:keepNext w:val="0"/>
        <w:keepLines w:val="0"/>
        <w:widowControl/>
        <w:suppressLineNumbers w:val="0"/>
        <w:shd w:val="clear" w:color="auto" w:fill="FFFFFF"/>
        <w:spacing w:before="100" w:beforeAutospacing="0" w:after="100" w:afterAutospacing="0" w:line="600" w:lineRule="atLeast"/>
        <w:ind w:left="0" w:right="0" w:firstLine="600"/>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pPr>
      <w:r>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t>离退休人员3人。其中：离休0人，退休3人。</w:t>
      </w:r>
    </w:p>
    <w:p w14:paraId="281A7298">
      <w:pPr>
        <w:pStyle w:val="12"/>
        <w:keepNext w:val="0"/>
        <w:keepLines w:val="0"/>
        <w:widowControl/>
        <w:suppressLineNumbers w:val="0"/>
        <w:shd w:val="clear" w:color="auto" w:fill="FFFFFF"/>
        <w:spacing w:before="100" w:beforeAutospacing="0" w:after="100" w:afterAutospacing="0" w:line="600" w:lineRule="atLeast"/>
        <w:ind w:left="0" w:right="0" w:firstLine="600"/>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pPr>
      <w:r>
        <w:rPr>
          <w:rFonts w:hint="eastAsia" w:ascii="仿宋_GB2312" w:hAnsi="仿宋_GB2312" w:eastAsia="仿宋_GB2312" w:cs="仿宋_GB2312"/>
          <w:i w:val="0"/>
          <w:caps w:val="0"/>
          <w:color w:val="333333"/>
          <w:spacing w:val="0"/>
          <w:kern w:val="2"/>
          <w:sz w:val="30"/>
          <w:szCs w:val="30"/>
          <w:shd w:val="clear" w:color="auto" w:fill="FFFFFF"/>
          <w:lang w:val="en-US" w:eastAsia="zh-CN" w:bidi="ar-SA"/>
        </w:rPr>
        <w:t>实有车辆2辆。其中救护车一辆，奥拓车一辆。</w:t>
      </w:r>
    </w:p>
    <w:p w14:paraId="5DEB04B5">
      <w:pPr>
        <w:ind w:firstLine="320" w:firstLineChars="100"/>
        <w:rPr>
          <w:rFonts w:ascii="仿宋" w:hAnsi="仿宋" w:eastAsia="仿宋"/>
          <w:sz w:val="32"/>
          <w:szCs w:val="32"/>
        </w:rPr>
      </w:pPr>
      <w:r>
        <w:rPr>
          <w:rFonts w:ascii="仿宋" w:hAnsi="仿宋" w:eastAsia="仿宋"/>
          <w:color w:val="000000"/>
          <w:sz w:val="32"/>
          <w:szCs w:val="32"/>
        </w:rPr>
        <w:br w:type="page"/>
      </w:r>
    </w:p>
    <w:p w14:paraId="118DF022">
      <w:pPr>
        <w:pStyle w:val="2"/>
        <w:ind w:right="440"/>
        <w:jc w:val="right"/>
        <w:rPr>
          <w:rStyle w:val="25"/>
          <w:rFonts w:ascii="黑体" w:hAnsi="黑体" w:eastAsia="黑体"/>
          <w:b w:val="0"/>
          <w:bCs w:val="0"/>
        </w:rPr>
      </w:pPr>
      <w:bookmarkStart w:id="18" w:name="_Toc15377204"/>
      <w:bookmarkStart w:id="19" w:name="_Toc15396602"/>
      <w:r>
        <w:rPr>
          <w:rFonts w:hint="eastAsia" w:ascii="黑体" w:hAnsi="黑体" w:eastAsia="黑体"/>
          <w:b w:val="0"/>
          <w:color w:val="000000"/>
        </w:rPr>
        <w:t>第二部分</w:t>
      </w:r>
      <w:r>
        <w:rPr>
          <w:rStyle w:val="25"/>
          <w:rFonts w:hint="eastAsia" w:ascii="黑体" w:hAnsi="黑体" w:eastAsia="黑体"/>
          <w:b w:val="0"/>
          <w:bCs w:val="0"/>
        </w:rPr>
        <w:t>2018年度部门决算情况说明</w:t>
      </w:r>
      <w:bookmarkEnd w:id="18"/>
      <w:bookmarkEnd w:id="19"/>
    </w:p>
    <w:p w14:paraId="332FDB22"/>
    <w:p w14:paraId="7EE07AB6">
      <w:pPr>
        <w:pStyle w:val="24"/>
        <w:numPr>
          <w:ilvl w:val="0"/>
          <w:numId w:val="1"/>
        </w:numPr>
        <w:spacing w:line="600" w:lineRule="exact"/>
        <w:ind w:firstLineChars="0"/>
        <w:outlineLvl w:val="1"/>
        <w:rPr>
          <w:rStyle w:val="26"/>
          <w:rFonts w:ascii="黑体" w:hAnsi="黑体" w:eastAsia="黑体"/>
          <w:b w:val="0"/>
        </w:rPr>
      </w:pPr>
      <w:bookmarkStart w:id="20" w:name="_Toc15396603"/>
      <w:bookmarkStart w:id="21"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0"/>
      <w:bookmarkEnd w:id="21"/>
    </w:p>
    <w:p w14:paraId="792CD0B9">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年前进镇卫生院本年收入合计3</w:t>
      </w:r>
      <w:r>
        <w:rPr>
          <w:rFonts w:hint="eastAsia" w:ascii="仿宋_GB2312" w:eastAsia="仿宋_GB2312"/>
          <w:color w:val="000000"/>
          <w:sz w:val="32"/>
          <w:szCs w:val="32"/>
          <w:lang w:val="en-US" w:eastAsia="zh-CN"/>
        </w:rPr>
        <w:t>76.5</w:t>
      </w:r>
      <w:r>
        <w:rPr>
          <w:rFonts w:hint="eastAsia" w:ascii="仿宋_GB2312" w:eastAsia="仿宋_GB2312"/>
          <w:color w:val="000000"/>
          <w:sz w:val="32"/>
          <w:szCs w:val="32"/>
        </w:rPr>
        <w:t>万元，其中：</w:t>
      </w:r>
      <w:r>
        <w:rPr>
          <w:rFonts w:hint="eastAsia" w:ascii="仿宋_GB2312" w:eastAsia="仿宋_GB2312"/>
          <w:color w:val="000000"/>
          <w:sz w:val="32"/>
          <w:szCs w:val="32"/>
          <w:shd w:val="pct10" w:color="auto" w:fill="FFFFFF"/>
        </w:rPr>
        <w:t>一般公共预算财政拨款收入</w:t>
      </w:r>
      <w:r>
        <w:rPr>
          <w:rFonts w:hint="eastAsia" w:ascii="仿宋_GB2312" w:eastAsia="仿宋_GB2312"/>
          <w:color w:val="000000"/>
          <w:sz w:val="32"/>
          <w:szCs w:val="32"/>
          <w:shd w:val="pct10" w:color="auto" w:fill="FFFFFF"/>
          <w:lang w:val="en-US" w:eastAsia="zh-CN"/>
        </w:rPr>
        <w:t>279.49</w:t>
      </w:r>
      <w:r>
        <w:rPr>
          <w:rFonts w:hint="eastAsia" w:ascii="仿宋_GB2312" w:eastAsia="仿宋_GB2312"/>
          <w:color w:val="000000"/>
          <w:sz w:val="32"/>
          <w:szCs w:val="32"/>
          <w:shd w:val="pct10" w:color="auto" w:fill="FFFFFF"/>
        </w:rPr>
        <w:t>万元，占</w:t>
      </w:r>
      <w:r>
        <w:rPr>
          <w:rFonts w:hint="eastAsia" w:ascii="仿宋_GB2312" w:eastAsia="仿宋_GB2312"/>
          <w:color w:val="000000"/>
          <w:sz w:val="32"/>
          <w:szCs w:val="32"/>
          <w:shd w:val="pct10" w:color="auto" w:fill="FFFFFF"/>
          <w:lang w:val="en-US" w:eastAsia="zh-CN"/>
        </w:rPr>
        <w:t>74.23</w:t>
      </w:r>
      <w:r>
        <w:rPr>
          <w:rFonts w:hint="eastAsia" w:ascii="仿宋_GB2312" w:eastAsia="仿宋_GB2312"/>
          <w:color w:val="000000"/>
          <w:sz w:val="32"/>
          <w:szCs w:val="32"/>
          <w:shd w:val="pct10" w:color="auto" w:fill="FFFFFF"/>
        </w:rPr>
        <w:t>%；</w:t>
      </w:r>
      <w:r>
        <w:rPr>
          <w:rFonts w:hint="eastAsia" w:ascii="仿宋_GB2312" w:eastAsia="仿宋_GB2312"/>
          <w:color w:val="000000"/>
          <w:sz w:val="32"/>
          <w:szCs w:val="32"/>
        </w:rPr>
        <w:t>事业收入</w:t>
      </w:r>
      <w:r>
        <w:rPr>
          <w:rFonts w:hint="eastAsia" w:ascii="仿宋_GB2312" w:eastAsia="仿宋_GB2312"/>
          <w:color w:val="000000"/>
          <w:sz w:val="32"/>
          <w:szCs w:val="32"/>
          <w:lang w:val="en-US" w:eastAsia="zh-CN"/>
        </w:rPr>
        <w:t>91.16</w:t>
      </w:r>
      <w:r>
        <w:rPr>
          <w:rFonts w:hint="eastAsia" w:ascii="仿宋_GB2312" w:eastAsia="仿宋_GB2312"/>
          <w:color w:val="000000"/>
          <w:sz w:val="32"/>
          <w:szCs w:val="32"/>
        </w:rPr>
        <w:t>万元，占2</w:t>
      </w:r>
      <w:r>
        <w:rPr>
          <w:rFonts w:hint="eastAsia" w:ascii="仿宋_GB2312" w:eastAsia="仿宋_GB2312"/>
          <w:color w:val="000000"/>
          <w:sz w:val="32"/>
          <w:szCs w:val="32"/>
          <w:lang w:val="en-US" w:eastAsia="zh-CN"/>
        </w:rPr>
        <w:t>4.21</w:t>
      </w:r>
      <w:r>
        <w:rPr>
          <w:rFonts w:hint="eastAsia" w:ascii="仿宋_GB2312" w:eastAsia="仿宋_GB2312"/>
          <w:color w:val="000000"/>
          <w:sz w:val="32"/>
          <w:szCs w:val="32"/>
        </w:rPr>
        <w:t>%；其他收入</w:t>
      </w:r>
      <w:r>
        <w:rPr>
          <w:rFonts w:hint="eastAsia" w:ascii="仿宋_GB2312" w:eastAsia="仿宋_GB2312"/>
          <w:color w:val="000000"/>
          <w:sz w:val="32"/>
          <w:szCs w:val="32"/>
          <w:lang w:val="en-US" w:eastAsia="zh-CN"/>
        </w:rPr>
        <w:t>5.85</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1.56</w:t>
      </w:r>
      <w:r>
        <w:rPr>
          <w:rFonts w:hint="eastAsia" w:ascii="仿宋_GB2312" w:eastAsia="仿宋_GB2312"/>
          <w:color w:val="000000"/>
          <w:sz w:val="32"/>
          <w:szCs w:val="32"/>
        </w:rPr>
        <w:t>%。</w:t>
      </w:r>
    </w:p>
    <w:p w14:paraId="7BAC27CA">
      <w:pPr>
        <w:spacing w:line="600" w:lineRule="exact"/>
        <w:ind w:firstLine="420" w:firstLineChars="200"/>
      </w:pPr>
    </w:p>
    <w:p w14:paraId="25113EF5">
      <w:pPr>
        <w:spacing w:line="600" w:lineRule="exact"/>
        <w:ind w:firstLine="420" w:firstLineChars="200"/>
      </w:pPr>
      <w:r>
        <w:drawing>
          <wp:anchor distT="0" distB="0" distL="114300" distR="114300" simplePos="0" relativeHeight="251659264" behindDoc="0" locked="0" layoutInCell="1" allowOverlap="1">
            <wp:simplePos x="0" y="0"/>
            <wp:positionH relativeFrom="column">
              <wp:posOffset>423545</wp:posOffset>
            </wp:positionH>
            <wp:positionV relativeFrom="paragraph">
              <wp:posOffset>128270</wp:posOffset>
            </wp:positionV>
            <wp:extent cx="4269105" cy="2648585"/>
            <wp:effectExtent l="4445" t="5080" r="12700" b="1333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D26DBDC">
      <w:pPr>
        <w:spacing w:line="600" w:lineRule="exact"/>
        <w:rPr>
          <w:rFonts w:hint="eastAsia" w:ascii="仿宋_GB2312" w:eastAsia="仿宋_GB2312"/>
          <w:color w:val="000000"/>
          <w:sz w:val="32"/>
          <w:szCs w:val="32"/>
        </w:rPr>
      </w:pPr>
      <w:r>
        <w:rPr>
          <w:rFonts w:hint="eastAsia"/>
          <w:lang w:val="en-US" w:eastAsia="zh-CN"/>
        </w:rPr>
        <w:t xml:space="preserve">  </w:t>
      </w:r>
    </w:p>
    <w:p w14:paraId="545FBDC4">
      <w:pPr>
        <w:spacing w:line="600" w:lineRule="exact"/>
        <w:ind w:firstLine="960" w:firstLineChars="300"/>
        <w:rPr>
          <w:rFonts w:hint="eastAsia" w:ascii="仿宋_GB2312" w:eastAsia="仿宋_GB2312"/>
          <w:color w:val="000000"/>
          <w:sz w:val="32"/>
          <w:szCs w:val="32"/>
        </w:rPr>
      </w:pPr>
    </w:p>
    <w:p w14:paraId="03E6B3C0">
      <w:pPr>
        <w:spacing w:line="600" w:lineRule="exact"/>
        <w:ind w:firstLine="960" w:firstLineChars="300"/>
        <w:rPr>
          <w:rFonts w:hint="eastAsia" w:ascii="仿宋_GB2312" w:eastAsia="仿宋_GB2312"/>
          <w:color w:val="000000"/>
          <w:sz w:val="32"/>
          <w:szCs w:val="32"/>
        </w:rPr>
      </w:pPr>
    </w:p>
    <w:p w14:paraId="78C403AC">
      <w:pPr>
        <w:spacing w:line="600" w:lineRule="exact"/>
        <w:ind w:firstLine="960" w:firstLineChars="300"/>
        <w:rPr>
          <w:rFonts w:hint="eastAsia" w:ascii="仿宋_GB2312" w:eastAsia="仿宋_GB2312"/>
          <w:color w:val="000000"/>
          <w:sz w:val="32"/>
          <w:szCs w:val="32"/>
        </w:rPr>
      </w:pPr>
    </w:p>
    <w:p w14:paraId="0ADBCDE8">
      <w:pPr>
        <w:spacing w:line="600" w:lineRule="exact"/>
        <w:ind w:firstLine="960" w:firstLineChars="300"/>
        <w:rPr>
          <w:rFonts w:hint="eastAsia" w:ascii="仿宋_GB2312" w:eastAsia="仿宋_GB2312"/>
          <w:color w:val="000000"/>
          <w:sz w:val="32"/>
          <w:szCs w:val="32"/>
        </w:rPr>
      </w:pPr>
    </w:p>
    <w:p w14:paraId="5C5807CB">
      <w:pPr>
        <w:spacing w:line="600" w:lineRule="exact"/>
        <w:ind w:firstLine="960" w:firstLineChars="300"/>
        <w:rPr>
          <w:rFonts w:hint="eastAsia" w:ascii="仿宋_GB2312" w:eastAsia="仿宋_GB2312"/>
          <w:color w:val="000000"/>
          <w:sz w:val="32"/>
          <w:szCs w:val="32"/>
        </w:rPr>
      </w:pPr>
    </w:p>
    <w:p w14:paraId="178C8945">
      <w:pPr>
        <w:spacing w:line="600" w:lineRule="exact"/>
        <w:ind w:firstLine="960" w:firstLineChars="300"/>
        <w:rPr>
          <w:rFonts w:hint="eastAsia" w:ascii="仿宋_GB2312" w:eastAsia="仿宋_GB2312"/>
          <w:color w:val="000000"/>
          <w:sz w:val="32"/>
          <w:szCs w:val="32"/>
        </w:rPr>
      </w:pPr>
    </w:p>
    <w:p w14:paraId="7B7C8B6B">
      <w:pPr>
        <w:spacing w:line="600" w:lineRule="exac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lang w:eastAsia="zh-CN"/>
        </w:rPr>
        <w:t>二、收入决算情况表</w:t>
      </w:r>
    </w:p>
    <w:p w14:paraId="04B47D46">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年前进镇卫生院本年收入合计3</w:t>
      </w:r>
      <w:r>
        <w:rPr>
          <w:rFonts w:hint="eastAsia" w:ascii="仿宋_GB2312" w:eastAsia="仿宋_GB2312"/>
          <w:color w:val="000000"/>
          <w:sz w:val="32"/>
          <w:szCs w:val="32"/>
          <w:lang w:val="en-US" w:eastAsia="zh-CN"/>
        </w:rPr>
        <w:t>76.5</w:t>
      </w:r>
      <w:r>
        <w:rPr>
          <w:rFonts w:hint="eastAsia" w:ascii="仿宋_GB2312" w:eastAsia="仿宋_GB2312"/>
          <w:color w:val="000000"/>
          <w:sz w:val="32"/>
          <w:szCs w:val="32"/>
        </w:rPr>
        <w:t>万元，其中：</w:t>
      </w:r>
      <w:r>
        <w:rPr>
          <w:rFonts w:hint="eastAsia" w:ascii="仿宋_GB2312" w:eastAsia="仿宋_GB2312"/>
          <w:color w:val="000000"/>
          <w:sz w:val="32"/>
          <w:szCs w:val="32"/>
          <w:shd w:val="pct10" w:color="auto" w:fill="FFFFFF"/>
        </w:rPr>
        <w:t>一般公共预算财政拨款收入</w:t>
      </w:r>
      <w:r>
        <w:rPr>
          <w:rFonts w:hint="eastAsia" w:ascii="仿宋_GB2312" w:eastAsia="仿宋_GB2312"/>
          <w:color w:val="000000"/>
          <w:sz w:val="32"/>
          <w:szCs w:val="32"/>
          <w:shd w:val="pct10" w:color="auto" w:fill="FFFFFF"/>
          <w:lang w:val="en-US" w:eastAsia="zh-CN"/>
        </w:rPr>
        <w:t>279.49</w:t>
      </w:r>
      <w:r>
        <w:rPr>
          <w:rFonts w:hint="eastAsia" w:ascii="仿宋_GB2312" w:eastAsia="仿宋_GB2312"/>
          <w:color w:val="000000"/>
          <w:sz w:val="32"/>
          <w:szCs w:val="32"/>
          <w:shd w:val="pct10" w:color="auto" w:fill="FFFFFF"/>
        </w:rPr>
        <w:t>万元，占</w:t>
      </w:r>
      <w:r>
        <w:rPr>
          <w:rFonts w:hint="eastAsia" w:ascii="仿宋_GB2312" w:eastAsia="仿宋_GB2312"/>
          <w:color w:val="000000"/>
          <w:sz w:val="32"/>
          <w:szCs w:val="32"/>
          <w:shd w:val="pct10" w:color="auto" w:fill="FFFFFF"/>
          <w:lang w:val="en-US" w:eastAsia="zh-CN"/>
        </w:rPr>
        <w:t>74.23</w:t>
      </w:r>
      <w:r>
        <w:rPr>
          <w:rFonts w:hint="eastAsia" w:ascii="仿宋_GB2312" w:eastAsia="仿宋_GB2312"/>
          <w:color w:val="000000"/>
          <w:sz w:val="32"/>
          <w:szCs w:val="32"/>
          <w:shd w:val="pct10" w:color="auto" w:fill="FFFFFF"/>
        </w:rPr>
        <w:t>%；</w:t>
      </w:r>
      <w:r>
        <w:rPr>
          <w:rFonts w:hint="eastAsia" w:ascii="仿宋_GB2312" w:eastAsia="仿宋_GB2312"/>
          <w:color w:val="000000"/>
          <w:sz w:val="32"/>
          <w:szCs w:val="32"/>
        </w:rPr>
        <w:t>事业收入</w:t>
      </w:r>
      <w:r>
        <w:rPr>
          <w:rFonts w:hint="eastAsia" w:ascii="仿宋_GB2312" w:eastAsia="仿宋_GB2312"/>
          <w:color w:val="000000"/>
          <w:sz w:val="32"/>
          <w:szCs w:val="32"/>
          <w:lang w:val="en-US" w:eastAsia="zh-CN"/>
        </w:rPr>
        <w:t>91.16</w:t>
      </w:r>
      <w:r>
        <w:rPr>
          <w:rFonts w:hint="eastAsia" w:ascii="仿宋_GB2312" w:eastAsia="仿宋_GB2312"/>
          <w:color w:val="000000"/>
          <w:sz w:val="32"/>
          <w:szCs w:val="32"/>
        </w:rPr>
        <w:t>万元，占2</w:t>
      </w:r>
      <w:r>
        <w:rPr>
          <w:rFonts w:hint="eastAsia" w:ascii="仿宋_GB2312" w:eastAsia="仿宋_GB2312"/>
          <w:color w:val="000000"/>
          <w:sz w:val="32"/>
          <w:szCs w:val="32"/>
          <w:lang w:val="en-US" w:eastAsia="zh-CN"/>
        </w:rPr>
        <w:t>4.21</w:t>
      </w:r>
      <w:r>
        <w:rPr>
          <w:rFonts w:hint="eastAsia" w:ascii="仿宋_GB2312" w:eastAsia="仿宋_GB2312"/>
          <w:color w:val="000000"/>
          <w:sz w:val="32"/>
          <w:szCs w:val="32"/>
        </w:rPr>
        <w:t>%；其他收入</w:t>
      </w:r>
      <w:r>
        <w:rPr>
          <w:rFonts w:hint="eastAsia" w:ascii="仿宋_GB2312" w:eastAsia="仿宋_GB2312"/>
          <w:color w:val="000000"/>
          <w:sz w:val="32"/>
          <w:szCs w:val="32"/>
          <w:lang w:val="en-US" w:eastAsia="zh-CN"/>
        </w:rPr>
        <w:t>5.85</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1.56</w:t>
      </w:r>
      <w:r>
        <w:rPr>
          <w:rFonts w:hint="eastAsia" w:ascii="仿宋_GB2312" w:eastAsia="仿宋_GB2312"/>
          <w:color w:val="000000"/>
          <w:sz w:val="32"/>
          <w:szCs w:val="32"/>
        </w:rPr>
        <w:t>%。</w:t>
      </w:r>
    </w:p>
    <w:p w14:paraId="7A7F44C1">
      <w:pPr>
        <w:spacing w:line="600" w:lineRule="exact"/>
        <w:ind w:firstLine="420" w:firstLineChars="200"/>
      </w:pPr>
    </w:p>
    <w:p w14:paraId="4E93CE00">
      <w:pPr>
        <w:spacing w:line="600" w:lineRule="exact"/>
        <w:ind w:firstLine="420" w:firstLineChars="200"/>
      </w:pPr>
      <w:r>
        <w:drawing>
          <wp:anchor distT="0" distB="0" distL="114300" distR="114300" simplePos="0" relativeHeight="251660288" behindDoc="0" locked="0" layoutInCell="1" allowOverlap="1">
            <wp:simplePos x="0" y="0"/>
            <wp:positionH relativeFrom="column">
              <wp:posOffset>423545</wp:posOffset>
            </wp:positionH>
            <wp:positionV relativeFrom="paragraph">
              <wp:posOffset>128270</wp:posOffset>
            </wp:positionV>
            <wp:extent cx="4269105" cy="2648585"/>
            <wp:effectExtent l="4445" t="5080" r="12700" b="1333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1470C9C">
      <w:pPr>
        <w:spacing w:line="600" w:lineRule="exact"/>
        <w:rPr>
          <w:rFonts w:hint="eastAsia" w:ascii="仿宋_GB2312" w:eastAsia="仿宋_GB2312"/>
          <w:color w:val="000000"/>
          <w:sz w:val="32"/>
          <w:szCs w:val="32"/>
        </w:rPr>
      </w:pPr>
      <w:r>
        <w:rPr>
          <w:rFonts w:hint="eastAsia"/>
          <w:lang w:val="en-US" w:eastAsia="zh-CN"/>
        </w:rPr>
        <w:t xml:space="preserve">  </w:t>
      </w:r>
    </w:p>
    <w:p w14:paraId="40375E7C">
      <w:pPr>
        <w:spacing w:line="600" w:lineRule="exact"/>
        <w:ind w:firstLine="960" w:firstLineChars="300"/>
        <w:rPr>
          <w:rFonts w:hint="eastAsia" w:ascii="仿宋_GB2312" w:eastAsia="仿宋_GB2312"/>
          <w:color w:val="000000"/>
          <w:sz w:val="32"/>
          <w:szCs w:val="32"/>
        </w:rPr>
      </w:pPr>
    </w:p>
    <w:p w14:paraId="01F42693">
      <w:pPr>
        <w:spacing w:line="600" w:lineRule="exact"/>
        <w:ind w:firstLine="960" w:firstLineChars="300"/>
        <w:rPr>
          <w:rFonts w:hint="eastAsia" w:ascii="仿宋_GB2312" w:eastAsia="仿宋_GB2312"/>
          <w:color w:val="000000"/>
          <w:sz w:val="32"/>
          <w:szCs w:val="32"/>
        </w:rPr>
      </w:pPr>
    </w:p>
    <w:p w14:paraId="151D2F57">
      <w:pPr>
        <w:spacing w:line="600" w:lineRule="exact"/>
        <w:ind w:firstLine="960" w:firstLineChars="300"/>
        <w:rPr>
          <w:rFonts w:hint="eastAsia" w:ascii="仿宋_GB2312" w:eastAsia="仿宋_GB2312"/>
          <w:color w:val="000000"/>
          <w:sz w:val="32"/>
          <w:szCs w:val="32"/>
        </w:rPr>
      </w:pPr>
    </w:p>
    <w:p w14:paraId="3B38A997">
      <w:pPr>
        <w:spacing w:line="600" w:lineRule="exact"/>
        <w:ind w:firstLine="960" w:firstLineChars="300"/>
        <w:rPr>
          <w:rFonts w:hint="eastAsia" w:ascii="仿宋_GB2312" w:eastAsia="仿宋_GB2312"/>
          <w:color w:val="000000"/>
          <w:sz w:val="32"/>
          <w:szCs w:val="32"/>
        </w:rPr>
      </w:pPr>
    </w:p>
    <w:p w14:paraId="0CB6D93C">
      <w:pPr>
        <w:spacing w:line="600" w:lineRule="exact"/>
        <w:ind w:firstLine="960" w:firstLineChars="300"/>
        <w:rPr>
          <w:rFonts w:hint="eastAsia" w:ascii="仿宋_GB2312" w:eastAsia="仿宋_GB2312"/>
          <w:color w:val="000000"/>
          <w:sz w:val="32"/>
          <w:szCs w:val="32"/>
        </w:rPr>
      </w:pPr>
    </w:p>
    <w:p w14:paraId="7ADC360F">
      <w:pPr>
        <w:spacing w:line="600" w:lineRule="exact"/>
        <w:ind w:firstLine="960" w:firstLineChars="300"/>
        <w:rPr>
          <w:rFonts w:hint="eastAsia" w:ascii="仿宋_GB2312" w:eastAsia="仿宋_GB2312"/>
          <w:color w:val="000000"/>
          <w:sz w:val="32"/>
          <w:szCs w:val="32"/>
        </w:rPr>
      </w:pPr>
    </w:p>
    <w:p w14:paraId="0711C885">
      <w:pPr>
        <w:numPr>
          <w:ilvl w:val="0"/>
          <w:numId w:val="0"/>
        </w:numPr>
        <w:spacing w:line="600" w:lineRule="exact"/>
        <w:ind w:firstLine="300" w:firstLineChars="100"/>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三、支出决算情说明</w:t>
      </w:r>
    </w:p>
    <w:p w14:paraId="0BB72A29">
      <w:pPr>
        <w:spacing w:line="60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年前进镇卫生院本年支出合计</w:t>
      </w:r>
      <w:r>
        <w:rPr>
          <w:rFonts w:hint="eastAsia" w:ascii="仿宋_GB2312" w:eastAsia="仿宋_GB2312"/>
          <w:color w:val="000000"/>
          <w:sz w:val="32"/>
          <w:szCs w:val="32"/>
          <w:lang w:val="en-US" w:eastAsia="zh-CN"/>
        </w:rPr>
        <w:t>324.12</w:t>
      </w:r>
      <w:r>
        <w:rPr>
          <w:rFonts w:hint="eastAsia" w:ascii="仿宋_GB2312" w:eastAsia="仿宋_GB2312"/>
          <w:color w:val="000000"/>
          <w:sz w:val="32"/>
          <w:szCs w:val="32"/>
        </w:rPr>
        <w:t>万元，其中：</w:t>
      </w:r>
      <w:r>
        <w:rPr>
          <w:rFonts w:hint="eastAsia" w:ascii="仿宋_GB2312" w:eastAsia="仿宋_GB2312"/>
          <w:sz w:val="32"/>
          <w:szCs w:val="32"/>
        </w:rPr>
        <w:t>社会保障和就业支出</w:t>
      </w:r>
      <w:r>
        <w:rPr>
          <w:rFonts w:hint="eastAsia" w:ascii="仿宋_GB2312" w:eastAsia="仿宋_GB2312"/>
          <w:sz w:val="32"/>
          <w:szCs w:val="32"/>
          <w:lang w:val="en-US" w:eastAsia="zh-CN"/>
        </w:rPr>
        <w:t>14.34</w:t>
      </w:r>
      <w:r>
        <w:rPr>
          <w:rFonts w:hint="eastAsia" w:ascii="仿宋_GB2312" w:eastAsia="仿宋_GB2312"/>
          <w:sz w:val="32"/>
          <w:szCs w:val="32"/>
        </w:rPr>
        <w:t>万元，占4.</w:t>
      </w:r>
      <w:r>
        <w:rPr>
          <w:rFonts w:hint="eastAsia" w:ascii="仿宋_GB2312" w:eastAsia="仿宋_GB2312"/>
          <w:sz w:val="32"/>
          <w:szCs w:val="32"/>
          <w:lang w:val="en-US" w:eastAsia="zh-CN"/>
        </w:rPr>
        <w:t>42</w:t>
      </w:r>
      <w:r>
        <w:rPr>
          <w:rFonts w:hint="eastAsia" w:ascii="仿宋_GB2312" w:eastAsia="仿宋_GB2312"/>
          <w:sz w:val="32"/>
          <w:szCs w:val="32"/>
        </w:rPr>
        <w:t>%；医疗卫生支出</w:t>
      </w:r>
      <w:r>
        <w:rPr>
          <w:rFonts w:hint="eastAsia" w:ascii="仿宋_GB2312" w:eastAsia="仿宋_GB2312"/>
          <w:sz w:val="32"/>
          <w:szCs w:val="32"/>
          <w:lang w:val="en-US" w:eastAsia="zh-CN"/>
        </w:rPr>
        <w:t>293.13</w:t>
      </w:r>
      <w:r>
        <w:rPr>
          <w:rFonts w:hint="eastAsia" w:ascii="仿宋_GB2312" w:eastAsia="仿宋_GB2312"/>
          <w:sz w:val="32"/>
          <w:szCs w:val="32"/>
        </w:rPr>
        <w:t>万元，占9</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val="en-US" w:eastAsia="zh-CN"/>
        </w:rPr>
        <w:t>44</w:t>
      </w:r>
      <w:r>
        <w:rPr>
          <w:rFonts w:hint="eastAsia" w:ascii="仿宋_GB2312" w:eastAsia="仿宋_GB2312"/>
          <w:sz w:val="32"/>
          <w:szCs w:val="32"/>
        </w:rPr>
        <w:t>%；住房保障支出1</w:t>
      </w:r>
      <w:r>
        <w:rPr>
          <w:rFonts w:hint="eastAsia" w:ascii="仿宋_GB2312" w:eastAsia="仿宋_GB2312"/>
          <w:sz w:val="32"/>
          <w:szCs w:val="32"/>
          <w:lang w:val="en-US" w:eastAsia="zh-CN"/>
        </w:rPr>
        <w:t>6.65</w:t>
      </w:r>
      <w:r>
        <w:rPr>
          <w:rFonts w:hint="eastAsia" w:ascii="仿宋_GB2312" w:eastAsia="仿宋_GB2312"/>
          <w:sz w:val="32"/>
          <w:szCs w:val="32"/>
        </w:rPr>
        <w:t>万元，占</w:t>
      </w:r>
      <w:r>
        <w:rPr>
          <w:rFonts w:hint="eastAsia" w:ascii="仿宋_GB2312" w:eastAsia="仿宋_GB2312"/>
          <w:sz w:val="32"/>
          <w:szCs w:val="32"/>
          <w:lang w:val="en-US" w:eastAsia="zh-CN"/>
        </w:rPr>
        <w:t>5.14</w:t>
      </w:r>
      <w:r>
        <w:rPr>
          <w:rFonts w:hint="eastAsia" w:ascii="仿宋_GB2312" w:eastAsia="仿宋_GB2312"/>
          <w:sz w:val="32"/>
          <w:szCs w:val="32"/>
        </w:rPr>
        <w:t>%；年末结余分配</w:t>
      </w:r>
      <w:r>
        <w:rPr>
          <w:rFonts w:hint="eastAsia" w:ascii="仿宋_GB2312" w:eastAsia="仿宋_GB2312"/>
          <w:sz w:val="32"/>
          <w:szCs w:val="32"/>
          <w:lang w:val="en-US" w:eastAsia="zh-CN"/>
        </w:rPr>
        <w:t>38.95</w:t>
      </w:r>
      <w:r>
        <w:rPr>
          <w:rFonts w:hint="eastAsia" w:ascii="仿宋_GB2312" w:eastAsia="仿宋_GB2312"/>
          <w:sz w:val="32"/>
          <w:szCs w:val="32"/>
        </w:rPr>
        <w:t>万元，年末结转和结余1</w:t>
      </w:r>
      <w:r>
        <w:rPr>
          <w:rFonts w:hint="eastAsia" w:ascii="仿宋_GB2312" w:eastAsia="仿宋_GB2312"/>
          <w:sz w:val="32"/>
          <w:szCs w:val="32"/>
          <w:lang w:val="en-US" w:eastAsia="zh-CN"/>
        </w:rPr>
        <w:t>11.9</w:t>
      </w:r>
      <w:r>
        <w:rPr>
          <w:rFonts w:hint="eastAsia" w:ascii="仿宋_GB2312" w:eastAsia="仿宋_GB2312"/>
          <w:sz w:val="32"/>
          <w:szCs w:val="32"/>
        </w:rPr>
        <w:t>万元。</w:t>
      </w:r>
    </w:p>
    <w:p w14:paraId="3C6B95C9">
      <w:pPr>
        <w:spacing w:line="600" w:lineRule="exact"/>
        <w:ind w:firstLine="420" w:firstLineChars="200"/>
        <w:rPr>
          <w:rFonts w:hint="eastAsia" w:ascii="黑体" w:eastAsia="黑体"/>
          <w:color w:val="000000"/>
          <w:sz w:val="32"/>
          <w:szCs w:val="32"/>
        </w:rPr>
      </w:pPr>
      <w:r>
        <w:drawing>
          <wp:anchor distT="0" distB="0" distL="114300" distR="114300" simplePos="0" relativeHeight="251661312" behindDoc="0" locked="0" layoutInCell="1" allowOverlap="1">
            <wp:simplePos x="0" y="0"/>
            <wp:positionH relativeFrom="column">
              <wp:posOffset>270510</wp:posOffset>
            </wp:positionH>
            <wp:positionV relativeFrom="paragraph">
              <wp:posOffset>32385</wp:posOffset>
            </wp:positionV>
            <wp:extent cx="4393565" cy="3297555"/>
            <wp:effectExtent l="4445" t="4445" r="21590" b="1270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EE9C61F">
      <w:pPr>
        <w:spacing w:line="600" w:lineRule="exact"/>
        <w:ind w:firstLine="640" w:firstLineChars="200"/>
        <w:rPr>
          <w:rFonts w:hint="eastAsia" w:ascii="黑体" w:eastAsia="黑体"/>
          <w:color w:val="000000"/>
          <w:sz w:val="32"/>
          <w:szCs w:val="32"/>
        </w:rPr>
      </w:pPr>
    </w:p>
    <w:p w14:paraId="200BDD88">
      <w:pPr>
        <w:spacing w:line="600" w:lineRule="exact"/>
        <w:ind w:firstLine="640" w:firstLineChars="200"/>
        <w:rPr>
          <w:rFonts w:hint="eastAsia" w:ascii="黑体" w:eastAsia="黑体"/>
          <w:color w:val="000000"/>
          <w:sz w:val="32"/>
          <w:szCs w:val="32"/>
        </w:rPr>
      </w:pPr>
    </w:p>
    <w:p w14:paraId="4A6F0211">
      <w:pPr>
        <w:spacing w:line="600" w:lineRule="exact"/>
        <w:ind w:firstLine="640" w:firstLineChars="200"/>
        <w:rPr>
          <w:rFonts w:hint="eastAsia" w:ascii="黑体" w:eastAsia="黑体"/>
          <w:color w:val="000000"/>
          <w:sz w:val="32"/>
          <w:szCs w:val="32"/>
        </w:rPr>
      </w:pPr>
    </w:p>
    <w:p w14:paraId="00919421">
      <w:pPr>
        <w:spacing w:line="600" w:lineRule="exact"/>
        <w:ind w:firstLine="640" w:firstLineChars="200"/>
        <w:rPr>
          <w:rFonts w:hint="eastAsia" w:ascii="黑体" w:eastAsia="黑体"/>
          <w:color w:val="000000"/>
          <w:sz w:val="32"/>
          <w:szCs w:val="32"/>
        </w:rPr>
      </w:pPr>
    </w:p>
    <w:p w14:paraId="0441E9A7">
      <w:pPr>
        <w:spacing w:line="600" w:lineRule="exact"/>
        <w:ind w:firstLine="640" w:firstLineChars="200"/>
        <w:rPr>
          <w:rFonts w:hint="eastAsia" w:ascii="黑体" w:eastAsia="黑体"/>
          <w:color w:val="000000"/>
          <w:sz w:val="32"/>
          <w:szCs w:val="32"/>
        </w:rPr>
      </w:pPr>
    </w:p>
    <w:p w14:paraId="78758B30">
      <w:pPr>
        <w:spacing w:line="600" w:lineRule="exact"/>
        <w:ind w:firstLine="640" w:firstLineChars="200"/>
        <w:rPr>
          <w:rFonts w:hint="eastAsia" w:ascii="黑体" w:eastAsia="黑体"/>
          <w:color w:val="000000"/>
          <w:sz w:val="32"/>
          <w:szCs w:val="32"/>
        </w:rPr>
      </w:pPr>
    </w:p>
    <w:p w14:paraId="5F111509">
      <w:pPr>
        <w:spacing w:line="600" w:lineRule="exact"/>
        <w:ind w:firstLine="420" w:firstLineChars="200"/>
      </w:pPr>
    </w:p>
    <w:p w14:paraId="30646519">
      <w:pPr>
        <w:spacing w:line="600" w:lineRule="exact"/>
        <w:ind w:firstLine="640" w:firstLineChars="200"/>
        <w:rPr>
          <w:rFonts w:hint="eastAsia" w:ascii="仿宋_GB2312" w:eastAsia="仿宋_GB2312"/>
          <w:sz w:val="32"/>
          <w:szCs w:val="32"/>
        </w:rPr>
      </w:pPr>
    </w:p>
    <w:p w14:paraId="137A4513">
      <w:pPr>
        <w:spacing w:line="600" w:lineRule="exact"/>
        <w:ind w:firstLine="640" w:firstLineChars="200"/>
        <w:rPr>
          <w:rFonts w:hint="eastAsia" w:ascii="黑体" w:eastAsia="黑体"/>
          <w:color w:val="000000"/>
          <w:sz w:val="32"/>
          <w:szCs w:val="32"/>
        </w:rPr>
      </w:pPr>
    </w:p>
    <w:p w14:paraId="2AE76760">
      <w:pPr>
        <w:spacing w:line="600" w:lineRule="exact"/>
        <w:rPr>
          <w:rFonts w:hint="eastAsia" w:ascii="仿宋_GB2312" w:hAnsi="仿宋_GB2312" w:eastAsia="仿宋_GB2312" w:cs="仿宋_GB2312"/>
          <w:b/>
          <w:bCs/>
          <w:color w:val="000000"/>
          <w:sz w:val="30"/>
          <w:szCs w:val="30"/>
        </w:rPr>
      </w:pPr>
      <w:r>
        <w:rPr>
          <w:rFonts w:hint="eastAsia" w:ascii="仿宋_GB2312" w:hAnsi="仿宋_GB2312" w:eastAsia="仿宋_GB2312" w:cs="仿宋_GB2312"/>
          <w:color w:val="000000"/>
          <w:sz w:val="30"/>
          <w:szCs w:val="30"/>
          <w:lang w:val="en-US" w:eastAsia="zh-CN"/>
        </w:rPr>
        <w:t>四</w:t>
      </w:r>
      <w:r>
        <w:rPr>
          <w:rFonts w:hint="eastAsia" w:ascii="仿宋_GB2312" w:hAnsi="仿宋_GB2312" w:eastAsia="仿宋_GB2312" w:cs="仿宋_GB2312"/>
          <w:b/>
          <w:bCs/>
          <w:color w:val="000000"/>
          <w:sz w:val="30"/>
          <w:szCs w:val="30"/>
        </w:rPr>
        <w:t>、财政拨款收入支出决算总体情况说明</w:t>
      </w:r>
    </w:p>
    <w:p w14:paraId="765C3F0D">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年度财政拨款收入总计2</w:t>
      </w:r>
      <w:r>
        <w:rPr>
          <w:rFonts w:hint="eastAsia" w:ascii="仿宋_GB2312" w:eastAsia="仿宋_GB2312"/>
          <w:color w:val="000000"/>
          <w:sz w:val="32"/>
          <w:szCs w:val="32"/>
          <w:lang w:val="en-US" w:eastAsia="zh-CN"/>
        </w:rPr>
        <w:t>79.49</w:t>
      </w:r>
      <w:r>
        <w:rPr>
          <w:rFonts w:hint="eastAsia" w:ascii="仿宋_GB2312" w:eastAsia="仿宋_GB2312"/>
          <w:color w:val="000000"/>
          <w:sz w:val="32"/>
          <w:szCs w:val="32"/>
        </w:rPr>
        <w:t>元、支出总计</w:t>
      </w:r>
      <w:r>
        <w:rPr>
          <w:rFonts w:hint="eastAsia" w:ascii="仿宋_GB2312" w:eastAsia="仿宋_GB2312"/>
          <w:color w:val="000000"/>
          <w:sz w:val="32"/>
          <w:szCs w:val="32"/>
          <w:lang w:val="en-US" w:eastAsia="zh-CN"/>
        </w:rPr>
        <w:t>266.06</w:t>
      </w:r>
      <w:r>
        <w:rPr>
          <w:rFonts w:hint="eastAsia" w:ascii="仿宋_GB2312" w:eastAsia="仿宋_GB2312"/>
          <w:color w:val="000000"/>
          <w:sz w:val="32"/>
          <w:szCs w:val="32"/>
        </w:rPr>
        <w:t>万元。与201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年相比，财政拨款收入总计增加</w:t>
      </w:r>
      <w:r>
        <w:rPr>
          <w:rFonts w:hint="eastAsia" w:ascii="仿宋_GB2312" w:eastAsia="仿宋_GB2312"/>
          <w:color w:val="000000"/>
          <w:sz w:val="32"/>
          <w:szCs w:val="32"/>
          <w:lang w:val="en-US" w:eastAsia="zh-CN"/>
        </w:rPr>
        <w:t>13.15</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4.94</w:t>
      </w:r>
      <w:r>
        <w:rPr>
          <w:rFonts w:hint="eastAsia" w:ascii="仿宋_GB2312" w:eastAsia="仿宋_GB2312"/>
          <w:color w:val="000000"/>
          <w:sz w:val="32"/>
          <w:szCs w:val="32"/>
        </w:rPr>
        <w:t>%,支出总计</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59.71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18.33</w:t>
      </w:r>
      <w:r>
        <w:rPr>
          <w:rFonts w:hint="eastAsia" w:ascii="仿宋_GB2312" w:eastAsia="仿宋_GB2312"/>
          <w:color w:val="000000"/>
          <w:sz w:val="32"/>
          <w:szCs w:val="32"/>
        </w:rPr>
        <w:t>%。</w:t>
      </w:r>
    </w:p>
    <w:p w14:paraId="791030CB">
      <w:pPr>
        <w:spacing w:line="600" w:lineRule="exact"/>
        <w:ind w:firstLine="320" w:firstLineChars="100"/>
        <w:rPr>
          <w:rFonts w:hint="eastAsia" w:ascii="黑体" w:eastAsia="黑体"/>
          <w:color w:val="000000"/>
          <w:sz w:val="32"/>
          <w:szCs w:val="32"/>
        </w:rPr>
      </w:pPr>
    </w:p>
    <w:p w14:paraId="30803E00">
      <w:pPr>
        <w:spacing w:line="600" w:lineRule="exact"/>
        <w:ind w:firstLine="320" w:firstLineChars="100"/>
        <w:rPr>
          <w:rFonts w:hint="eastAsia" w:ascii="黑体" w:eastAsia="黑体"/>
          <w:color w:val="000000"/>
          <w:sz w:val="32"/>
          <w:szCs w:val="32"/>
        </w:rPr>
      </w:pPr>
    </w:p>
    <w:p w14:paraId="49BCBD58">
      <w:pPr>
        <w:spacing w:line="600" w:lineRule="exact"/>
        <w:ind w:firstLine="320" w:firstLineChars="100"/>
        <w:rPr>
          <w:rFonts w:hint="eastAsia" w:ascii="黑体" w:eastAsia="黑体"/>
          <w:color w:val="000000"/>
          <w:sz w:val="32"/>
          <w:szCs w:val="32"/>
        </w:rPr>
      </w:pPr>
    </w:p>
    <w:p w14:paraId="14E684DB">
      <w:pPr>
        <w:spacing w:line="600" w:lineRule="exact"/>
        <w:ind w:firstLine="320" w:firstLineChars="100"/>
        <w:rPr>
          <w:rFonts w:hint="eastAsia" w:ascii="黑体" w:eastAsia="黑体"/>
          <w:color w:val="000000"/>
          <w:sz w:val="32"/>
          <w:szCs w:val="32"/>
        </w:rPr>
      </w:pPr>
    </w:p>
    <w:p w14:paraId="0E3C1CF5">
      <w:pPr>
        <w:spacing w:line="600" w:lineRule="exact"/>
        <w:ind w:firstLine="210" w:firstLineChars="100"/>
        <w:rPr>
          <w:rFonts w:hint="eastAsia" w:ascii="黑体" w:eastAsia="黑体"/>
          <w:color w:val="000000"/>
          <w:sz w:val="32"/>
          <w:szCs w:val="32"/>
        </w:rPr>
      </w:pPr>
      <w:r>
        <w:drawing>
          <wp:anchor distT="0" distB="0" distL="114300" distR="114300" simplePos="0" relativeHeight="251662336" behindDoc="0" locked="0" layoutInCell="1" allowOverlap="1">
            <wp:simplePos x="0" y="0"/>
            <wp:positionH relativeFrom="column">
              <wp:posOffset>137795</wp:posOffset>
            </wp:positionH>
            <wp:positionV relativeFrom="paragraph">
              <wp:posOffset>-1348740</wp:posOffset>
            </wp:positionV>
            <wp:extent cx="4742180" cy="2155825"/>
            <wp:effectExtent l="4445" t="4445" r="15875" b="1143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06B1286">
      <w:pPr>
        <w:spacing w:line="600" w:lineRule="exact"/>
        <w:ind w:firstLine="320" w:firstLineChars="100"/>
        <w:rPr>
          <w:rFonts w:hint="eastAsia" w:ascii="黑体" w:eastAsia="黑体"/>
          <w:color w:val="000000"/>
          <w:sz w:val="32"/>
          <w:szCs w:val="32"/>
        </w:rPr>
      </w:pPr>
    </w:p>
    <w:p w14:paraId="1111861B">
      <w:pPr>
        <w:numPr>
          <w:ilvl w:val="0"/>
          <w:numId w:val="0"/>
        </w:numPr>
        <w:tabs>
          <w:tab w:val="left" w:pos="448"/>
        </w:tabs>
        <w:spacing w:line="600" w:lineRule="exact"/>
        <w:rPr>
          <w:rFonts w:hint="eastAsia" w:ascii="仿宋_GB2312" w:hAnsi="仿宋_GB2312" w:eastAsia="仿宋_GB2312" w:cs="仿宋_GB2312"/>
          <w:b/>
          <w:bCs/>
          <w:color w:val="000000"/>
          <w:sz w:val="30"/>
          <w:szCs w:val="30"/>
          <w:lang w:eastAsia="zh-CN"/>
        </w:rPr>
      </w:pPr>
    </w:p>
    <w:p w14:paraId="55B4BCA8">
      <w:pPr>
        <w:numPr>
          <w:ilvl w:val="0"/>
          <w:numId w:val="0"/>
        </w:numPr>
        <w:tabs>
          <w:tab w:val="left" w:pos="448"/>
        </w:tabs>
        <w:spacing w:line="600" w:lineRule="exact"/>
        <w:ind w:firstLine="301" w:firstLineChars="1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lang w:eastAsia="zh-CN"/>
        </w:rPr>
        <w:t>五、</w:t>
      </w:r>
      <w:r>
        <w:rPr>
          <w:rFonts w:hint="eastAsia" w:ascii="仿宋_GB2312" w:hAnsi="仿宋_GB2312" w:eastAsia="仿宋_GB2312" w:cs="仿宋_GB2312"/>
          <w:b/>
          <w:bCs/>
          <w:color w:val="000000"/>
          <w:sz w:val="30"/>
          <w:szCs w:val="30"/>
        </w:rPr>
        <w:t>一般公共预算财政拨款支出决算情况说明</w:t>
      </w:r>
    </w:p>
    <w:p w14:paraId="7322A823">
      <w:pPr>
        <w:spacing w:line="600" w:lineRule="exact"/>
        <w:ind w:firstLine="602"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（一）一般公共预算财政拨款支出决算总体情况</w:t>
      </w:r>
    </w:p>
    <w:p w14:paraId="7716F30F">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（一）一般公共预算财政拨款支出决算总体情况</w:t>
      </w:r>
    </w:p>
    <w:p w14:paraId="18B5F858">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年度一般公共预算财政拨款支出</w:t>
      </w:r>
      <w:r>
        <w:rPr>
          <w:rFonts w:hint="eastAsia" w:ascii="仿宋_GB2312" w:eastAsia="仿宋_GB2312"/>
          <w:color w:val="000000"/>
          <w:sz w:val="32"/>
          <w:szCs w:val="32"/>
          <w:lang w:val="en-US" w:eastAsia="zh-CN"/>
        </w:rPr>
        <w:t>266.06</w:t>
      </w:r>
      <w:r>
        <w:rPr>
          <w:rFonts w:hint="eastAsia" w:ascii="仿宋_GB2312" w:eastAsia="仿宋_GB2312"/>
          <w:color w:val="000000"/>
          <w:sz w:val="32"/>
          <w:szCs w:val="32"/>
        </w:rPr>
        <w:t>万元，占本年支出合计的</w:t>
      </w:r>
      <w:r>
        <w:rPr>
          <w:rFonts w:hint="eastAsia" w:ascii="仿宋_GB2312" w:eastAsia="仿宋_GB2312"/>
          <w:color w:val="000000"/>
          <w:sz w:val="32"/>
          <w:szCs w:val="32"/>
          <w:lang w:val="en-US" w:eastAsia="zh-CN"/>
        </w:rPr>
        <w:t>82.09</w:t>
      </w:r>
      <w:r>
        <w:rPr>
          <w:rFonts w:hint="eastAsia" w:ascii="仿宋_GB2312" w:eastAsia="仿宋_GB2312"/>
          <w:color w:val="000000"/>
          <w:sz w:val="32"/>
          <w:szCs w:val="32"/>
        </w:rPr>
        <w:t>%。与201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年相比，一般公共预算财政拨款</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59.71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18.33</w:t>
      </w:r>
      <w:r>
        <w:rPr>
          <w:rFonts w:hint="eastAsia" w:ascii="仿宋_GB2312" w:eastAsia="仿宋_GB2312"/>
          <w:color w:val="000000"/>
          <w:sz w:val="32"/>
          <w:szCs w:val="32"/>
        </w:rPr>
        <w:t>%。</w:t>
      </w:r>
    </w:p>
    <w:p w14:paraId="5DEB83AF">
      <w:pPr>
        <w:spacing w:line="600" w:lineRule="exact"/>
        <w:ind w:firstLine="640" w:firstLineChars="200"/>
        <w:rPr>
          <w:rFonts w:hint="eastAsia" w:ascii="仿宋_GB2312" w:eastAsia="仿宋_GB2312"/>
          <w:color w:val="000000"/>
          <w:sz w:val="32"/>
          <w:szCs w:val="32"/>
        </w:rPr>
      </w:pPr>
    </w:p>
    <w:p w14:paraId="2D16A92A">
      <w:pPr>
        <w:spacing w:line="600" w:lineRule="exact"/>
        <w:ind w:firstLine="640" w:firstLineChars="200"/>
        <w:rPr>
          <w:rFonts w:hint="eastAsia" w:ascii="仿宋_GB2312" w:eastAsia="仿宋_GB2312"/>
          <w:color w:val="000000"/>
          <w:sz w:val="32"/>
          <w:szCs w:val="32"/>
        </w:rPr>
      </w:pPr>
    </w:p>
    <w:p w14:paraId="526CB954">
      <w:pPr>
        <w:spacing w:line="600" w:lineRule="exact"/>
        <w:ind w:firstLine="640" w:firstLineChars="200"/>
        <w:rPr>
          <w:rFonts w:hint="eastAsia" w:ascii="仿宋_GB2312" w:eastAsia="仿宋_GB2312"/>
          <w:color w:val="000000"/>
          <w:sz w:val="32"/>
          <w:szCs w:val="32"/>
        </w:rPr>
      </w:pPr>
    </w:p>
    <w:p w14:paraId="5752AB46">
      <w:pPr>
        <w:spacing w:line="600" w:lineRule="exact"/>
        <w:ind w:firstLine="640" w:firstLineChars="200"/>
        <w:rPr>
          <w:rFonts w:hint="eastAsia" w:ascii="仿宋_GB2312" w:eastAsia="仿宋_GB2312"/>
          <w:color w:val="000000"/>
          <w:sz w:val="32"/>
          <w:szCs w:val="32"/>
        </w:rPr>
      </w:pPr>
    </w:p>
    <w:p w14:paraId="0FAD12E3">
      <w:pPr>
        <w:spacing w:line="600" w:lineRule="exact"/>
        <w:ind w:firstLine="640" w:firstLineChars="200"/>
        <w:rPr>
          <w:rFonts w:hint="eastAsia" w:ascii="仿宋_GB2312" w:eastAsia="仿宋_GB2312"/>
          <w:color w:val="000000"/>
          <w:sz w:val="32"/>
          <w:szCs w:val="32"/>
        </w:rPr>
      </w:pPr>
    </w:p>
    <w:p w14:paraId="65DEAD40">
      <w:pPr>
        <w:spacing w:line="600" w:lineRule="exact"/>
        <w:ind w:firstLine="640" w:firstLineChars="200"/>
        <w:rPr>
          <w:rFonts w:hint="eastAsia" w:ascii="仿宋_GB2312" w:eastAsia="仿宋_GB2312"/>
          <w:color w:val="000000"/>
          <w:sz w:val="32"/>
          <w:szCs w:val="32"/>
        </w:rPr>
      </w:pPr>
    </w:p>
    <w:p w14:paraId="09B629C1">
      <w:pPr>
        <w:spacing w:line="600" w:lineRule="exact"/>
        <w:ind w:firstLine="420" w:firstLineChars="200"/>
        <w:rPr>
          <w:rFonts w:hint="eastAsia" w:ascii="仿宋_GB2312" w:eastAsia="仿宋_GB2312"/>
          <w:color w:val="000000"/>
          <w:sz w:val="32"/>
          <w:szCs w:val="32"/>
        </w:rPr>
      </w:pPr>
      <w:r>
        <w:drawing>
          <wp:anchor distT="0" distB="0" distL="114300" distR="114300" simplePos="0" relativeHeight="251663360" behindDoc="0" locked="0" layoutInCell="1" allowOverlap="1">
            <wp:simplePos x="0" y="0"/>
            <wp:positionH relativeFrom="column">
              <wp:posOffset>271145</wp:posOffset>
            </wp:positionH>
            <wp:positionV relativeFrom="paragraph">
              <wp:posOffset>-2139315</wp:posOffset>
            </wp:positionV>
            <wp:extent cx="4505325" cy="2431415"/>
            <wp:effectExtent l="5080" t="4445" r="4445" b="2159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AFBC59A">
      <w:pPr>
        <w:spacing w:line="600" w:lineRule="exact"/>
        <w:ind w:firstLine="600" w:firstLineChars="200"/>
        <w:rPr>
          <w:rFonts w:hint="eastAsia" w:ascii="仿宋_GB2312" w:hAnsi="仿宋_GB2312" w:eastAsia="仿宋_GB2312" w:cs="仿宋_GB2312"/>
          <w:color w:val="000000"/>
          <w:sz w:val="30"/>
          <w:szCs w:val="30"/>
        </w:rPr>
      </w:pPr>
    </w:p>
    <w:p w14:paraId="7C3BE885">
      <w:pPr>
        <w:spacing w:line="600" w:lineRule="exact"/>
        <w:ind w:firstLine="600" w:firstLineChars="200"/>
        <w:rPr>
          <w:rFonts w:hint="eastAsia" w:ascii="仿宋_GB2312" w:hAnsi="仿宋_GB2312" w:eastAsia="仿宋_GB2312" w:cs="仿宋_GB2312"/>
          <w:color w:val="000000"/>
          <w:sz w:val="30"/>
          <w:szCs w:val="30"/>
        </w:rPr>
      </w:pPr>
    </w:p>
    <w:p w14:paraId="037C155C">
      <w:pPr>
        <w:spacing w:line="600" w:lineRule="exact"/>
        <w:ind w:firstLine="600" w:firstLineChars="200"/>
        <w:rPr>
          <w:rFonts w:hint="eastAsia" w:ascii="仿宋_GB2312" w:hAnsi="仿宋_GB2312" w:eastAsia="仿宋_GB2312" w:cs="仿宋_GB2312"/>
          <w:color w:val="000000"/>
          <w:sz w:val="30"/>
          <w:szCs w:val="30"/>
        </w:rPr>
      </w:pPr>
    </w:p>
    <w:p w14:paraId="2FCB4514">
      <w:pPr>
        <w:spacing w:line="600" w:lineRule="exact"/>
        <w:ind w:firstLine="600" w:firstLineChars="200"/>
        <w:rPr>
          <w:rFonts w:hint="eastAsia" w:ascii="仿宋_GB2312" w:hAnsi="仿宋_GB2312" w:eastAsia="仿宋_GB2312" w:cs="仿宋_GB2312"/>
          <w:color w:val="000000"/>
          <w:sz w:val="30"/>
          <w:szCs w:val="30"/>
        </w:rPr>
      </w:pPr>
    </w:p>
    <w:p w14:paraId="49F87892">
      <w:pPr>
        <w:spacing w:line="600" w:lineRule="exact"/>
        <w:ind w:firstLine="301" w:firstLineChars="1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（二）一般公共预算财政拨款支出决算结构情况</w:t>
      </w:r>
    </w:p>
    <w:p w14:paraId="7B7BA95E">
      <w:pPr>
        <w:spacing w:line="600" w:lineRule="exact"/>
        <w:ind w:firstLine="640"/>
        <w:rPr>
          <w:rFonts w:hint="eastAsia" w:ascii="仿宋_GB2312" w:eastAsia="仿宋_GB2312"/>
          <w:color w:val="000000"/>
          <w:sz w:val="32"/>
          <w:szCs w:val="32"/>
        </w:rPr>
      </w:pPr>
      <w:r>
        <w:drawing>
          <wp:anchor distT="0" distB="0" distL="114300" distR="114300" simplePos="0" relativeHeight="251664384" behindDoc="0" locked="0" layoutInCell="1" allowOverlap="1">
            <wp:simplePos x="0" y="0"/>
            <wp:positionH relativeFrom="column">
              <wp:posOffset>43815</wp:posOffset>
            </wp:positionH>
            <wp:positionV relativeFrom="paragraph">
              <wp:posOffset>1637030</wp:posOffset>
            </wp:positionV>
            <wp:extent cx="5140325" cy="2800985"/>
            <wp:effectExtent l="4445" t="4445" r="17780" b="1397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年一般公共预算财政拨款支出</w:t>
      </w:r>
      <w:r>
        <w:rPr>
          <w:rFonts w:hint="eastAsia" w:ascii="仿宋_GB2312" w:eastAsia="仿宋_GB2312"/>
          <w:color w:val="000000"/>
          <w:sz w:val="32"/>
          <w:szCs w:val="32"/>
          <w:lang w:val="en-US" w:eastAsia="zh-CN"/>
        </w:rPr>
        <w:t>266.07</w:t>
      </w:r>
      <w:r>
        <w:rPr>
          <w:rFonts w:hint="eastAsia" w:ascii="仿宋_GB2312" w:eastAsia="仿宋_GB2312"/>
          <w:color w:val="000000"/>
          <w:sz w:val="32"/>
          <w:szCs w:val="32"/>
        </w:rPr>
        <w:t>万元，主要用于以下方面:公共卫生支出9</w:t>
      </w:r>
      <w:r>
        <w:rPr>
          <w:rFonts w:hint="eastAsia" w:ascii="仿宋_GB2312" w:eastAsia="仿宋_GB2312"/>
          <w:color w:val="000000"/>
          <w:sz w:val="32"/>
          <w:szCs w:val="32"/>
          <w:lang w:val="en-US" w:eastAsia="zh-CN"/>
        </w:rPr>
        <w:t>0.06</w:t>
      </w:r>
      <w:r>
        <w:rPr>
          <w:rFonts w:hint="eastAsia" w:ascii="仿宋_GB2312" w:eastAsia="仿宋_GB2312"/>
          <w:color w:val="000000"/>
          <w:sz w:val="32"/>
          <w:szCs w:val="32"/>
        </w:rPr>
        <w:t>万元，占3</w:t>
      </w:r>
      <w:r>
        <w:rPr>
          <w:rFonts w:hint="eastAsia" w:ascii="仿宋_GB2312" w:eastAsia="仿宋_GB2312"/>
          <w:color w:val="000000"/>
          <w:sz w:val="32"/>
          <w:szCs w:val="32"/>
          <w:lang w:val="en-US" w:eastAsia="zh-CN"/>
        </w:rPr>
        <w:t>3.85</w:t>
      </w:r>
      <w:r>
        <w:rPr>
          <w:rFonts w:hint="eastAsia" w:ascii="仿宋_GB2312" w:eastAsia="仿宋_GB2312"/>
          <w:color w:val="000000"/>
          <w:sz w:val="32"/>
          <w:szCs w:val="32"/>
        </w:rPr>
        <w:t>%；社会保障和就业支出1</w:t>
      </w:r>
      <w:r>
        <w:rPr>
          <w:rFonts w:hint="eastAsia" w:ascii="仿宋_GB2312" w:eastAsia="仿宋_GB2312"/>
          <w:color w:val="000000"/>
          <w:sz w:val="32"/>
          <w:szCs w:val="32"/>
          <w:lang w:val="en-US" w:eastAsia="zh-CN"/>
        </w:rPr>
        <w:t>4.35</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5.39</w:t>
      </w:r>
      <w:r>
        <w:rPr>
          <w:rFonts w:hint="eastAsia" w:ascii="仿宋_GB2312" w:eastAsia="仿宋_GB2312"/>
          <w:color w:val="000000"/>
          <w:sz w:val="32"/>
          <w:szCs w:val="32"/>
        </w:rPr>
        <w:t>%；医疗卫生支出</w:t>
      </w:r>
      <w:r>
        <w:rPr>
          <w:rFonts w:hint="eastAsia" w:ascii="仿宋_GB2312" w:eastAsia="仿宋_GB2312"/>
          <w:color w:val="000000"/>
          <w:sz w:val="32"/>
          <w:szCs w:val="32"/>
          <w:lang w:val="en-US" w:eastAsia="zh-CN"/>
        </w:rPr>
        <w:t>145.01</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54.5</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16.65</w:t>
      </w:r>
      <w:r>
        <w:rPr>
          <w:rFonts w:hint="eastAsia" w:ascii="仿宋_GB2312" w:eastAsia="仿宋_GB2312"/>
          <w:color w:val="000000"/>
          <w:sz w:val="32"/>
          <w:szCs w:val="32"/>
        </w:rPr>
        <w:t>万元，占</w:t>
      </w:r>
      <w:r>
        <w:rPr>
          <w:rFonts w:hint="eastAsia" w:ascii="仿宋_GB2312" w:eastAsia="仿宋_GB2312"/>
          <w:color w:val="000000"/>
          <w:sz w:val="32"/>
          <w:szCs w:val="32"/>
          <w:lang w:val="en-US" w:eastAsia="zh-CN"/>
        </w:rPr>
        <w:t>6.26</w:t>
      </w:r>
      <w:r>
        <w:rPr>
          <w:rFonts w:hint="eastAsia" w:ascii="仿宋_GB2312" w:eastAsia="仿宋_GB2312"/>
          <w:color w:val="000000"/>
          <w:sz w:val="32"/>
          <w:szCs w:val="32"/>
        </w:rPr>
        <w:t>%。</w:t>
      </w:r>
    </w:p>
    <w:p w14:paraId="7027352C">
      <w:pPr>
        <w:spacing w:line="600" w:lineRule="exact"/>
        <w:ind w:firstLine="640"/>
        <w:rPr>
          <w:rFonts w:hint="eastAsia" w:ascii="仿宋_GB2312" w:hAnsi="仿宋_GB2312" w:eastAsia="仿宋_GB2312" w:cs="仿宋_GB2312"/>
          <w:color w:val="000000"/>
          <w:sz w:val="30"/>
          <w:szCs w:val="30"/>
        </w:rPr>
      </w:pPr>
    </w:p>
    <w:p w14:paraId="461F20F5">
      <w:pPr>
        <w:spacing w:line="600" w:lineRule="exact"/>
        <w:ind w:firstLine="301" w:firstLineChars="1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六、一般公共预算财政拨款基本支出决算情况说明</w:t>
      </w:r>
    </w:p>
    <w:p w14:paraId="235147E9">
      <w:pPr>
        <w:spacing w:line="600" w:lineRule="exact"/>
        <w:ind w:firstLine="645"/>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201</w:t>
      </w:r>
      <w:r>
        <w:rPr>
          <w:rFonts w:hint="eastAsia" w:ascii="仿宋_GB2312" w:hAnsi="仿宋_GB2312" w:eastAsia="仿宋_GB2312" w:cs="仿宋_GB2312"/>
          <w:color w:val="000000"/>
          <w:sz w:val="30"/>
          <w:szCs w:val="30"/>
          <w:lang w:val="en-US" w:eastAsia="zh-CN"/>
        </w:rPr>
        <w:t>8</w:t>
      </w:r>
      <w:r>
        <w:rPr>
          <w:rFonts w:hint="eastAsia" w:ascii="仿宋_GB2312" w:hAnsi="仿宋_GB2312" w:eastAsia="仿宋_GB2312" w:cs="仿宋_GB2312"/>
          <w:color w:val="000000"/>
          <w:sz w:val="30"/>
          <w:szCs w:val="30"/>
        </w:rPr>
        <w:t>年度一般公共预算财政拨款基本支出</w:t>
      </w:r>
      <w:r>
        <w:rPr>
          <w:rFonts w:hint="eastAsia" w:ascii="仿宋_GB2312" w:hAnsi="仿宋_GB2312" w:eastAsia="仿宋_GB2312" w:cs="仿宋_GB2312"/>
          <w:color w:val="000000"/>
          <w:sz w:val="30"/>
          <w:szCs w:val="30"/>
          <w:lang w:val="en-US" w:eastAsia="zh-CN"/>
        </w:rPr>
        <w:t>131.00</w:t>
      </w:r>
      <w:r>
        <w:rPr>
          <w:rFonts w:hint="eastAsia" w:ascii="仿宋_GB2312" w:hAnsi="仿宋_GB2312" w:eastAsia="仿宋_GB2312" w:cs="仿宋_GB2312"/>
          <w:color w:val="000000"/>
          <w:sz w:val="30"/>
          <w:szCs w:val="30"/>
        </w:rPr>
        <w:t>万元，其中：</w:t>
      </w:r>
    </w:p>
    <w:p w14:paraId="54F4EF14">
      <w:pPr>
        <w:spacing w:line="600" w:lineRule="exact"/>
        <w:ind w:firstLine="645"/>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rPr>
        <w:t>人员经费</w:t>
      </w:r>
      <w:r>
        <w:rPr>
          <w:rFonts w:hint="eastAsia" w:ascii="仿宋_GB2312" w:hAnsi="仿宋_GB2312" w:eastAsia="仿宋_GB2312" w:cs="仿宋_GB2312"/>
          <w:color w:val="000000"/>
          <w:sz w:val="30"/>
          <w:szCs w:val="30"/>
          <w:lang w:val="en-US" w:eastAsia="zh-CN"/>
        </w:rPr>
        <w:t>131.00</w:t>
      </w:r>
      <w:r>
        <w:rPr>
          <w:rFonts w:hint="eastAsia" w:ascii="仿宋_GB2312" w:hAnsi="仿宋_GB2312" w:eastAsia="仿宋_GB2312" w:cs="仿宋_GB2312"/>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hint="eastAsia" w:ascii="仿宋_GB2312" w:hAnsi="仿宋_GB2312" w:eastAsia="仿宋_GB2312" w:cs="仿宋_GB2312"/>
          <w:color w:val="000000"/>
          <w:sz w:val="30"/>
          <w:szCs w:val="30"/>
        </w:rPr>
        <w:br w:type="textWrapping"/>
      </w:r>
      <w:r>
        <w:rPr>
          <w:rFonts w:hint="eastAsia" w:ascii="仿宋_GB2312" w:hAnsi="仿宋_GB2312" w:eastAsia="仿宋_GB2312" w:cs="仿宋_GB2312"/>
          <w:color w:val="000000"/>
          <w:sz w:val="30"/>
          <w:szCs w:val="30"/>
        </w:rPr>
        <w:t>　　公用经费</w:t>
      </w:r>
      <w:r>
        <w:rPr>
          <w:rFonts w:hint="eastAsia" w:ascii="仿宋_GB2312" w:hAnsi="仿宋_GB2312" w:eastAsia="仿宋_GB2312" w:cs="仿宋_GB2312"/>
          <w:color w:val="000000"/>
          <w:sz w:val="30"/>
          <w:szCs w:val="30"/>
          <w:lang w:val="en-US" w:eastAsia="zh-CN"/>
        </w:rPr>
        <w:t>0</w:t>
      </w:r>
      <w:r>
        <w:rPr>
          <w:rFonts w:hint="eastAsia" w:ascii="仿宋_GB2312" w:hAnsi="仿宋_GB2312" w:eastAsia="仿宋_GB2312" w:cs="仿宋_GB2312"/>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w:t>
      </w:r>
      <w:r>
        <w:rPr>
          <w:rFonts w:hint="eastAsia" w:ascii="仿宋_GB2312" w:hAnsi="仿宋_GB2312" w:eastAsia="仿宋_GB2312" w:cs="仿宋_GB2312"/>
          <w:color w:val="000000"/>
          <w:sz w:val="30"/>
          <w:szCs w:val="30"/>
          <w:lang w:eastAsia="zh-CN"/>
        </w:rPr>
        <w:t>支出。</w:t>
      </w:r>
    </w:p>
    <w:p w14:paraId="0F5D7687">
      <w:pPr>
        <w:spacing w:line="600" w:lineRule="exact"/>
        <w:ind w:firstLine="640"/>
        <w:rPr>
          <w:rFonts w:hint="eastAsia" w:ascii="黑体" w:eastAsia="黑体"/>
          <w:color w:val="000000"/>
          <w:sz w:val="32"/>
          <w:szCs w:val="32"/>
        </w:rPr>
      </w:pPr>
      <w:r>
        <w:rPr>
          <w:rFonts w:hint="eastAsia" w:ascii="黑体" w:eastAsia="黑体"/>
          <w:color w:val="000000"/>
          <w:sz w:val="32"/>
          <w:szCs w:val="32"/>
        </w:rPr>
        <w:t>七、“三公”经费财政拨款支出决算情况说明</w:t>
      </w:r>
    </w:p>
    <w:p w14:paraId="1A7E1EB5">
      <w:pPr>
        <w:spacing w:line="580" w:lineRule="exact"/>
        <w:ind w:firstLine="640" w:firstLineChars="200"/>
        <w:rPr>
          <w:rFonts w:hint="eastAsia" w:ascii="仿宋_GB2312" w:eastAsia="仿宋_GB2312"/>
          <w:color w:val="000000"/>
          <w:sz w:val="32"/>
          <w:szCs w:val="32"/>
        </w:rPr>
      </w:pPr>
    </w:p>
    <w:p w14:paraId="184DD9FE">
      <w:pPr>
        <w:spacing w:line="580" w:lineRule="exact"/>
        <w:ind w:firstLine="640" w:firstLineChars="200"/>
        <w:rPr>
          <w:rFonts w:hint="eastAsia" w:ascii="仿宋_GB2312" w:eastAsia="仿宋_GB2312"/>
          <w:color w:val="000000"/>
          <w:sz w:val="32"/>
          <w:szCs w:val="32"/>
        </w:rPr>
      </w:pPr>
    </w:p>
    <w:p w14:paraId="1A475253">
      <w:pPr>
        <w:spacing w:line="580" w:lineRule="exact"/>
        <w:ind w:firstLine="640" w:firstLineChars="200"/>
        <w:rPr>
          <w:rFonts w:hint="eastAsia" w:ascii="仿宋_GB2312" w:eastAsia="仿宋_GB2312"/>
          <w:color w:val="000000"/>
          <w:sz w:val="32"/>
          <w:szCs w:val="32"/>
        </w:rPr>
      </w:pPr>
    </w:p>
    <w:p w14:paraId="42C7C2B5">
      <w:pPr>
        <w:spacing w:line="580" w:lineRule="exact"/>
        <w:ind w:firstLine="640" w:firstLineChars="200"/>
        <w:rPr>
          <w:rFonts w:hint="eastAsia" w:ascii="仿宋_GB2312" w:eastAsia="仿宋_GB2312"/>
          <w:color w:val="000000"/>
          <w:sz w:val="32"/>
          <w:szCs w:val="32"/>
        </w:rPr>
      </w:pPr>
    </w:p>
    <w:p w14:paraId="1C0F8F6E">
      <w:pPr>
        <w:spacing w:line="580" w:lineRule="exact"/>
        <w:ind w:firstLine="640" w:firstLineChars="200"/>
        <w:rPr>
          <w:rFonts w:hint="eastAsia" w:ascii="仿宋_GB2312" w:eastAsia="仿宋_GB2312"/>
          <w:color w:val="000000"/>
          <w:sz w:val="32"/>
          <w:szCs w:val="32"/>
        </w:rPr>
      </w:pPr>
    </w:p>
    <w:p w14:paraId="4436EF9E">
      <w:pPr>
        <w:spacing w:line="580" w:lineRule="exact"/>
        <w:ind w:firstLine="640" w:firstLineChars="200"/>
        <w:rPr>
          <w:rFonts w:hint="eastAsia" w:ascii="仿宋_GB2312" w:eastAsia="仿宋_GB2312"/>
          <w:color w:val="000000"/>
          <w:sz w:val="32"/>
          <w:szCs w:val="32"/>
        </w:rPr>
      </w:pPr>
    </w:p>
    <w:p w14:paraId="242782EB">
      <w:pPr>
        <w:spacing w:line="580" w:lineRule="exact"/>
        <w:ind w:firstLine="640" w:firstLineChars="200"/>
        <w:rPr>
          <w:rFonts w:hint="eastAsia" w:ascii="仿宋_GB2312" w:eastAsia="仿宋_GB2312"/>
          <w:color w:val="000000"/>
          <w:sz w:val="32"/>
          <w:szCs w:val="32"/>
        </w:rPr>
      </w:pPr>
    </w:p>
    <w:p w14:paraId="0E0B87B2">
      <w:pPr>
        <w:spacing w:line="580" w:lineRule="exact"/>
        <w:ind w:firstLine="420" w:firstLineChars="200"/>
        <w:rPr>
          <w:rFonts w:hint="eastAsia" w:ascii="仿宋_GB2312" w:eastAsia="仿宋_GB2312"/>
          <w:color w:val="000000"/>
          <w:sz w:val="32"/>
          <w:szCs w:val="32"/>
        </w:rPr>
      </w:pPr>
      <w:r>
        <w:drawing>
          <wp:anchor distT="0" distB="0" distL="114300" distR="114300" simplePos="0" relativeHeight="251665408" behindDoc="0" locked="0" layoutInCell="1" allowOverlap="1">
            <wp:simplePos x="0" y="0"/>
            <wp:positionH relativeFrom="column">
              <wp:posOffset>271145</wp:posOffset>
            </wp:positionH>
            <wp:positionV relativeFrom="paragraph">
              <wp:posOffset>-2463165</wp:posOffset>
            </wp:positionV>
            <wp:extent cx="4572000" cy="2743200"/>
            <wp:effectExtent l="4445" t="4445" r="14605" b="14605"/>
            <wp:wrapSquare wrapText="bothSides"/>
            <wp:docPr id="14" name="图表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96219F9">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（一）因公出国（境）经费</w:t>
      </w:r>
    </w:p>
    <w:p w14:paraId="28E6108A">
      <w:pPr>
        <w:spacing w:line="62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年因公出国（境）费0万元,较201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年决算数持平。</w:t>
      </w:r>
    </w:p>
    <w:p w14:paraId="255BB001">
      <w:pPr>
        <w:spacing w:line="620" w:lineRule="exact"/>
        <w:ind w:firstLine="640"/>
        <w:rPr>
          <w:rFonts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年因公出国（境）团组0次，出国（境）0人。主要原因近年无因公出国.</w:t>
      </w:r>
    </w:p>
    <w:p w14:paraId="11F9E9D1">
      <w:pPr>
        <w:spacing w:line="580" w:lineRule="exact"/>
        <w:ind w:firstLine="640" w:firstLineChars="200"/>
        <w:rPr>
          <w:rFonts w:ascii="楷体_GB2312" w:eastAsia="楷体_GB2312"/>
          <w:b/>
          <w:color w:val="000000"/>
          <w:sz w:val="32"/>
          <w:szCs w:val="32"/>
        </w:rPr>
      </w:pPr>
      <w:r>
        <w:rPr>
          <w:rFonts w:hint="eastAsia" w:ascii="仿宋_GB2312" w:eastAsia="仿宋_GB2312"/>
          <w:color w:val="000000"/>
          <w:sz w:val="32"/>
          <w:szCs w:val="32"/>
        </w:rPr>
        <w:t>（二）公务接待费</w:t>
      </w:r>
    </w:p>
    <w:p w14:paraId="2B230883">
      <w:pPr>
        <w:spacing w:line="620" w:lineRule="exact"/>
        <w:ind w:firstLine="640"/>
        <w:rPr>
          <w:rFonts w:hint="eastAsia" w:ascii="仿宋_GB2312" w:eastAsia="仿宋_GB2312"/>
          <w:color w:val="0000FF"/>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年公务接待费0万元,较201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年决算数持平。</w:t>
      </w:r>
    </w:p>
    <w:p w14:paraId="01184DF3">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（三）公务用车购置及运行维护费</w:t>
      </w:r>
    </w:p>
    <w:p w14:paraId="195C60F1">
      <w:pPr>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年公务用车购置及运行维护费</w:t>
      </w:r>
      <w:r>
        <w:rPr>
          <w:rFonts w:hint="eastAsia" w:ascii="仿宋_GB2312" w:eastAsia="仿宋_GB2312"/>
          <w:color w:val="000000"/>
          <w:sz w:val="32"/>
          <w:szCs w:val="32"/>
          <w:lang w:val="en-US" w:eastAsia="zh-CN"/>
        </w:rPr>
        <w:t>3.73</w:t>
      </w:r>
      <w:r>
        <w:rPr>
          <w:rFonts w:hint="eastAsia" w:ascii="仿宋_GB2312" w:eastAsia="仿宋_GB2312"/>
          <w:color w:val="000000"/>
          <w:sz w:val="32"/>
          <w:szCs w:val="32"/>
        </w:rPr>
        <w:t>万元,较201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年决算数</w:t>
      </w:r>
      <w:r>
        <w:rPr>
          <w:rFonts w:hint="eastAsia" w:ascii="仿宋_GB2312" w:eastAsia="仿宋_GB2312"/>
          <w:color w:val="000000"/>
          <w:sz w:val="32"/>
          <w:szCs w:val="32"/>
          <w:lang w:eastAsia="zh-CN"/>
        </w:rPr>
        <w:t>上涨</w:t>
      </w:r>
      <w:r>
        <w:rPr>
          <w:rFonts w:hint="eastAsia" w:ascii="仿宋_GB2312" w:eastAsia="仿宋_GB2312"/>
          <w:color w:val="000000"/>
          <w:sz w:val="32"/>
          <w:szCs w:val="32"/>
        </w:rPr>
        <w:t>0.</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万元，主要原因是</w:t>
      </w:r>
      <w:bookmarkStart w:id="49" w:name="_GoBack"/>
      <w:bookmarkEnd w:id="49"/>
      <w:r>
        <w:rPr>
          <w:rFonts w:hint="eastAsia" w:ascii="仿宋_GB2312" w:eastAsia="仿宋_GB2312"/>
          <w:color w:val="000000"/>
          <w:sz w:val="32"/>
          <w:szCs w:val="32"/>
          <w:lang w:eastAsia="zh-CN"/>
        </w:rPr>
        <w:t>车辆年限已久，维修费增加及公卫下队工作增加</w:t>
      </w:r>
      <w:r>
        <w:rPr>
          <w:rFonts w:hint="eastAsia" w:ascii="仿宋_GB2312" w:eastAsia="仿宋_GB2312"/>
          <w:color w:val="000000"/>
          <w:sz w:val="32"/>
          <w:szCs w:val="32"/>
        </w:rPr>
        <w:t>。</w:t>
      </w:r>
    </w:p>
    <w:p w14:paraId="1C5D7BA2">
      <w:pPr>
        <w:spacing w:line="62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至201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年12月底，单位共有公务用车2辆，其中：奥拓车1辆,救护车1辆。</w:t>
      </w:r>
    </w:p>
    <w:p w14:paraId="3EDE6A22">
      <w:pPr>
        <w:spacing w:line="600" w:lineRule="exact"/>
        <w:ind w:firstLine="645"/>
        <w:rPr>
          <w:rFonts w:hint="eastAsia" w:ascii="仿宋_GB2312" w:hAnsi="仿宋_GB2312" w:eastAsia="仿宋_GB2312" w:cs="仿宋_GB2312"/>
          <w:color w:val="000000"/>
          <w:sz w:val="30"/>
          <w:szCs w:val="30"/>
          <w:lang w:eastAsia="zh-CN"/>
        </w:rPr>
      </w:pPr>
    </w:p>
    <w:p w14:paraId="16861145">
      <w:pPr>
        <w:spacing w:line="600" w:lineRule="exact"/>
        <w:ind w:firstLine="301" w:firstLineChars="100"/>
        <w:rPr>
          <w:rFonts w:hint="eastAsia"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八、 政府性基金预算财政拨款支出决算情况</w:t>
      </w:r>
    </w:p>
    <w:p w14:paraId="63C8B613">
      <w:pPr>
        <w:numPr>
          <w:ilvl w:val="0"/>
          <w:numId w:val="0"/>
        </w:numPr>
        <w:spacing w:line="600" w:lineRule="exact"/>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前进镇卫生院2018年使用政府性基金预算财政拨款支出0万元。</w:t>
      </w:r>
    </w:p>
    <w:p w14:paraId="442AEDD7">
      <w:pPr>
        <w:numPr>
          <w:ilvl w:val="0"/>
          <w:numId w:val="2"/>
        </w:numPr>
        <w:spacing w:line="600" w:lineRule="exact"/>
        <w:ind w:firstLine="640"/>
        <w:outlineLvl w:val="1"/>
        <w:rPr>
          <w:rStyle w:val="26"/>
          <w:rFonts w:ascii="黑体" w:hAnsi="黑体" w:eastAsia="黑体"/>
          <w:b w:val="0"/>
        </w:rPr>
      </w:pPr>
      <w:bookmarkStart w:id="22" w:name="_Toc15396611"/>
      <w:bookmarkStart w:id="23" w:name="_Toc15377219"/>
      <w:r>
        <w:rPr>
          <w:rStyle w:val="26"/>
          <w:rFonts w:hint="eastAsia" w:ascii="黑体" w:hAnsi="黑体" w:eastAsia="黑体"/>
          <w:b w:val="0"/>
        </w:rPr>
        <w:t>国有资本经营预算支出决算情况说明</w:t>
      </w:r>
      <w:bookmarkEnd w:id="22"/>
      <w:bookmarkEnd w:id="23"/>
    </w:p>
    <w:p w14:paraId="152DECDC">
      <w:pPr>
        <w:spacing w:line="580" w:lineRule="exact"/>
        <w:rPr>
          <w:rFonts w:hint="eastAsia" w:ascii="仿宋_GB2312" w:eastAsia="仿宋_GB2312"/>
          <w:color w:val="000000"/>
          <w:sz w:val="32"/>
          <w:szCs w:val="32"/>
        </w:rPr>
      </w:pPr>
      <w:r>
        <w:rPr>
          <w:rFonts w:hint="eastAsia" w:ascii="仿宋_GB2312" w:eastAsia="仿宋_GB2312"/>
          <w:color w:val="000000"/>
          <w:sz w:val="32"/>
          <w:szCs w:val="32"/>
          <w:lang w:val="en-US" w:eastAsia="zh-CN"/>
        </w:rPr>
        <w:t xml:space="preserve">   前进镇卫生</w:t>
      </w:r>
      <w:r>
        <w:rPr>
          <w:rFonts w:hint="eastAsia" w:ascii="仿宋_GB2312" w:hAnsi="仿宋_GB2312" w:eastAsia="仿宋_GB2312" w:cs="仿宋_GB2312"/>
          <w:color w:val="000000"/>
          <w:sz w:val="30"/>
          <w:szCs w:val="30"/>
          <w:lang w:val="en-US" w:eastAsia="zh-CN"/>
        </w:rPr>
        <w:t>院</w:t>
      </w: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14:paraId="45C08357">
      <w:pPr>
        <w:spacing w:line="600" w:lineRule="exact"/>
        <w:ind w:firstLine="640" w:firstLineChars="200"/>
        <w:outlineLvl w:val="1"/>
        <w:rPr>
          <w:rStyle w:val="26"/>
          <w:rFonts w:ascii="黑体" w:hAnsi="黑体" w:eastAsia="黑体"/>
        </w:rPr>
      </w:pPr>
      <w:r>
        <w:rPr>
          <w:rStyle w:val="26"/>
          <w:rFonts w:hint="eastAsia" w:ascii="黑体" w:hAnsi="黑体" w:eastAsia="黑体"/>
          <w:b w:val="0"/>
        </w:rPr>
        <w:t>十、</w:t>
      </w:r>
      <w:bookmarkStart w:id="24" w:name="_Toc15377221"/>
      <w:bookmarkStart w:id="25" w:name="_Toc15396612"/>
      <w:r>
        <w:rPr>
          <w:rStyle w:val="26"/>
          <w:rFonts w:hint="eastAsia" w:ascii="黑体" w:hAnsi="黑体" w:eastAsia="黑体"/>
          <w:b w:val="0"/>
        </w:rPr>
        <w:t>其他重要事项的情况说明</w:t>
      </w:r>
      <w:bookmarkEnd w:id="24"/>
      <w:bookmarkEnd w:id="25"/>
    </w:p>
    <w:p w14:paraId="60404BD2">
      <w:pPr>
        <w:spacing w:line="600" w:lineRule="exact"/>
        <w:ind w:firstLine="643" w:firstLineChars="200"/>
        <w:outlineLvl w:val="2"/>
        <w:rPr>
          <w:rFonts w:ascii="仿宋" w:hAnsi="仿宋" w:eastAsia="仿宋"/>
          <w:color w:val="000000"/>
          <w:sz w:val="32"/>
          <w:szCs w:val="32"/>
        </w:rPr>
      </w:pPr>
      <w:bookmarkStart w:id="26" w:name="_Toc15377222"/>
      <w:r>
        <w:rPr>
          <w:rFonts w:hint="eastAsia" w:ascii="仿宋" w:hAnsi="仿宋" w:eastAsia="仿宋"/>
          <w:b/>
          <w:color w:val="000000"/>
          <w:sz w:val="32"/>
          <w:szCs w:val="32"/>
        </w:rPr>
        <w:t>（一）机关运行经费支出情况</w:t>
      </w:r>
      <w:bookmarkEnd w:id="26"/>
    </w:p>
    <w:p w14:paraId="7C055EE4">
      <w:pPr>
        <w:spacing w:line="600" w:lineRule="exact"/>
        <w:ind w:firstLine="640"/>
        <w:rPr>
          <w:rFonts w:hint="eastAsia" w:ascii="仿宋" w:hAnsi="仿宋" w:eastAsia="仿宋"/>
          <w:b/>
          <w:color w:val="000000"/>
          <w:sz w:val="32"/>
          <w:szCs w:val="32"/>
          <w:lang w:eastAsia="zh-CN"/>
        </w:rPr>
      </w:pPr>
      <w:r>
        <w:rPr>
          <w:rFonts w:hint="eastAsia" w:ascii="仿宋_GB2312" w:hAnsi="仿宋_GB2312" w:eastAsia="仿宋_GB2312" w:cs="仿宋_GB2312"/>
          <w:color w:val="000000"/>
          <w:sz w:val="30"/>
          <w:szCs w:val="30"/>
          <w:lang w:val="en-US" w:eastAsia="zh-CN"/>
        </w:rPr>
        <w:t>前进镇卫生院无机关运行经费支出。</w:t>
      </w:r>
    </w:p>
    <w:p w14:paraId="23F5798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27" w:name="_Toc15377223"/>
      <w:r>
        <w:rPr>
          <w:rFonts w:hint="eastAsia" w:ascii="仿宋" w:hAnsi="仿宋" w:eastAsia="仿宋"/>
          <w:b/>
          <w:color w:val="000000"/>
          <w:sz w:val="32"/>
          <w:szCs w:val="32"/>
        </w:rPr>
        <w:t>（二）政府采购支出情况</w:t>
      </w:r>
      <w:bookmarkEnd w:id="27"/>
    </w:p>
    <w:p w14:paraId="2AE4E9B6">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eastAsia="zh-CN"/>
        </w:rPr>
        <w:t>前进镇卫生院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8.21</w:t>
      </w:r>
      <w:r>
        <w:rPr>
          <w:rFonts w:hint="eastAsia" w:ascii="仿宋_GB2312" w:eastAsia="仿宋_GB2312"/>
          <w:color w:val="000000"/>
          <w:sz w:val="32"/>
          <w:szCs w:val="32"/>
        </w:rPr>
        <w:t>万元，其中：政府采购</w:t>
      </w:r>
      <w:r>
        <w:rPr>
          <w:rFonts w:hint="eastAsia" w:ascii="仿宋_GB2312" w:eastAsia="仿宋_GB2312"/>
          <w:color w:val="000000"/>
          <w:sz w:val="32"/>
          <w:szCs w:val="32"/>
          <w:lang w:eastAsia="zh-CN"/>
        </w:rPr>
        <w:t>办公用品</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8.21</w:t>
      </w:r>
      <w:r>
        <w:rPr>
          <w:rFonts w:hint="eastAsia" w:ascii="仿宋_GB2312" w:eastAsia="仿宋_GB2312"/>
          <w:color w:val="000000"/>
          <w:sz w:val="32"/>
          <w:szCs w:val="32"/>
        </w:rPr>
        <w:t>万元、采购</w:t>
      </w:r>
      <w:r>
        <w:rPr>
          <w:rFonts w:hint="eastAsia" w:ascii="仿宋_GB2312" w:eastAsia="仿宋_GB2312"/>
          <w:color w:val="000000"/>
          <w:sz w:val="32"/>
          <w:szCs w:val="32"/>
          <w:lang w:eastAsia="zh-CN"/>
        </w:rPr>
        <w:t>专用设备</w:t>
      </w:r>
      <w:r>
        <w:rPr>
          <w:rFonts w:hint="eastAsia" w:ascii="仿宋_GB2312" w:eastAsia="仿宋_GB2312"/>
          <w:color w:val="000000"/>
          <w:sz w:val="32"/>
          <w:szCs w:val="32"/>
        </w:rPr>
        <w:t>支出万元、政府采购工程支出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6D75E8C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28" w:name="_Toc15377224"/>
      <w:r>
        <w:rPr>
          <w:rFonts w:hint="eastAsia" w:ascii="仿宋" w:hAnsi="仿宋" w:eastAsia="仿宋"/>
          <w:b/>
          <w:color w:val="000000"/>
          <w:sz w:val="32"/>
          <w:szCs w:val="32"/>
        </w:rPr>
        <w:t>（三）国有资产占有使用情况</w:t>
      </w:r>
      <w:bookmarkEnd w:id="28"/>
    </w:p>
    <w:p w14:paraId="5841BA6D">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前进镇卫生院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w:t>
      </w:r>
      <w:r>
        <w:rPr>
          <w:rFonts w:hint="eastAsia" w:ascii="仿宋_GB2312" w:eastAsia="仿宋_GB2312"/>
          <w:color w:val="000000" w:themeColor="text1"/>
          <w:sz w:val="32"/>
          <w:szCs w:val="32"/>
          <w:lang w:eastAsia="zh-CN"/>
        </w:rPr>
        <w:t>公共卫生下乡体检用。</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4F5F0AA0">
      <w:pPr>
        <w:spacing w:line="600" w:lineRule="atLeast"/>
        <w:ind w:firstLine="643" w:firstLineChars="200"/>
        <w:rPr>
          <w:rFonts w:ascii="仿宋_GB2312" w:eastAsia="仿宋_GB2312"/>
          <w:b/>
          <w:color w:val="000000"/>
          <w:sz w:val="32"/>
          <w:szCs w:val="32"/>
        </w:rPr>
      </w:pPr>
    </w:p>
    <w:p w14:paraId="764B83C7">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627F31F7">
      <w:pPr>
        <w:numPr>
          <w:ilvl w:val="0"/>
          <w:numId w:val="3"/>
        </w:numPr>
        <w:spacing w:line="600" w:lineRule="exact"/>
        <w:ind w:firstLine="663" w:firstLineChars="150"/>
        <w:jc w:val="center"/>
        <w:outlineLvl w:val="0"/>
        <w:rPr>
          <w:rStyle w:val="25"/>
          <w:rFonts w:ascii="黑体" w:hAnsi="黑体" w:eastAsia="黑体"/>
          <w:b w:val="0"/>
        </w:rPr>
      </w:pPr>
      <w:bookmarkStart w:id="29" w:name="_Toc15377225"/>
      <w:bookmarkStart w:id="30" w:name="_Toc15396613"/>
      <w:r>
        <w:rPr>
          <w:rFonts w:hint="eastAsia" w:ascii="黑体" w:hAnsi="黑体" w:eastAsia="黑体"/>
          <w:b/>
          <w:color w:val="000000"/>
          <w:sz w:val="44"/>
          <w:szCs w:val="44"/>
        </w:rPr>
        <w:t>名</w:t>
      </w:r>
      <w:r>
        <w:rPr>
          <w:rStyle w:val="25"/>
          <w:rFonts w:hint="eastAsia" w:ascii="黑体" w:hAnsi="黑体" w:eastAsia="黑体"/>
          <w:b w:val="0"/>
        </w:rPr>
        <w:t>词解释</w:t>
      </w:r>
      <w:bookmarkEnd w:id="29"/>
      <w:bookmarkEnd w:id="30"/>
    </w:p>
    <w:p w14:paraId="5251D2A6">
      <w:pPr>
        <w:spacing w:line="600" w:lineRule="exact"/>
        <w:jc w:val="left"/>
        <w:rPr>
          <w:rFonts w:ascii="宋体"/>
          <w:b/>
          <w:color w:val="000000"/>
          <w:sz w:val="44"/>
          <w:szCs w:val="44"/>
        </w:rPr>
      </w:pPr>
    </w:p>
    <w:p w14:paraId="5DAEE02F">
      <w:pPr>
        <w:pStyle w:val="12"/>
        <w:shd w:val="clear" w:color="auto" w:fill="FFFFFF"/>
        <w:spacing w:before="150" w:beforeAutospacing="0" w:after="150" w:afterAutospacing="0" w:line="540" w:lineRule="exact"/>
        <w:ind w:firstLine="643" w:firstLineChars="200"/>
        <w:rPr>
          <w:rFonts w:hint="eastAsia" w:ascii="仿宋_GB2312" w:hAnsi="Times New Roman" w:eastAsia="仿宋_GB2312" w:cs="Times New Roman"/>
          <w:color w:val="000000"/>
          <w:sz w:val="32"/>
          <w:szCs w:val="32"/>
        </w:rPr>
      </w:pPr>
      <w:bookmarkStart w:id="31" w:name="_Toc15377226"/>
      <w:r>
        <w:rPr>
          <w:rFonts w:hint="eastAsia" w:ascii="仿宋_GB2312" w:hAnsi="Times New Roman" w:eastAsia="仿宋_GB2312" w:cs="Times New Roman"/>
          <w:b/>
          <w:color w:val="000000"/>
          <w:sz w:val="32"/>
          <w:szCs w:val="32"/>
        </w:rPr>
        <w:t>1.财政拨款收入：</w:t>
      </w:r>
      <w:r>
        <w:rPr>
          <w:rFonts w:hint="eastAsia" w:ascii="仿宋_GB2312" w:hAnsi="Times New Roman" w:eastAsia="仿宋_GB2312" w:cs="Times New Roman"/>
          <w:color w:val="000000"/>
          <w:sz w:val="32"/>
          <w:szCs w:val="32"/>
        </w:rPr>
        <w:t>指财政当年拨付的资金。</w:t>
      </w:r>
    </w:p>
    <w:p w14:paraId="5A8B974C">
      <w:pPr>
        <w:pStyle w:val="12"/>
        <w:shd w:val="clear" w:color="auto" w:fill="FFFFFF"/>
        <w:spacing w:before="150" w:beforeAutospacing="0" w:after="150" w:afterAutospacing="0" w:line="540" w:lineRule="exact"/>
        <w:ind w:firstLine="643" w:firstLineChars="200"/>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2.事业收入：</w:t>
      </w:r>
      <w:r>
        <w:rPr>
          <w:rFonts w:hint="eastAsia" w:ascii="仿宋_GB2312" w:hAnsi="Times New Roman" w:eastAsia="仿宋_GB2312" w:cs="Times New Roman"/>
          <w:color w:val="000000"/>
          <w:sz w:val="32"/>
          <w:szCs w:val="32"/>
        </w:rPr>
        <w:t>指事业单位开展专业业务活动及辅助活动所取得的收入。</w:t>
      </w:r>
    </w:p>
    <w:p w14:paraId="21001313">
      <w:pPr>
        <w:pStyle w:val="12"/>
        <w:shd w:val="clear" w:color="auto" w:fill="FFFFFF"/>
        <w:spacing w:before="150" w:beforeAutospacing="0" w:after="150" w:afterAutospacing="0" w:line="540" w:lineRule="exact"/>
        <w:ind w:firstLine="645"/>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3.经营收入：</w:t>
      </w:r>
      <w:r>
        <w:rPr>
          <w:rFonts w:hint="eastAsia" w:ascii="仿宋_GB2312" w:hAnsi="Times New Roman" w:eastAsia="仿宋_GB2312" w:cs="Times New Roman"/>
          <w:color w:val="000000"/>
          <w:sz w:val="32"/>
          <w:szCs w:val="32"/>
        </w:rPr>
        <w:t>指事业单位在专业业务活动及其辅助活动之外开展非独立核算经营活动取得的收入。</w:t>
      </w:r>
    </w:p>
    <w:p w14:paraId="2775D432">
      <w:pPr>
        <w:pStyle w:val="12"/>
        <w:shd w:val="clear" w:color="auto" w:fill="FFFFFF"/>
        <w:spacing w:before="150" w:beforeAutospacing="0" w:after="150" w:afterAutospacing="0" w:line="540" w:lineRule="exact"/>
        <w:ind w:firstLine="645"/>
        <w:rPr>
          <w:rFonts w:hint="eastAsia" w:ascii="仿宋_GB2312" w:hAnsi="Times New Roman" w:eastAsia="仿宋_GB2312" w:cs="Times New Roman"/>
          <w:color w:val="000000"/>
          <w:sz w:val="32"/>
          <w:szCs w:val="32"/>
        </w:rPr>
      </w:pPr>
      <w:r>
        <w:rPr>
          <w:rFonts w:hint="eastAsia" w:ascii="仿宋_GB2312" w:hAnsi="Times New Roman" w:eastAsia="仿宋_GB2312" w:cs="Times New Roman"/>
          <w:b/>
          <w:color w:val="000000"/>
          <w:sz w:val="32"/>
          <w:szCs w:val="32"/>
        </w:rPr>
        <w:t>4.其他收入：</w:t>
      </w:r>
      <w:r>
        <w:rPr>
          <w:rFonts w:hint="eastAsia" w:ascii="仿宋_GB2312" w:hAnsi="Times New Roman" w:eastAsia="仿宋_GB2312" w:cs="Times New Roman"/>
          <w:color w:val="000000"/>
          <w:sz w:val="32"/>
          <w:szCs w:val="32"/>
        </w:rPr>
        <w:t>指除上述“财政拨款收入”、“事业收入”、“经营收入”等以外的收入。</w:t>
      </w:r>
    </w:p>
    <w:p w14:paraId="47FB047D">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5.用事业基金弥补收支差额：</w:t>
      </w:r>
      <w:r>
        <w:rPr>
          <w:rFonts w:hint="eastAsia" w:ascii="仿宋_GB2312" w:hAnsi="Times New Roman" w:eastAsia="仿宋_GB2312" w:cs="Times New Roman"/>
          <w:color w:val="000000"/>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86CD26C">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6.年初结转和结余：</w:t>
      </w:r>
      <w:r>
        <w:rPr>
          <w:rFonts w:hint="eastAsia" w:ascii="仿宋_GB2312" w:hAnsi="Times New Roman" w:eastAsia="仿宋_GB2312" w:cs="Times New Roman"/>
          <w:color w:val="000000"/>
          <w:sz w:val="32"/>
          <w:szCs w:val="32"/>
        </w:rPr>
        <w:t>指以前年度尚未完成、结转到本年按有关规定继续使用的资金。</w:t>
      </w:r>
    </w:p>
    <w:p w14:paraId="208B2C11">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7.结余分配：</w:t>
      </w:r>
      <w:r>
        <w:rPr>
          <w:rFonts w:hint="eastAsia" w:ascii="仿宋_GB2312" w:hAnsi="Times New Roman" w:eastAsia="仿宋_GB2312" w:cs="Times New Roman"/>
          <w:color w:val="000000"/>
          <w:sz w:val="32"/>
          <w:szCs w:val="32"/>
        </w:rPr>
        <w:t>指事业单位按规定提取的职工福利基金、事业基金和缴纳的所得税，以及建设单位按规定应交回的基本建设竣工项目结余资金。</w:t>
      </w:r>
    </w:p>
    <w:p w14:paraId="2B6A28A2">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8.年末结转和结余：</w:t>
      </w:r>
      <w:r>
        <w:rPr>
          <w:rFonts w:hint="eastAsia" w:ascii="仿宋_GB2312" w:hAnsi="Times New Roman" w:eastAsia="仿宋_GB2312" w:cs="Times New Roman"/>
          <w:color w:val="000000"/>
          <w:sz w:val="32"/>
          <w:szCs w:val="32"/>
        </w:rPr>
        <w:t>指本年度或以前年度预算安排、因客观条件发生变化无法按原计划实施，需延迟到以后年度按有关规定继续使用的资金。</w:t>
      </w:r>
    </w:p>
    <w:p w14:paraId="768649FB">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9.基本支出：</w:t>
      </w:r>
      <w:r>
        <w:rPr>
          <w:rFonts w:hint="eastAsia" w:ascii="仿宋_GB2312" w:hAnsi="Times New Roman" w:eastAsia="仿宋_GB2312" w:cs="Times New Roman"/>
          <w:color w:val="000000"/>
          <w:sz w:val="32"/>
          <w:szCs w:val="32"/>
        </w:rPr>
        <w:t>指为保障机构正常运转、完成日常工作任务而发生的人员支出和公用支出。</w:t>
      </w:r>
    </w:p>
    <w:p w14:paraId="42C86069">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10.项目支出：</w:t>
      </w:r>
      <w:r>
        <w:rPr>
          <w:rFonts w:hint="eastAsia" w:ascii="仿宋_GB2312" w:hAnsi="Times New Roman" w:eastAsia="仿宋_GB2312" w:cs="Times New Roman"/>
          <w:color w:val="000000"/>
          <w:sz w:val="32"/>
          <w:szCs w:val="32"/>
        </w:rPr>
        <w:t>指在基本支出之外为完成特定行政任务和事业发展目标所发生的支出。</w:t>
      </w:r>
    </w:p>
    <w:p w14:paraId="21D32483">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11.经营支出：</w:t>
      </w:r>
      <w:r>
        <w:rPr>
          <w:rFonts w:hint="eastAsia" w:ascii="仿宋_GB2312" w:hAnsi="Times New Roman" w:eastAsia="仿宋_GB2312" w:cs="Times New Roman"/>
          <w:color w:val="000000"/>
          <w:sz w:val="32"/>
          <w:szCs w:val="32"/>
        </w:rPr>
        <w:t>指事业单位在专业业务活动及其辅助活动之外开展非独立核算经营活动发生的支出。</w:t>
      </w:r>
    </w:p>
    <w:p w14:paraId="0479FA84">
      <w:pPr>
        <w:pStyle w:val="12"/>
        <w:shd w:val="clear" w:color="auto" w:fill="FFFFFF"/>
        <w:spacing w:before="150" w:beforeAutospacing="0" w:after="150" w:afterAutospacing="0" w:line="540" w:lineRule="exact"/>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w:t>
      </w:r>
      <w:r>
        <w:rPr>
          <w:rFonts w:hint="eastAsia" w:ascii="仿宋_GB2312" w:hAnsi="Times New Roman" w:eastAsia="仿宋_GB2312" w:cs="Times New Roman"/>
          <w:b/>
          <w:color w:val="000000"/>
          <w:sz w:val="32"/>
          <w:szCs w:val="32"/>
        </w:rPr>
        <w:t>12.“三公”经费：</w:t>
      </w:r>
      <w:r>
        <w:rPr>
          <w:rFonts w:hint="eastAsia" w:ascii="仿宋_GB2312" w:hAnsi="Times New Roman" w:eastAsia="仿宋_GB2312" w:cs="Times New Roman"/>
          <w:color w:val="000000"/>
          <w:sz w:val="32"/>
          <w:szCs w:val="32"/>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4E1E1AE">
      <w:pPr>
        <w:pStyle w:val="12"/>
        <w:shd w:val="clear" w:color="auto" w:fill="FFFFFF"/>
        <w:spacing w:before="150" w:beforeAutospacing="0" w:after="150" w:afterAutospacing="0" w:line="540" w:lineRule="exact"/>
        <w:ind w:firstLine="630"/>
        <w:rPr>
          <w:rFonts w:hint="eastAsia" w:ascii="仿宋_GB2312" w:hAnsi="Times New Roman" w:eastAsia="仿宋_GB2312" w:cs="Times New Roman"/>
          <w:color w:val="FF0000"/>
          <w:sz w:val="32"/>
          <w:szCs w:val="32"/>
        </w:rPr>
      </w:pPr>
      <w:r>
        <w:rPr>
          <w:rFonts w:hint="eastAsia" w:ascii="仿宋_GB2312" w:hAnsi="Times New Roman" w:eastAsia="仿宋_GB2312" w:cs="Times New Roman"/>
          <w:b/>
          <w:color w:val="000000"/>
          <w:sz w:val="32"/>
          <w:szCs w:val="32"/>
        </w:rPr>
        <w:t>13.机关运行经费：</w:t>
      </w:r>
      <w:r>
        <w:rPr>
          <w:rFonts w:hint="eastAsia" w:ascii="仿宋_GB2312" w:hAnsi="Times New Roman" w:eastAsia="仿宋_GB2312"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1AEBBB">
      <w:pPr>
        <w:spacing w:line="600" w:lineRule="exact"/>
        <w:jc w:val="center"/>
        <w:outlineLvl w:val="0"/>
        <w:rPr>
          <w:rStyle w:val="25"/>
          <w:rFonts w:ascii="黑体" w:hAnsi="黑体" w:eastAsia="黑体"/>
          <w:b w:val="0"/>
        </w:rPr>
      </w:pPr>
      <w:r>
        <w:rPr>
          <w:rFonts w:ascii="宋体"/>
          <w:b/>
          <w:color w:val="000000"/>
          <w:sz w:val="44"/>
          <w:szCs w:val="44"/>
        </w:rPr>
        <w:br w:type="page"/>
      </w:r>
      <w:bookmarkStart w:id="32"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32"/>
    </w:p>
    <w:p w14:paraId="253003AE">
      <w:pPr>
        <w:spacing w:line="600" w:lineRule="exact"/>
        <w:jc w:val="center"/>
        <w:outlineLvl w:val="0"/>
        <w:rPr>
          <w:rStyle w:val="25"/>
        </w:rPr>
      </w:pPr>
    </w:p>
    <w:p w14:paraId="5283019F">
      <w:pPr>
        <w:pStyle w:val="3"/>
        <w:rPr>
          <w:rStyle w:val="25"/>
          <w:rFonts w:ascii="仿宋" w:hAnsi="仿宋" w:eastAsia="仿宋"/>
          <w:b w:val="0"/>
          <w:bCs w:val="0"/>
          <w:sz w:val="32"/>
          <w:szCs w:val="32"/>
        </w:rPr>
      </w:pPr>
      <w:bookmarkStart w:id="33" w:name="_Toc15396615"/>
      <w:r>
        <w:rPr>
          <w:rStyle w:val="25"/>
          <w:rFonts w:hint="eastAsia" w:ascii="仿宋" w:hAnsi="仿宋" w:eastAsia="仿宋"/>
          <w:b w:val="0"/>
          <w:bCs w:val="0"/>
          <w:sz w:val="32"/>
          <w:szCs w:val="32"/>
        </w:rPr>
        <w:t>附件1</w:t>
      </w:r>
      <w:bookmarkEnd w:id="33"/>
    </w:p>
    <w:p w14:paraId="0FDC739F">
      <w:pPr>
        <w:spacing w:line="600" w:lineRule="exact"/>
        <w:jc w:val="center"/>
        <w:outlineLvl w:val="0"/>
        <w:rPr>
          <w:rFonts w:hint="eastAsia" w:ascii="黑体" w:hAnsi="黑体" w:eastAsia="黑体" w:cs="方正小标宋简体"/>
          <w:sz w:val="36"/>
          <w:szCs w:val="36"/>
          <w:lang w:eastAsia="zh-CN"/>
        </w:rPr>
      </w:pPr>
      <w:bookmarkStart w:id="34" w:name="_Toc15396616"/>
      <w:r>
        <w:rPr>
          <w:rFonts w:hint="eastAsia" w:ascii="黑体" w:hAnsi="黑体" w:eastAsia="黑体" w:cs="方正小标宋简体"/>
          <w:sz w:val="36"/>
          <w:szCs w:val="36"/>
          <w:lang w:eastAsia="zh-CN"/>
        </w:rPr>
        <w:t>攀枝花市仁和区前进镇卫生院</w:t>
      </w:r>
    </w:p>
    <w:p w14:paraId="7F91C672">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部门2018年部门整体支出绩效评价报告</w:t>
      </w:r>
      <w:bookmarkEnd w:id="34"/>
    </w:p>
    <w:p w14:paraId="37E667B4">
      <w:pPr>
        <w:spacing w:line="580" w:lineRule="exact"/>
        <w:ind w:firstLine="640" w:firstLineChars="200"/>
        <w:rPr>
          <w:rFonts w:ascii="黑体" w:hAnsi="黑体" w:eastAsia="黑体" w:cs="黑体"/>
          <w:sz w:val="32"/>
          <w:szCs w:val="32"/>
        </w:rPr>
      </w:pPr>
    </w:p>
    <w:p w14:paraId="23DE86AE">
      <w:pPr>
        <w:rPr>
          <w:rFonts w:hint="eastAsia"/>
          <w:sz w:val="32"/>
          <w:szCs w:val="32"/>
          <w:lang w:val="zh-CN"/>
        </w:rPr>
      </w:pPr>
      <w:r>
        <w:rPr>
          <w:rFonts w:hint="eastAsia"/>
          <w:sz w:val="32"/>
          <w:szCs w:val="32"/>
        </w:rPr>
        <w:t>一、</w:t>
      </w:r>
      <w:r>
        <w:rPr>
          <w:rFonts w:hint="eastAsia"/>
          <w:sz w:val="32"/>
          <w:szCs w:val="32"/>
          <w:lang w:val="zh-CN"/>
        </w:rPr>
        <w:t>部门概况</w:t>
      </w:r>
    </w:p>
    <w:p w14:paraId="37C2BB14">
      <w:pPr>
        <w:rPr>
          <w:rFonts w:hint="eastAsia"/>
          <w:sz w:val="32"/>
          <w:szCs w:val="32"/>
        </w:rPr>
      </w:pPr>
      <w:r>
        <w:rPr>
          <w:rFonts w:hint="eastAsia"/>
          <w:sz w:val="32"/>
          <w:szCs w:val="32"/>
          <w:lang w:val="en-US" w:eastAsia="zh-CN"/>
        </w:rPr>
        <w:t>1</w:t>
      </w:r>
      <w:r>
        <w:rPr>
          <w:rFonts w:hint="eastAsia"/>
          <w:sz w:val="32"/>
          <w:szCs w:val="32"/>
        </w:rPr>
        <w:t>、基本职能</w:t>
      </w:r>
    </w:p>
    <w:p w14:paraId="4268D36C">
      <w:pPr>
        <w:ind w:firstLine="640" w:firstLineChars="200"/>
        <w:rPr>
          <w:rFonts w:hint="eastAsia"/>
          <w:sz w:val="32"/>
          <w:szCs w:val="32"/>
        </w:rPr>
      </w:pPr>
      <w:r>
        <w:rPr>
          <w:rFonts w:hint="eastAsia"/>
          <w:sz w:val="32"/>
          <w:szCs w:val="32"/>
        </w:rPr>
        <w:t>攀枝花市仁和区前进镇卫生院位于仁和区前进镇前进路298号，幅员面积106.82 平方公里，总人口20144人。</w:t>
      </w:r>
    </w:p>
    <w:p w14:paraId="38762D56">
      <w:pPr>
        <w:rPr>
          <w:rFonts w:hint="eastAsia"/>
          <w:sz w:val="32"/>
          <w:szCs w:val="32"/>
        </w:rPr>
      </w:pPr>
      <w:r>
        <w:rPr>
          <w:rFonts w:hint="eastAsia"/>
          <w:sz w:val="32"/>
          <w:szCs w:val="32"/>
        </w:rPr>
        <w:t>基本职能：为辖区内的居民提供基本医疗服务，做好疾病预防.传染病预防.计划免疫.慢性病的筛查和管理.精神病管理.妇女保健.儿童保健.老年保健.残疾康复训练指导.健康知识指导宣传.计划生育服务宣传.优生优育宣传。</w:t>
      </w:r>
    </w:p>
    <w:p w14:paraId="1E046177">
      <w:pPr>
        <w:rPr>
          <w:rFonts w:hint="eastAsia"/>
          <w:sz w:val="32"/>
          <w:szCs w:val="32"/>
        </w:rPr>
      </w:pPr>
      <w:r>
        <w:rPr>
          <w:rFonts w:hint="eastAsia"/>
          <w:sz w:val="32"/>
          <w:szCs w:val="32"/>
          <w:lang w:val="en-US" w:eastAsia="zh-CN"/>
        </w:rPr>
        <w:t>2</w:t>
      </w:r>
      <w:r>
        <w:rPr>
          <w:rFonts w:hint="eastAsia"/>
          <w:sz w:val="32"/>
          <w:szCs w:val="32"/>
        </w:rPr>
        <w:t>、</w:t>
      </w:r>
      <w:r>
        <w:rPr>
          <w:rFonts w:hint="eastAsia"/>
          <w:sz w:val="32"/>
          <w:szCs w:val="32"/>
          <w:lang w:eastAsia="zh-CN"/>
        </w:rPr>
        <w:t>人员</w:t>
      </w:r>
      <w:r>
        <w:rPr>
          <w:rFonts w:hint="eastAsia"/>
          <w:sz w:val="32"/>
          <w:szCs w:val="32"/>
        </w:rPr>
        <w:t>情况</w:t>
      </w:r>
    </w:p>
    <w:p w14:paraId="0A3DF266">
      <w:pPr>
        <w:ind w:firstLine="640" w:firstLineChars="200"/>
        <w:rPr>
          <w:rFonts w:hint="eastAsia"/>
          <w:sz w:val="32"/>
          <w:szCs w:val="32"/>
        </w:rPr>
      </w:pPr>
      <w:r>
        <w:rPr>
          <w:rFonts w:hint="eastAsia"/>
          <w:sz w:val="32"/>
          <w:szCs w:val="32"/>
        </w:rPr>
        <w:t xml:space="preserve">我单位人员编制数13人，实有在编在岗人数12人，现有职工 </w:t>
      </w:r>
      <w:r>
        <w:rPr>
          <w:rFonts w:hint="eastAsia"/>
          <w:sz w:val="32"/>
          <w:szCs w:val="32"/>
          <w:lang w:val="en-US" w:eastAsia="zh-CN"/>
        </w:rPr>
        <w:t>20</w:t>
      </w:r>
      <w:r>
        <w:rPr>
          <w:rFonts w:hint="eastAsia"/>
          <w:sz w:val="32"/>
          <w:szCs w:val="32"/>
        </w:rPr>
        <w:t>人，其中：在编12人；临聘</w:t>
      </w:r>
      <w:r>
        <w:rPr>
          <w:rFonts w:hint="eastAsia"/>
          <w:sz w:val="32"/>
          <w:szCs w:val="32"/>
          <w:lang w:val="en-US" w:eastAsia="zh-CN"/>
        </w:rPr>
        <w:t>8</w:t>
      </w:r>
      <w:r>
        <w:rPr>
          <w:rFonts w:hint="eastAsia"/>
          <w:sz w:val="32"/>
          <w:szCs w:val="32"/>
        </w:rPr>
        <w:t>人；退休3人。开设病床6张，专业技术:</w:t>
      </w:r>
      <w:r>
        <w:rPr>
          <w:rFonts w:hint="eastAsia"/>
          <w:sz w:val="32"/>
          <w:szCs w:val="32"/>
          <w:lang w:val="en-US" w:eastAsia="zh-CN"/>
        </w:rPr>
        <w:t>20</w:t>
      </w:r>
      <w:r>
        <w:rPr>
          <w:rFonts w:hint="eastAsia"/>
          <w:sz w:val="32"/>
          <w:szCs w:val="32"/>
        </w:rPr>
        <w:t>人、后勤</w:t>
      </w:r>
      <w:r>
        <w:rPr>
          <w:rFonts w:hint="eastAsia"/>
          <w:sz w:val="32"/>
          <w:szCs w:val="32"/>
          <w:lang w:val="en-US" w:eastAsia="zh-CN"/>
        </w:rPr>
        <w:t>0</w:t>
      </w:r>
      <w:r>
        <w:rPr>
          <w:rFonts w:hint="eastAsia"/>
          <w:sz w:val="32"/>
          <w:szCs w:val="32"/>
        </w:rPr>
        <w:t>人。内设机构（药房、检验、护理、医疗——内外妇儿全科、公卫、预防接种、财务室、办公室、城乡医保）</w:t>
      </w:r>
    </w:p>
    <w:p w14:paraId="3C3A0B86">
      <w:pPr>
        <w:rPr>
          <w:rFonts w:hint="eastAsia"/>
          <w:sz w:val="32"/>
          <w:szCs w:val="32"/>
          <w:lang w:val="en-US" w:eastAsia="zh-CN"/>
        </w:rPr>
      </w:pPr>
      <w:r>
        <w:rPr>
          <w:rFonts w:hint="eastAsia"/>
          <w:sz w:val="32"/>
          <w:szCs w:val="32"/>
          <w:lang w:val="en-US" w:eastAsia="zh-CN"/>
        </w:rPr>
        <w:t>3、资产情况</w:t>
      </w:r>
    </w:p>
    <w:p w14:paraId="67BACE13">
      <w:pPr>
        <w:pStyle w:val="30"/>
        <w:widowControl/>
        <w:shd w:val="clear" w:color="060000" w:fill="FFFFFF"/>
        <w:spacing w:line="520" w:lineRule="exact"/>
        <w:ind w:firstLine="602"/>
        <w:jc w:val="both"/>
        <w:rPr>
          <w:rFonts w:hint="eastAsia" w:ascii="仿宋_GB2312" w:hAnsi="仿宋_GB2312" w:eastAsia="仿宋_GB2312" w:cs="仿宋_GB2312"/>
          <w:color w:val="333333"/>
          <w:sz w:val="32"/>
          <w:szCs w:val="32"/>
        </w:rPr>
      </w:pPr>
      <w:r>
        <w:rPr>
          <w:rFonts w:hint="eastAsia"/>
          <w:sz w:val="32"/>
          <w:szCs w:val="32"/>
        </w:rPr>
        <w:t>卫生院占地面积约1100m2，其中现有业务用房面积1143余平米，现设科室为：临床、护理、医技、公卫、城乡医保办等科室，固定资产总值达2</w:t>
      </w:r>
      <w:r>
        <w:rPr>
          <w:rFonts w:hint="eastAsia"/>
          <w:sz w:val="32"/>
          <w:szCs w:val="32"/>
          <w:lang w:val="en-US" w:eastAsia="zh-CN"/>
        </w:rPr>
        <w:t>68.45</w:t>
      </w:r>
      <w:r>
        <w:rPr>
          <w:rFonts w:hint="eastAsia"/>
          <w:sz w:val="32"/>
          <w:szCs w:val="32"/>
        </w:rPr>
        <w:t>余万元，卫生院现有B超、心电、全自动生化分析仪、尿液分析仪等设备。辖区内下设8个村卫生室。</w:t>
      </w:r>
      <w:r>
        <w:rPr>
          <w:rFonts w:hint="eastAsia" w:ascii="仿宋_GB2312" w:hAnsi="仿宋_GB2312" w:eastAsia="仿宋_GB2312" w:cs="仿宋_GB2312"/>
          <w:color w:val="444444"/>
          <w:sz w:val="32"/>
          <w:szCs w:val="32"/>
          <w:shd w:val="clear" w:color="080000" w:fill="FFFFFF"/>
        </w:rPr>
        <w:t>2.</w:t>
      </w:r>
      <w:r>
        <w:rPr>
          <w:rFonts w:hint="eastAsia" w:ascii="仿宋_GB2312" w:hAnsi="仿宋_GB2312" w:cs="仿宋_GB2312"/>
          <w:color w:val="444444"/>
          <w:sz w:val="32"/>
          <w:szCs w:val="32"/>
          <w:shd w:val="clear" w:color="080000" w:fill="FFFFFF"/>
          <w:lang w:eastAsia="zh-CN"/>
        </w:rPr>
        <w:t>二、</w:t>
      </w:r>
      <w:r>
        <w:rPr>
          <w:rFonts w:hint="eastAsia" w:ascii="仿宋_GB2312" w:hAnsi="仿宋_GB2312" w:eastAsia="仿宋_GB2312" w:cs="仿宋_GB2312"/>
          <w:color w:val="444444"/>
          <w:sz w:val="32"/>
          <w:szCs w:val="32"/>
          <w:shd w:val="clear" w:color="080000" w:fill="FFFFFF"/>
        </w:rPr>
        <w:t>单位主要职责</w:t>
      </w:r>
    </w:p>
    <w:p w14:paraId="10A8B9FE">
      <w:pPr>
        <w:pStyle w:val="30"/>
        <w:widowControl/>
        <w:shd w:val="clear" w:color="060000" w:fill="FFFFFF"/>
        <w:spacing w:line="52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 xml:space="preserve">    一</w:t>
      </w:r>
      <w:r>
        <w:rPr>
          <w:rFonts w:hint="eastAsia" w:ascii="仿宋_GB2312" w:hAnsi="仿宋_GB2312" w:eastAsia="仿宋_GB2312" w:cs="仿宋_GB2312"/>
          <w:b/>
          <w:sz w:val="32"/>
          <w:szCs w:val="32"/>
        </w:rPr>
        <w:t>是</w:t>
      </w:r>
      <w:r>
        <w:rPr>
          <w:rFonts w:hint="eastAsia" w:ascii="仿宋_GB2312" w:hAnsi="仿宋_GB2312" w:eastAsia="仿宋_GB2312" w:cs="仿宋_GB2312"/>
          <w:sz w:val="32"/>
          <w:szCs w:val="32"/>
        </w:rPr>
        <w:t>全面建立覆盖全乡居民的基本医疗卫生服务制度，使全乡居民人人享有基本医疗保障，人人享有基本公共卫生服务，医疗卫生服务质量、服务效率和群众满意度显著提高，切实解决看病难问题;</w:t>
      </w:r>
    </w:p>
    <w:p w14:paraId="33C62EEC">
      <w:pPr>
        <w:pStyle w:val="30"/>
        <w:widowControl/>
        <w:shd w:val="clear" w:color="060000" w:fill="FFFFFF"/>
        <w:spacing w:line="52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二是</w:t>
      </w:r>
      <w:r>
        <w:rPr>
          <w:rFonts w:hint="eastAsia" w:ascii="仿宋_GB2312" w:hAnsi="仿宋_GB2312" w:eastAsia="仿宋_GB2312" w:cs="仿宋_GB2312"/>
          <w:sz w:val="32"/>
          <w:szCs w:val="32"/>
        </w:rPr>
        <w:t>基本建立分工明确、信息互通、资源共享、协调互动的公共卫生服务体系，促进全乡居民享有均等化的基本公共卫生服务;</w:t>
      </w:r>
    </w:p>
    <w:p w14:paraId="5276C3FA">
      <w:pPr>
        <w:pStyle w:val="30"/>
        <w:widowControl/>
        <w:shd w:val="clear" w:color="060000" w:fill="FFFFFF"/>
        <w:spacing w:line="5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基本建立规范有序、结构合理、覆盖全乡的医疗服务体系，为群众提供安全、有效、方便、价廉的基本医疗服务;</w:t>
      </w:r>
    </w:p>
    <w:p w14:paraId="54C925BC">
      <w:pPr>
        <w:pStyle w:val="30"/>
        <w:widowControl/>
        <w:shd w:val="clear" w:color="060000" w:fill="FFFFFF"/>
        <w:spacing w:line="5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以国家基本药物制度为基础的药品器械供应保障体系进一步规范，确保基本药物安全有效、公平可及、合理使用;</w:t>
      </w:r>
    </w:p>
    <w:p w14:paraId="13903ADB">
      <w:pPr>
        <w:pStyle w:val="30"/>
        <w:widowControl/>
        <w:shd w:val="clear" w:color="060000" w:fill="FFFFFF"/>
        <w:spacing w:line="5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五是</w:t>
      </w:r>
      <w:r>
        <w:rPr>
          <w:rFonts w:hint="eastAsia" w:ascii="仿宋_GB2312" w:hAnsi="仿宋_GB2312" w:eastAsia="仿宋_GB2312" w:cs="仿宋_GB2312"/>
          <w:sz w:val="32"/>
          <w:szCs w:val="32"/>
        </w:rPr>
        <w:t>建立健全支撑卫生事业全面、协调、可持续发展的各项体制机制，有效保障医药卫生体系规范运行;</w:t>
      </w:r>
    </w:p>
    <w:p w14:paraId="6ABC2103">
      <w:pPr>
        <w:pStyle w:val="30"/>
        <w:widowControl/>
        <w:shd w:val="clear" w:color="060000" w:fill="FFFFFF"/>
        <w:spacing w:line="52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六是</w:t>
      </w:r>
      <w:r>
        <w:rPr>
          <w:rFonts w:hint="eastAsia" w:ascii="仿宋_GB2312" w:hAnsi="仿宋_GB2312" w:eastAsia="仿宋_GB2312" w:cs="仿宋_GB2312"/>
          <w:sz w:val="32"/>
          <w:szCs w:val="32"/>
        </w:rPr>
        <w:t>我院将以热情、细致、扎实、认真的服务态度，努力探索仁和区阳光康养服务及老年人医养服务相结合的新模式，探索更好的服务方式，为辖区签约老年人服好务，进一步提高</w:t>
      </w:r>
      <w:r>
        <w:rPr>
          <w:rFonts w:hint="eastAsia" w:ascii="仿宋_GB2312" w:hAnsi="仿宋_GB2312" w:eastAsia="仿宋_GB2312" w:cs="仿宋_GB2312"/>
          <w:bCs/>
          <w:sz w:val="32"/>
          <w:szCs w:val="32"/>
        </w:rPr>
        <w:t>医养工作服务质量</w:t>
      </w:r>
      <w:r>
        <w:rPr>
          <w:rFonts w:hint="eastAsia" w:ascii="仿宋_GB2312" w:hAnsi="仿宋_GB2312" w:eastAsia="仿宋_GB2312" w:cs="仿宋_GB2312"/>
          <w:sz w:val="32"/>
          <w:szCs w:val="32"/>
        </w:rPr>
        <w:t>;</w:t>
      </w:r>
    </w:p>
    <w:p w14:paraId="4C44404C">
      <w:pPr>
        <w:pStyle w:val="30"/>
        <w:widowControl/>
        <w:shd w:val="clear" w:color="060000" w:fill="FFFFFF"/>
        <w:spacing w:line="52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七是</w:t>
      </w:r>
      <w:r>
        <w:rPr>
          <w:rFonts w:hint="eastAsia" w:ascii="仿宋_GB2312" w:hAnsi="仿宋_GB2312" w:eastAsia="仿宋_GB2312" w:cs="仿宋_GB2312"/>
          <w:sz w:val="32"/>
          <w:szCs w:val="32"/>
        </w:rPr>
        <w:t>全力巩固群众满意乡镇卫生院成果，创建以人为本的卫生院文化，实现和谐的人文特色办院方向;</w:t>
      </w:r>
    </w:p>
    <w:p w14:paraId="1935C2D1">
      <w:pPr>
        <w:pStyle w:val="30"/>
        <w:widowControl/>
        <w:shd w:val="clear" w:color="060000" w:fill="FFFFFF"/>
        <w:spacing w:line="52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八是</w:t>
      </w:r>
      <w:r>
        <w:rPr>
          <w:rFonts w:hint="eastAsia" w:ascii="仿宋_GB2312" w:hAnsi="仿宋_GB2312" w:eastAsia="仿宋_GB2312" w:cs="仿宋_GB2312"/>
          <w:sz w:val="32"/>
          <w:szCs w:val="32"/>
        </w:rPr>
        <w:t>培养一支留得住、用得上、满足群众健康需求、技术过硬的基础医疗卫生队伍。</w:t>
      </w:r>
    </w:p>
    <w:p w14:paraId="1CCCDA3A">
      <w:pPr>
        <w:pStyle w:val="30"/>
        <w:widowControl/>
        <w:shd w:val="clear" w:color="060000" w:fill="FFFFFF"/>
        <w:spacing w:line="520" w:lineRule="exact"/>
        <w:ind w:firstLine="64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0A0000" w:fill="FFFFFF"/>
        </w:rPr>
        <w:fldChar w:fldCharType="begin"/>
      </w:r>
      <w:r>
        <w:rPr>
          <w:rFonts w:hint="eastAsia" w:ascii="仿宋_GB2312" w:hAnsi="仿宋_GB2312" w:eastAsia="仿宋_GB2312" w:cs="仿宋_GB2312"/>
          <w:b/>
          <w:bCs/>
          <w:sz w:val="32"/>
          <w:szCs w:val="32"/>
          <w:shd w:val="clear" w:color="0A0000" w:fill="FFFFFF"/>
        </w:rPr>
        <w:instrText xml:space="preserve"> HYPERLINK "http://www.ynml.gov.cn/333.news.detail.dhtml?news_id=19895" \l "_Toc434746188" </w:instrText>
      </w:r>
      <w:r>
        <w:rPr>
          <w:rFonts w:hint="eastAsia" w:ascii="仿宋_GB2312" w:hAnsi="仿宋_GB2312" w:eastAsia="仿宋_GB2312" w:cs="仿宋_GB2312"/>
          <w:b/>
          <w:bCs/>
          <w:sz w:val="32"/>
          <w:szCs w:val="32"/>
          <w:shd w:val="clear" w:color="0A0000" w:fill="FFFFFF"/>
        </w:rPr>
        <w:fldChar w:fldCharType="separate"/>
      </w:r>
      <w:r>
        <w:rPr>
          <w:rStyle w:val="16"/>
          <w:rFonts w:hint="eastAsia" w:ascii="仿宋_GB2312" w:hAnsi="仿宋_GB2312" w:eastAsia="仿宋_GB2312" w:cs="仿宋_GB2312"/>
          <w:b/>
          <w:bCs/>
          <w:color w:val="auto"/>
          <w:sz w:val="32"/>
          <w:szCs w:val="32"/>
          <w:u w:val="none"/>
          <w:shd w:val="clear" w:color="0B0000" w:fill="FFFFFF"/>
        </w:rPr>
        <w:t>二、部门绩效目标的设立情况</w:t>
      </w:r>
      <w:r>
        <w:rPr>
          <w:rFonts w:hint="eastAsia" w:ascii="仿宋_GB2312" w:hAnsi="仿宋_GB2312" w:eastAsia="仿宋_GB2312" w:cs="仿宋_GB2312"/>
          <w:b/>
          <w:bCs/>
          <w:sz w:val="32"/>
          <w:szCs w:val="32"/>
          <w:shd w:val="clear" w:color="0A0000" w:fill="FFFFFF"/>
        </w:rPr>
        <w:fldChar w:fldCharType="end"/>
      </w:r>
    </w:p>
    <w:p w14:paraId="75380796">
      <w:pPr>
        <w:pStyle w:val="30"/>
        <w:widowControl/>
        <w:shd w:val="clear" w:color="060000" w:fill="FFFFFF"/>
        <w:spacing w:line="520" w:lineRule="exact"/>
        <w:ind w:firstLine="602"/>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080000" w:fill="FFFFFF"/>
        </w:rPr>
        <w:t>按照区卫计局及上级部门的统一部署，根据2017年年末的工作安排，</w:t>
      </w:r>
      <w:r>
        <w:rPr>
          <w:rFonts w:hint="eastAsia" w:ascii="仿宋_GB2312" w:hAnsi="仿宋_GB2312" w:eastAsia="仿宋_GB2312" w:cs="仿宋_GB2312"/>
          <w:color w:val="444444"/>
          <w:sz w:val="32"/>
          <w:szCs w:val="32"/>
          <w:shd w:val="clear" w:color="080000" w:fill="FFFFFF"/>
        </w:rPr>
        <w:t>今年的卫生计生工作，我院进一步强化领导干部和职工队伍的建设，强化医德医风、服务理念的转变，强化各项规章制度的建立健全，强化医疗质量、医疗安全的保障，切实推进卫生计生各项工作的深入开展。基本</w:t>
      </w:r>
      <w:r>
        <w:rPr>
          <w:rFonts w:hint="eastAsia" w:ascii="仿宋_GB2312" w:hAnsi="仿宋_GB2312" w:eastAsia="仿宋_GB2312" w:cs="仿宋_GB2312"/>
          <w:b/>
          <w:color w:val="444444"/>
          <w:sz w:val="32"/>
          <w:szCs w:val="32"/>
          <w:shd w:val="clear" w:color="080000" w:fill="FFFFFF"/>
        </w:rPr>
        <w:t>公共卫生服务方面：</w:t>
      </w:r>
      <w:r>
        <w:rPr>
          <w:rFonts w:hint="eastAsia" w:ascii="仿宋_GB2312" w:hAnsi="仿宋_GB2312" w:eastAsia="仿宋_GB2312" w:cs="仿宋_GB2312"/>
          <w:color w:val="444444"/>
          <w:sz w:val="32"/>
          <w:szCs w:val="32"/>
          <w:shd w:val="clear" w:color="080000" w:fill="FFFFFF"/>
        </w:rPr>
        <w:t>一是大力推进建立居民健康档案工作；二是积极开展健康教育；三是加强妇幼管理工作；四加强老年人、慢性病和重性精神病管理工作。五加强疾病预防控制工作。六有效履行卫生监督协管职责；七加强死因报告工作；</w:t>
      </w:r>
      <w:r>
        <w:rPr>
          <w:rFonts w:hint="eastAsia" w:ascii="仿宋_GB2312" w:hAnsi="仿宋_GB2312" w:eastAsia="仿宋_GB2312" w:cs="仿宋_GB2312"/>
          <w:b/>
          <w:color w:val="444444"/>
          <w:sz w:val="32"/>
          <w:szCs w:val="32"/>
          <w:shd w:val="clear" w:color="080000" w:fill="FFFFFF"/>
        </w:rPr>
        <w:t>计划生育工作方面：一是</w:t>
      </w:r>
      <w:r>
        <w:rPr>
          <w:rFonts w:hint="eastAsia" w:ascii="仿宋_GB2312" w:hAnsi="仿宋_GB2312" w:eastAsia="仿宋_GB2312" w:cs="仿宋_GB2312"/>
          <w:color w:val="000000"/>
          <w:sz w:val="32"/>
          <w:szCs w:val="32"/>
          <w:shd w:val="clear" w:color="080000" w:fill="FFFFFF"/>
        </w:rPr>
        <w:t>进一步加强宣传力度；二是加强</w:t>
      </w:r>
      <w:r>
        <w:rPr>
          <w:rFonts w:hint="eastAsia" w:ascii="仿宋_GB2312" w:hAnsi="仿宋_GB2312" w:eastAsia="仿宋_GB2312" w:cs="仿宋_GB2312"/>
          <w:color w:val="333333"/>
          <w:sz w:val="32"/>
          <w:szCs w:val="32"/>
          <w:shd w:val="clear" w:color="080000" w:fill="FFFFFF"/>
        </w:rPr>
        <w:t>技术服务培训，争创优质服务；三是规范避孕药具管理，为已婚妇女提供优质、安全有效的避孕药具；四是做好医学监护（二查、四查）工作；五是抓好优生促进工程；六是加强流动人口管理。</w:t>
      </w:r>
      <w:r>
        <w:rPr>
          <w:rFonts w:hint="eastAsia" w:ascii="仿宋_GB2312" w:hAnsi="仿宋_GB2312" w:eastAsia="仿宋_GB2312" w:cs="仿宋_GB2312"/>
          <w:b/>
          <w:color w:val="333333"/>
          <w:sz w:val="32"/>
          <w:szCs w:val="32"/>
          <w:shd w:val="clear" w:color="080000" w:fill="FFFFFF"/>
        </w:rPr>
        <w:t>扶贫工作方面：一是</w:t>
      </w:r>
      <w:r>
        <w:rPr>
          <w:rFonts w:hint="eastAsia" w:ascii="仿宋_GB2312" w:hAnsi="仿宋_GB2312" w:eastAsia="仿宋_GB2312" w:cs="仿宋_GB2312"/>
          <w:color w:val="333333"/>
          <w:sz w:val="32"/>
          <w:szCs w:val="32"/>
          <w:shd w:val="clear" w:color="080000" w:fill="FFFFFF"/>
        </w:rPr>
        <w:t>开展贫困户因病致贫情况筛查；二是对建档立卡贫困户实施动态管理，家庭医生签约服务。三是开展健康扶贫。</w:t>
      </w:r>
      <w:r>
        <w:rPr>
          <w:rFonts w:hint="eastAsia" w:ascii="仿宋_GB2312" w:hAnsi="仿宋_GB2312" w:eastAsia="仿宋_GB2312" w:cs="仿宋_GB2312"/>
          <w:b/>
          <w:color w:val="333333"/>
          <w:sz w:val="32"/>
          <w:szCs w:val="32"/>
          <w:shd w:val="clear" w:color="080000" w:fill="FFFFFF"/>
        </w:rPr>
        <w:t>其他方面：</w:t>
      </w:r>
      <w:r>
        <w:rPr>
          <w:rFonts w:hint="eastAsia" w:ascii="仿宋_GB2312" w:hAnsi="仿宋_GB2312" w:eastAsia="仿宋_GB2312" w:cs="仿宋_GB2312"/>
          <w:color w:val="333333"/>
          <w:sz w:val="32"/>
          <w:szCs w:val="32"/>
          <w:shd w:val="clear" w:color="080000" w:fill="FFFFFF"/>
        </w:rPr>
        <w:t>一是</w:t>
      </w:r>
      <w:r>
        <w:rPr>
          <w:rFonts w:hint="eastAsia" w:ascii="仿宋_GB2312" w:hAnsi="仿宋_GB2312" w:eastAsia="仿宋_GB2312" w:cs="仿宋_GB2312"/>
          <w:color w:val="444444"/>
          <w:sz w:val="32"/>
          <w:szCs w:val="32"/>
          <w:shd w:val="clear" w:color="080000" w:fill="FFFFFF"/>
        </w:rPr>
        <w:t>狠抓医疗质量与服务水平提高，进一步完善医疗核心制度，加强卫生法律法规、医疗核心制度的学习、培训，强化医务人员医疗安全意识，提高医疗技术水平。二是抓好生产安全工作，确保实卫生院各项工作的顺利进行。三是认真细致做好城乡居民医保工作。</w:t>
      </w:r>
    </w:p>
    <w:p w14:paraId="2CC16E36">
      <w:pPr>
        <w:rPr>
          <w:rFonts w:hint="eastAsia"/>
          <w:sz w:val="32"/>
          <w:szCs w:val="32"/>
        </w:rPr>
      </w:pPr>
      <w:r>
        <w:rPr>
          <w:rFonts w:hint="eastAsia"/>
          <w:sz w:val="32"/>
          <w:szCs w:val="32"/>
        </w:rPr>
        <w:t>二、部门财政资金收支情况</w:t>
      </w:r>
    </w:p>
    <w:p w14:paraId="16D927E2">
      <w:pPr>
        <w:rPr>
          <w:rFonts w:hint="eastAsia"/>
          <w:sz w:val="32"/>
          <w:szCs w:val="32"/>
        </w:rPr>
      </w:pPr>
      <w:r>
        <w:rPr>
          <w:rFonts w:hint="eastAsia"/>
          <w:sz w:val="32"/>
          <w:szCs w:val="32"/>
          <w:lang w:val="zh-CN"/>
        </w:rPr>
        <w:t xml:space="preserve"> </w:t>
      </w:r>
      <w:r>
        <w:rPr>
          <w:rFonts w:hint="eastAsia"/>
          <w:sz w:val="32"/>
          <w:szCs w:val="32"/>
        </w:rPr>
        <w:t>1、201</w:t>
      </w:r>
      <w:r>
        <w:rPr>
          <w:rFonts w:hint="eastAsia"/>
          <w:sz w:val="32"/>
          <w:szCs w:val="32"/>
          <w:lang w:val="en-US" w:eastAsia="zh-CN"/>
        </w:rPr>
        <w:t>8</w:t>
      </w:r>
      <w:r>
        <w:rPr>
          <w:rFonts w:hint="eastAsia"/>
          <w:sz w:val="32"/>
          <w:szCs w:val="32"/>
        </w:rPr>
        <w:t>年前进镇卫生院收入决算总额为</w:t>
      </w:r>
      <w:r>
        <w:rPr>
          <w:rFonts w:hint="eastAsia"/>
          <w:sz w:val="32"/>
          <w:szCs w:val="32"/>
          <w:lang w:val="en-US" w:eastAsia="zh-CN"/>
        </w:rPr>
        <w:t>376.5</w:t>
      </w:r>
      <w:r>
        <w:rPr>
          <w:rFonts w:hint="eastAsia"/>
          <w:sz w:val="32"/>
          <w:szCs w:val="32"/>
        </w:rPr>
        <w:t>万元，其中：当年财政拨款收入</w:t>
      </w:r>
      <w:r>
        <w:rPr>
          <w:rFonts w:hint="eastAsia"/>
          <w:sz w:val="32"/>
          <w:szCs w:val="32"/>
          <w:lang w:val="en-US" w:eastAsia="zh-CN"/>
        </w:rPr>
        <w:t>279.48</w:t>
      </w:r>
      <w:r>
        <w:rPr>
          <w:rFonts w:hint="eastAsia"/>
          <w:sz w:val="32"/>
          <w:szCs w:val="32"/>
        </w:rPr>
        <w:t>万元，事业收入</w:t>
      </w:r>
      <w:r>
        <w:rPr>
          <w:rFonts w:hint="eastAsia"/>
          <w:sz w:val="32"/>
          <w:szCs w:val="32"/>
          <w:lang w:val="en-US" w:eastAsia="zh-CN"/>
        </w:rPr>
        <w:t>91.16</w:t>
      </w:r>
      <w:r>
        <w:rPr>
          <w:rFonts w:hint="eastAsia"/>
          <w:sz w:val="32"/>
          <w:szCs w:val="32"/>
        </w:rPr>
        <w:t>万元，</w:t>
      </w:r>
      <w:r>
        <w:rPr>
          <w:rFonts w:hint="eastAsia"/>
          <w:sz w:val="32"/>
          <w:szCs w:val="32"/>
          <w:lang w:eastAsia="zh-CN"/>
        </w:rPr>
        <w:t>其他收入</w:t>
      </w:r>
      <w:r>
        <w:rPr>
          <w:rFonts w:hint="eastAsia"/>
          <w:sz w:val="32"/>
          <w:szCs w:val="32"/>
          <w:lang w:val="en-US" w:eastAsia="zh-CN"/>
        </w:rPr>
        <w:t>:5.84元。</w:t>
      </w:r>
      <w:r>
        <w:rPr>
          <w:rFonts w:hint="eastAsia"/>
          <w:sz w:val="32"/>
          <w:szCs w:val="32"/>
        </w:rPr>
        <w:t>上年结转</w:t>
      </w:r>
      <w:r>
        <w:rPr>
          <w:rFonts w:hint="eastAsia"/>
          <w:sz w:val="32"/>
          <w:szCs w:val="32"/>
          <w:lang w:val="en-US" w:eastAsia="zh-CN"/>
        </w:rPr>
        <w:t>98.47</w:t>
      </w:r>
      <w:r>
        <w:rPr>
          <w:rFonts w:hint="eastAsia"/>
          <w:sz w:val="32"/>
          <w:szCs w:val="32"/>
        </w:rPr>
        <w:t>万元。</w:t>
      </w:r>
    </w:p>
    <w:p w14:paraId="3A593506">
      <w:pPr>
        <w:rPr>
          <w:rFonts w:hint="eastAsia"/>
          <w:sz w:val="32"/>
          <w:szCs w:val="32"/>
        </w:rPr>
      </w:pPr>
      <w:r>
        <w:rPr>
          <w:rFonts w:hint="eastAsia"/>
          <w:sz w:val="32"/>
          <w:szCs w:val="32"/>
        </w:rPr>
        <w:t>2、攀枝花市仁和区前进镇卫生院201</w:t>
      </w:r>
      <w:r>
        <w:rPr>
          <w:rFonts w:hint="eastAsia"/>
          <w:sz w:val="32"/>
          <w:szCs w:val="32"/>
          <w:lang w:val="en-US" w:eastAsia="zh-CN"/>
        </w:rPr>
        <w:t>8</w:t>
      </w:r>
      <w:r>
        <w:rPr>
          <w:rFonts w:hint="eastAsia"/>
          <w:sz w:val="32"/>
          <w:szCs w:val="32"/>
        </w:rPr>
        <w:t>年</w:t>
      </w:r>
      <w:r>
        <w:rPr>
          <w:rFonts w:hint="eastAsia"/>
          <w:sz w:val="32"/>
          <w:szCs w:val="32"/>
          <w:lang w:eastAsia="zh-CN"/>
        </w:rPr>
        <w:t>基本支出</w:t>
      </w:r>
      <w:r>
        <w:rPr>
          <w:rFonts w:hint="eastAsia"/>
          <w:sz w:val="32"/>
          <w:szCs w:val="32"/>
        </w:rPr>
        <w:t>决算总额为</w:t>
      </w:r>
      <w:r>
        <w:rPr>
          <w:rFonts w:hint="eastAsia"/>
          <w:sz w:val="32"/>
          <w:szCs w:val="32"/>
          <w:lang w:val="en-US" w:eastAsia="zh-CN"/>
        </w:rPr>
        <w:t>189.06</w:t>
      </w:r>
      <w:r>
        <w:rPr>
          <w:rFonts w:hint="eastAsia"/>
          <w:sz w:val="32"/>
          <w:szCs w:val="32"/>
        </w:rPr>
        <w:t>万元，</w:t>
      </w:r>
      <w:r>
        <w:rPr>
          <w:rFonts w:hint="eastAsia"/>
          <w:sz w:val="32"/>
          <w:szCs w:val="32"/>
          <w:lang w:eastAsia="zh-CN"/>
        </w:rPr>
        <w:t>其中人员经费为</w:t>
      </w:r>
      <w:r>
        <w:rPr>
          <w:rFonts w:hint="eastAsia"/>
          <w:sz w:val="32"/>
          <w:szCs w:val="32"/>
          <w:lang w:val="en-US" w:eastAsia="zh-CN"/>
        </w:rPr>
        <w:t>140.99万元，公用经费为48.06万元，项目支出为:135.07万元，</w:t>
      </w:r>
      <w:r>
        <w:rPr>
          <w:rFonts w:hint="eastAsia"/>
          <w:sz w:val="32"/>
          <w:szCs w:val="32"/>
        </w:rPr>
        <w:t>支出决算总额为</w:t>
      </w:r>
      <w:r>
        <w:rPr>
          <w:rFonts w:hint="eastAsia"/>
          <w:sz w:val="32"/>
          <w:szCs w:val="32"/>
          <w:lang w:val="en-US" w:eastAsia="zh-CN"/>
        </w:rPr>
        <w:t>324.12</w:t>
      </w:r>
      <w:r>
        <w:rPr>
          <w:rFonts w:hint="eastAsia"/>
          <w:sz w:val="32"/>
          <w:szCs w:val="32"/>
        </w:rPr>
        <w:t>万元。</w:t>
      </w:r>
    </w:p>
    <w:p w14:paraId="4AE73549">
      <w:pPr>
        <w:rPr>
          <w:rFonts w:hint="eastAsia"/>
          <w:sz w:val="32"/>
          <w:szCs w:val="32"/>
        </w:rPr>
      </w:pPr>
      <w:r>
        <w:rPr>
          <w:rFonts w:hint="eastAsia"/>
          <w:sz w:val="32"/>
          <w:szCs w:val="32"/>
        </w:rPr>
        <w:t>三、部门财政支出管理情况</w:t>
      </w:r>
    </w:p>
    <w:p w14:paraId="4722A5C8">
      <w:pPr>
        <w:rPr>
          <w:rFonts w:hint="eastAsia"/>
          <w:sz w:val="32"/>
          <w:szCs w:val="32"/>
          <w:lang w:val="zh-CN"/>
        </w:rPr>
      </w:pPr>
      <w:r>
        <w:rPr>
          <w:rFonts w:hint="eastAsia"/>
          <w:sz w:val="32"/>
          <w:szCs w:val="32"/>
          <w:lang w:val="zh-CN"/>
        </w:rPr>
        <w:t>（一）预算编制情况。</w:t>
      </w:r>
    </w:p>
    <w:p w14:paraId="40FBB7E0">
      <w:pPr>
        <w:rPr>
          <w:rFonts w:hint="eastAsia"/>
          <w:sz w:val="32"/>
          <w:szCs w:val="32"/>
        </w:rPr>
      </w:pPr>
      <w:r>
        <w:rPr>
          <w:rFonts w:hint="eastAsia"/>
          <w:sz w:val="32"/>
          <w:szCs w:val="32"/>
          <w:lang w:val="en-US" w:eastAsia="zh-CN"/>
        </w:rPr>
        <w:t>1</w:t>
      </w:r>
      <w:r>
        <w:rPr>
          <w:rFonts w:hint="eastAsia"/>
          <w:sz w:val="32"/>
          <w:szCs w:val="32"/>
        </w:rPr>
        <w:t>、收支预算总体情况</w:t>
      </w:r>
    </w:p>
    <w:p w14:paraId="7A5E1FFA">
      <w:pPr>
        <w:ind w:firstLine="640" w:firstLineChars="200"/>
        <w:rPr>
          <w:sz w:val="32"/>
          <w:szCs w:val="32"/>
        </w:rPr>
      </w:pPr>
      <w:r>
        <w:rPr>
          <w:sz w:val="32"/>
          <w:szCs w:val="32"/>
        </w:rPr>
        <w:t>按照预算管理有关规定，目前部门预算的编制实行综合预算制度，即全部收入和支出都反映在预算中。</w:t>
      </w:r>
      <w:r>
        <w:rPr>
          <w:rFonts w:hint="eastAsia"/>
          <w:sz w:val="32"/>
          <w:szCs w:val="32"/>
        </w:rPr>
        <w:t>2018年前进镇卫生院收入预算总额为122.95万元，其中：当年财政拨款收入122.95万元。相应安排支出预算122.95万元，其中：</w:t>
      </w:r>
      <w:r>
        <w:rPr>
          <w:sz w:val="32"/>
          <w:szCs w:val="32"/>
        </w:rPr>
        <w:t>工资福利支出</w:t>
      </w:r>
      <w:r>
        <w:rPr>
          <w:rFonts w:hint="eastAsia"/>
          <w:sz w:val="32"/>
          <w:szCs w:val="32"/>
        </w:rPr>
        <w:t>121.15</w:t>
      </w:r>
      <w:r>
        <w:rPr>
          <w:sz w:val="32"/>
          <w:szCs w:val="32"/>
        </w:rPr>
        <w:t>万元，</w:t>
      </w:r>
      <w:r>
        <w:rPr>
          <w:rFonts w:hint="eastAsia"/>
          <w:sz w:val="32"/>
          <w:szCs w:val="32"/>
        </w:rPr>
        <w:t>无</w:t>
      </w:r>
      <w:r>
        <w:rPr>
          <w:sz w:val="32"/>
          <w:szCs w:val="32"/>
        </w:rPr>
        <w:t>日常公用支出</w:t>
      </w:r>
      <w:r>
        <w:rPr>
          <w:rFonts w:hint="eastAsia"/>
          <w:sz w:val="32"/>
          <w:szCs w:val="32"/>
        </w:rPr>
        <w:t>和项目支出</w:t>
      </w:r>
      <w:r>
        <w:rPr>
          <w:sz w:val="32"/>
          <w:szCs w:val="32"/>
        </w:rPr>
        <w:t>，对个人和家庭的补助支出</w:t>
      </w:r>
      <w:r>
        <w:rPr>
          <w:rFonts w:hint="eastAsia"/>
          <w:sz w:val="32"/>
          <w:szCs w:val="32"/>
        </w:rPr>
        <w:t>1.8</w:t>
      </w:r>
      <w:r>
        <w:rPr>
          <w:sz w:val="32"/>
          <w:szCs w:val="32"/>
        </w:rPr>
        <w:t>万元。</w:t>
      </w:r>
    </w:p>
    <w:p w14:paraId="721A7652">
      <w:pPr>
        <w:rPr>
          <w:rFonts w:hint="eastAsia"/>
          <w:sz w:val="32"/>
          <w:szCs w:val="32"/>
        </w:rPr>
      </w:pPr>
      <w:r>
        <w:rPr>
          <w:rFonts w:hint="eastAsia"/>
          <w:sz w:val="32"/>
          <w:szCs w:val="32"/>
          <w:lang w:val="en-US" w:eastAsia="zh-CN"/>
        </w:rPr>
        <w:t>2</w:t>
      </w:r>
      <w:r>
        <w:rPr>
          <w:rFonts w:hint="eastAsia"/>
          <w:sz w:val="32"/>
          <w:szCs w:val="32"/>
        </w:rPr>
        <w:t>、支出预算安排情况</w:t>
      </w:r>
    </w:p>
    <w:p w14:paraId="02511C48">
      <w:pPr>
        <w:ind w:firstLine="640" w:firstLineChars="200"/>
        <w:rPr>
          <w:rFonts w:hint="eastAsia"/>
          <w:sz w:val="32"/>
          <w:szCs w:val="32"/>
        </w:rPr>
      </w:pPr>
      <w:r>
        <w:rPr>
          <w:rFonts w:hint="eastAsia"/>
          <w:sz w:val="32"/>
          <w:szCs w:val="32"/>
        </w:rPr>
        <w:t>前进镇卫生院预算安排支出主要用于保障该部门机构正常运转、完成日常工作任务以及本单位承担的基本公卫及基本医疗工作。</w:t>
      </w:r>
    </w:p>
    <w:p w14:paraId="35C3D3E2">
      <w:pPr>
        <w:ind w:firstLine="640" w:firstLineChars="200"/>
        <w:rPr>
          <w:rFonts w:hint="eastAsia"/>
          <w:sz w:val="32"/>
          <w:szCs w:val="32"/>
        </w:rPr>
      </w:pPr>
      <w:r>
        <w:rPr>
          <w:rFonts w:hint="eastAsia"/>
          <w:sz w:val="32"/>
          <w:szCs w:val="32"/>
        </w:rPr>
        <w:t>基本支出，是用于保障卫生服务中心正常运转的日常支出，包括基本工资、津贴补贴、离退休费、住房公积金和日常公用经费等。</w:t>
      </w:r>
    </w:p>
    <w:p w14:paraId="00DDCD83">
      <w:pPr>
        <w:rPr>
          <w:rFonts w:hint="eastAsia"/>
          <w:sz w:val="32"/>
          <w:szCs w:val="32"/>
        </w:rPr>
      </w:pPr>
      <w:r>
        <w:rPr>
          <w:rFonts w:hint="eastAsia"/>
          <w:sz w:val="32"/>
          <w:szCs w:val="32"/>
        </w:rPr>
        <w:t>按支出功能分类主要用于以下方面:</w:t>
      </w:r>
    </w:p>
    <w:p w14:paraId="457A2DA5">
      <w:pPr>
        <w:rPr>
          <w:rFonts w:hint="eastAsia"/>
          <w:sz w:val="32"/>
          <w:szCs w:val="32"/>
        </w:rPr>
      </w:pPr>
      <w:r>
        <w:rPr>
          <w:rFonts w:hint="eastAsia"/>
          <w:sz w:val="32"/>
          <w:szCs w:val="32"/>
        </w:rPr>
        <w:t>（一）社会保障和就业支出15.35万元，主要用于机关事业单位基本养老保险缴费支出。</w:t>
      </w:r>
    </w:p>
    <w:p w14:paraId="65230F6F">
      <w:pPr>
        <w:rPr>
          <w:rFonts w:hint="eastAsia"/>
          <w:sz w:val="32"/>
          <w:szCs w:val="32"/>
        </w:rPr>
      </w:pPr>
      <w:r>
        <w:rPr>
          <w:rFonts w:hint="eastAsia"/>
          <w:sz w:val="32"/>
          <w:szCs w:val="32"/>
        </w:rPr>
        <w:t>（二）  医疗卫生与计划生育支出92.63万元，主要用于单位按照规定标准为职工缴纳的基本医疗保险及公务员医疗补助等支出、单位人员工资、日常运转所支出。</w:t>
      </w:r>
    </w:p>
    <w:p w14:paraId="20FA6E6A">
      <w:pPr>
        <w:rPr>
          <w:sz w:val="32"/>
          <w:szCs w:val="32"/>
        </w:rPr>
      </w:pPr>
      <w:r>
        <w:rPr>
          <w:rFonts w:hint="eastAsia"/>
          <w:sz w:val="32"/>
          <w:szCs w:val="32"/>
        </w:rPr>
        <w:t>（三）住房保障支出14.97万元，用于机关及下属事业单位按照规定标准为职工缴纳住房公积金等支出。</w:t>
      </w:r>
    </w:p>
    <w:p w14:paraId="207BBEE1">
      <w:pPr>
        <w:rPr>
          <w:sz w:val="32"/>
          <w:szCs w:val="32"/>
        </w:rPr>
      </w:pPr>
      <w:r>
        <w:rPr>
          <w:rFonts w:hint="eastAsia"/>
          <w:sz w:val="32"/>
          <w:szCs w:val="32"/>
          <w:lang w:val="en-US" w:eastAsia="zh-CN"/>
        </w:rPr>
        <w:t>3</w:t>
      </w:r>
      <w:r>
        <w:rPr>
          <w:sz w:val="32"/>
          <w:szCs w:val="32"/>
        </w:rPr>
        <w:t>、“三公”经费财政拨款预算安排情况</w:t>
      </w:r>
    </w:p>
    <w:p w14:paraId="32AE9027">
      <w:pPr>
        <w:ind w:firstLine="640" w:firstLineChars="200"/>
        <w:rPr>
          <w:sz w:val="32"/>
          <w:szCs w:val="32"/>
        </w:rPr>
      </w:pPr>
      <w:r>
        <w:rPr>
          <w:sz w:val="32"/>
          <w:szCs w:val="32"/>
        </w:rPr>
        <w:t>201</w:t>
      </w:r>
      <w:r>
        <w:rPr>
          <w:rFonts w:hint="eastAsia"/>
          <w:sz w:val="32"/>
          <w:szCs w:val="32"/>
        </w:rPr>
        <w:t>8</w:t>
      </w:r>
      <w:r>
        <w:rPr>
          <w:sz w:val="32"/>
          <w:szCs w:val="32"/>
        </w:rPr>
        <w:t>年</w:t>
      </w:r>
      <w:r>
        <w:rPr>
          <w:rFonts w:hint="eastAsia"/>
          <w:sz w:val="32"/>
          <w:szCs w:val="32"/>
        </w:rPr>
        <w:t>没有</w:t>
      </w:r>
      <w:r>
        <w:rPr>
          <w:sz w:val="32"/>
          <w:szCs w:val="32"/>
        </w:rPr>
        <w:t>“三公”经费财政拨款预算数，其中：因公出国（境）经费</w:t>
      </w:r>
      <w:r>
        <w:rPr>
          <w:rFonts w:hint="eastAsia"/>
          <w:sz w:val="32"/>
          <w:szCs w:val="32"/>
        </w:rPr>
        <w:t>0</w:t>
      </w:r>
      <w:r>
        <w:rPr>
          <w:sz w:val="32"/>
          <w:szCs w:val="32"/>
        </w:rPr>
        <w:t>万元，公务接待费</w:t>
      </w:r>
      <w:r>
        <w:rPr>
          <w:rFonts w:hint="eastAsia"/>
          <w:sz w:val="32"/>
          <w:szCs w:val="32"/>
        </w:rPr>
        <w:t>0</w:t>
      </w:r>
      <w:r>
        <w:rPr>
          <w:sz w:val="32"/>
          <w:szCs w:val="32"/>
        </w:rPr>
        <w:t>万元，公务用车购置及运行维护费</w:t>
      </w:r>
      <w:r>
        <w:rPr>
          <w:rFonts w:hint="eastAsia"/>
          <w:sz w:val="32"/>
          <w:szCs w:val="32"/>
        </w:rPr>
        <w:t>0</w:t>
      </w:r>
      <w:r>
        <w:rPr>
          <w:sz w:val="32"/>
          <w:szCs w:val="32"/>
        </w:rPr>
        <w:t>万元（公务用车购置费</w:t>
      </w:r>
      <w:r>
        <w:rPr>
          <w:rFonts w:hint="eastAsia"/>
          <w:sz w:val="32"/>
          <w:szCs w:val="32"/>
        </w:rPr>
        <w:t>0</w:t>
      </w:r>
      <w:r>
        <w:rPr>
          <w:sz w:val="32"/>
          <w:szCs w:val="32"/>
        </w:rPr>
        <w:t>万元，公务用车运行维护费</w:t>
      </w:r>
      <w:r>
        <w:rPr>
          <w:rFonts w:hint="eastAsia"/>
          <w:sz w:val="32"/>
          <w:szCs w:val="32"/>
        </w:rPr>
        <w:t>0</w:t>
      </w:r>
      <w:r>
        <w:rPr>
          <w:sz w:val="32"/>
          <w:szCs w:val="32"/>
        </w:rPr>
        <w:t>万元）。</w:t>
      </w:r>
    </w:p>
    <w:p w14:paraId="7707512B">
      <w:pPr>
        <w:rPr>
          <w:rFonts w:hint="eastAsia"/>
          <w:sz w:val="32"/>
          <w:szCs w:val="32"/>
          <w:lang w:val="zh-CN"/>
        </w:rPr>
      </w:pPr>
      <w:r>
        <w:rPr>
          <w:rFonts w:hint="eastAsia"/>
          <w:sz w:val="32"/>
          <w:szCs w:val="32"/>
          <w:lang w:val="zh-CN"/>
        </w:rPr>
        <w:t>执行管理情况。</w:t>
      </w:r>
    </w:p>
    <w:p w14:paraId="3103D2FB">
      <w:pPr>
        <w:rPr>
          <w:rFonts w:hint="eastAsia"/>
          <w:sz w:val="32"/>
          <w:szCs w:val="32"/>
          <w:lang w:val="en-US" w:eastAsia="zh-CN"/>
        </w:rPr>
      </w:pPr>
      <w:r>
        <w:rPr>
          <w:rFonts w:hint="eastAsia"/>
          <w:sz w:val="32"/>
          <w:szCs w:val="32"/>
          <w:lang w:val="en-US" w:eastAsia="zh-CN"/>
        </w:rPr>
        <w:t>1、我院根据各级各部门的要求，结合单位自身情况进行了单位内部控制建设，制定了相关的财务制度，包括《民政中医院内部控制手册》《收入管理制度》《支出管理制度》资产管理制度财务管理制度等。完善了我院管理工作，有效的运行了财务内部监督管理制度，使我院财务管理工作健康有序的开展。</w:t>
      </w:r>
    </w:p>
    <w:p w14:paraId="2A7E44F4">
      <w:pPr>
        <w:rPr>
          <w:rFonts w:hint="eastAsia"/>
          <w:sz w:val="32"/>
          <w:szCs w:val="32"/>
          <w:lang w:val="zh-CN"/>
        </w:rPr>
      </w:pPr>
      <w:r>
        <w:rPr>
          <w:rFonts w:hint="eastAsia"/>
          <w:sz w:val="32"/>
          <w:szCs w:val="32"/>
          <w:lang w:val="en-US" w:eastAsia="zh-CN"/>
        </w:rPr>
        <w:tab/>
      </w:r>
      <w:r>
        <w:rPr>
          <w:rFonts w:hint="eastAsia"/>
          <w:sz w:val="32"/>
          <w:szCs w:val="32"/>
          <w:lang w:val="en-US" w:eastAsia="zh-CN"/>
        </w:rPr>
        <w:t>2、我院严格按照年初预算管理“三公”经费，2018年底公务车运行费3.73万元，因公国费0元，公务接待费0元。</w:t>
      </w:r>
    </w:p>
    <w:p w14:paraId="420F9CAA">
      <w:pPr>
        <w:numPr>
          <w:ilvl w:val="0"/>
          <w:numId w:val="4"/>
        </w:numPr>
        <w:adjustRightInd w:val="0"/>
        <w:snapToGrid w:val="0"/>
        <w:spacing w:line="560" w:lineRule="exact"/>
        <w:ind w:left="0" w:leftChars="0" w:firstLine="720" w:firstLineChars="0"/>
        <w:rPr>
          <w:rFonts w:hint="eastAsia" w:ascii="仿宋_GB2312" w:hAnsi="宋体"/>
          <w:color w:val="auto"/>
          <w:sz w:val="32"/>
          <w:szCs w:val="32"/>
          <w:lang w:val="zh-CN"/>
        </w:rPr>
      </w:pPr>
      <w:r>
        <w:rPr>
          <w:rFonts w:hint="eastAsia" w:ascii="仿宋_GB2312" w:hAnsi="宋体"/>
          <w:color w:val="auto"/>
          <w:sz w:val="32"/>
          <w:szCs w:val="32"/>
          <w:lang w:val="zh-CN"/>
        </w:rPr>
        <w:t>决算编制情况</w:t>
      </w:r>
    </w:p>
    <w:p w14:paraId="4B28D591">
      <w:pPr>
        <w:spacing w:line="580" w:lineRule="exact"/>
        <w:ind w:firstLine="640" w:firstLineChars="200"/>
        <w:rPr>
          <w:rFonts w:hint="eastAsia" w:ascii="仿宋_GB2312" w:hAnsi="宋体"/>
          <w:color w:val="auto"/>
          <w:sz w:val="32"/>
          <w:szCs w:val="32"/>
          <w:lang w:val="zh-CN"/>
        </w:rPr>
      </w:pPr>
      <w:r>
        <w:rPr>
          <w:rFonts w:hint="eastAsia" w:ascii="仿宋_GB2312" w:eastAsia="仿宋_GB2312"/>
          <w:color w:val="auto"/>
          <w:sz w:val="32"/>
          <w:szCs w:val="32"/>
        </w:rPr>
        <w:t>财政拨款支出主要用于保障该部门机构正常运转、完成日常工作任</w:t>
      </w:r>
      <w:r>
        <w:rPr>
          <w:rFonts w:hint="eastAsia" w:ascii="仿宋_GB2312" w:hAnsi="仿宋_GB2312" w:eastAsia="仿宋_GB2312" w:cs="仿宋_GB2312"/>
          <w:color w:val="auto"/>
          <w:kern w:val="0"/>
          <w:sz w:val="32"/>
          <w:szCs w:val="32"/>
          <w:lang w:val="en-US" w:eastAsia="zh-CN" w:bidi="ar"/>
        </w:rPr>
        <w:t>务以及承担全乡</w:t>
      </w:r>
      <w:r>
        <w:rPr>
          <w:rFonts w:hint="eastAsia" w:ascii="仿宋_GB2312" w:eastAsia="仿宋_GB2312"/>
          <w:color w:val="auto"/>
          <w:sz w:val="32"/>
          <w:szCs w:val="32"/>
        </w:rPr>
        <w:t>医疗卫生与计划生育事业发展相关工作。按支出功能分类主要用于以下方面:                                                                                                                                                                                                                                                                                                                                                                                                                                                                                                                                                                                                                                                                                                                                                                                                                                                                                                                                                                                                                                                                                                                                                                                                                                                                                                                                      （</w:t>
      </w:r>
      <w:r>
        <w:rPr>
          <w:rFonts w:hint="eastAsia" w:ascii="仿宋_GB2312"/>
          <w:color w:val="auto"/>
          <w:sz w:val="32"/>
          <w:szCs w:val="32"/>
          <w:lang w:val="en-US" w:eastAsia="zh-CN"/>
        </w:rPr>
        <w:t>1</w:t>
      </w:r>
      <w:r>
        <w:rPr>
          <w:rFonts w:hint="eastAsia" w:ascii="仿宋_GB2312" w:eastAsia="仿宋_GB2312"/>
          <w:color w:val="auto"/>
          <w:sz w:val="32"/>
          <w:szCs w:val="32"/>
        </w:rPr>
        <w:t>）医疗卫生与计划生育支出，主要用于基层医疗卫生机构—乡镇卫生院人员基本工资，津贴补贴，离退休费。（</w:t>
      </w:r>
      <w:r>
        <w:rPr>
          <w:rFonts w:hint="eastAsia" w:ascii="仿宋_GB2312"/>
          <w:color w:val="auto"/>
          <w:sz w:val="32"/>
          <w:szCs w:val="32"/>
          <w:lang w:val="en-US" w:eastAsia="zh-CN"/>
        </w:rPr>
        <w:t>2</w:t>
      </w:r>
      <w:r>
        <w:rPr>
          <w:rFonts w:hint="eastAsia" w:ascii="仿宋_GB2312" w:eastAsia="仿宋_GB2312"/>
          <w:color w:val="auto"/>
          <w:sz w:val="32"/>
          <w:szCs w:val="32"/>
        </w:rPr>
        <w:t>）住房保障支出，主要用于职工住房公积金支出</w:t>
      </w:r>
      <w:r>
        <w:rPr>
          <w:rFonts w:hint="eastAsia" w:ascii="仿宋_GB2312" w:eastAsia="仿宋_GB2312"/>
          <w:color w:val="auto"/>
          <w:sz w:val="32"/>
          <w:szCs w:val="32"/>
          <w:lang w:eastAsia="zh-CN"/>
        </w:rPr>
        <w:t>。</w:t>
      </w:r>
      <w:r>
        <w:rPr>
          <w:rFonts w:hint="eastAsia" w:ascii="仿宋_GB2312" w:eastAsia="仿宋_GB2312"/>
          <w:color w:val="auto"/>
          <w:sz w:val="32"/>
          <w:szCs w:val="32"/>
        </w:rPr>
        <w:t xml:space="preserve"> </w:t>
      </w:r>
    </w:p>
    <w:p w14:paraId="4FF44100">
      <w:pPr>
        <w:spacing w:line="580" w:lineRule="exact"/>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仿宋_GB2312"/>
          <w:color w:val="auto"/>
          <w:sz w:val="32"/>
          <w:szCs w:val="32"/>
          <w:lang w:val="en-US" w:eastAsia="zh-CN"/>
        </w:rPr>
        <w:t xml:space="preserve">   </w:t>
      </w:r>
      <w:r>
        <w:rPr>
          <w:rFonts w:hint="eastAsia" w:ascii="仿宋_GB2312"/>
          <w:color w:val="auto"/>
          <w:sz w:val="32"/>
          <w:szCs w:val="32"/>
          <w:lang w:eastAsia="zh-CN"/>
        </w:rPr>
        <w:t>基本支出</w:t>
      </w:r>
      <w:r>
        <w:rPr>
          <w:rFonts w:hint="eastAsia" w:ascii="仿宋_GB2312"/>
          <w:color w:val="auto"/>
          <w:sz w:val="32"/>
          <w:szCs w:val="32"/>
          <w:lang w:val="en-US" w:eastAsia="zh-CN"/>
        </w:rPr>
        <w:t>189.06万元；</w:t>
      </w:r>
      <w:r>
        <w:rPr>
          <w:rFonts w:hint="eastAsia" w:ascii="Times New Roman" w:hAnsi="Times New Roman" w:eastAsia="仿宋_GB2312" w:cs="Times New Roman"/>
          <w:color w:val="auto"/>
          <w:sz w:val="32"/>
          <w:szCs w:val="32"/>
          <w:highlight w:val="none"/>
        </w:rPr>
        <w:t>社会保障和就业</w:t>
      </w:r>
      <w:r>
        <w:rPr>
          <w:rFonts w:ascii="Times New Roman" w:hAnsi="Times New Roman" w:eastAsia="仿宋_GB2312" w:cs="Times New Roman"/>
          <w:color w:val="auto"/>
          <w:sz w:val="32"/>
          <w:szCs w:val="32"/>
          <w:highlight w:val="none"/>
        </w:rPr>
        <w:t>支出</w:t>
      </w:r>
      <w:r>
        <w:rPr>
          <w:rFonts w:hint="eastAsia" w:ascii="Times New Roman" w:hAnsi="Times New Roman" w:eastAsia="仿宋_GB2312" w:cs="Times New Roman"/>
          <w:color w:val="auto"/>
          <w:sz w:val="32"/>
          <w:szCs w:val="32"/>
          <w:highlight w:val="none"/>
        </w:rPr>
        <w:t>1</w:t>
      </w:r>
      <w:r>
        <w:rPr>
          <w:rFonts w:hint="eastAsia" w:ascii="Times New Roman" w:hAnsi="Times New Roman" w:cs="Times New Roman"/>
          <w:color w:val="auto"/>
          <w:sz w:val="32"/>
          <w:szCs w:val="32"/>
          <w:highlight w:val="none"/>
          <w:lang w:val="en-US" w:eastAsia="zh-CN"/>
        </w:rPr>
        <w:t>4.34</w:t>
      </w:r>
      <w:r>
        <w:rPr>
          <w:rFonts w:ascii="Times New Roman" w:hAnsi="Times New Roman" w:eastAsia="仿宋_GB2312" w:cs="Times New Roman"/>
          <w:color w:val="auto"/>
          <w:sz w:val="32"/>
          <w:szCs w:val="32"/>
          <w:highlight w:val="none"/>
        </w:rPr>
        <w:t>万元</w:t>
      </w:r>
      <w:r>
        <w:rPr>
          <w:rFonts w:hint="eastAsia" w:ascii="Times New Roman" w:hAnsi="Times New Roman" w:cs="Times New Roman"/>
          <w:color w:val="auto"/>
          <w:sz w:val="32"/>
          <w:szCs w:val="32"/>
          <w:highlight w:val="none"/>
          <w:lang w:eastAsia="zh-CN"/>
        </w:rPr>
        <w:t>。</w:t>
      </w:r>
      <w:r>
        <w:rPr>
          <w:rFonts w:hint="eastAsia" w:ascii="仿宋_GB2312"/>
          <w:color w:val="auto"/>
          <w:sz w:val="32"/>
          <w:szCs w:val="32"/>
          <w:lang w:val="en-US" w:eastAsia="zh-CN"/>
        </w:rPr>
        <w:t>医疗卫生与计划生育支出158.07万元；</w:t>
      </w:r>
      <w:r>
        <w:rPr>
          <w:rFonts w:hint="eastAsia" w:ascii="Times New Roman" w:hAnsi="Times New Roman" w:cs="Times New Roman"/>
          <w:color w:val="auto"/>
          <w:sz w:val="32"/>
          <w:szCs w:val="32"/>
          <w:highlight w:val="none"/>
          <w:lang w:val="en-US" w:eastAsia="zh-CN"/>
        </w:rPr>
        <w:t>住房保障支出16.65万元。</w:t>
      </w:r>
      <w:r>
        <w:rPr>
          <w:rFonts w:hint="eastAsia" w:ascii="仿宋_GB2312" w:eastAsia="仿宋_GB2312"/>
          <w:color w:val="auto"/>
          <w:sz w:val="32"/>
          <w:szCs w:val="32"/>
        </w:rPr>
        <w:t>，是用于</w:t>
      </w:r>
      <w:r>
        <w:rPr>
          <w:rFonts w:hint="eastAsia" w:ascii="仿宋_GB2312"/>
          <w:color w:val="auto"/>
          <w:sz w:val="32"/>
          <w:szCs w:val="32"/>
          <w:lang w:eastAsia="zh-CN"/>
        </w:rPr>
        <w:t>保障前进镇</w:t>
      </w:r>
      <w:r>
        <w:rPr>
          <w:rFonts w:hint="eastAsia" w:ascii="仿宋_GB2312" w:eastAsia="仿宋_GB2312"/>
          <w:color w:val="auto"/>
          <w:sz w:val="32"/>
          <w:szCs w:val="32"/>
          <w:lang w:eastAsia="zh-CN"/>
        </w:rPr>
        <w:t>卫生院</w:t>
      </w:r>
      <w:r>
        <w:rPr>
          <w:rFonts w:hint="eastAsia" w:ascii="仿宋_GB2312" w:eastAsia="仿宋_GB2312"/>
          <w:color w:val="auto"/>
          <w:sz w:val="32"/>
          <w:szCs w:val="32"/>
        </w:rPr>
        <w:t>正常运转的日常支出，包括基本工资、津贴补贴等人员经费以及办公费、印刷费、水电费、办公设备购置等日常公用经费。</w:t>
      </w:r>
    </w:p>
    <w:p w14:paraId="64C78612">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项目支出</w:t>
      </w:r>
      <w:r>
        <w:rPr>
          <w:rFonts w:hint="eastAsia" w:ascii="仿宋_GB2312"/>
          <w:color w:val="auto"/>
          <w:sz w:val="32"/>
          <w:szCs w:val="32"/>
          <w:lang w:val="en-US" w:eastAsia="zh-CN"/>
        </w:rPr>
        <w:t>135.07万元</w:t>
      </w:r>
      <w:r>
        <w:rPr>
          <w:rFonts w:hint="eastAsia" w:ascii="仿宋_GB2312" w:eastAsia="仿宋_GB2312"/>
          <w:color w:val="auto"/>
          <w:sz w:val="32"/>
          <w:szCs w:val="32"/>
        </w:rPr>
        <w:t>，是用于保障</w:t>
      </w:r>
      <w:r>
        <w:rPr>
          <w:rFonts w:hint="eastAsia" w:ascii="仿宋_GB2312"/>
          <w:color w:val="auto"/>
          <w:sz w:val="32"/>
          <w:szCs w:val="32"/>
          <w:lang w:eastAsia="zh-CN"/>
        </w:rPr>
        <w:t>前进镇</w:t>
      </w:r>
      <w:r>
        <w:rPr>
          <w:rFonts w:hint="eastAsia" w:ascii="仿宋_GB2312" w:eastAsia="仿宋_GB2312"/>
          <w:color w:val="auto"/>
          <w:sz w:val="32"/>
          <w:szCs w:val="32"/>
          <w:lang w:eastAsia="zh-CN"/>
        </w:rPr>
        <w:t>卫生院</w:t>
      </w:r>
      <w:r>
        <w:rPr>
          <w:rFonts w:hint="eastAsia" w:ascii="仿宋_GB2312" w:eastAsia="仿宋_GB2312"/>
          <w:color w:val="auto"/>
          <w:sz w:val="32"/>
          <w:szCs w:val="32"/>
        </w:rPr>
        <w:t>完成特定的行政工作任务或事业发展目标，用于专项业务工作的经费支出。</w:t>
      </w:r>
    </w:p>
    <w:p w14:paraId="20A3F15B">
      <w:pPr>
        <w:numPr>
          <w:ilvl w:val="0"/>
          <w:numId w:val="0"/>
        </w:numPr>
        <w:adjustRightInd w:val="0"/>
        <w:snapToGrid w:val="0"/>
        <w:spacing w:line="560" w:lineRule="exact"/>
        <w:ind w:firstLine="640" w:firstLineChars="200"/>
        <w:rPr>
          <w:rFonts w:hint="eastAsia" w:ascii="仿宋_GB2312" w:hAnsi="宋体"/>
          <w:color w:val="auto"/>
          <w:sz w:val="32"/>
          <w:szCs w:val="32"/>
          <w:lang w:val="zh-CN"/>
        </w:rPr>
      </w:pPr>
      <w:r>
        <w:rPr>
          <w:rFonts w:hint="eastAsia" w:ascii="仿宋_GB2312" w:hAnsi="宋体"/>
          <w:color w:val="auto"/>
          <w:sz w:val="32"/>
          <w:szCs w:val="32"/>
          <w:lang w:val="zh-CN"/>
        </w:rPr>
        <w:t>三、支出绩效情况</w:t>
      </w:r>
    </w:p>
    <w:p w14:paraId="1DE4E528">
      <w:pPr>
        <w:pStyle w:val="5"/>
        <w:adjustRightInd w:val="0"/>
        <w:snapToGrid w:val="0"/>
        <w:spacing w:before="0" w:beforeLines="0" w:line="520" w:lineRule="exact"/>
        <w:ind w:firstLine="672" w:firstLineChars="210"/>
        <w:rPr>
          <w:rFonts w:hint="eastAsia"/>
          <w:color w:val="auto"/>
          <w:sz w:val="32"/>
          <w:szCs w:val="32"/>
        </w:rPr>
      </w:pPr>
      <w:r>
        <w:rPr>
          <w:rFonts w:hint="eastAsia"/>
          <w:color w:val="auto"/>
          <w:sz w:val="32"/>
          <w:szCs w:val="32"/>
        </w:rPr>
        <w:t>（一）基本医疗方面：加强医疗质量管理，保证医疗安全。争取卫生院门诊人次在</w:t>
      </w:r>
      <w:r>
        <w:rPr>
          <w:rFonts w:hint="eastAsia"/>
          <w:color w:val="auto"/>
          <w:sz w:val="32"/>
          <w:szCs w:val="32"/>
          <w:lang w:eastAsia="zh-CN"/>
        </w:rPr>
        <w:t>次年</w:t>
      </w:r>
      <w:r>
        <w:rPr>
          <w:rFonts w:hint="eastAsia"/>
          <w:color w:val="auto"/>
          <w:sz w:val="32"/>
          <w:szCs w:val="32"/>
        </w:rPr>
        <w:t>基础上增加3%，住院人次增加3%。</w:t>
      </w:r>
    </w:p>
    <w:p w14:paraId="34322482">
      <w:pPr>
        <w:pStyle w:val="5"/>
        <w:adjustRightInd w:val="0"/>
        <w:snapToGrid w:val="0"/>
        <w:spacing w:before="0" w:beforeLines="0" w:line="520" w:lineRule="exact"/>
        <w:ind w:firstLine="672" w:firstLineChars="210"/>
        <w:rPr>
          <w:rFonts w:hint="eastAsia"/>
          <w:color w:val="auto"/>
          <w:sz w:val="32"/>
          <w:szCs w:val="32"/>
        </w:rPr>
      </w:pPr>
      <w:r>
        <w:rPr>
          <w:rFonts w:hint="eastAsia"/>
          <w:color w:val="auto"/>
          <w:sz w:val="32"/>
          <w:szCs w:val="32"/>
        </w:rPr>
        <w:t>（二）基本公共卫生工作方面：着力做好基本公共卫生工作。严格执行疫情监测、报告制度，突发重点疾病防控及突发公共卫生事件处置和救灾防病工作。抓好重点人群管理工作。</w:t>
      </w:r>
    </w:p>
    <w:p w14:paraId="2EA2DBDC">
      <w:pPr>
        <w:numPr>
          <w:ilvl w:val="0"/>
          <w:numId w:val="0"/>
        </w:numPr>
        <w:adjustRightInd w:val="0"/>
        <w:snapToGrid w:val="0"/>
        <w:spacing w:line="560" w:lineRule="exact"/>
        <w:ind w:left="720" w:leftChars="0"/>
        <w:rPr>
          <w:rFonts w:hint="eastAsia" w:ascii="仿宋_GB2312" w:hAnsi="宋体"/>
          <w:color w:val="auto"/>
          <w:sz w:val="32"/>
          <w:szCs w:val="32"/>
          <w:lang w:val="zh-CN"/>
        </w:rPr>
      </w:pPr>
    </w:p>
    <w:p w14:paraId="393E6373">
      <w:pPr>
        <w:adjustRightInd w:val="0"/>
        <w:snapToGrid w:val="0"/>
        <w:spacing w:line="560" w:lineRule="exact"/>
        <w:ind w:firstLine="720"/>
        <w:rPr>
          <w:rFonts w:hint="eastAsia" w:ascii="黑体" w:hAnsi="宋体" w:eastAsia="黑体"/>
          <w:color w:val="auto"/>
          <w:sz w:val="32"/>
          <w:szCs w:val="32"/>
        </w:rPr>
      </w:pPr>
      <w:r>
        <w:rPr>
          <w:rFonts w:hint="eastAsia" w:ascii="黑体" w:hAnsi="宋体" w:eastAsia="黑体"/>
          <w:color w:val="auto"/>
          <w:sz w:val="32"/>
          <w:szCs w:val="32"/>
        </w:rPr>
        <w:t>四、评价结论及建议</w:t>
      </w:r>
    </w:p>
    <w:p w14:paraId="7007D062">
      <w:pPr>
        <w:adjustRightInd w:val="0"/>
        <w:snapToGrid w:val="0"/>
        <w:spacing w:line="560" w:lineRule="exact"/>
        <w:ind w:firstLine="720"/>
        <w:rPr>
          <w:rFonts w:hint="eastAsia" w:ascii="仿宋_GB2312" w:hAnsi="宋体"/>
          <w:color w:val="auto"/>
          <w:sz w:val="32"/>
          <w:szCs w:val="32"/>
          <w:lang w:val="zh-CN"/>
        </w:rPr>
      </w:pPr>
      <w:r>
        <w:rPr>
          <w:rFonts w:hint="eastAsia" w:ascii="仿宋_GB2312" w:hAnsi="宋体"/>
          <w:color w:val="auto"/>
          <w:sz w:val="32"/>
          <w:szCs w:val="32"/>
          <w:lang w:val="zh-CN"/>
        </w:rPr>
        <w:t>（一）评价结论</w:t>
      </w:r>
    </w:p>
    <w:p w14:paraId="72C5A3C7">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jc w:val="both"/>
        <w:textAlignment w:val="auto"/>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shd w:val="clear" w:color="auto" w:fill="FFFFFF"/>
        </w:rPr>
        <w:t>自评分汇总得分</w:t>
      </w:r>
      <w:r>
        <w:rPr>
          <w:rFonts w:hint="eastAsia" w:ascii="仿宋_GB2312" w:hAnsi="仿宋_GB2312" w:cs="仿宋_GB2312"/>
          <w:b w:val="0"/>
          <w:i w:val="0"/>
          <w:caps w:val="0"/>
          <w:color w:val="auto"/>
          <w:spacing w:val="0"/>
          <w:sz w:val="32"/>
          <w:szCs w:val="32"/>
          <w:shd w:val="clear" w:color="auto" w:fill="FFFFFF"/>
          <w:lang w:val="en-US" w:eastAsia="zh-CN"/>
        </w:rPr>
        <w:t>92</w:t>
      </w:r>
      <w:r>
        <w:rPr>
          <w:rFonts w:hint="eastAsia" w:ascii="仿宋_GB2312" w:hAnsi="仿宋_GB2312" w:eastAsia="仿宋_GB2312" w:cs="仿宋_GB2312"/>
          <w:b w:val="0"/>
          <w:i w:val="0"/>
          <w:caps w:val="0"/>
          <w:color w:val="auto"/>
          <w:spacing w:val="0"/>
          <w:sz w:val="32"/>
          <w:szCs w:val="32"/>
          <w:shd w:val="clear" w:color="auto" w:fill="FFFFFF"/>
        </w:rPr>
        <w:t>分，自评结果为</w:t>
      </w:r>
      <w:r>
        <w:rPr>
          <w:rFonts w:hint="eastAsia" w:ascii="仿宋_GB2312" w:hAnsi="仿宋_GB2312" w:cs="仿宋_GB2312"/>
          <w:b w:val="0"/>
          <w:i w:val="0"/>
          <w:caps w:val="0"/>
          <w:color w:val="auto"/>
          <w:spacing w:val="0"/>
          <w:sz w:val="32"/>
          <w:szCs w:val="32"/>
          <w:shd w:val="clear" w:color="auto" w:fill="FFFFFF"/>
          <w:lang w:val="en-US" w:eastAsia="zh-CN"/>
        </w:rPr>
        <w:t>优秀</w:t>
      </w:r>
      <w:r>
        <w:rPr>
          <w:rFonts w:hint="eastAsia" w:ascii="仿宋_GB2312" w:hAnsi="仿宋_GB2312" w:eastAsia="仿宋_GB2312" w:cs="仿宋_GB2312"/>
          <w:b w:val="0"/>
          <w:i w:val="0"/>
          <w:caps w:val="0"/>
          <w:color w:val="auto"/>
          <w:spacing w:val="0"/>
          <w:sz w:val="32"/>
          <w:szCs w:val="32"/>
          <w:shd w:val="clear" w:color="auto" w:fill="FFFFFF"/>
          <w:lang w:eastAsia="zh-CN"/>
        </w:rPr>
        <w:t>。</w:t>
      </w:r>
    </w:p>
    <w:p w14:paraId="55FA211C">
      <w:pPr>
        <w:numPr>
          <w:ilvl w:val="0"/>
          <w:numId w:val="0"/>
        </w:numPr>
        <w:adjustRightInd w:val="0"/>
        <w:snapToGrid w:val="0"/>
        <w:spacing w:line="560" w:lineRule="exact"/>
        <w:ind w:firstLine="640" w:firstLineChars="200"/>
        <w:rPr>
          <w:rFonts w:hint="eastAsia" w:ascii="仿宋_GB2312" w:hAnsi="宋体"/>
          <w:color w:val="auto"/>
          <w:sz w:val="32"/>
          <w:szCs w:val="32"/>
          <w:lang w:val="zh-CN"/>
        </w:rPr>
      </w:pPr>
      <w:r>
        <w:rPr>
          <w:rFonts w:hint="eastAsia" w:ascii="仿宋_GB2312" w:hAnsi="宋体"/>
          <w:color w:val="auto"/>
          <w:sz w:val="32"/>
          <w:szCs w:val="32"/>
          <w:lang w:val="zh-CN"/>
        </w:rPr>
        <w:t>（二）存在问题</w:t>
      </w:r>
    </w:p>
    <w:p w14:paraId="5B1C23EE">
      <w:pPr>
        <w:pStyle w:val="30"/>
        <w:widowControl/>
        <w:shd w:val="clear" w:color="060000" w:fill="FFFFFF"/>
        <w:spacing w:line="52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80000" w:fill="FFFFFF"/>
        </w:rPr>
        <w:t>从这次的绩效自评结果看，我院项目实施情况整体良好，各科室工作积极主动，使资金发挥了其应有的经济及社会效益，当然也存在一些问题：</w:t>
      </w:r>
    </w:p>
    <w:p w14:paraId="684FD9AA">
      <w:pPr>
        <w:pStyle w:val="30"/>
        <w:widowControl/>
        <w:shd w:val="clear" w:color="060000" w:fill="FFFFFF"/>
        <w:spacing w:line="52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80000" w:fill="FFFFFF"/>
        </w:rPr>
        <w:t>1、预算细化程度不够，造成了预算数与执行数的差异；</w:t>
      </w:r>
    </w:p>
    <w:p w14:paraId="4BCF7E2C">
      <w:pPr>
        <w:pStyle w:val="30"/>
        <w:widowControl/>
        <w:shd w:val="clear" w:color="060000" w:fill="FFFFFF"/>
        <w:spacing w:line="520" w:lineRule="exact"/>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80000" w:fill="FFFFFF"/>
        </w:rPr>
        <w:t>      2、项目资金预算不足，无法解决设备简陋的问题，制约了医院的发展；</w:t>
      </w:r>
    </w:p>
    <w:p w14:paraId="6BEEF296">
      <w:pPr>
        <w:pStyle w:val="30"/>
        <w:widowControl/>
        <w:shd w:val="clear" w:color="060000" w:fill="FFFFFF"/>
        <w:spacing w:line="520" w:lineRule="exact"/>
        <w:ind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080000" w:fill="FFFFFF"/>
        </w:rPr>
        <w:t>3．预算执行完成后的绩效管理还有待完善和加强。</w:t>
      </w:r>
    </w:p>
    <w:p w14:paraId="13A83B42">
      <w:pPr>
        <w:numPr>
          <w:ilvl w:val="0"/>
          <w:numId w:val="0"/>
        </w:numPr>
        <w:adjustRightInd w:val="0"/>
        <w:snapToGrid w:val="0"/>
        <w:spacing w:line="560" w:lineRule="exact"/>
        <w:ind w:firstLine="640" w:firstLineChars="200"/>
        <w:rPr>
          <w:rFonts w:hint="eastAsia" w:ascii="仿宋_GB2312" w:hAnsi="宋体"/>
          <w:color w:val="auto"/>
          <w:sz w:val="32"/>
          <w:szCs w:val="32"/>
          <w:lang w:val="zh-CN"/>
        </w:rPr>
      </w:pPr>
      <w:r>
        <w:rPr>
          <w:rFonts w:hint="eastAsia" w:ascii="仿宋_GB2312" w:hAnsi="宋体"/>
          <w:color w:val="auto"/>
          <w:sz w:val="32"/>
          <w:szCs w:val="32"/>
          <w:lang w:val="zh-CN"/>
        </w:rPr>
        <w:t>（三）改进建议</w:t>
      </w:r>
    </w:p>
    <w:p w14:paraId="27B56C1D">
      <w:pPr>
        <w:adjustRightInd w:val="0"/>
        <w:snapToGrid w:val="0"/>
        <w:spacing w:line="560" w:lineRule="exact"/>
        <w:ind w:firstLine="720"/>
        <w:rPr>
          <w:rFonts w:hint="eastAsia" w:ascii="仿宋_GB2312" w:hAnsi="宋体"/>
          <w:color w:val="auto"/>
          <w:sz w:val="32"/>
          <w:szCs w:val="32"/>
          <w:lang w:val="en-US" w:eastAsia="zh-CN"/>
        </w:rPr>
      </w:pPr>
      <w:r>
        <w:rPr>
          <w:rFonts w:hint="eastAsia" w:ascii="仿宋_GB2312" w:hAnsi="宋体"/>
          <w:color w:val="auto"/>
          <w:sz w:val="32"/>
          <w:szCs w:val="32"/>
          <w:lang w:val="en-US" w:eastAsia="zh-CN"/>
        </w:rPr>
        <w:tab/>
      </w:r>
      <w:r>
        <w:rPr>
          <w:rFonts w:hint="eastAsia" w:ascii="仿宋_GB2312" w:hAnsi="宋体"/>
          <w:color w:val="auto"/>
          <w:sz w:val="32"/>
          <w:szCs w:val="32"/>
          <w:lang w:val="en-US" w:eastAsia="zh-CN"/>
        </w:rPr>
        <w:t>1、增强支出责任和绩效意识，认真编制每年预算，严格执行年初预算管理。</w:t>
      </w:r>
    </w:p>
    <w:p w14:paraId="69BC99DD">
      <w:pPr>
        <w:adjustRightInd w:val="0"/>
        <w:snapToGrid w:val="0"/>
        <w:spacing w:line="560" w:lineRule="exact"/>
        <w:ind w:firstLine="720"/>
        <w:rPr>
          <w:rFonts w:hint="eastAsia" w:ascii="仿宋_GB2312" w:hAnsi="宋体"/>
          <w:color w:val="auto"/>
          <w:sz w:val="32"/>
          <w:szCs w:val="32"/>
          <w:lang w:val="en-US" w:eastAsia="zh-CN"/>
        </w:rPr>
      </w:pPr>
      <w:r>
        <w:rPr>
          <w:rFonts w:hint="eastAsia" w:ascii="仿宋_GB2312" w:hAnsi="宋体"/>
          <w:color w:val="auto"/>
          <w:sz w:val="32"/>
          <w:szCs w:val="32"/>
          <w:lang w:val="en-US" w:eastAsia="zh-CN"/>
        </w:rPr>
        <w:tab/>
      </w:r>
      <w:r>
        <w:rPr>
          <w:rFonts w:hint="eastAsia" w:ascii="仿宋_GB2312" w:hAnsi="宋体"/>
          <w:color w:val="auto"/>
          <w:sz w:val="32"/>
          <w:szCs w:val="32"/>
          <w:lang w:val="en-US" w:eastAsia="zh-CN"/>
        </w:rPr>
        <w:t>2、以“创建人民群众满意卫生院”为工作目标，加强单位内部控制管理，加强医疗服务水平，提供医务人员医疗服务意识，为人民群众就医提供便利，让人民群众得到实惠，为人民的健康工作做出贡献。</w:t>
      </w:r>
    </w:p>
    <w:p w14:paraId="0D508F5C">
      <w:pPr>
        <w:adjustRightInd w:val="0"/>
        <w:snapToGrid w:val="0"/>
        <w:spacing w:line="560" w:lineRule="exact"/>
        <w:ind w:firstLine="720"/>
        <w:rPr>
          <w:rFonts w:hint="eastAsia" w:ascii="仿宋_GB2312" w:hAnsi="宋体"/>
          <w:color w:val="auto"/>
          <w:sz w:val="32"/>
          <w:szCs w:val="32"/>
          <w:lang w:val="en-US" w:eastAsia="zh-CN"/>
        </w:rPr>
      </w:pPr>
      <w:r>
        <w:rPr>
          <w:rFonts w:hint="eastAsia" w:ascii="仿宋_GB2312" w:hAnsi="宋体"/>
          <w:color w:val="auto"/>
          <w:sz w:val="32"/>
          <w:szCs w:val="32"/>
          <w:lang w:val="en-US" w:eastAsia="zh-CN"/>
        </w:rPr>
        <w:tab/>
      </w:r>
      <w:r>
        <w:rPr>
          <w:rFonts w:hint="eastAsia" w:ascii="仿宋_GB2312" w:hAnsi="宋体"/>
          <w:color w:val="auto"/>
          <w:sz w:val="32"/>
          <w:szCs w:val="32"/>
          <w:lang w:val="en-US" w:eastAsia="zh-CN"/>
        </w:rPr>
        <w:t>3、加强预算资金管理，提高财政资金使用效率。</w:t>
      </w:r>
    </w:p>
    <w:p w14:paraId="6B998791">
      <w:pPr>
        <w:adjustRightInd w:val="0"/>
        <w:snapToGrid w:val="0"/>
        <w:spacing w:line="560" w:lineRule="exact"/>
        <w:ind w:firstLine="720"/>
        <w:rPr>
          <w:rFonts w:hint="eastAsia" w:ascii="仿宋_GB2312" w:hAnsi="宋体"/>
          <w:color w:val="auto"/>
          <w:sz w:val="32"/>
          <w:szCs w:val="32"/>
          <w:lang w:val="en-US" w:eastAsia="zh-CN"/>
        </w:rPr>
      </w:pPr>
      <w:r>
        <w:rPr>
          <w:rFonts w:hint="eastAsia" w:ascii="仿宋_GB2312" w:hAnsi="宋体"/>
          <w:color w:val="auto"/>
          <w:sz w:val="32"/>
          <w:szCs w:val="32"/>
          <w:lang w:val="en-US" w:eastAsia="zh-CN"/>
        </w:rPr>
        <w:tab/>
      </w:r>
      <w:r>
        <w:rPr>
          <w:rFonts w:hint="eastAsia" w:ascii="仿宋_GB2312" w:hAnsi="宋体"/>
          <w:color w:val="auto"/>
          <w:sz w:val="32"/>
          <w:szCs w:val="32"/>
          <w:lang w:val="en-US" w:eastAsia="zh-CN"/>
        </w:rPr>
        <w:t>第一、加强现金管理，当日收入必须存入银行，杜绝公款私存，挪用资金的发生。</w:t>
      </w:r>
    </w:p>
    <w:p w14:paraId="48E69CE8">
      <w:pPr>
        <w:adjustRightInd w:val="0"/>
        <w:snapToGrid w:val="0"/>
        <w:spacing w:line="560" w:lineRule="exact"/>
        <w:ind w:firstLine="720"/>
        <w:rPr>
          <w:rFonts w:hint="eastAsia" w:ascii="仿宋_GB2312" w:hAnsi="宋体"/>
          <w:color w:val="auto"/>
          <w:sz w:val="32"/>
          <w:szCs w:val="32"/>
          <w:lang w:val="en-US" w:eastAsia="zh-CN"/>
        </w:rPr>
      </w:pPr>
      <w:r>
        <w:rPr>
          <w:rFonts w:hint="eastAsia" w:ascii="仿宋_GB2312" w:hAnsi="宋体"/>
          <w:color w:val="auto"/>
          <w:sz w:val="32"/>
          <w:szCs w:val="32"/>
          <w:lang w:val="en-US" w:eastAsia="zh-CN"/>
        </w:rPr>
        <w:tab/>
      </w:r>
      <w:r>
        <w:rPr>
          <w:rFonts w:hint="eastAsia" w:ascii="仿宋_GB2312" w:hAnsi="宋体"/>
          <w:color w:val="auto"/>
          <w:sz w:val="32"/>
          <w:szCs w:val="32"/>
          <w:lang w:val="en-US" w:eastAsia="zh-CN"/>
        </w:rPr>
        <w:t>第二、加强固定资产管理，对单位所有固定资产贴上标签，做到专人管理，每年进行一次固定资产清查，对未入账、已损坏的固定资产按财务流程进行处理。</w:t>
      </w:r>
    </w:p>
    <w:p w14:paraId="01CAA9EE">
      <w:pPr>
        <w:numPr>
          <w:ilvl w:val="0"/>
          <w:numId w:val="0"/>
        </w:numPr>
        <w:adjustRightInd w:val="0"/>
        <w:snapToGrid w:val="0"/>
        <w:spacing w:line="560" w:lineRule="exact"/>
        <w:ind w:left="720" w:leftChars="0"/>
        <w:rPr>
          <w:rFonts w:hint="eastAsia" w:ascii="仿宋_GB2312" w:hAnsi="宋体"/>
          <w:szCs w:val="32"/>
          <w:lang w:val="zh-CN"/>
        </w:rPr>
      </w:pPr>
    </w:p>
    <w:p w14:paraId="4FF4BAEC">
      <w:pPr>
        <w:spacing w:line="580" w:lineRule="exact"/>
        <w:ind w:firstLine="640" w:firstLineChars="200"/>
        <w:rPr>
          <w:rFonts w:hint="eastAsia" w:ascii="仿宋" w:hAnsi="仿宋" w:eastAsia="仿宋" w:cs="仿宋"/>
          <w:b w:val="0"/>
          <w:bCs w:val="0"/>
          <w:i w:val="0"/>
          <w:caps w:val="0"/>
          <w:color w:val="333333"/>
          <w:spacing w:val="0"/>
          <w:sz w:val="32"/>
          <w:szCs w:val="32"/>
        </w:rPr>
      </w:pPr>
      <w:r>
        <w:rPr>
          <w:rFonts w:hint="eastAsia" w:ascii="仿宋" w:hAnsi="仿宋" w:eastAsia="仿宋" w:cs="仿宋"/>
          <w:b w:val="0"/>
          <w:bCs w:val="0"/>
          <w:sz w:val="32"/>
          <w:szCs w:val="32"/>
        </w:rPr>
        <w:t xml:space="preserve">                                                                                                                                                                                                                                                                                                                                                                                                                                                                                                                                                                                                                                                                                                                                                                                                                                                                                                                                                                                                                                                                                                                                                                                                                                                                                                            </w:t>
      </w:r>
    </w:p>
    <w:p w14:paraId="2C2E2638">
      <w:pPr>
        <w:spacing w:line="580" w:lineRule="exact"/>
        <w:ind w:firstLine="640" w:firstLineChars="200"/>
        <w:rPr>
          <w:rFonts w:ascii="仿宋" w:hAnsi="仿宋" w:eastAsia="仿宋" w:cs="仿宋_GB2312"/>
          <w:sz w:val="32"/>
          <w:szCs w:val="32"/>
        </w:rPr>
      </w:pPr>
    </w:p>
    <w:p w14:paraId="536DFAFD">
      <w:pPr>
        <w:spacing w:line="580" w:lineRule="exact"/>
        <w:ind w:firstLine="640" w:firstLineChars="200"/>
        <w:rPr>
          <w:rFonts w:ascii="仿宋_GB2312" w:hAnsi="仿宋_GB2312" w:eastAsia="仿宋_GB2312" w:cs="仿宋_GB2312"/>
          <w:sz w:val="32"/>
          <w:szCs w:val="32"/>
        </w:rPr>
      </w:pPr>
    </w:p>
    <w:p w14:paraId="05B326C5">
      <w:pPr>
        <w:widowControl/>
        <w:jc w:val="left"/>
        <w:rPr>
          <w:rFonts w:hint="eastAsia" w:ascii="黑体" w:hAnsi="黑体" w:eastAsia="黑体"/>
          <w:color w:val="000000"/>
          <w:sz w:val="44"/>
          <w:szCs w:val="44"/>
        </w:rPr>
      </w:pPr>
      <w:r>
        <w:rPr>
          <w:rFonts w:ascii="仿宋_GB2312" w:hAnsi="仿宋_GB2312" w:eastAsia="仿宋_GB2312" w:cs="仿宋_GB2312"/>
          <w:sz w:val="32"/>
          <w:szCs w:val="32"/>
        </w:rPr>
        <w:br w:type="page"/>
      </w:r>
      <w:bookmarkStart w:id="35" w:name="_Toc15396618"/>
    </w:p>
    <w:p w14:paraId="2DF11982">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31"/>
      <w:bookmarkEnd w:id="35"/>
    </w:p>
    <w:p w14:paraId="68ABC4EB">
      <w:pPr>
        <w:spacing w:line="600" w:lineRule="exact"/>
        <w:jc w:val="center"/>
        <w:outlineLvl w:val="0"/>
        <w:rPr>
          <w:rFonts w:ascii="仿宋" w:hAnsi="仿宋" w:eastAsia="仿宋"/>
          <w:b/>
          <w:color w:val="000000"/>
          <w:sz w:val="44"/>
          <w:szCs w:val="44"/>
        </w:rPr>
      </w:pPr>
    </w:p>
    <w:p w14:paraId="28412141">
      <w:pPr>
        <w:pStyle w:val="3"/>
        <w:rPr>
          <w:rFonts w:ascii="仿宋" w:hAnsi="仿宋" w:eastAsia="仿宋"/>
          <w:color w:val="000000"/>
        </w:rPr>
      </w:pPr>
      <w:bookmarkStart w:id="36"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36"/>
    </w:p>
    <w:p w14:paraId="09D39BFE">
      <w:pPr>
        <w:pStyle w:val="3"/>
        <w:rPr>
          <w:rFonts w:ascii="仿宋" w:hAnsi="仿宋" w:eastAsia="仿宋"/>
          <w:color w:val="000000"/>
        </w:rPr>
      </w:pPr>
      <w:bookmarkStart w:id="37"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37"/>
    </w:p>
    <w:p w14:paraId="53E4A6C3">
      <w:pPr>
        <w:pStyle w:val="3"/>
        <w:rPr>
          <w:rFonts w:ascii="仿宋" w:hAnsi="仿宋" w:eastAsia="仿宋"/>
          <w:color w:val="000000"/>
        </w:rPr>
      </w:pPr>
      <w:bookmarkStart w:id="38"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38"/>
    </w:p>
    <w:p w14:paraId="25D6D5C6">
      <w:pPr>
        <w:pStyle w:val="3"/>
        <w:rPr>
          <w:rFonts w:ascii="仿宋" w:hAnsi="仿宋" w:eastAsia="仿宋"/>
          <w:b w:val="0"/>
          <w:color w:val="000000"/>
        </w:rPr>
      </w:pPr>
      <w:bookmarkStart w:id="39"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39"/>
    </w:p>
    <w:p w14:paraId="4A8F62E3">
      <w:pPr>
        <w:pStyle w:val="3"/>
        <w:rPr>
          <w:rFonts w:ascii="仿宋" w:hAnsi="仿宋" w:eastAsia="仿宋"/>
          <w:color w:val="000000"/>
        </w:rPr>
      </w:pPr>
      <w:bookmarkStart w:id="40"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40"/>
    </w:p>
    <w:p w14:paraId="1125658B">
      <w:pPr>
        <w:pStyle w:val="3"/>
        <w:rPr>
          <w:rFonts w:ascii="仿宋" w:hAnsi="仿宋" w:eastAsia="仿宋"/>
          <w:color w:val="000000"/>
        </w:rPr>
      </w:pPr>
      <w:bookmarkStart w:id="41"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41"/>
    </w:p>
    <w:p w14:paraId="16EEB13F">
      <w:pPr>
        <w:pStyle w:val="3"/>
        <w:rPr>
          <w:rFonts w:ascii="仿宋" w:hAnsi="仿宋" w:eastAsia="仿宋"/>
          <w:color w:val="000000"/>
        </w:rPr>
      </w:pPr>
      <w:bookmarkStart w:id="42"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42"/>
    </w:p>
    <w:p w14:paraId="6B1556DA">
      <w:pPr>
        <w:pStyle w:val="3"/>
        <w:rPr>
          <w:rFonts w:ascii="仿宋" w:hAnsi="仿宋" w:eastAsia="仿宋"/>
          <w:color w:val="000000"/>
        </w:rPr>
      </w:pPr>
      <w:bookmarkStart w:id="43"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43"/>
    </w:p>
    <w:p w14:paraId="2DEBCBC4">
      <w:pPr>
        <w:pStyle w:val="3"/>
        <w:rPr>
          <w:rFonts w:ascii="仿宋" w:hAnsi="仿宋" w:eastAsia="仿宋"/>
          <w:color w:val="000000"/>
        </w:rPr>
      </w:pPr>
      <w:bookmarkStart w:id="44"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44"/>
    </w:p>
    <w:p w14:paraId="5C708223">
      <w:pPr>
        <w:pStyle w:val="3"/>
        <w:rPr>
          <w:rFonts w:ascii="仿宋" w:hAnsi="仿宋" w:eastAsia="仿宋"/>
          <w:color w:val="000000"/>
        </w:rPr>
      </w:pPr>
      <w:bookmarkStart w:id="45"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45"/>
    </w:p>
    <w:p w14:paraId="5DECA7A8">
      <w:pPr>
        <w:pStyle w:val="3"/>
        <w:rPr>
          <w:rFonts w:ascii="仿宋" w:hAnsi="仿宋" w:eastAsia="仿宋"/>
          <w:color w:val="000000"/>
        </w:rPr>
      </w:pPr>
      <w:bookmarkStart w:id="46"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46"/>
    </w:p>
    <w:p w14:paraId="5EBF6F2C">
      <w:pPr>
        <w:pStyle w:val="3"/>
        <w:rPr>
          <w:rFonts w:ascii="仿宋" w:hAnsi="仿宋" w:eastAsia="仿宋"/>
          <w:color w:val="000000"/>
        </w:rPr>
      </w:pPr>
      <w:bookmarkStart w:id="47"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47"/>
    </w:p>
    <w:p w14:paraId="5E238299">
      <w:pPr>
        <w:pStyle w:val="3"/>
        <w:rPr>
          <w:rFonts w:ascii="仿宋" w:hAnsi="仿宋" w:eastAsia="仿宋"/>
          <w:color w:val="000000" w:themeColor="text1"/>
        </w:rPr>
      </w:pPr>
      <w:bookmarkStart w:id="48"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4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4F78E4-647A-46E3-AFA3-DBAD44A086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4628BE38-93E2-47CA-89AC-7B73F5A03404}"/>
  </w:font>
  <w:font w:name="仿宋">
    <w:panose1 w:val="02010609060101010101"/>
    <w:charset w:val="86"/>
    <w:family w:val="modern"/>
    <w:pitch w:val="default"/>
    <w:sig w:usb0="800002BF" w:usb1="38CF7CFA" w:usb2="00000016" w:usb3="00000000" w:csb0="00040001" w:csb1="00000000"/>
    <w:embedRegular r:id="rId3" w:fontKey="{C58FE313-6D44-4799-9020-D508A384550F}"/>
  </w:font>
  <w:font w:name="方正小标宋简体">
    <w:panose1 w:val="02000000000000000000"/>
    <w:charset w:val="86"/>
    <w:family w:val="script"/>
    <w:pitch w:val="default"/>
    <w:sig w:usb0="00000001" w:usb1="08000000" w:usb2="00000000" w:usb3="00000000" w:csb0="00040000" w:csb1="00000000"/>
    <w:embedRegular r:id="rId4" w:fontKey="{E55F34E1-5156-4CBE-976B-54DEB8335394}"/>
  </w:font>
  <w:font w:name="Calibri">
    <w:panose1 w:val="020F0502020204030204"/>
    <w:charset w:val="86"/>
    <w:family w:val="auto"/>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embedRegular r:id="rId5" w:fontKey="{CAA8954B-BCD0-45A4-8FBD-12ABBF0275CD}"/>
  </w:font>
  <w:font w:name="Arial Unicode MS">
    <w:altName w:val="宋体"/>
    <w:panose1 w:val="020B0604020202020204"/>
    <w:charset w:val="86"/>
    <w:family w:val="auto"/>
    <w:pitch w:val="default"/>
    <w:sig w:usb0="00000000" w:usb1="00000000" w:usb2="0000003F" w:usb3="00000000" w:csb0="603F01FF" w:csb1="FFFF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574FC75F">
        <w:pPr>
          <w:pStyle w:val="8"/>
          <w:jc w:val="center"/>
        </w:pPr>
        <w:r>
          <w:fldChar w:fldCharType="begin"/>
        </w:r>
        <w:r>
          <w:instrText xml:space="preserve">PAGE   \* MERGEFORMAT</w:instrText>
        </w:r>
        <w:r>
          <w:fldChar w:fldCharType="separate"/>
        </w:r>
        <w:r>
          <w:rPr>
            <w:lang w:val="zh-CN"/>
          </w:rPr>
          <w:t>19</w:t>
        </w:r>
        <w:r>
          <w:rPr>
            <w:lang w:val="zh-CN"/>
          </w:rPr>
          <w:fldChar w:fldCharType="end"/>
        </w:r>
      </w:p>
    </w:sdtContent>
  </w:sdt>
  <w:p w14:paraId="4ABFCA0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57AE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562E79E"/>
    <w:multiLevelType w:val="singleLevel"/>
    <w:tmpl w:val="1562E79E"/>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2D11"/>
    <w:rsid w:val="00020A33"/>
    <w:rsid w:val="000222C6"/>
    <w:rsid w:val="0002549F"/>
    <w:rsid w:val="00045695"/>
    <w:rsid w:val="0006487A"/>
    <w:rsid w:val="00065F8F"/>
    <w:rsid w:val="000768F2"/>
    <w:rsid w:val="0009184B"/>
    <w:rsid w:val="0009593C"/>
    <w:rsid w:val="000B047F"/>
    <w:rsid w:val="000B5923"/>
    <w:rsid w:val="000B5A48"/>
    <w:rsid w:val="000B6FF3"/>
    <w:rsid w:val="000C1F5F"/>
    <w:rsid w:val="000C3467"/>
    <w:rsid w:val="000C3CA6"/>
    <w:rsid w:val="000D1267"/>
    <w:rsid w:val="000D1D50"/>
    <w:rsid w:val="000D2BEA"/>
    <w:rsid w:val="000D5782"/>
    <w:rsid w:val="000E6613"/>
    <w:rsid w:val="000E7119"/>
    <w:rsid w:val="00114E9B"/>
    <w:rsid w:val="001203EF"/>
    <w:rsid w:val="0014729F"/>
    <w:rsid w:val="00157BAB"/>
    <w:rsid w:val="001654D1"/>
    <w:rsid w:val="0018106D"/>
    <w:rsid w:val="0018117D"/>
    <w:rsid w:val="0018226B"/>
    <w:rsid w:val="001877A7"/>
    <w:rsid w:val="00191536"/>
    <w:rsid w:val="00196687"/>
    <w:rsid w:val="00196847"/>
    <w:rsid w:val="001A5A57"/>
    <w:rsid w:val="001C0962"/>
    <w:rsid w:val="001C785E"/>
    <w:rsid w:val="001D7531"/>
    <w:rsid w:val="001E737D"/>
    <w:rsid w:val="001F0592"/>
    <w:rsid w:val="001F7506"/>
    <w:rsid w:val="002006CD"/>
    <w:rsid w:val="00202B36"/>
    <w:rsid w:val="002032FC"/>
    <w:rsid w:val="00204B7A"/>
    <w:rsid w:val="0021101A"/>
    <w:rsid w:val="00220536"/>
    <w:rsid w:val="00233EAC"/>
    <w:rsid w:val="00235629"/>
    <w:rsid w:val="00260C38"/>
    <w:rsid w:val="002616C0"/>
    <w:rsid w:val="002662AA"/>
    <w:rsid w:val="00280496"/>
    <w:rsid w:val="00295495"/>
    <w:rsid w:val="002B2613"/>
    <w:rsid w:val="002D5510"/>
    <w:rsid w:val="002F1818"/>
    <w:rsid w:val="002F2470"/>
    <w:rsid w:val="002F567B"/>
    <w:rsid w:val="003008B3"/>
    <w:rsid w:val="003216A9"/>
    <w:rsid w:val="00350642"/>
    <w:rsid w:val="00360BEE"/>
    <w:rsid w:val="0037013F"/>
    <w:rsid w:val="00380C92"/>
    <w:rsid w:val="00391DD9"/>
    <w:rsid w:val="0039473F"/>
    <w:rsid w:val="00397820"/>
    <w:rsid w:val="003A484F"/>
    <w:rsid w:val="003B0BE0"/>
    <w:rsid w:val="003B0C1B"/>
    <w:rsid w:val="003B688C"/>
    <w:rsid w:val="003C0291"/>
    <w:rsid w:val="003C39AE"/>
    <w:rsid w:val="003C7B60"/>
    <w:rsid w:val="003D1FB2"/>
    <w:rsid w:val="003D23DF"/>
    <w:rsid w:val="003D66DA"/>
    <w:rsid w:val="003E1310"/>
    <w:rsid w:val="003E6F55"/>
    <w:rsid w:val="00406254"/>
    <w:rsid w:val="004223DE"/>
    <w:rsid w:val="00434489"/>
    <w:rsid w:val="00437085"/>
    <w:rsid w:val="00442C3C"/>
    <w:rsid w:val="00443880"/>
    <w:rsid w:val="004464F4"/>
    <w:rsid w:val="00471401"/>
    <w:rsid w:val="00473F31"/>
    <w:rsid w:val="0048263A"/>
    <w:rsid w:val="0048729D"/>
    <w:rsid w:val="00487E5D"/>
    <w:rsid w:val="004A711F"/>
    <w:rsid w:val="004B199D"/>
    <w:rsid w:val="004B4690"/>
    <w:rsid w:val="004C223A"/>
    <w:rsid w:val="004D4574"/>
    <w:rsid w:val="004E0A2D"/>
    <w:rsid w:val="004E206B"/>
    <w:rsid w:val="004E6DF7"/>
    <w:rsid w:val="004F0FBD"/>
    <w:rsid w:val="00505A47"/>
    <w:rsid w:val="00512FDA"/>
    <w:rsid w:val="00520DA0"/>
    <w:rsid w:val="00521585"/>
    <w:rsid w:val="00544830"/>
    <w:rsid w:val="00546DE3"/>
    <w:rsid w:val="005664BB"/>
    <w:rsid w:val="0057481D"/>
    <w:rsid w:val="00581973"/>
    <w:rsid w:val="0058486E"/>
    <w:rsid w:val="005D1C8B"/>
    <w:rsid w:val="005D5CED"/>
    <w:rsid w:val="005F1435"/>
    <w:rsid w:val="005F1A4C"/>
    <w:rsid w:val="00605688"/>
    <w:rsid w:val="006070AF"/>
    <w:rsid w:val="00607E6C"/>
    <w:rsid w:val="006101B1"/>
    <w:rsid w:val="00614E44"/>
    <w:rsid w:val="0061710B"/>
    <w:rsid w:val="00622830"/>
    <w:rsid w:val="00630AEF"/>
    <w:rsid w:val="006325F8"/>
    <w:rsid w:val="00634C9A"/>
    <w:rsid w:val="006440E4"/>
    <w:rsid w:val="0066343B"/>
    <w:rsid w:val="00664777"/>
    <w:rsid w:val="006748A4"/>
    <w:rsid w:val="00674F58"/>
    <w:rsid w:val="00683E73"/>
    <w:rsid w:val="00687214"/>
    <w:rsid w:val="006A3141"/>
    <w:rsid w:val="006A5E34"/>
    <w:rsid w:val="006B2422"/>
    <w:rsid w:val="006B2B9A"/>
    <w:rsid w:val="006C1937"/>
    <w:rsid w:val="006F0129"/>
    <w:rsid w:val="006F020C"/>
    <w:rsid w:val="007127B7"/>
    <w:rsid w:val="007416B6"/>
    <w:rsid w:val="00746F48"/>
    <w:rsid w:val="0075404D"/>
    <w:rsid w:val="0076182A"/>
    <w:rsid w:val="00767B7E"/>
    <w:rsid w:val="007770C3"/>
    <w:rsid w:val="00784D24"/>
    <w:rsid w:val="00785FBA"/>
    <w:rsid w:val="00786E4A"/>
    <w:rsid w:val="007875EB"/>
    <w:rsid w:val="0079426B"/>
    <w:rsid w:val="007B7A67"/>
    <w:rsid w:val="007D312A"/>
    <w:rsid w:val="007D3F19"/>
    <w:rsid w:val="007D555D"/>
    <w:rsid w:val="007E23B0"/>
    <w:rsid w:val="007E5C99"/>
    <w:rsid w:val="007F1991"/>
    <w:rsid w:val="007F2C2F"/>
    <w:rsid w:val="007F55FC"/>
    <w:rsid w:val="007F5665"/>
    <w:rsid w:val="00800112"/>
    <w:rsid w:val="008253BB"/>
    <w:rsid w:val="0083706E"/>
    <w:rsid w:val="008423A5"/>
    <w:rsid w:val="00844C11"/>
    <w:rsid w:val="00850625"/>
    <w:rsid w:val="00853718"/>
    <w:rsid w:val="00855221"/>
    <w:rsid w:val="00860645"/>
    <w:rsid w:val="00871F71"/>
    <w:rsid w:val="00885AF4"/>
    <w:rsid w:val="008939CD"/>
    <w:rsid w:val="008B768C"/>
    <w:rsid w:val="008C4DB1"/>
    <w:rsid w:val="008C4EAF"/>
    <w:rsid w:val="008C5176"/>
    <w:rsid w:val="008C7FD0"/>
    <w:rsid w:val="008D6C33"/>
    <w:rsid w:val="008E1DE7"/>
    <w:rsid w:val="008E707C"/>
    <w:rsid w:val="00900B08"/>
    <w:rsid w:val="00902155"/>
    <w:rsid w:val="00902FA3"/>
    <w:rsid w:val="00910650"/>
    <w:rsid w:val="00923564"/>
    <w:rsid w:val="0092392E"/>
    <w:rsid w:val="00925C2C"/>
    <w:rsid w:val="009315F9"/>
    <w:rsid w:val="00946945"/>
    <w:rsid w:val="00951248"/>
    <w:rsid w:val="0095152F"/>
    <w:rsid w:val="00954C49"/>
    <w:rsid w:val="0097099F"/>
    <w:rsid w:val="00971997"/>
    <w:rsid w:val="00971FFC"/>
    <w:rsid w:val="0098660A"/>
    <w:rsid w:val="00987DAC"/>
    <w:rsid w:val="009931C3"/>
    <w:rsid w:val="009B2C43"/>
    <w:rsid w:val="009B4EAE"/>
    <w:rsid w:val="009B7573"/>
    <w:rsid w:val="009C22F4"/>
    <w:rsid w:val="009C2E98"/>
    <w:rsid w:val="009C3F76"/>
    <w:rsid w:val="009D3447"/>
    <w:rsid w:val="009D4711"/>
    <w:rsid w:val="009E0756"/>
    <w:rsid w:val="009F1185"/>
    <w:rsid w:val="009F18CD"/>
    <w:rsid w:val="009F2A13"/>
    <w:rsid w:val="009F4973"/>
    <w:rsid w:val="009F52FE"/>
    <w:rsid w:val="00A04EB0"/>
    <w:rsid w:val="00A13CC1"/>
    <w:rsid w:val="00A16847"/>
    <w:rsid w:val="00A237D8"/>
    <w:rsid w:val="00A268C4"/>
    <w:rsid w:val="00A307CD"/>
    <w:rsid w:val="00A40A00"/>
    <w:rsid w:val="00A4142F"/>
    <w:rsid w:val="00A56DF2"/>
    <w:rsid w:val="00A67AB5"/>
    <w:rsid w:val="00A84201"/>
    <w:rsid w:val="00A910D1"/>
    <w:rsid w:val="00A91760"/>
    <w:rsid w:val="00A93B00"/>
    <w:rsid w:val="00A93C21"/>
    <w:rsid w:val="00AC3C6A"/>
    <w:rsid w:val="00AD5620"/>
    <w:rsid w:val="00AD7C1B"/>
    <w:rsid w:val="00AE16BA"/>
    <w:rsid w:val="00AE1EBE"/>
    <w:rsid w:val="00AF23A4"/>
    <w:rsid w:val="00AF7B8B"/>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3DB6"/>
    <w:rsid w:val="00B841F1"/>
    <w:rsid w:val="00B944D6"/>
    <w:rsid w:val="00BA2093"/>
    <w:rsid w:val="00BB4DF0"/>
    <w:rsid w:val="00BC289F"/>
    <w:rsid w:val="00BC5361"/>
    <w:rsid w:val="00BC5460"/>
    <w:rsid w:val="00BC6B50"/>
    <w:rsid w:val="00BD0E25"/>
    <w:rsid w:val="00BF5BD6"/>
    <w:rsid w:val="00C0261F"/>
    <w:rsid w:val="00C03E31"/>
    <w:rsid w:val="00C10987"/>
    <w:rsid w:val="00C33E72"/>
    <w:rsid w:val="00C354B2"/>
    <w:rsid w:val="00C35554"/>
    <w:rsid w:val="00C42709"/>
    <w:rsid w:val="00C4457E"/>
    <w:rsid w:val="00C533CC"/>
    <w:rsid w:val="00C5751C"/>
    <w:rsid w:val="00C61BFC"/>
    <w:rsid w:val="00C62B85"/>
    <w:rsid w:val="00C65438"/>
    <w:rsid w:val="00C763BA"/>
    <w:rsid w:val="00C91CBB"/>
    <w:rsid w:val="00CC09B6"/>
    <w:rsid w:val="00CC666F"/>
    <w:rsid w:val="00CC7AFC"/>
    <w:rsid w:val="00CD1E3F"/>
    <w:rsid w:val="00CE44F6"/>
    <w:rsid w:val="00CE49DA"/>
    <w:rsid w:val="00CE7B61"/>
    <w:rsid w:val="00D00095"/>
    <w:rsid w:val="00D170F8"/>
    <w:rsid w:val="00D20620"/>
    <w:rsid w:val="00D26091"/>
    <w:rsid w:val="00D34E7C"/>
    <w:rsid w:val="00D35489"/>
    <w:rsid w:val="00D51276"/>
    <w:rsid w:val="00D7035F"/>
    <w:rsid w:val="00D87827"/>
    <w:rsid w:val="00DA4BC6"/>
    <w:rsid w:val="00DA5CF3"/>
    <w:rsid w:val="00DA65AC"/>
    <w:rsid w:val="00DB1913"/>
    <w:rsid w:val="00DC410D"/>
    <w:rsid w:val="00DC68CA"/>
    <w:rsid w:val="00DC7CBA"/>
    <w:rsid w:val="00DD73B7"/>
    <w:rsid w:val="00DF28BC"/>
    <w:rsid w:val="00DF34B9"/>
    <w:rsid w:val="00E01053"/>
    <w:rsid w:val="00E07ACF"/>
    <w:rsid w:val="00E331A1"/>
    <w:rsid w:val="00E33202"/>
    <w:rsid w:val="00E336A9"/>
    <w:rsid w:val="00E40B8C"/>
    <w:rsid w:val="00E50624"/>
    <w:rsid w:val="00E568DF"/>
    <w:rsid w:val="00E64269"/>
    <w:rsid w:val="00E77D34"/>
    <w:rsid w:val="00E82267"/>
    <w:rsid w:val="00E8777A"/>
    <w:rsid w:val="00EA010F"/>
    <w:rsid w:val="00ED1B63"/>
    <w:rsid w:val="00ED3C1F"/>
    <w:rsid w:val="00ED4085"/>
    <w:rsid w:val="00ED420E"/>
    <w:rsid w:val="00EE2C2C"/>
    <w:rsid w:val="00EE2F57"/>
    <w:rsid w:val="00EF3266"/>
    <w:rsid w:val="00EF4C34"/>
    <w:rsid w:val="00EF77C6"/>
    <w:rsid w:val="00F05438"/>
    <w:rsid w:val="00F1361C"/>
    <w:rsid w:val="00F160C7"/>
    <w:rsid w:val="00F277C9"/>
    <w:rsid w:val="00F32517"/>
    <w:rsid w:val="00F36D8F"/>
    <w:rsid w:val="00F40627"/>
    <w:rsid w:val="00F417B1"/>
    <w:rsid w:val="00F6011D"/>
    <w:rsid w:val="00F602DF"/>
    <w:rsid w:val="00F81FD9"/>
    <w:rsid w:val="00F841AA"/>
    <w:rsid w:val="00FA23E8"/>
    <w:rsid w:val="00FD3CC1"/>
    <w:rsid w:val="00FF1E02"/>
    <w:rsid w:val="00FF30B4"/>
    <w:rsid w:val="00FF6648"/>
    <w:rsid w:val="055D527F"/>
    <w:rsid w:val="081A7EBE"/>
    <w:rsid w:val="10C055FF"/>
    <w:rsid w:val="1171177C"/>
    <w:rsid w:val="11BF1659"/>
    <w:rsid w:val="12787DBC"/>
    <w:rsid w:val="14F42282"/>
    <w:rsid w:val="16BB723D"/>
    <w:rsid w:val="1DE570FA"/>
    <w:rsid w:val="216D4DAD"/>
    <w:rsid w:val="240371BF"/>
    <w:rsid w:val="29FD04D3"/>
    <w:rsid w:val="2BCC4D30"/>
    <w:rsid w:val="2C643982"/>
    <w:rsid w:val="30EF03F6"/>
    <w:rsid w:val="319F7F4E"/>
    <w:rsid w:val="4134742D"/>
    <w:rsid w:val="48072F67"/>
    <w:rsid w:val="5C596E3C"/>
    <w:rsid w:val="61B60114"/>
    <w:rsid w:val="64E761FA"/>
    <w:rsid w:val="65653DD4"/>
    <w:rsid w:val="6712402D"/>
    <w:rsid w:val="72D47871"/>
    <w:rsid w:val="7DC27277"/>
    <w:rsid w:val="7F1808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570;&#22270;&#34920;%20Microsoft%20Excel%2097-2003%20&#24037;&#20316;&#34920;%20(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570;&#22270;&#34920;%20Microsoft%20Excel%2097-2003%20&#24037;&#20316;&#34920;%20(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570;&#22270;&#34920;%20Microsoft%20Excel%2097-2003%20&#24037;&#20316;&#34920;%20(2).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570;&#22270;&#34920;%20Microsoft%20Excel%2097-2003%20&#24037;&#20316;&#34920;%20(2).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570;&#22270;&#34920;%20Microsoft%20Excel%2097-2003%20&#24037;&#20316;&#34920;%20(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570;&#22270;&#34920;%20Microsoft%20Excel%2097-2003%20&#24037;&#20316;&#34920;%20(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570;&#22270;&#34920;%20Microsoft%20Excel%2097-2003%20&#24037;&#20316;&#34920;%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333333"/>
                </a:solidFill>
                <a:latin typeface="Calibri" panose="020F0502020204030204" charset="-122"/>
                <a:ea typeface="Calibri" panose="020F0502020204030204" charset="-122"/>
                <a:cs typeface="Calibri" panose="020F0502020204030204" charset="-122"/>
              </a:rPr>
              <a:t>201</a:t>
            </a:r>
            <a:r>
              <a:rPr lang="en-US" altLang="zh-CN" sz="1400" b="0" i="0" u="none" strike="noStrike" baseline="0">
                <a:solidFill>
                  <a:srgbClr val="333333"/>
                </a:solidFill>
                <a:latin typeface="Calibri" panose="020F0502020204030204" charset="-122"/>
                <a:ea typeface="Calibri" panose="020F0502020204030204" charset="-122"/>
                <a:cs typeface="Calibri" panose="020F0502020204030204" charset="-122"/>
              </a:rPr>
              <a:t>8</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年前进卫生院收入结算图</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'[做图表 Microsoft Excel 97-2003 工作表 (2).xls]Sheet1'!$A$126:$A$129</c:f>
              <c:strCache>
                <c:ptCount val="4"/>
                <c:pt idx="0">
                  <c:v>单位：万元</c:v>
                </c:pt>
                <c:pt idx="1">
                  <c:v>一般公共预算财政拨款收入</c:v>
                </c:pt>
                <c:pt idx="2">
                  <c:v>事业收入</c:v>
                </c:pt>
                <c:pt idx="3">
                  <c:v>其他收入</c:v>
                </c:pt>
              </c:strCache>
            </c:strRef>
          </c:cat>
          <c:val>
            <c:numRef>
              <c:f>'[做图表 Microsoft Excel 97-2003 工作表 (2).xls]Sheet1'!$B$126:$B$129</c:f>
              <c:numCache>
                <c:formatCode>General</c:formatCode>
                <c:ptCount val="4"/>
                <c:pt idx="1">
                  <c:v>279.49</c:v>
                </c:pt>
                <c:pt idx="2">
                  <c:v>91.16</c:v>
                </c:pt>
                <c:pt idx="3">
                  <c:v>5.85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2d8152d-fa9a-48e0-9952-5a5fb73fb3c1}"/>
      </c:ext>
    </c:extLst>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333333"/>
                </a:solidFill>
                <a:latin typeface="Calibri" panose="020F0502020204030204" charset="-122"/>
                <a:ea typeface="Calibri" panose="020F0502020204030204" charset="-122"/>
                <a:cs typeface="Calibri" panose="020F0502020204030204" charset="-122"/>
              </a:rPr>
              <a:t>201</a:t>
            </a:r>
            <a:r>
              <a:rPr lang="en-US" altLang="zh-CN" sz="1400" b="0" i="0" u="none" strike="noStrike" baseline="0">
                <a:solidFill>
                  <a:srgbClr val="333333"/>
                </a:solidFill>
                <a:latin typeface="Calibri" panose="020F0502020204030204" charset="-122"/>
                <a:ea typeface="Calibri" panose="020F0502020204030204" charset="-122"/>
                <a:cs typeface="Calibri" panose="020F0502020204030204" charset="-122"/>
              </a:rPr>
              <a:t>8</a:t>
            </a:r>
            <a:r>
              <a:rPr sz="1400" b="0" i="0" u="none" strike="noStrike" baseline="0">
                <a:solidFill>
                  <a:srgbClr val="333333"/>
                </a:solidFill>
                <a:latin typeface="宋体" panose="02010600030101010101" charset="-122"/>
                <a:ea typeface="宋体" panose="02010600030101010101" charset="-122"/>
                <a:cs typeface="宋体" panose="02010600030101010101" charset="-122"/>
              </a:rPr>
              <a:t>年前进卫生院收入结算图</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'[做图表 Microsoft Excel 97-2003 工作表 (2).xls]Sheet1'!$A$126:$A$129</c:f>
              <c:strCache>
                <c:ptCount val="4"/>
                <c:pt idx="0">
                  <c:v>单位：万元</c:v>
                </c:pt>
                <c:pt idx="1">
                  <c:v>一般公共预算财政拨款收入</c:v>
                </c:pt>
                <c:pt idx="2">
                  <c:v>事业收入</c:v>
                </c:pt>
                <c:pt idx="3">
                  <c:v>其他收入</c:v>
                </c:pt>
              </c:strCache>
            </c:strRef>
          </c:cat>
          <c:val>
            <c:numRef>
              <c:f>'[做图表 Microsoft Excel 97-2003 工作表 (2).xls]Sheet1'!$B$126:$B$129</c:f>
              <c:numCache>
                <c:formatCode>General</c:formatCode>
                <c:ptCount val="4"/>
                <c:pt idx="1">
                  <c:v>279.49</c:v>
                </c:pt>
                <c:pt idx="2">
                  <c:v>91.16</c:v>
                </c:pt>
                <c:pt idx="3">
                  <c:v>5.85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7ce26e0-5c80-4d7d-a773-5bb2c14fb703}"/>
      </c:ext>
    </c:extLst>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1" i="0" u="none" strike="noStrike" baseline="0">
                <a:solidFill>
                  <a:srgbClr val="333333"/>
                </a:solidFill>
                <a:latin typeface="Calibri" panose="020F0502020204030204" charset="-122"/>
                <a:ea typeface="Calibri" panose="020F0502020204030204" charset="-122"/>
                <a:cs typeface="Calibri" panose="020F0502020204030204" charset="-122"/>
              </a:rPr>
              <a:t>201</a:t>
            </a:r>
            <a:r>
              <a:rPr lang="en-US" altLang="zh-CN" sz="1400" b="1" i="0" u="none" strike="noStrike" baseline="0">
                <a:solidFill>
                  <a:srgbClr val="333333"/>
                </a:solidFill>
                <a:latin typeface="Calibri" panose="020F0502020204030204" charset="-122"/>
                <a:ea typeface="Calibri" panose="020F0502020204030204" charset="-122"/>
                <a:cs typeface="Calibri" panose="020F0502020204030204" charset="-122"/>
              </a:rPr>
              <a:t>8</a:t>
            </a:r>
            <a:r>
              <a:rPr sz="1400" b="1" i="0" u="none" strike="noStrike" baseline="0">
                <a:solidFill>
                  <a:srgbClr val="333333"/>
                </a:solidFill>
                <a:latin typeface="宋体" panose="02010600030101010101" charset="-122"/>
                <a:ea typeface="宋体" panose="02010600030101010101" charset="-122"/>
                <a:cs typeface="宋体" panose="02010600030101010101" charset="-122"/>
              </a:rPr>
              <a:t>年前进卫生院支出决算构成图</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03951600644514"/>
          <c:y val="0.0229630399102487"/>
        </c:manualLayout>
      </c:layout>
      <c:overlay val="0"/>
      <c:spPr>
        <a:noFill/>
        <a:ln w="3175">
          <a:noFill/>
        </a:ln>
      </c:spPr>
    </c:title>
    <c:autoTitleDeleted val="0"/>
    <c:plotArea>
      <c:layout>
        <c:manualLayout>
          <c:layoutTarget val="inner"/>
          <c:xMode val="edge"/>
          <c:yMode val="edge"/>
          <c:x val="0.264090616552967"/>
          <c:y val="0.299200544310257"/>
          <c:w val="0.376053546144935"/>
          <c:h val="0.496948460622555"/>
        </c:manualLayout>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Pt>
            <c:idx val="4"/>
            <c:bubble3D val="0"/>
            <c:explosion val="0"/>
            <c:spPr>
              <a:solidFill>
                <a:srgbClr val="4BACC6"/>
              </a:solidFill>
              <a:ln w="19050">
                <a:solidFill>
                  <a:srgbClr val="FFFFFF"/>
                </a:solidFill>
              </a:ln>
              <a:effectLst/>
            </c:spPr>
          </c:dPt>
          <c:dPt>
            <c:idx val="5"/>
            <c:bubble3D val="0"/>
            <c:explosion val="0"/>
            <c:spPr>
              <a:solidFill>
                <a:srgbClr val="F79646"/>
              </a:solidFill>
              <a:ln w="19050">
                <a:solidFill>
                  <a:srgbClr val="FFFFFF"/>
                </a:solidFill>
              </a:ln>
              <a:effectLst/>
            </c:spPr>
          </c:dPt>
          <c:dPt>
            <c:idx val="6"/>
            <c:bubble3D val="0"/>
            <c:explosion val="0"/>
            <c:spPr>
              <a:solidFill>
                <a:srgbClr val="2C4D75">
                  <a:lumMod val="60000"/>
                </a:srgbClr>
              </a:solidFill>
              <a:ln w="19050">
                <a:solidFill>
                  <a:srgbClr val="FFFFFF"/>
                </a:solidFill>
              </a:ln>
              <a:effectLst/>
            </c:spPr>
          </c:dPt>
          <c:dPt>
            <c:idx val="7"/>
            <c:bubble3D val="0"/>
            <c:explosion val="0"/>
            <c:spPr>
              <a:solidFill>
                <a:srgbClr val="772C2A">
                  <a:lumMod val="60000"/>
                </a:srgbClr>
              </a:solidFill>
              <a:ln w="19050">
                <a:solidFill>
                  <a:srgbClr val="FFFFFF"/>
                </a:solidFill>
              </a:ln>
              <a:effectLst/>
            </c:spPr>
          </c:dPt>
          <c:dLbls>
            <c:dLbl>
              <c:idx val="2"/>
              <c:layout>
                <c:manualLayout>
                  <c:x val="0.0506448254422858"/>
                  <c:y val="-0.100485087496849"/>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355942901953"/>
                  <c:y val="-0.0408579519281889"/>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889953114132208"/>
                  <c:y val="0.00491321878713943"/>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649064894162624"/>
                  <c:y val="-0.103619574602444"/>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45579750609085"/>
                  <c:y val="-0.0729175875469411"/>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'[做图表 Microsoft Excel 97-2003 工作表 (2).xls]Sheet1'!$A$4:$A$11</c:f>
              <c:strCache>
                <c:ptCount val="8"/>
                <c:pt idx="1">
                  <c:v>单位：万元</c:v>
                </c:pt>
                <c:pt idx="2">
                  <c:v>社会保障和就业支出</c:v>
                </c:pt>
                <c:pt idx="3">
                  <c:v>医疗卫生支出</c:v>
                </c:pt>
                <c:pt idx="4">
                  <c:v>住房保障支出</c:v>
                </c:pt>
                <c:pt idx="5">
                  <c:v>年末结余分配</c:v>
                </c:pt>
                <c:pt idx="6">
                  <c:v>年末结转和结余</c:v>
                </c:pt>
              </c:strCache>
            </c:strRef>
          </c:cat>
          <c:val>
            <c:numRef>
              <c:f>'[做图表 Microsoft Excel 97-2003 工作表 (2).xls]Sheet1'!$B$4:$B$11</c:f>
              <c:numCache>
                <c:formatCode>General</c:formatCode>
                <c:ptCount val="8"/>
                <c:pt idx="2">
                  <c:v>14.34</c:v>
                </c:pt>
                <c:pt idx="3">
                  <c:v>293.13</c:v>
                </c:pt>
                <c:pt idx="4">
                  <c:v>16.65</c:v>
                </c:pt>
                <c:pt idx="5">
                  <c:v>38.95</c:v>
                </c:pt>
                <c:pt idx="6">
                  <c:v>111.9</c:v>
                </c:pt>
              </c:numCache>
            </c:numRef>
          </c:val>
        </c:ser>
        <c:ser>
          <c:idx val="1"/>
          <c:order val="1"/>
          <c:explosion val="0"/>
          <c:dPt>
            <c:idx val="0"/>
            <c:bubble3D val="0"/>
            <c:explosion val="0"/>
            <c:spPr>
              <a:solidFill>
                <a:srgbClr val="4F81BD"/>
              </a:solidFill>
              <a:ln w="19050">
                <a:solidFill>
                  <a:srgbClr val="FFFFFF"/>
                </a:solidFill>
              </a:ln>
              <a:effectLst/>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'[做图表 Microsoft Excel 97-2003 工作表 (2).xls]Sheet1'!$A$4:$A$11</c:f>
              <c:strCache>
                <c:ptCount val="8"/>
                <c:pt idx="1">
                  <c:v>单位：万元</c:v>
                </c:pt>
                <c:pt idx="2">
                  <c:v>社会保障和就业支出</c:v>
                </c:pt>
                <c:pt idx="3">
                  <c:v>医疗卫生支出</c:v>
                </c:pt>
                <c:pt idx="4">
                  <c:v>住房保障支出</c:v>
                </c:pt>
                <c:pt idx="5">
                  <c:v>年末结余分配</c:v>
                </c:pt>
                <c:pt idx="6">
                  <c:v>年末结转和结余</c:v>
                </c:pt>
              </c:strCache>
            </c:strRef>
          </c:cat>
          <c:val>
            <c:numRef>
              <c:f>'[做图表 Microsoft Excel 97-2003 工作表 (2).xls]Sheet1'!#REF!</c:f>
              <c:numCache>
                <c:formatCode>General</c:formatCode>
                <c:ptCount val="1"/>
              </c:numCache>
            </c:numRef>
          </c:val>
        </c:ser>
        <c:ser>
          <c:idx val="2"/>
          <c:order val="2"/>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Pt>
            <c:idx val="4"/>
            <c:bubble3D val="0"/>
            <c:explosion val="0"/>
            <c:spPr>
              <a:solidFill>
                <a:srgbClr val="4BACC6"/>
              </a:solidFill>
              <a:ln w="19050">
                <a:solidFill>
                  <a:srgbClr val="FFFFFF"/>
                </a:solidFill>
              </a:ln>
              <a:effectLst/>
            </c:spPr>
          </c:dPt>
          <c:dPt>
            <c:idx val="5"/>
            <c:bubble3D val="0"/>
            <c:explosion val="0"/>
            <c:spPr>
              <a:solidFill>
                <a:srgbClr val="F79646"/>
              </a:solidFill>
              <a:ln w="19050">
                <a:solidFill>
                  <a:srgbClr val="FFFFFF"/>
                </a:solidFill>
              </a:ln>
              <a:effectLst/>
            </c:spPr>
          </c:dPt>
          <c:dPt>
            <c:idx val="6"/>
            <c:bubble3D val="0"/>
            <c:explosion val="0"/>
            <c:spPr>
              <a:solidFill>
                <a:srgbClr val="2C4D75">
                  <a:lumMod val="60000"/>
                </a:srgbClr>
              </a:solidFill>
              <a:ln w="19050">
                <a:solidFill>
                  <a:srgbClr val="FFFFFF"/>
                </a:solidFill>
              </a:ln>
              <a:effectLst/>
            </c:spPr>
          </c:dPt>
          <c:dPt>
            <c:idx val="7"/>
            <c:bubble3D val="0"/>
            <c:explosion val="0"/>
            <c:spPr>
              <a:solidFill>
                <a:srgbClr val="772C2A">
                  <a:lumMod val="60000"/>
                </a:srgbClr>
              </a:solidFill>
              <a:ln w="19050">
                <a:solidFill>
                  <a:srgbClr val="FFFFFF"/>
                </a:solidFill>
              </a:ln>
              <a:effectLst/>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'[做图表 Microsoft Excel 97-2003 工作表 (2).xls]Sheet1'!$A$4:$A$11</c:f>
              <c:strCache>
                <c:ptCount val="8"/>
                <c:pt idx="1">
                  <c:v>单位：万元</c:v>
                </c:pt>
                <c:pt idx="2">
                  <c:v>社会保障和就业支出</c:v>
                </c:pt>
                <c:pt idx="3">
                  <c:v>医疗卫生支出</c:v>
                </c:pt>
                <c:pt idx="4">
                  <c:v>住房保障支出</c:v>
                </c:pt>
                <c:pt idx="5">
                  <c:v>年末结余分配</c:v>
                </c:pt>
                <c:pt idx="6">
                  <c:v>年末结转和结余</c:v>
                </c:pt>
              </c:strCache>
            </c:strRef>
          </c:cat>
          <c:val>
            <c:numRef>
              <c:f>'[做图表 Microsoft Excel 97-2003 工作表 (2).xls]Sheet1'!$C$4:$C$11</c:f>
              <c:numCache>
                <c:formatCode>General</c:formatCode>
                <c:ptCount val="8"/>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6df7c26f-13ca-475d-9d5b-c0baea703d52}"/>
      </c:ext>
    </c:extLst>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t>前进卫生院财政收支决算趋势图</a:t>
            </a:r>
            <a:endParaRPr sz="1400" b="1"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66527777777778"/>
          <c:y val="0.0416666666666667"/>
        </c:manualLayout>
      </c:layout>
      <c:overlay val="0"/>
      <c:spPr>
        <a:noFill/>
        <a:ln w="3175">
          <a:noFill/>
        </a:ln>
      </c:spPr>
    </c:title>
    <c:autoTitleDeleted val="0"/>
    <c:plotArea>
      <c:layout>
        <c:manualLayout>
          <c:layoutTarget val="inner"/>
          <c:xMode val="edge"/>
          <c:yMode val="edge"/>
          <c:x val="0.0706388888888889"/>
          <c:y val="0.172916666666667"/>
          <c:w val="0.894638888888889"/>
          <c:h val="0.542222222222222"/>
        </c:manualLayout>
      </c:layout>
      <c:barChart>
        <c:barDir val="col"/>
        <c:grouping val="clustered"/>
        <c:varyColors val="0"/>
        <c:ser>
          <c:idx val="0"/>
          <c:order val="0"/>
          <c:tx>
            <c:strRef>
              <c:f>'[做图表 Microsoft Excel 97-2003 工作表 (2).xls]Sheet1'!$A$30</c:f>
              <c:strCache>
                <c:ptCount val="1"/>
                <c:pt idx="0">
                  <c:v>收入总决算</c:v>
                </c:pt>
              </c:strCache>
            </c:strRef>
          </c:tx>
          <c:spPr>
            <a:solidFill>
              <a:srgbClr val="5B9BD5">
                <a:alpha val="100000"/>
              </a:srgbClr>
            </a:solidFill>
            <a:ln w="3175">
              <a:noFill/>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rgbClr val="4F81BD"/>
                </a:solidFill>
                <a:prstDash val="sysDot"/>
                <a:round/>
              </a:ln>
              <a:effectLst/>
            </c:spPr>
            <c:trendlineType val="linear"/>
            <c:forward val="0"/>
            <c:backward val="0"/>
            <c:dispRSqr val="0"/>
            <c:dispEq val="0"/>
          </c:trendline>
          <c:cat>
            <c:multiLvlStrRef>
              <c:f>'[做图表 Microsoft Excel 97-2003 工作表 (2).xls]Sheet1'!$B$28:$C$29</c:f>
              <c:multiLvlStrCache>
                <c:ptCount val="2"/>
                <c:lvl>
                  <c:pt idx="0">
                    <c:v>2017年</c:v>
                  </c:pt>
                  <c:pt idx="1">
                    <c:v>2018年</c:v>
                  </c:pt>
                </c:lvl>
                <c:lvl/>
              </c:multiLvlStrCache>
            </c:multiLvlStrRef>
          </c:cat>
          <c:val>
            <c:numRef>
              <c:f>'[做图表 Microsoft Excel 97-2003 工作表 (2).xls]Sheet1'!$B$30:$C$30</c:f>
              <c:numCache>
                <c:formatCode>General</c:formatCode>
                <c:ptCount val="2"/>
                <c:pt idx="0">
                  <c:v>266.34</c:v>
                </c:pt>
                <c:pt idx="1">
                  <c:v>279.49</c:v>
                </c:pt>
              </c:numCache>
            </c:numRef>
          </c:val>
        </c:ser>
        <c:ser>
          <c:idx val="1"/>
          <c:order val="1"/>
          <c:tx>
            <c:strRef>
              <c:f>'[做图表 Microsoft Excel 97-2003 工作表 (2).xls]Sheet1'!$A$31</c:f>
              <c:strCache>
                <c:ptCount val="1"/>
                <c:pt idx="0">
                  <c:v>支出总决算</c:v>
                </c:pt>
              </c:strCache>
            </c:strRef>
          </c:tx>
          <c:spPr>
            <a:solidFill>
              <a:srgbClr val="ED7D31">
                <a:alpha val="100000"/>
              </a:srgbClr>
            </a:solidFill>
            <a:ln w="3175">
              <a:noFill/>
            </a:ln>
          </c:spPr>
          <c:invertIfNegative val="0"/>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spPr>
              <a:ln w="19050" cap="rnd" cmpd="sng" algn="ctr">
                <a:solidFill>
                  <a:srgbClr val="C0504D"/>
                </a:solidFill>
                <a:prstDash val="sysDot"/>
                <a:round/>
              </a:ln>
              <a:effectLst/>
            </c:spPr>
            <c:trendlineType val="linear"/>
            <c:forward val="0"/>
            <c:backward val="0"/>
            <c:dispRSqr val="0"/>
            <c:dispEq val="0"/>
          </c:trendline>
          <c:cat>
            <c:multiLvlStrRef>
              <c:f>'[做图表 Microsoft Excel 97-2003 工作表 (2).xls]Sheet1'!$B$28:$C$29</c:f>
              <c:multiLvlStrCache>
                <c:ptCount val="2"/>
                <c:lvl>
                  <c:pt idx="0">
                    <c:v>2017年</c:v>
                  </c:pt>
                  <c:pt idx="1">
                    <c:v>2018年</c:v>
                  </c:pt>
                </c:lvl>
                <c:lvl/>
              </c:multiLvlStrCache>
            </c:multiLvlStrRef>
          </c:cat>
          <c:val>
            <c:numRef>
              <c:f>'[做图表 Microsoft Excel 97-2003 工作表 (2).xls]Sheet1'!$B$31:$C$31</c:f>
              <c:numCache>
                <c:formatCode>General</c:formatCode>
                <c:ptCount val="2"/>
                <c:pt idx="0">
                  <c:v>325.77</c:v>
                </c:pt>
                <c:pt idx="1">
                  <c:v>266.06</c:v>
                </c:pt>
              </c:numCache>
            </c:numRef>
          </c:val>
        </c:ser>
        <c:dLbls>
          <c:showLegendKey val="0"/>
          <c:showVal val="0"/>
          <c:showCatName val="0"/>
          <c:showSerName val="0"/>
          <c:showPercent val="0"/>
          <c:showBubbleSize val="0"/>
        </c:dLbls>
        <c:gapWidth val="219"/>
        <c:overlap val="-27"/>
        <c:axId val="250660674"/>
        <c:axId val="202781369"/>
      </c:barChart>
      <c:catAx>
        <c:axId val="250660674"/>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02781369"/>
        <c:crosses val="autoZero"/>
        <c:auto val="1"/>
        <c:lblAlgn val="ctr"/>
        <c:lblOffset val="100"/>
        <c:noMultiLvlLbl val="0"/>
      </c:catAx>
      <c:valAx>
        <c:axId val="202781369"/>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250660674"/>
        <c:crosses val="autoZero"/>
        <c:crossBetween val="between"/>
      </c:valAx>
      <c:spPr>
        <a:noFill/>
        <a:ln w="3175">
          <a:noFill/>
        </a:ln>
      </c:spPr>
    </c:plotArea>
    <c:legend>
      <c:legendPos val="b"/>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c09c0d7-b1a1-499c-909d-78b038dd76db}"/>
      </c:ext>
    </c:extLst>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t>前进卫生院一般公共预算财政拨款支出</a:t>
            </a:r>
            <a:endParaRPr sz="14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0748159466592582"/>
          <c:y val="0.17287664892386"/>
          <c:w val="0.894624253368523"/>
          <c:h val="0.634667900948855"/>
        </c:manualLayout>
      </c:layout>
      <c:barChart>
        <c:barDir val="col"/>
        <c:grouping val="stacked"/>
        <c:varyColors val="0"/>
        <c:ser>
          <c:idx val="0"/>
          <c:order val="0"/>
          <c:spPr>
            <a:solidFill>
              <a:srgbClr val="5B9BD5">
                <a:alpha val="100000"/>
              </a:srgbClr>
            </a:solidFill>
            <a:ln w="3175">
              <a:noFill/>
            </a:ln>
          </c:spPr>
          <c:invertIfNegative val="0"/>
          <c:dLbls>
            <c:dLbl>
              <c:idx val="1"/>
              <c:layout>
                <c:manualLayout>
                  <c:x val="-0.00833333333333333"/>
                  <c:y val="-0.302083333333333"/>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833333333333333"/>
                  <c:y val="-0.312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errBars>
            <c:errBarType val="both"/>
            <c:errValType val="stdDev"/>
            <c:noEndCap val="0"/>
            <c:val val="1"/>
            <c:spPr>
              <a:noFill/>
              <a:ln w="9525" cap="flat" cmpd="sng" algn="ctr">
                <a:solidFill>
                  <a:srgbClr val="595959">
                    <a:lumMod val="65000"/>
                    <a:lumOff val="35000"/>
                  </a:srgbClr>
                </a:solidFill>
                <a:prstDash val="solid"/>
                <a:round/>
              </a:ln>
              <a:effectLst/>
            </c:spPr>
          </c:errBars>
          <c:cat>
            <c:multiLvlStrRef>
              <c:f>'[做图表 Microsoft Excel 97-2003 工作表 (2).xls]Sheet1'!$A$54:$C$55</c:f>
              <c:multiLvlStrCache>
                <c:ptCount val="3"/>
                <c:lvl>
                  <c:pt idx="1">
                    <c:v>2017年</c:v>
                  </c:pt>
                  <c:pt idx="2">
                    <c:v>2018年</c:v>
                  </c:pt>
                </c:lvl>
                <c:lvl>
                  <c:pt idx="0">
                    <c:v>单位：万元</c:v>
                  </c:pt>
                </c:lvl>
              </c:multiLvlStrCache>
            </c:multiLvlStrRef>
          </c:cat>
          <c:val>
            <c:numRef>
              <c:f>'[做图表 Microsoft Excel 97-2003 工作表 (2).xls]Sheet1'!$A$56:$C$56</c:f>
              <c:numCache>
                <c:formatCode>General</c:formatCode>
                <c:ptCount val="3"/>
                <c:pt idx="1">
                  <c:v>325.77</c:v>
                </c:pt>
                <c:pt idx="2">
                  <c:v>266.06</c:v>
                </c:pt>
              </c:numCache>
            </c:numRef>
          </c:val>
        </c:ser>
        <c:dLbls>
          <c:showLegendKey val="0"/>
          <c:showVal val="0"/>
          <c:showCatName val="0"/>
          <c:showSerName val="0"/>
          <c:showPercent val="0"/>
          <c:showBubbleSize val="0"/>
        </c:dLbls>
        <c:gapWidth val="150"/>
        <c:overlap val="100"/>
        <c:axId val="854255311"/>
        <c:axId val="678954634"/>
      </c:barChart>
      <c:catAx>
        <c:axId val="854255311"/>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678954634"/>
        <c:crosses val="autoZero"/>
        <c:auto val="1"/>
        <c:lblAlgn val="ctr"/>
        <c:lblOffset val="100"/>
        <c:noMultiLvlLbl val="0"/>
      </c:catAx>
      <c:valAx>
        <c:axId val="678954634"/>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54255311"/>
        <c:crosses val="autoZero"/>
        <c:crossBetween val="between"/>
      </c:valAx>
      <c:spPr>
        <a:noFill/>
        <a:ln w="3175">
          <a:noFill/>
        </a:ln>
      </c:spPr>
    </c:plotArea>
    <c:plotVisOnly val="1"/>
    <c:dispBlanksAs val="gap"/>
    <c:showDLblsOverMax val="0"/>
    <c:extLst>
      <c:ext uri="{0b15fc19-7d7d-44ad-8c2d-2c3a37ce22c3}">
        <chartProps xmlns="https://web.wps.cn/et/2018/main" chartId="{afe164e2-7c72-4fba-b4ea-497c03aa3e2e}"/>
      </c:ext>
    </c:extLst>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t>一般公共预算财政拨款支出</a:t>
            </a:r>
            <a:endParaRPr sz="1400" b="1"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'[做图表 Microsoft Excel 97-2003 工作表 (2).xls]Sheet1'!$A$71:$A$74</c:f>
              <c:strCache>
                <c:ptCount val="4"/>
                <c:pt idx="0">
                  <c:v>一般公共预算财政拨款支出</c:v>
                </c:pt>
                <c:pt idx="1">
                  <c:v>社会保障和就业支出</c:v>
                </c:pt>
                <c:pt idx="2">
                  <c:v>医疗卫生支出</c:v>
                </c:pt>
                <c:pt idx="3">
                  <c:v>住房保障支出</c:v>
                </c:pt>
              </c:strCache>
            </c:strRef>
          </c:cat>
          <c:val>
            <c:numRef>
              <c:f>'[做图表 Microsoft Excel 97-2003 工作表 (2).xls]Sheet1'!$B$71:$B$74</c:f>
              <c:numCache>
                <c:formatCode>General</c:formatCode>
                <c:ptCount val="4"/>
                <c:pt idx="0">
                  <c:v>266.07</c:v>
                </c:pt>
                <c:pt idx="1">
                  <c:v>14.35</c:v>
                </c:pt>
                <c:pt idx="2">
                  <c:v>235.07</c:v>
                </c:pt>
                <c:pt idx="3">
                  <c:v>16.65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overlay val="0"/>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3e269bb-0762-43c5-982a-f9b3bc84208b}"/>
      </c:ext>
    </c:extLst>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r>
              <a:t>三公经费财政拨款支出结构图</a:t>
            </a:r>
            <a:endParaRPr sz="1400" b="0" i="0" u="none" strike="noStrike" baseline="0">
              <a:solidFill>
                <a:srgbClr val="333333">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explosion val="0"/>
          <c:dPt>
            <c:idx val="0"/>
            <c:bubble3D val="0"/>
            <c:explosion val="0"/>
            <c:spPr>
              <a:solidFill>
                <a:srgbClr val="4F81BD"/>
              </a:solidFill>
              <a:ln w="19050">
                <a:solidFill>
                  <a:srgbClr val="FFFFFF"/>
                </a:solidFill>
              </a:ln>
              <a:effectLst/>
            </c:spPr>
          </c:dPt>
          <c:dPt>
            <c:idx val="1"/>
            <c:bubble3D val="0"/>
            <c:explosion val="0"/>
            <c:spPr>
              <a:solidFill>
                <a:srgbClr val="C0504D"/>
              </a:solidFill>
              <a:ln w="19050">
                <a:solidFill>
                  <a:srgbClr val="FFFFFF"/>
                </a:solidFill>
              </a:ln>
              <a:effectLst/>
            </c:spPr>
          </c:dPt>
          <c:dPt>
            <c:idx val="2"/>
            <c:bubble3D val="0"/>
            <c:explosion val="0"/>
            <c:spPr>
              <a:solidFill>
                <a:srgbClr val="9BBB59"/>
              </a:solidFill>
              <a:ln w="19050">
                <a:solidFill>
                  <a:srgbClr val="FFFFFF"/>
                </a:solidFill>
              </a:ln>
              <a:effectLst/>
            </c:spPr>
          </c:dPt>
          <c:dPt>
            <c:idx val="3"/>
            <c:bubble3D val="0"/>
            <c:explosion val="0"/>
            <c:spPr>
              <a:solidFill>
                <a:srgbClr val="8064A2"/>
              </a:solidFill>
              <a:ln w="19050">
                <a:solidFill>
                  <a:srgbClr val="FFFFFF"/>
                </a:solidFill>
              </a:ln>
              <a:effectLst/>
            </c:spPr>
          </c:dPt>
          <c:dLbls>
            <c:numFmt formatCode="General" sourceLinked="1"/>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'[做图表 Microsoft Excel 97-2003 工作表 (2).xls]Sheet1'!$A$168:$A$171</c:f>
              <c:strCache>
                <c:ptCount val="4"/>
                <c:pt idx="0">
                  <c:v>单位：万元</c:v>
                </c:pt>
                <c:pt idx="1">
                  <c:v>因公出国</c:v>
                </c:pt>
                <c:pt idx="2">
                  <c:v>公务用车购置及运行维护</c:v>
                </c:pt>
                <c:pt idx="3">
                  <c:v>公务接待费</c:v>
                </c:pt>
              </c:strCache>
            </c:strRef>
          </c:cat>
          <c:val>
            <c:numRef>
              <c:f>'[做图表 Microsoft Excel 97-2003 工作表 (2).xls]Sheet1'!$B$168:$B$171</c:f>
              <c:numCache>
                <c:formatCode>General</c:formatCode>
                <c:ptCount val="4"/>
                <c:pt idx="1">
                  <c:v>0</c:v>
                </c:pt>
                <c:pt idx="2">
                  <c:v>3.73</c:v>
                </c:pt>
                <c:pt idx="3">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b"/>
      <c:layout/>
      <c:overlay val="0"/>
      <c:spPr>
        <a:noFill/>
        <a:ln w="3175">
          <a:noFill/>
        </a:ln>
      </c:spPr>
      <c:txPr>
        <a:bodyPr rot="0" spcFirstLastPara="0" vertOverflow="ellipsis" vert="horz" wrap="square" anchor="ctr" anchorCtr="1"/>
        <a:lstStyle/>
        <a:p>
          <a:pPr>
            <a:defRPr lang="zh-CN" sz="825"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c42ce0ef-720e-4e84-ac6b-d0b6f67bfbf6}"/>
      </c:ext>
    </c:extLst>
  </c:chart>
  <c:spPr>
    <a:solidFill>
      <a:srgbClr val="FFFFFF"/>
    </a:solidFill>
    <a:ln w="9525" cap="flat" cmpd="sng" algn="ctr">
      <a:solidFill>
        <a:srgbClr val="D9D9D9">
          <a:lumMod val="15000"/>
          <a:lumOff val="85000"/>
        </a:srgb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23</Pages>
  <Words>7188</Words>
  <Characters>7664</Characters>
  <Lines>74</Lines>
  <Paragraphs>21</Paragraphs>
  <TotalTime>22</TotalTime>
  <ScaleCrop>false</ScaleCrop>
  <LinksUpToDate>false</LinksUpToDate>
  <CharactersWithSpaces>10287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龙猫侠</cp:lastModifiedBy>
  <cp:lastPrinted>2019-11-08T06:04:00Z</cp:lastPrinted>
  <dcterms:modified xsi:type="dcterms:W3CDTF">2026-07-10T01:39:24Z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B91AA2C1ECF3421BA2E40B2976DC1B92_12</vt:lpwstr>
  </property>
  <property fmtid="{D5CDD505-2E9C-101B-9397-08002B2CF9AE}" pid="4" name="KSOTemplateDocerSaveRecord">
    <vt:lpwstr>eyJoZGlkIjoiZTQ4ODQwNThiYTg4YTBlNDhkZDRmNGNiNWM5NWE1YzAiLCJ1c2VySWQiOiI0OTM4MjE3MjkifQ==</vt:lpwstr>
  </property>
</Properties>
</file>