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福田镇</w:t>
      </w:r>
      <w:r>
        <w:rPr>
          <w:rFonts w:hint="eastAsia" w:ascii="方正小标宋_GBK" w:hAnsi="方正小标宋_GBK" w:eastAsia="方正小标宋_GBK" w:cs="方正小标宋_GBK"/>
          <w:sz w:val="38"/>
          <w:szCs w:val="38"/>
        </w:rPr>
        <w:t>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（基层公益设施管护制度推进基层治理财政补助资金）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3"/>
          <w:szCs w:val="33"/>
        </w:rPr>
      </w:pP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eastAsia" w:ascii="方正楷体_GBK" w:hAnsi="方正楷体_GBK" w:eastAsia="方正楷体_GBK" w:cs="方正楷体_GBK"/>
          <w:b/>
          <w:bCs/>
          <w:sz w:val="33"/>
          <w:szCs w:val="33"/>
        </w:rPr>
      </w:pPr>
      <w:r>
        <w:rPr>
          <w:rFonts w:hint="eastAsia" w:ascii="方正楷体_GBK" w:hAnsi="方正楷体_GBK" w:eastAsia="方正楷体_GBK" w:cs="方正楷体_GBK"/>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攀枝花市仁和区</w:t>
      </w:r>
      <w:r>
        <w:rPr>
          <w:rFonts w:hint="eastAsia" w:ascii="Times New Roman" w:hAnsi="Times New Roman" w:eastAsia="方正仿宋_GBK" w:cs="Times New Roman"/>
          <w:sz w:val="33"/>
          <w:szCs w:val="33"/>
          <w:lang w:eastAsia="zh-CN"/>
        </w:rPr>
        <w:t>福田镇</w:t>
      </w:r>
      <w:r>
        <w:rPr>
          <w:rFonts w:hint="default" w:ascii="Times New Roman" w:hAnsi="Times New Roman" w:eastAsia="方正仿宋_GBK" w:cs="Times New Roman"/>
          <w:sz w:val="33"/>
          <w:szCs w:val="33"/>
        </w:rPr>
        <w:t>人民政府在该项目管理中主要负责统筹安排使用，并对项目资金的安全性和使用的合理性负责。</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基层公益设施管护制度推进基层治理财政补助资金是按照《攀枝花市仁和区建立基层公益设施管护制度推进基层治理财政补助工作方案》（攀仁府办〔2020〕77号）来立项和申报。</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资金管理办法严格按照相关规定执行。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资金分配的原则及考虑因素有：全镇人口数、幅员面积（平方公里）、乡道公路里程及村道公路里程。</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包括：城乡环境治理及垃圾收运；农村县乡村公路管养和安全劝导；河道（河长制）、小型水库（湖长制）、集镇供水、干线沟渠等水利设施管护；基层图书馆管护；基层文化活动场所管护；农村广播管护；农村旅游设施管护；城乡集贸市场管理；铁路护路；农村公共厕所管护；乡村污水处理设施管护；基层阵地建设；基层双拥、维稳、群团工作；协税护税等。</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为辖区经济发展创造良好的外部环境，搞好招商引资和项目开发工作，引导、督促个私、集体经济合法经营，搞好企业的安全生产工作。负责街道党的组织建设和工、青、妇群团组织工作，大力开展思想政治工作和精神文明建设。负责基层政权建设，指导、支持、帮助社区居民委员会开展工作。强化城市社区管理服务功能，加强社区建设，完善社区功能，搞好社区服务，提高社区文明程度。对居民群众进行社会主义法制宣传教育，搞好社会治安综合治理，维护辖区社会稳定。负责辖区计划生育、民政、司法、调解、信访、武装及城市居民最低生活保障等工作。协助做好征兵、国防教育、民兵、招生、招工等工作。承办区委、区政府交办的其它工作。配合建环、卫生等部门开展好辖区的城市管理、市容市貌、卫生和环境保护及绿化等工作。对居民群众进行社会主义法制宣传教育，搞好社会治安综合治理，维护辖区社会稳定。协助做好征兵、国防教育、民兵、招生、招工等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该项目资金来源是财政资金</w:t>
      </w:r>
      <w:r>
        <w:rPr>
          <w:rFonts w:hint="eastAsia" w:ascii="Times New Roman" w:hAnsi="Times New Roman" w:eastAsia="方正仿宋_GBK" w:cs="Times New Roman"/>
          <w:sz w:val="33"/>
          <w:szCs w:val="33"/>
          <w:lang w:eastAsia="zh-CN"/>
        </w:rPr>
        <w:t>共计</w:t>
      </w:r>
      <w:r>
        <w:rPr>
          <w:rFonts w:hint="eastAsia" w:ascii="Times New Roman" w:hAnsi="Times New Roman" w:eastAsia="方正仿宋_GBK" w:cs="Times New Roman"/>
          <w:sz w:val="33"/>
          <w:szCs w:val="33"/>
          <w:lang w:val="en-US" w:eastAsia="zh-CN"/>
        </w:rPr>
        <w:t>738062元</w:t>
      </w:r>
      <w:r>
        <w:rPr>
          <w:rFonts w:hint="default"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该项资金</w:t>
      </w:r>
      <w:r>
        <w:rPr>
          <w:rFonts w:hint="eastAsia" w:ascii="Times New Roman" w:hAnsi="Times New Roman" w:eastAsia="方正仿宋_GBK" w:cs="Times New Roman"/>
          <w:sz w:val="33"/>
          <w:szCs w:val="33"/>
          <w:lang w:val="en-US" w:eastAsia="zh-CN"/>
        </w:rPr>
        <w:t>2021年使用658688元，资金使用率未89%，</w:t>
      </w:r>
      <w:bookmarkStart w:id="0" w:name="_GoBack"/>
      <w:bookmarkEnd w:id="0"/>
      <w:r>
        <w:rPr>
          <w:rFonts w:hint="eastAsia" w:ascii="Times New Roman" w:hAnsi="Times New Roman" w:eastAsia="方正仿宋_GBK" w:cs="Times New Roman"/>
          <w:sz w:val="33"/>
          <w:szCs w:val="33"/>
          <w:lang w:val="en-US" w:eastAsia="zh-CN"/>
        </w:rPr>
        <w:t>剩余资金79374元已安排计划，但由于年底财政资金紧张，未及时审核支付，指标结转到2022年初，资金</w:t>
      </w:r>
      <w:r>
        <w:rPr>
          <w:rFonts w:hint="default" w:ascii="Times New Roman" w:hAnsi="Times New Roman" w:eastAsia="方正仿宋_GBK" w:cs="Times New Roman"/>
          <w:sz w:val="33"/>
          <w:szCs w:val="33"/>
        </w:rPr>
        <w:t>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eastAsia="zh-CN"/>
        </w:rPr>
        <w:t>我镇</w:t>
      </w:r>
      <w:r>
        <w:rPr>
          <w:rFonts w:hint="default" w:ascii="Times New Roman" w:hAnsi="Times New Roman" w:eastAsia="方正仿宋_GBK" w:cs="Times New Roman"/>
          <w:sz w:val="33"/>
          <w:szCs w:val="33"/>
        </w:rPr>
        <w:t>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该项目由仁和区</w:t>
      </w:r>
      <w:r>
        <w:rPr>
          <w:rFonts w:hint="eastAsia" w:ascii="Times New Roman" w:hAnsi="Times New Roman" w:eastAsia="方正仿宋_GBK" w:cs="Times New Roman"/>
          <w:sz w:val="33"/>
          <w:szCs w:val="33"/>
          <w:lang w:eastAsia="zh-CN"/>
        </w:rPr>
        <w:t>福田镇</w:t>
      </w:r>
      <w:r>
        <w:rPr>
          <w:rFonts w:hint="default" w:ascii="Times New Roman" w:hAnsi="Times New Roman" w:eastAsia="方正仿宋_GBK" w:cs="Times New Roman"/>
          <w:sz w:val="33"/>
          <w:szCs w:val="33"/>
        </w:rPr>
        <w:t>人民政府主管，各站所负责实施具体事务。</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eastAsia="zh-CN"/>
        </w:rPr>
        <w:t>我镇</w:t>
      </w:r>
      <w:r>
        <w:rPr>
          <w:rFonts w:hint="default" w:ascii="Times New Roman" w:hAnsi="Times New Roman" w:eastAsia="方正仿宋_GBK" w:cs="Times New Roman"/>
          <w:sz w:val="33"/>
          <w:szCs w:val="33"/>
        </w:rPr>
        <w:t>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w:t>
      </w:r>
      <w:r>
        <w:rPr>
          <w:rFonts w:hint="eastAsia" w:ascii="方正楷体_GBK" w:hAnsi="方正楷体_GBK" w:eastAsia="方正楷体_GBK" w:cs="方正楷体_GBK"/>
          <w:b/>
          <w:bCs/>
          <w:sz w:val="33"/>
          <w:szCs w:val="33"/>
          <w:lang w:eastAsia="zh-CN"/>
        </w:rPr>
        <w:t>三</w:t>
      </w:r>
      <w:r>
        <w:rPr>
          <w:rFonts w:hint="default" w:ascii="方正楷体_GBK" w:hAnsi="方正楷体_GBK" w:eastAsia="方正楷体_GBK" w:cs="方正楷体_GBK"/>
          <w:b/>
          <w:bCs/>
          <w:sz w:val="33"/>
          <w:szCs w:val="33"/>
        </w:rPr>
        <w:t>）项目监管情况。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w:t>
      </w:r>
      <w:r>
        <w:rPr>
          <w:rFonts w:hint="eastAsia" w:ascii="Times New Roman" w:hAnsi="Times New Roman" w:eastAsia="方正仿宋_GBK" w:cs="Times New Roman"/>
          <w:sz w:val="33"/>
          <w:szCs w:val="33"/>
          <w:lang w:eastAsia="zh-CN"/>
        </w:rPr>
        <w:t>镇</w:t>
      </w:r>
      <w:r>
        <w:rPr>
          <w:rFonts w:hint="default" w:ascii="Times New Roman" w:hAnsi="Times New Roman" w:eastAsia="方正仿宋_GBK" w:cs="Times New Roman"/>
          <w:sz w:val="33"/>
          <w:szCs w:val="33"/>
        </w:rPr>
        <w:t>加强项目管理，人大、纪委项目工作采取年终考评监督。</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四、项目绩效情况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数量指标：</w:t>
      </w:r>
      <w:r>
        <w:rPr>
          <w:rStyle w:val="4"/>
          <w:rFonts w:ascii="Times New Roman" w:hAnsi="Times New Roman" w:eastAsia="方正仿宋_GBK"/>
          <w:b w:val="0"/>
          <w:i w:val="0"/>
          <w:caps w:val="0"/>
          <w:spacing w:val="0"/>
          <w:w w:val="100"/>
          <w:kern w:val="2"/>
          <w:sz w:val="32"/>
          <w:szCs w:val="32"/>
          <w:lang w:val="en-US" w:eastAsia="zh-CN" w:bidi="ar-SA"/>
        </w:rPr>
        <w:t>全镇幅员面积62.05平方公里，辖务子田、塘坝、金龟、金台子</w:t>
      </w:r>
      <w:r>
        <w:rPr>
          <w:rStyle w:val="4"/>
          <w:rFonts w:hint="eastAsia" w:ascii="Times New Roman" w:hAnsi="Times New Roman" w:eastAsia="方正仿宋_GBK"/>
          <w:b w:val="0"/>
          <w:i w:val="0"/>
          <w:caps w:val="0"/>
          <w:spacing w:val="0"/>
          <w:w w:val="100"/>
          <w:kern w:val="2"/>
          <w:sz w:val="32"/>
          <w:szCs w:val="32"/>
          <w:lang w:val="en-US" w:eastAsia="zh-CN" w:bidi="ar-SA"/>
        </w:rPr>
        <w:t>4</w:t>
      </w:r>
      <w:r>
        <w:rPr>
          <w:rStyle w:val="4"/>
          <w:rFonts w:ascii="Times New Roman" w:hAnsi="Times New Roman" w:eastAsia="方正仿宋_GBK"/>
          <w:b w:val="0"/>
          <w:i w:val="0"/>
          <w:caps w:val="0"/>
          <w:spacing w:val="0"/>
          <w:w w:val="100"/>
          <w:kern w:val="2"/>
          <w:sz w:val="32"/>
          <w:szCs w:val="32"/>
          <w:lang w:val="en-US" w:eastAsia="zh-CN" w:bidi="ar-SA"/>
        </w:rPr>
        <w:t>个行政村和福田街</w:t>
      </w:r>
      <w:r>
        <w:rPr>
          <w:rStyle w:val="4"/>
          <w:rFonts w:hint="eastAsia" w:ascii="Times New Roman" w:hAnsi="Times New Roman" w:eastAsia="方正仿宋_GBK"/>
          <w:b w:val="0"/>
          <w:i w:val="0"/>
          <w:caps w:val="0"/>
          <w:spacing w:val="0"/>
          <w:w w:val="100"/>
          <w:kern w:val="2"/>
          <w:sz w:val="32"/>
          <w:szCs w:val="32"/>
          <w:lang w:val="en-US" w:eastAsia="zh-CN" w:bidi="ar-SA"/>
        </w:rPr>
        <w:t>社区</w:t>
      </w:r>
      <w:r>
        <w:rPr>
          <w:rStyle w:val="4"/>
          <w:rFonts w:ascii="Times New Roman" w:hAnsi="Times New Roman" w:eastAsia="方正仿宋_GBK"/>
          <w:b w:val="0"/>
          <w:i w:val="0"/>
          <w:caps w:val="0"/>
          <w:spacing w:val="0"/>
          <w:w w:val="100"/>
          <w:kern w:val="2"/>
          <w:sz w:val="32"/>
          <w:szCs w:val="32"/>
          <w:lang w:val="en-US" w:eastAsia="zh-CN" w:bidi="ar-SA"/>
        </w:rPr>
        <w:t>，共13个村民小组</w:t>
      </w:r>
      <w:r>
        <w:rPr>
          <w:rStyle w:val="4"/>
          <w:rFonts w:hint="eastAsia" w:ascii="Times New Roman" w:hAnsi="Times New Roman" w:eastAsia="方正仿宋_GBK"/>
          <w:b w:val="0"/>
          <w:i w:val="0"/>
          <w:caps w:val="0"/>
          <w:spacing w:val="0"/>
          <w:w w:val="100"/>
          <w:kern w:val="2"/>
          <w:sz w:val="32"/>
          <w:szCs w:val="32"/>
          <w:lang w:val="en-US" w:eastAsia="zh-CN" w:bidi="ar-SA"/>
        </w:rPr>
        <w:t>、</w:t>
      </w:r>
      <w:r>
        <w:rPr>
          <w:rStyle w:val="4"/>
          <w:rFonts w:ascii="Times New Roman" w:hAnsi="Times New Roman" w:eastAsia="方正仿宋_GBK"/>
          <w:b w:val="0"/>
          <w:i w:val="0"/>
          <w:caps w:val="0"/>
          <w:spacing w:val="0"/>
          <w:w w:val="100"/>
          <w:kern w:val="2"/>
          <w:sz w:val="32"/>
          <w:szCs w:val="32"/>
          <w:lang w:val="en-US" w:eastAsia="zh-CN" w:bidi="ar-SA"/>
        </w:rPr>
        <w:t>1619户</w:t>
      </w:r>
      <w:r>
        <w:rPr>
          <w:rStyle w:val="4"/>
          <w:rFonts w:hint="eastAsia" w:ascii="Times New Roman" w:hAnsi="Times New Roman" w:eastAsia="方正仿宋_GBK"/>
          <w:b w:val="0"/>
          <w:i w:val="0"/>
          <w:caps w:val="0"/>
          <w:spacing w:val="0"/>
          <w:w w:val="100"/>
          <w:kern w:val="2"/>
          <w:sz w:val="32"/>
          <w:szCs w:val="32"/>
          <w:lang w:val="en-US" w:eastAsia="zh-CN" w:bidi="ar-SA"/>
        </w:rPr>
        <w:t>4715</w:t>
      </w:r>
      <w:r>
        <w:rPr>
          <w:rStyle w:val="4"/>
          <w:rFonts w:ascii="Times New Roman" w:hAnsi="Times New Roman" w:eastAsia="方正仿宋_GBK"/>
          <w:b w:val="0"/>
          <w:i w:val="0"/>
          <w:caps w:val="0"/>
          <w:spacing w:val="0"/>
          <w:w w:val="100"/>
          <w:kern w:val="2"/>
          <w:sz w:val="32"/>
          <w:szCs w:val="32"/>
          <w:lang w:val="en-US" w:eastAsia="zh-CN" w:bidi="ar-SA"/>
        </w:rPr>
        <w:t>人</w:t>
      </w:r>
      <w:r>
        <w:rPr>
          <w:rFonts w:hint="default" w:ascii="Times New Roman" w:hAnsi="Times New Roman" w:eastAsia="方正仿宋_GBK" w:cs="Times New Roman"/>
          <w:sz w:val="33"/>
          <w:szCs w:val="33"/>
        </w:rPr>
        <w:t>，完成率100%。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质量指标：提高资金使用合理性，统一按人口、面积、长短、远近等因素和客观标准进行计算，提高资金使用合理性。完成率100%。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时效指标：按工作计划2021年1月至2021年12月，2021年12月完成，完成率100%。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成本指标：年度指标值</w:t>
      </w:r>
      <w:r>
        <w:rPr>
          <w:rFonts w:hint="eastAsia" w:ascii="Times New Roman" w:hAnsi="Times New Roman" w:eastAsia="方正仿宋_GBK" w:cs="Times New Roman"/>
          <w:sz w:val="33"/>
          <w:szCs w:val="33"/>
          <w:lang w:val="en-US" w:eastAsia="zh-CN"/>
        </w:rPr>
        <w:t>73.81</w:t>
      </w:r>
      <w:r>
        <w:rPr>
          <w:rFonts w:hint="default" w:ascii="Times New Roman" w:hAnsi="Times New Roman" w:eastAsia="方正仿宋_GBK" w:cs="Times New Roman"/>
          <w:sz w:val="33"/>
          <w:szCs w:val="33"/>
        </w:rPr>
        <w:t>万元，实际完成数</w:t>
      </w:r>
      <w:r>
        <w:rPr>
          <w:rFonts w:hint="eastAsia" w:ascii="Times New Roman" w:hAnsi="Times New Roman" w:eastAsia="方正仿宋_GBK" w:cs="Times New Roman"/>
          <w:sz w:val="33"/>
          <w:szCs w:val="33"/>
          <w:lang w:val="en-US" w:eastAsia="zh-CN"/>
        </w:rPr>
        <w:t>65.87</w:t>
      </w:r>
      <w:r>
        <w:rPr>
          <w:rFonts w:hint="default" w:ascii="Times New Roman" w:hAnsi="Times New Roman" w:eastAsia="方正仿宋_GBK" w:cs="Times New Roman"/>
          <w:sz w:val="33"/>
          <w:szCs w:val="33"/>
        </w:rPr>
        <w:t>万元，完成率</w:t>
      </w:r>
      <w:r>
        <w:rPr>
          <w:rFonts w:hint="eastAsia" w:ascii="Times New Roman" w:hAnsi="Times New Roman" w:eastAsia="方正仿宋_GBK" w:cs="Times New Roman"/>
          <w:sz w:val="33"/>
          <w:szCs w:val="33"/>
          <w:lang w:val="en-US" w:eastAsia="zh-CN"/>
        </w:rPr>
        <w:t>89</w:t>
      </w:r>
      <w:r>
        <w:rPr>
          <w:rFonts w:hint="default"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社会效益指标：通过推进基层治理工作，进一步加强我镇环境治理，不断改善城乡面貌，提升城乡人居环境质量，通过党建示范带动，以村（居）民自治，民主管理，推动群众参与，形成各具特色的城乡，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五、评价结论及建议</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（一）评价结论。</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该项目的实施推进城乡基层治理制度创新和能力建设，加强城乡环境治理，改善城乡人居环境。该项目决策正确，管理规范，绩效完成率非常好。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（二）存在的问题。</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无</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（三）相关建议。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16E6B"/>
    <w:multiLevelType w:val="singleLevel"/>
    <w:tmpl w:val="C1816E6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38186922"/>
    <w:rsid w:val="18BB10A8"/>
    <w:rsid w:val="1C74798F"/>
    <w:rsid w:val="1EBC3647"/>
    <w:rsid w:val="38186922"/>
    <w:rsid w:val="38B11DFF"/>
    <w:rsid w:val="3D265AE3"/>
    <w:rsid w:val="4DC64B62"/>
    <w:rsid w:val="4FF32C53"/>
    <w:rsid w:val="71F81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link w:val="1"/>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1834</Words>
  <Characters>1908</Characters>
  <Lines>0</Lines>
  <Paragraphs>0</Paragraphs>
  <TotalTime>3</TotalTime>
  <ScaleCrop>false</ScaleCrop>
  <LinksUpToDate>false</LinksUpToDate>
  <CharactersWithSpaces>1908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2022-06-13T10:27:00Z</dcterms:created>
  <dc:creator>李彤1</dc:creator>
  <cp:lastModifiedBy>李彤1</cp:lastModifiedBy>
  <dcterms:modified xsi:type="dcterms:W3CDTF">2022-06-14T09:12:04Z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FAD17278A5AD418898A5633E165CB5FF</vt:lpwstr>
  </property>
</Properties>
</file>