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hAnsi="宋体" w:eastAsia="方正小标宋简体"/>
          <w:color w:val="000000"/>
          <w:sz w:val="72"/>
          <w:szCs w:val="72"/>
        </w:rPr>
      </w:pPr>
      <w:bookmarkStart w:id="71" w:name="_GoBack"/>
      <w:bookmarkEnd w:id="71"/>
      <w:bookmarkStart w:id="0" w:name="_Toc15306267"/>
    </w:p>
    <w:p>
      <w:pPr>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p>
    <w:p>
      <w:pPr>
        <w:jc w:val="center"/>
        <w:outlineLvl w:val="0"/>
        <w:rPr>
          <w:rFonts w:ascii="方正小标宋简体" w:hAnsi="宋体" w:eastAsia="方正小标宋简体"/>
          <w:color w:val="000000"/>
          <w:sz w:val="72"/>
          <w:szCs w:val="72"/>
        </w:rPr>
      </w:pPr>
    </w:p>
    <w:p>
      <w:pPr>
        <w:adjustRightInd w:val="0"/>
        <w:snapToGrid w:val="0"/>
        <w:jc w:val="center"/>
        <w:outlineLvl w:val="0"/>
        <w:rPr>
          <w:rFonts w:ascii="方正小标宋简体" w:hAnsi="宋体" w:eastAsia="方正小标宋简体"/>
          <w:color w:val="000000"/>
          <w:sz w:val="72"/>
          <w:szCs w:val="72"/>
        </w:rPr>
      </w:pPr>
      <w:bookmarkStart w:id="1" w:name="_Toc15377425"/>
      <w:bookmarkStart w:id="2" w:name="_Toc15377193"/>
      <w:bookmarkStart w:id="3" w:name="_Toc15378441"/>
      <w:bookmarkStart w:id="4" w:name="_Toc15396475"/>
      <w:bookmarkStart w:id="5" w:name="_Toc15396597"/>
      <w:r>
        <w:rPr>
          <w:rFonts w:ascii="黑体" w:hAnsi="黑体" w:eastAsia="黑体"/>
          <w:color w:val="000000"/>
          <w:sz w:val="72"/>
          <w:szCs w:val="72"/>
        </w:rPr>
        <w:t>2019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jc w:val="center"/>
        <w:outlineLvl w:val="0"/>
        <w:rPr>
          <w:rFonts w:ascii="方正小标宋简体" w:hAnsi="宋体" w:eastAsia="方正小标宋简体"/>
          <w:color w:val="000000"/>
          <w:sz w:val="72"/>
          <w:szCs w:val="72"/>
        </w:rPr>
      </w:pPr>
      <w:bookmarkStart w:id="6" w:name="_Toc15396476"/>
      <w:bookmarkStart w:id="7" w:name="_Toc15377426"/>
      <w:bookmarkStart w:id="8" w:name="_Toc15378442"/>
      <w:bookmarkStart w:id="9" w:name="_Toc15377194"/>
      <w:bookmarkStart w:id="10" w:name="_Toc15396598"/>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攀枝花市仁和区</w:t>
      </w:r>
    </w:p>
    <w:p>
      <w:pPr>
        <w:adjustRightInd w:val="0"/>
        <w:snapToGrid w:val="0"/>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应急管理局决算</w:t>
      </w:r>
      <w:bookmarkEnd w:id="6"/>
      <w:bookmarkEnd w:id="7"/>
      <w:bookmarkEnd w:id="8"/>
      <w:bookmarkEnd w:id="9"/>
      <w:bookmarkEnd w:id="10"/>
      <w:bookmarkEnd w:id="11"/>
      <w:r>
        <w:rPr>
          <w:rFonts w:hint="eastAsia" w:ascii="方正小标宋简体" w:hAnsi="宋体" w:eastAsia="方正小标宋简体"/>
          <w:color w:val="000000"/>
          <w:sz w:val="72"/>
          <w:szCs w:val="72"/>
        </w:rPr>
        <w:t>编制说明</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spacing w:line="560" w:lineRule="exact"/>
        <w:jc w:val="center"/>
        <w:rPr>
          <w:rFonts w:ascii="黑体" w:hAnsi="黑体" w:eastAsia="黑体"/>
          <w:sz w:val="28"/>
          <w:szCs w:val="28"/>
        </w:rPr>
      </w:pPr>
    </w:p>
    <w:p>
      <w:pPr>
        <w:pStyle w:val="10"/>
        <w:spacing w:before="0" w:line="560" w:lineRule="exact"/>
      </w:pPr>
      <w:r>
        <w:rPr>
          <w:rFonts w:hint="eastAsia"/>
        </w:rPr>
        <w:t>公开时间：</w:t>
      </w:r>
      <w:r>
        <w:t>2020</w:t>
      </w:r>
      <w:r>
        <w:rPr>
          <w:rFonts w:hint="eastAsia"/>
        </w:rPr>
        <w:t>年</w:t>
      </w:r>
      <w:r>
        <w:t>10</w:t>
      </w:r>
      <w:r>
        <w:rPr>
          <w:rFonts w:hint="eastAsia"/>
        </w:rPr>
        <w:t>月</w:t>
      </w:r>
      <w:r>
        <w:t>2</w:t>
      </w:r>
      <w:r>
        <w:rPr>
          <w:rFonts w:hint="eastAsia"/>
        </w:rPr>
        <w:t>9日</w:t>
      </w:r>
    </w:p>
    <w:p>
      <w:pPr>
        <w:spacing w:line="560" w:lineRule="exact"/>
      </w:pPr>
    </w:p>
    <w:p>
      <w:pPr>
        <w:pStyle w:val="10"/>
        <w:adjustRightInd w:val="0"/>
        <w:snapToGrid w:val="0"/>
        <w:spacing w:before="0" w:line="560" w:lineRule="exact"/>
        <w:jc w:val="left"/>
        <w:rPr>
          <w:rFonts w:hint="eastAsia" w:ascii="仿宋_GB2312" w:eastAsia="仿宋_GB2312"/>
          <w:sz w:val="24"/>
          <w:szCs w:val="24"/>
        </w:rPr>
      </w:pPr>
      <w:r>
        <w:rPr>
          <w:rFonts w:hint="eastAsia" w:ascii="仿宋_GB2312" w:eastAsia="仿宋_GB2312"/>
          <w:sz w:val="24"/>
          <w:szCs w:val="24"/>
        </w:rPr>
        <w:t>第一部分 部门概况··············································4</w:t>
      </w:r>
    </w:p>
    <w:p>
      <w:pPr>
        <w:pStyle w:val="10"/>
        <w:adjustRightInd w:val="0"/>
        <w:snapToGrid w:val="0"/>
        <w:spacing w:before="0" w:line="560" w:lineRule="exact"/>
        <w:jc w:val="left"/>
        <w:rPr>
          <w:rFonts w:hint="eastAsia" w:ascii="仿宋_GB2312" w:eastAsia="仿宋_GB2312"/>
          <w:sz w:val="24"/>
        </w:rPr>
      </w:pPr>
      <w:r>
        <w:rPr>
          <w:rFonts w:hint="eastAsia" w:ascii="仿宋_GB2312" w:eastAsia="仿宋_GB2312"/>
          <w:sz w:val="24"/>
          <w:szCs w:val="24"/>
        </w:rPr>
        <w:t xml:space="preserve">    一、基本职能及主要工作························</w:t>
      </w:r>
      <w:r>
        <w:rPr>
          <w:rFonts w:hint="eastAsia" w:ascii="仿宋_GB2312" w:eastAsia="仿宋_GB2312"/>
          <w:sz w:val="24"/>
        </w:rPr>
        <w:t>··</w:t>
      </w:r>
      <w:r>
        <w:rPr>
          <w:rFonts w:hint="eastAsia" w:ascii="仿宋_GB2312" w:eastAsia="仿宋_GB2312"/>
          <w:sz w:val="24"/>
          <w:szCs w:val="24"/>
        </w:rPr>
        <w:t>···········</w:t>
      </w:r>
      <w:r>
        <w:rPr>
          <w:rFonts w:hint="eastAsia" w:ascii="仿宋_GB2312" w:eastAsia="仿宋_GB2312"/>
          <w:sz w:val="24"/>
        </w:rPr>
        <w:t>4</w:t>
      </w:r>
    </w:p>
    <w:p>
      <w:pPr>
        <w:pStyle w:val="10"/>
        <w:adjustRightInd w:val="0"/>
        <w:snapToGrid w:val="0"/>
        <w:spacing w:before="0" w:line="560" w:lineRule="exact"/>
        <w:jc w:val="left"/>
        <w:rPr>
          <w:rFonts w:ascii="仿宋_GB2312" w:eastAsia="仿宋_GB2312"/>
          <w:sz w:val="24"/>
          <w:szCs w:val="24"/>
        </w:rPr>
      </w:pPr>
      <w:r>
        <w:rPr>
          <w:rFonts w:hint="eastAsia" w:ascii="仿宋_GB2312" w:eastAsia="仿宋_GB2312"/>
          <w:sz w:val="24"/>
        </w:rPr>
        <w:t xml:space="preserve">    </w:t>
      </w:r>
      <w:r>
        <w:rPr>
          <w:rFonts w:hint="eastAsia" w:ascii="仿宋_GB2312" w:eastAsia="仿宋_GB2312"/>
          <w:sz w:val="24"/>
          <w:szCs w:val="24"/>
        </w:rPr>
        <w:t>二、机构设置··································</w:t>
      </w:r>
      <w:r>
        <w:rPr>
          <w:rFonts w:hint="eastAsia" w:ascii="仿宋_GB2312" w:eastAsia="仿宋_GB2312"/>
          <w:sz w:val="24"/>
        </w:rPr>
        <w:t>··</w:t>
      </w:r>
      <w:r>
        <w:rPr>
          <w:rFonts w:hint="eastAsia" w:ascii="仿宋_GB2312" w:eastAsia="仿宋_GB2312"/>
          <w:sz w:val="24"/>
          <w:szCs w:val="24"/>
        </w:rPr>
        <w:t>····</w:t>
      </w:r>
      <w:r>
        <w:rPr>
          <w:rFonts w:hint="eastAsia" w:ascii="仿宋_GB2312" w:eastAsia="仿宋_GB2312"/>
          <w:sz w:val="24"/>
        </w:rPr>
        <w:t>·······13</w:t>
      </w:r>
    </w:p>
    <w:p>
      <w:pPr>
        <w:pStyle w:val="10"/>
        <w:adjustRightInd w:val="0"/>
        <w:snapToGrid w:val="0"/>
        <w:spacing w:before="0" w:line="560" w:lineRule="exact"/>
        <w:jc w:val="left"/>
        <w:rPr>
          <w:rFonts w:ascii="仿宋_GB2312" w:eastAsia="仿宋_GB2312"/>
          <w:sz w:val="24"/>
          <w:szCs w:val="24"/>
        </w:rPr>
      </w:pPr>
      <w:r>
        <w:rPr>
          <w:rFonts w:hint="eastAsia" w:ascii="仿宋_GB2312" w:eastAsia="仿宋_GB2312"/>
          <w:sz w:val="24"/>
          <w:szCs w:val="24"/>
        </w:rPr>
        <w:t>第二部分度部门决算情况说明·····································13</w:t>
      </w:r>
    </w:p>
    <w:p>
      <w:pPr>
        <w:pStyle w:val="11"/>
        <w:adjustRightInd w:val="0"/>
        <w:snapToGrid w:val="0"/>
        <w:spacing w:line="560" w:lineRule="exact"/>
        <w:jc w:val="left"/>
        <w:rPr>
          <w:rFonts w:ascii="仿宋_GB2312" w:hAnsi="仿宋" w:eastAsia="仿宋_GB2312"/>
          <w:sz w:val="24"/>
        </w:rPr>
      </w:pPr>
      <w:r>
        <w:rPr>
          <w:rFonts w:hint="eastAsia" w:ascii="仿宋_GB2312" w:eastAsia="仿宋_GB2312"/>
          <w:sz w:val="24"/>
        </w:rPr>
        <w:t>一、收入支出决算总体情况说明·······························13</w:t>
      </w:r>
    </w:p>
    <w:p>
      <w:pPr>
        <w:pStyle w:val="11"/>
        <w:adjustRightInd w:val="0"/>
        <w:snapToGrid w:val="0"/>
        <w:spacing w:line="560" w:lineRule="exact"/>
        <w:jc w:val="left"/>
        <w:rPr>
          <w:rFonts w:ascii="仿宋_GB2312" w:hAnsi="仿宋" w:eastAsia="仿宋_GB2312"/>
          <w:sz w:val="24"/>
        </w:rPr>
      </w:pPr>
      <w:r>
        <w:rPr>
          <w:rFonts w:hint="eastAsia" w:ascii="仿宋_GB2312" w:eastAsia="仿宋_GB2312"/>
          <w:sz w:val="24"/>
        </w:rPr>
        <w:t>二、收入决算情况说明·······································14</w:t>
      </w:r>
    </w:p>
    <w:p>
      <w:pPr>
        <w:pStyle w:val="11"/>
        <w:adjustRightInd w:val="0"/>
        <w:snapToGrid w:val="0"/>
        <w:spacing w:line="560" w:lineRule="exact"/>
        <w:jc w:val="left"/>
        <w:rPr>
          <w:rFonts w:ascii="仿宋_GB2312" w:hAnsi="仿宋" w:eastAsia="仿宋_GB2312"/>
          <w:sz w:val="24"/>
        </w:rPr>
      </w:pPr>
      <w:r>
        <w:rPr>
          <w:rFonts w:hint="eastAsia" w:ascii="仿宋_GB2312" w:eastAsia="仿宋_GB2312"/>
          <w:sz w:val="24"/>
        </w:rPr>
        <w:t>三、支出决算情况说明·······································14</w:t>
      </w:r>
    </w:p>
    <w:p>
      <w:pPr>
        <w:pStyle w:val="11"/>
        <w:adjustRightInd w:val="0"/>
        <w:snapToGrid w:val="0"/>
        <w:spacing w:line="560" w:lineRule="exact"/>
        <w:jc w:val="left"/>
        <w:rPr>
          <w:rFonts w:ascii="仿宋_GB2312" w:hAnsi="仿宋" w:eastAsia="仿宋_GB2312"/>
          <w:sz w:val="24"/>
        </w:rPr>
      </w:pPr>
      <w:r>
        <w:rPr>
          <w:rFonts w:hint="eastAsia" w:ascii="仿宋_GB2312" w:eastAsia="仿宋_GB2312"/>
          <w:sz w:val="24"/>
        </w:rPr>
        <w:t>四、财政拨款收入支出决算总体情况说明·······················14</w:t>
      </w:r>
    </w:p>
    <w:p>
      <w:pPr>
        <w:pStyle w:val="11"/>
        <w:adjustRightInd w:val="0"/>
        <w:snapToGrid w:val="0"/>
        <w:spacing w:line="560" w:lineRule="exact"/>
        <w:jc w:val="left"/>
        <w:rPr>
          <w:rFonts w:ascii="仿宋_GB2312" w:hAnsi="仿宋" w:eastAsia="仿宋_GB2312"/>
          <w:sz w:val="24"/>
        </w:rPr>
      </w:pPr>
      <w:r>
        <w:rPr>
          <w:rFonts w:hint="eastAsia" w:ascii="仿宋_GB2312" w:eastAsia="仿宋_GB2312"/>
          <w:sz w:val="24"/>
        </w:rPr>
        <w:t>五、一般公共预算财政拨款支出决算情况说明···················14</w:t>
      </w:r>
    </w:p>
    <w:p>
      <w:pPr>
        <w:pStyle w:val="11"/>
        <w:adjustRightInd w:val="0"/>
        <w:snapToGrid w:val="0"/>
        <w:spacing w:line="560" w:lineRule="exact"/>
        <w:jc w:val="left"/>
        <w:rPr>
          <w:rFonts w:ascii="仿宋_GB2312" w:hAnsi="仿宋" w:eastAsia="仿宋_GB2312"/>
          <w:sz w:val="24"/>
        </w:rPr>
      </w:pPr>
      <w:r>
        <w:rPr>
          <w:rFonts w:hint="eastAsia" w:ascii="仿宋_GB2312" w:eastAsia="仿宋_GB2312"/>
          <w:sz w:val="24"/>
        </w:rPr>
        <w:t>六、一般公共预算财政拨款基本支出决算情况说明···············16</w:t>
      </w:r>
    </w:p>
    <w:p>
      <w:pPr>
        <w:pStyle w:val="11"/>
        <w:adjustRightInd w:val="0"/>
        <w:snapToGrid w:val="0"/>
        <w:spacing w:line="560" w:lineRule="exact"/>
        <w:jc w:val="left"/>
        <w:rPr>
          <w:rFonts w:ascii="仿宋_GB2312" w:hAnsi="仿宋" w:eastAsia="仿宋_GB2312"/>
          <w:sz w:val="24"/>
        </w:rPr>
      </w:pPr>
      <w:r>
        <w:rPr>
          <w:rFonts w:hint="eastAsia" w:ascii="仿宋_GB2312" w:eastAsia="仿宋_GB2312"/>
          <w:sz w:val="24"/>
        </w:rPr>
        <w:t>七、“三公”经费财政拨款支出决算情况说明····················16</w:t>
      </w:r>
    </w:p>
    <w:p>
      <w:pPr>
        <w:pStyle w:val="11"/>
        <w:adjustRightInd w:val="0"/>
        <w:snapToGrid w:val="0"/>
        <w:spacing w:line="560" w:lineRule="exact"/>
        <w:jc w:val="left"/>
        <w:rPr>
          <w:rFonts w:ascii="仿宋_GB2312" w:hAnsi="仿宋" w:eastAsia="仿宋_GB2312"/>
          <w:sz w:val="24"/>
        </w:rPr>
      </w:pPr>
      <w:r>
        <w:rPr>
          <w:rFonts w:hint="eastAsia" w:ascii="仿宋_GB2312" w:eastAsia="仿宋_GB2312"/>
          <w:sz w:val="24"/>
        </w:rPr>
        <w:t>八、政府性基金预算支出决算情况说明·························17</w:t>
      </w:r>
    </w:p>
    <w:p>
      <w:pPr>
        <w:pStyle w:val="11"/>
        <w:adjustRightInd w:val="0"/>
        <w:snapToGrid w:val="0"/>
        <w:spacing w:line="560" w:lineRule="exact"/>
        <w:ind w:leftChars="0"/>
        <w:jc w:val="left"/>
        <w:rPr>
          <w:rFonts w:hint="eastAsia" w:ascii="仿宋_GB2312" w:eastAsia="仿宋_GB2312"/>
          <w:sz w:val="24"/>
        </w:rPr>
      </w:pPr>
      <w:r>
        <w:rPr>
          <w:rFonts w:hint="eastAsia" w:ascii="仿宋_GB2312" w:hAnsi="仿宋" w:eastAsia="仿宋_GB2312"/>
          <w:sz w:val="24"/>
        </w:rPr>
        <w:t>九、</w:t>
      </w:r>
      <w:r>
        <w:rPr>
          <w:rFonts w:hint="eastAsia" w:ascii="仿宋_GB2312" w:eastAsia="仿宋_GB2312"/>
          <w:sz w:val="24"/>
        </w:rPr>
        <w:t xml:space="preserve"> 国有资本经营预算支出决算情况说明······················17</w:t>
      </w:r>
    </w:p>
    <w:p>
      <w:pPr>
        <w:pStyle w:val="11"/>
        <w:adjustRightInd w:val="0"/>
        <w:snapToGrid w:val="0"/>
        <w:spacing w:line="560" w:lineRule="exact"/>
        <w:ind w:leftChars="0"/>
        <w:jc w:val="left"/>
        <w:rPr>
          <w:rFonts w:ascii="仿宋_GB2312" w:hAnsi="仿宋" w:eastAsia="仿宋_GB2312"/>
          <w:sz w:val="24"/>
        </w:rPr>
      </w:pPr>
      <w:r>
        <w:rPr>
          <w:rStyle w:val="15"/>
          <w:rFonts w:hint="eastAsia" w:ascii="仿宋_GB2312" w:hAnsi="仿宋" w:eastAsia="仿宋_GB2312"/>
          <w:color w:val="000000"/>
          <w:sz w:val="24"/>
          <w:u w:val="none"/>
        </w:rPr>
        <w:t>十、</w:t>
      </w:r>
      <w:r>
        <w:rPr>
          <w:rFonts w:hint="eastAsia" w:ascii="仿宋_GB2312" w:eastAsia="仿宋_GB2312"/>
          <w:sz w:val="24"/>
        </w:rPr>
        <w:t>其他重要事项的情况说明·································18</w:t>
      </w:r>
    </w:p>
    <w:p>
      <w:pPr>
        <w:pStyle w:val="10"/>
        <w:adjustRightInd w:val="0"/>
        <w:snapToGrid w:val="0"/>
        <w:spacing w:before="0" w:line="560" w:lineRule="exact"/>
        <w:jc w:val="left"/>
        <w:rPr>
          <w:rFonts w:ascii="仿宋_GB2312" w:eastAsia="仿宋_GB2312"/>
          <w:sz w:val="24"/>
          <w:szCs w:val="24"/>
        </w:rPr>
      </w:pPr>
      <w:r>
        <w:rPr>
          <w:rFonts w:hint="eastAsia" w:ascii="仿宋_GB2312" w:eastAsia="仿宋_GB2312"/>
          <w:sz w:val="24"/>
          <w:szCs w:val="24"/>
        </w:rPr>
        <w:t>第三部分 名词解释··············································23</w:t>
      </w:r>
    </w:p>
    <w:p>
      <w:pPr>
        <w:pStyle w:val="10"/>
        <w:adjustRightInd w:val="0"/>
        <w:snapToGrid w:val="0"/>
        <w:spacing w:before="0" w:line="560" w:lineRule="exact"/>
        <w:jc w:val="left"/>
        <w:rPr>
          <w:rFonts w:ascii="仿宋_GB2312" w:eastAsia="仿宋_GB2312"/>
          <w:sz w:val="24"/>
          <w:szCs w:val="24"/>
        </w:rPr>
      </w:pPr>
      <w:r>
        <w:rPr>
          <w:rFonts w:hint="eastAsia" w:ascii="仿宋_GB2312" w:eastAsia="仿宋_GB2312"/>
          <w:sz w:val="24"/>
          <w:szCs w:val="24"/>
        </w:rPr>
        <w:t>第四部分 附件··················································25</w:t>
      </w:r>
    </w:p>
    <w:p>
      <w:pPr>
        <w:pStyle w:val="11"/>
        <w:adjustRightInd w:val="0"/>
        <w:snapToGrid w:val="0"/>
        <w:spacing w:line="560" w:lineRule="exact"/>
        <w:jc w:val="left"/>
        <w:rPr>
          <w:rFonts w:ascii="仿宋_GB2312" w:hAnsi="仿宋" w:eastAsia="仿宋_GB2312"/>
          <w:sz w:val="24"/>
        </w:rPr>
      </w:pPr>
      <w:r>
        <w:rPr>
          <w:rFonts w:hint="eastAsia" w:ascii="仿宋_GB2312" w:eastAsia="仿宋_GB2312"/>
          <w:sz w:val="24"/>
        </w:rPr>
        <w:t>附件1······················································25</w:t>
      </w:r>
    </w:p>
    <w:p>
      <w:pPr>
        <w:pStyle w:val="10"/>
        <w:adjustRightInd w:val="0"/>
        <w:snapToGrid w:val="0"/>
        <w:spacing w:before="0" w:line="560" w:lineRule="exact"/>
        <w:jc w:val="left"/>
        <w:rPr>
          <w:rFonts w:ascii="仿宋_GB2312" w:eastAsia="仿宋_GB2312"/>
          <w:sz w:val="24"/>
          <w:szCs w:val="24"/>
        </w:rPr>
      </w:pPr>
      <w:r>
        <w:rPr>
          <w:rFonts w:hint="eastAsia" w:ascii="仿宋_GB2312" w:eastAsia="仿宋_GB2312"/>
          <w:sz w:val="24"/>
          <w:szCs w:val="24"/>
        </w:rPr>
        <w:t>第五部分 附表</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一、</w:t>
      </w:r>
      <w:r>
        <w:rPr>
          <w:rFonts w:hint="eastAsia" w:ascii="仿宋_GB2312" w:eastAsia="仿宋_GB2312"/>
          <w:sz w:val="24"/>
        </w:rPr>
        <w:t>收入支出决算总表·······································38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二、</w:t>
      </w:r>
      <w:r>
        <w:rPr>
          <w:rFonts w:hint="eastAsia" w:ascii="仿宋_GB2312" w:eastAsia="仿宋_GB2312"/>
          <w:sz w:val="24"/>
        </w:rPr>
        <w:t>收入</w:t>
      </w:r>
      <w:r>
        <w:rPr>
          <w:rFonts w:hint="eastAsia" w:ascii="仿宋_GB2312" w:hAnsi="仿宋" w:eastAsia="仿宋_GB2312"/>
          <w:sz w:val="24"/>
        </w:rPr>
        <w:t>决算</w:t>
      </w:r>
      <w:r>
        <w:rPr>
          <w:rFonts w:hint="eastAsia" w:ascii="仿宋_GB2312" w:eastAsia="仿宋_GB2312"/>
          <w:sz w:val="24"/>
        </w:rPr>
        <w:t>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三、</w:t>
      </w:r>
      <w:r>
        <w:rPr>
          <w:rFonts w:hint="eastAsia" w:ascii="仿宋_GB2312" w:eastAsia="仿宋_GB2312"/>
          <w:sz w:val="24"/>
        </w:rPr>
        <w:t>支出</w:t>
      </w:r>
      <w:r>
        <w:rPr>
          <w:rFonts w:hint="eastAsia" w:ascii="仿宋_GB2312" w:hAnsi="仿宋" w:eastAsia="仿宋_GB2312"/>
          <w:sz w:val="24"/>
        </w:rPr>
        <w:t>决算</w:t>
      </w:r>
      <w:r>
        <w:rPr>
          <w:rFonts w:hint="eastAsia" w:ascii="仿宋_GB2312" w:eastAsia="仿宋_GB2312"/>
          <w:sz w:val="24"/>
        </w:rPr>
        <w:t>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四、</w:t>
      </w:r>
      <w:r>
        <w:rPr>
          <w:rFonts w:hint="eastAsia" w:ascii="仿宋_GB2312" w:eastAsia="仿宋_GB2312"/>
          <w:sz w:val="24"/>
        </w:rPr>
        <w:t>财政拨款收入支出决算总表·······························38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五、财政拨款支出决算明细表·································38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六、</w:t>
      </w:r>
      <w:r>
        <w:rPr>
          <w:rFonts w:hint="eastAsia" w:ascii="仿宋_GB2312" w:eastAsia="仿宋_GB2312"/>
          <w:sz w:val="24"/>
        </w:rPr>
        <w:t>一般公共预算财政拨款支出决算表·························38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七、</w:t>
      </w:r>
      <w:r>
        <w:rPr>
          <w:rFonts w:hint="eastAsia" w:ascii="仿宋_GB2312" w:eastAsia="仿宋_GB2312"/>
          <w:sz w:val="24"/>
        </w:rPr>
        <w:t>一般公共预算财政拨款支出决算明细表·····················38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八、</w:t>
      </w:r>
      <w:r>
        <w:rPr>
          <w:rFonts w:hint="eastAsia" w:ascii="仿宋_GB2312" w:eastAsia="仿宋_GB2312"/>
          <w:sz w:val="24"/>
        </w:rPr>
        <w:t>一般公共预算财政拨款基本支出决算表·····················38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九、</w:t>
      </w:r>
      <w:r>
        <w:rPr>
          <w:rFonts w:hint="eastAsia" w:ascii="仿宋_GB2312" w:eastAsia="仿宋_GB2312"/>
          <w:sz w:val="24"/>
        </w:rPr>
        <w:t>一般公共预算财政拨款项目支出决算表·····················38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十、</w:t>
      </w:r>
      <w:r>
        <w:rPr>
          <w:rFonts w:hint="eastAsia" w:ascii="仿宋_GB2312" w:eastAsia="仿宋_GB2312"/>
          <w:sz w:val="24"/>
        </w:rPr>
        <w:t>一般公共预算财政拨款“三公”经费支出决算表·············38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十一、</w:t>
      </w:r>
      <w:r>
        <w:rPr>
          <w:rFonts w:hint="eastAsia" w:ascii="仿宋_GB2312" w:eastAsia="仿宋_GB2312"/>
          <w:sz w:val="24"/>
        </w:rPr>
        <w:t>政府性基金预算财政拨款收入支出决算表·················38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十二、</w:t>
      </w:r>
      <w:r>
        <w:rPr>
          <w:rFonts w:hint="eastAsia" w:ascii="仿宋_GB2312" w:eastAsia="仿宋_GB2312"/>
          <w:sz w:val="24"/>
        </w:rPr>
        <w:t>政府性基金预算财政拨款“三公”经费支出决算表·········38</w:t>
      </w:r>
    </w:p>
    <w:p>
      <w:pPr>
        <w:pStyle w:val="11"/>
        <w:adjustRightInd w:val="0"/>
        <w:snapToGrid w:val="0"/>
        <w:spacing w:line="560" w:lineRule="exact"/>
        <w:jc w:val="left"/>
        <w:rPr>
          <w:rFonts w:ascii="仿宋_GB2312" w:hAnsi="仿宋" w:eastAsia="仿宋_GB2312"/>
          <w:sz w:val="24"/>
        </w:rPr>
      </w:pPr>
      <w:r>
        <w:rPr>
          <w:rFonts w:hint="eastAsia" w:ascii="仿宋_GB2312" w:hAnsi="仿宋" w:eastAsia="仿宋_GB2312"/>
          <w:sz w:val="24"/>
        </w:rPr>
        <w:t>十三、</w:t>
      </w:r>
      <w:r>
        <w:rPr>
          <w:rFonts w:hint="eastAsia" w:ascii="仿宋_GB2312" w:eastAsia="仿宋_GB2312"/>
          <w:sz w:val="24"/>
        </w:rPr>
        <w:t>国有资本经营预算支出决算表···························38</w:t>
      </w:r>
    </w:p>
    <w:p>
      <w:pPr>
        <w:widowControl/>
        <w:spacing w:line="56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spacing w:before="0" w:after="0" w:line="560" w:lineRule="exact"/>
        <w:jc w:val="center"/>
        <w:rPr>
          <w:rStyle w:val="16"/>
          <w:rFonts w:ascii="方正小标宋简体" w:hAnsi="黑体" w:eastAsia="方正小标宋简体"/>
          <w:b/>
          <w:bCs w:val="0"/>
        </w:rPr>
      </w:pPr>
      <w:r>
        <w:rPr>
          <w:rFonts w:hint="eastAsia" w:ascii="方正小标宋简体" w:hAnsi="黑体" w:eastAsia="方正小标宋简体"/>
          <w:b w:val="0"/>
        </w:rPr>
        <w:t>第一部分</w:t>
      </w:r>
      <w:r>
        <w:rPr>
          <w:rFonts w:ascii="方正小标宋简体" w:hAnsi="黑体" w:eastAsia="方正小标宋简体"/>
          <w:b w:val="0"/>
        </w:rPr>
        <w:t xml:space="preserve"> </w:t>
      </w:r>
      <w:r>
        <w:rPr>
          <w:rStyle w:val="16"/>
          <w:rFonts w:hint="eastAsia" w:ascii="方正小标宋简体" w:hAnsi="黑体" w:eastAsia="方正小标宋简体"/>
          <w:b w:val="0"/>
          <w:bCs w:val="0"/>
        </w:rPr>
        <w:t>部门概况</w:t>
      </w:r>
      <w:bookmarkEnd w:id="12"/>
      <w:bookmarkEnd w:id="13"/>
    </w:p>
    <w:p>
      <w:pPr>
        <w:widowControl/>
        <w:spacing w:line="560" w:lineRule="exact"/>
        <w:jc w:val="left"/>
        <w:rPr>
          <w:rFonts w:ascii="黑体" w:eastAsia="黑体"/>
          <w:color w:val="000000"/>
          <w:sz w:val="32"/>
          <w:szCs w:val="32"/>
        </w:rPr>
      </w:pPr>
    </w:p>
    <w:p>
      <w:pPr>
        <w:pStyle w:val="3"/>
        <w:spacing w:before="0" w:after="0" w:line="560" w:lineRule="exact"/>
        <w:rPr>
          <w:rStyle w:val="17"/>
          <w:rFonts w:ascii="黑体" w:hAnsi="黑体" w:eastAsia="黑体"/>
          <w:b w:val="0"/>
          <w:bCs w:val="0"/>
        </w:rPr>
      </w:pPr>
      <w:bookmarkStart w:id="14" w:name="_Toc15377197"/>
      <w:bookmarkStart w:id="15" w:name="_Toc15396600"/>
      <w:r>
        <w:rPr>
          <w:rFonts w:hint="eastAsia" w:ascii="黑体" w:hAnsi="黑体" w:eastAsia="黑体"/>
          <w:color w:val="000000"/>
        </w:rPr>
        <w:t>一、基</w:t>
      </w:r>
      <w:r>
        <w:rPr>
          <w:rStyle w:val="17"/>
          <w:rFonts w:hint="eastAsia" w:ascii="黑体" w:hAnsi="黑体" w:eastAsia="黑体"/>
          <w:b w:val="0"/>
          <w:bCs w:val="0"/>
        </w:rPr>
        <w:t>本职能及主要工作</w:t>
      </w:r>
      <w:bookmarkEnd w:id="14"/>
      <w:bookmarkEnd w:id="15"/>
    </w:p>
    <w:p>
      <w:pPr>
        <w:pStyle w:val="5"/>
        <w:adjustRightInd w:val="0"/>
        <w:snapToGrid w:val="0"/>
        <w:spacing w:before="93" w:line="560" w:lineRule="exact"/>
        <w:ind w:firstLine="672" w:firstLineChars="210"/>
        <w:rPr>
          <w:rFonts w:ascii="楷体_GB2312" w:eastAsia="楷体_GB2312"/>
          <w:bCs/>
          <w:sz w:val="32"/>
          <w:szCs w:val="32"/>
        </w:rPr>
      </w:pPr>
      <w:bookmarkStart w:id="16" w:name="_Toc15377199"/>
      <w:bookmarkStart w:id="17" w:name="_Toc15378446"/>
      <w:r>
        <w:rPr>
          <w:rFonts w:hint="eastAsia" w:ascii="楷体_GB2312" w:eastAsia="楷体_GB2312"/>
          <w:bCs/>
          <w:sz w:val="32"/>
          <w:szCs w:val="32"/>
        </w:rPr>
        <w:t>（一）基本职能</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1.负责应急管理、防震减灾和安全生产综合监督管理工作，组织和指导仁和区各乡镇（街道）、各部门应对安全生产类、自然灾害类等突发事件的应急抢险救援工作。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2.拟订应急管理、防震减灾、安全生产等政策措施，组织编制全区安全生产、防震减灾、应急体系建设、综合防灾减灾规划。</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3.承担区安全生产委员会日常工作。监督检查、指导协调各乡镇（街道）和区级有关部门安全生产工作，组织开展安全生产巡查、督导、考核工作。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承担权限范围内煤矿、非煤矿山、危险化学品、非药品类易制毒化学品、烟花爆竹、民用爆炸物品等生产经营单位安全生产准入管理责任。协助省、市应急管理部门做好中央、省属在仁和辖区范围内的工矿商贸企业安全生产监督管理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拟订权限范围内煤炭产业发展计划、准入条件等并组织实施，按权限审核、上报煤炭项目并负责建设管理。负责煤炭生产协调和监督管理，煤炭行业结构调整和产业升级，煤矿瓦斯等级鉴定、瓦斯治理和利用。推进煤炭体制改革，指导乡镇煤炭管理所做好煤炭管理工作。负责煤矿行业经济运行，健全和规范煤炭市场。负责维护矿区生产和煤矿经营秩序，协助相关部门抓好合法煤矿矿界范围内的煤炭私挖盗采治理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承担权限范围内煤矿安全生产监督管理责任，依法监督检查煤矿企业贯彻执行安全生产法律法规情况及其安全生产条件和有关设备（特种设备除外）、材料、劳动防护用品的安全生产管理工作。负责组织、指导煤矿企业安全生产专项整治、安全标准化、瓦斯和水害防治及相关安全科技发展工作。指导煤矿防灾预案和救护体系建设。参与煤矿事故调查处理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承担权限范围内的危险化学品、化工、医药、烟花爆竹、民用爆炸物品、非煤矿山、冶金、机械制造、尾矿库、地质勘探、石油（气）开采等工矿生产经营单位安全生产监督管理职责。依法指导、监督检查冶金、有色、建材、机械、轻工、纺织、烟草、商贸等行业的安全生产监督管理工作。依法查处不具备安全生产条件的危险化学品、化工、医药、烟花爆竹、工矿商贸等生产经营单位和安全生产违法违规行为。承担危险化学品安全监督管理综合工作责任。依法监督检查、指导工矿商贸生产经营单位安全生产管理工作。</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承担权限范围内防震减灾工作。编制全区防震减灾规划并组织实施，组织制定地震综合防御对策。组织开展辖区范围内地震监测预报工作，提出趋势预测意见。组织开展震情跟踪、日常分析预报和重大地震异常的核实上报工作。管理全区地方地震监测台网和观测台站。监督、管理辖区范围内工程建设场地地震安全性评价工作, 参与震后重建规划。</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9.负责组织、指导应急预案体系建设，建立完善事故灾难和自然灾害分级应对制度，牵头组织编制全区应急救援综合预案和安全生产类、自然灾害类应急救援专项预案，负责应急预案衔接工作，组织开展预案演练并落实，督促相关部门加强应急避难场所设施建设。</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10.按照中央、省、市、区的规划，牵头建设统一的应急管理信息系统，负责信息传输渠道的规划和布局，建立监测预警和灾情报告制度，健全自然灾害信息资源获取和共享机制，依法统一发布灾情。</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负责组织、指导、协调安全生产类、自然灾害类等突发事件应急救援，承担全区应对较大及以上灾害指挥部工作，综合研判突发事件发展态势并提出应对建议，负责组织较大及以上灾害的应急处置工作。协调全区各类专业应急队伍，建立应急协调联动机制，推进指挥平台对接，提请衔接区人民武装部和武警部队参与应急救援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12.按照国家相关政策和省、市、区相关规定，负责消防、森林火灾扑救、抗洪抢险、地震和地质灾害救援、安全生产事故等专业应急救援力量建设，依法依规统筹指导全区及社会应急救援力量和应急保障能力建设。</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13.按照国家、省、市、区相关政策和规定，负责消防工作，组织和指导消防监督、火灾预防、火灾扑救工作。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14.组织开展自然灾害监测预警、自然灾害综合风险评估，指导协调森林火灾、水旱灾害、地震和地质灾害等防治工作。组织开展自然灾害类突发事件的调查评估工作。 </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15.依法组织、指导生产安全事故调查处理，监督事故查处和责任追究落实情况。组织和指导相关部门开展灾害救助、灾情核查、损失评估、救灾捐赠，管理分配中央、省、市下拨救灾款物并监督使用。</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16.开展应急管理、防震减灾和安全生产方面的交流与合作，组织参与安全生产类、自然灾害类等突发事件的跨区域救援工作。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17.制定应急物资储备和应急救援装备规划并组织实施，会同区发展和改革局等有关部门建立健全应急物资信息平台和调拨制度，在救灾时统一调度。</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18.负责应急管理、防震减灾、安全生产宣传教育和培训工作，组织和指导应急管理、防震减灾、安全生产的科学技术研究、推广应用和信息化建设工作。</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19.承担职责范围内的职业健康、生态环境保护、行政审批服务便民化工作责任。按省市要求，指导推进相对集中行政许可权改革。</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20.完成区委、区政府交办的其他任务。</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21.职能转变。加强、优化、统筹应急能力建设，构建统一领导、权责一致、权威高效的应急能力体系，推动形成“统一指挥、专常兼备、反应灵敏、上下联动、平战结合”的应急管理体制。</w:t>
      </w:r>
      <w:r>
        <w:rPr>
          <w:rFonts w:hint="eastAsia" w:ascii="仿宋_GB2312" w:eastAsia="仿宋_GB2312"/>
          <w:b/>
          <w:color w:val="000000"/>
          <w:sz w:val="32"/>
          <w:szCs w:val="32"/>
        </w:rPr>
        <w:t>一是</w:t>
      </w:r>
      <w:r>
        <w:rPr>
          <w:rFonts w:hint="eastAsia" w:ascii="仿宋_GB2312" w:eastAsia="仿宋_GB2312"/>
          <w:color w:val="000000"/>
          <w:sz w:val="32"/>
          <w:szCs w:val="32"/>
        </w:rPr>
        <w:t>坚持以防为主、防抗救相结合，坚持常态减灾和非常态救灾相统一，努力实现从注重灾后救助向注重灾前预防转变，从应对单一灾种向综合减灾转变，从减少灾害损失向减轻灾害风险转变，提高国家应急管理水平和防灾减灾救灾能力，防范化解重特大安全风险。</w:t>
      </w:r>
      <w:r>
        <w:rPr>
          <w:rFonts w:hint="eastAsia" w:ascii="仿宋_GB2312" w:eastAsia="仿宋_GB2312"/>
          <w:b/>
          <w:color w:val="000000"/>
          <w:sz w:val="32"/>
          <w:szCs w:val="32"/>
        </w:rPr>
        <w:t>二是</w:t>
      </w:r>
      <w:r>
        <w:rPr>
          <w:rFonts w:hint="eastAsia" w:ascii="仿宋_GB2312" w:eastAsia="仿宋_GB2312"/>
          <w:color w:val="000000"/>
          <w:sz w:val="32"/>
          <w:szCs w:val="32"/>
        </w:rPr>
        <w:t>坚持以人为本，把确保人民群众生命安全放在首位，确保受灾群众基本生活，加强应急预案演练，增强全民防灾减灾意识，提升公众知识普及和自救互救技能，切实减少人员伤亡和财产损失。</w:t>
      </w:r>
      <w:r>
        <w:rPr>
          <w:rFonts w:hint="eastAsia" w:ascii="仿宋_GB2312" w:eastAsia="仿宋_GB2312"/>
          <w:b/>
          <w:color w:val="000000"/>
          <w:sz w:val="32"/>
          <w:szCs w:val="32"/>
        </w:rPr>
        <w:t>三是</w:t>
      </w:r>
      <w:r>
        <w:rPr>
          <w:rFonts w:hint="eastAsia" w:ascii="仿宋_GB2312" w:eastAsia="仿宋_GB2312"/>
          <w:color w:val="000000"/>
          <w:sz w:val="32"/>
          <w:szCs w:val="32"/>
        </w:rPr>
        <w:t>树牢安全发展理念，坚持生命至上、安全第一，完善安全生产责任，坚决遏制重特大安全事故。</w:t>
      </w:r>
    </w:p>
    <w:p>
      <w:pPr>
        <w:pStyle w:val="5"/>
        <w:adjustRightInd w:val="0"/>
        <w:snapToGrid w:val="0"/>
        <w:spacing w:before="93" w:line="560" w:lineRule="exact"/>
        <w:ind w:firstLine="672" w:firstLineChars="210"/>
        <w:rPr>
          <w:rFonts w:ascii="楷体_GB2312" w:eastAsia="楷体_GB2312"/>
          <w:bCs/>
          <w:sz w:val="32"/>
          <w:szCs w:val="32"/>
        </w:rPr>
      </w:pPr>
      <w:r>
        <w:rPr>
          <w:rFonts w:hint="eastAsia" w:ascii="楷体_GB2312" w:eastAsia="楷体_GB2312"/>
          <w:bCs/>
          <w:sz w:val="32"/>
          <w:szCs w:val="32"/>
        </w:rPr>
        <w:t>（二）</w:t>
      </w:r>
      <w:r>
        <w:rPr>
          <w:rFonts w:ascii="楷体_GB2312" w:eastAsia="楷体_GB2312"/>
          <w:bCs/>
          <w:sz w:val="32"/>
          <w:szCs w:val="32"/>
        </w:rPr>
        <w:t>2019</w:t>
      </w:r>
      <w:r>
        <w:rPr>
          <w:rFonts w:hint="eastAsia" w:ascii="楷体_GB2312" w:eastAsia="楷体_GB2312"/>
          <w:bCs/>
          <w:sz w:val="32"/>
          <w:szCs w:val="32"/>
        </w:rPr>
        <w:t>年重点工作完成情况。</w:t>
      </w:r>
      <w:bookmarkEnd w:id="16"/>
      <w:bookmarkEnd w:id="17"/>
    </w:p>
    <w:p>
      <w:pPr>
        <w:autoSpaceDE w:val="0"/>
        <w:autoSpaceDN w:val="0"/>
        <w:adjustRightInd w:val="0"/>
        <w:spacing w:line="560" w:lineRule="exact"/>
        <w:ind w:firstLine="640" w:firstLineChars="200"/>
        <w:rPr>
          <w:rFonts w:ascii="仿宋_GB2312" w:eastAsia="仿宋_GB2312"/>
          <w:color w:val="000000"/>
          <w:sz w:val="32"/>
          <w:szCs w:val="32"/>
        </w:rPr>
      </w:pPr>
      <w:bookmarkStart w:id="18" w:name="_Toc15396601"/>
      <w:bookmarkStart w:id="19" w:name="_Toc15377200"/>
      <w:r>
        <w:rPr>
          <w:rFonts w:ascii="仿宋_GB2312" w:eastAsia="仿宋_GB2312"/>
          <w:color w:val="000000"/>
          <w:sz w:val="32"/>
          <w:szCs w:val="32"/>
        </w:rPr>
        <w:t>2019</w:t>
      </w:r>
      <w:r>
        <w:rPr>
          <w:rFonts w:hint="eastAsia" w:ascii="仿宋_GB2312" w:eastAsia="仿宋_GB2312"/>
          <w:color w:val="000000"/>
          <w:sz w:val="32"/>
          <w:szCs w:val="32"/>
        </w:rPr>
        <w:t>年以来，在区委、区政府的正确领导下，在上级应急管理部门的业务指导下，我局认真贯彻落实习近平总书记关于安全生产和应急管理工作的重要指示，认真贯彻落实党中央国务院、省委省政府和市委市政府关于抓好安全生产和应急管理工作的重大决策部署，认真执行安全生产、应急管理相关法律法规，不断强化安全生产意识和底线思维，不断强化应急管理能力，极大的提升了事故防范能力，较好地完成了</w:t>
      </w:r>
      <w:r>
        <w:rPr>
          <w:rFonts w:ascii="仿宋_GB2312" w:eastAsia="仿宋_GB2312"/>
          <w:color w:val="000000"/>
          <w:sz w:val="32"/>
          <w:szCs w:val="32"/>
        </w:rPr>
        <w:t>2019</w:t>
      </w:r>
      <w:r>
        <w:rPr>
          <w:rFonts w:hint="eastAsia" w:ascii="仿宋_GB2312" w:eastAsia="仿宋_GB2312"/>
          <w:color w:val="000000"/>
          <w:sz w:val="32"/>
          <w:szCs w:val="32"/>
        </w:rPr>
        <w:t>年度各项任务目标。</w:t>
      </w:r>
    </w:p>
    <w:p>
      <w:pPr>
        <w:autoSpaceDE w:val="0"/>
        <w:autoSpaceDN w:val="0"/>
        <w:adjustRightInd w:val="0"/>
        <w:spacing w:line="560" w:lineRule="exact"/>
        <w:ind w:firstLine="642" w:firstLineChars="200"/>
        <w:rPr>
          <w:rFonts w:ascii="仿宋_GB2312" w:eastAsia="仿宋_GB2312"/>
          <w:b/>
          <w:bCs/>
          <w:sz w:val="32"/>
          <w:szCs w:val="32"/>
        </w:rPr>
      </w:pPr>
      <w:r>
        <w:rPr>
          <w:rFonts w:ascii="仿宋_GB2312" w:eastAsia="仿宋_GB2312"/>
          <w:b/>
          <w:bCs/>
          <w:sz w:val="32"/>
          <w:szCs w:val="32"/>
        </w:rPr>
        <w:t>1.</w:t>
      </w:r>
      <w:r>
        <w:rPr>
          <w:rFonts w:hint="eastAsia" w:ascii="仿宋_GB2312" w:eastAsia="仿宋_GB2312"/>
          <w:b/>
          <w:bCs/>
          <w:sz w:val="32"/>
          <w:szCs w:val="32"/>
        </w:rPr>
        <w:t>牵头管总，认真履行委</w:t>
      </w:r>
      <w:r>
        <w:rPr>
          <w:rFonts w:hint="eastAsia" w:ascii="仿宋_GB2312" w:eastAsia="仿宋_GB2312"/>
          <w:b/>
          <w:bCs/>
          <w:sz w:val="32"/>
          <w:szCs w:val="32"/>
          <w:lang w:eastAsia="zh-CN"/>
        </w:rPr>
        <w:t>员</w:t>
      </w:r>
      <w:r>
        <w:rPr>
          <w:rFonts w:hint="eastAsia" w:ascii="仿宋_GB2312" w:eastAsia="仿宋_GB2312"/>
          <w:b/>
          <w:bCs/>
          <w:sz w:val="32"/>
          <w:szCs w:val="32"/>
        </w:rPr>
        <w:t>会办公室职能职责，全力推进全区安全生产责任落实。</w:t>
      </w:r>
    </w:p>
    <w:p>
      <w:pPr>
        <w:autoSpaceDE w:val="0"/>
        <w:autoSpaceDN w:val="0"/>
        <w:adjustRightIn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是加强安全生产责任体系建设，根据省市要求，拟定了《仁和区党政领导干部安全生产责任制规定》，进一步明确了全区各级党政领导干部安全生产责任。二是全力推进安全生产清单制管理工作，制定印发了《仁和区推进安全生产清单制管理工作实施方案》，落实了煤矿、危险化学品、烟花爆竹、非煤矿山等</w:t>
      </w:r>
      <w:r>
        <w:rPr>
          <w:rFonts w:ascii="仿宋_GB2312" w:eastAsia="仿宋_GB2312"/>
          <w:color w:val="000000"/>
          <w:sz w:val="32"/>
          <w:szCs w:val="32"/>
        </w:rPr>
        <w:t>21</w:t>
      </w:r>
      <w:r>
        <w:rPr>
          <w:rFonts w:hint="eastAsia" w:ascii="仿宋_GB2312" w:eastAsia="仿宋_GB2312"/>
          <w:color w:val="000000"/>
          <w:sz w:val="32"/>
          <w:szCs w:val="32"/>
        </w:rPr>
        <w:t>个行业清单制建设工作责任单位，已和省安科院达成初步协议，由省安科院对我区清单制建设工作提供技术支持。三是根据《仁和区</w:t>
      </w:r>
      <w:r>
        <w:rPr>
          <w:rFonts w:ascii="仿宋_GB2312" w:eastAsia="仿宋_GB2312"/>
          <w:color w:val="000000"/>
          <w:sz w:val="32"/>
          <w:szCs w:val="32"/>
        </w:rPr>
        <w:t>2019</w:t>
      </w:r>
      <w:r>
        <w:rPr>
          <w:rFonts w:hint="eastAsia" w:ascii="仿宋_GB2312" w:eastAsia="仿宋_GB2312"/>
          <w:color w:val="000000"/>
          <w:sz w:val="32"/>
          <w:szCs w:val="32"/>
        </w:rPr>
        <w:t>年安全生产工作要点》，紧紧围绕全年工作要点，一季度开展了</w:t>
      </w:r>
      <w:r>
        <w:rPr>
          <w:rFonts w:ascii="仿宋_GB2312" w:eastAsia="仿宋_GB2312"/>
          <w:color w:val="000000"/>
          <w:sz w:val="32"/>
          <w:szCs w:val="32"/>
        </w:rPr>
        <w:t xml:space="preserve"> “</w:t>
      </w:r>
      <w:r>
        <w:rPr>
          <w:rFonts w:hint="eastAsia" w:ascii="仿宋_GB2312" w:eastAsia="仿宋_GB2312"/>
          <w:color w:val="000000"/>
          <w:sz w:val="32"/>
          <w:szCs w:val="32"/>
        </w:rPr>
        <w:t>平安仁和</w:t>
      </w:r>
      <w:r>
        <w:rPr>
          <w:rFonts w:ascii="仿宋_GB2312" w:eastAsia="仿宋_GB2312"/>
          <w:color w:val="000000"/>
          <w:sz w:val="32"/>
          <w:szCs w:val="32"/>
        </w:rPr>
        <w:t>·</w:t>
      </w:r>
      <w:r>
        <w:rPr>
          <w:rFonts w:hint="eastAsia" w:ascii="仿宋_GB2312" w:eastAsia="仿宋_GB2312"/>
          <w:color w:val="000000"/>
          <w:sz w:val="32"/>
          <w:szCs w:val="32"/>
        </w:rPr>
        <w:t>暖风专项整治</w:t>
      </w:r>
      <w:r>
        <w:rPr>
          <w:rFonts w:ascii="仿宋_GB2312" w:eastAsia="仿宋_GB2312"/>
          <w:color w:val="000000"/>
          <w:sz w:val="32"/>
          <w:szCs w:val="32"/>
        </w:rPr>
        <w:t>”</w:t>
      </w:r>
      <w:r>
        <w:rPr>
          <w:rFonts w:hint="eastAsia" w:ascii="仿宋_GB2312" w:eastAsia="仿宋_GB2312"/>
          <w:color w:val="000000"/>
          <w:sz w:val="32"/>
          <w:szCs w:val="32"/>
        </w:rPr>
        <w:t>系列活动，二季度开展了</w:t>
      </w:r>
      <w:r>
        <w:rPr>
          <w:rFonts w:ascii="仿宋_GB2312" w:eastAsia="仿宋_GB2312"/>
          <w:color w:val="000000"/>
          <w:sz w:val="32"/>
          <w:szCs w:val="32"/>
        </w:rPr>
        <w:t>“</w:t>
      </w:r>
      <w:r>
        <w:rPr>
          <w:rFonts w:hint="eastAsia" w:ascii="仿宋_GB2312" w:eastAsia="仿宋_GB2312"/>
          <w:color w:val="000000"/>
          <w:sz w:val="32"/>
          <w:szCs w:val="32"/>
        </w:rPr>
        <w:t>平安仁和</w:t>
      </w:r>
      <w:r>
        <w:rPr>
          <w:rFonts w:ascii="仿宋_GB2312" w:eastAsia="仿宋_GB2312"/>
          <w:color w:val="000000"/>
          <w:sz w:val="32"/>
          <w:szCs w:val="32"/>
        </w:rPr>
        <w:t>·</w:t>
      </w:r>
      <w:r>
        <w:rPr>
          <w:rFonts w:hint="eastAsia" w:ascii="仿宋_GB2312" w:eastAsia="仿宋_GB2312"/>
          <w:color w:val="000000"/>
          <w:sz w:val="32"/>
          <w:szCs w:val="32"/>
        </w:rPr>
        <w:t>烈日专项整治</w:t>
      </w:r>
      <w:r>
        <w:rPr>
          <w:rFonts w:ascii="仿宋_GB2312" w:eastAsia="仿宋_GB2312"/>
          <w:color w:val="000000"/>
          <w:sz w:val="32"/>
          <w:szCs w:val="32"/>
        </w:rPr>
        <w:t>”</w:t>
      </w:r>
      <w:r>
        <w:rPr>
          <w:rFonts w:hint="eastAsia" w:ascii="仿宋_GB2312" w:eastAsia="仿宋_GB2312"/>
          <w:color w:val="000000"/>
          <w:sz w:val="32"/>
          <w:szCs w:val="32"/>
        </w:rPr>
        <w:t>系列活动，三季度开展了</w:t>
      </w:r>
      <w:r>
        <w:rPr>
          <w:rFonts w:ascii="仿宋_GB2312" w:eastAsia="仿宋_GB2312"/>
          <w:color w:val="000000"/>
          <w:sz w:val="32"/>
          <w:szCs w:val="32"/>
        </w:rPr>
        <w:t>“</w:t>
      </w:r>
      <w:r>
        <w:rPr>
          <w:rFonts w:hint="eastAsia" w:ascii="仿宋_GB2312" w:eastAsia="仿宋_GB2312"/>
          <w:color w:val="000000"/>
          <w:sz w:val="32"/>
          <w:szCs w:val="32"/>
        </w:rPr>
        <w:t>平安仁和</w:t>
      </w:r>
      <w:r>
        <w:rPr>
          <w:rFonts w:ascii="仿宋_GB2312" w:eastAsia="仿宋_GB2312"/>
          <w:color w:val="000000"/>
          <w:sz w:val="32"/>
          <w:szCs w:val="32"/>
        </w:rPr>
        <w:t>·</w:t>
      </w:r>
      <w:r>
        <w:rPr>
          <w:rFonts w:hint="eastAsia" w:ascii="仿宋_GB2312" w:eastAsia="仿宋_GB2312"/>
          <w:color w:val="000000"/>
          <w:sz w:val="32"/>
          <w:szCs w:val="32"/>
        </w:rPr>
        <w:t>雷雨专项整治</w:t>
      </w:r>
      <w:r>
        <w:rPr>
          <w:rFonts w:ascii="仿宋_GB2312" w:eastAsia="仿宋_GB2312"/>
          <w:color w:val="000000"/>
          <w:sz w:val="32"/>
          <w:szCs w:val="32"/>
        </w:rPr>
        <w:t>”</w:t>
      </w:r>
      <w:r>
        <w:rPr>
          <w:rFonts w:hint="eastAsia" w:ascii="仿宋_GB2312" w:eastAsia="仿宋_GB2312"/>
          <w:color w:val="000000"/>
          <w:sz w:val="32"/>
          <w:szCs w:val="32"/>
        </w:rPr>
        <w:t>系列活动，四季度正在开展</w:t>
      </w:r>
      <w:r>
        <w:rPr>
          <w:rFonts w:ascii="仿宋_GB2312" w:eastAsia="仿宋_GB2312"/>
          <w:color w:val="000000"/>
          <w:sz w:val="32"/>
          <w:szCs w:val="32"/>
        </w:rPr>
        <w:t>“</w:t>
      </w:r>
      <w:r>
        <w:rPr>
          <w:rFonts w:hint="eastAsia" w:ascii="仿宋_GB2312" w:eastAsia="仿宋_GB2312"/>
          <w:color w:val="000000"/>
          <w:sz w:val="32"/>
          <w:szCs w:val="32"/>
        </w:rPr>
        <w:t>平安仁和</w:t>
      </w:r>
      <w:r>
        <w:rPr>
          <w:rFonts w:ascii="仿宋_GB2312" w:eastAsia="仿宋_GB2312"/>
          <w:color w:val="000000"/>
          <w:sz w:val="32"/>
          <w:szCs w:val="32"/>
        </w:rPr>
        <w:t>·</w:t>
      </w:r>
      <w:r>
        <w:rPr>
          <w:rFonts w:hint="eastAsia" w:ascii="仿宋_GB2312" w:eastAsia="仿宋_GB2312"/>
          <w:color w:val="000000"/>
          <w:sz w:val="32"/>
          <w:szCs w:val="32"/>
        </w:rPr>
        <w:t>雷霆专项整治</w:t>
      </w:r>
      <w:r>
        <w:rPr>
          <w:rFonts w:ascii="仿宋_GB2312" w:eastAsia="仿宋_GB2312"/>
          <w:color w:val="000000"/>
          <w:sz w:val="32"/>
          <w:szCs w:val="32"/>
        </w:rPr>
        <w:t>”</w:t>
      </w:r>
      <w:r>
        <w:rPr>
          <w:rFonts w:hint="eastAsia" w:ascii="仿宋_GB2312" w:eastAsia="仿宋_GB2312"/>
          <w:color w:val="000000"/>
          <w:sz w:val="32"/>
          <w:szCs w:val="32"/>
        </w:rPr>
        <w:t>系列活动；</w:t>
      </w:r>
      <w:r>
        <w:rPr>
          <w:rFonts w:hint="eastAsia" w:ascii="仿宋_GB2312" w:eastAsia="仿宋_GB2312"/>
          <w:color w:val="000000"/>
          <w:sz w:val="32"/>
          <w:szCs w:val="32"/>
          <w:lang w:eastAsia="zh-CN"/>
        </w:rPr>
        <w:t>截至目前</w:t>
      </w:r>
      <w:r>
        <w:rPr>
          <w:rFonts w:hint="eastAsia" w:ascii="仿宋_GB2312" w:eastAsia="仿宋_GB2312"/>
          <w:color w:val="000000"/>
          <w:sz w:val="32"/>
          <w:szCs w:val="32"/>
        </w:rPr>
        <w:t>全区安委会成员单位共组织检查组</w:t>
      </w:r>
      <w:r>
        <w:rPr>
          <w:rFonts w:ascii="仿宋_GB2312" w:eastAsia="仿宋_GB2312"/>
          <w:color w:val="000000"/>
          <w:sz w:val="32"/>
          <w:szCs w:val="32"/>
        </w:rPr>
        <w:t>315</w:t>
      </w:r>
      <w:r>
        <w:rPr>
          <w:rFonts w:hint="eastAsia" w:ascii="仿宋_GB2312" w:eastAsia="仿宋_GB2312"/>
          <w:color w:val="000000"/>
          <w:sz w:val="32"/>
          <w:szCs w:val="32"/>
        </w:rPr>
        <w:t>余个，检查企事业单位</w:t>
      </w:r>
      <w:r>
        <w:rPr>
          <w:rFonts w:ascii="仿宋_GB2312" w:eastAsia="仿宋_GB2312"/>
          <w:color w:val="000000"/>
          <w:sz w:val="32"/>
          <w:szCs w:val="32"/>
        </w:rPr>
        <w:t>573</w:t>
      </w:r>
      <w:r>
        <w:rPr>
          <w:rFonts w:hint="eastAsia" w:ascii="仿宋_GB2312" w:eastAsia="仿宋_GB2312"/>
          <w:color w:val="000000"/>
          <w:sz w:val="32"/>
          <w:szCs w:val="32"/>
        </w:rPr>
        <w:t>余家次，查处隐患</w:t>
      </w:r>
      <w:r>
        <w:rPr>
          <w:rFonts w:ascii="仿宋_GB2312" w:eastAsia="仿宋_GB2312"/>
          <w:color w:val="000000"/>
          <w:sz w:val="32"/>
          <w:szCs w:val="32"/>
        </w:rPr>
        <w:t>1327</w:t>
      </w:r>
      <w:r>
        <w:rPr>
          <w:rFonts w:hint="eastAsia" w:ascii="仿宋_GB2312" w:eastAsia="仿宋_GB2312"/>
          <w:color w:val="000000"/>
          <w:sz w:val="32"/>
          <w:szCs w:val="32"/>
        </w:rPr>
        <w:t>余项，截至目前已整改完毕</w:t>
      </w:r>
      <w:r>
        <w:rPr>
          <w:rFonts w:ascii="仿宋_GB2312" w:eastAsia="仿宋_GB2312"/>
          <w:color w:val="000000"/>
          <w:sz w:val="32"/>
          <w:szCs w:val="32"/>
        </w:rPr>
        <w:t>1218</w:t>
      </w:r>
      <w:r>
        <w:rPr>
          <w:rFonts w:hint="eastAsia" w:ascii="仿宋_GB2312" w:eastAsia="仿宋_GB2312"/>
          <w:color w:val="000000"/>
          <w:sz w:val="32"/>
          <w:szCs w:val="32"/>
        </w:rPr>
        <w:t>余项，实施安全生产行政处罚（含事故处罚）近</w:t>
      </w:r>
      <w:r>
        <w:rPr>
          <w:rFonts w:ascii="仿宋_GB2312" w:eastAsia="仿宋_GB2312"/>
          <w:color w:val="000000"/>
          <w:sz w:val="32"/>
          <w:szCs w:val="32"/>
        </w:rPr>
        <w:t>300</w:t>
      </w:r>
      <w:r>
        <w:rPr>
          <w:rFonts w:hint="eastAsia" w:ascii="仿宋_GB2312" w:eastAsia="仿宋_GB2312"/>
          <w:color w:val="000000"/>
          <w:sz w:val="32"/>
          <w:szCs w:val="32"/>
        </w:rPr>
        <w:t>万元。。</w:t>
      </w:r>
    </w:p>
    <w:p>
      <w:pPr>
        <w:autoSpaceDE w:val="0"/>
        <w:autoSpaceDN w:val="0"/>
        <w:adjustRightInd w:val="0"/>
        <w:spacing w:line="560" w:lineRule="exact"/>
        <w:ind w:firstLine="642" w:firstLineChars="200"/>
        <w:rPr>
          <w:rFonts w:ascii="仿宋_GB2312" w:eastAsia="仿宋_GB2312"/>
          <w:b/>
          <w:bCs/>
          <w:sz w:val="32"/>
          <w:szCs w:val="32"/>
        </w:rPr>
      </w:pPr>
      <w:r>
        <w:rPr>
          <w:rFonts w:ascii="仿宋_GB2312" w:eastAsia="仿宋_GB2312"/>
          <w:b/>
          <w:bCs/>
          <w:sz w:val="32"/>
          <w:szCs w:val="32"/>
        </w:rPr>
        <w:t>2.</w:t>
      </w:r>
      <w:r>
        <w:rPr>
          <w:rFonts w:hint="eastAsia" w:ascii="仿宋_GB2312" w:eastAsia="仿宋_GB2312"/>
          <w:b/>
          <w:bCs/>
          <w:sz w:val="32"/>
          <w:szCs w:val="32"/>
        </w:rPr>
        <w:t>重点监管，认真履行分管行业领域安全监管职责，防范事故发生。</w:t>
      </w:r>
    </w:p>
    <w:p>
      <w:pPr>
        <w:autoSpaceDE w:val="0"/>
        <w:autoSpaceDN w:val="0"/>
        <w:adjustRightIn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是针对我局分管的煤矿、非煤矿山、烟花爆竹、危险化学品和民用爆炸物品生产经营行业领域特点，每月组织召开专题安全工作会，及时传达上级工作要求，分析当前工作中存在的具体问题，协调解决企业遇到的问题困难，保持了所分管行业领域安全生产持续稳定；我局高度重视煤矿安全生产工作，成立了由区应急管理局局长、煤炭管理局局长和应急管理局分管副局长担任</w:t>
      </w:r>
      <w:r>
        <w:rPr>
          <w:rFonts w:ascii="仿宋_GB2312" w:eastAsia="仿宋_GB2312"/>
          <w:color w:val="000000"/>
          <w:sz w:val="32"/>
          <w:szCs w:val="32"/>
        </w:rPr>
        <w:t>“</w:t>
      </w:r>
      <w:r>
        <w:rPr>
          <w:rFonts w:hint="eastAsia" w:ascii="仿宋_GB2312" w:eastAsia="仿宋_GB2312"/>
          <w:color w:val="000000"/>
          <w:sz w:val="32"/>
          <w:szCs w:val="32"/>
        </w:rPr>
        <w:t>片区矿长</w:t>
      </w:r>
      <w:r>
        <w:rPr>
          <w:rFonts w:ascii="仿宋_GB2312" w:eastAsia="仿宋_GB2312"/>
          <w:color w:val="000000"/>
          <w:sz w:val="32"/>
          <w:szCs w:val="32"/>
        </w:rPr>
        <w:t>”</w:t>
      </w:r>
      <w:r>
        <w:rPr>
          <w:rFonts w:hint="eastAsia" w:ascii="仿宋_GB2312" w:eastAsia="仿宋_GB2312"/>
          <w:color w:val="000000"/>
          <w:sz w:val="32"/>
          <w:szCs w:val="32"/>
        </w:rPr>
        <w:t>的工作组，制定了《攀枝花市仁和区煤矿安全生产分类分级监管实施方案》，对全区</w:t>
      </w:r>
      <w:r>
        <w:rPr>
          <w:rFonts w:ascii="仿宋_GB2312" w:eastAsia="仿宋_GB2312"/>
          <w:color w:val="000000"/>
          <w:sz w:val="32"/>
          <w:szCs w:val="32"/>
        </w:rPr>
        <w:t>16</w:t>
      </w:r>
      <w:r>
        <w:rPr>
          <w:rFonts w:hint="eastAsia" w:ascii="仿宋_GB2312" w:eastAsia="仿宋_GB2312"/>
          <w:color w:val="000000"/>
          <w:sz w:val="32"/>
          <w:szCs w:val="32"/>
        </w:rPr>
        <w:t>处生产煤矿开展风险评估，实行</w:t>
      </w:r>
      <w:r>
        <w:rPr>
          <w:rFonts w:ascii="仿宋_GB2312" w:eastAsia="仿宋_GB2312"/>
          <w:color w:val="000000"/>
          <w:sz w:val="32"/>
          <w:szCs w:val="32"/>
        </w:rPr>
        <w:t>“</w:t>
      </w:r>
      <w:r>
        <w:rPr>
          <w:rFonts w:hint="eastAsia" w:ascii="仿宋_GB2312" w:eastAsia="仿宋_GB2312"/>
          <w:color w:val="000000"/>
          <w:sz w:val="32"/>
          <w:szCs w:val="32"/>
        </w:rPr>
        <w:t>红、橙、黄、蓝</w:t>
      </w:r>
      <w:r>
        <w:rPr>
          <w:rFonts w:ascii="仿宋_GB2312" w:eastAsia="仿宋_GB2312"/>
          <w:color w:val="000000"/>
          <w:sz w:val="32"/>
          <w:szCs w:val="32"/>
        </w:rPr>
        <w:t>”</w:t>
      </w:r>
      <w:r>
        <w:rPr>
          <w:rFonts w:hint="eastAsia" w:ascii="仿宋_GB2312" w:eastAsia="仿宋_GB2312"/>
          <w:color w:val="000000"/>
          <w:sz w:val="32"/>
          <w:szCs w:val="32"/>
        </w:rPr>
        <w:t>四色分级管理，实行煤矿主要负责人安全生产约谈和煤矿安全管理人员考核考试准入制度，严格执行煤矿安全监管人员定点联系工作制度，明确定点联系人员和旁站式安全监管人员，全面督促煤矿企业落实安全生产主体责任，</w:t>
      </w:r>
      <w:r>
        <w:rPr>
          <w:rFonts w:ascii="仿宋_GB2312" w:eastAsia="仿宋_GB2312"/>
          <w:color w:val="000000"/>
          <w:sz w:val="32"/>
          <w:szCs w:val="32"/>
        </w:rPr>
        <w:t>2019</w:t>
      </w:r>
      <w:r>
        <w:rPr>
          <w:rFonts w:hint="eastAsia" w:ascii="仿宋_GB2312" w:eastAsia="仿宋_GB2312"/>
          <w:color w:val="000000"/>
          <w:sz w:val="32"/>
          <w:szCs w:val="32"/>
        </w:rPr>
        <w:t>年以来，县级领导带队检查煤矿</w:t>
      </w:r>
      <w:r>
        <w:rPr>
          <w:rFonts w:ascii="仿宋_GB2312" w:eastAsia="仿宋_GB2312"/>
          <w:color w:val="000000"/>
          <w:sz w:val="32"/>
          <w:szCs w:val="32"/>
        </w:rPr>
        <w:t>59</w:t>
      </w:r>
      <w:r>
        <w:rPr>
          <w:rFonts w:hint="eastAsia" w:ascii="仿宋_GB2312" w:eastAsia="仿宋_GB2312"/>
          <w:color w:val="000000"/>
          <w:sz w:val="32"/>
          <w:szCs w:val="32"/>
        </w:rPr>
        <w:t>人次。二是针对重点时段和应对极端天气安全工作的特殊要求，加大执法检查和隐患排查治理力度，全覆盖、拉网式开展检查工作，督促企业落实主体责任，确保全年重要事件段的安全稳定，</w:t>
      </w:r>
      <w:r>
        <w:rPr>
          <w:rFonts w:hint="eastAsia" w:ascii="仿宋_GB2312" w:eastAsia="仿宋_GB2312"/>
          <w:color w:val="000000"/>
          <w:sz w:val="32"/>
          <w:szCs w:val="32"/>
          <w:lang w:eastAsia="zh-CN"/>
        </w:rPr>
        <w:t>截至目前</w:t>
      </w:r>
      <w:r>
        <w:rPr>
          <w:rFonts w:hint="eastAsia" w:ascii="仿宋_GB2312" w:eastAsia="仿宋_GB2312"/>
          <w:color w:val="000000"/>
          <w:sz w:val="32"/>
          <w:szCs w:val="32"/>
        </w:rPr>
        <w:t>，检查企业</w:t>
      </w:r>
      <w:r>
        <w:rPr>
          <w:rFonts w:ascii="仿宋_GB2312" w:eastAsia="仿宋_GB2312"/>
          <w:color w:val="000000"/>
          <w:sz w:val="32"/>
          <w:szCs w:val="32"/>
        </w:rPr>
        <w:t>120</w:t>
      </w:r>
      <w:r>
        <w:rPr>
          <w:rFonts w:hint="eastAsia" w:ascii="仿宋_GB2312" w:eastAsia="仿宋_GB2312"/>
          <w:color w:val="000000"/>
          <w:sz w:val="32"/>
          <w:szCs w:val="32"/>
        </w:rPr>
        <w:t>余家次，查处隐患</w:t>
      </w:r>
      <w:r>
        <w:rPr>
          <w:rFonts w:ascii="仿宋_GB2312" w:eastAsia="仿宋_GB2312"/>
          <w:color w:val="000000"/>
          <w:sz w:val="32"/>
          <w:szCs w:val="32"/>
        </w:rPr>
        <w:t>380</w:t>
      </w:r>
      <w:r>
        <w:rPr>
          <w:rFonts w:hint="eastAsia" w:ascii="仿宋_GB2312" w:eastAsia="仿宋_GB2312"/>
          <w:color w:val="000000"/>
          <w:sz w:val="32"/>
          <w:szCs w:val="32"/>
        </w:rPr>
        <w:t>余项，目前已整改完毕</w:t>
      </w:r>
      <w:r>
        <w:rPr>
          <w:rFonts w:ascii="仿宋_GB2312" w:eastAsia="仿宋_GB2312"/>
          <w:color w:val="000000"/>
          <w:sz w:val="32"/>
          <w:szCs w:val="32"/>
        </w:rPr>
        <w:t>310</w:t>
      </w:r>
      <w:r>
        <w:rPr>
          <w:rFonts w:hint="eastAsia" w:ascii="仿宋_GB2312" w:eastAsia="仿宋_GB2312"/>
          <w:color w:val="000000"/>
          <w:sz w:val="32"/>
          <w:szCs w:val="32"/>
        </w:rPr>
        <w:t>余项，实施安全生产行政处罚（包括事故处罚）</w:t>
      </w:r>
      <w:r>
        <w:rPr>
          <w:rFonts w:ascii="仿宋_GB2312" w:eastAsia="仿宋_GB2312"/>
          <w:color w:val="000000"/>
          <w:sz w:val="32"/>
          <w:szCs w:val="32"/>
        </w:rPr>
        <w:t>290</w:t>
      </w:r>
      <w:r>
        <w:rPr>
          <w:rFonts w:hint="eastAsia" w:ascii="仿宋_GB2312" w:eastAsia="仿宋_GB2312"/>
          <w:color w:val="000000"/>
          <w:sz w:val="32"/>
          <w:szCs w:val="32"/>
        </w:rPr>
        <w:t>余万元。三是加强安全生产法律法规的宣讲，针对部分非煤矿山企业安证过期及注销等现象，督促企业及时按照安全</w:t>
      </w:r>
      <w:r>
        <w:rPr>
          <w:rFonts w:ascii="仿宋_GB2312" w:eastAsia="仿宋_GB2312"/>
          <w:color w:val="000000"/>
          <w:sz w:val="32"/>
          <w:szCs w:val="32"/>
        </w:rPr>
        <w:t>“</w:t>
      </w:r>
      <w:r>
        <w:rPr>
          <w:rFonts w:hint="eastAsia" w:ascii="仿宋_GB2312" w:eastAsia="仿宋_GB2312"/>
          <w:color w:val="000000"/>
          <w:sz w:val="32"/>
          <w:szCs w:val="32"/>
        </w:rPr>
        <w:t>三同时</w:t>
      </w:r>
      <w:r>
        <w:rPr>
          <w:rFonts w:ascii="仿宋_GB2312" w:eastAsia="仿宋_GB2312"/>
          <w:color w:val="000000"/>
          <w:sz w:val="32"/>
          <w:szCs w:val="32"/>
        </w:rPr>
        <w:t>”</w:t>
      </w:r>
      <w:r>
        <w:rPr>
          <w:rFonts w:hint="eastAsia" w:ascii="仿宋_GB2312" w:eastAsia="仿宋_GB2312"/>
          <w:color w:val="000000"/>
          <w:sz w:val="32"/>
          <w:szCs w:val="32"/>
        </w:rPr>
        <w:t>工作的要求完善相关手续。四是积极退还安全生产风险抵押金，</w:t>
      </w:r>
      <w:r>
        <w:rPr>
          <w:rFonts w:hint="eastAsia" w:ascii="仿宋_GB2312" w:eastAsia="仿宋_GB2312"/>
          <w:color w:val="000000"/>
          <w:sz w:val="32"/>
          <w:szCs w:val="32"/>
          <w:lang w:eastAsia="zh-CN"/>
        </w:rPr>
        <w:t>截至目前</w:t>
      </w:r>
      <w:r>
        <w:rPr>
          <w:rFonts w:hint="eastAsia" w:ascii="仿宋_GB2312" w:eastAsia="仿宋_GB2312"/>
          <w:color w:val="000000"/>
          <w:sz w:val="32"/>
          <w:szCs w:val="32"/>
        </w:rPr>
        <w:t>退还风险抵押金</w:t>
      </w:r>
      <w:r>
        <w:rPr>
          <w:rFonts w:ascii="仿宋_GB2312" w:eastAsia="仿宋_GB2312"/>
          <w:color w:val="000000"/>
          <w:sz w:val="32"/>
          <w:szCs w:val="32"/>
        </w:rPr>
        <w:t>104</w:t>
      </w:r>
      <w:r>
        <w:rPr>
          <w:rFonts w:hint="eastAsia" w:ascii="仿宋_GB2312" w:eastAsia="仿宋_GB2312"/>
          <w:color w:val="000000"/>
          <w:sz w:val="32"/>
          <w:szCs w:val="32"/>
        </w:rPr>
        <w:t>户，涉及金额</w:t>
      </w:r>
      <w:r>
        <w:rPr>
          <w:rFonts w:ascii="仿宋_GB2312" w:eastAsia="仿宋_GB2312"/>
          <w:color w:val="000000"/>
          <w:sz w:val="32"/>
          <w:szCs w:val="32"/>
        </w:rPr>
        <w:t>113.81</w:t>
      </w:r>
      <w:r>
        <w:rPr>
          <w:rFonts w:hint="eastAsia" w:ascii="仿宋_GB2312" w:eastAsia="仿宋_GB2312"/>
          <w:color w:val="000000"/>
          <w:sz w:val="32"/>
          <w:szCs w:val="32"/>
        </w:rPr>
        <w:t>万元。五是认真开展安全生产月宣传活动，牵头制定《仁和区</w:t>
      </w:r>
      <w:r>
        <w:rPr>
          <w:rFonts w:ascii="仿宋_GB2312" w:eastAsia="仿宋_GB2312"/>
          <w:color w:val="000000"/>
          <w:sz w:val="32"/>
          <w:szCs w:val="32"/>
        </w:rPr>
        <w:t>2019</w:t>
      </w:r>
      <w:r>
        <w:rPr>
          <w:rFonts w:hint="eastAsia" w:ascii="仿宋_GB2312" w:eastAsia="仿宋_GB2312"/>
          <w:color w:val="000000"/>
          <w:sz w:val="32"/>
          <w:szCs w:val="32"/>
        </w:rPr>
        <w:t>年安全生产月活动方案》并组织实施，参加安全生产知识竞赛，组织区安委会成员单位在商业文化广场开展集中宣传，累计发放宣传资料</w:t>
      </w:r>
      <w:r>
        <w:rPr>
          <w:rFonts w:ascii="仿宋_GB2312" w:eastAsia="仿宋_GB2312"/>
          <w:color w:val="000000"/>
          <w:sz w:val="32"/>
          <w:szCs w:val="32"/>
        </w:rPr>
        <w:t>3000</w:t>
      </w:r>
      <w:r>
        <w:rPr>
          <w:rFonts w:hint="eastAsia" w:ascii="仿宋_GB2312" w:eastAsia="仿宋_GB2312"/>
          <w:color w:val="000000"/>
          <w:sz w:val="32"/>
          <w:szCs w:val="32"/>
        </w:rPr>
        <w:t>余份，接受咨询</w:t>
      </w:r>
      <w:r>
        <w:rPr>
          <w:rFonts w:ascii="仿宋_GB2312" w:eastAsia="仿宋_GB2312"/>
          <w:color w:val="000000"/>
          <w:sz w:val="32"/>
          <w:szCs w:val="32"/>
        </w:rPr>
        <w:t>200</w:t>
      </w:r>
      <w:r>
        <w:rPr>
          <w:rFonts w:hint="eastAsia" w:ascii="仿宋_GB2312" w:eastAsia="仿宋_GB2312"/>
          <w:color w:val="000000"/>
          <w:sz w:val="32"/>
          <w:szCs w:val="32"/>
        </w:rPr>
        <w:t>余人次。六是加大安全监管执法力量建设，</w:t>
      </w:r>
      <w:r>
        <w:rPr>
          <w:rFonts w:hint="eastAsia" w:ascii="仿宋_GB2312" w:eastAsia="仿宋_GB2312"/>
          <w:color w:val="000000"/>
          <w:sz w:val="32"/>
          <w:szCs w:val="32"/>
          <w:lang w:eastAsia="zh-CN"/>
        </w:rPr>
        <w:t>截至目前</w:t>
      </w:r>
      <w:r>
        <w:rPr>
          <w:rFonts w:hint="eastAsia" w:ascii="仿宋_GB2312" w:eastAsia="仿宋_GB2312"/>
          <w:color w:val="000000"/>
          <w:sz w:val="32"/>
          <w:szCs w:val="32"/>
        </w:rPr>
        <w:t>，共组织安全监管和执法资格培训学习</w:t>
      </w:r>
      <w:r>
        <w:rPr>
          <w:rFonts w:ascii="仿宋_GB2312" w:eastAsia="仿宋_GB2312"/>
          <w:color w:val="000000"/>
          <w:sz w:val="32"/>
          <w:szCs w:val="32"/>
        </w:rPr>
        <w:t>87</w:t>
      </w:r>
      <w:r>
        <w:rPr>
          <w:rFonts w:hint="eastAsia" w:ascii="仿宋_GB2312" w:eastAsia="仿宋_GB2312"/>
          <w:color w:val="000000"/>
          <w:sz w:val="32"/>
          <w:szCs w:val="32"/>
        </w:rPr>
        <w:t>人次，</w:t>
      </w:r>
      <w:r>
        <w:rPr>
          <w:rFonts w:ascii="仿宋_GB2312" w:eastAsia="仿宋_GB2312"/>
          <w:color w:val="000000"/>
          <w:sz w:val="32"/>
          <w:szCs w:val="32"/>
        </w:rPr>
        <w:t>26</w:t>
      </w:r>
      <w:r>
        <w:rPr>
          <w:rFonts w:hint="eastAsia" w:ascii="仿宋_GB2312" w:eastAsia="仿宋_GB2312"/>
          <w:color w:val="000000"/>
          <w:sz w:val="32"/>
          <w:szCs w:val="32"/>
        </w:rPr>
        <w:t>人换领了新的执法资格证书，</w:t>
      </w:r>
      <w:r>
        <w:rPr>
          <w:rFonts w:ascii="仿宋_GB2312" w:eastAsia="仿宋_GB2312"/>
          <w:color w:val="000000"/>
          <w:sz w:val="32"/>
          <w:szCs w:val="32"/>
        </w:rPr>
        <w:t>18</w:t>
      </w:r>
      <w:r>
        <w:rPr>
          <w:rFonts w:hint="eastAsia" w:ascii="仿宋_GB2312" w:eastAsia="仿宋_GB2312"/>
          <w:color w:val="000000"/>
          <w:sz w:val="32"/>
          <w:szCs w:val="32"/>
        </w:rPr>
        <w:t>人新取得了执法资格证书。七是严格行政审批制度，</w:t>
      </w:r>
      <w:r>
        <w:rPr>
          <w:rFonts w:hint="eastAsia" w:ascii="仿宋_GB2312" w:eastAsia="仿宋_GB2312"/>
          <w:color w:val="000000"/>
          <w:sz w:val="32"/>
          <w:szCs w:val="32"/>
          <w:lang w:eastAsia="zh-CN"/>
        </w:rPr>
        <w:t>截至目前</w:t>
      </w:r>
      <w:r>
        <w:rPr>
          <w:rFonts w:hint="eastAsia" w:ascii="仿宋_GB2312" w:eastAsia="仿宋_GB2312"/>
          <w:color w:val="000000"/>
          <w:sz w:val="32"/>
          <w:szCs w:val="32"/>
        </w:rPr>
        <w:t>，办理危险化学品经验许可证</w:t>
      </w:r>
      <w:r>
        <w:rPr>
          <w:rFonts w:ascii="仿宋_GB2312" w:eastAsia="仿宋_GB2312"/>
          <w:color w:val="000000"/>
          <w:sz w:val="32"/>
          <w:szCs w:val="32"/>
        </w:rPr>
        <w:t>9</w:t>
      </w:r>
      <w:r>
        <w:rPr>
          <w:rFonts w:hint="eastAsia" w:ascii="仿宋_GB2312" w:eastAsia="仿宋_GB2312"/>
          <w:color w:val="000000"/>
          <w:sz w:val="32"/>
          <w:szCs w:val="32"/>
        </w:rPr>
        <w:t>个，第三类非药品类易制毒化学品经营备案</w:t>
      </w:r>
      <w:r>
        <w:rPr>
          <w:rFonts w:ascii="仿宋_GB2312" w:eastAsia="仿宋_GB2312"/>
          <w:color w:val="000000"/>
          <w:sz w:val="32"/>
          <w:szCs w:val="32"/>
        </w:rPr>
        <w:t>9</w:t>
      </w:r>
      <w:r>
        <w:rPr>
          <w:rFonts w:hint="eastAsia" w:ascii="仿宋_GB2312" w:eastAsia="仿宋_GB2312"/>
          <w:color w:val="000000"/>
          <w:sz w:val="32"/>
          <w:szCs w:val="32"/>
        </w:rPr>
        <w:t>次，烟花爆竹经验许可证</w:t>
      </w:r>
      <w:r>
        <w:rPr>
          <w:rFonts w:ascii="仿宋_GB2312" w:eastAsia="仿宋_GB2312"/>
          <w:color w:val="000000"/>
          <w:sz w:val="32"/>
          <w:szCs w:val="32"/>
        </w:rPr>
        <w:t>88</w:t>
      </w:r>
      <w:r>
        <w:rPr>
          <w:rFonts w:hint="eastAsia" w:ascii="仿宋_GB2312" w:eastAsia="仿宋_GB2312"/>
          <w:color w:val="000000"/>
          <w:sz w:val="32"/>
          <w:szCs w:val="32"/>
        </w:rPr>
        <w:t>户。</w:t>
      </w:r>
    </w:p>
    <w:p>
      <w:pPr>
        <w:autoSpaceDE w:val="0"/>
        <w:autoSpaceDN w:val="0"/>
        <w:adjustRightInd w:val="0"/>
        <w:spacing w:line="560" w:lineRule="exact"/>
        <w:ind w:firstLine="642" w:firstLineChars="200"/>
        <w:rPr>
          <w:rFonts w:ascii="仿宋_GB2312" w:eastAsia="仿宋_GB2312"/>
          <w:b/>
          <w:bCs/>
          <w:sz w:val="32"/>
          <w:szCs w:val="32"/>
        </w:rPr>
      </w:pPr>
      <w:r>
        <w:rPr>
          <w:rFonts w:ascii="仿宋_GB2312" w:eastAsia="仿宋_GB2312"/>
          <w:b/>
          <w:bCs/>
          <w:sz w:val="32"/>
          <w:szCs w:val="32"/>
        </w:rPr>
        <w:t>3.</w:t>
      </w:r>
      <w:r>
        <w:rPr>
          <w:rFonts w:hint="eastAsia" w:ascii="仿宋_GB2312" w:eastAsia="仿宋_GB2312"/>
          <w:b/>
          <w:bCs/>
          <w:sz w:val="32"/>
          <w:szCs w:val="32"/>
        </w:rPr>
        <w:t>警钟长鸣，认真开展安全生产事故警示教育，促进安全生产意识提高</w:t>
      </w:r>
    </w:p>
    <w:p>
      <w:pPr>
        <w:autoSpaceDE w:val="0"/>
        <w:autoSpaceDN w:val="0"/>
        <w:adjustRightIn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我局认真组织开展安全生产月宣传活动，牵头制定了《仁和区</w:t>
      </w:r>
      <w:r>
        <w:rPr>
          <w:rFonts w:ascii="仿宋_GB2312" w:eastAsia="仿宋_GB2312"/>
          <w:color w:val="000000"/>
          <w:sz w:val="32"/>
          <w:szCs w:val="32"/>
        </w:rPr>
        <w:t>2019</w:t>
      </w:r>
      <w:r>
        <w:rPr>
          <w:rFonts w:hint="eastAsia" w:ascii="仿宋_GB2312" w:eastAsia="仿宋_GB2312"/>
          <w:color w:val="000000"/>
          <w:sz w:val="32"/>
          <w:szCs w:val="32"/>
        </w:rPr>
        <w:t>年安全生产月活动方案》并组织实施，参加安全生产知识竞赛，组织区安委会成员单位在商业文化广场开展集中宣传，各乡镇街办同步进行安全宣传活动，安全生产月期间共计发放宣传资料</w:t>
      </w:r>
      <w:r>
        <w:rPr>
          <w:rFonts w:ascii="仿宋_GB2312" w:eastAsia="仿宋_GB2312"/>
          <w:color w:val="000000"/>
          <w:sz w:val="32"/>
          <w:szCs w:val="32"/>
        </w:rPr>
        <w:t>3000</w:t>
      </w:r>
      <w:r>
        <w:rPr>
          <w:rFonts w:hint="eastAsia" w:ascii="仿宋_GB2312" w:eastAsia="仿宋_GB2312"/>
          <w:color w:val="000000"/>
          <w:sz w:val="32"/>
          <w:szCs w:val="32"/>
        </w:rPr>
        <w:t>余份，接受咨询</w:t>
      </w:r>
      <w:r>
        <w:rPr>
          <w:rFonts w:ascii="仿宋_GB2312" w:eastAsia="仿宋_GB2312"/>
          <w:color w:val="000000"/>
          <w:sz w:val="32"/>
          <w:szCs w:val="32"/>
        </w:rPr>
        <w:t>200</w:t>
      </w:r>
      <w:r>
        <w:rPr>
          <w:rFonts w:hint="eastAsia" w:ascii="仿宋_GB2312" w:eastAsia="仿宋_GB2312"/>
          <w:color w:val="000000"/>
          <w:sz w:val="32"/>
          <w:szCs w:val="32"/>
        </w:rPr>
        <w:t>余人次。今年，区安办通过对我区生产安全事故的调查处理，联系区文广旅局制作了两期事故警示教育片，并充分利用安委会会议、专题警示教育工作会和行业工作安排部署会契机，组织安全监管部门、监管人员和生产经营企业业主、负责人观看警示教育片，通过身边真实的事故案例长敲安全生产警醒之钟。</w:t>
      </w:r>
    </w:p>
    <w:p>
      <w:pPr>
        <w:autoSpaceDE w:val="0"/>
        <w:autoSpaceDN w:val="0"/>
        <w:adjustRightInd w:val="0"/>
        <w:spacing w:line="560" w:lineRule="exact"/>
        <w:ind w:firstLine="642" w:firstLineChars="200"/>
        <w:rPr>
          <w:rFonts w:ascii="仿宋_GB2312" w:eastAsia="仿宋_GB2312"/>
          <w:b/>
          <w:bCs/>
          <w:sz w:val="32"/>
          <w:szCs w:val="32"/>
        </w:rPr>
      </w:pPr>
      <w:r>
        <w:rPr>
          <w:rFonts w:ascii="仿宋_GB2312" w:eastAsia="仿宋_GB2312"/>
          <w:b/>
          <w:bCs/>
          <w:sz w:val="32"/>
          <w:szCs w:val="32"/>
        </w:rPr>
        <w:t>4.</w:t>
      </w:r>
      <w:r>
        <w:rPr>
          <w:rFonts w:hint="eastAsia" w:ascii="仿宋_GB2312" w:eastAsia="仿宋_GB2312"/>
          <w:b/>
          <w:bCs/>
          <w:sz w:val="32"/>
          <w:szCs w:val="32"/>
        </w:rPr>
        <w:t>积极跟进，认真梳理厘清应急管理工作职能职责，全面推动应急管理工作体系建设</w:t>
      </w:r>
    </w:p>
    <w:p>
      <w:pPr>
        <w:autoSpaceDE w:val="0"/>
        <w:autoSpaceDN w:val="0"/>
        <w:adjustRightIn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因机构改革，</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2</w:t>
      </w:r>
      <w:r>
        <w:rPr>
          <w:rFonts w:hint="eastAsia" w:ascii="仿宋_GB2312" w:eastAsia="仿宋_GB2312"/>
          <w:color w:val="000000"/>
          <w:sz w:val="32"/>
          <w:szCs w:val="32"/>
        </w:rPr>
        <w:t>月成立攀枝花市仁和区应急管理局，涉及职能职责调整较大，为确保机构改革期间应急管理工作不缺位、断档，我局重点开展了以下几方面工作：一是完善区应急救援预案体系，重点对全区综合性应急预案、部门、专项预案进行修订，通过对应急救援预案的修订，使应急救援预案更据有针对性、可操作性，达到快速响应目的。二是对全区部门、乡镇（街道）现有应急救援物资、装备和应急生活保障物资进行全面摸底清理，通过摸底清理，建立相应的应急调拨机制，一旦发生灾害，确保能在第一时间调拨投入使用。三是进一步完善应急联系机制，按照各自的职能职责，进一步明确城市、森林消防救援队伍、应急医疗救护队伍、水电气应急保障、通讯应急保障等单位部门在应急救援过程中的职能职责和联系对接方式，确保应急装备、物资、人员保障到位。四是加强应急值班值守工作，我局自</w:t>
      </w:r>
      <w:r>
        <w:rPr>
          <w:rFonts w:ascii="仿宋_GB2312" w:eastAsia="仿宋_GB2312"/>
          <w:color w:val="000000"/>
          <w:sz w:val="32"/>
          <w:szCs w:val="32"/>
        </w:rPr>
        <w:t>2019</w:t>
      </w:r>
      <w:r>
        <w:rPr>
          <w:rFonts w:hint="eastAsia" w:ascii="仿宋_GB2312" w:eastAsia="仿宋_GB2312"/>
          <w:color w:val="000000"/>
          <w:sz w:val="32"/>
          <w:szCs w:val="32"/>
        </w:rPr>
        <w:t>年起，施行了</w:t>
      </w:r>
      <w:r>
        <w:rPr>
          <w:rFonts w:ascii="仿宋_GB2312" w:eastAsia="仿宋_GB2312"/>
          <w:color w:val="000000"/>
          <w:sz w:val="32"/>
          <w:szCs w:val="32"/>
        </w:rPr>
        <w:t>24</w:t>
      </w:r>
      <w:r>
        <w:rPr>
          <w:rFonts w:hint="eastAsia" w:ascii="仿宋_GB2312" w:eastAsia="仿宋_GB2312"/>
          <w:color w:val="000000"/>
          <w:sz w:val="32"/>
          <w:szCs w:val="32"/>
        </w:rPr>
        <w:t>小时在岗应急值守制度，每天确保</w:t>
      </w:r>
      <w:r>
        <w:rPr>
          <w:rFonts w:ascii="仿宋_GB2312" w:eastAsia="仿宋_GB2312"/>
          <w:color w:val="000000"/>
          <w:sz w:val="32"/>
          <w:szCs w:val="32"/>
        </w:rPr>
        <w:t>1</w:t>
      </w:r>
      <w:r>
        <w:rPr>
          <w:rFonts w:hint="eastAsia" w:ascii="仿宋_GB2312" w:eastAsia="仿宋_GB2312"/>
          <w:color w:val="000000"/>
          <w:sz w:val="32"/>
          <w:szCs w:val="32"/>
        </w:rPr>
        <w:t>名带班领导和</w:t>
      </w:r>
      <w:r>
        <w:rPr>
          <w:rFonts w:ascii="仿宋_GB2312" w:eastAsia="仿宋_GB2312"/>
          <w:color w:val="000000"/>
          <w:sz w:val="32"/>
          <w:szCs w:val="32"/>
        </w:rPr>
        <w:t>2</w:t>
      </w:r>
      <w:r>
        <w:rPr>
          <w:rFonts w:hint="eastAsia" w:ascii="仿宋_GB2312" w:eastAsia="仿宋_GB2312"/>
          <w:color w:val="000000"/>
          <w:sz w:val="32"/>
          <w:szCs w:val="32"/>
        </w:rPr>
        <w:t>名工作人员在岗应急值守，开通了</w:t>
      </w:r>
      <w:r>
        <w:rPr>
          <w:rFonts w:ascii="仿宋_GB2312" w:eastAsia="仿宋_GB2312"/>
          <w:color w:val="000000"/>
          <w:sz w:val="32"/>
          <w:szCs w:val="32"/>
        </w:rPr>
        <w:t>24</w:t>
      </w:r>
      <w:r>
        <w:rPr>
          <w:rFonts w:hint="eastAsia" w:ascii="仿宋_GB2312" w:eastAsia="仿宋_GB2312"/>
          <w:color w:val="000000"/>
          <w:sz w:val="32"/>
          <w:szCs w:val="32"/>
        </w:rPr>
        <w:t>小时应急值班电话，确保随时随刻都能接收到突发紧急信息。五是完善应急信息报送机制，辖区范围内的生产安全事故、自然灾害等信息，统一由应急管理局对外报送，避免出现信息不对称、信息倒流等情况。</w:t>
      </w:r>
    </w:p>
    <w:p>
      <w:pPr>
        <w:spacing w:line="560" w:lineRule="exact"/>
        <w:rPr>
          <w:rFonts w:ascii="仿宋_GB2312" w:eastAsia="仿宋_GB2312"/>
          <w:b/>
          <w:bCs/>
          <w:sz w:val="32"/>
          <w:szCs w:val="32"/>
        </w:rPr>
      </w:pPr>
      <w:r>
        <w:rPr>
          <w:rFonts w:ascii="仿宋_GB2312" w:eastAsia="仿宋_GB2312"/>
          <w:bCs/>
          <w:sz w:val="32"/>
          <w:szCs w:val="32"/>
        </w:rPr>
        <w:t xml:space="preserve">    </w:t>
      </w:r>
      <w:r>
        <w:rPr>
          <w:rFonts w:ascii="仿宋_GB2312" w:eastAsia="仿宋_GB2312"/>
          <w:b/>
          <w:bCs/>
          <w:sz w:val="32"/>
          <w:szCs w:val="32"/>
        </w:rPr>
        <w:t>5.</w:t>
      </w:r>
      <w:r>
        <w:rPr>
          <w:rFonts w:hint="eastAsia" w:ascii="仿宋_GB2312" w:eastAsia="仿宋_GB2312"/>
          <w:b/>
          <w:bCs/>
          <w:sz w:val="32"/>
          <w:szCs w:val="32"/>
        </w:rPr>
        <w:t>坚定信念，加强教育学习，全力推动机关党建工作</w:t>
      </w:r>
    </w:p>
    <w:p>
      <w:pPr>
        <w:autoSpaceDE w:val="0"/>
        <w:autoSpaceDN w:val="0"/>
        <w:adjustRightInd w:val="0"/>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一是加强学习，筑牢思想之</w:t>
      </w:r>
      <w:r>
        <w:rPr>
          <w:rFonts w:ascii="仿宋_GB2312" w:eastAsia="仿宋_GB2312"/>
          <w:color w:val="000000"/>
          <w:sz w:val="32"/>
          <w:szCs w:val="32"/>
        </w:rPr>
        <w:t>“</w:t>
      </w:r>
      <w:r>
        <w:rPr>
          <w:rFonts w:hint="eastAsia" w:ascii="仿宋_GB2312" w:eastAsia="仿宋_GB2312"/>
          <w:color w:val="000000"/>
          <w:sz w:val="32"/>
          <w:szCs w:val="32"/>
        </w:rPr>
        <w:t>魂</w:t>
      </w:r>
      <w:r>
        <w:rPr>
          <w:rFonts w:ascii="仿宋_GB2312" w:eastAsia="仿宋_GB2312"/>
          <w:color w:val="000000"/>
          <w:sz w:val="32"/>
          <w:szCs w:val="32"/>
        </w:rPr>
        <w:t>”</w:t>
      </w:r>
      <w:r>
        <w:rPr>
          <w:rFonts w:hint="eastAsia" w:ascii="仿宋_GB2312" w:eastAsia="仿宋_GB2312"/>
          <w:color w:val="000000"/>
          <w:sz w:val="32"/>
          <w:szCs w:val="32"/>
        </w:rPr>
        <w:t>。我局在年初就制定了党建工作</w:t>
      </w:r>
      <w:r>
        <w:fldChar w:fldCharType="begin"/>
      </w:r>
      <w:r>
        <w:instrText xml:space="preserve"> HYPERLINK "http://yjbys.com/xuexi/jihua/" \t "_blank" </w:instrText>
      </w:r>
      <w:r>
        <w:fldChar w:fldCharType="separate"/>
      </w:r>
      <w:r>
        <w:rPr>
          <w:rFonts w:hint="eastAsia" w:ascii="仿宋_GB2312" w:eastAsia="仿宋_GB2312"/>
          <w:color w:val="000000"/>
          <w:sz w:val="32"/>
          <w:szCs w:val="32"/>
        </w:rPr>
        <w:t>学习计划</w:t>
      </w:r>
      <w:r>
        <w:rPr>
          <w:rFonts w:hint="eastAsia" w:ascii="仿宋_GB2312" w:eastAsia="仿宋_GB2312"/>
          <w:color w:val="000000"/>
          <w:sz w:val="32"/>
          <w:szCs w:val="32"/>
        </w:rPr>
        <w:fldChar w:fldCharType="end"/>
      </w:r>
      <w:r>
        <w:rPr>
          <w:rFonts w:hint="eastAsia" w:ascii="仿宋_GB2312" w:eastAsia="仿宋_GB2312"/>
          <w:color w:val="000000"/>
          <w:sz w:val="32"/>
          <w:szCs w:val="32"/>
        </w:rPr>
        <w:t>，采取党组会议集中学习、开展专题学习活动、个人自学等多种形式，深入学习党的基本理论、习近平新时代中国特色社会主义思想，重温《中国共产党章程》、《中国共产党纪律处分条例》、《</w:t>
      </w:r>
      <w:r>
        <w:rPr>
          <w:rFonts w:hint="eastAsia" w:ascii="仿宋_GB2312" w:eastAsia="仿宋_GB2312"/>
          <w:color w:val="000000"/>
          <w:sz w:val="32"/>
          <w:szCs w:val="32"/>
          <w:lang w:eastAsia="zh-CN"/>
        </w:rPr>
        <w:t>关于新形势下党内政治生活的若干准则</w:t>
      </w:r>
      <w:r>
        <w:rPr>
          <w:rFonts w:hint="eastAsia" w:ascii="仿宋_GB2312" w:eastAsia="仿宋_GB2312"/>
          <w:color w:val="000000"/>
          <w:sz w:val="32"/>
          <w:szCs w:val="32"/>
        </w:rPr>
        <w:t>》等制度性文件；同时，对党的路线、方针、政策和上级党组织的决议、决定、依法治国、依法行政、经济发展、社会管理等方面的知识也系统进行了学习，通过多种形式的学习教育，促进党员干部进一步坚定理想信念，补足精神之</w:t>
      </w:r>
      <w:r>
        <w:rPr>
          <w:rFonts w:ascii="仿宋_GB2312" w:eastAsia="仿宋_GB2312"/>
          <w:color w:val="000000"/>
          <w:sz w:val="32"/>
          <w:szCs w:val="32"/>
        </w:rPr>
        <w:t>“</w:t>
      </w:r>
      <w:r>
        <w:rPr>
          <w:rFonts w:hint="eastAsia" w:ascii="仿宋_GB2312" w:eastAsia="仿宋_GB2312"/>
          <w:color w:val="000000"/>
          <w:sz w:val="32"/>
          <w:szCs w:val="32"/>
        </w:rPr>
        <w:t>钙</w:t>
      </w:r>
      <w:r>
        <w:rPr>
          <w:rFonts w:ascii="仿宋_GB2312" w:eastAsia="仿宋_GB2312"/>
          <w:color w:val="000000"/>
          <w:sz w:val="32"/>
          <w:szCs w:val="32"/>
        </w:rPr>
        <w:t>”</w:t>
      </w:r>
      <w:r>
        <w:rPr>
          <w:rFonts w:hint="eastAsia" w:ascii="仿宋_GB2312" w:eastAsia="仿宋_GB2312"/>
          <w:color w:val="000000"/>
          <w:sz w:val="32"/>
          <w:szCs w:val="32"/>
        </w:rPr>
        <w:t>，筑牢思想之</w:t>
      </w:r>
      <w:r>
        <w:rPr>
          <w:rFonts w:ascii="仿宋_GB2312" w:eastAsia="仿宋_GB2312"/>
          <w:color w:val="000000"/>
          <w:sz w:val="32"/>
          <w:szCs w:val="32"/>
        </w:rPr>
        <w:t>“</w:t>
      </w:r>
      <w:r>
        <w:rPr>
          <w:rFonts w:hint="eastAsia" w:ascii="仿宋_GB2312" w:eastAsia="仿宋_GB2312"/>
          <w:color w:val="000000"/>
          <w:sz w:val="32"/>
          <w:szCs w:val="32"/>
        </w:rPr>
        <w:t>魂</w:t>
      </w:r>
      <w:r>
        <w:rPr>
          <w:rFonts w:ascii="仿宋_GB2312" w:eastAsia="仿宋_GB2312"/>
          <w:color w:val="000000"/>
          <w:sz w:val="32"/>
          <w:szCs w:val="32"/>
        </w:rPr>
        <w:t>”</w:t>
      </w:r>
      <w:r>
        <w:rPr>
          <w:rFonts w:hint="eastAsia" w:ascii="仿宋_GB2312" w:eastAsia="仿宋_GB2312"/>
          <w:color w:val="000000"/>
          <w:sz w:val="32"/>
          <w:szCs w:val="32"/>
        </w:rPr>
        <w:t>，进一步增强了基层党组的战斗堡垒作用。二是严格落实党建工作责任。局党组书记、局长作为机关党建工作第一责任人，亲自抓机关党建工作，定期召开机关党建会议，局党组每季度至少研究</w:t>
      </w:r>
      <w:r>
        <w:rPr>
          <w:rFonts w:ascii="仿宋_GB2312" w:eastAsia="仿宋_GB2312"/>
          <w:color w:val="000000"/>
          <w:sz w:val="32"/>
          <w:szCs w:val="32"/>
        </w:rPr>
        <w:t xml:space="preserve"> 1 </w:t>
      </w:r>
      <w:r>
        <w:rPr>
          <w:rFonts w:hint="eastAsia" w:ascii="仿宋_GB2312" w:eastAsia="仿宋_GB2312"/>
          <w:color w:val="000000"/>
          <w:sz w:val="32"/>
          <w:szCs w:val="32"/>
        </w:rPr>
        <w:t>次党建工作，研究部署机关党建工作，分析领导班子、干部职工作风状况，加强综合研判党员领导干部思想、工作和作风建设实际情况，每年至少为党员干部讲</w:t>
      </w:r>
      <w:r>
        <w:rPr>
          <w:rFonts w:ascii="仿宋_GB2312" w:eastAsia="仿宋_GB2312"/>
          <w:color w:val="000000"/>
          <w:sz w:val="32"/>
          <w:szCs w:val="32"/>
        </w:rPr>
        <w:t xml:space="preserve"> 1 </w:t>
      </w:r>
      <w:r>
        <w:rPr>
          <w:rFonts w:hint="eastAsia" w:ascii="仿宋_GB2312" w:eastAsia="仿宋_GB2312"/>
          <w:color w:val="000000"/>
          <w:sz w:val="32"/>
          <w:szCs w:val="32"/>
        </w:rPr>
        <w:t>次党课，形成了党组负总责、党组书记亲自抓、党总支书记抓落实的良好领导体制和责任机制。三是落实党建</w:t>
      </w:r>
      <w:r>
        <w:rPr>
          <w:rFonts w:ascii="仿宋_GB2312" w:eastAsia="仿宋_GB2312"/>
          <w:color w:val="000000"/>
          <w:sz w:val="32"/>
          <w:szCs w:val="32"/>
        </w:rPr>
        <w:t>“</w:t>
      </w:r>
      <w:r>
        <w:rPr>
          <w:rFonts w:hint="eastAsia" w:ascii="仿宋_GB2312" w:eastAsia="仿宋_GB2312"/>
          <w:color w:val="000000"/>
          <w:sz w:val="32"/>
          <w:szCs w:val="32"/>
        </w:rPr>
        <w:t>一岗双责</w:t>
      </w:r>
      <w:r>
        <w:rPr>
          <w:rFonts w:ascii="仿宋_GB2312" w:eastAsia="仿宋_GB2312"/>
          <w:color w:val="000000"/>
          <w:sz w:val="32"/>
          <w:szCs w:val="32"/>
        </w:rPr>
        <w:t>”</w:t>
      </w:r>
      <w:r>
        <w:rPr>
          <w:rFonts w:hint="eastAsia" w:ascii="仿宋_GB2312" w:eastAsia="仿宋_GB2312"/>
          <w:color w:val="000000"/>
          <w:sz w:val="32"/>
          <w:szCs w:val="32"/>
        </w:rPr>
        <w:t>。分管领导以身作则，认真履行管党建党职责，将党建工作和业务工作一同谋划、一同部署、一同考核，切实改进工作作风，始终把安全监管工作和应急管理工作作为抓好党建工作的具体抓手，全面推进安全生产专项整治、安全隐患排查治理和应急管理机制体系建设。四是开展廉政警示教育。向模范学习、向先进学习，学习王涛、廖弦、张贵平等优秀共产党员先进事迹；召开廉政警示教育会，观看原区旅游局原副局长赵挚违纪案、《忏悔实录》、《彝寨清风》、《村蝇》和《蒙尘的初心》等警示教育片，进一步敲响了警醒之钟。</w:t>
      </w:r>
    </w:p>
    <w:p>
      <w:pPr>
        <w:pStyle w:val="3"/>
        <w:spacing w:before="0" w:after="0" w:line="560" w:lineRule="exact"/>
        <w:rPr>
          <w:rStyle w:val="17"/>
          <w:rFonts w:ascii="黑体" w:hAnsi="黑体" w:eastAsia="黑体"/>
          <w:b w:val="0"/>
          <w:bCs w:val="0"/>
        </w:rPr>
      </w:pPr>
      <w:r>
        <w:rPr>
          <w:rFonts w:hint="eastAsia" w:ascii="黑体" w:eastAsia="黑体"/>
          <w:b w:val="0"/>
          <w:color w:val="000000"/>
        </w:rPr>
        <w:t>二、</w:t>
      </w:r>
      <w:r>
        <w:rPr>
          <w:rFonts w:hint="eastAsia" w:ascii="黑体" w:hAnsi="黑体" w:eastAsia="黑体"/>
          <w:b w:val="0"/>
          <w:color w:val="000000"/>
        </w:rPr>
        <w:t>机</w:t>
      </w:r>
      <w:r>
        <w:rPr>
          <w:rStyle w:val="17"/>
          <w:rFonts w:hint="eastAsia" w:ascii="黑体" w:hAnsi="黑体" w:eastAsia="黑体"/>
          <w:b w:val="0"/>
          <w:bCs w:val="0"/>
        </w:rPr>
        <w:t>构设置</w:t>
      </w:r>
      <w:bookmarkEnd w:id="18"/>
      <w:bookmarkEnd w:id="19"/>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根据《中共攀枝花市仁和区委办公室攀枝花市仁和区人民政府办公室关于印发〈攀枝花市仁和区应急管理局职能配置、内设机构和人员编制规定〉的通知》（攀仁委办﹝</w:t>
      </w:r>
      <w:r>
        <w:rPr>
          <w:rFonts w:ascii="仿宋_GB2312" w:eastAsia="仿宋_GB2312"/>
          <w:color w:val="000000"/>
          <w:sz w:val="32"/>
          <w:szCs w:val="32"/>
        </w:rPr>
        <w:t>2019</w:t>
      </w:r>
      <w:r>
        <w:rPr>
          <w:rFonts w:hint="eastAsia" w:ascii="仿宋_GB2312" w:eastAsia="仿宋_GB2312"/>
          <w:color w:val="000000"/>
          <w:sz w:val="32"/>
          <w:szCs w:val="32"/>
        </w:rPr>
        <w:t>﹞</w:t>
      </w:r>
      <w:r>
        <w:rPr>
          <w:rFonts w:ascii="仿宋_GB2312" w:eastAsia="仿宋_GB2312"/>
          <w:color w:val="000000"/>
          <w:sz w:val="32"/>
          <w:szCs w:val="32"/>
        </w:rPr>
        <w:t>25</w:t>
      </w:r>
      <w:r>
        <w:rPr>
          <w:rFonts w:hint="eastAsia" w:ascii="仿宋_GB2312" w:eastAsia="仿宋_GB2312"/>
          <w:color w:val="000000"/>
          <w:sz w:val="32"/>
          <w:szCs w:val="32"/>
        </w:rPr>
        <w:t>号），我局共设应急指挥中心、政策法规股、综合协调股、矿山监管股、救援管理股五个股室。</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攀枝花市仁和区应急管理局下属二级单位</w:t>
      </w:r>
      <w:r>
        <w:rPr>
          <w:rFonts w:ascii="仿宋_GB2312" w:eastAsia="仿宋_GB2312"/>
          <w:color w:val="000000"/>
          <w:sz w:val="32"/>
          <w:szCs w:val="32"/>
        </w:rPr>
        <w:t>3</w:t>
      </w:r>
      <w:r>
        <w:rPr>
          <w:rFonts w:hint="eastAsia" w:ascii="仿宋_GB2312" w:eastAsia="仿宋_GB2312"/>
          <w:color w:val="000000"/>
          <w:sz w:val="32"/>
          <w:szCs w:val="32"/>
        </w:rPr>
        <w:t>个，其中行政单位</w:t>
      </w:r>
      <w:r>
        <w:rPr>
          <w:rFonts w:ascii="仿宋_GB2312" w:eastAsia="仿宋_GB2312"/>
          <w:color w:val="000000"/>
          <w:sz w:val="32"/>
          <w:szCs w:val="32"/>
        </w:rPr>
        <w:t>0</w:t>
      </w:r>
      <w:r>
        <w:rPr>
          <w:rFonts w:hint="eastAsia" w:ascii="仿宋_GB2312" w:eastAsia="仿宋_GB2312"/>
          <w:color w:val="000000"/>
          <w:sz w:val="32"/>
          <w:szCs w:val="32"/>
        </w:rPr>
        <w:t>个，参照公务员法管理的事业单位</w:t>
      </w:r>
      <w:r>
        <w:rPr>
          <w:rFonts w:ascii="仿宋_GB2312" w:eastAsia="仿宋_GB2312"/>
          <w:color w:val="000000"/>
          <w:sz w:val="32"/>
          <w:szCs w:val="32"/>
        </w:rPr>
        <w:t>3</w:t>
      </w:r>
      <w:r>
        <w:rPr>
          <w:rFonts w:hint="eastAsia" w:ascii="仿宋_GB2312" w:eastAsia="仿宋_GB2312"/>
          <w:color w:val="000000"/>
          <w:sz w:val="32"/>
          <w:szCs w:val="32"/>
        </w:rPr>
        <w:t>个，其他事业单位</w:t>
      </w:r>
      <w:r>
        <w:rPr>
          <w:rFonts w:ascii="仿宋_GB2312" w:eastAsia="仿宋_GB2312"/>
          <w:color w:val="000000"/>
          <w:sz w:val="32"/>
          <w:szCs w:val="32"/>
        </w:rPr>
        <w:t>0</w:t>
      </w:r>
      <w:r>
        <w:rPr>
          <w:rFonts w:hint="eastAsia" w:ascii="仿宋_GB2312" w:eastAsia="仿宋_GB2312"/>
          <w:color w:val="000000"/>
          <w:sz w:val="32"/>
          <w:szCs w:val="32"/>
        </w:rPr>
        <w:t>个。</w:t>
      </w:r>
      <w:bookmarkStart w:id="20" w:name="_Toc15396602"/>
      <w:bookmarkStart w:id="21" w:name="_Toc15377204"/>
    </w:p>
    <w:p>
      <w:pPr>
        <w:spacing w:line="560" w:lineRule="exact"/>
        <w:ind w:firstLine="1100" w:firstLineChars="250"/>
        <w:jc w:val="center"/>
        <w:rPr>
          <w:rStyle w:val="16"/>
          <w:rFonts w:ascii="方正小标宋简体" w:hAnsi="黑体" w:eastAsia="方正小标宋简体"/>
          <w:b w:val="0"/>
        </w:rPr>
      </w:pPr>
      <w:r>
        <w:rPr>
          <w:rStyle w:val="16"/>
          <w:rFonts w:hint="eastAsia" w:ascii="方正小标宋简体" w:hAnsi="黑体" w:eastAsia="方正小标宋简体"/>
          <w:b w:val="0"/>
        </w:rPr>
        <w:t>第二部分</w:t>
      </w:r>
    </w:p>
    <w:p>
      <w:pPr>
        <w:spacing w:line="560" w:lineRule="exact"/>
        <w:ind w:firstLine="1100" w:firstLineChars="250"/>
        <w:jc w:val="center"/>
        <w:rPr>
          <w:rStyle w:val="16"/>
          <w:rFonts w:ascii="方正小标宋简体" w:hAnsi="黑体" w:eastAsia="方正小标宋简体"/>
          <w:b w:val="0"/>
        </w:rPr>
      </w:pPr>
      <w:r>
        <w:rPr>
          <w:rStyle w:val="16"/>
          <w:rFonts w:ascii="方正小标宋简体" w:hAnsi="黑体" w:eastAsia="方正小标宋简体"/>
          <w:b w:val="0"/>
        </w:rPr>
        <w:t>2019</w:t>
      </w:r>
      <w:r>
        <w:rPr>
          <w:rStyle w:val="16"/>
          <w:rFonts w:hint="eastAsia" w:ascii="方正小标宋简体" w:hAnsi="黑体" w:eastAsia="方正小标宋简体"/>
          <w:b w:val="0"/>
        </w:rPr>
        <w:t>年度部门决算情况说明</w:t>
      </w:r>
      <w:bookmarkEnd w:id="20"/>
      <w:bookmarkEnd w:id="21"/>
    </w:p>
    <w:p>
      <w:pPr>
        <w:spacing w:line="560" w:lineRule="exact"/>
      </w:pPr>
    </w:p>
    <w:p>
      <w:pPr>
        <w:pStyle w:val="27"/>
        <w:numPr>
          <w:ilvl w:val="0"/>
          <w:numId w:val="1"/>
        </w:numPr>
        <w:spacing w:line="560" w:lineRule="exact"/>
        <w:ind w:firstLineChars="0"/>
        <w:outlineLvl w:val="1"/>
        <w:rPr>
          <w:rStyle w:val="17"/>
          <w:rFonts w:ascii="黑体" w:hAnsi="黑体" w:eastAsia="黑体"/>
          <w:b w:val="0"/>
        </w:rPr>
      </w:pPr>
      <w:bookmarkStart w:id="22" w:name="_Toc15377205"/>
      <w:bookmarkStart w:id="23" w:name="_Toc15396603"/>
      <w:r>
        <w:rPr>
          <w:rFonts w:hint="eastAsia" w:ascii="黑体" w:hAnsi="黑体" w:eastAsia="黑体"/>
          <w:color w:val="000000"/>
          <w:sz w:val="32"/>
          <w:szCs w:val="32"/>
        </w:rPr>
        <w:t>收</w:t>
      </w:r>
      <w:r>
        <w:rPr>
          <w:rStyle w:val="17"/>
          <w:rFonts w:hint="eastAsia" w:ascii="黑体" w:hAnsi="黑体" w:eastAsia="黑体"/>
          <w:b w:val="0"/>
        </w:rPr>
        <w:t>入支出决算总体情况说明</w:t>
      </w:r>
      <w:bookmarkEnd w:id="22"/>
      <w:bookmarkEnd w:id="23"/>
    </w:p>
    <w:p>
      <w:pPr>
        <w:spacing w:line="560" w:lineRule="exact"/>
        <w:ind w:firstLine="800" w:firstLineChars="25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年度收、支总计</w:t>
      </w:r>
      <w:r>
        <w:rPr>
          <w:rFonts w:ascii="仿宋_GB2312" w:eastAsia="仿宋_GB2312"/>
          <w:color w:val="000000"/>
          <w:sz w:val="32"/>
          <w:szCs w:val="32"/>
        </w:rPr>
        <w:t>509.56</w:t>
      </w:r>
      <w:r>
        <w:rPr>
          <w:rFonts w:hint="eastAsia" w:ascii="仿宋_GB2312" w:eastAsia="仿宋_GB2312"/>
          <w:color w:val="000000"/>
          <w:sz w:val="32"/>
          <w:szCs w:val="32"/>
        </w:rPr>
        <w:t>万元。与</w:t>
      </w:r>
      <w:r>
        <w:rPr>
          <w:rFonts w:ascii="仿宋_GB2312" w:eastAsia="仿宋_GB2312"/>
          <w:color w:val="000000"/>
          <w:sz w:val="32"/>
          <w:szCs w:val="32"/>
        </w:rPr>
        <w:t>2018</w:t>
      </w:r>
      <w:r>
        <w:rPr>
          <w:rFonts w:hint="eastAsia" w:ascii="仿宋_GB2312" w:eastAsia="仿宋_GB2312"/>
          <w:color w:val="000000"/>
          <w:sz w:val="32"/>
          <w:szCs w:val="32"/>
        </w:rPr>
        <w:t>年各增加</w:t>
      </w:r>
      <w:r>
        <w:rPr>
          <w:rFonts w:ascii="仿宋_GB2312" w:eastAsia="仿宋_GB2312"/>
          <w:color w:val="000000"/>
          <w:sz w:val="32"/>
          <w:szCs w:val="32"/>
        </w:rPr>
        <w:t>172.04</w:t>
      </w:r>
      <w:r>
        <w:rPr>
          <w:rFonts w:hint="eastAsia" w:ascii="仿宋_GB2312" w:eastAsia="仿宋_GB2312"/>
          <w:color w:val="000000"/>
          <w:sz w:val="32"/>
          <w:szCs w:val="32"/>
        </w:rPr>
        <w:t>万元，增长</w:t>
      </w:r>
      <w:r>
        <w:rPr>
          <w:rFonts w:ascii="仿宋_GB2312" w:eastAsia="仿宋_GB2312"/>
          <w:color w:val="000000"/>
          <w:sz w:val="32"/>
          <w:szCs w:val="32"/>
        </w:rPr>
        <w:t>50.97%</w:t>
      </w:r>
      <w:r>
        <w:rPr>
          <w:rFonts w:hint="eastAsia" w:ascii="仿宋_GB2312" w:eastAsia="仿宋_GB2312"/>
          <w:color w:val="000000"/>
          <w:sz w:val="32"/>
          <w:szCs w:val="32"/>
        </w:rPr>
        <w:t>。主要变动原因是机构改革人员增加。</w:t>
      </w:r>
    </w:p>
    <w:p>
      <w:pPr>
        <w:pStyle w:val="27"/>
        <w:numPr>
          <w:ilvl w:val="0"/>
          <w:numId w:val="1"/>
        </w:numPr>
        <w:spacing w:line="560" w:lineRule="exact"/>
        <w:ind w:firstLineChars="0"/>
        <w:outlineLvl w:val="1"/>
        <w:rPr>
          <w:rStyle w:val="17"/>
          <w:rFonts w:ascii="黑体" w:hAnsi="黑体" w:eastAsia="黑体"/>
          <w:b w:val="0"/>
        </w:rPr>
      </w:pPr>
      <w:bookmarkStart w:id="24" w:name="_Toc15396604"/>
      <w:bookmarkStart w:id="25" w:name="_Toc15377206"/>
      <w:r>
        <w:rPr>
          <w:rFonts w:hint="eastAsia" w:ascii="黑体" w:hAnsi="黑体" w:eastAsia="黑体"/>
          <w:color w:val="000000"/>
          <w:sz w:val="32"/>
          <w:szCs w:val="32"/>
        </w:rPr>
        <w:t>收</w:t>
      </w:r>
      <w:r>
        <w:rPr>
          <w:rStyle w:val="17"/>
          <w:rFonts w:hint="eastAsia" w:ascii="黑体" w:hAnsi="黑体" w:eastAsia="黑体"/>
          <w:b w:val="0"/>
        </w:rPr>
        <w:t>入决算情况说明</w:t>
      </w:r>
      <w:bookmarkEnd w:id="24"/>
      <w:bookmarkEnd w:id="25"/>
    </w:p>
    <w:p>
      <w:pPr>
        <w:spacing w:line="560" w:lineRule="exact"/>
        <w:ind w:firstLine="640" w:firstLineChars="200"/>
        <w:outlineLvl w:val="1"/>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年本年收入合计</w:t>
      </w:r>
      <w:r>
        <w:rPr>
          <w:rFonts w:ascii="仿宋_GB2312" w:eastAsia="仿宋_GB2312"/>
          <w:color w:val="000000"/>
          <w:sz w:val="32"/>
          <w:szCs w:val="32"/>
        </w:rPr>
        <w:t>507.86</w:t>
      </w:r>
      <w:r>
        <w:rPr>
          <w:rFonts w:hint="eastAsia" w:ascii="仿宋_GB2312" w:eastAsia="仿宋_GB2312"/>
          <w:color w:val="000000"/>
          <w:sz w:val="32"/>
          <w:szCs w:val="32"/>
        </w:rPr>
        <w:t>万元，其中：一般公共预算财政拨款收入</w:t>
      </w:r>
      <w:r>
        <w:rPr>
          <w:rFonts w:ascii="仿宋_GB2312" w:eastAsia="仿宋_GB2312"/>
          <w:color w:val="000000"/>
          <w:sz w:val="32"/>
          <w:szCs w:val="32"/>
        </w:rPr>
        <w:t>507.79</w:t>
      </w:r>
      <w:r>
        <w:rPr>
          <w:rFonts w:hint="eastAsia" w:ascii="仿宋_GB2312" w:eastAsia="仿宋_GB2312"/>
          <w:color w:val="000000"/>
          <w:sz w:val="32"/>
          <w:szCs w:val="32"/>
        </w:rPr>
        <w:t>万元，占</w:t>
      </w:r>
      <w:r>
        <w:rPr>
          <w:rFonts w:ascii="仿宋_GB2312" w:eastAsia="仿宋_GB2312"/>
          <w:color w:val="000000"/>
          <w:sz w:val="32"/>
          <w:szCs w:val="32"/>
        </w:rPr>
        <w:t>99.99%</w:t>
      </w:r>
      <w:r>
        <w:rPr>
          <w:rFonts w:hint="eastAsia" w:ascii="仿宋_GB2312" w:eastAsia="仿宋_GB2312"/>
          <w:color w:val="000000"/>
          <w:sz w:val="32"/>
          <w:szCs w:val="32"/>
        </w:rPr>
        <w:t>；其他收入</w:t>
      </w:r>
      <w:r>
        <w:rPr>
          <w:rFonts w:ascii="仿宋_GB2312" w:eastAsia="仿宋_GB2312"/>
          <w:color w:val="000000"/>
          <w:sz w:val="32"/>
          <w:szCs w:val="32"/>
        </w:rPr>
        <w:t>0.06</w:t>
      </w:r>
      <w:r>
        <w:rPr>
          <w:rFonts w:hint="eastAsia" w:ascii="仿宋_GB2312" w:eastAsia="仿宋_GB2312"/>
          <w:color w:val="000000"/>
          <w:sz w:val="32"/>
          <w:szCs w:val="32"/>
        </w:rPr>
        <w:t>万元，占</w:t>
      </w:r>
      <w:r>
        <w:rPr>
          <w:rFonts w:ascii="仿宋_GB2312" w:eastAsia="仿宋_GB2312"/>
          <w:color w:val="000000"/>
          <w:sz w:val="32"/>
          <w:szCs w:val="32"/>
        </w:rPr>
        <w:t>0.01%</w:t>
      </w:r>
      <w:r>
        <w:rPr>
          <w:rFonts w:hint="eastAsia" w:ascii="仿宋_GB2312" w:eastAsia="仿宋_GB2312"/>
          <w:color w:val="000000"/>
          <w:sz w:val="32"/>
          <w:szCs w:val="32"/>
        </w:rPr>
        <w:t>。</w:t>
      </w:r>
      <w:bookmarkStart w:id="26" w:name="_Toc15396605"/>
      <w:bookmarkStart w:id="27" w:name="_Toc15377207"/>
    </w:p>
    <w:p>
      <w:pPr>
        <w:spacing w:line="560" w:lineRule="exact"/>
        <w:ind w:firstLine="640" w:firstLineChars="200"/>
        <w:outlineLvl w:val="1"/>
        <w:rPr>
          <w:rStyle w:val="17"/>
          <w:rFonts w:ascii="黑体" w:hAnsi="黑体" w:eastAsia="黑体"/>
          <w:b w:val="0"/>
        </w:rPr>
      </w:pPr>
      <w:r>
        <w:rPr>
          <w:rFonts w:hint="eastAsia" w:ascii="黑体" w:hAnsi="黑体" w:eastAsia="黑体"/>
          <w:color w:val="000000"/>
          <w:sz w:val="32"/>
          <w:szCs w:val="32"/>
        </w:rPr>
        <w:t>三、支</w:t>
      </w:r>
      <w:r>
        <w:rPr>
          <w:rStyle w:val="17"/>
          <w:rFonts w:hint="eastAsia" w:ascii="黑体" w:hAnsi="黑体" w:eastAsia="黑体"/>
          <w:b w:val="0"/>
        </w:rPr>
        <w:t>出决算情况说明</w:t>
      </w:r>
      <w:bookmarkEnd w:id="26"/>
      <w:bookmarkEnd w:id="27"/>
    </w:p>
    <w:p>
      <w:pPr>
        <w:spacing w:line="560" w:lineRule="exact"/>
        <w:ind w:firstLine="640" w:firstLineChars="200"/>
        <w:outlineLvl w:val="1"/>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年本年支出合计</w:t>
      </w:r>
      <w:r>
        <w:rPr>
          <w:rFonts w:ascii="仿宋_GB2312" w:eastAsia="仿宋_GB2312"/>
          <w:color w:val="000000"/>
          <w:sz w:val="32"/>
          <w:szCs w:val="32"/>
        </w:rPr>
        <w:t>457.73</w:t>
      </w:r>
      <w:r>
        <w:rPr>
          <w:rFonts w:hint="eastAsia" w:ascii="仿宋_GB2312" w:eastAsia="仿宋_GB2312"/>
          <w:color w:val="000000"/>
          <w:sz w:val="32"/>
          <w:szCs w:val="32"/>
        </w:rPr>
        <w:t>万元，其中：基本支出</w:t>
      </w:r>
      <w:r>
        <w:rPr>
          <w:rFonts w:ascii="仿宋_GB2312" w:eastAsia="仿宋_GB2312"/>
          <w:color w:val="000000"/>
          <w:sz w:val="32"/>
          <w:szCs w:val="32"/>
        </w:rPr>
        <w:t>314.48</w:t>
      </w:r>
      <w:r>
        <w:rPr>
          <w:rFonts w:hint="eastAsia" w:ascii="仿宋_GB2312" w:eastAsia="仿宋_GB2312"/>
          <w:color w:val="000000"/>
          <w:sz w:val="32"/>
          <w:szCs w:val="32"/>
        </w:rPr>
        <w:t>万元，占</w:t>
      </w:r>
      <w:r>
        <w:rPr>
          <w:rFonts w:ascii="仿宋_GB2312" w:eastAsia="仿宋_GB2312"/>
          <w:color w:val="000000"/>
          <w:sz w:val="32"/>
          <w:szCs w:val="32"/>
        </w:rPr>
        <w:t>68.7%</w:t>
      </w:r>
      <w:r>
        <w:rPr>
          <w:rFonts w:hint="eastAsia" w:ascii="仿宋_GB2312" w:eastAsia="仿宋_GB2312"/>
          <w:color w:val="000000"/>
          <w:sz w:val="32"/>
          <w:szCs w:val="32"/>
        </w:rPr>
        <w:t>；项目支出</w:t>
      </w:r>
      <w:r>
        <w:rPr>
          <w:rFonts w:ascii="仿宋_GB2312" w:eastAsia="仿宋_GB2312"/>
          <w:color w:val="000000"/>
          <w:sz w:val="32"/>
          <w:szCs w:val="32"/>
        </w:rPr>
        <w:t>143.25</w:t>
      </w:r>
      <w:r>
        <w:rPr>
          <w:rFonts w:hint="eastAsia" w:ascii="仿宋_GB2312" w:eastAsia="仿宋_GB2312"/>
          <w:color w:val="000000"/>
          <w:sz w:val="32"/>
          <w:szCs w:val="32"/>
        </w:rPr>
        <w:t>万元，占</w:t>
      </w:r>
      <w:r>
        <w:rPr>
          <w:rFonts w:ascii="仿宋_GB2312" w:eastAsia="仿宋_GB2312"/>
          <w:color w:val="000000"/>
          <w:sz w:val="32"/>
          <w:szCs w:val="32"/>
        </w:rPr>
        <w:t>31.30%</w:t>
      </w:r>
      <w:r>
        <w:rPr>
          <w:rFonts w:hint="eastAsia" w:ascii="仿宋_GB2312" w:eastAsia="仿宋_GB2312"/>
          <w:color w:val="000000"/>
          <w:sz w:val="32"/>
          <w:szCs w:val="32"/>
        </w:rPr>
        <w:t>。</w:t>
      </w:r>
    </w:p>
    <w:p>
      <w:pPr>
        <w:spacing w:line="560" w:lineRule="exact"/>
        <w:ind w:firstLine="480" w:firstLineChars="150"/>
        <w:outlineLvl w:val="1"/>
        <w:rPr>
          <w:rStyle w:val="17"/>
          <w:rFonts w:ascii="黑体" w:hAnsi="黑体" w:eastAsia="黑体"/>
          <w:b w:val="0"/>
        </w:rPr>
      </w:pPr>
      <w:bookmarkStart w:id="28" w:name="_Toc15396606"/>
      <w:bookmarkStart w:id="29" w:name="_Toc15377208"/>
      <w:r>
        <w:rPr>
          <w:rFonts w:hint="eastAsia" w:ascii="黑体" w:hAnsi="黑体" w:eastAsia="黑体"/>
          <w:color w:val="000000"/>
          <w:sz w:val="32"/>
          <w:szCs w:val="32"/>
        </w:rPr>
        <w:t>四、财</w:t>
      </w:r>
      <w:r>
        <w:rPr>
          <w:rStyle w:val="17"/>
          <w:rFonts w:hint="eastAsia" w:ascii="黑体" w:hAnsi="黑体" w:eastAsia="黑体"/>
          <w:b w:val="0"/>
        </w:rPr>
        <w:t>政拨款收入支出决算总体情况说明</w:t>
      </w:r>
      <w:bookmarkEnd w:id="28"/>
      <w:bookmarkEnd w:id="29"/>
    </w:p>
    <w:p>
      <w:pPr>
        <w:spacing w:line="560" w:lineRule="exact"/>
        <w:ind w:firstLine="64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年财政拨款收、支总计</w:t>
      </w:r>
      <w:r>
        <w:rPr>
          <w:rFonts w:ascii="仿宋_GB2312" w:eastAsia="仿宋_GB2312"/>
          <w:color w:val="000000"/>
          <w:sz w:val="32"/>
          <w:szCs w:val="32"/>
        </w:rPr>
        <w:t>507.79</w:t>
      </w:r>
      <w:r>
        <w:rPr>
          <w:rFonts w:hint="eastAsia" w:ascii="仿宋_GB2312" w:eastAsia="仿宋_GB2312"/>
          <w:color w:val="000000"/>
          <w:sz w:val="32"/>
          <w:szCs w:val="32"/>
        </w:rPr>
        <w:t>万元。与</w:t>
      </w:r>
      <w:r>
        <w:rPr>
          <w:rFonts w:ascii="仿宋_GB2312" w:eastAsia="仿宋_GB2312"/>
          <w:color w:val="000000"/>
          <w:sz w:val="32"/>
          <w:szCs w:val="32"/>
        </w:rPr>
        <w:t>2018</w:t>
      </w:r>
      <w:r>
        <w:rPr>
          <w:rFonts w:hint="eastAsia" w:ascii="仿宋_GB2312" w:eastAsia="仿宋_GB2312"/>
          <w:color w:val="000000"/>
          <w:sz w:val="32"/>
          <w:szCs w:val="32"/>
        </w:rPr>
        <w:t>年相比，财政拨款收、支总计各增加</w:t>
      </w:r>
      <w:r>
        <w:rPr>
          <w:rFonts w:ascii="仿宋_GB2312" w:eastAsia="仿宋_GB2312"/>
          <w:color w:val="000000"/>
          <w:sz w:val="32"/>
          <w:szCs w:val="32"/>
        </w:rPr>
        <w:t>175.95</w:t>
      </w:r>
      <w:r>
        <w:rPr>
          <w:rFonts w:hint="eastAsia" w:ascii="仿宋_GB2312" w:eastAsia="仿宋_GB2312"/>
          <w:color w:val="000000"/>
          <w:sz w:val="32"/>
          <w:szCs w:val="32"/>
        </w:rPr>
        <w:t>万元，增长</w:t>
      </w:r>
      <w:r>
        <w:rPr>
          <w:rFonts w:ascii="仿宋_GB2312" w:eastAsia="仿宋_GB2312"/>
          <w:color w:val="000000"/>
          <w:sz w:val="32"/>
          <w:szCs w:val="32"/>
        </w:rPr>
        <w:t>52.74%</w:t>
      </w:r>
      <w:r>
        <w:rPr>
          <w:rFonts w:hint="eastAsia" w:ascii="仿宋_GB2312" w:eastAsia="仿宋_GB2312"/>
          <w:color w:val="000000"/>
          <w:sz w:val="32"/>
          <w:szCs w:val="32"/>
        </w:rPr>
        <w:t>。主要变动原因是主要变动原因是机构改革人员增加。</w:t>
      </w:r>
    </w:p>
    <w:p>
      <w:pPr>
        <w:spacing w:line="560" w:lineRule="exact"/>
        <w:ind w:firstLine="320" w:firstLineChars="100"/>
        <w:outlineLvl w:val="1"/>
        <w:rPr>
          <w:rStyle w:val="17"/>
          <w:rFonts w:ascii="黑体" w:hAnsi="黑体" w:eastAsia="黑体"/>
          <w:b w:val="0"/>
        </w:rPr>
      </w:pPr>
      <w:bookmarkStart w:id="30" w:name="_Toc15396607"/>
      <w:bookmarkStart w:id="31"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7"/>
          <w:rFonts w:hint="eastAsia" w:ascii="黑体" w:hAnsi="黑体" w:eastAsia="黑体"/>
          <w:b w:val="0"/>
        </w:rPr>
        <w:t>般公共预算财政拨款支出决算情况说明</w:t>
      </w:r>
      <w:bookmarkEnd w:id="30"/>
      <w:bookmarkEnd w:id="31"/>
    </w:p>
    <w:p>
      <w:pPr>
        <w:spacing w:line="560" w:lineRule="exact"/>
        <w:ind w:firstLine="642" w:firstLineChars="200"/>
        <w:outlineLvl w:val="2"/>
        <w:rPr>
          <w:rFonts w:ascii="仿宋" w:hAnsi="仿宋" w:eastAsia="仿宋"/>
          <w:b/>
          <w:color w:val="000000"/>
          <w:sz w:val="32"/>
          <w:szCs w:val="32"/>
        </w:rPr>
      </w:pPr>
      <w:bookmarkStart w:id="32" w:name="_Toc15377210"/>
      <w:r>
        <w:rPr>
          <w:rFonts w:hint="eastAsia" w:ascii="仿宋" w:hAnsi="仿宋" w:eastAsia="仿宋"/>
          <w:b/>
          <w:color w:val="000000"/>
          <w:sz w:val="32"/>
          <w:szCs w:val="32"/>
        </w:rPr>
        <w:t>（一）一般公共预算财政拨款支出决算总体情况</w:t>
      </w:r>
      <w:bookmarkEnd w:id="32"/>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年一般公共预算财政拨款支出</w:t>
      </w:r>
      <w:r>
        <w:rPr>
          <w:rFonts w:ascii="仿宋_GB2312" w:eastAsia="仿宋_GB2312"/>
          <w:color w:val="000000"/>
          <w:sz w:val="32"/>
          <w:szCs w:val="32"/>
        </w:rPr>
        <w:t>457.71</w:t>
      </w:r>
      <w:r>
        <w:rPr>
          <w:rFonts w:hint="eastAsia" w:ascii="仿宋_GB2312" w:eastAsia="仿宋_GB2312"/>
          <w:color w:val="000000"/>
          <w:sz w:val="32"/>
          <w:szCs w:val="32"/>
        </w:rPr>
        <w:t>万元，占本年支出合计的</w:t>
      </w:r>
      <w:r>
        <w:rPr>
          <w:rFonts w:ascii="仿宋_GB2312" w:eastAsia="仿宋_GB2312"/>
          <w:color w:val="000000"/>
          <w:sz w:val="32"/>
          <w:szCs w:val="32"/>
        </w:rPr>
        <w:t>100%</w:t>
      </w:r>
      <w:r>
        <w:rPr>
          <w:rFonts w:hint="eastAsia" w:ascii="仿宋_GB2312" w:eastAsia="仿宋_GB2312"/>
          <w:color w:val="000000"/>
          <w:sz w:val="32"/>
          <w:szCs w:val="32"/>
        </w:rPr>
        <w:t>。与</w:t>
      </w:r>
      <w:r>
        <w:rPr>
          <w:rFonts w:ascii="仿宋_GB2312" w:eastAsia="仿宋_GB2312"/>
          <w:color w:val="000000"/>
          <w:sz w:val="32"/>
          <w:szCs w:val="32"/>
        </w:rPr>
        <w:t>2018</w:t>
      </w:r>
      <w:r>
        <w:rPr>
          <w:rFonts w:hint="eastAsia" w:ascii="仿宋_GB2312" w:eastAsia="仿宋_GB2312"/>
          <w:color w:val="000000"/>
          <w:sz w:val="32"/>
          <w:szCs w:val="32"/>
        </w:rPr>
        <w:t>年相比，一般公共预算财政拨款增加</w:t>
      </w:r>
      <w:r>
        <w:rPr>
          <w:rFonts w:ascii="仿宋_GB2312" w:eastAsia="仿宋_GB2312"/>
          <w:color w:val="000000"/>
          <w:sz w:val="32"/>
          <w:szCs w:val="32"/>
        </w:rPr>
        <w:t>124.11</w:t>
      </w:r>
      <w:r>
        <w:rPr>
          <w:rFonts w:hint="eastAsia" w:ascii="仿宋_GB2312" w:eastAsia="仿宋_GB2312"/>
          <w:color w:val="000000"/>
          <w:sz w:val="32"/>
          <w:szCs w:val="32"/>
        </w:rPr>
        <w:t>万元，增长</w:t>
      </w:r>
      <w:r>
        <w:rPr>
          <w:rFonts w:ascii="仿宋_GB2312" w:eastAsia="仿宋_GB2312"/>
          <w:color w:val="000000"/>
          <w:sz w:val="32"/>
          <w:szCs w:val="32"/>
        </w:rPr>
        <w:t>37.20%</w:t>
      </w:r>
      <w:r>
        <w:rPr>
          <w:rFonts w:hint="eastAsia" w:ascii="仿宋_GB2312" w:eastAsia="仿宋_GB2312"/>
          <w:color w:val="000000"/>
          <w:sz w:val="32"/>
          <w:szCs w:val="32"/>
        </w:rPr>
        <w:t>。主要变动原因是机构改革人员增加。</w:t>
      </w:r>
    </w:p>
    <w:p>
      <w:pPr>
        <w:spacing w:line="560" w:lineRule="exact"/>
        <w:ind w:firstLine="481" w:firstLineChars="150"/>
        <w:outlineLvl w:val="2"/>
        <w:rPr>
          <w:rFonts w:ascii="仿宋" w:hAnsi="仿宋" w:eastAsia="仿宋"/>
          <w:b/>
          <w:color w:val="000000"/>
          <w:sz w:val="32"/>
          <w:szCs w:val="32"/>
        </w:rPr>
      </w:pPr>
      <w:bookmarkStart w:id="33" w:name="_Toc15377211"/>
      <w:r>
        <w:rPr>
          <w:rFonts w:hint="eastAsia" w:ascii="仿宋" w:hAnsi="仿宋" w:eastAsia="仿宋"/>
          <w:b/>
          <w:color w:val="000000"/>
          <w:sz w:val="32"/>
          <w:szCs w:val="32"/>
        </w:rPr>
        <w:t>（二）一般公共预算财政拨款支出决算结构情况</w:t>
      </w:r>
      <w:bookmarkEnd w:id="33"/>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年一般公共预算财政拨款支出</w:t>
      </w:r>
      <w:r>
        <w:rPr>
          <w:rFonts w:ascii="仿宋_GB2312" w:eastAsia="仿宋_GB2312"/>
          <w:color w:val="000000"/>
          <w:sz w:val="32"/>
          <w:szCs w:val="32"/>
        </w:rPr>
        <w:t>457.71</w:t>
      </w:r>
      <w:r>
        <w:rPr>
          <w:rFonts w:hint="eastAsia" w:ascii="仿宋_GB2312" w:eastAsia="仿宋_GB2312"/>
          <w:color w:val="000000"/>
          <w:sz w:val="32"/>
          <w:szCs w:val="32"/>
        </w:rPr>
        <w:t>万元，主要用于以下方面</w:t>
      </w:r>
      <w:r>
        <w:rPr>
          <w:rFonts w:ascii="仿宋_GB2312" w:eastAsia="仿宋_GB2312"/>
          <w:color w:val="000000"/>
          <w:sz w:val="32"/>
          <w:szCs w:val="32"/>
        </w:rPr>
        <w:t xml:space="preserve">: </w:t>
      </w:r>
      <w:r>
        <w:rPr>
          <w:rFonts w:hint="eastAsia" w:ascii="仿宋_GB2312" w:eastAsia="仿宋_GB2312"/>
          <w:color w:val="000000"/>
          <w:sz w:val="32"/>
          <w:szCs w:val="32"/>
        </w:rPr>
        <w:t>社会保障和就业支出</w:t>
      </w:r>
      <w:r>
        <w:rPr>
          <w:rFonts w:ascii="仿宋_GB2312" w:eastAsia="仿宋_GB2312"/>
          <w:color w:val="000000"/>
          <w:sz w:val="32"/>
          <w:szCs w:val="32"/>
        </w:rPr>
        <w:t>25.86</w:t>
      </w:r>
      <w:r>
        <w:rPr>
          <w:rFonts w:hint="eastAsia" w:ascii="仿宋_GB2312" w:eastAsia="仿宋_GB2312"/>
          <w:color w:val="000000"/>
          <w:sz w:val="32"/>
          <w:szCs w:val="32"/>
        </w:rPr>
        <w:t>万元，占</w:t>
      </w:r>
      <w:r>
        <w:rPr>
          <w:rFonts w:ascii="仿宋_GB2312" w:eastAsia="仿宋_GB2312"/>
          <w:color w:val="000000"/>
          <w:sz w:val="32"/>
          <w:szCs w:val="32"/>
        </w:rPr>
        <w:t>5.65%</w:t>
      </w:r>
      <w:r>
        <w:rPr>
          <w:rFonts w:hint="eastAsia" w:ascii="仿宋_GB2312" w:eastAsia="仿宋_GB2312"/>
          <w:color w:val="000000"/>
          <w:sz w:val="32"/>
          <w:szCs w:val="32"/>
        </w:rPr>
        <w:t>；卫生健康支出</w:t>
      </w:r>
      <w:r>
        <w:rPr>
          <w:rFonts w:ascii="仿宋_GB2312" w:eastAsia="仿宋_GB2312"/>
          <w:color w:val="000000"/>
          <w:sz w:val="32"/>
          <w:szCs w:val="32"/>
        </w:rPr>
        <w:t>14.95</w:t>
      </w:r>
      <w:r>
        <w:rPr>
          <w:rFonts w:hint="eastAsia" w:ascii="仿宋_GB2312" w:eastAsia="仿宋_GB2312"/>
          <w:color w:val="000000"/>
          <w:sz w:val="32"/>
          <w:szCs w:val="32"/>
        </w:rPr>
        <w:t>万元，占</w:t>
      </w:r>
      <w:r>
        <w:rPr>
          <w:rFonts w:ascii="仿宋_GB2312" w:eastAsia="仿宋_GB2312"/>
          <w:color w:val="000000"/>
          <w:sz w:val="32"/>
          <w:szCs w:val="32"/>
        </w:rPr>
        <w:t>3.27%</w:t>
      </w:r>
      <w:r>
        <w:rPr>
          <w:rFonts w:hint="eastAsia" w:ascii="仿宋_GB2312" w:eastAsia="仿宋_GB2312"/>
          <w:color w:val="000000"/>
          <w:sz w:val="32"/>
          <w:szCs w:val="32"/>
        </w:rPr>
        <w:t>；住房保障支出</w:t>
      </w:r>
      <w:r>
        <w:rPr>
          <w:rFonts w:ascii="仿宋_GB2312" w:eastAsia="仿宋_GB2312"/>
          <w:color w:val="000000"/>
          <w:sz w:val="32"/>
          <w:szCs w:val="32"/>
        </w:rPr>
        <w:t>30.99</w:t>
      </w:r>
      <w:r>
        <w:rPr>
          <w:rFonts w:hint="eastAsia" w:ascii="仿宋_GB2312" w:eastAsia="仿宋_GB2312"/>
          <w:color w:val="000000"/>
          <w:sz w:val="32"/>
          <w:szCs w:val="32"/>
        </w:rPr>
        <w:t>万元，占</w:t>
      </w:r>
      <w:r>
        <w:rPr>
          <w:rFonts w:ascii="仿宋_GB2312" w:eastAsia="仿宋_GB2312"/>
          <w:color w:val="000000"/>
          <w:sz w:val="32"/>
          <w:szCs w:val="32"/>
        </w:rPr>
        <w:t>6.77%</w:t>
      </w:r>
      <w:r>
        <w:rPr>
          <w:rFonts w:hint="eastAsia" w:ascii="仿宋_GB2312" w:eastAsia="仿宋_GB2312"/>
          <w:color w:val="000000"/>
          <w:sz w:val="32"/>
          <w:szCs w:val="32"/>
        </w:rPr>
        <w:t>；灾害防治及应急管理支出</w:t>
      </w:r>
      <w:r>
        <w:rPr>
          <w:rFonts w:ascii="仿宋_GB2312" w:eastAsia="仿宋_GB2312"/>
          <w:color w:val="000000"/>
          <w:sz w:val="32"/>
          <w:szCs w:val="32"/>
        </w:rPr>
        <w:t>385.91</w:t>
      </w:r>
      <w:r>
        <w:rPr>
          <w:rFonts w:hint="eastAsia" w:ascii="仿宋_GB2312" w:eastAsia="仿宋_GB2312"/>
          <w:color w:val="000000"/>
          <w:sz w:val="32"/>
          <w:szCs w:val="32"/>
        </w:rPr>
        <w:t>万元，占</w:t>
      </w:r>
      <w:r>
        <w:rPr>
          <w:rFonts w:ascii="仿宋_GB2312" w:eastAsia="仿宋_GB2312"/>
          <w:color w:val="000000"/>
          <w:sz w:val="32"/>
          <w:szCs w:val="32"/>
        </w:rPr>
        <w:t>84.31%</w:t>
      </w:r>
      <w:r>
        <w:rPr>
          <w:rFonts w:hint="eastAsia" w:ascii="仿宋_GB2312" w:eastAsia="仿宋_GB2312"/>
          <w:color w:val="000000"/>
          <w:sz w:val="32"/>
          <w:szCs w:val="32"/>
        </w:rPr>
        <w:t>。</w:t>
      </w:r>
    </w:p>
    <w:p>
      <w:pPr>
        <w:spacing w:line="560" w:lineRule="exact"/>
        <w:ind w:firstLine="481" w:firstLineChars="150"/>
        <w:outlineLvl w:val="2"/>
        <w:rPr>
          <w:rFonts w:ascii="仿宋" w:hAnsi="仿宋" w:eastAsia="仿宋"/>
          <w:b/>
          <w:color w:val="000000"/>
          <w:sz w:val="32"/>
          <w:szCs w:val="32"/>
        </w:rPr>
      </w:pPr>
      <w:bookmarkStart w:id="34" w:name="_Toc15377212"/>
      <w:r>
        <w:rPr>
          <w:rFonts w:hint="eastAsia" w:ascii="仿宋" w:hAnsi="仿宋" w:eastAsia="仿宋"/>
          <w:b/>
          <w:color w:val="000000"/>
          <w:sz w:val="32"/>
          <w:szCs w:val="32"/>
        </w:rPr>
        <w:t>（三）一般公共预算财政拨款支出决算具体情况</w:t>
      </w:r>
      <w:bookmarkEnd w:id="34"/>
    </w:p>
    <w:p>
      <w:pPr>
        <w:spacing w:line="560" w:lineRule="exact"/>
        <w:ind w:firstLine="640" w:firstLineChars="200"/>
        <w:outlineLvl w:val="2"/>
        <w:rPr>
          <w:rFonts w:hint="eastAsia" w:ascii="仿宋_GB2312" w:eastAsia="仿宋_GB2312"/>
          <w:color w:val="000000"/>
          <w:sz w:val="32"/>
          <w:szCs w:val="32"/>
        </w:rPr>
      </w:pPr>
      <w:bookmarkStart w:id="35" w:name="_Toc15377444"/>
      <w:bookmarkStart w:id="36" w:name="_Toc15378460"/>
      <w:bookmarkStart w:id="37" w:name="_Toc15377213"/>
      <w:r>
        <w:rPr>
          <w:rFonts w:hint="eastAsia" w:ascii="仿宋_GB2312" w:eastAsia="仿宋_GB2312"/>
          <w:color w:val="000000"/>
          <w:sz w:val="32"/>
          <w:szCs w:val="32"/>
        </w:rPr>
        <w:t>2019年般公共预算支出决算数为457.71万元，</w:t>
      </w:r>
      <w:r>
        <w:rPr>
          <w:rFonts w:hint="eastAsia" w:ascii="仿宋_GB2312" w:eastAsia="仿宋_GB2312"/>
          <w:sz w:val="32"/>
          <w:szCs w:val="32"/>
        </w:rPr>
        <w:t>完成预算100%。其中：</w:t>
      </w:r>
      <w:bookmarkEnd w:id="35"/>
      <w:bookmarkEnd w:id="36"/>
      <w:bookmarkEnd w:id="37"/>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1.社会保障和就业-行政事业单位离退休-未归口管理的行政单位离退休:</w:t>
      </w:r>
      <w:r>
        <w:rPr>
          <w:rFonts w:hint="eastAsia" w:ascii="仿宋_GB2312" w:eastAsia="仿宋_GB2312"/>
          <w:color w:val="000000"/>
          <w:sz w:val="32"/>
          <w:szCs w:val="32"/>
        </w:rPr>
        <w:t>决算数为0.77万元，完成预算100%。</w:t>
      </w:r>
      <w:r>
        <w:rPr>
          <w:rFonts w:hint="eastAsia" w:ascii="仿宋_GB2312" w:eastAsia="仿宋_GB2312"/>
          <w:color w:val="000000"/>
          <w:sz w:val="32"/>
          <w:szCs w:val="32"/>
        </w:rPr>
        <w:br w:type="textWrapping"/>
      </w:r>
      <w:r>
        <w:rPr>
          <w:rFonts w:hint="eastAsia" w:ascii="仿宋_GB2312" w:eastAsia="仿宋_GB2312"/>
          <w:color w:val="000000"/>
          <w:sz w:val="32"/>
          <w:szCs w:val="32"/>
        </w:rPr>
        <w:t>　　</w:t>
      </w:r>
      <w:r>
        <w:rPr>
          <w:rFonts w:hint="eastAsia" w:ascii="仿宋_GB2312" w:eastAsia="仿宋_GB2312"/>
          <w:sz w:val="32"/>
          <w:szCs w:val="32"/>
        </w:rPr>
        <w:t>2.社会保障和就业-行政事业单位离退休- 机关事业单位基本养老保险缴费支出:</w:t>
      </w:r>
      <w:r>
        <w:rPr>
          <w:rFonts w:hint="eastAsia" w:ascii="仿宋_GB2312" w:eastAsia="仿宋_GB2312"/>
          <w:color w:val="000000"/>
          <w:sz w:val="32"/>
          <w:szCs w:val="32"/>
        </w:rPr>
        <w:t xml:space="preserve"> 决算数为25.09万元，完成预算100%。</w:t>
      </w:r>
      <w:r>
        <w:rPr>
          <w:rFonts w:hint="eastAsia" w:ascii="仿宋_GB2312" w:eastAsia="仿宋_GB2312"/>
          <w:color w:val="000000"/>
          <w:sz w:val="32"/>
          <w:szCs w:val="32"/>
        </w:rPr>
        <w:br w:type="textWrapping"/>
      </w:r>
      <w:r>
        <w:rPr>
          <w:rFonts w:hint="eastAsia" w:ascii="仿宋_GB2312" w:eastAsia="仿宋_GB2312"/>
          <w:color w:val="000000"/>
          <w:sz w:val="32"/>
          <w:szCs w:val="32"/>
        </w:rPr>
        <w:t xml:space="preserve">    </w:t>
      </w:r>
      <w:r>
        <w:rPr>
          <w:rFonts w:hint="eastAsia" w:ascii="仿宋_GB2312" w:eastAsia="仿宋_GB2312"/>
          <w:sz w:val="32"/>
          <w:szCs w:val="32"/>
        </w:rPr>
        <w:t>3.医疗卫生与计划生育支出-行政事业单位医疗- 行政单位医疗:</w:t>
      </w:r>
      <w:r>
        <w:rPr>
          <w:rFonts w:hint="eastAsia" w:ascii="仿宋_GB2312" w:eastAsia="仿宋_GB2312"/>
          <w:color w:val="000000"/>
          <w:sz w:val="32"/>
          <w:szCs w:val="32"/>
        </w:rPr>
        <w:t>决算数为13.35万元，完成预算100%。</w:t>
      </w:r>
      <w:r>
        <w:rPr>
          <w:rFonts w:hint="eastAsia" w:ascii="仿宋_GB2312" w:eastAsia="仿宋_GB2312"/>
          <w:color w:val="000000"/>
          <w:sz w:val="32"/>
          <w:szCs w:val="32"/>
        </w:rPr>
        <w:br w:type="textWrapping"/>
      </w:r>
      <w:r>
        <w:rPr>
          <w:rFonts w:hint="eastAsia" w:ascii="仿宋_GB2312" w:eastAsia="仿宋_GB2312"/>
          <w:sz w:val="32"/>
          <w:szCs w:val="32"/>
        </w:rPr>
        <w:t xml:space="preserve">    4.医疗卫生与计划生育支出-行政事业单位医疗-公务员医疗补助: 决算数为1.6万元，完成预算100%。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5.住房保障支出-住房改革支出-住房公积金:决算数为30.99万元，完成预算100%。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6.灾害防治及应急管理支出-应急管理事务- 行政运行: 决算数为236.19万元，完成预算100%。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7.灾害防治及应急管理支出-应急管理事务-一般行政管理事务: 决算数为43.23万元，完成预算100%。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8.灾害防治及应急管理支出-应急管理事务-安全监管: 决算数为100万元，完成预算100%。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9.灾害防治及应急管理支出-应急管理事务-事业运行: 决算数为6.47万元，完成预算100%。</w:t>
      </w:r>
    </w:p>
    <w:p>
      <w:pPr>
        <w:tabs>
          <w:tab w:val="right" w:pos="8306"/>
        </w:tabs>
        <w:spacing w:line="560" w:lineRule="exact"/>
        <w:ind w:firstLine="480" w:firstLineChars="150"/>
        <w:outlineLvl w:val="1"/>
        <w:rPr>
          <w:rStyle w:val="17"/>
        </w:rPr>
      </w:pPr>
      <w:bookmarkStart w:id="38" w:name="_Toc15377214"/>
      <w:bookmarkStart w:id="39"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7"/>
          <w:rFonts w:hint="eastAsia" w:ascii="黑体" w:hAnsi="黑体" w:eastAsia="黑体"/>
          <w:b w:val="0"/>
        </w:rPr>
        <w:t>般公共预算财政拨款基本支出决算情况说明</w:t>
      </w:r>
      <w:bookmarkEnd w:id="38"/>
      <w:bookmarkEnd w:id="39"/>
      <w:r>
        <w:rPr>
          <w:rStyle w:val="17"/>
          <w:rFonts w:ascii="黑体" w:hAnsi="黑体" w:eastAsia="黑体"/>
          <w:b w:val="0"/>
        </w:rPr>
        <w:tab/>
      </w:r>
    </w:p>
    <w:p>
      <w:pPr>
        <w:spacing w:line="560" w:lineRule="exact"/>
        <w:ind w:firstLine="640" w:firstLineChars="200"/>
        <w:outlineLvl w:val="2"/>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年一般公共预算财政拨款基本支出</w:t>
      </w:r>
      <w:r>
        <w:rPr>
          <w:rFonts w:ascii="仿宋_GB2312" w:eastAsia="仿宋_GB2312"/>
          <w:color w:val="000000"/>
          <w:sz w:val="32"/>
          <w:szCs w:val="32"/>
        </w:rPr>
        <w:t>314.48</w:t>
      </w:r>
      <w:r>
        <w:rPr>
          <w:rFonts w:hint="eastAsia" w:ascii="仿宋_GB2312" w:eastAsia="仿宋_GB2312"/>
          <w:color w:val="000000"/>
          <w:sz w:val="32"/>
          <w:szCs w:val="32"/>
        </w:rPr>
        <w:t>万元，其中：</w:t>
      </w:r>
    </w:p>
    <w:p>
      <w:pPr>
        <w:spacing w:line="560" w:lineRule="exact"/>
        <w:ind w:firstLine="640" w:firstLineChars="200"/>
        <w:outlineLvl w:val="2"/>
        <w:rPr>
          <w:rFonts w:ascii="仿宋_GB2312" w:eastAsia="仿宋_GB2312"/>
          <w:color w:val="000000"/>
          <w:sz w:val="32"/>
          <w:szCs w:val="32"/>
        </w:rPr>
      </w:pPr>
      <w:r>
        <w:rPr>
          <w:rFonts w:hint="eastAsia" w:ascii="仿宋_GB2312" w:eastAsia="仿宋_GB2312"/>
          <w:color w:val="000000"/>
          <w:sz w:val="32"/>
          <w:szCs w:val="32"/>
        </w:rPr>
        <w:t>人员经费</w:t>
      </w:r>
      <w:r>
        <w:rPr>
          <w:rFonts w:ascii="仿宋_GB2312" w:eastAsia="仿宋_GB2312"/>
          <w:color w:val="000000"/>
          <w:sz w:val="32"/>
          <w:szCs w:val="32"/>
        </w:rPr>
        <w:t>276.1</w:t>
      </w:r>
      <w:r>
        <w:rPr>
          <w:rFonts w:hint="eastAsia" w:ascii="仿宋_GB2312" w:eastAsia="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_GB2312" w:eastAsia="仿宋_GB2312"/>
          <w:color w:val="000000"/>
          <w:sz w:val="32"/>
          <w:szCs w:val="32"/>
        </w:rPr>
        <w:br w:type="textWrapping"/>
      </w:r>
      <w:r>
        <w:rPr>
          <w:rFonts w:hint="eastAsia" w:ascii="仿宋_GB2312" w:eastAsia="仿宋_GB2312"/>
          <w:color w:val="000000"/>
          <w:sz w:val="32"/>
          <w:szCs w:val="32"/>
        </w:rPr>
        <w:t>　　日常公用经费</w:t>
      </w:r>
      <w:r>
        <w:rPr>
          <w:rFonts w:ascii="仿宋_GB2312" w:eastAsia="仿宋_GB2312"/>
          <w:color w:val="000000"/>
          <w:sz w:val="32"/>
          <w:szCs w:val="32"/>
        </w:rPr>
        <w:t>38.38</w:t>
      </w:r>
      <w:r>
        <w:rPr>
          <w:rFonts w:hint="eastAsia" w:ascii="仿宋_GB2312" w:eastAsia="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560" w:lineRule="exact"/>
        <w:ind w:firstLine="640"/>
        <w:outlineLvl w:val="1"/>
        <w:rPr>
          <w:rStyle w:val="17"/>
          <w:rFonts w:ascii="黑体" w:hAnsi="黑体" w:eastAsia="黑体"/>
          <w:b w:val="0"/>
        </w:rPr>
      </w:pPr>
      <w:bookmarkStart w:id="40" w:name="_Toc15377215"/>
      <w:bookmarkStart w:id="41" w:name="_Toc15396609"/>
      <w:r>
        <w:rPr>
          <w:rFonts w:hint="eastAsia" w:ascii="黑体" w:eastAsia="黑体"/>
          <w:color w:val="000000"/>
          <w:sz w:val="32"/>
          <w:szCs w:val="32"/>
        </w:rPr>
        <w:t>七、</w:t>
      </w:r>
      <w:r>
        <w:rPr>
          <w:rStyle w:val="17"/>
          <w:rFonts w:hint="eastAsia" w:ascii="黑体" w:hAnsi="黑体" w:eastAsia="黑体"/>
        </w:rPr>
        <w:t>“</w:t>
      </w:r>
      <w:r>
        <w:rPr>
          <w:rStyle w:val="17"/>
          <w:rFonts w:hint="eastAsia" w:ascii="黑体" w:hAnsi="黑体" w:eastAsia="黑体"/>
          <w:b w:val="0"/>
        </w:rPr>
        <w:t>三公”经费财政拨款支出决算情况说明</w:t>
      </w:r>
      <w:bookmarkEnd w:id="40"/>
      <w:bookmarkEnd w:id="41"/>
    </w:p>
    <w:p>
      <w:pPr>
        <w:spacing w:line="56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560" w:lineRule="exact"/>
        <w:ind w:firstLine="640" w:firstLineChars="200"/>
        <w:outlineLvl w:val="2"/>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年“三公”经费财政拨款支出决算为</w:t>
      </w:r>
      <w:r>
        <w:rPr>
          <w:rFonts w:ascii="仿宋_GB2312" w:eastAsia="仿宋_GB2312"/>
          <w:color w:val="000000"/>
          <w:sz w:val="32"/>
          <w:szCs w:val="32"/>
        </w:rPr>
        <w:t>7.35</w:t>
      </w:r>
      <w:r>
        <w:rPr>
          <w:rFonts w:hint="eastAsia" w:ascii="仿宋_GB2312" w:eastAsia="仿宋_GB2312"/>
          <w:color w:val="000000"/>
          <w:sz w:val="32"/>
          <w:szCs w:val="32"/>
        </w:rPr>
        <w:t>万元，完成预算</w:t>
      </w:r>
      <w:r>
        <w:rPr>
          <w:rFonts w:ascii="仿宋_GB2312" w:eastAsia="仿宋_GB2312"/>
          <w:color w:val="000000"/>
          <w:sz w:val="32"/>
          <w:szCs w:val="32"/>
        </w:rPr>
        <w:t>100%</w:t>
      </w:r>
      <w:r>
        <w:rPr>
          <w:rFonts w:hint="eastAsia" w:ascii="仿宋_GB2312" w:eastAsia="仿宋_GB2312"/>
          <w:color w:val="000000"/>
          <w:sz w:val="32"/>
          <w:szCs w:val="32"/>
        </w:rPr>
        <w:t>。</w:t>
      </w:r>
    </w:p>
    <w:p>
      <w:pPr>
        <w:spacing w:line="560" w:lineRule="exact"/>
        <w:ind w:firstLine="640"/>
        <w:outlineLvl w:val="2"/>
        <w:rPr>
          <w:rFonts w:ascii="仿宋" w:hAnsi="仿宋" w:eastAsia="仿宋"/>
          <w:b/>
          <w:color w:val="000000"/>
          <w:sz w:val="32"/>
          <w:szCs w:val="32"/>
        </w:rPr>
      </w:pPr>
      <w:bookmarkStart w:id="43" w:name="_Toc15377217"/>
      <w:r>
        <w:rPr>
          <w:rFonts w:hint="eastAsia" w:ascii="仿宋" w:hAnsi="仿宋" w:eastAsia="仿宋"/>
          <w:b/>
          <w:color w:val="000000"/>
          <w:sz w:val="32"/>
          <w:szCs w:val="32"/>
        </w:rPr>
        <w:t>（二）“三公”经费财政拨款支出决算具体情况说明</w:t>
      </w:r>
      <w:bookmarkEnd w:id="43"/>
    </w:p>
    <w:p>
      <w:pPr>
        <w:spacing w:line="560" w:lineRule="exact"/>
        <w:ind w:firstLine="640" w:firstLineChars="200"/>
        <w:outlineLvl w:val="2"/>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年“三公”经费财政拨款支出决算中，因公出国（境）费支出决算</w:t>
      </w:r>
      <w:r>
        <w:rPr>
          <w:rFonts w:ascii="仿宋_GB2312" w:eastAsia="仿宋_GB2312"/>
          <w:color w:val="000000"/>
          <w:sz w:val="32"/>
          <w:szCs w:val="32"/>
        </w:rPr>
        <w:t>0</w:t>
      </w:r>
      <w:r>
        <w:rPr>
          <w:rFonts w:hint="eastAsia" w:ascii="仿宋_GB2312" w:eastAsia="仿宋_GB2312"/>
          <w:color w:val="000000"/>
          <w:sz w:val="32"/>
          <w:szCs w:val="32"/>
        </w:rPr>
        <w:t>万元，占</w:t>
      </w:r>
      <w:r>
        <w:rPr>
          <w:rFonts w:ascii="仿宋_GB2312" w:eastAsia="仿宋_GB2312"/>
          <w:color w:val="000000"/>
          <w:sz w:val="32"/>
          <w:szCs w:val="32"/>
        </w:rPr>
        <w:t>0%</w:t>
      </w:r>
      <w:r>
        <w:rPr>
          <w:rFonts w:hint="eastAsia" w:ascii="仿宋_GB2312" w:eastAsia="仿宋_GB2312"/>
          <w:color w:val="000000"/>
          <w:sz w:val="32"/>
          <w:szCs w:val="32"/>
        </w:rPr>
        <w:t>；公务用车购置及运行维护费支出决算</w:t>
      </w:r>
      <w:r>
        <w:rPr>
          <w:rFonts w:ascii="仿宋_GB2312" w:eastAsia="仿宋_GB2312"/>
          <w:color w:val="000000"/>
          <w:sz w:val="32"/>
          <w:szCs w:val="32"/>
        </w:rPr>
        <w:t>6.51</w:t>
      </w:r>
      <w:r>
        <w:rPr>
          <w:rFonts w:hint="eastAsia" w:ascii="仿宋_GB2312" w:eastAsia="仿宋_GB2312"/>
          <w:color w:val="000000"/>
          <w:sz w:val="32"/>
          <w:szCs w:val="32"/>
        </w:rPr>
        <w:t>万元，占</w:t>
      </w:r>
      <w:r>
        <w:rPr>
          <w:rFonts w:ascii="仿宋_GB2312" w:eastAsia="仿宋_GB2312"/>
          <w:color w:val="000000"/>
          <w:sz w:val="32"/>
          <w:szCs w:val="32"/>
        </w:rPr>
        <w:t>88.57%</w:t>
      </w:r>
      <w:r>
        <w:rPr>
          <w:rFonts w:hint="eastAsia" w:ascii="仿宋_GB2312" w:eastAsia="仿宋_GB2312"/>
          <w:color w:val="000000"/>
          <w:sz w:val="32"/>
          <w:szCs w:val="32"/>
        </w:rPr>
        <w:t>；公务接待费支出决算</w:t>
      </w:r>
      <w:r>
        <w:rPr>
          <w:rFonts w:ascii="仿宋_GB2312" w:eastAsia="仿宋_GB2312"/>
          <w:color w:val="000000"/>
          <w:sz w:val="32"/>
          <w:szCs w:val="32"/>
        </w:rPr>
        <w:t>0.84</w:t>
      </w:r>
      <w:r>
        <w:rPr>
          <w:rFonts w:hint="eastAsia" w:ascii="仿宋_GB2312" w:eastAsia="仿宋_GB2312"/>
          <w:color w:val="000000"/>
          <w:sz w:val="32"/>
          <w:szCs w:val="32"/>
        </w:rPr>
        <w:t>万元，占</w:t>
      </w:r>
      <w:r>
        <w:rPr>
          <w:rFonts w:ascii="仿宋_GB2312" w:eastAsia="仿宋_GB2312"/>
          <w:color w:val="000000"/>
          <w:sz w:val="32"/>
          <w:szCs w:val="32"/>
        </w:rPr>
        <w:t>11.43%</w:t>
      </w:r>
      <w:r>
        <w:rPr>
          <w:rFonts w:hint="eastAsia" w:ascii="仿宋_GB2312" w:eastAsia="仿宋_GB2312"/>
          <w:color w:val="000000"/>
          <w:sz w:val="32"/>
          <w:szCs w:val="32"/>
        </w:rPr>
        <w:t>。具体情况如下：</w:t>
      </w:r>
    </w:p>
    <w:p>
      <w:pPr>
        <w:spacing w:line="560" w:lineRule="exact"/>
        <w:ind w:firstLine="640" w:firstLineChars="200"/>
        <w:outlineLvl w:val="2"/>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万元，与</w:t>
      </w:r>
      <w:r>
        <w:rPr>
          <w:rFonts w:ascii="仿宋_GB2312" w:eastAsia="仿宋_GB2312"/>
          <w:color w:val="000000"/>
          <w:sz w:val="32"/>
          <w:szCs w:val="32"/>
        </w:rPr>
        <w:t>2018</w:t>
      </w:r>
      <w:r>
        <w:rPr>
          <w:rFonts w:hint="eastAsia" w:ascii="仿宋_GB2312" w:eastAsia="仿宋_GB2312"/>
          <w:color w:val="000000"/>
          <w:sz w:val="32"/>
          <w:szCs w:val="32"/>
        </w:rPr>
        <w:t>年持平。</w:t>
      </w:r>
    </w:p>
    <w:p>
      <w:pPr>
        <w:spacing w:line="560" w:lineRule="exact"/>
        <w:ind w:firstLine="640" w:firstLineChars="200"/>
        <w:outlineLvl w:val="2"/>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公务用车购置及运行维护费支出</w:t>
      </w:r>
      <w:r>
        <w:rPr>
          <w:rFonts w:ascii="仿宋_GB2312" w:eastAsia="仿宋_GB2312"/>
          <w:color w:val="000000"/>
          <w:sz w:val="32"/>
          <w:szCs w:val="32"/>
        </w:rPr>
        <w:t>6.51</w:t>
      </w:r>
      <w:r>
        <w:rPr>
          <w:rFonts w:hint="eastAsia" w:ascii="仿宋_GB2312" w:eastAsia="仿宋_GB2312"/>
          <w:color w:val="000000"/>
          <w:sz w:val="32"/>
          <w:szCs w:val="32"/>
        </w:rPr>
        <w:t>万元</w:t>
      </w:r>
      <w:r>
        <w:rPr>
          <w:rFonts w:ascii="仿宋_GB2312" w:eastAsia="仿宋_GB2312"/>
          <w:color w:val="000000"/>
          <w:sz w:val="32"/>
          <w:szCs w:val="32"/>
        </w:rPr>
        <w:t>,</w:t>
      </w:r>
      <w:r>
        <w:rPr>
          <w:rFonts w:hint="eastAsia" w:ascii="仿宋_GB2312" w:eastAsia="仿宋_GB2312"/>
        </w:rPr>
        <w:t>完成预算</w:t>
      </w:r>
      <w:r>
        <w:rPr>
          <w:rFonts w:ascii="仿宋_GB2312" w:eastAsia="仿宋_GB2312"/>
        </w:rPr>
        <w:t>100%</w:t>
      </w:r>
      <w:r>
        <w:rPr>
          <w:rFonts w:hint="eastAsia" w:ascii="仿宋_GB2312" w:eastAsia="仿宋_GB231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2.51</w:t>
      </w:r>
      <w:r>
        <w:rPr>
          <w:rFonts w:hint="eastAsia" w:ascii="仿宋_GB2312" w:eastAsia="仿宋_GB2312"/>
          <w:color w:val="000000"/>
          <w:sz w:val="32"/>
          <w:szCs w:val="32"/>
        </w:rPr>
        <w:t>万元，增长</w:t>
      </w:r>
      <w:r>
        <w:rPr>
          <w:rFonts w:ascii="仿宋_GB2312" w:eastAsia="仿宋_GB2312"/>
          <w:color w:val="000000"/>
          <w:sz w:val="32"/>
          <w:szCs w:val="32"/>
        </w:rPr>
        <w:t>62.75%</w:t>
      </w:r>
      <w:r>
        <w:rPr>
          <w:rFonts w:hint="eastAsia" w:ascii="仿宋_GB2312" w:eastAsia="仿宋_GB2312"/>
          <w:color w:val="000000"/>
          <w:sz w:val="32"/>
          <w:szCs w:val="32"/>
        </w:rPr>
        <w:t>。主要原因是机构改革增加一辆公车。</w:t>
      </w:r>
    </w:p>
    <w:p>
      <w:pPr>
        <w:spacing w:line="560" w:lineRule="exact"/>
        <w:ind w:firstLine="640" w:firstLineChars="200"/>
        <w:outlineLvl w:val="2"/>
        <w:rPr>
          <w:rFonts w:ascii="仿宋_GB2312" w:eastAsia="仿宋_GB2312"/>
          <w:color w:val="000000"/>
          <w:sz w:val="32"/>
          <w:szCs w:val="32"/>
        </w:rPr>
      </w:pPr>
      <w:r>
        <w:rPr>
          <w:rFonts w:hint="eastAsia" w:ascii="仿宋_GB2312" w:eastAsia="仿宋_GB2312"/>
          <w:color w:val="000000"/>
          <w:sz w:val="32"/>
          <w:szCs w:val="32"/>
        </w:rPr>
        <w:t>其中：公务用车购置支出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元。截至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2</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辆、特种设备车辆</w:t>
      </w:r>
      <w:r>
        <w:rPr>
          <w:rFonts w:ascii="仿宋_GB2312" w:eastAsia="仿宋_GB2312"/>
          <w:color w:val="000000"/>
          <w:sz w:val="32"/>
          <w:szCs w:val="32"/>
        </w:rPr>
        <w:t>2</w:t>
      </w:r>
      <w:r>
        <w:rPr>
          <w:rFonts w:hint="eastAsia" w:ascii="仿宋_GB2312" w:eastAsia="仿宋_GB2312"/>
          <w:color w:val="000000"/>
          <w:sz w:val="32"/>
          <w:szCs w:val="32"/>
        </w:rPr>
        <w:t>辆、</w:t>
      </w:r>
      <w:r>
        <w:rPr>
          <w:rFonts w:ascii="仿宋_GB2312" w:eastAsia="仿宋_GB2312"/>
          <w:color w:val="000000"/>
          <w:sz w:val="32"/>
          <w:szCs w:val="32"/>
        </w:rPr>
        <w:t xml:space="preserve"> </w:t>
      </w:r>
      <w:r>
        <w:rPr>
          <w:rFonts w:hint="eastAsia" w:ascii="仿宋_GB2312" w:eastAsia="仿宋_GB2312"/>
          <w:color w:val="000000"/>
          <w:sz w:val="32"/>
          <w:szCs w:val="32"/>
        </w:rPr>
        <w:t>执法执勤用车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560" w:lineRule="exact"/>
        <w:ind w:firstLine="640" w:firstLineChars="200"/>
        <w:outlineLvl w:val="2"/>
        <w:rPr>
          <w:rFonts w:ascii="仿宋_GB2312" w:eastAsia="仿宋_GB2312"/>
          <w:color w:val="000000"/>
          <w:sz w:val="32"/>
          <w:szCs w:val="32"/>
        </w:rPr>
      </w:pPr>
      <w:r>
        <w:rPr>
          <w:rFonts w:hint="eastAsia" w:ascii="仿宋_GB2312" w:eastAsia="仿宋_GB2312"/>
          <w:color w:val="000000"/>
          <w:sz w:val="32"/>
          <w:szCs w:val="32"/>
        </w:rPr>
        <w:t>公务用车运行维护费支出</w:t>
      </w:r>
      <w:r>
        <w:rPr>
          <w:rFonts w:ascii="仿宋_GB2312" w:eastAsia="仿宋_GB2312"/>
          <w:color w:val="000000"/>
          <w:sz w:val="32"/>
          <w:szCs w:val="32"/>
        </w:rPr>
        <w:t>6.51</w:t>
      </w:r>
      <w:r>
        <w:rPr>
          <w:rFonts w:hint="eastAsia" w:ascii="仿宋_GB2312" w:eastAsia="仿宋_GB2312"/>
          <w:color w:val="000000"/>
          <w:sz w:val="32"/>
          <w:szCs w:val="32"/>
        </w:rPr>
        <w:t>万元。主要用于党政机构和下属事业机构执行公务、开展业务活动等所需的公务用车燃料费、维修费、过路过桥费、保险费支出。</w:t>
      </w:r>
      <w:r>
        <w:rPr>
          <w:rFonts w:ascii="仿宋_GB2312" w:eastAsia="仿宋_GB2312"/>
          <w:color w:val="000000"/>
          <w:sz w:val="32"/>
          <w:szCs w:val="32"/>
        </w:rPr>
        <w:t xml:space="preserve">   </w:t>
      </w:r>
    </w:p>
    <w:p>
      <w:pPr>
        <w:spacing w:line="560" w:lineRule="exact"/>
        <w:ind w:firstLine="640" w:firstLineChars="200"/>
        <w:outlineLvl w:val="2"/>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公务接待费支出</w:t>
      </w:r>
      <w:r>
        <w:rPr>
          <w:rFonts w:ascii="仿宋_GB2312" w:eastAsia="仿宋_GB2312"/>
          <w:color w:val="000000"/>
          <w:sz w:val="32"/>
          <w:szCs w:val="32"/>
        </w:rPr>
        <w:t>0.84</w:t>
      </w:r>
      <w:r>
        <w:rPr>
          <w:rFonts w:hint="eastAsia" w:ascii="仿宋_GB2312" w:eastAsia="仿宋_GB2312"/>
          <w:color w:val="000000"/>
          <w:sz w:val="32"/>
          <w:szCs w:val="32"/>
        </w:rPr>
        <w:t>万元，</w:t>
      </w:r>
      <w:r>
        <w:rPr>
          <w:rFonts w:hint="eastAsia" w:ascii="仿宋_GB2312" w:eastAsia="仿宋_GB2312"/>
          <w:color w:val="000000"/>
        </w:rPr>
        <w:t>完成预算</w:t>
      </w:r>
      <w:r>
        <w:rPr>
          <w:rFonts w:ascii="仿宋_GB2312" w:eastAsia="仿宋_GB2312"/>
          <w:color w:val="000000"/>
        </w:rPr>
        <w:t>21.1%</w:t>
      </w:r>
      <w:r>
        <w:rPr>
          <w:rFonts w:hint="eastAsia" w:ascii="仿宋_GB2312" w:eastAsia="仿宋_GB2312"/>
          <w:color w:val="000000"/>
        </w:rPr>
        <w:t>。</w:t>
      </w:r>
      <w:r>
        <w:rPr>
          <w:rFonts w:hint="eastAsia" w:ascii="仿宋_GB2312" w:eastAsia="仿宋_GB2312"/>
          <w:color w:val="000000"/>
          <w:sz w:val="32"/>
          <w:szCs w:val="32"/>
        </w:rPr>
        <w:t>公务接待费决算支出比</w:t>
      </w:r>
      <w:r>
        <w:rPr>
          <w:rFonts w:ascii="仿宋_GB2312" w:eastAsia="仿宋_GB2312"/>
          <w:color w:val="000000"/>
          <w:sz w:val="32"/>
          <w:szCs w:val="32"/>
        </w:rPr>
        <w:t>2018</w:t>
      </w:r>
      <w:r>
        <w:rPr>
          <w:rFonts w:hint="eastAsia" w:ascii="仿宋_GB2312" w:eastAsia="仿宋_GB2312"/>
          <w:color w:val="000000"/>
          <w:sz w:val="32"/>
          <w:szCs w:val="32"/>
        </w:rPr>
        <w:t>年减少</w:t>
      </w:r>
      <w:r>
        <w:rPr>
          <w:rFonts w:ascii="仿宋_GB2312" w:eastAsia="仿宋_GB2312"/>
          <w:color w:val="000000"/>
          <w:sz w:val="32"/>
          <w:szCs w:val="32"/>
        </w:rPr>
        <w:t>0.45</w:t>
      </w:r>
      <w:r>
        <w:rPr>
          <w:rFonts w:hint="eastAsia" w:ascii="仿宋_GB2312" w:eastAsia="仿宋_GB2312"/>
          <w:color w:val="000000"/>
          <w:sz w:val="32"/>
          <w:szCs w:val="32"/>
        </w:rPr>
        <w:t>万元，下降</w:t>
      </w:r>
      <w:r>
        <w:rPr>
          <w:rFonts w:ascii="仿宋_GB2312" w:eastAsia="仿宋_GB2312"/>
          <w:color w:val="000000"/>
          <w:sz w:val="32"/>
          <w:szCs w:val="32"/>
        </w:rPr>
        <w:t>34.9%</w:t>
      </w:r>
      <w:r>
        <w:rPr>
          <w:rFonts w:hint="eastAsia" w:ascii="仿宋_GB2312" w:eastAsia="仿宋_GB2312"/>
          <w:color w:val="000000"/>
          <w:sz w:val="32"/>
          <w:szCs w:val="32"/>
        </w:rPr>
        <w:t>。主要原因是严格执行中央八项规定，厉行节约。</w:t>
      </w:r>
    </w:p>
    <w:p>
      <w:pPr>
        <w:spacing w:line="560" w:lineRule="exact"/>
        <w:ind w:firstLine="640" w:firstLineChars="200"/>
        <w:outlineLvl w:val="2"/>
        <w:rPr>
          <w:rFonts w:ascii="仿宋_GB2312" w:eastAsia="仿宋_GB2312"/>
          <w:color w:val="000000"/>
          <w:sz w:val="32"/>
          <w:szCs w:val="32"/>
        </w:rPr>
      </w:pPr>
      <w:r>
        <w:rPr>
          <w:rFonts w:hint="eastAsia" w:ascii="仿宋_GB2312" w:eastAsia="仿宋_GB2312"/>
          <w:color w:val="000000"/>
          <w:sz w:val="32"/>
          <w:szCs w:val="32"/>
        </w:rPr>
        <w:t>其中国内公务接待支出</w:t>
      </w:r>
      <w:r>
        <w:rPr>
          <w:rFonts w:ascii="仿宋_GB2312" w:eastAsia="仿宋_GB2312"/>
          <w:color w:val="000000"/>
          <w:sz w:val="32"/>
          <w:szCs w:val="32"/>
        </w:rPr>
        <w:t>0.84</w:t>
      </w:r>
      <w:r>
        <w:rPr>
          <w:rFonts w:hint="eastAsia" w:ascii="仿宋_GB2312" w:eastAsia="仿宋_GB2312"/>
          <w:color w:val="000000"/>
          <w:sz w:val="32"/>
          <w:szCs w:val="32"/>
        </w:rPr>
        <w:t>万元，主要用于执行公务、上级单位开展应急管理及安全生产专项检查、督查等所产生的用餐费等。国内公务接待</w:t>
      </w:r>
      <w:r>
        <w:rPr>
          <w:rFonts w:ascii="仿宋_GB2312" w:eastAsia="仿宋_GB2312"/>
          <w:color w:val="000000"/>
          <w:sz w:val="32"/>
          <w:szCs w:val="32"/>
        </w:rPr>
        <w:t>10</w:t>
      </w:r>
      <w:r>
        <w:rPr>
          <w:rFonts w:hint="eastAsia" w:ascii="仿宋_GB2312" w:eastAsia="仿宋_GB2312"/>
          <w:color w:val="000000"/>
          <w:sz w:val="32"/>
          <w:szCs w:val="32"/>
        </w:rPr>
        <w:t>批次，</w:t>
      </w:r>
      <w:r>
        <w:rPr>
          <w:rFonts w:ascii="仿宋_GB2312" w:eastAsia="仿宋_GB2312"/>
          <w:color w:val="000000"/>
          <w:sz w:val="32"/>
          <w:szCs w:val="32"/>
        </w:rPr>
        <w:t>94</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0.84</w:t>
      </w:r>
      <w:r>
        <w:rPr>
          <w:rFonts w:hint="eastAsia" w:ascii="仿宋_GB2312" w:eastAsia="仿宋_GB2312"/>
          <w:color w:val="000000"/>
          <w:sz w:val="32"/>
          <w:szCs w:val="32"/>
        </w:rPr>
        <w:t>万元。</w:t>
      </w:r>
    </w:p>
    <w:p>
      <w:pPr>
        <w:spacing w:line="560" w:lineRule="exact"/>
        <w:ind w:firstLine="640" w:firstLineChars="200"/>
        <w:outlineLvl w:val="2"/>
        <w:rPr>
          <w:rFonts w:ascii="仿宋_GB2312" w:eastAsia="仿宋_GB2312"/>
          <w:color w:val="000000"/>
          <w:sz w:val="32"/>
          <w:szCs w:val="32"/>
        </w:rPr>
      </w:pPr>
      <w:r>
        <w:rPr>
          <w:rFonts w:hint="eastAsia" w:ascii="仿宋_GB2312" w:eastAsia="仿宋_GB2312"/>
          <w:color w:val="000000"/>
          <w:sz w:val="32"/>
          <w:szCs w:val="32"/>
        </w:rPr>
        <w:t>外事接待支出</w:t>
      </w:r>
      <w:r>
        <w:rPr>
          <w:rFonts w:ascii="仿宋_GB2312" w:eastAsia="仿宋_GB2312"/>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bookmarkStart w:id="44" w:name="_Toc15396610"/>
      <w:bookmarkStart w:id="45" w:name="_Toc15377218"/>
    </w:p>
    <w:p>
      <w:pPr>
        <w:spacing w:line="560" w:lineRule="exact"/>
        <w:ind w:firstLine="640" w:firstLineChars="200"/>
        <w:rPr>
          <w:rStyle w:val="17"/>
          <w:rFonts w:hint="eastAsia" w:ascii="黑体" w:hAnsi="黑体" w:eastAsia="黑体"/>
          <w:b w:val="0"/>
        </w:rPr>
      </w:pPr>
      <w:r>
        <w:rPr>
          <w:rFonts w:hint="eastAsia" w:ascii="黑体" w:eastAsia="黑体"/>
          <w:color w:val="000000"/>
          <w:sz w:val="32"/>
          <w:szCs w:val="32"/>
        </w:rPr>
        <w:t>八、</w:t>
      </w:r>
      <w:r>
        <w:rPr>
          <w:rStyle w:val="17"/>
          <w:rFonts w:hint="eastAsia" w:ascii="黑体" w:hAnsi="黑体" w:eastAsia="黑体"/>
          <w:b w:val="0"/>
        </w:rPr>
        <w:t>政府性基金预算支出决算情况说明</w:t>
      </w:r>
      <w:bookmarkEnd w:id="44"/>
      <w:bookmarkEnd w:id="45"/>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pStyle w:val="27"/>
        <w:spacing w:line="560" w:lineRule="exact"/>
        <w:ind w:left="360" w:firstLine="320" w:firstLineChars="100"/>
        <w:outlineLvl w:val="1"/>
        <w:rPr>
          <w:rStyle w:val="17"/>
          <w:rFonts w:ascii="黑体" w:hAnsi="黑体" w:eastAsia="黑体"/>
          <w:b w:val="0"/>
        </w:rPr>
      </w:pPr>
      <w:bookmarkStart w:id="46" w:name="_Toc15377219"/>
      <w:bookmarkStart w:id="47" w:name="_Toc15396611"/>
      <w:r>
        <w:rPr>
          <w:rStyle w:val="17"/>
          <w:rFonts w:hint="eastAsia" w:ascii="黑体" w:hAnsi="黑体" w:eastAsia="黑体"/>
          <w:b w:val="0"/>
        </w:rPr>
        <w:t>九、国有资本经营预算支出决算情况说明</w:t>
      </w:r>
      <w:bookmarkEnd w:id="46"/>
      <w:bookmarkEnd w:id="47"/>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560" w:lineRule="exact"/>
        <w:ind w:firstLine="480" w:firstLineChars="150"/>
        <w:outlineLvl w:val="1"/>
        <w:rPr>
          <w:rStyle w:val="17"/>
          <w:rFonts w:ascii="黑体" w:hAnsi="黑体" w:eastAsia="黑体"/>
        </w:rPr>
      </w:pPr>
      <w:bookmarkStart w:id="48" w:name="_Toc15377221"/>
      <w:bookmarkStart w:id="49" w:name="_Toc15396612"/>
      <w:r>
        <w:rPr>
          <w:rFonts w:hint="eastAsia" w:ascii="黑体" w:hAnsi="黑体" w:eastAsia="黑体"/>
          <w:color w:val="000000"/>
          <w:sz w:val="32"/>
          <w:szCs w:val="32"/>
        </w:rPr>
        <w:t>十</w:t>
      </w:r>
      <w:r>
        <w:rPr>
          <w:rStyle w:val="17"/>
          <w:rFonts w:hint="eastAsia" w:ascii="黑体" w:hAnsi="黑体" w:eastAsia="黑体"/>
        </w:rPr>
        <w:t>、</w:t>
      </w:r>
      <w:r>
        <w:rPr>
          <w:rStyle w:val="17"/>
          <w:rFonts w:hint="eastAsia" w:ascii="黑体" w:hAnsi="黑体" w:eastAsia="黑体"/>
          <w:b w:val="0"/>
        </w:rPr>
        <w:t>其他重要事项的情况说明</w:t>
      </w:r>
      <w:bookmarkEnd w:id="48"/>
      <w:bookmarkEnd w:id="49"/>
    </w:p>
    <w:p>
      <w:pPr>
        <w:spacing w:line="560" w:lineRule="exact"/>
        <w:ind w:firstLine="642" w:firstLineChars="200"/>
        <w:outlineLvl w:val="2"/>
        <w:rPr>
          <w:rFonts w:ascii="仿宋" w:hAnsi="仿宋" w:eastAsia="仿宋"/>
          <w:color w:val="000000"/>
          <w:sz w:val="32"/>
          <w:szCs w:val="32"/>
        </w:rPr>
      </w:pPr>
      <w:bookmarkStart w:id="50" w:name="_Toc15377222"/>
      <w:r>
        <w:rPr>
          <w:rFonts w:hint="eastAsia" w:ascii="仿宋" w:hAnsi="仿宋" w:eastAsia="仿宋"/>
          <w:b/>
          <w:color w:val="000000"/>
          <w:sz w:val="32"/>
          <w:szCs w:val="32"/>
        </w:rPr>
        <w:t>（一）机关运行经费支出情况</w:t>
      </w:r>
      <w:bookmarkEnd w:id="50"/>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年，机关运行经费支出</w:t>
      </w:r>
      <w:r>
        <w:rPr>
          <w:rFonts w:ascii="仿宋_GB2312" w:eastAsia="仿宋_GB2312"/>
          <w:color w:val="000000"/>
          <w:sz w:val="32"/>
          <w:szCs w:val="32"/>
        </w:rPr>
        <w:t>38.38</w:t>
      </w:r>
      <w:r>
        <w:rPr>
          <w:rFonts w:hint="eastAsia" w:ascii="仿宋_GB2312" w:eastAsia="仿宋_GB2312"/>
          <w:color w:val="000000"/>
          <w:sz w:val="32"/>
          <w:szCs w:val="32"/>
        </w:rPr>
        <w:t>万元，比</w:t>
      </w:r>
      <w:r>
        <w:rPr>
          <w:rFonts w:ascii="仿宋_GB2312" w:eastAsia="仿宋_GB2312"/>
          <w:color w:val="000000"/>
          <w:sz w:val="32"/>
          <w:szCs w:val="32"/>
        </w:rPr>
        <w:t>2018</w:t>
      </w:r>
      <w:r>
        <w:rPr>
          <w:rFonts w:hint="eastAsia" w:ascii="仿宋_GB2312" w:eastAsia="仿宋_GB2312"/>
          <w:color w:val="000000"/>
          <w:sz w:val="32"/>
          <w:szCs w:val="32"/>
        </w:rPr>
        <w:t>年增加</w:t>
      </w:r>
      <w:r>
        <w:rPr>
          <w:rFonts w:ascii="仿宋_GB2312" w:eastAsia="仿宋_GB2312"/>
          <w:color w:val="000000"/>
          <w:sz w:val="32"/>
          <w:szCs w:val="32"/>
        </w:rPr>
        <w:t>11.50</w:t>
      </w:r>
      <w:r>
        <w:rPr>
          <w:rFonts w:hint="eastAsia" w:ascii="仿宋_GB2312" w:eastAsia="仿宋_GB2312"/>
          <w:color w:val="000000"/>
          <w:sz w:val="32"/>
          <w:szCs w:val="32"/>
        </w:rPr>
        <w:t>万元，增长</w:t>
      </w:r>
      <w:r>
        <w:rPr>
          <w:rFonts w:ascii="仿宋_GB2312" w:eastAsia="仿宋_GB2312"/>
          <w:color w:val="000000"/>
          <w:sz w:val="32"/>
          <w:szCs w:val="32"/>
        </w:rPr>
        <w:t>42.79%</w:t>
      </w:r>
      <w:r>
        <w:rPr>
          <w:rFonts w:hint="eastAsia" w:ascii="仿宋_GB2312" w:eastAsia="仿宋_GB2312"/>
          <w:color w:val="000000"/>
          <w:sz w:val="32"/>
          <w:szCs w:val="32"/>
        </w:rPr>
        <w:t>。主要原因是机构改革人员增加。</w:t>
      </w:r>
    </w:p>
    <w:p>
      <w:pPr>
        <w:autoSpaceDE w:val="0"/>
        <w:autoSpaceDN w:val="0"/>
        <w:adjustRightInd w:val="0"/>
        <w:spacing w:line="560" w:lineRule="exact"/>
        <w:ind w:firstLine="642" w:firstLineChars="200"/>
        <w:jc w:val="left"/>
        <w:outlineLvl w:val="2"/>
        <w:rPr>
          <w:rFonts w:ascii="仿宋" w:hAnsi="仿宋" w:eastAsia="仿宋"/>
          <w:b/>
          <w:color w:val="000000"/>
          <w:sz w:val="32"/>
          <w:szCs w:val="32"/>
        </w:rPr>
      </w:pPr>
      <w:bookmarkStart w:id="51" w:name="_Toc15377223"/>
      <w:r>
        <w:rPr>
          <w:rFonts w:hint="eastAsia" w:ascii="仿宋" w:hAnsi="仿宋" w:eastAsia="仿宋"/>
          <w:b/>
          <w:color w:val="000000"/>
          <w:sz w:val="32"/>
          <w:szCs w:val="32"/>
        </w:rPr>
        <w:t>（二）政府采购支出情况</w:t>
      </w:r>
      <w:bookmarkEnd w:id="51"/>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2019</w:t>
      </w:r>
      <w:r>
        <w:rPr>
          <w:rFonts w:hint="eastAsia" w:ascii="仿宋_GB2312" w:eastAsia="仿宋_GB2312"/>
          <w:color w:val="000000"/>
          <w:sz w:val="32"/>
          <w:szCs w:val="32"/>
        </w:rPr>
        <w:t>年，政府采购支出总额</w:t>
      </w:r>
      <w:r>
        <w:rPr>
          <w:rFonts w:ascii="仿宋_GB2312" w:eastAsia="仿宋_GB2312"/>
          <w:color w:val="000000"/>
          <w:sz w:val="32"/>
          <w:szCs w:val="32"/>
        </w:rPr>
        <w:t>0</w:t>
      </w:r>
      <w:r>
        <w:rPr>
          <w:rFonts w:hint="eastAsia" w:ascii="仿宋_GB2312" w:eastAsia="仿宋_GB2312"/>
          <w:color w:val="000000"/>
          <w:sz w:val="32"/>
          <w:szCs w:val="32"/>
        </w:rPr>
        <w:t>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560" w:lineRule="exact"/>
        <w:ind w:firstLine="642" w:firstLineChars="200"/>
        <w:jc w:val="left"/>
        <w:outlineLvl w:val="2"/>
        <w:rPr>
          <w:rFonts w:ascii="仿宋" w:hAnsi="仿宋" w:eastAsia="仿宋"/>
          <w:b/>
          <w:color w:val="000000"/>
          <w:sz w:val="32"/>
          <w:szCs w:val="32"/>
        </w:rPr>
      </w:pPr>
      <w:bookmarkStart w:id="52" w:name="_Toc15377224"/>
      <w:r>
        <w:rPr>
          <w:rFonts w:hint="eastAsia" w:ascii="仿宋" w:hAnsi="仿宋" w:eastAsia="仿宋"/>
          <w:b/>
          <w:color w:val="000000"/>
          <w:sz w:val="32"/>
          <w:szCs w:val="32"/>
        </w:rPr>
        <w:t>（三）国有资产占有使用情况</w:t>
      </w:r>
      <w:bookmarkEnd w:id="52"/>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2019</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日，我单位共有车辆</w:t>
      </w:r>
      <w:r>
        <w:rPr>
          <w:rFonts w:ascii="仿宋_GB2312" w:eastAsia="仿宋_GB2312"/>
          <w:color w:val="000000"/>
          <w:sz w:val="32"/>
          <w:szCs w:val="32"/>
        </w:rPr>
        <w:t>2</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辆、特种设备车辆</w:t>
      </w:r>
      <w:r>
        <w:rPr>
          <w:rFonts w:ascii="仿宋_GB2312" w:eastAsia="仿宋_GB2312"/>
          <w:color w:val="000000"/>
          <w:sz w:val="32"/>
          <w:szCs w:val="32"/>
        </w:rPr>
        <w:t>2</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56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根据预算绩效管理要求，本部门（单位）在年初预算编制阶段，组织对本单位项目开展了预算事前绩效评估，对</w:t>
      </w:r>
      <w:r>
        <w:rPr>
          <w:rFonts w:ascii="仿宋_GB2312" w:eastAsia="仿宋_GB2312"/>
          <w:color w:val="000000"/>
          <w:sz w:val="32"/>
          <w:szCs w:val="32"/>
        </w:rPr>
        <w:t>2</w:t>
      </w:r>
      <w:r>
        <w:rPr>
          <w:rFonts w:hint="eastAsia" w:ascii="仿宋_GB2312" w:eastAsia="仿宋_GB2312"/>
          <w:color w:val="000000"/>
          <w:sz w:val="32"/>
          <w:szCs w:val="32"/>
        </w:rPr>
        <w:t>个项目编制了绩效目标，预算执行过程中，选取</w:t>
      </w:r>
      <w:r>
        <w:rPr>
          <w:rFonts w:ascii="仿宋_GB2312" w:eastAsia="仿宋_GB2312"/>
          <w:color w:val="000000"/>
          <w:sz w:val="32"/>
          <w:szCs w:val="32"/>
        </w:rPr>
        <w:t>2</w:t>
      </w:r>
      <w:r>
        <w:rPr>
          <w:rFonts w:hint="eastAsia" w:ascii="仿宋_GB2312" w:eastAsia="仿宋_GB2312"/>
          <w:color w:val="000000"/>
          <w:sz w:val="32"/>
          <w:szCs w:val="32"/>
        </w:rPr>
        <w:t>个项目开展绩效监控，年终执行完毕后，对</w:t>
      </w:r>
      <w:r>
        <w:rPr>
          <w:rFonts w:ascii="仿宋_GB2312" w:eastAsia="仿宋_GB2312"/>
          <w:color w:val="000000"/>
          <w:sz w:val="32"/>
          <w:szCs w:val="32"/>
        </w:rPr>
        <w:t>2</w:t>
      </w:r>
      <w:r>
        <w:rPr>
          <w:rFonts w:hint="eastAsia" w:ascii="仿宋_GB2312" w:eastAsia="仿宋_GB2312"/>
          <w:color w:val="000000"/>
          <w:sz w:val="32"/>
          <w:szCs w:val="32"/>
        </w:rPr>
        <w:t>个项目开展了绩效目标完成情况梳理填报。</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本部门按要求对</w:t>
      </w:r>
      <w:r>
        <w:rPr>
          <w:rFonts w:ascii="仿宋_GB2312" w:eastAsia="仿宋_GB2312"/>
          <w:color w:val="000000"/>
          <w:sz w:val="32"/>
          <w:szCs w:val="32"/>
        </w:rPr>
        <w:t>2019</w:t>
      </w:r>
      <w:r>
        <w:rPr>
          <w:rFonts w:hint="eastAsia" w:ascii="仿宋_GB2312" w:eastAsia="仿宋_GB2312"/>
          <w:color w:val="000000"/>
          <w:sz w:val="32"/>
          <w:szCs w:val="32"/>
        </w:rPr>
        <w:t>年部门整体支出开展绩效自评，从评价情况来看我局高度重视此次绩效评价自查工作，指定专人负责，认真整理各项资料和数据，并进行认真、细致、客观的自评。自评合计得分</w:t>
      </w:r>
      <w:r>
        <w:rPr>
          <w:rFonts w:ascii="仿宋_GB2312" w:eastAsia="仿宋_GB2312"/>
          <w:color w:val="000000"/>
          <w:sz w:val="32"/>
          <w:szCs w:val="32"/>
        </w:rPr>
        <w:t>99</w:t>
      </w:r>
      <w:r>
        <w:rPr>
          <w:rFonts w:hint="eastAsia" w:ascii="仿宋_GB2312" w:eastAsia="仿宋_GB2312"/>
          <w:color w:val="000000"/>
          <w:sz w:val="32"/>
          <w:szCs w:val="32"/>
        </w:rPr>
        <w:t>分，其中预决算编制、预算执行和绩效评价合计为</w:t>
      </w:r>
      <w:r>
        <w:rPr>
          <w:rFonts w:ascii="仿宋_GB2312" w:eastAsia="仿宋_GB2312"/>
          <w:color w:val="000000"/>
          <w:sz w:val="32"/>
          <w:szCs w:val="32"/>
        </w:rPr>
        <w:t>50</w:t>
      </w:r>
      <w:r>
        <w:rPr>
          <w:rFonts w:hint="eastAsia" w:ascii="仿宋_GB2312" w:eastAsia="仿宋_GB2312"/>
          <w:color w:val="000000"/>
          <w:sz w:val="32"/>
          <w:szCs w:val="32"/>
        </w:rPr>
        <w:t>分，预算管理为</w:t>
      </w:r>
      <w:r>
        <w:rPr>
          <w:rFonts w:ascii="仿宋_GB2312" w:eastAsia="仿宋_GB2312"/>
          <w:color w:val="000000"/>
          <w:sz w:val="32"/>
          <w:szCs w:val="32"/>
        </w:rPr>
        <w:t>49</w:t>
      </w:r>
      <w:r>
        <w:rPr>
          <w:rFonts w:hint="eastAsia" w:ascii="仿宋_GB2312" w:eastAsia="仿宋_GB2312"/>
          <w:color w:val="000000"/>
          <w:sz w:val="32"/>
          <w:szCs w:val="32"/>
        </w:rPr>
        <w:t>分。扣分原因主要是在</w:t>
      </w:r>
      <w:r>
        <w:rPr>
          <w:rFonts w:ascii="仿宋_GB2312" w:eastAsia="仿宋_GB2312"/>
          <w:color w:val="000000"/>
          <w:sz w:val="32"/>
          <w:szCs w:val="32"/>
        </w:rPr>
        <w:t>2019</w:t>
      </w:r>
      <w:r>
        <w:rPr>
          <w:rFonts w:hint="eastAsia" w:ascii="仿宋_GB2312" w:eastAsia="仿宋_GB2312"/>
          <w:color w:val="000000"/>
          <w:sz w:val="32"/>
          <w:szCs w:val="32"/>
        </w:rPr>
        <w:t>年财务管理中有该用公务卡支付而未用公务卡支付的情况。在下一步工作中，我局将加强政策学习，提高认识，加强现金和公务卡支付管理。</w:t>
      </w:r>
    </w:p>
    <w:p>
      <w:pPr>
        <w:spacing w:line="560" w:lineRule="exact"/>
        <w:ind w:firstLine="640" w:firstLineChars="200"/>
        <w:rPr>
          <w:rFonts w:ascii="仿宋_GB2312" w:eastAsia="仿宋_GB2312"/>
          <w:color w:val="000000"/>
          <w:sz w:val="32"/>
          <w:szCs w:val="32"/>
        </w:rPr>
      </w:pPr>
      <w:r>
        <w:rPr>
          <w:rFonts w:ascii="楷体_GB2312" w:hAnsi="楷体_GB2312" w:eastAsia="楷体_GB2312" w:cs="楷体_GB2312"/>
          <w:sz w:val="32"/>
          <w:szCs w:val="32"/>
        </w:rPr>
        <w:t>1.</w:t>
      </w:r>
      <w:r>
        <w:rPr>
          <w:rFonts w:hint="eastAsia" w:ascii="楷体_GB2312" w:hAnsi="楷体_GB2312" w:eastAsia="楷体_GB2312" w:cs="楷体_GB2312"/>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eastAsia="仿宋_GB2312"/>
          <w:color w:val="000000"/>
          <w:sz w:val="32"/>
          <w:szCs w:val="32"/>
        </w:rPr>
        <w:t>本部门在</w:t>
      </w:r>
      <w:r>
        <w:rPr>
          <w:rFonts w:ascii="仿宋_GB2312" w:eastAsia="仿宋_GB2312"/>
          <w:color w:val="000000"/>
          <w:sz w:val="32"/>
          <w:szCs w:val="32"/>
        </w:rPr>
        <w:t>2019</w:t>
      </w:r>
      <w:r>
        <w:rPr>
          <w:rFonts w:hint="eastAsia" w:ascii="仿宋_GB2312" w:eastAsia="仿宋_GB2312"/>
          <w:color w:val="000000"/>
          <w:sz w:val="32"/>
          <w:szCs w:val="32"/>
        </w:rPr>
        <w:t>年度部门决算中反映“办公用房租赁费”</w:t>
      </w:r>
      <w:r>
        <w:rPr>
          <w:rFonts w:ascii="仿宋_GB2312" w:eastAsia="仿宋_GB2312"/>
          <w:color w:val="000000"/>
          <w:sz w:val="32"/>
          <w:szCs w:val="32"/>
        </w:rPr>
        <w:t xml:space="preserve"> </w:t>
      </w:r>
      <w:r>
        <w:rPr>
          <w:rFonts w:hint="eastAsia" w:ascii="仿宋_GB2312" w:eastAsia="仿宋_GB2312"/>
          <w:color w:val="000000"/>
          <w:sz w:val="32"/>
          <w:szCs w:val="32"/>
        </w:rPr>
        <w:t>“安全生产大检查”</w:t>
      </w:r>
      <w:r>
        <w:rPr>
          <w:rFonts w:ascii="仿宋_GB2312" w:eastAsia="仿宋_GB2312"/>
          <w:color w:val="000000"/>
          <w:sz w:val="32"/>
          <w:szCs w:val="32"/>
        </w:rPr>
        <w:t>2</w:t>
      </w:r>
      <w:r>
        <w:rPr>
          <w:rFonts w:hint="eastAsia" w:ascii="仿宋_GB2312" w:eastAsia="仿宋_GB2312"/>
          <w:color w:val="000000"/>
          <w:sz w:val="32"/>
          <w:szCs w:val="32"/>
        </w:rPr>
        <w:t>个项目绩效目标实际完成情况。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）办公用房租赁项目绩效目标完成情况综述：为确保我局办公场所的正常使用，我局租用人保财险</w:t>
      </w:r>
      <w:r>
        <w:rPr>
          <w:rFonts w:ascii="仿宋_GB2312" w:eastAsia="仿宋_GB2312"/>
          <w:color w:val="000000"/>
          <w:sz w:val="32"/>
          <w:szCs w:val="32"/>
        </w:rPr>
        <w:t>4-6</w:t>
      </w:r>
      <w:r>
        <w:rPr>
          <w:rFonts w:hint="eastAsia" w:ascii="仿宋_GB2312" w:eastAsia="仿宋_GB2312"/>
          <w:color w:val="000000"/>
          <w:sz w:val="32"/>
          <w:szCs w:val="32"/>
        </w:rPr>
        <w:t>楼办公楼作为办公用房。项目全年预算数</w:t>
      </w:r>
      <w:r>
        <w:rPr>
          <w:rFonts w:ascii="仿宋_GB2312" w:eastAsia="仿宋_GB2312"/>
          <w:color w:val="000000"/>
          <w:sz w:val="32"/>
          <w:szCs w:val="32"/>
        </w:rPr>
        <w:t>11.4</w:t>
      </w:r>
      <w:r>
        <w:rPr>
          <w:rFonts w:hint="eastAsia" w:ascii="仿宋_GB2312" w:eastAsia="仿宋_GB2312"/>
          <w:color w:val="000000"/>
          <w:sz w:val="32"/>
          <w:szCs w:val="32"/>
        </w:rPr>
        <w:t>万元，执行数为</w:t>
      </w:r>
      <w:r>
        <w:rPr>
          <w:rFonts w:ascii="仿宋_GB2312" w:eastAsia="仿宋_GB2312"/>
          <w:color w:val="000000"/>
          <w:sz w:val="32"/>
          <w:szCs w:val="32"/>
        </w:rPr>
        <w:t>11.4</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olor w:val="000000"/>
          <w:sz w:val="32"/>
          <w:szCs w:val="32"/>
        </w:rPr>
        <w:t>。通过项目实施，保障了我局各项工作的正常开展。</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）安全生产大检查项目绩效目标完成情况综述：为切实履行安全监管职责，为群众提供一个安全稳定的环境，我局全年开展节前及烟花爆竹、危险化学品等安全生产专项大检查。项目全年预算数</w:t>
      </w:r>
      <w:r>
        <w:rPr>
          <w:rFonts w:ascii="仿宋_GB2312" w:eastAsia="仿宋_GB2312"/>
          <w:color w:val="000000"/>
          <w:sz w:val="32"/>
          <w:szCs w:val="32"/>
        </w:rPr>
        <w:t>10</w:t>
      </w:r>
      <w:r>
        <w:rPr>
          <w:rFonts w:hint="eastAsia" w:ascii="仿宋_GB2312" w:eastAsia="仿宋_GB2312"/>
          <w:color w:val="000000"/>
          <w:sz w:val="32"/>
          <w:szCs w:val="32"/>
        </w:rPr>
        <w:t>万元，执行数为</w:t>
      </w:r>
      <w:r>
        <w:rPr>
          <w:rFonts w:ascii="仿宋_GB2312" w:eastAsia="仿宋_GB2312"/>
          <w:color w:val="000000"/>
          <w:sz w:val="32"/>
          <w:szCs w:val="32"/>
        </w:rPr>
        <w:t>10</w:t>
      </w:r>
      <w:r>
        <w:rPr>
          <w:rFonts w:hint="eastAsia" w:ascii="仿宋_GB2312" w:eastAsia="仿宋_GB2312"/>
          <w:color w:val="000000"/>
          <w:sz w:val="32"/>
          <w:szCs w:val="32"/>
        </w:rPr>
        <w:t>万元，完成预算的</w:t>
      </w:r>
      <w:r>
        <w:rPr>
          <w:rFonts w:ascii="仿宋_GB2312" w:eastAsia="仿宋_GB2312"/>
          <w:color w:val="000000"/>
          <w:sz w:val="32"/>
          <w:szCs w:val="32"/>
        </w:rPr>
        <w:t>100%</w:t>
      </w:r>
      <w:r>
        <w:rPr>
          <w:rFonts w:hint="eastAsia" w:ascii="仿宋_GB2312" w:eastAsia="仿宋_GB2312"/>
          <w:color w:val="000000"/>
          <w:sz w:val="32"/>
          <w:szCs w:val="32"/>
        </w:rPr>
        <w:t>。通过项目实施，打击了违法非法行为，对隐患进行了排查治理、防范了安全生产事故、确保全区安全生产形势稳定。</w:t>
      </w: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10080" w:type="dxa"/>
        <w:tblInd w:w="0" w:type="dxa"/>
        <w:tblLayout w:type="fixed"/>
        <w:tblCellMar>
          <w:top w:w="0" w:type="dxa"/>
          <w:left w:w="0" w:type="dxa"/>
          <w:bottom w:w="0" w:type="dxa"/>
          <w:right w:w="0" w:type="dxa"/>
        </w:tblCellMar>
      </w:tblPr>
      <w:tblGrid>
        <w:gridCol w:w="866"/>
        <w:gridCol w:w="891"/>
        <w:gridCol w:w="1025"/>
        <w:gridCol w:w="635"/>
        <w:gridCol w:w="1757"/>
        <w:gridCol w:w="2394"/>
        <w:gridCol w:w="2512"/>
      </w:tblGrid>
      <w:tr>
        <w:tblPrEx>
          <w:tblCellMar>
            <w:top w:w="0" w:type="dxa"/>
            <w:left w:w="0" w:type="dxa"/>
            <w:bottom w:w="0" w:type="dxa"/>
            <w:right w:w="0" w:type="dxa"/>
          </w:tblCellMar>
        </w:tblPrEx>
        <w:trPr>
          <w:trHeight w:val="1034" w:hRule="atLeast"/>
        </w:trPr>
        <w:tc>
          <w:tcPr>
            <w:tcW w:w="10080" w:type="dxa"/>
            <w:gridSpan w:val="7"/>
            <w:tcMar>
              <w:top w:w="15" w:type="dxa"/>
              <w:left w:w="15" w:type="dxa"/>
              <w:bottom w:w="0" w:type="dxa"/>
              <w:right w:w="15" w:type="dxa"/>
            </w:tcMar>
            <w:vAlign w:val="center"/>
          </w:tcPr>
          <w:p>
            <w:pPr>
              <w:widowControl/>
              <w:spacing w:line="560" w:lineRule="exact"/>
              <w:jc w:val="center"/>
              <w:textAlignment w:val="center"/>
              <w:rPr>
                <w:color w:val="000000"/>
                <w:sz w:val="36"/>
                <w:szCs w:val="36"/>
              </w:rPr>
            </w:pPr>
            <w:r>
              <w:rPr>
                <w:rFonts w:hint="eastAsia" w:hAnsi="黑体" w:eastAsia="黑体"/>
                <w:bCs/>
                <w:color w:val="000000"/>
                <w:kern w:val="0"/>
                <w:sz w:val="36"/>
                <w:szCs w:val="36"/>
              </w:rPr>
              <w:t>项目支出绩效目标完成情况表</w:t>
            </w:r>
            <w:r>
              <w:rPr>
                <w:b/>
                <w:bCs/>
                <w:color w:val="000000"/>
                <w:kern w:val="0"/>
                <w:sz w:val="36"/>
                <w:szCs w:val="36"/>
              </w:rPr>
              <w:br w:type="textWrapping"/>
            </w:r>
            <w:r>
              <w:rPr>
                <w:color w:val="000000"/>
                <w:kern w:val="0"/>
                <w:sz w:val="36"/>
                <w:szCs w:val="36"/>
              </w:rPr>
              <w:t xml:space="preserve">(2019 </w:t>
            </w:r>
            <w:r>
              <w:rPr>
                <w:rFonts w:hint="eastAsia" w:hAnsi="宋体"/>
                <w:color w:val="000000"/>
                <w:kern w:val="0"/>
                <w:sz w:val="36"/>
                <w:szCs w:val="36"/>
              </w:rPr>
              <w:t>年度</w:t>
            </w:r>
            <w:r>
              <w:rPr>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项目名称</w:t>
            </w:r>
          </w:p>
        </w:tc>
        <w:tc>
          <w:tcPr>
            <w:tcW w:w="729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rFonts w:hAnsi="宋体"/>
                <w:color w:val="000000"/>
                <w:kern w:val="0"/>
                <w:sz w:val="24"/>
              </w:rPr>
            </w:pPr>
            <w:r>
              <w:rPr>
                <w:rFonts w:hint="eastAsia" w:hAnsi="宋体"/>
                <w:color w:val="000000"/>
                <w:kern w:val="0"/>
                <w:sz w:val="24"/>
              </w:rPr>
              <w:t>办公用房租赁</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预算单位</w:t>
            </w:r>
          </w:p>
        </w:tc>
        <w:tc>
          <w:tcPr>
            <w:tcW w:w="729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攀枝花市仁和区应急管理局</w:t>
            </w:r>
          </w:p>
        </w:tc>
      </w:tr>
      <w:tr>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预算执行情况</w:t>
            </w:r>
            <w:r>
              <w:rPr>
                <w:color w:val="000000"/>
                <w:kern w:val="0"/>
                <w:sz w:val="24"/>
              </w:rPr>
              <w:t>(</w:t>
            </w:r>
            <w:r>
              <w:rPr>
                <w:rFonts w:hint="eastAsia" w:hAnsi="宋体"/>
                <w:color w:val="000000"/>
                <w:kern w:val="0"/>
                <w:sz w:val="24"/>
              </w:rPr>
              <w:t>万元</w:t>
            </w:r>
            <w:r>
              <w:rPr>
                <w:color w:val="000000"/>
                <w:kern w:val="0"/>
                <w:sz w:val="24"/>
              </w:rPr>
              <w:t>)</w:t>
            </w:r>
          </w:p>
        </w:tc>
        <w:tc>
          <w:tcPr>
            <w:tcW w:w="19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预算数</w:t>
            </w:r>
            <w:r>
              <w:rPr>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color w:val="000000"/>
                <w:sz w:val="24"/>
              </w:rPr>
              <w:t>11.4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执行数</w:t>
            </w:r>
            <w:r>
              <w:rPr>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color w:val="000000"/>
                <w:sz w:val="24"/>
              </w:rPr>
              <w:t>11.4</w:t>
            </w:r>
          </w:p>
        </w:tc>
      </w:tr>
      <w:tr>
        <w:tblPrEx>
          <w:tblCellMar>
            <w:top w:w="0" w:type="dxa"/>
            <w:left w:w="0" w:type="dxa"/>
            <w:bottom w:w="0" w:type="dxa"/>
            <w:right w:w="0" w:type="dxa"/>
          </w:tblCellMar>
        </w:tblPrEx>
        <w:trPr>
          <w:trHeight w:val="276"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19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其中</w:t>
            </w:r>
            <w:r>
              <w:rPr>
                <w:color w:val="000000"/>
                <w:kern w:val="0"/>
                <w:sz w:val="24"/>
              </w:rPr>
              <w:t>-</w:t>
            </w:r>
            <w:r>
              <w:rPr>
                <w:rFonts w:hint="eastAsia" w:hAnsi="宋体"/>
                <w:color w:val="000000"/>
                <w:kern w:val="0"/>
                <w:sz w:val="24"/>
              </w:rPr>
              <w:t>财政拨款</w:t>
            </w:r>
            <w:r>
              <w:rPr>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color w:val="000000"/>
                <w:sz w:val="24"/>
              </w:rPr>
              <w:t>11.4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其中</w:t>
            </w:r>
            <w:r>
              <w:rPr>
                <w:color w:val="000000"/>
                <w:kern w:val="0"/>
                <w:sz w:val="24"/>
              </w:rPr>
              <w:t>-</w:t>
            </w:r>
            <w:r>
              <w:rPr>
                <w:rFonts w:hint="eastAsia" w:hAnsi="宋体"/>
                <w:color w:val="000000"/>
                <w:kern w:val="0"/>
                <w:sz w:val="24"/>
              </w:rPr>
              <w:t>财政拨款</w:t>
            </w:r>
            <w:r>
              <w:rPr>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color w:val="000000"/>
                <w:sz w:val="24"/>
              </w:rPr>
              <w:t>11.4</w:t>
            </w:r>
          </w:p>
        </w:tc>
      </w:tr>
      <w:tr>
        <w:tblPrEx>
          <w:tblCellMar>
            <w:top w:w="0" w:type="dxa"/>
            <w:left w:w="0" w:type="dxa"/>
            <w:bottom w:w="0" w:type="dxa"/>
            <w:right w:w="0" w:type="dxa"/>
          </w:tblCellMar>
        </w:tblPrEx>
        <w:trPr>
          <w:trHeight w:val="1131"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19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其它资金</w:t>
            </w:r>
            <w:r>
              <w:rPr>
                <w:color w:val="000000"/>
                <w:kern w:val="0"/>
                <w:sz w:val="24"/>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其它资金</w:t>
            </w:r>
            <w:r>
              <w:rPr>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jc w:val="center"/>
              <w:rPr>
                <w:color w:val="000000"/>
                <w:sz w:val="24"/>
              </w:rPr>
            </w:pPr>
            <w:r>
              <w:rPr>
                <w:color w:val="000000"/>
                <w:sz w:val="24"/>
              </w:rPr>
              <w:t>0</w:t>
            </w:r>
          </w:p>
        </w:tc>
      </w:tr>
      <w:tr>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Cs w:val="21"/>
              </w:rPr>
            </w:pPr>
            <w:r>
              <w:rPr>
                <w:rFonts w:hint="eastAsia" w:hAnsi="宋体"/>
                <w:color w:val="000000"/>
                <w:kern w:val="0"/>
                <w:szCs w:val="21"/>
              </w:rPr>
              <w:t>年度目标完成情况</w:t>
            </w:r>
          </w:p>
        </w:tc>
        <w:tc>
          <w:tcPr>
            <w:tcW w:w="430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预期目标</w:t>
            </w:r>
          </w:p>
        </w:tc>
        <w:tc>
          <w:tcPr>
            <w:tcW w:w="490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实际完成目标</w:t>
            </w:r>
          </w:p>
        </w:tc>
      </w:tr>
      <w:tr>
        <w:tblPrEx>
          <w:tblCellMar>
            <w:top w:w="0" w:type="dxa"/>
            <w:left w:w="0" w:type="dxa"/>
            <w:bottom w:w="0" w:type="dxa"/>
            <w:right w:w="0" w:type="dxa"/>
          </w:tblCellMar>
        </w:tblPrEx>
        <w:trPr>
          <w:trHeight w:val="711"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4308" w:type="dxa"/>
            <w:gridSpan w:val="4"/>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5"/>
              <w:adjustRightInd w:val="0"/>
              <w:snapToGrid w:val="0"/>
              <w:spacing w:before="93" w:line="560" w:lineRule="exact"/>
              <w:ind w:firstLine="360" w:firstLineChars="200"/>
              <w:rPr>
                <w:rFonts w:ascii="Times New Roman" w:eastAsia="方正仿宋_GBK"/>
                <w:bCs/>
                <w:sz w:val="18"/>
                <w:szCs w:val="18"/>
                <w:lang w:val="en-US" w:eastAsia="zh-CN"/>
              </w:rPr>
            </w:pPr>
            <w:r>
              <w:rPr>
                <w:rFonts w:hint="eastAsia" w:ascii="Times New Roman" w:eastAsia="方正仿宋_GBK"/>
                <w:bCs/>
                <w:sz w:val="18"/>
                <w:szCs w:val="18"/>
                <w:lang w:val="en-US" w:eastAsia="zh-CN"/>
              </w:rPr>
              <w:t>确保我局办公用房正常使用</w:t>
            </w:r>
          </w:p>
        </w:tc>
        <w:tc>
          <w:tcPr>
            <w:tcW w:w="490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5"/>
              <w:adjustRightInd w:val="0"/>
              <w:snapToGrid w:val="0"/>
              <w:spacing w:before="93" w:line="560" w:lineRule="exact"/>
              <w:ind w:firstLine="360" w:firstLineChars="200"/>
              <w:rPr>
                <w:rFonts w:ascii="Times New Roman" w:eastAsia="方正仿宋_GBK"/>
                <w:bCs/>
                <w:sz w:val="18"/>
                <w:szCs w:val="18"/>
                <w:lang w:val="en-US" w:eastAsia="zh-CN"/>
              </w:rPr>
            </w:pPr>
            <w:r>
              <w:rPr>
                <w:rFonts w:hint="eastAsia" w:ascii="Times New Roman" w:eastAsia="方正仿宋_GBK"/>
                <w:bCs/>
                <w:sz w:val="18"/>
                <w:szCs w:val="18"/>
                <w:lang w:val="en-US" w:eastAsia="zh-CN"/>
              </w:rPr>
              <w:t>确保我局办公用房正常使用</w:t>
            </w:r>
          </w:p>
        </w:tc>
      </w:tr>
      <w:tr>
        <w:tblPrEx>
          <w:tblCellMar>
            <w:top w:w="0" w:type="dxa"/>
            <w:left w:w="0" w:type="dxa"/>
            <w:bottom w:w="0" w:type="dxa"/>
            <w:right w:w="0" w:type="dxa"/>
          </w:tblCellMar>
        </w:tblPrEx>
        <w:trPr>
          <w:trHeight w:val="797"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sz w:val="24"/>
              </w:rPr>
              <w:t>绩效指标完成情况</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一级指标</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二级指标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预期指标值</w:t>
            </w:r>
            <w:r>
              <w:rPr>
                <w:color w:val="000000"/>
                <w:kern w:val="0"/>
                <w:sz w:val="24"/>
              </w:rPr>
              <w:t>(</w:t>
            </w:r>
            <w:r>
              <w:rPr>
                <w:rFonts w:hint="eastAsia" w:hAnsi="宋体"/>
                <w:color w:val="000000"/>
                <w:kern w:val="0"/>
                <w:sz w:val="24"/>
              </w:rPr>
              <w:t>包含数字及文字描述</w:t>
            </w:r>
            <w:r>
              <w:rPr>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实际完成指标值</w:t>
            </w:r>
            <w:r>
              <w:rPr>
                <w:color w:val="000000"/>
                <w:kern w:val="0"/>
                <w:sz w:val="24"/>
              </w:rPr>
              <w:t>(</w:t>
            </w:r>
            <w:r>
              <w:rPr>
                <w:rFonts w:hint="eastAsia" w:hAnsi="宋体"/>
                <w:color w:val="000000"/>
                <w:kern w:val="0"/>
                <w:sz w:val="24"/>
              </w:rPr>
              <w:t>包含数字及文字描述</w:t>
            </w:r>
            <w:r>
              <w:rPr>
                <w:color w:val="000000"/>
                <w:kern w:val="0"/>
                <w:sz w:val="24"/>
              </w:rPr>
              <w:t>)</w:t>
            </w:r>
          </w:p>
        </w:tc>
      </w:tr>
      <w:tr>
        <w:tblPrEx>
          <w:tblCellMar>
            <w:top w:w="0" w:type="dxa"/>
            <w:left w:w="0" w:type="dxa"/>
            <w:bottom w:w="0" w:type="dxa"/>
            <w:right w:w="0" w:type="dxa"/>
          </w:tblCellMar>
        </w:tblPrEx>
        <w:trPr>
          <w:trHeight w:val="953"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项目完成指标</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数量指标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p>
        </w:tc>
      </w:tr>
      <w:tr>
        <w:tblPrEx>
          <w:tblCellMar>
            <w:top w:w="0" w:type="dxa"/>
            <w:left w:w="0" w:type="dxa"/>
            <w:bottom w:w="0" w:type="dxa"/>
            <w:right w:w="0" w:type="dxa"/>
          </w:tblCellMar>
        </w:tblPrEx>
        <w:trPr>
          <w:trHeight w:val="12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项目完成指标</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时效指标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rFonts w:hint="eastAsia"/>
                <w:sz w:val="18"/>
                <w:szCs w:val="18"/>
              </w:rPr>
              <w:t>项目开展时间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sz w:val="18"/>
                <w:szCs w:val="18"/>
              </w:rPr>
              <w:t>2019</w:t>
            </w:r>
            <w:r>
              <w:rPr>
                <w:rFonts w:hint="eastAsia"/>
                <w:sz w:val="18"/>
                <w:szCs w:val="18"/>
              </w:rPr>
              <w:t>年全年</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sz w:val="18"/>
                <w:szCs w:val="18"/>
              </w:rPr>
              <w:t>2019</w:t>
            </w:r>
            <w:r>
              <w:rPr>
                <w:rFonts w:hint="eastAsia"/>
                <w:sz w:val="18"/>
                <w:szCs w:val="18"/>
              </w:rPr>
              <w:t>年全年</w:t>
            </w:r>
          </w:p>
        </w:tc>
      </w:tr>
      <w:tr>
        <w:tblPrEx>
          <w:tblCellMar>
            <w:top w:w="0" w:type="dxa"/>
            <w:left w:w="0" w:type="dxa"/>
            <w:bottom w:w="0" w:type="dxa"/>
            <w:right w:w="0" w:type="dxa"/>
          </w:tblCellMar>
        </w:tblPrEx>
        <w:trPr>
          <w:trHeight w:val="104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kern w:val="0"/>
                <w:sz w:val="24"/>
              </w:rPr>
            </w:pPr>
            <w:r>
              <w:rPr>
                <w:rFonts w:hint="eastAsia" w:hAnsi="宋体"/>
                <w:color w:val="000000"/>
                <w:kern w:val="0"/>
                <w:sz w:val="24"/>
              </w:rPr>
              <w:t>项目完成指标</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成本指标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rFonts w:hint="eastAsia"/>
                <w:sz w:val="18"/>
                <w:szCs w:val="18"/>
              </w:rPr>
              <w:t>所需各项经费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rFonts w:hint="eastAsia"/>
                <w:sz w:val="18"/>
                <w:szCs w:val="18"/>
              </w:rPr>
              <w:t>房屋租赁费</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sz w:val="18"/>
                <w:szCs w:val="18"/>
              </w:rPr>
              <w:t>11.4</w:t>
            </w:r>
            <w:r>
              <w:rPr>
                <w:rFonts w:hint="eastAsia"/>
                <w:sz w:val="18"/>
                <w:szCs w:val="18"/>
              </w:rPr>
              <w:t>万元</w:t>
            </w:r>
          </w:p>
        </w:tc>
      </w:tr>
      <w:tr>
        <w:tblPrEx>
          <w:tblCellMar>
            <w:top w:w="0" w:type="dxa"/>
            <w:left w:w="0" w:type="dxa"/>
            <w:bottom w:w="0" w:type="dxa"/>
            <w:right w:w="0" w:type="dxa"/>
          </w:tblCellMar>
        </w:tblPrEx>
        <w:trPr>
          <w:trHeight w:val="104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效益指标</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社会效益指标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p>
        </w:tc>
      </w:tr>
      <w:tr>
        <w:tblPrEx>
          <w:tblCellMar>
            <w:top w:w="0" w:type="dxa"/>
            <w:left w:w="0" w:type="dxa"/>
            <w:bottom w:w="0" w:type="dxa"/>
            <w:right w:w="0" w:type="dxa"/>
          </w:tblCellMar>
        </w:tblPrEx>
        <w:trPr>
          <w:trHeight w:val="104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满意度指标</w:t>
            </w:r>
          </w:p>
        </w:tc>
        <w:tc>
          <w:tcPr>
            <w:tcW w:w="166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jc w:val="center"/>
              <w:rPr>
                <w:rFonts w:ascii="宋体" w:cs="宋体"/>
                <w:sz w:val="18"/>
                <w:szCs w:val="18"/>
              </w:rPr>
            </w:pPr>
            <w:r>
              <w:rPr>
                <w:rFonts w:hint="eastAsia"/>
                <w:sz w:val="18"/>
                <w:szCs w:val="18"/>
              </w:rPr>
              <w:t>服务对象满意度指标</w:t>
            </w:r>
          </w:p>
          <w:p>
            <w:pPr>
              <w:widowControl/>
              <w:spacing w:line="560" w:lineRule="exact"/>
              <w:jc w:val="center"/>
              <w:textAlignment w:val="center"/>
              <w:rPr>
                <w:color w:val="000000"/>
                <w:sz w:val="24"/>
              </w:rPr>
            </w:pP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sz w:val="18"/>
                <w:szCs w:val="18"/>
              </w:rPr>
              <w:t>单位职工及群众满意度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w:t>
            </w:r>
            <w:r>
              <w:rPr>
                <w:color w:val="000000"/>
                <w:sz w:val="24"/>
              </w:rPr>
              <w:t>90%</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p>
        </w:tc>
      </w:tr>
    </w:tbl>
    <w:p>
      <w:pPr>
        <w:spacing w:line="56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10080" w:type="dxa"/>
        <w:tblInd w:w="0" w:type="dxa"/>
        <w:tblLayout w:type="fixed"/>
        <w:tblCellMar>
          <w:top w:w="0" w:type="dxa"/>
          <w:left w:w="0" w:type="dxa"/>
          <w:bottom w:w="0" w:type="dxa"/>
          <w:right w:w="0" w:type="dxa"/>
        </w:tblCellMar>
      </w:tblPr>
      <w:tblGrid>
        <w:gridCol w:w="866"/>
        <w:gridCol w:w="891"/>
        <w:gridCol w:w="1025"/>
        <w:gridCol w:w="2392"/>
        <w:gridCol w:w="2394"/>
        <w:gridCol w:w="2512"/>
      </w:tblGrid>
      <w:tr>
        <w:tblPrEx>
          <w:tblCellMar>
            <w:top w:w="0" w:type="dxa"/>
            <w:left w:w="0" w:type="dxa"/>
            <w:bottom w:w="0" w:type="dxa"/>
            <w:right w:w="0" w:type="dxa"/>
          </w:tblCellMar>
        </w:tblPrEx>
        <w:trPr>
          <w:trHeight w:val="1034" w:hRule="atLeast"/>
        </w:trPr>
        <w:tc>
          <w:tcPr>
            <w:tcW w:w="10080" w:type="dxa"/>
            <w:gridSpan w:val="6"/>
            <w:tcMar>
              <w:top w:w="15" w:type="dxa"/>
              <w:left w:w="15" w:type="dxa"/>
              <w:bottom w:w="0" w:type="dxa"/>
              <w:right w:w="15" w:type="dxa"/>
            </w:tcMar>
            <w:vAlign w:val="center"/>
          </w:tcPr>
          <w:p>
            <w:pPr>
              <w:widowControl/>
              <w:spacing w:line="560" w:lineRule="exact"/>
              <w:jc w:val="center"/>
              <w:textAlignment w:val="center"/>
              <w:rPr>
                <w:color w:val="000000"/>
                <w:sz w:val="36"/>
                <w:szCs w:val="36"/>
              </w:rPr>
            </w:pPr>
            <w:r>
              <w:rPr>
                <w:rFonts w:hint="eastAsia" w:hAnsi="黑体" w:eastAsia="黑体"/>
                <w:bCs/>
                <w:color w:val="000000"/>
                <w:kern w:val="0"/>
                <w:sz w:val="36"/>
                <w:szCs w:val="36"/>
              </w:rPr>
              <w:t>项目支出绩效目标完成情况表</w:t>
            </w:r>
            <w:r>
              <w:rPr>
                <w:b/>
                <w:bCs/>
                <w:color w:val="000000"/>
                <w:kern w:val="0"/>
                <w:sz w:val="36"/>
                <w:szCs w:val="36"/>
              </w:rPr>
              <w:br w:type="textWrapping"/>
            </w:r>
            <w:r>
              <w:rPr>
                <w:color w:val="000000"/>
                <w:kern w:val="0"/>
                <w:sz w:val="36"/>
                <w:szCs w:val="36"/>
              </w:rPr>
              <w:t xml:space="preserve">(2019 </w:t>
            </w:r>
            <w:r>
              <w:rPr>
                <w:rFonts w:hint="eastAsia" w:hAnsi="宋体"/>
                <w:color w:val="000000"/>
                <w:kern w:val="0"/>
                <w:sz w:val="36"/>
                <w:szCs w:val="36"/>
              </w:rPr>
              <w:t>年度</w:t>
            </w:r>
            <w:r>
              <w:rPr>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项目名称</w:t>
            </w:r>
          </w:p>
        </w:tc>
        <w:tc>
          <w:tcPr>
            <w:tcW w:w="72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rFonts w:hAnsi="宋体"/>
                <w:color w:val="000000"/>
                <w:kern w:val="0"/>
                <w:sz w:val="24"/>
              </w:rPr>
            </w:pPr>
            <w:r>
              <w:rPr>
                <w:rFonts w:hint="eastAsia" w:hAnsi="宋体"/>
                <w:color w:val="000000"/>
                <w:kern w:val="0"/>
                <w:sz w:val="24"/>
              </w:rPr>
              <w:t>安全生产大检查</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预算单位</w:t>
            </w:r>
          </w:p>
        </w:tc>
        <w:tc>
          <w:tcPr>
            <w:tcW w:w="729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攀枝花市仁和区应急管理局</w:t>
            </w:r>
          </w:p>
        </w:tc>
      </w:tr>
      <w:tr>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预算执行情况</w:t>
            </w:r>
            <w:r>
              <w:rPr>
                <w:color w:val="000000"/>
                <w:kern w:val="0"/>
                <w:sz w:val="24"/>
              </w:rPr>
              <w:t>(</w:t>
            </w:r>
            <w:r>
              <w:rPr>
                <w:rFonts w:hint="eastAsia" w:hAnsi="宋体"/>
                <w:color w:val="000000"/>
                <w:kern w:val="0"/>
                <w:sz w:val="24"/>
              </w:rPr>
              <w:t>万元</w:t>
            </w:r>
            <w:r>
              <w:rPr>
                <w:color w:val="000000"/>
                <w:kern w:val="0"/>
                <w:sz w:val="24"/>
              </w:rPr>
              <w:t>)</w:t>
            </w:r>
          </w:p>
        </w:tc>
        <w:tc>
          <w:tcPr>
            <w:tcW w:w="19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预算数</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执行数</w:t>
            </w:r>
            <w:r>
              <w:rPr>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color w:val="000000"/>
                <w:sz w:val="24"/>
              </w:rPr>
              <w:t>10</w:t>
            </w:r>
          </w:p>
        </w:tc>
      </w:tr>
      <w:tr>
        <w:tblPrEx>
          <w:tblCellMar>
            <w:top w:w="0" w:type="dxa"/>
            <w:left w:w="0" w:type="dxa"/>
            <w:bottom w:w="0" w:type="dxa"/>
            <w:right w:w="0" w:type="dxa"/>
          </w:tblCellMar>
        </w:tblPrEx>
        <w:trPr>
          <w:trHeight w:val="276"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19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其中</w:t>
            </w:r>
            <w:r>
              <w:rPr>
                <w:color w:val="000000"/>
                <w:kern w:val="0"/>
                <w:sz w:val="24"/>
              </w:rPr>
              <w:t>-</w:t>
            </w:r>
            <w:r>
              <w:rPr>
                <w:rFonts w:hint="eastAsia" w:hAnsi="宋体"/>
                <w:color w:val="000000"/>
                <w:kern w:val="0"/>
                <w:sz w:val="24"/>
              </w:rPr>
              <w:t>财政拨款</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color w:val="000000"/>
                <w:sz w:val="24"/>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其中</w:t>
            </w:r>
            <w:r>
              <w:rPr>
                <w:color w:val="000000"/>
                <w:kern w:val="0"/>
                <w:sz w:val="24"/>
              </w:rPr>
              <w:t>-</w:t>
            </w:r>
            <w:r>
              <w:rPr>
                <w:rFonts w:hint="eastAsia" w:hAnsi="宋体"/>
                <w:color w:val="000000"/>
                <w:kern w:val="0"/>
                <w:sz w:val="24"/>
              </w:rPr>
              <w:t>财政拨款</w:t>
            </w:r>
            <w:r>
              <w:rPr>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color w:val="000000"/>
                <w:sz w:val="24"/>
              </w:rPr>
              <w:t>10</w:t>
            </w:r>
          </w:p>
        </w:tc>
      </w:tr>
      <w:tr>
        <w:tblPrEx>
          <w:tblCellMar>
            <w:top w:w="0" w:type="dxa"/>
            <w:left w:w="0" w:type="dxa"/>
            <w:bottom w:w="0" w:type="dxa"/>
            <w:right w:w="0" w:type="dxa"/>
          </w:tblCellMar>
        </w:tblPrEx>
        <w:trPr>
          <w:trHeight w:val="1511"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191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其它资金</w:t>
            </w:r>
            <w:r>
              <w:rPr>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其它资金</w:t>
            </w:r>
            <w:r>
              <w:rPr>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jc w:val="center"/>
              <w:rPr>
                <w:color w:val="000000"/>
                <w:sz w:val="24"/>
              </w:rPr>
            </w:pPr>
            <w:r>
              <w:rPr>
                <w:color w:val="000000"/>
                <w:sz w:val="24"/>
              </w:rPr>
              <w:t>0</w:t>
            </w:r>
          </w:p>
        </w:tc>
      </w:tr>
      <w:tr>
        <w:tblPrEx>
          <w:tblCellMar>
            <w:top w:w="0" w:type="dxa"/>
            <w:left w:w="0" w:type="dxa"/>
            <w:bottom w:w="0" w:type="dxa"/>
            <w:right w:w="0" w:type="dxa"/>
          </w:tblCellMar>
        </w:tblPrEx>
        <w:trPr>
          <w:trHeight w:val="276"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年度目标完成情况</w:t>
            </w:r>
          </w:p>
        </w:tc>
        <w:tc>
          <w:tcPr>
            <w:tcW w:w="430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预期目标</w:t>
            </w:r>
          </w:p>
        </w:tc>
        <w:tc>
          <w:tcPr>
            <w:tcW w:w="490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实际完成目标</w:t>
            </w:r>
          </w:p>
        </w:tc>
      </w:tr>
      <w:tr>
        <w:tblPrEx>
          <w:tblCellMar>
            <w:top w:w="0" w:type="dxa"/>
            <w:left w:w="0" w:type="dxa"/>
            <w:bottom w:w="0" w:type="dxa"/>
            <w:right w:w="0" w:type="dxa"/>
          </w:tblCellMar>
        </w:tblPrEx>
        <w:trPr>
          <w:trHeight w:val="1159"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430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5"/>
              <w:adjustRightInd w:val="0"/>
              <w:snapToGrid w:val="0"/>
              <w:spacing w:before="93" w:line="560" w:lineRule="exact"/>
              <w:ind w:firstLine="360" w:firstLineChars="200"/>
              <w:rPr>
                <w:rFonts w:ascii="Times New Roman" w:eastAsia="方正仿宋_GBK"/>
                <w:bCs/>
                <w:sz w:val="18"/>
                <w:szCs w:val="18"/>
                <w:lang w:val="en-US" w:eastAsia="zh-CN"/>
              </w:rPr>
            </w:pPr>
            <w:r>
              <w:rPr>
                <w:rFonts w:hint="eastAsia" w:ascii="Times New Roman" w:eastAsia="方正仿宋_GBK"/>
                <w:bCs/>
                <w:sz w:val="18"/>
                <w:szCs w:val="18"/>
                <w:lang w:val="en-US" w:eastAsia="zh-CN"/>
              </w:rPr>
              <w:t>全年开展节前及烟花爆竹、危险化学品、非煤矿山等安全生产专项大检查，切实履行安全监管职责，为群众提供一个安全稳定的环境</w:t>
            </w:r>
          </w:p>
        </w:tc>
        <w:tc>
          <w:tcPr>
            <w:tcW w:w="490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5"/>
              <w:adjustRightInd w:val="0"/>
              <w:snapToGrid w:val="0"/>
              <w:spacing w:before="93" w:line="560" w:lineRule="exact"/>
              <w:ind w:firstLine="360" w:firstLineChars="200"/>
              <w:rPr>
                <w:rFonts w:ascii="Times New Roman" w:eastAsia="方正仿宋_GBK"/>
                <w:bCs/>
                <w:sz w:val="18"/>
                <w:szCs w:val="18"/>
                <w:lang w:val="en-US" w:eastAsia="zh-CN"/>
              </w:rPr>
            </w:pPr>
            <w:r>
              <w:rPr>
                <w:rFonts w:hint="eastAsia" w:ascii="Times New Roman" w:eastAsia="方正仿宋_GBK"/>
                <w:bCs/>
                <w:sz w:val="18"/>
                <w:szCs w:val="18"/>
                <w:lang w:val="en-US" w:eastAsia="zh-CN"/>
              </w:rPr>
              <w:t>全年开展节前及烟花爆竹、危险化学品、非煤矿山等安全生产专项大检查，切实履行安全监管职责，为群众提供一个安全稳定的环境</w:t>
            </w:r>
          </w:p>
        </w:tc>
      </w:tr>
      <w:tr>
        <w:tblPrEx>
          <w:tblCellMar>
            <w:top w:w="0" w:type="dxa"/>
            <w:left w:w="0" w:type="dxa"/>
            <w:bottom w:w="0" w:type="dxa"/>
            <w:right w:w="0" w:type="dxa"/>
          </w:tblCellMar>
        </w:tblPrEx>
        <w:trPr>
          <w:trHeight w:val="1042" w:hRule="atLeast"/>
        </w:trPr>
        <w:tc>
          <w:tcPr>
            <w:tcW w:w="866"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sz w:val="24"/>
              </w:rPr>
              <w:t>绩效指标完成情况</w:t>
            </w: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预期指标值</w:t>
            </w:r>
            <w:r>
              <w:rPr>
                <w:color w:val="000000"/>
                <w:kern w:val="0"/>
                <w:sz w:val="24"/>
              </w:rPr>
              <w:t>(</w:t>
            </w:r>
            <w:r>
              <w:rPr>
                <w:rFonts w:hint="eastAsia" w:hAnsi="宋体"/>
                <w:color w:val="000000"/>
                <w:kern w:val="0"/>
                <w:sz w:val="24"/>
              </w:rPr>
              <w:t>包含数字及文字描述</w:t>
            </w:r>
            <w:r>
              <w:rPr>
                <w:color w:val="000000"/>
                <w:kern w:val="0"/>
                <w:sz w:val="24"/>
              </w:rPr>
              <w:t>)</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实际完成指标值</w:t>
            </w:r>
            <w:r>
              <w:rPr>
                <w:color w:val="000000"/>
                <w:kern w:val="0"/>
                <w:sz w:val="24"/>
              </w:rPr>
              <w:t>(</w:t>
            </w:r>
            <w:r>
              <w:rPr>
                <w:rFonts w:hint="eastAsia" w:hAnsi="宋体"/>
                <w:color w:val="000000"/>
                <w:kern w:val="0"/>
                <w:sz w:val="24"/>
              </w:rPr>
              <w:t>包含数字及文字描述</w:t>
            </w:r>
            <w:r>
              <w:rPr>
                <w:color w:val="000000"/>
                <w:kern w:val="0"/>
                <w:sz w:val="24"/>
              </w:rPr>
              <w:t>)</w:t>
            </w:r>
          </w:p>
        </w:tc>
      </w:tr>
      <w:tr>
        <w:tblPrEx>
          <w:tblCellMar>
            <w:top w:w="0" w:type="dxa"/>
            <w:left w:w="0" w:type="dxa"/>
            <w:bottom w:w="0" w:type="dxa"/>
            <w:right w:w="0" w:type="dxa"/>
          </w:tblCellMar>
        </w:tblPrEx>
        <w:trPr>
          <w:trHeight w:val="953"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开展节前大检查次数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全年开展春节、五一、国庆、元旦</w:t>
            </w:r>
            <w:r>
              <w:rPr>
                <w:color w:val="000000"/>
                <w:sz w:val="24"/>
              </w:rPr>
              <w:t>4</w:t>
            </w:r>
            <w:r>
              <w:rPr>
                <w:rFonts w:hint="eastAsia"/>
                <w:color w:val="000000"/>
                <w:sz w:val="24"/>
              </w:rPr>
              <w:t>次节前检查</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textAlignment w:val="center"/>
              <w:rPr>
                <w:color w:val="000000"/>
                <w:sz w:val="24"/>
              </w:rPr>
            </w:pPr>
            <w:r>
              <w:rPr>
                <w:rFonts w:hint="eastAsia"/>
                <w:color w:val="000000"/>
                <w:sz w:val="24"/>
              </w:rPr>
              <w:t>共开展春节、五一、国庆、元旦</w:t>
            </w:r>
            <w:r>
              <w:rPr>
                <w:color w:val="000000"/>
                <w:sz w:val="24"/>
              </w:rPr>
              <w:t>4</w:t>
            </w:r>
            <w:r>
              <w:rPr>
                <w:rFonts w:hint="eastAsia"/>
                <w:color w:val="000000"/>
                <w:sz w:val="24"/>
              </w:rPr>
              <w:t>次节前检查</w:t>
            </w:r>
          </w:p>
        </w:tc>
      </w:tr>
      <w:tr>
        <w:tblPrEx>
          <w:tblCellMar>
            <w:top w:w="0" w:type="dxa"/>
            <w:left w:w="0" w:type="dxa"/>
            <w:bottom w:w="0" w:type="dxa"/>
            <w:right w:w="0" w:type="dxa"/>
          </w:tblCellMar>
        </w:tblPrEx>
        <w:trPr>
          <w:trHeight w:val="1297"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rFonts w:hint="eastAsia"/>
                <w:sz w:val="18"/>
                <w:szCs w:val="18"/>
              </w:rPr>
              <w:t>项目开展时间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sz w:val="18"/>
                <w:szCs w:val="18"/>
              </w:rPr>
              <w:t>2019</w:t>
            </w:r>
            <w:r>
              <w:rPr>
                <w:rFonts w:hint="eastAsia"/>
                <w:sz w:val="18"/>
                <w:szCs w:val="18"/>
              </w:rPr>
              <w:t>年全年</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sz w:val="18"/>
                <w:szCs w:val="18"/>
              </w:rPr>
              <w:t>2019</w:t>
            </w:r>
            <w:r>
              <w:rPr>
                <w:rFonts w:hint="eastAsia"/>
                <w:sz w:val="18"/>
                <w:szCs w:val="18"/>
              </w:rPr>
              <w:t>年全年</w:t>
            </w:r>
          </w:p>
        </w:tc>
      </w:tr>
      <w:tr>
        <w:tblPrEx>
          <w:tblCellMar>
            <w:top w:w="0" w:type="dxa"/>
            <w:left w:w="0" w:type="dxa"/>
            <w:bottom w:w="0" w:type="dxa"/>
            <w:right w:w="0" w:type="dxa"/>
          </w:tblCellMar>
        </w:tblPrEx>
        <w:trPr>
          <w:trHeight w:val="104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kern w:val="0"/>
                <w:sz w:val="24"/>
              </w:rPr>
            </w:pPr>
            <w:r>
              <w:rPr>
                <w:rFonts w:hint="eastAsia" w:hAnsi="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rFonts w:hint="eastAsia"/>
                <w:sz w:val="18"/>
                <w:szCs w:val="18"/>
              </w:rPr>
              <w:t>所需各项经费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rFonts w:hint="eastAsia"/>
                <w:sz w:val="18"/>
                <w:szCs w:val="18"/>
              </w:rPr>
              <w:t>需支付办公费、劳务费等</w:t>
            </w:r>
            <w:r>
              <w:rPr>
                <w:sz w:val="18"/>
                <w:szCs w:val="18"/>
              </w:rPr>
              <w:t>10</w:t>
            </w:r>
            <w:r>
              <w:rPr>
                <w:rFonts w:hint="eastAsia"/>
                <w:sz w:val="18"/>
                <w:szCs w:val="18"/>
              </w:rPr>
              <w:t>万元</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rFonts w:hint="eastAsia"/>
                <w:sz w:val="18"/>
                <w:szCs w:val="18"/>
              </w:rPr>
              <w:t>共支付办公费、劳务费等</w:t>
            </w:r>
            <w:r>
              <w:rPr>
                <w:sz w:val="18"/>
                <w:szCs w:val="18"/>
              </w:rPr>
              <w:t>10</w:t>
            </w:r>
            <w:r>
              <w:rPr>
                <w:rFonts w:hint="eastAsia"/>
                <w:sz w:val="18"/>
                <w:szCs w:val="18"/>
              </w:rPr>
              <w:t>万元</w:t>
            </w:r>
          </w:p>
        </w:tc>
      </w:tr>
      <w:tr>
        <w:tblPrEx>
          <w:tblCellMar>
            <w:top w:w="0" w:type="dxa"/>
            <w:left w:w="0" w:type="dxa"/>
            <w:bottom w:w="0" w:type="dxa"/>
            <w:right w:w="0" w:type="dxa"/>
          </w:tblCellMar>
        </w:tblPrEx>
        <w:trPr>
          <w:trHeight w:val="104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p>
        </w:tc>
      </w:tr>
      <w:tr>
        <w:tblPrEx>
          <w:tblCellMar>
            <w:top w:w="0" w:type="dxa"/>
            <w:left w:w="0" w:type="dxa"/>
            <w:bottom w:w="0" w:type="dxa"/>
            <w:right w:w="0" w:type="dxa"/>
          </w:tblCellMar>
        </w:tblPrEx>
        <w:trPr>
          <w:trHeight w:val="1042"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rFonts w:hint="eastAsia"/>
                <w:sz w:val="18"/>
                <w:szCs w:val="18"/>
              </w:rPr>
              <w:t>确保全区安全生产形势稳定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rFonts w:hint="eastAsia"/>
                <w:sz w:val="18"/>
                <w:szCs w:val="18"/>
              </w:rPr>
              <w:t>排查治理隐患，打击违法非法行为、防范安全生产事故、确保全区安全生产形势稳定</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rPr>
                <w:rFonts w:ascii="宋体" w:cs="宋体"/>
                <w:sz w:val="18"/>
                <w:szCs w:val="18"/>
              </w:rPr>
            </w:pPr>
            <w:r>
              <w:rPr>
                <w:rFonts w:hint="eastAsia"/>
                <w:sz w:val="18"/>
                <w:szCs w:val="18"/>
              </w:rPr>
              <w:t>排查治理隐患，打击违法非法行为、防范安全生产事故、确保全区安全生产形势稳定</w:t>
            </w:r>
          </w:p>
        </w:tc>
      </w:tr>
      <w:tr>
        <w:tblPrEx>
          <w:tblCellMar>
            <w:top w:w="0" w:type="dxa"/>
            <w:left w:w="0" w:type="dxa"/>
            <w:bottom w:w="0" w:type="dxa"/>
            <w:right w:w="0" w:type="dxa"/>
          </w:tblCellMar>
        </w:tblPrEx>
        <w:trPr>
          <w:trHeight w:val="1231" w:hRule="atLeast"/>
        </w:trPr>
        <w:tc>
          <w:tcPr>
            <w:tcW w:w="866"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left"/>
              <w:rPr>
                <w:color w:val="000000"/>
                <w:sz w:val="24"/>
              </w:rPr>
            </w:pPr>
          </w:p>
        </w:tc>
        <w:tc>
          <w:tcPr>
            <w:tcW w:w="89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hAnsi="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spacing w:line="560" w:lineRule="exact"/>
              <w:jc w:val="center"/>
              <w:rPr>
                <w:rFonts w:ascii="宋体" w:cs="宋体"/>
                <w:sz w:val="18"/>
                <w:szCs w:val="18"/>
              </w:rPr>
            </w:pPr>
            <w:r>
              <w:rPr>
                <w:rFonts w:hint="eastAsia"/>
                <w:sz w:val="18"/>
                <w:szCs w:val="18"/>
              </w:rPr>
              <w:t>服务对象满意度指标</w:t>
            </w:r>
          </w:p>
          <w:p>
            <w:pPr>
              <w:widowControl/>
              <w:spacing w:line="560" w:lineRule="exact"/>
              <w:jc w:val="center"/>
              <w:textAlignment w:val="center"/>
              <w:rPr>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sz w:val="18"/>
                <w:szCs w:val="18"/>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r>
              <w:rPr>
                <w:rFonts w:hint="eastAsia"/>
                <w:color w:val="000000"/>
                <w:sz w:val="24"/>
              </w:rPr>
              <w:t>≥</w:t>
            </w:r>
            <w:r>
              <w:rPr>
                <w:color w:val="000000"/>
                <w:sz w:val="24"/>
              </w:rPr>
              <w:t>90%</w:t>
            </w:r>
          </w:p>
        </w:tc>
        <w:tc>
          <w:tcPr>
            <w:tcW w:w="25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spacing w:line="560" w:lineRule="exact"/>
              <w:jc w:val="center"/>
              <w:textAlignment w:val="center"/>
              <w:rPr>
                <w:color w:val="000000"/>
                <w:sz w:val="24"/>
              </w:rPr>
            </w:pPr>
          </w:p>
        </w:tc>
      </w:tr>
    </w:tbl>
    <w:p>
      <w:pPr>
        <w:spacing w:line="560" w:lineRule="exact"/>
      </w:pPr>
    </w:p>
    <w:p>
      <w:pPr>
        <w:spacing w:line="560" w:lineRule="exact"/>
        <w:ind w:left="63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本部门按要求对</w:t>
      </w:r>
      <w:r>
        <w:rPr>
          <w:rFonts w:ascii="仿宋_GB2312" w:eastAsia="仿宋_GB2312"/>
          <w:color w:val="000000"/>
          <w:sz w:val="32"/>
          <w:szCs w:val="32"/>
        </w:rPr>
        <w:t>2019</w:t>
      </w:r>
      <w:r>
        <w:rPr>
          <w:rFonts w:hint="eastAsia" w:ascii="仿宋_GB2312" w:eastAsia="仿宋_GB2312"/>
          <w:color w:val="000000"/>
          <w:sz w:val="32"/>
          <w:szCs w:val="32"/>
        </w:rPr>
        <w:t>年部门整体支出绩效评价情况开展自评，《攀枝花市仁和区应急管理局</w:t>
      </w:r>
      <w:r>
        <w:rPr>
          <w:rFonts w:ascii="仿宋_GB2312" w:eastAsia="仿宋_GB2312"/>
          <w:color w:val="000000"/>
          <w:sz w:val="32"/>
          <w:szCs w:val="32"/>
        </w:rPr>
        <w:t>2019</w:t>
      </w:r>
      <w:r>
        <w:rPr>
          <w:rFonts w:hint="eastAsia" w:ascii="仿宋_GB2312" w:eastAsia="仿宋_GB2312"/>
          <w:color w:val="000000"/>
          <w:sz w:val="32"/>
          <w:szCs w:val="32"/>
        </w:rPr>
        <w:t>年部门整体支出绩效评价报告》见附件（附件</w:t>
      </w:r>
      <w:r>
        <w:rPr>
          <w:rFonts w:ascii="仿宋_GB2312" w:eastAsia="仿宋_GB2312"/>
          <w:color w:val="000000"/>
          <w:sz w:val="32"/>
          <w:szCs w:val="32"/>
        </w:rPr>
        <w:t>1</w:t>
      </w:r>
      <w:r>
        <w:rPr>
          <w:rFonts w:hint="eastAsia" w:ascii="仿宋_GB2312" w:eastAsia="仿宋_GB2312"/>
          <w:color w:val="000000"/>
          <w:sz w:val="32"/>
          <w:szCs w:val="32"/>
        </w:rPr>
        <w:t>）。</w:t>
      </w:r>
    </w:p>
    <w:p>
      <w:pPr>
        <w:widowControl/>
        <w:spacing w:line="560" w:lineRule="exact"/>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2"/>
        </w:numPr>
        <w:spacing w:line="560" w:lineRule="exact"/>
        <w:ind w:firstLine="660" w:firstLineChars="150"/>
        <w:jc w:val="center"/>
        <w:outlineLvl w:val="0"/>
        <w:rPr>
          <w:rStyle w:val="16"/>
          <w:rFonts w:ascii="黑体" w:hAnsi="黑体" w:eastAsia="黑体"/>
          <w:b w:val="0"/>
        </w:rPr>
      </w:pPr>
      <w:bookmarkStart w:id="53" w:name="_Toc15377225"/>
      <w:bookmarkStart w:id="54" w:name="_Toc15396613"/>
      <w:r>
        <w:rPr>
          <w:rFonts w:hint="eastAsia" w:ascii="黑体" w:hAnsi="黑体" w:eastAsia="黑体"/>
          <w:color w:val="000000"/>
          <w:sz w:val="44"/>
          <w:szCs w:val="44"/>
        </w:rPr>
        <w:t>名</w:t>
      </w:r>
      <w:r>
        <w:rPr>
          <w:rStyle w:val="16"/>
          <w:rFonts w:hint="eastAsia" w:ascii="黑体" w:hAnsi="黑体" w:eastAsia="黑体"/>
          <w:b w:val="0"/>
        </w:rPr>
        <w:t>词解释</w:t>
      </w:r>
      <w:bookmarkEnd w:id="53"/>
      <w:bookmarkEnd w:id="54"/>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财政拨款收入：指省级财政当年拨付的资金。</w:t>
      </w:r>
      <w:r>
        <w:rPr>
          <w:rFonts w:ascii="仿宋_GB2312" w:eastAsia="仿宋_GB2312"/>
          <w:color w:val="000000"/>
          <w:sz w:val="32"/>
          <w:szCs w:val="32"/>
        </w:rPr>
        <w:t xml:space="preserve"> </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年初结转和结余：指以前年度尚未完成、结转到本年按有关规定继续使用的资金。</w:t>
      </w:r>
      <w:r>
        <w:rPr>
          <w:rFonts w:ascii="仿宋_GB2312" w:eastAsia="仿宋_GB2312"/>
          <w:color w:val="000000"/>
          <w:sz w:val="32"/>
          <w:szCs w:val="32"/>
        </w:rPr>
        <w:t xml:space="preserve"> </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社会保障和就业</w:t>
      </w:r>
      <w:r>
        <w:rPr>
          <w:rFonts w:ascii="仿宋_GB2312" w:eastAsia="仿宋_GB2312"/>
          <w:color w:val="000000"/>
          <w:sz w:val="32"/>
          <w:szCs w:val="32"/>
        </w:rPr>
        <w:t>-</w:t>
      </w:r>
      <w:r>
        <w:rPr>
          <w:rFonts w:hint="eastAsia" w:ascii="仿宋_GB2312" w:eastAsia="仿宋_GB2312"/>
          <w:color w:val="000000"/>
          <w:sz w:val="32"/>
          <w:szCs w:val="32"/>
        </w:rPr>
        <w:t>行政事业单位离退休</w:t>
      </w:r>
      <w:r>
        <w:rPr>
          <w:rFonts w:ascii="仿宋_GB2312" w:eastAsia="仿宋_GB2312"/>
          <w:color w:val="000000"/>
          <w:sz w:val="32"/>
          <w:szCs w:val="32"/>
        </w:rPr>
        <w:t>-</w:t>
      </w:r>
      <w:r>
        <w:rPr>
          <w:rFonts w:hint="eastAsia" w:ascii="仿宋_GB2312" w:eastAsia="仿宋_GB2312"/>
          <w:color w:val="000000"/>
          <w:sz w:val="32"/>
          <w:szCs w:val="32"/>
        </w:rPr>
        <w:t>未归口管理的行政单位离退休指：反映未实行归口管理的行政单位（包括实行公务员管理的事业单位）开支的离退休费。</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社会保障和就业</w:t>
      </w:r>
      <w:r>
        <w:rPr>
          <w:rFonts w:ascii="仿宋_GB2312" w:eastAsia="仿宋_GB2312"/>
          <w:color w:val="000000"/>
          <w:sz w:val="32"/>
          <w:szCs w:val="32"/>
        </w:rPr>
        <w:t>-</w:t>
      </w:r>
      <w:r>
        <w:rPr>
          <w:rFonts w:hint="eastAsia" w:ascii="仿宋_GB2312" w:eastAsia="仿宋_GB2312"/>
          <w:color w:val="000000"/>
          <w:sz w:val="32"/>
          <w:szCs w:val="32"/>
        </w:rPr>
        <w:t>行政事业单位离退休</w:t>
      </w:r>
      <w:r>
        <w:rPr>
          <w:rFonts w:ascii="仿宋_GB2312" w:eastAsia="仿宋_GB2312"/>
          <w:color w:val="000000"/>
          <w:sz w:val="32"/>
          <w:szCs w:val="32"/>
        </w:rPr>
        <w:t xml:space="preserve">- </w:t>
      </w:r>
      <w:r>
        <w:rPr>
          <w:rFonts w:hint="eastAsia" w:ascii="仿宋_GB2312" w:eastAsia="仿宋_GB2312"/>
          <w:color w:val="000000"/>
          <w:sz w:val="32"/>
          <w:szCs w:val="32"/>
        </w:rPr>
        <w:t>机关事业单位基本养老保险缴费支出指：反映机关事业单位基本养老保险缴费。</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灾害防治及应急管理支出</w:t>
      </w:r>
      <w:r>
        <w:rPr>
          <w:rFonts w:ascii="仿宋_GB2312" w:eastAsia="仿宋_GB2312"/>
          <w:color w:val="000000"/>
          <w:sz w:val="32"/>
          <w:szCs w:val="32"/>
        </w:rPr>
        <w:t>-</w:t>
      </w:r>
      <w:r>
        <w:rPr>
          <w:rFonts w:hint="eastAsia" w:ascii="仿宋_GB2312" w:eastAsia="仿宋_GB2312"/>
          <w:color w:val="000000"/>
          <w:sz w:val="32"/>
          <w:szCs w:val="32"/>
        </w:rPr>
        <w:t>应急管理事务</w:t>
      </w:r>
      <w:r>
        <w:rPr>
          <w:rFonts w:ascii="仿宋_GB2312" w:eastAsia="仿宋_GB2312"/>
          <w:color w:val="000000"/>
          <w:sz w:val="32"/>
          <w:szCs w:val="32"/>
        </w:rPr>
        <w:t>-</w:t>
      </w:r>
      <w:r>
        <w:rPr>
          <w:rFonts w:hint="eastAsia" w:ascii="仿宋_GB2312" w:eastAsia="仿宋_GB2312"/>
          <w:color w:val="000000"/>
          <w:sz w:val="32"/>
          <w:szCs w:val="32"/>
        </w:rPr>
        <w:t>行政运行</w:t>
      </w:r>
      <w:r>
        <w:rPr>
          <w:rFonts w:ascii="仿宋_GB2312" w:eastAsia="仿宋_GB2312"/>
          <w:color w:val="000000"/>
          <w:sz w:val="32"/>
          <w:szCs w:val="32"/>
        </w:rPr>
        <w:t>:</w:t>
      </w:r>
      <w:r>
        <w:rPr>
          <w:rFonts w:hint="eastAsia" w:ascii="仿宋_GB2312" w:eastAsia="仿宋_GB2312"/>
          <w:color w:val="000000"/>
          <w:sz w:val="32"/>
          <w:szCs w:val="32"/>
        </w:rPr>
        <w:t>反映行政单位（包括实行公务员管理的事业单位）的基本支出。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灾害防治及应急管理支出</w:t>
      </w:r>
      <w:r>
        <w:rPr>
          <w:rFonts w:ascii="仿宋_GB2312" w:eastAsia="仿宋_GB2312"/>
          <w:color w:val="000000"/>
          <w:sz w:val="32"/>
          <w:szCs w:val="32"/>
        </w:rPr>
        <w:t>-</w:t>
      </w:r>
      <w:r>
        <w:rPr>
          <w:rFonts w:hint="eastAsia" w:ascii="仿宋_GB2312" w:eastAsia="仿宋_GB2312"/>
          <w:color w:val="000000"/>
          <w:sz w:val="32"/>
          <w:szCs w:val="32"/>
        </w:rPr>
        <w:t>应急管理事务</w:t>
      </w:r>
      <w:r>
        <w:rPr>
          <w:rFonts w:ascii="仿宋_GB2312" w:eastAsia="仿宋_GB2312"/>
          <w:color w:val="000000"/>
          <w:sz w:val="32"/>
          <w:szCs w:val="32"/>
        </w:rPr>
        <w:t>-</w:t>
      </w:r>
      <w:r>
        <w:rPr>
          <w:rFonts w:hint="eastAsia" w:ascii="仿宋_GB2312" w:eastAsia="仿宋_GB2312"/>
          <w:color w:val="000000"/>
          <w:sz w:val="32"/>
          <w:szCs w:val="32"/>
        </w:rPr>
        <w:t>一般行政管理事务</w:t>
      </w:r>
      <w:r>
        <w:rPr>
          <w:rFonts w:ascii="仿宋_GB2312" w:eastAsia="仿宋_GB2312"/>
          <w:color w:val="000000"/>
          <w:sz w:val="32"/>
          <w:szCs w:val="32"/>
        </w:rPr>
        <w:t>:</w:t>
      </w:r>
      <w:r>
        <w:rPr>
          <w:rFonts w:hint="eastAsia" w:ascii="仿宋_GB2312" w:eastAsia="仿宋_GB2312"/>
          <w:color w:val="000000"/>
          <w:sz w:val="32"/>
          <w:szCs w:val="32"/>
        </w:rPr>
        <w:t>反映行政单位（包括实行公务员管理的事业单位）的基本支出。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灾害防治及应急管理支出</w:t>
      </w:r>
      <w:r>
        <w:rPr>
          <w:rFonts w:ascii="仿宋_GB2312" w:eastAsia="仿宋_GB2312"/>
          <w:color w:val="000000"/>
          <w:sz w:val="32"/>
          <w:szCs w:val="32"/>
        </w:rPr>
        <w:t>-</w:t>
      </w:r>
      <w:r>
        <w:rPr>
          <w:rFonts w:hint="eastAsia" w:ascii="仿宋_GB2312" w:eastAsia="仿宋_GB2312"/>
          <w:color w:val="000000"/>
          <w:sz w:val="32"/>
          <w:szCs w:val="32"/>
        </w:rPr>
        <w:t>应急管理事务</w:t>
      </w:r>
      <w:r>
        <w:rPr>
          <w:rFonts w:ascii="仿宋_GB2312" w:eastAsia="仿宋_GB2312"/>
          <w:color w:val="000000"/>
          <w:sz w:val="32"/>
          <w:szCs w:val="32"/>
        </w:rPr>
        <w:t>-</w:t>
      </w:r>
      <w:r>
        <w:rPr>
          <w:rFonts w:hint="eastAsia" w:ascii="仿宋_GB2312" w:eastAsia="仿宋_GB2312"/>
          <w:color w:val="000000"/>
          <w:sz w:val="32"/>
          <w:szCs w:val="32"/>
        </w:rPr>
        <w:t>一般行政管理事务</w:t>
      </w:r>
      <w:r>
        <w:rPr>
          <w:rFonts w:ascii="仿宋_GB2312" w:eastAsia="仿宋_GB2312"/>
          <w:color w:val="000000"/>
          <w:sz w:val="32"/>
          <w:szCs w:val="32"/>
        </w:rPr>
        <w:t>:</w:t>
      </w:r>
      <w:r>
        <w:rPr>
          <w:rFonts w:hint="eastAsia" w:ascii="仿宋_GB2312" w:eastAsia="仿宋_GB2312"/>
          <w:color w:val="000000"/>
          <w:sz w:val="32"/>
          <w:szCs w:val="32"/>
        </w:rPr>
        <w:t>反映行政单位（包括实行公务员管理的事业单位）未单独设置顶级科目的其他项目支出。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灾害防治及应急管理支出</w:t>
      </w:r>
      <w:r>
        <w:rPr>
          <w:rFonts w:ascii="仿宋_GB2312" w:eastAsia="仿宋_GB2312"/>
          <w:color w:val="000000"/>
          <w:sz w:val="32"/>
          <w:szCs w:val="32"/>
        </w:rPr>
        <w:t>-</w:t>
      </w:r>
      <w:r>
        <w:rPr>
          <w:rFonts w:hint="eastAsia" w:ascii="仿宋_GB2312" w:eastAsia="仿宋_GB2312"/>
          <w:color w:val="000000"/>
          <w:sz w:val="32"/>
          <w:szCs w:val="32"/>
        </w:rPr>
        <w:t>应急管理事务</w:t>
      </w:r>
      <w:r>
        <w:rPr>
          <w:rFonts w:ascii="仿宋_GB2312" w:eastAsia="仿宋_GB2312"/>
          <w:color w:val="000000"/>
          <w:sz w:val="32"/>
          <w:szCs w:val="32"/>
        </w:rPr>
        <w:t>-</w:t>
      </w:r>
      <w:r>
        <w:rPr>
          <w:rFonts w:hint="eastAsia" w:ascii="仿宋_GB2312" w:eastAsia="仿宋_GB2312"/>
          <w:color w:val="000000"/>
          <w:sz w:val="32"/>
          <w:szCs w:val="32"/>
        </w:rPr>
        <w:t>安全监管</w:t>
      </w:r>
      <w:r>
        <w:rPr>
          <w:rFonts w:ascii="仿宋_GB2312" w:eastAsia="仿宋_GB2312"/>
          <w:color w:val="000000"/>
          <w:sz w:val="32"/>
          <w:szCs w:val="32"/>
        </w:rPr>
        <w:t xml:space="preserve">: </w:t>
      </w:r>
      <w:r>
        <w:rPr>
          <w:rFonts w:hint="eastAsia" w:ascii="仿宋_GB2312" w:eastAsia="仿宋_GB2312"/>
          <w:color w:val="000000"/>
          <w:sz w:val="32"/>
          <w:szCs w:val="32"/>
        </w:rPr>
        <w:t>反映安全生产监管方面的支出。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灾害防治及应急管理支出</w:t>
      </w:r>
      <w:r>
        <w:rPr>
          <w:rFonts w:ascii="仿宋_GB2312" w:eastAsia="仿宋_GB2312"/>
          <w:color w:val="000000"/>
          <w:sz w:val="32"/>
          <w:szCs w:val="32"/>
        </w:rPr>
        <w:t>-</w:t>
      </w:r>
      <w:r>
        <w:rPr>
          <w:rFonts w:hint="eastAsia" w:ascii="仿宋_GB2312" w:eastAsia="仿宋_GB2312"/>
          <w:color w:val="000000"/>
          <w:sz w:val="32"/>
          <w:szCs w:val="32"/>
        </w:rPr>
        <w:t>应急管理事务</w:t>
      </w:r>
      <w:r>
        <w:rPr>
          <w:rFonts w:ascii="仿宋_GB2312" w:eastAsia="仿宋_GB2312"/>
          <w:color w:val="000000"/>
          <w:sz w:val="32"/>
          <w:szCs w:val="32"/>
        </w:rPr>
        <w:t>-</w:t>
      </w:r>
      <w:r>
        <w:rPr>
          <w:rFonts w:hint="eastAsia" w:ascii="仿宋_GB2312" w:eastAsia="仿宋_GB2312"/>
          <w:color w:val="000000"/>
          <w:sz w:val="32"/>
          <w:szCs w:val="32"/>
        </w:rPr>
        <w:t>事业运行：反映事业单位的基本支出，不包括行政单位（包括实行公务员管理的事业单位）后勤服务中心、医务室等附属事业单位。</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住房保障支出</w:t>
      </w:r>
      <w:r>
        <w:rPr>
          <w:rFonts w:ascii="仿宋_GB2312" w:eastAsia="仿宋_GB2312"/>
          <w:color w:val="000000"/>
          <w:sz w:val="32"/>
          <w:szCs w:val="32"/>
        </w:rPr>
        <w:t>-</w:t>
      </w:r>
      <w:r>
        <w:rPr>
          <w:rFonts w:hint="eastAsia" w:ascii="仿宋_GB2312" w:eastAsia="仿宋_GB2312"/>
          <w:color w:val="000000"/>
          <w:sz w:val="32"/>
          <w:szCs w:val="32"/>
        </w:rPr>
        <w:t>住房改革支出</w:t>
      </w:r>
      <w:r>
        <w:rPr>
          <w:rFonts w:ascii="仿宋_GB2312" w:eastAsia="仿宋_GB2312"/>
          <w:color w:val="000000"/>
          <w:sz w:val="32"/>
          <w:szCs w:val="32"/>
        </w:rPr>
        <w:t>-</w:t>
      </w:r>
      <w:r>
        <w:rPr>
          <w:rFonts w:hint="eastAsia" w:ascii="仿宋_GB2312" w:eastAsia="仿宋_GB2312"/>
          <w:color w:val="000000"/>
          <w:sz w:val="32"/>
          <w:szCs w:val="32"/>
        </w:rPr>
        <w:t>住房公积金指：反映行政事业单位按人力资源和社会保障部、财政部规定的基本工资和津贴补贴以及规定比例为职工缴纳的住房公积金。</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年末结转和结余：指本年度或以前年度预算安排、因客观条件发生变化无法按原计划实施，需延迟到以后年度按有关规定继续使用的资金。</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60" w:lineRule="exact"/>
        <w:jc w:val="center"/>
        <w:outlineLvl w:val="0"/>
        <w:rPr>
          <w:rFonts w:ascii="仿宋_GB2312" w:eastAsia="仿宋_GB2312"/>
          <w:color w:val="000000"/>
          <w:sz w:val="32"/>
          <w:szCs w:val="32"/>
        </w:rPr>
      </w:pPr>
      <w:bookmarkStart w:id="55" w:name="_Toc15396614"/>
      <w:bookmarkStart w:id="56" w:name="_Toc15377226"/>
    </w:p>
    <w:p>
      <w:pPr>
        <w:spacing w:line="560" w:lineRule="exact"/>
        <w:jc w:val="center"/>
        <w:outlineLvl w:val="0"/>
        <w:rPr>
          <w:rFonts w:ascii="仿宋_GB2312" w:eastAsia="仿宋_GB2312"/>
          <w:color w:val="000000"/>
          <w:sz w:val="32"/>
          <w:szCs w:val="32"/>
        </w:rPr>
      </w:pPr>
    </w:p>
    <w:p>
      <w:pPr>
        <w:spacing w:line="560" w:lineRule="exact"/>
        <w:jc w:val="center"/>
        <w:outlineLvl w:val="0"/>
        <w:rPr>
          <w:rStyle w:val="16"/>
          <w:rFonts w:ascii="黑体" w:hAnsi="黑体" w:eastAsia="黑体"/>
          <w:b w:val="0"/>
        </w:rPr>
      </w:pPr>
      <w:r>
        <w:rPr>
          <w:rFonts w:hint="eastAsia" w:ascii="黑体" w:hAnsi="黑体" w:eastAsia="黑体"/>
          <w:color w:val="000000"/>
          <w:sz w:val="44"/>
          <w:szCs w:val="44"/>
        </w:rPr>
        <w:t>第</w:t>
      </w:r>
      <w:r>
        <w:rPr>
          <w:rStyle w:val="16"/>
          <w:rFonts w:hint="eastAsia" w:ascii="黑体" w:hAnsi="黑体" w:eastAsia="黑体"/>
          <w:b w:val="0"/>
        </w:rPr>
        <w:t>四部分</w:t>
      </w:r>
      <w:r>
        <w:rPr>
          <w:rStyle w:val="16"/>
          <w:rFonts w:ascii="黑体" w:hAnsi="黑体" w:eastAsia="黑体"/>
          <w:b w:val="0"/>
        </w:rPr>
        <w:t xml:space="preserve"> </w:t>
      </w:r>
      <w:r>
        <w:rPr>
          <w:rStyle w:val="16"/>
          <w:rFonts w:hint="eastAsia" w:ascii="黑体" w:hAnsi="黑体" w:eastAsia="黑体"/>
          <w:b w:val="0"/>
        </w:rPr>
        <w:t>附件</w:t>
      </w:r>
      <w:bookmarkEnd w:id="55"/>
    </w:p>
    <w:p>
      <w:pPr>
        <w:spacing w:line="56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spacing w:line="560" w:lineRule="exact"/>
        <w:jc w:val="center"/>
        <w:rPr>
          <w:rFonts w:ascii="方正小标宋简体" w:hAnsi="方正小标宋简体" w:eastAsia="方正小标宋简体" w:cs="方正小标宋简体"/>
          <w:sz w:val="44"/>
          <w:szCs w:val="44"/>
        </w:rPr>
      </w:pPr>
    </w:p>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攀枝花市仁和区应急管理局</w:t>
      </w:r>
    </w:p>
    <w:p>
      <w:pPr>
        <w:pStyle w:val="30"/>
        <w:spacing w:line="560" w:lineRule="exact"/>
        <w:jc w:val="center"/>
        <w:rPr>
          <w:rFonts w:ascii="方正小标宋简体" w:hAnsi="宋体" w:eastAsia="方正小标宋简体"/>
          <w:color w:val="auto"/>
          <w:kern w:val="2"/>
          <w:sz w:val="44"/>
          <w:szCs w:val="44"/>
        </w:rPr>
      </w:pPr>
      <w:r>
        <w:rPr>
          <w:rFonts w:hint="eastAsia" w:ascii="方正小标宋简体" w:hAnsi="宋体" w:eastAsia="方正小标宋简体"/>
          <w:color w:val="auto"/>
          <w:kern w:val="2"/>
          <w:sz w:val="44"/>
          <w:szCs w:val="44"/>
          <w:lang w:eastAsia="zh-CN"/>
        </w:rPr>
        <w:t>2019年</w:t>
      </w:r>
      <w:r>
        <w:rPr>
          <w:rFonts w:hint="eastAsia" w:ascii="方正小标宋简体" w:hAnsi="宋体" w:eastAsia="方正小标宋简体"/>
          <w:color w:val="auto"/>
          <w:kern w:val="2"/>
          <w:sz w:val="44"/>
          <w:szCs w:val="44"/>
        </w:rPr>
        <w:t>支出绩效评价自评报告</w:t>
      </w:r>
    </w:p>
    <w:p>
      <w:pPr>
        <w:pStyle w:val="5"/>
        <w:adjustRightInd w:val="0"/>
        <w:snapToGrid w:val="0"/>
        <w:spacing w:beforeLines="0" w:line="560" w:lineRule="exact"/>
        <w:rPr>
          <w:rFonts w:ascii="宋体" w:hAnsi="宋体" w:eastAsia="宋体"/>
          <w:b/>
          <w:sz w:val="44"/>
          <w:szCs w:val="44"/>
        </w:rPr>
      </w:pPr>
      <w:r>
        <w:rPr>
          <w:rFonts w:hint="eastAsia" w:ascii="宋体" w:hAnsi="宋体" w:eastAsia="宋体"/>
          <w:b/>
          <w:sz w:val="44"/>
          <w:szCs w:val="44"/>
        </w:rPr>
        <w:t xml:space="preserve">    </w:t>
      </w:r>
    </w:p>
    <w:p>
      <w:pPr>
        <w:adjustRightInd w:val="0"/>
        <w:snapToGrid w:val="0"/>
        <w:spacing w:line="560" w:lineRule="exact"/>
        <w:ind w:firstLine="720"/>
        <w:rPr>
          <w:rFonts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部门概况</w:t>
      </w:r>
    </w:p>
    <w:p>
      <w:pPr>
        <w:pStyle w:val="5"/>
        <w:adjustRightInd w:val="0"/>
        <w:snapToGrid w:val="0"/>
        <w:spacing w:before="93" w:line="560" w:lineRule="exact"/>
        <w:ind w:firstLine="674" w:firstLineChars="210"/>
        <w:rPr>
          <w:rFonts w:ascii="楷体_GB2312" w:eastAsia="楷体_GB2312"/>
          <w:b/>
          <w:bCs/>
          <w:sz w:val="32"/>
          <w:szCs w:val="32"/>
        </w:rPr>
      </w:pPr>
      <w:r>
        <w:rPr>
          <w:rFonts w:hint="eastAsia" w:ascii="楷体_GB2312" w:eastAsia="楷体_GB2312"/>
          <w:b/>
          <w:bCs/>
          <w:sz w:val="32"/>
          <w:szCs w:val="32"/>
        </w:rPr>
        <w:t>（一）基本职能</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1.负责应急管理、防震减灾和安全生产综合监督管理工作，组织和指导仁和区各乡镇（街道）、各部门应对安全生产类、自然灾害类等突发事件的应急抢险救援工作。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2.拟订应急管理、防震减灾、安全生产等政策措施，组织编制全区安全生产、防震减灾、应急体系建设、综合防灾减灾规划。</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3.承担区安全生产委员会日常工作。监督检查、指导协调各乡镇（街道）和区级有关部门安全生产工作，组织开展安全生产巡查、督导、考核工作。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承担权限范围内煤矿、非煤矿山、危险化学品、非药品类易制毒化学品、烟花爆竹、民用爆炸物品等生产经营单位安全生产准入管理责任。协助省、市应急管理部门做好中央、省属在仁和辖区范围内的工矿商贸企业安全生产监督管理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拟订权限范围内煤炭产业发展计划、准入条件等并组织实施，按权限审核、上报煤炭项目并负责建设管理。负责煤炭生产协调和监督管理，煤炭行业结构调整和产业升级，煤矿瓦斯等级鉴定、瓦斯治理和利用。推进煤炭体制改革，指导乡镇煤炭管理所做好煤炭管理工作。负责煤矿行业经济运行，健全和规范煤炭市场。负责维护矿区生产和煤矿经营秩序，协助相关部门抓好合法煤矿矿界范围内的煤炭私挖盗采治理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承担权限范围内煤矿安全生产监督管理责任，依法监督检查煤矿企业贯彻执行安全生产法律法规情况及其安全生产条件和有关设备（特种设备除外）、材料、劳动防护用品的安全生产管理工作。负责组织、指导煤矿企业安全生产专项整治、安全标准化、瓦斯和水害防治及相关安全科技发展工作。指导煤矿防灾预案和救护体系建设。参与煤矿事故调查处理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7.承担权限范围内的危险化学品、化工、医药、烟花爆竹、民用爆炸物品、非煤矿山、冶金、机械制造、尾矿库、地质勘探、石油（气）开采等工矿生产经营单位安全生产监督管理职责。依法指导、监督检查冶金、有色、建材、机械、轻工、纺织、烟草、商贸等行业的安全生产监督管理工作。依法查处不具备安全生产条件的危险化学品、化工、医药、烟花爆竹、工矿商贸等生产经营单位和安全生产违法违规行为。承担危险化学品安全监督管理综合工作责任。依法监督检查、指导工矿商贸生产经营单位安全生产管理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8.承担权限范围内防震减灾工作。编制全区防震减灾规划并组织实施，组织制定地震综合防御对策。组织开展辖区范围内地震监测预报工作，提出趋势预测意见。组织开展震情跟踪、日常分析预报和重大地震异常的核实上报工作。管理全区地方地震监测台网和观测台站。监督、管理辖区范围内工程建设场地地震安全性评价工作, 参与震后重建规划。</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负责组织、指导应急预案体系建设，建立完善事故灾难和自然灾害分级应对制度，牵头组织编制全区应急救援综合预案和安全生产类、自然灾害类应急救援专项预案，负责应急预案衔接工作，组织开展预案演练并落实，督促相关部门加强应急避难场所设施建设。</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10.按照中央、省、市、区的规划，牵头建设统一的应急管理信息系统，负责信息传输渠道的规划和布局，建立监测预警和灾情报告制度，健全自然灾害信息资源获取和共享机制，依法统一发布灾情。</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11.负责组织、指导、协调安全生产类、自然灾害类等突发事件应急救援，承担全区应对较大及以上灾害指挥部工作，综合研判突发事件发展态势并提出应对建议，负责组织较大及以上灾害的应急处置工作。协调全区各类专业应急队伍，建立应急协调联动机制，推进指挥平台对接，提请衔接区人民武装部和武警部队参与应急救援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12.按照国家相关政策和省、市、区相关规定，负责消防、森林火灾扑救、抗洪抢险、地震和地质灾害救援、安全生产事故等专业应急救援力量建设，依法依规统筹指导全区及社会应急救援力量和应急保障能力建设。</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13.按照国家、省、市、区相关政策和规定，负责消防工作，组织和指导消防监督、火灾预防、火灾扑救工作。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14.组织开展自然灾害监测预警、自然灾害综合风险评估，指导协调森林火灾、水旱灾害、地震和地质灾害等防治工作。组织开展自然灾害类突发事件的调查评估工作。 </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15.依法组织、指导生产安全事故调查处理，监督事故查处和责任追究落实情况。组织和指导相关部门开展灾害救助、灾情核查、损失评估、救灾捐赠，管理分配中央、省、市下拨救灾款物并监督使用。</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16.开展应急管理、防震减灾和安全生产方面的交流与合作，组织参与安全生产类、自然灾害类等突发事件的跨区域救援工作。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17.制定应急物资储备和应急救援装备规划并组织实施，会同区发展和改革局等有关部门建立健全应急物资信息平台和调拨制度，在救灾时统一调度。</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18.负责应急管理、防震减灾、安全生产宣传教育和培训工作，组织和指导应急管理、防震减灾、安全生产的科学技术研究、推广应用和信息化建设工作。</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19.承担职责范围内的职业健康、生态环境保护、行政审批服务便民化工作责任。按省市要求，指导推进相对集中行政许可权改革。</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20.完成区委、区政府交办的其他任务。</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21.职能转变。加强、优化、统筹应急能力建设，构建统一领导、权责一致、权威高效的应急能力体系，推动形成“统一指挥、专常兼备、反应灵敏、上下联动、平战结合”的应急管理体制。一是坚持以防为主、防抗救相结合，坚持常态减灾和非常态救灾相统一，努力实现从注重灾后救助向注重灾前预防转变，从应对单一灾种向综合减灾转变，从减少灾害损失向减轻灾害风险转变，提高国家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牢安全发展理念，坚持生命至上、安全第一，完善安全生产责任，坚决遏制重特大安全事故。</w:t>
      </w:r>
    </w:p>
    <w:p>
      <w:pPr>
        <w:pStyle w:val="5"/>
        <w:adjustRightInd w:val="0"/>
        <w:snapToGrid w:val="0"/>
        <w:spacing w:before="93" w:line="560" w:lineRule="exact"/>
        <w:ind w:firstLine="674" w:firstLineChars="210"/>
        <w:rPr>
          <w:rFonts w:ascii="楷体_GB2312" w:eastAsia="楷体_GB2312"/>
          <w:b/>
          <w:bCs/>
          <w:sz w:val="32"/>
          <w:szCs w:val="32"/>
        </w:rPr>
      </w:pPr>
      <w:r>
        <w:rPr>
          <w:rFonts w:hint="eastAsia" w:ascii="楷体_GB2312" w:eastAsia="楷体_GB2312"/>
          <w:b/>
          <w:bCs/>
          <w:sz w:val="32"/>
          <w:szCs w:val="32"/>
        </w:rPr>
        <w:t>（二）人员情况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中共攀枝花市仁和区委办公室攀枝花市仁和区人民政府办公室关于印发〈攀枝花市仁和区应急管理局职能配置、内设机构和人员编制规定〉的通知》（攀仁委办﹝2019﹞25号），我局共设应急指挥中心、政策法规股、综合协调股、矿山监管股、救援管理股五个股室。编制数行政编制10名，其中，局长1名，副局长3名，党总支书记1名，总工程师1名。机关后勤服务人员控制数1名。实有人员22名，其中公务员7名，参公人员12名，机关工勤1名，参公工勤1名，编内聘1名。</w:t>
      </w:r>
    </w:p>
    <w:p>
      <w:pPr>
        <w:pStyle w:val="5"/>
        <w:adjustRightInd w:val="0"/>
        <w:snapToGrid w:val="0"/>
        <w:spacing w:before="93" w:line="560" w:lineRule="exact"/>
        <w:ind w:firstLine="674" w:firstLineChars="210"/>
        <w:rPr>
          <w:b/>
          <w:bCs/>
          <w:sz w:val="32"/>
          <w:szCs w:val="32"/>
        </w:rPr>
      </w:pPr>
      <w:r>
        <w:rPr>
          <w:rFonts w:hint="eastAsia"/>
          <w:b/>
          <w:bCs/>
          <w:sz w:val="32"/>
          <w:szCs w:val="32"/>
        </w:rPr>
        <w:t>（三）资产情况</w:t>
      </w:r>
    </w:p>
    <w:p>
      <w:pPr>
        <w:spacing w:line="560" w:lineRule="exact"/>
        <w:ind w:firstLine="640" w:firstLineChars="200"/>
        <w:rPr>
          <w:rFonts w:ascii="仿宋_GB2312" w:eastAsia="仿宋_GB2312"/>
          <w:bCs/>
          <w:sz w:val="32"/>
          <w:szCs w:val="32"/>
        </w:rPr>
      </w:pPr>
      <w:r>
        <w:rPr>
          <w:rFonts w:hint="eastAsia" w:ascii="仿宋_GB2312" w:eastAsia="仿宋_GB2312"/>
          <w:color w:val="000000"/>
          <w:sz w:val="32"/>
          <w:szCs w:val="32"/>
        </w:rPr>
        <w:t>截止2019年12月31日单位资产合计237.87万元，其中：流动资产154.62万元，占资产总额的65%；固定资产原值123.06万元，固定资产净值83.25万元占资产总额的35%。</w:t>
      </w:r>
    </w:p>
    <w:p>
      <w:pPr>
        <w:adjustRightInd w:val="0"/>
        <w:snapToGrid w:val="0"/>
        <w:spacing w:line="560" w:lineRule="exact"/>
        <w:ind w:firstLine="720"/>
        <w:rPr>
          <w:rFonts w:ascii="黑体" w:hAnsi="黑体" w:eastAsia="黑体"/>
          <w:sz w:val="32"/>
          <w:szCs w:val="32"/>
        </w:rPr>
      </w:pPr>
      <w:r>
        <w:rPr>
          <w:rFonts w:hint="eastAsia" w:ascii="黑体" w:hAnsi="黑体" w:eastAsia="黑体"/>
          <w:sz w:val="32"/>
          <w:szCs w:val="32"/>
        </w:rPr>
        <w:t>二、部门财政资金收支情况</w:t>
      </w:r>
    </w:p>
    <w:p>
      <w:pPr>
        <w:adjustRightInd w:val="0"/>
        <w:snapToGrid w:val="0"/>
        <w:spacing w:line="560" w:lineRule="exact"/>
        <w:ind w:firstLine="720"/>
        <w:rPr>
          <w:rFonts w:hint="eastAsia" w:ascii="楷体" w:hAnsi="楷体" w:eastAsia="楷体"/>
          <w:b/>
          <w:sz w:val="32"/>
          <w:szCs w:val="32"/>
        </w:rPr>
      </w:pPr>
      <w:r>
        <w:rPr>
          <w:rFonts w:hint="eastAsia" w:ascii="楷体" w:hAnsi="楷体" w:eastAsia="楷体"/>
          <w:b/>
          <w:sz w:val="32"/>
          <w:szCs w:val="32"/>
          <w:lang w:val="zh-CN"/>
        </w:rPr>
        <w:t>（一）部门财政资金收入情况。</w:t>
      </w:r>
    </w:p>
    <w:p>
      <w:pPr>
        <w:adjustRightInd w:val="0"/>
        <w:snapToGrid w:val="0"/>
        <w:spacing w:line="560" w:lineRule="exact"/>
        <w:ind w:firstLine="720"/>
        <w:rPr>
          <w:rFonts w:ascii="楷体" w:hAnsi="楷体" w:eastAsia="楷体"/>
          <w:b/>
          <w:sz w:val="32"/>
          <w:szCs w:val="32"/>
        </w:rPr>
      </w:pPr>
      <w:r>
        <w:rPr>
          <w:rFonts w:hint="eastAsia" w:ascii="仿宋_GB2312" w:eastAsia="仿宋_GB2312"/>
          <w:color w:val="000000"/>
          <w:sz w:val="32"/>
          <w:szCs w:val="32"/>
        </w:rPr>
        <w:t>2019年仁和区应急管理局财政资金收入507.79万元。</w:t>
      </w:r>
    </w:p>
    <w:p>
      <w:pPr>
        <w:adjustRightInd w:val="0"/>
        <w:snapToGrid w:val="0"/>
        <w:spacing w:line="560" w:lineRule="exact"/>
        <w:ind w:firstLine="720"/>
        <w:rPr>
          <w:rFonts w:hint="eastAsia" w:ascii="楷体" w:hAnsi="楷体" w:eastAsia="楷体"/>
          <w:b/>
          <w:sz w:val="32"/>
          <w:szCs w:val="32"/>
          <w:lang w:val="zh-CN"/>
        </w:rPr>
      </w:pPr>
      <w:r>
        <w:rPr>
          <w:rFonts w:hint="eastAsia" w:ascii="楷体" w:hAnsi="楷体" w:eastAsia="楷体"/>
          <w:b/>
          <w:sz w:val="32"/>
          <w:szCs w:val="32"/>
          <w:lang w:val="zh-CN"/>
        </w:rPr>
        <w:t>（二）部门财政资金支出情况。</w:t>
      </w:r>
    </w:p>
    <w:p>
      <w:pPr>
        <w:adjustRightInd w:val="0"/>
        <w:snapToGrid w:val="0"/>
        <w:spacing w:line="560" w:lineRule="exact"/>
        <w:ind w:firstLine="720"/>
        <w:rPr>
          <w:rFonts w:ascii="楷体" w:hAnsi="楷体" w:eastAsia="楷体"/>
          <w:b/>
          <w:sz w:val="32"/>
          <w:szCs w:val="32"/>
          <w:lang w:val="zh-CN"/>
        </w:rPr>
      </w:pPr>
      <w:r>
        <w:rPr>
          <w:rFonts w:hint="eastAsia" w:ascii="仿宋_GB2312" w:eastAsia="仿宋_GB2312"/>
          <w:color w:val="000000"/>
          <w:sz w:val="32"/>
          <w:szCs w:val="32"/>
        </w:rPr>
        <w:t>2019年仁和区应急管理局财政资金支出507.79万元</w:t>
      </w:r>
    </w:p>
    <w:p>
      <w:pPr>
        <w:adjustRightInd w:val="0"/>
        <w:snapToGrid w:val="0"/>
        <w:spacing w:line="560" w:lineRule="exact"/>
        <w:ind w:firstLine="720"/>
        <w:rPr>
          <w:rFonts w:ascii="黑体" w:hAnsi="黑体" w:eastAsia="黑体"/>
          <w:sz w:val="32"/>
          <w:szCs w:val="32"/>
        </w:rPr>
      </w:pPr>
      <w:r>
        <w:rPr>
          <w:rFonts w:hint="eastAsia" w:ascii="黑体" w:hAnsi="黑体" w:eastAsia="黑体"/>
          <w:sz w:val="32"/>
          <w:szCs w:val="32"/>
        </w:rPr>
        <w:t>三、部门财政支出管理情况</w:t>
      </w:r>
    </w:p>
    <w:p>
      <w:pPr>
        <w:adjustRightInd w:val="0"/>
        <w:snapToGrid w:val="0"/>
        <w:spacing w:line="560" w:lineRule="exact"/>
        <w:ind w:firstLine="720"/>
        <w:rPr>
          <w:rFonts w:ascii="楷体" w:hAnsi="楷体" w:eastAsia="楷体"/>
          <w:b/>
          <w:sz w:val="32"/>
          <w:szCs w:val="32"/>
          <w:lang w:val="zh-CN"/>
        </w:rPr>
      </w:pPr>
      <w:r>
        <w:rPr>
          <w:rFonts w:hint="eastAsia" w:ascii="楷体" w:hAnsi="楷体" w:eastAsia="楷体"/>
          <w:b/>
          <w:sz w:val="32"/>
          <w:szCs w:val="32"/>
          <w:lang w:val="zh-CN"/>
        </w:rPr>
        <w:t>（一）预算编制情况。</w:t>
      </w:r>
    </w:p>
    <w:p>
      <w:pPr>
        <w:adjustRightInd w:val="0"/>
        <w:snapToGrid w:val="0"/>
        <w:spacing w:line="560" w:lineRule="exact"/>
        <w:ind w:firstLine="720"/>
        <w:rPr>
          <w:rFonts w:ascii="仿宋_GB2312" w:eastAsia="仿宋_GB2312"/>
          <w:bCs/>
          <w:sz w:val="32"/>
          <w:szCs w:val="32"/>
        </w:rPr>
      </w:pPr>
      <w:r>
        <w:rPr>
          <w:rFonts w:hint="eastAsia" w:ascii="仿宋_GB2312" w:eastAsia="仿宋_GB2312"/>
          <w:bCs/>
          <w:sz w:val="32"/>
          <w:szCs w:val="32"/>
        </w:rPr>
        <w:t>为保证2019年我局预算编制更科学合理，我局对2017年、2018年两个年度预算执行情况进行了详细分析，在此基础上编制了2019年部门预算。</w:t>
      </w:r>
    </w:p>
    <w:p>
      <w:pPr>
        <w:adjustRightInd w:val="0"/>
        <w:snapToGrid w:val="0"/>
        <w:spacing w:line="560" w:lineRule="exact"/>
        <w:ind w:firstLine="720"/>
        <w:rPr>
          <w:rFonts w:ascii="仿宋_GB2312" w:eastAsia="仿宋_GB2312"/>
          <w:bCs/>
          <w:sz w:val="32"/>
          <w:szCs w:val="32"/>
        </w:rPr>
      </w:pPr>
      <w:r>
        <w:rPr>
          <w:rFonts w:hint="eastAsia" w:ascii="仿宋_GB2312" w:eastAsia="仿宋_GB2312"/>
          <w:bCs/>
          <w:sz w:val="32"/>
          <w:szCs w:val="32"/>
        </w:rPr>
        <w:t>在预算编制工作中，我局紧紧围绕区委、区政府的中心工作，按照安全生产年度工作重点和工作目标，坚持“量入为出，收支平衡，保证重点，统筹兼顾，勤俭节约，注重绩效”的原则，严格执行预算编制的有关要求，确保预算编制的真实性和准确性；认真做好数据摸底工作，做到底数清，数据实、项目全；对每个预算项目的编制依据进行认真分析认定，做到依据充分；对预算编制的阀内和标准严格把关，做到不超限不超标；对收入项目和重要支出项目逐项清理核实，做到不遗漏不重复；规范执行预算编制程序，做到按时按要求报送预算文件和材料。</w:t>
      </w:r>
    </w:p>
    <w:p>
      <w:pPr>
        <w:adjustRightInd w:val="0"/>
        <w:snapToGrid w:val="0"/>
        <w:spacing w:line="560" w:lineRule="exact"/>
        <w:ind w:firstLine="720"/>
        <w:rPr>
          <w:rFonts w:ascii="楷体" w:hAnsi="楷体" w:eastAsia="楷体"/>
          <w:b/>
          <w:sz w:val="32"/>
          <w:szCs w:val="32"/>
          <w:lang w:val="zh-CN"/>
        </w:rPr>
      </w:pPr>
      <w:r>
        <w:rPr>
          <w:rFonts w:hint="eastAsia" w:ascii="楷体" w:hAnsi="楷体" w:eastAsia="楷体"/>
          <w:b/>
          <w:sz w:val="32"/>
          <w:szCs w:val="32"/>
          <w:lang w:val="zh-CN"/>
        </w:rPr>
        <w:t>（二）执行管理情况。</w:t>
      </w:r>
    </w:p>
    <w:p>
      <w:pPr>
        <w:adjustRightInd w:val="0"/>
        <w:snapToGrid w:val="0"/>
        <w:spacing w:line="560" w:lineRule="exact"/>
        <w:ind w:firstLine="720"/>
        <w:rPr>
          <w:rFonts w:ascii="仿宋_GB2312" w:eastAsia="仿宋_GB2312"/>
          <w:bCs/>
          <w:sz w:val="32"/>
          <w:szCs w:val="32"/>
        </w:rPr>
      </w:pPr>
      <w:r>
        <w:rPr>
          <w:rFonts w:hint="eastAsia" w:ascii="仿宋_GB2312" w:eastAsia="仿宋_GB2312"/>
          <w:bCs/>
          <w:sz w:val="32"/>
          <w:szCs w:val="32"/>
        </w:rPr>
        <w:t>2019年，我局预算执行情况规范平稳。在预算执行过程中，坚持做好以下几点：一是严格执行预算，确保预算执行的严肃性。按照预算确定的项目支出要求，实行专款专用，确需调整的，严格依照法定程序运作。二是认真执行规定，提高资金的使用效率。根据预算资金使用管理的相关规定，细化项目的实施计划，集中财力保证重点，努力提高财政资金使用的质量和效益。三是加强内部管理，不断提高财务管理水平。结合本部门实际，精打细算，注重节约，不断总结经验教训。</w:t>
      </w:r>
    </w:p>
    <w:p>
      <w:pPr>
        <w:adjustRightInd w:val="0"/>
        <w:snapToGrid w:val="0"/>
        <w:spacing w:line="560" w:lineRule="exact"/>
        <w:ind w:firstLine="720"/>
        <w:rPr>
          <w:rFonts w:ascii="楷体" w:hAnsi="楷体" w:eastAsia="楷体"/>
          <w:b/>
          <w:sz w:val="32"/>
          <w:szCs w:val="32"/>
          <w:lang w:val="zh-CN"/>
        </w:rPr>
      </w:pPr>
      <w:r>
        <w:rPr>
          <w:rFonts w:hint="eastAsia" w:ascii="楷体" w:hAnsi="楷体" w:eastAsia="楷体"/>
          <w:b/>
          <w:sz w:val="32"/>
          <w:szCs w:val="32"/>
          <w:lang w:val="zh-CN"/>
        </w:rPr>
        <w:t>（三）决算编制情况。</w:t>
      </w:r>
    </w:p>
    <w:p>
      <w:pPr>
        <w:adjustRightInd w:val="0"/>
        <w:snapToGrid w:val="0"/>
        <w:spacing w:line="560" w:lineRule="exact"/>
        <w:rPr>
          <w:rFonts w:ascii="仿宋_GB2312" w:eastAsia="仿宋_GB2312"/>
          <w:bCs/>
          <w:sz w:val="32"/>
          <w:szCs w:val="32"/>
        </w:rPr>
      </w:pPr>
      <w:r>
        <w:rPr>
          <w:rFonts w:hint="eastAsia" w:ascii="仿宋_GB2312" w:hAnsi="宋体"/>
          <w:szCs w:val="32"/>
        </w:rPr>
        <w:t xml:space="preserve">   </w:t>
      </w:r>
      <w:r>
        <w:rPr>
          <w:rFonts w:hint="eastAsia" w:ascii="仿宋" w:hAnsi="仿宋" w:eastAsia="仿宋"/>
          <w:sz w:val="32"/>
          <w:szCs w:val="32"/>
          <w:lang w:val="zh-CN"/>
        </w:rPr>
        <w:t xml:space="preserve"> </w:t>
      </w:r>
      <w:r>
        <w:rPr>
          <w:rFonts w:hint="eastAsia" w:ascii="仿宋_GB2312" w:eastAsia="仿宋_GB2312"/>
          <w:bCs/>
          <w:sz w:val="32"/>
          <w:szCs w:val="32"/>
        </w:rPr>
        <w:t>我局在年终根据实际发生的情况，及时与财政部门对账，准确地编制决算报表，并按时报送决算报表，对于结转结余财政资金能按规定分类报审，规范管理使用。</w:t>
      </w:r>
    </w:p>
    <w:p>
      <w:pPr>
        <w:adjustRightInd w:val="0"/>
        <w:snapToGrid w:val="0"/>
        <w:spacing w:line="560" w:lineRule="exact"/>
        <w:ind w:firstLine="720"/>
        <w:rPr>
          <w:rFonts w:ascii="楷体" w:hAnsi="楷体" w:eastAsia="楷体"/>
          <w:b/>
          <w:sz w:val="32"/>
          <w:szCs w:val="32"/>
          <w:lang w:val="zh-CN"/>
        </w:rPr>
      </w:pPr>
      <w:r>
        <w:rPr>
          <w:rFonts w:hint="eastAsia" w:ascii="楷体" w:hAnsi="楷体" w:eastAsia="楷体"/>
          <w:b/>
          <w:sz w:val="32"/>
          <w:szCs w:val="32"/>
          <w:lang w:val="zh-CN"/>
        </w:rPr>
        <w:t>（四）支出绩效情况</w:t>
      </w:r>
    </w:p>
    <w:p>
      <w:pPr>
        <w:autoSpaceDE w:val="0"/>
        <w:autoSpaceDN w:val="0"/>
        <w:adjustRightInd w:val="0"/>
        <w:spacing w:line="560" w:lineRule="exact"/>
        <w:ind w:firstLine="640" w:firstLineChars="200"/>
        <w:rPr>
          <w:rFonts w:ascii="仿宋_GB2312" w:eastAsia="仿宋_GB2312"/>
          <w:bCs/>
          <w:sz w:val="32"/>
          <w:szCs w:val="32"/>
        </w:rPr>
      </w:pPr>
      <w:r>
        <w:rPr>
          <w:rFonts w:ascii="仿宋_GB2312" w:eastAsia="仿宋_GB2312"/>
          <w:bCs/>
          <w:sz w:val="32"/>
          <w:szCs w:val="32"/>
        </w:rPr>
        <w:t>2019年以来，在区委、区政府的正确领导下，在上级应急管理部门的业务指导下，我局认真贯彻落实习近平总书记关于安全生产和应急管理工作的重要指示，认真贯彻落实党中央国务院、省委省政府和市委市政府关于抓好安全生产和应急管理工作的重大决策部署，认真执行安全生产、应急管理相关法律法规，不断强化安全生产意识和底线思维，不断强化应急管理能力，极大的提升了事故防范能力，较好地完成了2019年度各项任务目标，现将2019年工作情况总结如下</w:t>
      </w:r>
    </w:p>
    <w:p>
      <w:pPr>
        <w:autoSpaceDE w:val="0"/>
        <w:autoSpaceDN w:val="0"/>
        <w:adjustRightInd w:val="0"/>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牵头管总，认真履行委</w:t>
      </w:r>
      <w:r>
        <w:rPr>
          <w:rFonts w:hint="eastAsia" w:ascii="仿宋_GB2312" w:eastAsia="仿宋_GB2312"/>
          <w:b/>
          <w:bCs/>
          <w:sz w:val="32"/>
          <w:szCs w:val="32"/>
          <w:lang w:eastAsia="zh-CN"/>
        </w:rPr>
        <w:t>员</w:t>
      </w:r>
      <w:r>
        <w:rPr>
          <w:rFonts w:ascii="仿宋_GB2312" w:eastAsia="仿宋_GB2312"/>
          <w:b/>
          <w:bCs/>
          <w:sz w:val="32"/>
          <w:szCs w:val="32"/>
        </w:rPr>
        <w:t>会办公室职能职责，全力推进全区安全生产责任落实。</w:t>
      </w:r>
    </w:p>
    <w:p>
      <w:pPr>
        <w:spacing w:line="560" w:lineRule="exact"/>
        <w:ind w:firstLine="640" w:firstLineChars="200"/>
        <w:rPr>
          <w:rFonts w:ascii="仿宋_GB2312" w:eastAsia="仿宋_GB2312"/>
          <w:bCs/>
          <w:sz w:val="32"/>
          <w:szCs w:val="32"/>
        </w:rPr>
      </w:pPr>
      <w:r>
        <w:rPr>
          <w:rFonts w:ascii="仿宋_GB2312" w:eastAsia="仿宋_GB2312"/>
          <w:bCs/>
          <w:sz w:val="32"/>
          <w:szCs w:val="32"/>
        </w:rPr>
        <w:t>一是加强安全生产责任体系建设，根据省市要求，拟定了《仁和区党政领导干部安全生产责任制规定》，进一步明确了全区各级党政领导干部安全生产责任。二是全力推进安全生产清单制管理工作，制定印发了《仁和区推进安全生产清单制管理工作实施方案》，落实了煤矿、危险化学品、烟花爆竹、非煤矿山等21个行业清单制建设工作责任单位，已和省安科院达成初步协议，由省安科院对我区清单制建设工作提供技术支持。三是根据《仁和区2019年安全生产工作要点》，紧紧围绕全年工作要点，一季度开展了 “平安仁和·暖风专项整治”系列活动，二季度开展了“平安仁和·烈日专项整治”系列活动，三季度开展了“平安仁和·雷雨专项整治”系列活动，四季度正在开展“平安仁和·雷霆专项整治”系列活动；</w:t>
      </w:r>
      <w:r>
        <w:rPr>
          <w:rFonts w:hint="eastAsia" w:ascii="仿宋_GB2312" w:eastAsia="仿宋_GB2312"/>
          <w:bCs/>
          <w:sz w:val="32"/>
          <w:szCs w:val="32"/>
          <w:lang w:eastAsia="zh-CN"/>
        </w:rPr>
        <w:t>截至目前</w:t>
      </w:r>
      <w:r>
        <w:rPr>
          <w:rFonts w:ascii="仿宋_GB2312" w:eastAsia="仿宋_GB2312"/>
          <w:bCs/>
          <w:sz w:val="32"/>
          <w:szCs w:val="32"/>
        </w:rPr>
        <w:t>全区安委会成员单位共组织检查组315余个，检查企事业单位573余家次，查处隐患1327余项，截至目前已整改完毕1218余项，实施安全生产行政处罚（含事故处罚）近300万元。。</w:t>
      </w:r>
    </w:p>
    <w:p>
      <w:pPr>
        <w:autoSpaceDE w:val="0"/>
        <w:autoSpaceDN w:val="0"/>
        <w:adjustRightInd w:val="0"/>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2.</w:t>
      </w:r>
      <w:r>
        <w:rPr>
          <w:rFonts w:ascii="仿宋_GB2312" w:eastAsia="仿宋_GB2312"/>
          <w:b/>
          <w:bCs/>
          <w:sz w:val="32"/>
          <w:szCs w:val="32"/>
        </w:rPr>
        <w:t>重点监管，认真履行分管行业领域安全监管职责，防范事故发生。</w:t>
      </w:r>
    </w:p>
    <w:p>
      <w:pPr>
        <w:spacing w:line="560" w:lineRule="exact"/>
        <w:ind w:firstLine="640" w:firstLineChars="200"/>
        <w:rPr>
          <w:rFonts w:ascii="仿宋_GB2312" w:eastAsia="仿宋_GB2312"/>
          <w:bCs/>
          <w:sz w:val="32"/>
          <w:szCs w:val="32"/>
        </w:rPr>
      </w:pPr>
      <w:r>
        <w:rPr>
          <w:rFonts w:ascii="仿宋_GB2312" w:eastAsia="仿宋_GB2312"/>
          <w:bCs/>
          <w:sz w:val="32"/>
          <w:szCs w:val="32"/>
        </w:rPr>
        <w:t>一是针对我局分管的煤矿、非煤矿山、烟花爆竹、危险化学品和民用爆炸物品生产经营行业领域特点，每月组织召开专题安全工作会，及时传达上级工作要求，分析当前工作中存在的具体问题，协调解决企业遇到的问题困难，保持了所分管行业领域安全生产持续稳定；</w:t>
      </w:r>
      <w:r>
        <w:rPr>
          <w:rFonts w:hint="eastAsia" w:ascii="仿宋_GB2312" w:eastAsia="仿宋_GB2312"/>
          <w:bCs/>
          <w:sz w:val="32"/>
          <w:szCs w:val="32"/>
        </w:rPr>
        <w:t>我局高度重视煤矿安全生产工作，成立了由区应急管理局局长、煤炭管理局局长和应急管理局分管副局长担任</w:t>
      </w:r>
      <w:r>
        <w:rPr>
          <w:rFonts w:ascii="仿宋_GB2312" w:eastAsia="仿宋_GB2312"/>
          <w:bCs/>
          <w:sz w:val="32"/>
          <w:szCs w:val="32"/>
        </w:rPr>
        <w:t>“</w:t>
      </w:r>
      <w:r>
        <w:rPr>
          <w:rFonts w:hint="eastAsia" w:ascii="仿宋_GB2312" w:eastAsia="仿宋_GB2312"/>
          <w:bCs/>
          <w:sz w:val="32"/>
          <w:szCs w:val="32"/>
        </w:rPr>
        <w:t>片区矿长</w:t>
      </w:r>
      <w:r>
        <w:rPr>
          <w:rFonts w:ascii="仿宋_GB2312" w:eastAsia="仿宋_GB2312"/>
          <w:bCs/>
          <w:sz w:val="32"/>
          <w:szCs w:val="32"/>
        </w:rPr>
        <w:t>”</w:t>
      </w:r>
      <w:r>
        <w:rPr>
          <w:rFonts w:hint="eastAsia" w:ascii="仿宋_GB2312" w:eastAsia="仿宋_GB2312"/>
          <w:bCs/>
          <w:sz w:val="32"/>
          <w:szCs w:val="32"/>
        </w:rPr>
        <w:t>的工作组，制定了《攀枝花市仁和区煤矿安全生产分类分级监管实施方案》，对全区</w:t>
      </w:r>
      <w:r>
        <w:rPr>
          <w:rFonts w:ascii="仿宋_GB2312" w:eastAsia="仿宋_GB2312"/>
          <w:bCs/>
          <w:sz w:val="32"/>
          <w:szCs w:val="32"/>
        </w:rPr>
        <w:t>16</w:t>
      </w:r>
      <w:r>
        <w:rPr>
          <w:rFonts w:hint="eastAsia" w:ascii="仿宋_GB2312" w:eastAsia="仿宋_GB2312"/>
          <w:bCs/>
          <w:sz w:val="32"/>
          <w:szCs w:val="32"/>
        </w:rPr>
        <w:t>处生产煤矿开展风险评估，实行</w:t>
      </w:r>
      <w:r>
        <w:rPr>
          <w:rFonts w:ascii="仿宋_GB2312" w:eastAsia="仿宋_GB2312"/>
          <w:bCs/>
          <w:sz w:val="32"/>
          <w:szCs w:val="32"/>
        </w:rPr>
        <w:t>“</w:t>
      </w:r>
      <w:r>
        <w:rPr>
          <w:rFonts w:hint="eastAsia" w:ascii="仿宋_GB2312" w:eastAsia="仿宋_GB2312"/>
          <w:bCs/>
          <w:sz w:val="32"/>
          <w:szCs w:val="32"/>
        </w:rPr>
        <w:t>红、橙、黄、蓝</w:t>
      </w:r>
      <w:r>
        <w:rPr>
          <w:rFonts w:ascii="仿宋_GB2312" w:eastAsia="仿宋_GB2312"/>
          <w:bCs/>
          <w:sz w:val="32"/>
          <w:szCs w:val="32"/>
        </w:rPr>
        <w:t>”</w:t>
      </w:r>
      <w:r>
        <w:rPr>
          <w:rFonts w:hint="eastAsia" w:ascii="仿宋_GB2312" w:eastAsia="仿宋_GB2312"/>
          <w:bCs/>
          <w:sz w:val="32"/>
          <w:szCs w:val="32"/>
        </w:rPr>
        <w:t>四色分级管理，实行煤矿主要负责人安全生产约谈和煤矿安全管理人员考核考试准入制度，严格执行煤矿安全监管人员定点联系工作制度，明确定点联系人员和旁站式安全监管人员，全面督促煤矿企业落实安全生产主体责任，2019年以来，县级领导带队检查煤矿59人次。</w:t>
      </w:r>
      <w:r>
        <w:rPr>
          <w:rFonts w:ascii="仿宋_GB2312" w:eastAsia="仿宋_GB2312"/>
          <w:bCs/>
          <w:sz w:val="32"/>
          <w:szCs w:val="32"/>
        </w:rPr>
        <w:t>二是针对重点时段和应对极端天气安全工作的特殊要求，加大执法检查和隐患排查治理力度，全覆盖、拉网式开展检查工作，督促企业落实主体责任，确保全年重要事件段的安全稳定，</w:t>
      </w:r>
      <w:r>
        <w:rPr>
          <w:rFonts w:hint="eastAsia" w:ascii="仿宋_GB2312" w:eastAsia="仿宋_GB2312"/>
          <w:bCs/>
          <w:sz w:val="32"/>
          <w:szCs w:val="32"/>
          <w:lang w:eastAsia="zh-CN"/>
        </w:rPr>
        <w:t>截至目前</w:t>
      </w:r>
      <w:r>
        <w:rPr>
          <w:rFonts w:ascii="仿宋_GB2312" w:eastAsia="仿宋_GB2312"/>
          <w:bCs/>
          <w:sz w:val="32"/>
          <w:szCs w:val="32"/>
        </w:rPr>
        <w:t>，检查企业120余家次，查处隐患380余项，目前已整改完毕310余项，实施安全生产行政处罚（包括事故处罚）290余万元</w:t>
      </w:r>
      <w:r>
        <w:rPr>
          <w:rFonts w:hint="eastAsia" w:ascii="仿宋_GB2312" w:eastAsia="仿宋_GB2312"/>
          <w:bCs/>
          <w:sz w:val="32"/>
          <w:szCs w:val="32"/>
        </w:rPr>
        <w:t>。</w:t>
      </w:r>
      <w:r>
        <w:rPr>
          <w:rFonts w:ascii="仿宋_GB2312" w:eastAsia="仿宋_GB2312"/>
          <w:bCs/>
          <w:sz w:val="32"/>
          <w:szCs w:val="32"/>
        </w:rPr>
        <w:t>三是加强安全生产法律法规的宣讲，针对部分非煤矿山企业安证过期及注销等现象，督促企业及时按照安全“三同时”工作的要求完善相关手续</w:t>
      </w:r>
      <w:r>
        <w:rPr>
          <w:rFonts w:hint="eastAsia" w:ascii="仿宋_GB2312" w:eastAsia="仿宋_GB2312"/>
          <w:bCs/>
          <w:sz w:val="32"/>
          <w:szCs w:val="32"/>
        </w:rPr>
        <w:t>。</w:t>
      </w:r>
      <w:r>
        <w:rPr>
          <w:rFonts w:ascii="仿宋_GB2312" w:eastAsia="仿宋_GB2312"/>
          <w:bCs/>
          <w:sz w:val="32"/>
          <w:szCs w:val="32"/>
        </w:rPr>
        <w:t>四是积极退还安全生产风险抵押金，</w:t>
      </w:r>
      <w:r>
        <w:rPr>
          <w:rFonts w:hint="eastAsia" w:ascii="仿宋_GB2312" w:eastAsia="仿宋_GB2312"/>
          <w:bCs/>
          <w:sz w:val="32"/>
          <w:szCs w:val="32"/>
          <w:lang w:eastAsia="zh-CN"/>
        </w:rPr>
        <w:t>截至目前</w:t>
      </w:r>
      <w:r>
        <w:rPr>
          <w:rFonts w:ascii="仿宋_GB2312" w:eastAsia="仿宋_GB2312"/>
          <w:bCs/>
          <w:sz w:val="32"/>
          <w:szCs w:val="32"/>
        </w:rPr>
        <w:t>退还风险抵押金104户，涉及金额113</w:t>
      </w:r>
      <w:r>
        <w:rPr>
          <w:rFonts w:hint="eastAsia" w:ascii="仿宋_GB2312" w:eastAsia="仿宋_GB2312"/>
          <w:bCs/>
          <w:sz w:val="32"/>
          <w:szCs w:val="32"/>
        </w:rPr>
        <w:t>.</w:t>
      </w:r>
      <w:r>
        <w:rPr>
          <w:rFonts w:ascii="仿宋_GB2312" w:eastAsia="仿宋_GB2312"/>
          <w:bCs/>
          <w:sz w:val="32"/>
          <w:szCs w:val="32"/>
        </w:rPr>
        <w:t>81</w:t>
      </w:r>
      <w:r>
        <w:rPr>
          <w:rFonts w:hint="eastAsia" w:ascii="仿宋_GB2312" w:eastAsia="仿宋_GB2312"/>
          <w:bCs/>
          <w:sz w:val="32"/>
          <w:szCs w:val="32"/>
        </w:rPr>
        <w:t>万</w:t>
      </w:r>
      <w:r>
        <w:rPr>
          <w:rFonts w:ascii="仿宋_GB2312" w:eastAsia="仿宋_GB2312"/>
          <w:bCs/>
          <w:sz w:val="32"/>
          <w:szCs w:val="32"/>
        </w:rPr>
        <w:t>元</w:t>
      </w:r>
      <w:r>
        <w:rPr>
          <w:rFonts w:hint="eastAsia" w:ascii="仿宋_GB2312" w:eastAsia="仿宋_GB2312"/>
          <w:bCs/>
          <w:sz w:val="32"/>
          <w:szCs w:val="32"/>
        </w:rPr>
        <w:t>。</w:t>
      </w:r>
      <w:r>
        <w:rPr>
          <w:rFonts w:ascii="仿宋_GB2312" w:eastAsia="仿宋_GB2312"/>
          <w:bCs/>
          <w:sz w:val="32"/>
          <w:szCs w:val="32"/>
        </w:rPr>
        <w:t>五是认真开展安全生产月宣传活动，牵头制定《仁和区2019年安全生产月活动方案》并组织实施，参加安全生产知识竞赛，组织区安委会成员单位在商业文化广场开展集中宣传，累计发放宣传资料3000余份，接受咨询200余人次</w:t>
      </w:r>
      <w:r>
        <w:rPr>
          <w:rFonts w:hint="eastAsia" w:ascii="仿宋_GB2312" w:eastAsia="仿宋_GB2312"/>
          <w:bCs/>
          <w:sz w:val="32"/>
          <w:szCs w:val="32"/>
        </w:rPr>
        <w:t>。</w:t>
      </w:r>
      <w:r>
        <w:rPr>
          <w:rFonts w:ascii="仿宋_GB2312" w:eastAsia="仿宋_GB2312"/>
          <w:bCs/>
          <w:sz w:val="32"/>
          <w:szCs w:val="32"/>
        </w:rPr>
        <w:t>六是加大安全监管执法力量建设，</w:t>
      </w:r>
      <w:r>
        <w:rPr>
          <w:rFonts w:hint="eastAsia" w:ascii="仿宋_GB2312" w:eastAsia="仿宋_GB2312"/>
          <w:bCs/>
          <w:sz w:val="32"/>
          <w:szCs w:val="32"/>
          <w:lang w:eastAsia="zh-CN"/>
        </w:rPr>
        <w:t>截至目前</w:t>
      </w:r>
      <w:r>
        <w:rPr>
          <w:rFonts w:ascii="仿宋_GB2312" w:eastAsia="仿宋_GB2312"/>
          <w:bCs/>
          <w:sz w:val="32"/>
          <w:szCs w:val="32"/>
        </w:rPr>
        <w:t>，共组织安全监管和执法资格培训学习87人次，26人换领了新的执法资格证书，18人新取得了执法资格证书</w:t>
      </w:r>
      <w:r>
        <w:rPr>
          <w:rFonts w:hint="eastAsia" w:ascii="仿宋_GB2312" w:eastAsia="仿宋_GB2312"/>
          <w:bCs/>
          <w:sz w:val="32"/>
          <w:szCs w:val="32"/>
        </w:rPr>
        <w:t>。</w:t>
      </w:r>
      <w:r>
        <w:rPr>
          <w:rFonts w:ascii="仿宋_GB2312" w:eastAsia="仿宋_GB2312"/>
          <w:bCs/>
          <w:sz w:val="32"/>
          <w:szCs w:val="32"/>
        </w:rPr>
        <w:t>七是严格行政审批制度，</w:t>
      </w:r>
      <w:r>
        <w:rPr>
          <w:rFonts w:hint="eastAsia" w:ascii="仿宋_GB2312" w:eastAsia="仿宋_GB2312"/>
          <w:bCs/>
          <w:sz w:val="32"/>
          <w:szCs w:val="32"/>
          <w:lang w:eastAsia="zh-CN"/>
        </w:rPr>
        <w:t>截至目前</w:t>
      </w:r>
      <w:r>
        <w:rPr>
          <w:rFonts w:ascii="仿宋_GB2312" w:eastAsia="仿宋_GB2312"/>
          <w:bCs/>
          <w:sz w:val="32"/>
          <w:szCs w:val="32"/>
        </w:rPr>
        <w:t>，办理危险化学品经验许可证9个，第三类非药品类易制毒化学品经营备案9次，烟花爆竹经验许可证88户。</w:t>
      </w:r>
    </w:p>
    <w:p>
      <w:pPr>
        <w:autoSpaceDE w:val="0"/>
        <w:autoSpaceDN w:val="0"/>
        <w:adjustRightInd w:val="0"/>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3.</w:t>
      </w:r>
      <w:r>
        <w:rPr>
          <w:rFonts w:ascii="仿宋_GB2312" w:eastAsia="仿宋_GB2312"/>
          <w:b/>
          <w:bCs/>
          <w:sz w:val="32"/>
          <w:szCs w:val="32"/>
        </w:rPr>
        <w:t>警钟长鸣，认真开展安全生产事故警示教育，促进安全生产意识提高</w:t>
      </w:r>
    </w:p>
    <w:p>
      <w:pPr>
        <w:spacing w:line="560" w:lineRule="exact"/>
        <w:ind w:firstLine="640" w:firstLineChars="200"/>
        <w:rPr>
          <w:rFonts w:ascii="仿宋_GB2312" w:eastAsia="仿宋_GB2312"/>
          <w:bCs/>
          <w:sz w:val="32"/>
          <w:szCs w:val="32"/>
        </w:rPr>
      </w:pPr>
      <w:r>
        <w:rPr>
          <w:rFonts w:ascii="仿宋_GB2312" w:eastAsia="仿宋_GB2312"/>
          <w:bCs/>
          <w:sz w:val="32"/>
          <w:szCs w:val="32"/>
        </w:rPr>
        <w:t>我局认真组织开展安全生产月宣传活动，牵头制定了《仁和区2019年安全生产月活动方案》并组织实施，参加安全生产知识竞赛，组织区安委会成员单位在商业文化广场开展集中宣传，各乡镇街办同步进行安全宣传活动，安全生产月期间共计发放宣传资料3000余份，接受咨询200余人次。今年，区安办通过对我区生产安全事故的调查处理，联系区文广旅局制作了两期事故警示教育片，并充分利用安委会会议、专题警示教育工作会和行业工作安排部署会契机，组织安全监管部门、监管人员和生产经营企业业主、负责人观看警示教育片，通过身边真实的事故案例长敲安全生产警醒之钟。</w:t>
      </w:r>
    </w:p>
    <w:p>
      <w:pPr>
        <w:autoSpaceDE w:val="0"/>
        <w:autoSpaceDN w:val="0"/>
        <w:adjustRightInd w:val="0"/>
        <w:spacing w:line="560" w:lineRule="exact"/>
        <w:ind w:firstLine="642" w:firstLineChars="200"/>
        <w:rPr>
          <w:rFonts w:ascii="仿宋_GB2312" w:eastAsia="仿宋_GB2312"/>
          <w:b/>
          <w:bCs/>
          <w:sz w:val="32"/>
          <w:szCs w:val="32"/>
        </w:rPr>
      </w:pPr>
      <w:r>
        <w:rPr>
          <w:rFonts w:hint="eastAsia" w:ascii="仿宋_GB2312" w:eastAsia="仿宋_GB2312"/>
          <w:b/>
          <w:bCs/>
          <w:sz w:val="32"/>
          <w:szCs w:val="32"/>
        </w:rPr>
        <w:t>4.</w:t>
      </w:r>
      <w:r>
        <w:rPr>
          <w:rFonts w:ascii="仿宋_GB2312" w:eastAsia="仿宋_GB2312"/>
          <w:b/>
          <w:bCs/>
          <w:sz w:val="32"/>
          <w:szCs w:val="32"/>
        </w:rPr>
        <w:t>积极跟进，认真梳理厘清应急管理工作职能职责，全面推动应急管理工作体系建设</w:t>
      </w:r>
    </w:p>
    <w:p>
      <w:pPr>
        <w:spacing w:line="560" w:lineRule="exact"/>
        <w:ind w:firstLine="640" w:firstLineChars="200"/>
        <w:rPr>
          <w:rFonts w:ascii="仿宋_GB2312" w:eastAsia="仿宋_GB2312"/>
          <w:bCs/>
          <w:sz w:val="32"/>
          <w:szCs w:val="32"/>
        </w:rPr>
      </w:pPr>
      <w:r>
        <w:rPr>
          <w:rFonts w:ascii="仿宋_GB2312" w:eastAsia="仿宋_GB2312"/>
          <w:bCs/>
          <w:sz w:val="32"/>
          <w:szCs w:val="32"/>
        </w:rPr>
        <w:t>因机构改革，2019年2月成立区应急管理局，涉及职能职责调整较大，为确保机构改革期间应急管理工作不缺位、断档，区应急管理局重点开展了以下几方面工作：一是完善区应急救援预案体系，重点对全区综合性应急预案、部门、专项预案进行修订，通过对应急救援预案的修订，使应急救援预案更据有针对性、可操作性，达到快速响应目的</w:t>
      </w:r>
      <w:r>
        <w:rPr>
          <w:rFonts w:hint="eastAsia" w:ascii="仿宋_GB2312" w:eastAsia="仿宋_GB2312"/>
          <w:bCs/>
          <w:sz w:val="32"/>
          <w:szCs w:val="32"/>
        </w:rPr>
        <w:t>。</w:t>
      </w:r>
      <w:r>
        <w:rPr>
          <w:rFonts w:ascii="仿宋_GB2312" w:eastAsia="仿宋_GB2312"/>
          <w:bCs/>
          <w:sz w:val="32"/>
          <w:szCs w:val="32"/>
        </w:rPr>
        <w:t>二是对全区部门、乡镇（街道）现有应急救援物资、装备和应急生活保障物资进行全面摸底清理，通过摸底清理，建立相应的应急调拨机制，一旦发生灾害，确保能在第一时间调拨投入使用</w:t>
      </w:r>
      <w:r>
        <w:rPr>
          <w:rFonts w:hint="eastAsia" w:ascii="仿宋_GB2312" w:eastAsia="仿宋_GB2312"/>
          <w:bCs/>
          <w:sz w:val="32"/>
          <w:szCs w:val="32"/>
        </w:rPr>
        <w:t>。</w:t>
      </w:r>
      <w:r>
        <w:rPr>
          <w:rFonts w:ascii="仿宋_GB2312" w:eastAsia="仿宋_GB2312"/>
          <w:bCs/>
          <w:sz w:val="32"/>
          <w:szCs w:val="32"/>
        </w:rPr>
        <w:t>三是进一步完善应急联系机制，按照各自的职能职责，进一步明确城市、森林消防救援队伍、应急医疗救护队伍、水电气应急保障、通讯应急保障等单位部门在应急救援过程中的职能职责和联系对接方式，确保应急装备、物资、人员保障到位</w:t>
      </w:r>
      <w:r>
        <w:rPr>
          <w:rFonts w:hint="eastAsia" w:ascii="仿宋_GB2312" w:eastAsia="仿宋_GB2312"/>
          <w:bCs/>
          <w:sz w:val="32"/>
          <w:szCs w:val="32"/>
        </w:rPr>
        <w:t>。</w:t>
      </w:r>
      <w:r>
        <w:rPr>
          <w:rFonts w:ascii="仿宋_GB2312" w:eastAsia="仿宋_GB2312"/>
          <w:bCs/>
          <w:sz w:val="32"/>
          <w:szCs w:val="32"/>
        </w:rPr>
        <w:t>四是</w:t>
      </w:r>
      <w:r>
        <w:rPr>
          <w:rFonts w:hint="eastAsia" w:ascii="仿宋_GB2312" w:eastAsia="仿宋_GB2312"/>
          <w:bCs/>
          <w:sz w:val="32"/>
          <w:szCs w:val="32"/>
        </w:rPr>
        <w:t>加强应急值班值守工作，我局自2019年起，施行了24小时在岗应急值守制度，每天确保1名带班领导和2名工作人员在岗应急值守，开通了24小时应急值班电话，确保随时随刻都能接收到突发紧急信息。五是</w:t>
      </w:r>
      <w:r>
        <w:rPr>
          <w:rFonts w:ascii="仿宋_GB2312" w:eastAsia="仿宋_GB2312"/>
          <w:bCs/>
          <w:sz w:val="32"/>
          <w:szCs w:val="32"/>
        </w:rPr>
        <w:t>完善应急信息报送机制，辖区范围内的生产安全事故、自然灾害等信息，统一由应急管理局对外报送，避免出现信息不对称、信息倒流等情况。</w:t>
      </w:r>
    </w:p>
    <w:p>
      <w:pPr>
        <w:spacing w:line="560" w:lineRule="exact"/>
        <w:rPr>
          <w:rFonts w:ascii="仿宋_GB2312" w:eastAsia="仿宋_GB2312"/>
          <w:b/>
          <w:bCs/>
          <w:sz w:val="32"/>
          <w:szCs w:val="32"/>
        </w:rPr>
      </w:pPr>
      <w:r>
        <w:rPr>
          <w:rFonts w:hint="eastAsia" w:ascii="仿宋_GB2312" w:eastAsia="仿宋_GB2312"/>
          <w:bCs/>
          <w:sz w:val="32"/>
          <w:szCs w:val="32"/>
        </w:rPr>
        <w:t xml:space="preserve">    </w:t>
      </w:r>
      <w:r>
        <w:rPr>
          <w:rFonts w:hint="eastAsia" w:ascii="仿宋_GB2312" w:eastAsia="仿宋_GB2312"/>
          <w:b/>
          <w:bCs/>
          <w:sz w:val="32"/>
          <w:szCs w:val="32"/>
        </w:rPr>
        <w:t>5.坚定信念，加强教育学习，全力推动机关党建工作</w:t>
      </w:r>
    </w:p>
    <w:p>
      <w:pPr>
        <w:spacing w:line="560" w:lineRule="exact"/>
        <w:ind w:firstLine="645"/>
        <w:rPr>
          <w:rFonts w:ascii="仿宋_GB2312" w:eastAsia="仿宋_GB2312"/>
          <w:bCs/>
          <w:sz w:val="32"/>
          <w:szCs w:val="32"/>
        </w:rPr>
      </w:pPr>
      <w:r>
        <w:rPr>
          <w:rFonts w:ascii="仿宋_GB2312" w:eastAsia="仿宋_GB2312"/>
          <w:bCs/>
          <w:sz w:val="32"/>
          <w:szCs w:val="32"/>
        </w:rPr>
        <w:t>一是加强学习，筑牢思想之“魂”。我局在年初就制定了党建工作</w:t>
      </w:r>
      <w:r>
        <w:fldChar w:fldCharType="begin"/>
      </w:r>
      <w:r>
        <w:instrText xml:space="preserve"> HYPERLINK "http://yjbys.com/xuexi/jihua/" \t "_blank" </w:instrText>
      </w:r>
      <w:r>
        <w:fldChar w:fldCharType="separate"/>
      </w:r>
      <w:r>
        <w:rPr>
          <w:rFonts w:ascii="仿宋_GB2312" w:eastAsia="仿宋_GB2312"/>
          <w:bCs/>
          <w:sz w:val="32"/>
          <w:szCs w:val="32"/>
        </w:rPr>
        <w:t>学习计划</w:t>
      </w:r>
      <w:r>
        <w:rPr>
          <w:rFonts w:ascii="仿宋_GB2312" w:eastAsia="仿宋_GB2312"/>
          <w:bCs/>
          <w:sz w:val="32"/>
          <w:szCs w:val="32"/>
        </w:rPr>
        <w:fldChar w:fldCharType="end"/>
      </w:r>
      <w:r>
        <w:rPr>
          <w:rFonts w:ascii="仿宋_GB2312" w:eastAsia="仿宋_GB2312"/>
          <w:bCs/>
          <w:sz w:val="32"/>
          <w:szCs w:val="32"/>
        </w:rPr>
        <w:t>，采取党组会议集中学习、开展专题学习活动、个人自学等多种形式，深入学习党的基本理论、习近平新时代中国特色社会主义思想，重温《中国共产党章程》、《中国共产党纪律处分条例》、《</w:t>
      </w:r>
      <w:r>
        <w:rPr>
          <w:rFonts w:hint="eastAsia" w:ascii="仿宋_GB2312" w:eastAsia="仿宋_GB2312"/>
          <w:bCs/>
          <w:sz w:val="32"/>
          <w:szCs w:val="32"/>
          <w:lang w:eastAsia="zh-CN"/>
        </w:rPr>
        <w:t>关于新形势下党内政治生活的若干准则</w:t>
      </w:r>
      <w:r>
        <w:rPr>
          <w:rFonts w:ascii="仿宋_GB2312" w:eastAsia="仿宋_GB2312"/>
          <w:bCs/>
          <w:sz w:val="32"/>
          <w:szCs w:val="32"/>
        </w:rPr>
        <w:t>》等制度性文件；同时，对党的路线、方针、政策和上级党组织的决议、决定、依法治国、依法行政、经济发展、社会管理等方面的知识也系统进行了学习，通过多种形式的学习教育，促进党员干部进一步坚定理想信念，补足精神之“钙”，筑牢思想之“魂”，进一步增强了基层党组的战斗堡垒作用。二是严格落实党建工作责任。局党组书记、局长作为机关党建工作第一责任人，亲自抓机关党建工作，定期召开机关党建会议，局党组每季度至少研究 1 次党建工作，研究部署机关党建工作，分析领导班子、干部职工作风状况，加强综合研判党员领导干部思想、工作和作风建设实际情况，每年至少为党员干部讲 1 次党课，形成了党组负总责、党组书记亲自抓、党总支书记抓落实的良好领导体制和责任机制。三是落实党建“一岗双责”。分管领导以身作则，认真履行管党建党职责，将党建工作和业务工作一同谋划、一同部署、一同考核，切实改进工作作风，始终把安全监管工作和应急管理工作作为抓好党建工作的具体抓手，全面推进安全生产专项整治、安全隐患排查治理和应急管理机制体系建设。四是开展廉政警示教育。向模范学习、向先进学习，学习王涛、廖弦、张贵平等优秀共产党员先进事迹；召开廉政警示教育会，观看原区旅游局原副局长赵挚违纪案、《忏悔实录》、《彝寨清风》、《村蝇》和《蒙尘的初心》等警示教育片，进一步敲响了警醒之钟。</w:t>
      </w:r>
    </w:p>
    <w:p>
      <w:pPr>
        <w:adjustRightInd w:val="0"/>
        <w:snapToGrid w:val="0"/>
        <w:spacing w:line="560" w:lineRule="exact"/>
        <w:ind w:firstLine="720"/>
        <w:rPr>
          <w:rFonts w:ascii="黑体" w:hAnsi="黑体" w:eastAsia="黑体"/>
          <w:sz w:val="32"/>
          <w:szCs w:val="32"/>
        </w:rPr>
      </w:pPr>
      <w:r>
        <w:rPr>
          <w:rFonts w:hint="eastAsia" w:ascii="黑体" w:hAnsi="黑体" w:eastAsia="黑体"/>
          <w:sz w:val="32"/>
          <w:szCs w:val="32"/>
        </w:rPr>
        <w:t>四、评价结论及建议</w:t>
      </w:r>
    </w:p>
    <w:p>
      <w:pPr>
        <w:adjustRightInd w:val="0"/>
        <w:snapToGrid w:val="0"/>
        <w:spacing w:line="560" w:lineRule="exact"/>
        <w:ind w:firstLine="720"/>
        <w:rPr>
          <w:rFonts w:ascii="仿宋_GB2312" w:eastAsia="仿宋_GB2312"/>
          <w:bCs/>
          <w:sz w:val="32"/>
          <w:szCs w:val="32"/>
        </w:rPr>
      </w:pPr>
      <w:r>
        <w:rPr>
          <w:rFonts w:hint="eastAsia" w:ascii="仿宋_GB2312" w:eastAsia="仿宋_GB2312"/>
          <w:bCs/>
          <w:sz w:val="32"/>
          <w:szCs w:val="32"/>
        </w:rPr>
        <w:t>我局高度重视此次绩效评价自查工作，指定专人负责，认真整理各项资料和数据，并进行认真、细致、客观的自评。自评合计得分99分，其中预决算编制、预算执行和绩效评价合计为50分，预算管理为49分。扣分原因主要是在2019年财务管理中有该用公务卡支付而未用公务卡支付的情况。在下一步工作中，我局将加强政策学习，提高认识，加强现金和公务卡支付管理。</w:t>
      </w:r>
    </w:p>
    <w:p>
      <w:pPr>
        <w:adjustRightInd w:val="0"/>
        <w:snapToGrid w:val="0"/>
        <w:spacing w:line="560" w:lineRule="exact"/>
        <w:ind w:firstLine="720"/>
        <w:rPr>
          <w:rFonts w:ascii="仿宋_GB2312" w:eastAsia="仿宋_GB2312"/>
          <w:bCs/>
          <w:sz w:val="32"/>
          <w:szCs w:val="32"/>
        </w:rPr>
      </w:pPr>
    </w:p>
    <w:p>
      <w:pPr>
        <w:adjustRightInd w:val="0"/>
        <w:snapToGrid w:val="0"/>
        <w:spacing w:line="560" w:lineRule="exact"/>
        <w:ind w:firstLine="720"/>
        <w:rPr>
          <w:rFonts w:ascii="仿宋_GB2312" w:hAnsi="宋体"/>
          <w:szCs w:val="32"/>
        </w:rPr>
      </w:pPr>
    </w:p>
    <w:p>
      <w:pPr>
        <w:adjustRightInd w:val="0"/>
        <w:snapToGrid w:val="0"/>
        <w:spacing w:line="560" w:lineRule="exact"/>
        <w:ind w:firstLine="720"/>
        <w:rPr>
          <w:rFonts w:ascii="仿宋_GB2312" w:hAnsi="宋体"/>
          <w:szCs w:val="32"/>
        </w:rPr>
      </w:pPr>
    </w:p>
    <w:p>
      <w:pPr>
        <w:adjustRightInd w:val="0"/>
        <w:snapToGrid w:val="0"/>
        <w:spacing w:line="560" w:lineRule="exact"/>
        <w:ind w:firstLine="720"/>
        <w:rPr>
          <w:rFonts w:ascii="仿宋_GB2312" w:hAnsi="宋体"/>
          <w:szCs w:val="32"/>
        </w:rPr>
      </w:pPr>
    </w:p>
    <w:p>
      <w:pPr>
        <w:adjustRightInd w:val="0"/>
        <w:snapToGrid w:val="0"/>
        <w:spacing w:line="560" w:lineRule="exact"/>
        <w:ind w:firstLine="720"/>
        <w:rPr>
          <w:rFonts w:ascii="仿宋_GB2312" w:hAnsi="宋体"/>
          <w:szCs w:val="32"/>
        </w:rPr>
      </w:pPr>
    </w:p>
    <w:p>
      <w:pPr>
        <w:adjustRightInd w:val="0"/>
        <w:snapToGrid w:val="0"/>
        <w:spacing w:line="560" w:lineRule="exact"/>
        <w:ind w:firstLine="720"/>
        <w:rPr>
          <w:rFonts w:ascii="仿宋_GB2312" w:hAnsi="宋体"/>
          <w:szCs w:val="32"/>
        </w:rPr>
      </w:pPr>
      <w:r>
        <w:rPr>
          <w:rFonts w:hint="eastAsia" w:ascii="仿宋_GB2312" w:hAnsi="宋体"/>
          <w:szCs w:val="32"/>
        </w:rPr>
        <w:t xml:space="preserve">             </w:t>
      </w:r>
      <w:r>
        <w:rPr>
          <w:rFonts w:hint="eastAsia" w:ascii="仿宋" w:hAnsi="仿宋" w:eastAsia="仿宋"/>
          <w:sz w:val="32"/>
          <w:szCs w:val="32"/>
          <w:lang w:val="zh-CN"/>
        </w:rPr>
        <w:t xml:space="preserve">                    2020年5月19日</w:t>
      </w:r>
    </w:p>
    <w:p>
      <w:pPr>
        <w:widowControl/>
        <w:spacing w:line="560" w:lineRule="exact"/>
        <w:jc w:val="left"/>
        <w:rPr>
          <w:rStyle w:val="16"/>
          <w:rFonts w:ascii="黑体" w:hAnsi="黑体" w:eastAsia="黑体"/>
          <w:b w:val="0"/>
        </w:rPr>
      </w:pPr>
    </w:p>
    <w:p>
      <w:pPr>
        <w:widowControl/>
        <w:spacing w:line="560" w:lineRule="exact"/>
        <w:jc w:val="left"/>
        <w:rPr>
          <w:rStyle w:val="16"/>
          <w:rFonts w:ascii="黑体" w:hAnsi="黑体" w:eastAsia="黑体"/>
          <w:b w:val="0"/>
        </w:rPr>
      </w:pPr>
      <w:r>
        <w:rPr>
          <w:rStyle w:val="16"/>
          <w:rFonts w:ascii="黑体" w:hAnsi="黑体" w:eastAsia="黑体"/>
          <w:b w:val="0"/>
        </w:rPr>
        <w:br w:type="page"/>
      </w:r>
    </w:p>
    <w:p>
      <w:pPr>
        <w:spacing w:line="560" w:lineRule="exact"/>
        <w:jc w:val="center"/>
        <w:outlineLvl w:val="0"/>
        <w:rPr>
          <w:rStyle w:val="16"/>
          <w:rFonts w:ascii="黑体" w:hAnsi="黑体" w:eastAsia="黑体"/>
          <w:b w:val="0"/>
        </w:rPr>
      </w:pPr>
      <w:bookmarkStart w:id="57" w:name="_Toc15396618"/>
      <w:r>
        <w:rPr>
          <w:rFonts w:hint="eastAsia" w:ascii="黑体" w:hAnsi="黑体" w:eastAsia="黑体"/>
          <w:color w:val="000000"/>
          <w:sz w:val="44"/>
          <w:szCs w:val="44"/>
        </w:rPr>
        <w:t>第</w:t>
      </w:r>
      <w:r>
        <w:rPr>
          <w:rStyle w:val="16"/>
          <w:rFonts w:hint="eastAsia" w:ascii="黑体" w:hAnsi="黑体" w:eastAsia="黑体"/>
          <w:b w:val="0"/>
        </w:rPr>
        <w:t>五部分</w:t>
      </w:r>
      <w:r>
        <w:rPr>
          <w:rStyle w:val="16"/>
          <w:rFonts w:ascii="黑体" w:hAnsi="黑体" w:eastAsia="黑体"/>
          <w:b w:val="0"/>
        </w:rPr>
        <w:t xml:space="preserve"> </w:t>
      </w:r>
      <w:r>
        <w:rPr>
          <w:rStyle w:val="16"/>
          <w:rFonts w:hint="eastAsia" w:ascii="黑体" w:hAnsi="黑体" w:eastAsia="黑体"/>
          <w:b w:val="0"/>
        </w:rPr>
        <w:t>附表</w:t>
      </w:r>
      <w:bookmarkEnd w:id="56"/>
      <w:bookmarkEnd w:id="57"/>
    </w:p>
    <w:p>
      <w:pPr>
        <w:spacing w:line="560" w:lineRule="exact"/>
        <w:jc w:val="center"/>
        <w:outlineLvl w:val="0"/>
        <w:rPr>
          <w:rFonts w:ascii="仿宋" w:hAnsi="仿宋" w:eastAsia="仿宋"/>
          <w:b/>
          <w:color w:val="000000"/>
          <w:sz w:val="44"/>
          <w:szCs w:val="44"/>
        </w:rPr>
      </w:pPr>
    </w:p>
    <w:p>
      <w:pPr>
        <w:pStyle w:val="3"/>
        <w:spacing w:before="0" w:after="0" w:line="560" w:lineRule="exact"/>
        <w:rPr>
          <w:rFonts w:ascii="仿宋" w:hAnsi="仿宋" w:eastAsia="仿宋"/>
          <w:color w:val="000000"/>
        </w:rPr>
      </w:pPr>
      <w:bookmarkStart w:id="58" w:name="_Toc15396619"/>
      <w:r>
        <w:rPr>
          <w:rFonts w:hint="eastAsia" w:ascii="仿宋" w:hAnsi="仿宋" w:eastAsia="仿宋"/>
          <w:b w:val="0"/>
          <w:color w:val="000000"/>
        </w:rPr>
        <w:t>一、收</w:t>
      </w:r>
      <w:r>
        <w:rPr>
          <w:rStyle w:val="17"/>
          <w:rFonts w:hint="eastAsia" w:ascii="仿宋" w:hAnsi="仿宋" w:eastAsia="仿宋"/>
          <w:b w:val="0"/>
          <w:bCs w:val="0"/>
        </w:rPr>
        <w:t>入支出决算总表</w:t>
      </w:r>
      <w:bookmarkEnd w:id="58"/>
    </w:p>
    <w:p>
      <w:pPr>
        <w:pStyle w:val="3"/>
        <w:spacing w:before="0" w:after="0" w:line="560" w:lineRule="exact"/>
        <w:rPr>
          <w:rFonts w:ascii="仿宋" w:hAnsi="仿宋" w:eastAsia="仿宋"/>
          <w:color w:val="000000"/>
        </w:rPr>
      </w:pPr>
      <w:bookmarkStart w:id="59" w:name="_Toc15396620"/>
      <w:r>
        <w:rPr>
          <w:rFonts w:hint="eastAsia" w:ascii="仿宋" w:hAnsi="仿宋" w:eastAsia="仿宋"/>
          <w:b w:val="0"/>
          <w:color w:val="000000"/>
        </w:rPr>
        <w:t>二、收</w:t>
      </w:r>
      <w:r>
        <w:rPr>
          <w:rStyle w:val="17"/>
          <w:rFonts w:hint="eastAsia" w:ascii="仿宋" w:hAnsi="仿宋" w:eastAsia="仿宋"/>
          <w:b w:val="0"/>
          <w:bCs w:val="0"/>
        </w:rPr>
        <w:t>入决算表</w:t>
      </w:r>
      <w:bookmarkEnd w:id="59"/>
    </w:p>
    <w:p>
      <w:pPr>
        <w:pStyle w:val="3"/>
        <w:spacing w:before="0" w:after="0" w:line="560" w:lineRule="exact"/>
        <w:rPr>
          <w:rFonts w:ascii="仿宋" w:hAnsi="仿宋" w:eastAsia="仿宋"/>
          <w:color w:val="000000"/>
        </w:rPr>
      </w:pPr>
      <w:bookmarkStart w:id="60" w:name="_Toc15396621"/>
      <w:r>
        <w:rPr>
          <w:rStyle w:val="17"/>
          <w:rFonts w:hint="eastAsia" w:ascii="仿宋" w:hAnsi="仿宋" w:eastAsia="仿宋"/>
          <w:b w:val="0"/>
          <w:bCs w:val="0"/>
        </w:rPr>
        <w:t>三、</w:t>
      </w:r>
      <w:r>
        <w:rPr>
          <w:rFonts w:hint="eastAsia" w:ascii="仿宋" w:hAnsi="仿宋" w:eastAsia="仿宋"/>
          <w:b w:val="0"/>
          <w:color w:val="000000"/>
        </w:rPr>
        <w:t>支</w:t>
      </w:r>
      <w:r>
        <w:rPr>
          <w:rStyle w:val="17"/>
          <w:rFonts w:hint="eastAsia" w:ascii="仿宋" w:hAnsi="仿宋" w:eastAsia="仿宋"/>
          <w:b w:val="0"/>
          <w:bCs w:val="0"/>
        </w:rPr>
        <w:t>出决算表</w:t>
      </w:r>
      <w:bookmarkEnd w:id="60"/>
    </w:p>
    <w:p>
      <w:pPr>
        <w:pStyle w:val="3"/>
        <w:spacing w:before="0" w:after="0" w:line="560" w:lineRule="exact"/>
        <w:rPr>
          <w:rFonts w:ascii="仿宋" w:hAnsi="仿宋" w:eastAsia="仿宋"/>
          <w:b w:val="0"/>
          <w:color w:val="000000"/>
        </w:rPr>
      </w:pPr>
      <w:bookmarkStart w:id="61" w:name="_Toc15396622"/>
      <w:r>
        <w:rPr>
          <w:rStyle w:val="17"/>
          <w:rFonts w:hint="eastAsia" w:ascii="仿宋" w:hAnsi="仿宋" w:eastAsia="仿宋"/>
          <w:b w:val="0"/>
          <w:bCs w:val="0"/>
        </w:rPr>
        <w:t>四、</w:t>
      </w:r>
      <w:r>
        <w:rPr>
          <w:rFonts w:hint="eastAsia" w:ascii="仿宋" w:hAnsi="仿宋" w:eastAsia="仿宋"/>
          <w:b w:val="0"/>
          <w:color w:val="000000"/>
        </w:rPr>
        <w:t>财</w:t>
      </w:r>
      <w:r>
        <w:rPr>
          <w:rStyle w:val="17"/>
          <w:rFonts w:hint="eastAsia" w:ascii="仿宋" w:hAnsi="仿宋" w:eastAsia="仿宋"/>
          <w:b w:val="0"/>
          <w:bCs w:val="0"/>
        </w:rPr>
        <w:t>政拨款收入支出决算总表</w:t>
      </w:r>
      <w:bookmarkEnd w:id="61"/>
    </w:p>
    <w:p>
      <w:pPr>
        <w:pStyle w:val="3"/>
        <w:spacing w:before="0" w:after="0" w:line="560" w:lineRule="exact"/>
        <w:rPr>
          <w:rStyle w:val="17"/>
          <w:rFonts w:ascii="仿宋" w:hAnsi="仿宋" w:eastAsia="仿宋"/>
          <w:b w:val="0"/>
          <w:bCs w:val="0"/>
        </w:rPr>
      </w:pPr>
      <w:bookmarkStart w:id="62" w:name="_Toc15396623"/>
      <w:r>
        <w:rPr>
          <w:rStyle w:val="17"/>
          <w:rFonts w:hint="eastAsia" w:ascii="仿宋" w:hAnsi="仿宋" w:eastAsia="仿宋"/>
          <w:b w:val="0"/>
          <w:bCs w:val="0"/>
        </w:rPr>
        <w:t>五、</w:t>
      </w:r>
      <w:r>
        <w:rPr>
          <w:rFonts w:hint="eastAsia" w:ascii="仿宋" w:hAnsi="仿宋" w:eastAsia="仿宋"/>
          <w:b w:val="0"/>
          <w:color w:val="000000"/>
        </w:rPr>
        <w:t>财</w:t>
      </w:r>
      <w:r>
        <w:rPr>
          <w:rStyle w:val="17"/>
          <w:rFonts w:hint="eastAsia" w:ascii="仿宋" w:hAnsi="仿宋" w:eastAsia="仿宋"/>
          <w:b w:val="0"/>
          <w:bCs w:val="0"/>
        </w:rPr>
        <w:t>政拨款支出决算明细表</w:t>
      </w:r>
      <w:bookmarkEnd w:id="62"/>
      <w:bookmarkStart w:id="63" w:name="_Toc15396624"/>
    </w:p>
    <w:p>
      <w:pPr>
        <w:pStyle w:val="3"/>
        <w:spacing w:before="0" w:after="0" w:line="560" w:lineRule="exact"/>
        <w:rPr>
          <w:rFonts w:ascii="仿宋" w:hAnsi="仿宋" w:eastAsia="仿宋"/>
          <w:color w:val="000000"/>
        </w:rPr>
      </w:pPr>
      <w:r>
        <w:rPr>
          <w:rStyle w:val="17"/>
          <w:rFonts w:hint="eastAsia" w:ascii="仿宋" w:hAnsi="仿宋" w:eastAsia="仿宋"/>
          <w:b w:val="0"/>
          <w:bCs w:val="0"/>
        </w:rPr>
        <w:t>六、</w:t>
      </w:r>
      <w:r>
        <w:rPr>
          <w:rFonts w:hint="eastAsia" w:ascii="仿宋" w:hAnsi="仿宋" w:eastAsia="仿宋"/>
          <w:b w:val="0"/>
          <w:color w:val="000000"/>
        </w:rPr>
        <w:t>一</w:t>
      </w:r>
      <w:r>
        <w:rPr>
          <w:rStyle w:val="17"/>
          <w:rFonts w:hint="eastAsia" w:ascii="仿宋" w:hAnsi="仿宋" w:eastAsia="仿宋"/>
          <w:b w:val="0"/>
          <w:bCs w:val="0"/>
        </w:rPr>
        <w:t>般公共预算财政拨款支出决算表</w:t>
      </w:r>
      <w:bookmarkEnd w:id="63"/>
    </w:p>
    <w:p>
      <w:pPr>
        <w:pStyle w:val="3"/>
        <w:spacing w:before="0" w:after="0" w:line="560" w:lineRule="exact"/>
        <w:rPr>
          <w:rFonts w:ascii="仿宋" w:hAnsi="仿宋" w:eastAsia="仿宋"/>
          <w:color w:val="000000"/>
        </w:rPr>
      </w:pPr>
      <w:bookmarkStart w:id="64" w:name="_Toc15396625"/>
      <w:r>
        <w:rPr>
          <w:rStyle w:val="17"/>
          <w:rFonts w:hint="eastAsia" w:ascii="仿宋" w:hAnsi="仿宋" w:eastAsia="仿宋"/>
          <w:b w:val="0"/>
          <w:bCs w:val="0"/>
        </w:rPr>
        <w:t>七、</w:t>
      </w:r>
      <w:r>
        <w:rPr>
          <w:rFonts w:hint="eastAsia" w:ascii="仿宋" w:hAnsi="仿宋" w:eastAsia="仿宋"/>
          <w:b w:val="0"/>
          <w:color w:val="000000"/>
        </w:rPr>
        <w:t>一</w:t>
      </w:r>
      <w:r>
        <w:rPr>
          <w:rStyle w:val="17"/>
          <w:rFonts w:hint="eastAsia" w:ascii="仿宋" w:hAnsi="仿宋" w:eastAsia="仿宋"/>
          <w:b w:val="0"/>
          <w:bCs w:val="0"/>
        </w:rPr>
        <w:t>般公共预算财政拨款支出决算明细表</w:t>
      </w:r>
      <w:bookmarkEnd w:id="64"/>
    </w:p>
    <w:p>
      <w:pPr>
        <w:pStyle w:val="3"/>
        <w:spacing w:before="0" w:after="0" w:line="560" w:lineRule="exact"/>
        <w:rPr>
          <w:rFonts w:ascii="仿宋" w:hAnsi="仿宋" w:eastAsia="仿宋"/>
          <w:color w:val="000000"/>
        </w:rPr>
      </w:pPr>
      <w:bookmarkStart w:id="65" w:name="_Toc15396626"/>
      <w:r>
        <w:rPr>
          <w:rStyle w:val="17"/>
          <w:rFonts w:hint="eastAsia" w:ascii="仿宋" w:hAnsi="仿宋" w:eastAsia="仿宋"/>
          <w:b w:val="0"/>
          <w:bCs w:val="0"/>
        </w:rPr>
        <w:t>八、</w:t>
      </w:r>
      <w:r>
        <w:rPr>
          <w:rFonts w:hint="eastAsia" w:ascii="仿宋" w:hAnsi="仿宋" w:eastAsia="仿宋"/>
          <w:b w:val="0"/>
          <w:color w:val="000000"/>
        </w:rPr>
        <w:t>一</w:t>
      </w:r>
      <w:r>
        <w:rPr>
          <w:rStyle w:val="17"/>
          <w:rFonts w:hint="eastAsia" w:ascii="仿宋" w:hAnsi="仿宋" w:eastAsia="仿宋"/>
          <w:b w:val="0"/>
          <w:bCs w:val="0"/>
        </w:rPr>
        <w:t>般公共预算财政拨款基本支出决算表</w:t>
      </w:r>
      <w:bookmarkEnd w:id="65"/>
    </w:p>
    <w:p>
      <w:pPr>
        <w:pStyle w:val="3"/>
        <w:spacing w:before="0" w:after="0" w:line="560" w:lineRule="exact"/>
        <w:rPr>
          <w:rFonts w:ascii="仿宋" w:hAnsi="仿宋" w:eastAsia="仿宋"/>
          <w:color w:val="000000"/>
        </w:rPr>
      </w:pPr>
      <w:bookmarkStart w:id="66" w:name="_Toc15396627"/>
      <w:r>
        <w:rPr>
          <w:rStyle w:val="17"/>
          <w:rFonts w:hint="eastAsia" w:ascii="仿宋" w:hAnsi="仿宋" w:eastAsia="仿宋"/>
          <w:b w:val="0"/>
          <w:bCs w:val="0"/>
        </w:rPr>
        <w:t>九、</w:t>
      </w:r>
      <w:r>
        <w:rPr>
          <w:rFonts w:hint="eastAsia" w:ascii="仿宋" w:hAnsi="仿宋" w:eastAsia="仿宋"/>
          <w:b w:val="0"/>
          <w:color w:val="000000"/>
        </w:rPr>
        <w:t>一</w:t>
      </w:r>
      <w:r>
        <w:rPr>
          <w:rStyle w:val="17"/>
          <w:rFonts w:hint="eastAsia" w:ascii="仿宋" w:hAnsi="仿宋" w:eastAsia="仿宋"/>
          <w:b w:val="0"/>
          <w:bCs w:val="0"/>
        </w:rPr>
        <w:t>般公共预算财政拨款项目支出决算表</w:t>
      </w:r>
      <w:bookmarkEnd w:id="66"/>
    </w:p>
    <w:p>
      <w:pPr>
        <w:pStyle w:val="3"/>
        <w:spacing w:before="0" w:after="0" w:line="560" w:lineRule="exact"/>
        <w:rPr>
          <w:rFonts w:ascii="仿宋" w:hAnsi="仿宋" w:eastAsia="仿宋"/>
          <w:color w:val="000000"/>
        </w:rPr>
      </w:pPr>
      <w:bookmarkStart w:id="67" w:name="_Toc15396628"/>
      <w:r>
        <w:rPr>
          <w:rStyle w:val="17"/>
          <w:rFonts w:hint="eastAsia" w:ascii="仿宋" w:hAnsi="仿宋" w:eastAsia="仿宋"/>
          <w:b w:val="0"/>
          <w:bCs w:val="0"/>
        </w:rPr>
        <w:t>十、</w:t>
      </w:r>
      <w:r>
        <w:rPr>
          <w:rFonts w:hint="eastAsia" w:ascii="仿宋" w:hAnsi="仿宋" w:eastAsia="仿宋"/>
          <w:b w:val="0"/>
          <w:color w:val="000000"/>
        </w:rPr>
        <w:t>一</w:t>
      </w:r>
      <w:r>
        <w:rPr>
          <w:rStyle w:val="17"/>
          <w:rFonts w:hint="eastAsia" w:ascii="仿宋" w:hAnsi="仿宋" w:eastAsia="仿宋"/>
          <w:b w:val="0"/>
          <w:bCs w:val="0"/>
        </w:rPr>
        <w:t>般公共预算财政拨款“三公”经费支出决算表</w:t>
      </w:r>
      <w:bookmarkEnd w:id="67"/>
    </w:p>
    <w:p>
      <w:pPr>
        <w:pStyle w:val="3"/>
        <w:spacing w:before="0" w:after="0" w:line="560" w:lineRule="exact"/>
        <w:rPr>
          <w:rFonts w:ascii="仿宋" w:hAnsi="仿宋" w:eastAsia="仿宋"/>
          <w:color w:val="000000"/>
        </w:rPr>
      </w:pPr>
      <w:bookmarkStart w:id="68" w:name="_Toc15396629"/>
      <w:r>
        <w:rPr>
          <w:rStyle w:val="17"/>
          <w:rFonts w:hint="eastAsia" w:ascii="仿宋" w:hAnsi="仿宋" w:eastAsia="仿宋"/>
          <w:b w:val="0"/>
          <w:bCs w:val="0"/>
        </w:rPr>
        <w:t>十一、</w:t>
      </w:r>
      <w:r>
        <w:rPr>
          <w:rFonts w:hint="eastAsia" w:ascii="仿宋" w:hAnsi="仿宋" w:eastAsia="仿宋"/>
          <w:b w:val="0"/>
          <w:color w:val="000000"/>
        </w:rPr>
        <w:t>政</w:t>
      </w:r>
      <w:r>
        <w:rPr>
          <w:rStyle w:val="17"/>
          <w:rFonts w:hint="eastAsia" w:ascii="仿宋" w:hAnsi="仿宋" w:eastAsia="仿宋"/>
          <w:b w:val="0"/>
          <w:bCs w:val="0"/>
        </w:rPr>
        <w:t>府性基金预算财政拨款收入支出决算表</w:t>
      </w:r>
      <w:bookmarkEnd w:id="68"/>
    </w:p>
    <w:p>
      <w:pPr>
        <w:pStyle w:val="3"/>
        <w:spacing w:before="0" w:after="0" w:line="560" w:lineRule="exact"/>
        <w:rPr>
          <w:rFonts w:ascii="仿宋" w:hAnsi="仿宋" w:eastAsia="仿宋"/>
          <w:color w:val="000000"/>
        </w:rPr>
      </w:pPr>
      <w:bookmarkStart w:id="69" w:name="_Toc15396630"/>
      <w:r>
        <w:rPr>
          <w:rStyle w:val="17"/>
          <w:rFonts w:hint="eastAsia" w:ascii="仿宋" w:hAnsi="仿宋" w:eastAsia="仿宋"/>
          <w:b w:val="0"/>
          <w:bCs w:val="0"/>
        </w:rPr>
        <w:t>十二、</w:t>
      </w:r>
      <w:r>
        <w:rPr>
          <w:rFonts w:hint="eastAsia" w:ascii="仿宋" w:hAnsi="仿宋" w:eastAsia="仿宋"/>
          <w:b w:val="0"/>
          <w:color w:val="000000"/>
        </w:rPr>
        <w:t>政</w:t>
      </w:r>
      <w:r>
        <w:rPr>
          <w:rStyle w:val="17"/>
          <w:rFonts w:hint="eastAsia" w:ascii="仿宋" w:hAnsi="仿宋" w:eastAsia="仿宋"/>
          <w:b w:val="0"/>
          <w:bCs w:val="0"/>
        </w:rPr>
        <w:t>府性基金预算财政拨款“三公”经费支出决算表</w:t>
      </w:r>
      <w:bookmarkEnd w:id="69"/>
    </w:p>
    <w:p>
      <w:pPr>
        <w:pStyle w:val="3"/>
        <w:spacing w:before="0" w:after="0" w:line="560" w:lineRule="exact"/>
        <w:rPr>
          <w:rFonts w:ascii="仿宋" w:hAnsi="仿宋" w:eastAsia="仿宋"/>
          <w:color w:val="000000"/>
        </w:rPr>
      </w:pPr>
      <w:bookmarkStart w:id="70" w:name="_Toc15396631"/>
      <w:r>
        <w:rPr>
          <w:rStyle w:val="17"/>
          <w:rFonts w:hint="eastAsia" w:ascii="仿宋" w:hAnsi="仿宋" w:eastAsia="仿宋"/>
          <w:b w:val="0"/>
          <w:bCs w:val="0"/>
        </w:rPr>
        <w:t>十三、</w:t>
      </w:r>
      <w:r>
        <w:rPr>
          <w:rFonts w:hint="eastAsia" w:ascii="仿宋" w:hAnsi="仿宋" w:eastAsia="仿宋"/>
          <w:b w:val="0"/>
          <w:color w:val="000000"/>
        </w:rPr>
        <w:t>国</w:t>
      </w:r>
      <w:r>
        <w:rPr>
          <w:rStyle w:val="17"/>
          <w:rFonts w:hint="eastAsia" w:ascii="仿宋" w:hAnsi="仿宋" w:eastAsia="仿宋"/>
          <w:b w:val="0"/>
          <w:bCs w:val="0"/>
        </w:rPr>
        <w:t>有资本经营预算支出决算表</w:t>
      </w:r>
      <w:bookmarkEnd w:id="70"/>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8</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11D"/>
    <w:rsid w:val="0002549F"/>
    <w:rsid w:val="00046671"/>
    <w:rsid w:val="000468DB"/>
    <w:rsid w:val="0006487A"/>
    <w:rsid w:val="00065F8F"/>
    <w:rsid w:val="00070A43"/>
    <w:rsid w:val="00071C30"/>
    <w:rsid w:val="00073DF6"/>
    <w:rsid w:val="000741B1"/>
    <w:rsid w:val="000768F2"/>
    <w:rsid w:val="0009184B"/>
    <w:rsid w:val="00094236"/>
    <w:rsid w:val="0009593C"/>
    <w:rsid w:val="00097322"/>
    <w:rsid w:val="000A6A92"/>
    <w:rsid w:val="000B047F"/>
    <w:rsid w:val="000B5923"/>
    <w:rsid w:val="000B5A48"/>
    <w:rsid w:val="000B6FF3"/>
    <w:rsid w:val="000C3467"/>
    <w:rsid w:val="000C3CA6"/>
    <w:rsid w:val="000D1267"/>
    <w:rsid w:val="000D16C6"/>
    <w:rsid w:val="000D1D50"/>
    <w:rsid w:val="000D5782"/>
    <w:rsid w:val="000E5D03"/>
    <w:rsid w:val="000E6613"/>
    <w:rsid w:val="000E7119"/>
    <w:rsid w:val="00114E9B"/>
    <w:rsid w:val="0013618E"/>
    <w:rsid w:val="00142216"/>
    <w:rsid w:val="00144D6A"/>
    <w:rsid w:val="0014729F"/>
    <w:rsid w:val="00157BAB"/>
    <w:rsid w:val="00164386"/>
    <w:rsid w:val="001654D1"/>
    <w:rsid w:val="00174518"/>
    <w:rsid w:val="0018106D"/>
    <w:rsid w:val="001877A7"/>
    <w:rsid w:val="00191536"/>
    <w:rsid w:val="00196687"/>
    <w:rsid w:val="001C01B9"/>
    <w:rsid w:val="001C0962"/>
    <w:rsid w:val="001C25C8"/>
    <w:rsid w:val="001D7531"/>
    <w:rsid w:val="001E737D"/>
    <w:rsid w:val="001F0592"/>
    <w:rsid w:val="001F40B0"/>
    <w:rsid w:val="001F7506"/>
    <w:rsid w:val="002006CD"/>
    <w:rsid w:val="00202B36"/>
    <w:rsid w:val="00204B7A"/>
    <w:rsid w:val="00204CDE"/>
    <w:rsid w:val="0021101A"/>
    <w:rsid w:val="00211138"/>
    <w:rsid w:val="00220536"/>
    <w:rsid w:val="002250DE"/>
    <w:rsid w:val="00230188"/>
    <w:rsid w:val="00235629"/>
    <w:rsid w:val="00260C38"/>
    <w:rsid w:val="002616C0"/>
    <w:rsid w:val="00265372"/>
    <w:rsid w:val="002662AA"/>
    <w:rsid w:val="00280496"/>
    <w:rsid w:val="002850DD"/>
    <w:rsid w:val="00294DC9"/>
    <w:rsid w:val="00295495"/>
    <w:rsid w:val="002A314C"/>
    <w:rsid w:val="002A31DE"/>
    <w:rsid w:val="002A793C"/>
    <w:rsid w:val="002B2613"/>
    <w:rsid w:val="002C5EC6"/>
    <w:rsid w:val="002D19B0"/>
    <w:rsid w:val="002D6D05"/>
    <w:rsid w:val="002F1818"/>
    <w:rsid w:val="002F567B"/>
    <w:rsid w:val="002F59DE"/>
    <w:rsid w:val="003216A9"/>
    <w:rsid w:val="00335A74"/>
    <w:rsid w:val="0036561B"/>
    <w:rsid w:val="0037013F"/>
    <w:rsid w:val="00380C92"/>
    <w:rsid w:val="003833AE"/>
    <w:rsid w:val="003A484F"/>
    <w:rsid w:val="003A4883"/>
    <w:rsid w:val="003B0BE0"/>
    <w:rsid w:val="003B0C1B"/>
    <w:rsid w:val="003B688C"/>
    <w:rsid w:val="003C0291"/>
    <w:rsid w:val="003C39AE"/>
    <w:rsid w:val="003C42DE"/>
    <w:rsid w:val="003C7B60"/>
    <w:rsid w:val="003D0C0F"/>
    <w:rsid w:val="003D1FB2"/>
    <w:rsid w:val="003D66DA"/>
    <w:rsid w:val="003E1310"/>
    <w:rsid w:val="003E3BAB"/>
    <w:rsid w:val="003E6F55"/>
    <w:rsid w:val="00406254"/>
    <w:rsid w:val="00416CD4"/>
    <w:rsid w:val="004223DE"/>
    <w:rsid w:val="00427F41"/>
    <w:rsid w:val="00434489"/>
    <w:rsid w:val="00437085"/>
    <w:rsid w:val="00443880"/>
    <w:rsid w:val="004464F4"/>
    <w:rsid w:val="004652B8"/>
    <w:rsid w:val="00471401"/>
    <w:rsid w:val="00473F31"/>
    <w:rsid w:val="004778B6"/>
    <w:rsid w:val="0048263A"/>
    <w:rsid w:val="004868BD"/>
    <w:rsid w:val="00487E5D"/>
    <w:rsid w:val="004974B9"/>
    <w:rsid w:val="004A711F"/>
    <w:rsid w:val="004B199D"/>
    <w:rsid w:val="004B4690"/>
    <w:rsid w:val="004D1759"/>
    <w:rsid w:val="004E0A2D"/>
    <w:rsid w:val="004E206B"/>
    <w:rsid w:val="004E6DF7"/>
    <w:rsid w:val="004F0FBD"/>
    <w:rsid w:val="004F403E"/>
    <w:rsid w:val="004F50B9"/>
    <w:rsid w:val="00504019"/>
    <w:rsid w:val="00505A47"/>
    <w:rsid w:val="00512FDA"/>
    <w:rsid w:val="00520DA0"/>
    <w:rsid w:val="00536D25"/>
    <w:rsid w:val="005664BB"/>
    <w:rsid w:val="00566FFA"/>
    <w:rsid w:val="0057481D"/>
    <w:rsid w:val="00575F0B"/>
    <w:rsid w:val="0058486E"/>
    <w:rsid w:val="005853AA"/>
    <w:rsid w:val="00585B33"/>
    <w:rsid w:val="0059014D"/>
    <w:rsid w:val="005A0799"/>
    <w:rsid w:val="005A5BDD"/>
    <w:rsid w:val="005A78E3"/>
    <w:rsid w:val="005B5C64"/>
    <w:rsid w:val="005C6BD0"/>
    <w:rsid w:val="005C6C4C"/>
    <w:rsid w:val="005D1C8B"/>
    <w:rsid w:val="005D468D"/>
    <w:rsid w:val="005D48E5"/>
    <w:rsid w:val="005D5CED"/>
    <w:rsid w:val="005D7599"/>
    <w:rsid w:val="005F1A4C"/>
    <w:rsid w:val="005F4FB0"/>
    <w:rsid w:val="00605688"/>
    <w:rsid w:val="006070AF"/>
    <w:rsid w:val="00607E6C"/>
    <w:rsid w:val="006101B1"/>
    <w:rsid w:val="00614E44"/>
    <w:rsid w:val="0062270A"/>
    <w:rsid w:val="00622830"/>
    <w:rsid w:val="00623DA0"/>
    <w:rsid w:val="00625406"/>
    <w:rsid w:val="00630AEF"/>
    <w:rsid w:val="006325F8"/>
    <w:rsid w:val="00633463"/>
    <w:rsid w:val="00634C9A"/>
    <w:rsid w:val="00635812"/>
    <w:rsid w:val="006440E4"/>
    <w:rsid w:val="0066343B"/>
    <w:rsid w:val="00664777"/>
    <w:rsid w:val="00673A1B"/>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14EE"/>
    <w:rsid w:val="007770C3"/>
    <w:rsid w:val="00784D24"/>
    <w:rsid w:val="00785FBA"/>
    <w:rsid w:val="00786E4A"/>
    <w:rsid w:val="007875EB"/>
    <w:rsid w:val="007901AC"/>
    <w:rsid w:val="0079426B"/>
    <w:rsid w:val="007D1682"/>
    <w:rsid w:val="007D312A"/>
    <w:rsid w:val="007D3F19"/>
    <w:rsid w:val="007E23B0"/>
    <w:rsid w:val="007F1991"/>
    <w:rsid w:val="007F2C2F"/>
    <w:rsid w:val="007F55FC"/>
    <w:rsid w:val="007F5665"/>
    <w:rsid w:val="00800112"/>
    <w:rsid w:val="00813348"/>
    <w:rsid w:val="00813ED8"/>
    <w:rsid w:val="008253BB"/>
    <w:rsid w:val="0082796C"/>
    <w:rsid w:val="00833962"/>
    <w:rsid w:val="0083706E"/>
    <w:rsid w:val="008408F6"/>
    <w:rsid w:val="008423A5"/>
    <w:rsid w:val="00846F27"/>
    <w:rsid w:val="00847215"/>
    <w:rsid w:val="00850625"/>
    <w:rsid w:val="00853718"/>
    <w:rsid w:val="00855221"/>
    <w:rsid w:val="00860645"/>
    <w:rsid w:val="00871F71"/>
    <w:rsid w:val="00872FD8"/>
    <w:rsid w:val="00885AF4"/>
    <w:rsid w:val="008939CD"/>
    <w:rsid w:val="008B58F9"/>
    <w:rsid w:val="008B768C"/>
    <w:rsid w:val="008C4DB1"/>
    <w:rsid w:val="008C4EAF"/>
    <w:rsid w:val="008C5176"/>
    <w:rsid w:val="008C7FD0"/>
    <w:rsid w:val="008D0D9D"/>
    <w:rsid w:val="008D702E"/>
    <w:rsid w:val="008E1DE7"/>
    <w:rsid w:val="008E616B"/>
    <w:rsid w:val="008E707C"/>
    <w:rsid w:val="00900B08"/>
    <w:rsid w:val="00902155"/>
    <w:rsid w:val="00902FA3"/>
    <w:rsid w:val="0091309C"/>
    <w:rsid w:val="00923564"/>
    <w:rsid w:val="0092392E"/>
    <w:rsid w:val="009250F8"/>
    <w:rsid w:val="009315F9"/>
    <w:rsid w:val="00933499"/>
    <w:rsid w:val="00935C98"/>
    <w:rsid w:val="009453AD"/>
    <w:rsid w:val="00946945"/>
    <w:rsid w:val="00951248"/>
    <w:rsid w:val="0095152F"/>
    <w:rsid w:val="00954C49"/>
    <w:rsid w:val="00955E37"/>
    <w:rsid w:val="0097099F"/>
    <w:rsid w:val="00971997"/>
    <w:rsid w:val="00971FFC"/>
    <w:rsid w:val="0098660A"/>
    <w:rsid w:val="009931C3"/>
    <w:rsid w:val="009970B1"/>
    <w:rsid w:val="009B2C43"/>
    <w:rsid w:val="009B4EAE"/>
    <w:rsid w:val="009B7573"/>
    <w:rsid w:val="009C1B05"/>
    <w:rsid w:val="009C22F4"/>
    <w:rsid w:val="009C2E98"/>
    <w:rsid w:val="009C37FB"/>
    <w:rsid w:val="009D3447"/>
    <w:rsid w:val="009D4711"/>
    <w:rsid w:val="009F1185"/>
    <w:rsid w:val="009F18CD"/>
    <w:rsid w:val="009F2A13"/>
    <w:rsid w:val="009F7527"/>
    <w:rsid w:val="00A039ED"/>
    <w:rsid w:val="00A04EB0"/>
    <w:rsid w:val="00A057B4"/>
    <w:rsid w:val="00A0666F"/>
    <w:rsid w:val="00A12336"/>
    <w:rsid w:val="00A13CC1"/>
    <w:rsid w:val="00A14CB5"/>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75509"/>
    <w:rsid w:val="00A91760"/>
    <w:rsid w:val="00A93B00"/>
    <w:rsid w:val="00A93C21"/>
    <w:rsid w:val="00AA1E7A"/>
    <w:rsid w:val="00AA21B6"/>
    <w:rsid w:val="00AB64C9"/>
    <w:rsid w:val="00AB7F84"/>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2EBE"/>
    <w:rsid w:val="00B35F3F"/>
    <w:rsid w:val="00B36CBB"/>
    <w:rsid w:val="00B425E0"/>
    <w:rsid w:val="00B440AA"/>
    <w:rsid w:val="00B44B70"/>
    <w:rsid w:val="00B53C56"/>
    <w:rsid w:val="00B57DAF"/>
    <w:rsid w:val="00B77EA6"/>
    <w:rsid w:val="00B81598"/>
    <w:rsid w:val="00B841F1"/>
    <w:rsid w:val="00B86C7C"/>
    <w:rsid w:val="00B944D6"/>
    <w:rsid w:val="00B97120"/>
    <w:rsid w:val="00BB4DF0"/>
    <w:rsid w:val="00BC289F"/>
    <w:rsid w:val="00BC2D50"/>
    <w:rsid w:val="00BC5361"/>
    <w:rsid w:val="00BC5460"/>
    <w:rsid w:val="00BC6B50"/>
    <w:rsid w:val="00BD0E25"/>
    <w:rsid w:val="00BD1419"/>
    <w:rsid w:val="00BE6F26"/>
    <w:rsid w:val="00BF5BD6"/>
    <w:rsid w:val="00C03E31"/>
    <w:rsid w:val="00C1008B"/>
    <w:rsid w:val="00C30E69"/>
    <w:rsid w:val="00C33E72"/>
    <w:rsid w:val="00C354B2"/>
    <w:rsid w:val="00C35554"/>
    <w:rsid w:val="00C42709"/>
    <w:rsid w:val="00C533CC"/>
    <w:rsid w:val="00C53919"/>
    <w:rsid w:val="00C5751C"/>
    <w:rsid w:val="00C61BFC"/>
    <w:rsid w:val="00C62053"/>
    <w:rsid w:val="00C62B85"/>
    <w:rsid w:val="00C65438"/>
    <w:rsid w:val="00C70D10"/>
    <w:rsid w:val="00C90D02"/>
    <w:rsid w:val="00C91CBB"/>
    <w:rsid w:val="00CB4E70"/>
    <w:rsid w:val="00CC09B6"/>
    <w:rsid w:val="00CC666F"/>
    <w:rsid w:val="00CD1E3F"/>
    <w:rsid w:val="00CD7C0D"/>
    <w:rsid w:val="00CE44F6"/>
    <w:rsid w:val="00CE49DA"/>
    <w:rsid w:val="00CE7B61"/>
    <w:rsid w:val="00D00095"/>
    <w:rsid w:val="00D114F0"/>
    <w:rsid w:val="00D20620"/>
    <w:rsid w:val="00D254F7"/>
    <w:rsid w:val="00D26091"/>
    <w:rsid w:val="00D2685C"/>
    <w:rsid w:val="00D34E7C"/>
    <w:rsid w:val="00D35489"/>
    <w:rsid w:val="00D36994"/>
    <w:rsid w:val="00D36AFE"/>
    <w:rsid w:val="00D51276"/>
    <w:rsid w:val="00D7035F"/>
    <w:rsid w:val="00DA634F"/>
    <w:rsid w:val="00DA65AC"/>
    <w:rsid w:val="00DB1913"/>
    <w:rsid w:val="00DC410D"/>
    <w:rsid w:val="00DC5A81"/>
    <w:rsid w:val="00DC68CA"/>
    <w:rsid w:val="00DC7CBA"/>
    <w:rsid w:val="00DD73B7"/>
    <w:rsid w:val="00DF28BC"/>
    <w:rsid w:val="00DF34B9"/>
    <w:rsid w:val="00DF44F2"/>
    <w:rsid w:val="00E01053"/>
    <w:rsid w:val="00E07ACF"/>
    <w:rsid w:val="00E331A1"/>
    <w:rsid w:val="00E33202"/>
    <w:rsid w:val="00E336A9"/>
    <w:rsid w:val="00E472B1"/>
    <w:rsid w:val="00E50624"/>
    <w:rsid w:val="00E51182"/>
    <w:rsid w:val="00E568DF"/>
    <w:rsid w:val="00E64269"/>
    <w:rsid w:val="00E66797"/>
    <w:rsid w:val="00E82267"/>
    <w:rsid w:val="00E853CE"/>
    <w:rsid w:val="00E867B6"/>
    <w:rsid w:val="00E87F08"/>
    <w:rsid w:val="00EA010F"/>
    <w:rsid w:val="00ED1B63"/>
    <w:rsid w:val="00ED2645"/>
    <w:rsid w:val="00ED3C1F"/>
    <w:rsid w:val="00ED4085"/>
    <w:rsid w:val="00ED420E"/>
    <w:rsid w:val="00ED6FBE"/>
    <w:rsid w:val="00EE2F57"/>
    <w:rsid w:val="00EF4C34"/>
    <w:rsid w:val="00EF77C6"/>
    <w:rsid w:val="00F00938"/>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584B"/>
    <w:rsid w:val="00FD3CC1"/>
    <w:rsid w:val="00FD6E71"/>
    <w:rsid w:val="00FF1E02"/>
    <w:rsid w:val="00FF292D"/>
    <w:rsid w:val="00FF30B4"/>
    <w:rsid w:val="10C055FF"/>
    <w:rsid w:val="16BB723D"/>
    <w:rsid w:val="240371BF"/>
    <w:rsid w:val="29FD04D3"/>
    <w:rsid w:val="319F7F4E"/>
    <w:rsid w:val="4ECE2238"/>
    <w:rsid w:val="56203BF9"/>
    <w:rsid w:val="5EA7963D"/>
    <w:rsid w:val="67AFE626"/>
    <w:rsid w:val="6FEE727F"/>
    <w:rsid w:val="72734D90"/>
    <w:rsid w:val="77FDACC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7"/>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18"/>
    <w:qFormat/>
    <w:uiPriority w:val="9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0"/>
    <w:semiHidden/>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qFormat/>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character" w:styleId="14">
    <w:name w:val="Strong"/>
    <w:basedOn w:val="13"/>
    <w:qFormat/>
    <w:uiPriority w:val="99"/>
    <w:rPr>
      <w:rFonts w:cs="Times New Roman"/>
      <w:b/>
    </w:rPr>
  </w:style>
  <w:style w:type="character" w:styleId="15">
    <w:name w:val="Hyperlink"/>
    <w:basedOn w:val="13"/>
    <w:qFormat/>
    <w:uiPriority w:val="99"/>
    <w:rPr>
      <w:rFonts w:cs="Times New Roman"/>
      <w:color w:val="0000FF"/>
      <w:u w:val="single"/>
    </w:rPr>
  </w:style>
  <w:style w:type="character" w:customStyle="1" w:styleId="16">
    <w:name w:val="标题 1 Char"/>
    <w:basedOn w:val="13"/>
    <w:link w:val="2"/>
    <w:qFormat/>
    <w:locked/>
    <w:uiPriority w:val="99"/>
    <w:rPr>
      <w:rFonts w:ascii="Times New Roman" w:hAnsi="Times New Roman" w:cs="Times New Roman"/>
      <w:b/>
      <w:bCs/>
      <w:kern w:val="44"/>
      <w:sz w:val="44"/>
      <w:szCs w:val="44"/>
    </w:rPr>
  </w:style>
  <w:style w:type="character" w:customStyle="1" w:styleId="17">
    <w:name w:val="标题 2 Char"/>
    <w:basedOn w:val="13"/>
    <w:link w:val="3"/>
    <w:qFormat/>
    <w:locked/>
    <w:uiPriority w:val="99"/>
    <w:rPr>
      <w:rFonts w:ascii="Cambria" w:hAnsi="Cambria" w:eastAsia="宋体" w:cs="Times New Roman"/>
      <w:b/>
      <w:bCs/>
      <w:kern w:val="2"/>
      <w:sz w:val="32"/>
      <w:szCs w:val="32"/>
    </w:rPr>
  </w:style>
  <w:style w:type="character" w:customStyle="1" w:styleId="18">
    <w:name w:val="标题 3 Char"/>
    <w:basedOn w:val="13"/>
    <w:link w:val="4"/>
    <w:qFormat/>
    <w:locked/>
    <w:uiPriority w:val="99"/>
    <w:rPr>
      <w:rFonts w:ascii="Times New Roman" w:hAnsi="Times New Roman" w:cs="Times New Roman"/>
      <w:b/>
      <w:bCs/>
      <w:kern w:val="2"/>
      <w:sz w:val="32"/>
      <w:szCs w:val="32"/>
    </w:rPr>
  </w:style>
  <w:style w:type="character" w:customStyle="1" w:styleId="19">
    <w:name w:val="Body Text Char"/>
    <w:basedOn w:val="13"/>
    <w:link w:val="5"/>
    <w:semiHidden/>
    <w:qFormat/>
    <w:uiPriority w:val="99"/>
    <w:rPr>
      <w:rFonts w:ascii="Times New Roman" w:hAnsi="Times New Roman" w:cs="Times New Roman"/>
      <w:sz w:val="24"/>
      <w:szCs w:val="24"/>
    </w:rPr>
  </w:style>
  <w:style w:type="character" w:customStyle="1" w:styleId="20">
    <w:name w:val="批注框文本 Char"/>
    <w:basedOn w:val="13"/>
    <w:link w:val="7"/>
    <w:semiHidden/>
    <w:qFormat/>
    <w:locked/>
    <w:uiPriority w:val="99"/>
    <w:rPr>
      <w:rFonts w:ascii="Times New Roman" w:hAnsi="Times New Roman" w:cs="Times New Roman"/>
      <w:kern w:val="2"/>
      <w:sz w:val="18"/>
      <w:szCs w:val="18"/>
    </w:rPr>
  </w:style>
  <w:style w:type="character" w:customStyle="1" w:styleId="21">
    <w:name w:val="Footer Char"/>
    <w:basedOn w:val="13"/>
    <w:link w:val="8"/>
    <w:semiHidden/>
    <w:qFormat/>
    <w:uiPriority w:val="99"/>
    <w:rPr>
      <w:rFonts w:ascii="Times New Roman" w:hAnsi="Times New Roman" w:cs="Times New Roman"/>
      <w:sz w:val="18"/>
      <w:szCs w:val="18"/>
    </w:rPr>
  </w:style>
  <w:style w:type="character" w:customStyle="1" w:styleId="22">
    <w:name w:val="Header Char"/>
    <w:basedOn w:val="13"/>
    <w:link w:val="9"/>
    <w:semiHidden/>
    <w:qFormat/>
    <w:uiPriority w:val="99"/>
    <w:rPr>
      <w:rFonts w:ascii="Times New Roman" w:hAnsi="Times New Roman" w:cs="Times New Roman"/>
      <w:sz w:val="18"/>
      <w:szCs w:val="18"/>
    </w:rPr>
  </w:style>
  <w:style w:type="character" w:customStyle="1" w:styleId="23">
    <w:name w:val="页眉 Char"/>
    <w:link w:val="9"/>
    <w:semiHidden/>
    <w:qFormat/>
    <w:locked/>
    <w:uiPriority w:val="99"/>
    <w:rPr>
      <w:sz w:val="18"/>
    </w:rPr>
  </w:style>
  <w:style w:type="character" w:customStyle="1" w:styleId="24">
    <w:name w:val="页脚 Char"/>
    <w:link w:val="8"/>
    <w:qFormat/>
    <w:locked/>
    <w:uiPriority w:val="99"/>
    <w:rPr>
      <w:sz w:val="18"/>
    </w:rPr>
  </w:style>
  <w:style w:type="character" w:customStyle="1" w:styleId="25">
    <w:name w:val="正文文本 Char"/>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99"/>
    <w:pPr>
      <w:ind w:firstLine="420" w:firstLineChars="200"/>
    </w:pPr>
  </w:style>
  <w:style w:type="paragraph" w:customStyle="1" w:styleId="28">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29">
    <w:name w:val="TOC Heading"/>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0">
    <w:name w:val="四号正文"/>
    <w:basedOn w:val="1"/>
    <w:link w:val="31"/>
    <w:qFormat/>
    <w:uiPriority w:val="0"/>
    <w:pPr>
      <w:spacing w:line="360" w:lineRule="auto"/>
    </w:pPr>
    <w:rPr>
      <w:rFonts w:ascii="??" w:hAnsi="??"/>
      <w:color w:val="000000"/>
      <w:kern w:val="0"/>
      <w:sz w:val="28"/>
      <w:szCs w:val="21"/>
    </w:rPr>
  </w:style>
  <w:style w:type="character" w:customStyle="1" w:styleId="31">
    <w:name w:val="四号正文 Char"/>
    <w:link w:val="30"/>
    <w:qFormat/>
    <w:uiPriority w:val="0"/>
    <w:rPr>
      <w:rFonts w:ascii="??" w:hAnsi="??"/>
      <w:color w:val="000000"/>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38</Pages>
  <Words>2968</Words>
  <Characters>16918</Characters>
  <Lines>140</Lines>
  <Paragraphs>39</Paragraphs>
  <TotalTime>140</TotalTime>
  <ScaleCrop>false</ScaleCrop>
  <LinksUpToDate>false</LinksUpToDate>
  <CharactersWithSpaces>19847</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2020-10-28T10:01:00Z</dcterms:created>
  <dc:creator>曹颖</dc:creator>
  <cp:lastModifiedBy>user</cp:lastModifiedBy>
  <cp:lastPrinted>2021-07-09T15:41:00Z</cp:lastPrinted>
  <dcterms:modified xsi:type="dcterms:W3CDTF">2026-06-12T15:59:58Z</dcterms:modified>
  <dc:title>四川省***</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19F3CAC65A9058EDD27F016AFD0A91D0</vt:lpwstr>
  </property>
</Properties>
</file>