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60" w:lineRule="exact"/>
        <w:jc w:val="center"/>
        <w:outlineLvl w:val="0"/>
        <w:rPr>
          <w:rFonts w:ascii="方正小标宋简体" w:hAnsi="宋体" w:eastAsia="方正小标宋简体"/>
          <w:color w:val="000000"/>
          <w:sz w:val="72"/>
          <w:szCs w:val="72"/>
        </w:rPr>
      </w:pPr>
      <w:bookmarkStart w:id="0" w:name="_Toc15306267"/>
    </w:p>
    <w:p>
      <w:pPr>
        <w:pageBreakBefore w:val="0"/>
        <w:kinsoku/>
        <w:wordWrap/>
        <w:overflowPunct/>
        <w:topLinePunct w:val="0"/>
        <w:bidi w:val="0"/>
        <w:adjustRightInd w:val="0"/>
        <w:snapToGrid w:val="0"/>
        <w:spacing w:line="560" w:lineRule="exact"/>
        <w:jc w:val="center"/>
        <w:outlineLvl w:val="0"/>
        <w:rPr>
          <w:rFonts w:ascii="黑体" w:hAnsi="黑体" w:eastAsia="黑体"/>
          <w:color w:val="000000"/>
          <w:sz w:val="72"/>
          <w:szCs w:val="72"/>
        </w:rPr>
      </w:pPr>
      <w:bookmarkStart w:id="1" w:name="_Toc15396597"/>
      <w:bookmarkStart w:id="2" w:name="_Toc15396475"/>
      <w:bookmarkStart w:id="3" w:name="_Toc15377193"/>
      <w:bookmarkStart w:id="4" w:name="_Toc15377425"/>
      <w:bookmarkStart w:id="5" w:name="_Toc15378441"/>
    </w:p>
    <w:bookmarkEnd w:id="0"/>
    <w:bookmarkEnd w:id="1"/>
    <w:bookmarkEnd w:id="2"/>
    <w:bookmarkEnd w:id="3"/>
    <w:bookmarkEnd w:id="4"/>
    <w:bookmarkEnd w:id="5"/>
    <w:p>
      <w:pPr>
        <w:pageBreakBefore w:val="0"/>
        <w:kinsoku/>
        <w:wordWrap/>
        <w:overflowPunct/>
        <w:topLinePunct w:val="0"/>
        <w:bidi w:val="0"/>
        <w:adjustRightInd w:val="0"/>
        <w:snapToGrid w:val="0"/>
        <w:spacing w:line="560" w:lineRule="exact"/>
        <w:jc w:val="center"/>
        <w:outlineLvl w:val="0"/>
        <w:rPr>
          <w:rFonts w:ascii="方正小标宋简体" w:hAnsi="方正小标宋简体" w:eastAsia="方正小标宋简体" w:cs="方正小标宋简体"/>
          <w:sz w:val="72"/>
          <w:szCs w:val="72"/>
        </w:rPr>
      </w:pPr>
    </w:p>
    <w:p>
      <w:pPr>
        <w:pageBreakBefore w:val="0"/>
        <w:kinsoku/>
        <w:wordWrap/>
        <w:overflowPunct/>
        <w:topLinePunct w:val="0"/>
        <w:bidi w:val="0"/>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9"/>
      <w:bookmarkStart w:id="7" w:name="_Toc15377196"/>
      <w:r>
        <w:rPr>
          <w:rFonts w:hint="eastAsia" w:ascii="方正小标宋简体" w:hAnsi="方正小标宋简体" w:eastAsia="方正小标宋简体" w:cs="方正小标宋简体"/>
          <w:sz w:val="72"/>
          <w:szCs w:val="72"/>
        </w:rPr>
        <w:t>2023年度</w:t>
      </w:r>
    </w:p>
    <w:p>
      <w:pPr>
        <w:pageBreakBefore w:val="0"/>
        <w:kinsoku/>
        <w:wordWrap/>
        <w:overflowPunct/>
        <w:topLinePunct w:val="0"/>
        <w:bidi w:val="0"/>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5377194"/>
      <w:bookmarkStart w:id="9" w:name="_Toc15378442"/>
      <w:bookmarkStart w:id="10" w:name="_Toc15306268"/>
      <w:bookmarkStart w:id="11" w:name="_Toc15396476"/>
      <w:bookmarkStart w:id="12" w:name="_Toc15377426"/>
      <w:bookmarkStart w:id="13" w:name="_Toc15396598"/>
      <w:r>
        <w:rPr>
          <w:rFonts w:hint="eastAsia" w:ascii="方正小标宋简体" w:hAnsi="方正小标宋简体" w:eastAsia="方正小标宋简体" w:cs="方正小标宋简体"/>
          <w:sz w:val="72"/>
          <w:szCs w:val="72"/>
        </w:rPr>
        <w:t>攀枝</w:t>
      </w:r>
      <w:r>
        <w:rPr>
          <w:rFonts w:ascii="方正小标宋简体" w:hAnsi="方正小标宋简体" w:eastAsia="方正小标宋简体" w:cs="方正小标宋简体"/>
          <w:sz w:val="72"/>
          <w:szCs w:val="72"/>
        </w:rPr>
        <w:t>花市</w:t>
      </w:r>
      <w:r>
        <w:rPr>
          <w:rFonts w:hint="eastAsia" w:ascii="方正小标宋简体" w:hAnsi="方正小标宋简体" w:eastAsia="方正小标宋简体" w:cs="方正小标宋简体"/>
          <w:sz w:val="72"/>
          <w:szCs w:val="72"/>
        </w:rPr>
        <w:t>仁和区</w:t>
      </w:r>
      <w:r>
        <w:rPr>
          <w:rFonts w:ascii="方正小标宋简体" w:hAnsi="方正小标宋简体" w:eastAsia="方正小标宋简体" w:cs="方正小标宋简体"/>
          <w:sz w:val="72"/>
          <w:szCs w:val="72"/>
        </w:rPr>
        <w:t>财政局</w:t>
      </w:r>
    </w:p>
    <w:p>
      <w:pPr>
        <w:pageBreakBefore w:val="0"/>
        <w:kinsoku/>
        <w:wordWrap/>
        <w:overflowPunct/>
        <w:topLinePunct w:val="0"/>
        <w:bidi w:val="0"/>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8"/>
      <w:bookmarkEnd w:id="9"/>
      <w:bookmarkEnd w:id="10"/>
      <w:bookmarkEnd w:id="11"/>
      <w:bookmarkEnd w:id="12"/>
      <w:bookmarkEnd w:id="13"/>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ascii="黑体" w:hAnsi="黑体" w:eastAsia="黑体"/>
          <w:sz w:val="48"/>
          <w:szCs w:val="48"/>
        </w:rPr>
      </w:pPr>
    </w:p>
    <w:p>
      <w:pPr>
        <w:pageBreakBefore w:val="0"/>
        <w:widowControl/>
        <w:kinsoku/>
        <w:wordWrap/>
        <w:overflowPunct/>
        <w:topLinePunct w:val="0"/>
        <w:bidi w:val="0"/>
        <w:spacing w:line="560" w:lineRule="exact"/>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目录</w:t>
      </w:r>
    </w:p>
    <w:p>
      <w:pPr>
        <w:pStyle w:val="9"/>
        <w:pageBreakBefore w:val="0"/>
        <w:kinsoku/>
        <w:wordWrap/>
        <w:overflowPunct/>
        <w:topLinePunct w:val="0"/>
        <w:bidi w:val="0"/>
        <w:spacing w:before="93" w:line="560" w:lineRule="exact"/>
        <w:rPr>
          <w:rFonts w:hint="default" w:ascii="Times New Roman" w:hAnsi="Times New Roman" w:cs="Times New Roman"/>
        </w:rPr>
      </w:pPr>
    </w:p>
    <w:p>
      <w:pPr>
        <w:pStyle w:val="15"/>
        <w:pageBreakBefore w:val="0"/>
        <w:kinsoku/>
        <w:wordWrap/>
        <w:overflowPunct/>
        <w:topLinePunct w:val="0"/>
        <w:bidi w:val="0"/>
        <w:spacing w:line="560" w:lineRule="exact"/>
        <w:rPr>
          <w:rFonts w:hint="default" w:ascii="Times New Roman" w:hAnsi="Times New Roman" w:cs="Times New Roman"/>
        </w:rPr>
      </w:pPr>
      <w:r>
        <w:rPr>
          <w:rFonts w:hint="default" w:ascii="Times New Roman" w:hAnsi="Times New Roman" w:cs="Times New Roman"/>
        </w:rPr>
        <w:t>公开时间：2024年9月</w:t>
      </w:r>
      <w:r>
        <w:rPr>
          <w:rFonts w:hint="eastAsia" w:ascii="Times New Roman" w:hAnsi="Times New Roman" w:cs="Times New Roman"/>
          <w:lang w:val="en-US" w:eastAsia="zh-CN"/>
        </w:rPr>
        <w:t>26</w:t>
      </w:r>
      <w:r>
        <w:rPr>
          <w:rFonts w:hint="default" w:ascii="Times New Roman" w:hAnsi="Times New Roman" w:cs="Times New Roman"/>
        </w:rPr>
        <w:t>日</w:t>
      </w:r>
    </w:p>
    <w:p>
      <w:pPr>
        <w:pageBreakBefore w:val="0"/>
        <w:kinsoku/>
        <w:wordWrap/>
        <w:overflowPunct/>
        <w:topLinePunct w:val="0"/>
        <w:bidi w:val="0"/>
        <w:spacing w:line="560" w:lineRule="exact"/>
        <w:rPr>
          <w:rFonts w:hint="eastAsia" w:ascii="Times New Roman" w:hAnsi="Times New Roman" w:eastAsia="宋体" w:cs="Times New Roman"/>
          <w:lang w:eastAsia="zh-CN"/>
        </w:rPr>
      </w:pPr>
    </w:p>
    <w:p>
      <w:pPr>
        <w:pageBreakBefore w:val="0"/>
        <w:kinsoku/>
        <w:wordWrap/>
        <w:overflowPunct/>
        <w:topLinePunct w:val="0"/>
        <w:bidi w:val="0"/>
        <w:spacing w:line="560" w:lineRule="exact"/>
        <w:rPr>
          <w:rFonts w:hint="default" w:ascii="Times New Roman" w:hAnsi="Times New Roman" w:cs="Times New Roman"/>
        </w:rPr>
      </w:pPr>
    </w:p>
    <w:p>
      <w:pPr>
        <w:pStyle w:val="15"/>
        <w:pageBreakBefore w:val="0"/>
        <w:kinsoku/>
        <w:wordWrap/>
        <w:overflowPunct/>
        <w:topLinePunct w:val="0"/>
        <w:bidi w:val="0"/>
        <w:adjustRightInd w:val="0"/>
        <w:snapToGrid w:val="0"/>
        <w:spacing w:before="0" w:line="560" w:lineRule="exact"/>
        <w:jc w:val="left"/>
        <w:rPr>
          <w:rFonts w:hint="default" w:ascii="Times New Roman" w:hAnsi="Times New Roman" w:cs="Times New Roman"/>
          <w:sz w:val="24"/>
          <w:szCs w:val="24"/>
        </w:rPr>
      </w:pPr>
      <w:r>
        <w:rPr>
          <w:rFonts w:hint="default" w:ascii="Times New Roman" w:hAnsi="Times New Roman" w:cs="Times New Roman" w:eastAsiaTheme="majorEastAsia"/>
          <w:kern w:val="2"/>
          <w:sz w:val="24"/>
          <w:szCs w:val="24"/>
          <w:lang w:val="en-US" w:eastAsia="zh-CN" w:bidi="ar-SA"/>
        </w:rPr>
        <w:t>第一部分部门概况</w:t>
      </w:r>
      <w:r>
        <w:rPr>
          <w:rFonts w:hint="default" w:ascii="Times New Roman" w:hAnsi="Times New Roman" w:cs="Times New Roman"/>
          <w:sz w:val="24"/>
          <w:szCs w:val="24"/>
        </w:rPr>
        <w:tab/>
      </w:r>
      <w:r>
        <w:rPr>
          <w:rFonts w:hint="default" w:ascii="Times New Roman" w:hAnsi="Times New Roman" w:cs="Times New Roman"/>
          <w:sz w:val="24"/>
          <w:szCs w:val="24"/>
        </w:rPr>
        <w:t>4</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rPr>
      </w:pPr>
      <w:r>
        <w:rPr>
          <w:rFonts w:hint="default" w:ascii="Times New Roman" w:hAnsi="Times New Roman" w:cs="Times New Roman" w:eastAsiaTheme="majorEastAsia"/>
          <w:sz w:val="24"/>
        </w:rPr>
        <w:t>一、部门职责</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rPr>
        <w:t>4</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lang w:eastAsia="zh-CN"/>
        </w:rPr>
      </w:pPr>
      <w:r>
        <w:rPr>
          <w:rFonts w:hint="default" w:ascii="Times New Roman" w:hAnsi="Times New Roman" w:cs="Times New Roman" w:eastAsiaTheme="majorEastAsia"/>
          <w:sz w:val="24"/>
        </w:rPr>
        <w:t>二、机构设置</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8</w:t>
      </w:r>
    </w:p>
    <w:p>
      <w:pPr>
        <w:pStyle w:val="15"/>
        <w:pageBreakBefore w:val="0"/>
        <w:kinsoku/>
        <w:wordWrap/>
        <w:overflowPunct/>
        <w:topLinePunct w:val="0"/>
        <w:bidi w:val="0"/>
        <w:adjustRightInd w:val="0"/>
        <w:snapToGrid w:val="0"/>
        <w:spacing w:before="0" w:line="560" w:lineRule="exact"/>
        <w:jc w:val="left"/>
        <w:rPr>
          <w:rFonts w:hint="default" w:ascii="Times New Roman" w:hAnsi="Times New Roman" w:eastAsia="仿宋" w:cs="Times New Roman"/>
          <w:sz w:val="24"/>
          <w:szCs w:val="24"/>
          <w:lang w:val="en-US" w:eastAsia="zh-CN"/>
        </w:rPr>
      </w:pPr>
      <w:r>
        <w:rPr>
          <w:rFonts w:hint="default" w:ascii="Times New Roman" w:hAnsi="Times New Roman" w:cs="Times New Roman" w:eastAsiaTheme="majorEastAsia"/>
          <w:kern w:val="2"/>
          <w:sz w:val="24"/>
          <w:szCs w:val="24"/>
          <w:lang w:val="en-US" w:eastAsia="zh-CN" w:bidi="ar-SA"/>
        </w:rPr>
        <w:t>第二部分 202</w:t>
      </w:r>
      <w:r>
        <w:rPr>
          <w:rFonts w:hint="eastAsia" w:ascii="Times New Roman" w:hAnsi="Times New Roman" w:cs="Times New Roman" w:eastAsiaTheme="majorEastAsia"/>
          <w:kern w:val="2"/>
          <w:sz w:val="24"/>
          <w:szCs w:val="24"/>
          <w:lang w:val="en-US" w:eastAsia="zh-CN" w:bidi="ar-SA"/>
        </w:rPr>
        <w:t>3</w:t>
      </w:r>
      <w:r>
        <w:rPr>
          <w:rFonts w:hint="default" w:ascii="Times New Roman" w:hAnsi="Times New Roman" w:cs="Times New Roman" w:eastAsiaTheme="majorEastAsia"/>
          <w:kern w:val="2"/>
          <w:sz w:val="24"/>
          <w:szCs w:val="24"/>
          <w:lang w:val="en-US" w:eastAsia="zh-CN" w:bidi="ar-SA"/>
        </w:rPr>
        <w:t>年度部门决算情况说明</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8</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lang w:val="en-US" w:eastAsia="zh-CN"/>
        </w:rPr>
      </w:pPr>
      <w:r>
        <w:rPr>
          <w:rFonts w:hint="default" w:ascii="Times New Roman" w:hAnsi="Times New Roman" w:cs="Times New Roman" w:eastAsiaTheme="majorEastAsia"/>
          <w:sz w:val="24"/>
        </w:rPr>
        <w:t>一、收入支出决算总体情况说明</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8</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lang w:val="en-US" w:eastAsia="zh-CN"/>
        </w:rPr>
      </w:pPr>
      <w:r>
        <w:rPr>
          <w:rFonts w:hint="default" w:ascii="Times New Roman" w:hAnsi="Times New Roman" w:cs="Times New Roman" w:eastAsiaTheme="majorEastAsia"/>
          <w:sz w:val="24"/>
        </w:rPr>
        <w:t>二、收入决算情况说明</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9</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lang w:val="en-US" w:eastAsia="zh-CN"/>
        </w:rPr>
      </w:pPr>
      <w:r>
        <w:rPr>
          <w:rFonts w:hint="default" w:ascii="Times New Roman" w:hAnsi="Times New Roman" w:cs="Times New Roman" w:eastAsiaTheme="majorEastAsia"/>
          <w:sz w:val="24"/>
        </w:rPr>
        <w:t>三、支出决算情况说明</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9</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lang w:val="en-US" w:eastAsia="zh-CN"/>
        </w:rPr>
      </w:pPr>
      <w:r>
        <w:rPr>
          <w:rFonts w:hint="default" w:ascii="Times New Roman" w:hAnsi="Times New Roman" w:cs="Times New Roman" w:eastAsiaTheme="majorEastAsia"/>
          <w:sz w:val="24"/>
        </w:rPr>
        <w:t>四、财政拨款收入支出决算总体情况说明</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10</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lang w:val="en-US" w:eastAsia="zh-CN"/>
        </w:rPr>
      </w:pPr>
      <w:r>
        <w:rPr>
          <w:rFonts w:hint="default" w:ascii="Times New Roman" w:hAnsi="Times New Roman" w:cs="Times New Roman" w:eastAsiaTheme="majorEastAsia"/>
          <w:sz w:val="24"/>
        </w:rPr>
        <w:t>五、一般公共预算财政拨款支出决算情况说明</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10</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lang w:eastAsia="zh-CN"/>
        </w:rPr>
      </w:pPr>
      <w:r>
        <w:rPr>
          <w:rFonts w:hint="default" w:ascii="Times New Roman" w:hAnsi="Times New Roman" w:cs="Times New Roman" w:eastAsiaTheme="majorEastAsia"/>
          <w:sz w:val="24"/>
        </w:rPr>
        <w:t>六、一般公共预算财政拨款基本支出决算情况说明</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rPr>
        <w:t>1</w:t>
      </w:r>
      <w:r>
        <w:rPr>
          <w:rFonts w:hint="default" w:ascii="Times New Roman" w:hAnsi="Times New Roman" w:cs="Times New Roman" w:eastAsiaTheme="majorEastAsia"/>
          <w:sz w:val="24"/>
          <w:lang w:val="en-US" w:eastAsia="zh-CN"/>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lang w:eastAsia="zh-CN"/>
        </w:rPr>
      </w:pPr>
      <w:r>
        <w:rPr>
          <w:rFonts w:hint="default" w:ascii="Times New Roman" w:hAnsi="Times New Roman" w:cs="Times New Roman" w:eastAsiaTheme="majorEastAsia"/>
          <w:sz w:val="24"/>
        </w:rPr>
        <w:t>七、财政拨款“三公”经费支出决算情况说明</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rPr>
        <w:t>1</w:t>
      </w:r>
      <w:r>
        <w:rPr>
          <w:rFonts w:hint="default" w:ascii="Times New Roman" w:hAnsi="Times New Roman" w:cs="Times New Roman" w:eastAsiaTheme="majorEastAsia"/>
          <w:sz w:val="24"/>
          <w:lang w:val="en-US" w:eastAsia="zh-CN"/>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lang w:eastAsia="zh-CN"/>
        </w:rPr>
      </w:pPr>
      <w:r>
        <w:rPr>
          <w:rFonts w:hint="default" w:ascii="Times New Roman" w:hAnsi="Times New Roman" w:cs="Times New Roman" w:eastAsiaTheme="majorEastAsia"/>
          <w:sz w:val="24"/>
        </w:rPr>
        <w:t>八、政府性基金预算支出决算情况说明</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rPr>
        <w:t>1</w:t>
      </w:r>
      <w:r>
        <w:rPr>
          <w:rFonts w:hint="default" w:ascii="Times New Roman" w:hAnsi="Times New Roman" w:cs="Times New Roman" w:eastAsiaTheme="majorEastAsia"/>
          <w:sz w:val="24"/>
          <w:lang w:val="en-US" w:eastAsia="zh-CN"/>
        </w:rPr>
        <w:t>5</w:t>
      </w:r>
    </w:p>
    <w:p>
      <w:pPr>
        <w:pStyle w:val="16"/>
        <w:pageBreakBefore w:val="0"/>
        <w:kinsoku/>
        <w:wordWrap/>
        <w:overflowPunct/>
        <w:topLinePunct w:val="0"/>
        <w:bidi w:val="0"/>
        <w:adjustRightInd w:val="0"/>
        <w:snapToGrid w:val="0"/>
        <w:spacing w:line="560" w:lineRule="exact"/>
        <w:ind w:leftChars="0"/>
        <w:jc w:val="left"/>
        <w:rPr>
          <w:rFonts w:hint="default" w:ascii="Times New Roman" w:hAnsi="Times New Roman" w:cs="Times New Roman" w:eastAsiaTheme="majorEastAsia"/>
          <w:sz w:val="24"/>
          <w:lang w:eastAsia="zh-CN"/>
        </w:rPr>
      </w:pPr>
      <w:r>
        <w:rPr>
          <w:rFonts w:hint="default" w:ascii="Times New Roman" w:hAnsi="Times New Roman" w:cs="Times New Roman" w:eastAsiaTheme="majorEastAsia"/>
          <w:sz w:val="24"/>
        </w:rPr>
        <w:t>九、国有资本经营预算支出决算情况说明</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rPr>
        <w:t>1</w:t>
      </w:r>
      <w:r>
        <w:rPr>
          <w:rFonts w:hint="default" w:ascii="Times New Roman" w:hAnsi="Times New Roman" w:cs="Times New Roman" w:eastAsiaTheme="majorEastAsia"/>
          <w:sz w:val="24"/>
          <w:lang w:val="en-US" w:eastAsia="zh-CN"/>
        </w:rPr>
        <w:t>5</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lang w:eastAsia="zh-CN"/>
        </w:rPr>
      </w:pPr>
      <w:r>
        <w:rPr>
          <w:rFonts w:hint="default" w:ascii="Times New Roman" w:hAnsi="Times New Roman" w:cs="Times New Roman" w:eastAsiaTheme="majorEastAsia"/>
          <w:sz w:val="24"/>
        </w:rPr>
        <w:t>十、其他重要事项的情况说明</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rPr>
        <w:t>1</w:t>
      </w:r>
      <w:r>
        <w:rPr>
          <w:rFonts w:hint="default" w:ascii="Times New Roman" w:hAnsi="Times New Roman" w:cs="Times New Roman" w:eastAsiaTheme="majorEastAsia"/>
          <w:sz w:val="24"/>
          <w:lang w:val="en-US" w:eastAsia="zh-CN"/>
        </w:rPr>
        <w:t>5</w:t>
      </w:r>
    </w:p>
    <w:p>
      <w:pPr>
        <w:pStyle w:val="15"/>
        <w:pageBreakBefore w:val="0"/>
        <w:kinsoku/>
        <w:wordWrap/>
        <w:overflowPunct/>
        <w:topLinePunct w:val="0"/>
        <w:bidi w:val="0"/>
        <w:adjustRightInd w:val="0"/>
        <w:snapToGrid w:val="0"/>
        <w:spacing w:before="0" w:line="560" w:lineRule="exact"/>
        <w:jc w:val="left"/>
        <w:rPr>
          <w:rFonts w:hint="default" w:ascii="Times New Roman" w:hAnsi="Times New Roman" w:cs="Times New Roman"/>
          <w:sz w:val="24"/>
          <w:szCs w:val="24"/>
        </w:rPr>
      </w:pPr>
      <w:r>
        <w:rPr>
          <w:rFonts w:hint="default" w:ascii="Times New Roman" w:hAnsi="Times New Roman" w:cs="Times New Roman" w:eastAsiaTheme="majorEastAsia"/>
          <w:kern w:val="2"/>
          <w:sz w:val="24"/>
          <w:szCs w:val="24"/>
          <w:lang w:val="en-US" w:eastAsia="zh-CN" w:bidi="ar-SA"/>
        </w:rPr>
        <w:t>第三部分名词解释</w:t>
      </w:r>
      <w:r>
        <w:rPr>
          <w:rFonts w:hint="default" w:ascii="Times New Roman" w:hAnsi="Times New Roman" w:cs="Times New Roman"/>
          <w:sz w:val="24"/>
          <w:szCs w:val="24"/>
        </w:rPr>
        <w:tab/>
      </w:r>
      <w:r>
        <w:rPr>
          <w:rFonts w:hint="default" w:ascii="Times New Roman" w:hAnsi="Times New Roman" w:cs="Times New Roman"/>
          <w:sz w:val="24"/>
          <w:szCs w:val="24"/>
        </w:rPr>
        <w:t>17</w:t>
      </w:r>
    </w:p>
    <w:p>
      <w:pPr>
        <w:pStyle w:val="15"/>
        <w:pageBreakBefore w:val="0"/>
        <w:kinsoku/>
        <w:wordWrap/>
        <w:overflowPunct/>
        <w:topLinePunct w:val="0"/>
        <w:bidi w:val="0"/>
        <w:adjustRightInd w:val="0"/>
        <w:snapToGrid w:val="0"/>
        <w:spacing w:before="0" w:line="560" w:lineRule="exact"/>
        <w:jc w:val="left"/>
        <w:rPr>
          <w:rFonts w:hint="default" w:ascii="Times New Roman" w:hAnsi="Times New Roman" w:cs="Times New Roman"/>
          <w:sz w:val="24"/>
          <w:szCs w:val="24"/>
        </w:rPr>
      </w:pPr>
      <w:r>
        <w:rPr>
          <w:rFonts w:hint="default" w:ascii="Times New Roman" w:hAnsi="Times New Roman" w:cs="Times New Roman" w:eastAsiaTheme="majorEastAsia"/>
          <w:kern w:val="2"/>
          <w:sz w:val="24"/>
          <w:szCs w:val="24"/>
          <w:lang w:val="en-US" w:eastAsia="zh-CN" w:bidi="ar-SA"/>
        </w:rPr>
        <w:t>第四部分附件</w:t>
      </w:r>
      <w:r>
        <w:rPr>
          <w:rFonts w:hint="default" w:ascii="Times New Roman" w:hAnsi="Times New Roman" w:cs="Times New Roman"/>
          <w:sz w:val="24"/>
          <w:szCs w:val="24"/>
        </w:rPr>
        <w:tab/>
      </w:r>
      <w:r>
        <w:rPr>
          <w:rFonts w:hint="default" w:ascii="Times New Roman" w:hAnsi="Times New Roman" w:cs="Times New Roman"/>
          <w:sz w:val="24"/>
          <w:szCs w:val="24"/>
        </w:rPr>
        <w:t>20</w:t>
      </w:r>
    </w:p>
    <w:p>
      <w:pPr>
        <w:pStyle w:val="15"/>
        <w:pageBreakBefore w:val="0"/>
        <w:kinsoku/>
        <w:wordWrap/>
        <w:overflowPunct/>
        <w:topLinePunct w:val="0"/>
        <w:bidi w:val="0"/>
        <w:adjustRightInd w:val="0"/>
        <w:snapToGrid w:val="0"/>
        <w:spacing w:before="0" w:line="560" w:lineRule="exact"/>
        <w:jc w:val="left"/>
        <w:rPr>
          <w:rFonts w:hint="default" w:ascii="Times New Roman" w:hAnsi="Times New Roman" w:cs="Times New Roman"/>
          <w:color w:val="0000FF"/>
          <w:sz w:val="24"/>
          <w:szCs w:val="24"/>
        </w:rPr>
      </w:pPr>
      <w:r>
        <w:rPr>
          <w:rFonts w:hint="default" w:ascii="Times New Roman" w:hAnsi="Times New Roman" w:cs="Times New Roman" w:eastAsiaTheme="majorEastAsia"/>
          <w:kern w:val="2"/>
          <w:sz w:val="24"/>
          <w:szCs w:val="24"/>
          <w:lang w:val="en-US" w:eastAsia="zh-CN" w:bidi="ar-SA"/>
        </w:rPr>
        <w:t>第五部分附表</w:t>
      </w:r>
      <w:r>
        <w:rPr>
          <w:rFonts w:hint="default" w:ascii="Times New Roman" w:hAnsi="Times New Roman" w:cs="Times New Roman"/>
          <w:sz w:val="24"/>
          <w:szCs w:val="24"/>
        </w:rPr>
        <w:tab/>
      </w:r>
      <w:r>
        <w:rPr>
          <w:rFonts w:hint="default" w:ascii="Times New Roman" w:hAnsi="Times New Roman" w:cs="Times New Roman"/>
          <w:color w:val="000000" w:themeColor="text1"/>
          <w:sz w:val="24"/>
          <w:szCs w:val="24"/>
          <w:lang w:val="en-US" w:eastAsia="zh-CN"/>
        </w:rPr>
        <w:t>3</w:t>
      </w:r>
      <w:r>
        <w:rPr>
          <w:rFonts w:hint="default" w:ascii="Times New Roman" w:hAnsi="Times New Roman" w:cs="Times New Roman"/>
          <w:color w:val="000000" w:themeColor="text1"/>
          <w:sz w:val="24"/>
          <w:szCs w:val="24"/>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rPr>
      </w:pPr>
      <w:r>
        <w:rPr>
          <w:rFonts w:hint="default" w:ascii="Times New Roman" w:hAnsi="Times New Roman" w:cs="Times New Roman"/>
          <w:sz w:val="24"/>
        </w:rPr>
        <w:t>一、收入支出决算总表</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3</w:t>
      </w:r>
      <w:r>
        <w:rPr>
          <w:rFonts w:hint="default" w:ascii="Times New Roman" w:hAnsi="Times New Roman" w:cs="Times New Roman" w:eastAsiaTheme="majorEastAsia"/>
          <w:sz w:val="24"/>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rPr>
      </w:pPr>
      <w:r>
        <w:rPr>
          <w:rFonts w:hint="default" w:ascii="Times New Roman" w:hAnsi="Times New Roman" w:cs="Times New Roman"/>
          <w:sz w:val="24"/>
        </w:rPr>
        <w:t>二、收入决算表</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3</w:t>
      </w:r>
      <w:r>
        <w:rPr>
          <w:rFonts w:hint="default" w:ascii="Times New Roman" w:hAnsi="Times New Roman" w:cs="Times New Roman" w:eastAsiaTheme="majorEastAsia"/>
          <w:sz w:val="24"/>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rPr>
      </w:pPr>
      <w:r>
        <w:rPr>
          <w:rFonts w:hint="default" w:ascii="Times New Roman" w:hAnsi="Times New Roman" w:cs="Times New Roman"/>
          <w:sz w:val="24"/>
        </w:rPr>
        <w:t>三、支出决算表</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3</w:t>
      </w:r>
      <w:r>
        <w:rPr>
          <w:rFonts w:hint="default" w:ascii="Times New Roman" w:hAnsi="Times New Roman" w:cs="Times New Roman" w:eastAsiaTheme="majorEastAsia"/>
          <w:sz w:val="24"/>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rPr>
      </w:pPr>
      <w:r>
        <w:rPr>
          <w:rFonts w:hint="default" w:ascii="Times New Roman" w:hAnsi="Times New Roman" w:cs="Times New Roman"/>
          <w:sz w:val="24"/>
        </w:rPr>
        <w:t>四、财政拨款收入支出决算总表</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3</w:t>
      </w:r>
      <w:r>
        <w:rPr>
          <w:rFonts w:hint="default" w:ascii="Times New Roman" w:hAnsi="Times New Roman" w:cs="Times New Roman" w:eastAsiaTheme="majorEastAsia"/>
          <w:sz w:val="24"/>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rPr>
      </w:pPr>
      <w:r>
        <w:rPr>
          <w:rFonts w:hint="default" w:ascii="Times New Roman" w:hAnsi="Times New Roman" w:cs="Times New Roman"/>
          <w:sz w:val="24"/>
        </w:rPr>
        <w:t>五、财政拨款支出决算明细表</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3</w:t>
      </w:r>
      <w:r>
        <w:rPr>
          <w:rFonts w:hint="default" w:ascii="Times New Roman" w:hAnsi="Times New Roman" w:cs="Times New Roman" w:eastAsiaTheme="majorEastAsia"/>
          <w:sz w:val="24"/>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sz w:val="24"/>
        </w:rPr>
      </w:pPr>
      <w:r>
        <w:rPr>
          <w:rFonts w:hint="default" w:ascii="Times New Roman" w:hAnsi="Times New Roman" w:cs="Times New Roman"/>
          <w:sz w:val="24"/>
        </w:rPr>
        <w:t>六、一般公共预算财政拨款支出决算表</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3</w:t>
      </w:r>
      <w:r>
        <w:rPr>
          <w:rFonts w:hint="default" w:ascii="Times New Roman" w:hAnsi="Times New Roman" w:cs="Times New Roman" w:eastAsiaTheme="majorEastAsia"/>
          <w:sz w:val="24"/>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rPr>
      </w:pPr>
      <w:r>
        <w:rPr>
          <w:rFonts w:hint="default" w:ascii="Times New Roman" w:hAnsi="Times New Roman" w:cs="Times New Roman"/>
          <w:sz w:val="24"/>
        </w:rPr>
        <w:t>七、一般公共预算财政拨款支出决算明细表</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3</w:t>
      </w:r>
      <w:r>
        <w:rPr>
          <w:rFonts w:hint="default" w:ascii="Times New Roman" w:hAnsi="Times New Roman" w:cs="Times New Roman" w:eastAsiaTheme="majorEastAsia"/>
          <w:sz w:val="24"/>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rPr>
      </w:pPr>
      <w:r>
        <w:rPr>
          <w:rFonts w:hint="default" w:ascii="Times New Roman" w:hAnsi="Times New Roman" w:cs="Times New Roman"/>
          <w:sz w:val="24"/>
        </w:rPr>
        <w:t>八、一般公共预算财政拨款基本支出决算明细表</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3</w:t>
      </w:r>
      <w:r>
        <w:rPr>
          <w:rFonts w:hint="default" w:ascii="Times New Roman" w:hAnsi="Times New Roman" w:cs="Times New Roman" w:eastAsiaTheme="majorEastAsia"/>
          <w:sz w:val="24"/>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rPr>
      </w:pPr>
      <w:r>
        <w:rPr>
          <w:rFonts w:hint="default" w:ascii="Times New Roman" w:hAnsi="Times New Roman" w:cs="Times New Roman"/>
          <w:sz w:val="24"/>
        </w:rPr>
        <w:t>九、一般公共预算财政拨款项目支出决算表</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3</w:t>
      </w:r>
      <w:r>
        <w:rPr>
          <w:rFonts w:hint="default" w:ascii="Times New Roman" w:hAnsi="Times New Roman" w:cs="Times New Roman" w:eastAsiaTheme="majorEastAsia"/>
          <w:sz w:val="24"/>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rPr>
      </w:pPr>
      <w:r>
        <w:rPr>
          <w:rFonts w:hint="default" w:ascii="Times New Roman" w:hAnsi="Times New Roman" w:cs="Times New Roman"/>
          <w:sz w:val="24"/>
        </w:rPr>
        <w:t>十、政府性基金预算财政拨款收入支出决算表</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3</w:t>
      </w:r>
      <w:r>
        <w:rPr>
          <w:rFonts w:hint="default" w:ascii="Times New Roman" w:hAnsi="Times New Roman" w:cs="Times New Roman" w:eastAsiaTheme="majorEastAsia"/>
          <w:sz w:val="24"/>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rPr>
      </w:pPr>
      <w:r>
        <w:rPr>
          <w:rFonts w:hint="default" w:ascii="Times New Roman" w:hAnsi="Times New Roman" w:cs="Times New Roman"/>
          <w:sz w:val="24"/>
        </w:rPr>
        <w:t>十一、国有资本经营预算财政拨款收入支出决算表</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3</w:t>
      </w:r>
      <w:r>
        <w:rPr>
          <w:rFonts w:hint="default" w:ascii="Times New Roman" w:hAnsi="Times New Roman" w:cs="Times New Roman" w:eastAsiaTheme="majorEastAsia"/>
          <w:sz w:val="24"/>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rPr>
      </w:pPr>
      <w:r>
        <w:rPr>
          <w:rFonts w:hint="default" w:ascii="Times New Roman" w:hAnsi="Times New Roman" w:cs="Times New Roman"/>
          <w:sz w:val="24"/>
        </w:rPr>
        <w:t>十二、国有资本经营预算财政拨款支出决算表</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3</w:t>
      </w:r>
      <w:r>
        <w:rPr>
          <w:rFonts w:hint="default" w:ascii="Times New Roman" w:hAnsi="Times New Roman" w:cs="Times New Roman" w:eastAsiaTheme="majorEastAsia"/>
          <w:sz w:val="24"/>
        </w:rPr>
        <w:t>3</w:t>
      </w:r>
    </w:p>
    <w:p>
      <w:pPr>
        <w:pStyle w:val="16"/>
        <w:pageBreakBefore w:val="0"/>
        <w:kinsoku/>
        <w:wordWrap/>
        <w:overflowPunct/>
        <w:topLinePunct w:val="0"/>
        <w:bidi w:val="0"/>
        <w:adjustRightInd w:val="0"/>
        <w:snapToGrid w:val="0"/>
        <w:spacing w:line="560" w:lineRule="exact"/>
        <w:jc w:val="left"/>
        <w:rPr>
          <w:rFonts w:hint="default" w:ascii="Times New Roman" w:hAnsi="Times New Roman" w:cs="Times New Roman" w:eastAsiaTheme="majorEastAsia"/>
          <w:sz w:val="24"/>
        </w:rPr>
      </w:pPr>
      <w:r>
        <w:rPr>
          <w:rFonts w:hint="default" w:ascii="Times New Roman" w:hAnsi="Times New Roman" w:cs="Times New Roman"/>
          <w:sz w:val="24"/>
        </w:rPr>
        <w:t>十三、财政拨款“三公”经费支出决算表</w:t>
      </w:r>
      <w:r>
        <w:rPr>
          <w:rFonts w:hint="default" w:ascii="Times New Roman" w:hAnsi="Times New Roman" w:cs="Times New Roman" w:eastAsiaTheme="majorEastAsia"/>
          <w:sz w:val="24"/>
        </w:rPr>
        <w:tab/>
      </w:r>
      <w:r>
        <w:rPr>
          <w:rFonts w:hint="default" w:ascii="Times New Roman" w:hAnsi="Times New Roman" w:cs="Times New Roman" w:eastAsiaTheme="majorEastAsia"/>
          <w:sz w:val="24"/>
          <w:lang w:val="en-US" w:eastAsia="zh-CN"/>
        </w:rPr>
        <w:t>3</w:t>
      </w:r>
      <w:r>
        <w:rPr>
          <w:rFonts w:hint="default" w:ascii="Times New Roman" w:hAnsi="Times New Roman" w:cs="Times New Roman" w:eastAsiaTheme="majorEastAsia"/>
          <w:sz w:val="24"/>
        </w:rPr>
        <w:t>3</w:t>
      </w:r>
    </w:p>
    <w:p>
      <w:pPr>
        <w:pageBreakBefore w:val="0"/>
        <w:widowControl/>
        <w:kinsoku/>
        <w:wordWrap/>
        <w:overflowPunct/>
        <w:topLinePunct w:val="0"/>
        <w:bidi w:val="0"/>
        <w:spacing w:line="560" w:lineRule="exact"/>
        <w:jc w:val="left"/>
        <w:rPr>
          <w:rFonts w:hint="default" w:ascii="Times New Roman" w:hAnsi="Times New Roman" w:cs="Times New Roman" w:eastAsiaTheme="majorEastAsia"/>
          <w:sz w:val="24"/>
        </w:rPr>
      </w:pPr>
      <w:r>
        <w:rPr>
          <w:rFonts w:hint="default" w:ascii="Times New Roman" w:hAnsi="Times New Roman" w:cs="Times New Roman" w:eastAsiaTheme="majorEastAsia"/>
          <w:sz w:val="24"/>
        </w:rPr>
        <w:tab/>
      </w:r>
    </w:p>
    <w:p>
      <w:pPr>
        <w:pStyle w:val="9"/>
        <w:pageBreakBefore w:val="0"/>
        <w:kinsoku/>
        <w:wordWrap/>
        <w:overflowPunct/>
        <w:topLinePunct w:val="0"/>
        <w:bidi w:val="0"/>
        <w:spacing w:before="93" w:line="560" w:lineRule="exact"/>
        <w:rPr>
          <w:rFonts w:hint="default" w:ascii="Times New Roman" w:hAnsi="Times New Roman" w:cs="Times New Roman" w:eastAsiaTheme="majorEastAsia"/>
          <w:sz w:val="24"/>
        </w:rPr>
      </w:pPr>
    </w:p>
    <w:p>
      <w:pPr>
        <w:pStyle w:val="9"/>
        <w:pageBreakBefore w:val="0"/>
        <w:kinsoku/>
        <w:wordWrap/>
        <w:overflowPunct/>
        <w:topLinePunct w:val="0"/>
        <w:bidi w:val="0"/>
        <w:spacing w:before="93" w:line="560" w:lineRule="exact"/>
        <w:rPr>
          <w:rFonts w:hint="default" w:ascii="Times New Roman" w:hAnsi="Times New Roman" w:cs="Times New Roman" w:eastAsiaTheme="majorEastAsia"/>
          <w:sz w:val="24"/>
        </w:rPr>
      </w:pPr>
    </w:p>
    <w:p>
      <w:pPr>
        <w:pStyle w:val="9"/>
        <w:pageBreakBefore w:val="0"/>
        <w:kinsoku/>
        <w:wordWrap/>
        <w:overflowPunct/>
        <w:topLinePunct w:val="0"/>
        <w:bidi w:val="0"/>
        <w:spacing w:before="93" w:line="560" w:lineRule="exact"/>
        <w:rPr>
          <w:rFonts w:hint="default" w:ascii="Times New Roman" w:hAnsi="Times New Roman" w:cs="Times New Roman" w:eastAsiaTheme="majorEastAsia"/>
          <w:sz w:val="24"/>
        </w:rPr>
      </w:pPr>
    </w:p>
    <w:p>
      <w:pPr>
        <w:pStyle w:val="9"/>
        <w:pageBreakBefore w:val="0"/>
        <w:kinsoku/>
        <w:wordWrap/>
        <w:overflowPunct/>
        <w:topLinePunct w:val="0"/>
        <w:bidi w:val="0"/>
        <w:spacing w:before="93" w:line="560" w:lineRule="exact"/>
        <w:rPr>
          <w:rFonts w:hint="default" w:ascii="Times New Roman" w:hAnsi="Times New Roman" w:cs="Times New Roman" w:eastAsiaTheme="majorEastAsia"/>
          <w:sz w:val="24"/>
        </w:rPr>
      </w:pPr>
    </w:p>
    <w:p>
      <w:pPr>
        <w:pStyle w:val="9"/>
        <w:pageBreakBefore w:val="0"/>
        <w:kinsoku/>
        <w:wordWrap/>
        <w:overflowPunct/>
        <w:topLinePunct w:val="0"/>
        <w:bidi w:val="0"/>
        <w:spacing w:before="93" w:line="560" w:lineRule="exact"/>
        <w:rPr>
          <w:rFonts w:hint="default" w:ascii="Times New Roman" w:hAnsi="Times New Roman" w:cs="Times New Roman" w:eastAsiaTheme="majorEastAsia"/>
          <w:sz w:val="24"/>
        </w:rPr>
      </w:pPr>
    </w:p>
    <w:p>
      <w:pPr>
        <w:pStyle w:val="9"/>
        <w:pageBreakBefore w:val="0"/>
        <w:kinsoku/>
        <w:wordWrap/>
        <w:overflowPunct/>
        <w:topLinePunct w:val="0"/>
        <w:bidi w:val="0"/>
        <w:spacing w:before="93" w:line="560" w:lineRule="exact"/>
        <w:rPr>
          <w:rFonts w:hint="default" w:ascii="Times New Roman" w:hAnsi="Times New Roman" w:cs="Times New Roman" w:eastAsiaTheme="majorEastAsia"/>
          <w:sz w:val="24"/>
        </w:rPr>
      </w:pPr>
    </w:p>
    <w:p>
      <w:pPr>
        <w:pStyle w:val="9"/>
        <w:pageBreakBefore w:val="0"/>
        <w:kinsoku/>
        <w:wordWrap/>
        <w:overflowPunct/>
        <w:topLinePunct w:val="0"/>
        <w:bidi w:val="0"/>
        <w:spacing w:before="93" w:line="560" w:lineRule="exact"/>
        <w:rPr>
          <w:rFonts w:hint="default" w:ascii="Times New Roman" w:hAnsi="Times New Roman" w:cs="Times New Roman" w:eastAsiaTheme="majorEastAsia"/>
          <w:sz w:val="24"/>
        </w:rPr>
      </w:pPr>
    </w:p>
    <w:p>
      <w:pPr>
        <w:pStyle w:val="9"/>
        <w:pageBreakBefore w:val="0"/>
        <w:kinsoku/>
        <w:wordWrap/>
        <w:overflowPunct/>
        <w:topLinePunct w:val="0"/>
        <w:bidi w:val="0"/>
        <w:spacing w:before="93" w:line="560" w:lineRule="exact"/>
        <w:rPr>
          <w:rFonts w:hint="default" w:ascii="Times New Roman" w:hAnsi="Times New Roman" w:cs="Times New Roman" w:eastAsiaTheme="majorEastAsia"/>
          <w:sz w:val="24"/>
        </w:rPr>
      </w:pPr>
    </w:p>
    <w:p>
      <w:pPr>
        <w:pStyle w:val="9"/>
        <w:pageBreakBefore w:val="0"/>
        <w:kinsoku/>
        <w:wordWrap/>
        <w:overflowPunct/>
        <w:topLinePunct w:val="0"/>
        <w:bidi w:val="0"/>
        <w:spacing w:before="93" w:line="560" w:lineRule="exact"/>
        <w:rPr>
          <w:rFonts w:hint="default" w:ascii="Times New Roman" w:hAnsi="Times New Roman" w:cs="Times New Roman" w:eastAsiaTheme="majorEastAsia"/>
          <w:sz w:val="24"/>
        </w:rPr>
      </w:pPr>
    </w:p>
    <w:p>
      <w:pPr>
        <w:pStyle w:val="9"/>
        <w:pageBreakBefore w:val="0"/>
        <w:kinsoku/>
        <w:wordWrap/>
        <w:overflowPunct/>
        <w:topLinePunct w:val="0"/>
        <w:bidi w:val="0"/>
        <w:spacing w:before="93" w:line="560" w:lineRule="exact"/>
        <w:rPr>
          <w:rFonts w:hint="default" w:ascii="Times New Roman" w:hAnsi="Times New Roman" w:cs="Times New Roman" w:eastAsiaTheme="majorEastAsia"/>
          <w:sz w:val="24"/>
        </w:rPr>
      </w:pPr>
    </w:p>
    <w:p>
      <w:pPr>
        <w:pStyle w:val="9"/>
        <w:pageBreakBefore w:val="0"/>
        <w:kinsoku/>
        <w:wordWrap/>
        <w:overflowPunct/>
        <w:topLinePunct w:val="0"/>
        <w:bidi w:val="0"/>
        <w:spacing w:before="93" w:line="560" w:lineRule="exact"/>
        <w:rPr>
          <w:rFonts w:hint="default" w:ascii="Times New Roman" w:hAnsi="Times New Roman" w:cs="Times New Roman" w:eastAsiaTheme="majorEastAsia"/>
          <w:sz w:val="24"/>
        </w:rPr>
      </w:pPr>
    </w:p>
    <w:p>
      <w:pPr>
        <w:pStyle w:val="9"/>
        <w:pageBreakBefore w:val="0"/>
        <w:kinsoku/>
        <w:wordWrap/>
        <w:overflowPunct/>
        <w:topLinePunct w:val="0"/>
        <w:bidi w:val="0"/>
        <w:spacing w:before="93" w:line="560" w:lineRule="exact"/>
        <w:rPr>
          <w:rFonts w:hint="default" w:ascii="Times New Roman" w:hAnsi="Times New Roman" w:cs="Times New Roman" w:eastAsiaTheme="majorEastAsia"/>
          <w:sz w:val="24"/>
        </w:rPr>
      </w:pPr>
    </w:p>
    <w:p>
      <w:pPr>
        <w:pStyle w:val="9"/>
        <w:pageBreakBefore w:val="0"/>
        <w:kinsoku/>
        <w:wordWrap/>
        <w:overflowPunct/>
        <w:topLinePunct w:val="0"/>
        <w:bidi w:val="0"/>
        <w:spacing w:before="93" w:line="560" w:lineRule="exact"/>
        <w:rPr>
          <w:rFonts w:hint="default" w:ascii="Times New Roman" w:hAnsi="Times New Roman" w:cs="Times New Roman" w:eastAsiaTheme="majorEastAsia"/>
          <w:sz w:val="24"/>
        </w:rPr>
      </w:pPr>
    </w:p>
    <w:p>
      <w:pPr>
        <w:pStyle w:val="9"/>
        <w:pageBreakBefore w:val="0"/>
        <w:kinsoku/>
        <w:wordWrap/>
        <w:overflowPunct/>
        <w:topLinePunct w:val="0"/>
        <w:bidi w:val="0"/>
        <w:spacing w:before="93" w:line="560" w:lineRule="exact"/>
        <w:rPr>
          <w:rFonts w:hint="default" w:ascii="Times New Roman" w:hAnsi="Times New Roman" w:cs="Times New Roman" w:eastAsiaTheme="majorEastAsia"/>
          <w:sz w:val="24"/>
        </w:rPr>
      </w:pPr>
    </w:p>
    <w:p>
      <w:pPr>
        <w:pStyle w:val="5"/>
        <w:pageBreakBefore w:val="0"/>
        <w:suppressAutoHyphens/>
        <w:kinsoku/>
        <w:wordWrap/>
        <w:overflowPunct/>
        <w:topLinePunct w:val="0"/>
        <w:bidi w:val="0"/>
        <w:jc w:val="center"/>
        <w:rPr>
          <w:rFonts w:hint="default" w:ascii="Times New Roman" w:hAnsi="Times New Roman" w:eastAsia="黑体" w:cs="Times New Roman"/>
          <w:b w:val="0"/>
          <w:color w:val="auto"/>
          <w:highlight w:val="none"/>
        </w:rPr>
      </w:pPr>
      <w:r>
        <w:rPr>
          <w:rFonts w:hint="default" w:ascii="Times New Roman" w:hAnsi="Times New Roman" w:eastAsia="黑体" w:cs="Times New Roman"/>
          <w:b w:val="0"/>
          <w:color w:val="auto"/>
          <w:highlight w:val="none"/>
        </w:rPr>
        <w:t>第一部分 部门概况</w:t>
      </w:r>
      <w:bookmarkEnd w:id="6"/>
      <w:bookmarkEnd w:id="7"/>
      <w:bookmarkStart w:id="14" w:name="_Toc15396600"/>
      <w:bookmarkStart w:id="15" w:name="_Toc15377197"/>
      <w:r>
        <w:rPr>
          <w:rFonts w:hint="default" w:ascii="Times New Roman" w:hAnsi="Times New Roman" w:eastAsia="黑体" w:cs="Times New Roman"/>
          <w:b w:val="0"/>
          <w:color w:val="auto"/>
          <w:highlight w:val="none"/>
        </w:rPr>
        <w:t xml:space="preserve"> </w:t>
      </w:r>
    </w:p>
    <w:p>
      <w:pPr>
        <w:pStyle w:val="6"/>
        <w:pageBreakBefore w:val="0"/>
        <w:suppressAutoHyphens/>
        <w:kinsoku/>
        <w:wordWrap/>
        <w:overflowPunct/>
        <w:topLinePunct w:val="0"/>
        <w:bidi w:val="0"/>
        <w:rPr>
          <w:rFonts w:hint="default" w:ascii="Times New Roman" w:hAnsi="Times New Roman" w:eastAsia="黑体" w:cs="Times New Roman"/>
          <w:b w:val="0"/>
          <w:color w:val="auto"/>
          <w:highlight w:val="none"/>
        </w:rPr>
      </w:pPr>
      <w:r>
        <w:rPr>
          <w:rFonts w:hint="default" w:ascii="Times New Roman" w:hAnsi="Times New Roman" w:eastAsia="黑体" w:cs="Times New Roman"/>
          <w:b w:val="0"/>
          <w:color w:val="auto"/>
          <w:highlight w:val="none"/>
        </w:rPr>
        <w:t>一、</w:t>
      </w:r>
      <w:bookmarkEnd w:id="14"/>
      <w:bookmarkEnd w:id="15"/>
      <w:r>
        <w:rPr>
          <w:rFonts w:hint="default" w:ascii="Times New Roman" w:hAnsi="Times New Roman" w:eastAsia="黑体" w:cs="Times New Roman"/>
          <w:b w:val="0"/>
          <w:color w:val="auto"/>
          <w:highlight w:val="none"/>
        </w:rPr>
        <w:t>部门职责</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en-US" w:eastAsia="zh-CN" w:bidi="ar-SA"/>
        </w:rPr>
      </w:pPr>
      <w:bookmarkStart w:id="16" w:name="_Toc15378446"/>
      <w:bookmarkStart w:id="17" w:name="_Toc15377199"/>
      <w:r>
        <w:rPr>
          <w:rFonts w:hint="default" w:ascii="Times New Roman" w:hAnsi="Times New Roman" w:eastAsia="仿宋" w:cs="Times New Roman"/>
          <w:color w:val="auto"/>
          <w:kern w:val="2"/>
          <w:sz w:val="32"/>
          <w:szCs w:val="32"/>
          <w:highlight w:val="none"/>
          <w:lang w:val="en-US" w:eastAsia="zh-CN" w:bidi="ar-SA"/>
        </w:rPr>
        <w:t>区财政局贯彻落实党中央关于财经工作、国有资产管理工作和金融工作的方针政策和省、市、区委的决策部署，在履行职责过程中坚持和加强党对财政工作的集中统一领导。主要职责是：</w:t>
      </w:r>
    </w:p>
    <w:bookmarkEnd w:id="16"/>
    <w:bookmarkEnd w:id="17"/>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bookmarkStart w:id="18" w:name="_Toc15396601"/>
      <w:bookmarkStart w:id="19" w:name="_Toc15377200"/>
      <w:r>
        <w:rPr>
          <w:rFonts w:hint="default" w:ascii="Times New Roman" w:hAnsi="Times New Roman" w:eastAsia="仿宋" w:cs="Times New Roman"/>
          <w:color w:val="auto"/>
          <w:kern w:val="2"/>
          <w:sz w:val="32"/>
          <w:szCs w:val="32"/>
          <w:highlight w:val="none"/>
          <w:lang w:val="en-US" w:eastAsia="zh-CN" w:bidi="ar-SA"/>
        </w:rPr>
        <w:t>1.</w:t>
      </w:r>
      <w:r>
        <w:rPr>
          <w:rFonts w:hint="default" w:ascii="Times New Roman" w:hAnsi="Times New Roman" w:eastAsia="仿宋" w:cs="Times New Roman"/>
          <w:color w:val="auto"/>
          <w:kern w:val="2"/>
          <w:sz w:val="32"/>
          <w:szCs w:val="32"/>
          <w:highlight w:val="none"/>
          <w:lang w:val="zh-CN" w:eastAsia="zh-CN" w:bidi="ar-SA"/>
        </w:rPr>
        <w:t>拟订全区财税发展战略、规划、政策和改革方案并组织实施。分析预测宏观经济形势，参与制定各项经济政策，提出运用财税政策实施宏观调控和综合平衡社会财力的建议。拟订区与乡（镇）政府、政府与企业的分配政策，完善鼓励公益事业发展的财税政策。</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2.</w:t>
      </w:r>
      <w:r>
        <w:rPr>
          <w:rFonts w:hint="default" w:ascii="Times New Roman" w:hAnsi="Times New Roman" w:eastAsia="仿宋" w:cs="Times New Roman"/>
          <w:color w:val="auto"/>
          <w:kern w:val="2"/>
          <w:sz w:val="32"/>
          <w:szCs w:val="32"/>
          <w:highlight w:val="none"/>
          <w:lang w:val="zh-CN" w:eastAsia="zh-CN" w:bidi="ar-SA"/>
        </w:rPr>
        <w:t>贯彻执行财政、税收、财务、会计管理的法律法规和规章。负责组织起草地方性财政政策、规范性文件和规章制度并组织实施。按照管理权限管理全区税政事项。承办国务院关税税则委员会办公室要求区一级承担的工作。</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3.</w:t>
      </w:r>
      <w:r>
        <w:rPr>
          <w:rFonts w:hint="default" w:ascii="Times New Roman" w:hAnsi="Times New Roman" w:eastAsia="仿宋" w:cs="Times New Roman"/>
          <w:color w:val="auto"/>
          <w:kern w:val="2"/>
          <w:sz w:val="32"/>
          <w:szCs w:val="32"/>
          <w:highlight w:val="none"/>
          <w:lang w:val="zh-CN" w:eastAsia="zh-CN" w:bidi="ar-SA"/>
        </w:rPr>
        <w:t>负责管理各项财政收支。编制年度区级预决算草案并组织执行。组织制定经费开支标准、定额，审核批复部门（单位）年度预决算。受区政府委托，向区人大及其常委会报告财政预算、执行和决算等情况。负责政府建立的各类基金、风险金、分险金的监督管理。负责区级预决算公开。负责全面实施预算绩效管理。</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4.</w:t>
      </w:r>
      <w:r>
        <w:rPr>
          <w:rFonts w:hint="default" w:ascii="Times New Roman" w:hAnsi="Times New Roman" w:eastAsia="仿宋" w:cs="Times New Roman"/>
          <w:color w:val="auto"/>
          <w:kern w:val="2"/>
          <w:sz w:val="32"/>
          <w:szCs w:val="32"/>
          <w:highlight w:val="none"/>
          <w:lang w:val="zh-CN" w:eastAsia="zh-CN" w:bidi="ar-SA"/>
        </w:rPr>
        <w:t>按分工负责政府非税收入管理。负责政府性基金管理，按规定管理行政事业性收费等其他非税收入。管理财政票据。执行彩票管理政策，按规定管理彩票资金。</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5.</w:t>
      </w:r>
      <w:r>
        <w:rPr>
          <w:rFonts w:hint="default" w:ascii="Times New Roman" w:hAnsi="Times New Roman" w:eastAsia="仿宋" w:cs="Times New Roman"/>
          <w:color w:val="auto"/>
          <w:kern w:val="2"/>
          <w:sz w:val="32"/>
          <w:szCs w:val="32"/>
          <w:highlight w:val="none"/>
          <w:lang w:val="zh-CN" w:eastAsia="zh-CN" w:bidi="ar-SA"/>
        </w:rPr>
        <w:t>组织制定全区国库管理制度、国库集中收付制度，指导和监督国库业务，开展国库现金管理工作。贯彻执行政府财务报告编制办法并组织实施。监督管理全区政府采购工作。</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6.</w:t>
      </w:r>
      <w:r>
        <w:rPr>
          <w:rFonts w:hint="default" w:ascii="Times New Roman" w:hAnsi="Times New Roman" w:eastAsia="仿宋" w:cs="Times New Roman"/>
          <w:color w:val="auto"/>
          <w:kern w:val="2"/>
          <w:sz w:val="32"/>
          <w:szCs w:val="32"/>
          <w:highlight w:val="none"/>
          <w:lang w:val="zh-CN" w:eastAsia="zh-CN" w:bidi="ar-SA"/>
        </w:rPr>
        <w:t>贯彻执行地方政府债务管理制度和政策，制定具体管理办法，编制地方政府债余额限额计划，统一管理政府外债，防范财政风险。</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7.</w:t>
      </w:r>
      <w:r>
        <w:rPr>
          <w:rFonts w:hint="default" w:ascii="Times New Roman" w:hAnsi="Times New Roman" w:eastAsia="仿宋" w:cs="Times New Roman"/>
          <w:color w:val="auto"/>
          <w:kern w:val="2"/>
          <w:sz w:val="32"/>
          <w:szCs w:val="32"/>
          <w:highlight w:val="none"/>
          <w:lang w:val="zh-CN" w:eastAsia="zh-CN" w:bidi="ar-SA"/>
        </w:rPr>
        <w:t>牵头编制全区国有资产管理情况报告。根据区政府授权，集中统一履行区级国有金融资本出资人职责。制定区级国有金融资本管理制度。拟订全区行政事业单位国有资产管理制度并组织实施。制定和监督执行统一规定的开支标准和支出政策。</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8.</w:t>
      </w:r>
      <w:r>
        <w:rPr>
          <w:rFonts w:hint="default" w:ascii="Times New Roman" w:hAnsi="Times New Roman" w:eastAsia="仿宋" w:cs="Times New Roman"/>
          <w:color w:val="auto"/>
          <w:kern w:val="2"/>
          <w:sz w:val="32"/>
          <w:szCs w:val="32"/>
          <w:highlight w:val="none"/>
          <w:lang w:val="zh-CN" w:eastAsia="zh-CN" w:bidi="ar-SA"/>
        </w:rPr>
        <w:t>负责审核并汇总编制全区国有资本经营预决算草案。制定国有资本经营预算制度和办法，收取区本级企业国有资本收益。组织实施企业财务制度，负责财政预算内行政事业单位和社会团体的非贸易外汇和财政预算内的国际收支管理。</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9.</w:t>
      </w:r>
      <w:r>
        <w:rPr>
          <w:rFonts w:hint="default" w:ascii="Times New Roman" w:hAnsi="Times New Roman" w:eastAsia="仿宋" w:cs="Times New Roman"/>
          <w:color w:val="auto"/>
          <w:kern w:val="2"/>
          <w:sz w:val="32"/>
          <w:szCs w:val="32"/>
          <w:highlight w:val="none"/>
          <w:lang w:val="zh-CN" w:eastAsia="zh-CN" w:bidi="ar-SA"/>
        </w:rPr>
        <w:t>负责审核并汇总编制全区社会保险基金预决算草案，会同有关部门拟订有关资金（基金）财务管理制度，承担社会保险基金财政监管工作。</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10.</w:t>
      </w:r>
      <w:r>
        <w:rPr>
          <w:rFonts w:hint="default" w:ascii="Times New Roman" w:hAnsi="Times New Roman" w:eastAsia="仿宋" w:cs="Times New Roman"/>
          <w:color w:val="auto"/>
          <w:kern w:val="2"/>
          <w:sz w:val="32"/>
          <w:szCs w:val="32"/>
          <w:highlight w:val="none"/>
          <w:lang w:val="zh-CN" w:eastAsia="zh-CN" w:bidi="ar-SA"/>
        </w:rPr>
        <w:t>负责办理和监督区级财政的经济发展支出、区级政府性投资项目的财政拨款，负责投资评审管理工作，参与拟订区级基建投资有关政策，监督执行基建财务管理制度。负责政府性投资项目竣工决算、结算管理工作。</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11.</w:t>
      </w:r>
      <w:r>
        <w:rPr>
          <w:rFonts w:hint="default" w:ascii="Times New Roman" w:hAnsi="Times New Roman" w:eastAsia="仿宋" w:cs="Times New Roman"/>
          <w:color w:val="auto"/>
          <w:kern w:val="2"/>
          <w:sz w:val="32"/>
          <w:szCs w:val="32"/>
          <w:highlight w:val="none"/>
          <w:lang w:val="zh-CN" w:eastAsia="zh-CN" w:bidi="ar-SA"/>
        </w:rPr>
        <w:t>管理外国政府和国际金融机构贷（赠）款项目的有关业务，参与财经领域的国际交流与合作。</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12.</w:t>
      </w:r>
      <w:r>
        <w:rPr>
          <w:rFonts w:hint="default" w:ascii="Times New Roman" w:hAnsi="Times New Roman" w:eastAsia="仿宋" w:cs="Times New Roman"/>
          <w:color w:val="auto"/>
          <w:kern w:val="2"/>
          <w:sz w:val="32"/>
          <w:szCs w:val="32"/>
          <w:highlight w:val="none"/>
          <w:lang w:val="zh-CN" w:eastAsia="zh-CN" w:bidi="ar-SA"/>
        </w:rPr>
        <w:t>负责管理全区会计工作，监督和规范会计行为，组织实施国家统一的会计制度，指导社会审计。依法管理资产评估有关工作。</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13.</w:t>
      </w:r>
      <w:r>
        <w:rPr>
          <w:rFonts w:hint="default" w:ascii="Times New Roman" w:hAnsi="Times New Roman" w:eastAsia="仿宋" w:cs="Times New Roman"/>
          <w:color w:val="auto"/>
          <w:kern w:val="2"/>
          <w:sz w:val="32"/>
          <w:szCs w:val="32"/>
          <w:highlight w:val="none"/>
          <w:lang w:val="zh-CN" w:eastAsia="zh-CN" w:bidi="ar-SA"/>
        </w:rPr>
        <w:t>拟定和执行国有资产管理的政策法规、规章制度和管理办法；负责全区行政事业单位国有资产及国有资产经营收益管理工作；组织实施行政事业单位、国有资产及区属企业资产的清产核资和绩效评价工作；组织实施区级行政事业单位及企业国有产权界定、企业国有资产产权界定和转让工作，监缴国有资产收益；负责国有资产及区属国有企业资产的统计、分析；指导和监督行政事业单位、区属国有企业资产的产权界定、清查登记等工作；指导和监督办理执行《企业财务通则》和相关财务会计制度，参与拟定企业国有资产管理相关制度。</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14.</w:t>
      </w:r>
      <w:r>
        <w:rPr>
          <w:rFonts w:hint="default" w:ascii="Times New Roman" w:hAnsi="Times New Roman" w:eastAsia="仿宋" w:cs="Times New Roman"/>
          <w:color w:val="auto"/>
          <w:kern w:val="2"/>
          <w:sz w:val="32"/>
          <w:szCs w:val="32"/>
          <w:highlight w:val="none"/>
          <w:lang w:val="zh-CN" w:eastAsia="zh-CN" w:bidi="ar-SA"/>
        </w:rPr>
        <w:t>负责联系协调全区金融机构，推动地方政府与金融机构合作交流，防控金融风险、深化金融改革。负责全区小额贷款公司、融资担保公司、典当行、融资租赁公司等监管；维护地方金融秩序，牵头会同有关部门防范、化解和处置地方金融风险；牵头处置非法集资、协调配合有关部门打击其他非法金融活动；推进全区金融知识宣传普及工作。</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15.</w:t>
      </w:r>
      <w:r>
        <w:rPr>
          <w:rFonts w:hint="default" w:ascii="Times New Roman" w:hAnsi="Times New Roman" w:eastAsia="仿宋" w:cs="Times New Roman"/>
          <w:color w:val="auto"/>
          <w:kern w:val="2"/>
          <w:sz w:val="32"/>
          <w:szCs w:val="32"/>
          <w:highlight w:val="none"/>
          <w:lang w:val="zh-CN" w:eastAsia="zh-CN" w:bidi="ar-SA"/>
        </w:rPr>
        <w:t>负责职责范围内的安全生产和职业健康、生态环境保护、审批服务便民化等工作。按省、市要求，指导推进相对集中行政许可权改革。</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16.</w:t>
      </w:r>
      <w:r>
        <w:rPr>
          <w:rFonts w:hint="default" w:ascii="Times New Roman" w:hAnsi="Times New Roman" w:eastAsia="仿宋" w:cs="Times New Roman"/>
          <w:color w:val="auto"/>
          <w:kern w:val="2"/>
          <w:sz w:val="32"/>
          <w:szCs w:val="32"/>
          <w:highlight w:val="none"/>
          <w:lang w:val="zh-CN" w:eastAsia="zh-CN" w:bidi="ar-SA"/>
        </w:rPr>
        <w:t>完成区委、区政府交办的其他任务。</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17.</w:t>
      </w:r>
      <w:r>
        <w:rPr>
          <w:rFonts w:hint="default" w:ascii="Times New Roman" w:hAnsi="Times New Roman" w:eastAsia="仿宋" w:cs="Times New Roman"/>
          <w:color w:val="auto"/>
          <w:kern w:val="2"/>
          <w:sz w:val="32"/>
          <w:szCs w:val="32"/>
          <w:highlight w:val="none"/>
          <w:lang w:val="zh-CN" w:eastAsia="zh-CN" w:bidi="ar-SA"/>
        </w:rPr>
        <w:t>职能转变。</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zh-CN" w:eastAsia="zh-CN" w:bidi="ar-SA"/>
        </w:rPr>
        <w:t>（1）完善宏观调控体系，创新调控方式，构建发展规划、财政、金融等政策协调和工作协同机制，强化经济监测预测预警能力，建立健全重大问题研究和政策储备工作机制，增强宏观调控前瞻性、针对性、协同性。</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zh-CN" w:eastAsia="zh-CN" w:bidi="ar-SA"/>
        </w:rPr>
        <w:t>（2）深化财税体制改革。加快建立现代财政制度，推进财政事权和支出责任划分改革，理顺区与乡（镇）收入划分，建立权责清晰、财力协调、区域均衡的区以下政府间财政关系。完善转移支付制度，优化转移支付分类，规范转移支付项目，增强地方统筹能力。逐步统一预算分配，全面实施绩效管理，建立全面规范透明、标准科学、约束有力的预算制度。全面推行政府性基金和行政事业性收费清单管理，完善监督制度。深化税收制度改革，健全地方税体系，逐步提高直接税比重，推动形成税法统一、税负公平、调节有度的税收制度体系。</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zh-CN" w:eastAsia="zh-CN" w:bidi="ar-SA"/>
        </w:rPr>
        <w:t>（3）防范化解地方政府债务风险。规范举债融资机制，构建“闭环”管理体系，严控法定限额内债务风险，着力防控隐性债务风险，牢牢守住不发生系统性风险的底线。</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en-US" w:eastAsia="zh-CN" w:bidi="ar-SA"/>
        </w:rPr>
        <w:t>18.</w:t>
      </w:r>
      <w:r>
        <w:rPr>
          <w:rFonts w:hint="default" w:ascii="Times New Roman" w:hAnsi="Times New Roman" w:eastAsia="仿宋" w:cs="Times New Roman"/>
          <w:color w:val="auto"/>
          <w:kern w:val="2"/>
          <w:sz w:val="32"/>
          <w:szCs w:val="32"/>
          <w:highlight w:val="none"/>
          <w:lang w:val="zh-CN" w:eastAsia="zh-CN" w:bidi="ar-SA"/>
        </w:rPr>
        <w:t>有关职责分工。</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zh-CN" w:eastAsia="zh-CN" w:bidi="ar-SA"/>
        </w:rPr>
        <w:t>（1）税政管理职责分工。区财政局提出税收政策建议，与区税务局共同上报和下发，参与提出关税政策建议。</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zh-CN" w:eastAsia="zh-CN" w:bidi="ar-SA"/>
        </w:rPr>
        <w:t>（2）非税收入管理职责分工。区财政局贯彻落实非税收入国库集中收缴制度，负责非税收入账户、收缴方式、退付退库等管理。区税务局等部门按照非税收入国库集中收缴等有关规定，负责做好非税收入申报征收、会统核算、缴费检查、欠费追缴和违法处罚等工作，有关非税收入项目收缴信息与区财政局及时共享。</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zh-CN" w:eastAsia="zh-CN" w:bidi="ar-SA"/>
        </w:rPr>
        <w:t>（3）区级行政事业单位国有资产管理职责分工。区财政局负责制定行政事业单位国有资产管理制度，并负责组织实施和监督检查。会同区机关事务管理局负责区级行政事业单位国有资产管理。区机关事务管理局负责制定区级行政事业单位国有资产管理具体制度和办法并组织实施，承担产权界定、清查登记、资产处置等工作，接受区财政局的指导和监督检查。区级行政事业单位具体承担所属事业单位及派出机构的国有资产管理工作。</w:t>
      </w:r>
    </w:p>
    <w:p>
      <w:pPr>
        <w:pageBreakBefore w:val="0"/>
        <w:kinsoku/>
        <w:wordWrap/>
        <w:overflowPunct/>
        <w:topLinePunct w:val="0"/>
        <w:autoSpaceDE w:val="0"/>
        <w:autoSpaceDN w:val="0"/>
        <w:bidi w:val="0"/>
        <w:adjustRightInd w:val="0"/>
        <w:spacing w:line="560" w:lineRule="exact"/>
        <w:ind w:left="199" w:leftChars="95" w:firstLine="640" w:firstLineChars="200"/>
        <w:jc w:val="left"/>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zh-CN" w:eastAsia="zh-CN" w:bidi="ar-SA"/>
        </w:rPr>
        <w:t>（4）各类投资基金管理职责分工。区财政局负责地方国有金融资本管理工作。会同区发改局及区级行业部门负责财政性资金出资发起设立或参股设立的股权投资基金管理。参与指导各类投资基金规范发展。区发改局负责指导相关部门推动政府出资产业投资基金行业信用体系建设，配合有关部门贯彻执行促进私募股权基金发展的政策措施</w:t>
      </w:r>
      <w:r>
        <w:rPr>
          <w:rFonts w:hint="default" w:ascii="Times New Roman" w:hAnsi="Times New Roman" w:eastAsia="仿宋" w:cs="Times New Roman"/>
          <w:color w:val="auto"/>
          <w:kern w:val="2"/>
          <w:sz w:val="32"/>
          <w:szCs w:val="32"/>
          <w:highlight w:val="none"/>
          <w:lang w:val="en-US" w:eastAsia="zh-CN" w:bidi="ar-SA"/>
        </w:rPr>
        <w:t>。</w:t>
      </w:r>
    </w:p>
    <w:p>
      <w:pPr>
        <w:pStyle w:val="6"/>
        <w:pageBreakBefore w:val="0"/>
        <w:suppressAutoHyphens/>
        <w:kinsoku/>
        <w:wordWrap/>
        <w:overflowPunct/>
        <w:topLinePunct w:val="0"/>
        <w:bidi w:val="0"/>
        <w:rPr>
          <w:rFonts w:hint="default" w:ascii="Times New Roman" w:hAnsi="Times New Roman" w:eastAsia="黑体" w:cs="Times New Roman"/>
          <w:b w:val="0"/>
          <w:color w:val="auto"/>
          <w:highlight w:val="none"/>
        </w:rPr>
      </w:pPr>
      <w:r>
        <w:rPr>
          <w:rFonts w:hint="default" w:ascii="Times New Roman" w:hAnsi="Times New Roman" w:eastAsia="黑体" w:cs="Times New Roman"/>
          <w:b w:val="0"/>
          <w:color w:val="auto"/>
          <w:highlight w:val="none"/>
        </w:rPr>
        <w:t>二、机构设置</w:t>
      </w:r>
      <w:bookmarkEnd w:id="18"/>
      <w:bookmarkEnd w:id="19"/>
    </w:p>
    <w:p>
      <w:pPr>
        <w:pageBreakBefore w:val="0"/>
        <w:widowControl/>
        <w:kinsoku/>
        <w:wordWrap/>
        <w:overflowPunct/>
        <w:topLinePunct w:val="0"/>
        <w:bidi w:val="0"/>
        <w:spacing w:line="560" w:lineRule="exact"/>
        <w:ind w:firstLine="640" w:firstLineChars="200"/>
        <w:jc w:val="left"/>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攀枝花市仁和区财政局属于一级预算单位,下设9个科室，1个驻局纪检监察组，独立编制的2个参照公务员法管理的事业单位和1个其他事业单位。仁和区财政局财务统一核算管理，无单独核算的二级预算单位。</w:t>
      </w:r>
    </w:p>
    <w:p>
      <w:pPr>
        <w:pStyle w:val="5"/>
        <w:pageBreakBefore w:val="0"/>
        <w:suppressAutoHyphens/>
        <w:kinsoku/>
        <w:wordWrap/>
        <w:overflowPunct/>
        <w:topLinePunct w:val="0"/>
        <w:bidi w:val="0"/>
        <w:ind w:right="440"/>
        <w:jc w:val="center"/>
        <w:rPr>
          <w:rFonts w:hint="default" w:ascii="Times New Roman" w:hAnsi="Times New Roman" w:eastAsia="黑体" w:cs="Times New Roman"/>
          <w:b w:val="0"/>
          <w:bCs/>
          <w:color w:val="auto"/>
          <w:highlight w:val="none"/>
        </w:rPr>
      </w:pPr>
      <w:bookmarkStart w:id="20" w:name="_Toc15377204"/>
      <w:bookmarkStart w:id="21" w:name="_Toc15396602"/>
      <w:r>
        <w:rPr>
          <w:rFonts w:hint="default" w:ascii="Times New Roman" w:hAnsi="Times New Roman" w:eastAsia="黑体" w:cs="Times New Roman"/>
          <w:b w:val="0"/>
          <w:bCs/>
          <w:color w:val="auto"/>
          <w:highlight w:val="none"/>
        </w:rPr>
        <w:t>第二部分2023年度部门决算情况说明</w:t>
      </w:r>
      <w:bookmarkEnd w:id="20"/>
      <w:bookmarkEnd w:id="21"/>
    </w:p>
    <w:p>
      <w:pPr>
        <w:pStyle w:val="28"/>
        <w:pageBreakBefore w:val="0"/>
        <w:numPr>
          <w:ilvl w:val="0"/>
          <w:numId w:val="1"/>
        </w:numPr>
        <w:suppressAutoHyphens/>
        <w:kinsoku/>
        <w:wordWrap/>
        <w:overflowPunct/>
        <w:topLinePunct w:val="0"/>
        <w:bidi w:val="0"/>
        <w:spacing w:line="600" w:lineRule="exact"/>
        <w:ind w:firstLineChars="0"/>
        <w:outlineLvl w:val="1"/>
        <w:rPr>
          <w:rFonts w:hint="default" w:ascii="Times New Roman" w:hAnsi="Times New Roman" w:eastAsia="黑体" w:cs="Times New Roman"/>
          <w:color w:val="auto"/>
          <w:sz w:val="32"/>
          <w:szCs w:val="32"/>
          <w:highlight w:val="none"/>
          <w:lang w:val="zh-CN"/>
        </w:rPr>
      </w:pPr>
      <w:bookmarkStart w:id="22" w:name="_Toc15396603"/>
      <w:bookmarkStart w:id="23" w:name="_Toc15377205"/>
      <w:r>
        <w:rPr>
          <w:rFonts w:hint="default" w:ascii="Times New Roman" w:hAnsi="Times New Roman" w:eastAsia="黑体" w:cs="Times New Roman"/>
          <w:color w:val="auto"/>
          <w:sz w:val="32"/>
          <w:szCs w:val="32"/>
          <w:highlight w:val="none"/>
        </w:rPr>
        <w:t>收入支出决算总体情况说明</w:t>
      </w:r>
      <w:bookmarkEnd w:id="22"/>
      <w:bookmarkEnd w:id="23"/>
    </w:p>
    <w:p>
      <w:pPr>
        <w:pageBreakBefore w:val="0"/>
        <w:suppressAutoHyphens/>
        <w:kinsoku/>
        <w:wordWrap/>
        <w:overflowPunct/>
        <w:topLinePunct w:val="0"/>
        <w:bidi w:val="0"/>
        <w:spacing w:line="600" w:lineRule="exact"/>
        <w:ind w:firstLine="640" w:firstLineChars="200"/>
        <w:rPr>
          <w:rFonts w:hint="default" w:ascii="Times New Roman" w:hAnsi="Times New Roman" w:eastAsia="仿宋" w:cs="Times New Roman"/>
          <w:color w:val="auto"/>
          <w:sz w:val="32"/>
          <w:szCs w:val="32"/>
          <w:highlight w:val="none"/>
          <w:lang w:val="zh-CN" w:eastAsia="zh-CN"/>
        </w:rPr>
      </w:pPr>
      <w:r>
        <w:rPr>
          <w:rFonts w:hint="default" w:ascii="Times New Roman" w:hAnsi="Times New Roman" w:eastAsia="仿宋" w:cs="Times New Roman"/>
          <w:color w:val="auto"/>
          <w:sz w:val="32"/>
          <w:szCs w:val="32"/>
          <w:highlight w:val="none"/>
          <w:lang w:val="zh-CN" w:eastAsia="zh-CN"/>
        </w:rPr>
        <w:t>2023年度收、支总计1334.47万元。与2022年相比，收、支总计各减少427.90万元，下降24.28%。</w:t>
      </w:r>
      <w:r>
        <w:rPr>
          <w:rFonts w:hint="default" w:ascii="Times New Roman" w:hAnsi="Times New Roman" w:eastAsia="仿宋" w:cs="Times New Roman"/>
          <w:color w:val="auto"/>
          <w:sz w:val="32"/>
          <w:szCs w:val="32"/>
          <w:highlight w:val="none"/>
          <w:lang w:eastAsia="zh-CN"/>
        </w:rPr>
        <w:t>主要变动原因是人员经费政策调整及实施项目资金跨年度支付，导致支出减少。</w:t>
      </w: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 w:cs="Times New Roman"/>
          <w:color w:val="000000" w:themeColor="text1"/>
          <w:sz w:val="32"/>
          <w:szCs w:val="32"/>
        </w:rPr>
        <w:t>（图1：收、支决算总计变动情况图）</w:t>
      </w: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 w:cs="Times New Roman"/>
          <w:color w:val="000000" w:themeColor="text1"/>
          <w:sz w:val="32"/>
          <w:szCs w:val="32"/>
        </w:rPr>
        <w:drawing>
          <wp:anchor distT="0" distB="0" distL="114300" distR="114300" simplePos="0" relativeHeight="251661312" behindDoc="0" locked="0" layoutInCell="1" allowOverlap="1">
            <wp:simplePos x="0" y="0"/>
            <wp:positionH relativeFrom="column">
              <wp:posOffset>409575</wp:posOffset>
            </wp:positionH>
            <wp:positionV relativeFrom="paragraph">
              <wp:posOffset>52070</wp:posOffset>
            </wp:positionV>
            <wp:extent cx="5278755" cy="2763520"/>
            <wp:effectExtent l="4445" t="4445" r="12700" b="13335"/>
            <wp:wrapNone/>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rPr>
      </w:pP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rPr>
      </w:pP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rPr>
      </w:pP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rPr>
      </w:pP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rPr>
      </w:pP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rPr>
      </w:pPr>
    </w:p>
    <w:p>
      <w:pPr>
        <w:pageBreakBefore w:val="0"/>
        <w:kinsoku/>
        <w:wordWrap/>
        <w:overflowPunct/>
        <w:topLinePunct w:val="0"/>
        <w:bidi w:val="0"/>
        <w:spacing w:line="56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drawing>
          <wp:anchor distT="0" distB="0" distL="114300" distR="114300" simplePos="0" relativeHeight="251659264" behindDoc="0" locked="0" layoutInCell="1" allowOverlap="1">
            <wp:simplePos x="0" y="0"/>
            <wp:positionH relativeFrom="column">
              <wp:posOffset>7467600</wp:posOffset>
            </wp:positionH>
            <wp:positionV relativeFrom="paragraph">
              <wp:posOffset>323850</wp:posOffset>
            </wp:positionV>
            <wp:extent cx="5080000" cy="3810000"/>
            <wp:effectExtent l="19050" t="0" r="25400" b="0"/>
            <wp:wrapNone/>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8"/>
        <w:pageBreakBefore w:val="0"/>
        <w:numPr>
          <w:ilvl w:val="0"/>
          <w:numId w:val="1"/>
        </w:numPr>
        <w:kinsoku/>
        <w:wordWrap/>
        <w:overflowPunct/>
        <w:topLinePunct w:val="0"/>
        <w:bidi w:val="0"/>
        <w:spacing w:line="560" w:lineRule="exact"/>
        <w:ind w:firstLineChars="0"/>
        <w:outlineLvl w:val="1"/>
        <w:rPr>
          <w:rStyle w:val="30"/>
          <w:rFonts w:hint="default" w:ascii="Times New Roman" w:hAnsi="Times New Roman" w:eastAsia="黑体" w:cs="Times New Roman"/>
          <w:b w:val="0"/>
        </w:rPr>
      </w:pPr>
      <w:bookmarkStart w:id="24" w:name="_Toc15396604"/>
      <w:bookmarkStart w:id="25" w:name="_Toc15377206"/>
      <w:r>
        <w:rPr>
          <w:rFonts w:hint="default" w:ascii="Times New Roman" w:hAnsi="Times New Roman" w:eastAsia="黑体" w:cs="Times New Roman"/>
          <w:color w:val="000000"/>
          <w:sz w:val="32"/>
          <w:szCs w:val="32"/>
        </w:rPr>
        <w:t>收</w:t>
      </w:r>
      <w:r>
        <w:rPr>
          <w:rStyle w:val="30"/>
          <w:rFonts w:hint="default" w:ascii="Times New Roman" w:hAnsi="Times New Roman" w:eastAsia="黑体" w:cs="Times New Roman"/>
          <w:b w:val="0"/>
        </w:rPr>
        <w:t>入决算情况说明</w:t>
      </w:r>
      <w:bookmarkEnd w:id="24"/>
      <w:bookmarkEnd w:id="25"/>
    </w:p>
    <w:p>
      <w:pPr>
        <w:pageBreakBefore w:val="0"/>
        <w:suppressAutoHyphens/>
        <w:kinsoku/>
        <w:wordWrap/>
        <w:overflowPunct/>
        <w:topLinePunct w:val="0"/>
        <w:bidi w:val="0"/>
        <w:spacing w:line="600" w:lineRule="exact"/>
        <w:ind w:firstLine="640" w:firstLineChars="200"/>
        <w:outlineLvl w:val="1"/>
        <w:rPr>
          <w:rFonts w:hint="default" w:ascii="Times New Roman" w:hAnsi="Times New Roman" w:eastAsia="仿宋" w:cs="Times New Roman"/>
          <w:color w:val="auto"/>
          <w:sz w:val="32"/>
          <w:szCs w:val="32"/>
          <w:highlight w:val="none"/>
          <w:lang w:val="zh-CN"/>
        </w:rPr>
      </w:pPr>
      <w:r>
        <w:rPr>
          <w:rFonts w:hint="default" w:ascii="Times New Roman" w:hAnsi="Times New Roman" w:eastAsia="仿宋" w:cs="Times New Roman"/>
          <w:color w:val="auto"/>
          <w:sz w:val="32"/>
          <w:szCs w:val="32"/>
          <w:highlight w:val="none"/>
          <w:lang w:val="zh-CN"/>
        </w:rPr>
        <w:t>2023年本年收入合计1334.16万元，其中：一般公共预算财政拨款收入1334.16万元，占100%。</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 w:cs="Times New Roman"/>
          <w:color w:val="000000" w:themeColor="text1"/>
          <w:sz w:val="32"/>
          <w:szCs w:val="32"/>
        </w:rPr>
        <w:t>（图2：收入决算结构图）</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rPr>
        <w:drawing>
          <wp:anchor distT="0" distB="0" distL="114300" distR="114300" simplePos="0" relativeHeight="251660288" behindDoc="0" locked="0" layoutInCell="1" allowOverlap="1">
            <wp:simplePos x="0" y="0"/>
            <wp:positionH relativeFrom="column">
              <wp:posOffset>209550</wp:posOffset>
            </wp:positionH>
            <wp:positionV relativeFrom="paragraph">
              <wp:posOffset>116205</wp:posOffset>
            </wp:positionV>
            <wp:extent cx="4564380" cy="2000885"/>
            <wp:effectExtent l="4445" t="4445" r="22225" b="13970"/>
            <wp:wrapNone/>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FF0000"/>
          <w:sz w:val="32"/>
          <w:szCs w:val="32"/>
        </w:rPr>
      </w:pP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FF0000"/>
          <w:sz w:val="32"/>
          <w:szCs w:val="32"/>
        </w:rPr>
      </w:pP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FF0000"/>
          <w:sz w:val="32"/>
          <w:szCs w:val="32"/>
        </w:rPr>
      </w:pP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FF0000"/>
          <w:sz w:val="32"/>
          <w:szCs w:val="32"/>
        </w:rPr>
      </w:pP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FF0000"/>
          <w:sz w:val="32"/>
          <w:szCs w:val="32"/>
        </w:rPr>
      </w:pPr>
    </w:p>
    <w:p>
      <w:pPr>
        <w:pageBreakBefore w:val="0"/>
        <w:numPr>
          <w:ilvl w:val="0"/>
          <w:numId w:val="1"/>
        </w:numPr>
        <w:kinsoku/>
        <w:wordWrap/>
        <w:overflowPunct/>
        <w:topLinePunct w:val="0"/>
        <w:bidi w:val="0"/>
        <w:spacing w:line="560" w:lineRule="exact"/>
        <w:outlineLvl w:val="1"/>
        <w:rPr>
          <w:rStyle w:val="30"/>
          <w:rFonts w:hint="default" w:ascii="Times New Roman" w:hAnsi="Times New Roman" w:eastAsia="黑体" w:cs="Times New Roman"/>
          <w:b w:val="0"/>
        </w:rPr>
      </w:pPr>
      <w:r>
        <w:rPr>
          <w:rFonts w:hint="default" w:ascii="Times New Roman" w:hAnsi="Times New Roman" w:eastAsia="黑体" w:cs="Times New Roman"/>
          <w:color w:val="000000"/>
          <w:sz w:val="32"/>
          <w:szCs w:val="32"/>
        </w:rPr>
        <w:t>支</w:t>
      </w:r>
      <w:r>
        <w:rPr>
          <w:rStyle w:val="30"/>
          <w:rFonts w:hint="default" w:ascii="Times New Roman" w:hAnsi="Times New Roman" w:eastAsia="黑体" w:cs="Times New Roman"/>
          <w:b w:val="0"/>
        </w:rPr>
        <w:t>出决算情况说明</w:t>
      </w:r>
    </w:p>
    <w:p>
      <w:pPr>
        <w:keepNext/>
        <w:keepLines/>
        <w:pageBreakBefore w:val="0"/>
        <w:kinsoku/>
        <w:wordWrap/>
        <w:overflowPunct/>
        <w:topLinePunct w:val="0"/>
        <w:bidi w:val="0"/>
        <w:spacing w:line="560" w:lineRule="exact"/>
        <w:ind w:firstLine="64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2023年本年支出合计1334.47万元，其中：基本支出1047.31万元，占78.48%；项目支出287.16万元，占21.52%；。</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 w:cs="Times New Roman"/>
          <w:color w:val="000000" w:themeColor="text1"/>
          <w:sz w:val="32"/>
          <w:szCs w:val="32"/>
        </w:rPr>
        <w:t>（图3：支出决算结构图）</w:t>
      </w:r>
    </w:p>
    <w:p>
      <w:pPr>
        <w:pageBreakBefore w:val="0"/>
        <w:kinsoku/>
        <w:wordWrap/>
        <w:overflowPunct/>
        <w:topLinePunct w:val="0"/>
        <w:bidi w:val="0"/>
        <w:spacing w:line="560" w:lineRule="exact"/>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rPr>
        <w:drawing>
          <wp:anchor distT="0" distB="0" distL="114300" distR="114300" simplePos="0" relativeHeight="251662336" behindDoc="0" locked="0" layoutInCell="1" allowOverlap="1">
            <wp:simplePos x="0" y="0"/>
            <wp:positionH relativeFrom="column">
              <wp:posOffset>400050</wp:posOffset>
            </wp:positionH>
            <wp:positionV relativeFrom="paragraph">
              <wp:posOffset>125730</wp:posOffset>
            </wp:positionV>
            <wp:extent cx="4686935" cy="2034540"/>
            <wp:effectExtent l="4445" t="5080" r="13970" b="17780"/>
            <wp:wrapNone/>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FF0000"/>
          <w:sz w:val="32"/>
          <w:szCs w:val="32"/>
        </w:rPr>
      </w:pP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FF0000"/>
          <w:sz w:val="32"/>
          <w:szCs w:val="32"/>
        </w:rPr>
      </w:pP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FF0000"/>
          <w:sz w:val="32"/>
          <w:szCs w:val="32"/>
        </w:rPr>
      </w:pP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FF0000"/>
          <w:sz w:val="32"/>
          <w:szCs w:val="32"/>
        </w:rPr>
      </w:pPr>
    </w:p>
    <w:p>
      <w:pPr>
        <w:pageBreakBefore w:val="0"/>
        <w:kinsoku/>
        <w:wordWrap/>
        <w:overflowPunct/>
        <w:topLinePunct w:val="0"/>
        <w:bidi w:val="0"/>
        <w:spacing w:line="560" w:lineRule="exact"/>
        <w:rPr>
          <w:rFonts w:hint="default" w:ascii="Times New Roman" w:hAnsi="Times New Roman" w:eastAsia="仿宋_GB2312" w:cs="Times New Roman"/>
          <w:color w:val="FF0000"/>
          <w:sz w:val="32"/>
          <w:szCs w:val="32"/>
        </w:rPr>
      </w:pPr>
    </w:p>
    <w:p>
      <w:pPr>
        <w:pageBreakBefore w:val="0"/>
        <w:kinsoku/>
        <w:wordWrap/>
        <w:overflowPunct/>
        <w:topLinePunct w:val="0"/>
        <w:bidi w:val="0"/>
        <w:spacing w:line="560" w:lineRule="exact"/>
        <w:ind w:firstLine="640" w:firstLineChars="200"/>
        <w:outlineLvl w:val="1"/>
        <w:rPr>
          <w:rStyle w:val="30"/>
          <w:rFonts w:hint="default" w:ascii="Times New Roman" w:hAnsi="Times New Roman" w:eastAsia="黑体" w:cs="Times New Roman"/>
          <w:b w:val="0"/>
        </w:rPr>
      </w:pPr>
      <w:bookmarkStart w:id="26" w:name="_Toc15377208"/>
      <w:bookmarkStart w:id="27" w:name="_Toc15396606"/>
      <w:r>
        <w:rPr>
          <w:rFonts w:hint="default" w:ascii="Times New Roman" w:hAnsi="Times New Roman" w:eastAsia="黑体" w:cs="Times New Roman"/>
          <w:color w:val="000000"/>
          <w:sz w:val="32"/>
          <w:szCs w:val="32"/>
        </w:rPr>
        <w:t>四、财</w:t>
      </w:r>
      <w:r>
        <w:rPr>
          <w:rStyle w:val="30"/>
          <w:rFonts w:hint="default" w:ascii="Times New Roman" w:hAnsi="Times New Roman" w:eastAsia="黑体" w:cs="Times New Roman"/>
          <w:b w:val="0"/>
        </w:rPr>
        <w:t>政拨款收入支出决算总体情况说明</w:t>
      </w:r>
      <w:bookmarkEnd w:id="26"/>
      <w:bookmarkEnd w:id="27"/>
    </w:p>
    <w:p>
      <w:pPr>
        <w:pageBreakBefore w:val="0"/>
        <w:kinsoku/>
        <w:wordWrap/>
        <w:overflowPunct/>
        <w:topLinePunct w:val="0"/>
        <w:bidi w:val="0"/>
        <w:spacing w:line="560" w:lineRule="exact"/>
        <w:ind w:firstLine="709"/>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2023年财政拨款收、支总计1334.16万元。与2022年相比，财政拨款收、支总计各减少426.90万元，增长24.24%。</w:t>
      </w:r>
      <w:r>
        <w:rPr>
          <w:rFonts w:hint="default" w:ascii="Times New Roman" w:hAnsi="Times New Roman" w:eastAsia="仿宋" w:cs="Times New Roman"/>
          <w:sz w:val="32"/>
          <w:szCs w:val="32"/>
        </w:rPr>
        <w:t>主要变动原因是</w:t>
      </w:r>
      <w:r>
        <w:rPr>
          <w:rFonts w:hint="default" w:ascii="Times New Roman" w:hAnsi="Times New Roman" w:eastAsia="仿宋_GB2312" w:cs="Times New Roman"/>
          <w:color w:val="000000"/>
          <w:sz w:val="32"/>
          <w:szCs w:val="32"/>
        </w:rPr>
        <w:t>人员经费政策调整及实施项目资金跨年度支付，导致支出减少.</w:t>
      </w:r>
    </w:p>
    <w:p>
      <w:pPr>
        <w:pageBreakBefore w:val="0"/>
        <w:kinsoku/>
        <w:wordWrap/>
        <w:overflowPunct/>
        <w:topLinePunct w:val="0"/>
        <w:bidi w:val="0"/>
        <w:spacing w:line="560" w:lineRule="exact"/>
        <w:ind w:firstLine="480" w:firstLineChars="150"/>
        <w:rPr>
          <w:rFonts w:hint="default" w:ascii="Times New Roman" w:hAnsi="Times New Roman" w:eastAsia="仿宋" w:cs="Times New Roman"/>
          <w:b/>
          <w:color w:val="00B050"/>
          <w:sz w:val="32"/>
          <w:szCs w:val="32"/>
        </w:rPr>
      </w:pPr>
      <w:r>
        <w:rPr>
          <w:rFonts w:hint="default" w:ascii="Times New Roman" w:hAnsi="Times New Roman" w:eastAsia="仿宋" w:cs="Times New Roman"/>
          <w:color w:val="000000" w:themeColor="text1"/>
          <w:sz w:val="32"/>
          <w:szCs w:val="32"/>
        </w:rPr>
        <w:t>（图4：财政拨款收、支决算总计变动情况）</w:t>
      </w:r>
    </w:p>
    <w:p>
      <w:pPr>
        <w:pageBreakBefore w:val="0"/>
        <w:kinsoku/>
        <w:wordWrap/>
        <w:overflowPunct/>
        <w:topLinePunct w:val="0"/>
        <w:bidi w:val="0"/>
        <w:spacing w:line="560" w:lineRule="exact"/>
        <w:ind w:firstLine="640"/>
        <w:rPr>
          <w:rFonts w:hint="default" w:ascii="Times New Roman" w:hAnsi="Times New Roman" w:eastAsia="仿宋" w:cs="Times New Roman"/>
          <w:b/>
          <w:color w:val="00B050"/>
          <w:sz w:val="32"/>
          <w:szCs w:val="32"/>
        </w:rPr>
      </w:pPr>
      <w:r>
        <w:rPr>
          <w:rFonts w:hint="default" w:ascii="Times New Roman" w:hAnsi="Times New Roman" w:eastAsia="仿宋" w:cs="Times New Roman"/>
          <w:b/>
          <w:color w:val="00B050"/>
          <w:sz w:val="32"/>
          <w:szCs w:val="32"/>
        </w:rPr>
        <w:drawing>
          <wp:anchor distT="0" distB="0" distL="114300" distR="114300" simplePos="0" relativeHeight="251663360" behindDoc="0" locked="0" layoutInCell="1" allowOverlap="1">
            <wp:simplePos x="0" y="0"/>
            <wp:positionH relativeFrom="column">
              <wp:posOffset>396240</wp:posOffset>
            </wp:positionH>
            <wp:positionV relativeFrom="paragraph">
              <wp:posOffset>13970</wp:posOffset>
            </wp:positionV>
            <wp:extent cx="4932680" cy="2545080"/>
            <wp:effectExtent l="19050" t="0" r="20320" b="7620"/>
            <wp:wrapNone/>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ageBreakBefore w:val="0"/>
        <w:kinsoku/>
        <w:wordWrap/>
        <w:overflowPunct/>
        <w:topLinePunct w:val="0"/>
        <w:bidi w:val="0"/>
        <w:spacing w:line="560" w:lineRule="exact"/>
        <w:ind w:firstLine="640"/>
        <w:rPr>
          <w:rFonts w:hint="default" w:ascii="Times New Roman" w:hAnsi="Times New Roman" w:eastAsia="仿宋" w:cs="Times New Roman"/>
          <w:b/>
          <w:color w:val="00B05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b/>
          <w:color w:val="00B05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b/>
          <w:color w:val="00B05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b/>
          <w:color w:val="00B05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b/>
          <w:color w:val="00B050"/>
          <w:sz w:val="32"/>
          <w:szCs w:val="32"/>
        </w:rPr>
      </w:pPr>
    </w:p>
    <w:p>
      <w:pPr>
        <w:pageBreakBefore w:val="0"/>
        <w:kinsoku/>
        <w:wordWrap/>
        <w:overflowPunct/>
        <w:topLinePunct w:val="0"/>
        <w:bidi w:val="0"/>
        <w:spacing w:line="560" w:lineRule="exact"/>
        <w:ind w:firstLine="640" w:firstLineChars="200"/>
        <w:outlineLvl w:val="1"/>
        <w:rPr>
          <w:rFonts w:hint="default" w:ascii="Times New Roman" w:hAnsi="Times New Roman" w:eastAsia="黑体" w:cs="Times New Roman"/>
          <w:color w:val="000000"/>
          <w:sz w:val="32"/>
          <w:szCs w:val="32"/>
        </w:rPr>
      </w:pPr>
      <w:bookmarkStart w:id="28" w:name="_Toc15377210"/>
    </w:p>
    <w:bookmarkEnd w:id="28"/>
    <w:p>
      <w:pPr>
        <w:pageBreakBefore w:val="0"/>
        <w:kinsoku/>
        <w:wordWrap/>
        <w:overflowPunct/>
        <w:topLinePunct w:val="0"/>
        <w:bidi w:val="0"/>
        <w:spacing w:line="560" w:lineRule="exact"/>
        <w:rPr>
          <w:rFonts w:hint="default" w:ascii="Times New Roman" w:hAnsi="Times New Roman" w:eastAsia="仿宋_GB2312" w:cs="Times New Roman"/>
          <w:b/>
          <w:color w:val="000000"/>
          <w:sz w:val="32"/>
          <w:lang w:val="zh-CN"/>
        </w:rPr>
      </w:pPr>
    </w:p>
    <w:p>
      <w:pPr>
        <w:pageBreakBefore w:val="0"/>
        <w:kinsoku/>
        <w:wordWrap/>
        <w:overflowPunct/>
        <w:topLinePunct w:val="0"/>
        <w:bidi w:val="0"/>
        <w:spacing w:line="600" w:lineRule="exact"/>
        <w:ind w:firstLine="640" w:firstLineChars="200"/>
        <w:outlineLvl w:val="1"/>
        <w:rPr>
          <w:rFonts w:hint="default" w:ascii="Times New Roman" w:hAnsi="Times New Roman" w:cs="Times New Roman"/>
          <w:lang w:val="zh-CN"/>
        </w:rPr>
      </w:pPr>
      <w:bookmarkStart w:id="29" w:name="_Toc15396607"/>
      <w:bookmarkStart w:id="30" w:name="_Toc15377209"/>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7"/>
          <w:rFonts w:hint="default" w:ascii="Times New Roman" w:hAnsi="Times New Roman" w:eastAsia="黑体" w:cs="Times New Roman"/>
          <w:b w:val="0"/>
        </w:rPr>
        <w:t>般公共预算财政拨款支出决算情况说明</w:t>
      </w:r>
      <w:bookmarkEnd w:id="29"/>
      <w:bookmarkEnd w:id="30"/>
    </w:p>
    <w:p>
      <w:pPr>
        <w:pageBreakBefore w:val="0"/>
        <w:kinsoku/>
        <w:wordWrap/>
        <w:overflowPunct/>
        <w:topLinePunct w:val="0"/>
        <w:bidi w:val="0"/>
        <w:spacing w:line="560" w:lineRule="exact"/>
        <w:ind w:firstLine="709"/>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b/>
          <w:color w:val="000000"/>
          <w:sz w:val="32"/>
          <w:lang w:val="zh-CN"/>
        </w:rPr>
        <w:t>（一）一般公共预算财政拨款支出决算总体情况。</w:t>
      </w:r>
    </w:p>
    <w:p>
      <w:pPr>
        <w:pageBreakBefore w:val="0"/>
        <w:kinsoku/>
        <w:wordWrap/>
        <w:overflowPunct/>
        <w:topLinePunct w:val="0"/>
        <w:bidi w:val="0"/>
        <w:spacing w:line="560" w:lineRule="exact"/>
        <w:ind w:firstLine="70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lang w:val="zh-CN"/>
        </w:rPr>
        <w:t>2023年一般公共预算财政拨款支出1334.16万元，占本年支出合计的100%。与2022年相比，一般公共预算财政拨款支出减少207.35万元，减少13.45%。</w:t>
      </w:r>
      <w:r>
        <w:rPr>
          <w:rFonts w:hint="default" w:ascii="Times New Roman" w:hAnsi="Times New Roman" w:eastAsia="仿宋" w:cs="Times New Roman"/>
          <w:sz w:val="32"/>
          <w:szCs w:val="32"/>
        </w:rPr>
        <w:t>主要变动原因是</w:t>
      </w:r>
      <w:r>
        <w:rPr>
          <w:rFonts w:hint="default" w:ascii="Times New Roman" w:hAnsi="Times New Roman" w:eastAsia="仿宋_GB2312" w:cs="Times New Roman"/>
          <w:color w:val="000000"/>
          <w:sz w:val="32"/>
          <w:szCs w:val="32"/>
        </w:rPr>
        <w:t>人员经费政策调整及实施项目资金跨年度支付，导致支出减少。</w:t>
      </w:r>
    </w:p>
    <w:p>
      <w:pPr>
        <w:pageBreakBefore w:val="0"/>
        <w:kinsoku/>
        <w:wordWrap/>
        <w:overflowPunct/>
        <w:topLinePunct w:val="0"/>
        <w:bidi w:val="0"/>
        <w:spacing w:line="560" w:lineRule="exact"/>
        <w:ind w:firstLine="320" w:firstLineChars="100"/>
        <w:rPr>
          <w:rFonts w:hint="default" w:ascii="Times New Roman" w:hAnsi="Times New Roman" w:eastAsia="仿宋" w:cs="Times New Roman"/>
          <w:color w:val="000000" w:themeColor="text1"/>
          <w:sz w:val="32"/>
          <w:szCs w:val="32"/>
        </w:rPr>
      </w:pPr>
      <w:r>
        <w:rPr>
          <w:rFonts w:hint="default" w:ascii="Times New Roman" w:hAnsi="Times New Roman" w:eastAsia="仿宋" w:cs="Times New Roman"/>
          <w:color w:val="000000" w:themeColor="text1"/>
          <w:sz w:val="32"/>
          <w:szCs w:val="32"/>
        </w:rPr>
        <w:t>（图5：一般公共预算财政拨款支出决算变动情况）</w:t>
      </w:r>
    </w:p>
    <w:p>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drawing>
          <wp:anchor distT="0" distB="0" distL="114300" distR="114300" simplePos="0" relativeHeight="251664384" behindDoc="0" locked="0" layoutInCell="1" allowOverlap="1">
            <wp:simplePos x="0" y="0"/>
            <wp:positionH relativeFrom="column">
              <wp:posOffset>211455</wp:posOffset>
            </wp:positionH>
            <wp:positionV relativeFrom="paragraph">
              <wp:posOffset>233680</wp:posOffset>
            </wp:positionV>
            <wp:extent cx="5010150" cy="2277110"/>
            <wp:effectExtent l="4445" t="4445" r="14605" b="23495"/>
            <wp:wrapNone/>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sz w:val="32"/>
          <w:szCs w:val="32"/>
        </w:rPr>
      </w:pPr>
    </w:p>
    <w:p>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sz w:val="32"/>
          <w:szCs w:val="32"/>
        </w:rPr>
      </w:pPr>
    </w:p>
    <w:p>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sz w:val="32"/>
          <w:szCs w:val="32"/>
        </w:rPr>
      </w:pPr>
    </w:p>
    <w:p>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sz w:val="32"/>
          <w:szCs w:val="32"/>
        </w:rPr>
      </w:pPr>
    </w:p>
    <w:p>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sz w:val="32"/>
          <w:szCs w:val="32"/>
        </w:rPr>
      </w:pPr>
      <w:bookmarkStart w:id="31" w:name="_Toc15377211"/>
    </w:p>
    <w:p>
      <w:pPr>
        <w:pStyle w:val="9"/>
        <w:pageBreakBefore w:val="0"/>
        <w:kinsoku/>
        <w:wordWrap/>
        <w:overflowPunct/>
        <w:topLinePunct w:val="0"/>
        <w:bidi w:val="0"/>
        <w:rPr>
          <w:rFonts w:hint="default" w:ascii="Times New Roman" w:hAnsi="Times New Roman" w:cs="Times New Roman"/>
        </w:rPr>
      </w:pPr>
    </w:p>
    <w:p>
      <w:pPr>
        <w:pageBreakBefore w:val="0"/>
        <w:numPr>
          <w:ilvl w:val="0"/>
          <w:numId w:val="2"/>
        </w:numPr>
        <w:kinsoku/>
        <w:wordWrap/>
        <w:overflowPunct/>
        <w:topLinePunct w:val="0"/>
        <w:bidi w:val="0"/>
        <w:spacing w:line="560" w:lineRule="exact"/>
        <w:ind w:firstLine="469" w:firstLineChars="146"/>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一般公共预算财政拨款支出决算结构情况</w:t>
      </w:r>
      <w:bookmarkEnd w:id="31"/>
      <w:r>
        <w:rPr>
          <w:rFonts w:hint="default" w:ascii="Times New Roman" w:hAnsi="Times New Roman" w:eastAsia="仿宋" w:cs="Times New Roman"/>
          <w:b/>
          <w:color w:val="000000"/>
          <w:sz w:val="32"/>
          <w:szCs w:val="32"/>
          <w:lang w:val="en-US" w:eastAsia="zh-CN"/>
        </w:rPr>
        <w:t xml:space="preserve">  </w:t>
      </w:r>
    </w:p>
    <w:p>
      <w:pPr>
        <w:keepNext/>
        <w:keepLines/>
        <w:pageBreakBefore w:val="0"/>
        <w:kinsoku/>
        <w:wordWrap/>
        <w:overflowPunct/>
        <w:topLinePunct w:val="0"/>
        <w:bidi w:val="0"/>
        <w:spacing w:line="560" w:lineRule="exact"/>
        <w:ind w:firstLine="640"/>
        <w:rPr>
          <w:rFonts w:hint="default" w:ascii="Times New Roman" w:hAnsi="Times New Roman" w:eastAsia="仿宋" w:cs="Times New Roman"/>
          <w:b/>
          <w:color w:val="000000"/>
          <w:sz w:val="32"/>
          <w:szCs w:val="32"/>
        </w:rPr>
      </w:pPr>
      <w:r>
        <w:rPr>
          <w:rFonts w:hint="default" w:ascii="Times New Roman" w:hAnsi="Times New Roman" w:eastAsia="仿宋_GB2312" w:cs="Times New Roman"/>
          <w:color w:val="000000"/>
          <w:sz w:val="32"/>
          <w:lang w:val="zh-CN"/>
        </w:rPr>
        <w:t>2023年一般公共预算财政拨款支出1334.16万元，主要用于以下方面: 一般公共服务支出1015.80万元，占76.14%；社会保障和就业支出156.64万元，占11.74%；卫生健康支出55.23万元，占4.14%；农林水支出26.00万元，占1.95%；住房保障支出80.49万元，占6.03%。</w:t>
      </w:r>
    </w:p>
    <w:p>
      <w:pPr>
        <w:pageBreakBefore w:val="0"/>
        <w:kinsoku/>
        <w:wordWrap/>
        <w:overflowPunct/>
        <w:topLinePunct w:val="0"/>
        <w:bidi w:val="0"/>
        <w:spacing w:line="560" w:lineRule="exact"/>
        <w:ind w:firstLine="480" w:firstLineChars="150"/>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图6：一般公共预算财政拨款支出决算结构）</w:t>
      </w:r>
    </w:p>
    <w:p>
      <w:pPr>
        <w:pageBreakBefore w:val="0"/>
        <w:kinsoku/>
        <w:wordWrap/>
        <w:overflowPunct/>
        <w:topLinePunct w:val="0"/>
        <w:bidi w:val="0"/>
        <w:spacing w:line="560" w:lineRule="exact"/>
        <w:ind w:firstLine="480" w:firstLineChars="150"/>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drawing>
          <wp:anchor distT="0" distB="0" distL="0" distR="0" simplePos="0" relativeHeight="251665408" behindDoc="0" locked="0" layoutInCell="1" allowOverlap="1">
            <wp:simplePos x="0" y="0"/>
            <wp:positionH relativeFrom="column">
              <wp:posOffset>457200</wp:posOffset>
            </wp:positionH>
            <wp:positionV relativeFrom="paragraph">
              <wp:posOffset>34290</wp:posOffset>
            </wp:positionV>
            <wp:extent cx="4582160" cy="2086610"/>
            <wp:effectExtent l="19050" t="0" r="27940" b="8890"/>
            <wp:wrapNone/>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sz w:val="32"/>
          <w:szCs w:val="32"/>
        </w:rPr>
      </w:pPr>
    </w:p>
    <w:p>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sz w:val="32"/>
          <w:szCs w:val="32"/>
        </w:rPr>
      </w:pPr>
    </w:p>
    <w:p>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sz w:val="32"/>
          <w:szCs w:val="32"/>
        </w:rPr>
      </w:pPr>
    </w:p>
    <w:p>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sz w:val="32"/>
          <w:szCs w:val="32"/>
        </w:rPr>
      </w:pPr>
    </w:p>
    <w:p>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sz w:val="32"/>
          <w:szCs w:val="32"/>
        </w:rPr>
      </w:pPr>
    </w:p>
    <w:p>
      <w:pPr>
        <w:pageBreakBefore w:val="0"/>
        <w:numPr>
          <w:ilvl w:val="0"/>
          <w:numId w:val="2"/>
        </w:numPr>
        <w:kinsoku/>
        <w:wordWrap/>
        <w:overflowPunct/>
        <w:topLinePunct w:val="0"/>
        <w:bidi w:val="0"/>
        <w:spacing w:line="560" w:lineRule="exact"/>
        <w:ind w:firstLine="469" w:firstLineChars="146"/>
        <w:outlineLvl w:val="2"/>
        <w:rPr>
          <w:rFonts w:hint="default" w:ascii="Times New Roman" w:hAnsi="Times New Roman" w:eastAsia="仿宋" w:cs="Times New Roman"/>
          <w:b/>
          <w:color w:val="000000"/>
          <w:sz w:val="32"/>
          <w:szCs w:val="32"/>
        </w:rPr>
      </w:pPr>
      <w:bookmarkStart w:id="32" w:name="_Toc15377212"/>
      <w:r>
        <w:rPr>
          <w:rFonts w:hint="default" w:ascii="Times New Roman" w:hAnsi="Times New Roman" w:eastAsia="仿宋" w:cs="Times New Roman"/>
          <w:b/>
          <w:color w:val="000000"/>
          <w:sz w:val="32"/>
          <w:szCs w:val="32"/>
        </w:rPr>
        <w:t>一般公共预算财政拨款支出决算具体情况</w:t>
      </w:r>
      <w:bookmarkEnd w:id="32"/>
    </w:p>
    <w:p>
      <w:pPr>
        <w:keepNext/>
        <w:keepLines/>
        <w:pageBreakBefore w:val="0"/>
        <w:kinsoku/>
        <w:wordWrap/>
        <w:overflowPunct/>
        <w:topLinePunct w:val="0"/>
        <w:bidi w:val="0"/>
        <w:spacing w:line="560" w:lineRule="exact"/>
        <w:ind w:firstLine="643"/>
        <w:rPr>
          <w:rFonts w:hint="default" w:ascii="Times New Roman" w:hAnsi="Times New Roman" w:eastAsia="仿宋_GB2312" w:cs="Times New Roman"/>
          <w:b/>
          <w:color w:val="000000"/>
          <w:sz w:val="32"/>
          <w:lang w:val="zh-CN"/>
        </w:rPr>
      </w:pPr>
      <w:bookmarkStart w:id="33" w:name="_Toc15377213"/>
      <w:bookmarkStart w:id="34" w:name="_Toc15378460"/>
      <w:bookmarkStart w:id="35" w:name="_Toc15377444"/>
      <w:r>
        <w:rPr>
          <w:rFonts w:hint="default" w:ascii="Times New Roman" w:hAnsi="Times New Roman" w:eastAsia="仿宋_GB2312" w:cs="Times New Roman"/>
          <w:b/>
          <w:color w:val="000000"/>
          <w:sz w:val="32"/>
          <w:lang w:val="zh-CN"/>
        </w:rPr>
        <w:t>2023年一般公共预算支出决算数为1334.16万元</w:t>
      </w:r>
      <w:r>
        <w:rPr>
          <w:rFonts w:hint="default" w:ascii="Times New Roman" w:hAnsi="Times New Roman" w:eastAsia="仿宋_GB2312" w:cs="Times New Roman"/>
          <w:color w:val="000000"/>
          <w:sz w:val="32"/>
          <w:lang w:val="zh-CN"/>
        </w:rPr>
        <w:t>，</w:t>
      </w:r>
      <w:r>
        <w:rPr>
          <w:rFonts w:hint="default" w:ascii="Times New Roman" w:hAnsi="Times New Roman" w:eastAsia="仿宋_GB2312" w:cs="Times New Roman"/>
          <w:b/>
          <w:color w:val="000000"/>
          <w:sz w:val="32"/>
          <w:lang w:val="zh-CN"/>
        </w:rPr>
        <w:t>完成预算100%。其中：</w:t>
      </w:r>
    </w:p>
    <w:p>
      <w:pPr>
        <w:pageBreakBefore w:val="0"/>
        <w:kinsoku/>
        <w:wordWrap/>
        <w:overflowPunct/>
        <w:topLinePunct w:val="0"/>
        <w:bidi w:val="0"/>
        <w:spacing w:line="560" w:lineRule="exact"/>
        <w:ind w:firstLine="643" w:firstLineChars="200"/>
        <w:rPr>
          <w:rStyle w:val="19"/>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color w:val="000000"/>
          <w:sz w:val="32"/>
        </w:rPr>
        <w:t>1.</w:t>
      </w:r>
      <w:r>
        <w:rPr>
          <w:rStyle w:val="19"/>
          <w:rFonts w:hint="default" w:ascii="Times New Roman" w:hAnsi="Times New Roman" w:eastAsia="仿宋" w:cs="Times New Roman"/>
          <w:bCs/>
          <w:color w:val="000000"/>
          <w:sz w:val="32"/>
          <w:szCs w:val="32"/>
        </w:rPr>
        <w:t>一般公共服务（类）财政事务（款）行政运行（项）</w:t>
      </w:r>
      <w:r>
        <w:rPr>
          <w:rStyle w:val="19"/>
          <w:rFonts w:hint="default" w:ascii="Times New Roman" w:hAnsi="Times New Roman" w:eastAsia="仿宋" w:cs="Times New Roman"/>
          <w:b w:val="0"/>
          <w:bCs/>
          <w:color w:val="000000"/>
          <w:sz w:val="32"/>
          <w:szCs w:val="32"/>
        </w:rPr>
        <w:t>2010601</w:t>
      </w:r>
      <w:r>
        <w:rPr>
          <w:rStyle w:val="19"/>
          <w:rFonts w:hint="default" w:ascii="Times New Roman" w:hAnsi="Times New Roman" w:eastAsia="仿宋" w:cs="Times New Roman"/>
          <w:bCs/>
          <w:color w:val="000000"/>
          <w:sz w:val="32"/>
          <w:szCs w:val="32"/>
        </w:rPr>
        <w:t>:</w:t>
      </w:r>
      <w:r>
        <w:rPr>
          <w:rStyle w:val="19"/>
          <w:rFonts w:hint="default" w:ascii="Times New Roman" w:hAnsi="Times New Roman" w:eastAsia="仿宋" w:cs="Times New Roman"/>
          <w:b w:val="0"/>
          <w:bCs/>
          <w:color w:val="000000"/>
          <w:sz w:val="32"/>
          <w:szCs w:val="32"/>
        </w:rPr>
        <w:t>支出决算为510.17万元，完成调整预算100%。</w:t>
      </w:r>
    </w:p>
    <w:p>
      <w:pPr>
        <w:pageBreakBefore w:val="0"/>
        <w:kinsoku/>
        <w:wordWrap/>
        <w:overflowPunct/>
        <w:topLinePunct w:val="0"/>
        <w:bidi w:val="0"/>
        <w:spacing w:line="560" w:lineRule="exact"/>
        <w:ind w:firstLine="643" w:firstLineChars="200"/>
        <w:rPr>
          <w:rStyle w:val="19"/>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color w:val="000000"/>
          <w:sz w:val="32"/>
        </w:rPr>
        <w:t>2.一般公共服务（类）财政事务（款）一般行政管理事务（项）</w:t>
      </w:r>
      <w:r>
        <w:rPr>
          <w:rStyle w:val="19"/>
          <w:rFonts w:hint="default" w:ascii="Times New Roman" w:hAnsi="Times New Roman" w:eastAsia="仿宋" w:cs="Times New Roman"/>
          <w:b w:val="0"/>
          <w:bCs/>
          <w:color w:val="000000"/>
          <w:sz w:val="32"/>
          <w:szCs w:val="32"/>
        </w:rPr>
        <w:t>2010602:支出决算1.26万元，完成调整预算100%。</w:t>
      </w:r>
    </w:p>
    <w:p>
      <w:pPr>
        <w:pageBreakBefore w:val="0"/>
        <w:kinsoku/>
        <w:wordWrap/>
        <w:overflowPunct/>
        <w:topLinePunct w:val="0"/>
        <w:bidi w:val="0"/>
        <w:spacing w:line="560" w:lineRule="exact"/>
        <w:ind w:firstLine="643" w:firstLineChars="200"/>
        <w:rPr>
          <w:rFonts w:hint="default" w:ascii="Times New Roman" w:hAnsi="Times New Roman" w:eastAsia="仿宋" w:cs="Times New Roman"/>
          <w:bCs/>
          <w:color w:val="000000"/>
          <w:sz w:val="32"/>
          <w:szCs w:val="32"/>
        </w:rPr>
      </w:pPr>
      <w:r>
        <w:rPr>
          <w:rFonts w:hint="default" w:ascii="Times New Roman" w:hAnsi="Times New Roman" w:eastAsia="仿宋_GB2312" w:cs="Times New Roman"/>
          <w:b/>
          <w:color w:val="000000"/>
          <w:sz w:val="32"/>
        </w:rPr>
        <w:t>4.一般公共服务（类）财政事务（款）信息化建设（项）</w:t>
      </w:r>
      <w:r>
        <w:rPr>
          <w:rStyle w:val="19"/>
          <w:rFonts w:hint="default" w:ascii="Times New Roman" w:hAnsi="Times New Roman" w:eastAsia="仿宋" w:cs="Times New Roman"/>
          <w:b w:val="0"/>
          <w:bCs/>
          <w:color w:val="000000"/>
          <w:sz w:val="32"/>
          <w:szCs w:val="32"/>
        </w:rPr>
        <w:t>2010607:支出决算103.12万元，完成调整预算100%。</w:t>
      </w:r>
    </w:p>
    <w:p>
      <w:pPr>
        <w:pageBreakBefore w:val="0"/>
        <w:kinsoku/>
        <w:wordWrap/>
        <w:overflowPunct/>
        <w:topLinePunct w:val="0"/>
        <w:bidi w:val="0"/>
        <w:spacing w:line="560" w:lineRule="exact"/>
        <w:ind w:firstLine="643" w:firstLineChars="200"/>
        <w:rPr>
          <w:rStyle w:val="19"/>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color w:val="000000"/>
          <w:sz w:val="32"/>
        </w:rPr>
        <w:t>4.一般公共服务（类）财政事务（款）财政委托业务支出（项）</w:t>
      </w:r>
      <w:r>
        <w:rPr>
          <w:rStyle w:val="19"/>
          <w:rFonts w:hint="default" w:ascii="Times New Roman" w:hAnsi="Times New Roman" w:eastAsia="仿宋" w:cs="Times New Roman"/>
          <w:b w:val="0"/>
          <w:bCs/>
          <w:color w:val="000000"/>
          <w:sz w:val="32"/>
          <w:szCs w:val="32"/>
        </w:rPr>
        <w:t>2010608:支出决算156.47万元，完成调整预算100%。</w:t>
      </w:r>
    </w:p>
    <w:p>
      <w:pPr>
        <w:pageBreakBefore w:val="0"/>
        <w:kinsoku/>
        <w:wordWrap/>
        <w:overflowPunct/>
        <w:topLinePunct w:val="0"/>
        <w:bidi w:val="0"/>
        <w:spacing w:line="560" w:lineRule="exact"/>
        <w:ind w:firstLine="643" w:firstLineChars="200"/>
        <w:rPr>
          <w:rStyle w:val="19"/>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color w:val="000000"/>
          <w:sz w:val="32"/>
        </w:rPr>
        <w:t>5.一般公共服务（类）财政事务（款）事业运行（项）</w:t>
      </w:r>
      <w:r>
        <w:rPr>
          <w:rStyle w:val="19"/>
          <w:rFonts w:hint="default" w:ascii="Times New Roman" w:hAnsi="Times New Roman" w:eastAsia="仿宋" w:cs="Times New Roman"/>
          <w:b w:val="0"/>
          <w:bCs/>
          <w:color w:val="000000"/>
          <w:sz w:val="32"/>
          <w:szCs w:val="32"/>
        </w:rPr>
        <w:t>2010650:支出决算为244.79万元，完成调整预算100%。</w:t>
      </w:r>
    </w:p>
    <w:p>
      <w:pPr>
        <w:pStyle w:val="9"/>
        <w:pageBreakBefore w:val="0"/>
        <w:kinsoku/>
        <w:wordWrap/>
        <w:overflowPunct/>
        <w:topLinePunct w:val="0"/>
        <w:bidi w:val="0"/>
        <w:spacing w:before="93" w:line="560" w:lineRule="exact"/>
        <w:ind w:firstLine="643" w:firstLineChars="200"/>
        <w:rPr>
          <w:rStyle w:val="19"/>
          <w:rFonts w:hint="default" w:ascii="Times New Roman" w:hAnsi="Times New Roman" w:eastAsia="仿宋" w:cs="Times New Roman"/>
          <w:b w:val="0"/>
          <w:bCs/>
          <w:sz w:val="32"/>
          <w:szCs w:val="32"/>
        </w:rPr>
      </w:pPr>
      <w:r>
        <w:rPr>
          <w:rFonts w:hint="default" w:ascii="Times New Roman" w:hAnsi="Times New Roman" w:cs="Times New Roman"/>
          <w:b/>
          <w:color w:val="000000"/>
          <w:kern w:val="2"/>
          <w:sz w:val="32"/>
        </w:rPr>
        <w:t>6.社会保障和就业（类）行政事业单位养老支出（款）行政单位离退休（项）</w:t>
      </w:r>
      <w:r>
        <w:rPr>
          <w:rStyle w:val="19"/>
          <w:rFonts w:hint="default" w:ascii="Times New Roman" w:hAnsi="Times New Roman" w:eastAsia="仿宋" w:cs="Times New Roman"/>
          <w:b w:val="0"/>
          <w:bCs/>
          <w:color w:val="000000"/>
          <w:sz w:val="32"/>
          <w:szCs w:val="32"/>
        </w:rPr>
        <w:t>2080501:支出决算为</w:t>
      </w:r>
      <w:r>
        <w:rPr>
          <w:rStyle w:val="19"/>
          <w:rFonts w:hint="default" w:ascii="Times New Roman" w:hAnsi="Times New Roman" w:eastAsia="仿宋" w:cs="Times New Roman"/>
          <w:b w:val="0"/>
          <w:bCs/>
          <w:sz w:val="32"/>
          <w:szCs w:val="32"/>
        </w:rPr>
        <w:t>46.3万元，完成预算100%。</w:t>
      </w:r>
    </w:p>
    <w:p>
      <w:pPr>
        <w:pStyle w:val="9"/>
        <w:pageBreakBefore w:val="0"/>
        <w:kinsoku/>
        <w:wordWrap/>
        <w:overflowPunct/>
        <w:topLinePunct w:val="0"/>
        <w:bidi w:val="0"/>
        <w:spacing w:before="93" w:line="560" w:lineRule="exact"/>
        <w:ind w:firstLine="643" w:firstLineChars="200"/>
        <w:rPr>
          <w:rFonts w:hint="default" w:ascii="Times New Roman" w:hAnsi="Times New Roman" w:cs="Times New Roman"/>
        </w:rPr>
      </w:pPr>
      <w:r>
        <w:rPr>
          <w:rFonts w:hint="default" w:ascii="Times New Roman" w:hAnsi="Times New Roman" w:cs="Times New Roman"/>
          <w:b/>
          <w:color w:val="000000"/>
          <w:kern w:val="2"/>
          <w:sz w:val="32"/>
        </w:rPr>
        <w:t>7.社会保障和就业（类）行政事业单位养老支出（款）机关事业单位基本养老保险缴费支出（项）</w:t>
      </w:r>
      <w:r>
        <w:rPr>
          <w:rStyle w:val="19"/>
          <w:rFonts w:hint="default" w:ascii="Times New Roman" w:hAnsi="Times New Roman" w:eastAsia="仿宋" w:cs="Times New Roman"/>
          <w:b w:val="0"/>
          <w:bCs/>
          <w:color w:val="000000"/>
          <w:sz w:val="32"/>
          <w:szCs w:val="32"/>
        </w:rPr>
        <w:t>2080505:支出决算为110.34</w:t>
      </w:r>
      <w:r>
        <w:rPr>
          <w:rStyle w:val="19"/>
          <w:rFonts w:hint="default" w:ascii="Times New Roman" w:hAnsi="Times New Roman" w:eastAsia="仿宋" w:cs="Times New Roman"/>
          <w:b w:val="0"/>
          <w:bCs/>
          <w:sz w:val="32"/>
          <w:szCs w:val="32"/>
        </w:rPr>
        <w:t>万元，完成预算100%。</w:t>
      </w:r>
    </w:p>
    <w:p>
      <w:pPr>
        <w:pageBreakBefore w:val="0"/>
        <w:kinsoku/>
        <w:wordWrap/>
        <w:overflowPunct/>
        <w:topLinePunct w:val="0"/>
        <w:bidi w:val="0"/>
        <w:spacing w:line="560" w:lineRule="exact"/>
        <w:ind w:firstLine="643" w:firstLineChars="200"/>
        <w:rPr>
          <w:rStyle w:val="19"/>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color w:val="000000"/>
          <w:sz w:val="32"/>
        </w:rPr>
        <w:t>8.卫生健康支出（类）行政事业单位医疗（款）行政单位医疗（项）</w:t>
      </w:r>
      <w:r>
        <w:rPr>
          <w:rStyle w:val="19"/>
          <w:rFonts w:hint="default" w:ascii="Times New Roman" w:hAnsi="Times New Roman" w:eastAsia="仿宋" w:cs="Times New Roman"/>
          <w:b w:val="0"/>
          <w:bCs/>
          <w:color w:val="000000"/>
          <w:sz w:val="32"/>
          <w:szCs w:val="32"/>
        </w:rPr>
        <w:t>2101101:支出决算为32.51万元，完成调整预算100%。</w:t>
      </w:r>
    </w:p>
    <w:p>
      <w:pPr>
        <w:pageBreakBefore w:val="0"/>
        <w:kinsoku/>
        <w:wordWrap/>
        <w:overflowPunct/>
        <w:topLinePunct w:val="0"/>
        <w:bidi w:val="0"/>
        <w:spacing w:line="560" w:lineRule="exact"/>
        <w:ind w:firstLine="643" w:firstLineChars="200"/>
        <w:rPr>
          <w:rStyle w:val="19"/>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color w:val="000000"/>
          <w:sz w:val="32"/>
        </w:rPr>
        <w:t>9.卫生健康支出（类）行政事业单位医疗（款）事业单位医疗（项）</w:t>
      </w:r>
      <w:r>
        <w:rPr>
          <w:rStyle w:val="19"/>
          <w:rFonts w:hint="default" w:ascii="Times New Roman" w:hAnsi="Times New Roman" w:eastAsia="仿宋" w:cs="Times New Roman"/>
          <w:b w:val="0"/>
          <w:bCs/>
          <w:color w:val="000000"/>
          <w:sz w:val="32"/>
          <w:szCs w:val="32"/>
        </w:rPr>
        <w:t>2101102:支出决算为15.31万元，完成调整预算100%。</w:t>
      </w:r>
    </w:p>
    <w:p>
      <w:pPr>
        <w:pageBreakBefore w:val="0"/>
        <w:kinsoku/>
        <w:wordWrap/>
        <w:overflowPunct/>
        <w:topLinePunct w:val="0"/>
        <w:bidi w:val="0"/>
        <w:spacing w:line="560" w:lineRule="exact"/>
        <w:ind w:firstLine="643" w:firstLineChars="200"/>
        <w:rPr>
          <w:rStyle w:val="19"/>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color w:val="000000"/>
          <w:sz w:val="32"/>
        </w:rPr>
        <w:t>10.卫生健康支出（类）行政事业单位医疗（款）公务员医疗补助（项）</w:t>
      </w:r>
      <w:r>
        <w:rPr>
          <w:rStyle w:val="19"/>
          <w:rFonts w:hint="default" w:ascii="Times New Roman" w:hAnsi="Times New Roman" w:eastAsia="仿宋" w:cs="Times New Roman"/>
          <w:b w:val="0"/>
          <w:bCs/>
          <w:color w:val="000000"/>
          <w:sz w:val="32"/>
          <w:szCs w:val="32"/>
        </w:rPr>
        <w:t>2101103:支出决算为7.41万元，完成调整预算100%。</w:t>
      </w:r>
    </w:p>
    <w:p>
      <w:pPr>
        <w:pageBreakBefore w:val="0"/>
        <w:kinsoku/>
        <w:wordWrap/>
        <w:overflowPunct/>
        <w:topLinePunct w:val="0"/>
        <w:bidi w:val="0"/>
        <w:spacing w:line="560" w:lineRule="exact"/>
        <w:ind w:firstLine="643" w:firstLineChars="200"/>
        <w:rPr>
          <w:rFonts w:hint="default" w:ascii="Times New Roman" w:hAnsi="Times New Roman" w:eastAsia="仿宋" w:cs="Times New Roman"/>
          <w:bCs/>
          <w:color w:val="000000"/>
          <w:sz w:val="32"/>
          <w:szCs w:val="32"/>
        </w:rPr>
      </w:pPr>
      <w:r>
        <w:rPr>
          <w:rFonts w:hint="default" w:ascii="Times New Roman" w:hAnsi="Times New Roman" w:eastAsia="仿宋_GB2312" w:cs="Times New Roman"/>
          <w:b/>
          <w:color w:val="000000"/>
          <w:sz w:val="32"/>
        </w:rPr>
        <w:t>11.</w:t>
      </w:r>
      <w:r>
        <w:rPr>
          <w:rFonts w:hint="default" w:ascii="Times New Roman" w:hAnsi="Times New Roman" w:cs="Times New Roman"/>
        </w:rPr>
        <w:t xml:space="preserve"> </w:t>
      </w:r>
      <w:r>
        <w:rPr>
          <w:rFonts w:hint="default" w:ascii="Times New Roman" w:hAnsi="Times New Roman" w:eastAsia="仿宋_GB2312" w:cs="Times New Roman"/>
          <w:b/>
          <w:color w:val="000000"/>
          <w:sz w:val="32"/>
        </w:rPr>
        <w:t>农林水支出（类）农业农村（款）其他农业农村支出（项）</w:t>
      </w:r>
      <w:r>
        <w:rPr>
          <w:rStyle w:val="19"/>
          <w:rFonts w:hint="default" w:ascii="Times New Roman" w:hAnsi="Times New Roman" w:eastAsia="仿宋" w:cs="Times New Roman"/>
          <w:b w:val="0"/>
          <w:bCs/>
          <w:color w:val="000000"/>
          <w:sz w:val="32"/>
          <w:szCs w:val="32"/>
        </w:rPr>
        <w:t>2130199:支出决算为26.00万元，完成调整预算100%。</w:t>
      </w:r>
    </w:p>
    <w:p>
      <w:pPr>
        <w:pageBreakBefore w:val="0"/>
        <w:kinsoku/>
        <w:wordWrap/>
        <w:overflowPunct/>
        <w:topLinePunct w:val="0"/>
        <w:bidi w:val="0"/>
        <w:spacing w:line="560" w:lineRule="exact"/>
        <w:ind w:firstLine="643" w:firstLineChars="200"/>
        <w:rPr>
          <w:rStyle w:val="19"/>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color w:val="000000"/>
          <w:sz w:val="32"/>
        </w:rPr>
        <w:t>12.住房保障支出（类）住房改革支出（款）住房公积金（项）</w:t>
      </w:r>
      <w:r>
        <w:rPr>
          <w:rStyle w:val="19"/>
          <w:rFonts w:hint="default" w:ascii="Times New Roman" w:hAnsi="Times New Roman" w:eastAsia="仿宋" w:cs="Times New Roman"/>
          <w:b w:val="0"/>
          <w:bCs/>
          <w:color w:val="000000"/>
          <w:sz w:val="32"/>
          <w:szCs w:val="32"/>
        </w:rPr>
        <w:t>2210201:支出决算为80.49万元，完成调整预算100%。</w:t>
      </w:r>
    </w:p>
    <w:bookmarkEnd w:id="33"/>
    <w:bookmarkEnd w:id="34"/>
    <w:bookmarkEnd w:id="35"/>
    <w:p>
      <w:pPr>
        <w:pageBreakBefore w:val="0"/>
        <w:tabs>
          <w:tab w:val="right" w:pos="8306"/>
        </w:tabs>
        <w:kinsoku/>
        <w:wordWrap/>
        <w:overflowPunct/>
        <w:topLinePunct w:val="0"/>
        <w:bidi w:val="0"/>
        <w:spacing w:line="560" w:lineRule="exact"/>
        <w:ind w:firstLine="640"/>
        <w:outlineLvl w:val="1"/>
        <w:rPr>
          <w:rFonts w:hint="default" w:ascii="Times New Roman" w:hAnsi="Times New Roman" w:eastAsia="黑体" w:cs="Times New Roman"/>
          <w:b/>
          <w:bCs/>
          <w:color w:val="000000"/>
          <w:sz w:val="32"/>
          <w:szCs w:val="32"/>
        </w:rPr>
      </w:pPr>
      <w:bookmarkStart w:id="36" w:name="_Toc15396608"/>
      <w:bookmarkStart w:id="37" w:name="_Toc15377214"/>
      <w:r>
        <w:rPr>
          <w:rFonts w:hint="default" w:ascii="Times New Roman" w:hAnsi="Times New Roman" w:eastAsia="黑体" w:cs="Times New Roman"/>
          <w:color w:val="000000"/>
          <w:sz w:val="32"/>
          <w:szCs w:val="32"/>
        </w:rPr>
        <w:t>六、一</w:t>
      </w:r>
      <w:r>
        <w:rPr>
          <w:rFonts w:hint="default" w:ascii="Times New Roman" w:hAnsi="Times New Roman" w:eastAsia="黑体" w:cs="Times New Roman"/>
          <w:bCs/>
          <w:color w:val="000000"/>
          <w:sz w:val="32"/>
          <w:szCs w:val="32"/>
        </w:rPr>
        <w:t>般公共预算财政拨款基本支出决算情况说明</w:t>
      </w:r>
      <w:bookmarkEnd w:id="36"/>
      <w:bookmarkEnd w:id="37"/>
      <w:r>
        <w:rPr>
          <w:rFonts w:hint="default" w:ascii="Times New Roman" w:hAnsi="Times New Roman" w:eastAsia="黑体" w:cs="Times New Roman"/>
          <w:bCs/>
          <w:color w:val="000000"/>
          <w:sz w:val="32"/>
          <w:szCs w:val="32"/>
        </w:rPr>
        <w:tab/>
      </w:r>
    </w:p>
    <w:p>
      <w:pPr>
        <w:pageBreakBefore w:val="0"/>
        <w:kinsoku/>
        <w:wordWrap/>
        <w:overflowPunct/>
        <w:topLinePunct w:val="0"/>
        <w:bidi w:val="0"/>
        <w:spacing w:line="560" w:lineRule="exact"/>
        <w:ind w:firstLine="640"/>
        <w:rPr>
          <w:rFonts w:hint="default" w:ascii="Times New Roman" w:hAnsi="Times New Roman" w:eastAsia="仿宋_GB2312" w:cs="Times New Roman"/>
          <w:color w:val="000000"/>
          <w:sz w:val="32"/>
          <w:lang w:val="zh-CN"/>
        </w:rPr>
      </w:pPr>
      <w:bookmarkStart w:id="38" w:name="_Toc15396609"/>
      <w:bookmarkStart w:id="39" w:name="_Toc15377215"/>
      <w:r>
        <w:rPr>
          <w:rFonts w:hint="default" w:ascii="Times New Roman" w:hAnsi="Times New Roman" w:eastAsia="仿宋_GB2312" w:cs="Times New Roman"/>
          <w:color w:val="000000"/>
          <w:sz w:val="32"/>
          <w:lang w:val="zh-CN"/>
        </w:rPr>
        <w:t>2023年一般公共预算财政拨款基本支出1047.31万元，其中：</w:t>
      </w:r>
    </w:p>
    <w:p>
      <w:pPr>
        <w:pageBreakBefore w:val="0"/>
        <w:kinsoku/>
        <w:wordWrap/>
        <w:overflowPunct/>
        <w:topLinePunct w:val="0"/>
        <w:bidi w:val="0"/>
        <w:spacing w:line="560" w:lineRule="exact"/>
        <w:ind w:firstLine="643"/>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b/>
          <w:color w:val="000000"/>
          <w:sz w:val="32"/>
          <w:lang w:val="zh-CN"/>
        </w:rPr>
        <w:t>人员经费</w:t>
      </w:r>
      <w:r>
        <w:rPr>
          <w:rFonts w:hint="default" w:ascii="Times New Roman" w:hAnsi="Times New Roman" w:eastAsia="仿宋_GB2312" w:cs="Times New Roman"/>
          <w:color w:val="000000"/>
          <w:sz w:val="32"/>
          <w:lang w:val="zh-CN"/>
        </w:rPr>
        <w:t>972.49万元，主要包括：</w:t>
      </w:r>
      <w:r>
        <w:rPr>
          <w:rFonts w:hint="default" w:ascii="Times New Roman" w:hAnsi="Times New Roman" w:eastAsia="仿宋" w:cs="Times New Roman"/>
          <w:sz w:val="32"/>
        </w:rPr>
        <w:t>基本工资、津贴补贴、奖金、绩效工资、机关事业单位基本养老保险缴费、职工基本医疗保险缴费、  公务员医疗补助缴费、其他社会保障缴费、其他工资福利支出、抚恤金、生活补助、医疗费补助、住房公积金等</w:t>
      </w:r>
      <w:r>
        <w:rPr>
          <w:rFonts w:hint="default" w:ascii="Times New Roman" w:hAnsi="Times New Roman" w:eastAsia="仿宋_GB2312" w:cs="Times New Roman"/>
          <w:color w:val="000000"/>
          <w:sz w:val="32"/>
          <w:lang w:val="zh-CN"/>
        </w:rPr>
        <w:t>。</w:t>
      </w:r>
    </w:p>
    <w:p>
      <w:pPr>
        <w:pageBreakBefore w:val="0"/>
        <w:kinsoku/>
        <w:wordWrap/>
        <w:overflowPunct/>
        <w:topLinePunct w:val="0"/>
        <w:bidi w:val="0"/>
        <w:spacing w:line="560" w:lineRule="exact"/>
        <w:ind w:firstLine="643"/>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b/>
          <w:color w:val="000000"/>
          <w:sz w:val="32"/>
          <w:lang w:val="zh-CN"/>
        </w:rPr>
        <w:t>公用经费</w:t>
      </w:r>
      <w:r>
        <w:rPr>
          <w:rFonts w:hint="default" w:ascii="Times New Roman" w:hAnsi="Times New Roman" w:eastAsia="仿宋_GB2312" w:cs="Times New Roman"/>
          <w:color w:val="000000"/>
          <w:sz w:val="32"/>
          <w:lang w:val="zh-CN"/>
        </w:rPr>
        <w:t>74.83万元，主要包括：</w:t>
      </w:r>
      <w:r>
        <w:rPr>
          <w:rFonts w:hint="default" w:ascii="Times New Roman" w:hAnsi="Times New Roman" w:eastAsia="仿宋" w:cs="Times New Roman"/>
          <w:sz w:val="32"/>
        </w:rPr>
        <w:t>办公费、邮电费、差旅费、维修（护）费、培训费、公务接待费、劳务费、工会经费、福利费、公务用车运行维护费、其他交通费、其他商品和服务支出等</w:t>
      </w:r>
      <w:r>
        <w:rPr>
          <w:rFonts w:hint="default" w:ascii="Times New Roman" w:hAnsi="Times New Roman" w:eastAsia="仿宋_GB2312" w:cs="Times New Roman"/>
          <w:color w:val="000000"/>
          <w:sz w:val="32"/>
          <w:lang w:val="zh-CN"/>
        </w:rPr>
        <w:t>。</w:t>
      </w:r>
    </w:p>
    <w:p>
      <w:pPr>
        <w:pageBreakBefore w:val="0"/>
        <w:kinsoku/>
        <w:wordWrap/>
        <w:overflowPunct/>
        <w:topLinePunct w:val="0"/>
        <w:bidi w:val="0"/>
        <w:spacing w:line="560" w:lineRule="exact"/>
        <w:ind w:firstLine="640"/>
        <w:outlineLvl w:val="1"/>
        <w:rPr>
          <w:rStyle w:val="30"/>
          <w:rFonts w:hint="default" w:ascii="Times New Roman" w:hAnsi="Times New Roman" w:eastAsia="黑体" w:cs="Times New Roman"/>
          <w:b w:val="0"/>
        </w:rPr>
      </w:pPr>
      <w:r>
        <w:rPr>
          <w:rFonts w:hint="default" w:ascii="Times New Roman" w:hAnsi="Times New Roman" w:eastAsia="黑体" w:cs="Times New Roman"/>
          <w:color w:val="000000"/>
          <w:sz w:val="32"/>
          <w:szCs w:val="32"/>
        </w:rPr>
        <w:t>七、</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三公”经费财政拨款支出决算情况说明</w:t>
      </w:r>
      <w:bookmarkEnd w:id="38"/>
      <w:bookmarkEnd w:id="39"/>
    </w:p>
    <w:p>
      <w:pPr>
        <w:keepNext/>
        <w:keepLines/>
        <w:pageBreakBefore w:val="0"/>
        <w:kinsoku/>
        <w:wordWrap/>
        <w:overflowPunct/>
        <w:topLinePunct w:val="0"/>
        <w:bidi w:val="0"/>
        <w:spacing w:line="560" w:lineRule="exact"/>
        <w:ind w:firstLine="643"/>
        <w:rPr>
          <w:rFonts w:hint="default" w:ascii="Times New Roman" w:hAnsi="Times New Roman" w:eastAsia="仿宋_GB2312" w:cs="Times New Roman"/>
          <w:b/>
          <w:color w:val="000000"/>
          <w:sz w:val="32"/>
          <w:lang w:val="zh-CN"/>
        </w:rPr>
      </w:pPr>
      <w:r>
        <w:rPr>
          <w:rFonts w:hint="default" w:ascii="Times New Roman" w:hAnsi="Times New Roman" w:eastAsia="仿宋_GB2312" w:cs="Times New Roman"/>
          <w:b/>
          <w:color w:val="000000"/>
          <w:sz w:val="32"/>
          <w:lang w:val="zh-CN"/>
        </w:rPr>
        <w:t>（一）“三公”经费财政拨款支出决算总体情况说明</w:t>
      </w: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z w:val="32"/>
          <w:lang w:val="zh-CN"/>
        </w:rPr>
        <w:t>2023年“三公”经费财政拨款支出决算为1.52万元，</w:t>
      </w:r>
      <w:r>
        <w:rPr>
          <w:rFonts w:hint="default" w:ascii="Times New Roman" w:hAnsi="Times New Roman" w:eastAsia="仿宋_GB2312" w:cs="Times New Roman"/>
          <w:color w:val="000000" w:themeColor="text1"/>
          <w:sz w:val="32"/>
          <w:lang w:val="zh-CN"/>
        </w:rPr>
        <w:t>完成预算</w:t>
      </w:r>
      <w:r>
        <w:rPr>
          <w:rFonts w:hint="default" w:ascii="Times New Roman" w:hAnsi="Times New Roman" w:eastAsia="仿宋_GB2312" w:cs="Times New Roman"/>
          <w:color w:val="000000" w:themeColor="text1"/>
          <w:sz w:val="32"/>
          <w:lang w:val="en-US" w:eastAsia="zh-CN"/>
        </w:rPr>
        <w:t>22.16</w:t>
      </w:r>
      <w:r>
        <w:rPr>
          <w:rFonts w:hint="default" w:ascii="Times New Roman" w:hAnsi="Times New Roman" w:eastAsia="仿宋_GB2312" w:cs="Times New Roman"/>
          <w:color w:val="000000" w:themeColor="text1"/>
          <w:sz w:val="32"/>
          <w:lang w:val="zh-CN"/>
        </w:rPr>
        <w:t>%；较上年减少0.74万元，减少</w:t>
      </w:r>
      <w:r>
        <w:rPr>
          <w:rFonts w:hint="default" w:ascii="Times New Roman" w:hAnsi="Times New Roman" w:eastAsia="仿宋_GB2312" w:cs="Times New Roman"/>
          <w:color w:val="000000" w:themeColor="text1"/>
          <w:sz w:val="32"/>
          <w:lang w:val="en-US" w:eastAsia="zh-CN"/>
        </w:rPr>
        <w:t>32.74</w:t>
      </w:r>
      <w:r>
        <w:rPr>
          <w:rFonts w:hint="default" w:ascii="Times New Roman" w:hAnsi="Times New Roman" w:eastAsia="仿宋_GB2312" w:cs="Times New Roman"/>
          <w:color w:val="000000" w:themeColor="text1"/>
          <w:sz w:val="32"/>
          <w:lang w:val="zh-CN"/>
        </w:rPr>
        <w:t>%。</w:t>
      </w:r>
      <w:r>
        <w:rPr>
          <w:rFonts w:hint="default" w:ascii="Times New Roman" w:hAnsi="Times New Roman" w:eastAsia="仿宋_GB2312" w:cs="Times New Roman"/>
          <w:color w:val="000000"/>
          <w:sz w:val="32"/>
          <w:lang w:val="zh-CN"/>
        </w:rPr>
        <w:t>决算数小于预算数的主要原因是节约了</w:t>
      </w:r>
      <w:r>
        <w:rPr>
          <w:rFonts w:hint="default" w:ascii="Times New Roman" w:hAnsi="Times New Roman" w:eastAsia="仿宋" w:cs="Times New Roman"/>
          <w:color w:val="000000"/>
          <w:sz w:val="32"/>
          <w:szCs w:val="32"/>
        </w:rPr>
        <w:t>公务接待费。</w:t>
      </w:r>
    </w:p>
    <w:p>
      <w:pPr>
        <w:pageBreakBefore w:val="0"/>
        <w:kinsoku/>
        <w:wordWrap/>
        <w:overflowPunct/>
        <w:topLinePunct w:val="0"/>
        <w:bidi w:val="0"/>
        <w:spacing w:line="560" w:lineRule="exact"/>
        <w:ind w:firstLine="640"/>
        <w:outlineLvl w:val="2"/>
        <w:rPr>
          <w:rFonts w:hint="default" w:ascii="Times New Roman" w:hAnsi="Times New Roman" w:eastAsia="仿宋" w:cs="Times New Roman"/>
          <w:b/>
          <w:color w:val="000000"/>
          <w:sz w:val="32"/>
          <w:szCs w:val="32"/>
        </w:rPr>
      </w:pPr>
      <w:bookmarkStart w:id="40" w:name="_Toc15377217"/>
      <w:r>
        <w:rPr>
          <w:rFonts w:hint="default" w:ascii="Times New Roman" w:hAnsi="Times New Roman" w:eastAsia="仿宋" w:cs="Times New Roman"/>
          <w:b/>
          <w:color w:val="000000"/>
          <w:sz w:val="32"/>
          <w:szCs w:val="32"/>
        </w:rPr>
        <w:t>（二）“三公”经费财政拨款支出决算具体情况说明</w:t>
      </w:r>
      <w:bookmarkEnd w:id="40"/>
    </w:p>
    <w:p>
      <w:pPr>
        <w:keepNext/>
        <w:keepLines/>
        <w:pageBreakBefore w:val="0"/>
        <w:kinsoku/>
        <w:wordWrap/>
        <w:overflowPunct/>
        <w:topLinePunct w:val="0"/>
        <w:bidi w:val="0"/>
        <w:spacing w:line="560" w:lineRule="exact"/>
        <w:ind w:firstLine="64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2023年“三公”经费财政拨款支出决算中，因公出国（境）费支出决算0万元，占0%；公务用车购置及运行维护费支出决算0万元，占0%；公务接待费支出决算1.52万元，占100%。具体情况如下：</w:t>
      </w: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（图7：“三公”经费财政拨款支出结构）</w:t>
      </w:r>
      <w:r>
        <w:rPr>
          <w:rFonts w:hint="default" w:ascii="Times New Roman" w:hAnsi="Times New Roman" w:eastAsia="仿宋" w:cs="Times New Roman"/>
          <w:color w:val="000000"/>
          <w:sz w:val="32"/>
          <w:szCs w:val="32"/>
          <w:lang w:eastAsia="zh-CN"/>
        </w:rPr>
        <w:t>　</w:t>
      </w: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drawing>
          <wp:anchor distT="0" distB="0" distL="114300" distR="114300" simplePos="0" relativeHeight="251666432" behindDoc="0" locked="0" layoutInCell="1" allowOverlap="1">
            <wp:simplePos x="0" y="0"/>
            <wp:positionH relativeFrom="column">
              <wp:posOffset>962025</wp:posOffset>
            </wp:positionH>
            <wp:positionV relativeFrom="paragraph">
              <wp:posOffset>50165</wp:posOffset>
            </wp:positionV>
            <wp:extent cx="4029710" cy="1667510"/>
            <wp:effectExtent l="5080" t="4445" r="22860" b="2349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bidi w:val="0"/>
        <w:spacing w:line="560" w:lineRule="exact"/>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rPr>
          <w:rFonts w:hint="default" w:ascii="Times New Roman" w:hAnsi="Times New Roman" w:eastAsia="仿宋_GB2312" w:cs="Times New Roman"/>
          <w:b/>
          <w:color w:val="000000"/>
          <w:sz w:val="32"/>
          <w:szCs w:val="32"/>
        </w:rPr>
      </w:pPr>
    </w:p>
    <w:p>
      <w:pPr>
        <w:pageBreakBefore w:val="0"/>
        <w:kinsoku/>
        <w:wordWrap/>
        <w:overflowPunct/>
        <w:topLinePunct w:val="0"/>
        <w:bidi w:val="0"/>
        <w:spacing w:line="560" w:lineRule="exact"/>
        <w:ind w:firstLine="640"/>
        <w:rPr>
          <w:rStyle w:val="19"/>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color w:val="000000"/>
          <w:sz w:val="32"/>
          <w:szCs w:val="32"/>
        </w:rPr>
        <w:t>1. 因公出国（境）经费支出</w:t>
      </w:r>
      <w:r>
        <w:rPr>
          <w:rFonts w:hint="default" w:ascii="Times New Roman" w:hAnsi="Times New Roman" w:eastAsia="仿宋_GB2312" w:cs="Times New Roman"/>
          <w:color w:val="000000"/>
          <w:sz w:val="32"/>
          <w:szCs w:val="32"/>
        </w:rPr>
        <w:t>0万元，</w:t>
      </w:r>
      <w:r>
        <w:rPr>
          <w:rStyle w:val="19"/>
          <w:rFonts w:hint="default" w:ascii="Times New Roman" w:hAnsi="Times New Roman" w:eastAsia="仿宋" w:cs="Times New Roman"/>
          <w:b w:val="0"/>
          <w:bCs/>
          <w:color w:val="000000"/>
          <w:sz w:val="32"/>
          <w:szCs w:val="32"/>
        </w:rPr>
        <w:t>完成预算0%。</w:t>
      </w:r>
      <w:r>
        <w:rPr>
          <w:rFonts w:hint="default" w:ascii="Times New Roman" w:hAnsi="Times New Roman" w:eastAsia="仿宋_GB2312" w:cs="Times New Roman"/>
          <w:color w:val="000000"/>
          <w:sz w:val="32"/>
          <w:szCs w:val="32"/>
        </w:rPr>
        <w:t>全年安排因公出国（境）团组0次，出国（境）0人。</w:t>
      </w:r>
    </w:p>
    <w:p>
      <w:pPr>
        <w:pageBreakBefore w:val="0"/>
        <w:kinsoku/>
        <w:wordWrap/>
        <w:overflowPunct/>
        <w:topLinePunct w:val="0"/>
        <w:bidi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 公务用车购置及运行维护费支出</w:t>
      </w:r>
      <w:r>
        <w:rPr>
          <w:rFonts w:hint="default" w:ascii="Times New Roman" w:hAnsi="Times New Roman" w:eastAsia="仿宋_GB2312" w:cs="Times New Roman"/>
          <w:color w:val="000000"/>
          <w:sz w:val="32"/>
          <w:szCs w:val="32"/>
        </w:rPr>
        <w:t>0万元,</w:t>
      </w:r>
      <w:r>
        <w:rPr>
          <w:rStyle w:val="19"/>
          <w:rFonts w:hint="default" w:ascii="Times New Roman" w:hAnsi="Times New Roman" w:eastAsia="仿宋" w:cs="Times New Roman"/>
          <w:b w:val="0"/>
          <w:bCs/>
          <w:color w:val="000000"/>
          <w:sz w:val="32"/>
          <w:szCs w:val="32"/>
        </w:rPr>
        <w:t>完成预算0%。</w:t>
      </w:r>
    </w:p>
    <w:p>
      <w:pPr>
        <w:pageBreakBefore w:val="0"/>
        <w:kinsoku/>
        <w:wordWrap/>
        <w:overflowPunct/>
        <w:topLinePunct w:val="0"/>
        <w:bidi w:val="0"/>
        <w:spacing w:line="56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color w:val="000000"/>
          <w:sz w:val="32"/>
          <w:szCs w:val="32"/>
        </w:rPr>
        <w:t>公务用车购置支出</w:t>
      </w:r>
      <w:r>
        <w:rPr>
          <w:rFonts w:hint="default" w:ascii="Times New Roman" w:hAnsi="Times New Roman" w:eastAsia="仿宋_GB2312" w:cs="Times New Roman"/>
          <w:color w:val="000000"/>
          <w:sz w:val="32"/>
          <w:szCs w:val="32"/>
        </w:rPr>
        <w:t>0万元。全年按规定更新购置公务用车0辆，其中：轿车0辆、金额0万元，越野车0辆、金额0万元，小型载客汽车0辆、金额0万元，大中型载客汽车0辆、金额0万元，其他车型0辆、金额0万元。截至2022年12月底，本单位共有公务用车0辆，其中：轿车0辆、越野车0辆、小型载客汽车0辆、大中型载客汽车0辆、其他车型0辆。</w:t>
      </w:r>
    </w:p>
    <w:p>
      <w:pPr>
        <w:pageBreakBefore w:val="0"/>
        <w:kinsoku/>
        <w:wordWrap/>
        <w:overflowPunct/>
        <w:topLinePunct w:val="0"/>
        <w:bidi w:val="0"/>
        <w:spacing w:line="56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公务用车运行维护费支出</w:t>
      </w:r>
      <w:r>
        <w:rPr>
          <w:rFonts w:hint="default" w:ascii="Times New Roman" w:hAnsi="Times New Roman" w:eastAsia="仿宋_GB2312" w:cs="Times New Roman"/>
          <w:color w:val="000000"/>
          <w:sz w:val="32"/>
          <w:szCs w:val="32"/>
        </w:rPr>
        <w:t>0万元。</w:t>
      </w:r>
    </w:p>
    <w:p>
      <w:pPr>
        <w:keepNext/>
        <w:keepLines/>
        <w:pageBreakBefore w:val="0"/>
        <w:kinsoku/>
        <w:wordWrap/>
        <w:overflowPunct/>
        <w:topLinePunct w:val="0"/>
        <w:bidi w:val="0"/>
        <w:spacing w:line="56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sz w:val="32"/>
          <w:szCs w:val="32"/>
        </w:rPr>
        <w:t>3.</w:t>
      </w:r>
      <w:r>
        <w:rPr>
          <w:rFonts w:hint="default" w:ascii="Times New Roman" w:hAnsi="Times New Roman" w:eastAsia="仿宋_GB2312" w:cs="Times New Roman"/>
          <w:b/>
          <w:color w:val="000000"/>
          <w:sz w:val="32"/>
          <w:lang w:val="zh-CN"/>
        </w:rPr>
        <w:t>公务接待费</w:t>
      </w:r>
      <w:r>
        <w:rPr>
          <w:rFonts w:hint="default" w:ascii="Times New Roman" w:hAnsi="Times New Roman" w:eastAsia="仿宋_GB2312" w:cs="Times New Roman"/>
          <w:color w:val="000000"/>
          <w:sz w:val="32"/>
          <w:lang w:val="zh-CN"/>
        </w:rPr>
        <w:t>支出1.52万元</w:t>
      </w:r>
      <w:r>
        <w:rPr>
          <w:rFonts w:hint="default" w:ascii="Times New Roman" w:hAnsi="Times New Roman" w:eastAsia="仿宋_GB2312" w:cs="Times New Roman"/>
          <w:color w:val="000000" w:themeColor="text1"/>
          <w:sz w:val="32"/>
          <w:lang w:val="zh-CN"/>
        </w:rPr>
        <w:t>，完成预算</w:t>
      </w:r>
      <w:r>
        <w:rPr>
          <w:rFonts w:hint="default" w:ascii="Times New Roman" w:hAnsi="Times New Roman" w:eastAsia="仿宋_GB2312" w:cs="Times New Roman"/>
          <w:color w:val="000000" w:themeColor="text1"/>
          <w:sz w:val="32"/>
          <w:lang w:val="en-US" w:eastAsia="zh-CN"/>
        </w:rPr>
        <w:t>22.16</w:t>
      </w:r>
      <w:r>
        <w:rPr>
          <w:rFonts w:hint="default" w:ascii="Times New Roman" w:hAnsi="Times New Roman" w:eastAsia="仿宋_GB2312" w:cs="Times New Roman"/>
          <w:color w:val="000000" w:themeColor="text1"/>
          <w:sz w:val="32"/>
          <w:lang w:val="zh-CN"/>
        </w:rPr>
        <w:t>%。</w:t>
      </w:r>
      <w:r>
        <w:rPr>
          <w:rFonts w:hint="default" w:ascii="Times New Roman" w:hAnsi="Times New Roman" w:eastAsia="仿宋_GB2312" w:cs="Times New Roman"/>
          <w:color w:val="000000"/>
          <w:sz w:val="32"/>
          <w:lang w:val="zh-CN"/>
        </w:rPr>
        <w:t>公务接待费支出决算比2022年减少0.74万元，下降197.4%。</w:t>
      </w:r>
      <w:r>
        <w:rPr>
          <w:rFonts w:hint="default" w:ascii="Times New Roman" w:hAnsi="Times New Roman" w:eastAsia="仿宋_GB2312" w:cs="Times New Roman"/>
          <w:sz w:val="32"/>
          <w:szCs w:val="32"/>
        </w:rPr>
        <w:t>主要原因为接待人数次数相比上年度</w:t>
      </w:r>
      <w:r>
        <w:rPr>
          <w:rFonts w:hint="default" w:ascii="Times New Roman" w:hAnsi="Times New Roman" w:eastAsia="仿宋_GB2312" w:cs="Times New Roman"/>
          <w:color w:val="000000"/>
          <w:sz w:val="32"/>
          <w:lang w:val="zh-CN"/>
        </w:rPr>
        <w:t>减少</w:t>
      </w:r>
      <w:r>
        <w:rPr>
          <w:rFonts w:hint="default" w:ascii="Times New Roman" w:hAnsi="Times New Roman" w:eastAsia="仿宋_GB2312" w:cs="Times New Roman"/>
          <w:sz w:val="32"/>
          <w:szCs w:val="32"/>
        </w:rPr>
        <w:t>。</w:t>
      </w:r>
      <w:r>
        <w:rPr>
          <w:rFonts w:hint="default" w:ascii="Times New Roman" w:hAnsi="Times New Roman" w:eastAsia="仿宋" w:cs="Times New Roman"/>
          <w:color w:val="000000"/>
          <w:sz w:val="32"/>
          <w:szCs w:val="32"/>
        </w:rPr>
        <w:t>公务接待费次数、人次。</w:t>
      </w:r>
      <w:r>
        <w:rPr>
          <w:rFonts w:hint="default" w:ascii="Times New Roman" w:hAnsi="Times New Roman" w:eastAsia="仿宋_GB2312" w:cs="Times New Roman"/>
          <w:color w:val="000000"/>
          <w:sz w:val="32"/>
          <w:lang w:val="zh-CN"/>
        </w:rPr>
        <w:t>其中：</w:t>
      </w:r>
    </w:p>
    <w:p>
      <w:pPr>
        <w:pageBreakBefore w:val="0"/>
        <w:kinsoku/>
        <w:wordWrap/>
        <w:overflowPunct/>
        <w:topLinePunct w:val="0"/>
        <w:bidi w:val="0"/>
        <w:spacing w:line="560" w:lineRule="exact"/>
        <w:ind w:firstLine="64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sz w:val="32"/>
          <w:lang w:val="zh-CN"/>
        </w:rPr>
        <w:t>国内公务接待</w:t>
      </w:r>
      <w:r>
        <w:rPr>
          <w:rFonts w:hint="default" w:ascii="Times New Roman" w:hAnsi="Times New Roman" w:eastAsia="仿宋_GB2312" w:cs="Times New Roman"/>
          <w:color w:val="000000"/>
          <w:sz w:val="32"/>
          <w:lang w:val="zh-CN"/>
        </w:rPr>
        <w:t>支出1.52万元。主要用于</w:t>
      </w:r>
      <w:r>
        <w:rPr>
          <w:rFonts w:hint="default" w:ascii="Times New Roman" w:hAnsi="Times New Roman" w:eastAsia="仿宋_GB2312" w:cs="Times New Roman"/>
          <w:color w:val="000000"/>
          <w:sz w:val="32"/>
          <w:highlight w:val="white"/>
        </w:rPr>
        <w:t>接待调研、检查、</w:t>
      </w:r>
      <w:r>
        <w:rPr>
          <w:rFonts w:hint="default" w:ascii="Times New Roman" w:hAnsi="Times New Roman" w:eastAsia="仿宋_GB2312" w:cs="Times New Roman"/>
          <w:color w:val="000000"/>
          <w:sz w:val="32"/>
          <w:szCs w:val="32"/>
        </w:rPr>
        <w:t>交流学习等</w:t>
      </w:r>
      <w:r>
        <w:rPr>
          <w:rFonts w:hint="default" w:ascii="Times New Roman" w:hAnsi="Times New Roman" w:eastAsia="仿宋_GB2312" w:cs="Times New Roman"/>
          <w:color w:val="000000"/>
          <w:sz w:val="32"/>
          <w:highlight w:val="white"/>
        </w:rPr>
        <w:t>用餐费。</w:t>
      </w:r>
      <w:r>
        <w:rPr>
          <w:rFonts w:hint="default" w:ascii="Times New Roman" w:hAnsi="Times New Roman" w:eastAsia="仿宋_GB2312" w:cs="Times New Roman"/>
          <w:color w:val="000000"/>
          <w:sz w:val="32"/>
          <w:lang w:val="zh-CN"/>
        </w:rPr>
        <w:t>国内公务接待</w:t>
      </w:r>
      <w:r>
        <w:rPr>
          <w:rFonts w:hint="default" w:ascii="Times New Roman" w:hAnsi="Times New Roman" w:eastAsia="仿宋_GB2312" w:cs="Times New Roman"/>
          <w:color w:val="000000"/>
          <w:sz w:val="32"/>
          <w:lang w:val="en-US" w:eastAsia="zh-CN"/>
        </w:rPr>
        <w:t>7</w:t>
      </w:r>
      <w:r>
        <w:rPr>
          <w:rFonts w:hint="default" w:ascii="Times New Roman" w:hAnsi="Times New Roman" w:eastAsia="仿宋_GB2312" w:cs="Times New Roman"/>
          <w:color w:val="000000"/>
          <w:sz w:val="32"/>
          <w:lang w:val="zh-CN"/>
        </w:rPr>
        <w:t>批次，</w:t>
      </w:r>
      <w:r>
        <w:rPr>
          <w:rFonts w:hint="default" w:ascii="Times New Roman" w:hAnsi="Times New Roman" w:eastAsia="仿宋_GB2312" w:cs="Times New Roman"/>
          <w:color w:val="000000"/>
          <w:sz w:val="32"/>
          <w:lang w:val="en-US" w:eastAsia="zh-CN"/>
        </w:rPr>
        <w:t>74</w:t>
      </w:r>
      <w:r>
        <w:rPr>
          <w:rFonts w:hint="default" w:ascii="Times New Roman" w:hAnsi="Times New Roman" w:eastAsia="仿宋_GB2312" w:cs="Times New Roman"/>
          <w:color w:val="000000"/>
          <w:sz w:val="32"/>
          <w:lang w:val="zh-CN"/>
        </w:rPr>
        <w:t>人次</w:t>
      </w:r>
      <w:r>
        <w:rPr>
          <w:rFonts w:hint="default" w:ascii="Times New Roman" w:hAnsi="Times New Roman" w:eastAsia="仿宋_GB2312" w:cs="Times New Roman"/>
          <w:i w:val="0"/>
          <w:iCs w:val="0"/>
          <w:color w:val="000000"/>
          <w:sz w:val="32"/>
          <w:szCs w:val="32"/>
        </w:rPr>
        <w:t>（不包括陪同人员）</w:t>
      </w:r>
      <w:r>
        <w:rPr>
          <w:rFonts w:hint="default" w:ascii="Times New Roman" w:hAnsi="Times New Roman" w:eastAsia="仿宋_GB2312" w:cs="Times New Roman"/>
          <w:color w:val="000000"/>
          <w:sz w:val="32"/>
          <w:lang w:val="zh-CN"/>
        </w:rPr>
        <w:t>，共计支出1.52万元，具体内容包括</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themeColor="text1"/>
          <w:sz w:val="32"/>
          <w:szCs w:val="32"/>
        </w:rPr>
        <w:t>接待</w:t>
      </w:r>
      <w:r>
        <w:rPr>
          <w:rFonts w:hint="default" w:ascii="Times New Roman" w:hAnsi="Times New Roman" w:eastAsia="仿宋_GB2312" w:cs="Times New Roman"/>
          <w:color w:val="000000" w:themeColor="text1"/>
          <w:sz w:val="32"/>
          <w:szCs w:val="32"/>
          <w:lang w:eastAsia="zh-CN"/>
        </w:rPr>
        <w:t>上级</w:t>
      </w:r>
      <w:r>
        <w:rPr>
          <w:rFonts w:hint="default" w:ascii="Times New Roman" w:hAnsi="Times New Roman" w:eastAsia="仿宋_GB2312" w:cs="Times New Roman"/>
          <w:color w:val="000000" w:themeColor="text1"/>
          <w:sz w:val="32"/>
          <w:szCs w:val="32"/>
        </w:rPr>
        <w:t>地方财政运行调研;接待</w:t>
      </w:r>
      <w:r>
        <w:rPr>
          <w:rFonts w:hint="default" w:ascii="Times New Roman" w:hAnsi="Times New Roman" w:eastAsia="仿宋_GB2312" w:cs="Times New Roman"/>
          <w:color w:val="000000" w:themeColor="text1"/>
          <w:sz w:val="32"/>
          <w:szCs w:val="32"/>
          <w:lang w:eastAsia="zh-CN"/>
        </w:rPr>
        <w:t>上级领导</w:t>
      </w:r>
      <w:r>
        <w:rPr>
          <w:rFonts w:hint="default" w:ascii="Times New Roman" w:hAnsi="Times New Roman" w:eastAsia="仿宋_GB2312" w:cs="Times New Roman"/>
          <w:color w:val="000000" w:themeColor="text1"/>
          <w:sz w:val="32"/>
          <w:szCs w:val="32"/>
        </w:rPr>
        <w:t>农村综合改革转移支付项目评估检查;接待</w:t>
      </w:r>
      <w:r>
        <w:rPr>
          <w:rFonts w:hint="default" w:ascii="Times New Roman" w:hAnsi="Times New Roman" w:eastAsia="仿宋_GB2312" w:cs="Times New Roman"/>
          <w:color w:val="000000" w:themeColor="text1"/>
          <w:sz w:val="32"/>
          <w:szCs w:val="32"/>
          <w:lang w:eastAsia="zh-CN"/>
        </w:rPr>
        <w:t>上级</w:t>
      </w:r>
      <w:r>
        <w:rPr>
          <w:rFonts w:hint="default" w:ascii="Times New Roman" w:hAnsi="Times New Roman" w:eastAsia="仿宋_GB2312" w:cs="Times New Roman"/>
          <w:color w:val="000000" w:themeColor="text1"/>
          <w:sz w:val="32"/>
          <w:szCs w:val="32"/>
        </w:rPr>
        <w:t>乡村振兴农业产业发展考评组;接待</w:t>
      </w:r>
      <w:r>
        <w:rPr>
          <w:rFonts w:hint="default" w:ascii="Times New Roman" w:hAnsi="Times New Roman" w:eastAsia="仿宋_GB2312" w:cs="Times New Roman"/>
          <w:color w:val="000000" w:themeColor="text1"/>
          <w:sz w:val="32"/>
          <w:szCs w:val="32"/>
          <w:lang w:eastAsia="zh-CN"/>
        </w:rPr>
        <w:t>上级</w:t>
      </w:r>
      <w:r>
        <w:rPr>
          <w:rFonts w:hint="default" w:ascii="Times New Roman" w:hAnsi="Times New Roman" w:eastAsia="仿宋_GB2312" w:cs="Times New Roman"/>
          <w:color w:val="000000" w:themeColor="text1"/>
          <w:sz w:val="32"/>
          <w:szCs w:val="32"/>
        </w:rPr>
        <w:t>学习乡村振兴先进经验;接待省</w:t>
      </w:r>
      <w:r>
        <w:rPr>
          <w:rFonts w:hint="default" w:ascii="Times New Roman" w:hAnsi="Times New Roman" w:eastAsia="仿宋_GB2312" w:cs="Times New Roman"/>
          <w:color w:val="000000" w:themeColor="text1"/>
          <w:sz w:val="32"/>
          <w:szCs w:val="32"/>
          <w:lang w:eastAsia="zh-CN"/>
        </w:rPr>
        <w:t>领导</w:t>
      </w:r>
      <w:r>
        <w:rPr>
          <w:rFonts w:hint="default" w:ascii="Times New Roman" w:hAnsi="Times New Roman" w:eastAsia="仿宋_GB2312" w:cs="Times New Roman"/>
          <w:color w:val="000000" w:themeColor="text1"/>
          <w:sz w:val="32"/>
          <w:szCs w:val="32"/>
        </w:rPr>
        <w:t>到仁和开展市县绩效问题整改复核;接待湖南省华容县业务交流学习;接待省</w:t>
      </w:r>
      <w:r>
        <w:rPr>
          <w:rFonts w:hint="default" w:ascii="Times New Roman" w:hAnsi="Times New Roman" w:eastAsia="仿宋_GB2312" w:cs="Times New Roman"/>
          <w:color w:val="000000" w:themeColor="text1"/>
          <w:sz w:val="32"/>
          <w:szCs w:val="32"/>
          <w:lang w:eastAsia="zh-CN"/>
        </w:rPr>
        <w:t>领导</w:t>
      </w:r>
      <w:r>
        <w:rPr>
          <w:rFonts w:hint="default" w:ascii="Times New Roman" w:hAnsi="Times New Roman" w:eastAsia="仿宋_GB2312" w:cs="Times New Roman"/>
          <w:color w:val="000000" w:themeColor="text1"/>
          <w:sz w:val="32"/>
          <w:szCs w:val="32"/>
        </w:rPr>
        <w:t>到仁和开展外事外经工作调研;接待市</w:t>
      </w:r>
      <w:r>
        <w:rPr>
          <w:rFonts w:hint="default" w:ascii="Times New Roman" w:hAnsi="Times New Roman" w:eastAsia="仿宋_GB2312" w:cs="Times New Roman"/>
          <w:color w:val="000000" w:themeColor="text1"/>
          <w:sz w:val="32"/>
          <w:szCs w:val="32"/>
          <w:lang w:eastAsia="zh-CN"/>
        </w:rPr>
        <w:t>领导</w:t>
      </w:r>
      <w:r>
        <w:rPr>
          <w:rFonts w:hint="default" w:ascii="Times New Roman" w:hAnsi="Times New Roman" w:eastAsia="仿宋_GB2312" w:cs="Times New Roman"/>
          <w:color w:val="000000" w:themeColor="text1"/>
          <w:sz w:val="32"/>
          <w:szCs w:val="32"/>
        </w:rPr>
        <w:t>2022年农村环境整治成效评估现场审核;接待市</w:t>
      </w:r>
      <w:r>
        <w:rPr>
          <w:rFonts w:hint="default" w:ascii="Times New Roman" w:hAnsi="Times New Roman" w:eastAsia="仿宋_GB2312" w:cs="Times New Roman"/>
          <w:color w:val="000000" w:themeColor="text1"/>
          <w:sz w:val="32"/>
          <w:szCs w:val="32"/>
          <w:lang w:eastAsia="zh-CN"/>
        </w:rPr>
        <w:t>级</w:t>
      </w:r>
      <w:r>
        <w:rPr>
          <w:rFonts w:hint="default" w:ascii="Times New Roman" w:hAnsi="Times New Roman" w:eastAsia="仿宋_GB2312" w:cs="Times New Roman"/>
          <w:color w:val="000000" w:themeColor="text1"/>
          <w:sz w:val="32"/>
          <w:szCs w:val="32"/>
        </w:rPr>
        <w:t>2022年度地方预决算公开情况专项检查;</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外事接待支出</w:t>
      </w:r>
      <w:r>
        <w:rPr>
          <w:rFonts w:hint="default" w:ascii="Times New Roman" w:hAnsi="Times New Roman" w:eastAsia="仿宋" w:cs="Times New Roman"/>
          <w:color w:val="000000" w:themeColor="text1"/>
          <w:sz w:val="32"/>
          <w:szCs w:val="32"/>
        </w:rPr>
        <w:t>0</w:t>
      </w:r>
      <w:r>
        <w:rPr>
          <w:rFonts w:hint="default" w:ascii="Times New Roman" w:hAnsi="Times New Roman" w:eastAsia="仿宋_GB2312" w:cs="Times New Roman"/>
          <w:color w:val="000000" w:themeColor="text1"/>
          <w:sz w:val="32"/>
          <w:szCs w:val="32"/>
        </w:rPr>
        <w:t>万元，外事接待0批次，0人，共计支出0万元。</w:t>
      </w:r>
    </w:p>
    <w:p>
      <w:pPr>
        <w:pageBreakBefore w:val="0"/>
        <w:kinsoku/>
        <w:wordWrap/>
        <w:overflowPunct/>
        <w:topLinePunct w:val="0"/>
        <w:bidi w:val="0"/>
        <w:spacing w:line="560" w:lineRule="exact"/>
        <w:ind w:firstLine="640"/>
        <w:outlineLvl w:val="1"/>
        <w:rPr>
          <w:rStyle w:val="30"/>
          <w:rFonts w:hint="default" w:ascii="Times New Roman" w:hAnsi="Times New Roman" w:eastAsia="黑体" w:cs="Times New Roman"/>
        </w:rPr>
      </w:pPr>
      <w:bookmarkStart w:id="41" w:name="_Toc15396610"/>
      <w:bookmarkStart w:id="42" w:name="_Toc15377218"/>
      <w:r>
        <w:rPr>
          <w:rFonts w:hint="default" w:ascii="Times New Roman" w:hAnsi="Times New Roman" w:eastAsia="黑体" w:cs="Times New Roman"/>
          <w:color w:val="000000"/>
          <w:sz w:val="32"/>
          <w:szCs w:val="32"/>
        </w:rPr>
        <w:t>八、</w:t>
      </w:r>
      <w:r>
        <w:rPr>
          <w:rStyle w:val="30"/>
          <w:rFonts w:hint="default" w:ascii="Times New Roman" w:hAnsi="Times New Roman" w:eastAsia="黑体" w:cs="Times New Roman"/>
          <w:b w:val="0"/>
        </w:rPr>
        <w:t>政府性基金预算支出决算情况说明</w:t>
      </w:r>
      <w:bookmarkEnd w:id="41"/>
      <w:bookmarkEnd w:id="42"/>
    </w:p>
    <w:p>
      <w:pPr>
        <w:pageBreakBefore w:val="0"/>
        <w:kinsoku/>
        <w:wordWrap/>
        <w:overflowPunct/>
        <w:topLinePunct w:val="0"/>
        <w:bidi w:val="0"/>
        <w:spacing w:line="56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2023年政府性基金预算拨款支出</w:t>
      </w:r>
      <w:r>
        <w:rPr>
          <w:rFonts w:hint="default" w:ascii="Times New Roman" w:hAnsi="Times New Roman" w:eastAsia="仿宋_GB2312" w:cs="Times New Roman"/>
          <w:color w:val="000000"/>
          <w:sz w:val="32"/>
          <w:lang w:val="zh-CN"/>
        </w:rPr>
        <w:t>0</w:t>
      </w:r>
      <w:r>
        <w:rPr>
          <w:rFonts w:hint="default" w:ascii="Times New Roman" w:hAnsi="Times New Roman" w:eastAsia="仿宋_GB2312" w:cs="Times New Roman"/>
          <w:color w:val="000000"/>
          <w:sz w:val="32"/>
          <w:szCs w:val="32"/>
        </w:rPr>
        <w:t>万元。</w:t>
      </w:r>
    </w:p>
    <w:p>
      <w:pPr>
        <w:pageBreakBefore w:val="0"/>
        <w:numPr>
          <w:ilvl w:val="0"/>
          <w:numId w:val="3"/>
        </w:numPr>
        <w:kinsoku/>
        <w:wordWrap/>
        <w:overflowPunct/>
        <w:topLinePunct w:val="0"/>
        <w:bidi w:val="0"/>
        <w:spacing w:line="560" w:lineRule="exact"/>
        <w:ind w:firstLine="640"/>
        <w:outlineLvl w:val="1"/>
        <w:rPr>
          <w:rStyle w:val="30"/>
          <w:rFonts w:hint="default" w:ascii="Times New Roman" w:hAnsi="Times New Roman" w:eastAsia="黑体" w:cs="Times New Roman"/>
          <w:b w:val="0"/>
        </w:rPr>
      </w:pPr>
      <w:bookmarkStart w:id="43" w:name="_Toc15396611"/>
      <w:bookmarkStart w:id="44" w:name="_Toc15377219"/>
      <w:r>
        <w:rPr>
          <w:rStyle w:val="30"/>
          <w:rFonts w:hint="default" w:ascii="Times New Roman" w:hAnsi="Times New Roman" w:eastAsia="黑体" w:cs="Times New Roman"/>
          <w:b w:val="0"/>
        </w:rPr>
        <w:t>国有资本经营预算支出决算情况说明</w:t>
      </w:r>
      <w:bookmarkEnd w:id="43"/>
      <w:bookmarkEnd w:id="44"/>
    </w:p>
    <w:p>
      <w:pPr>
        <w:pageBreakBefore w:val="0"/>
        <w:kinsoku/>
        <w:wordWrap/>
        <w:overflowPunct/>
        <w:topLinePunct w:val="0"/>
        <w:bidi w:val="0"/>
        <w:spacing w:line="560" w:lineRule="exact"/>
        <w:ind w:firstLine="640"/>
        <w:rPr>
          <w:rFonts w:hint="default" w:ascii="Times New Roman" w:hAnsi="Times New Roman" w:eastAsia="仿宋_GB2312" w:cs="Times New Roman"/>
          <w:color w:val="000000"/>
          <w:sz w:val="32"/>
          <w:lang w:val="zh-CN"/>
        </w:rPr>
      </w:pPr>
      <w:bookmarkStart w:id="45" w:name="_Toc15377221"/>
      <w:bookmarkStart w:id="46" w:name="_Toc15396612"/>
      <w:r>
        <w:rPr>
          <w:rFonts w:hint="default" w:ascii="Times New Roman" w:hAnsi="Times New Roman" w:eastAsia="仿宋_GB2312" w:cs="Times New Roman"/>
          <w:color w:val="000000"/>
          <w:sz w:val="32"/>
          <w:lang w:val="zh-CN"/>
        </w:rPr>
        <w:t>2023年国有资本经营预算拨款支出0万元。</w:t>
      </w:r>
    </w:p>
    <w:p>
      <w:pPr>
        <w:pageBreakBefore w:val="0"/>
        <w:kinsoku/>
        <w:wordWrap/>
        <w:overflowPunct/>
        <w:topLinePunct w:val="0"/>
        <w:bidi w:val="0"/>
        <w:spacing w:line="560" w:lineRule="exact"/>
        <w:ind w:firstLine="800" w:firstLineChars="250"/>
        <w:outlineLvl w:val="1"/>
        <w:rPr>
          <w:rStyle w:val="30"/>
          <w:rFonts w:hint="default" w:ascii="Times New Roman" w:hAnsi="Times New Roman" w:eastAsia="黑体" w:cs="Times New Roman"/>
        </w:rPr>
      </w:pPr>
      <w:r>
        <w:rPr>
          <w:rFonts w:hint="default" w:ascii="Times New Roman" w:hAnsi="Times New Roman" w:eastAsia="黑体" w:cs="Times New Roman"/>
          <w:color w:val="000000"/>
          <w:sz w:val="32"/>
          <w:szCs w:val="32"/>
        </w:rPr>
        <w:t>十</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其他重要事项的情况说明</w:t>
      </w:r>
      <w:bookmarkEnd w:id="45"/>
      <w:bookmarkEnd w:id="46"/>
    </w:p>
    <w:p>
      <w:pPr>
        <w:keepNext/>
        <w:keepLines/>
        <w:pageBreakBefore w:val="0"/>
        <w:kinsoku/>
        <w:wordWrap/>
        <w:overflowPunct/>
        <w:topLinePunct w:val="0"/>
        <w:bidi w:val="0"/>
        <w:spacing w:line="560" w:lineRule="exact"/>
        <w:ind w:firstLine="643"/>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b/>
          <w:color w:val="000000"/>
          <w:sz w:val="32"/>
          <w:lang w:val="zh-CN"/>
        </w:rPr>
        <w:t>（一）机关运行经费支出情况</w:t>
      </w:r>
    </w:p>
    <w:p>
      <w:pPr>
        <w:pageBreakBefore w:val="0"/>
        <w:kinsoku/>
        <w:wordWrap/>
        <w:overflowPunct/>
        <w:topLinePunct w:val="0"/>
        <w:bidi w:val="0"/>
        <w:spacing w:line="560" w:lineRule="exact"/>
        <w:ind w:firstLine="64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sz w:val="32"/>
          <w:lang w:val="zh-CN"/>
        </w:rPr>
        <w:t>　2023年，攀枝花市仁和区财政局机关运行经费支出74.83万元，比2022年减少0.67万元，减少13.34%。主</w:t>
      </w:r>
      <w:r>
        <w:rPr>
          <w:rFonts w:hint="default" w:ascii="Times New Roman" w:hAnsi="Times New Roman" w:eastAsia="仿宋_GB2312" w:cs="Times New Roman"/>
          <w:color w:val="000000" w:themeColor="text1"/>
          <w:sz w:val="32"/>
          <w:szCs w:val="32"/>
        </w:rPr>
        <w:t>要原因是本年度我单位厉行节约，从而减少水、电、办公用品等支出。</w:t>
      </w:r>
    </w:p>
    <w:p>
      <w:pPr>
        <w:pageBreakBefore w:val="0"/>
        <w:kinsoku/>
        <w:wordWrap/>
        <w:overflowPunct/>
        <w:topLinePunct w:val="0"/>
        <w:autoSpaceDE w:val="0"/>
        <w:autoSpaceDN w:val="0"/>
        <w:bidi w:val="0"/>
        <w:adjustRightInd w:val="0"/>
        <w:spacing w:line="560" w:lineRule="exact"/>
        <w:ind w:firstLine="643" w:firstLineChars="200"/>
        <w:jc w:val="left"/>
        <w:outlineLvl w:val="2"/>
        <w:rPr>
          <w:rFonts w:hint="default" w:ascii="Times New Roman" w:hAnsi="Times New Roman" w:eastAsia="仿宋" w:cs="Times New Roman"/>
          <w:b/>
          <w:color w:val="000000"/>
          <w:sz w:val="32"/>
          <w:szCs w:val="32"/>
        </w:rPr>
      </w:pPr>
      <w:bookmarkStart w:id="47" w:name="_Toc15377223"/>
      <w:r>
        <w:rPr>
          <w:rFonts w:hint="default" w:ascii="Times New Roman" w:hAnsi="Times New Roman" w:eastAsia="仿宋" w:cs="Times New Roman"/>
          <w:b/>
          <w:color w:val="000000"/>
          <w:sz w:val="32"/>
          <w:szCs w:val="32"/>
        </w:rPr>
        <w:t>（二）政府采购支出情况</w:t>
      </w:r>
      <w:bookmarkEnd w:id="47"/>
    </w:p>
    <w:p>
      <w:pPr>
        <w:pageBreakBefore w:val="0"/>
        <w:kinsoku/>
        <w:wordWrap/>
        <w:overflowPunct/>
        <w:topLinePunct w:val="0"/>
        <w:bidi w:val="0"/>
        <w:spacing w:line="560" w:lineRule="exact"/>
        <w:ind w:left="200"/>
        <w:jc w:val="left"/>
        <w:rPr>
          <w:rFonts w:hint="default" w:ascii="Times New Roman" w:hAnsi="Times New Roman" w:eastAsia="仿宋_GB2312" w:cs="Times New Roman"/>
          <w:color w:val="000000" w:themeColor="text1"/>
          <w:sz w:val="32"/>
          <w:highlight w:val="none"/>
          <w:lang w:val="zh-CN"/>
        </w:rPr>
      </w:pPr>
      <w:r>
        <w:rPr>
          <w:rFonts w:hint="default" w:ascii="Times New Roman" w:hAnsi="Times New Roman" w:eastAsia="仿宋_GB2312" w:cs="Times New Roman"/>
          <w:color w:val="000000" w:themeColor="text1"/>
          <w:sz w:val="32"/>
          <w:highlight w:val="none"/>
          <w:lang w:val="zh-CN"/>
        </w:rPr>
        <w:t>　　2023年，攀枝花市仁和区财政局政府采购支出总额</w:t>
      </w:r>
      <w:r>
        <w:rPr>
          <w:rFonts w:hint="default" w:ascii="Times New Roman" w:hAnsi="Times New Roman" w:eastAsia="仿宋_GB2312" w:cs="Times New Roman"/>
          <w:color w:val="000000" w:themeColor="text1"/>
          <w:sz w:val="32"/>
          <w:highlight w:val="none"/>
          <w:lang w:val="en-US" w:eastAsia="zh-CN"/>
        </w:rPr>
        <w:t>200.14</w:t>
      </w:r>
      <w:r>
        <w:rPr>
          <w:rFonts w:hint="default" w:ascii="Times New Roman" w:hAnsi="Times New Roman" w:eastAsia="仿宋_GB2312" w:cs="Times New Roman"/>
          <w:color w:val="000000" w:themeColor="text1"/>
          <w:sz w:val="32"/>
          <w:highlight w:val="none"/>
          <w:lang w:val="zh-CN"/>
        </w:rPr>
        <w:t>万元，其中：政府采购货物支出</w:t>
      </w:r>
      <w:r>
        <w:rPr>
          <w:rFonts w:hint="default" w:ascii="Times New Roman" w:hAnsi="Times New Roman" w:eastAsia="仿宋_GB2312" w:cs="Times New Roman"/>
          <w:color w:val="000000" w:themeColor="text1"/>
          <w:sz w:val="32"/>
          <w:highlight w:val="none"/>
          <w:lang w:val="en-US" w:eastAsia="zh-CN"/>
        </w:rPr>
        <w:t>0.14</w:t>
      </w:r>
      <w:r>
        <w:rPr>
          <w:rFonts w:hint="default" w:ascii="Times New Roman" w:hAnsi="Times New Roman" w:eastAsia="仿宋_GB2312" w:cs="Times New Roman"/>
          <w:color w:val="000000" w:themeColor="text1"/>
          <w:sz w:val="32"/>
          <w:highlight w:val="none"/>
          <w:lang w:val="zh-CN"/>
        </w:rPr>
        <w:t>万元、政府采购工程支出0万元、政府采购服务支出</w:t>
      </w:r>
      <w:r>
        <w:rPr>
          <w:rFonts w:hint="default" w:ascii="Times New Roman" w:hAnsi="Times New Roman" w:eastAsia="仿宋_GB2312" w:cs="Times New Roman"/>
          <w:color w:val="000000" w:themeColor="text1"/>
          <w:sz w:val="32"/>
          <w:highlight w:val="none"/>
          <w:lang w:val="en-US" w:eastAsia="zh-CN"/>
        </w:rPr>
        <w:t>200.00</w:t>
      </w:r>
      <w:r>
        <w:rPr>
          <w:rFonts w:hint="default" w:ascii="Times New Roman" w:hAnsi="Times New Roman" w:eastAsia="仿宋_GB2312" w:cs="Times New Roman"/>
          <w:color w:val="000000" w:themeColor="text1"/>
          <w:sz w:val="32"/>
          <w:highlight w:val="none"/>
          <w:lang w:val="zh-CN"/>
        </w:rPr>
        <w:t>万元。政府采购货物支出主要用于购买办公设备，政府采购服务支出用于评审项目采购。</w:t>
      </w:r>
    </w:p>
    <w:p>
      <w:pPr>
        <w:keepNext/>
        <w:keepLines/>
        <w:pageBreakBefore w:val="0"/>
        <w:kinsoku/>
        <w:wordWrap/>
        <w:overflowPunct/>
        <w:topLinePunct w:val="0"/>
        <w:bidi w:val="0"/>
        <w:spacing w:line="560" w:lineRule="exact"/>
        <w:ind w:firstLine="643"/>
        <w:rPr>
          <w:rFonts w:hint="default" w:ascii="Times New Roman" w:hAnsi="Times New Roman" w:eastAsia="仿宋_GB2312" w:cs="Times New Roman"/>
          <w:b/>
          <w:color w:val="000000"/>
          <w:sz w:val="32"/>
          <w:lang w:val="zh-CN"/>
        </w:rPr>
      </w:pPr>
      <w:r>
        <w:rPr>
          <w:rFonts w:hint="default" w:ascii="Times New Roman" w:hAnsi="Times New Roman" w:eastAsia="仿宋_GB2312" w:cs="Times New Roman"/>
          <w:b/>
          <w:color w:val="000000"/>
          <w:sz w:val="32"/>
          <w:lang w:val="zh-CN"/>
        </w:rPr>
        <w:t>（三）国有资产占有使用情况</w:t>
      </w:r>
    </w:p>
    <w:p>
      <w:pPr>
        <w:pageBreakBefore w:val="0"/>
        <w:kinsoku/>
        <w:wordWrap/>
        <w:overflowPunct/>
        <w:topLinePunct w:val="0"/>
        <w:bidi w:val="0"/>
        <w:spacing w:line="56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lang w:val="zh-CN"/>
        </w:rPr>
        <w:t>截至2023年12月31日，攀枝花市仁和区财政局共有车辆0辆，其中：副部（省）级及以上领导用车0辆、主要领导干部用车0辆、机要通信用车0辆、应急保障用车0辆、执法执勤用车0辆、特种专业技术用车0辆、离退休干部用车0辆、其他用车0辆。</w:t>
      </w:r>
      <w:r>
        <w:rPr>
          <w:rFonts w:hint="default" w:ascii="Times New Roman" w:hAnsi="Times New Roman" w:eastAsia="仿宋_GB2312" w:cs="Times New Roman"/>
          <w:color w:val="000000"/>
          <w:sz w:val="32"/>
          <w:szCs w:val="32"/>
        </w:rPr>
        <w:t>单价50万元以上通用设备0台（套），单价100万元以上专用设备0台（套）。</w:t>
      </w:r>
    </w:p>
    <w:p>
      <w:pPr>
        <w:pageBreakBefore w:val="0"/>
        <w:kinsoku/>
        <w:wordWrap/>
        <w:overflowPunct/>
        <w:topLinePunct w:val="0"/>
        <w:autoSpaceDE w:val="0"/>
        <w:autoSpaceDN w:val="0"/>
        <w:bidi w:val="0"/>
        <w:adjustRightInd w:val="0"/>
        <w:spacing w:line="560" w:lineRule="exact"/>
        <w:ind w:firstLine="643" w:firstLineChars="200"/>
        <w:jc w:val="left"/>
        <w:rPr>
          <w:rFonts w:hint="default" w:ascii="Times New Roman" w:hAnsi="Times New Roman" w:eastAsia="仿宋" w:cs="Times New Roman"/>
          <w:b/>
          <w:color w:val="000000" w:themeColor="text1"/>
          <w:sz w:val="32"/>
          <w:szCs w:val="32"/>
        </w:rPr>
      </w:pPr>
      <w:r>
        <w:rPr>
          <w:rFonts w:hint="default" w:ascii="Times New Roman" w:hAnsi="Times New Roman" w:eastAsia="仿宋" w:cs="Times New Roman"/>
          <w:b/>
          <w:color w:val="000000" w:themeColor="text1"/>
          <w:sz w:val="32"/>
          <w:szCs w:val="32"/>
        </w:rPr>
        <w:t>（四）预算绩效管理情况。</w:t>
      </w:r>
    </w:p>
    <w:p>
      <w:pPr>
        <w:pageBreakBefore w:val="0"/>
        <w:kinsoku/>
        <w:wordWrap/>
        <w:overflowPunct/>
        <w:topLinePunct w:val="0"/>
        <w:bidi w:val="0"/>
        <w:spacing w:line="560" w:lineRule="exact"/>
        <w:ind w:firstLine="640"/>
        <w:rPr>
          <w:rFonts w:hint="default" w:ascii="Times New Roman" w:hAnsi="Times New Roman" w:eastAsia="仿宋_GB2312" w:cs="Times New Roman"/>
          <w:color w:val="FF0000"/>
          <w:sz w:val="32"/>
        </w:rPr>
      </w:pPr>
      <w:r>
        <w:rPr>
          <w:rFonts w:hint="default" w:ascii="Times New Roman" w:hAnsi="Times New Roman" w:eastAsia="仿宋_GB2312" w:cs="Times New Roman"/>
          <w:color w:val="000000" w:themeColor="text1"/>
          <w:sz w:val="32"/>
        </w:rPr>
        <w:t>根据预算绩效管理要求，本部门在202</w:t>
      </w:r>
      <w:r>
        <w:rPr>
          <w:rFonts w:hint="default" w:ascii="Times New Roman" w:hAnsi="Times New Roman" w:eastAsia="仿宋_GB2312" w:cs="Times New Roman"/>
          <w:color w:val="000000" w:themeColor="text1"/>
          <w:sz w:val="32"/>
          <w:lang w:val="en-US" w:eastAsia="zh-CN"/>
        </w:rPr>
        <w:t>3</w:t>
      </w:r>
      <w:r>
        <w:rPr>
          <w:rFonts w:hint="default" w:ascii="Times New Roman" w:hAnsi="Times New Roman" w:eastAsia="仿宋_GB2312" w:cs="Times New Roman"/>
          <w:color w:val="000000" w:themeColor="text1"/>
          <w:sz w:val="32"/>
        </w:rPr>
        <w:t>年度预算编制阶段，组织对博思电子票据管理系统V1.0维护费、政府综合财务报告劳务费、政府专项债券项目咨询服务费、地方政府债务数据监测平台技术维护费、资产管理信息系统软件运行维护经费、财政预算管理一体化系统建设运行维护管理经费</w:t>
      </w:r>
      <w:r>
        <w:rPr>
          <w:rFonts w:hint="default" w:ascii="Times New Roman" w:hAnsi="Times New Roman" w:eastAsia="仿宋_GB2312" w:cs="Times New Roman"/>
          <w:color w:val="000000" w:themeColor="text1"/>
          <w:sz w:val="32"/>
          <w:lang w:eastAsia="zh-CN"/>
        </w:rPr>
        <w:t>、</w:t>
      </w:r>
      <w:r>
        <w:rPr>
          <w:rFonts w:hint="default" w:ascii="Times New Roman" w:hAnsi="Times New Roman" w:eastAsia="仿宋_GB2312" w:cs="Times New Roman"/>
          <w:color w:val="000000" w:themeColor="text1"/>
          <w:sz w:val="32"/>
        </w:rPr>
        <w:t>政府投资项目评审费及项目结算审核费、仁和区财政网络及信息化设备运行维护保障服务费</w:t>
      </w:r>
      <w:r>
        <w:rPr>
          <w:rFonts w:hint="default" w:ascii="Times New Roman" w:hAnsi="Times New Roman" w:eastAsia="仿宋_GB2312" w:cs="Times New Roman"/>
          <w:color w:val="000000" w:themeColor="text1"/>
          <w:sz w:val="32"/>
          <w:lang w:eastAsia="zh-CN"/>
        </w:rPr>
        <w:t>、资产评估服务费、财政绩效预算管理经费</w:t>
      </w:r>
      <w:r>
        <w:rPr>
          <w:rFonts w:hint="default" w:ascii="Times New Roman" w:hAnsi="Times New Roman" w:eastAsia="仿宋_GB2312" w:cs="Times New Roman"/>
          <w:color w:val="000000" w:themeColor="text1"/>
          <w:sz w:val="32"/>
        </w:rPr>
        <w:t>等</w:t>
      </w:r>
      <w:r>
        <w:rPr>
          <w:rFonts w:hint="default" w:ascii="Times New Roman" w:hAnsi="Times New Roman" w:eastAsia="仿宋_GB2312" w:cs="Times New Roman"/>
          <w:color w:val="000000" w:themeColor="text1"/>
          <w:sz w:val="32"/>
          <w:lang w:val="en-US" w:eastAsia="zh-CN"/>
        </w:rPr>
        <w:t>10</w:t>
      </w:r>
      <w:r>
        <w:rPr>
          <w:rFonts w:hint="default" w:ascii="Times New Roman" w:hAnsi="Times New Roman" w:eastAsia="仿宋_GB2312" w:cs="Times New Roman"/>
          <w:color w:val="000000" w:themeColor="text1"/>
          <w:sz w:val="32"/>
        </w:rPr>
        <w:t>个项目开展了预算事前绩效评估，编制了绩效目标</w:t>
      </w:r>
      <w:r>
        <w:rPr>
          <w:rFonts w:hint="default" w:ascii="Times New Roman" w:hAnsi="Times New Roman" w:eastAsia="仿宋_GB2312" w:cs="Times New Roman"/>
          <w:color w:val="000000"/>
          <w:sz w:val="32"/>
          <w:szCs w:val="32"/>
        </w:rPr>
        <w:t>。</w:t>
      </w:r>
    </w:p>
    <w:p>
      <w:pPr>
        <w:pageBreakBefore w:val="0"/>
        <w:widowControl/>
        <w:kinsoku/>
        <w:wordWrap/>
        <w:overflowPunct/>
        <w:topLinePunct w:val="0"/>
        <w:bidi w:val="0"/>
        <w:spacing w:line="560" w:lineRule="exact"/>
        <w:ind w:firstLine="640" w:firstLineChars="200"/>
        <w:jc w:val="left"/>
        <w:rPr>
          <w:rFonts w:hint="default" w:ascii="Times New Roman" w:hAnsi="Times New Roman" w:eastAsia="仿宋_GB2312" w:cs="Times New Roman"/>
          <w:color w:val="000000" w:themeColor="text1"/>
          <w:sz w:val="32"/>
          <w:lang w:val="en-US" w:eastAsia="zh-CN"/>
        </w:rPr>
      </w:pPr>
      <w:r>
        <w:rPr>
          <w:rFonts w:hint="default" w:ascii="Times New Roman" w:hAnsi="Times New Roman" w:eastAsia="仿宋_GB2312" w:cs="Times New Roman"/>
          <w:color w:val="000000" w:themeColor="text1"/>
          <w:sz w:val="32"/>
        </w:rPr>
        <w:t>组织对202</w:t>
      </w:r>
      <w:r>
        <w:rPr>
          <w:rFonts w:hint="default" w:ascii="Times New Roman" w:hAnsi="Times New Roman" w:eastAsia="仿宋_GB2312" w:cs="Times New Roman"/>
          <w:color w:val="000000" w:themeColor="text1"/>
          <w:sz w:val="32"/>
          <w:lang w:val="en-US" w:eastAsia="zh-CN"/>
        </w:rPr>
        <w:t>3</w:t>
      </w:r>
      <w:r>
        <w:rPr>
          <w:rFonts w:hint="default" w:ascii="Times New Roman" w:hAnsi="Times New Roman" w:eastAsia="仿宋_GB2312" w:cs="Times New Roman"/>
          <w:color w:val="000000" w:themeColor="text1"/>
          <w:sz w:val="32"/>
        </w:rPr>
        <w:t>年度一般公共预算、政府性基金预算、国有资本经营预算、社会保险基金预算以及资本资产、债券资金等全面开展绩效自评，形成攀枝花市仁和区财政局部门整体（含部门预算项目）绩效自评报告，其中，攀枝花市仁和区财政局部门整体（含部门预算项目）绩效自评得分为9</w:t>
      </w:r>
      <w:r>
        <w:rPr>
          <w:rFonts w:hint="default" w:ascii="Times New Roman" w:hAnsi="Times New Roman" w:eastAsia="仿宋_GB2312" w:cs="Times New Roman"/>
          <w:color w:val="000000" w:themeColor="text1"/>
          <w:sz w:val="32"/>
          <w:lang w:val="en-US" w:eastAsia="zh-CN"/>
        </w:rPr>
        <w:t>2</w:t>
      </w:r>
      <w:r>
        <w:rPr>
          <w:rFonts w:hint="default" w:ascii="Times New Roman" w:hAnsi="Times New Roman" w:eastAsia="仿宋_GB2312" w:cs="Times New Roman"/>
          <w:color w:val="000000" w:themeColor="text1"/>
          <w:sz w:val="32"/>
        </w:rPr>
        <w:t>分</w:t>
      </w:r>
      <w:r>
        <w:rPr>
          <w:rFonts w:hint="default" w:ascii="Times New Roman" w:hAnsi="Times New Roman" w:eastAsia="仿宋_GB2312" w:cs="Times New Roman"/>
          <w:color w:val="000000"/>
          <w:sz w:val="32"/>
          <w:szCs w:val="32"/>
        </w:rPr>
        <w:t>。</w:t>
      </w:r>
    </w:p>
    <w:p>
      <w:pPr>
        <w:pStyle w:val="2"/>
        <w:pageBreakBefore w:val="0"/>
        <w:kinsoku/>
        <w:wordWrap/>
        <w:overflowPunct/>
        <w:topLinePunct w:val="0"/>
        <w:bidi w:val="0"/>
        <w:ind w:firstLine="320" w:firstLineChars="100"/>
        <w:rPr>
          <w:rFonts w:hint="default" w:ascii="Times New Roman" w:hAnsi="Times New Roman" w:eastAsia="仿宋" w:cs="Times New Roman"/>
          <w:lang w:eastAsia="zh-CN"/>
        </w:rPr>
      </w:pPr>
      <w:r>
        <w:rPr>
          <w:rFonts w:hint="default" w:ascii="Times New Roman" w:hAnsi="Times New Roman" w:eastAsia="仿宋" w:cs="Times New Roman"/>
          <w:i w:val="0"/>
          <w:iCs w:val="0"/>
          <w:color w:val="000000"/>
          <w:sz w:val="32"/>
          <w:szCs w:val="32"/>
        </w:rPr>
        <w:t>2023 年本部门不涉及专项预算项目绩效评价</w:t>
      </w:r>
      <w:r>
        <w:rPr>
          <w:rFonts w:hint="default" w:ascii="Times New Roman" w:hAnsi="Times New Roman" w:eastAsia="仿宋" w:cs="Times New Roman"/>
          <w:i w:val="0"/>
          <w:iCs w:val="0"/>
          <w:color w:val="000000"/>
          <w:sz w:val="32"/>
          <w:szCs w:val="32"/>
          <w:lang w:eastAsia="zh-CN"/>
        </w:rPr>
        <w:t>。</w:t>
      </w:r>
    </w:p>
    <w:p>
      <w:pPr>
        <w:pageBreakBefore w:val="0"/>
        <w:widowControl/>
        <w:kinsoku/>
        <w:wordWrap/>
        <w:overflowPunct/>
        <w:topLinePunct w:val="0"/>
        <w:bidi w:val="0"/>
        <w:spacing w:line="560" w:lineRule="exact"/>
        <w:ind w:firstLine="640" w:firstLineChars="200"/>
        <w:jc w:val="left"/>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《202</w:t>
      </w:r>
      <w:r>
        <w:rPr>
          <w:rFonts w:hint="default" w:ascii="Times New Roman" w:hAnsi="Times New Roman" w:eastAsia="仿宋_GB2312" w:cs="Times New Roman"/>
          <w:color w:val="000000" w:themeColor="text1"/>
          <w:sz w:val="32"/>
          <w:szCs w:val="32"/>
          <w:lang w:val="en-US" w:eastAsia="zh-CN"/>
        </w:rPr>
        <w:t>3</w:t>
      </w:r>
      <w:r>
        <w:rPr>
          <w:rFonts w:hint="default" w:ascii="Times New Roman" w:hAnsi="Times New Roman" w:eastAsia="仿宋_GB2312" w:cs="Times New Roman"/>
          <w:color w:val="000000" w:themeColor="text1"/>
          <w:sz w:val="32"/>
          <w:szCs w:val="32"/>
        </w:rPr>
        <w:t>年攀枝花市财政局部门整体绩效评价报告》详见第四部分附件。</w:t>
      </w:r>
    </w:p>
    <w:p>
      <w:pPr>
        <w:pageBreakBefore w:val="0"/>
        <w:kinsoku/>
        <w:wordWrap/>
        <w:overflowPunct/>
        <w:topLinePunct w:val="0"/>
        <w:bidi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sz w:val="32"/>
          <w:lang w:val="zh-CN"/>
        </w:rPr>
        <w:br w:type="page"/>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i/>
          <w:kern w:val="0"/>
          <w:sz w:val="32"/>
          <w:szCs w:val="32"/>
        </w:rPr>
      </w:pPr>
    </w:p>
    <w:p>
      <w:pPr>
        <w:pageBreakBefore w:val="0"/>
        <w:kinsoku/>
        <w:wordWrap/>
        <w:overflowPunct/>
        <w:topLinePunct w:val="0"/>
        <w:bidi w:val="0"/>
        <w:spacing w:line="560" w:lineRule="exact"/>
        <w:ind w:firstLine="643" w:firstLineChars="200"/>
        <w:rPr>
          <w:rFonts w:hint="default" w:ascii="Times New Roman" w:hAnsi="Times New Roman" w:eastAsia="仿宋_GB2312" w:cs="Times New Roman"/>
          <w:b/>
          <w:color w:val="000000"/>
          <w:sz w:val="32"/>
          <w:szCs w:val="32"/>
        </w:rPr>
      </w:pPr>
    </w:p>
    <w:p>
      <w:pPr>
        <w:pageBreakBefore w:val="0"/>
        <w:numPr>
          <w:ilvl w:val="0"/>
          <w:numId w:val="4"/>
        </w:numPr>
        <w:kinsoku/>
        <w:wordWrap/>
        <w:overflowPunct/>
        <w:topLinePunct w:val="0"/>
        <w:bidi w:val="0"/>
        <w:spacing w:line="560" w:lineRule="exact"/>
        <w:ind w:firstLine="660" w:firstLineChars="150"/>
        <w:jc w:val="center"/>
        <w:outlineLvl w:val="0"/>
        <w:rPr>
          <w:rStyle w:val="29"/>
          <w:rFonts w:hint="default" w:ascii="Times New Roman" w:hAnsi="Times New Roman" w:eastAsia="黑体" w:cs="Times New Roman"/>
          <w:b w:val="0"/>
        </w:rPr>
      </w:pPr>
      <w:bookmarkStart w:id="48" w:name="_Toc15377225"/>
      <w:bookmarkStart w:id="49" w:name="_Toc15396613"/>
      <w:r>
        <w:rPr>
          <w:rFonts w:hint="default" w:ascii="Times New Roman" w:hAnsi="Times New Roman" w:eastAsia="黑体" w:cs="Times New Roman"/>
          <w:color w:val="000000"/>
          <w:sz w:val="44"/>
          <w:szCs w:val="44"/>
        </w:rPr>
        <w:t>名</w:t>
      </w:r>
      <w:r>
        <w:rPr>
          <w:rStyle w:val="29"/>
          <w:rFonts w:hint="default" w:ascii="Times New Roman" w:hAnsi="Times New Roman" w:eastAsia="黑体" w:cs="Times New Roman"/>
          <w:b w:val="0"/>
        </w:rPr>
        <w:t>词解释</w:t>
      </w:r>
      <w:bookmarkEnd w:id="48"/>
      <w:bookmarkEnd w:id="49"/>
    </w:p>
    <w:p>
      <w:pPr>
        <w:pageBreakBefore w:val="0"/>
        <w:kinsoku/>
        <w:wordWrap/>
        <w:overflowPunct/>
        <w:topLinePunct w:val="0"/>
        <w:bidi w:val="0"/>
        <w:spacing w:line="560" w:lineRule="exact"/>
        <w:jc w:val="left"/>
        <w:rPr>
          <w:rFonts w:hint="default" w:ascii="Times New Roman" w:hAnsi="Times New Roman" w:cs="Times New Roman"/>
          <w:b/>
          <w:color w:val="000000"/>
          <w:sz w:val="44"/>
          <w:szCs w:val="44"/>
        </w:rPr>
      </w:pPr>
    </w:p>
    <w:p>
      <w:pPr>
        <w:pStyle w:val="27"/>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pStyle w:val="27"/>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pPr>
        <w:pStyle w:val="27"/>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pPr>
        <w:pStyle w:val="27"/>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4.其他收入：指单位取得的除上述收入以外的各项收入。主要是收青鹏人才支持资金1万元。</w:t>
      </w:r>
    </w:p>
    <w:p>
      <w:pPr>
        <w:pStyle w:val="27"/>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使用非财政拨款结余：指事业单位使用以前年度积累的非财政拨款结余弥补当年收支差额的金额。</w:t>
      </w:r>
    </w:p>
    <w:p>
      <w:pPr>
        <w:pStyle w:val="27"/>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6.年初结转和结余：指以前年度尚未完成、结转到本年按有关规定继续使用的资金。</w:t>
      </w:r>
    </w:p>
    <w:p>
      <w:pPr>
        <w:pStyle w:val="27"/>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pPr>
        <w:pStyle w:val="27"/>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9.一般公共服务（类）财政事务（款）行政运行（项）:指行政单位（包括实行公务员管理的事业单位）的基本支出。</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10.一般公共服务（类）财政事务（款）一般行政管理事务（项）: 指行政单位（包括实行公务员管理的事业单位）未单独设置项级科目的其他项目支出。</w:t>
      </w:r>
    </w:p>
    <w:p>
      <w:pPr>
        <w:pageBreakBefore w:val="0"/>
        <w:kinsoku/>
        <w:wordWrap/>
        <w:overflowPunct/>
        <w:topLinePunct w:val="0"/>
        <w:bidi w:val="0"/>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11、一般公共服务（类）财政事务（款）信息化建设（项）: 指反映财政部门用于信息化建设方面的支出。</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12、一般公共服务（类）财政事务（款）财政委托业务支出（项）: 指反映财政委托评审机构进行财政投资评审和委托建设银行等机构代理业务发生的支出。</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13、一般公共服务（类）财政事务（款）事业运行（项）: 指反映事业单位的基本支出，不包括行政单位（包括实行公务员管理的事业单位）后勤服务中心、医务室等附属事业单位。</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14、社会保障和就业（类）行政事业单位养老支出（款）行政单位离退休（项）:指反映行政单位（包括实行公务员管理的事业单位）开支的离退休经费。</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15、社会保障和就业（类）行政事业单位养老支出（款）机关事业单位基本养老保险缴费支出（项）: 指反映机关事业单位实施养老保险制度由单位缴纳的基本养老保险费支出。</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16、卫生健康支出（类）行政事业单位医疗（款）行政单位医疗（项）:指反映财政部门安排的行政单位（包括实行公务员管理的事业单位，下同）基本医疗保险缴费经费，未参加养老保险的行政单位的公费医疗经费，按国家规定享受离休人员、红军老战士待遇人员的医疗经费。</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17、卫生健康支出（类）行政事业单位医疗（款）事业单位医疗（项）: 指反映财政部门安排的事业单位基本医疗保险缴费经费，未参加医疗保险的事业单位的公费医疗经费，按国家规定享受离休人员待遇的医疗经费。</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18、卫生健康支出（类）行政事业单位医疗（款）公务员医疗补助（项）:指反映财政部门安排的公务员医疗补助经费。</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sz w:val="32"/>
          <w:szCs w:val="32"/>
        </w:rPr>
        <w:t>19、农林水支出（类）农业农村（款）其他农业农村支出（项）:</w:t>
      </w:r>
      <w:r>
        <w:rPr>
          <w:rFonts w:hint="default" w:ascii="Times New Roman" w:hAnsi="Times New Roman" w:eastAsia="仿宋_GB2312" w:cs="Times New Roman"/>
          <w:color w:val="000000" w:themeColor="text1"/>
          <w:sz w:val="32"/>
          <w:szCs w:val="32"/>
        </w:rPr>
        <w:t>反映</w:t>
      </w:r>
      <w:r>
        <w:rPr>
          <w:rFonts w:hint="default" w:ascii="Times New Roman" w:hAnsi="Times New Roman" w:eastAsia="仿宋_GB2312" w:cs="Times New Roman"/>
          <w:color w:val="000000" w:themeColor="text1"/>
          <w:sz w:val="32"/>
          <w:szCs w:val="32"/>
          <w:lang w:eastAsia="zh-CN"/>
        </w:rPr>
        <w:t>除上述项目以外其他用于农业农村方面的</w:t>
      </w:r>
      <w:r>
        <w:rPr>
          <w:rFonts w:hint="default" w:ascii="Times New Roman" w:hAnsi="Times New Roman" w:eastAsia="仿宋_GB2312" w:cs="Times New Roman"/>
          <w:color w:val="000000" w:themeColor="text1"/>
          <w:sz w:val="32"/>
          <w:szCs w:val="32"/>
        </w:rPr>
        <w:t>支出。</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20、住房保障支出（类）住房改革支出（款）住房公积金（项）:指反映行政事业单位按人力资源和社会保障部、财政部规定的基本工资和津贴补贴以及规定比例为职工缴纳的住房公积金。</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21.基本支出：指为保障机构正常运转、完成日常工作任务而发生的人员支出和公用支出。</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22.项目支出：指在基本支出之外为完成特定行政任务和事业发展目标所发生的支出。</w:t>
      </w:r>
    </w:p>
    <w:p>
      <w:pPr>
        <w:pStyle w:val="27"/>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60" w:lineRule="exact"/>
        <w:jc w:val="center"/>
        <w:outlineLvl w:val="0"/>
        <w:rPr>
          <w:rFonts w:hint="default" w:ascii="Times New Roman" w:hAnsi="Times New Roman" w:eastAsia="黑体" w:cs="Times New Roman"/>
          <w:color w:val="000000"/>
          <w:sz w:val="44"/>
          <w:szCs w:val="44"/>
        </w:rPr>
      </w:pPr>
      <w:bookmarkStart w:id="50" w:name="_Toc15396614"/>
      <w:bookmarkStart w:id="51" w:name="_Toc15377226"/>
    </w:p>
    <w:p>
      <w:pPr>
        <w:pageBreakBefore w:val="0"/>
        <w:kinsoku/>
        <w:wordWrap/>
        <w:overflowPunct/>
        <w:topLinePunct w:val="0"/>
        <w:bidi w:val="0"/>
        <w:spacing w:line="560" w:lineRule="exact"/>
        <w:jc w:val="center"/>
        <w:outlineLvl w:val="0"/>
        <w:rPr>
          <w:rStyle w:val="29"/>
          <w:rFonts w:hint="default" w:ascii="Times New Roman" w:hAnsi="Times New Roman" w:eastAsia="黑体" w:cs="Times New Roman"/>
          <w:b w:val="0"/>
        </w:rPr>
      </w:pPr>
      <w:r>
        <w:rPr>
          <w:rFonts w:hint="default" w:ascii="Times New Roman" w:hAnsi="Times New Roman" w:eastAsia="黑体" w:cs="Times New Roman"/>
          <w:color w:val="000000"/>
          <w:sz w:val="44"/>
          <w:szCs w:val="44"/>
        </w:rPr>
        <w:t>第</w:t>
      </w:r>
      <w:r>
        <w:rPr>
          <w:rStyle w:val="29"/>
          <w:rFonts w:hint="default" w:ascii="Times New Roman" w:hAnsi="Times New Roman" w:eastAsia="黑体" w:cs="Times New Roman"/>
          <w:b w:val="0"/>
        </w:rPr>
        <w:t>四部分 附件</w:t>
      </w:r>
      <w:bookmarkEnd w:id="50"/>
    </w:p>
    <w:p>
      <w:pPr>
        <w:pageBreakBefore w:val="0"/>
        <w:kinsoku/>
        <w:wordWrap/>
        <w:overflowPunct/>
        <w:topLinePunct w:val="0"/>
        <w:bidi w:val="0"/>
        <w:spacing w:line="560" w:lineRule="exact"/>
        <w:jc w:val="left"/>
        <w:outlineLvl w:val="0"/>
        <w:rPr>
          <w:rFonts w:hint="default" w:ascii="Times New Roman" w:hAnsi="Times New Roman" w:eastAsia="方正小标宋简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suppressAutoHyphens/>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color w:val="auto"/>
          <w:sz w:val="44"/>
          <w:szCs w:val="44"/>
          <w:highlight w:val="none"/>
          <w:shd w:val="clear" w:color="auto" w:fill="FFFFFF"/>
        </w:rPr>
      </w:pPr>
    </w:p>
    <w:p>
      <w:pPr>
        <w:keepNext w:val="0"/>
        <w:keepLines w:val="0"/>
        <w:pageBreakBefore w:val="0"/>
        <w:widowControl/>
        <w:suppressAutoHyphens/>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color w:val="auto"/>
          <w:sz w:val="44"/>
          <w:szCs w:val="44"/>
          <w:highlight w:val="none"/>
          <w:shd w:val="clear" w:color="auto" w:fill="FFFFFF"/>
        </w:rPr>
      </w:pPr>
      <w:r>
        <w:rPr>
          <w:rFonts w:hint="default" w:ascii="Times New Roman" w:hAnsi="Times New Roman" w:eastAsia="方正小标宋简体" w:cs="Times New Roman"/>
          <w:b w:val="0"/>
          <w:bCs/>
          <w:color w:val="auto"/>
          <w:sz w:val="44"/>
          <w:szCs w:val="44"/>
          <w:highlight w:val="none"/>
          <w:shd w:val="clear" w:color="auto" w:fill="FFFFFF"/>
        </w:rPr>
        <w:t>攀枝花市仁和区财政局</w:t>
      </w:r>
    </w:p>
    <w:p>
      <w:pPr>
        <w:keepNext w:val="0"/>
        <w:keepLines w:val="0"/>
        <w:pageBreakBefore w:val="0"/>
        <w:widowControl/>
        <w:suppressAutoHyphens/>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color w:val="auto"/>
          <w:sz w:val="44"/>
          <w:szCs w:val="44"/>
          <w:highlight w:val="none"/>
          <w:shd w:val="clear" w:color="auto" w:fill="FFFFFF"/>
          <w:lang w:val="zh-CN"/>
        </w:rPr>
      </w:pPr>
      <w:r>
        <w:rPr>
          <w:rFonts w:hint="default" w:ascii="Times New Roman" w:hAnsi="Times New Roman" w:eastAsia="方正小标宋简体" w:cs="Times New Roman"/>
          <w:b w:val="0"/>
          <w:bCs/>
          <w:color w:val="auto"/>
          <w:sz w:val="44"/>
          <w:szCs w:val="44"/>
          <w:highlight w:val="none"/>
          <w:shd w:val="clear" w:color="auto" w:fill="FFFFFF"/>
        </w:rPr>
        <w:t>2023年部门</w:t>
      </w:r>
      <w:r>
        <w:rPr>
          <w:rFonts w:hint="default" w:ascii="Times New Roman" w:hAnsi="Times New Roman" w:eastAsia="方正小标宋简体" w:cs="Times New Roman"/>
          <w:b w:val="0"/>
          <w:bCs/>
          <w:color w:val="auto"/>
          <w:sz w:val="44"/>
          <w:szCs w:val="44"/>
          <w:highlight w:val="none"/>
          <w:shd w:val="clear" w:color="auto" w:fill="FFFFFF"/>
          <w:lang w:val="zh-CN"/>
        </w:rPr>
        <w:t>预算绩效评价报告</w:t>
      </w:r>
    </w:p>
    <w:p>
      <w:pPr>
        <w:keepNext w:val="0"/>
        <w:keepLines w:val="0"/>
        <w:pageBreakBefore w:val="0"/>
        <w:widowControl/>
        <w:suppressAutoHyphens/>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（报告范围包括机关和下属单位）</w:t>
      </w:r>
    </w:p>
    <w:p>
      <w:pPr>
        <w:keepNext w:val="0"/>
        <w:keepLines w:val="0"/>
        <w:pageBreakBefore w:val="0"/>
        <w:widowControl/>
        <w:suppressAutoHyphens/>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color w:val="auto"/>
          <w:sz w:val="32"/>
          <w:szCs w:val="32"/>
          <w:highlight w:val="none"/>
          <w:shd w:val="clear" w:color="auto" w:fill="FFFFFF"/>
        </w:rPr>
      </w:pP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一、部门（单位）概况</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（一）机构组成。</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仁和区财政局下属二级单位3个：财政国库支付中心、财政绩效评价中心、财政投资评审与政府债务风险防控中心。设局办公室、预算股、国库股、经济建设股、政策法规.国有资产与会计股、行政事业股、涉农资金管理股、金融与政府债务管理股、财政监督与绩效管理股9个内设股室，派驻纪检组1个。</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拟订全区财税发展战略、规划、政策和改革方案并组织实施。分析预测宏观经济形势，参与制定各项经济政策，提出运用财税政策实施宏观调控和综合平衡社会财力的建议。拟订区与乡（镇）政府、政府与企业的分配政策，完善鼓励公益事业发展的财税政策。</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CN"/>
        </w:rPr>
        <w:t>贯彻执行财政、税收、财务、会计管理的法律法规和规章。负责组织起草地方性财政政策、规范性文件和规章制度并组织实施。按照管理权限管理全区税政事项。承办国务院关税税则委员会办公室要求区一级承担的工作。</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eastAsia="zh-CN"/>
        </w:rPr>
        <w:t>负责管理各项财政收支。编制年度区级预决算草案并组织执行。组织制定经费开支标准、定额，审核批复部门（单位）年度预决算。受区政府委托，向区人大及其常委会报告财政预算、执行和决算等情况。负责政府建立的各类基金、风险金、分险金的监督管理。负责区级预决算公开。负责全面实施预算绩效管理。</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eastAsia="zh-CN"/>
        </w:rPr>
        <w:t>按分工负责政府非税收入管理。负责政府性基金管理，按规定管理行政事业性收费等其他非税收入。管理财政票据。执行彩票管理政策，按规定管理彩票资金。</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eastAsia="zh-CN"/>
        </w:rPr>
        <w:t>组织制定全区国库管理制度、国库集中收付制度，指导和监督国库业务，开展国库现金管理工作。贯彻执行政府财务报告编制办法并组织实施。监督管理全区政府采购工作。</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zh-CN" w:eastAsia="zh-CN"/>
        </w:rPr>
        <w:t>贯彻执行地方政府债务管理制度和政策，制定具体管理办法，编制地方政府债余额限额计划，统一管理政府外债，防范财政风险。</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zh-CN" w:eastAsia="zh-CN"/>
        </w:rPr>
        <w:t>牵头编制全区国有资产管理情况报告。根据区政府授权，集中统一履行区级国有金融资本出资人职责。制定区级国有金融资本管理制度。拟订全区行政事业单位国有资产管理制度并组织实施。制定和监督执行统一规定的开支标准和支出政策。</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zh-CN" w:eastAsia="zh-CN"/>
        </w:rPr>
        <w:t>负责审核并汇总编制全区国有资本经营预决算草案。制定国有资本经营预算制度和办法，收取区本级企业国有资本收益。组织实施企业财务制度，负责财政预算内行政事业单位和社会团体的非贸易外汇和财政预算内的国际收支管理。</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zh-CN" w:eastAsia="zh-CN"/>
        </w:rPr>
        <w:t>负责审核并汇总编制全区社会保险基金预决算草案，会同有关部门拟订有关资金（基金）财务管理制度，承担社会保险基金财政监管工作。</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zh-CN" w:eastAsia="zh-CN"/>
        </w:rPr>
        <w:t>负责办理和监督区级财政的经济发展支出、区级政府性投资项目的财政拨款，负责投资评审管理工作，参与拟订区级基建投资有关政策，监督执行基建财务管理制度。负责政府性投资项目竣工决算、结算管理工作。</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zh-CN" w:eastAsia="zh-CN"/>
        </w:rPr>
        <w:t>管理外国政府和国际金融机构贷（赠）款项目的有关业务，参与财经领域的国际交流与合作。</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zh-CN" w:eastAsia="zh-CN"/>
        </w:rPr>
        <w:t>负责管理全区会计工作，监督和规范会计行为，组织实施国家统一的会计制度，指导社会审计。依法管理资产评估有关工作。</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zh-CN" w:eastAsia="zh-CN"/>
        </w:rPr>
        <w:t>拟定和执行国有资产管理的政策法规、规章制度和管理办法；负责全区行政事业单位国有资产及国有资产经营收益管理工作；组织实施行政事业单位、国有资产及区属企业资产的清产核资和绩效评价工作；组织实施区级行政事业单位及企业国有产权界定、企业国有资产产权界定和转让工作，监缴国有资产收益；负责国有资产及区属国有企业资产的统计、分析；指导和监督行政事业单位、区属国有企业资产的产权界定、清查登记等工作；指导和监督办理执行《企业财务通则》和相关财务会计制度，参与拟定企业国有资产管理相关制度。</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zh-CN" w:eastAsia="zh-CN"/>
        </w:rPr>
        <w:t>负责联系协调全区金融机构，推动地方政府与金融机构合作交流，防控金融风险、深化金融改革。负责全区小额贷款公司、融资担保公司、典当行、融资租赁公司等监管；维护地方金融秩序，牵头会同有关部门防范、化解和处置地方金融风险；牵头处置非法集资、协调配合有关部门打击其他非法金融活动；推进全区金融知识宣传普及工作。</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zh-CN" w:eastAsia="zh-CN"/>
        </w:rPr>
        <w:t>负责职责范围内的安全生产和职业健康、生态环境保护、审批服务便民化等工作。按省、市要求，指导推进相对集中行政许可权改革。</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zh-CN" w:eastAsia="zh-CN"/>
        </w:rPr>
        <w:t>完成区委、区政府交办的其他任务。</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zh-CN" w:eastAsia="zh-CN"/>
        </w:rPr>
        <w:t>职能转变。</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1）完善宏观调控体系，创新调控方式，构建发展规划、财政、金融等政策协调和工作协同机制，强化经济监测预测预警能力，建立健全重大问题研究和政策储备工作机制，增强宏观调控前瞻性、针对性、协同性。</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2）深化财税体制改革。加快建立现代财政制度，推进财政事权和支出责任划分改革，理顺区与乡（镇）收入划分，建立权责清晰、财力协调、区域均衡的区以下政府间财政关系。完善转移支付制度，优化转移支付分类，规范转移支付项目，增强地方统筹能力。逐步统一预算分配，全面实施绩效管理，建立全面规范透明、标准科学、约束有力的预算制度。全面推行政府性基金和行政事业性收费清单管理，完善监督制度。深化税收制度改革，健全地方税体系，逐步提高直接税比重，推动形成税法统一、税负公平、调节有度的税收制度体系。</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（3）防范化解地方政府债务风险。规范举债融资机制，构建“闭环”管理体系，严控法定限额内债务风险，着力防控隐性债务风险，牢牢守住不发生系统性风险的底线。</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zh-CN" w:eastAsia="zh-CN"/>
        </w:rPr>
        <w:t>有关职责分工。</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（1）税政管理职责分工。区财政局提出税收政策建议，与区税务局共同上报和下发，参与提出关税政策建议。</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2）非税收入管理职责分工。区财政局贯彻落实非税收入国库集中收缴制度，负责非税收入账户、收缴方式、退付退库等管理。区税务局等部门按照非税收入国库集中收缴等有关规定，负责做好非税收入申报征收、会统核算、缴费检查、欠费追缴和违法处罚等工作，有关非税收入项目收缴信息与区财政局及时共享。</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3）区级行政事业单位国有资产管理职责分工。区财政局负责制定行政事业单位国有资产管理制度，并负责组织实施和监督检查。会同区机关事务管理局负责区级行政事业单位国有资产管理。区机关事务管理局负责制定区级行政事业单位国有资产管理具体制度和办法并组织实施，承担产权界定、清查登记、资产处置等工作，接受区财政局的指导和监督检查。区级行政事业单位具体承担所属事业单位及派出机构的国有资产管理工作。</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rPr>
        <w:t>（4）各类投资基金管理职责分工。区财政局负责地方国有金融资本管理工作。会同区发改局及区级行业部门负责财政性资金出资发起设立或参股设立的股权投资基金管理。参与指导各类投资基金规范发展。区发改局负责指导相关部门推动政府出资产业投资基金行业信用体系建设，配合有关部门贯彻执行促进私募股权基金发展的政策措施</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截至2023年年底，财政局机关19个行政编，2个工勤编；财政国库支付中心11个参公编制、财政绩效评价中心3个参公编制、财政评审与债务风险防控中心16个事业编）,核编人数51人。实有在职财政供养人员51人（含派驻纪检组3人、编内聘用1人）；退休人员30人。</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（一）部门资金收入情况。</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攀枝花市仁和区财政局部门 2023年年初一般公共预算拨款预算收入为</w:t>
      </w:r>
      <w:r>
        <w:rPr>
          <w:rFonts w:hint="default" w:ascii="Times New Roman" w:hAnsi="Times New Roman" w:eastAsia="仿宋_GB2312" w:cs="Times New Roman"/>
          <w:color w:val="000000" w:themeColor="text1"/>
          <w:sz w:val="32"/>
          <w:szCs w:val="32"/>
          <w:lang w:val="en-US" w:eastAsia="zh-CN"/>
        </w:rPr>
        <w:t>1540.43万元，</w:t>
      </w:r>
      <w:r>
        <w:rPr>
          <w:rFonts w:hint="default" w:ascii="Times New Roman" w:hAnsi="Times New Roman" w:eastAsia="仿宋_GB2312" w:cs="Times New Roman"/>
          <w:color w:val="auto"/>
          <w:sz w:val="32"/>
          <w:szCs w:val="32"/>
          <w:lang w:val="en-US" w:eastAsia="zh-CN"/>
        </w:rPr>
        <w:t>一般公共预算拨款决算收入为1334.16万元。</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（二）部门资金支出情况。</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攀枝花市仁和区财政局部门 2023年年初一般公共预算拨款预算支出为1540.43万元 ，一般公共预算拨款决算支出为1334.16万元。其中：基本支出1047.31万元，占78.50%，项目支出286.84万元，占21.50%；其中：一般公共服务支出1015.80元，社会保障和就业支出156.64万元，卫生健康支出55.23万元，农林水支出26.00万元，住房保障支出80.49万元。</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321" w:firstLineChars="1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（三）结余分配和结转结余情况。</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2023年度无年末结转和结余情况。</w:t>
      </w:r>
    </w:p>
    <w:p>
      <w:pPr>
        <w:pageBreakBefore w:val="0"/>
        <w:kinsoku/>
        <w:wordWrap/>
        <w:overflowPunct/>
        <w:topLinePunct w:val="0"/>
        <w:bidi w:val="0"/>
        <w:spacing w:line="580" w:lineRule="atLeast"/>
        <w:ind w:firstLine="640"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三、 部门预算绩效分析</w:t>
      </w:r>
      <w:r>
        <w:rPr>
          <w:rFonts w:hint="default" w:ascii="Times New Roman" w:hAnsi="Times New Roman" w:eastAsia="黑体" w:cs="Times New Roman"/>
          <w:i w:val="0"/>
          <w:iCs w:val="0"/>
          <w:color w:val="000000"/>
          <w:sz w:val="32"/>
          <w:szCs w:val="32"/>
        </w:rPr>
        <w:br w:type="textWrapping"/>
      </w:r>
      <w:r>
        <w:rPr>
          <w:rFonts w:hint="default" w:ascii="Times New Roman" w:hAnsi="Times New Roman" w:eastAsia="楷体_GB2312" w:cs="Times New Roman"/>
          <w:b/>
          <w:bCs/>
          <w:color w:val="000000"/>
          <w:kern w:val="0"/>
          <w:sz w:val="32"/>
          <w:szCs w:val="32"/>
          <w:highlight w:val="none"/>
          <w:shd w:val="clear" w:color="auto" w:fill="FFFFFF"/>
          <w:lang w:val="zh-CN"/>
        </w:rPr>
        <w:t>（一） 部门预算总体绩效分析。</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1.履职效能（自评得分 15 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按照绩效评价指标体系要求，履职效能评价在部门整体绩效目标中选定</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eastAsia="zh-CN"/>
        </w:rPr>
        <w:t>个核心职能目标，反映职能目标完成效果情况。</w:t>
      </w:r>
    </w:p>
    <w:p>
      <w:pPr>
        <w:keepNext w:val="0"/>
        <w:keepLines w:val="0"/>
        <w:pageBreakBefore w:val="0"/>
        <w:widowControl w:val="0"/>
        <w:numPr>
          <w:ilvl w:val="0"/>
          <w:numId w:val="5"/>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rPr>
        <w:t>多举措加大项目资金争取力度，建立仁和区高质量发展建设共同富裕试验区项目资金争取机制，强化单位向上争取积极性；提前谋划，搜集和整理上级资金投入的重点和趋向；主动出击，努力寻求上级政策支持与财政资金投入的有效对接。积极争取到2023年再融资债券资金，有效平滑偿债即期压力。全区共向上争取各类资金完成年度目标任务的97.39%，为促进经济社会全面发展提供资金保障，有效缓解财政支出压力。</w:t>
      </w:r>
      <w:r>
        <w:rPr>
          <w:rFonts w:hint="default" w:ascii="Times New Roman" w:hAnsi="Times New Roman" w:eastAsia="仿宋_GB2312" w:cs="Times New Roman"/>
          <w:color w:val="auto"/>
          <w:sz w:val="32"/>
          <w:szCs w:val="32"/>
          <w:lang w:val="en-US" w:eastAsia="zh-CN"/>
        </w:rPr>
        <w:t>指标自评得分3 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CN"/>
        </w:rPr>
        <w:t>）.大力化解存量债务和隐性债务。严格落实政府债务预算管理要求，将债务还本付息支出全口径纳入财政预算，安排资金用于扣除再融资债券后的其他到期政府债务还本付息。</w:t>
      </w:r>
      <w:r>
        <w:rPr>
          <w:rFonts w:hint="default" w:ascii="Times New Roman" w:hAnsi="Times New Roman" w:eastAsia="仿宋_GB2312" w:cs="Times New Roman"/>
          <w:color w:val="auto"/>
          <w:sz w:val="32"/>
          <w:szCs w:val="32"/>
          <w:lang w:val="en-US" w:eastAsia="zh-CN"/>
        </w:rPr>
        <w:t>指标自评得分3 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eastAsia="zh-CN"/>
        </w:rPr>
        <w:t>. “三个严格”确保重大项目评审。投资评审中心完成建设项目招标控制价评审127个，审减率为13.91%；完成工程竣工结算审核项目47个，审减率为3.65%，保质、保量完成了评审任务。</w:t>
      </w:r>
      <w:r>
        <w:rPr>
          <w:rFonts w:hint="default" w:ascii="Times New Roman" w:hAnsi="Times New Roman" w:eastAsia="仿宋_GB2312" w:cs="Times New Roman"/>
          <w:color w:val="auto"/>
          <w:sz w:val="32"/>
          <w:szCs w:val="32"/>
          <w:lang w:val="en-US" w:eastAsia="zh-CN"/>
        </w:rPr>
        <w:t>指标自评得分3 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eastAsia="zh-CN"/>
        </w:rPr>
        <w:t>.盘活资金，做好资金调度工作。向上级财政部门争取到国库库款调度资金，收回存量资金，清理收回暂付款，维持了全区财政资金平稳运行。</w:t>
      </w:r>
      <w:r>
        <w:rPr>
          <w:rFonts w:hint="default" w:ascii="Times New Roman" w:hAnsi="Times New Roman" w:eastAsia="仿宋_GB2312" w:cs="Times New Roman"/>
          <w:color w:val="auto"/>
          <w:sz w:val="32"/>
          <w:szCs w:val="32"/>
          <w:lang w:val="en-US" w:eastAsia="zh-CN"/>
        </w:rPr>
        <w:t>指标自评得分3 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区财政局牵头，协调区属国企与攀枝花农商行紧密合作，对标仁和区产业体系，完成以兴工集团为核心公司搭建生鲜供应链金融、以城市发展集团为核心公司搭建农资供应链金融、以金沙江智慧商贸城为核心公司搭建蔬菜批发供应链金融。促进乡村振兴和农业农村现代化建设有效结合、巩固地方主力军地位。</w:t>
      </w:r>
      <w:r>
        <w:rPr>
          <w:rFonts w:hint="default" w:ascii="Times New Roman" w:hAnsi="Times New Roman" w:eastAsia="仿宋_GB2312" w:cs="Times New Roman"/>
          <w:color w:val="auto"/>
          <w:sz w:val="32"/>
          <w:szCs w:val="32"/>
          <w:lang w:val="en-US" w:eastAsia="zh-CN"/>
        </w:rPr>
        <w:t>指标自评得分3 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en-US"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　　2.预算管理（自评得分 21.20 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rPr>
        <w:t>（1） 预算编制质量：严格按照</w:t>
      </w:r>
      <w:bookmarkStart w:id="67" w:name="_GoBack"/>
      <w:bookmarkEnd w:id="67"/>
      <w:r>
        <w:rPr>
          <w:rFonts w:hint="default" w:ascii="Times New Roman" w:hAnsi="Times New Roman" w:eastAsia="仿宋_GB2312" w:cs="Times New Roman"/>
          <w:color w:val="auto"/>
          <w:sz w:val="32"/>
          <w:szCs w:val="32"/>
          <w:lang w:val="zh-CN" w:eastAsia="zh-CN"/>
        </w:rPr>
        <w:t xml:space="preserve">《 中华人民共和国预算法》 及其实施条例的有关规定》、《四川省省级财政预算管理办法》等相关规定，厉行节约、统筹安排，突出支持重点工作，合理保障局机关履行职能和发展规划的资金需要，科学合理编制 </w:t>
      </w:r>
      <w:r>
        <w:rPr>
          <w:rFonts w:hint="default"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lang w:val="zh-CN" w:eastAsia="zh-CN"/>
        </w:rPr>
        <w:t xml:space="preserve">年度部门预算。部门 2023 年预算执行数为 </w:t>
      </w:r>
      <w:r>
        <w:rPr>
          <w:rFonts w:hint="default" w:ascii="Times New Roman" w:hAnsi="Times New Roman" w:eastAsia="仿宋_GB2312" w:cs="Times New Roman"/>
          <w:color w:val="auto"/>
          <w:sz w:val="32"/>
          <w:szCs w:val="32"/>
          <w:lang w:val="en-US" w:eastAsia="zh-CN"/>
        </w:rPr>
        <w:t>1334.16</w:t>
      </w:r>
      <w:r>
        <w:rPr>
          <w:rFonts w:hint="default" w:ascii="Times New Roman" w:hAnsi="Times New Roman" w:eastAsia="仿宋_GB2312" w:cs="Times New Roman"/>
          <w:color w:val="auto"/>
          <w:sz w:val="32"/>
          <w:szCs w:val="32"/>
          <w:lang w:val="zh-CN" w:eastAsia="zh-CN"/>
        </w:rPr>
        <w:t>万元，全年预算数</w:t>
      </w:r>
      <w:r>
        <w:rPr>
          <w:rFonts w:hint="default" w:ascii="Times New Roman" w:hAnsi="Times New Roman" w:eastAsia="仿宋_GB2312" w:cs="Times New Roman"/>
          <w:color w:val="auto"/>
          <w:sz w:val="32"/>
          <w:szCs w:val="32"/>
          <w:lang w:val="en-US" w:eastAsia="zh-CN"/>
        </w:rPr>
        <w:t>1540.43</w:t>
      </w:r>
      <w:r>
        <w:rPr>
          <w:rFonts w:hint="default" w:ascii="Times New Roman" w:hAnsi="Times New Roman" w:eastAsia="仿宋_GB2312" w:cs="Times New Roman"/>
          <w:color w:val="auto"/>
          <w:sz w:val="32"/>
          <w:szCs w:val="32"/>
          <w:lang w:val="zh-CN" w:eastAsia="zh-CN"/>
        </w:rPr>
        <w:t>万元，预算偏离度</w:t>
      </w:r>
      <w:r>
        <w:rPr>
          <w:rFonts w:hint="default" w:ascii="Times New Roman" w:hAnsi="Times New Roman" w:eastAsia="仿宋_GB2312" w:cs="Times New Roman"/>
          <w:color w:val="auto"/>
          <w:sz w:val="32"/>
          <w:szCs w:val="32"/>
          <w:lang w:val="en-US" w:eastAsia="zh-CN"/>
        </w:rPr>
        <w:t>13.39</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指标自评得分8分。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rPr>
        <w:t>（2）单位收入统筹：</w:t>
      </w:r>
      <w:r>
        <w:rPr>
          <w:rFonts w:hint="default" w:ascii="Times New Roman" w:hAnsi="Times New Roman" w:eastAsia="仿宋_GB2312" w:cs="Times New Roman"/>
          <w:color w:val="auto"/>
          <w:sz w:val="32"/>
          <w:szCs w:val="32"/>
          <w:lang w:val="en-US" w:eastAsia="zh-CN"/>
        </w:rPr>
        <w:t>该指标主要考核部门统筹自有</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收入程度。我单位无部门自有收入，该指标不涉及。指标自评得分0 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rPr>
        <w:t>（3）支出执行进度：</w:t>
      </w:r>
      <w:r>
        <w:rPr>
          <w:rFonts w:hint="default" w:ascii="Times New Roman" w:hAnsi="Times New Roman" w:eastAsia="仿宋_GB2312" w:cs="Times New Roman"/>
          <w:color w:val="auto"/>
          <w:sz w:val="32"/>
          <w:szCs w:val="32"/>
          <w:lang w:val="en-US" w:eastAsia="zh-CN"/>
        </w:rPr>
        <w:t>2023 年全年支出预算数1540.43万元，全年支出执行数1334.16万元</w:t>
      </w:r>
      <w:r>
        <w:rPr>
          <w:rFonts w:hint="default" w:ascii="Times New Roman" w:hAnsi="Times New Roman" w:eastAsia="仿宋_GB2312" w:cs="Times New Roman"/>
          <w:color w:val="auto"/>
          <w:sz w:val="32"/>
          <w:szCs w:val="32"/>
          <w:lang w:val="zh-CN" w:eastAsia="zh-CN"/>
        </w:rPr>
        <w:t xml:space="preserve"> ，</w:t>
      </w:r>
      <w:r>
        <w:rPr>
          <w:rFonts w:hint="default" w:ascii="Times New Roman" w:hAnsi="Times New Roman" w:eastAsia="仿宋_GB2312" w:cs="Times New Roman"/>
          <w:color w:val="auto"/>
          <w:sz w:val="32"/>
          <w:szCs w:val="32"/>
          <w:lang w:val="en-US" w:eastAsia="zh-CN"/>
        </w:rPr>
        <w:t>执行进度 86.61%</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指标自评得分5.90分。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rPr>
        <w:t>（4）预算年终结余：</w:t>
      </w:r>
      <w:r>
        <w:rPr>
          <w:rFonts w:hint="default" w:ascii="Times New Roman" w:hAnsi="Times New Roman" w:eastAsia="仿宋_GB2312" w:cs="Times New Roman"/>
          <w:color w:val="auto"/>
          <w:sz w:val="32"/>
          <w:szCs w:val="32"/>
          <w:lang w:val="en-US" w:eastAsia="zh-CN"/>
        </w:rPr>
        <w:t>2023 年财政预算拨款资金1334.16万元 ，年终财政拨款结余资金为 0万元</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指标自评得分1 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rPr>
        <w:t>（5） 严控一般性支出：2023 年一般性支出财政拨款年初预算数</w:t>
      </w:r>
      <w:r>
        <w:rPr>
          <w:rFonts w:hint="default" w:ascii="Times New Roman" w:hAnsi="Times New Roman" w:eastAsia="仿宋_GB2312" w:cs="Times New Roman"/>
          <w:color w:val="000000" w:themeColor="text1"/>
          <w:sz w:val="32"/>
          <w:szCs w:val="32"/>
          <w:lang w:val="zh-CN" w:eastAsia="zh-CN"/>
        </w:rPr>
        <w:t xml:space="preserve"> </w:t>
      </w:r>
      <w:r>
        <w:rPr>
          <w:rFonts w:hint="default" w:ascii="Times New Roman" w:hAnsi="Times New Roman" w:eastAsia="仿宋_GB2312" w:cs="Times New Roman"/>
          <w:color w:val="000000" w:themeColor="text1"/>
          <w:sz w:val="32"/>
          <w:szCs w:val="32"/>
          <w:lang w:val="en-US" w:eastAsia="zh-CN"/>
        </w:rPr>
        <w:t>1540.43</w:t>
      </w:r>
      <w:r>
        <w:rPr>
          <w:rFonts w:hint="default" w:ascii="Times New Roman" w:hAnsi="Times New Roman" w:eastAsia="仿宋_GB2312" w:cs="Times New Roman"/>
          <w:color w:val="000000" w:themeColor="text1"/>
          <w:sz w:val="32"/>
          <w:szCs w:val="32"/>
          <w:lang w:val="zh-CN" w:eastAsia="zh-CN"/>
        </w:rPr>
        <w:t xml:space="preserve">万元， </w:t>
      </w:r>
      <w:r>
        <w:rPr>
          <w:rFonts w:hint="default" w:ascii="Times New Roman" w:hAnsi="Times New Roman" w:eastAsia="仿宋_GB2312" w:cs="Times New Roman"/>
          <w:color w:val="auto"/>
          <w:sz w:val="32"/>
          <w:szCs w:val="32"/>
          <w:lang w:val="zh-CN" w:eastAsia="zh-CN"/>
        </w:rPr>
        <w:t xml:space="preserve">较上年 </w:t>
      </w:r>
      <w:r>
        <w:rPr>
          <w:rFonts w:hint="default" w:ascii="Times New Roman" w:hAnsi="Times New Roman" w:eastAsia="仿宋_GB2312" w:cs="Times New Roman"/>
          <w:color w:val="auto"/>
          <w:sz w:val="32"/>
          <w:szCs w:val="32"/>
          <w:lang w:val="en-US" w:eastAsia="zh-CN"/>
        </w:rPr>
        <w:t>1655.80</w:t>
      </w:r>
      <w:r>
        <w:rPr>
          <w:rFonts w:hint="default" w:ascii="Times New Roman" w:hAnsi="Times New Roman" w:eastAsia="仿宋_GB2312" w:cs="Times New Roman"/>
          <w:color w:val="auto"/>
          <w:sz w:val="32"/>
          <w:szCs w:val="32"/>
          <w:lang w:val="zh-CN" w:eastAsia="zh-CN"/>
        </w:rPr>
        <w:t>万元增加</w:t>
      </w:r>
      <w:r>
        <w:rPr>
          <w:rFonts w:hint="default" w:ascii="Times New Roman" w:hAnsi="Times New Roman" w:eastAsia="仿宋_GB2312" w:cs="Times New Roman"/>
          <w:color w:val="auto"/>
          <w:sz w:val="32"/>
          <w:szCs w:val="32"/>
          <w:lang w:val="en-US" w:eastAsia="zh-CN"/>
        </w:rPr>
        <w:t>115.37</w:t>
      </w:r>
      <w:r>
        <w:rPr>
          <w:rFonts w:hint="default" w:ascii="Times New Roman" w:hAnsi="Times New Roman" w:eastAsia="仿宋_GB2312" w:cs="Times New Roman"/>
          <w:color w:val="auto"/>
          <w:sz w:val="32"/>
          <w:szCs w:val="32"/>
          <w:lang w:val="zh-CN" w:eastAsia="zh-CN"/>
        </w:rPr>
        <w:t>万元，增加</w:t>
      </w:r>
      <w:r>
        <w:rPr>
          <w:rFonts w:hint="default" w:ascii="Times New Roman" w:hAnsi="Times New Roman" w:eastAsia="仿宋_GB2312" w:cs="Times New Roman"/>
          <w:color w:val="auto"/>
          <w:sz w:val="32"/>
          <w:szCs w:val="32"/>
          <w:lang w:val="en-US" w:eastAsia="zh-CN"/>
        </w:rPr>
        <w:t>6.98</w:t>
      </w:r>
      <w:r>
        <w:rPr>
          <w:rFonts w:hint="default" w:ascii="Times New Roman" w:hAnsi="Times New Roman" w:eastAsia="仿宋_GB2312" w:cs="Times New Roman"/>
          <w:color w:val="auto"/>
          <w:sz w:val="32"/>
          <w:szCs w:val="32"/>
          <w:lang w:val="zh-CN" w:eastAsia="zh-CN"/>
        </w:rPr>
        <w:t>%。指标自评得分</w:t>
      </w:r>
      <w:r>
        <w:rPr>
          <w:rFonts w:hint="default" w:ascii="Times New Roman" w:hAnsi="Times New Roman" w:eastAsia="仿宋_GB2312" w:cs="Times New Roman"/>
          <w:color w:val="auto"/>
          <w:sz w:val="32"/>
          <w:szCs w:val="32"/>
          <w:lang w:val="en-US" w:eastAsia="zh-CN"/>
        </w:rPr>
        <w:t>6.30</w:t>
      </w:r>
      <w:r>
        <w:rPr>
          <w:rFonts w:hint="default" w:ascii="Times New Roman" w:hAnsi="Times New Roman" w:eastAsia="仿宋_GB2312" w:cs="Times New Roman"/>
          <w:color w:val="auto"/>
          <w:sz w:val="32"/>
          <w:szCs w:val="32"/>
          <w:lang w:val="zh-CN" w:eastAsia="zh-CN"/>
        </w:rPr>
        <w:t>分</w:t>
      </w:r>
      <w:r>
        <w:rPr>
          <w:rFonts w:hint="default" w:ascii="Times New Roman" w:hAnsi="Times New Roman" w:eastAsia="楷体_GB2312" w:cs="Times New Roman"/>
          <w:color w:val="000000"/>
          <w:kern w:val="0"/>
          <w:sz w:val="32"/>
          <w:szCs w:val="32"/>
          <w:highlight w:val="none"/>
          <w:shd w:val="clear" w:color="auto" w:fill="FFFFFF"/>
          <w:lang w:val="zh-CN" w:eastAsia="zh-CN"/>
        </w:rPr>
        <w:t>。</w:t>
      </w:r>
      <w:r>
        <w:rPr>
          <w:rFonts w:hint="default" w:ascii="Times New Roman" w:hAnsi="Times New Roman" w:eastAsia="楷体_GB2312" w:cs="Times New Roman"/>
          <w:color w:val="000000"/>
          <w:kern w:val="0"/>
          <w:sz w:val="32"/>
          <w:szCs w:val="32"/>
          <w:highlight w:val="none"/>
          <w:shd w:val="clear" w:color="auto" w:fill="FFFFFF"/>
          <w:lang w:val="zh-CN" w:eastAsia="zh-CN"/>
        </w:rPr>
        <w:br w:type="textWrapping"/>
      </w:r>
      <w:r>
        <w:rPr>
          <w:rFonts w:hint="default" w:ascii="Times New Roman" w:hAnsi="Times New Roman" w:eastAsia="楷体_GB2312" w:cs="Times New Roman"/>
          <w:color w:val="000000"/>
          <w:kern w:val="0"/>
          <w:sz w:val="32"/>
          <w:szCs w:val="32"/>
          <w:highlight w:val="none"/>
          <w:shd w:val="clear" w:color="auto" w:fill="FFFFFF"/>
          <w:lang w:val="en-US" w:eastAsia="zh-CN"/>
        </w:rPr>
        <w:t xml:space="preserve">    3.财务管理（自评得分 10 分） 。</w:t>
      </w:r>
      <w:r>
        <w:rPr>
          <w:rFonts w:hint="default" w:ascii="Times New Roman" w:hAnsi="Times New Roman" w:eastAsia="楷体_GB2312" w:cs="Times New Roman"/>
          <w:color w:val="000000"/>
          <w:kern w:val="0"/>
          <w:sz w:val="32"/>
          <w:szCs w:val="32"/>
          <w:highlight w:val="none"/>
          <w:shd w:val="clear" w:color="auto" w:fill="FFFFFF"/>
          <w:lang w:val="en-US" w:eastAsia="zh-CN"/>
        </w:rPr>
        <w:br w:type="textWrapping"/>
      </w:r>
      <w:r>
        <w:rPr>
          <w:rFonts w:hint="default" w:ascii="Times New Roman" w:hAnsi="Times New Roman" w:eastAsia="楷体_GB2312" w:cs="Times New Roman"/>
          <w:color w:val="000000"/>
          <w:kern w:val="0"/>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lang w:val="en-US" w:eastAsia="zh-CN"/>
        </w:rPr>
        <w:t>（1） 财务管理制度：</w:t>
      </w:r>
      <w:r>
        <w:rPr>
          <w:rFonts w:hint="default" w:ascii="Times New Roman" w:hAnsi="Times New Roman" w:eastAsia="仿宋_GB2312" w:cs="Times New Roman"/>
          <w:i w:val="0"/>
          <w:iCs w:val="0"/>
          <w:color w:val="000000"/>
          <w:sz w:val="32"/>
          <w:szCs w:val="32"/>
        </w:rPr>
        <w:t>严格遵守《 财务管理办法》 的有关规定，结合实际，</w:t>
      </w:r>
      <w:r>
        <w:rPr>
          <w:rFonts w:hint="default" w:ascii="Times New Roman" w:hAnsi="Times New Roman" w:eastAsia="仿宋_GB2312" w:cs="Times New Roman"/>
          <w:color w:val="auto"/>
          <w:sz w:val="32"/>
          <w:szCs w:val="32"/>
          <w:lang w:val="en-US" w:eastAsia="zh-CN"/>
        </w:rPr>
        <w:t>对本部门预决算管理、收支管理、政府采购、资产管理、</w:t>
      </w:r>
      <w:r>
        <w:rPr>
          <w:rFonts w:hint="default" w:ascii="Times New Roman" w:hAnsi="Times New Roman" w:eastAsia="仿宋_GB2312" w:cs="Times New Roman"/>
          <w:i w:val="0"/>
          <w:iCs w:val="0"/>
          <w:color w:val="000000"/>
          <w:sz w:val="32"/>
          <w:szCs w:val="32"/>
        </w:rPr>
        <w:t>公务接待实施细则、 政府采购内部控制管理办法</w:t>
      </w:r>
      <w:r>
        <w:rPr>
          <w:rFonts w:hint="default" w:ascii="Times New Roman" w:hAnsi="Times New Roman" w:eastAsia="仿宋_GB2312" w:cs="Times New Roman"/>
          <w:color w:val="auto"/>
          <w:sz w:val="32"/>
          <w:szCs w:val="32"/>
          <w:lang w:val="en-US" w:eastAsia="zh-CN"/>
        </w:rPr>
        <w:t>等方面作出相关规定并督促指导股室严格执行，</w:t>
      </w:r>
      <w:r>
        <w:rPr>
          <w:rFonts w:hint="default" w:ascii="Times New Roman" w:hAnsi="Times New Roman" w:eastAsia="仿宋_GB2312" w:cs="Times New Roman"/>
          <w:i w:val="0"/>
          <w:iCs w:val="0"/>
          <w:color w:val="000000"/>
          <w:sz w:val="32"/>
          <w:szCs w:val="32"/>
        </w:rPr>
        <w:t>加强财务管理和监督，提高资金使用效益，保障机关各项工作任务顺利完成。</w:t>
      </w:r>
      <w:r>
        <w:rPr>
          <w:rFonts w:hint="default" w:ascii="Times New Roman" w:hAnsi="Times New Roman" w:eastAsia="仿宋_GB2312" w:cs="Times New Roman"/>
          <w:color w:val="auto"/>
          <w:sz w:val="32"/>
          <w:szCs w:val="32"/>
          <w:lang w:val="en-US" w:eastAsia="zh-CN"/>
        </w:rPr>
        <w:t>指标自评得分 3分。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（2）财务岗位设置： 财务室负责本部门预算的编制、执行和决算工作，管理和审批机关各项经费的使用。设置了会计岗位、出纳岗位，明确岗位职责权限，并严格实行不相容岗位分离。指标自评得分 3分。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 资金使用规范：严格按照财务管理制度使用预算资金、符合相关财务管理制度规定。业务结算时，原则上通过转账方式支付结算，对于无法直接转账的支出，要求采用公务卡结算方式办理，避免了现金结算业务。强化资金审</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核管理，提升财政资源效益率。保障资金支付安全、规范、 高效，不存在超预算或无预算安排、超范围超标准使用经费、违规使用“ 三公”经费、滥发津贴补贴等情况。 指标自评得分 4分。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4.资产管理（自评得分 9分） 。</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xml:space="preserve"> 人均资产变化率：2023 年部门人均资产变化率-24.71%；</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资产利用率：2023 年部门资产利用率100% ；资产盘活率：2023 年度无闲置资产。</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5.采购管理（自评得分6.0分） 。</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支持中小企业发展：严格执行政府采购促进中小企业发展相关管理办法，合规合法推进项目采购， 确保应采尽采；采购执行率：严格按部门政府采购项目资金支付比例按期支付合同款项。</w:t>
      </w:r>
    </w:p>
    <w:p>
      <w:pPr>
        <w:suppressAutoHyphens/>
        <w:bidi w:val="0"/>
        <w:spacing w:line="580" w:lineRule="exact"/>
        <w:ind w:firstLine="640" w:firstLineChars="200"/>
        <w:rPr>
          <w:rFonts w:hint="default" w:ascii="Times New Roman" w:hAnsi="Times New Roman" w:eastAsia="楷体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（二） 部门预算项目绩效分析</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常年项目绩效分析。该类项目总数 8个，涉及预算总金额 180.94万元，1—12 月预算执行总体进度为 100%，其中：预算结余率大于10%的项目共计0个。</w:t>
      </w:r>
    </w:p>
    <w:p>
      <w:pPr>
        <w:suppressAutoHyphens/>
        <w:bidi w:val="0"/>
        <w:spacing w:line="580" w:lineRule="exact"/>
        <w:ind w:left="120" w:leftChars="57" w:firstLine="515" w:firstLineChars="161"/>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auto"/>
          <w:sz w:val="32"/>
          <w:szCs w:val="32"/>
          <w:highlight w:val="none"/>
          <w:lang w:val="en-US" w:eastAsia="zh-CN"/>
        </w:rPr>
        <w:t>阶段（一次性）项目绩效分析。该类项目总数 4 个，涉及预算总金额 105.90万元，1—12 月预算执行总体进度为100%，</w:t>
      </w:r>
      <w:r>
        <w:rPr>
          <w:rFonts w:hint="default" w:ascii="Times New Roman" w:hAnsi="Times New Roman" w:eastAsia="仿宋_GB2312" w:cs="Times New Roman"/>
          <w:color w:val="auto"/>
          <w:sz w:val="32"/>
          <w:szCs w:val="32"/>
          <w:highlight w:val="none"/>
          <w:lang w:val="zh-CN"/>
        </w:rPr>
        <w:t>其中：预算结余率大于</w:t>
      </w:r>
      <w:r>
        <w:rPr>
          <w:rFonts w:hint="default" w:ascii="Times New Roman" w:hAnsi="Times New Roman" w:eastAsia="仿宋_GB2312" w:cs="Times New Roman"/>
          <w:color w:val="auto"/>
          <w:sz w:val="32"/>
          <w:szCs w:val="32"/>
          <w:highlight w:val="none"/>
        </w:rPr>
        <w:t>10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的项目共计</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zh-CN"/>
        </w:rPr>
        <w:t>个。</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color w:val="000000"/>
          <w:kern w:val="0"/>
          <w:sz w:val="32"/>
          <w:szCs w:val="32"/>
          <w:highlight w:val="none"/>
          <w:shd w:val="clear" w:color="auto" w:fill="FFFFFF"/>
          <w:lang w:val="zh-CN" w:eastAsia="zh-CN"/>
        </w:rPr>
        <w:t>1.项目决策</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000000"/>
          <w:kern w:val="0"/>
          <w:sz w:val="32"/>
          <w:szCs w:val="32"/>
          <w:highlight w:val="none"/>
          <w:shd w:val="clear" w:color="auto" w:fill="FFFFFF"/>
          <w:lang w:val="zh-CN" w:eastAsia="zh-CN"/>
        </w:rPr>
        <w:t>根据 2023 年部门预算编制要求，项目设立申报资料齐全，程序合规，按规定进行评估论证环节；绩效目标设置科学合理、规范完整，项目任务量与资金量匹配统一；项目入库准确、完整、及时。自</w:t>
      </w:r>
      <w:r>
        <w:rPr>
          <w:rFonts w:hint="default" w:ascii="Times New Roman" w:hAnsi="Times New Roman" w:eastAsia="仿宋_GB2312" w:cs="Times New Roman"/>
          <w:sz w:val="32"/>
          <w:szCs w:val="32"/>
          <w:lang w:val="zh-CN"/>
        </w:rPr>
        <w:t>评得分11分。</w:t>
      </w:r>
    </w:p>
    <w:p>
      <w:pPr>
        <w:pStyle w:val="2"/>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color w:val="000000"/>
          <w:kern w:val="0"/>
          <w:sz w:val="32"/>
          <w:szCs w:val="32"/>
          <w:highlight w:val="none"/>
          <w:shd w:val="clear" w:color="auto" w:fill="FFFFFF"/>
          <w:lang w:val="zh-CN" w:eastAsia="zh-CN" w:bidi="ar-SA"/>
        </w:rPr>
        <w:t>2.项目执行</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部门严格执行“有预算才开支，在预算额度内开支，按预算规定用途开支”，预算阶段项目实际列支内容均与绩效目标设置方向相符。未发现应采取未采取收回预算、调整目标等处置措施的部门预算阶段项目；2023 年，部门预算常年项目总数 8个，执行率100%。部门预算一次性项目和阶段项目总数数量 4 个，执行率100%。自评得分 9.9分。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color w:val="000000"/>
          <w:kern w:val="0"/>
          <w:sz w:val="32"/>
          <w:szCs w:val="32"/>
          <w:highlight w:val="none"/>
          <w:shd w:val="clear" w:color="auto" w:fill="FFFFFF"/>
          <w:lang w:val="zh-CN" w:eastAsia="zh-CN" w:bidi="ar-SA"/>
        </w:rPr>
        <w:t>3.目标实现</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常年项目与一次性和阶段项目均完成预期数量指标和效益指标，达到了预期效果。自评得分 9.9分。</w:t>
      </w:r>
    </w:p>
    <w:p>
      <w:pPr>
        <w:pStyle w:val="3"/>
        <w:pageBreakBefore w:val="0"/>
        <w:numPr>
          <w:ilvl w:val="0"/>
          <w:numId w:val="0"/>
        </w:numPr>
        <w:kinsoku/>
        <w:wordWrap/>
        <w:overflowPunct/>
        <w:topLinePunct w:val="0"/>
        <w:bidi w:val="0"/>
        <w:ind w:firstLine="643" w:firstLineChars="200"/>
        <w:rPr>
          <w:rFonts w:hint="default" w:ascii="Times New Roman" w:hAnsi="Times New Roman" w:eastAsia="FZFSJW--GB1-0" w:cs="Times New Roman"/>
          <w:i w:val="0"/>
          <w:iCs w:val="0"/>
          <w:color w:val="000000"/>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p>
    <w:p>
      <w:pPr>
        <w:pageBreakBefore w:val="0"/>
        <w:kinsoku/>
        <w:wordWrap/>
        <w:overflowPunct/>
        <w:topLinePunct w:val="0"/>
        <w:bidi w:val="0"/>
        <w:spacing w:line="560" w:lineRule="exact"/>
        <w:ind w:firstLine="640" w:firstLineChars="200"/>
        <w:jc w:val="left"/>
        <w:rPr>
          <w:rFonts w:hint="default" w:ascii="Times New Roman" w:hAnsi="Times New Roman" w:eastAsia="仿宋_GB2312" w:cs="Times New Roman"/>
          <w:color w:val="000000" w:themeColor="text1"/>
          <w:sz w:val="32"/>
          <w:highlight w:val="none"/>
          <w:lang w:val="zh-CN"/>
        </w:rPr>
      </w:pPr>
      <w:r>
        <w:rPr>
          <w:rFonts w:hint="default" w:ascii="Times New Roman" w:hAnsi="Times New Roman" w:eastAsia="TimesNewRomanPSMT" w:cs="Times New Roman"/>
          <w:i w:val="0"/>
          <w:iCs w:val="0"/>
          <w:color w:val="000000"/>
          <w:sz w:val="32"/>
          <w:szCs w:val="32"/>
        </w:rPr>
        <w:t xml:space="preserve">2023 </w:t>
      </w:r>
      <w:r>
        <w:rPr>
          <w:rFonts w:hint="default" w:ascii="Times New Roman" w:hAnsi="Times New Roman" w:eastAsia="仿宋_GB2312" w:cs="Times New Roman"/>
          <w:i w:val="0"/>
          <w:iCs w:val="0"/>
          <w:color w:val="000000"/>
          <w:sz w:val="32"/>
          <w:szCs w:val="32"/>
        </w:rPr>
        <w:t>年度国有资产管理工作整体情况良好，资产管理效率较高</w:t>
      </w:r>
      <w:r>
        <w:rPr>
          <w:rFonts w:hint="default"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i w:val="0"/>
          <w:iCs w:val="0"/>
          <w:color w:val="000000"/>
          <w:sz w:val="32"/>
          <w:szCs w:val="32"/>
        </w:rPr>
        <w:t>及时在资产系统中进行资产数据更新，</w:t>
      </w:r>
      <w:r>
        <w:rPr>
          <w:rFonts w:hint="default" w:ascii="Times New Roman" w:hAnsi="Times New Roman" w:eastAsia="仿宋_GB2312" w:cs="Times New Roman"/>
          <w:i w:val="0"/>
          <w:iCs w:val="0"/>
          <w:color w:val="000000"/>
          <w:sz w:val="32"/>
          <w:szCs w:val="32"/>
          <w:lang w:eastAsia="zh-CN"/>
        </w:rPr>
        <w:t>做到</w:t>
      </w:r>
      <w:r>
        <w:rPr>
          <w:rFonts w:hint="default" w:ascii="Times New Roman" w:hAnsi="Times New Roman" w:eastAsia="仿宋_GB2312" w:cs="Times New Roman"/>
          <w:i w:val="0"/>
          <w:iCs w:val="0"/>
          <w:color w:val="000000"/>
          <w:sz w:val="32"/>
          <w:szCs w:val="32"/>
        </w:rPr>
        <w:t>账实一致、账账一致</w:t>
      </w:r>
      <w:r>
        <w:rPr>
          <w:rFonts w:hint="default"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i w:val="0"/>
          <w:iCs w:val="0"/>
          <w:color w:val="000000"/>
          <w:sz w:val="32"/>
          <w:szCs w:val="32"/>
        </w:rPr>
        <w:t>提高资产使用效率和管理水平</w:t>
      </w:r>
      <w:r>
        <w:rPr>
          <w:rFonts w:hint="default"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color w:val="000000" w:themeColor="text1"/>
          <w:sz w:val="32"/>
          <w:highlight w:val="none"/>
          <w:lang w:val="zh-CN"/>
        </w:rPr>
        <w:t>政府采购支出总额</w:t>
      </w:r>
      <w:r>
        <w:rPr>
          <w:rFonts w:hint="default" w:ascii="Times New Roman" w:hAnsi="Times New Roman" w:eastAsia="仿宋_GB2312" w:cs="Times New Roman"/>
          <w:color w:val="000000" w:themeColor="text1"/>
          <w:sz w:val="32"/>
          <w:highlight w:val="none"/>
          <w:lang w:val="en-US" w:eastAsia="zh-CN"/>
        </w:rPr>
        <w:t>200.14</w:t>
      </w:r>
      <w:r>
        <w:rPr>
          <w:rFonts w:hint="default" w:ascii="Times New Roman" w:hAnsi="Times New Roman" w:eastAsia="仿宋_GB2312" w:cs="Times New Roman"/>
          <w:color w:val="000000" w:themeColor="text1"/>
          <w:sz w:val="32"/>
          <w:highlight w:val="none"/>
          <w:lang w:val="zh-CN"/>
        </w:rPr>
        <w:t>万元，其中：政府采购货物支出</w:t>
      </w:r>
      <w:r>
        <w:rPr>
          <w:rFonts w:hint="default" w:ascii="Times New Roman" w:hAnsi="Times New Roman" w:eastAsia="仿宋_GB2312" w:cs="Times New Roman"/>
          <w:color w:val="000000" w:themeColor="text1"/>
          <w:sz w:val="32"/>
          <w:highlight w:val="none"/>
          <w:lang w:val="en-US" w:eastAsia="zh-CN"/>
        </w:rPr>
        <w:t>0.14</w:t>
      </w:r>
      <w:r>
        <w:rPr>
          <w:rFonts w:hint="default" w:ascii="Times New Roman" w:hAnsi="Times New Roman" w:eastAsia="仿宋_GB2312" w:cs="Times New Roman"/>
          <w:color w:val="000000" w:themeColor="text1"/>
          <w:sz w:val="32"/>
          <w:highlight w:val="none"/>
          <w:lang w:val="zh-CN"/>
        </w:rPr>
        <w:t>万元、政府采购工程支出0万元、政府采购服务支出</w:t>
      </w:r>
      <w:r>
        <w:rPr>
          <w:rFonts w:hint="default" w:ascii="Times New Roman" w:hAnsi="Times New Roman" w:eastAsia="仿宋_GB2312" w:cs="Times New Roman"/>
          <w:color w:val="000000" w:themeColor="text1"/>
          <w:sz w:val="32"/>
          <w:highlight w:val="none"/>
          <w:lang w:val="en-US" w:eastAsia="zh-CN"/>
        </w:rPr>
        <w:t>200.00</w:t>
      </w:r>
      <w:r>
        <w:rPr>
          <w:rFonts w:hint="default" w:ascii="Times New Roman" w:hAnsi="Times New Roman" w:eastAsia="仿宋_GB2312" w:cs="Times New Roman"/>
          <w:color w:val="000000" w:themeColor="text1"/>
          <w:sz w:val="32"/>
          <w:highlight w:val="none"/>
          <w:lang w:val="zh-CN"/>
        </w:rPr>
        <w:t>万元。政府采购货物支出主要用于购买办公设备，政府采购服务支出用于评审项目采购。</w:t>
      </w:r>
    </w:p>
    <w:p>
      <w:pPr>
        <w:pStyle w:val="3"/>
        <w:pageBreakBefore w:val="0"/>
        <w:kinsoku/>
        <w:wordWrap/>
        <w:overflowPunct/>
        <w:topLinePunct w:val="0"/>
        <w:bidi w:val="0"/>
        <w:ind w:left="0" w:leftChars="0" w:firstLine="643" w:firstLineChars="200"/>
        <w:rPr>
          <w:rFonts w:hint="default" w:ascii="Times New Roman" w:hAnsi="Times New Roman" w:eastAsia="仿宋_GB2312" w:cs="Times New Roman"/>
          <w:i w:val="0"/>
          <w:iCs w:val="0"/>
          <w:color w:val="000000"/>
          <w:sz w:val="32"/>
          <w:szCs w:val="32"/>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p>
    <w:p>
      <w:pPr>
        <w:pStyle w:val="2"/>
        <w:pageBreakBefore w:val="0"/>
        <w:kinsoku/>
        <w:wordWrap/>
        <w:overflowPunct/>
        <w:topLinePunct w:val="0"/>
        <w:bidi w:val="0"/>
        <w:ind w:firstLine="640" w:firstLineChars="200"/>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sz w:val="32"/>
          <w:szCs w:val="32"/>
          <w:highlight w:val="none"/>
          <w:u w:val="none"/>
          <w:lang w:val="zh-CN" w:eastAsia="zh-CN" w:bidi="ar"/>
        </w:rPr>
        <w:t>1</w:t>
      </w:r>
      <w:r>
        <w:rPr>
          <w:rFonts w:hint="default" w:ascii="Times New Roman" w:hAnsi="Times New Roman" w:eastAsia="仿宋_GB2312" w:cs="Times New Roman"/>
          <w:sz w:val="32"/>
          <w:szCs w:val="32"/>
          <w:highlight w:val="none"/>
          <w:u w:val="none"/>
          <w:lang w:val="en-US" w:eastAsia="zh-CN" w:bidi="ar"/>
        </w:rPr>
        <w:t>.</w:t>
      </w:r>
      <w:r>
        <w:rPr>
          <w:rFonts w:hint="default" w:ascii="Times New Roman" w:hAnsi="Times New Roman" w:eastAsia="仿宋_GB2312" w:cs="Times New Roman"/>
          <w:sz w:val="32"/>
          <w:szCs w:val="32"/>
          <w:highlight w:val="none"/>
          <w:u w:val="none"/>
          <w:lang w:val="zh-CN" w:eastAsia="zh-CN" w:bidi="ar"/>
        </w:rPr>
        <w:t>内部应用情况</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highlight w:val="none"/>
          <w:u w:val="none"/>
          <w:lang w:val="zh-CN"/>
        </w:rPr>
      </w:pPr>
      <w:r>
        <w:rPr>
          <w:rFonts w:hint="default" w:ascii="Times New Roman" w:hAnsi="Times New Roman" w:eastAsia="仿宋_GB2312" w:cs="Times New Roman"/>
          <w:color w:val="auto"/>
          <w:sz w:val="32"/>
          <w:szCs w:val="32"/>
          <w:highlight w:val="none"/>
          <w:u w:val="none"/>
          <w:lang w:val="zh-CN"/>
        </w:rPr>
        <w:t>通过</w:t>
      </w:r>
      <w:r>
        <w:rPr>
          <w:rFonts w:hint="default" w:ascii="Times New Roman" w:hAnsi="Times New Roman" w:eastAsia="仿宋_GB2312" w:cs="Times New Roman"/>
          <w:color w:val="auto"/>
          <w:sz w:val="32"/>
          <w:szCs w:val="32"/>
          <w:highlight w:val="none"/>
          <w:u w:val="none"/>
        </w:rPr>
        <w:t>对部门决策、综合管理情况， 部门预算执行及项目实施效果开展绩效自评</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rPr>
        <w:t>强化预算绩效运行监控，扎实开展年度绩效管理工作评价，严格按照项目资金管理办法的规定做好项目实施和监管，切实做到专款专用，从而发挥好项目资金对项目实施的促进作用，</w:t>
      </w:r>
      <w:r>
        <w:rPr>
          <w:rFonts w:hint="default" w:ascii="Times New Roman" w:hAnsi="Times New Roman" w:eastAsia="仿宋_GB2312" w:cs="Times New Roman"/>
          <w:color w:val="auto"/>
          <w:sz w:val="32"/>
          <w:szCs w:val="32"/>
          <w:highlight w:val="none"/>
          <w:u w:val="none"/>
          <w:lang w:val="zh-CN"/>
        </w:rPr>
        <w:t>将评价结果作为改进预算管理和财务管理以及以后年度预算安排的重要依据，对自评中发现的问题及时督促项目实施股室及下属单位进行整改，加强预算财务管理，完善管理制度，提高管理水平，增加财政资金使用的经济效益和社会效益。</w:t>
      </w:r>
    </w:p>
    <w:p>
      <w:pPr>
        <w:pageBreakBefore w:val="0"/>
        <w:kinsoku/>
        <w:wordWrap/>
        <w:overflowPunct/>
        <w:topLinePunct w:val="0"/>
        <w:bidi w:val="0"/>
        <w:spacing w:line="580" w:lineRule="atLeast"/>
        <w:ind w:firstLine="640" w:firstLineChars="200"/>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kern w:val="2"/>
          <w:sz w:val="32"/>
          <w:szCs w:val="32"/>
          <w:highlight w:val="none"/>
          <w:u w:val="none"/>
          <w:lang w:val="zh-CN" w:eastAsia="zh-CN" w:bidi="ar"/>
        </w:rPr>
        <w:t>2.</w:t>
      </w:r>
      <w:r>
        <w:rPr>
          <w:rFonts w:hint="default" w:ascii="Times New Roman" w:hAnsi="Times New Roman" w:eastAsia="仿宋_GB2312" w:cs="Times New Roman"/>
          <w:sz w:val="32"/>
          <w:szCs w:val="32"/>
          <w:highlight w:val="none"/>
          <w:u w:val="none"/>
          <w:lang w:val="zh-CN" w:eastAsia="zh-CN" w:bidi="ar"/>
        </w:rPr>
        <w:t>信息公开情况</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highlight w:val="none"/>
          <w:u w:val="none"/>
          <w:lang w:val="zh-CN" w:eastAsia="zh-CN"/>
        </w:rPr>
      </w:pPr>
      <w:r>
        <w:rPr>
          <w:rFonts w:hint="default" w:ascii="Times New Roman" w:hAnsi="Times New Roman" w:eastAsia="仿宋_GB2312" w:cs="Times New Roman"/>
          <w:color w:val="auto"/>
          <w:sz w:val="32"/>
          <w:szCs w:val="32"/>
          <w:highlight w:val="none"/>
          <w:u w:val="none"/>
          <w:lang w:val="zh-CN" w:eastAsia="zh-CN"/>
        </w:rPr>
        <w:t>按财政</w:t>
      </w:r>
      <w:r>
        <w:rPr>
          <w:rFonts w:hint="default" w:ascii="Times New Roman" w:hAnsi="Times New Roman" w:eastAsia="仿宋_GB2312" w:cs="Times New Roman"/>
          <w:color w:val="auto"/>
          <w:sz w:val="32"/>
          <w:szCs w:val="32"/>
          <w:highlight w:val="none"/>
          <w:u w:val="none"/>
          <w:lang w:val="zh-CN"/>
        </w:rPr>
        <w:t>要求</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zh-CN"/>
        </w:rPr>
        <w:t>2023 年部门预算</w:t>
      </w:r>
      <w:r>
        <w:rPr>
          <w:rFonts w:hint="default" w:ascii="Times New Roman" w:hAnsi="Times New Roman" w:eastAsia="仿宋_GB2312" w:cs="Times New Roman"/>
          <w:color w:val="auto"/>
          <w:sz w:val="32"/>
          <w:szCs w:val="32"/>
          <w:highlight w:val="none"/>
          <w:u w:val="none"/>
          <w:lang w:val="zh-CN" w:eastAsia="zh-CN"/>
        </w:rPr>
        <w:t>公开、</w:t>
      </w:r>
      <w:r>
        <w:rPr>
          <w:rFonts w:hint="default" w:ascii="Times New Roman" w:hAnsi="Times New Roman" w:eastAsia="仿宋_GB2312" w:cs="Times New Roman"/>
          <w:color w:val="auto"/>
          <w:sz w:val="32"/>
          <w:szCs w:val="32"/>
          <w:highlight w:val="none"/>
          <w:u w:val="none"/>
          <w:lang w:val="zh-CN"/>
        </w:rPr>
        <w:t>2022 年部门决算公开</w:t>
      </w:r>
      <w:r>
        <w:rPr>
          <w:rFonts w:hint="default" w:ascii="Times New Roman" w:hAnsi="Times New Roman" w:eastAsia="仿宋_GB2312" w:cs="Times New Roman"/>
          <w:color w:val="auto"/>
          <w:sz w:val="32"/>
          <w:szCs w:val="32"/>
          <w:highlight w:val="none"/>
          <w:u w:val="none"/>
          <w:lang w:val="zh-CN" w:eastAsia="zh-CN"/>
        </w:rPr>
        <w:t>均通过</w:t>
      </w:r>
      <w:r>
        <w:rPr>
          <w:rFonts w:hint="default" w:ascii="Times New Roman" w:hAnsi="Times New Roman" w:eastAsia="仿宋_GB2312" w:cs="Times New Roman"/>
          <w:color w:val="auto"/>
          <w:sz w:val="32"/>
          <w:szCs w:val="32"/>
          <w:highlight w:val="none"/>
          <w:u w:val="none"/>
          <w:lang w:val="zh-CN"/>
        </w:rPr>
        <w:t>分管领导审核</w:t>
      </w:r>
      <w:r>
        <w:rPr>
          <w:rFonts w:hint="default" w:ascii="Times New Roman" w:hAnsi="Times New Roman" w:eastAsia="仿宋_GB2312" w:cs="Times New Roman"/>
          <w:color w:val="auto"/>
          <w:sz w:val="32"/>
          <w:szCs w:val="32"/>
          <w:highlight w:val="none"/>
          <w:u w:val="none"/>
          <w:lang w:val="zh-CN" w:eastAsia="zh-CN"/>
        </w:rPr>
        <w:t>签字后</w:t>
      </w:r>
      <w:r>
        <w:rPr>
          <w:rFonts w:hint="default" w:ascii="Times New Roman" w:hAnsi="Times New Roman" w:eastAsia="仿宋_GB2312" w:cs="Times New Roman"/>
          <w:color w:val="auto"/>
          <w:sz w:val="32"/>
          <w:szCs w:val="32"/>
          <w:highlight w:val="none"/>
          <w:u w:val="none"/>
          <w:lang w:val="zh-CN"/>
        </w:rPr>
        <w:t>，并按照规定时间在仁和区门户网站进行了公示。接受社会公众的监督，进一步提高财政资金管理透明度</w:t>
      </w:r>
      <w:r>
        <w:rPr>
          <w:rFonts w:hint="default" w:ascii="Times New Roman" w:hAnsi="Times New Roman" w:eastAsia="仿宋_GB2312" w:cs="Times New Roman"/>
          <w:color w:val="auto"/>
          <w:sz w:val="32"/>
          <w:szCs w:val="32"/>
          <w:highlight w:val="none"/>
          <w:u w:val="none"/>
          <w:lang w:val="zh-CN" w:eastAsia="zh-CN"/>
        </w:rPr>
        <w:t>。</w:t>
      </w:r>
    </w:p>
    <w:p>
      <w:pPr>
        <w:pStyle w:val="2"/>
        <w:pageBreakBefore w:val="0"/>
        <w:kinsoku/>
        <w:wordWrap/>
        <w:overflowPunct/>
        <w:topLinePunct w:val="0"/>
        <w:bidi w:val="0"/>
        <w:ind w:firstLine="640" w:firstLineChars="200"/>
        <w:rPr>
          <w:rFonts w:hint="default" w:ascii="Times New Roman" w:hAnsi="Times New Roman" w:cs="Times New Roman"/>
          <w:lang w:eastAsia="zh-CN"/>
        </w:rPr>
      </w:pPr>
      <w:r>
        <w:rPr>
          <w:rFonts w:hint="default" w:ascii="Times New Roman" w:hAnsi="Times New Roman" w:eastAsia="仿宋_GB2312" w:cs="Times New Roman"/>
          <w:kern w:val="2"/>
          <w:sz w:val="32"/>
          <w:szCs w:val="32"/>
          <w:highlight w:val="none"/>
          <w:u w:val="none"/>
          <w:lang w:val="en-US" w:eastAsia="zh-CN" w:bidi="ar"/>
        </w:rPr>
        <w:t>3.</w:t>
      </w:r>
      <w:r>
        <w:rPr>
          <w:rFonts w:hint="default" w:ascii="Times New Roman" w:hAnsi="Times New Roman" w:eastAsia="仿宋_GB2312" w:cs="Times New Roman"/>
          <w:sz w:val="32"/>
          <w:szCs w:val="32"/>
          <w:highlight w:val="none"/>
          <w:u w:val="none"/>
          <w:lang w:val="zh-CN" w:eastAsia="zh-CN" w:bidi="ar"/>
        </w:rPr>
        <w:t>整改反馈情况</w:t>
      </w:r>
    </w:p>
    <w:p>
      <w:pPr>
        <w:keepNext w:val="0"/>
        <w:keepLines w:val="0"/>
        <w:pageBreakBefore w:val="0"/>
        <w:widowControl/>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highlight w:val="none"/>
          <w:u w:val="none"/>
          <w:lang w:val="zh-CN"/>
        </w:rPr>
      </w:pPr>
      <w:r>
        <w:rPr>
          <w:rFonts w:hint="default" w:ascii="Times New Roman" w:hAnsi="Times New Roman" w:eastAsia="仿宋_GB2312" w:cs="Times New Roman"/>
          <w:color w:val="auto"/>
          <w:sz w:val="32"/>
          <w:szCs w:val="32"/>
          <w:highlight w:val="none"/>
          <w:u w:val="none"/>
          <w:lang w:val="zh-CN"/>
        </w:rPr>
        <w:t>绩效目标预算执行与年初预算编制有一定偏差。</w:t>
      </w:r>
      <w:r>
        <w:rPr>
          <w:rFonts w:hint="default" w:ascii="Times New Roman" w:hAnsi="Times New Roman" w:eastAsia="仿宋_GB2312" w:cs="Times New Roman"/>
          <w:color w:val="auto"/>
          <w:sz w:val="32"/>
          <w:szCs w:val="32"/>
          <w:highlight w:val="none"/>
          <w:u w:val="none"/>
        </w:rPr>
        <w:t>针对绩效管理过程中存在的问题，积极沟通衔接，全面梳理总结， 分析原因，提出对策，努力提高绩效管理工作水平。规范财务管理，严格将预算执行纳入单位整体支出绩效目标和项目绩效目标管理，按期及时向财政部门反馈部门资金使用情况，提高财政资金使用效益。</w:t>
      </w:r>
      <w:r>
        <w:rPr>
          <w:rFonts w:hint="default" w:ascii="Times New Roman" w:hAnsi="Times New Roman" w:eastAsia="仿宋_GB2312" w:cs="Times New Roman"/>
          <w:color w:val="auto"/>
          <w:sz w:val="32"/>
          <w:szCs w:val="32"/>
          <w:highlight w:val="none"/>
          <w:u w:val="none"/>
          <w:lang w:val="zh-CN"/>
        </w:rPr>
        <w:t>各项目得以顺利实施，确保财政工作有序开展，防范财政风险，促进全区经济健康平稳发展，社会和谐稳定，服务对象满意。</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720" w:firstLineChars="200"/>
        <w:contextualSpacing/>
        <w:jc w:val="left"/>
        <w:textAlignment w:val="auto"/>
        <w:outlineLvl w:val="9"/>
        <w:rPr>
          <w:rFonts w:hint="default" w:ascii="Times New Roman" w:hAnsi="Times New Roman" w:eastAsia="黑体" w:cs="Times New Roman"/>
          <w:color w:val="000000" w:themeColor="text1"/>
          <w:kern w:val="0"/>
          <w:sz w:val="36"/>
          <w:szCs w:val="36"/>
          <w:highlight w:val="none"/>
          <w:shd w:val="clear" w:color="auto" w:fill="FFFFFF"/>
          <w:lang w:val="zh-CN"/>
        </w:rPr>
      </w:pPr>
      <w:r>
        <w:rPr>
          <w:rFonts w:hint="default" w:ascii="Times New Roman" w:hAnsi="Times New Roman" w:eastAsia="黑体" w:cs="Times New Roman"/>
          <w:color w:val="000000" w:themeColor="text1"/>
          <w:kern w:val="0"/>
          <w:sz w:val="36"/>
          <w:szCs w:val="36"/>
          <w:highlight w:val="none"/>
          <w:shd w:val="clear" w:color="auto" w:fill="FFFFFF"/>
          <w:lang w:val="zh-CN" w:eastAsia="zh-CN"/>
        </w:rPr>
        <w:t>四、</w:t>
      </w:r>
      <w:r>
        <w:rPr>
          <w:rFonts w:hint="default" w:ascii="Times New Roman" w:hAnsi="Times New Roman" w:eastAsia="黑体" w:cs="Times New Roman"/>
          <w:color w:val="000000" w:themeColor="text1"/>
          <w:kern w:val="0"/>
          <w:sz w:val="36"/>
          <w:szCs w:val="36"/>
          <w:highlight w:val="none"/>
          <w:shd w:val="clear" w:color="auto" w:fill="FFFFFF"/>
          <w:lang w:val="zh-CN"/>
        </w:rPr>
        <w:t>评价结论及建议</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（一）评价结论。</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themeColor="text1"/>
          <w:kern w:val="0"/>
          <w:sz w:val="32"/>
          <w:szCs w:val="32"/>
          <w:shd w:val="clear" w:color="auto" w:fill="FFFFFF"/>
          <w:lang w:val="zh-CN"/>
        </w:rPr>
      </w:pPr>
      <w:r>
        <w:rPr>
          <w:rFonts w:hint="default" w:ascii="Times New Roman" w:hAnsi="Times New Roman" w:eastAsia="仿宋_GB2312" w:cs="Times New Roman"/>
          <w:color w:val="000000" w:themeColor="text1"/>
          <w:kern w:val="0"/>
          <w:sz w:val="32"/>
          <w:szCs w:val="32"/>
          <w:shd w:val="clear" w:color="auto" w:fill="FFFFFF"/>
          <w:lang w:val="zh-CN"/>
        </w:rPr>
        <w:t>按要求对202</w:t>
      </w:r>
      <w:r>
        <w:rPr>
          <w:rFonts w:hint="default" w:ascii="Times New Roman" w:hAnsi="Times New Roman" w:eastAsia="仿宋_GB2312" w:cs="Times New Roman"/>
          <w:color w:val="000000" w:themeColor="text1"/>
          <w:kern w:val="0"/>
          <w:sz w:val="32"/>
          <w:szCs w:val="32"/>
          <w:shd w:val="clear" w:color="auto" w:fill="FFFFFF"/>
          <w:lang w:val="en-US" w:eastAsia="zh-CN"/>
        </w:rPr>
        <w:t>3</w:t>
      </w:r>
      <w:r>
        <w:rPr>
          <w:rFonts w:hint="default" w:ascii="Times New Roman" w:hAnsi="Times New Roman" w:eastAsia="仿宋_GB2312" w:cs="Times New Roman"/>
          <w:color w:val="000000" w:themeColor="text1"/>
          <w:kern w:val="0"/>
          <w:sz w:val="32"/>
          <w:szCs w:val="32"/>
          <w:shd w:val="clear" w:color="auto" w:fill="FFFFFF"/>
          <w:lang w:val="zh-CN"/>
        </w:rPr>
        <w:t>年部门预算整体绩效评价进行自评，从评价情况看，202</w:t>
      </w:r>
      <w:r>
        <w:rPr>
          <w:rFonts w:hint="default" w:ascii="Times New Roman" w:hAnsi="Times New Roman" w:eastAsia="仿宋_GB2312" w:cs="Times New Roman"/>
          <w:color w:val="000000" w:themeColor="text1"/>
          <w:kern w:val="0"/>
          <w:sz w:val="32"/>
          <w:szCs w:val="32"/>
          <w:shd w:val="clear" w:color="auto" w:fill="FFFFFF"/>
          <w:lang w:val="en-US" w:eastAsia="zh-CN"/>
        </w:rPr>
        <w:t>3</w:t>
      </w:r>
      <w:r>
        <w:rPr>
          <w:rFonts w:hint="default" w:ascii="Times New Roman" w:hAnsi="Times New Roman" w:eastAsia="仿宋_GB2312" w:cs="Times New Roman"/>
          <w:color w:val="000000" w:themeColor="text1"/>
          <w:kern w:val="0"/>
          <w:sz w:val="32"/>
          <w:szCs w:val="32"/>
          <w:shd w:val="clear" w:color="auto" w:fill="FFFFFF"/>
          <w:lang w:val="zh-CN"/>
        </w:rPr>
        <w:t>年我单位部门整体支出绩效评价自查自评结果良好，自评得分</w:t>
      </w:r>
      <w:r>
        <w:rPr>
          <w:rFonts w:hint="default" w:ascii="Times New Roman" w:hAnsi="Times New Roman" w:eastAsia="仿宋_GB2312" w:cs="Times New Roman"/>
          <w:color w:val="000000" w:themeColor="text1"/>
          <w:kern w:val="0"/>
          <w:sz w:val="32"/>
          <w:szCs w:val="32"/>
          <w:shd w:val="clear" w:color="auto" w:fill="FFFFFF"/>
          <w:lang w:val="en-US" w:eastAsia="zh-CN"/>
        </w:rPr>
        <w:t>92分。</w:t>
      </w:r>
      <w:r>
        <w:rPr>
          <w:rFonts w:hint="default" w:ascii="Times New Roman" w:hAnsi="Times New Roman" w:eastAsia="仿宋_GB2312" w:cs="Times New Roman"/>
          <w:i w:val="0"/>
          <w:iCs w:val="0"/>
          <w:color w:val="000000" w:themeColor="text1"/>
          <w:sz w:val="32"/>
          <w:szCs w:val="32"/>
        </w:rPr>
        <w:t>认真贯彻落实</w:t>
      </w:r>
      <w:r>
        <w:rPr>
          <w:rFonts w:hint="default" w:ascii="Times New Roman" w:hAnsi="Times New Roman" w:eastAsia="仿宋_GB2312" w:cs="Times New Roman"/>
          <w:i w:val="0"/>
          <w:iCs w:val="0"/>
          <w:color w:val="000000" w:themeColor="text1"/>
          <w:sz w:val="32"/>
          <w:szCs w:val="32"/>
          <w:lang w:eastAsia="zh-CN"/>
        </w:rPr>
        <w:t>各项方针政策，</w:t>
      </w:r>
      <w:r>
        <w:rPr>
          <w:rFonts w:hint="default" w:ascii="Times New Roman" w:hAnsi="Times New Roman" w:eastAsia="仿宋_GB2312" w:cs="Times New Roman"/>
          <w:i w:val="0"/>
          <w:iCs w:val="0"/>
          <w:color w:val="000000" w:themeColor="text1"/>
          <w:sz w:val="32"/>
          <w:szCs w:val="32"/>
        </w:rPr>
        <w:t>全面实施预算绩效管理的决策部署</w:t>
      </w:r>
      <w:r>
        <w:rPr>
          <w:rFonts w:hint="default" w:ascii="Times New Roman" w:hAnsi="Times New Roman" w:eastAsia="仿宋_GB2312" w:cs="Times New Roman"/>
          <w:i w:val="0"/>
          <w:iCs w:val="0"/>
          <w:color w:val="000000" w:themeColor="text1"/>
          <w:sz w:val="32"/>
          <w:szCs w:val="32"/>
          <w:lang w:eastAsia="zh-CN"/>
        </w:rPr>
        <w:t>，</w:t>
      </w:r>
      <w:r>
        <w:rPr>
          <w:rFonts w:hint="default" w:ascii="Times New Roman" w:hAnsi="Times New Roman" w:eastAsia="仿宋_GB2312" w:cs="Times New Roman"/>
          <w:i w:val="0"/>
          <w:iCs w:val="0"/>
          <w:color w:val="000000" w:themeColor="text1"/>
          <w:sz w:val="32"/>
          <w:szCs w:val="32"/>
        </w:rPr>
        <w:t>切实履行部门预算绩效管理主体责任， 加快推动建立全方位、全过程、全覆盖的预算绩效管理体系，以事前评估、事中监控、事后评价为节点，以目标引领和结果应用为抓手</w:t>
      </w:r>
      <w:r>
        <w:rPr>
          <w:rFonts w:hint="default" w:ascii="Times New Roman" w:hAnsi="Times New Roman" w:eastAsia="仿宋_GB2312" w:cs="Times New Roman"/>
          <w:i w:val="0"/>
          <w:iCs w:val="0"/>
          <w:color w:val="000000" w:themeColor="text1"/>
          <w:sz w:val="32"/>
          <w:szCs w:val="32"/>
          <w:lang w:val="en-US" w:eastAsia="zh-CN"/>
        </w:rPr>
        <w:t>,</w:t>
      </w:r>
      <w:r>
        <w:rPr>
          <w:rFonts w:hint="default" w:ascii="Times New Roman" w:hAnsi="Times New Roman" w:eastAsia="仿宋_GB2312" w:cs="Times New Roman"/>
          <w:color w:val="000000" w:themeColor="text1"/>
          <w:kern w:val="0"/>
          <w:sz w:val="32"/>
          <w:szCs w:val="32"/>
          <w:shd w:val="clear" w:color="auto" w:fill="FFFFFF"/>
          <w:lang w:val="zh-CN"/>
        </w:rPr>
        <w:t>全年基本支出保证了部门的正常运行和日常工作的正常开展，项目支出保障了重点工作的开展，绩效目标得到较好实现，绩效管理水平不断提高，绩效指标体系逐渐丰富和完善。绩效目标全面完成，单位财务制度健全，管理规范，财政预算得到有效执行。通过加强绩效预算管理，财政资金得到有效使用，行政效率得到提高，促进了各项工作顺利开展。社会评价良好，群众满意度较高，项目实施成效较好。</w:t>
      </w:r>
    </w:p>
    <w:p>
      <w:pPr>
        <w:pStyle w:val="2"/>
        <w:pageBreakBefore w:val="0"/>
        <w:kinsoku/>
        <w:wordWrap/>
        <w:overflowPunct/>
        <w:topLinePunct w:val="0"/>
        <w:bidi w:val="0"/>
        <w:rPr>
          <w:rFonts w:hint="default" w:ascii="Times New Roman" w:hAnsi="Times New Roman" w:cs="Times New Roman"/>
          <w:color w:val="000000" w:themeColor="text1"/>
          <w:lang w:val="zh-CN"/>
        </w:rPr>
      </w:pPr>
    </w:p>
    <w:p>
      <w:pPr>
        <w:pageBreakBefore w:val="0"/>
        <w:numPr>
          <w:ilvl w:val="0"/>
          <w:numId w:val="6"/>
        </w:numPr>
        <w:kinsoku/>
        <w:wordWrap/>
        <w:overflowPunct/>
        <w:topLinePunct w:val="0"/>
        <w:bidi w:val="0"/>
        <w:spacing w:line="560" w:lineRule="exact"/>
        <w:ind w:firstLine="643" w:firstLineChars="200"/>
        <w:rPr>
          <w:rFonts w:hint="default" w:ascii="Times New Roman" w:hAnsi="Times New Roman" w:eastAsia="楷体_GB2312" w:cs="Times New Roman"/>
          <w:b/>
          <w:bCs/>
          <w:color w:val="000000" w:themeColor="text1"/>
          <w:kern w:val="0"/>
          <w:sz w:val="32"/>
          <w:szCs w:val="32"/>
          <w:highlight w:val="none"/>
          <w:shd w:val="clear" w:color="auto" w:fill="FFFFFF"/>
          <w:lang w:val="zh-CN"/>
        </w:rPr>
      </w:pPr>
      <w:r>
        <w:rPr>
          <w:rFonts w:hint="default" w:ascii="Times New Roman" w:hAnsi="Times New Roman" w:eastAsia="楷体_GB2312" w:cs="Times New Roman"/>
          <w:b/>
          <w:bCs/>
          <w:color w:val="000000" w:themeColor="text1"/>
          <w:kern w:val="0"/>
          <w:sz w:val="32"/>
          <w:szCs w:val="32"/>
          <w:highlight w:val="none"/>
          <w:shd w:val="clear" w:color="auto" w:fill="FFFFFF"/>
          <w:lang w:val="zh-CN"/>
        </w:rPr>
        <w:t>存在问题。</w:t>
      </w:r>
    </w:p>
    <w:p>
      <w:pPr>
        <w:pageBreakBefore w:val="0"/>
        <w:numPr>
          <w:ilvl w:val="0"/>
          <w:numId w:val="0"/>
        </w:numPr>
        <w:kinsoku/>
        <w:wordWrap/>
        <w:overflowPunct/>
        <w:topLinePunct w:val="0"/>
        <w:bidi w:val="0"/>
        <w:spacing w:line="560" w:lineRule="exact"/>
        <w:ind w:firstLine="640" w:firstLineChars="200"/>
        <w:rPr>
          <w:rFonts w:hint="default" w:ascii="Times New Roman" w:hAnsi="Times New Roman" w:eastAsia="仿宋_GB2312" w:cs="Times New Roman"/>
          <w:color w:val="000000" w:themeColor="text1"/>
          <w:kern w:val="0"/>
          <w:sz w:val="32"/>
          <w:szCs w:val="32"/>
          <w:shd w:val="clear" w:color="auto" w:fill="FFFFFF"/>
          <w:lang w:val="zh-CN"/>
        </w:rPr>
      </w:pPr>
      <w:r>
        <w:rPr>
          <w:rFonts w:hint="default" w:ascii="Times New Roman" w:hAnsi="Times New Roman" w:eastAsia="仿宋_GB2312" w:cs="Times New Roman"/>
          <w:color w:val="000000" w:themeColor="text1"/>
          <w:kern w:val="0"/>
          <w:sz w:val="32"/>
          <w:szCs w:val="32"/>
          <w:shd w:val="clear" w:color="auto" w:fill="FFFFFF"/>
          <w:lang w:val="zh-CN"/>
        </w:rPr>
        <w:t>绩效目标预算执行与年初预算编制有一定偏差。预算执行管理需持续强化。</w:t>
      </w:r>
    </w:p>
    <w:p>
      <w:pPr>
        <w:pageBreakBefore w:val="0"/>
        <w:numPr>
          <w:ilvl w:val="0"/>
          <w:numId w:val="6"/>
        </w:numPr>
        <w:kinsoku/>
        <w:wordWrap/>
        <w:overflowPunct/>
        <w:topLinePunct w:val="0"/>
        <w:bidi w:val="0"/>
        <w:spacing w:line="560" w:lineRule="exact"/>
        <w:ind w:left="0" w:leftChars="0" w:firstLine="643" w:firstLineChars="200"/>
        <w:rPr>
          <w:rFonts w:hint="default" w:ascii="Times New Roman" w:hAnsi="Times New Roman" w:eastAsia="楷体_GB2312" w:cs="Times New Roman"/>
          <w:b/>
          <w:bCs/>
          <w:color w:val="000000" w:themeColor="text1"/>
          <w:kern w:val="0"/>
          <w:sz w:val="32"/>
          <w:szCs w:val="32"/>
          <w:highlight w:val="none"/>
          <w:shd w:val="clear" w:color="auto" w:fill="FFFFFF"/>
          <w:lang w:val="zh-CN" w:eastAsia="zh-CN"/>
        </w:rPr>
      </w:pPr>
      <w:r>
        <w:rPr>
          <w:rFonts w:hint="default" w:ascii="Times New Roman" w:hAnsi="Times New Roman" w:eastAsia="楷体_GB2312" w:cs="Times New Roman"/>
          <w:b/>
          <w:bCs/>
          <w:color w:val="000000" w:themeColor="text1"/>
          <w:kern w:val="0"/>
          <w:sz w:val="32"/>
          <w:szCs w:val="32"/>
          <w:highlight w:val="none"/>
          <w:shd w:val="clear" w:color="auto" w:fill="FFFFFF"/>
          <w:lang w:val="zh-CN" w:eastAsia="zh-CN"/>
        </w:rPr>
        <w:t>改进建议。</w:t>
      </w:r>
      <w:bookmarkStart w:id="52" w:name="_Hlk110546638"/>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themeColor="text1"/>
          <w:kern w:val="0"/>
          <w:sz w:val="32"/>
          <w:szCs w:val="32"/>
          <w:shd w:val="clear" w:color="auto" w:fill="FFFFFF"/>
          <w:lang w:val="zh-CN"/>
        </w:rPr>
      </w:pPr>
      <w:r>
        <w:rPr>
          <w:rFonts w:hint="default" w:ascii="Times New Roman" w:hAnsi="Times New Roman" w:eastAsia="仿宋_GB2312" w:cs="Times New Roman"/>
          <w:color w:val="000000" w:themeColor="text1"/>
          <w:kern w:val="0"/>
          <w:sz w:val="32"/>
          <w:szCs w:val="32"/>
          <w:shd w:val="clear" w:color="auto" w:fill="FFFFFF"/>
          <w:lang w:val="zh-CN"/>
        </w:rPr>
        <w:t>针对存在的问题，要科学设定绩效目标，加强预算执行管理是关键。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themeColor="text1"/>
          <w:lang w:val="zh-CN" w:eastAsia="zh-CN"/>
        </w:rPr>
      </w:pPr>
      <w:r>
        <w:rPr>
          <w:rFonts w:hint="default" w:ascii="Times New Roman" w:hAnsi="Times New Roman" w:eastAsia="仿宋_GB2312" w:cs="Times New Roman"/>
          <w:color w:val="000000" w:themeColor="text1"/>
          <w:kern w:val="0"/>
          <w:sz w:val="32"/>
          <w:szCs w:val="32"/>
          <w:shd w:val="clear" w:color="auto" w:fill="FFFFFF"/>
          <w:lang w:val="zh-CN"/>
        </w:rPr>
        <w:t>一是进一步规范部门收支预算编制程序，提高预算编制质量；二是</w:t>
      </w:r>
      <w:r>
        <w:rPr>
          <w:rFonts w:hint="default" w:ascii="Times New Roman" w:hAnsi="Times New Roman" w:eastAsia="仿宋_GB2312" w:cs="Times New Roman"/>
          <w:i w:val="0"/>
          <w:iCs w:val="0"/>
          <w:color w:val="000000" w:themeColor="text1"/>
          <w:sz w:val="32"/>
          <w:szCs w:val="32"/>
        </w:rPr>
        <w:t>加强绩效自评与预算编制的衔接</w:t>
      </w:r>
      <w:r>
        <w:rPr>
          <w:rFonts w:hint="default" w:ascii="Times New Roman" w:hAnsi="Times New Roman" w:eastAsia="仿宋_GB2312" w:cs="Times New Roman"/>
          <w:i w:val="0"/>
          <w:iCs w:val="0"/>
          <w:color w:val="000000" w:themeColor="text1"/>
          <w:sz w:val="32"/>
          <w:szCs w:val="32"/>
          <w:lang w:eastAsia="zh-CN"/>
        </w:rPr>
        <w:t>，</w:t>
      </w:r>
      <w:r>
        <w:rPr>
          <w:rFonts w:hint="default" w:ascii="Times New Roman" w:hAnsi="Times New Roman" w:eastAsia="仿宋_GB2312" w:cs="Times New Roman"/>
          <w:i w:val="0"/>
          <w:iCs w:val="0"/>
          <w:color w:val="000000" w:themeColor="text1"/>
          <w:sz w:val="32"/>
          <w:szCs w:val="32"/>
        </w:rPr>
        <w:t>充分利用绩效评价结果，强化与预算安排、政策调整等挂钩，确保预算编制的科学性、精准性</w:t>
      </w:r>
      <w:r>
        <w:rPr>
          <w:rFonts w:hint="default" w:ascii="Times New Roman" w:hAnsi="Times New Roman" w:eastAsia="仿宋_GB2312" w:cs="Times New Roman"/>
          <w:i w:val="0"/>
          <w:iCs w:val="0"/>
          <w:color w:val="000000" w:themeColor="text1"/>
          <w:sz w:val="32"/>
          <w:szCs w:val="32"/>
          <w:lang w:eastAsia="zh-CN"/>
        </w:rPr>
        <w:t>；</w:t>
      </w:r>
      <w:r>
        <w:rPr>
          <w:rFonts w:hint="default" w:ascii="Times New Roman" w:hAnsi="Times New Roman" w:eastAsia="仿宋_GB2312" w:cs="Times New Roman"/>
          <w:color w:val="000000" w:themeColor="text1"/>
          <w:kern w:val="0"/>
          <w:sz w:val="32"/>
          <w:szCs w:val="32"/>
          <w:shd w:val="clear" w:color="auto" w:fill="FFFFFF"/>
          <w:lang w:val="zh-CN"/>
        </w:rPr>
        <w:t>二是加强项目绩效的目标审核，力求科学合理，提高资金成本的使用率。</w:t>
      </w:r>
    </w:p>
    <w:p>
      <w:pPr>
        <w:pageBreakBefore w:val="0"/>
        <w:numPr>
          <w:ilvl w:val="0"/>
          <w:numId w:val="0"/>
        </w:numPr>
        <w:kinsoku/>
        <w:wordWrap/>
        <w:overflowPunct/>
        <w:topLinePunct w:val="0"/>
        <w:bidi w:val="0"/>
        <w:spacing w:line="560" w:lineRule="exact"/>
        <w:ind w:firstLine="640" w:firstLineChars="200"/>
        <w:rPr>
          <w:rFonts w:hint="default" w:ascii="Times New Roman" w:hAnsi="Times New Roman" w:eastAsia="仿宋_GB2312" w:cs="Times New Roman"/>
          <w:color w:val="000000" w:themeColor="text1"/>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F79646" w:themeColor="accent6"/>
          <w:sz w:val="32"/>
          <w:szCs w:val="32"/>
          <w:u w:val="none"/>
          <w:lang w:val="en" w:eastAsia="zh-CN" w:bidi="ar"/>
        </w:rPr>
      </w:pPr>
    </w:p>
    <w:bookmarkEnd w:id="52"/>
    <w:p>
      <w:pPr>
        <w:pageBreakBefore w:val="0"/>
        <w:kinsoku/>
        <w:wordWrap/>
        <w:overflowPunct/>
        <w:topLinePunct w:val="0"/>
        <w:bidi w:val="0"/>
        <w:spacing w:line="580" w:lineRule="exact"/>
        <w:ind w:firstLine="420" w:firstLineChars="200"/>
        <w:rPr>
          <w:rFonts w:hint="default" w:ascii="Times New Roman" w:hAnsi="Times New Roman" w:cs="Times New Roman"/>
          <w:lang w:val="zh-CN"/>
        </w:rPr>
      </w:pPr>
    </w:p>
    <w:p>
      <w:pPr>
        <w:pStyle w:val="3"/>
        <w:pageBreakBefore w:val="0"/>
        <w:kinsoku/>
        <w:wordWrap/>
        <w:overflowPunct/>
        <w:topLinePunct w:val="0"/>
        <w:bidi w:val="0"/>
        <w:spacing w:line="560" w:lineRule="exact"/>
        <w:ind w:left="0" w:leftChars="0" w:firstLine="640"/>
        <w:rPr>
          <w:rFonts w:hint="default" w:ascii="Times New Roman" w:hAnsi="Times New Roman" w:eastAsia="仿宋_GB2312" w:cs="Times New Roman"/>
          <w:sz w:val="32"/>
        </w:rPr>
      </w:pPr>
      <w:r>
        <w:rPr>
          <w:rFonts w:hint="default" w:ascii="Times New Roman" w:hAnsi="Times New Roman" w:eastAsia="仿宋_GB2312" w:cs="Times New Roman"/>
          <w:sz w:val="32"/>
          <w:lang w:val="zh-CN"/>
        </w:rPr>
        <w:t>附表：</w:t>
      </w:r>
      <w:r>
        <w:rPr>
          <w:rFonts w:hint="default" w:ascii="Times New Roman" w:hAnsi="Times New Roman" w:eastAsia="仿宋_GB2312" w:cs="Times New Roman"/>
          <w:sz w:val="32"/>
        </w:rPr>
        <w:t>部门预算项目支出绩效自评表（202</w:t>
      </w:r>
      <w:r>
        <w:rPr>
          <w:rFonts w:hint="default" w:ascii="Times New Roman" w:hAnsi="Times New Roman" w:eastAsia="仿宋_GB2312" w:cs="Times New Roman"/>
          <w:sz w:val="32"/>
          <w:lang w:val="en-US" w:eastAsia="zh-CN"/>
        </w:rPr>
        <w:t>2</w:t>
      </w:r>
      <w:r>
        <w:rPr>
          <w:rFonts w:hint="default" w:ascii="Times New Roman" w:hAnsi="Times New Roman" w:eastAsia="仿宋_GB2312" w:cs="Times New Roman"/>
          <w:sz w:val="32"/>
        </w:rPr>
        <w:t>年度）见附件3</w:t>
      </w:r>
    </w:p>
    <w:p>
      <w:pPr>
        <w:pStyle w:val="3"/>
        <w:pageBreakBefore w:val="0"/>
        <w:kinsoku/>
        <w:wordWrap/>
        <w:overflowPunct/>
        <w:topLinePunct w:val="0"/>
        <w:bidi w:val="0"/>
        <w:spacing w:line="560" w:lineRule="exact"/>
        <w:ind w:left="0" w:leftChars="0" w:firstLine="640"/>
        <w:rPr>
          <w:rFonts w:hint="default" w:ascii="Times New Roman" w:hAnsi="Times New Roman" w:eastAsia="仿宋_GB2312" w:cs="Times New Roman"/>
          <w:sz w:val="32"/>
        </w:rPr>
      </w:pPr>
    </w:p>
    <w:p>
      <w:pPr>
        <w:pStyle w:val="3"/>
        <w:pageBreakBefore w:val="0"/>
        <w:kinsoku/>
        <w:wordWrap/>
        <w:overflowPunct/>
        <w:topLinePunct w:val="0"/>
        <w:bidi w:val="0"/>
        <w:spacing w:line="560" w:lineRule="exact"/>
        <w:ind w:left="0" w:leftChars="0" w:firstLine="640"/>
        <w:rPr>
          <w:rFonts w:hint="default" w:ascii="Times New Roman" w:hAnsi="Times New Roman" w:eastAsia="仿宋_GB2312" w:cs="Times New Roman"/>
          <w:sz w:val="32"/>
        </w:rPr>
      </w:pPr>
    </w:p>
    <w:p>
      <w:pPr>
        <w:pStyle w:val="3"/>
        <w:pageBreakBefore w:val="0"/>
        <w:kinsoku/>
        <w:wordWrap/>
        <w:overflowPunct/>
        <w:topLinePunct w:val="0"/>
        <w:bidi w:val="0"/>
        <w:spacing w:line="560" w:lineRule="exact"/>
        <w:ind w:left="0" w:leftChars="0" w:firstLine="640"/>
        <w:rPr>
          <w:rFonts w:hint="default" w:ascii="Times New Roman" w:hAnsi="Times New Roman" w:eastAsia="仿宋_GB2312" w:cs="Times New Roman"/>
          <w:sz w:val="32"/>
        </w:rPr>
      </w:pPr>
    </w:p>
    <w:p>
      <w:pPr>
        <w:pStyle w:val="3"/>
        <w:pageBreakBefore w:val="0"/>
        <w:kinsoku/>
        <w:wordWrap/>
        <w:overflowPunct/>
        <w:topLinePunct w:val="0"/>
        <w:bidi w:val="0"/>
        <w:spacing w:line="560" w:lineRule="exact"/>
        <w:ind w:left="0" w:leftChars="0" w:firstLine="640"/>
        <w:rPr>
          <w:rFonts w:hint="default" w:ascii="Times New Roman" w:hAnsi="Times New Roman" w:eastAsia="仿宋_GB2312" w:cs="Times New Roman"/>
          <w:sz w:val="32"/>
        </w:rPr>
      </w:pPr>
    </w:p>
    <w:p>
      <w:pPr>
        <w:pStyle w:val="3"/>
        <w:pageBreakBefore w:val="0"/>
        <w:kinsoku/>
        <w:wordWrap/>
        <w:overflowPunct/>
        <w:topLinePunct w:val="0"/>
        <w:bidi w:val="0"/>
        <w:spacing w:line="560" w:lineRule="exact"/>
        <w:ind w:left="0" w:leftChars="0" w:firstLine="640"/>
        <w:rPr>
          <w:rFonts w:hint="default" w:ascii="Times New Roman" w:hAnsi="Times New Roman" w:eastAsia="仿宋_GB2312" w:cs="Times New Roman"/>
          <w:sz w:val="32"/>
        </w:rPr>
      </w:pPr>
    </w:p>
    <w:p>
      <w:pPr>
        <w:pStyle w:val="3"/>
        <w:pageBreakBefore w:val="0"/>
        <w:kinsoku/>
        <w:wordWrap/>
        <w:overflowPunct/>
        <w:topLinePunct w:val="0"/>
        <w:bidi w:val="0"/>
        <w:spacing w:line="560" w:lineRule="exact"/>
        <w:ind w:left="0" w:leftChars="0" w:firstLine="640"/>
        <w:rPr>
          <w:rFonts w:hint="default" w:ascii="Times New Roman" w:hAnsi="Times New Roman" w:eastAsia="仿宋_GB2312" w:cs="Times New Roman"/>
          <w:sz w:val="32"/>
        </w:rPr>
      </w:pPr>
    </w:p>
    <w:p>
      <w:pPr>
        <w:pStyle w:val="3"/>
        <w:pageBreakBefore w:val="0"/>
        <w:kinsoku/>
        <w:wordWrap/>
        <w:overflowPunct/>
        <w:topLinePunct w:val="0"/>
        <w:bidi w:val="0"/>
        <w:spacing w:line="560" w:lineRule="exact"/>
        <w:ind w:left="0" w:leftChars="0" w:firstLine="640"/>
        <w:rPr>
          <w:rFonts w:hint="default" w:ascii="Times New Roman" w:hAnsi="Times New Roman" w:eastAsia="仿宋_GB2312" w:cs="Times New Roman"/>
          <w:sz w:val="32"/>
        </w:rPr>
      </w:pPr>
    </w:p>
    <w:p>
      <w:pPr>
        <w:pStyle w:val="3"/>
        <w:pageBreakBefore w:val="0"/>
        <w:kinsoku/>
        <w:wordWrap/>
        <w:overflowPunct/>
        <w:topLinePunct w:val="0"/>
        <w:bidi w:val="0"/>
        <w:spacing w:line="560" w:lineRule="exact"/>
        <w:ind w:left="0" w:leftChars="0" w:firstLine="640"/>
        <w:rPr>
          <w:rFonts w:hint="default" w:ascii="Times New Roman" w:hAnsi="Times New Roman" w:eastAsia="仿宋_GB2312" w:cs="Times New Roman"/>
          <w:sz w:val="32"/>
        </w:rPr>
      </w:pPr>
    </w:p>
    <w:p>
      <w:pPr>
        <w:pStyle w:val="27"/>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p>
    <w:p>
      <w:pPr>
        <w:pStyle w:val="9"/>
        <w:pageBreakBefore w:val="0"/>
        <w:kinsoku/>
        <w:wordWrap/>
        <w:overflowPunct/>
        <w:topLinePunct w:val="0"/>
        <w:bidi w:val="0"/>
        <w:spacing w:before="93" w:line="560" w:lineRule="exact"/>
        <w:ind w:firstLine="800" w:firstLineChars="200"/>
        <w:rPr>
          <w:rFonts w:hint="default" w:ascii="Times New Roman" w:hAnsi="Times New Roman" w:eastAsia="方正小标宋简体" w:cs="Times New Roman"/>
          <w:sz w:val="40"/>
          <w:szCs w:val="40"/>
          <w:lang w:val="zh-CN"/>
        </w:rPr>
      </w:pPr>
    </w:p>
    <w:p>
      <w:pPr>
        <w:keepNext/>
        <w:keepLines/>
        <w:pageBreakBefore w:val="0"/>
        <w:kinsoku/>
        <w:wordWrap/>
        <w:overflowPunct/>
        <w:topLinePunct w:val="0"/>
        <w:bidi w:val="0"/>
        <w:spacing w:line="560" w:lineRule="exact"/>
        <w:ind w:left="2400" w:hanging="2400" w:hangingChars="500"/>
        <w:rPr>
          <w:rFonts w:hint="default" w:ascii="Times New Roman" w:hAnsi="Times New Roman" w:eastAsia="方正小标宋简体" w:cs="Times New Roman"/>
          <w:color w:val="000000"/>
          <w:kern w:val="0"/>
          <w:sz w:val="48"/>
          <w:szCs w:val="48"/>
        </w:rPr>
      </w:pPr>
    </w:p>
    <w:p>
      <w:pPr>
        <w:pageBreakBefore w:val="0"/>
        <w:widowControl/>
        <w:kinsoku/>
        <w:wordWrap/>
        <w:overflowPunct/>
        <w:topLinePunct w:val="0"/>
        <w:bidi w:val="0"/>
        <w:spacing w:line="560" w:lineRule="exact"/>
        <w:jc w:val="center"/>
        <w:textAlignment w:val="center"/>
        <w:rPr>
          <w:rFonts w:hint="default" w:ascii="Times New Roman" w:hAnsi="Times New Roman" w:eastAsia="方正小标宋简体" w:cs="Times New Roman"/>
          <w:sz w:val="40"/>
          <w:szCs w:val="40"/>
        </w:rPr>
      </w:pPr>
    </w:p>
    <w:p>
      <w:pPr>
        <w:pageBreakBefore w:val="0"/>
        <w:widowControl/>
        <w:kinsoku/>
        <w:wordWrap/>
        <w:overflowPunct/>
        <w:topLinePunct w:val="0"/>
        <w:bidi w:val="0"/>
        <w:spacing w:line="560" w:lineRule="exact"/>
        <w:jc w:val="center"/>
        <w:textAlignment w:val="center"/>
        <w:rPr>
          <w:rFonts w:hint="default" w:ascii="Times New Roman" w:hAnsi="Times New Roman" w:eastAsia="方正小标宋简体" w:cs="Times New Roman"/>
          <w:sz w:val="40"/>
          <w:szCs w:val="40"/>
        </w:rPr>
      </w:pPr>
    </w:p>
    <w:p>
      <w:pPr>
        <w:pageBreakBefore w:val="0"/>
        <w:widowControl/>
        <w:kinsoku/>
        <w:wordWrap/>
        <w:overflowPunct/>
        <w:topLinePunct w:val="0"/>
        <w:bidi w:val="0"/>
        <w:spacing w:line="560" w:lineRule="exact"/>
        <w:jc w:val="center"/>
        <w:textAlignment w:val="center"/>
        <w:rPr>
          <w:rFonts w:hint="default" w:ascii="Times New Roman" w:hAnsi="Times New Roman" w:eastAsia="方正小标宋简体" w:cs="Times New Roman"/>
          <w:sz w:val="40"/>
          <w:szCs w:val="40"/>
        </w:rPr>
      </w:pPr>
    </w:p>
    <w:p>
      <w:pPr>
        <w:pStyle w:val="9"/>
        <w:pageBreakBefore w:val="0"/>
        <w:kinsoku/>
        <w:wordWrap/>
        <w:overflowPunct/>
        <w:topLinePunct w:val="0"/>
        <w:bidi w:val="0"/>
        <w:spacing w:before="93" w:line="560" w:lineRule="exact"/>
        <w:rPr>
          <w:rFonts w:hint="default" w:ascii="Times New Roman" w:hAnsi="Times New Roman" w:eastAsia="方正小标宋简体" w:cs="Times New Roman"/>
          <w:sz w:val="40"/>
          <w:szCs w:val="40"/>
        </w:rPr>
      </w:pPr>
    </w:p>
    <w:p>
      <w:pPr>
        <w:pStyle w:val="9"/>
        <w:pageBreakBefore w:val="0"/>
        <w:kinsoku/>
        <w:wordWrap/>
        <w:overflowPunct/>
        <w:topLinePunct w:val="0"/>
        <w:bidi w:val="0"/>
        <w:spacing w:before="93" w:line="560" w:lineRule="exact"/>
        <w:rPr>
          <w:rFonts w:hint="default" w:ascii="Times New Roman" w:hAnsi="Times New Roman" w:eastAsia="方正小标宋简体" w:cs="Times New Roman"/>
          <w:sz w:val="40"/>
          <w:szCs w:val="40"/>
        </w:rPr>
      </w:pPr>
    </w:p>
    <w:bookmarkEnd w:id="51"/>
    <w:p>
      <w:pPr>
        <w:pageBreakBefore w:val="0"/>
        <w:kinsoku/>
        <w:wordWrap/>
        <w:overflowPunct/>
        <w:topLinePunct w:val="0"/>
        <w:bidi w:val="0"/>
        <w:spacing w:line="560" w:lineRule="exact"/>
        <w:jc w:val="center"/>
        <w:outlineLvl w:val="0"/>
        <w:rPr>
          <w:rFonts w:hint="default" w:ascii="Times New Roman" w:hAnsi="Times New Roman" w:eastAsia="仿宋" w:cs="Times New Roman"/>
        </w:rPr>
      </w:pPr>
      <w:bookmarkStart w:id="53" w:name="_Toc15396618"/>
      <w:r>
        <w:rPr>
          <w:rFonts w:hint="default" w:ascii="Times New Roman" w:hAnsi="Times New Roman" w:eastAsia="黑体" w:cs="Times New Roman"/>
          <w:sz w:val="44"/>
          <w:szCs w:val="44"/>
        </w:rPr>
        <w:t>第</w:t>
      </w:r>
      <w:r>
        <w:rPr>
          <w:rStyle w:val="36"/>
          <w:rFonts w:hint="default" w:ascii="Times New Roman" w:hAnsi="Times New Roman" w:eastAsia="黑体" w:cs="Times New Roman"/>
          <w:b w:val="0"/>
        </w:rPr>
        <w:t>五部分 附表</w:t>
      </w:r>
      <w:bookmarkEnd w:id="53"/>
      <w:bookmarkStart w:id="54" w:name="_Toc15396619"/>
    </w:p>
    <w:p>
      <w:pPr>
        <w:pStyle w:val="6"/>
        <w:pageBreakBefore w:val="0"/>
        <w:kinsoku/>
        <w:wordWrap/>
        <w:overflowPunct/>
        <w:topLinePunct w:val="0"/>
        <w:bidi w:val="0"/>
        <w:spacing w:line="560" w:lineRule="exact"/>
        <w:rPr>
          <w:rFonts w:hint="default" w:ascii="Times New Roman" w:hAnsi="Times New Roman" w:eastAsia="仿宋" w:cs="Times New Roman"/>
        </w:rPr>
      </w:pPr>
      <w:r>
        <w:rPr>
          <w:rFonts w:hint="default" w:ascii="Times New Roman" w:hAnsi="Times New Roman" w:eastAsia="仿宋" w:cs="Times New Roman"/>
          <w:b w:val="0"/>
        </w:rPr>
        <w:t>一、收</w:t>
      </w:r>
      <w:r>
        <w:rPr>
          <w:rStyle w:val="37"/>
          <w:rFonts w:hint="default" w:ascii="Times New Roman" w:hAnsi="Times New Roman" w:eastAsia="仿宋" w:cs="Times New Roman"/>
          <w:b w:val="0"/>
          <w:bCs w:val="0"/>
        </w:rPr>
        <w:t>入支出决算总表</w:t>
      </w:r>
      <w:bookmarkEnd w:id="54"/>
    </w:p>
    <w:p>
      <w:pPr>
        <w:pStyle w:val="6"/>
        <w:pageBreakBefore w:val="0"/>
        <w:kinsoku/>
        <w:wordWrap/>
        <w:overflowPunct/>
        <w:topLinePunct w:val="0"/>
        <w:bidi w:val="0"/>
        <w:spacing w:line="560" w:lineRule="exact"/>
        <w:rPr>
          <w:rFonts w:hint="default" w:ascii="Times New Roman" w:hAnsi="Times New Roman" w:eastAsia="仿宋" w:cs="Times New Roman"/>
        </w:rPr>
      </w:pPr>
      <w:bookmarkStart w:id="55" w:name="_Toc15396620"/>
      <w:r>
        <w:rPr>
          <w:rFonts w:hint="default" w:ascii="Times New Roman" w:hAnsi="Times New Roman" w:eastAsia="仿宋" w:cs="Times New Roman"/>
          <w:b w:val="0"/>
        </w:rPr>
        <w:t>二、收</w:t>
      </w:r>
      <w:r>
        <w:rPr>
          <w:rStyle w:val="37"/>
          <w:rFonts w:hint="default" w:ascii="Times New Roman" w:hAnsi="Times New Roman" w:eastAsia="仿宋" w:cs="Times New Roman"/>
          <w:b w:val="0"/>
          <w:bCs w:val="0"/>
        </w:rPr>
        <w:t>入决算表</w:t>
      </w:r>
      <w:bookmarkEnd w:id="55"/>
    </w:p>
    <w:p>
      <w:pPr>
        <w:pStyle w:val="6"/>
        <w:pageBreakBefore w:val="0"/>
        <w:kinsoku/>
        <w:wordWrap/>
        <w:overflowPunct/>
        <w:topLinePunct w:val="0"/>
        <w:bidi w:val="0"/>
        <w:spacing w:line="560" w:lineRule="exact"/>
        <w:rPr>
          <w:rFonts w:hint="default" w:ascii="Times New Roman" w:hAnsi="Times New Roman" w:eastAsia="仿宋" w:cs="Times New Roman"/>
        </w:rPr>
      </w:pPr>
      <w:bookmarkStart w:id="56" w:name="_Toc15396621"/>
      <w:r>
        <w:rPr>
          <w:rStyle w:val="37"/>
          <w:rFonts w:hint="default" w:ascii="Times New Roman" w:hAnsi="Times New Roman" w:eastAsia="仿宋" w:cs="Times New Roman"/>
          <w:b w:val="0"/>
          <w:bCs w:val="0"/>
        </w:rPr>
        <w:t>三、</w:t>
      </w:r>
      <w:r>
        <w:rPr>
          <w:rFonts w:hint="default" w:ascii="Times New Roman" w:hAnsi="Times New Roman" w:eastAsia="仿宋" w:cs="Times New Roman"/>
          <w:b w:val="0"/>
        </w:rPr>
        <w:t>支</w:t>
      </w:r>
      <w:r>
        <w:rPr>
          <w:rStyle w:val="37"/>
          <w:rFonts w:hint="default" w:ascii="Times New Roman" w:hAnsi="Times New Roman" w:eastAsia="仿宋" w:cs="Times New Roman"/>
          <w:b w:val="0"/>
          <w:bCs w:val="0"/>
        </w:rPr>
        <w:t>出决算表</w:t>
      </w:r>
      <w:bookmarkEnd w:id="56"/>
    </w:p>
    <w:p>
      <w:pPr>
        <w:pStyle w:val="6"/>
        <w:pageBreakBefore w:val="0"/>
        <w:kinsoku/>
        <w:wordWrap/>
        <w:overflowPunct/>
        <w:topLinePunct w:val="0"/>
        <w:bidi w:val="0"/>
        <w:spacing w:line="560" w:lineRule="exact"/>
        <w:rPr>
          <w:rFonts w:hint="default" w:ascii="Times New Roman" w:hAnsi="Times New Roman" w:eastAsia="仿宋" w:cs="Times New Roman"/>
          <w:b w:val="0"/>
        </w:rPr>
      </w:pPr>
      <w:bookmarkStart w:id="57" w:name="_Toc15396622"/>
      <w:r>
        <w:rPr>
          <w:rStyle w:val="37"/>
          <w:rFonts w:hint="default" w:ascii="Times New Roman" w:hAnsi="Times New Roman" w:eastAsia="仿宋" w:cs="Times New Roman"/>
          <w:b w:val="0"/>
          <w:bCs w:val="0"/>
        </w:rPr>
        <w:t>四、</w:t>
      </w:r>
      <w:r>
        <w:rPr>
          <w:rFonts w:hint="default" w:ascii="Times New Roman" w:hAnsi="Times New Roman" w:eastAsia="仿宋" w:cs="Times New Roman"/>
          <w:b w:val="0"/>
        </w:rPr>
        <w:t>财</w:t>
      </w:r>
      <w:r>
        <w:rPr>
          <w:rStyle w:val="37"/>
          <w:rFonts w:hint="default" w:ascii="Times New Roman" w:hAnsi="Times New Roman" w:eastAsia="仿宋" w:cs="Times New Roman"/>
          <w:b w:val="0"/>
          <w:bCs w:val="0"/>
        </w:rPr>
        <w:t>政拨款收入支出决算总表</w:t>
      </w:r>
      <w:bookmarkEnd w:id="57"/>
    </w:p>
    <w:p>
      <w:pPr>
        <w:pStyle w:val="6"/>
        <w:pageBreakBefore w:val="0"/>
        <w:kinsoku/>
        <w:wordWrap/>
        <w:overflowPunct/>
        <w:topLinePunct w:val="0"/>
        <w:bidi w:val="0"/>
        <w:spacing w:line="560" w:lineRule="exact"/>
        <w:rPr>
          <w:rStyle w:val="37"/>
          <w:rFonts w:hint="default" w:ascii="Times New Roman" w:hAnsi="Times New Roman" w:eastAsia="仿宋" w:cs="Times New Roman"/>
          <w:b w:val="0"/>
          <w:bCs w:val="0"/>
        </w:rPr>
      </w:pPr>
      <w:bookmarkStart w:id="58" w:name="_Toc15396623"/>
      <w:r>
        <w:rPr>
          <w:rStyle w:val="37"/>
          <w:rFonts w:hint="default" w:ascii="Times New Roman" w:hAnsi="Times New Roman" w:eastAsia="仿宋" w:cs="Times New Roman"/>
          <w:b w:val="0"/>
          <w:bCs w:val="0"/>
        </w:rPr>
        <w:t>五、</w:t>
      </w:r>
      <w:r>
        <w:rPr>
          <w:rFonts w:hint="default" w:ascii="Times New Roman" w:hAnsi="Times New Roman" w:eastAsia="仿宋" w:cs="Times New Roman"/>
          <w:b w:val="0"/>
        </w:rPr>
        <w:t>财</w:t>
      </w:r>
      <w:r>
        <w:rPr>
          <w:rStyle w:val="37"/>
          <w:rFonts w:hint="default" w:ascii="Times New Roman" w:hAnsi="Times New Roman" w:eastAsia="仿宋" w:cs="Times New Roman"/>
          <w:b w:val="0"/>
          <w:bCs w:val="0"/>
        </w:rPr>
        <w:t>政拨款支出决算明细表</w:t>
      </w:r>
      <w:bookmarkEnd w:id="58"/>
      <w:bookmarkStart w:id="59" w:name="_Toc15396624"/>
    </w:p>
    <w:p>
      <w:pPr>
        <w:pStyle w:val="6"/>
        <w:pageBreakBefore w:val="0"/>
        <w:kinsoku/>
        <w:wordWrap/>
        <w:overflowPunct/>
        <w:topLinePunct w:val="0"/>
        <w:bidi w:val="0"/>
        <w:spacing w:line="560" w:lineRule="exact"/>
        <w:rPr>
          <w:rFonts w:hint="default" w:ascii="Times New Roman" w:hAnsi="Times New Roman" w:eastAsia="仿宋" w:cs="Times New Roman"/>
        </w:rPr>
      </w:pPr>
      <w:r>
        <w:rPr>
          <w:rStyle w:val="37"/>
          <w:rFonts w:hint="default" w:ascii="Times New Roman" w:hAnsi="Times New Roman" w:eastAsia="仿宋" w:cs="Times New Roman"/>
          <w:b w:val="0"/>
          <w:bCs w:val="0"/>
        </w:rPr>
        <w:t>六、</w:t>
      </w:r>
      <w:r>
        <w:rPr>
          <w:rFonts w:hint="default" w:ascii="Times New Roman" w:hAnsi="Times New Roman" w:eastAsia="仿宋" w:cs="Times New Roman"/>
          <w:b w:val="0"/>
        </w:rPr>
        <w:t>一</w:t>
      </w:r>
      <w:r>
        <w:rPr>
          <w:rStyle w:val="37"/>
          <w:rFonts w:hint="default" w:ascii="Times New Roman" w:hAnsi="Times New Roman" w:eastAsia="仿宋" w:cs="Times New Roman"/>
          <w:b w:val="0"/>
          <w:bCs w:val="0"/>
        </w:rPr>
        <w:t>般公共预算财政拨款支出决算表</w:t>
      </w:r>
      <w:bookmarkEnd w:id="59"/>
    </w:p>
    <w:p>
      <w:pPr>
        <w:pStyle w:val="6"/>
        <w:pageBreakBefore w:val="0"/>
        <w:kinsoku/>
        <w:wordWrap/>
        <w:overflowPunct/>
        <w:topLinePunct w:val="0"/>
        <w:bidi w:val="0"/>
        <w:spacing w:line="560" w:lineRule="exact"/>
        <w:rPr>
          <w:rFonts w:hint="default" w:ascii="Times New Roman" w:hAnsi="Times New Roman" w:eastAsia="仿宋" w:cs="Times New Roman"/>
        </w:rPr>
      </w:pPr>
      <w:bookmarkStart w:id="60" w:name="_Toc15396625"/>
      <w:r>
        <w:rPr>
          <w:rStyle w:val="37"/>
          <w:rFonts w:hint="default" w:ascii="Times New Roman" w:hAnsi="Times New Roman" w:eastAsia="仿宋" w:cs="Times New Roman"/>
          <w:b w:val="0"/>
          <w:bCs w:val="0"/>
        </w:rPr>
        <w:t>七、</w:t>
      </w:r>
      <w:r>
        <w:rPr>
          <w:rFonts w:hint="default" w:ascii="Times New Roman" w:hAnsi="Times New Roman" w:eastAsia="仿宋" w:cs="Times New Roman"/>
          <w:b w:val="0"/>
        </w:rPr>
        <w:t>一</w:t>
      </w:r>
      <w:r>
        <w:rPr>
          <w:rStyle w:val="37"/>
          <w:rFonts w:hint="default" w:ascii="Times New Roman" w:hAnsi="Times New Roman" w:eastAsia="仿宋" w:cs="Times New Roman"/>
          <w:b w:val="0"/>
          <w:bCs w:val="0"/>
        </w:rPr>
        <w:t>般公共预算财政拨款支出决算明细表</w:t>
      </w:r>
      <w:bookmarkEnd w:id="60"/>
    </w:p>
    <w:p>
      <w:pPr>
        <w:pStyle w:val="6"/>
        <w:pageBreakBefore w:val="0"/>
        <w:kinsoku/>
        <w:wordWrap/>
        <w:overflowPunct/>
        <w:topLinePunct w:val="0"/>
        <w:bidi w:val="0"/>
        <w:spacing w:line="560" w:lineRule="exact"/>
        <w:rPr>
          <w:rFonts w:hint="default" w:ascii="Times New Roman" w:hAnsi="Times New Roman" w:eastAsia="仿宋" w:cs="Times New Roman"/>
        </w:rPr>
      </w:pPr>
      <w:bookmarkStart w:id="61" w:name="_Toc15396626"/>
      <w:r>
        <w:rPr>
          <w:rStyle w:val="37"/>
          <w:rFonts w:hint="default" w:ascii="Times New Roman" w:hAnsi="Times New Roman" w:eastAsia="仿宋" w:cs="Times New Roman"/>
          <w:b w:val="0"/>
          <w:bCs w:val="0"/>
        </w:rPr>
        <w:t>八、</w:t>
      </w:r>
      <w:r>
        <w:rPr>
          <w:rFonts w:hint="default" w:ascii="Times New Roman" w:hAnsi="Times New Roman" w:eastAsia="仿宋" w:cs="Times New Roman"/>
          <w:b w:val="0"/>
        </w:rPr>
        <w:t>一</w:t>
      </w:r>
      <w:r>
        <w:rPr>
          <w:rStyle w:val="37"/>
          <w:rFonts w:hint="default" w:ascii="Times New Roman" w:hAnsi="Times New Roman" w:eastAsia="仿宋" w:cs="Times New Roman"/>
          <w:b w:val="0"/>
          <w:bCs w:val="0"/>
        </w:rPr>
        <w:t>般公共预算财政拨款基本支出决算表</w:t>
      </w:r>
      <w:bookmarkEnd w:id="61"/>
    </w:p>
    <w:p>
      <w:pPr>
        <w:pStyle w:val="6"/>
        <w:pageBreakBefore w:val="0"/>
        <w:kinsoku/>
        <w:wordWrap/>
        <w:overflowPunct/>
        <w:topLinePunct w:val="0"/>
        <w:bidi w:val="0"/>
        <w:spacing w:line="560" w:lineRule="exact"/>
        <w:rPr>
          <w:rFonts w:hint="default" w:ascii="Times New Roman" w:hAnsi="Times New Roman" w:eastAsia="仿宋" w:cs="Times New Roman"/>
        </w:rPr>
      </w:pPr>
      <w:bookmarkStart w:id="62" w:name="_Toc15396627"/>
      <w:r>
        <w:rPr>
          <w:rStyle w:val="37"/>
          <w:rFonts w:hint="default" w:ascii="Times New Roman" w:hAnsi="Times New Roman" w:eastAsia="仿宋" w:cs="Times New Roman"/>
          <w:b w:val="0"/>
          <w:bCs w:val="0"/>
        </w:rPr>
        <w:t>九、</w:t>
      </w:r>
      <w:r>
        <w:rPr>
          <w:rFonts w:hint="default" w:ascii="Times New Roman" w:hAnsi="Times New Roman" w:eastAsia="仿宋" w:cs="Times New Roman"/>
          <w:b w:val="0"/>
        </w:rPr>
        <w:t>一</w:t>
      </w:r>
      <w:r>
        <w:rPr>
          <w:rStyle w:val="37"/>
          <w:rFonts w:hint="default" w:ascii="Times New Roman" w:hAnsi="Times New Roman" w:eastAsia="仿宋" w:cs="Times New Roman"/>
          <w:b w:val="0"/>
          <w:bCs w:val="0"/>
        </w:rPr>
        <w:t>般公共预算财政拨款项目支出决算表</w:t>
      </w:r>
      <w:bookmarkEnd w:id="62"/>
    </w:p>
    <w:p>
      <w:pPr>
        <w:pStyle w:val="6"/>
        <w:pageBreakBefore w:val="0"/>
        <w:kinsoku/>
        <w:wordWrap/>
        <w:overflowPunct/>
        <w:topLinePunct w:val="0"/>
        <w:bidi w:val="0"/>
        <w:spacing w:line="560" w:lineRule="exact"/>
        <w:rPr>
          <w:rFonts w:hint="default" w:ascii="Times New Roman" w:hAnsi="Times New Roman" w:eastAsia="仿宋" w:cs="Times New Roman"/>
        </w:rPr>
      </w:pPr>
      <w:bookmarkStart w:id="63" w:name="_Toc15396628"/>
      <w:r>
        <w:rPr>
          <w:rStyle w:val="37"/>
          <w:rFonts w:hint="default" w:ascii="Times New Roman" w:hAnsi="Times New Roman" w:eastAsia="仿宋" w:cs="Times New Roman"/>
          <w:b w:val="0"/>
          <w:bCs w:val="0"/>
        </w:rPr>
        <w:t>十、</w:t>
      </w:r>
      <w:bookmarkEnd w:id="63"/>
      <w:r>
        <w:rPr>
          <w:rFonts w:hint="default" w:ascii="Times New Roman" w:hAnsi="Times New Roman" w:eastAsia="仿宋" w:cs="Times New Roman"/>
          <w:b w:val="0"/>
        </w:rPr>
        <w:t>政</w:t>
      </w:r>
      <w:r>
        <w:rPr>
          <w:rStyle w:val="37"/>
          <w:rFonts w:hint="default" w:ascii="Times New Roman" w:hAnsi="Times New Roman" w:eastAsia="仿宋" w:cs="Times New Roman"/>
          <w:b w:val="0"/>
          <w:bCs w:val="0"/>
        </w:rPr>
        <w:t>府性基金预算财政拨款收入支出决算表</w:t>
      </w:r>
    </w:p>
    <w:p>
      <w:pPr>
        <w:pStyle w:val="6"/>
        <w:pageBreakBefore w:val="0"/>
        <w:kinsoku/>
        <w:wordWrap/>
        <w:overflowPunct/>
        <w:topLinePunct w:val="0"/>
        <w:bidi w:val="0"/>
        <w:spacing w:line="560" w:lineRule="exact"/>
        <w:rPr>
          <w:rFonts w:hint="default" w:ascii="Times New Roman" w:hAnsi="Times New Roman" w:eastAsia="仿宋" w:cs="Times New Roman"/>
        </w:rPr>
      </w:pPr>
      <w:bookmarkStart w:id="64" w:name="_Toc15396629"/>
      <w:r>
        <w:rPr>
          <w:rStyle w:val="37"/>
          <w:rFonts w:hint="default" w:ascii="Times New Roman" w:hAnsi="Times New Roman" w:eastAsia="仿宋" w:cs="Times New Roman"/>
          <w:b w:val="0"/>
          <w:bCs w:val="0"/>
        </w:rPr>
        <w:t>十一、</w:t>
      </w:r>
      <w:bookmarkEnd w:id="64"/>
      <w:r>
        <w:rPr>
          <w:rFonts w:hint="default" w:ascii="Times New Roman" w:hAnsi="Times New Roman" w:eastAsia="仿宋" w:cs="Times New Roman"/>
          <w:b w:val="0"/>
        </w:rPr>
        <w:t>国</w:t>
      </w:r>
      <w:r>
        <w:rPr>
          <w:rStyle w:val="37"/>
          <w:rFonts w:hint="default" w:ascii="Times New Roman" w:hAnsi="Times New Roman" w:eastAsia="仿宋" w:cs="Times New Roman"/>
          <w:b w:val="0"/>
          <w:bCs w:val="0"/>
        </w:rPr>
        <w:t>有资本经营预算财政拨款收入支出决算表</w:t>
      </w:r>
    </w:p>
    <w:p>
      <w:pPr>
        <w:pStyle w:val="6"/>
        <w:pageBreakBefore w:val="0"/>
        <w:kinsoku/>
        <w:wordWrap/>
        <w:overflowPunct/>
        <w:topLinePunct w:val="0"/>
        <w:bidi w:val="0"/>
        <w:spacing w:line="560" w:lineRule="exact"/>
        <w:rPr>
          <w:rFonts w:hint="default" w:ascii="Times New Roman" w:hAnsi="Times New Roman" w:eastAsia="仿宋" w:cs="Times New Roman"/>
        </w:rPr>
      </w:pPr>
      <w:bookmarkStart w:id="65" w:name="_Toc15396630"/>
      <w:r>
        <w:rPr>
          <w:rStyle w:val="37"/>
          <w:rFonts w:hint="default" w:ascii="Times New Roman" w:hAnsi="Times New Roman" w:eastAsia="仿宋" w:cs="Times New Roman"/>
          <w:b w:val="0"/>
          <w:bCs w:val="0"/>
        </w:rPr>
        <w:t>十二、</w:t>
      </w:r>
      <w:bookmarkEnd w:id="65"/>
      <w:r>
        <w:rPr>
          <w:rStyle w:val="37"/>
          <w:rFonts w:hint="default" w:ascii="Times New Roman" w:hAnsi="Times New Roman" w:eastAsia="仿宋" w:cs="Times New Roman"/>
          <w:b w:val="0"/>
          <w:bCs w:val="0"/>
        </w:rPr>
        <w:t>国有资本经营预算财政拨款支出决算表</w:t>
      </w:r>
    </w:p>
    <w:p>
      <w:pPr>
        <w:pStyle w:val="6"/>
        <w:pageBreakBefore w:val="0"/>
        <w:kinsoku/>
        <w:wordWrap/>
        <w:overflowPunct/>
        <w:topLinePunct w:val="0"/>
        <w:bidi w:val="0"/>
        <w:spacing w:line="560" w:lineRule="exact"/>
        <w:rPr>
          <w:rFonts w:hint="default" w:ascii="Times New Roman" w:hAnsi="Times New Roman" w:eastAsia="仿宋" w:cs="Times New Roman"/>
        </w:rPr>
      </w:pPr>
      <w:bookmarkStart w:id="66" w:name="_Toc15396631"/>
      <w:r>
        <w:rPr>
          <w:rStyle w:val="37"/>
          <w:rFonts w:hint="default" w:ascii="Times New Roman" w:hAnsi="Times New Roman" w:eastAsia="仿宋" w:cs="Times New Roman"/>
          <w:b w:val="0"/>
          <w:bCs w:val="0"/>
        </w:rPr>
        <w:t>十三、</w:t>
      </w:r>
      <w:bookmarkEnd w:id="66"/>
      <w:r>
        <w:rPr>
          <w:rStyle w:val="37"/>
          <w:rFonts w:hint="default" w:ascii="Times New Roman" w:hAnsi="Times New Roman" w:eastAsia="仿宋" w:cs="Times New Roman"/>
          <w:b w:val="0"/>
          <w:bCs w:val="0"/>
        </w:rPr>
        <w:t>财政拨款“三公”经费支出决算表</w:t>
      </w:r>
    </w:p>
    <w:p>
      <w:pPr>
        <w:pStyle w:val="6"/>
        <w:pageBreakBefore w:val="0"/>
        <w:kinsoku/>
        <w:wordWrap/>
        <w:overflowPunct/>
        <w:topLinePunct w:val="0"/>
        <w:bidi w:val="0"/>
        <w:spacing w:line="560" w:lineRule="exact"/>
        <w:rPr>
          <w:rStyle w:val="30"/>
          <w:rFonts w:hint="default" w:ascii="Times New Roman" w:hAnsi="Times New Roman" w:eastAsia="仿宋" w:cs="Times New Roman"/>
          <w:b w:val="0"/>
          <w:bCs w:val="0"/>
        </w:rPr>
      </w:pPr>
    </w:p>
    <w:sectPr>
      <w:footerReference r:id="rId3" w:type="default"/>
      <w:pgSz w:w="11906" w:h="16838"/>
      <w:pgMar w:top="426" w:right="1800" w:bottom="1135"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ZF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8369"/>
    </w:sdtPr>
    <w:sdtContent>
      <w:p>
        <w:pPr>
          <w:pStyle w:val="13"/>
          <w:jc w:val="center"/>
        </w:pPr>
        <w:r>
          <w:fldChar w:fldCharType="begin"/>
        </w:r>
        <w:r>
          <w:instrText xml:space="preserve">PAGE   \* MERGEFORMAT</w:instrText>
        </w:r>
        <w:r>
          <w:fldChar w:fldCharType="separate"/>
        </w:r>
        <w:r>
          <w:rPr>
            <w:lang w:val="zh-CN"/>
          </w:rPr>
          <w:t>24</w:t>
        </w:r>
        <w:r>
          <w:rPr>
            <w:lang w:val="zh-CN"/>
          </w:rPr>
          <w:fldChar w:fldCharType="end"/>
        </w:r>
      </w:p>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A695A"/>
    <w:multiLevelType w:val="singleLevel"/>
    <w:tmpl w:val="873A695A"/>
    <w:lvl w:ilvl="0" w:tentative="0">
      <w:start w:val="2"/>
      <w:numFmt w:val="chineseCounting"/>
      <w:suff w:val="nothing"/>
      <w:lvlText w:val="（%1）"/>
      <w:lvlJc w:val="left"/>
      <w:rPr>
        <w:rFonts w:hint="eastAsia"/>
      </w:rPr>
    </w:lvl>
  </w:abstractNum>
  <w:abstractNum w:abstractNumId="1">
    <w:nsid w:val="9547C6A4"/>
    <w:multiLevelType w:val="singleLevel"/>
    <w:tmpl w:val="9547C6A4"/>
    <w:lvl w:ilvl="0" w:tentative="0">
      <w:start w:val="1"/>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ED805CA"/>
    <w:multiLevelType w:val="singleLevel"/>
    <w:tmpl w:val="6ED805CA"/>
    <w:lvl w:ilvl="0" w:tentative="0">
      <w:start w:val="2"/>
      <w:numFmt w:val="chineseCounting"/>
      <w:suff w:val="nothing"/>
      <w:lvlText w:val="（%1）"/>
      <w:lvlJc w:val="left"/>
      <w:rPr>
        <w:rFonts w:hint="eastAsia"/>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6FEF"/>
    <w:rsid w:val="00007960"/>
    <w:rsid w:val="00014F70"/>
    <w:rsid w:val="000162DA"/>
    <w:rsid w:val="000222C6"/>
    <w:rsid w:val="00022F91"/>
    <w:rsid w:val="0002549F"/>
    <w:rsid w:val="000254CE"/>
    <w:rsid w:val="000329F1"/>
    <w:rsid w:val="000468DB"/>
    <w:rsid w:val="00055298"/>
    <w:rsid w:val="00057E03"/>
    <w:rsid w:val="000619C1"/>
    <w:rsid w:val="0006487A"/>
    <w:rsid w:val="00065F8F"/>
    <w:rsid w:val="000676AC"/>
    <w:rsid w:val="00070A43"/>
    <w:rsid w:val="00070E55"/>
    <w:rsid w:val="0007126A"/>
    <w:rsid w:val="000768F2"/>
    <w:rsid w:val="00076A13"/>
    <w:rsid w:val="0009055F"/>
    <w:rsid w:val="00091011"/>
    <w:rsid w:val="0009184B"/>
    <w:rsid w:val="00094236"/>
    <w:rsid w:val="0009593C"/>
    <w:rsid w:val="00096518"/>
    <w:rsid w:val="00097156"/>
    <w:rsid w:val="00097322"/>
    <w:rsid w:val="000A375F"/>
    <w:rsid w:val="000A6A92"/>
    <w:rsid w:val="000B047F"/>
    <w:rsid w:val="000B5923"/>
    <w:rsid w:val="000B5A48"/>
    <w:rsid w:val="000B6FF3"/>
    <w:rsid w:val="000B7E14"/>
    <w:rsid w:val="000C0D49"/>
    <w:rsid w:val="000C1DC5"/>
    <w:rsid w:val="000C3467"/>
    <w:rsid w:val="000C3CA6"/>
    <w:rsid w:val="000C4ECB"/>
    <w:rsid w:val="000D1267"/>
    <w:rsid w:val="000D1D50"/>
    <w:rsid w:val="000D417B"/>
    <w:rsid w:val="000D5782"/>
    <w:rsid w:val="000D719F"/>
    <w:rsid w:val="000E098D"/>
    <w:rsid w:val="000E3B12"/>
    <w:rsid w:val="000E54F3"/>
    <w:rsid w:val="000E6613"/>
    <w:rsid w:val="000E7119"/>
    <w:rsid w:val="000F432B"/>
    <w:rsid w:val="000F53D0"/>
    <w:rsid w:val="00105D9D"/>
    <w:rsid w:val="0011133E"/>
    <w:rsid w:val="00114E9B"/>
    <w:rsid w:val="00117069"/>
    <w:rsid w:val="00122907"/>
    <w:rsid w:val="00124E35"/>
    <w:rsid w:val="00126240"/>
    <w:rsid w:val="001263A7"/>
    <w:rsid w:val="00130FB0"/>
    <w:rsid w:val="0013449D"/>
    <w:rsid w:val="00140652"/>
    <w:rsid w:val="00142216"/>
    <w:rsid w:val="00142F5F"/>
    <w:rsid w:val="001430FB"/>
    <w:rsid w:val="001447B5"/>
    <w:rsid w:val="00144AD4"/>
    <w:rsid w:val="00144D6A"/>
    <w:rsid w:val="0014729F"/>
    <w:rsid w:val="00157BAB"/>
    <w:rsid w:val="001654D1"/>
    <w:rsid w:val="001703E0"/>
    <w:rsid w:val="001705A0"/>
    <w:rsid w:val="00172A27"/>
    <w:rsid w:val="00174518"/>
    <w:rsid w:val="00180A21"/>
    <w:rsid w:val="0018106D"/>
    <w:rsid w:val="00182813"/>
    <w:rsid w:val="001877A7"/>
    <w:rsid w:val="0019082D"/>
    <w:rsid w:val="00191536"/>
    <w:rsid w:val="00191FEB"/>
    <w:rsid w:val="00196465"/>
    <w:rsid w:val="00196687"/>
    <w:rsid w:val="001A4239"/>
    <w:rsid w:val="001A4D3B"/>
    <w:rsid w:val="001A553B"/>
    <w:rsid w:val="001B189F"/>
    <w:rsid w:val="001B1AE0"/>
    <w:rsid w:val="001B1CAE"/>
    <w:rsid w:val="001B1FC3"/>
    <w:rsid w:val="001B5FF1"/>
    <w:rsid w:val="001B64BD"/>
    <w:rsid w:val="001B6B70"/>
    <w:rsid w:val="001C0962"/>
    <w:rsid w:val="001C3595"/>
    <w:rsid w:val="001C5802"/>
    <w:rsid w:val="001D0FDC"/>
    <w:rsid w:val="001D5452"/>
    <w:rsid w:val="001D7531"/>
    <w:rsid w:val="001D7B35"/>
    <w:rsid w:val="001E10B1"/>
    <w:rsid w:val="001E6612"/>
    <w:rsid w:val="001E737D"/>
    <w:rsid w:val="001F0592"/>
    <w:rsid w:val="001F1961"/>
    <w:rsid w:val="001F2160"/>
    <w:rsid w:val="001F63ED"/>
    <w:rsid w:val="001F7506"/>
    <w:rsid w:val="002006CD"/>
    <w:rsid w:val="00202B36"/>
    <w:rsid w:val="00203D57"/>
    <w:rsid w:val="002049E1"/>
    <w:rsid w:val="00204B7A"/>
    <w:rsid w:val="00204CDE"/>
    <w:rsid w:val="00207DBE"/>
    <w:rsid w:val="0021101A"/>
    <w:rsid w:val="002149CF"/>
    <w:rsid w:val="00220536"/>
    <w:rsid w:val="00235629"/>
    <w:rsid w:val="00235BB2"/>
    <w:rsid w:val="0024349B"/>
    <w:rsid w:val="002435D6"/>
    <w:rsid w:val="00247AEF"/>
    <w:rsid w:val="002505B4"/>
    <w:rsid w:val="00250763"/>
    <w:rsid w:val="002513CA"/>
    <w:rsid w:val="002569D2"/>
    <w:rsid w:val="00256F0C"/>
    <w:rsid w:val="00260C38"/>
    <w:rsid w:val="002616C0"/>
    <w:rsid w:val="0026358D"/>
    <w:rsid w:val="00264BEC"/>
    <w:rsid w:val="00265372"/>
    <w:rsid w:val="002662AA"/>
    <w:rsid w:val="00280496"/>
    <w:rsid w:val="002804AA"/>
    <w:rsid w:val="00282C3C"/>
    <w:rsid w:val="002866A2"/>
    <w:rsid w:val="0028775F"/>
    <w:rsid w:val="002906C5"/>
    <w:rsid w:val="00294DC9"/>
    <w:rsid w:val="00295495"/>
    <w:rsid w:val="002A31DE"/>
    <w:rsid w:val="002A330B"/>
    <w:rsid w:val="002B2613"/>
    <w:rsid w:val="002B3D2B"/>
    <w:rsid w:val="002B58F2"/>
    <w:rsid w:val="002B73E0"/>
    <w:rsid w:val="002C0461"/>
    <w:rsid w:val="002C3A13"/>
    <w:rsid w:val="002C40D7"/>
    <w:rsid w:val="002D19B0"/>
    <w:rsid w:val="002D6D05"/>
    <w:rsid w:val="002E3C7D"/>
    <w:rsid w:val="002E5D0E"/>
    <w:rsid w:val="002F1818"/>
    <w:rsid w:val="002F567B"/>
    <w:rsid w:val="00302369"/>
    <w:rsid w:val="00314DA9"/>
    <w:rsid w:val="003162F9"/>
    <w:rsid w:val="003170EC"/>
    <w:rsid w:val="003216A9"/>
    <w:rsid w:val="00323109"/>
    <w:rsid w:val="00323C8E"/>
    <w:rsid w:val="00334056"/>
    <w:rsid w:val="00335A74"/>
    <w:rsid w:val="00343658"/>
    <w:rsid w:val="00352C0A"/>
    <w:rsid w:val="00355C1B"/>
    <w:rsid w:val="0036561B"/>
    <w:rsid w:val="0037013F"/>
    <w:rsid w:val="003729C3"/>
    <w:rsid w:val="00372EB8"/>
    <w:rsid w:val="0037409C"/>
    <w:rsid w:val="00380C92"/>
    <w:rsid w:val="00380DEE"/>
    <w:rsid w:val="0039132B"/>
    <w:rsid w:val="00391E12"/>
    <w:rsid w:val="003A1E25"/>
    <w:rsid w:val="003A484F"/>
    <w:rsid w:val="003A4883"/>
    <w:rsid w:val="003B0BE0"/>
    <w:rsid w:val="003B0C1B"/>
    <w:rsid w:val="003B3FAF"/>
    <w:rsid w:val="003B688C"/>
    <w:rsid w:val="003C0291"/>
    <w:rsid w:val="003C1A6A"/>
    <w:rsid w:val="003C39AE"/>
    <w:rsid w:val="003C7B60"/>
    <w:rsid w:val="003D0C0F"/>
    <w:rsid w:val="003D1FB2"/>
    <w:rsid w:val="003D503E"/>
    <w:rsid w:val="003D66DA"/>
    <w:rsid w:val="003D6CBC"/>
    <w:rsid w:val="003E1310"/>
    <w:rsid w:val="003E5EA9"/>
    <w:rsid w:val="003E6F55"/>
    <w:rsid w:val="003E70F7"/>
    <w:rsid w:val="003E73FC"/>
    <w:rsid w:val="003F11D7"/>
    <w:rsid w:val="003F692F"/>
    <w:rsid w:val="00402892"/>
    <w:rsid w:val="00406254"/>
    <w:rsid w:val="00406CC1"/>
    <w:rsid w:val="00407ED0"/>
    <w:rsid w:val="0041178F"/>
    <w:rsid w:val="00416CD4"/>
    <w:rsid w:val="0041747D"/>
    <w:rsid w:val="00421C58"/>
    <w:rsid w:val="004223DE"/>
    <w:rsid w:val="00422413"/>
    <w:rsid w:val="00423ED7"/>
    <w:rsid w:val="00434489"/>
    <w:rsid w:val="00437085"/>
    <w:rsid w:val="00437AE9"/>
    <w:rsid w:val="00443880"/>
    <w:rsid w:val="00443E33"/>
    <w:rsid w:val="00444E70"/>
    <w:rsid w:val="004451E4"/>
    <w:rsid w:val="004464F4"/>
    <w:rsid w:val="00446C51"/>
    <w:rsid w:val="00450C11"/>
    <w:rsid w:val="0046140A"/>
    <w:rsid w:val="00462CCC"/>
    <w:rsid w:val="00464352"/>
    <w:rsid w:val="004648DB"/>
    <w:rsid w:val="00467151"/>
    <w:rsid w:val="00471401"/>
    <w:rsid w:val="00472560"/>
    <w:rsid w:val="00473F31"/>
    <w:rsid w:val="00477903"/>
    <w:rsid w:val="00481527"/>
    <w:rsid w:val="0048263A"/>
    <w:rsid w:val="00487E5D"/>
    <w:rsid w:val="004A711F"/>
    <w:rsid w:val="004B199D"/>
    <w:rsid w:val="004B33D9"/>
    <w:rsid w:val="004B421D"/>
    <w:rsid w:val="004B4690"/>
    <w:rsid w:val="004B635B"/>
    <w:rsid w:val="004C3D3E"/>
    <w:rsid w:val="004D23D7"/>
    <w:rsid w:val="004E0A2D"/>
    <w:rsid w:val="004E0B8D"/>
    <w:rsid w:val="004E1547"/>
    <w:rsid w:val="004E206B"/>
    <w:rsid w:val="004E4962"/>
    <w:rsid w:val="004E6DF7"/>
    <w:rsid w:val="004F0CAC"/>
    <w:rsid w:val="004F0FBD"/>
    <w:rsid w:val="004F403E"/>
    <w:rsid w:val="004F468E"/>
    <w:rsid w:val="0050125E"/>
    <w:rsid w:val="00505A47"/>
    <w:rsid w:val="00512FDA"/>
    <w:rsid w:val="005152F4"/>
    <w:rsid w:val="00520DA0"/>
    <w:rsid w:val="005230EE"/>
    <w:rsid w:val="005337C7"/>
    <w:rsid w:val="0053762C"/>
    <w:rsid w:val="005418D9"/>
    <w:rsid w:val="005510A2"/>
    <w:rsid w:val="0055429E"/>
    <w:rsid w:val="005547EE"/>
    <w:rsid w:val="005664BB"/>
    <w:rsid w:val="00566EAF"/>
    <w:rsid w:val="00566FFA"/>
    <w:rsid w:val="0056756C"/>
    <w:rsid w:val="00567D5D"/>
    <w:rsid w:val="0057481D"/>
    <w:rsid w:val="00575A7C"/>
    <w:rsid w:val="00575F0B"/>
    <w:rsid w:val="00577B4F"/>
    <w:rsid w:val="0058486E"/>
    <w:rsid w:val="00585B33"/>
    <w:rsid w:val="005872FB"/>
    <w:rsid w:val="0059014D"/>
    <w:rsid w:val="005A0C80"/>
    <w:rsid w:val="005B3C10"/>
    <w:rsid w:val="005B5C64"/>
    <w:rsid w:val="005C6BD0"/>
    <w:rsid w:val="005C6C4C"/>
    <w:rsid w:val="005C70F9"/>
    <w:rsid w:val="005D1C44"/>
    <w:rsid w:val="005D1C8B"/>
    <w:rsid w:val="005D2E46"/>
    <w:rsid w:val="005D468D"/>
    <w:rsid w:val="005D5CED"/>
    <w:rsid w:val="005D7599"/>
    <w:rsid w:val="005E0934"/>
    <w:rsid w:val="005E215F"/>
    <w:rsid w:val="005F1A4C"/>
    <w:rsid w:val="005F6A6D"/>
    <w:rsid w:val="005F6C24"/>
    <w:rsid w:val="00605688"/>
    <w:rsid w:val="00606E42"/>
    <w:rsid w:val="006070AF"/>
    <w:rsid w:val="00607E6C"/>
    <w:rsid w:val="006101B1"/>
    <w:rsid w:val="00613B0E"/>
    <w:rsid w:val="00614E44"/>
    <w:rsid w:val="0062270A"/>
    <w:rsid w:val="00622830"/>
    <w:rsid w:val="00623DA0"/>
    <w:rsid w:val="00626988"/>
    <w:rsid w:val="00630AEF"/>
    <w:rsid w:val="006325F8"/>
    <w:rsid w:val="00633463"/>
    <w:rsid w:val="00633E26"/>
    <w:rsid w:val="00634C9A"/>
    <w:rsid w:val="006356C5"/>
    <w:rsid w:val="0063620E"/>
    <w:rsid w:val="00642D4C"/>
    <w:rsid w:val="006440E4"/>
    <w:rsid w:val="0066343B"/>
    <w:rsid w:val="00664777"/>
    <w:rsid w:val="006657F1"/>
    <w:rsid w:val="00666561"/>
    <w:rsid w:val="0066779B"/>
    <w:rsid w:val="00673AA7"/>
    <w:rsid w:val="006748A4"/>
    <w:rsid w:val="0068067D"/>
    <w:rsid w:val="00681A31"/>
    <w:rsid w:val="00683E73"/>
    <w:rsid w:val="006927CD"/>
    <w:rsid w:val="0069415B"/>
    <w:rsid w:val="006A2466"/>
    <w:rsid w:val="006A3141"/>
    <w:rsid w:val="006A5E34"/>
    <w:rsid w:val="006B2422"/>
    <w:rsid w:val="006B2B9A"/>
    <w:rsid w:val="006B537B"/>
    <w:rsid w:val="006C1937"/>
    <w:rsid w:val="006C56AB"/>
    <w:rsid w:val="006D026B"/>
    <w:rsid w:val="006D3FAB"/>
    <w:rsid w:val="006D4537"/>
    <w:rsid w:val="006D4D68"/>
    <w:rsid w:val="006E670C"/>
    <w:rsid w:val="006F020C"/>
    <w:rsid w:val="006F1A49"/>
    <w:rsid w:val="006F3B3D"/>
    <w:rsid w:val="00704019"/>
    <w:rsid w:val="007043B7"/>
    <w:rsid w:val="007104A4"/>
    <w:rsid w:val="00710FE5"/>
    <w:rsid w:val="007117C5"/>
    <w:rsid w:val="00711F6A"/>
    <w:rsid w:val="007127B7"/>
    <w:rsid w:val="007161F9"/>
    <w:rsid w:val="0071798E"/>
    <w:rsid w:val="00723CFE"/>
    <w:rsid w:val="007241DD"/>
    <w:rsid w:val="007255D9"/>
    <w:rsid w:val="00727533"/>
    <w:rsid w:val="007314EB"/>
    <w:rsid w:val="00734BEF"/>
    <w:rsid w:val="00737F57"/>
    <w:rsid w:val="007416B6"/>
    <w:rsid w:val="00746F48"/>
    <w:rsid w:val="0075404D"/>
    <w:rsid w:val="007568E9"/>
    <w:rsid w:val="0076182A"/>
    <w:rsid w:val="0076364F"/>
    <w:rsid w:val="00766667"/>
    <w:rsid w:val="00767B7E"/>
    <w:rsid w:val="007706B3"/>
    <w:rsid w:val="0077420B"/>
    <w:rsid w:val="00776C03"/>
    <w:rsid w:val="007770C3"/>
    <w:rsid w:val="00782F99"/>
    <w:rsid w:val="00784D24"/>
    <w:rsid w:val="00785FBA"/>
    <w:rsid w:val="00786E4A"/>
    <w:rsid w:val="007875EB"/>
    <w:rsid w:val="007907FD"/>
    <w:rsid w:val="0079426B"/>
    <w:rsid w:val="00794A70"/>
    <w:rsid w:val="007962D5"/>
    <w:rsid w:val="007A165C"/>
    <w:rsid w:val="007A1E65"/>
    <w:rsid w:val="007A205D"/>
    <w:rsid w:val="007A47AF"/>
    <w:rsid w:val="007A605E"/>
    <w:rsid w:val="007B0B13"/>
    <w:rsid w:val="007C240C"/>
    <w:rsid w:val="007C4A09"/>
    <w:rsid w:val="007D0E0C"/>
    <w:rsid w:val="007D1682"/>
    <w:rsid w:val="007D2847"/>
    <w:rsid w:val="007D312A"/>
    <w:rsid w:val="007D3F19"/>
    <w:rsid w:val="007E23B0"/>
    <w:rsid w:val="007E7E81"/>
    <w:rsid w:val="007F1991"/>
    <w:rsid w:val="007F2C2F"/>
    <w:rsid w:val="007F438D"/>
    <w:rsid w:val="007F44C7"/>
    <w:rsid w:val="007F55FC"/>
    <w:rsid w:val="007F5665"/>
    <w:rsid w:val="00800112"/>
    <w:rsid w:val="00805CE3"/>
    <w:rsid w:val="00813348"/>
    <w:rsid w:val="0081373B"/>
    <w:rsid w:val="00813ED8"/>
    <w:rsid w:val="0081629B"/>
    <w:rsid w:val="008163A9"/>
    <w:rsid w:val="00820B4E"/>
    <w:rsid w:val="00824C2C"/>
    <w:rsid w:val="00825380"/>
    <w:rsid w:val="008253BB"/>
    <w:rsid w:val="00826E58"/>
    <w:rsid w:val="00833962"/>
    <w:rsid w:val="00835A6B"/>
    <w:rsid w:val="0083706E"/>
    <w:rsid w:val="00837DC3"/>
    <w:rsid w:val="00840718"/>
    <w:rsid w:val="008408F6"/>
    <w:rsid w:val="0084145A"/>
    <w:rsid w:val="00841AC6"/>
    <w:rsid w:val="008423A5"/>
    <w:rsid w:val="008429A8"/>
    <w:rsid w:val="008455A2"/>
    <w:rsid w:val="00850625"/>
    <w:rsid w:val="0085301C"/>
    <w:rsid w:val="00853718"/>
    <w:rsid w:val="00853A74"/>
    <w:rsid w:val="00855221"/>
    <w:rsid w:val="0085692C"/>
    <w:rsid w:val="00860645"/>
    <w:rsid w:val="00866011"/>
    <w:rsid w:val="00871F71"/>
    <w:rsid w:val="0087223F"/>
    <w:rsid w:val="00872FD8"/>
    <w:rsid w:val="008817F9"/>
    <w:rsid w:val="00885AF4"/>
    <w:rsid w:val="008939CD"/>
    <w:rsid w:val="00894BB3"/>
    <w:rsid w:val="00894EE2"/>
    <w:rsid w:val="008B146B"/>
    <w:rsid w:val="008B3AAF"/>
    <w:rsid w:val="008B527D"/>
    <w:rsid w:val="008B768C"/>
    <w:rsid w:val="008C25E3"/>
    <w:rsid w:val="008C4DB1"/>
    <w:rsid w:val="008C4EAF"/>
    <w:rsid w:val="008C5176"/>
    <w:rsid w:val="008C6E65"/>
    <w:rsid w:val="008C7FD0"/>
    <w:rsid w:val="008D1271"/>
    <w:rsid w:val="008D421D"/>
    <w:rsid w:val="008E1DE7"/>
    <w:rsid w:val="008E2D38"/>
    <w:rsid w:val="008E4696"/>
    <w:rsid w:val="008E616B"/>
    <w:rsid w:val="008E707C"/>
    <w:rsid w:val="008E7126"/>
    <w:rsid w:val="00900AB2"/>
    <w:rsid w:val="00900B08"/>
    <w:rsid w:val="00901E3C"/>
    <w:rsid w:val="00902155"/>
    <w:rsid w:val="00902B95"/>
    <w:rsid w:val="00902FA3"/>
    <w:rsid w:val="00906F81"/>
    <w:rsid w:val="0091066A"/>
    <w:rsid w:val="009117D4"/>
    <w:rsid w:val="00921F03"/>
    <w:rsid w:val="00922D06"/>
    <w:rsid w:val="00923564"/>
    <w:rsid w:val="0092392E"/>
    <w:rsid w:val="009254B2"/>
    <w:rsid w:val="009315F9"/>
    <w:rsid w:val="009319E5"/>
    <w:rsid w:val="00932261"/>
    <w:rsid w:val="00933499"/>
    <w:rsid w:val="009346B5"/>
    <w:rsid w:val="00935C98"/>
    <w:rsid w:val="0093601C"/>
    <w:rsid w:val="00936D95"/>
    <w:rsid w:val="00941714"/>
    <w:rsid w:val="0094231C"/>
    <w:rsid w:val="00946945"/>
    <w:rsid w:val="0094714A"/>
    <w:rsid w:val="00950FF1"/>
    <w:rsid w:val="00951248"/>
    <w:rsid w:val="0095152F"/>
    <w:rsid w:val="0095475E"/>
    <w:rsid w:val="00954C49"/>
    <w:rsid w:val="00955E37"/>
    <w:rsid w:val="0097099F"/>
    <w:rsid w:val="00971997"/>
    <w:rsid w:val="00971FFC"/>
    <w:rsid w:val="009811A5"/>
    <w:rsid w:val="0098660A"/>
    <w:rsid w:val="00990655"/>
    <w:rsid w:val="00992B64"/>
    <w:rsid w:val="009931C3"/>
    <w:rsid w:val="009954CB"/>
    <w:rsid w:val="00996348"/>
    <w:rsid w:val="009A2B9C"/>
    <w:rsid w:val="009A70DA"/>
    <w:rsid w:val="009A7110"/>
    <w:rsid w:val="009B063B"/>
    <w:rsid w:val="009B1612"/>
    <w:rsid w:val="009B2AAB"/>
    <w:rsid w:val="009B2C43"/>
    <w:rsid w:val="009B3AA2"/>
    <w:rsid w:val="009B4EAE"/>
    <w:rsid w:val="009B6E05"/>
    <w:rsid w:val="009B7573"/>
    <w:rsid w:val="009B7A60"/>
    <w:rsid w:val="009C22F4"/>
    <w:rsid w:val="009C2E98"/>
    <w:rsid w:val="009C3351"/>
    <w:rsid w:val="009C37FB"/>
    <w:rsid w:val="009C3D55"/>
    <w:rsid w:val="009C798C"/>
    <w:rsid w:val="009D317A"/>
    <w:rsid w:val="009D3447"/>
    <w:rsid w:val="009D4520"/>
    <w:rsid w:val="009D4711"/>
    <w:rsid w:val="009F01FD"/>
    <w:rsid w:val="009F1185"/>
    <w:rsid w:val="009F18CD"/>
    <w:rsid w:val="009F2A13"/>
    <w:rsid w:val="009F3C60"/>
    <w:rsid w:val="009F60E7"/>
    <w:rsid w:val="009F7527"/>
    <w:rsid w:val="00A01B71"/>
    <w:rsid w:val="00A039ED"/>
    <w:rsid w:val="00A04E4B"/>
    <w:rsid w:val="00A04EB0"/>
    <w:rsid w:val="00A05D87"/>
    <w:rsid w:val="00A11E26"/>
    <w:rsid w:val="00A13B22"/>
    <w:rsid w:val="00A13CC1"/>
    <w:rsid w:val="00A16847"/>
    <w:rsid w:val="00A22BA8"/>
    <w:rsid w:val="00A237D8"/>
    <w:rsid w:val="00A245CF"/>
    <w:rsid w:val="00A268C4"/>
    <w:rsid w:val="00A2773D"/>
    <w:rsid w:val="00A277BC"/>
    <w:rsid w:val="00A307CD"/>
    <w:rsid w:val="00A331C8"/>
    <w:rsid w:val="00A33FCB"/>
    <w:rsid w:val="00A35117"/>
    <w:rsid w:val="00A3604F"/>
    <w:rsid w:val="00A37350"/>
    <w:rsid w:val="00A374C1"/>
    <w:rsid w:val="00A40A00"/>
    <w:rsid w:val="00A4142F"/>
    <w:rsid w:val="00A41ECB"/>
    <w:rsid w:val="00A422EB"/>
    <w:rsid w:val="00A43503"/>
    <w:rsid w:val="00A45BB7"/>
    <w:rsid w:val="00A56DF2"/>
    <w:rsid w:val="00A56E6E"/>
    <w:rsid w:val="00A56EA3"/>
    <w:rsid w:val="00A61149"/>
    <w:rsid w:val="00A676A1"/>
    <w:rsid w:val="00A679D6"/>
    <w:rsid w:val="00A67AB5"/>
    <w:rsid w:val="00A733B2"/>
    <w:rsid w:val="00A741C2"/>
    <w:rsid w:val="00A74B03"/>
    <w:rsid w:val="00A76176"/>
    <w:rsid w:val="00A91760"/>
    <w:rsid w:val="00A918BD"/>
    <w:rsid w:val="00A93B00"/>
    <w:rsid w:val="00A93C21"/>
    <w:rsid w:val="00A93FB3"/>
    <w:rsid w:val="00AA21B6"/>
    <w:rsid w:val="00AB04F6"/>
    <w:rsid w:val="00AB2C93"/>
    <w:rsid w:val="00AB64C9"/>
    <w:rsid w:val="00AC0DC3"/>
    <w:rsid w:val="00AC3C6A"/>
    <w:rsid w:val="00AC5ABA"/>
    <w:rsid w:val="00AD0F83"/>
    <w:rsid w:val="00AD492F"/>
    <w:rsid w:val="00AD5620"/>
    <w:rsid w:val="00AD656B"/>
    <w:rsid w:val="00AD65E2"/>
    <w:rsid w:val="00AD7C1B"/>
    <w:rsid w:val="00AE16BA"/>
    <w:rsid w:val="00AE1EBE"/>
    <w:rsid w:val="00AE5BD1"/>
    <w:rsid w:val="00AF54AA"/>
    <w:rsid w:val="00B03C9D"/>
    <w:rsid w:val="00B060AE"/>
    <w:rsid w:val="00B06775"/>
    <w:rsid w:val="00B076F2"/>
    <w:rsid w:val="00B10517"/>
    <w:rsid w:val="00B13FD2"/>
    <w:rsid w:val="00B14E76"/>
    <w:rsid w:val="00B15376"/>
    <w:rsid w:val="00B161B8"/>
    <w:rsid w:val="00B1663D"/>
    <w:rsid w:val="00B2048C"/>
    <w:rsid w:val="00B2360A"/>
    <w:rsid w:val="00B310B9"/>
    <w:rsid w:val="00B3288A"/>
    <w:rsid w:val="00B3415A"/>
    <w:rsid w:val="00B35F3F"/>
    <w:rsid w:val="00B36CBB"/>
    <w:rsid w:val="00B40E31"/>
    <w:rsid w:val="00B425E0"/>
    <w:rsid w:val="00B440AA"/>
    <w:rsid w:val="00B44731"/>
    <w:rsid w:val="00B44B70"/>
    <w:rsid w:val="00B53C56"/>
    <w:rsid w:val="00B554B2"/>
    <w:rsid w:val="00B57DAF"/>
    <w:rsid w:val="00B62AF1"/>
    <w:rsid w:val="00B71939"/>
    <w:rsid w:val="00B758C9"/>
    <w:rsid w:val="00B77EA6"/>
    <w:rsid w:val="00B81598"/>
    <w:rsid w:val="00B841F1"/>
    <w:rsid w:val="00B855C8"/>
    <w:rsid w:val="00B926AD"/>
    <w:rsid w:val="00B944D6"/>
    <w:rsid w:val="00BA7213"/>
    <w:rsid w:val="00BA768E"/>
    <w:rsid w:val="00BA7AAE"/>
    <w:rsid w:val="00BB349E"/>
    <w:rsid w:val="00BB4DF0"/>
    <w:rsid w:val="00BC289F"/>
    <w:rsid w:val="00BC2D50"/>
    <w:rsid w:val="00BC48F2"/>
    <w:rsid w:val="00BC5361"/>
    <w:rsid w:val="00BC5460"/>
    <w:rsid w:val="00BC6B50"/>
    <w:rsid w:val="00BD0E25"/>
    <w:rsid w:val="00BD7C90"/>
    <w:rsid w:val="00BE0D9C"/>
    <w:rsid w:val="00BE0F7D"/>
    <w:rsid w:val="00BE1B0D"/>
    <w:rsid w:val="00BE24CB"/>
    <w:rsid w:val="00BE28E4"/>
    <w:rsid w:val="00BF03A4"/>
    <w:rsid w:val="00BF14F7"/>
    <w:rsid w:val="00BF5BD6"/>
    <w:rsid w:val="00C00743"/>
    <w:rsid w:val="00C01A23"/>
    <w:rsid w:val="00C03E31"/>
    <w:rsid w:val="00C04A15"/>
    <w:rsid w:val="00C05B4B"/>
    <w:rsid w:val="00C10B92"/>
    <w:rsid w:val="00C11CF3"/>
    <w:rsid w:val="00C13F03"/>
    <w:rsid w:val="00C1629E"/>
    <w:rsid w:val="00C22E1B"/>
    <w:rsid w:val="00C2793F"/>
    <w:rsid w:val="00C30E69"/>
    <w:rsid w:val="00C33876"/>
    <w:rsid w:val="00C33E72"/>
    <w:rsid w:val="00C354B2"/>
    <w:rsid w:val="00C35554"/>
    <w:rsid w:val="00C35847"/>
    <w:rsid w:val="00C42709"/>
    <w:rsid w:val="00C45E87"/>
    <w:rsid w:val="00C46C97"/>
    <w:rsid w:val="00C51F41"/>
    <w:rsid w:val="00C533CC"/>
    <w:rsid w:val="00C55E22"/>
    <w:rsid w:val="00C5751C"/>
    <w:rsid w:val="00C61BFC"/>
    <w:rsid w:val="00C62B85"/>
    <w:rsid w:val="00C65438"/>
    <w:rsid w:val="00C72B9A"/>
    <w:rsid w:val="00C75911"/>
    <w:rsid w:val="00C80AA0"/>
    <w:rsid w:val="00C8118A"/>
    <w:rsid w:val="00C81A8C"/>
    <w:rsid w:val="00C835DC"/>
    <w:rsid w:val="00C9035B"/>
    <w:rsid w:val="00C91CBB"/>
    <w:rsid w:val="00CA2BA6"/>
    <w:rsid w:val="00CA3104"/>
    <w:rsid w:val="00CA6E61"/>
    <w:rsid w:val="00CB3699"/>
    <w:rsid w:val="00CB3C3B"/>
    <w:rsid w:val="00CB3DBC"/>
    <w:rsid w:val="00CB49BE"/>
    <w:rsid w:val="00CB4E70"/>
    <w:rsid w:val="00CC09B6"/>
    <w:rsid w:val="00CC0E24"/>
    <w:rsid w:val="00CC2447"/>
    <w:rsid w:val="00CC666F"/>
    <w:rsid w:val="00CD1E3F"/>
    <w:rsid w:val="00CD236A"/>
    <w:rsid w:val="00CE0AA1"/>
    <w:rsid w:val="00CE0F2E"/>
    <w:rsid w:val="00CE2144"/>
    <w:rsid w:val="00CE2CC8"/>
    <w:rsid w:val="00CE44F6"/>
    <w:rsid w:val="00CE49DA"/>
    <w:rsid w:val="00CE677C"/>
    <w:rsid w:val="00CE7B61"/>
    <w:rsid w:val="00CF0003"/>
    <w:rsid w:val="00CF6B4E"/>
    <w:rsid w:val="00D00095"/>
    <w:rsid w:val="00D04A09"/>
    <w:rsid w:val="00D114F0"/>
    <w:rsid w:val="00D151A7"/>
    <w:rsid w:val="00D20620"/>
    <w:rsid w:val="00D254F7"/>
    <w:rsid w:val="00D2586D"/>
    <w:rsid w:val="00D26091"/>
    <w:rsid w:val="00D2685C"/>
    <w:rsid w:val="00D321AF"/>
    <w:rsid w:val="00D34487"/>
    <w:rsid w:val="00D34E7C"/>
    <w:rsid w:val="00D35489"/>
    <w:rsid w:val="00D36AFE"/>
    <w:rsid w:val="00D379A1"/>
    <w:rsid w:val="00D41040"/>
    <w:rsid w:val="00D51276"/>
    <w:rsid w:val="00D52D23"/>
    <w:rsid w:val="00D54124"/>
    <w:rsid w:val="00D57900"/>
    <w:rsid w:val="00D67B82"/>
    <w:rsid w:val="00D7035F"/>
    <w:rsid w:val="00D74432"/>
    <w:rsid w:val="00D750F1"/>
    <w:rsid w:val="00D8086E"/>
    <w:rsid w:val="00D81891"/>
    <w:rsid w:val="00D84F2A"/>
    <w:rsid w:val="00D8678D"/>
    <w:rsid w:val="00D86D71"/>
    <w:rsid w:val="00D87EE3"/>
    <w:rsid w:val="00D915C0"/>
    <w:rsid w:val="00D92852"/>
    <w:rsid w:val="00DA526E"/>
    <w:rsid w:val="00DA634F"/>
    <w:rsid w:val="00DA65AC"/>
    <w:rsid w:val="00DB1913"/>
    <w:rsid w:val="00DC410D"/>
    <w:rsid w:val="00DC5A81"/>
    <w:rsid w:val="00DC68CA"/>
    <w:rsid w:val="00DC7CBA"/>
    <w:rsid w:val="00DD2301"/>
    <w:rsid w:val="00DD31A0"/>
    <w:rsid w:val="00DD607C"/>
    <w:rsid w:val="00DD641D"/>
    <w:rsid w:val="00DD6D6F"/>
    <w:rsid w:val="00DD73B7"/>
    <w:rsid w:val="00DD7583"/>
    <w:rsid w:val="00DE0126"/>
    <w:rsid w:val="00DE11E8"/>
    <w:rsid w:val="00DE32A3"/>
    <w:rsid w:val="00DF0735"/>
    <w:rsid w:val="00DF28BC"/>
    <w:rsid w:val="00DF33BD"/>
    <w:rsid w:val="00DF3493"/>
    <w:rsid w:val="00DF34B9"/>
    <w:rsid w:val="00E003F9"/>
    <w:rsid w:val="00E01053"/>
    <w:rsid w:val="00E07ACF"/>
    <w:rsid w:val="00E10644"/>
    <w:rsid w:val="00E14C77"/>
    <w:rsid w:val="00E15C65"/>
    <w:rsid w:val="00E26E27"/>
    <w:rsid w:val="00E331A1"/>
    <w:rsid w:val="00E33202"/>
    <w:rsid w:val="00E336A9"/>
    <w:rsid w:val="00E35A33"/>
    <w:rsid w:val="00E42BC9"/>
    <w:rsid w:val="00E4638C"/>
    <w:rsid w:val="00E472B1"/>
    <w:rsid w:val="00E50624"/>
    <w:rsid w:val="00E5110C"/>
    <w:rsid w:val="00E568DF"/>
    <w:rsid w:val="00E57A8A"/>
    <w:rsid w:val="00E63821"/>
    <w:rsid w:val="00E63CE6"/>
    <w:rsid w:val="00E63F1B"/>
    <w:rsid w:val="00E64269"/>
    <w:rsid w:val="00E66797"/>
    <w:rsid w:val="00E82267"/>
    <w:rsid w:val="00E83137"/>
    <w:rsid w:val="00E83CA2"/>
    <w:rsid w:val="00E83DEE"/>
    <w:rsid w:val="00E853CE"/>
    <w:rsid w:val="00E867B6"/>
    <w:rsid w:val="00E87F08"/>
    <w:rsid w:val="00E905B1"/>
    <w:rsid w:val="00EA010F"/>
    <w:rsid w:val="00EA6D98"/>
    <w:rsid w:val="00EB1D04"/>
    <w:rsid w:val="00EB578C"/>
    <w:rsid w:val="00EB66CA"/>
    <w:rsid w:val="00EC25F1"/>
    <w:rsid w:val="00EC727A"/>
    <w:rsid w:val="00ED1B63"/>
    <w:rsid w:val="00ED3C1F"/>
    <w:rsid w:val="00ED4085"/>
    <w:rsid w:val="00ED420E"/>
    <w:rsid w:val="00ED68AA"/>
    <w:rsid w:val="00ED6FBE"/>
    <w:rsid w:val="00EE2F57"/>
    <w:rsid w:val="00EE323F"/>
    <w:rsid w:val="00EE32F3"/>
    <w:rsid w:val="00EE6956"/>
    <w:rsid w:val="00EF4C34"/>
    <w:rsid w:val="00EF77C6"/>
    <w:rsid w:val="00F04881"/>
    <w:rsid w:val="00F05438"/>
    <w:rsid w:val="00F05FB9"/>
    <w:rsid w:val="00F1361C"/>
    <w:rsid w:val="00F156F0"/>
    <w:rsid w:val="00F160C7"/>
    <w:rsid w:val="00F20392"/>
    <w:rsid w:val="00F2408F"/>
    <w:rsid w:val="00F240E9"/>
    <w:rsid w:val="00F26B6E"/>
    <w:rsid w:val="00F3422F"/>
    <w:rsid w:val="00F36D8F"/>
    <w:rsid w:val="00F417B1"/>
    <w:rsid w:val="00F44C21"/>
    <w:rsid w:val="00F45853"/>
    <w:rsid w:val="00F5117D"/>
    <w:rsid w:val="00F52D28"/>
    <w:rsid w:val="00F602DF"/>
    <w:rsid w:val="00F6142E"/>
    <w:rsid w:val="00F754A1"/>
    <w:rsid w:val="00F75839"/>
    <w:rsid w:val="00F8039B"/>
    <w:rsid w:val="00F81FD9"/>
    <w:rsid w:val="00F841AA"/>
    <w:rsid w:val="00F84A94"/>
    <w:rsid w:val="00F85D2A"/>
    <w:rsid w:val="00F87E96"/>
    <w:rsid w:val="00F914ED"/>
    <w:rsid w:val="00F949ED"/>
    <w:rsid w:val="00F95892"/>
    <w:rsid w:val="00F97E6A"/>
    <w:rsid w:val="00FA23E8"/>
    <w:rsid w:val="00FA34D9"/>
    <w:rsid w:val="00FA4A6B"/>
    <w:rsid w:val="00FA5457"/>
    <w:rsid w:val="00FA7D1D"/>
    <w:rsid w:val="00FB1584"/>
    <w:rsid w:val="00FB716A"/>
    <w:rsid w:val="00FC3094"/>
    <w:rsid w:val="00FC438F"/>
    <w:rsid w:val="00FC4605"/>
    <w:rsid w:val="00FD1F7C"/>
    <w:rsid w:val="00FD3980"/>
    <w:rsid w:val="00FD3CC1"/>
    <w:rsid w:val="00FD4058"/>
    <w:rsid w:val="00FE0359"/>
    <w:rsid w:val="00FE149B"/>
    <w:rsid w:val="00FF04C2"/>
    <w:rsid w:val="00FF0546"/>
    <w:rsid w:val="00FF1E02"/>
    <w:rsid w:val="00FF30B4"/>
    <w:rsid w:val="00FF6EEA"/>
    <w:rsid w:val="01CE5766"/>
    <w:rsid w:val="01D86994"/>
    <w:rsid w:val="02FA7D70"/>
    <w:rsid w:val="034E77FA"/>
    <w:rsid w:val="03565465"/>
    <w:rsid w:val="03B3339D"/>
    <w:rsid w:val="03E2006E"/>
    <w:rsid w:val="042C2C6A"/>
    <w:rsid w:val="04821C4F"/>
    <w:rsid w:val="04BD75C0"/>
    <w:rsid w:val="04C3735B"/>
    <w:rsid w:val="050961B7"/>
    <w:rsid w:val="05855699"/>
    <w:rsid w:val="05B60A3D"/>
    <w:rsid w:val="06586D97"/>
    <w:rsid w:val="066C092C"/>
    <w:rsid w:val="06A430F4"/>
    <w:rsid w:val="07464815"/>
    <w:rsid w:val="07660C34"/>
    <w:rsid w:val="077336CA"/>
    <w:rsid w:val="07990616"/>
    <w:rsid w:val="079F03CB"/>
    <w:rsid w:val="07AF5B02"/>
    <w:rsid w:val="07F2058D"/>
    <w:rsid w:val="086700D5"/>
    <w:rsid w:val="08CC5F7D"/>
    <w:rsid w:val="08D65C03"/>
    <w:rsid w:val="08FB3D44"/>
    <w:rsid w:val="091466C0"/>
    <w:rsid w:val="097F12A3"/>
    <w:rsid w:val="09BB3687"/>
    <w:rsid w:val="09C62B48"/>
    <w:rsid w:val="0A0D4B89"/>
    <w:rsid w:val="0B397D74"/>
    <w:rsid w:val="0B40611B"/>
    <w:rsid w:val="0B526C20"/>
    <w:rsid w:val="0BB43441"/>
    <w:rsid w:val="0BEB6F66"/>
    <w:rsid w:val="0C167667"/>
    <w:rsid w:val="0C9C373F"/>
    <w:rsid w:val="0D775617"/>
    <w:rsid w:val="0DAC3A97"/>
    <w:rsid w:val="0DC20DB0"/>
    <w:rsid w:val="0DD237BC"/>
    <w:rsid w:val="0E640216"/>
    <w:rsid w:val="0E825B5E"/>
    <w:rsid w:val="0E9C2E85"/>
    <w:rsid w:val="0EA8251A"/>
    <w:rsid w:val="0FDE15F5"/>
    <w:rsid w:val="101A497B"/>
    <w:rsid w:val="102E38C6"/>
    <w:rsid w:val="1070206F"/>
    <w:rsid w:val="10B10371"/>
    <w:rsid w:val="10C055FF"/>
    <w:rsid w:val="10C347A9"/>
    <w:rsid w:val="117055D1"/>
    <w:rsid w:val="118D2ADD"/>
    <w:rsid w:val="11F34201"/>
    <w:rsid w:val="12555522"/>
    <w:rsid w:val="12DA0C7B"/>
    <w:rsid w:val="12E81295"/>
    <w:rsid w:val="1331710B"/>
    <w:rsid w:val="13340090"/>
    <w:rsid w:val="13C234E7"/>
    <w:rsid w:val="13D75A7D"/>
    <w:rsid w:val="14B97E8C"/>
    <w:rsid w:val="14F75772"/>
    <w:rsid w:val="155A5817"/>
    <w:rsid w:val="156F5B80"/>
    <w:rsid w:val="161E05D7"/>
    <w:rsid w:val="168B140C"/>
    <w:rsid w:val="16BB723D"/>
    <w:rsid w:val="1715128F"/>
    <w:rsid w:val="172C4FC2"/>
    <w:rsid w:val="176A78D9"/>
    <w:rsid w:val="17CD529B"/>
    <w:rsid w:val="17E3163D"/>
    <w:rsid w:val="18852EEA"/>
    <w:rsid w:val="19005C57"/>
    <w:rsid w:val="196675BB"/>
    <w:rsid w:val="19811E54"/>
    <w:rsid w:val="1A0B4F03"/>
    <w:rsid w:val="1A1E6D69"/>
    <w:rsid w:val="1A6D025B"/>
    <w:rsid w:val="1AB967D4"/>
    <w:rsid w:val="1AF11496"/>
    <w:rsid w:val="1B20049C"/>
    <w:rsid w:val="1B3F26C4"/>
    <w:rsid w:val="1B577D6B"/>
    <w:rsid w:val="1B866CAC"/>
    <w:rsid w:val="1C85608F"/>
    <w:rsid w:val="1D2F75CC"/>
    <w:rsid w:val="1D5C173A"/>
    <w:rsid w:val="1DBD4C56"/>
    <w:rsid w:val="1E251E5D"/>
    <w:rsid w:val="1E5933F2"/>
    <w:rsid w:val="1EA8395A"/>
    <w:rsid w:val="1F034F6D"/>
    <w:rsid w:val="1F8113FD"/>
    <w:rsid w:val="1FE415EE"/>
    <w:rsid w:val="20187034"/>
    <w:rsid w:val="207240C5"/>
    <w:rsid w:val="20C84600"/>
    <w:rsid w:val="20FB7A40"/>
    <w:rsid w:val="21AE4866"/>
    <w:rsid w:val="21FE5E18"/>
    <w:rsid w:val="221C3EC6"/>
    <w:rsid w:val="22B91715"/>
    <w:rsid w:val="235A5E8C"/>
    <w:rsid w:val="240371BF"/>
    <w:rsid w:val="24117441"/>
    <w:rsid w:val="2425014F"/>
    <w:rsid w:val="242F38B6"/>
    <w:rsid w:val="24363F82"/>
    <w:rsid w:val="24701257"/>
    <w:rsid w:val="24994137"/>
    <w:rsid w:val="25125EFC"/>
    <w:rsid w:val="25135B0D"/>
    <w:rsid w:val="25B2685B"/>
    <w:rsid w:val="25C970C0"/>
    <w:rsid w:val="266F373E"/>
    <w:rsid w:val="26B45C0E"/>
    <w:rsid w:val="271C2A7D"/>
    <w:rsid w:val="27441678"/>
    <w:rsid w:val="28463E2A"/>
    <w:rsid w:val="28850088"/>
    <w:rsid w:val="28B121D1"/>
    <w:rsid w:val="28D741FC"/>
    <w:rsid w:val="29193E2B"/>
    <w:rsid w:val="2999354F"/>
    <w:rsid w:val="29F36060"/>
    <w:rsid w:val="29FD04D3"/>
    <w:rsid w:val="2A6B7798"/>
    <w:rsid w:val="2A8637D8"/>
    <w:rsid w:val="2A92596F"/>
    <w:rsid w:val="2B2B3BC7"/>
    <w:rsid w:val="2BC177E0"/>
    <w:rsid w:val="2BFA5FF7"/>
    <w:rsid w:val="2C0B3047"/>
    <w:rsid w:val="2C8C5D24"/>
    <w:rsid w:val="2C8E6CA9"/>
    <w:rsid w:val="2CA64024"/>
    <w:rsid w:val="2CB855A8"/>
    <w:rsid w:val="2D36293A"/>
    <w:rsid w:val="2D5B50F8"/>
    <w:rsid w:val="2E006DDE"/>
    <w:rsid w:val="2E3014D6"/>
    <w:rsid w:val="300140D2"/>
    <w:rsid w:val="306B3BEB"/>
    <w:rsid w:val="30C30A11"/>
    <w:rsid w:val="30C41990"/>
    <w:rsid w:val="31321010"/>
    <w:rsid w:val="319F7F4E"/>
    <w:rsid w:val="31D900D5"/>
    <w:rsid w:val="31F75DB5"/>
    <w:rsid w:val="3241412D"/>
    <w:rsid w:val="32532990"/>
    <w:rsid w:val="325D7A80"/>
    <w:rsid w:val="32943113"/>
    <w:rsid w:val="32B545C0"/>
    <w:rsid w:val="3317335F"/>
    <w:rsid w:val="336664F1"/>
    <w:rsid w:val="33820815"/>
    <w:rsid w:val="33B74A22"/>
    <w:rsid w:val="340669FC"/>
    <w:rsid w:val="343C616C"/>
    <w:rsid w:val="34B23E39"/>
    <w:rsid w:val="351005FF"/>
    <w:rsid w:val="35454B29"/>
    <w:rsid w:val="35524554"/>
    <w:rsid w:val="35805900"/>
    <w:rsid w:val="35FE0BA4"/>
    <w:rsid w:val="375412A2"/>
    <w:rsid w:val="37603E49"/>
    <w:rsid w:val="37A96CCC"/>
    <w:rsid w:val="388C7CC2"/>
    <w:rsid w:val="390669D1"/>
    <w:rsid w:val="395E11AB"/>
    <w:rsid w:val="399B1010"/>
    <w:rsid w:val="3A206945"/>
    <w:rsid w:val="3A2F0BFF"/>
    <w:rsid w:val="3A3A1E13"/>
    <w:rsid w:val="3A7D7711"/>
    <w:rsid w:val="3A7E7084"/>
    <w:rsid w:val="3AE57D2D"/>
    <w:rsid w:val="3B5847E9"/>
    <w:rsid w:val="3B6C0E2E"/>
    <w:rsid w:val="3BCB5D44"/>
    <w:rsid w:val="3BCE3D77"/>
    <w:rsid w:val="3C6B208E"/>
    <w:rsid w:val="3CE607EA"/>
    <w:rsid w:val="3D221515"/>
    <w:rsid w:val="3D6E6023"/>
    <w:rsid w:val="3DB520C9"/>
    <w:rsid w:val="3DE970A0"/>
    <w:rsid w:val="3EAB0654"/>
    <w:rsid w:val="3F1A6759"/>
    <w:rsid w:val="3F6011D8"/>
    <w:rsid w:val="3FAD78F0"/>
    <w:rsid w:val="402853D1"/>
    <w:rsid w:val="404C688B"/>
    <w:rsid w:val="40720CC9"/>
    <w:rsid w:val="4108085E"/>
    <w:rsid w:val="411D49E5"/>
    <w:rsid w:val="418B2184"/>
    <w:rsid w:val="41957568"/>
    <w:rsid w:val="42383FAC"/>
    <w:rsid w:val="42F00F2D"/>
    <w:rsid w:val="42FD277A"/>
    <w:rsid w:val="4364101B"/>
    <w:rsid w:val="43647DA4"/>
    <w:rsid w:val="436A0E0A"/>
    <w:rsid w:val="43A513A7"/>
    <w:rsid w:val="43CB4345"/>
    <w:rsid w:val="45343151"/>
    <w:rsid w:val="453A03D6"/>
    <w:rsid w:val="4556724D"/>
    <w:rsid w:val="45937381"/>
    <w:rsid w:val="45EB0BA3"/>
    <w:rsid w:val="46027484"/>
    <w:rsid w:val="46504A5B"/>
    <w:rsid w:val="468C1B76"/>
    <w:rsid w:val="46E71F62"/>
    <w:rsid w:val="47C22C96"/>
    <w:rsid w:val="48F604AC"/>
    <w:rsid w:val="49D67E37"/>
    <w:rsid w:val="4A156CF8"/>
    <w:rsid w:val="4ADC2C61"/>
    <w:rsid w:val="4B2870B0"/>
    <w:rsid w:val="4B985ABC"/>
    <w:rsid w:val="4BE36A82"/>
    <w:rsid w:val="4C172533"/>
    <w:rsid w:val="4D607DF0"/>
    <w:rsid w:val="4D72759D"/>
    <w:rsid w:val="4DA5326F"/>
    <w:rsid w:val="4ECE2238"/>
    <w:rsid w:val="4EDA13C9"/>
    <w:rsid w:val="4F1E505A"/>
    <w:rsid w:val="50870229"/>
    <w:rsid w:val="50D47596"/>
    <w:rsid w:val="515F688E"/>
    <w:rsid w:val="51601B83"/>
    <w:rsid w:val="516540E0"/>
    <w:rsid w:val="517E6ED5"/>
    <w:rsid w:val="51CC3030"/>
    <w:rsid w:val="51DA6420"/>
    <w:rsid w:val="51FC418E"/>
    <w:rsid w:val="52170376"/>
    <w:rsid w:val="528E7969"/>
    <w:rsid w:val="52981AFD"/>
    <w:rsid w:val="52DC270C"/>
    <w:rsid w:val="5363025D"/>
    <w:rsid w:val="53645CDE"/>
    <w:rsid w:val="5411167A"/>
    <w:rsid w:val="54457A56"/>
    <w:rsid w:val="54D42F4B"/>
    <w:rsid w:val="550146D2"/>
    <w:rsid w:val="55C21041"/>
    <w:rsid w:val="55E05528"/>
    <w:rsid w:val="55F54D13"/>
    <w:rsid w:val="56642DC8"/>
    <w:rsid w:val="566E677D"/>
    <w:rsid w:val="56D2633A"/>
    <w:rsid w:val="56E31118"/>
    <w:rsid w:val="57087F99"/>
    <w:rsid w:val="58557584"/>
    <w:rsid w:val="58CC30F9"/>
    <w:rsid w:val="58EA3A6C"/>
    <w:rsid w:val="590C4076"/>
    <w:rsid w:val="59827F33"/>
    <w:rsid w:val="5A2A7822"/>
    <w:rsid w:val="5B6932B6"/>
    <w:rsid w:val="5B70058B"/>
    <w:rsid w:val="5BD14B39"/>
    <w:rsid w:val="5C8014EB"/>
    <w:rsid w:val="5CC14DF5"/>
    <w:rsid w:val="5CDD6F11"/>
    <w:rsid w:val="5D225ADD"/>
    <w:rsid w:val="5D762C66"/>
    <w:rsid w:val="5D8B7388"/>
    <w:rsid w:val="5DDA7107"/>
    <w:rsid w:val="5E1D3074"/>
    <w:rsid w:val="5E5F6487"/>
    <w:rsid w:val="5EC44398"/>
    <w:rsid w:val="5ECF3B2E"/>
    <w:rsid w:val="5F2E2070"/>
    <w:rsid w:val="5F942E25"/>
    <w:rsid w:val="5FD57361"/>
    <w:rsid w:val="613B134F"/>
    <w:rsid w:val="61AA48CA"/>
    <w:rsid w:val="61C83E7A"/>
    <w:rsid w:val="620B6B90"/>
    <w:rsid w:val="62163285"/>
    <w:rsid w:val="6245254A"/>
    <w:rsid w:val="625A7C0B"/>
    <w:rsid w:val="62D31995"/>
    <w:rsid w:val="62F048E9"/>
    <w:rsid w:val="6310019E"/>
    <w:rsid w:val="63572A30"/>
    <w:rsid w:val="63B0179C"/>
    <w:rsid w:val="6515774B"/>
    <w:rsid w:val="65EA44CF"/>
    <w:rsid w:val="6657748D"/>
    <w:rsid w:val="66C33328"/>
    <w:rsid w:val="66CF1149"/>
    <w:rsid w:val="675F0C44"/>
    <w:rsid w:val="67611D55"/>
    <w:rsid w:val="67642CE4"/>
    <w:rsid w:val="679D028A"/>
    <w:rsid w:val="68000819"/>
    <w:rsid w:val="680B10C1"/>
    <w:rsid w:val="68727968"/>
    <w:rsid w:val="689F3B33"/>
    <w:rsid w:val="6904039B"/>
    <w:rsid w:val="6932518C"/>
    <w:rsid w:val="697D3521"/>
    <w:rsid w:val="698E123D"/>
    <w:rsid w:val="69DD79DC"/>
    <w:rsid w:val="6A5E280F"/>
    <w:rsid w:val="6A8917B4"/>
    <w:rsid w:val="6B391278"/>
    <w:rsid w:val="6B397FBC"/>
    <w:rsid w:val="6BAD0949"/>
    <w:rsid w:val="6BB256BF"/>
    <w:rsid w:val="6BB71B46"/>
    <w:rsid w:val="6C0B6576"/>
    <w:rsid w:val="6CCD5702"/>
    <w:rsid w:val="6CF02B48"/>
    <w:rsid w:val="6D5B6DAA"/>
    <w:rsid w:val="6F2177A4"/>
    <w:rsid w:val="6F316A46"/>
    <w:rsid w:val="6F6C545A"/>
    <w:rsid w:val="6FEC6A50"/>
    <w:rsid w:val="701F5F83"/>
    <w:rsid w:val="705636CC"/>
    <w:rsid w:val="70672D96"/>
    <w:rsid w:val="70967F6C"/>
    <w:rsid w:val="70BD7607"/>
    <w:rsid w:val="711E2C3A"/>
    <w:rsid w:val="71384501"/>
    <w:rsid w:val="71455B4E"/>
    <w:rsid w:val="715C1B92"/>
    <w:rsid w:val="71C11C1D"/>
    <w:rsid w:val="721D310B"/>
    <w:rsid w:val="7251199A"/>
    <w:rsid w:val="72734D90"/>
    <w:rsid w:val="72787EDD"/>
    <w:rsid w:val="72B509D3"/>
    <w:rsid w:val="73262C77"/>
    <w:rsid w:val="74C93A6E"/>
    <w:rsid w:val="74E80FB6"/>
    <w:rsid w:val="75383588"/>
    <w:rsid w:val="75707339"/>
    <w:rsid w:val="75EE4741"/>
    <w:rsid w:val="761955AC"/>
    <w:rsid w:val="768A6ED2"/>
    <w:rsid w:val="76B03549"/>
    <w:rsid w:val="76BB18DA"/>
    <w:rsid w:val="77031CCE"/>
    <w:rsid w:val="770F1364"/>
    <w:rsid w:val="77B9353D"/>
    <w:rsid w:val="77E40D9E"/>
    <w:rsid w:val="77E473AC"/>
    <w:rsid w:val="79744DC3"/>
    <w:rsid w:val="79D86652"/>
    <w:rsid w:val="7A48290E"/>
    <w:rsid w:val="7A684DE1"/>
    <w:rsid w:val="7B4A1A3B"/>
    <w:rsid w:val="7BDF6365"/>
    <w:rsid w:val="7BE2184C"/>
    <w:rsid w:val="7CE97977"/>
    <w:rsid w:val="7D0F3C0D"/>
    <w:rsid w:val="7D7D15ED"/>
    <w:rsid w:val="7D8E0CD4"/>
    <w:rsid w:val="7EB81375"/>
    <w:rsid w:val="7EC65514"/>
    <w:rsid w:val="7F6C3E3C"/>
    <w:rsid w:val="7F765EB5"/>
    <w:rsid w:val="7FCE20D9"/>
    <w:rsid w:val="7FFD4CB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caption"/>
    <w:basedOn w:val="1"/>
    <w:next w:val="1"/>
    <w:semiHidden/>
    <w:unhideWhenUsed/>
    <w:qFormat/>
    <w:uiPriority w:val="35"/>
    <w:rPr>
      <w:rFonts w:ascii="Arial" w:hAnsi="Arial" w:eastAsia="黑体"/>
      <w:sz w:val="20"/>
    </w:r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qFormat/>
    <w:uiPriority w:val="0"/>
    <w:rPr>
      <w:rFonts w:ascii="宋体" w:hAnsi="Courier New"/>
    </w:rPr>
  </w:style>
  <w:style w:type="paragraph" w:styleId="12">
    <w:name w:val="Balloon Text"/>
    <w:basedOn w:val="1"/>
    <w:link w:val="32"/>
    <w:semiHidden/>
    <w:unhideWhenUsed/>
    <w:qFormat/>
    <w:uiPriority w:val="99"/>
    <w:rPr>
      <w:sz w:val="18"/>
      <w:szCs w:val="18"/>
    </w:rPr>
  </w:style>
  <w:style w:type="paragraph" w:styleId="13">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4"/>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3"/>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5"/>
    <w:qFormat/>
    <w:uiPriority w:val="9"/>
    <w:rPr>
      <w:rFonts w:ascii="Times New Roman" w:hAnsi="Times New Roman"/>
      <w:b/>
      <w:bCs/>
      <w:kern w:val="44"/>
      <w:sz w:val="44"/>
      <w:szCs w:val="44"/>
    </w:rPr>
  </w:style>
  <w:style w:type="character" w:customStyle="1" w:styleId="30">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8"/>
    <w:link w:val="12"/>
    <w:semiHidden/>
    <w:qFormat/>
    <w:uiPriority w:val="99"/>
    <w:rPr>
      <w:rFonts w:ascii="Times New Roman" w:hAnsi="Times New Roman"/>
      <w:kern w:val="2"/>
      <w:sz w:val="18"/>
      <w:szCs w:val="18"/>
    </w:rPr>
  </w:style>
  <w:style w:type="character" w:customStyle="1" w:styleId="33">
    <w:name w:val="标题 3 Char"/>
    <w:basedOn w:val="18"/>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标题 1 Char1"/>
    <w:basedOn w:val="18"/>
    <w:link w:val="5"/>
    <w:qFormat/>
    <w:uiPriority w:val="9"/>
    <w:rPr>
      <w:rFonts w:ascii="Times New Roman" w:hAnsi="Times New Roman"/>
      <w:b/>
      <w:bCs/>
      <w:kern w:val="44"/>
      <w:sz w:val="44"/>
      <w:szCs w:val="44"/>
    </w:rPr>
  </w:style>
  <w:style w:type="character" w:customStyle="1" w:styleId="37">
    <w:name w:val="标题 2 Char1"/>
    <w:basedOn w:val="18"/>
    <w:link w:val="6"/>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年度收、支决算总计变动情况</a:t>
            </a:r>
            <a:endParaRPr altLang="en-US"/>
          </a:p>
        </c:rich>
      </c:tx>
      <c:layout>
        <c:manualLayout>
          <c:xMode val="edge"/>
          <c:yMode val="edge"/>
          <c:x val="0.301545278686334"/>
          <c:y val="0.00724287783679382"/>
        </c:manualLayout>
      </c:layout>
      <c:overlay val="0"/>
      <c:spPr>
        <a:noFill/>
        <a:ln>
          <a:noFill/>
        </a:ln>
        <a:effectLst/>
      </c:spPr>
    </c:title>
    <c:autoTitleDeleted val="0"/>
    <c:plotArea>
      <c:layout>
        <c:manualLayout>
          <c:layoutTarget val="inner"/>
          <c:xMode val="edge"/>
          <c:yMode val="edge"/>
          <c:x val="0.107975460122699"/>
          <c:y val="0.250689338235294"/>
          <c:w val="0.888415734391916"/>
          <c:h val="0.640946691176471"/>
        </c:manualLayout>
      </c:layout>
      <c:barChart>
        <c:barDir val="col"/>
        <c:grouping val="clustered"/>
        <c:varyColors val="0"/>
        <c:ser>
          <c:idx val="0"/>
          <c:order val="0"/>
          <c:tx>
            <c:strRef>
              <c:f>Sheet1!$B$1</c:f>
              <c:strCache>
                <c:ptCount val="1"/>
                <c:pt idx="0">
                  <c:v>2022年度</c:v>
                </c:pt>
              </c:strCache>
            </c:strRef>
          </c:tx>
          <c:spPr>
            <a:solidFill>
              <a:schemeClr val="accent1"/>
            </a:solidFill>
            <a:ln>
              <a:noFill/>
            </a:ln>
            <a:effectLst/>
          </c:spPr>
          <c:invertIfNegative val="0"/>
          <c:dLbls>
            <c:delete val="1"/>
          </c:dLbls>
          <c:cat>
            <c:strRef>
              <c:f>Sheet1!$A$2:$A$5</c:f>
              <c:strCache>
                <c:ptCount val="4"/>
                <c:pt idx="0">
                  <c:v>本年收入</c:v>
                </c:pt>
                <c:pt idx="1">
                  <c:v>年初结转结余</c:v>
                </c:pt>
                <c:pt idx="2">
                  <c:v>本年支出</c:v>
                </c:pt>
                <c:pt idx="3">
                  <c:v>年末结转结余</c:v>
                </c:pt>
              </c:strCache>
            </c:strRef>
          </c:cat>
          <c:val>
            <c:numRef>
              <c:f>Sheet1!$B$2:$B$5</c:f>
              <c:numCache>
                <c:formatCode>General</c:formatCode>
                <c:ptCount val="4"/>
                <c:pt idx="0">
                  <c:v>1762.37</c:v>
                </c:pt>
                <c:pt idx="1">
                  <c:v>1.3</c:v>
                </c:pt>
                <c:pt idx="2">
                  <c:v>1762.37</c:v>
                </c:pt>
                <c:pt idx="3">
                  <c:v>0.32</c:v>
                </c:pt>
              </c:numCache>
            </c:numRef>
          </c:val>
        </c:ser>
        <c:ser>
          <c:idx val="1"/>
          <c:order val="1"/>
          <c:tx>
            <c:strRef>
              <c:f>Sheet1!$C$1</c:f>
              <c:strCache>
                <c:ptCount val="1"/>
                <c:pt idx="0">
                  <c:v>2023年度</c:v>
                </c:pt>
              </c:strCache>
            </c:strRef>
          </c:tx>
          <c:spPr>
            <a:solidFill>
              <a:schemeClr val="accent2"/>
            </a:solidFill>
            <a:ln>
              <a:noFill/>
            </a:ln>
            <a:effectLst/>
          </c:spPr>
          <c:invertIfNegative val="0"/>
          <c:dLbls>
            <c:dLbl>
              <c:idx val="0"/>
              <c:layout>
                <c:manualLayout>
                  <c:x val="0.0383141762452107"/>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5977011494252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本年收入</c:v>
                </c:pt>
                <c:pt idx="1">
                  <c:v>年初结转结余</c:v>
                </c:pt>
                <c:pt idx="2">
                  <c:v>本年支出</c:v>
                </c:pt>
                <c:pt idx="3">
                  <c:v>年末结转结余</c:v>
                </c:pt>
              </c:strCache>
            </c:strRef>
          </c:cat>
          <c:val>
            <c:numRef>
              <c:f>Sheet1!$C$2:$C$5</c:f>
              <c:numCache>
                <c:formatCode>General</c:formatCode>
                <c:ptCount val="4"/>
                <c:pt idx="0">
                  <c:v>1334.47</c:v>
                </c:pt>
                <c:pt idx="2">
                  <c:v>1334.47</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本年收入</c:v>
                </c:pt>
                <c:pt idx="1">
                  <c:v>年初结转结余</c:v>
                </c:pt>
                <c:pt idx="2">
                  <c:v>本年支出</c:v>
                </c:pt>
                <c:pt idx="3">
                  <c:v>年末结转结余</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57817600"/>
        <c:axId val="257901696"/>
      </c:barChart>
      <c:catAx>
        <c:axId val="2578176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7901696"/>
        <c:crosses val="autoZero"/>
        <c:auto val="1"/>
        <c:lblAlgn val="ctr"/>
        <c:lblOffset val="100"/>
        <c:noMultiLvlLbl val="0"/>
      </c:catAx>
      <c:valAx>
        <c:axId val="2579016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7817600"/>
        <c:crosses val="autoZero"/>
        <c:crossBetween val="between"/>
      </c:valAx>
      <c:spPr>
        <a:noFill/>
        <a:ln>
          <a:noFill/>
        </a:ln>
        <a:effectLst/>
      </c:spPr>
    </c:plotArea>
    <c:legend>
      <c:legendPos val="b"/>
      <c:layout>
        <c:manualLayout>
          <c:xMode val="edge"/>
          <c:yMode val="edge"/>
          <c:x val="0.276254059906171"/>
          <c:y val="0.79365808823529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alpha val="35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6000000000003"/>
          <c:y val="0.0456639295013018"/>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61451851851853"/>
          <c:y val="0.243116883116883"/>
          <c:w val="0.277096296296296"/>
          <c:h val="0.54530612244898"/>
        </c:manualLayout>
      </c:layout>
      <c:pieChart>
        <c:varyColors val="1"/>
        <c:ser>
          <c:idx val="0"/>
          <c:order val="0"/>
          <c:tx>
            <c:strRef>
              <c:f>Sheet1!$B$1</c:f>
              <c:strCache>
                <c:ptCount val="1"/>
                <c:pt idx="0">
                  <c:v>本年支出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2"/>
                <c:pt idx="0">
                  <c:v>基本支出</c:v>
                </c:pt>
                <c:pt idx="1">
                  <c:v>项目支出</c:v>
                </c:pt>
              </c:strCache>
            </c:strRef>
          </c:cat>
          <c:val>
            <c:numRef>
              <c:f>Sheet1!$B$2:$B$5</c:f>
              <c:numCache>
                <c:formatCode>0.00%</c:formatCode>
                <c:ptCount val="4"/>
                <c:pt idx="0">
                  <c:v>0.7848</c:v>
                </c:pt>
                <c:pt idx="1">
                  <c:v>0.2152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年财政拨款收、支决算总计变动情况</a:t>
            </a:r>
            <a:endParaRPr altLang="en-US"/>
          </a:p>
        </c:rich>
      </c:tx>
      <c:layout>
        <c:manualLayout>
          <c:xMode val="edge"/>
          <c:yMode val="edge"/>
          <c:x val="0.172222222222222"/>
          <c:y val="0.0246153846153846"/>
        </c:manualLayout>
      </c:layout>
      <c:overlay val="0"/>
      <c:spPr>
        <a:noFill/>
        <a:ln>
          <a:noFill/>
        </a:ln>
        <a:effectLst/>
      </c:spPr>
    </c:title>
    <c:autoTitleDeleted val="0"/>
    <c:plotArea>
      <c:layout>
        <c:manualLayout>
          <c:layoutTarget val="inner"/>
          <c:xMode val="edge"/>
          <c:yMode val="edge"/>
          <c:x val="0.17138837305481"/>
          <c:y val="0.141195168717683"/>
          <c:w val="0.827172176811232"/>
          <c:h val="0.342851282051282"/>
        </c:manualLayout>
      </c:layout>
      <c:barChart>
        <c:barDir val="col"/>
        <c:grouping val="clustered"/>
        <c:varyColors val="0"/>
        <c:ser>
          <c:idx val="0"/>
          <c:order val="0"/>
          <c:tx>
            <c:strRef>
              <c:f>Sheet1!$B$1</c:f>
              <c:strCache>
                <c:ptCount val="1"/>
                <c:pt idx="0">
                  <c:v>2022年度</c:v>
                </c:pt>
              </c:strCache>
            </c:strRef>
          </c:tx>
          <c:spPr>
            <a:solidFill>
              <a:schemeClr val="accent1"/>
            </a:solidFill>
            <a:ln>
              <a:noFill/>
            </a:ln>
            <a:effectLst/>
          </c:spPr>
          <c:invertIfNegative val="0"/>
          <c:dLbls>
            <c:dLbl>
              <c:idx val="0"/>
              <c:layout>
                <c:manualLayout>
                  <c:x val="-0.032"/>
                  <c:y val="-0.004089979550102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3"/>
                <c:pt idx="0">
                  <c:v>一般公共预算财政拨款收入</c:v>
                </c:pt>
                <c:pt idx="1">
                  <c:v>基本支出</c:v>
                </c:pt>
                <c:pt idx="2">
                  <c:v>项目支出</c:v>
                </c:pt>
              </c:strCache>
            </c:strRef>
          </c:cat>
          <c:val>
            <c:numRef>
              <c:f>Sheet1!$B$2:$B$5</c:f>
              <c:numCache>
                <c:formatCode>General</c:formatCode>
                <c:ptCount val="4"/>
                <c:pt idx="0">
                  <c:v>1761.07</c:v>
                </c:pt>
                <c:pt idx="1">
                  <c:v>996.93</c:v>
                </c:pt>
                <c:pt idx="2">
                  <c:v>494.91</c:v>
                </c:pt>
              </c:numCache>
            </c:numRef>
          </c:val>
        </c:ser>
        <c:ser>
          <c:idx val="1"/>
          <c:order val="1"/>
          <c:tx>
            <c:strRef>
              <c:f>Sheet1!$C$1</c:f>
              <c:strCache>
                <c:ptCount val="1"/>
                <c:pt idx="0">
                  <c:v>2023年度</c:v>
                </c:pt>
              </c:strCache>
            </c:strRef>
          </c:tx>
          <c:spPr>
            <a:solidFill>
              <a:schemeClr val="accent2"/>
            </a:solidFill>
            <a:ln>
              <a:noFill/>
            </a:ln>
            <a:effectLst/>
          </c:spPr>
          <c:invertIfNegative val="0"/>
          <c:dLbls>
            <c:dLbl>
              <c:idx val="0"/>
              <c:layout>
                <c:manualLayout>
                  <c:x val="0.0351851851851852"/>
                  <c:y val="0.0030769230769230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4"/>
                  <c:y val="-0.020449897750511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
                  <c:y val="-0.028629856850715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00000000000001"/>
                  <c:y val="-0.04089979550102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3"/>
                <c:pt idx="0">
                  <c:v>一般公共预算财政拨款收入</c:v>
                </c:pt>
                <c:pt idx="1">
                  <c:v>基本支出</c:v>
                </c:pt>
                <c:pt idx="2">
                  <c:v>项目支出</c:v>
                </c:pt>
              </c:strCache>
            </c:strRef>
          </c:cat>
          <c:val>
            <c:numRef>
              <c:f>Sheet1!$C$2:$C$5</c:f>
              <c:numCache>
                <c:formatCode>General</c:formatCode>
                <c:ptCount val="4"/>
                <c:pt idx="0">
                  <c:v>1334.16</c:v>
                </c:pt>
                <c:pt idx="1">
                  <c:v>1047.31</c:v>
                </c:pt>
                <c:pt idx="2">
                  <c:v>286.85</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3"/>
                <c:pt idx="0">
                  <c:v>一般公共预算财政拨款收入</c:v>
                </c:pt>
                <c:pt idx="1">
                  <c:v>基本支出</c:v>
                </c:pt>
                <c:pt idx="2">
                  <c:v>项目支出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69078016"/>
        <c:axId val="69092096"/>
      </c:barChart>
      <c:catAx>
        <c:axId val="690780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092096"/>
        <c:crosses val="autoZero"/>
        <c:auto val="1"/>
        <c:lblAlgn val="ctr"/>
        <c:lblOffset val="100"/>
        <c:noMultiLvlLbl val="0"/>
      </c:catAx>
      <c:valAx>
        <c:axId val="690920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0780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一般公共预算财政拨款支出决算变动表</a:t>
            </a:r>
          </a:p>
        </c:rich>
      </c:tx>
      <c:layout>
        <c:manualLayout>
          <c:xMode val="edge"/>
          <c:yMode val="edge"/>
          <c:x val="0.198859315589354"/>
          <c:y val="0.0376464026770775"/>
        </c:manualLayout>
      </c:layout>
      <c:overlay val="0"/>
      <c:spPr>
        <a:noFill/>
        <a:ln>
          <a:noFill/>
        </a:ln>
        <a:effectLst/>
      </c:spPr>
    </c:title>
    <c:autoTitleDeleted val="0"/>
    <c:plotArea>
      <c:layout>
        <c:manualLayout>
          <c:layoutTarget val="inner"/>
          <c:xMode val="edge"/>
          <c:yMode val="edge"/>
          <c:x val="0.0874681973164569"/>
          <c:y val="0.194803844883628"/>
          <c:w val="0.802057590902403"/>
          <c:h val="0.683533264129765"/>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2"/>
                <c:pt idx="0">
                  <c:v>基本支出</c:v>
                </c:pt>
                <c:pt idx="1">
                  <c:v>项目支出</c:v>
                </c:pt>
              </c:strCache>
            </c:strRef>
          </c:cat>
          <c:val>
            <c:numRef>
              <c:f>Sheet1!$B$2:$B$5</c:f>
              <c:numCache>
                <c:formatCode>General</c:formatCode>
                <c:ptCount val="4"/>
                <c:pt idx="0">
                  <c:v>978.5</c:v>
                </c:pt>
                <c:pt idx="1">
                  <c:v>563.01</c:v>
                </c:pt>
              </c:numCache>
            </c:numRef>
          </c:val>
        </c:ser>
        <c:ser>
          <c:idx val="1"/>
          <c:order val="1"/>
          <c:tx>
            <c:strRef>
              <c:f>Sheet1!$C$1</c:f>
              <c:strCache>
                <c:ptCount val="1"/>
                <c:pt idx="0">
                  <c:v>2023年</c:v>
                </c:pt>
              </c:strCache>
            </c:strRef>
          </c:tx>
          <c:spPr>
            <a:solidFill>
              <a:schemeClr val="accent2"/>
            </a:solidFill>
            <a:ln>
              <a:noFill/>
            </a:ln>
            <a:effectLst/>
          </c:spPr>
          <c:invertIfNegative val="0"/>
          <c:dLbls>
            <c:dLbl>
              <c:idx val="0"/>
              <c:layout>
                <c:manualLayout>
                  <c:x val="0.04"/>
                  <c:y val="-0.0233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5"/>
                  <c:y val="-0.0333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2"/>
                <c:pt idx="0">
                  <c:v>基本支出</c:v>
                </c:pt>
                <c:pt idx="1">
                  <c:v>项目支出</c:v>
                </c:pt>
              </c:strCache>
            </c:strRef>
          </c:cat>
          <c:val>
            <c:numRef>
              <c:f>Sheet1!$C$2:$C$5</c:f>
              <c:numCache>
                <c:formatCode>General</c:formatCode>
                <c:ptCount val="4"/>
                <c:pt idx="0">
                  <c:v>1047.31</c:v>
                </c:pt>
                <c:pt idx="1">
                  <c:v>286.84</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2"/>
                <c:pt idx="0">
                  <c:v>基本支出</c:v>
                </c:pt>
                <c:pt idx="1">
                  <c:v>项目支出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69126784"/>
        <c:axId val="69140864"/>
      </c:barChart>
      <c:catAx>
        <c:axId val="691267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40864"/>
        <c:crosses val="autoZero"/>
        <c:auto val="1"/>
        <c:lblAlgn val="ctr"/>
        <c:lblOffset val="100"/>
        <c:noMultiLvlLbl val="0"/>
      </c:catAx>
      <c:valAx>
        <c:axId val="691408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26784"/>
        <c:crosses val="autoZero"/>
        <c:crossBetween val="between"/>
      </c:valAx>
      <c:spPr>
        <a:noFill/>
        <a:ln>
          <a:noFill/>
        </a:ln>
        <a:effectLst/>
      </c:spPr>
    </c:plotArea>
    <c:legend>
      <c:legendPos val="b"/>
      <c:layout>
        <c:manualLayout>
          <c:xMode val="edge"/>
          <c:yMode val="edge"/>
          <c:x val="0.471372433585991"/>
          <c:y val="0.894591090021032"/>
          <c:w val="0.251647459955356"/>
          <c:h val="0.074503832716274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25"/>
          <c:dPt>
            <c:idx val="0"/>
            <c:bubble3D val="0"/>
          </c:dPt>
          <c:dPt>
            <c:idx val="1"/>
            <c:bubble3D val="0"/>
          </c:dPt>
          <c:dPt>
            <c:idx val="2"/>
            <c:bubble3D val="0"/>
          </c:dPt>
          <c:dPt>
            <c:idx val="3"/>
            <c:bubble3D val="0"/>
          </c:dPt>
          <c:dPt>
            <c:idx val="4"/>
            <c:bubble3D val="0"/>
          </c:dPt>
          <c:dLbls>
            <c:dLbl>
              <c:idx val="2"/>
              <c:layout>
                <c:manualLayout>
                  <c:x val="0.0321065829215916"/>
                  <c:y val="-0.11860338060298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9853527169924"/>
                  <c:y val="0.012298640124076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22776703563385"/>
                  <c:y val="-0.006437235515980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0.00%</c:formatCode>
                <c:ptCount val="5"/>
                <c:pt idx="0">
                  <c:v>0.7614</c:v>
                </c:pt>
                <c:pt idx="1">
                  <c:v>0.1174</c:v>
                </c:pt>
                <c:pt idx="2">
                  <c:v>0.0414</c:v>
                </c:pt>
                <c:pt idx="3">
                  <c:v>0.0195</c:v>
                </c:pt>
                <c:pt idx="4">
                  <c:v>0.0603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178124212598426"/>
                  <c:y val="0.03866167979002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74990157480315"/>
                  <c:y val="-0.003005249343832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3"/>
                <c:pt idx="0">
                  <c:v>因公出国（境）费用</c:v>
                </c:pt>
                <c:pt idx="1">
                  <c:v>公务用车购置及运行费</c:v>
                </c:pt>
                <c:pt idx="2">
                  <c:v>公务接待费</c:v>
                </c:pt>
              </c:strCache>
            </c:strRef>
          </c:cat>
          <c:val>
            <c:numRef>
              <c:f>Sheet1!$B$2:$B$5</c:f>
              <c:numCache>
                <c:formatCode>0.00%</c:formatCode>
                <c:ptCount val="4"/>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33</Pages>
  <Words>2923</Words>
  <Characters>16664</Characters>
  <Lines>138</Lines>
  <Paragraphs>39</Paragraphs>
  <TotalTime>174</TotalTime>
  <ScaleCrop>false</ScaleCrop>
  <LinksUpToDate>false</LinksUpToDate>
  <CharactersWithSpaces>19548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2024-09-14T09:58:00Z</dcterms:created>
  <dc:creator>曹颖</dc:creator>
  <cp:lastModifiedBy>李长秋</cp:lastModifiedBy>
  <cp:lastPrinted>2024-09-23T10:18:00Z</cp:lastPrinted>
  <dcterms:modified xsi:type="dcterms:W3CDTF">2026-06-09T08:25:53Z</dcterms:modified>
  <dc:title>四川省***</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FEB5D08F82CC49FBB6A7B9446F0D541B</vt:lpwstr>
  </property>
</Properties>
</file>