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1FC1B">
      <w:pPr>
        <w:spacing w:line="600" w:lineRule="exact"/>
        <w:jc w:val="center"/>
        <w:outlineLvl w:val="0"/>
        <w:rPr>
          <w:rFonts w:ascii="方正小标宋简体" w:hAnsi="宋体" w:eastAsia="方正小标宋简体"/>
          <w:color w:val="000000"/>
          <w:sz w:val="72"/>
          <w:szCs w:val="72"/>
        </w:rPr>
      </w:pPr>
      <w:bookmarkStart w:id="0" w:name="_Toc15306267"/>
    </w:p>
    <w:p w14:paraId="5CC1ACF9">
      <w:pPr>
        <w:spacing w:line="600" w:lineRule="exact"/>
        <w:jc w:val="center"/>
        <w:outlineLvl w:val="0"/>
        <w:rPr>
          <w:rFonts w:ascii="方正小标宋简体" w:hAnsi="宋体" w:eastAsia="方正小标宋简体"/>
          <w:color w:val="000000"/>
          <w:sz w:val="72"/>
          <w:szCs w:val="72"/>
        </w:rPr>
      </w:pPr>
    </w:p>
    <w:p w14:paraId="345DBA8B">
      <w:pPr>
        <w:spacing w:line="600" w:lineRule="exact"/>
        <w:jc w:val="center"/>
        <w:outlineLvl w:val="0"/>
        <w:rPr>
          <w:rFonts w:ascii="方正小标宋简体" w:hAnsi="宋体" w:eastAsia="方正小标宋简体"/>
          <w:color w:val="000000"/>
          <w:sz w:val="72"/>
          <w:szCs w:val="72"/>
        </w:rPr>
      </w:pPr>
    </w:p>
    <w:p w14:paraId="60EF39FD">
      <w:pPr>
        <w:spacing w:line="600" w:lineRule="exact"/>
        <w:jc w:val="center"/>
        <w:outlineLvl w:val="0"/>
        <w:rPr>
          <w:rFonts w:ascii="方正小标宋简体" w:hAnsi="宋体" w:eastAsia="方正小标宋简体"/>
          <w:color w:val="000000"/>
          <w:sz w:val="72"/>
          <w:szCs w:val="72"/>
        </w:rPr>
      </w:pPr>
    </w:p>
    <w:p w14:paraId="00D62A0A">
      <w:pPr>
        <w:adjustRightInd w:val="0"/>
        <w:snapToGrid w:val="0"/>
        <w:spacing w:line="360" w:lineRule="auto"/>
        <w:jc w:val="center"/>
        <w:outlineLvl w:val="0"/>
        <w:rPr>
          <w:rFonts w:ascii="方正小标宋简体" w:hAnsi="宋体" w:eastAsia="方正小标宋简体"/>
          <w:color w:val="000000"/>
          <w:sz w:val="72"/>
          <w:szCs w:val="72"/>
        </w:rPr>
      </w:pPr>
      <w:bookmarkStart w:id="1" w:name="_Toc27454"/>
      <w:bookmarkStart w:id="2" w:name="_Toc15378441"/>
      <w:bookmarkStart w:id="3" w:name="_Toc15377193"/>
      <w:bookmarkStart w:id="4" w:name="_Toc15377425"/>
      <w:bookmarkStart w:id="5" w:name="_Toc15396597"/>
      <w:bookmarkStart w:id="6"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14:paraId="6C189098">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7" w:name="_Toc2392"/>
      <w:bookmarkStart w:id="8" w:name="_Toc15377194"/>
      <w:bookmarkStart w:id="9" w:name="_Toc15396598"/>
      <w:bookmarkStart w:id="10" w:name="_Toc15377426"/>
      <w:bookmarkStart w:id="11" w:name="_Toc15396476"/>
      <w:bookmarkStart w:id="12" w:name="_Toc15378442"/>
      <w:r>
        <w:rPr>
          <w:rFonts w:hint="eastAsia" w:ascii="方正小标宋简体" w:hAnsi="宋体" w:eastAsia="方正小标宋简体"/>
          <w:color w:val="000000"/>
          <w:sz w:val="72"/>
          <w:szCs w:val="72"/>
        </w:rPr>
        <w:t>四川省</w:t>
      </w:r>
      <w:bookmarkEnd w:id="0"/>
      <w:bookmarkStart w:id="13" w:name="_Toc15306268"/>
      <w:r>
        <w:rPr>
          <w:rFonts w:hint="eastAsia" w:ascii="方正小标宋简体" w:hAnsi="宋体" w:eastAsia="方正小标宋简体"/>
          <w:color w:val="000000"/>
          <w:sz w:val="72"/>
          <w:szCs w:val="72"/>
          <w:lang w:eastAsia="zh-CN"/>
        </w:rPr>
        <w:t>攀枝花市仁和区建设工程质量安全监督站</w:t>
      </w:r>
      <w:bookmarkEnd w:id="7"/>
    </w:p>
    <w:p w14:paraId="1E40D058">
      <w:pPr>
        <w:adjustRightInd w:val="0"/>
        <w:snapToGrid w:val="0"/>
        <w:spacing w:line="360" w:lineRule="auto"/>
        <w:jc w:val="center"/>
        <w:outlineLvl w:val="0"/>
        <w:rPr>
          <w:rFonts w:ascii="方正小标宋简体" w:hAnsi="宋体" w:eastAsia="方正小标宋简体"/>
          <w:color w:val="000000"/>
          <w:sz w:val="72"/>
          <w:szCs w:val="72"/>
        </w:rPr>
      </w:pPr>
      <w:bookmarkStart w:id="14" w:name="_Toc28985"/>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p>
    <w:p w14:paraId="6AE190B1">
      <w:pPr>
        <w:widowControl/>
        <w:jc w:val="center"/>
        <w:rPr>
          <w:rFonts w:hint="eastAsia"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497581AC">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167C03DC">
      <w:pPr>
        <w:widowControl/>
        <w:jc w:val="center"/>
        <w:rPr>
          <w:rFonts w:ascii="黑体" w:hAnsi="黑体" w:eastAsia="黑体" w:cstheme="minorBidi"/>
          <w:sz w:val="28"/>
          <w:szCs w:val="28"/>
        </w:rPr>
      </w:pPr>
    </w:p>
    <w:p w14:paraId="04D8985C">
      <w:pPr>
        <w:pStyle w:val="10"/>
      </w:pPr>
      <w:r>
        <w:rPr>
          <w:rFonts w:hint="eastAsia"/>
        </w:rPr>
        <w:t>公开时间：2020年10月</w:t>
      </w:r>
      <w:r>
        <w:rPr>
          <w:rFonts w:hint="eastAsia"/>
          <w:lang w:val="en-US" w:eastAsia="zh-CN"/>
        </w:rPr>
        <w:t>27</w:t>
      </w:r>
      <w:r>
        <w:rPr>
          <w:rFonts w:hint="eastAsia"/>
        </w:rPr>
        <w:t>日</w:t>
      </w:r>
    </w:p>
    <w:p w14:paraId="63FD9712"/>
    <w:p w14:paraId="24F866B1">
      <w:pPr>
        <w:pStyle w:val="10"/>
        <w:tabs>
          <w:tab w:val="right" w:leader="dot" w:pos="8306"/>
          <w:tab w:val="clear" w:pos="8296"/>
        </w:tabs>
      </w:pPr>
      <w:bookmarkStart w:id="15" w:name="_Toc15396599"/>
      <w:bookmarkStart w:id="16" w:name="_Toc15377196"/>
      <w:r>
        <w:fldChar w:fldCharType="begin"/>
      </w:r>
      <w:r>
        <w:instrText xml:space="preserve">TOC \o "1-3" \h \u </w:instrText>
      </w:r>
      <w:r>
        <w:fldChar w:fldCharType="separate"/>
      </w:r>
    </w:p>
    <w:p w14:paraId="561DF7EA">
      <w:pPr>
        <w:pStyle w:val="10"/>
        <w:tabs>
          <w:tab w:val="right" w:leader="dot" w:pos="8306"/>
          <w:tab w:val="clear" w:pos="8296"/>
        </w:tabs>
      </w:pPr>
      <w:r>
        <w:fldChar w:fldCharType="begin"/>
      </w:r>
      <w:r>
        <w:instrText xml:space="preserve"> HYPERLINK \l _Toc28985 </w:instrText>
      </w:r>
      <w:r>
        <w:fldChar w:fldCharType="separate"/>
      </w:r>
      <w:r>
        <w:rPr>
          <w:rFonts w:hint="eastAsia" w:ascii="方正小标宋简体" w:hAnsi="宋体" w:eastAsia="方正小标宋简体"/>
          <w:szCs w:val="72"/>
        </w:rPr>
        <w:t>部门决算</w:t>
      </w:r>
      <w:r>
        <w:tab/>
      </w:r>
      <w:r>
        <w:fldChar w:fldCharType="begin"/>
      </w:r>
      <w:r>
        <w:instrText xml:space="preserve"> PAGEREF _Toc28985 \h </w:instrText>
      </w:r>
      <w:r>
        <w:fldChar w:fldCharType="separate"/>
      </w:r>
      <w:r>
        <w:t>1</w:t>
      </w:r>
      <w:r>
        <w:fldChar w:fldCharType="end"/>
      </w:r>
      <w:r>
        <w:fldChar w:fldCharType="end"/>
      </w:r>
    </w:p>
    <w:p w14:paraId="2635A335">
      <w:pPr>
        <w:pStyle w:val="10"/>
        <w:tabs>
          <w:tab w:val="right" w:leader="dot" w:pos="8306"/>
          <w:tab w:val="clear" w:pos="8296"/>
        </w:tabs>
      </w:pPr>
      <w:r>
        <w:fldChar w:fldCharType="begin"/>
      </w:r>
      <w:r>
        <w:instrText xml:space="preserve"> HYPERLINK \l _Toc24439 </w:instrText>
      </w:r>
      <w:r>
        <w:fldChar w:fldCharType="separate"/>
      </w:r>
      <w:r>
        <w:rPr>
          <w:rFonts w:hint="eastAsia" w:ascii="黑体" w:hAnsi="黑体" w:eastAsia="黑体"/>
        </w:rPr>
        <w:t xml:space="preserve">第一部分 </w:t>
      </w:r>
      <w:r>
        <w:rPr>
          <w:rFonts w:hint="eastAsia" w:ascii="黑体" w:hAnsi="黑体" w:eastAsia="黑体"/>
          <w:bCs w:val="0"/>
        </w:rPr>
        <w:t>部门概况</w:t>
      </w:r>
      <w:r>
        <w:tab/>
      </w:r>
      <w:r>
        <w:fldChar w:fldCharType="begin"/>
      </w:r>
      <w:r>
        <w:instrText xml:space="preserve"> PAGEREF _Toc24439 \h </w:instrText>
      </w:r>
      <w:r>
        <w:fldChar w:fldCharType="separate"/>
      </w:r>
      <w:r>
        <w:t>1</w:t>
      </w:r>
      <w:r>
        <w:fldChar w:fldCharType="end"/>
      </w:r>
      <w:r>
        <w:fldChar w:fldCharType="end"/>
      </w:r>
    </w:p>
    <w:p w14:paraId="4D19350F">
      <w:pPr>
        <w:pStyle w:val="11"/>
        <w:tabs>
          <w:tab w:val="right" w:leader="dot" w:pos="8306"/>
          <w:tab w:val="clear" w:pos="8296"/>
        </w:tabs>
      </w:pPr>
      <w:r>
        <w:fldChar w:fldCharType="begin"/>
      </w:r>
      <w:r>
        <w:instrText xml:space="preserve"> HYPERLINK \l _Toc7631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_Toc7631 \h </w:instrText>
      </w:r>
      <w:r>
        <w:fldChar w:fldCharType="separate"/>
      </w:r>
      <w:r>
        <w:t>1</w:t>
      </w:r>
      <w:r>
        <w:fldChar w:fldCharType="end"/>
      </w:r>
      <w:r>
        <w:fldChar w:fldCharType="end"/>
      </w:r>
    </w:p>
    <w:p w14:paraId="549044B0">
      <w:pPr>
        <w:pStyle w:val="11"/>
        <w:tabs>
          <w:tab w:val="right" w:leader="dot" w:pos="8306"/>
          <w:tab w:val="clear" w:pos="8296"/>
        </w:tabs>
      </w:pPr>
      <w:r>
        <w:fldChar w:fldCharType="begin"/>
      </w:r>
      <w:r>
        <w:instrText xml:space="preserve"> HYPERLINK \l _Toc11745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_Toc11745 \h </w:instrText>
      </w:r>
      <w:r>
        <w:fldChar w:fldCharType="separate"/>
      </w:r>
      <w:r>
        <w:t>2</w:t>
      </w:r>
      <w:r>
        <w:fldChar w:fldCharType="end"/>
      </w:r>
      <w:r>
        <w:fldChar w:fldCharType="end"/>
      </w:r>
    </w:p>
    <w:p w14:paraId="33B2BDCA">
      <w:pPr>
        <w:pStyle w:val="10"/>
        <w:tabs>
          <w:tab w:val="right" w:leader="dot" w:pos="8306"/>
          <w:tab w:val="clear" w:pos="8296"/>
        </w:tabs>
      </w:pPr>
      <w:r>
        <w:fldChar w:fldCharType="begin"/>
      </w:r>
      <w:r>
        <w:instrText xml:space="preserve"> HYPERLINK \l _Toc20961 </w:instrText>
      </w:r>
      <w:r>
        <w:fldChar w:fldCharType="separate"/>
      </w:r>
      <w:r>
        <w:rPr>
          <w:rFonts w:hint="eastAsia" w:ascii="黑体" w:hAnsi="黑体" w:eastAsia="黑体"/>
        </w:rPr>
        <w:t xml:space="preserve">第二部分 </w:t>
      </w:r>
      <w:r>
        <w:rPr>
          <w:rFonts w:hint="eastAsia" w:ascii="黑体" w:hAnsi="黑体" w:eastAsia="黑体"/>
          <w:bCs w:val="0"/>
        </w:rPr>
        <w:t>2019年度部门决算情况说明</w:t>
      </w:r>
      <w:r>
        <w:tab/>
      </w:r>
      <w:r>
        <w:fldChar w:fldCharType="begin"/>
      </w:r>
      <w:r>
        <w:instrText xml:space="preserve"> PAGEREF _Toc20961 \h </w:instrText>
      </w:r>
      <w:r>
        <w:fldChar w:fldCharType="separate"/>
      </w:r>
      <w:r>
        <w:t>3</w:t>
      </w:r>
      <w:r>
        <w:fldChar w:fldCharType="end"/>
      </w:r>
      <w:r>
        <w:fldChar w:fldCharType="end"/>
      </w:r>
    </w:p>
    <w:p w14:paraId="7ECEE4F9">
      <w:pPr>
        <w:pStyle w:val="11"/>
        <w:tabs>
          <w:tab w:val="right" w:leader="dot" w:pos="8306"/>
          <w:tab w:val="clear" w:pos="8296"/>
        </w:tabs>
      </w:pPr>
      <w:r>
        <w:fldChar w:fldCharType="begin"/>
      </w:r>
      <w:r>
        <w:instrText xml:space="preserve"> HYPERLINK \l _Toc14534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_Toc14534 \h </w:instrText>
      </w:r>
      <w:r>
        <w:fldChar w:fldCharType="separate"/>
      </w:r>
      <w:r>
        <w:t>3</w:t>
      </w:r>
      <w:r>
        <w:fldChar w:fldCharType="end"/>
      </w:r>
      <w:r>
        <w:fldChar w:fldCharType="end"/>
      </w:r>
    </w:p>
    <w:p w14:paraId="55FF937E">
      <w:pPr>
        <w:pStyle w:val="11"/>
        <w:tabs>
          <w:tab w:val="right" w:leader="dot" w:pos="8306"/>
          <w:tab w:val="clear" w:pos="8296"/>
        </w:tabs>
      </w:pPr>
      <w:r>
        <w:fldChar w:fldCharType="begin"/>
      </w:r>
      <w:r>
        <w:instrText xml:space="preserve"> HYPERLINK \l _Toc11735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_Toc11735 \h </w:instrText>
      </w:r>
      <w:r>
        <w:fldChar w:fldCharType="separate"/>
      </w:r>
      <w:r>
        <w:t>3</w:t>
      </w:r>
      <w:r>
        <w:fldChar w:fldCharType="end"/>
      </w:r>
      <w:r>
        <w:fldChar w:fldCharType="end"/>
      </w:r>
    </w:p>
    <w:p w14:paraId="652D33B2">
      <w:pPr>
        <w:pStyle w:val="11"/>
        <w:tabs>
          <w:tab w:val="right" w:leader="dot" w:pos="8306"/>
          <w:tab w:val="clear" w:pos="8296"/>
        </w:tabs>
      </w:pPr>
      <w:r>
        <w:fldChar w:fldCharType="begin"/>
      </w:r>
      <w:r>
        <w:instrText xml:space="preserve"> HYPERLINK \l _Toc22754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_Toc22754 \h </w:instrText>
      </w:r>
      <w:r>
        <w:fldChar w:fldCharType="separate"/>
      </w:r>
      <w:r>
        <w:t>4</w:t>
      </w:r>
      <w:r>
        <w:fldChar w:fldCharType="end"/>
      </w:r>
      <w:r>
        <w:fldChar w:fldCharType="end"/>
      </w:r>
    </w:p>
    <w:p w14:paraId="1E4AD30F">
      <w:pPr>
        <w:pStyle w:val="11"/>
        <w:tabs>
          <w:tab w:val="right" w:leader="dot" w:pos="8306"/>
          <w:tab w:val="clear" w:pos="8296"/>
        </w:tabs>
      </w:pPr>
      <w:r>
        <w:fldChar w:fldCharType="begin"/>
      </w:r>
      <w:r>
        <w:instrText xml:space="preserve"> HYPERLINK \l _Toc21917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_Toc21917 \h </w:instrText>
      </w:r>
      <w:r>
        <w:fldChar w:fldCharType="separate"/>
      </w:r>
      <w:r>
        <w:t>4</w:t>
      </w:r>
      <w:r>
        <w:fldChar w:fldCharType="end"/>
      </w:r>
      <w:r>
        <w:fldChar w:fldCharType="end"/>
      </w:r>
    </w:p>
    <w:p w14:paraId="5FA48CB7">
      <w:pPr>
        <w:pStyle w:val="11"/>
        <w:tabs>
          <w:tab w:val="right" w:leader="dot" w:pos="8306"/>
          <w:tab w:val="clear" w:pos="8296"/>
        </w:tabs>
      </w:pPr>
      <w:r>
        <w:fldChar w:fldCharType="begin"/>
      </w:r>
      <w:r>
        <w:instrText xml:space="preserve"> HYPERLINK \l _Toc899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_Toc899 \h </w:instrText>
      </w:r>
      <w:r>
        <w:fldChar w:fldCharType="separate"/>
      </w:r>
      <w:r>
        <w:t>5</w:t>
      </w:r>
      <w:r>
        <w:fldChar w:fldCharType="end"/>
      </w:r>
      <w:r>
        <w:fldChar w:fldCharType="end"/>
      </w:r>
    </w:p>
    <w:p w14:paraId="5D8DB96D">
      <w:pPr>
        <w:pStyle w:val="6"/>
        <w:tabs>
          <w:tab w:val="right" w:leader="dot" w:pos="8306"/>
          <w:tab w:val="clear" w:pos="8296"/>
        </w:tabs>
      </w:pPr>
      <w:r>
        <w:fldChar w:fldCharType="begin"/>
      </w:r>
      <w:r>
        <w:instrText xml:space="preserve"> HYPERLINK \l _Toc32435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_Toc32435 \h </w:instrText>
      </w:r>
      <w:r>
        <w:fldChar w:fldCharType="separate"/>
      </w:r>
      <w:r>
        <w:t>5</w:t>
      </w:r>
      <w:r>
        <w:fldChar w:fldCharType="end"/>
      </w:r>
      <w:r>
        <w:fldChar w:fldCharType="end"/>
      </w:r>
    </w:p>
    <w:p w14:paraId="57D8B69D">
      <w:pPr>
        <w:pStyle w:val="6"/>
        <w:tabs>
          <w:tab w:val="right" w:leader="dot" w:pos="8306"/>
          <w:tab w:val="clear" w:pos="8296"/>
        </w:tabs>
      </w:pPr>
      <w:r>
        <w:fldChar w:fldCharType="begin"/>
      </w:r>
      <w:r>
        <w:instrText xml:space="preserve"> HYPERLINK \l _Toc2990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_Toc2990 \h </w:instrText>
      </w:r>
      <w:r>
        <w:fldChar w:fldCharType="separate"/>
      </w:r>
      <w:r>
        <w:t>5</w:t>
      </w:r>
      <w:r>
        <w:fldChar w:fldCharType="end"/>
      </w:r>
      <w:r>
        <w:fldChar w:fldCharType="end"/>
      </w:r>
    </w:p>
    <w:p w14:paraId="065E54E5">
      <w:pPr>
        <w:pStyle w:val="6"/>
        <w:tabs>
          <w:tab w:val="right" w:leader="dot" w:pos="8306"/>
          <w:tab w:val="clear" w:pos="8296"/>
        </w:tabs>
      </w:pPr>
      <w:r>
        <w:fldChar w:fldCharType="begin"/>
      </w:r>
      <w:r>
        <w:instrText xml:space="preserve"> HYPERLINK \l _Toc394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_Toc394 \h </w:instrText>
      </w:r>
      <w:r>
        <w:fldChar w:fldCharType="separate"/>
      </w:r>
      <w:r>
        <w:t>6</w:t>
      </w:r>
      <w:r>
        <w:fldChar w:fldCharType="end"/>
      </w:r>
      <w:r>
        <w:fldChar w:fldCharType="end"/>
      </w:r>
    </w:p>
    <w:p w14:paraId="419E822A">
      <w:pPr>
        <w:pStyle w:val="11"/>
        <w:tabs>
          <w:tab w:val="right" w:leader="dot" w:pos="8306"/>
          <w:tab w:val="clear" w:pos="8296"/>
        </w:tabs>
      </w:pPr>
      <w:r>
        <w:fldChar w:fldCharType="begin"/>
      </w:r>
      <w:r>
        <w:instrText xml:space="preserve"> HYPERLINK \l _Toc32582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_Toc32582 \h </w:instrText>
      </w:r>
      <w:r>
        <w:fldChar w:fldCharType="separate"/>
      </w:r>
      <w:r>
        <w:t>6</w:t>
      </w:r>
      <w:r>
        <w:fldChar w:fldCharType="end"/>
      </w:r>
      <w:r>
        <w:fldChar w:fldCharType="end"/>
      </w:r>
    </w:p>
    <w:p w14:paraId="355FAA95">
      <w:pPr>
        <w:pStyle w:val="11"/>
        <w:tabs>
          <w:tab w:val="right" w:leader="dot" w:pos="8306"/>
          <w:tab w:val="clear" w:pos="8296"/>
        </w:tabs>
      </w:pPr>
      <w:r>
        <w:fldChar w:fldCharType="begin"/>
      </w:r>
      <w:r>
        <w:instrText xml:space="preserve"> HYPERLINK \l _Toc31997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_Toc31997 \h </w:instrText>
      </w:r>
      <w:r>
        <w:fldChar w:fldCharType="separate"/>
      </w:r>
      <w:r>
        <w:t>7</w:t>
      </w:r>
      <w:r>
        <w:fldChar w:fldCharType="end"/>
      </w:r>
      <w:r>
        <w:fldChar w:fldCharType="end"/>
      </w:r>
    </w:p>
    <w:p w14:paraId="7EC5CC16">
      <w:pPr>
        <w:pStyle w:val="6"/>
        <w:tabs>
          <w:tab w:val="right" w:leader="dot" w:pos="8306"/>
          <w:tab w:val="clear" w:pos="8296"/>
        </w:tabs>
      </w:pPr>
      <w:r>
        <w:fldChar w:fldCharType="begin"/>
      </w:r>
      <w:r>
        <w:instrText xml:space="preserve"> HYPERLINK \l _Toc3777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_Toc3777 \h </w:instrText>
      </w:r>
      <w:r>
        <w:fldChar w:fldCharType="separate"/>
      </w:r>
      <w:r>
        <w:t>7</w:t>
      </w:r>
      <w:r>
        <w:fldChar w:fldCharType="end"/>
      </w:r>
      <w:r>
        <w:fldChar w:fldCharType="end"/>
      </w:r>
    </w:p>
    <w:p w14:paraId="54D88D4F">
      <w:pPr>
        <w:pStyle w:val="6"/>
        <w:tabs>
          <w:tab w:val="right" w:leader="dot" w:pos="8306"/>
          <w:tab w:val="clear" w:pos="8296"/>
        </w:tabs>
      </w:pPr>
      <w:r>
        <w:fldChar w:fldCharType="begin"/>
      </w:r>
      <w:r>
        <w:instrText xml:space="preserve"> HYPERLINK \l _Toc18029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_Toc18029 \h </w:instrText>
      </w:r>
      <w:r>
        <w:fldChar w:fldCharType="separate"/>
      </w:r>
      <w:r>
        <w:t>7</w:t>
      </w:r>
      <w:r>
        <w:fldChar w:fldCharType="end"/>
      </w:r>
      <w:r>
        <w:fldChar w:fldCharType="end"/>
      </w:r>
    </w:p>
    <w:p w14:paraId="60B969BC">
      <w:pPr>
        <w:pStyle w:val="11"/>
        <w:tabs>
          <w:tab w:val="right" w:leader="dot" w:pos="8306"/>
          <w:tab w:val="clear" w:pos="8296"/>
        </w:tabs>
      </w:pPr>
      <w:r>
        <w:fldChar w:fldCharType="begin"/>
      </w:r>
      <w:r>
        <w:instrText xml:space="preserve"> HYPERLINK \l _Toc28528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_Toc28528 \h </w:instrText>
      </w:r>
      <w:r>
        <w:fldChar w:fldCharType="separate"/>
      </w:r>
      <w:r>
        <w:t>8</w:t>
      </w:r>
      <w:r>
        <w:fldChar w:fldCharType="end"/>
      </w:r>
      <w:r>
        <w:fldChar w:fldCharType="end"/>
      </w:r>
    </w:p>
    <w:p w14:paraId="27E97AAA">
      <w:pPr>
        <w:pStyle w:val="11"/>
        <w:tabs>
          <w:tab w:val="right" w:leader="dot" w:pos="8306"/>
          <w:tab w:val="clear" w:pos="8296"/>
        </w:tabs>
      </w:pPr>
      <w:r>
        <w:fldChar w:fldCharType="begin"/>
      </w:r>
      <w:r>
        <w:instrText xml:space="preserve"> HYPERLINK \l _Toc32647 </w:instrText>
      </w:r>
      <w:r>
        <w:fldChar w:fldCharType="separate"/>
      </w:r>
      <w:r>
        <w:rPr>
          <w:rFonts w:hint="eastAsia" w:ascii="黑体" w:hAnsi="黑体" w:eastAsia="黑体"/>
        </w:rPr>
        <w:t>九、 国有资本经营预算支出决算情况说明</w:t>
      </w:r>
      <w:r>
        <w:tab/>
      </w:r>
      <w:r>
        <w:fldChar w:fldCharType="begin"/>
      </w:r>
      <w:r>
        <w:instrText xml:space="preserve"> PAGEREF _Toc32647 \h </w:instrText>
      </w:r>
      <w:r>
        <w:fldChar w:fldCharType="separate"/>
      </w:r>
      <w:r>
        <w:t>8</w:t>
      </w:r>
      <w:r>
        <w:fldChar w:fldCharType="end"/>
      </w:r>
      <w:r>
        <w:fldChar w:fldCharType="end"/>
      </w:r>
    </w:p>
    <w:p w14:paraId="21F11501">
      <w:pPr>
        <w:pStyle w:val="11"/>
        <w:tabs>
          <w:tab w:val="right" w:leader="dot" w:pos="8306"/>
          <w:tab w:val="clear" w:pos="8296"/>
        </w:tabs>
      </w:pPr>
      <w:r>
        <w:fldChar w:fldCharType="begin"/>
      </w:r>
      <w:r>
        <w:instrText xml:space="preserve"> HYPERLINK \l _Toc31823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_Toc31823 \h </w:instrText>
      </w:r>
      <w:r>
        <w:fldChar w:fldCharType="separate"/>
      </w:r>
      <w:r>
        <w:t>8</w:t>
      </w:r>
      <w:r>
        <w:fldChar w:fldCharType="end"/>
      </w:r>
      <w:r>
        <w:fldChar w:fldCharType="end"/>
      </w:r>
    </w:p>
    <w:p w14:paraId="28B34650">
      <w:pPr>
        <w:pStyle w:val="6"/>
        <w:tabs>
          <w:tab w:val="right" w:leader="dot" w:pos="8306"/>
          <w:tab w:val="clear" w:pos="8296"/>
        </w:tabs>
      </w:pPr>
      <w:r>
        <w:fldChar w:fldCharType="begin"/>
      </w:r>
      <w:r>
        <w:instrText xml:space="preserve"> HYPERLINK \l _Toc21375 </w:instrText>
      </w:r>
      <w:r>
        <w:fldChar w:fldCharType="separate"/>
      </w:r>
      <w:r>
        <w:rPr>
          <w:rFonts w:hint="eastAsia" w:ascii="仿宋" w:hAnsi="仿宋" w:eastAsia="仿宋"/>
          <w:szCs w:val="32"/>
        </w:rPr>
        <w:t>（一）机关运行经费支出情况</w:t>
      </w:r>
      <w:r>
        <w:tab/>
      </w:r>
      <w:r>
        <w:fldChar w:fldCharType="begin"/>
      </w:r>
      <w:r>
        <w:instrText xml:space="preserve"> PAGEREF _Toc21375 \h </w:instrText>
      </w:r>
      <w:r>
        <w:fldChar w:fldCharType="separate"/>
      </w:r>
      <w:r>
        <w:t>8</w:t>
      </w:r>
      <w:r>
        <w:fldChar w:fldCharType="end"/>
      </w:r>
      <w:r>
        <w:fldChar w:fldCharType="end"/>
      </w:r>
    </w:p>
    <w:p w14:paraId="59C1673E">
      <w:pPr>
        <w:pStyle w:val="6"/>
        <w:tabs>
          <w:tab w:val="right" w:leader="dot" w:pos="8306"/>
          <w:tab w:val="clear" w:pos="8296"/>
        </w:tabs>
      </w:pPr>
      <w:r>
        <w:fldChar w:fldCharType="begin"/>
      </w:r>
      <w:r>
        <w:instrText xml:space="preserve"> HYPERLINK \l _Toc10056 </w:instrText>
      </w:r>
      <w:r>
        <w:fldChar w:fldCharType="separate"/>
      </w:r>
      <w:r>
        <w:rPr>
          <w:rFonts w:hint="eastAsia" w:ascii="仿宋" w:hAnsi="仿宋" w:eastAsia="仿宋"/>
          <w:szCs w:val="32"/>
        </w:rPr>
        <w:t>（二）政府采购支出情况</w:t>
      </w:r>
      <w:r>
        <w:tab/>
      </w:r>
      <w:r>
        <w:fldChar w:fldCharType="begin"/>
      </w:r>
      <w:r>
        <w:instrText xml:space="preserve"> PAGEREF _Toc10056 \h </w:instrText>
      </w:r>
      <w:r>
        <w:fldChar w:fldCharType="separate"/>
      </w:r>
      <w:r>
        <w:t>8</w:t>
      </w:r>
      <w:r>
        <w:fldChar w:fldCharType="end"/>
      </w:r>
      <w:r>
        <w:fldChar w:fldCharType="end"/>
      </w:r>
    </w:p>
    <w:p w14:paraId="19DB1E95">
      <w:pPr>
        <w:pStyle w:val="6"/>
        <w:tabs>
          <w:tab w:val="right" w:leader="dot" w:pos="8306"/>
          <w:tab w:val="clear" w:pos="8296"/>
        </w:tabs>
      </w:pPr>
      <w:r>
        <w:fldChar w:fldCharType="begin"/>
      </w:r>
      <w:r>
        <w:instrText xml:space="preserve"> HYPERLINK \l _Toc6675 </w:instrText>
      </w:r>
      <w:r>
        <w:fldChar w:fldCharType="separate"/>
      </w:r>
      <w:r>
        <w:rPr>
          <w:rFonts w:hint="eastAsia" w:ascii="仿宋" w:hAnsi="仿宋" w:eastAsia="仿宋"/>
          <w:szCs w:val="32"/>
        </w:rPr>
        <w:t>（三）国有资产占有使用情况</w:t>
      </w:r>
      <w:r>
        <w:tab/>
      </w:r>
      <w:r>
        <w:fldChar w:fldCharType="begin"/>
      </w:r>
      <w:r>
        <w:instrText xml:space="preserve"> PAGEREF _Toc6675 \h </w:instrText>
      </w:r>
      <w:r>
        <w:fldChar w:fldCharType="separate"/>
      </w:r>
      <w:r>
        <w:t>8</w:t>
      </w:r>
      <w:r>
        <w:fldChar w:fldCharType="end"/>
      </w:r>
      <w:r>
        <w:fldChar w:fldCharType="end"/>
      </w:r>
    </w:p>
    <w:p w14:paraId="283825F7">
      <w:pPr>
        <w:pStyle w:val="6"/>
        <w:tabs>
          <w:tab w:val="right" w:leader="dot" w:pos="8306"/>
          <w:tab w:val="clear" w:pos="8296"/>
        </w:tabs>
      </w:pPr>
      <w:r>
        <w:fldChar w:fldCharType="begin"/>
      </w:r>
      <w:r>
        <w:instrText xml:space="preserve"> HYPERLINK \l _Toc18608 </w:instrText>
      </w:r>
      <w:r>
        <w:fldChar w:fldCharType="separate"/>
      </w:r>
      <w:r>
        <w:rPr>
          <w:rFonts w:hint="eastAsia" w:ascii="仿宋" w:hAnsi="仿宋" w:eastAsia="仿宋"/>
          <w:szCs w:val="32"/>
        </w:rPr>
        <w:t>（四）预算绩效管理情况。</w:t>
      </w:r>
      <w:r>
        <w:tab/>
      </w:r>
      <w:r>
        <w:fldChar w:fldCharType="begin"/>
      </w:r>
      <w:r>
        <w:instrText xml:space="preserve"> PAGEREF _Toc18608 \h </w:instrText>
      </w:r>
      <w:r>
        <w:fldChar w:fldCharType="separate"/>
      </w:r>
      <w:r>
        <w:t>8</w:t>
      </w:r>
      <w:r>
        <w:fldChar w:fldCharType="end"/>
      </w:r>
      <w:r>
        <w:fldChar w:fldCharType="end"/>
      </w:r>
    </w:p>
    <w:p w14:paraId="02AB147A">
      <w:pPr>
        <w:pStyle w:val="10"/>
        <w:tabs>
          <w:tab w:val="right" w:leader="dot" w:pos="8306"/>
          <w:tab w:val="clear" w:pos="8296"/>
        </w:tabs>
      </w:pPr>
      <w:r>
        <w:fldChar w:fldCharType="begin"/>
      </w:r>
      <w:r>
        <w:instrText xml:space="preserve"> HYPERLINK \l _Toc29580 </w:instrText>
      </w:r>
      <w: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_Toc29580 \h </w:instrText>
      </w:r>
      <w:r>
        <w:fldChar w:fldCharType="separate"/>
      </w:r>
      <w:r>
        <w:t>10</w:t>
      </w:r>
      <w:r>
        <w:fldChar w:fldCharType="end"/>
      </w:r>
      <w:r>
        <w:fldChar w:fldCharType="end"/>
      </w:r>
    </w:p>
    <w:p w14:paraId="54AEBEEE">
      <w:pPr>
        <w:pStyle w:val="10"/>
        <w:tabs>
          <w:tab w:val="right" w:leader="dot" w:pos="8306"/>
          <w:tab w:val="clear" w:pos="8296"/>
        </w:tabs>
      </w:pPr>
      <w:r>
        <w:fldChar w:fldCharType="begin"/>
      </w:r>
      <w:r>
        <w:instrText xml:space="preserve"> HYPERLINK \l _Toc11216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_Toc11216 \h </w:instrText>
      </w:r>
      <w:r>
        <w:fldChar w:fldCharType="separate"/>
      </w:r>
      <w:r>
        <w:t>13</w:t>
      </w:r>
      <w:r>
        <w:fldChar w:fldCharType="end"/>
      </w:r>
      <w:r>
        <w:fldChar w:fldCharType="end"/>
      </w:r>
    </w:p>
    <w:p w14:paraId="1FE724C0">
      <w:pPr>
        <w:pStyle w:val="10"/>
        <w:tabs>
          <w:tab w:val="right" w:leader="dot" w:pos="8306"/>
          <w:tab w:val="clear" w:pos="8296"/>
        </w:tabs>
      </w:pPr>
      <w:r>
        <w:fldChar w:fldCharType="begin"/>
      </w:r>
      <w:r>
        <w:instrText xml:space="preserve"> HYPERLINK \l _Toc428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_Toc428 \h </w:instrText>
      </w:r>
      <w:r>
        <w:fldChar w:fldCharType="separate"/>
      </w:r>
      <w:r>
        <w:t>20</w:t>
      </w:r>
      <w:r>
        <w:fldChar w:fldCharType="end"/>
      </w:r>
      <w:r>
        <w:fldChar w:fldCharType="end"/>
      </w:r>
    </w:p>
    <w:p w14:paraId="3CED424C">
      <w:pPr>
        <w:pStyle w:val="11"/>
        <w:tabs>
          <w:tab w:val="right" w:leader="dot" w:pos="8306"/>
          <w:tab w:val="clear" w:pos="8296"/>
        </w:tabs>
        <w:sectPr>
          <w:footerReference r:id="rId5" w:type="default"/>
          <w:pgSz w:w="11906" w:h="16838"/>
          <w:pgMar w:top="1440" w:right="1800" w:bottom="1440" w:left="1800" w:header="851" w:footer="992" w:gutter="0"/>
          <w:pgNumType w:fmt="decimal" w:start="1"/>
          <w:cols w:space="425" w:num="1"/>
          <w:docGrid w:type="lines" w:linePitch="312" w:charSpace="0"/>
        </w:sectPr>
      </w:pPr>
    </w:p>
    <w:p w14:paraId="1C0CB2CE">
      <w:pPr>
        <w:pStyle w:val="11"/>
        <w:tabs>
          <w:tab w:val="right" w:leader="dot" w:pos="8306"/>
          <w:tab w:val="clear" w:pos="8296"/>
        </w:tabs>
      </w:pPr>
      <w:r>
        <w:fldChar w:fldCharType="begin"/>
      </w:r>
      <w:r>
        <w:instrText xml:space="preserve"> HYPERLINK \l _Toc18580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_Toc18580 \h </w:instrText>
      </w:r>
      <w:r>
        <w:fldChar w:fldCharType="separate"/>
      </w:r>
      <w:r>
        <w:t>20</w:t>
      </w:r>
      <w:r>
        <w:fldChar w:fldCharType="end"/>
      </w:r>
      <w:r>
        <w:fldChar w:fldCharType="end"/>
      </w:r>
    </w:p>
    <w:p w14:paraId="5FA016FD">
      <w:pPr>
        <w:pStyle w:val="11"/>
        <w:tabs>
          <w:tab w:val="right" w:leader="dot" w:pos="8306"/>
          <w:tab w:val="clear" w:pos="8296"/>
        </w:tabs>
      </w:pPr>
      <w:r>
        <w:fldChar w:fldCharType="begin"/>
      </w:r>
      <w:r>
        <w:instrText xml:space="preserve"> HYPERLINK \l _Toc3349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_Toc3349 \h </w:instrText>
      </w:r>
      <w:r>
        <w:fldChar w:fldCharType="separate"/>
      </w:r>
      <w:r>
        <w:t>20</w:t>
      </w:r>
      <w:r>
        <w:fldChar w:fldCharType="end"/>
      </w:r>
      <w:r>
        <w:fldChar w:fldCharType="end"/>
      </w:r>
    </w:p>
    <w:p w14:paraId="3E43D72B">
      <w:pPr>
        <w:pStyle w:val="11"/>
        <w:tabs>
          <w:tab w:val="right" w:leader="dot" w:pos="8306"/>
          <w:tab w:val="clear" w:pos="8296"/>
        </w:tabs>
      </w:pPr>
      <w:r>
        <w:fldChar w:fldCharType="begin"/>
      </w:r>
      <w:r>
        <w:instrText xml:space="preserve"> HYPERLINK \l _Toc23511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_Toc23511 \h </w:instrText>
      </w:r>
      <w:r>
        <w:fldChar w:fldCharType="separate"/>
      </w:r>
      <w:r>
        <w:t>20</w:t>
      </w:r>
      <w:r>
        <w:fldChar w:fldCharType="end"/>
      </w:r>
      <w:r>
        <w:fldChar w:fldCharType="end"/>
      </w:r>
    </w:p>
    <w:p w14:paraId="6EF87DBE">
      <w:pPr>
        <w:pStyle w:val="11"/>
        <w:tabs>
          <w:tab w:val="right" w:leader="dot" w:pos="8306"/>
          <w:tab w:val="clear" w:pos="8296"/>
        </w:tabs>
      </w:pPr>
      <w:r>
        <w:fldChar w:fldCharType="begin"/>
      </w:r>
      <w:r>
        <w:instrText xml:space="preserve"> HYPERLINK \l _Toc8948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_Toc8948 \h </w:instrText>
      </w:r>
      <w:r>
        <w:fldChar w:fldCharType="separate"/>
      </w:r>
      <w:r>
        <w:t>20</w:t>
      </w:r>
      <w:r>
        <w:fldChar w:fldCharType="end"/>
      </w:r>
      <w:r>
        <w:fldChar w:fldCharType="end"/>
      </w:r>
    </w:p>
    <w:p w14:paraId="5601FEA4">
      <w:pPr>
        <w:pStyle w:val="11"/>
        <w:tabs>
          <w:tab w:val="right" w:leader="dot" w:pos="8306"/>
          <w:tab w:val="clear" w:pos="8296"/>
        </w:tabs>
      </w:pPr>
      <w:r>
        <w:fldChar w:fldCharType="begin"/>
      </w:r>
      <w:r>
        <w:instrText xml:space="preserve"> HYPERLINK \l _Toc23267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_Toc23267 \h </w:instrText>
      </w:r>
      <w:r>
        <w:fldChar w:fldCharType="separate"/>
      </w:r>
      <w:r>
        <w:t>20</w:t>
      </w:r>
      <w:r>
        <w:fldChar w:fldCharType="end"/>
      </w:r>
      <w:r>
        <w:fldChar w:fldCharType="end"/>
      </w:r>
    </w:p>
    <w:p w14:paraId="5514D374">
      <w:pPr>
        <w:pStyle w:val="11"/>
        <w:tabs>
          <w:tab w:val="right" w:leader="dot" w:pos="8306"/>
          <w:tab w:val="clear" w:pos="8296"/>
        </w:tabs>
      </w:pPr>
      <w:r>
        <w:fldChar w:fldCharType="begin"/>
      </w:r>
      <w:r>
        <w:instrText xml:space="preserve"> HYPERLINK \l _Toc21747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_Toc21747 \h </w:instrText>
      </w:r>
      <w:r>
        <w:fldChar w:fldCharType="separate"/>
      </w:r>
      <w:r>
        <w:t>20</w:t>
      </w:r>
      <w:r>
        <w:fldChar w:fldCharType="end"/>
      </w:r>
      <w:r>
        <w:fldChar w:fldCharType="end"/>
      </w:r>
    </w:p>
    <w:p w14:paraId="40B95AB6">
      <w:pPr>
        <w:pStyle w:val="11"/>
        <w:tabs>
          <w:tab w:val="right" w:leader="dot" w:pos="8306"/>
          <w:tab w:val="clear" w:pos="8296"/>
        </w:tabs>
      </w:pPr>
      <w:r>
        <w:fldChar w:fldCharType="begin"/>
      </w:r>
      <w:r>
        <w:instrText xml:space="preserve"> HYPERLINK \l _Toc25629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_Toc25629 \h </w:instrText>
      </w:r>
      <w:r>
        <w:fldChar w:fldCharType="separate"/>
      </w:r>
      <w:r>
        <w:t>20</w:t>
      </w:r>
      <w:r>
        <w:fldChar w:fldCharType="end"/>
      </w:r>
      <w:r>
        <w:fldChar w:fldCharType="end"/>
      </w:r>
    </w:p>
    <w:p w14:paraId="721A4D41">
      <w:pPr>
        <w:pStyle w:val="11"/>
        <w:tabs>
          <w:tab w:val="right" w:leader="dot" w:pos="8306"/>
          <w:tab w:val="clear" w:pos="8296"/>
        </w:tabs>
      </w:pPr>
      <w:r>
        <w:fldChar w:fldCharType="begin"/>
      </w:r>
      <w:r>
        <w:instrText xml:space="preserve"> HYPERLINK \l _Toc21947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_Toc21947 \h </w:instrText>
      </w:r>
      <w:r>
        <w:fldChar w:fldCharType="separate"/>
      </w:r>
      <w:r>
        <w:t>20</w:t>
      </w:r>
      <w:r>
        <w:fldChar w:fldCharType="end"/>
      </w:r>
      <w:r>
        <w:fldChar w:fldCharType="end"/>
      </w:r>
    </w:p>
    <w:p w14:paraId="2EAAE7D0">
      <w:pPr>
        <w:pStyle w:val="11"/>
        <w:tabs>
          <w:tab w:val="right" w:leader="dot" w:pos="8306"/>
          <w:tab w:val="clear" w:pos="8296"/>
        </w:tabs>
      </w:pPr>
      <w:r>
        <w:fldChar w:fldCharType="begin"/>
      </w:r>
      <w:r>
        <w:instrText xml:space="preserve"> HYPERLINK \l _Toc7678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_Toc7678 \h </w:instrText>
      </w:r>
      <w:r>
        <w:fldChar w:fldCharType="separate"/>
      </w:r>
      <w:r>
        <w:t>20</w:t>
      </w:r>
      <w:r>
        <w:fldChar w:fldCharType="end"/>
      </w:r>
      <w:r>
        <w:fldChar w:fldCharType="end"/>
      </w:r>
    </w:p>
    <w:p w14:paraId="2D2E9EEE">
      <w:pPr>
        <w:pStyle w:val="11"/>
        <w:tabs>
          <w:tab w:val="right" w:leader="dot" w:pos="8306"/>
          <w:tab w:val="clear" w:pos="8296"/>
        </w:tabs>
      </w:pPr>
      <w:r>
        <w:fldChar w:fldCharType="begin"/>
      </w:r>
      <w:r>
        <w:instrText xml:space="preserve"> HYPERLINK \l _Toc16016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_Toc16016 \h </w:instrText>
      </w:r>
      <w:r>
        <w:fldChar w:fldCharType="separate"/>
      </w:r>
      <w:r>
        <w:t>20</w:t>
      </w:r>
      <w:r>
        <w:fldChar w:fldCharType="end"/>
      </w:r>
      <w:r>
        <w:fldChar w:fldCharType="end"/>
      </w:r>
    </w:p>
    <w:p w14:paraId="6776C745">
      <w:pPr>
        <w:pStyle w:val="11"/>
        <w:tabs>
          <w:tab w:val="right" w:leader="dot" w:pos="8306"/>
          <w:tab w:val="clear" w:pos="8296"/>
        </w:tabs>
      </w:pPr>
      <w:r>
        <w:fldChar w:fldCharType="begin"/>
      </w:r>
      <w:r>
        <w:instrText xml:space="preserve"> HYPERLINK \l _Toc16057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_Toc16057 \h </w:instrText>
      </w:r>
      <w:r>
        <w:fldChar w:fldCharType="separate"/>
      </w:r>
      <w:r>
        <w:t>20</w:t>
      </w:r>
      <w:r>
        <w:fldChar w:fldCharType="end"/>
      </w:r>
      <w:r>
        <w:fldChar w:fldCharType="end"/>
      </w:r>
    </w:p>
    <w:p w14:paraId="78877DFA">
      <w:pPr>
        <w:pStyle w:val="11"/>
        <w:tabs>
          <w:tab w:val="right" w:leader="dot" w:pos="8306"/>
          <w:tab w:val="clear" w:pos="8296"/>
        </w:tabs>
      </w:pPr>
      <w:r>
        <w:fldChar w:fldCharType="begin"/>
      </w:r>
      <w:r>
        <w:instrText xml:space="preserve"> HYPERLINK \l _Toc28368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_Toc28368 \h </w:instrText>
      </w:r>
      <w:r>
        <w:fldChar w:fldCharType="separate"/>
      </w:r>
      <w:r>
        <w:t>20</w:t>
      </w:r>
      <w:r>
        <w:fldChar w:fldCharType="end"/>
      </w:r>
      <w:r>
        <w:fldChar w:fldCharType="end"/>
      </w:r>
    </w:p>
    <w:p w14:paraId="30B141A8">
      <w:pPr>
        <w:pStyle w:val="11"/>
        <w:tabs>
          <w:tab w:val="right" w:leader="dot" w:pos="8306"/>
          <w:tab w:val="clear" w:pos="8296"/>
        </w:tabs>
      </w:pPr>
      <w:r>
        <w:fldChar w:fldCharType="begin"/>
      </w:r>
      <w:r>
        <w:instrText xml:space="preserve"> HYPERLINK \l _Toc2632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_Toc2632 \h </w:instrText>
      </w:r>
      <w:r>
        <w:fldChar w:fldCharType="separate"/>
      </w:r>
      <w:r>
        <w:t>20</w:t>
      </w:r>
      <w:r>
        <w:fldChar w:fldCharType="end"/>
      </w:r>
      <w:r>
        <w:fldChar w:fldCharType="end"/>
      </w:r>
    </w:p>
    <w:p w14:paraId="42427452">
      <w:pPr>
        <w:pStyle w:val="2"/>
        <w:jc w:val="center"/>
      </w:pPr>
      <w:r>
        <w:fldChar w:fldCharType="end"/>
      </w:r>
    </w:p>
    <w:p w14:paraId="65A845CB"/>
    <w:p w14:paraId="4F148C07"/>
    <w:p w14:paraId="17886061"/>
    <w:p w14:paraId="0C0AA6E2"/>
    <w:p w14:paraId="283BF244"/>
    <w:p w14:paraId="2302E9A0">
      <w:pPr>
        <w:rPr>
          <w:rFonts w:hint="eastAsia"/>
          <w:lang w:val="en-US" w:eastAsia="zh-CN"/>
        </w:rPr>
      </w:pPr>
      <w:r>
        <w:rPr>
          <w:rFonts w:hint="eastAsia"/>
          <w:lang w:val="en-US" w:eastAsia="zh-CN"/>
        </w:rPr>
        <w:t>\</w:t>
      </w:r>
    </w:p>
    <w:p w14:paraId="2498891D">
      <w:pPr>
        <w:rPr>
          <w:rFonts w:hint="eastAsia"/>
          <w:lang w:val="en-US" w:eastAsia="zh-CN"/>
        </w:rPr>
      </w:pPr>
    </w:p>
    <w:p w14:paraId="28683972">
      <w:pPr>
        <w:rPr>
          <w:rFonts w:hint="eastAsia"/>
          <w:lang w:val="en-US" w:eastAsia="zh-CN"/>
        </w:rPr>
      </w:pPr>
    </w:p>
    <w:p w14:paraId="678F3D01">
      <w:pPr>
        <w:rPr>
          <w:rFonts w:hint="eastAsia"/>
          <w:lang w:val="en-US" w:eastAsia="zh-CN"/>
        </w:rPr>
      </w:pPr>
    </w:p>
    <w:p w14:paraId="09C9FA6D">
      <w:pPr>
        <w:rPr>
          <w:rFonts w:hint="eastAsia"/>
          <w:lang w:val="en-US" w:eastAsia="zh-CN"/>
        </w:rPr>
      </w:pPr>
    </w:p>
    <w:p w14:paraId="477A97F0">
      <w:pPr>
        <w:rPr>
          <w:rFonts w:hint="eastAsia"/>
          <w:lang w:val="en-US" w:eastAsia="zh-CN"/>
        </w:rPr>
      </w:pPr>
    </w:p>
    <w:p w14:paraId="12A0CDDF">
      <w:pPr>
        <w:pStyle w:val="2"/>
        <w:jc w:val="center"/>
      </w:pPr>
    </w:p>
    <w:p w14:paraId="734B1B42">
      <w:pPr>
        <w:pStyle w:val="2"/>
        <w:jc w:val="center"/>
      </w:pPr>
    </w:p>
    <w:p w14:paraId="2E70D511"/>
    <w:p w14:paraId="3384ED6F"/>
    <w:p w14:paraId="1B765ADD">
      <w:pPr>
        <w:pStyle w:val="2"/>
        <w:jc w:val="center"/>
        <w:rPr>
          <w:rFonts w:hint="eastAsia" w:ascii="黑体" w:hAnsi="黑体" w:eastAsia="黑体"/>
          <w:b w:val="0"/>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17" w:name="_Toc24439"/>
    </w:p>
    <w:p w14:paraId="0D5DFA63">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5"/>
      <w:bookmarkEnd w:id="16"/>
      <w:bookmarkEnd w:id="17"/>
    </w:p>
    <w:p w14:paraId="7CA1F8FD">
      <w:pPr>
        <w:widowControl/>
        <w:jc w:val="left"/>
        <w:rPr>
          <w:rFonts w:ascii="黑体" w:eastAsia="黑体"/>
          <w:color w:val="000000"/>
          <w:sz w:val="32"/>
          <w:szCs w:val="32"/>
        </w:rPr>
      </w:pPr>
    </w:p>
    <w:p w14:paraId="1A04C33A">
      <w:pPr>
        <w:pStyle w:val="3"/>
        <w:rPr>
          <w:rStyle w:val="27"/>
          <w:rFonts w:ascii="仿宋" w:hAnsi="仿宋" w:eastAsia="仿宋"/>
          <w:b w:val="0"/>
          <w:bCs w:val="0"/>
        </w:rPr>
      </w:pPr>
      <w:bookmarkStart w:id="18" w:name="_Toc15377197"/>
      <w:bookmarkStart w:id="19" w:name="_Toc7631"/>
      <w:bookmarkStart w:id="20"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8"/>
      <w:bookmarkEnd w:id="19"/>
      <w:bookmarkEnd w:id="20"/>
    </w:p>
    <w:p w14:paraId="166B2B7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1" w:name="_Toc15377198"/>
      <w:bookmarkStart w:id="22" w:name="_Toc6013"/>
      <w:bookmarkStart w:id="23" w:name="_Toc15378445"/>
      <w:r>
        <w:rPr>
          <w:rFonts w:hint="eastAsia" w:ascii="仿宋" w:hAnsi="仿宋" w:eastAsia="仿宋"/>
          <w:bCs/>
          <w:color w:val="000000"/>
          <w:sz w:val="32"/>
          <w:szCs w:val="32"/>
        </w:rPr>
        <w:t>（一）主要职能。</w:t>
      </w:r>
      <w:bookmarkEnd w:id="21"/>
      <w:bookmarkEnd w:id="22"/>
      <w:bookmarkEnd w:id="23"/>
      <w:bookmarkStart w:id="24" w:name="_Toc15378446"/>
      <w:bookmarkStart w:id="25" w:name="_Toc15377199"/>
    </w:p>
    <w:p w14:paraId="5959843E">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 xml:space="preserve"> </w:t>
      </w:r>
      <w:r>
        <w:rPr>
          <w:rFonts w:hint="eastAsia" w:ascii="仿宋_GB2312" w:hAnsi="宋体" w:eastAsia="仿宋_GB2312"/>
          <w:sz w:val="30"/>
          <w:szCs w:val="30"/>
        </w:rPr>
        <w:t>依据《中华人民共和国建筑法》《安全生产法》、国务院《建设工程质量管理条例》、《建设工程安全生产管理条例》等法律、法规、规章，按工程建设标准、规范、规程、审查合格的施工图设计文件，对我区行政区域内房屋建筑和市政基础设施的工程质量和施工现场安全生产文明施工进行强制性监督管理。</w:t>
      </w:r>
    </w:p>
    <w:p w14:paraId="1041E593">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6" w:name="_Toc23681"/>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4"/>
      <w:bookmarkEnd w:id="25"/>
      <w:bookmarkEnd w:id="26"/>
    </w:p>
    <w:p w14:paraId="35C51690">
      <w:pPr>
        <w:pStyle w:val="5"/>
        <w:adjustRightInd w:val="0"/>
        <w:snapToGrid w:val="0"/>
        <w:spacing w:before="93" w:line="600" w:lineRule="exact"/>
        <w:ind w:firstLine="675" w:firstLineChars="210"/>
        <w:outlineLvl w:val="2"/>
        <w:rPr>
          <w:rFonts w:hint="eastAsia" w:ascii="仿宋" w:hAnsi="仿宋" w:eastAsia="仿宋"/>
          <w:bCs/>
          <w:color w:val="000000"/>
          <w:sz w:val="32"/>
          <w:szCs w:val="32"/>
        </w:rPr>
      </w:pPr>
      <w:bookmarkStart w:id="27" w:name="_Toc18108"/>
      <w:r>
        <w:rPr>
          <w:rFonts w:hint="eastAsia" w:ascii="仿宋_GB2312" w:eastAsia="仿宋_GB2312"/>
          <w:b/>
          <w:color w:val="000000"/>
          <w:sz w:val="32"/>
          <w:szCs w:val="32"/>
        </w:rPr>
        <w:t>一是</w:t>
      </w:r>
      <w:r>
        <w:rPr>
          <w:rFonts w:ascii="仿宋_GB2312" w:eastAsia="仿宋_GB2312"/>
          <w:color w:val="000000"/>
          <w:sz w:val="32"/>
          <w:szCs w:val="32"/>
        </w:rPr>
        <w:t>创新建筑工程质量安全监督管理办法，提高监督工作效率，实行质量、安全、环保监督一体化，一次检查，三项覆盖</w:t>
      </w:r>
      <w:r>
        <w:rPr>
          <w:rFonts w:hint="eastAsia" w:ascii="仿宋_GB2312" w:eastAsia="仿宋_GB2312"/>
          <w:color w:val="000000"/>
          <w:sz w:val="32"/>
          <w:szCs w:val="32"/>
        </w:rPr>
        <w:t>，除开展日常监督检查外，开展质量安全环保专项检查18次，完成53个单位工程主体结构验收，38个单位工程竣工验收，工程质量验收合格率100%。</w:t>
      </w:r>
      <w:r>
        <w:rPr>
          <w:rFonts w:hint="eastAsia" w:ascii="仿宋_GB2312" w:eastAsia="仿宋_GB2312"/>
          <w:b/>
          <w:color w:val="000000"/>
          <w:sz w:val="32"/>
          <w:szCs w:val="32"/>
        </w:rPr>
        <w:t>二是</w:t>
      </w:r>
      <w:r>
        <w:rPr>
          <w:rFonts w:hint="eastAsia" w:ascii="仿宋_GB2312" w:eastAsia="仿宋_GB2312"/>
          <w:color w:val="000000"/>
          <w:sz w:val="32"/>
          <w:szCs w:val="32"/>
        </w:rPr>
        <w:t>开展安全生产大检查10余次，特别是国庆期间，下发了《仁和区住建行业“防风险、保平安、迎大庆”安全生产专项整治工作方案》，组织全区建筑企业、在建项目责任单位召开现场工作部署会传达国庆期间安全生产要求，并落实值班值守制度，安排值班组每天对辖区在建项目开展巡查、检查，确保</w:t>
      </w:r>
      <w:r>
        <w:rPr>
          <w:rFonts w:hint="eastAsia"/>
          <w:color w:val="000000"/>
          <w:sz w:val="32"/>
          <w:szCs w:val="32"/>
          <w:lang w:eastAsia="zh-CN"/>
        </w:rPr>
        <w:t>中华人民共和国</w:t>
      </w:r>
      <w:r>
        <w:rPr>
          <w:rFonts w:hint="eastAsia" w:ascii="仿宋_GB2312" w:eastAsia="仿宋_GB2312"/>
          <w:color w:val="000000"/>
          <w:sz w:val="32"/>
          <w:szCs w:val="32"/>
        </w:rPr>
        <w:t>七十华诞零安全事故。</w:t>
      </w:r>
      <w:r>
        <w:rPr>
          <w:rFonts w:hint="eastAsia" w:ascii="仿宋_GB2312" w:eastAsia="仿宋_GB2312"/>
          <w:b/>
          <w:color w:val="000000"/>
          <w:sz w:val="32"/>
          <w:szCs w:val="32"/>
        </w:rPr>
        <w:t>三是</w:t>
      </w:r>
      <w:r>
        <w:rPr>
          <w:rFonts w:hint="eastAsia" w:ascii="仿宋_GB2312" w:eastAsia="仿宋_GB2312"/>
          <w:color w:val="000000"/>
          <w:sz w:val="32"/>
          <w:szCs w:val="32"/>
        </w:rPr>
        <w:t>整治噪音污染，开通24小时噪音投诉电话，接到投诉立即处理，截</w:t>
      </w:r>
      <w:r>
        <w:rPr>
          <w:rFonts w:hint="eastAsia"/>
          <w:color w:val="000000"/>
          <w:sz w:val="32"/>
          <w:szCs w:val="32"/>
          <w:lang w:eastAsia="zh-CN"/>
        </w:rPr>
        <w:t>至</w:t>
      </w:r>
      <w:r>
        <w:rPr>
          <w:rFonts w:hint="eastAsia" w:ascii="仿宋_GB2312" w:eastAsia="仿宋_GB2312"/>
          <w:color w:val="000000"/>
          <w:sz w:val="32"/>
          <w:szCs w:val="32"/>
        </w:rPr>
        <w:t>目前已处理噪音投诉200余件，投诉者回访满意度100%，为市民营造了宜居的城市环境。</w:t>
      </w:r>
      <w:bookmarkEnd w:id="27"/>
    </w:p>
    <w:p w14:paraId="7F26B946">
      <w:pPr>
        <w:pStyle w:val="3"/>
        <w:rPr>
          <w:rStyle w:val="27"/>
          <w:b w:val="0"/>
          <w:bCs w:val="0"/>
        </w:rPr>
      </w:pPr>
      <w:bookmarkStart w:id="28" w:name="_Toc11745"/>
      <w:bookmarkStart w:id="29" w:name="_Toc15377200"/>
      <w:bookmarkStart w:id="30"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8"/>
      <w:bookmarkEnd w:id="29"/>
      <w:bookmarkEnd w:id="30"/>
    </w:p>
    <w:p w14:paraId="15C8EE17">
      <w:pPr>
        <w:ind w:firstLine="800" w:firstLineChars="250"/>
        <w:rPr>
          <w:rFonts w:ascii="仿宋" w:hAnsi="仿宋" w:eastAsia="仿宋"/>
          <w:sz w:val="32"/>
          <w:szCs w:val="32"/>
        </w:rPr>
      </w:pPr>
      <w:r>
        <w:rPr>
          <w:rFonts w:hint="eastAsia" w:ascii="仿宋_GB2312" w:hAnsi="仿宋" w:eastAsia="仿宋_GB2312"/>
          <w:sz w:val="32"/>
          <w:szCs w:val="32"/>
        </w:rPr>
        <w:t>仁和区建筑工程质量安分监督站是仁和区住房和城乡建设局二级</w:t>
      </w:r>
      <w:r>
        <w:rPr>
          <w:rFonts w:hint="eastAsia" w:ascii="仿宋_GB2312" w:hAnsi="仿宋" w:eastAsia="仿宋_GB2312"/>
          <w:sz w:val="32"/>
          <w:szCs w:val="32"/>
          <w:lang w:eastAsia="zh-CN"/>
        </w:rPr>
        <w:t>事业</w:t>
      </w:r>
      <w:r>
        <w:rPr>
          <w:rFonts w:hint="eastAsia" w:ascii="仿宋_GB2312" w:hAnsi="仿宋" w:eastAsia="仿宋_GB2312"/>
          <w:sz w:val="32"/>
          <w:szCs w:val="32"/>
        </w:rPr>
        <w:t>单位。</w:t>
      </w:r>
    </w:p>
    <w:p w14:paraId="2A7AC71C">
      <w:pPr>
        <w:pStyle w:val="5"/>
        <w:adjustRightInd w:val="0"/>
        <w:snapToGrid w:val="0"/>
        <w:spacing w:before="93" w:line="600" w:lineRule="exact"/>
        <w:ind w:firstLine="1120" w:firstLineChars="350"/>
        <w:rPr>
          <w:rFonts w:ascii="仿宋" w:hAnsi="仿宋" w:eastAsia="仿宋"/>
          <w:color w:val="000000"/>
          <w:sz w:val="32"/>
          <w:szCs w:val="32"/>
        </w:rPr>
      </w:pPr>
      <w:r>
        <w:rPr>
          <w:rFonts w:hint="eastAsia" w:ascii="仿宋" w:hAnsi="仿宋" w:eastAsia="仿宋"/>
          <w:color w:val="000000"/>
          <w:sz w:val="32"/>
          <w:szCs w:val="32"/>
        </w:rPr>
        <w:t>纳入2019年度部门决算编制范围的二级预算单位</w:t>
      </w:r>
      <w:r>
        <w:rPr>
          <w:rFonts w:hint="eastAsia" w:ascii="仿宋" w:hAnsi="仿宋" w:eastAsia="仿宋"/>
          <w:color w:val="000000"/>
          <w:sz w:val="32"/>
          <w:szCs w:val="32"/>
          <w:lang w:eastAsia="zh-CN"/>
        </w:rPr>
        <w:t>：攀枝花市仁和区建设工程质量安全监督站。</w:t>
      </w:r>
    </w:p>
    <w:p w14:paraId="67A2DEF7">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5B082E66">
      <w:pPr>
        <w:pStyle w:val="2"/>
        <w:ind w:right="440"/>
        <w:jc w:val="right"/>
        <w:rPr>
          <w:rStyle w:val="26"/>
          <w:rFonts w:ascii="黑体" w:hAnsi="黑体" w:eastAsia="黑体"/>
          <w:b w:val="0"/>
          <w:bCs w:val="0"/>
        </w:rPr>
      </w:pPr>
      <w:bookmarkStart w:id="31" w:name="_Toc15377204"/>
      <w:bookmarkStart w:id="32" w:name="_Toc20961"/>
      <w:bookmarkStart w:id="3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31"/>
      <w:bookmarkEnd w:id="32"/>
      <w:bookmarkEnd w:id="33"/>
    </w:p>
    <w:p w14:paraId="2866B8E5"/>
    <w:p w14:paraId="432E1B66">
      <w:pPr>
        <w:pStyle w:val="25"/>
        <w:numPr>
          <w:ilvl w:val="0"/>
          <w:numId w:val="1"/>
        </w:numPr>
        <w:spacing w:line="600" w:lineRule="exact"/>
        <w:ind w:firstLineChars="0"/>
        <w:outlineLvl w:val="1"/>
        <w:rPr>
          <w:rStyle w:val="27"/>
          <w:rFonts w:ascii="黑体" w:hAnsi="黑体" w:eastAsia="黑体"/>
          <w:b w:val="0"/>
        </w:rPr>
      </w:pPr>
      <w:bookmarkStart w:id="34" w:name="_Toc14534"/>
      <w:bookmarkStart w:id="35" w:name="_Toc15396603"/>
      <w:bookmarkStart w:id="36"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4"/>
      <w:bookmarkEnd w:id="35"/>
      <w:bookmarkEnd w:id="36"/>
    </w:p>
    <w:p w14:paraId="4D012BF2">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189.53</w:t>
      </w:r>
      <w:r>
        <w:rPr>
          <w:rFonts w:hint="eastAsia" w:ascii="仿宋" w:hAnsi="仿宋" w:eastAsia="仿宋"/>
          <w:color w:val="000000"/>
          <w:sz w:val="32"/>
          <w:szCs w:val="32"/>
        </w:rPr>
        <w:t>万元。与2018年相比，增加</w:t>
      </w:r>
      <w:r>
        <w:rPr>
          <w:rFonts w:hint="eastAsia" w:ascii="仿宋" w:hAnsi="仿宋" w:eastAsia="仿宋"/>
          <w:color w:val="000000"/>
          <w:sz w:val="32"/>
          <w:szCs w:val="32"/>
          <w:lang w:val="en-US" w:eastAsia="zh-CN"/>
        </w:rPr>
        <w:t>5.69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工资福利支出和项目工作经费增加。</w:t>
      </w:r>
    </w:p>
    <w:p w14:paraId="42BD4C7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276725" cy="1682115"/>
            <wp:effectExtent l="0" t="0" r="952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276725" cy="1682115"/>
                    </a:xfrm>
                    <a:prstGeom prst="rect">
                      <a:avLst/>
                    </a:prstGeom>
                    <a:noFill/>
                    <a:ln w="9525">
                      <a:noFill/>
                    </a:ln>
                  </pic:spPr>
                </pic:pic>
              </a:graphicData>
            </a:graphic>
          </wp:inline>
        </w:drawing>
      </w:r>
    </w:p>
    <w:p w14:paraId="291848E2">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189.46</w:t>
      </w:r>
      <w:r>
        <w:rPr>
          <w:rFonts w:hint="eastAsia" w:ascii="仿宋" w:hAnsi="仿宋" w:eastAsia="仿宋"/>
          <w:color w:val="000000"/>
          <w:sz w:val="32"/>
          <w:szCs w:val="32"/>
        </w:rPr>
        <w:t>万元。与2018年相比，增加</w:t>
      </w:r>
      <w:r>
        <w:rPr>
          <w:rFonts w:hint="eastAsia" w:ascii="仿宋" w:hAnsi="仿宋" w:eastAsia="仿宋"/>
          <w:color w:val="000000"/>
          <w:sz w:val="32"/>
          <w:szCs w:val="32"/>
          <w:lang w:val="en-US" w:eastAsia="zh-CN"/>
        </w:rPr>
        <w:t>5.62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。主要变动原因是主要变动原因是</w:t>
      </w:r>
      <w:r>
        <w:rPr>
          <w:rFonts w:hint="eastAsia" w:ascii="仿宋" w:hAnsi="仿宋" w:eastAsia="仿宋"/>
          <w:color w:val="000000"/>
          <w:sz w:val="32"/>
          <w:szCs w:val="32"/>
          <w:lang w:eastAsia="zh-CN"/>
        </w:rPr>
        <w:t>工资福利支出和项目工作经费增加。</w:t>
      </w:r>
    </w:p>
    <w:p w14:paraId="7B60F4BB">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371850" cy="1831975"/>
            <wp:effectExtent l="0" t="0" r="0" b="158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3371850" cy="1831975"/>
                    </a:xfrm>
                    <a:prstGeom prst="rect">
                      <a:avLst/>
                    </a:prstGeom>
                    <a:noFill/>
                    <a:ln w="9525">
                      <a:noFill/>
                    </a:ln>
                  </pic:spPr>
                </pic:pic>
              </a:graphicData>
            </a:graphic>
          </wp:inline>
        </w:drawing>
      </w:r>
    </w:p>
    <w:p w14:paraId="69E2E7D5">
      <w:pPr>
        <w:pStyle w:val="25"/>
        <w:numPr>
          <w:ilvl w:val="0"/>
          <w:numId w:val="1"/>
        </w:numPr>
        <w:spacing w:line="600" w:lineRule="exact"/>
        <w:ind w:firstLineChars="0"/>
        <w:outlineLvl w:val="1"/>
        <w:rPr>
          <w:rStyle w:val="27"/>
          <w:rFonts w:ascii="黑体" w:hAnsi="黑体" w:eastAsia="黑体"/>
          <w:b w:val="0"/>
        </w:rPr>
      </w:pPr>
      <w:bookmarkStart w:id="37" w:name="_Toc15396604"/>
      <w:bookmarkStart w:id="38" w:name="_Toc11735"/>
      <w:bookmarkStart w:id="39"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7"/>
      <w:bookmarkEnd w:id="38"/>
      <w:bookmarkEnd w:id="39"/>
    </w:p>
    <w:p w14:paraId="00792723">
      <w:pPr>
        <w:spacing w:line="600" w:lineRule="exact"/>
        <w:ind w:firstLine="640" w:firstLineChars="200"/>
        <w:outlineLvl w:val="1"/>
        <w:rPr>
          <w:rFonts w:ascii="仿宋" w:hAnsi="仿宋" w:eastAsia="仿宋"/>
          <w:color w:val="000000"/>
          <w:sz w:val="32"/>
          <w:szCs w:val="32"/>
        </w:rPr>
      </w:pPr>
      <w:bookmarkStart w:id="40" w:name="_Toc10778"/>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189.53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189.53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End w:id="40"/>
    </w:p>
    <w:p w14:paraId="541679CE">
      <w:pPr>
        <w:spacing w:line="600" w:lineRule="exact"/>
        <w:ind w:firstLine="640" w:firstLineChars="200"/>
        <w:outlineLvl w:val="1"/>
        <w:rPr>
          <w:rFonts w:ascii="仿宋" w:hAnsi="仿宋" w:eastAsia="仿宋"/>
          <w:color w:val="000000"/>
          <w:sz w:val="32"/>
          <w:szCs w:val="32"/>
        </w:rPr>
      </w:pPr>
    </w:p>
    <w:p w14:paraId="75F9F250">
      <w:pPr>
        <w:spacing w:line="600" w:lineRule="exact"/>
        <w:ind w:firstLine="640" w:firstLineChars="200"/>
        <w:rPr>
          <w:rFonts w:hint="eastAsia" w:ascii="仿宋" w:hAnsi="仿宋" w:eastAsia="仿宋"/>
          <w:color w:val="000000" w:themeColor="text1"/>
          <w:sz w:val="32"/>
          <w:szCs w:val="32"/>
        </w:rPr>
      </w:pPr>
    </w:p>
    <w:p w14:paraId="36E9F61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295525" cy="14478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1"/>
                    <a:stretch>
                      <a:fillRect/>
                    </a:stretch>
                  </pic:blipFill>
                  <pic:spPr>
                    <a:xfrm>
                      <a:off x="0" y="0"/>
                      <a:ext cx="2295525" cy="1447800"/>
                    </a:xfrm>
                    <a:prstGeom prst="rect">
                      <a:avLst/>
                    </a:prstGeom>
                    <a:noFill/>
                    <a:ln w="9525">
                      <a:noFill/>
                    </a:ln>
                  </pic:spPr>
                </pic:pic>
              </a:graphicData>
            </a:graphic>
          </wp:inline>
        </w:drawing>
      </w:r>
    </w:p>
    <w:p w14:paraId="78D079BE">
      <w:pPr>
        <w:pStyle w:val="25"/>
        <w:numPr>
          <w:ilvl w:val="0"/>
          <w:numId w:val="1"/>
        </w:numPr>
        <w:spacing w:line="600" w:lineRule="exact"/>
        <w:ind w:firstLineChars="0"/>
        <w:outlineLvl w:val="1"/>
        <w:rPr>
          <w:rStyle w:val="27"/>
          <w:rFonts w:ascii="黑体" w:hAnsi="黑体" w:eastAsia="黑体"/>
          <w:b w:val="0"/>
        </w:rPr>
      </w:pPr>
      <w:bookmarkStart w:id="41" w:name="_Toc15396605"/>
      <w:bookmarkStart w:id="42" w:name="_Toc15377207"/>
      <w:bookmarkStart w:id="43" w:name="_Toc22754"/>
      <w:r>
        <w:rPr>
          <w:rFonts w:hint="eastAsia" w:ascii="黑体" w:hAnsi="黑体" w:eastAsia="黑体"/>
          <w:color w:val="000000"/>
          <w:sz w:val="32"/>
          <w:szCs w:val="32"/>
        </w:rPr>
        <w:t>支</w:t>
      </w:r>
      <w:r>
        <w:rPr>
          <w:rStyle w:val="27"/>
          <w:rFonts w:hint="eastAsia" w:ascii="黑体" w:hAnsi="黑体" w:eastAsia="黑体"/>
          <w:b w:val="0"/>
        </w:rPr>
        <w:t>出决算情况说明</w:t>
      </w:r>
      <w:bookmarkEnd w:id="41"/>
      <w:bookmarkEnd w:id="42"/>
      <w:bookmarkEnd w:id="43"/>
    </w:p>
    <w:p w14:paraId="15589EC3">
      <w:pPr>
        <w:spacing w:line="600" w:lineRule="exact"/>
        <w:ind w:firstLine="640" w:firstLineChars="200"/>
        <w:outlineLvl w:val="1"/>
        <w:rPr>
          <w:rFonts w:ascii="仿宋" w:hAnsi="仿宋" w:eastAsia="仿宋"/>
          <w:color w:val="000000"/>
          <w:sz w:val="32"/>
          <w:szCs w:val="32"/>
        </w:rPr>
      </w:pPr>
      <w:bookmarkStart w:id="44" w:name="_Toc4"/>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189.46</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170.04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19.42</w:t>
      </w:r>
      <w:r>
        <w:rPr>
          <w:rFonts w:ascii="仿宋" w:hAnsi="仿宋" w:eastAsia="仿宋"/>
          <w:color w:val="000000"/>
          <w:sz w:val="32"/>
          <w:szCs w:val="32"/>
        </w:rPr>
        <w:t>**</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w:t>
      </w:r>
      <w:r>
        <w:rPr>
          <w:rFonts w:ascii="仿宋" w:hAnsi="仿宋" w:eastAsia="仿宋"/>
          <w:color w:val="000000"/>
          <w:sz w:val="32"/>
          <w:szCs w:val="32"/>
        </w:rPr>
        <w:t>%</w:t>
      </w:r>
      <w:r>
        <w:rPr>
          <w:rFonts w:hint="eastAsia" w:ascii="仿宋" w:hAnsi="仿宋" w:eastAsia="仿宋"/>
          <w:color w:val="000000"/>
          <w:sz w:val="32"/>
          <w:szCs w:val="32"/>
        </w:rPr>
        <w:t>。</w:t>
      </w:r>
      <w:bookmarkEnd w:id="44"/>
    </w:p>
    <w:p w14:paraId="0EB55516">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315210" cy="1562735"/>
            <wp:effectExtent l="0" t="0" r="8890" b="1841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2"/>
                    <a:stretch>
                      <a:fillRect/>
                    </a:stretch>
                  </pic:blipFill>
                  <pic:spPr>
                    <a:xfrm>
                      <a:off x="0" y="0"/>
                      <a:ext cx="2315210" cy="1562735"/>
                    </a:xfrm>
                    <a:prstGeom prst="rect">
                      <a:avLst/>
                    </a:prstGeom>
                    <a:noFill/>
                    <a:ln w="9525">
                      <a:noFill/>
                    </a:ln>
                  </pic:spPr>
                </pic:pic>
              </a:graphicData>
            </a:graphic>
          </wp:inline>
        </w:drawing>
      </w:r>
    </w:p>
    <w:p w14:paraId="48F63BC2">
      <w:pPr>
        <w:spacing w:line="600" w:lineRule="exact"/>
        <w:ind w:firstLine="640" w:firstLineChars="200"/>
        <w:outlineLvl w:val="1"/>
        <w:rPr>
          <w:rStyle w:val="27"/>
          <w:rFonts w:ascii="黑体" w:hAnsi="黑体" w:eastAsia="黑体"/>
          <w:b w:val="0"/>
        </w:rPr>
      </w:pPr>
      <w:bookmarkStart w:id="45" w:name="_Toc21917"/>
      <w:bookmarkStart w:id="46" w:name="_Toc15377208"/>
      <w:bookmarkStart w:id="47"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5"/>
      <w:bookmarkEnd w:id="46"/>
      <w:bookmarkEnd w:id="47"/>
    </w:p>
    <w:p w14:paraId="21389ED6">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189.53</w:t>
      </w:r>
      <w:r>
        <w:rPr>
          <w:rFonts w:hint="eastAsia" w:ascii="仿宋" w:hAnsi="仿宋" w:eastAsia="仿宋"/>
          <w:color w:val="000000"/>
          <w:sz w:val="32"/>
          <w:szCs w:val="32"/>
        </w:rPr>
        <w:t>万元。与2018年相比，增加</w:t>
      </w:r>
      <w:r>
        <w:rPr>
          <w:rFonts w:hint="eastAsia" w:ascii="仿宋" w:hAnsi="仿宋" w:eastAsia="仿宋"/>
          <w:color w:val="000000"/>
          <w:sz w:val="32"/>
          <w:szCs w:val="32"/>
          <w:lang w:val="en-US" w:eastAsia="zh-CN"/>
        </w:rPr>
        <w:t>5.69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工资福利支出和项目工作经费增加。</w:t>
      </w:r>
    </w:p>
    <w:p w14:paraId="2BDCF70F">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838575" cy="1400175"/>
            <wp:effectExtent l="0" t="0" r="9525" b="952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13"/>
                    <a:stretch>
                      <a:fillRect/>
                    </a:stretch>
                  </pic:blipFill>
                  <pic:spPr>
                    <a:xfrm>
                      <a:off x="0" y="0"/>
                      <a:ext cx="3838575" cy="1400175"/>
                    </a:xfrm>
                    <a:prstGeom prst="rect">
                      <a:avLst/>
                    </a:prstGeom>
                    <a:noFill/>
                    <a:ln w="9525">
                      <a:noFill/>
                    </a:ln>
                  </pic:spPr>
                </pic:pic>
              </a:graphicData>
            </a:graphic>
          </wp:inline>
        </w:drawing>
      </w:r>
    </w:p>
    <w:p w14:paraId="12E13C09">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189.46</w:t>
      </w:r>
      <w:r>
        <w:rPr>
          <w:rFonts w:hint="eastAsia" w:ascii="仿宋" w:hAnsi="仿宋" w:eastAsia="仿宋"/>
          <w:color w:val="000000"/>
          <w:sz w:val="32"/>
          <w:szCs w:val="32"/>
        </w:rPr>
        <w:t>万元。与2018年相比，增加</w:t>
      </w:r>
      <w:r>
        <w:rPr>
          <w:rFonts w:hint="eastAsia" w:ascii="仿宋" w:hAnsi="仿宋" w:eastAsia="仿宋"/>
          <w:color w:val="000000"/>
          <w:sz w:val="32"/>
          <w:szCs w:val="32"/>
          <w:lang w:val="en-US" w:eastAsia="zh-CN"/>
        </w:rPr>
        <w:t>5.62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。主要变动原因是主要变动原因是</w:t>
      </w:r>
      <w:r>
        <w:rPr>
          <w:rFonts w:hint="eastAsia" w:ascii="仿宋" w:hAnsi="仿宋" w:eastAsia="仿宋"/>
          <w:color w:val="000000"/>
          <w:sz w:val="32"/>
          <w:szCs w:val="32"/>
          <w:lang w:eastAsia="zh-CN"/>
        </w:rPr>
        <w:t>工资福利支出和项目工作经费增加。</w:t>
      </w:r>
    </w:p>
    <w:p w14:paraId="159F9EE6">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363595" cy="1263015"/>
            <wp:effectExtent l="0" t="0" r="8255" b="13335"/>
            <wp:docPr id="1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1"/>
                    </pic:cNvPicPr>
                  </pic:nvPicPr>
                  <pic:blipFill>
                    <a:blip r:embed="rId14"/>
                    <a:stretch>
                      <a:fillRect/>
                    </a:stretch>
                  </pic:blipFill>
                  <pic:spPr>
                    <a:xfrm>
                      <a:off x="0" y="0"/>
                      <a:ext cx="3363595" cy="1263015"/>
                    </a:xfrm>
                    <a:prstGeom prst="rect">
                      <a:avLst/>
                    </a:prstGeom>
                    <a:noFill/>
                    <a:ln w="9525">
                      <a:noFill/>
                    </a:ln>
                  </pic:spPr>
                </pic:pic>
              </a:graphicData>
            </a:graphic>
          </wp:inline>
        </w:drawing>
      </w:r>
    </w:p>
    <w:p w14:paraId="01A526D2">
      <w:pPr>
        <w:spacing w:line="600" w:lineRule="exact"/>
        <w:ind w:firstLine="640" w:firstLineChars="200"/>
        <w:outlineLvl w:val="1"/>
        <w:rPr>
          <w:rStyle w:val="27"/>
          <w:rFonts w:ascii="黑体" w:hAnsi="黑体" w:eastAsia="黑体"/>
          <w:b w:val="0"/>
        </w:rPr>
      </w:pPr>
      <w:bookmarkStart w:id="48" w:name="_Toc899"/>
      <w:bookmarkStart w:id="49" w:name="_Toc15377209"/>
      <w:bookmarkStart w:id="50"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8"/>
      <w:bookmarkEnd w:id="49"/>
      <w:bookmarkEnd w:id="50"/>
    </w:p>
    <w:p w14:paraId="2B86A3AA">
      <w:pPr>
        <w:spacing w:line="600" w:lineRule="exact"/>
        <w:ind w:firstLine="643" w:firstLineChars="200"/>
        <w:outlineLvl w:val="2"/>
        <w:rPr>
          <w:rFonts w:ascii="仿宋" w:hAnsi="仿宋" w:eastAsia="仿宋"/>
          <w:b/>
          <w:color w:val="000000"/>
          <w:sz w:val="32"/>
          <w:szCs w:val="32"/>
        </w:rPr>
      </w:pPr>
      <w:bookmarkStart w:id="51" w:name="_Toc32435"/>
      <w:bookmarkStart w:id="52" w:name="_Toc15377210"/>
      <w:r>
        <w:rPr>
          <w:rFonts w:hint="eastAsia" w:ascii="仿宋" w:hAnsi="仿宋" w:eastAsia="仿宋"/>
          <w:b/>
          <w:color w:val="000000"/>
          <w:sz w:val="32"/>
          <w:szCs w:val="32"/>
        </w:rPr>
        <w:t>（一）一般公共预算财政拨款支出决算总体情况</w:t>
      </w:r>
      <w:bookmarkEnd w:id="51"/>
      <w:bookmarkEnd w:id="52"/>
    </w:p>
    <w:p w14:paraId="339B234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189.46</w:t>
      </w:r>
      <w:r>
        <w:rPr>
          <w:rFonts w:hint="eastAsia" w:ascii="仿宋" w:hAnsi="仿宋" w:eastAsia="仿宋"/>
          <w:color w:val="000000"/>
          <w:sz w:val="32"/>
          <w:szCs w:val="32"/>
        </w:rPr>
        <w:t>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5.62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。主要变动原因是主要变动原因是</w:t>
      </w:r>
      <w:r>
        <w:rPr>
          <w:rFonts w:hint="eastAsia" w:ascii="仿宋" w:hAnsi="仿宋" w:eastAsia="仿宋"/>
          <w:color w:val="000000"/>
          <w:sz w:val="32"/>
          <w:szCs w:val="32"/>
          <w:lang w:eastAsia="zh-CN"/>
        </w:rPr>
        <w:t>工资福利支出和项目工作经费增加。</w:t>
      </w:r>
    </w:p>
    <w:p w14:paraId="5D2A59B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600960" cy="2052320"/>
            <wp:effectExtent l="0" t="0" r="8890" b="5080"/>
            <wp:docPr id="1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56"/>
                    <pic:cNvPicPr>
                      <a:picLocks noChangeAspect="1"/>
                    </pic:cNvPicPr>
                  </pic:nvPicPr>
                  <pic:blipFill>
                    <a:blip r:embed="rId15"/>
                    <a:stretch>
                      <a:fillRect/>
                    </a:stretch>
                  </pic:blipFill>
                  <pic:spPr>
                    <a:xfrm>
                      <a:off x="0" y="0"/>
                      <a:ext cx="2600960" cy="2052320"/>
                    </a:xfrm>
                    <a:prstGeom prst="rect">
                      <a:avLst/>
                    </a:prstGeom>
                    <a:noFill/>
                    <a:ln w="9525">
                      <a:noFill/>
                    </a:ln>
                  </pic:spPr>
                </pic:pic>
              </a:graphicData>
            </a:graphic>
          </wp:inline>
        </w:drawing>
      </w:r>
    </w:p>
    <w:p w14:paraId="72096009">
      <w:pPr>
        <w:spacing w:line="600" w:lineRule="exact"/>
        <w:ind w:firstLine="643" w:firstLineChars="200"/>
        <w:outlineLvl w:val="2"/>
        <w:rPr>
          <w:rFonts w:ascii="仿宋" w:hAnsi="仿宋" w:eastAsia="仿宋"/>
          <w:b/>
          <w:color w:val="000000"/>
          <w:sz w:val="32"/>
          <w:szCs w:val="32"/>
        </w:rPr>
      </w:pPr>
      <w:bookmarkStart w:id="53" w:name="_Toc15377211"/>
      <w:bookmarkStart w:id="54" w:name="_Toc2990"/>
      <w:r>
        <w:rPr>
          <w:rFonts w:hint="eastAsia" w:ascii="仿宋" w:hAnsi="仿宋" w:eastAsia="仿宋"/>
          <w:b/>
          <w:color w:val="000000"/>
          <w:sz w:val="32"/>
          <w:szCs w:val="32"/>
        </w:rPr>
        <w:t>（二）一般公共预算财政拨款支出决算结构情况</w:t>
      </w:r>
      <w:bookmarkEnd w:id="53"/>
      <w:bookmarkEnd w:id="54"/>
    </w:p>
    <w:p w14:paraId="5B5808D9">
      <w:pPr>
        <w:spacing w:line="600" w:lineRule="exact"/>
        <w:ind w:firstLine="640"/>
        <w:rPr>
          <w:rStyle w:val="15"/>
          <w:rFonts w:hint="eastAsia" w:ascii="仿宋" w:hAnsi="仿宋" w:eastAsia="仿宋"/>
          <w:b w:val="0"/>
          <w:bCs/>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189.46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lang w:val="en-US" w:eastAsia="zh-CN"/>
        </w:rPr>
        <w:t>社会保障和就业支出13.26万元，占7%；卫生健康支出7.32万元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城乡社区支出</w:t>
      </w:r>
      <w:r>
        <w:rPr>
          <w:rFonts w:hint="eastAsia" w:ascii="仿宋" w:hAnsi="仿宋" w:eastAsia="仿宋"/>
          <w:color w:val="000000" w:themeColor="text1"/>
          <w:sz w:val="32"/>
          <w:szCs w:val="32"/>
          <w:lang w:val="en-US" w:eastAsia="zh-CN"/>
        </w:rPr>
        <w:t>152.66万元，占80%；</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16.22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9</w:t>
      </w:r>
      <w:r>
        <w:rPr>
          <w:rFonts w:ascii="仿宋" w:hAnsi="仿宋" w:eastAsia="仿宋"/>
          <w:color w:val="000000" w:themeColor="text1"/>
          <w:sz w:val="32"/>
          <w:szCs w:val="32"/>
        </w:rPr>
        <w:t>%</w:t>
      </w:r>
      <w:r>
        <w:rPr>
          <w:rStyle w:val="15"/>
          <w:rFonts w:hint="eastAsia" w:ascii="仿宋" w:hAnsi="仿宋" w:eastAsia="仿宋"/>
          <w:b w:val="0"/>
          <w:bCs/>
          <w:color w:val="000000"/>
          <w:sz w:val="32"/>
          <w:szCs w:val="32"/>
        </w:rPr>
        <w:t>。</w:t>
      </w:r>
    </w:p>
    <w:p w14:paraId="3752D6B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971925" cy="1590675"/>
            <wp:effectExtent l="0" t="0" r="9525" b="9525"/>
            <wp:docPr id="1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6"/>
                    <pic:cNvPicPr>
                      <a:picLocks noChangeAspect="1"/>
                    </pic:cNvPicPr>
                  </pic:nvPicPr>
                  <pic:blipFill>
                    <a:blip r:embed="rId16"/>
                    <a:stretch>
                      <a:fillRect/>
                    </a:stretch>
                  </pic:blipFill>
                  <pic:spPr>
                    <a:xfrm>
                      <a:off x="0" y="0"/>
                      <a:ext cx="3971925" cy="1590675"/>
                    </a:xfrm>
                    <a:prstGeom prst="rect">
                      <a:avLst/>
                    </a:prstGeom>
                    <a:noFill/>
                    <a:ln w="9525">
                      <a:noFill/>
                    </a:ln>
                  </pic:spPr>
                </pic:pic>
              </a:graphicData>
            </a:graphic>
          </wp:inline>
        </w:drawing>
      </w:r>
    </w:p>
    <w:p w14:paraId="158B7F92">
      <w:pPr>
        <w:spacing w:line="600" w:lineRule="exact"/>
        <w:ind w:firstLine="643" w:firstLineChars="200"/>
        <w:outlineLvl w:val="2"/>
        <w:rPr>
          <w:rFonts w:ascii="仿宋" w:hAnsi="仿宋" w:eastAsia="仿宋"/>
          <w:b/>
          <w:color w:val="000000"/>
          <w:sz w:val="32"/>
          <w:szCs w:val="32"/>
        </w:rPr>
      </w:pPr>
      <w:bookmarkStart w:id="55" w:name="_Toc394"/>
      <w:bookmarkStart w:id="56" w:name="_Toc15377212"/>
      <w:r>
        <w:rPr>
          <w:rFonts w:hint="eastAsia" w:ascii="仿宋" w:hAnsi="仿宋" w:eastAsia="仿宋"/>
          <w:b/>
          <w:color w:val="000000"/>
          <w:sz w:val="32"/>
          <w:szCs w:val="32"/>
        </w:rPr>
        <w:t>（三）一般公共预算财政拨款支出决算具体情况</w:t>
      </w:r>
      <w:bookmarkEnd w:id="55"/>
      <w:bookmarkEnd w:id="56"/>
    </w:p>
    <w:p w14:paraId="6AEE7FF8">
      <w:pPr>
        <w:spacing w:line="600" w:lineRule="exact"/>
        <w:ind w:firstLine="643" w:firstLineChars="200"/>
        <w:outlineLvl w:val="2"/>
        <w:rPr>
          <w:rFonts w:ascii="仿宋" w:hAnsi="仿宋" w:eastAsia="仿宋"/>
          <w:color w:val="FF0000"/>
          <w:sz w:val="32"/>
          <w:szCs w:val="32"/>
        </w:rPr>
      </w:pPr>
      <w:bookmarkStart w:id="57" w:name="_Toc15377213"/>
      <w:bookmarkStart w:id="58" w:name="_Toc16443"/>
      <w:bookmarkStart w:id="59" w:name="_Toc15377444"/>
      <w:bookmarkStart w:id="60" w:name="_Toc15378460"/>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189.46万元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99.96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57"/>
      <w:bookmarkEnd w:id="58"/>
      <w:bookmarkEnd w:id="59"/>
      <w:bookmarkEnd w:id="60"/>
    </w:p>
    <w:p w14:paraId="73E1BED9">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社会保障和就业</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13.26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528D3CA">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7.32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DB1CDB7">
      <w:pPr>
        <w:keepNext w:val="0"/>
        <w:keepLines w:val="0"/>
        <w:widowControl/>
        <w:suppressLineNumbers w:val="0"/>
        <w:ind w:firstLine="643" w:firstLineChars="200"/>
        <w:jc w:val="left"/>
        <w:rPr>
          <w:rStyle w:val="15"/>
          <w:rFonts w:hint="eastAsia" w:ascii="仿宋" w:hAnsi="仿宋" w:eastAsia="仿宋"/>
          <w:b w:val="0"/>
          <w:bCs/>
          <w:color w:val="000000"/>
          <w:sz w:val="32"/>
          <w:szCs w:val="32"/>
        </w:rPr>
      </w:pPr>
      <w:r>
        <w:rPr>
          <w:rFonts w:hint="eastAsia" w:ascii="仿宋" w:hAnsi="仿宋" w:eastAsia="仿宋"/>
          <w:b/>
          <w:color w:val="auto"/>
          <w:sz w:val="32"/>
          <w:szCs w:val="32"/>
          <w:lang w:val="en-US" w:eastAsia="zh-CN"/>
        </w:rPr>
        <w:t>3.城乡社区支出：</w:t>
      </w:r>
      <w:r>
        <w:rPr>
          <w:rStyle w:val="15"/>
          <w:rFonts w:hint="eastAsia" w:ascii="仿宋" w:hAnsi="仿宋" w:eastAsia="仿宋"/>
          <w:b w:val="0"/>
          <w:bCs/>
          <w:color w:val="auto"/>
          <w:sz w:val="32"/>
          <w:szCs w:val="32"/>
        </w:rPr>
        <w:t>支</w:t>
      </w:r>
      <w:r>
        <w:rPr>
          <w:rStyle w:val="15"/>
          <w:rFonts w:hint="eastAsia" w:ascii="仿宋" w:hAnsi="仿宋" w:eastAsia="仿宋"/>
          <w:b w:val="0"/>
          <w:bCs/>
          <w:color w:val="000000"/>
          <w:sz w:val="32"/>
          <w:szCs w:val="32"/>
        </w:rPr>
        <w:t>出决算为</w:t>
      </w:r>
      <w:r>
        <w:rPr>
          <w:rStyle w:val="15"/>
          <w:rFonts w:hint="eastAsia" w:ascii="仿宋" w:hAnsi="仿宋" w:eastAsia="仿宋"/>
          <w:b w:val="0"/>
          <w:bCs/>
          <w:color w:val="000000"/>
          <w:sz w:val="32"/>
          <w:szCs w:val="32"/>
          <w:lang w:val="en-US" w:eastAsia="zh-CN"/>
        </w:rPr>
        <w:t>152.66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0B7859BF">
      <w:pPr>
        <w:spacing w:line="600" w:lineRule="exact"/>
        <w:ind w:firstLine="640" w:firstLineChars="200"/>
        <w:rPr>
          <w:rFonts w:ascii="仿宋" w:hAnsi="仿宋" w:eastAsia="仿宋"/>
          <w:b/>
          <w:color w:val="FF0000"/>
          <w:sz w:val="32"/>
          <w:szCs w:val="32"/>
        </w:rPr>
      </w:pPr>
      <w:r>
        <w:rPr>
          <w:rStyle w:val="15"/>
          <w:rFonts w:hint="eastAsia" w:ascii="仿宋" w:hAnsi="仿宋" w:eastAsia="仿宋"/>
          <w:b w:val="0"/>
          <w:bCs/>
          <w:color w:val="000000"/>
          <w:sz w:val="32"/>
          <w:szCs w:val="32"/>
          <w:lang w:val="en-US" w:eastAsia="zh-CN"/>
        </w:rPr>
        <w:t>4.住房保障支出：</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16.22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03887CD">
      <w:pPr>
        <w:tabs>
          <w:tab w:val="right" w:pos="8306"/>
        </w:tabs>
        <w:spacing w:line="600" w:lineRule="exact"/>
        <w:ind w:firstLine="640"/>
        <w:outlineLvl w:val="1"/>
        <w:rPr>
          <w:rStyle w:val="27"/>
        </w:rPr>
      </w:pPr>
      <w:bookmarkStart w:id="61" w:name="_Toc15377214"/>
      <w:bookmarkStart w:id="62" w:name="_Toc32582"/>
      <w:bookmarkStart w:id="6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1"/>
      <w:bookmarkEnd w:id="62"/>
      <w:bookmarkEnd w:id="63"/>
      <w:r>
        <w:rPr>
          <w:rStyle w:val="27"/>
          <w:rFonts w:ascii="黑体" w:hAnsi="黑体" w:eastAsia="黑体"/>
          <w:b w:val="0"/>
        </w:rPr>
        <w:tab/>
      </w:r>
    </w:p>
    <w:p w14:paraId="7C578277">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189.46</w:t>
      </w:r>
      <w:r>
        <w:rPr>
          <w:rFonts w:hint="eastAsia" w:ascii="仿宋" w:hAnsi="仿宋" w:eastAsia="仿宋"/>
          <w:color w:val="000000"/>
          <w:sz w:val="32"/>
          <w:szCs w:val="32"/>
        </w:rPr>
        <w:t>万元，其中：</w:t>
      </w:r>
    </w:p>
    <w:p w14:paraId="437E082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162.36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7.68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其他商品和服务支出等。</w:t>
      </w:r>
    </w:p>
    <w:p w14:paraId="6C192424">
      <w:pPr>
        <w:spacing w:line="600" w:lineRule="exact"/>
        <w:ind w:firstLine="640"/>
        <w:outlineLvl w:val="1"/>
        <w:rPr>
          <w:rStyle w:val="27"/>
          <w:rFonts w:ascii="黑体" w:hAnsi="黑体" w:eastAsia="黑体"/>
          <w:b w:val="0"/>
        </w:rPr>
      </w:pPr>
      <w:bookmarkStart w:id="64" w:name="_Toc15396609"/>
      <w:bookmarkStart w:id="65" w:name="_Toc31997"/>
      <w:bookmarkStart w:id="66"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4"/>
      <w:bookmarkEnd w:id="65"/>
      <w:bookmarkEnd w:id="66"/>
    </w:p>
    <w:p w14:paraId="6DAB506B">
      <w:pPr>
        <w:spacing w:line="600" w:lineRule="exact"/>
        <w:ind w:firstLine="640"/>
        <w:outlineLvl w:val="2"/>
        <w:rPr>
          <w:rFonts w:ascii="仿宋" w:hAnsi="仿宋" w:eastAsia="仿宋"/>
          <w:b/>
          <w:color w:val="000000"/>
          <w:sz w:val="32"/>
          <w:szCs w:val="32"/>
        </w:rPr>
      </w:pPr>
      <w:bookmarkStart w:id="67" w:name="_Toc3777"/>
      <w:bookmarkStart w:id="68" w:name="_Toc15377216"/>
      <w:r>
        <w:rPr>
          <w:rFonts w:hint="eastAsia" w:ascii="仿宋" w:hAnsi="仿宋" w:eastAsia="仿宋"/>
          <w:b/>
          <w:color w:val="000000"/>
          <w:sz w:val="32"/>
          <w:szCs w:val="32"/>
        </w:rPr>
        <w:t>（一）“三公”经费财政拨款支出决算总体情况说明</w:t>
      </w:r>
      <w:bookmarkEnd w:id="67"/>
      <w:bookmarkEnd w:id="68"/>
    </w:p>
    <w:p w14:paraId="06C2F176">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53</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厉行节约</w:t>
      </w:r>
      <w:r>
        <w:rPr>
          <w:rFonts w:hint="eastAsia" w:ascii="仿宋" w:hAnsi="仿宋" w:eastAsia="仿宋"/>
          <w:color w:val="000000"/>
          <w:sz w:val="32"/>
          <w:szCs w:val="32"/>
        </w:rPr>
        <w:t>。</w:t>
      </w:r>
    </w:p>
    <w:p w14:paraId="18E1C988">
      <w:pPr>
        <w:spacing w:line="600" w:lineRule="exact"/>
        <w:ind w:firstLine="640"/>
        <w:outlineLvl w:val="2"/>
        <w:rPr>
          <w:rFonts w:ascii="仿宋" w:hAnsi="仿宋" w:eastAsia="仿宋"/>
          <w:b/>
          <w:color w:val="000000"/>
          <w:sz w:val="32"/>
          <w:szCs w:val="32"/>
        </w:rPr>
      </w:pPr>
      <w:bookmarkStart w:id="69" w:name="_Toc18029"/>
      <w:bookmarkStart w:id="70" w:name="_Toc15377217"/>
      <w:r>
        <w:rPr>
          <w:rFonts w:hint="eastAsia" w:ascii="仿宋" w:hAnsi="仿宋" w:eastAsia="仿宋"/>
          <w:b/>
          <w:color w:val="000000"/>
          <w:sz w:val="32"/>
          <w:szCs w:val="32"/>
        </w:rPr>
        <w:t>（二）“三公”经费财政拨款支出决算具体情况说明</w:t>
      </w:r>
      <w:bookmarkEnd w:id="69"/>
      <w:bookmarkEnd w:id="70"/>
    </w:p>
    <w:p w14:paraId="265DCAD8">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41C48F78">
      <w:pPr>
        <w:keepNext w:val="0"/>
        <w:keepLines w:val="0"/>
        <w:widowControl/>
        <w:suppressLineNumbers w:val="0"/>
        <w:jc w:val="left"/>
        <w:rPr>
          <w:rFonts w:ascii="仿宋" w:hAnsi="仿宋" w:eastAsia="仿宋"/>
          <w:color w:val="000000"/>
          <w:sz w:val="32"/>
          <w:szCs w:val="32"/>
        </w:rPr>
      </w:pPr>
      <w:r>
        <w:rPr>
          <w:rFonts w:ascii="宋体" w:hAnsi="宋体" w:eastAsia="宋体" w:cs="宋体"/>
          <w:kern w:val="0"/>
          <w:sz w:val="24"/>
          <w:szCs w:val="24"/>
          <w:lang w:val="en-US" w:eastAsia="zh-CN" w:bidi="ar"/>
        </w:rPr>
        <w:drawing>
          <wp:inline distT="0" distB="0" distL="114300" distR="114300">
            <wp:extent cx="3952875" cy="1647825"/>
            <wp:effectExtent l="0" t="0" r="9525" b="9525"/>
            <wp:docPr id="1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56"/>
                    <pic:cNvPicPr>
                      <a:picLocks noChangeAspect="1"/>
                    </pic:cNvPicPr>
                  </pic:nvPicPr>
                  <pic:blipFill>
                    <a:blip r:embed="rId17"/>
                    <a:stretch>
                      <a:fillRect/>
                    </a:stretch>
                  </pic:blipFill>
                  <pic:spPr>
                    <a:xfrm>
                      <a:off x="0" y="0"/>
                      <a:ext cx="3952875" cy="1647825"/>
                    </a:xfrm>
                    <a:prstGeom prst="rect">
                      <a:avLst/>
                    </a:prstGeom>
                    <a:noFill/>
                    <a:ln w="9525">
                      <a:noFill/>
                    </a:ln>
                  </pic:spPr>
                </pic:pic>
              </a:graphicData>
            </a:graphic>
          </wp:inline>
        </w:drawing>
      </w:r>
    </w:p>
    <w:p w14:paraId="3FDF53A6">
      <w:pPr>
        <w:numPr>
          <w:ilvl w:val="0"/>
          <w:numId w:val="2"/>
        </w:numPr>
        <w:spacing w:line="600" w:lineRule="exact"/>
        <w:ind w:firstLine="640"/>
        <w:rPr>
          <w:rFonts w:hint="eastAsia" w:ascii="仿宋_GB2312" w:eastAsia="仿宋_GB2312"/>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没有</w:t>
      </w:r>
      <w:r>
        <w:rPr>
          <w:rFonts w:hint="eastAsia" w:ascii="仿宋_GB2312" w:eastAsia="仿宋_GB2312"/>
          <w:color w:val="000000"/>
          <w:sz w:val="32"/>
          <w:szCs w:val="32"/>
        </w:rPr>
        <w:t>安排因公出国（境）</w:t>
      </w:r>
      <w:r>
        <w:rPr>
          <w:rFonts w:hint="eastAsia" w:ascii="仿宋_GB2312" w:eastAsia="仿宋_GB2312"/>
          <w:color w:val="000000"/>
          <w:sz w:val="32"/>
          <w:szCs w:val="32"/>
          <w:lang w:eastAsia="zh-CN"/>
        </w:rPr>
        <w:t>。</w:t>
      </w:r>
    </w:p>
    <w:p w14:paraId="7F5A04C9">
      <w:pPr>
        <w:numPr>
          <w:ilvl w:val="0"/>
          <w:numId w:val="0"/>
        </w:numPr>
        <w:spacing w:line="600" w:lineRule="exact"/>
        <w:ind w:firstLine="643" w:firstLineChars="20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lang w:eastAsia="zh-CN"/>
        </w:rPr>
        <w:t>无公务用车。</w:t>
      </w:r>
    </w:p>
    <w:p w14:paraId="7EAD94E6">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0.18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53</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0.18</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2018年无公务接待支出，</w:t>
      </w:r>
      <w:r>
        <w:rPr>
          <w:rFonts w:hint="eastAsia" w:ascii="仿宋_GB2312" w:eastAsia="仿宋_GB2312"/>
          <w:color w:val="000000"/>
          <w:sz w:val="32"/>
          <w:szCs w:val="32"/>
        </w:rPr>
        <w:t>其中：</w:t>
      </w:r>
    </w:p>
    <w:p w14:paraId="03003114">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0.18</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仁和区建设工程质量安全监督站</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0.18</w:t>
      </w:r>
      <w:r>
        <w:rPr>
          <w:rFonts w:hint="eastAsia" w:ascii="仿宋_GB2312" w:eastAsia="仿宋_GB2312"/>
          <w:color w:val="000000"/>
          <w:sz w:val="32"/>
          <w:szCs w:val="32"/>
        </w:rPr>
        <w:t>万元。</w:t>
      </w:r>
    </w:p>
    <w:p w14:paraId="23279EC5">
      <w:pPr>
        <w:spacing w:line="600" w:lineRule="exact"/>
        <w:ind w:firstLine="640"/>
        <w:outlineLvl w:val="1"/>
        <w:rPr>
          <w:rStyle w:val="27"/>
          <w:rFonts w:ascii="黑体" w:hAnsi="黑体" w:eastAsia="黑体"/>
        </w:rPr>
      </w:pPr>
      <w:bookmarkStart w:id="71" w:name="_Toc28528"/>
      <w:bookmarkStart w:id="72" w:name="_Toc15377218"/>
      <w:bookmarkStart w:id="73"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1"/>
      <w:bookmarkEnd w:id="72"/>
      <w:bookmarkEnd w:id="73"/>
    </w:p>
    <w:p w14:paraId="110C864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3D1F050">
      <w:pPr>
        <w:numPr>
          <w:ilvl w:val="0"/>
          <w:numId w:val="3"/>
        </w:numPr>
        <w:spacing w:line="600" w:lineRule="exact"/>
        <w:ind w:firstLine="640"/>
        <w:outlineLvl w:val="1"/>
        <w:rPr>
          <w:rStyle w:val="27"/>
          <w:rFonts w:ascii="黑体" w:hAnsi="黑体" w:eastAsia="黑体"/>
          <w:b w:val="0"/>
        </w:rPr>
      </w:pPr>
      <w:bookmarkStart w:id="74" w:name="_Toc15396611"/>
      <w:bookmarkStart w:id="75" w:name="_Toc32647"/>
      <w:bookmarkStart w:id="76" w:name="_Toc15377219"/>
      <w:r>
        <w:rPr>
          <w:rStyle w:val="27"/>
          <w:rFonts w:hint="eastAsia" w:ascii="黑体" w:hAnsi="黑体" w:eastAsia="黑体"/>
          <w:b w:val="0"/>
        </w:rPr>
        <w:t>国有资本经营预算支出决算情况说明</w:t>
      </w:r>
      <w:bookmarkEnd w:id="74"/>
      <w:bookmarkEnd w:id="75"/>
      <w:bookmarkEnd w:id="76"/>
    </w:p>
    <w:p w14:paraId="484A1B6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E1C2999">
      <w:pPr>
        <w:spacing w:line="600" w:lineRule="exact"/>
        <w:ind w:firstLine="800" w:firstLineChars="250"/>
        <w:outlineLvl w:val="1"/>
        <w:rPr>
          <w:rStyle w:val="27"/>
          <w:rFonts w:ascii="黑体" w:hAnsi="黑体" w:eastAsia="黑体"/>
        </w:rPr>
      </w:pPr>
      <w:bookmarkStart w:id="77" w:name="_Toc15396612"/>
      <w:bookmarkStart w:id="78" w:name="_Toc31823"/>
      <w:bookmarkStart w:id="79"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7"/>
      <w:bookmarkEnd w:id="78"/>
      <w:bookmarkEnd w:id="79"/>
    </w:p>
    <w:p w14:paraId="4E2560EB">
      <w:pPr>
        <w:spacing w:line="600" w:lineRule="exact"/>
        <w:ind w:firstLine="643" w:firstLineChars="200"/>
        <w:outlineLvl w:val="2"/>
        <w:rPr>
          <w:rFonts w:ascii="仿宋" w:hAnsi="仿宋" w:eastAsia="仿宋"/>
          <w:color w:val="000000"/>
          <w:sz w:val="32"/>
          <w:szCs w:val="32"/>
        </w:rPr>
      </w:pPr>
      <w:bookmarkStart w:id="80" w:name="_Toc15377222"/>
      <w:bookmarkStart w:id="81" w:name="_Toc21375"/>
      <w:r>
        <w:rPr>
          <w:rFonts w:hint="eastAsia" w:ascii="仿宋" w:hAnsi="仿宋" w:eastAsia="仿宋"/>
          <w:b/>
          <w:color w:val="000000"/>
          <w:sz w:val="32"/>
          <w:szCs w:val="32"/>
        </w:rPr>
        <w:t>（一）机关运行经费支出情况</w:t>
      </w:r>
      <w:bookmarkEnd w:id="80"/>
      <w:bookmarkEnd w:id="81"/>
    </w:p>
    <w:p w14:paraId="1EB7587F">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lang w:eastAsia="zh-CN"/>
        </w:rPr>
        <w:t>仁和区建设工程质量安全监督站属于事业单位，无机关运行经费。</w:t>
      </w:r>
    </w:p>
    <w:p w14:paraId="3A7D819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2" w:name="_Toc15377223"/>
      <w:bookmarkStart w:id="83" w:name="_Toc10056"/>
      <w:r>
        <w:rPr>
          <w:rFonts w:hint="eastAsia" w:ascii="仿宋" w:hAnsi="仿宋" w:eastAsia="仿宋"/>
          <w:b/>
          <w:color w:val="000000"/>
          <w:sz w:val="32"/>
          <w:szCs w:val="32"/>
        </w:rPr>
        <w:t>（二）政府采购支出情况</w:t>
      </w:r>
      <w:bookmarkEnd w:id="82"/>
      <w:bookmarkEnd w:id="83"/>
    </w:p>
    <w:p w14:paraId="6C64034C">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仁和区建设工程质量安全监督站</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2.72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2.72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仁和区建设工程质量安全监督站办公</w:t>
      </w:r>
      <w:r>
        <w:rPr>
          <w:rFonts w:hint="eastAsia" w:ascii="仿宋_GB2312" w:eastAsia="仿宋_GB2312"/>
          <w:color w:val="000000"/>
          <w:sz w:val="32"/>
          <w:szCs w:val="32"/>
        </w:rPr>
        <w:t>，占政府采购支出总额的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14:paraId="7AF4F05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4" w:name="_Toc6675"/>
      <w:bookmarkStart w:id="85" w:name="_Toc15377224"/>
      <w:r>
        <w:rPr>
          <w:rFonts w:hint="eastAsia" w:ascii="仿宋" w:hAnsi="仿宋" w:eastAsia="仿宋"/>
          <w:b/>
          <w:color w:val="000000"/>
          <w:sz w:val="32"/>
          <w:szCs w:val="32"/>
        </w:rPr>
        <w:t>（三）国有资产占有使用情况</w:t>
      </w:r>
      <w:bookmarkEnd w:id="84"/>
      <w:bookmarkEnd w:id="85"/>
    </w:p>
    <w:p w14:paraId="451EB6E2">
      <w:pPr>
        <w:autoSpaceDE w:val="0"/>
        <w:autoSpaceDN w:val="0"/>
        <w:adjustRightInd w:val="0"/>
        <w:spacing w:line="600" w:lineRule="exact"/>
        <w:ind w:firstLine="640" w:firstLineChars="200"/>
        <w:jc w:val="left"/>
        <w:rPr>
          <w:rFonts w:hint="eastAsia" w:ascii="仿宋" w:hAnsi="仿宋" w:eastAsia="仿宋_GB2312"/>
          <w:b/>
          <w:color w:val="FF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仁和区建设工程质量安全监督站</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 w:hAnsi="仿宋" w:eastAsia="仿宋"/>
          <w:b/>
          <w:color w:val="000000"/>
          <w:sz w:val="32"/>
          <w:szCs w:val="32"/>
        </w:rPr>
        <w:t>。</w:t>
      </w:r>
    </w:p>
    <w:p w14:paraId="0FD724D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8608"/>
      <w:r>
        <w:rPr>
          <w:rFonts w:hint="eastAsia" w:ascii="仿宋" w:hAnsi="仿宋" w:eastAsia="仿宋"/>
          <w:b/>
          <w:color w:val="000000"/>
          <w:sz w:val="32"/>
          <w:szCs w:val="32"/>
        </w:rPr>
        <w:t>（四）预算绩效管理情况。</w:t>
      </w:r>
      <w:bookmarkEnd w:id="86"/>
    </w:p>
    <w:p w14:paraId="59FC4A4E">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1.绩效目标完成情况</w:t>
      </w:r>
    </w:p>
    <w:p w14:paraId="31EC370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建设工程质量检查经费</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p>
    <w:p w14:paraId="51291662">
      <w:pPr>
        <w:spacing w:line="240" w:lineRule="auto"/>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z w:val="32"/>
          <w:szCs w:val="32"/>
          <w:shd w:val="clear" w:color="auto" w:fill="FFFFFF"/>
        </w:rPr>
        <w:t>我站在对各建设项目实施质量安全监督管理过程中，建立健全相关制度、机制并严格执行，各项工作管理落实到位。社会效果良好。</w:t>
      </w:r>
    </w:p>
    <w:p w14:paraId="7AED4447">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3D0EED8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仁和区建设工程质量安全监督站</w:t>
      </w:r>
      <w:r>
        <w:rPr>
          <w:rFonts w:hint="eastAsia" w:ascii="仿宋_GB2312" w:hAnsi="仿宋_GB2312" w:eastAsia="仿宋_GB2312" w:cs="仿宋_GB2312"/>
          <w:sz w:val="32"/>
          <w:szCs w:val="32"/>
        </w:rPr>
        <w:t>2019年部门整体支出绩效评价报告》见附件（附件1）。</w:t>
      </w:r>
    </w:p>
    <w:p w14:paraId="3D2976F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D2B4B5F">
      <w:pPr>
        <w:numPr>
          <w:ilvl w:val="0"/>
          <w:numId w:val="4"/>
        </w:numPr>
        <w:spacing w:line="600" w:lineRule="exact"/>
        <w:ind w:firstLine="660" w:firstLineChars="150"/>
        <w:jc w:val="center"/>
        <w:outlineLvl w:val="0"/>
        <w:rPr>
          <w:rStyle w:val="26"/>
          <w:rFonts w:ascii="黑体" w:hAnsi="黑体" w:eastAsia="黑体"/>
          <w:b w:val="0"/>
        </w:rPr>
      </w:pPr>
      <w:bookmarkStart w:id="87" w:name="_Toc15377225"/>
      <w:bookmarkStart w:id="88" w:name="_Toc15396613"/>
      <w:bookmarkStart w:id="89" w:name="_Toc29580"/>
      <w:r>
        <w:rPr>
          <w:rFonts w:hint="eastAsia" w:ascii="黑体" w:hAnsi="黑体" w:eastAsia="黑体"/>
          <w:color w:val="000000"/>
          <w:sz w:val="44"/>
          <w:szCs w:val="44"/>
        </w:rPr>
        <w:t>名</w:t>
      </w:r>
      <w:r>
        <w:rPr>
          <w:rStyle w:val="26"/>
          <w:rFonts w:hint="eastAsia" w:ascii="黑体" w:hAnsi="黑体" w:eastAsia="黑体"/>
          <w:b w:val="0"/>
        </w:rPr>
        <w:t>词解释</w:t>
      </w:r>
      <w:bookmarkEnd w:id="87"/>
      <w:bookmarkEnd w:id="88"/>
      <w:bookmarkEnd w:id="89"/>
    </w:p>
    <w:p w14:paraId="5A8DB3FD">
      <w:pPr>
        <w:spacing w:line="600" w:lineRule="exact"/>
        <w:jc w:val="left"/>
        <w:rPr>
          <w:rFonts w:ascii="宋体"/>
          <w:b/>
          <w:color w:val="000000"/>
          <w:sz w:val="44"/>
          <w:szCs w:val="44"/>
        </w:rPr>
      </w:pPr>
    </w:p>
    <w:p w14:paraId="0D0B1F8F">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E2AC42E">
      <w:pPr>
        <w:pStyle w:val="24"/>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8EE1768">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2A5B1B44">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6C66AAD2">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510B4EE">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ABA03D3">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2694453">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5241297">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w:t>
      </w:r>
      <w:r>
        <w:rPr>
          <w:rFonts w:hint="eastAsia" w:ascii="仿宋_GB2312" w:eastAsia="仿宋_GB2312"/>
          <w:color w:val="000000"/>
          <w:sz w:val="32"/>
          <w:szCs w:val="32"/>
          <w:lang w:eastAsia="zh-CN"/>
        </w:rPr>
        <w:t>财政事务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财政委托业务支出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财政委托评审机构进行财政投资评审和委托建设银行等机构代理业务发生的支出</w:t>
      </w:r>
      <w:r>
        <w:rPr>
          <w:rFonts w:hint="eastAsia" w:ascii="仿宋_GB2312" w:eastAsia="仿宋_GB2312"/>
          <w:color w:val="000000"/>
          <w:sz w:val="32"/>
          <w:szCs w:val="32"/>
        </w:rPr>
        <w:t>。</w:t>
      </w:r>
    </w:p>
    <w:p w14:paraId="76CD06E6">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 w:hAnsi="仿宋" w:eastAsia="仿宋"/>
          <w:color w:val="000000"/>
          <w:sz w:val="28"/>
          <w:szCs w:val="28"/>
        </w:rPr>
        <w:t>社会保障和就业（类）行政事业单位离退休（款）机关事业单位基本养老保险缴费支出（项）：指机关事业单位实施养老保险制度由单位缴纳的基本养老保险支出。</w:t>
      </w:r>
    </w:p>
    <w:p w14:paraId="28C7431A">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 w:hAnsi="仿宋" w:eastAsia="仿宋"/>
          <w:color w:val="000000"/>
          <w:sz w:val="28"/>
          <w:szCs w:val="28"/>
        </w:rPr>
        <w:t>医疗卫生与计划生育（类）行政事业单位医疗（款）事业单位医疗（项）：指财政部门安排的事业单位基本医疗保险缴费经费，未参加医疗保险的事业单位的公费医疗经费，按国家规定享受离休人员待遇的医疗经费。</w:t>
      </w:r>
    </w:p>
    <w:p w14:paraId="729116EF">
      <w:pPr>
        <w:spacing w:line="550" w:lineRule="exact"/>
        <w:ind w:firstLine="640" w:firstLineChars="200"/>
        <w:rPr>
          <w:rFonts w:hint="eastAsia" w:ascii="仿宋" w:hAnsi="仿宋" w:eastAsia="仿宋"/>
          <w:color w:val="000000"/>
          <w:sz w:val="28"/>
          <w:szCs w:val="28"/>
          <w:lang w:val="en-US" w:eastAsia="zh-CN"/>
        </w:rPr>
      </w:pPr>
      <w:r>
        <w:rPr>
          <w:rFonts w:ascii="仿宋_GB2312" w:eastAsia="仿宋_GB2312"/>
          <w:color w:val="000000"/>
          <w:sz w:val="32"/>
          <w:szCs w:val="32"/>
        </w:rPr>
        <w:t>12.</w:t>
      </w:r>
      <w:r>
        <w:rPr>
          <w:rFonts w:hint="eastAsia" w:ascii="仿宋" w:hAnsi="仿宋" w:eastAsia="仿宋"/>
          <w:color w:val="000000"/>
          <w:sz w:val="28"/>
          <w:szCs w:val="28"/>
        </w:rPr>
        <w:t>医疗卫生与计划生育（类）行政事业单位医疗（款）事业单位医疗</w:t>
      </w:r>
      <w:r>
        <w:rPr>
          <w:rFonts w:hint="eastAsia" w:ascii="仿宋" w:hAnsi="仿宋" w:eastAsia="仿宋"/>
          <w:color w:val="000000"/>
          <w:sz w:val="28"/>
          <w:szCs w:val="28"/>
          <w:lang w:eastAsia="zh-CN"/>
        </w:rPr>
        <w:t>公务员医疗补助</w:t>
      </w:r>
      <w:r>
        <w:rPr>
          <w:rFonts w:hint="eastAsia" w:ascii="仿宋" w:hAnsi="仿宋" w:eastAsia="仿宋"/>
          <w:color w:val="000000"/>
          <w:sz w:val="28"/>
          <w:szCs w:val="28"/>
        </w:rPr>
        <w:t>（项）：指财政部门安排的</w:t>
      </w:r>
      <w:r>
        <w:rPr>
          <w:rFonts w:hint="eastAsia" w:ascii="仿宋" w:hAnsi="仿宋" w:eastAsia="仿宋"/>
          <w:color w:val="000000"/>
          <w:sz w:val="28"/>
          <w:szCs w:val="28"/>
          <w:lang w:eastAsia="zh-CN"/>
        </w:rPr>
        <w:t>公务员</w:t>
      </w:r>
      <w:r>
        <w:rPr>
          <w:rFonts w:hint="eastAsia" w:ascii="仿宋" w:hAnsi="仿宋" w:eastAsia="仿宋"/>
          <w:color w:val="000000"/>
          <w:sz w:val="28"/>
          <w:szCs w:val="28"/>
        </w:rPr>
        <w:t>医疗</w:t>
      </w:r>
      <w:r>
        <w:rPr>
          <w:rFonts w:hint="eastAsia" w:ascii="仿宋" w:hAnsi="仿宋" w:eastAsia="仿宋"/>
          <w:color w:val="000000"/>
          <w:sz w:val="28"/>
          <w:szCs w:val="28"/>
          <w:lang w:eastAsia="zh-CN"/>
        </w:rPr>
        <w:t>补助</w:t>
      </w:r>
      <w:r>
        <w:rPr>
          <w:rFonts w:hint="eastAsia" w:ascii="仿宋" w:hAnsi="仿宋" w:eastAsia="仿宋"/>
          <w:color w:val="000000"/>
          <w:sz w:val="28"/>
          <w:szCs w:val="28"/>
        </w:rPr>
        <w:t>经费。</w:t>
      </w:r>
    </w:p>
    <w:p w14:paraId="5A00DEC2">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城乡社区（类）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其他城乡社区管理事务支出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除行政运行、一般行政管理事务、机关服务、城管执法、工程建设标准规范编制与监管、工程建设管理、市政公用行业市场监管、住宅建设与房地产市场监管、资格注册、资质审查等项目以外其他用于城乡社区管理事务方面的支出</w:t>
      </w:r>
      <w:r>
        <w:rPr>
          <w:rFonts w:hint="eastAsia" w:ascii="仿宋_GB2312" w:eastAsia="仿宋_GB2312"/>
          <w:color w:val="000000"/>
          <w:sz w:val="32"/>
          <w:szCs w:val="32"/>
        </w:rPr>
        <w:t>。</w:t>
      </w:r>
    </w:p>
    <w:p w14:paraId="06ECD5A1">
      <w:pPr>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14.</w:t>
      </w:r>
      <w:r>
        <w:rPr>
          <w:rFonts w:hint="eastAsia" w:ascii="仿宋_GB2312" w:eastAsia="仿宋_GB2312"/>
          <w:color w:val="000000"/>
          <w:sz w:val="32"/>
          <w:szCs w:val="32"/>
          <w:lang w:val="en-US" w:eastAsia="zh-CN"/>
        </w:rPr>
        <w:t>住房保障支出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行政事业单位按</w:t>
      </w:r>
      <w:r>
        <w:rPr>
          <w:rFonts w:hint="eastAsia" w:ascii="仿宋_GB2312" w:eastAsia="仿宋_GB2312"/>
          <w:color w:val="auto"/>
          <w:sz w:val="32"/>
          <w:szCs w:val="32"/>
          <w:lang w:eastAsia="zh-CN"/>
        </w:rPr>
        <w:t>人力资源和社会保障部</w:t>
      </w:r>
      <w:r>
        <w:rPr>
          <w:rFonts w:hint="eastAsia" w:ascii="仿宋_GB2312" w:eastAsia="仿宋_GB2312"/>
          <w:color w:val="000000"/>
          <w:sz w:val="32"/>
          <w:szCs w:val="32"/>
          <w:lang w:eastAsia="zh-CN"/>
        </w:rPr>
        <w:t>、财政部规定的基本工资和津贴补贴以及规定比例为职工缴纳的住房公积金。</w:t>
      </w:r>
    </w:p>
    <w:p w14:paraId="3591FAE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7B7E391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5653C1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42F4A30">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300F659">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AA3A3F">
      <w:pPr>
        <w:spacing w:line="600" w:lineRule="exact"/>
        <w:jc w:val="center"/>
        <w:outlineLvl w:val="0"/>
        <w:rPr>
          <w:rFonts w:hint="eastAsia" w:ascii="黑体" w:hAnsi="黑体" w:eastAsia="黑体"/>
          <w:color w:val="000000"/>
          <w:sz w:val="44"/>
          <w:szCs w:val="44"/>
        </w:rPr>
      </w:pPr>
      <w:bookmarkStart w:id="90" w:name="_Toc15396614"/>
      <w:bookmarkStart w:id="91" w:name="_Toc15377226"/>
    </w:p>
    <w:p w14:paraId="07D7F359">
      <w:pPr>
        <w:spacing w:line="600" w:lineRule="exact"/>
        <w:jc w:val="center"/>
        <w:outlineLvl w:val="0"/>
        <w:rPr>
          <w:rFonts w:hint="eastAsia" w:ascii="黑体" w:hAnsi="黑体" w:eastAsia="黑体"/>
          <w:color w:val="000000"/>
          <w:sz w:val="44"/>
          <w:szCs w:val="44"/>
        </w:rPr>
      </w:pPr>
    </w:p>
    <w:p w14:paraId="1FE08047">
      <w:pPr>
        <w:spacing w:line="600" w:lineRule="exact"/>
        <w:jc w:val="center"/>
        <w:outlineLvl w:val="0"/>
        <w:rPr>
          <w:rFonts w:hint="eastAsia" w:ascii="黑体" w:hAnsi="黑体" w:eastAsia="黑体"/>
          <w:color w:val="000000"/>
          <w:sz w:val="44"/>
          <w:szCs w:val="44"/>
        </w:rPr>
      </w:pPr>
    </w:p>
    <w:p w14:paraId="19AD8046">
      <w:pPr>
        <w:spacing w:line="600" w:lineRule="exact"/>
        <w:jc w:val="center"/>
        <w:outlineLvl w:val="0"/>
        <w:rPr>
          <w:rFonts w:hint="eastAsia" w:ascii="黑体" w:hAnsi="黑体" w:eastAsia="黑体"/>
          <w:color w:val="000000"/>
          <w:sz w:val="44"/>
          <w:szCs w:val="44"/>
        </w:rPr>
      </w:pPr>
    </w:p>
    <w:p w14:paraId="0C1877B2">
      <w:pPr>
        <w:spacing w:line="600" w:lineRule="exact"/>
        <w:jc w:val="center"/>
        <w:outlineLvl w:val="0"/>
        <w:rPr>
          <w:rFonts w:hint="eastAsia" w:ascii="黑体" w:hAnsi="黑体" w:eastAsia="黑体"/>
          <w:color w:val="000000"/>
          <w:sz w:val="44"/>
          <w:szCs w:val="44"/>
        </w:rPr>
      </w:pPr>
    </w:p>
    <w:p w14:paraId="27E14E33">
      <w:pPr>
        <w:spacing w:line="600" w:lineRule="exact"/>
        <w:jc w:val="center"/>
        <w:outlineLvl w:val="0"/>
        <w:rPr>
          <w:rFonts w:hint="eastAsia" w:ascii="黑体" w:hAnsi="黑体" w:eastAsia="黑体"/>
          <w:color w:val="000000"/>
          <w:sz w:val="44"/>
          <w:szCs w:val="44"/>
        </w:rPr>
      </w:pPr>
    </w:p>
    <w:p w14:paraId="0E82E53B">
      <w:pPr>
        <w:spacing w:line="600" w:lineRule="exact"/>
        <w:jc w:val="center"/>
        <w:outlineLvl w:val="0"/>
        <w:rPr>
          <w:rStyle w:val="26"/>
          <w:rFonts w:ascii="黑体" w:hAnsi="黑体" w:eastAsia="黑体"/>
          <w:b w:val="0"/>
        </w:rPr>
      </w:pPr>
      <w:bookmarkStart w:id="92" w:name="_Toc11216"/>
      <w:r>
        <w:rPr>
          <w:rFonts w:hint="eastAsia" w:ascii="黑体" w:hAnsi="黑体" w:eastAsia="黑体"/>
          <w:color w:val="000000"/>
          <w:sz w:val="44"/>
          <w:szCs w:val="44"/>
        </w:rPr>
        <w:t>第</w:t>
      </w:r>
      <w:r>
        <w:rPr>
          <w:rStyle w:val="26"/>
          <w:rFonts w:hint="eastAsia" w:ascii="黑体" w:hAnsi="黑体" w:eastAsia="黑体"/>
          <w:b w:val="0"/>
        </w:rPr>
        <w:t>四部分 附件</w:t>
      </w:r>
      <w:bookmarkEnd w:id="90"/>
      <w:bookmarkEnd w:id="92"/>
    </w:p>
    <w:p w14:paraId="0E56BF2E">
      <w:pPr>
        <w:pStyle w:val="12"/>
        <w:widowControl/>
        <w:shd w:val="clear" w:color="auto" w:fill="FFFFFF"/>
        <w:spacing w:beforeAutospacing="0" w:afterAutospacing="0" w:line="315" w:lineRule="atLeast"/>
        <w:jc w:val="both"/>
        <w:rPr>
          <w:rFonts w:hint="eastAsia" w:ascii="黑体" w:hAnsi="黑体" w:eastAsia="黑体" w:cs="黑体"/>
          <w:sz w:val="32"/>
          <w:szCs w:val="32"/>
        </w:rPr>
      </w:pPr>
      <w:r>
        <w:rPr>
          <w:rFonts w:hint="eastAsia" w:ascii="黑体" w:hAnsi="黑体" w:eastAsia="黑体" w:cs="黑体"/>
          <w:sz w:val="32"/>
          <w:szCs w:val="32"/>
        </w:rPr>
        <w:t>附件1</w:t>
      </w:r>
    </w:p>
    <w:p w14:paraId="74E5A91A">
      <w:pPr>
        <w:pStyle w:val="12"/>
        <w:widowControl/>
        <w:shd w:val="clear" w:color="auto" w:fill="FFFFFF"/>
        <w:spacing w:beforeAutospacing="0" w:afterAutospacing="0" w:line="315" w:lineRule="atLeast"/>
        <w:jc w:val="center"/>
        <w:rPr>
          <w:rFonts w:ascii="黑体" w:hAnsi="黑体" w:eastAsia="黑体" w:cs="黑体"/>
          <w:color w:val="333333"/>
          <w:sz w:val="44"/>
          <w:szCs w:val="44"/>
          <w:shd w:val="clear" w:color="auto" w:fill="FFFFFF"/>
        </w:rPr>
      </w:pPr>
      <w:r>
        <w:rPr>
          <w:rFonts w:hint="eastAsia" w:ascii="黑体" w:hAnsi="黑体" w:eastAsia="黑体" w:cs="黑体"/>
          <w:color w:val="333333"/>
          <w:sz w:val="44"/>
          <w:szCs w:val="44"/>
          <w:shd w:val="clear" w:color="auto" w:fill="FFFFFF"/>
        </w:rPr>
        <w:t>攀枝花市仁和区建设工程质量安全监督站</w:t>
      </w:r>
    </w:p>
    <w:p w14:paraId="5E9E4BA1">
      <w:pPr>
        <w:pStyle w:val="32"/>
        <w:spacing w:line="560" w:lineRule="exact"/>
        <w:jc w:val="center"/>
        <w:rPr>
          <w:rFonts w:hint="eastAsia" w:ascii="宋体" w:hAnsi="宋体" w:cs="Times New Roman"/>
          <w:color w:val="auto"/>
          <w:kern w:val="2"/>
          <w:sz w:val="32"/>
          <w:szCs w:val="32"/>
        </w:rPr>
      </w:pPr>
      <w:r>
        <w:rPr>
          <w:rFonts w:hint="eastAsia" w:ascii="宋体" w:hAnsi="宋体" w:cs="Times New Roman"/>
          <w:b/>
          <w:color w:val="auto"/>
          <w:kern w:val="2"/>
          <w:sz w:val="44"/>
          <w:szCs w:val="44"/>
        </w:rPr>
        <w:t>2019年部门支出绩效评价自评报告</w:t>
      </w:r>
    </w:p>
    <w:p w14:paraId="09BDFFB4">
      <w:pPr>
        <w:adjustRightInd w:val="0"/>
        <w:snapToGrid w:val="0"/>
        <w:spacing w:line="560" w:lineRule="exact"/>
        <w:ind w:firstLine="720"/>
        <w:rPr>
          <w:rFonts w:hint="eastAsia" w:ascii="黑体" w:hAnsi="宋体" w:eastAsia="黑体"/>
          <w:szCs w:val="32"/>
        </w:rPr>
      </w:pPr>
    </w:p>
    <w:p w14:paraId="34295724">
      <w:pPr>
        <w:adjustRightInd w:val="0"/>
        <w:snapToGrid w:val="0"/>
        <w:spacing w:line="560" w:lineRule="exact"/>
        <w:ind w:firstLine="720"/>
        <w:rPr>
          <w:rFonts w:hint="eastAsia" w:ascii="黑体" w:hAnsi="宋体" w:eastAsia="黑体"/>
          <w:szCs w:val="32"/>
          <w:lang w:val="zh-CN"/>
        </w:rPr>
      </w:pPr>
      <w:r>
        <w:rPr>
          <w:rFonts w:hint="eastAsia" w:ascii="黑体" w:hAnsi="宋体" w:eastAsia="黑体"/>
          <w:szCs w:val="32"/>
        </w:rPr>
        <w:t>一、</w:t>
      </w:r>
      <w:r>
        <w:rPr>
          <w:rFonts w:hint="eastAsia" w:ascii="黑体" w:hAnsi="宋体" w:eastAsia="黑体"/>
          <w:szCs w:val="32"/>
          <w:lang w:val="zh-CN"/>
        </w:rPr>
        <w:t>部门概况</w:t>
      </w:r>
    </w:p>
    <w:p w14:paraId="2E3EA5D4">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（一）仁和区建设工程质量安全监督站属仁和区住房和城乡建设局下设的独立核算事业单位</w:t>
      </w:r>
    </w:p>
    <w:p w14:paraId="2ED742B8">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（二）机构职能</w:t>
      </w:r>
    </w:p>
    <w:p w14:paraId="04E501CF">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１、依据《</w:t>
      </w:r>
      <w:bookmarkStart w:id="121" w:name="_GoBack"/>
      <w:bookmarkEnd w:id="121"/>
      <w:r>
        <w:rPr>
          <w:rFonts w:hint="eastAsia" w:ascii="仿宋_GB2312" w:hAnsi="仿宋_GB2312" w:eastAsia="仿宋_GB2312" w:cs="仿宋_GB2312"/>
          <w:color w:val="333333"/>
          <w:sz w:val="32"/>
          <w:szCs w:val="32"/>
          <w:shd w:val="clear" w:color="auto" w:fill="FFFFFF"/>
        </w:rPr>
        <w:t>中华人民共和国建筑法</w:t>
      </w:r>
      <w:r>
        <w:rPr>
          <w:rFonts w:hint="eastAsia" w:ascii="仿宋_GB2312" w:hAnsi="宋体" w:eastAsia="仿宋_GB2312"/>
          <w:sz w:val="30"/>
          <w:szCs w:val="30"/>
        </w:rPr>
        <w:t>》</w:t>
      </w:r>
      <w:r>
        <w:rPr>
          <w:rFonts w:hint="eastAsia" w:ascii="仿宋_GB2312" w:hAnsi="仿宋_GB2312" w:eastAsia="仿宋_GB2312" w:cs="仿宋_GB2312"/>
          <w:color w:val="333333"/>
          <w:sz w:val="32"/>
          <w:szCs w:val="32"/>
          <w:shd w:val="clear" w:color="auto" w:fill="FFFFFF"/>
        </w:rPr>
        <w:t>、《安全生产法》、国务院《建设工程质量管理条例》、《建设工程安全生产管理条例》等法律、法规、规章，建设部、四川省、攀枝花市仁和区有关工程质量和安全的规范性文件，工程建设标准、规范、规程、审查合格的施工图设计文件，对我区行政区域内房屋建筑和市政基础设施的工程质量和施工现场安全生产文明施工进行强制性监督管理。</w:t>
      </w:r>
    </w:p>
    <w:p w14:paraId="7C3E6962">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２、监督工作的主要内容：地基基础、主体结构和其它涉及结构安全的关键部位，环境质量和重要使用功能的部位，施工现场安全生产文明施工状况，工程建设各方责任主体的质量安全行为。</w:t>
      </w:r>
    </w:p>
    <w:p w14:paraId="12C0C749">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３、对工程项目进行开工前的安全生产条件现场勘验。</w:t>
      </w:r>
    </w:p>
    <w:p w14:paraId="430F335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４、根据工程建设的特点，制订质量安全监督计划，按计划对工程施工过程的质量和安全进行监督检查，结合工程的进度不定期的对工程质量和安全生产文明施工进行抽查。</w:t>
      </w:r>
    </w:p>
    <w:p w14:paraId="0560543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５、对工程的竣工验收实施监督，出具工程质量监督报告。对工程施工现场文明施工进行分阶段评价，提交工程项目施工安全评价书。</w:t>
      </w:r>
    </w:p>
    <w:p w14:paraId="1C85D06F">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６、对工程建设各方主体的质量安全不良性为进行调查、扣分，并将扣分情况上报区住房和城乡建设局，对建筑施工企业安全生产许可证进行动态管理。</w:t>
      </w:r>
    </w:p>
    <w:p w14:paraId="02EDDB1D">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７、公示本地区工程质量、施工安全投诉方式、受理本市行政区域内工程质量、施工安全投诉工作，并及时进行调查和处理。</w:t>
      </w:r>
    </w:p>
    <w:p w14:paraId="1C535361">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８、受建设行政主管部门委托负责受监工程项目的竣工验收备案工作。</w:t>
      </w:r>
    </w:p>
    <w:p w14:paraId="65476347">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９、组织和参与本区行政区域内的各类工程质量和施工现场安全生产文明施工大检查，参与或授权主持发生在本区行政区域内的一般及以上工程质量安全事故。并及时作好统计上报工作。</w:t>
      </w:r>
    </w:p>
    <w:p w14:paraId="0A16A108">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０、做好本地区与工程质量安全有关的法律、法规、规章及工程建设标准、规范、规程的宣传培训工作，帮助和支持本地区新技术、新材料、新工艺，推广与应用。积极推动我区工程质量和安全生产文明施工水平的提高。</w:t>
      </w:r>
    </w:p>
    <w:p w14:paraId="2DB13F4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１１、加大质量安全行政执法力度，在住房和城乡建设局委托范围内（简易程序和一般程序）对工程建设各方有关质量安全的违法违规行为实施行政处罚。</w:t>
      </w:r>
    </w:p>
    <w:p w14:paraId="6FEE1F71">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１２、完善计算机信息网络建设，提高自动化办公程度，掌握受监工程质量安全状况，做好监督数据统计和信息管理工作，并按时上报市建设工程质量安全监督站和区住房和城乡建设局。</w:t>
      </w:r>
    </w:p>
    <w:p w14:paraId="3428DDCE">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１３、加强职工的政治思想，廉政勤政和职业道德教育，作好专业技术人员的培训和继续教育工作，提高职工的专业技术水平和业务能力，搞好本单位精神文明和作风建设工作。</w:t>
      </w:r>
    </w:p>
    <w:p w14:paraId="51D6CA2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１４、按时完成上级临时交办的工作和任务。</w:t>
      </w:r>
    </w:p>
    <w:p w14:paraId="0A65980C">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（三）人员概况</w:t>
      </w:r>
    </w:p>
    <w:p w14:paraId="66F07BDE">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仁和区建设工程质量安全监督站有事业编制</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名，在职职工９人，退休2人。</w:t>
      </w:r>
    </w:p>
    <w:p w14:paraId="3DAAB8FE">
      <w:pPr>
        <w:adjustRightInd w:val="0"/>
        <w:snapToGrid w:val="0"/>
        <w:spacing w:line="560" w:lineRule="exact"/>
        <w:ind w:firstLine="720"/>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二、部门财政资金收支情况</w:t>
      </w:r>
    </w:p>
    <w:p w14:paraId="31D51040">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（一）部门财政资金收入情况。</w:t>
      </w:r>
    </w:p>
    <w:p w14:paraId="0A065F81">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９年财政拨款189.53万元。</w:t>
      </w:r>
    </w:p>
    <w:p w14:paraId="4DD3EC5C">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（二）部门财政资金支出情况。</w:t>
      </w:r>
    </w:p>
    <w:p w14:paraId="09B5FA98">
      <w:pPr>
        <w:pStyle w:val="12"/>
        <w:widowControl/>
        <w:shd w:val="clear" w:color="auto" w:fill="FFFFFF"/>
        <w:spacing w:beforeAutospacing="0" w:afterAutospacing="0" w:line="315" w:lineRule="atLeas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9年支出189.45万元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其中工资福利支出</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160.85万元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商品和服务支出23.78万元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对个人和家庭的补助支出1.51万元，其他资本性支出3.31万元。</w:t>
      </w:r>
    </w:p>
    <w:p w14:paraId="2F85AA39">
      <w:pPr>
        <w:adjustRightInd w:val="0"/>
        <w:snapToGrid w:val="0"/>
        <w:spacing w:line="560" w:lineRule="exact"/>
        <w:ind w:firstLine="720"/>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三、部门财政支出管理情况</w:t>
      </w:r>
    </w:p>
    <w:p w14:paraId="2100D348">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（一）预算编制情况。</w:t>
      </w:r>
    </w:p>
    <w:p w14:paraId="01A0D2B7">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区质安站对</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9年度收到的所有财政拨款资金和其他资金的使用情况进行了全面的梳理，按照资金的来源、用途、使用管理的具体要求分项目、分种类、分科目进行了清理。</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9年区质安站共收到财政拨款资金189.53万元</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，全年收入总计189.53万元。全年共发生基本支出170.04万元（包括区、事业性支出、医疗保障及离退休支出）。</w:t>
      </w:r>
    </w:p>
    <w:p w14:paraId="50E8D732">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对照年初的预算，通过编制部门决算报表，全面、真实的反映了区质安站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9年度财政资金的使用情况。</w:t>
      </w:r>
    </w:p>
    <w:p w14:paraId="63DD7FB7">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（二）执行管理情况。</w:t>
      </w:r>
    </w:p>
    <w:p w14:paraId="4E9E9EE5">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本着少花钱、多办事、办好事、遵循有预算的支出原则。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9年总支出189.45万元，其中基本支出170.04万元。</w:t>
      </w:r>
    </w:p>
    <w:p w14:paraId="47914A16">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（三）决算编制情况。</w:t>
      </w:r>
    </w:p>
    <w:p w14:paraId="4B134302">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根据攀仁财【</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9】174号编制</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9年部门决算。财政拨款核对情况，</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9年实际收到的公共预算财政拨款收入189.53万元，与财政对</w:t>
      </w:r>
      <w:r>
        <w:rPr>
          <w:rFonts w:hint="eastAsia" w:ascii="仿宋_GB2312" w:hAnsi="仿宋_GB2312" w:eastAsia="仿宋_GB2312" w:cs="仿宋_GB2312"/>
          <w:color w:val="333333"/>
          <w:sz w:val="32"/>
          <w:szCs w:val="32"/>
          <w:shd w:val="clear" w:color="auto" w:fill="FFFFFF"/>
          <w:lang w:eastAsia="zh-CN"/>
        </w:rPr>
        <w:t>账单</w:t>
      </w:r>
      <w:r>
        <w:rPr>
          <w:rFonts w:hint="eastAsia" w:ascii="仿宋_GB2312" w:hAnsi="仿宋_GB2312" w:eastAsia="仿宋_GB2312" w:cs="仿宋_GB2312"/>
          <w:color w:val="333333"/>
          <w:sz w:val="32"/>
          <w:szCs w:val="32"/>
          <w:shd w:val="clear" w:color="auto" w:fill="FFFFFF"/>
        </w:rPr>
        <w:t>相符。</w:t>
      </w:r>
    </w:p>
    <w:p w14:paraId="456504AE">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（四）支出绩效情况。</w:t>
      </w:r>
    </w:p>
    <w:p w14:paraId="011EC1B9">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1</w:t>
      </w:r>
      <w:r>
        <w:rPr>
          <w:rFonts w:hint="eastAsia" w:ascii="仿宋_GB2312" w:hAnsi="仿宋_GB2312" w:eastAsia="仿宋_GB2312" w:cs="仿宋_GB2312"/>
          <w:color w:val="333333"/>
          <w:sz w:val="32"/>
          <w:szCs w:val="32"/>
          <w:shd w:val="clear" w:color="auto" w:fill="FFFFFF"/>
        </w:rPr>
        <w:t>、行政运转保障</w:t>
      </w:r>
    </w:p>
    <w:p w14:paraId="4C4C2F94">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区质安站预算安排支出主要用于保障区质安站正常运转、完成日常工作任务以及承担相关工作。</w:t>
      </w:r>
    </w:p>
    <w:p w14:paraId="5A6281D5">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基本支出，是用于保障区质安站正常运转的日常支出，包括基本工资、津贴补贴等人员经费以及办公费、印刷费、水电费、办公设备购置等日常公用经费。</w:t>
      </w:r>
    </w:p>
    <w:p w14:paraId="39542F10">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、单位厉行节约</w:t>
      </w:r>
    </w:p>
    <w:p w14:paraId="2C52AABF">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9年未发生公务出国（境）费用，</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8年质安站未发生公务接待。</w:t>
      </w:r>
    </w:p>
    <w:p w14:paraId="46437DFA">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区质安站严格执行中央八项规定，厉行节约，扎实做好五项经费专项督查工作，无乱发钱物情况，不存在超标准报销公务接待费、因公出国经费、会议费、培训费、差旅费等情况。</w:t>
      </w:r>
    </w:p>
    <w:p w14:paraId="46721C8E">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3</w:t>
      </w:r>
      <w:r>
        <w:rPr>
          <w:rFonts w:hint="eastAsia" w:ascii="仿宋_GB2312" w:hAnsi="仿宋_GB2312" w:eastAsia="仿宋_GB2312" w:cs="仿宋_GB2312"/>
          <w:color w:val="333333"/>
          <w:sz w:val="32"/>
          <w:szCs w:val="32"/>
          <w:shd w:val="clear" w:color="auto" w:fill="FFFFFF"/>
        </w:rPr>
        <w:t>、节能降耗</w:t>
      </w:r>
    </w:p>
    <w:p w14:paraId="4D7436A8">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是执行区住建局单位用电管理制度。办公室、会议室等场所尽量采用自然光，尽可能少开灯。离开办公室要随手关灯，做到人走灯灭，杜绝“长明灯”。电脑、打印机、饮水机等设备要随用随开，下班后自觉关闭各类电器电源。二是逐步加强办公用品及耗材领用管理。三是降低办公电话费开支。自觉利用内部</w:t>
      </w:r>
      <w:r>
        <w:rPr>
          <w:rFonts w:ascii="仿宋_GB2312" w:hAnsi="仿宋_GB2312" w:eastAsia="仿宋_GB2312" w:cs="仿宋_GB2312"/>
          <w:color w:val="333333"/>
          <w:sz w:val="32"/>
          <w:szCs w:val="32"/>
          <w:shd w:val="clear" w:color="auto" w:fill="FFFFFF"/>
        </w:rPr>
        <w:t xml:space="preserve"> v</w:t>
      </w:r>
      <w:r>
        <w:rPr>
          <w:rFonts w:hint="eastAsia" w:ascii="仿宋_GB2312" w:hAnsi="仿宋_GB2312" w:eastAsia="仿宋_GB2312" w:cs="仿宋_GB2312"/>
          <w:color w:val="333333"/>
          <w:sz w:val="32"/>
          <w:szCs w:val="32"/>
          <w:shd w:val="clear" w:color="auto" w:fill="FFFFFF"/>
        </w:rPr>
        <w:t>网通话，严格控制座机数量和长途电话，节约通讯费用。</w:t>
      </w:r>
    </w:p>
    <w:p w14:paraId="540E50A1">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在保证单位正常办公的情况下，本着节约、环保的原则，降低机关电、燃油消耗量。</w:t>
      </w:r>
    </w:p>
    <w:p w14:paraId="0133545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按支出功能分类主要用于以下方面</w:t>
      </w:r>
      <w:r>
        <w:rPr>
          <w:rFonts w:ascii="仿宋_GB2312" w:hAnsi="仿宋_GB2312" w:eastAsia="仿宋_GB2312" w:cs="仿宋_GB2312"/>
          <w:color w:val="333333"/>
          <w:sz w:val="32"/>
          <w:szCs w:val="32"/>
          <w:shd w:val="clear" w:color="auto" w:fill="FFFFFF"/>
        </w:rPr>
        <w:t>:</w:t>
      </w:r>
    </w:p>
    <w:p w14:paraId="08675365">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（一）城乡社区支出，主要用于站内人员工资、日常运转以及为完成工作任务支出。</w:t>
      </w:r>
    </w:p>
    <w:p w14:paraId="2EA4C479">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（二）社会保障和就业支出，主要用于站内退休人员支出和单位基本养老保险缴费支出。</w:t>
      </w:r>
    </w:p>
    <w:p w14:paraId="7692866F">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（三）医疗卫生与计划生育支出，主要用于质安站按照规定标准为职工缴纳的基本医疗保险及公务员医疗补助等支出。</w:t>
      </w:r>
    </w:p>
    <w:p w14:paraId="103D5FDE">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（四）住房保障支出，主要用于区质安站按照规定标准为职工发放的住房补贴支。</w:t>
      </w:r>
    </w:p>
    <w:p w14:paraId="5EB92F54">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、绩效目标完成情况</w:t>
      </w:r>
    </w:p>
    <w:p w14:paraId="6210149E">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从经济效益上看，对建设工作质量安全进行监督管理，减少建设工程质量缺陷，延长建设项目使用年限。</w:t>
      </w:r>
    </w:p>
    <w:p w14:paraId="206E5292">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sz w:val="32"/>
          <w:szCs w:val="32"/>
          <w:shd w:val="clear" w:color="auto" w:fill="FFFFFF"/>
        </w:rPr>
        <w:t>从社会效益上看，通过对建设工作质量安全进行监督管理，提升建设工程质量，确保人民生命、财产安全，减少质量投诉，维护社会稳定。</w:t>
      </w:r>
    </w:p>
    <w:p w14:paraId="3F08A390">
      <w:pPr>
        <w:adjustRightInd w:val="0"/>
        <w:snapToGrid w:val="0"/>
        <w:spacing w:line="560" w:lineRule="exact"/>
        <w:ind w:firstLine="720"/>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四、评价结论及建议</w:t>
      </w:r>
    </w:p>
    <w:p w14:paraId="76FE6194">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（一）评价结论。</w:t>
      </w:r>
    </w:p>
    <w:p w14:paraId="5559240F">
      <w:pPr>
        <w:pStyle w:val="12"/>
        <w:widowControl/>
        <w:shd w:val="clear" w:color="auto" w:fill="FFFFFF"/>
        <w:spacing w:beforeAutospacing="0" w:afterAutospacing="0" w:line="315"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我站在对各建设项目实施质量安全监督管理过程中，建立健全相关制度、机制并严格执行，各项工作管理落实到位。社会效果良好。</w:t>
      </w:r>
    </w:p>
    <w:p w14:paraId="7377D4DF">
      <w:pPr>
        <w:pStyle w:val="12"/>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评价结论为良。</w:t>
      </w:r>
    </w:p>
    <w:p w14:paraId="663AAF26">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（二）存在问题及改进建议。</w:t>
      </w:r>
    </w:p>
    <w:p w14:paraId="2C97B2E7">
      <w:pPr>
        <w:pStyle w:val="12"/>
        <w:widowControl/>
        <w:shd w:val="clear" w:color="auto" w:fill="FFFFFF"/>
        <w:spacing w:beforeAutospacing="0" w:afterAutospacing="0" w:line="315" w:lineRule="atLeas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今后我站将进一步贯彻落实中央八项规定，厉行节约，严格控制“三公”经费支出，建立长效机制。进一步规范落实资金的管理和使用，继续探索好的做法，抓好建设工程质量安全管理工作，提升建设工程质量，确保人民生命、财产安全。</w:t>
      </w:r>
    </w:p>
    <w:p w14:paraId="610530AE">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p>
    <w:p w14:paraId="34254903">
      <w:pPr>
        <w:pStyle w:val="12"/>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p>
    <w:p w14:paraId="3695B653">
      <w:pPr>
        <w:pStyle w:val="12"/>
        <w:widowControl/>
        <w:shd w:val="clear" w:color="auto" w:fill="FFFFFF"/>
        <w:spacing w:beforeAutospacing="0" w:afterAutospacing="0" w:line="315" w:lineRule="atLeast"/>
        <w:ind w:firstLine="5920" w:firstLineChars="185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2020年5月22日</w:t>
      </w:r>
    </w:p>
    <w:p w14:paraId="7C70DFA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714BC5BC">
      <w:pPr>
        <w:spacing w:line="580" w:lineRule="exact"/>
        <w:ind w:firstLine="640" w:firstLineChars="200"/>
        <w:rPr>
          <w:rFonts w:ascii="仿宋_GB2312" w:hAnsi="仿宋_GB2312" w:eastAsia="仿宋_GB2312" w:cs="仿宋_GB2312"/>
          <w:sz w:val="32"/>
          <w:szCs w:val="32"/>
        </w:rPr>
      </w:pPr>
    </w:p>
    <w:p w14:paraId="34C6A76F">
      <w:pPr>
        <w:spacing w:line="580" w:lineRule="exact"/>
        <w:ind w:firstLine="640" w:firstLineChars="200"/>
        <w:rPr>
          <w:rFonts w:ascii="仿宋_GB2312" w:hAnsi="仿宋_GB2312" w:eastAsia="仿宋_GB2312" w:cs="仿宋_GB2312"/>
          <w:sz w:val="32"/>
          <w:szCs w:val="32"/>
        </w:rPr>
      </w:pPr>
    </w:p>
    <w:p w14:paraId="1C3A8ED1">
      <w:pPr>
        <w:widowControl/>
        <w:jc w:val="left"/>
        <w:rPr>
          <w:rStyle w:val="26"/>
          <w:rFonts w:ascii="黑体" w:hAnsi="黑体" w:eastAsia="黑体"/>
          <w:b w:val="0"/>
        </w:rPr>
      </w:pPr>
      <w:r>
        <w:rPr>
          <w:rStyle w:val="26"/>
          <w:rFonts w:ascii="黑体" w:hAnsi="黑体" w:eastAsia="黑体"/>
          <w:b w:val="0"/>
        </w:rPr>
        <w:br w:type="page"/>
      </w:r>
    </w:p>
    <w:p w14:paraId="62B7244A">
      <w:pPr>
        <w:spacing w:line="600" w:lineRule="exact"/>
        <w:jc w:val="center"/>
        <w:outlineLvl w:val="0"/>
        <w:rPr>
          <w:rStyle w:val="26"/>
          <w:rFonts w:ascii="黑体" w:hAnsi="黑体" w:eastAsia="黑体"/>
          <w:b w:val="0"/>
        </w:rPr>
      </w:pPr>
    </w:p>
    <w:p w14:paraId="53D4E92F">
      <w:pPr>
        <w:spacing w:line="600" w:lineRule="exact"/>
        <w:jc w:val="center"/>
        <w:outlineLvl w:val="0"/>
        <w:rPr>
          <w:rStyle w:val="26"/>
          <w:rFonts w:ascii="黑体" w:hAnsi="黑体" w:eastAsia="黑体"/>
          <w:b w:val="0"/>
        </w:rPr>
      </w:pPr>
      <w:bookmarkStart w:id="93" w:name="_Toc15396618"/>
      <w:bookmarkStart w:id="94" w:name="_Toc428"/>
      <w:r>
        <w:rPr>
          <w:rFonts w:hint="eastAsia" w:ascii="黑体" w:hAnsi="黑体" w:eastAsia="黑体"/>
          <w:color w:val="000000"/>
          <w:sz w:val="44"/>
          <w:szCs w:val="44"/>
        </w:rPr>
        <w:t>第</w:t>
      </w:r>
      <w:r>
        <w:rPr>
          <w:rStyle w:val="26"/>
          <w:rFonts w:hint="eastAsia" w:ascii="黑体" w:hAnsi="黑体" w:eastAsia="黑体"/>
          <w:b w:val="0"/>
        </w:rPr>
        <w:t>五部分 附表</w:t>
      </w:r>
      <w:bookmarkEnd w:id="91"/>
      <w:bookmarkEnd w:id="93"/>
      <w:bookmarkEnd w:id="94"/>
    </w:p>
    <w:p w14:paraId="396C9909">
      <w:pPr>
        <w:spacing w:line="600" w:lineRule="exact"/>
        <w:jc w:val="center"/>
        <w:outlineLvl w:val="0"/>
        <w:rPr>
          <w:rFonts w:ascii="仿宋" w:hAnsi="仿宋" w:eastAsia="仿宋"/>
          <w:b/>
          <w:color w:val="000000"/>
          <w:sz w:val="44"/>
          <w:szCs w:val="44"/>
        </w:rPr>
      </w:pPr>
    </w:p>
    <w:p w14:paraId="596EAF5C">
      <w:pPr>
        <w:pStyle w:val="3"/>
        <w:rPr>
          <w:rFonts w:ascii="仿宋" w:hAnsi="仿宋" w:eastAsia="仿宋"/>
          <w:color w:val="000000"/>
        </w:rPr>
      </w:pPr>
      <w:bookmarkStart w:id="95" w:name="_Toc18580"/>
      <w:bookmarkStart w:id="9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95"/>
      <w:bookmarkEnd w:id="96"/>
    </w:p>
    <w:p w14:paraId="1DE1DD23">
      <w:pPr>
        <w:pStyle w:val="3"/>
        <w:rPr>
          <w:rFonts w:ascii="仿宋" w:hAnsi="仿宋" w:eastAsia="仿宋"/>
          <w:color w:val="000000"/>
        </w:rPr>
      </w:pPr>
      <w:bookmarkStart w:id="97" w:name="_Toc15396620"/>
      <w:bookmarkStart w:id="98" w:name="_Toc3349"/>
      <w:r>
        <w:rPr>
          <w:rFonts w:hint="eastAsia" w:ascii="仿宋" w:hAnsi="仿宋" w:eastAsia="仿宋"/>
          <w:b w:val="0"/>
          <w:color w:val="000000"/>
        </w:rPr>
        <w:t>二、收</w:t>
      </w:r>
      <w:r>
        <w:rPr>
          <w:rStyle w:val="27"/>
          <w:rFonts w:hint="eastAsia" w:ascii="仿宋" w:hAnsi="仿宋" w:eastAsia="仿宋"/>
          <w:b w:val="0"/>
          <w:bCs w:val="0"/>
        </w:rPr>
        <w:t>入决算表</w:t>
      </w:r>
      <w:bookmarkEnd w:id="97"/>
      <w:bookmarkEnd w:id="98"/>
    </w:p>
    <w:p w14:paraId="718A8CBB">
      <w:pPr>
        <w:pStyle w:val="3"/>
        <w:rPr>
          <w:rFonts w:ascii="仿宋" w:hAnsi="仿宋" w:eastAsia="仿宋"/>
          <w:color w:val="000000"/>
        </w:rPr>
      </w:pPr>
      <w:bookmarkStart w:id="99" w:name="_Toc23511"/>
      <w:bookmarkStart w:id="100"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9"/>
      <w:bookmarkEnd w:id="100"/>
    </w:p>
    <w:p w14:paraId="13B413BC">
      <w:pPr>
        <w:pStyle w:val="3"/>
        <w:rPr>
          <w:rFonts w:ascii="仿宋" w:hAnsi="仿宋" w:eastAsia="仿宋"/>
          <w:b w:val="0"/>
          <w:color w:val="000000"/>
        </w:rPr>
      </w:pPr>
      <w:bookmarkStart w:id="101" w:name="_Toc15396622"/>
      <w:bookmarkStart w:id="102" w:name="_Toc8948"/>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1"/>
      <w:bookmarkEnd w:id="102"/>
    </w:p>
    <w:p w14:paraId="1A908D4D">
      <w:pPr>
        <w:pStyle w:val="3"/>
        <w:rPr>
          <w:rStyle w:val="27"/>
          <w:rFonts w:ascii="仿宋" w:hAnsi="仿宋" w:eastAsia="仿宋"/>
          <w:b w:val="0"/>
          <w:bCs w:val="0"/>
        </w:rPr>
      </w:pPr>
      <w:bookmarkStart w:id="103" w:name="_Toc23267"/>
      <w:bookmarkStart w:id="10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3"/>
      <w:bookmarkEnd w:id="104"/>
      <w:bookmarkStart w:id="105" w:name="_Toc15396624"/>
    </w:p>
    <w:p w14:paraId="3176C60B">
      <w:pPr>
        <w:pStyle w:val="3"/>
        <w:rPr>
          <w:rFonts w:ascii="仿宋" w:hAnsi="仿宋" w:eastAsia="仿宋"/>
          <w:color w:val="000000"/>
        </w:rPr>
      </w:pPr>
      <w:bookmarkStart w:id="106" w:name="_Toc21747"/>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5"/>
      <w:bookmarkEnd w:id="106"/>
    </w:p>
    <w:p w14:paraId="358CBB80">
      <w:pPr>
        <w:pStyle w:val="3"/>
        <w:rPr>
          <w:rFonts w:ascii="仿宋" w:hAnsi="仿宋" w:eastAsia="仿宋"/>
          <w:color w:val="000000"/>
        </w:rPr>
      </w:pPr>
      <w:bookmarkStart w:id="107" w:name="_Toc25629"/>
      <w:bookmarkStart w:id="108"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7"/>
      <w:bookmarkEnd w:id="108"/>
    </w:p>
    <w:p w14:paraId="4CF86B7C">
      <w:pPr>
        <w:pStyle w:val="3"/>
        <w:rPr>
          <w:rFonts w:ascii="仿宋" w:hAnsi="仿宋" w:eastAsia="仿宋"/>
          <w:color w:val="000000"/>
        </w:rPr>
      </w:pPr>
      <w:bookmarkStart w:id="109" w:name="_Toc21947"/>
      <w:bookmarkStart w:id="110"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09"/>
      <w:bookmarkEnd w:id="110"/>
    </w:p>
    <w:p w14:paraId="625F3DA3">
      <w:pPr>
        <w:pStyle w:val="3"/>
        <w:rPr>
          <w:rFonts w:ascii="仿宋" w:hAnsi="仿宋" w:eastAsia="仿宋"/>
          <w:color w:val="000000"/>
        </w:rPr>
      </w:pPr>
      <w:bookmarkStart w:id="111" w:name="_Toc15396627"/>
      <w:bookmarkStart w:id="112" w:name="_Toc7678"/>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11"/>
      <w:bookmarkEnd w:id="112"/>
    </w:p>
    <w:p w14:paraId="2706699C">
      <w:pPr>
        <w:pStyle w:val="3"/>
        <w:rPr>
          <w:rFonts w:ascii="仿宋" w:hAnsi="仿宋" w:eastAsia="仿宋"/>
          <w:color w:val="000000"/>
        </w:rPr>
      </w:pPr>
      <w:bookmarkStart w:id="113" w:name="_Toc15396628"/>
      <w:bookmarkStart w:id="114" w:name="_Toc16016"/>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13"/>
      <w:bookmarkEnd w:id="114"/>
    </w:p>
    <w:p w14:paraId="095B7394">
      <w:pPr>
        <w:pStyle w:val="3"/>
        <w:rPr>
          <w:rFonts w:ascii="仿宋" w:hAnsi="仿宋" w:eastAsia="仿宋"/>
          <w:color w:val="000000"/>
        </w:rPr>
      </w:pPr>
      <w:bookmarkStart w:id="115" w:name="_Toc16057"/>
      <w:bookmarkStart w:id="11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15"/>
      <w:bookmarkEnd w:id="116"/>
    </w:p>
    <w:p w14:paraId="04416702">
      <w:pPr>
        <w:pStyle w:val="3"/>
        <w:rPr>
          <w:rFonts w:ascii="仿宋" w:hAnsi="仿宋" w:eastAsia="仿宋"/>
          <w:color w:val="000000"/>
        </w:rPr>
      </w:pPr>
      <w:bookmarkStart w:id="117" w:name="_Toc15396630"/>
      <w:bookmarkStart w:id="118" w:name="_Toc28368"/>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7"/>
      <w:bookmarkEnd w:id="118"/>
    </w:p>
    <w:p w14:paraId="29E24711">
      <w:pPr>
        <w:pStyle w:val="3"/>
        <w:rPr>
          <w:rFonts w:ascii="仿宋" w:hAnsi="仿宋" w:eastAsia="仿宋"/>
          <w:color w:val="000000" w:themeColor="text1"/>
        </w:rPr>
      </w:pPr>
      <w:bookmarkStart w:id="119" w:name="_Toc2632"/>
      <w:bookmarkStart w:id="120"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19"/>
      <w:bookmarkEnd w:id="120"/>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17EE056">
        <w:pPr>
          <w:pStyle w:val="8"/>
          <w:jc w:val="center"/>
        </w:pPr>
        <w:r>
          <w:fldChar w:fldCharType="begin"/>
        </w:r>
        <w:r>
          <w:instrText xml:space="preserve">PAGE   \* MERGEFORMAT</w:instrText>
        </w:r>
        <w:r>
          <w:fldChar w:fldCharType="separate"/>
        </w:r>
        <w:r>
          <w:rPr>
            <w:lang w:val="zh-CN"/>
          </w:rPr>
          <w:t>2</w:t>
        </w:r>
        <w:r>
          <w:fldChar w:fldCharType="end"/>
        </w:r>
      </w:p>
    </w:sdtContent>
  </w:sdt>
  <w:p w14:paraId="5538A1B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0EB3">
    <w:pPr>
      <w:pStyle w:val="8"/>
      <w:jc w:val="center"/>
    </w:pPr>
  </w:p>
  <w:p w14:paraId="6DAFB03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59AB">
    <w:pPr>
      <w:pStyle w:val="8"/>
      <w:jc w:val="center"/>
    </w:pPr>
  </w:p>
  <w:p w14:paraId="1E504A4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84A5">
    <w:pPr>
      <w:pStyle w:val="8"/>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4455"/>
                </w:sdtPr>
                <w:sdtContent>
                  <w:p w14:paraId="4CB716A2">
                    <w:pPr>
                      <w:pStyle w:val="8"/>
                      <w:jc w:val="center"/>
                    </w:pPr>
                    <w:r>
                      <w:fldChar w:fldCharType="begin"/>
                    </w:r>
                    <w:r>
                      <w:instrText xml:space="preserve">PAGE   \* MERGEFORMAT</w:instrText>
                    </w:r>
                    <w:r>
                      <w:fldChar w:fldCharType="separate"/>
                    </w:r>
                    <w:r>
                      <w:rPr>
                        <w:lang w:val="zh-CN"/>
                      </w:rPr>
                      <w:t>2</w:t>
                    </w:r>
                    <w:r>
                      <w:fldChar w:fldCharType="end"/>
                    </w:r>
                  </w:p>
                </w:sdtContent>
              </w:sdt>
              <w:p w14:paraId="48704BC2"/>
            </w:txbxContent>
          </v:textbox>
        </v:shape>
      </w:pict>
    </w:r>
  </w:p>
  <w:p w14:paraId="572E6AC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40CE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E71B0"/>
    <w:multiLevelType w:val="singleLevel"/>
    <w:tmpl w:val="8CDE71B0"/>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g1OWQ0NmNkMjFiODU5ZDViY2JkMGM0MGE0ZTkwYW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D759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3ED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616B"/>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1B6"/>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DA540D"/>
    <w:rsid w:val="060C2B7F"/>
    <w:rsid w:val="100732C4"/>
    <w:rsid w:val="1008158C"/>
    <w:rsid w:val="10C055FF"/>
    <w:rsid w:val="16BB723D"/>
    <w:rsid w:val="1A245A95"/>
    <w:rsid w:val="214500AF"/>
    <w:rsid w:val="240371BF"/>
    <w:rsid w:val="25AE4E83"/>
    <w:rsid w:val="29FD04D3"/>
    <w:rsid w:val="319F7F4E"/>
    <w:rsid w:val="3A861975"/>
    <w:rsid w:val="3C9E54FC"/>
    <w:rsid w:val="44AE6D6E"/>
    <w:rsid w:val="4A627A01"/>
    <w:rsid w:val="4A835C22"/>
    <w:rsid w:val="4B7172E8"/>
    <w:rsid w:val="4ECE2238"/>
    <w:rsid w:val="4FE27E68"/>
    <w:rsid w:val="504B600E"/>
    <w:rsid w:val="5282213B"/>
    <w:rsid w:val="66CE3CED"/>
    <w:rsid w:val="6E094C2F"/>
    <w:rsid w:val="6FBD7624"/>
    <w:rsid w:val="72734D90"/>
    <w:rsid w:val="747D2ABC"/>
    <w:rsid w:val="755A554F"/>
    <w:rsid w:val="78FD1F79"/>
    <w:rsid w:val="7C4D7F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autoRedefine/>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9"/>
    <w:autoRedefine/>
    <w:semiHidden/>
    <w:unhideWhenUsed/>
    <w:qFormat/>
    <w:uiPriority w:val="99"/>
    <w:rPr>
      <w:sz w:val="18"/>
      <w:szCs w:val="18"/>
    </w:rPr>
  </w:style>
  <w:style w:type="paragraph" w:styleId="8">
    <w:name w:val="footer"/>
    <w:basedOn w:val="1"/>
    <w:link w:val="21"/>
    <w:autoRedefine/>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paragraph" w:styleId="12">
    <w:name w:val="Normal (Web)"/>
    <w:basedOn w:val="1"/>
    <w:autoRedefine/>
    <w:qFormat/>
    <w:uiPriority w:val="99"/>
    <w:pPr>
      <w:spacing w:beforeAutospacing="1" w:afterAutospacing="1"/>
      <w:jc w:val="left"/>
    </w:pPr>
    <w:rPr>
      <w:rFonts w:ascii="Calibri" w:hAnsi="Calibri" w:eastAsia="宋体"/>
      <w:kern w:val="0"/>
      <w:sz w:val="24"/>
    </w:rPr>
  </w:style>
  <w:style w:type="character" w:styleId="15">
    <w:name w:val="Strong"/>
    <w:basedOn w:val="14"/>
    <w:autoRedefine/>
    <w:qFormat/>
    <w:uiPriority w:val="99"/>
    <w:rPr>
      <w:b/>
    </w:rPr>
  </w:style>
  <w:style w:type="character" w:styleId="16">
    <w:name w:val="page number"/>
    <w:basedOn w:val="14"/>
    <w:autoRedefine/>
    <w:qFormat/>
    <w:uiPriority w:val="0"/>
  </w:style>
  <w:style w:type="character" w:styleId="17">
    <w:name w:val="Hyperlink"/>
    <w:basedOn w:val="14"/>
    <w:autoRedefine/>
    <w:unhideWhenUsed/>
    <w:qFormat/>
    <w:uiPriority w:val="99"/>
    <w:rPr>
      <w:color w:val="0000FF" w:themeColor="hyperlink"/>
      <w:u w:val="single"/>
    </w:rPr>
  </w:style>
  <w:style w:type="character" w:customStyle="1" w:styleId="18">
    <w:name w:val="Header Char"/>
    <w:basedOn w:val="14"/>
    <w:autoRedefine/>
    <w:semiHidden/>
    <w:qFormat/>
    <w:uiPriority w:val="99"/>
    <w:rPr>
      <w:rFonts w:ascii="Times New Roman" w:hAnsi="Times New Roman"/>
      <w:sz w:val="18"/>
      <w:szCs w:val="18"/>
    </w:rPr>
  </w:style>
  <w:style w:type="character" w:customStyle="1" w:styleId="19">
    <w:name w:val="页眉 Char"/>
    <w:link w:val="9"/>
    <w:autoRedefine/>
    <w:semiHidden/>
    <w:qFormat/>
    <w:locked/>
    <w:uiPriority w:val="99"/>
    <w:rPr>
      <w:sz w:val="18"/>
    </w:rPr>
  </w:style>
  <w:style w:type="character" w:customStyle="1" w:styleId="20">
    <w:name w:val="Footer Char"/>
    <w:basedOn w:val="14"/>
    <w:autoRedefine/>
    <w:semiHidden/>
    <w:qFormat/>
    <w:uiPriority w:val="99"/>
    <w:rPr>
      <w:rFonts w:ascii="Times New Roman" w:hAnsi="Times New Roman"/>
      <w:sz w:val="18"/>
      <w:szCs w:val="18"/>
    </w:rPr>
  </w:style>
  <w:style w:type="character" w:customStyle="1" w:styleId="21">
    <w:name w:val="页脚 Char"/>
    <w:link w:val="8"/>
    <w:autoRedefine/>
    <w:qFormat/>
    <w:locked/>
    <w:uiPriority w:val="99"/>
    <w:rPr>
      <w:sz w:val="18"/>
    </w:rPr>
  </w:style>
  <w:style w:type="character" w:customStyle="1" w:styleId="22">
    <w:name w:val="Body Text Char"/>
    <w:basedOn w:val="14"/>
    <w:autoRedefine/>
    <w:semiHidden/>
    <w:qFormat/>
    <w:uiPriority w:val="99"/>
    <w:rPr>
      <w:rFonts w:ascii="Times New Roman" w:hAnsi="Times New Roman"/>
      <w:szCs w:val="24"/>
    </w:rPr>
  </w:style>
  <w:style w:type="character" w:customStyle="1" w:styleId="23">
    <w:name w:val="正文文本 Char"/>
    <w:link w:val="5"/>
    <w:autoRedefine/>
    <w:qFormat/>
    <w:locked/>
    <w:uiPriority w:val="99"/>
    <w:rPr>
      <w:rFonts w:ascii="仿宋_GB2312" w:hAnsi="Times New Roman" w:eastAsia="仿宋_GB2312"/>
      <w:sz w:val="24"/>
    </w:rPr>
  </w:style>
  <w:style w:type="paragraph" w:customStyle="1" w:styleId="24">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标题 1 Char"/>
    <w:basedOn w:val="14"/>
    <w:link w:val="2"/>
    <w:autoRedefine/>
    <w:qFormat/>
    <w:uiPriority w:val="9"/>
    <w:rPr>
      <w:rFonts w:ascii="Times New Roman" w:hAnsi="Times New Roman"/>
      <w:b/>
      <w:bCs/>
      <w:kern w:val="44"/>
      <w:sz w:val="44"/>
      <w:szCs w:val="44"/>
    </w:rPr>
  </w:style>
  <w:style w:type="character" w:customStyle="1" w:styleId="27">
    <w:name w:val="标题 2 Char"/>
    <w:basedOn w:val="14"/>
    <w:link w:val="3"/>
    <w:autoRedefine/>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7"/>
    <w:autoRedefine/>
    <w:semiHidden/>
    <w:qFormat/>
    <w:uiPriority w:val="99"/>
    <w:rPr>
      <w:rFonts w:ascii="Times New Roman" w:hAnsi="Times New Roman"/>
      <w:kern w:val="2"/>
      <w:sz w:val="18"/>
      <w:szCs w:val="18"/>
    </w:rPr>
  </w:style>
  <w:style w:type="character" w:customStyle="1" w:styleId="30">
    <w:name w:val="标题 3 Char"/>
    <w:basedOn w:val="14"/>
    <w:link w:val="4"/>
    <w:autoRedefine/>
    <w:qFormat/>
    <w:uiPriority w:val="9"/>
    <w:rPr>
      <w:rFonts w:ascii="Times New Roman" w:hAnsi="Times New Roman"/>
      <w:b/>
      <w:bCs/>
      <w:kern w:val="2"/>
      <w:sz w:val="32"/>
      <w:szCs w:val="32"/>
    </w:rPr>
  </w:style>
  <w:style w:type="paragraph" w:customStyle="1" w:styleId="31">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四号正文"/>
    <w:basedOn w:val="1"/>
    <w:autoRedefine/>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5918</Words>
  <Characters>6337</Characters>
  <Lines>60</Lines>
  <Paragraphs>17</Paragraphs>
  <TotalTime>1</TotalTime>
  <ScaleCrop>false</ScaleCrop>
  <LinksUpToDate>false</LinksUpToDate>
  <CharactersWithSpaces>6400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2026-05-27T08:52:02Z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191D7267F17F41FD86D7199DD6B53115</vt:lpwstr>
  </property>
  <property fmtid="{D5CDD505-2E9C-101B-9397-08002B2CF9AE}" pid="4" name="KSOTemplateDocerSaveRecord">
    <vt:lpwstr>eyJoZGlkIjoiMjFmZTJhMzk0YjEwZTE5YjM0ZjU1ZjJiYjgwZjc0OWQiLCJ1c2VySWQiOiI5NzAzNDI1MDMifQ==</vt:lpwstr>
  </property>
</Properties>
</file>