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81DA7">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eastAsia" w:ascii="黑体" w:hAnsi="黑体" w:eastAsia="黑体" w:cs="黑体"/>
          <w:b/>
          <w:bCs/>
          <w:color w:val="auto"/>
          <w:sz w:val="44"/>
          <w:szCs w:val="44"/>
          <w:highlight w:val="none"/>
          <w:lang w:val="en-US" w:eastAsia="zh-CN"/>
        </w:rPr>
      </w:pPr>
      <w:r>
        <w:rPr>
          <w:rFonts w:hint="eastAsia" w:ascii="黑体" w:hAnsi="黑体" w:eastAsia="黑体" w:cs="黑体"/>
          <w:b/>
          <w:bCs/>
          <w:color w:val="auto"/>
          <w:sz w:val="44"/>
          <w:szCs w:val="44"/>
          <w:highlight w:val="none"/>
          <w:lang w:eastAsia="zh-CN"/>
        </w:rPr>
        <w:t>202</w:t>
      </w:r>
      <w:r>
        <w:rPr>
          <w:rFonts w:hint="eastAsia" w:ascii="黑体" w:hAnsi="黑体" w:eastAsia="黑体" w:cs="黑体"/>
          <w:b/>
          <w:bCs/>
          <w:color w:val="auto"/>
          <w:sz w:val="44"/>
          <w:szCs w:val="44"/>
          <w:highlight w:val="none"/>
          <w:lang w:val="en-US" w:eastAsia="zh-CN"/>
        </w:rPr>
        <w:t>5</w:t>
      </w:r>
      <w:r>
        <w:rPr>
          <w:rFonts w:hint="eastAsia" w:ascii="黑体" w:hAnsi="黑体" w:eastAsia="黑体" w:cs="黑体"/>
          <w:b/>
          <w:bCs/>
          <w:color w:val="auto"/>
          <w:sz w:val="44"/>
          <w:szCs w:val="44"/>
          <w:highlight w:val="none"/>
          <w:lang w:eastAsia="zh-CN"/>
        </w:rPr>
        <w:t>年度</w:t>
      </w:r>
      <w:r>
        <w:rPr>
          <w:rFonts w:hint="eastAsia" w:ascii="黑体" w:hAnsi="黑体" w:eastAsia="黑体" w:cs="黑体"/>
          <w:b/>
          <w:bCs/>
          <w:color w:val="auto"/>
          <w:sz w:val="44"/>
          <w:szCs w:val="44"/>
          <w:highlight w:val="none"/>
          <w:lang w:val="en-US" w:eastAsia="zh-CN"/>
        </w:rPr>
        <w:t>攀枝花市仁和区</w:t>
      </w:r>
    </w:p>
    <w:p w14:paraId="7FF525EF">
      <w:pPr>
        <w:spacing w:line="580" w:lineRule="exact"/>
        <w:ind w:firstLine="0" w:firstLineChars="0"/>
        <w:jc w:val="center"/>
        <w:rPr>
          <w:rFonts w:hint="default" w:ascii="Times New Roman" w:hAnsi="Times New Roman" w:eastAsia="楷体_GB2312" w:cs="Times New Roman"/>
          <w:b/>
          <w:bCs/>
          <w:color w:val="auto"/>
          <w:sz w:val="52"/>
          <w:szCs w:val="52"/>
        </w:rPr>
      </w:pPr>
      <w:r>
        <w:rPr>
          <w:rFonts w:hint="eastAsia" w:ascii="黑体" w:hAnsi="黑体" w:eastAsia="黑体" w:cs="黑体"/>
          <w:b/>
          <w:bCs/>
          <w:color w:val="auto"/>
          <w:sz w:val="44"/>
          <w:szCs w:val="44"/>
          <w:highlight w:val="none"/>
          <w:lang w:val="en-US" w:eastAsia="zh-CN"/>
        </w:rPr>
        <w:t>专项预算项目</w:t>
      </w:r>
      <w:r>
        <w:rPr>
          <w:rFonts w:hint="eastAsia" w:ascii="黑体" w:hAnsi="黑体" w:eastAsia="黑体" w:cs="黑体"/>
          <w:b/>
          <w:bCs/>
          <w:color w:val="auto"/>
          <w:sz w:val="44"/>
          <w:szCs w:val="44"/>
          <w:highlight w:val="none"/>
          <w:lang w:eastAsia="zh-CN"/>
        </w:rPr>
        <w:t>绩效评价报告</w:t>
      </w:r>
      <w:bookmarkStart w:id="120" w:name="_GoBack"/>
      <w:bookmarkEnd w:id="120"/>
    </w:p>
    <w:p w14:paraId="42526524">
      <w:pPr>
        <w:pStyle w:val="5"/>
        <w:spacing w:line="580" w:lineRule="exact"/>
        <w:ind w:firstLine="0" w:firstLineChars="0"/>
        <w:jc w:val="center"/>
        <w:rPr>
          <w:rFonts w:hint="default" w:ascii="Times New Roman" w:hAnsi="Times New Roman" w:cs="Times New Roman"/>
          <w:color w:val="auto"/>
          <w:sz w:val="52"/>
          <w:szCs w:val="52"/>
        </w:rPr>
      </w:pPr>
    </w:p>
    <w:p w14:paraId="790694D6">
      <w:pPr>
        <w:spacing w:line="580" w:lineRule="exact"/>
        <w:rPr>
          <w:rFonts w:hint="default" w:ascii="Times New Roman" w:hAnsi="Times New Roman" w:cs="Times New Roman"/>
          <w:color w:val="auto"/>
          <w:sz w:val="52"/>
          <w:szCs w:val="52"/>
        </w:rPr>
      </w:pPr>
    </w:p>
    <w:p w14:paraId="4BFF21B9">
      <w:pPr>
        <w:spacing w:line="580" w:lineRule="exact"/>
        <w:rPr>
          <w:rFonts w:hint="default" w:ascii="Times New Roman" w:hAnsi="Times New Roman" w:cs="Times New Roman"/>
          <w:color w:val="auto"/>
          <w:sz w:val="52"/>
          <w:szCs w:val="52"/>
        </w:rPr>
      </w:pPr>
    </w:p>
    <w:p w14:paraId="70E3A53D">
      <w:pPr>
        <w:spacing w:line="580" w:lineRule="exact"/>
        <w:rPr>
          <w:rFonts w:hint="default" w:ascii="Times New Roman" w:hAnsi="Times New Roman" w:cs="Times New Roman"/>
          <w:color w:val="auto"/>
          <w:sz w:val="52"/>
          <w:szCs w:val="52"/>
        </w:rPr>
      </w:pPr>
    </w:p>
    <w:p w14:paraId="3E0C9D47">
      <w:pPr>
        <w:spacing w:line="580" w:lineRule="exact"/>
        <w:rPr>
          <w:rFonts w:hint="default" w:ascii="Times New Roman" w:hAnsi="Times New Roman" w:cs="Times New Roman"/>
          <w:color w:val="auto"/>
          <w:sz w:val="52"/>
          <w:szCs w:val="52"/>
        </w:rPr>
      </w:pPr>
    </w:p>
    <w:p w14:paraId="5F50EF89">
      <w:pPr>
        <w:spacing w:line="580" w:lineRule="exact"/>
        <w:rPr>
          <w:rFonts w:hint="default" w:ascii="Times New Roman" w:hAnsi="Times New Roman" w:cs="Times New Roman"/>
          <w:color w:val="auto"/>
          <w:sz w:val="52"/>
          <w:szCs w:val="52"/>
        </w:rPr>
      </w:pPr>
    </w:p>
    <w:p w14:paraId="27F5F004">
      <w:pPr>
        <w:pStyle w:val="10"/>
        <w:rPr>
          <w:rFonts w:hint="default"/>
        </w:rPr>
      </w:pPr>
    </w:p>
    <w:p w14:paraId="761D8AB7">
      <w:pPr>
        <w:spacing w:line="580" w:lineRule="exact"/>
        <w:ind w:left="2801" w:leftChars="665" w:hanging="1405" w:hanging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项目名称：</w:t>
      </w:r>
      <w:r>
        <w:rPr>
          <w:rFonts w:hint="eastAsia" w:ascii="黑体" w:hAnsi="黑体" w:eastAsia="黑体" w:cs="黑体"/>
          <w:b/>
          <w:bCs/>
          <w:color w:val="auto"/>
          <w:sz w:val="28"/>
          <w:szCs w:val="28"/>
          <w:lang w:eastAsia="zh-CN"/>
        </w:rPr>
        <w:t>消费品以旧换新项目</w:t>
      </w:r>
    </w:p>
    <w:p w14:paraId="12E57430">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项目单位：攀枝花市仁和区商务局</w:t>
      </w:r>
    </w:p>
    <w:p w14:paraId="5E9FCF2B">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委托单位：</w:t>
      </w:r>
      <w:r>
        <w:rPr>
          <w:rFonts w:hint="eastAsia" w:ascii="黑体" w:hAnsi="黑体" w:eastAsia="黑体" w:cs="黑体"/>
          <w:b/>
          <w:bCs/>
          <w:color w:val="auto"/>
          <w:sz w:val="28"/>
          <w:szCs w:val="28"/>
          <w:lang w:eastAsia="zh-CN"/>
        </w:rPr>
        <w:t>攀枝花市仁和区财政局</w:t>
      </w:r>
    </w:p>
    <w:p w14:paraId="0F42FE54">
      <w:pPr>
        <w:spacing w:line="580" w:lineRule="exact"/>
        <w:ind w:firstLine="1405" w:firstLineChars="500"/>
        <w:jc w:val="both"/>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评价机构：</w:t>
      </w:r>
      <w:r>
        <w:rPr>
          <w:rFonts w:hint="eastAsia" w:ascii="黑体" w:hAnsi="黑体" w:eastAsia="黑体" w:cs="黑体"/>
          <w:b/>
          <w:bCs/>
          <w:color w:val="auto"/>
          <w:sz w:val="28"/>
          <w:szCs w:val="28"/>
          <w:lang w:eastAsia="zh-CN"/>
        </w:rPr>
        <w:t>四川璟合企业管理咨询有限公司</w:t>
      </w:r>
    </w:p>
    <w:p w14:paraId="792DC522">
      <w:pPr>
        <w:keepNext w:val="0"/>
        <w:keepLines w:val="0"/>
        <w:pageBreakBefore w:val="0"/>
        <w:widowControl w:val="0"/>
        <w:kinsoku/>
        <w:wordWrap/>
        <w:overflowPunct/>
        <w:topLinePunct w:val="0"/>
        <w:autoSpaceDE/>
        <w:autoSpaceDN/>
        <w:bidi w:val="0"/>
        <w:adjustRightInd/>
        <w:snapToGrid/>
        <w:spacing w:line="580" w:lineRule="atLeast"/>
        <w:ind w:firstLine="0" w:firstLineChars="0"/>
        <w:jc w:val="both"/>
        <w:textAlignment w:val="auto"/>
        <w:rPr>
          <w:rFonts w:hint="eastAsia" w:ascii="Times New Roman" w:hAnsi="Times New Roman" w:eastAsia="楷体_GB2312" w:cs="Times New Roman"/>
          <w:b/>
          <w:bCs/>
          <w:color w:val="auto"/>
          <w:szCs w:val="32"/>
        </w:rPr>
      </w:pPr>
    </w:p>
    <w:p w14:paraId="53EC4296">
      <w:pPr>
        <w:keepNext w:val="0"/>
        <w:keepLines w:val="0"/>
        <w:pageBreakBefore w:val="0"/>
        <w:widowControl w:val="0"/>
        <w:kinsoku/>
        <w:wordWrap/>
        <w:overflowPunct/>
        <w:topLinePunct w:val="0"/>
        <w:autoSpaceDE/>
        <w:autoSpaceDN/>
        <w:bidi w:val="0"/>
        <w:adjustRightInd/>
        <w:snapToGrid/>
        <w:spacing w:line="580" w:lineRule="atLeast"/>
        <w:ind w:firstLine="0" w:firstLineChars="0"/>
        <w:jc w:val="left"/>
        <w:textAlignment w:val="auto"/>
        <w:rPr>
          <w:rFonts w:hint="eastAsia" w:ascii="Times New Roman" w:hAnsi="Times New Roman" w:eastAsia="楷体_GB2312" w:cs="Times New Roman"/>
          <w:b/>
          <w:bCs/>
          <w:color w:val="auto"/>
          <w:szCs w:val="32"/>
        </w:rPr>
      </w:pPr>
    </w:p>
    <w:p w14:paraId="07517274">
      <w:pPr>
        <w:keepNext w:val="0"/>
        <w:keepLines w:val="0"/>
        <w:pageBreakBefore w:val="0"/>
        <w:widowControl w:val="0"/>
        <w:kinsoku/>
        <w:wordWrap/>
        <w:overflowPunct/>
        <w:topLinePunct w:val="0"/>
        <w:autoSpaceDE/>
        <w:autoSpaceDN/>
        <w:bidi w:val="0"/>
        <w:adjustRightInd/>
        <w:snapToGrid/>
        <w:spacing w:line="580" w:lineRule="atLeast"/>
        <w:ind w:firstLine="0" w:firstLineChars="0"/>
        <w:jc w:val="both"/>
        <w:textAlignment w:val="auto"/>
        <w:rPr>
          <w:rFonts w:hint="eastAsia" w:ascii="Times New Roman" w:hAnsi="Times New Roman" w:eastAsia="楷体_GB2312" w:cs="Times New Roman"/>
          <w:b/>
          <w:bCs/>
          <w:color w:val="auto"/>
          <w:szCs w:val="32"/>
        </w:rPr>
      </w:pPr>
    </w:p>
    <w:p w14:paraId="1DC93FC8">
      <w:pPr>
        <w:keepNext w:val="0"/>
        <w:keepLines w:val="0"/>
        <w:pageBreakBefore w:val="0"/>
        <w:widowControl w:val="0"/>
        <w:kinsoku/>
        <w:wordWrap/>
        <w:overflowPunct/>
        <w:topLinePunct w:val="0"/>
        <w:autoSpaceDE/>
        <w:autoSpaceDN/>
        <w:bidi w:val="0"/>
        <w:adjustRightInd/>
        <w:snapToGrid/>
        <w:spacing w:line="580" w:lineRule="atLeast"/>
        <w:ind w:firstLine="0" w:firstLineChars="0"/>
        <w:jc w:val="center"/>
        <w:textAlignment w:val="auto"/>
        <w:rPr>
          <w:rFonts w:hint="eastAsia" w:ascii="Times New Roman" w:hAnsi="Times New Roman" w:eastAsia="楷体_GB2312" w:cs="Times New Roman"/>
          <w:b/>
          <w:bCs/>
          <w:color w:val="auto"/>
          <w:szCs w:val="32"/>
        </w:rPr>
      </w:pPr>
    </w:p>
    <w:p w14:paraId="263FB288">
      <w:pPr>
        <w:keepNext w:val="0"/>
        <w:keepLines w:val="0"/>
        <w:pageBreakBefore w:val="0"/>
        <w:widowControl w:val="0"/>
        <w:kinsoku/>
        <w:wordWrap/>
        <w:overflowPunct/>
        <w:topLinePunct w:val="0"/>
        <w:autoSpaceDE/>
        <w:autoSpaceDN/>
        <w:bidi w:val="0"/>
        <w:adjustRightInd/>
        <w:snapToGrid/>
        <w:spacing w:line="580" w:lineRule="atLeast"/>
        <w:ind w:firstLine="0" w:firstLineChars="0"/>
        <w:jc w:val="center"/>
        <w:textAlignment w:val="auto"/>
        <w:rPr>
          <w:rFonts w:hint="eastAsia" w:ascii="Times New Roman" w:hAnsi="Times New Roman" w:eastAsia="楷体_GB2312" w:cs="Times New Roman"/>
          <w:b/>
          <w:bCs/>
          <w:color w:val="auto"/>
          <w:szCs w:val="32"/>
        </w:rPr>
      </w:pPr>
    </w:p>
    <w:p w14:paraId="0C176CA4">
      <w:pPr>
        <w:spacing w:line="580" w:lineRule="exact"/>
        <w:jc w:val="center"/>
        <w:rPr>
          <w:rFonts w:hint="default" w:ascii="Times New Roman" w:hAnsi="Times New Roman" w:eastAsia="楷体_GB2312" w:cs="Times New Roman"/>
          <w:b/>
          <w:bCs/>
          <w:color w:val="auto"/>
          <w:szCs w:val="32"/>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28" w:left="1587" w:header="851" w:footer="1701" w:gutter="0"/>
          <w:pgNumType w:fmt="upperRoman"/>
          <w:cols w:space="425" w:num="1"/>
          <w:docGrid w:type="lines" w:linePitch="312" w:charSpace="0"/>
        </w:sectPr>
      </w:pPr>
      <w:r>
        <w:rPr>
          <w:rFonts w:hint="eastAsia" w:ascii="黑体" w:hAnsi="黑体" w:eastAsia="黑体" w:cs="黑体"/>
          <w:b/>
          <w:bCs/>
          <w:color w:val="auto"/>
          <w:sz w:val="28"/>
          <w:szCs w:val="28"/>
          <w:lang w:eastAsia="zh-CN"/>
        </w:rPr>
        <w:t>二〇二</w:t>
      </w:r>
      <w:r>
        <w:rPr>
          <w:rFonts w:hint="eastAsia" w:ascii="黑体" w:hAnsi="黑体" w:eastAsia="黑体" w:cs="黑体"/>
          <w:b/>
          <w:bCs/>
          <w:color w:val="auto"/>
          <w:sz w:val="28"/>
          <w:szCs w:val="28"/>
          <w:lang w:val="en-US" w:eastAsia="zh-CN"/>
        </w:rPr>
        <w:t>五</w:t>
      </w:r>
      <w:r>
        <w:rPr>
          <w:rFonts w:hint="eastAsia" w:ascii="黑体" w:hAnsi="黑体" w:eastAsia="黑体" w:cs="黑体"/>
          <w:b/>
          <w:bCs/>
          <w:color w:val="auto"/>
          <w:sz w:val="28"/>
          <w:szCs w:val="28"/>
          <w:lang w:eastAsia="zh-CN"/>
        </w:rPr>
        <w:t>年</w:t>
      </w:r>
      <w:r>
        <w:rPr>
          <w:rFonts w:hint="eastAsia" w:ascii="黑体" w:hAnsi="黑体" w:eastAsia="黑体" w:cs="黑体"/>
          <w:b/>
          <w:bCs/>
          <w:color w:val="auto"/>
          <w:sz w:val="28"/>
          <w:szCs w:val="28"/>
          <w:lang w:val="en-US" w:eastAsia="zh-CN"/>
        </w:rPr>
        <w:t>十二</w:t>
      </w:r>
      <w:r>
        <w:rPr>
          <w:rFonts w:hint="eastAsia" w:ascii="黑体" w:hAnsi="黑体" w:eastAsia="黑体" w:cs="黑体"/>
          <w:b/>
          <w:bCs/>
          <w:color w:val="auto"/>
          <w:sz w:val="28"/>
          <w:szCs w:val="28"/>
          <w:lang w:eastAsia="zh-CN"/>
        </w:rPr>
        <w:t>月</w:t>
      </w:r>
    </w:p>
    <w:p w14:paraId="02F2F68C">
      <w:pPr>
        <w:pStyle w:val="10"/>
        <w:spacing w:after="120"/>
        <w:ind w:left="0" w:leftChars="0" w:firstLine="0" w:firstLineChars="0"/>
        <w:rPr>
          <w:rFonts w:hint="default"/>
        </w:rPr>
      </w:pPr>
    </w:p>
    <w:sdt>
      <w:sdtPr>
        <w:rPr>
          <w:rFonts w:ascii="宋体" w:hAnsi="宋体" w:eastAsia="宋体" w:cs="Times New Roman"/>
          <w:b/>
          <w:bCs/>
          <w:kern w:val="2"/>
          <w:sz w:val="24"/>
          <w:szCs w:val="32"/>
          <w:lang w:val="en-US" w:eastAsia="zh-CN" w:bidi="ar-SA"/>
        </w:rPr>
        <w:id w:val="147474472"/>
        <w15:color w:val="DBDBDB"/>
        <w:docPartObj>
          <w:docPartGallery w:val="Table of Contents"/>
          <w:docPartUnique/>
        </w:docPartObj>
      </w:sdtPr>
      <w:sdtEndPr>
        <w:rPr>
          <w:rFonts w:hint="default" w:ascii="Calibri" w:hAnsi="Calibri" w:eastAsia="宋体" w:cs="Times New Roman"/>
          <w:b/>
          <w:bCs/>
          <w:kern w:val="2"/>
          <w:sz w:val="21"/>
          <w:szCs w:val="24"/>
          <w:lang w:val="en-US" w:eastAsia="zh-CN" w:bidi="ar-SA"/>
        </w:rPr>
      </w:sdtEndPr>
      <w:sdtContent>
        <w:p w14:paraId="6BC97702">
          <w:pPr>
            <w:spacing w:before="0" w:beforeLines="0" w:after="0" w:afterLines="0" w:line="240" w:lineRule="auto"/>
            <w:ind w:left="0" w:leftChars="0" w:right="0" w:rightChars="0" w:firstLine="0" w:firstLineChars="0"/>
            <w:jc w:val="center"/>
            <w:rPr>
              <w:b/>
              <w:bCs/>
              <w:sz w:val="24"/>
              <w:szCs w:val="32"/>
            </w:rPr>
          </w:pPr>
          <w:r>
            <w:rPr>
              <w:rFonts w:ascii="宋体" w:hAnsi="宋体" w:eastAsia="宋体"/>
              <w:b/>
              <w:bCs/>
              <w:sz w:val="24"/>
              <w:szCs w:val="32"/>
            </w:rPr>
            <w:t>目录</w:t>
          </w:r>
        </w:p>
        <w:p w14:paraId="17C8F049">
          <w:pPr>
            <w:pStyle w:val="8"/>
            <w:tabs>
              <w:tab w:val="right" w:leader="dot" w:pos="8845"/>
            </w:tabs>
            <w:rPr>
              <w:b/>
              <w:bCs/>
            </w:rPr>
          </w:pPr>
          <w:r>
            <w:rPr>
              <w:rFonts w:hint="default" w:ascii="Calibri" w:hAnsi="Calibri" w:eastAsia="宋体" w:cs="Times New Roman"/>
              <w:kern w:val="2"/>
              <w:sz w:val="21"/>
              <w:szCs w:val="24"/>
              <w:lang w:val="en-US" w:eastAsia="zh-CN" w:bidi="ar-SA"/>
            </w:rPr>
            <w:fldChar w:fldCharType="begin"/>
          </w:r>
          <w:r>
            <w:rPr>
              <w:rFonts w:hint="default" w:ascii="Calibri" w:hAnsi="Calibri" w:eastAsia="宋体" w:cs="Times New Roman"/>
              <w:kern w:val="2"/>
              <w:sz w:val="21"/>
              <w:szCs w:val="24"/>
              <w:lang w:val="en-US" w:eastAsia="zh-CN" w:bidi="ar-SA"/>
            </w:rPr>
            <w:instrText xml:space="preserve">TOC \o "1-3" \h \u </w:instrText>
          </w:r>
          <w:r>
            <w:rPr>
              <w:rFonts w:hint="default" w:ascii="Calibri" w:hAnsi="Calibri" w:eastAsia="宋体" w:cs="Times New Roman"/>
              <w:kern w:val="2"/>
              <w:sz w:val="21"/>
              <w:szCs w:val="24"/>
              <w:lang w:val="en-US" w:eastAsia="zh-CN" w:bidi="ar-SA"/>
            </w:rPr>
            <w:fldChar w:fldCharType="separate"/>
          </w: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_Toc8551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lang w:val="en-US" w:eastAsia="zh-CN"/>
            </w:rPr>
            <w:t xml:space="preserve">一、 </w:t>
          </w:r>
          <w:r>
            <w:rPr>
              <w:rFonts w:hint="eastAsia" w:ascii="Times New Roman" w:hAnsi="Times New Roman" w:eastAsia="宋体" w:cs="Times New Roman"/>
              <w:b/>
              <w:bCs/>
              <w:szCs w:val="24"/>
              <w:highlight w:val="none"/>
              <w:lang w:val="en-US" w:eastAsia="zh-CN"/>
            </w:rPr>
            <w:t>项目基本情况</w:t>
          </w:r>
          <w:r>
            <w:rPr>
              <w:b/>
              <w:bCs/>
            </w:rPr>
            <w:tab/>
          </w:r>
          <w:r>
            <w:rPr>
              <w:b/>
              <w:bCs/>
            </w:rPr>
            <w:fldChar w:fldCharType="begin"/>
          </w:r>
          <w:r>
            <w:rPr>
              <w:b/>
              <w:bCs/>
            </w:rPr>
            <w:instrText xml:space="preserve"> PAGEREF _Toc8551 \h </w:instrText>
          </w:r>
          <w:r>
            <w:rPr>
              <w:b/>
              <w:bCs/>
            </w:rPr>
            <w:fldChar w:fldCharType="separate"/>
          </w:r>
          <w:r>
            <w:rPr>
              <w:b/>
              <w:bCs/>
            </w:rPr>
            <w:t>1</w:t>
          </w:r>
          <w:r>
            <w:rPr>
              <w:b/>
              <w:bCs/>
            </w:rPr>
            <w:fldChar w:fldCharType="end"/>
          </w:r>
          <w:r>
            <w:rPr>
              <w:rFonts w:hint="default" w:ascii="Calibri" w:hAnsi="Calibri" w:eastAsia="宋体" w:cs="Times New Roman"/>
              <w:b/>
              <w:bCs/>
              <w:kern w:val="2"/>
              <w:szCs w:val="24"/>
              <w:lang w:val="en-US" w:eastAsia="zh-CN" w:bidi="ar-SA"/>
            </w:rPr>
            <w:fldChar w:fldCharType="end"/>
          </w:r>
        </w:p>
        <w:p w14:paraId="6C5DC66D">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_Toc9386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highlight w:val="none"/>
              <w:lang w:val="en-US" w:eastAsia="zh-CN"/>
            </w:rPr>
            <w:t>二、评价工作开展情况</w:t>
          </w:r>
          <w:r>
            <w:rPr>
              <w:b/>
              <w:bCs/>
            </w:rPr>
            <w:tab/>
          </w:r>
          <w:r>
            <w:rPr>
              <w:b/>
              <w:bCs/>
            </w:rPr>
            <w:fldChar w:fldCharType="begin"/>
          </w:r>
          <w:r>
            <w:rPr>
              <w:b/>
              <w:bCs/>
            </w:rPr>
            <w:instrText xml:space="preserve"> PAGEREF _Toc9386 \h </w:instrText>
          </w:r>
          <w:r>
            <w:rPr>
              <w:b/>
              <w:bCs/>
            </w:rPr>
            <w:fldChar w:fldCharType="separate"/>
          </w:r>
          <w:r>
            <w:rPr>
              <w:b/>
              <w:bCs/>
            </w:rPr>
            <w:t>1</w:t>
          </w:r>
          <w:r>
            <w:rPr>
              <w:b/>
              <w:bCs/>
            </w:rPr>
            <w:fldChar w:fldCharType="end"/>
          </w:r>
          <w:r>
            <w:rPr>
              <w:rFonts w:hint="default" w:ascii="Calibri" w:hAnsi="Calibri" w:eastAsia="宋体" w:cs="Times New Roman"/>
              <w:b/>
              <w:bCs/>
              <w:kern w:val="2"/>
              <w:szCs w:val="24"/>
              <w:lang w:val="en-US" w:eastAsia="zh-CN" w:bidi="ar-SA"/>
            </w:rPr>
            <w:fldChar w:fldCharType="end"/>
          </w:r>
        </w:p>
        <w:p w14:paraId="65F43758">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_Toc25706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eastAsia="宋体" w:cs="Times New Roman"/>
              <w:bCs/>
              <w:szCs w:val="24"/>
              <w:highlight w:val="none"/>
              <w:lang w:val="en-US" w:eastAsia="zh-CN"/>
            </w:rPr>
            <w:t>（一）</w:t>
          </w:r>
          <w:r>
            <w:rPr>
              <w:rFonts w:hint="eastAsia" w:ascii="Times New Roman" w:hAnsi="Times New Roman" w:eastAsia="宋体" w:cs="Times New Roman"/>
              <w:bCs/>
              <w:szCs w:val="24"/>
              <w:highlight w:val="none"/>
              <w:lang w:val="en-US" w:eastAsia="zh-CN"/>
            </w:rPr>
            <w:t>评价目的</w:t>
          </w:r>
          <w:r>
            <w:tab/>
          </w:r>
          <w:r>
            <w:fldChar w:fldCharType="begin"/>
          </w:r>
          <w:r>
            <w:instrText xml:space="preserve"> PAGEREF _Toc25706 \h </w:instrText>
          </w:r>
          <w:r>
            <w:fldChar w:fldCharType="separate"/>
          </w:r>
          <w:r>
            <w:t>1</w:t>
          </w:r>
          <w:r>
            <w:fldChar w:fldCharType="end"/>
          </w:r>
          <w:r>
            <w:rPr>
              <w:rFonts w:hint="default" w:ascii="Calibri" w:hAnsi="Calibri" w:eastAsia="宋体" w:cs="Times New Roman"/>
              <w:kern w:val="2"/>
              <w:szCs w:val="24"/>
              <w:lang w:val="en-US" w:eastAsia="zh-CN" w:bidi="ar-SA"/>
            </w:rPr>
            <w:fldChar w:fldCharType="end"/>
          </w:r>
        </w:p>
        <w:p w14:paraId="0A98F47A">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_Toc31429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（二）评价方法</w:t>
          </w:r>
          <w:r>
            <w:tab/>
          </w:r>
          <w:r>
            <w:fldChar w:fldCharType="begin"/>
          </w:r>
          <w:r>
            <w:instrText xml:space="preserve"> PAGEREF _Toc31429 \h </w:instrText>
          </w:r>
          <w:r>
            <w:fldChar w:fldCharType="separate"/>
          </w:r>
          <w:r>
            <w:t>2</w:t>
          </w:r>
          <w:r>
            <w:fldChar w:fldCharType="end"/>
          </w:r>
          <w:r>
            <w:rPr>
              <w:rFonts w:hint="default" w:ascii="Calibri" w:hAnsi="Calibri" w:eastAsia="宋体" w:cs="Times New Roman"/>
              <w:kern w:val="2"/>
              <w:szCs w:val="24"/>
              <w:lang w:val="en-US" w:eastAsia="zh-CN" w:bidi="ar-SA"/>
            </w:rPr>
            <w:fldChar w:fldCharType="end"/>
          </w:r>
        </w:p>
        <w:p w14:paraId="40385C09">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_Toc24656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cs="Times New Roman"/>
              <w:b/>
              <w:bCs/>
              <w:szCs w:val="24"/>
              <w:lang w:val="en-US" w:eastAsia="zh-CN"/>
            </w:rPr>
            <w:t xml:space="preserve">三、 </w:t>
          </w:r>
          <w:r>
            <w:rPr>
              <w:rFonts w:hint="eastAsia" w:ascii="Times New Roman" w:hAnsi="Times New Roman" w:cs="Times New Roman"/>
              <w:b/>
              <w:bCs/>
              <w:szCs w:val="24"/>
              <w:highlight w:val="none"/>
              <w:lang w:val="en-US" w:eastAsia="zh-CN"/>
            </w:rPr>
            <w:t>评价指标</w:t>
          </w:r>
          <w:r>
            <w:rPr>
              <w:b/>
              <w:bCs/>
            </w:rPr>
            <w:tab/>
          </w:r>
          <w:r>
            <w:rPr>
              <w:b/>
              <w:bCs/>
            </w:rPr>
            <w:fldChar w:fldCharType="begin"/>
          </w:r>
          <w:r>
            <w:rPr>
              <w:b/>
              <w:bCs/>
            </w:rPr>
            <w:instrText xml:space="preserve"> PAGEREF _Toc24656 \h </w:instrText>
          </w:r>
          <w:r>
            <w:rPr>
              <w:b/>
              <w:bCs/>
            </w:rPr>
            <w:fldChar w:fldCharType="separate"/>
          </w:r>
          <w:r>
            <w:rPr>
              <w:b/>
              <w:bCs/>
            </w:rPr>
            <w:t>2</w:t>
          </w:r>
          <w:r>
            <w:rPr>
              <w:b/>
              <w:bCs/>
            </w:rPr>
            <w:fldChar w:fldCharType="end"/>
          </w:r>
          <w:r>
            <w:rPr>
              <w:rFonts w:hint="default" w:ascii="Calibri" w:hAnsi="Calibri" w:eastAsia="宋体" w:cs="Times New Roman"/>
              <w:b/>
              <w:bCs/>
              <w:kern w:val="2"/>
              <w:szCs w:val="24"/>
              <w:lang w:val="en-US" w:eastAsia="zh-CN" w:bidi="ar-SA"/>
            </w:rPr>
            <w:fldChar w:fldCharType="end"/>
          </w:r>
        </w:p>
        <w:p w14:paraId="5A80CA71">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_Toc31111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cs="Times New Roman"/>
              <w:b/>
              <w:bCs/>
              <w:szCs w:val="24"/>
              <w:lang w:val="en-US" w:eastAsia="zh-CN"/>
            </w:rPr>
            <w:t xml:space="preserve">四、 </w:t>
          </w:r>
          <w:r>
            <w:rPr>
              <w:rFonts w:hint="eastAsia" w:ascii="Times New Roman" w:hAnsi="Times New Roman" w:cs="Times New Roman"/>
              <w:b/>
              <w:bCs/>
              <w:szCs w:val="24"/>
              <w:highlight w:val="none"/>
              <w:lang w:val="en-US" w:eastAsia="zh-CN"/>
            </w:rPr>
            <w:t>评价结果与结论</w:t>
          </w:r>
          <w:r>
            <w:rPr>
              <w:b/>
              <w:bCs/>
            </w:rPr>
            <w:tab/>
          </w:r>
          <w:r>
            <w:rPr>
              <w:b/>
              <w:bCs/>
            </w:rPr>
            <w:fldChar w:fldCharType="begin"/>
          </w:r>
          <w:r>
            <w:rPr>
              <w:b/>
              <w:bCs/>
            </w:rPr>
            <w:instrText xml:space="preserve"> PAGEREF _Toc31111 \h </w:instrText>
          </w:r>
          <w:r>
            <w:rPr>
              <w:b/>
              <w:bCs/>
            </w:rPr>
            <w:fldChar w:fldCharType="separate"/>
          </w:r>
          <w:r>
            <w:rPr>
              <w:b/>
              <w:bCs/>
            </w:rPr>
            <w:t>2</w:t>
          </w:r>
          <w:r>
            <w:rPr>
              <w:b/>
              <w:bCs/>
            </w:rPr>
            <w:fldChar w:fldCharType="end"/>
          </w:r>
          <w:r>
            <w:rPr>
              <w:rFonts w:hint="default" w:ascii="Calibri" w:hAnsi="Calibri" w:eastAsia="宋体" w:cs="Times New Roman"/>
              <w:b/>
              <w:bCs/>
              <w:kern w:val="2"/>
              <w:szCs w:val="24"/>
              <w:lang w:val="en-US" w:eastAsia="zh-CN" w:bidi="ar-SA"/>
            </w:rPr>
            <w:fldChar w:fldCharType="end"/>
          </w:r>
        </w:p>
        <w:p w14:paraId="3FC62895">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_Toc8539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highlight w:val="none"/>
              <w:lang w:val="en-US" w:eastAsia="zh-CN"/>
            </w:rPr>
            <w:t>五、项目绩效分析</w:t>
          </w:r>
          <w:r>
            <w:rPr>
              <w:b/>
              <w:bCs/>
            </w:rPr>
            <w:tab/>
          </w:r>
          <w:r>
            <w:rPr>
              <w:b/>
              <w:bCs/>
            </w:rPr>
            <w:fldChar w:fldCharType="begin"/>
          </w:r>
          <w:r>
            <w:rPr>
              <w:b/>
              <w:bCs/>
            </w:rPr>
            <w:instrText xml:space="preserve"> PAGEREF _Toc8539 \h </w:instrText>
          </w:r>
          <w:r>
            <w:rPr>
              <w:b/>
              <w:bCs/>
            </w:rPr>
            <w:fldChar w:fldCharType="separate"/>
          </w:r>
          <w:r>
            <w:rPr>
              <w:b/>
              <w:bCs/>
            </w:rPr>
            <w:t>4</w:t>
          </w:r>
          <w:r>
            <w:rPr>
              <w:b/>
              <w:bCs/>
            </w:rPr>
            <w:fldChar w:fldCharType="end"/>
          </w:r>
          <w:r>
            <w:rPr>
              <w:rFonts w:hint="default" w:ascii="Calibri" w:hAnsi="Calibri" w:eastAsia="宋体" w:cs="Times New Roman"/>
              <w:b/>
              <w:bCs/>
              <w:kern w:val="2"/>
              <w:szCs w:val="24"/>
              <w:lang w:val="en-US" w:eastAsia="zh-CN" w:bidi="ar-SA"/>
            </w:rPr>
            <w:fldChar w:fldCharType="end"/>
          </w:r>
        </w:p>
        <w:p w14:paraId="49F53A8C">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_Toc15493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cs="Times New Roman"/>
              <w:bCs/>
              <w:szCs w:val="24"/>
              <w:highlight w:val="none"/>
              <w:lang w:val="en-US" w:eastAsia="zh-CN"/>
            </w:rPr>
            <w:t>（一）</w:t>
          </w:r>
          <w:r>
            <w:rPr>
              <w:rFonts w:hint="default" w:ascii="Times New Roman" w:hAnsi="Times New Roman" w:cs="Times New Roman"/>
              <w:bCs/>
              <w:szCs w:val="24"/>
              <w:highlight w:val="none"/>
              <w:lang w:val="en-US" w:eastAsia="zh-CN"/>
            </w:rPr>
            <w:t>通用指标</w:t>
          </w:r>
          <w:r>
            <w:tab/>
          </w:r>
          <w:r>
            <w:fldChar w:fldCharType="begin"/>
          </w:r>
          <w:r>
            <w:instrText xml:space="preserve"> PAGEREF _Toc15493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26A4CE27">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_Toc21048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cs="Times New Roman"/>
              <w:bCs/>
              <w:szCs w:val="24"/>
              <w:highlight w:val="none"/>
              <w:lang w:val="en-US" w:eastAsia="zh-CN"/>
            </w:rPr>
            <w:t>1.项目决策</w:t>
          </w:r>
          <w:r>
            <w:tab/>
          </w:r>
          <w:r>
            <w:fldChar w:fldCharType="begin"/>
          </w:r>
          <w:r>
            <w:instrText xml:space="preserve"> PAGEREF _Toc21048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1C621D2C">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_Toc7098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2.项目管理</w:t>
          </w:r>
          <w:r>
            <w:tab/>
          </w:r>
          <w:r>
            <w:fldChar w:fldCharType="begin"/>
          </w:r>
          <w:r>
            <w:instrText xml:space="preserve"> PAGEREF _Toc7098 \h </w:instrText>
          </w:r>
          <w:r>
            <w:fldChar w:fldCharType="separate"/>
          </w:r>
          <w:r>
            <w:t>5</w:t>
          </w:r>
          <w:r>
            <w:fldChar w:fldCharType="end"/>
          </w:r>
          <w:r>
            <w:rPr>
              <w:rFonts w:hint="default" w:ascii="Calibri" w:hAnsi="Calibri" w:eastAsia="宋体" w:cs="Times New Roman"/>
              <w:kern w:val="2"/>
              <w:szCs w:val="24"/>
              <w:lang w:val="en-US" w:eastAsia="zh-CN" w:bidi="ar-SA"/>
            </w:rPr>
            <w:fldChar w:fldCharType="end"/>
          </w:r>
        </w:p>
        <w:p w14:paraId="45837E21">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_Toc7895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3.项目实施</w:t>
          </w:r>
          <w:r>
            <w:tab/>
          </w:r>
          <w:r>
            <w:fldChar w:fldCharType="begin"/>
          </w:r>
          <w:r>
            <w:instrText xml:space="preserve"> PAGEREF _Toc7895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718C95F0">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_Toc14401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4.项目结果</w:t>
          </w:r>
          <w:r>
            <w:tab/>
          </w:r>
          <w:r>
            <w:fldChar w:fldCharType="begin"/>
          </w:r>
          <w:r>
            <w:instrText xml:space="preserve"> PAGEREF _Toc14401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6EFAE7CC">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_Toc32430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 xml:space="preserve">（二） </w:t>
          </w:r>
          <w:r>
            <w:rPr>
              <w:rFonts w:hint="eastAsia" w:ascii="Times New Roman" w:hAnsi="Times New Roman" w:eastAsia="宋体" w:cs="Times New Roman"/>
              <w:bCs/>
              <w:szCs w:val="24"/>
              <w:highlight w:val="none"/>
              <w:lang w:val="en-US" w:eastAsia="zh-CN"/>
            </w:rPr>
            <w:t>专用指标</w:t>
          </w:r>
          <w:r>
            <w:tab/>
          </w:r>
          <w:r>
            <w:fldChar w:fldCharType="begin"/>
          </w:r>
          <w:r>
            <w:instrText xml:space="preserve"> PAGEREF _Toc32430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078BDE6A">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_Toc17049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1.产业发展</w:t>
          </w:r>
          <w:r>
            <w:tab/>
          </w:r>
          <w:r>
            <w:fldChar w:fldCharType="begin"/>
          </w:r>
          <w:r>
            <w:instrText xml:space="preserve"> PAGEREF _Toc17049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0443086E">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_Toc947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 xml:space="preserve">（三） </w:t>
          </w:r>
          <w:r>
            <w:rPr>
              <w:rFonts w:hint="eastAsia" w:ascii="Times New Roman" w:hAnsi="Times New Roman" w:eastAsia="宋体" w:cs="Times New Roman"/>
              <w:bCs/>
              <w:szCs w:val="24"/>
              <w:highlight w:val="none"/>
              <w:lang w:val="en-US" w:eastAsia="zh-CN"/>
            </w:rPr>
            <w:t>个性指标</w:t>
          </w:r>
          <w:r>
            <w:tab/>
          </w:r>
          <w:r>
            <w:fldChar w:fldCharType="begin"/>
          </w:r>
          <w:r>
            <w:instrText xml:space="preserve"> PAGEREF _Toc947 \h </w:instrText>
          </w:r>
          <w:r>
            <w:fldChar w:fldCharType="separate"/>
          </w:r>
          <w:r>
            <w:t>8</w:t>
          </w:r>
          <w:r>
            <w:fldChar w:fldCharType="end"/>
          </w:r>
          <w:r>
            <w:rPr>
              <w:rFonts w:hint="default" w:ascii="Calibri" w:hAnsi="Calibri" w:eastAsia="宋体" w:cs="Times New Roman"/>
              <w:kern w:val="2"/>
              <w:szCs w:val="24"/>
              <w:lang w:val="en-US" w:eastAsia="zh-CN" w:bidi="ar-SA"/>
            </w:rPr>
            <w:fldChar w:fldCharType="end"/>
          </w:r>
        </w:p>
        <w:p w14:paraId="7DA1412A">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_Toc25221 </w:instrText>
          </w:r>
          <w:r>
            <w:rPr>
              <w:rFonts w:hint="default" w:ascii="Calibri" w:hAnsi="Calibri" w:eastAsia="宋体" w:cs="Times New Roman"/>
              <w:kern w:val="2"/>
              <w:szCs w:val="24"/>
              <w:lang w:val="en-US" w:eastAsia="zh-CN" w:bidi="ar-SA"/>
            </w:rPr>
            <w:fldChar w:fldCharType="separate"/>
          </w:r>
          <w:r>
            <w:rPr>
              <w:rFonts w:hint="default" w:ascii="宋体" w:hAnsi="宋体" w:eastAsia="宋体" w:cs="宋体"/>
              <w:bCs w:val="0"/>
              <w:szCs w:val="24"/>
              <w:lang w:val="en-US" w:eastAsia="zh-CN"/>
            </w:rPr>
            <w:t>1.重点品类换新达标率</w:t>
          </w:r>
          <w:r>
            <w:tab/>
          </w:r>
          <w:r>
            <w:fldChar w:fldCharType="begin"/>
          </w:r>
          <w:r>
            <w:instrText xml:space="preserve"> PAGEREF _Toc25221 \h </w:instrText>
          </w:r>
          <w:r>
            <w:fldChar w:fldCharType="separate"/>
          </w:r>
          <w:r>
            <w:t>8</w:t>
          </w:r>
          <w:r>
            <w:fldChar w:fldCharType="end"/>
          </w:r>
          <w:r>
            <w:rPr>
              <w:rFonts w:hint="default" w:ascii="Calibri" w:hAnsi="Calibri" w:eastAsia="宋体" w:cs="Times New Roman"/>
              <w:kern w:val="2"/>
              <w:szCs w:val="24"/>
              <w:lang w:val="en-US" w:eastAsia="zh-CN" w:bidi="ar-SA"/>
            </w:rPr>
            <w:fldChar w:fldCharType="end"/>
          </w:r>
        </w:p>
        <w:p w14:paraId="4D835B67">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_Toc17821 </w:instrText>
          </w:r>
          <w:r>
            <w:rPr>
              <w:rFonts w:hint="default" w:ascii="Calibri" w:hAnsi="Calibri" w:eastAsia="宋体" w:cs="Times New Roman"/>
              <w:kern w:val="2"/>
              <w:szCs w:val="24"/>
              <w:lang w:val="en-US" w:eastAsia="zh-CN" w:bidi="ar-SA"/>
            </w:rPr>
            <w:fldChar w:fldCharType="separate"/>
          </w:r>
          <w:r>
            <w:rPr>
              <w:rFonts w:hint="default" w:ascii="宋体" w:hAnsi="宋体" w:eastAsia="宋体" w:cs="宋体"/>
              <w:bCs w:val="0"/>
              <w:szCs w:val="24"/>
              <w:lang w:val="en-US" w:eastAsia="zh-CN"/>
            </w:rPr>
            <w:t>2.参与企业服务达标率</w:t>
          </w:r>
          <w:r>
            <w:tab/>
          </w:r>
          <w:r>
            <w:fldChar w:fldCharType="begin"/>
          </w:r>
          <w:r>
            <w:instrText xml:space="preserve"> PAGEREF _Toc17821 \h </w:instrText>
          </w:r>
          <w:r>
            <w:fldChar w:fldCharType="separate"/>
          </w:r>
          <w:r>
            <w:t>8</w:t>
          </w:r>
          <w:r>
            <w:fldChar w:fldCharType="end"/>
          </w:r>
          <w:r>
            <w:rPr>
              <w:rFonts w:hint="default" w:ascii="Calibri" w:hAnsi="Calibri" w:eastAsia="宋体" w:cs="Times New Roman"/>
              <w:kern w:val="2"/>
              <w:szCs w:val="24"/>
              <w:lang w:val="en-US" w:eastAsia="zh-CN" w:bidi="ar-SA"/>
            </w:rPr>
            <w:fldChar w:fldCharType="end"/>
          </w:r>
        </w:p>
        <w:p w14:paraId="7F388264">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_Toc11229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 xml:space="preserve">（四） </w:t>
          </w:r>
          <w:r>
            <w:rPr>
              <w:rFonts w:hint="eastAsia" w:ascii="Times New Roman" w:hAnsi="Times New Roman" w:eastAsia="宋体" w:cs="Times New Roman"/>
              <w:bCs/>
              <w:szCs w:val="24"/>
              <w:highlight w:val="none"/>
              <w:lang w:val="en-US" w:eastAsia="zh-CN"/>
            </w:rPr>
            <w:t>扣分项</w:t>
          </w:r>
          <w:r>
            <w:tab/>
          </w:r>
          <w:r>
            <w:fldChar w:fldCharType="begin"/>
          </w:r>
          <w:r>
            <w:instrText xml:space="preserve"> PAGEREF _Toc11229 \h </w:instrText>
          </w:r>
          <w:r>
            <w:fldChar w:fldCharType="separate"/>
          </w:r>
          <w:r>
            <w:t>9</w:t>
          </w:r>
          <w:r>
            <w:fldChar w:fldCharType="end"/>
          </w:r>
          <w:r>
            <w:rPr>
              <w:rFonts w:hint="default" w:ascii="Calibri" w:hAnsi="Calibri" w:eastAsia="宋体" w:cs="Times New Roman"/>
              <w:kern w:val="2"/>
              <w:szCs w:val="24"/>
              <w:lang w:val="en-US" w:eastAsia="zh-CN" w:bidi="ar-SA"/>
            </w:rPr>
            <w:fldChar w:fldCharType="end"/>
          </w:r>
        </w:p>
        <w:p w14:paraId="6F29837E">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_Toc24569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 xml:space="preserve">1. </w:t>
          </w:r>
          <w:r>
            <w:rPr>
              <w:rFonts w:hint="eastAsia" w:ascii="Times New Roman" w:hAnsi="Times New Roman" w:eastAsia="宋体" w:cs="Times New Roman"/>
              <w:bCs/>
              <w:szCs w:val="24"/>
              <w:highlight w:val="none"/>
              <w:lang w:val="en-US" w:eastAsia="zh-CN"/>
            </w:rPr>
            <w:t>绩效管理存在问题</w:t>
          </w:r>
          <w:r>
            <w:tab/>
          </w:r>
          <w:r>
            <w:fldChar w:fldCharType="begin"/>
          </w:r>
          <w:r>
            <w:instrText xml:space="preserve"> PAGEREF _Toc24569 \h </w:instrText>
          </w:r>
          <w:r>
            <w:fldChar w:fldCharType="separate"/>
          </w:r>
          <w:r>
            <w:t>9</w:t>
          </w:r>
          <w:r>
            <w:fldChar w:fldCharType="end"/>
          </w:r>
          <w:r>
            <w:rPr>
              <w:rFonts w:hint="default" w:ascii="Calibri" w:hAnsi="Calibri" w:eastAsia="宋体" w:cs="Times New Roman"/>
              <w:kern w:val="2"/>
              <w:szCs w:val="24"/>
              <w:lang w:val="en-US" w:eastAsia="zh-CN" w:bidi="ar-SA"/>
            </w:rPr>
            <w:fldChar w:fldCharType="end"/>
          </w:r>
        </w:p>
        <w:p w14:paraId="59E38C7A">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_Toc3775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cs="Times New Roman"/>
              <w:bCs/>
              <w:szCs w:val="24"/>
              <w:lang w:val="en-US" w:eastAsia="zh-CN"/>
            </w:rPr>
            <w:t xml:space="preserve">2. </w:t>
          </w:r>
          <w:r>
            <w:rPr>
              <w:rFonts w:hint="eastAsia" w:ascii="Times New Roman" w:hAnsi="Times New Roman" w:cs="Times New Roman"/>
              <w:bCs/>
              <w:szCs w:val="24"/>
              <w:highlight w:val="none"/>
              <w:lang w:val="en-US" w:eastAsia="zh-CN"/>
            </w:rPr>
            <w:t>被评价部门配合度</w:t>
          </w:r>
          <w:r>
            <w:tab/>
          </w:r>
          <w:r>
            <w:fldChar w:fldCharType="begin"/>
          </w:r>
          <w:r>
            <w:instrText xml:space="preserve"> PAGEREF _Toc3775 \h </w:instrText>
          </w:r>
          <w:r>
            <w:fldChar w:fldCharType="separate"/>
          </w:r>
          <w:r>
            <w:t>9</w:t>
          </w:r>
          <w:r>
            <w:fldChar w:fldCharType="end"/>
          </w:r>
          <w:r>
            <w:rPr>
              <w:rFonts w:hint="default" w:ascii="Calibri" w:hAnsi="Calibri" w:eastAsia="宋体" w:cs="Times New Roman"/>
              <w:kern w:val="2"/>
              <w:szCs w:val="24"/>
              <w:lang w:val="en-US" w:eastAsia="zh-CN" w:bidi="ar-SA"/>
            </w:rPr>
            <w:fldChar w:fldCharType="end"/>
          </w:r>
        </w:p>
        <w:p w14:paraId="0C76ADBF">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_Toc25100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五、存在的主要问题</w:t>
          </w:r>
          <w:r>
            <w:rPr>
              <w:b/>
              <w:bCs/>
            </w:rPr>
            <w:tab/>
          </w:r>
          <w:r>
            <w:rPr>
              <w:b/>
              <w:bCs/>
            </w:rPr>
            <w:fldChar w:fldCharType="begin"/>
          </w:r>
          <w:r>
            <w:rPr>
              <w:b/>
              <w:bCs/>
            </w:rPr>
            <w:instrText xml:space="preserve"> PAGEREF _Toc25100 \h </w:instrText>
          </w:r>
          <w:r>
            <w:rPr>
              <w:b/>
              <w:bCs/>
            </w:rPr>
            <w:fldChar w:fldCharType="separate"/>
          </w:r>
          <w:r>
            <w:rPr>
              <w:b/>
              <w:bCs/>
            </w:rPr>
            <w:t>9</w:t>
          </w:r>
          <w:r>
            <w:rPr>
              <w:b/>
              <w:bCs/>
            </w:rPr>
            <w:fldChar w:fldCharType="end"/>
          </w:r>
          <w:r>
            <w:rPr>
              <w:rFonts w:hint="default" w:ascii="Calibri" w:hAnsi="Calibri" w:eastAsia="宋体" w:cs="Times New Roman"/>
              <w:b/>
              <w:bCs/>
              <w:kern w:val="2"/>
              <w:szCs w:val="24"/>
              <w:lang w:val="en-US" w:eastAsia="zh-CN" w:bidi="ar-SA"/>
            </w:rPr>
            <w:fldChar w:fldCharType="end"/>
          </w:r>
        </w:p>
        <w:p w14:paraId="2F7E9B4A">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_Toc18043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（一）项目参与企业组织规模未达目标：多品类销售企业参与数量不足</w:t>
          </w:r>
          <w:r>
            <w:tab/>
          </w:r>
          <w:r>
            <w:fldChar w:fldCharType="begin"/>
          </w:r>
          <w:r>
            <w:instrText xml:space="preserve"> PAGEREF _Toc18043 \h </w:instrText>
          </w:r>
          <w:r>
            <w:fldChar w:fldCharType="separate"/>
          </w:r>
          <w:r>
            <w:t>9</w:t>
          </w:r>
          <w:r>
            <w:fldChar w:fldCharType="end"/>
          </w:r>
          <w:r>
            <w:rPr>
              <w:rFonts w:hint="default" w:ascii="Calibri" w:hAnsi="Calibri" w:eastAsia="宋体" w:cs="Times New Roman"/>
              <w:kern w:val="2"/>
              <w:szCs w:val="24"/>
              <w:lang w:val="en-US" w:eastAsia="zh-CN" w:bidi="ar-SA"/>
            </w:rPr>
            <w:fldChar w:fldCharType="end"/>
          </w:r>
        </w:p>
        <w:p w14:paraId="4AF1686B">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_Toc18073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（二）补贴资金拨付：存在合规性瑕疵</w:t>
          </w:r>
          <w:r>
            <w:tab/>
          </w:r>
          <w:r>
            <w:fldChar w:fldCharType="begin"/>
          </w:r>
          <w:r>
            <w:instrText xml:space="preserve"> PAGEREF _Toc18073 \h </w:instrText>
          </w:r>
          <w:r>
            <w:fldChar w:fldCharType="separate"/>
          </w:r>
          <w:r>
            <w:t>9</w:t>
          </w:r>
          <w:r>
            <w:fldChar w:fldCharType="end"/>
          </w:r>
          <w:r>
            <w:rPr>
              <w:rFonts w:hint="default" w:ascii="Calibri" w:hAnsi="Calibri" w:eastAsia="宋体" w:cs="Times New Roman"/>
              <w:kern w:val="2"/>
              <w:szCs w:val="24"/>
              <w:lang w:val="en-US" w:eastAsia="zh-CN" w:bidi="ar-SA"/>
            </w:rPr>
            <w:fldChar w:fldCharType="end"/>
          </w:r>
        </w:p>
        <w:p w14:paraId="544F248B">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_Toc17009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w:t>
          </w:r>
          <w:r>
            <w:rPr>
              <w:rFonts w:hint="eastAsia" w:ascii="宋体" w:hAnsi="宋体" w:cs="宋体"/>
              <w:bCs w:val="0"/>
              <w:szCs w:val="24"/>
              <w:lang w:val="en-US" w:eastAsia="zh-CN"/>
            </w:rPr>
            <w:t>三</w:t>
          </w:r>
          <w:r>
            <w:rPr>
              <w:rFonts w:hint="eastAsia" w:ascii="宋体" w:hAnsi="宋体" w:eastAsia="宋体" w:cs="宋体"/>
              <w:bCs w:val="0"/>
              <w:szCs w:val="24"/>
              <w:lang w:val="en-US" w:eastAsia="zh-CN"/>
            </w:rPr>
            <w:t>）补贴信息未公示公开：违背资金使用透明化要求</w:t>
          </w:r>
          <w:r>
            <w:tab/>
          </w:r>
          <w:r>
            <w:fldChar w:fldCharType="begin"/>
          </w:r>
          <w:r>
            <w:instrText xml:space="preserve"> PAGEREF _Toc17009 \h </w:instrText>
          </w:r>
          <w:r>
            <w:fldChar w:fldCharType="separate"/>
          </w:r>
          <w:r>
            <w:t>9</w:t>
          </w:r>
          <w:r>
            <w:fldChar w:fldCharType="end"/>
          </w:r>
          <w:r>
            <w:rPr>
              <w:rFonts w:hint="default" w:ascii="Calibri" w:hAnsi="Calibri" w:eastAsia="宋体" w:cs="Times New Roman"/>
              <w:kern w:val="2"/>
              <w:szCs w:val="24"/>
              <w:lang w:val="en-US" w:eastAsia="zh-CN" w:bidi="ar-SA"/>
            </w:rPr>
            <w:fldChar w:fldCharType="end"/>
          </w:r>
        </w:p>
        <w:p w14:paraId="1FC60367">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_Toc30824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w:t>
          </w:r>
          <w:r>
            <w:rPr>
              <w:rFonts w:hint="eastAsia" w:ascii="宋体" w:hAnsi="宋体" w:cs="宋体"/>
              <w:bCs w:val="0"/>
              <w:szCs w:val="24"/>
              <w:lang w:val="en-US" w:eastAsia="zh-CN"/>
            </w:rPr>
            <w:t>四</w:t>
          </w:r>
          <w:r>
            <w:rPr>
              <w:rFonts w:hint="eastAsia" w:ascii="宋体" w:hAnsi="宋体" w:eastAsia="宋体" w:cs="宋体"/>
              <w:bCs w:val="0"/>
              <w:szCs w:val="24"/>
              <w:lang w:val="en-US" w:eastAsia="zh-CN"/>
            </w:rPr>
            <w:t>）补贴资金拨付：存在合规性瑕疵</w:t>
          </w:r>
          <w:r>
            <w:tab/>
          </w:r>
          <w:r>
            <w:fldChar w:fldCharType="begin"/>
          </w:r>
          <w:r>
            <w:instrText xml:space="preserve"> PAGEREF _Toc30824 \h </w:instrText>
          </w:r>
          <w:r>
            <w:fldChar w:fldCharType="separate"/>
          </w:r>
          <w:r>
            <w:t>10</w:t>
          </w:r>
          <w:r>
            <w:fldChar w:fldCharType="end"/>
          </w:r>
          <w:r>
            <w:rPr>
              <w:rFonts w:hint="default" w:ascii="Calibri" w:hAnsi="Calibri" w:eastAsia="宋体" w:cs="Times New Roman"/>
              <w:kern w:val="2"/>
              <w:szCs w:val="24"/>
              <w:lang w:val="en-US" w:eastAsia="zh-CN" w:bidi="ar-SA"/>
            </w:rPr>
            <w:fldChar w:fldCharType="end"/>
          </w:r>
        </w:p>
        <w:p w14:paraId="5FD74F91">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_Toc12137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六、相关建议</w:t>
          </w:r>
          <w:r>
            <w:rPr>
              <w:b/>
              <w:bCs/>
            </w:rPr>
            <w:tab/>
          </w:r>
          <w:r>
            <w:rPr>
              <w:b/>
              <w:bCs/>
            </w:rPr>
            <w:fldChar w:fldCharType="begin"/>
          </w:r>
          <w:r>
            <w:rPr>
              <w:b/>
              <w:bCs/>
            </w:rPr>
            <w:instrText xml:space="preserve"> PAGEREF _Toc12137 \h </w:instrText>
          </w:r>
          <w:r>
            <w:rPr>
              <w:b/>
              <w:bCs/>
            </w:rPr>
            <w:fldChar w:fldCharType="separate"/>
          </w:r>
          <w:r>
            <w:rPr>
              <w:b/>
              <w:bCs/>
            </w:rPr>
            <w:t>10</w:t>
          </w:r>
          <w:r>
            <w:rPr>
              <w:b/>
              <w:bCs/>
            </w:rPr>
            <w:fldChar w:fldCharType="end"/>
          </w:r>
          <w:r>
            <w:rPr>
              <w:rFonts w:hint="default" w:ascii="Calibri" w:hAnsi="Calibri" w:eastAsia="宋体" w:cs="Times New Roman"/>
              <w:b/>
              <w:bCs/>
              <w:kern w:val="2"/>
              <w:szCs w:val="24"/>
              <w:lang w:val="en-US" w:eastAsia="zh-CN" w:bidi="ar-SA"/>
            </w:rPr>
            <w:fldChar w:fldCharType="end"/>
          </w:r>
        </w:p>
        <w:p w14:paraId="7F191534">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_Toc18087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（一）精准动员扩面，提升企业参与覆盖度</w:t>
          </w:r>
          <w:r>
            <w:tab/>
          </w:r>
          <w:r>
            <w:fldChar w:fldCharType="begin"/>
          </w:r>
          <w:r>
            <w:instrText xml:space="preserve"> PAGEREF _Toc18087 \h </w:instrText>
          </w:r>
          <w:r>
            <w:fldChar w:fldCharType="separate"/>
          </w:r>
          <w:r>
            <w:t>10</w:t>
          </w:r>
          <w:r>
            <w:fldChar w:fldCharType="end"/>
          </w:r>
          <w:r>
            <w:rPr>
              <w:rFonts w:hint="default" w:ascii="Calibri" w:hAnsi="Calibri" w:eastAsia="宋体" w:cs="Times New Roman"/>
              <w:kern w:val="2"/>
              <w:szCs w:val="24"/>
              <w:lang w:val="en-US" w:eastAsia="zh-CN" w:bidi="ar-SA"/>
            </w:rPr>
            <w:fldChar w:fldCharType="end"/>
          </w:r>
        </w:p>
        <w:p w14:paraId="72F9ABBF">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_Toc22644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w:t>
          </w:r>
          <w:r>
            <w:rPr>
              <w:rFonts w:hint="eastAsia" w:ascii="宋体" w:hAnsi="宋体" w:cs="宋体"/>
              <w:bCs w:val="0"/>
              <w:szCs w:val="24"/>
              <w:lang w:val="en-US" w:eastAsia="zh-CN"/>
            </w:rPr>
            <w:t>二</w:t>
          </w:r>
          <w:r>
            <w:rPr>
              <w:rFonts w:hint="eastAsia" w:ascii="宋体" w:hAnsi="宋体" w:eastAsia="宋体" w:cs="宋体"/>
              <w:bCs w:val="0"/>
              <w:szCs w:val="24"/>
              <w:lang w:val="en-US" w:eastAsia="zh-CN"/>
            </w:rPr>
            <w:t>）落实信息公开制度，提升资金使用透明度</w:t>
          </w:r>
          <w:r>
            <w:tab/>
          </w:r>
          <w:r>
            <w:fldChar w:fldCharType="begin"/>
          </w:r>
          <w:r>
            <w:instrText xml:space="preserve"> PAGEREF _Toc22644 \h </w:instrText>
          </w:r>
          <w:r>
            <w:fldChar w:fldCharType="separate"/>
          </w:r>
          <w:r>
            <w:t>10</w:t>
          </w:r>
          <w:r>
            <w:fldChar w:fldCharType="end"/>
          </w:r>
          <w:r>
            <w:rPr>
              <w:rFonts w:hint="default" w:ascii="Calibri" w:hAnsi="Calibri" w:eastAsia="宋体" w:cs="Times New Roman"/>
              <w:kern w:val="2"/>
              <w:szCs w:val="24"/>
              <w:lang w:val="en-US" w:eastAsia="zh-CN" w:bidi="ar-SA"/>
            </w:rPr>
            <w:fldChar w:fldCharType="end"/>
          </w:r>
        </w:p>
        <w:p w14:paraId="2473359A">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_Toc26790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w:t>
          </w:r>
          <w:r>
            <w:rPr>
              <w:rFonts w:hint="eastAsia" w:ascii="宋体" w:hAnsi="宋体" w:cs="宋体"/>
              <w:bCs w:val="0"/>
              <w:szCs w:val="24"/>
              <w:lang w:val="en-US" w:eastAsia="zh-CN"/>
            </w:rPr>
            <w:t>三</w:t>
          </w:r>
          <w:r>
            <w:rPr>
              <w:rFonts w:hint="eastAsia" w:ascii="宋体" w:hAnsi="宋体" w:eastAsia="宋体" w:cs="宋体"/>
              <w:bCs w:val="0"/>
              <w:szCs w:val="24"/>
              <w:lang w:val="en-US" w:eastAsia="zh-CN"/>
            </w:rPr>
            <w:t>）</w:t>
          </w:r>
          <w:r>
            <w:rPr>
              <w:rFonts w:hint="default" w:ascii="宋体" w:hAnsi="宋体" w:eastAsia="宋体" w:cs="宋体"/>
              <w:bCs w:val="0"/>
              <w:szCs w:val="24"/>
              <w:lang w:val="en-US" w:eastAsia="zh-CN"/>
            </w:rPr>
            <w:t>建立动态信用监管机制，筑牢合规门槛</w:t>
          </w:r>
          <w:r>
            <w:tab/>
          </w:r>
          <w:r>
            <w:fldChar w:fldCharType="begin"/>
          </w:r>
          <w:r>
            <w:instrText xml:space="preserve"> PAGEREF _Toc26790 \h </w:instrText>
          </w:r>
          <w:r>
            <w:fldChar w:fldCharType="separate"/>
          </w:r>
          <w:r>
            <w:t>10</w:t>
          </w:r>
          <w:r>
            <w:fldChar w:fldCharType="end"/>
          </w:r>
          <w:r>
            <w:rPr>
              <w:rFonts w:hint="default" w:ascii="Calibri" w:hAnsi="Calibri" w:eastAsia="宋体" w:cs="Times New Roman"/>
              <w:kern w:val="2"/>
              <w:szCs w:val="24"/>
              <w:lang w:val="en-US" w:eastAsia="zh-CN" w:bidi="ar-SA"/>
            </w:rPr>
            <w:fldChar w:fldCharType="end"/>
          </w:r>
        </w:p>
        <w:p w14:paraId="27F6B5F1">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_Toc6465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附件1:2024年消费品以旧换新项目支出绩效评价指标体系</w:t>
          </w:r>
          <w:r>
            <w:rPr>
              <w:b/>
              <w:bCs/>
            </w:rPr>
            <w:tab/>
          </w:r>
          <w:r>
            <w:rPr>
              <w:b/>
              <w:bCs/>
            </w:rPr>
            <w:fldChar w:fldCharType="begin"/>
          </w:r>
          <w:r>
            <w:rPr>
              <w:b/>
              <w:bCs/>
            </w:rPr>
            <w:instrText xml:space="preserve"> PAGEREF _Toc6465 \h </w:instrText>
          </w:r>
          <w:r>
            <w:rPr>
              <w:b/>
              <w:bCs/>
            </w:rPr>
            <w:fldChar w:fldCharType="separate"/>
          </w:r>
          <w:r>
            <w:rPr>
              <w:b/>
              <w:bCs/>
            </w:rPr>
            <w:t>11</w:t>
          </w:r>
          <w:r>
            <w:rPr>
              <w:b/>
              <w:bCs/>
            </w:rPr>
            <w:fldChar w:fldCharType="end"/>
          </w:r>
          <w:r>
            <w:rPr>
              <w:rFonts w:hint="default" w:ascii="Calibri" w:hAnsi="Calibri" w:eastAsia="宋体" w:cs="Times New Roman"/>
              <w:b/>
              <w:bCs/>
              <w:kern w:val="2"/>
              <w:szCs w:val="24"/>
              <w:lang w:val="en-US" w:eastAsia="zh-CN" w:bidi="ar-SA"/>
            </w:rPr>
            <w:fldChar w:fldCharType="end"/>
          </w:r>
        </w:p>
        <w:p w14:paraId="0822E83A">
          <w:pP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Cs w:val="24"/>
              <w:lang w:val="en-US" w:eastAsia="zh-CN" w:bidi="ar-SA"/>
            </w:rPr>
            <w:fldChar w:fldCharType="end"/>
          </w:r>
        </w:p>
      </w:sdtContent>
    </w:sdt>
    <w:p w14:paraId="59201968">
      <w:pPr>
        <w:rPr>
          <w:rFonts w:hint="default" w:ascii="Calibri" w:hAnsi="Calibri" w:eastAsia="宋体" w:cs="Times New Roman"/>
          <w:kern w:val="2"/>
          <w:sz w:val="21"/>
          <w:szCs w:val="24"/>
          <w:lang w:val="en-US" w:eastAsia="zh-CN" w:bidi="ar-SA"/>
        </w:rPr>
      </w:pPr>
    </w:p>
    <w:p w14:paraId="0AA57F11">
      <w:pPr>
        <w:rPr>
          <w:rFonts w:hint="default"/>
        </w:rPr>
        <w:sectPr>
          <w:pgSz w:w="11906" w:h="16838"/>
          <w:pgMar w:top="2098" w:right="1474" w:bottom="1928" w:left="1587" w:header="851" w:footer="1701" w:gutter="0"/>
          <w:pgNumType w:fmt="upperRoman"/>
          <w:cols w:space="425" w:num="1"/>
          <w:docGrid w:type="lines" w:linePitch="312" w:charSpace="0"/>
        </w:sectPr>
      </w:pPr>
    </w:p>
    <w:p w14:paraId="0A2469B4">
      <w:pPr>
        <w:jc w:val="both"/>
        <w:rPr>
          <w:rFonts w:hint="eastAsia" w:ascii="黑体" w:hAnsi="黑体" w:eastAsia="黑体" w:cs="黑体"/>
          <w:bCs/>
          <w:sz w:val="32"/>
          <w:szCs w:val="32"/>
          <w:lang w:val="en-US" w:eastAsia="zh-CN"/>
        </w:rPr>
        <w:sectPr>
          <w:footerReference r:id="rId9" w:type="default"/>
          <w:type w:val="continuous"/>
          <w:pgSz w:w="11906" w:h="16838"/>
          <w:pgMar w:top="1440" w:right="1134" w:bottom="1440" w:left="1134"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5AB66656">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摘 要</w:t>
      </w:r>
    </w:p>
    <w:p w14:paraId="3D28AB70">
      <w:pPr>
        <w:jc w:val="both"/>
        <w:rPr>
          <w:rFonts w:hint="eastAsia" w:ascii="黑体" w:hAnsi="黑体" w:eastAsia="黑体" w:cs="黑体"/>
          <w:bCs/>
          <w:sz w:val="32"/>
          <w:szCs w:val="32"/>
          <w:lang w:val="en-US" w:eastAsia="zh-CN"/>
        </w:rPr>
      </w:pPr>
    </w:p>
    <w:p w14:paraId="0253C5B0">
      <w:pPr>
        <w:numPr>
          <w:ilvl w:val="0"/>
          <w:numId w:val="0"/>
        </w:numPr>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一、项目基本情况</w:t>
      </w:r>
    </w:p>
    <w:p w14:paraId="611FE928">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eastAsia" w:ascii="宋体" w:hAnsi="宋体" w:eastAsia="宋体" w:cs="宋体"/>
          <w:bCs/>
          <w:sz w:val="24"/>
          <w:szCs w:val="24"/>
          <w:highlight w:val="none"/>
          <w:lang w:val="en-US" w:eastAsia="zh-CN"/>
        </w:rPr>
        <w:t>项目由仁和区商务局实施</w:t>
      </w:r>
      <w:r>
        <w:rPr>
          <w:rFonts w:hint="eastAsia" w:ascii="宋体" w:hAnsi="宋体" w:cs="宋体"/>
          <w:bCs/>
          <w:sz w:val="24"/>
          <w:szCs w:val="24"/>
          <w:highlight w:val="none"/>
          <w:lang w:val="en-US" w:eastAsia="zh-CN"/>
        </w:rPr>
        <w:t>，根据《四川省人民政府办公厅关于印发&lt;关于进一步支持大规模设备更新和消费品以旧换新的若干政策措施&gt;的通知（川办发〔2024〕37号）、《关于进一步做好家电以旧换新工作的通知》（商办流通函〔2024〕397号）等规定，仁和区商务局组织区内商贸流通企业参加消费品以旧换新活动。核心目标是扩大内需、促进消费恢复。</w:t>
      </w:r>
    </w:p>
    <w:p w14:paraId="421EC89C">
      <w:pPr>
        <w:widowControl w:val="0"/>
        <w:numPr>
          <w:ilvl w:val="0"/>
          <w:numId w:val="0"/>
        </w:numPr>
        <w:jc w:val="both"/>
        <w:rPr>
          <w:rFonts w:hint="default" w:ascii="宋体" w:hAnsi="宋体" w:eastAsia="宋体" w:cs="宋体"/>
          <w:b/>
          <w:bCs w:val="0"/>
          <w:sz w:val="24"/>
          <w:szCs w:val="24"/>
          <w:lang w:val="en-US" w:eastAsia="zh-CN"/>
        </w:rPr>
      </w:pPr>
    </w:p>
    <w:p w14:paraId="452E5699">
      <w:pPr>
        <w:widowControl w:val="0"/>
        <w:numPr>
          <w:ilvl w:val="0"/>
          <w:numId w:val="0"/>
        </w:numPr>
        <w:ind w:leftChars="0" w:firstLine="482" w:firstLineChars="200"/>
        <w:jc w:val="both"/>
        <w:rPr>
          <w:rFonts w:hint="default" w:ascii="宋体" w:hAnsi="宋体" w:eastAsia="宋体" w:cs="宋体"/>
          <w:bCs/>
          <w:sz w:val="24"/>
          <w:szCs w:val="24"/>
          <w:lang w:val="en-US" w:eastAsia="zh-CN"/>
        </w:rPr>
      </w:pPr>
      <w:r>
        <w:rPr>
          <w:rFonts w:hint="eastAsia" w:ascii="宋体" w:hAnsi="宋体" w:eastAsia="宋体" w:cs="宋体"/>
          <w:b/>
          <w:bCs w:val="0"/>
          <w:sz w:val="24"/>
          <w:szCs w:val="24"/>
          <w:lang w:val="en-US" w:eastAsia="zh-CN"/>
        </w:rPr>
        <w:t>二、主要绩效</w:t>
      </w:r>
    </w:p>
    <w:p w14:paraId="70B2699F">
      <w:pPr>
        <w:spacing w:line="560" w:lineRule="exact"/>
        <w:ind w:firstLine="480" w:firstLineChars="200"/>
        <w:jc w:val="left"/>
        <w:rPr>
          <w:rFonts w:hint="default" w:ascii="黑体" w:hAnsi="黑体" w:eastAsia="黑体" w:cs="黑体"/>
          <w:bCs/>
          <w:sz w:val="32"/>
          <w:szCs w:val="32"/>
          <w:highlight w:val="yellow"/>
          <w:lang w:val="en-US" w:eastAsia="zh-CN"/>
        </w:rPr>
      </w:pPr>
      <w:r>
        <w:rPr>
          <w:rFonts w:hint="eastAsia" w:ascii="宋体" w:hAnsi="宋体" w:eastAsia="宋体" w:cs="宋体"/>
          <w:bCs/>
          <w:sz w:val="24"/>
          <w:szCs w:val="24"/>
          <w:lang w:val="en-US" w:eastAsia="zh-CN"/>
        </w:rPr>
        <w:t>2024年度，该项目预算资金46,119,610.00元，实际到位资金46,119,610.00元。单位实际支付资金46,119,610.00元。资金使用率</w:t>
      </w:r>
      <w:r>
        <w:rPr>
          <w:rFonts w:hint="eastAsia" w:ascii="宋体" w:hAnsi="宋体" w:cs="宋体"/>
          <w:bCs/>
          <w:sz w:val="24"/>
          <w:szCs w:val="24"/>
          <w:lang w:val="en-US" w:eastAsia="zh-CN"/>
        </w:rPr>
        <w:t>100</w:t>
      </w:r>
      <w:r>
        <w:rPr>
          <w:rFonts w:hint="eastAsia" w:ascii="宋体" w:hAnsi="宋体" w:eastAsia="宋体" w:cs="宋体"/>
          <w:bCs/>
          <w:sz w:val="24"/>
          <w:szCs w:val="24"/>
          <w:lang w:val="en-US" w:eastAsia="zh-CN"/>
        </w:rPr>
        <w:t>%。</w:t>
      </w:r>
      <w:r>
        <w:rPr>
          <w:rFonts w:hint="eastAsia" w:ascii="宋体" w:hAnsi="宋体" w:cs="宋体"/>
          <w:bCs/>
          <w:sz w:val="24"/>
          <w:szCs w:val="24"/>
          <w:highlight w:val="none"/>
          <w:lang w:val="en-US" w:eastAsia="zh-CN"/>
        </w:rPr>
        <w:t>成效方面：联动29家汽车销售企业、17家家电销售企业、1家电动自行车销售企业参与，价格透明、申报指导规范，无消费者投诉。汽车品类客源拓展与营收小幅增长，消费拉动效应初显。未达预期：企业参与数量未达标（汽车目标≥33 家、电动自行车≥3 家），汽车与电动自行车品类参与覆盖严重不足；重点品类换新达标率偏低，消费释放未达目标。绩效评价得分为86.75分。</w:t>
      </w:r>
    </w:p>
    <w:p w14:paraId="4C9AD7FE">
      <w:pPr>
        <w:numPr>
          <w:ilvl w:val="0"/>
          <w:numId w:val="1"/>
        </w:numPr>
        <w:spacing w:line="560" w:lineRule="exact"/>
        <w:ind w:firstLine="482" w:firstLineChars="200"/>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存在问题</w:t>
      </w:r>
    </w:p>
    <w:p w14:paraId="1C0E2923">
      <w:pPr>
        <w:widowControl w:val="0"/>
        <w:numPr>
          <w:ilvl w:val="0"/>
          <w:numId w:val="2"/>
        </w:numPr>
        <w:spacing w:line="560" w:lineRule="exact"/>
        <w:ind w:firstLine="240" w:firstLineChars="100"/>
        <w:jc w:val="left"/>
        <w:rPr>
          <w:rFonts w:hint="eastAsia" w:ascii="宋体" w:hAnsi="宋体" w:cs="宋体"/>
          <w:bCs/>
          <w:sz w:val="24"/>
          <w:szCs w:val="24"/>
          <w:lang w:val="en-US" w:eastAsia="zh-CN"/>
        </w:rPr>
      </w:pPr>
      <w:r>
        <w:rPr>
          <w:rFonts w:hint="eastAsia" w:ascii="宋体" w:hAnsi="宋体" w:cs="宋体"/>
          <w:bCs/>
          <w:sz w:val="24"/>
          <w:szCs w:val="24"/>
          <w:lang w:val="en-US" w:eastAsia="zh-CN"/>
        </w:rPr>
        <w:t>企业参与覆盖不足，多品类销售企业参与数量远未达到目标，市场覆盖广度不够；</w:t>
      </w:r>
    </w:p>
    <w:p w14:paraId="0F3189A4">
      <w:pPr>
        <w:widowControl w:val="0"/>
        <w:numPr>
          <w:ilvl w:val="0"/>
          <w:numId w:val="2"/>
        </w:numPr>
        <w:spacing w:line="560" w:lineRule="exact"/>
        <w:ind w:firstLine="240" w:firstLineChars="100"/>
        <w:jc w:val="left"/>
        <w:rPr>
          <w:rFonts w:hint="default" w:ascii="宋体" w:hAnsi="宋体" w:cs="宋体"/>
          <w:bCs/>
          <w:sz w:val="24"/>
          <w:szCs w:val="24"/>
          <w:highlight w:val="none"/>
          <w:lang w:val="en-US" w:eastAsia="zh-CN"/>
        </w:rPr>
      </w:pPr>
      <w:r>
        <w:rPr>
          <w:rFonts w:ascii="宋体" w:hAnsi="宋体" w:eastAsia="宋体" w:cs="宋体"/>
          <w:sz w:val="24"/>
          <w:szCs w:val="24"/>
        </w:rPr>
        <w:t>家电以旧换新项目补贴资金拨付未完全合规，向207名消费者超标准支付0.5元/人，该问题源于国家平台系统仅支持整数金额拨付的技术约束，非人为操作失误</w:t>
      </w:r>
      <w:r>
        <w:rPr>
          <w:rFonts w:hint="eastAsia" w:ascii="宋体" w:hAnsi="宋体" w:eastAsia="宋体" w:cs="宋体"/>
          <w:sz w:val="24"/>
          <w:szCs w:val="24"/>
          <w:lang w:eastAsia="zh-CN"/>
        </w:rPr>
        <w:t>，</w:t>
      </w:r>
      <w:r>
        <w:rPr>
          <w:rFonts w:hint="eastAsia" w:ascii="宋体" w:hAnsi="宋体" w:cs="宋体"/>
          <w:bCs/>
          <w:sz w:val="24"/>
          <w:szCs w:val="24"/>
          <w:highlight w:val="none"/>
          <w:lang w:val="en-US" w:eastAsia="zh-CN"/>
        </w:rPr>
        <w:t>但仍存在补贴资金拨付未完全贴合政策标准的合规性瑕疵。</w:t>
      </w:r>
    </w:p>
    <w:p w14:paraId="6A447BF5">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电动自行车以旧换新补贴项目销售主体存在风险隐患</w:t>
      </w:r>
      <w:r>
        <w:rPr>
          <w:rFonts w:hint="eastAsia" w:ascii="宋体" w:hAnsi="宋体" w:cs="宋体"/>
          <w:bCs/>
          <w:sz w:val="24"/>
          <w:szCs w:val="24"/>
          <w:lang w:val="en-US" w:eastAsia="zh-CN"/>
        </w:rPr>
        <w:t>，</w:t>
      </w:r>
      <w:r>
        <w:rPr>
          <w:rFonts w:hint="default" w:ascii="宋体" w:hAnsi="宋体" w:cs="宋体"/>
          <w:bCs/>
          <w:sz w:val="24"/>
          <w:szCs w:val="24"/>
          <w:lang w:val="en-US" w:eastAsia="zh-CN"/>
        </w:rPr>
        <w:t>攀枝花市仁和区绿林车行2024年5月被市场监管部门处罚，虽符合文件资质条件，但为项目后续服务质量与合规性埋下风险隐患</w:t>
      </w:r>
      <w:r>
        <w:rPr>
          <w:rFonts w:hint="eastAsia" w:ascii="宋体" w:hAnsi="宋体" w:cs="宋体"/>
          <w:bCs/>
          <w:sz w:val="24"/>
          <w:szCs w:val="24"/>
          <w:lang w:val="en-US" w:eastAsia="zh-CN"/>
        </w:rPr>
        <w:t>；</w:t>
      </w:r>
    </w:p>
    <w:p w14:paraId="1AD86492">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补贴信息未公示公开，资金使用透明度与可监督性不足</w:t>
      </w:r>
      <w:r>
        <w:rPr>
          <w:rFonts w:hint="eastAsia" w:ascii="宋体" w:hAnsi="宋体" w:cs="宋体"/>
          <w:bCs/>
          <w:sz w:val="24"/>
          <w:szCs w:val="24"/>
          <w:lang w:val="en-US" w:eastAsia="zh-CN"/>
        </w:rPr>
        <w:t>。</w:t>
      </w:r>
    </w:p>
    <w:p w14:paraId="0BB87332">
      <w:pPr>
        <w:numPr>
          <w:ilvl w:val="0"/>
          <w:numId w:val="1"/>
        </w:numPr>
        <w:spacing w:line="560" w:lineRule="exact"/>
        <w:ind w:firstLine="482" w:firstLineChars="200"/>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相关建议</w:t>
      </w:r>
    </w:p>
    <w:p w14:paraId="7CB32B87">
      <w:pPr>
        <w:widowControl w:val="0"/>
        <w:numPr>
          <w:ilvl w:val="0"/>
          <w:numId w:val="3"/>
        </w:numPr>
        <w:spacing w:line="560" w:lineRule="exact"/>
        <w:ind w:firstLine="240" w:firstLineChars="100"/>
        <w:jc w:val="left"/>
        <w:rPr>
          <w:rFonts w:hint="default" w:ascii="宋体" w:hAnsi="宋体" w:cs="宋体"/>
          <w:bCs/>
          <w:sz w:val="24"/>
          <w:szCs w:val="24"/>
          <w:lang w:val="en-US" w:eastAsia="zh-CN"/>
        </w:rPr>
      </w:pPr>
      <w:r>
        <w:rPr>
          <w:rFonts w:hint="eastAsia" w:ascii="宋体" w:hAnsi="宋体" w:cs="宋体"/>
          <w:bCs/>
          <w:sz w:val="24"/>
          <w:szCs w:val="24"/>
          <w:lang w:val="en-US" w:eastAsia="zh-CN"/>
        </w:rPr>
        <w:t>精准宣贯扩面，通过行业协会定向推送政策利好，优化企业参与目标，配套政务宣传资源，提升参与意愿；</w:t>
      </w:r>
    </w:p>
    <w:p w14:paraId="1372F0EE">
      <w:pPr>
        <w:widowControl w:val="0"/>
        <w:numPr>
          <w:ilvl w:val="0"/>
          <w:numId w:val="3"/>
        </w:numPr>
        <w:spacing w:line="560" w:lineRule="exact"/>
        <w:ind w:left="0" w:leftChars="0" w:firstLine="240" w:firstLineChars="100"/>
        <w:jc w:val="left"/>
        <w:rPr>
          <w:rFonts w:hint="default" w:ascii="宋体" w:hAnsi="宋体" w:cs="宋体"/>
          <w:bCs/>
          <w:sz w:val="24"/>
          <w:szCs w:val="24"/>
          <w:lang w:val="en-US" w:eastAsia="zh-CN"/>
        </w:rPr>
      </w:pPr>
      <w:r>
        <w:rPr>
          <w:rFonts w:hint="eastAsia" w:ascii="宋体" w:hAnsi="宋体" w:cs="宋体"/>
          <w:bCs/>
          <w:sz w:val="24"/>
          <w:szCs w:val="24"/>
          <w:lang w:val="en-US" w:eastAsia="zh-CN"/>
        </w:rPr>
        <w:t>落实信息公开制度，在政务网站、社区公告栏公示补贴信息（隐去隐私），接受社会监督；</w:t>
      </w:r>
    </w:p>
    <w:p w14:paraId="5F9E517A">
      <w:pPr>
        <w:widowControl w:val="0"/>
        <w:numPr>
          <w:ilvl w:val="0"/>
          <w:numId w:val="3"/>
        </w:numPr>
        <w:spacing w:line="560" w:lineRule="exact"/>
        <w:ind w:left="0" w:leftChars="0" w:firstLine="240" w:firstLineChars="100"/>
        <w:jc w:val="left"/>
        <w:rPr>
          <w:rFonts w:hint="eastAsia" w:ascii="宋体" w:hAnsi="宋体" w:cs="宋体"/>
          <w:bCs/>
          <w:sz w:val="24"/>
          <w:szCs w:val="24"/>
          <w:lang w:val="en-US" w:eastAsia="zh-CN"/>
        </w:rPr>
      </w:pPr>
      <w:r>
        <w:rPr>
          <w:rFonts w:hint="eastAsia" w:ascii="宋体" w:hAnsi="宋体" w:cs="宋体"/>
          <w:bCs/>
          <w:sz w:val="24"/>
          <w:szCs w:val="24"/>
          <w:lang w:val="en-US" w:eastAsia="zh-CN"/>
        </w:rPr>
        <w:t>构建动态信用监管机制，通过部门联动共享信息、定期核查与动态监测，对违规销售主体采取暂停资格、整改验证后恢复的管理方式，夯实合规基础。</w:t>
      </w:r>
    </w:p>
    <w:p w14:paraId="75660D5A">
      <w:pPr>
        <w:numPr>
          <w:ilvl w:val="0"/>
          <w:numId w:val="0"/>
        </w:numPr>
        <w:ind w:leftChars="100"/>
        <w:jc w:val="both"/>
        <w:rPr>
          <w:rFonts w:hint="eastAsia" w:ascii="黑体" w:hAnsi="黑体" w:eastAsia="黑体" w:cs="黑体"/>
          <w:bCs/>
          <w:sz w:val="32"/>
          <w:szCs w:val="32"/>
          <w:lang w:val="en-US" w:eastAsia="zh-CN"/>
        </w:rPr>
      </w:pPr>
    </w:p>
    <w:p w14:paraId="4533C2FE">
      <w:pPr>
        <w:numPr>
          <w:ilvl w:val="0"/>
          <w:numId w:val="0"/>
        </w:numPr>
        <w:ind w:leftChars="100"/>
        <w:jc w:val="both"/>
        <w:rPr>
          <w:rFonts w:hint="eastAsia" w:ascii="黑体" w:hAnsi="黑体" w:eastAsia="黑体" w:cs="黑体"/>
          <w:bCs/>
          <w:sz w:val="32"/>
          <w:szCs w:val="32"/>
          <w:lang w:val="en-US" w:eastAsia="zh-CN"/>
        </w:rPr>
      </w:pPr>
    </w:p>
    <w:p w14:paraId="4AF9BE46">
      <w:pPr>
        <w:numPr>
          <w:ilvl w:val="0"/>
          <w:numId w:val="0"/>
        </w:numPr>
        <w:ind w:leftChars="100"/>
        <w:jc w:val="both"/>
        <w:rPr>
          <w:rFonts w:hint="eastAsia" w:ascii="黑体" w:hAnsi="黑体" w:eastAsia="黑体" w:cs="黑体"/>
          <w:bCs/>
          <w:sz w:val="32"/>
          <w:szCs w:val="32"/>
          <w:lang w:val="en-US" w:eastAsia="zh-CN"/>
        </w:rPr>
      </w:pPr>
    </w:p>
    <w:p w14:paraId="7BFC5744">
      <w:pPr>
        <w:numPr>
          <w:ilvl w:val="0"/>
          <w:numId w:val="0"/>
        </w:numPr>
        <w:ind w:leftChars="100"/>
        <w:jc w:val="both"/>
        <w:rPr>
          <w:rFonts w:hint="eastAsia" w:ascii="黑体" w:hAnsi="黑体" w:eastAsia="黑体" w:cs="黑体"/>
          <w:bCs/>
          <w:sz w:val="32"/>
          <w:szCs w:val="32"/>
          <w:lang w:val="en-US" w:eastAsia="zh-CN"/>
        </w:rPr>
      </w:pPr>
    </w:p>
    <w:p w14:paraId="47CF0333">
      <w:pPr>
        <w:numPr>
          <w:ilvl w:val="0"/>
          <w:numId w:val="0"/>
        </w:numPr>
        <w:ind w:leftChars="100"/>
        <w:jc w:val="both"/>
        <w:rPr>
          <w:rFonts w:hint="eastAsia" w:ascii="黑体" w:hAnsi="黑体" w:eastAsia="黑体" w:cs="黑体"/>
          <w:bCs/>
          <w:sz w:val="32"/>
          <w:szCs w:val="32"/>
          <w:lang w:val="en-US" w:eastAsia="zh-CN"/>
        </w:rPr>
      </w:pPr>
    </w:p>
    <w:p w14:paraId="75B53558">
      <w:pPr>
        <w:numPr>
          <w:ilvl w:val="0"/>
          <w:numId w:val="0"/>
        </w:numPr>
        <w:ind w:leftChars="100"/>
        <w:jc w:val="both"/>
        <w:rPr>
          <w:rFonts w:hint="eastAsia" w:ascii="黑体" w:hAnsi="黑体" w:eastAsia="黑体" w:cs="黑体"/>
          <w:bCs/>
          <w:sz w:val="32"/>
          <w:szCs w:val="32"/>
          <w:lang w:val="en-US" w:eastAsia="zh-CN"/>
        </w:rPr>
      </w:pPr>
    </w:p>
    <w:p w14:paraId="0078C8CC">
      <w:pPr>
        <w:numPr>
          <w:ilvl w:val="0"/>
          <w:numId w:val="0"/>
        </w:numPr>
        <w:ind w:leftChars="100"/>
        <w:jc w:val="both"/>
        <w:rPr>
          <w:rFonts w:hint="eastAsia" w:ascii="黑体" w:hAnsi="黑体" w:eastAsia="黑体" w:cs="黑体"/>
          <w:bCs/>
          <w:sz w:val="32"/>
          <w:szCs w:val="32"/>
          <w:lang w:val="en-US" w:eastAsia="zh-CN"/>
        </w:rPr>
      </w:pPr>
    </w:p>
    <w:p w14:paraId="1B459911">
      <w:pPr>
        <w:numPr>
          <w:ilvl w:val="0"/>
          <w:numId w:val="0"/>
        </w:numPr>
        <w:ind w:leftChars="100"/>
        <w:jc w:val="both"/>
        <w:rPr>
          <w:rFonts w:hint="eastAsia" w:ascii="黑体" w:hAnsi="黑体" w:eastAsia="黑体" w:cs="黑体"/>
          <w:bCs/>
          <w:sz w:val="32"/>
          <w:szCs w:val="32"/>
          <w:lang w:val="en-US" w:eastAsia="zh-CN"/>
        </w:rPr>
      </w:pPr>
    </w:p>
    <w:p w14:paraId="30BAABE6">
      <w:pPr>
        <w:numPr>
          <w:ilvl w:val="0"/>
          <w:numId w:val="0"/>
        </w:numPr>
        <w:ind w:leftChars="100"/>
        <w:jc w:val="both"/>
        <w:rPr>
          <w:rFonts w:hint="eastAsia" w:ascii="黑体" w:hAnsi="黑体" w:eastAsia="黑体" w:cs="黑体"/>
          <w:bCs/>
          <w:sz w:val="32"/>
          <w:szCs w:val="32"/>
          <w:lang w:val="en-US" w:eastAsia="zh-CN"/>
        </w:rPr>
      </w:pPr>
    </w:p>
    <w:p w14:paraId="78E668B9">
      <w:pPr>
        <w:numPr>
          <w:ilvl w:val="0"/>
          <w:numId w:val="0"/>
        </w:numPr>
        <w:ind w:leftChars="100"/>
        <w:jc w:val="both"/>
        <w:rPr>
          <w:rFonts w:hint="eastAsia" w:ascii="黑体" w:hAnsi="黑体" w:eastAsia="黑体" w:cs="黑体"/>
          <w:bCs/>
          <w:sz w:val="32"/>
          <w:szCs w:val="32"/>
          <w:lang w:val="en-US" w:eastAsia="zh-CN"/>
        </w:rPr>
      </w:pPr>
    </w:p>
    <w:p w14:paraId="52DE769D">
      <w:pPr>
        <w:numPr>
          <w:ilvl w:val="0"/>
          <w:numId w:val="0"/>
        </w:numPr>
        <w:ind w:leftChars="100"/>
        <w:jc w:val="both"/>
        <w:rPr>
          <w:rFonts w:hint="eastAsia" w:ascii="黑体" w:hAnsi="黑体" w:eastAsia="黑体" w:cs="黑体"/>
          <w:bCs/>
          <w:sz w:val="32"/>
          <w:szCs w:val="32"/>
          <w:lang w:val="en-US" w:eastAsia="zh-CN"/>
        </w:rPr>
      </w:pPr>
    </w:p>
    <w:p w14:paraId="4E8BAAA2">
      <w:pPr>
        <w:numPr>
          <w:ilvl w:val="0"/>
          <w:numId w:val="0"/>
        </w:numPr>
        <w:jc w:val="both"/>
        <w:rPr>
          <w:rFonts w:hint="eastAsia" w:ascii="黑体" w:hAnsi="黑体" w:eastAsia="黑体" w:cs="黑体"/>
          <w:bCs/>
          <w:sz w:val="32"/>
          <w:szCs w:val="32"/>
          <w:lang w:val="en-US" w:eastAsia="zh-CN"/>
        </w:rPr>
        <w:sectPr>
          <w:footerReference r:id="rId10" w:type="default"/>
          <w:pgSz w:w="11906" w:h="16838"/>
          <w:pgMar w:top="1440" w:right="1800" w:bottom="1440" w:left="1800" w:header="851" w:footer="992" w:gutter="0"/>
          <w:cols w:space="425" w:num="1"/>
          <w:docGrid w:type="lines" w:linePitch="312" w:charSpace="0"/>
        </w:sectPr>
      </w:pPr>
    </w:p>
    <w:p w14:paraId="1DBC2B71">
      <w:pPr>
        <w:numPr>
          <w:ilvl w:val="0"/>
          <w:numId w:val="0"/>
        </w:numPr>
        <w:ind w:leftChars="100"/>
        <w:jc w:val="both"/>
        <w:rPr>
          <w:rFonts w:hint="eastAsia" w:ascii="黑体" w:hAnsi="黑体" w:eastAsia="黑体" w:cs="黑体"/>
          <w:bCs/>
          <w:sz w:val="32"/>
          <w:szCs w:val="32"/>
          <w:lang w:val="en-US" w:eastAsia="zh-CN"/>
        </w:rPr>
      </w:pPr>
    </w:p>
    <w:p w14:paraId="1C12DC72">
      <w:pPr>
        <w:numPr>
          <w:ilvl w:val="0"/>
          <w:numId w:val="0"/>
        </w:num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消费品以旧换新项目</w:t>
      </w:r>
    </w:p>
    <w:p w14:paraId="29F50415">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项目支出绩效评价报告</w:t>
      </w:r>
    </w:p>
    <w:p w14:paraId="7B29B561">
      <w:pPr>
        <w:jc w:val="center"/>
        <w:rPr>
          <w:rFonts w:hint="eastAsia" w:ascii="黑体" w:hAnsi="黑体" w:eastAsia="黑体" w:cs="黑体"/>
          <w:bCs/>
          <w:sz w:val="32"/>
          <w:szCs w:val="32"/>
          <w:lang w:val="en-US" w:eastAsia="zh-CN"/>
        </w:rPr>
      </w:pPr>
    </w:p>
    <w:p w14:paraId="2E03184C">
      <w:pPr>
        <w:spacing w:line="560" w:lineRule="exact"/>
        <w:jc w:val="left"/>
        <w:rPr>
          <w:rFonts w:hint="eastAsia" w:ascii="黑体" w:hAnsi="黑体" w:eastAsia="黑体" w:cs="仿宋"/>
          <w:bCs/>
          <w:sz w:val="28"/>
          <w:szCs w:val="28"/>
          <w:lang w:val="en-US" w:eastAsia="zh-CN"/>
        </w:rPr>
      </w:pPr>
      <w:r>
        <w:rPr>
          <w:rFonts w:hint="eastAsia" w:ascii="黑体" w:hAnsi="黑体" w:eastAsia="黑体" w:cs="仿宋"/>
          <w:bCs/>
          <w:sz w:val="28"/>
          <w:szCs w:val="28"/>
          <w:lang w:val="en-US" w:eastAsia="zh-CN"/>
        </w:rPr>
        <w:t>攀枝花市仁和区财政局：</w:t>
      </w:r>
    </w:p>
    <w:p w14:paraId="27670290">
      <w:pPr>
        <w:spacing w:line="560" w:lineRule="exact"/>
        <w:ind w:firstLine="480" w:firstLineChars="200"/>
        <w:jc w:val="left"/>
        <w:rPr>
          <w:rFonts w:hint="eastAsia" w:ascii="宋体" w:hAnsi="宋体" w:cs="宋体"/>
          <w:bCs/>
          <w:sz w:val="24"/>
          <w:szCs w:val="24"/>
          <w:lang w:val="en-US" w:eastAsia="zh-CN"/>
        </w:rPr>
      </w:pPr>
      <w:r>
        <w:rPr>
          <w:rFonts w:hint="eastAsia" w:ascii="宋体" w:hAnsi="宋体" w:eastAsia="宋体" w:cs="宋体"/>
          <w:bCs/>
          <w:sz w:val="24"/>
          <w:szCs w:val="24"/>
          <w:lang w:val="en-US" w:eastAsia="zh-CN"/>
        </w:rPr>
        <w:t>我们接受委托，对攀枝花市仁和区商务局实施的2024年消费品以旧换新项目的财政支出绩效进行评价。项目主管部门提供了与被评价项目财政支出绩效评价相关的财务资料及其他相关资料，上述资料的真实性、完整性、合法性由被评价项目主管部门负责</w:t>
      </w:r>
      <w:r>
        <w:rPr>
          <w:rFonts w:hint="eastAsia" w:ascii="宋体" w:hAnsi="宋体" w:cs="宋体"/>
          <w:bCs/>
          <w:sz w:val="24"/>
          <w:szCs w:val="24"/>
          <w:lang w:val="en-US" w:eastAsia="zh-CN"/>
        </w:rPr>
        <w:t>。</w:t>
      </w:r>
    </w:p>
    <w:p w14:paraId="31258F9F">
      <w:pPr>
        <w:spacing w:line="560" w:lineRule="exact"/>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我们的责任是根据被评价单位提供的上述评价资料，按照《攀枝花市仁和区财政局 关于开展 2025年度财政重点绩效评价工作的通知》(攀仁财〔2025〕54 号)的要求，对被评价项目财政支出绩效进行评价。项目开展“独立、客观、公正”的第三方绩效评价工作，对项目相关人员进行了访谈，通过访谈、专家咨询、现场核查等方式进行了综合分析，现出具以下评价意见：</w:t>
      </w:r>
    </w:p>
    <w:p w14:paraId="56E12A72">
      <w:pPr>
        <w:keepNext w:val="0"/>
        <w:keepLines w:val="0"/>
        <w:pageBreakBefore w:val="0"/>
        <w:widowControl w:val="0"/>
        <w:numPr>
          <w:ilvl w:val="0"/>
          <w:numId w:val="4"/>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0" w:name="_Toc27435"/>
      <w:bookmarkStart w:id="1" w:name="_Toc25394"/>
      <w:bookmarkStart w:id="2" w:name="_Toc9165"/>
      <w:bookmarkStart w:id="3" w:name="_Toc8551"/>
      <w:r>
        <w:rPr>
          <w:rFonts w:hint="eastAsia" w:ascii="Times New Roman" w:hAnsi="Times New Roman" w:eastAsia="宋体" w:cs="Times New Roman"/>
          <w:b/>
          <w:bCs/>
          <w:color w:val="auto"/>
          <w:sz w:val="24"/>
          <w:szCs w:val="24"/>
          <w:highlight w:val="none"/>
          <w:lang w:val="en-US" w:eastAsia="zh-CN"/>
        </w:rPr>
        <w:t>项目基本情况</w:t>
      </w:r>
      <w:bookmarkEnd w:id="0"/>
      <w:bookmarkEnd w:id="1"/>
      <w:bookmarkEnd w:id="2"/>
      <w:bookmarkEnd w:id="3"/>
    </w:p>
    <w:p w14:paraId="711A8CB6">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根据《四川省人民政府办公厅关于印发&lt;关于进一步支持大规模设备更新和消费品以旧换新的若干政策措施&gt;的通知（川办发〔2024〕37号）、《关于进一步做好家电以旧换新工作的通知》（商办流通函〔2024〕397号）等规定，仁和区商务局组织区内商贸流通企业参加消费品以旧换新活动。</w:t>
      </w:r>
    </w:p>
    <w:p w14:paraId="4C973965">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4" w:name="_Toc7387"/>
      <w:bookmarkStart w:id="5" w:name="_Toc11186"/>
      <w:bookmarkStart w:id="6" w:name="_Toc8395"/>
      <w:bookmarkStart w:id="7" w:name="_Toc9386"/>
      <w:r>
        <w:rPr>
          <w:rFonts w:hint="eastAsia" w:ascii="Times New Roman" w:hAnsi="Times New Roman" w:eastAsia="宋体" w:cs="Times New Roman"/>
          <w:b/>
          <w:bCs/>
          <w:color w:val="auto"/>
          <w:sz w:val="24"/>
          <w:szCs w:val="24"/>
          <w:highlight w:val="none"/>
          <w:lang w:val="en-US" w:eastAsia="zh-CN"/>
        </w:rPr>
        <w:t>二、评价工作开展情况</w:t>
      </w:r>
      <w:bookmarkEnd w:id="4"/>
      <w:bookmarkEnd w:id="5"/>
      <w:bookmarkEnd w:id="6"/>
      <w:bookmarkEnd w:id="7"/>
    </w:p>
    <w:p w14:paraId="0810A651">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8" w:name="_Toc26898"/>
      <w:bookmarkStart w:id="9" w:name="_Toc25706"/>
      <w:bookmarkStart w:id="10" w:name="_Toc12555"/>
      <w:bookmarkStart w:id="11" w:name="_Toc1043"/>
      <w:r>
        <w:rPr>
          <w:rFonts w:hint="default" w:ascii="Times New Roman" w:hAnsi="Times New Roman" w:eastAsia="宋体" w:cs="Times New Roman"/>
          <w:b/>
          <w:bCs/>
          <w:color w:val="auto"/>
          <w:sz w:val="24"/>
          <w:szCs w:val="24"/>
          <w:highlight w:val="none"/>
          <w:lang w:val="en-US" w:eastAsia="zh-CN"/>
        </w:rPr>
        <w:t>（一）</w:t>
      </w:r>
      <w:r>
        <w:rPr>
          <w:rFonts w:hint="eastAsia" w:ascii="Times New Roman" w:hAnsi="Times New Roman" w:eastAsia="宋体" w:cs="Times New Roman"/>
          <w:b/>
          <w:bCs/>
          <w:color w:val="auto"/>
          <w:sz w:val="24"/>
          <w:szCs w:val="24"/>
          <w:highlight w:val="none"/>
          <w:lang w:val="en-US" w:eastAsia="zh-CN"/>
        </w:rPr>
        <w:t>评价目的</w:t>
      </w:r>
      <w:bookmarkEnd w:id="8"/>
      <w:bookmarkEnd w:id="9"/>
      <w:bookmarkEnd w:id="10"/>
      <w:bookmarkEnd w:id="11"/>
    </w:p>
    <w:p w14:paraId="1E3A914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为落实中央、省预算绩效管理要求，从项目依据、绩效目标、资金管理等方面，全面评价该资金使用的科学性、合理性与有效性，分析问题并</w:t>
      </w:r>
      <w:r>
        <w:rPr>
          <w:rFonts w:hint="eastAsia" w:ascii="宋体" w:hAnsi="宋体" w:cs="宋体"/>
          <w:bCs/>
          <w:sz w:val="24"/>
          <w:szCs w:val="24"/>
          <w:highlight w:val="none"/>
          <w:lang w:val="en-US" w:eastAsia="zh-CN"/>
        </w:rPr>
        <w:t>提出</w:t>
      </w:r>
      <w:r>
        <w:rPr>
          <w:rFonts w:hint="default" w:ascii="宋体" w:hAnsi="宋体" w:eastAsia="宋体" w:cs="宋体"/>
          <w:bCs/>
          <w:sz w:val="24"/>
          <w:szCs w:val="24"/>
          <w:highlight w:val="none"/>
          <w:lang w:val="en-US" w:eastAsia="zh-CN"/>
        </w:rPr>
        <w:t>建议，为后续资金安排、预算编制提供依据，提升资金效益</w:t>
      </w:r>
      <w:r>
        <w:rPr>
          <w:rFonts w:hint="eastAsia" w:ascii="宋体" w:hAnsi="宋体" w:eastAsia="宋体" w:cs="宋体"/>
          <w:bCs/>
          <w:sz w:val="24"/>
          <w:szCs w:val="24"/>
          <w:highlight w:val="none"/>
          <w:lang w:val="en-US" w:eastAsia="zh-CN"/>
        </w:rPr>
        <w:t>。</w:t>
      </w:r>
    </w:p>
    <w:p w14:paraId="328A34C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12" w:name="_Toc31429"/>
      <w:bookmarkStart w:id="13" w:name="_Toc29506"/>
      <w:bookmarkStart w:id="14" w:name="_Toc19093"/>
      <w:bookmarkStart w:id="15" w:name="_Toc16050"/>
      <w:r>
        <w:rPr>
          <w:rFonts w:hint="eastAsia" w:ascii="Times New Roman" w:hAnsi="Times New Roman" w:eastAsia="宋体" w:cs="Times New Roman"/>
          <w:b/>
          <w:bCs/>
          <w:color w:val="auto"/>
          <w:sz w:val="24"/>
          <w:szCs w:val="24"/>
          <w:highlight w:val="none"/>
          <w:lang w:val="en-US" w:eastAsia="zh-CN"/>
        </w:rPr>
        <w:t>（二）评价方法</w:t>
      </w:r>
      <w:bookmarkEnd w:id="12"/>
      <w:bookmarkEnd w:id="13"/>
      <w:bookmarkEnd w:id="14"/>
      <w:bookmarkEnd w:id="15"/>
    </w:p>
    <w:p w14:paraId="70C00F0F">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6" w:name="_Toc20121"/>
      <w:r>
        <w:rPr>
          <w:rFonts w:hint="eastAsia" w:ascii="Times New Roman" w:hAnsi="Times New Roman" w:eastAsia="宋体" w:cs="Times New Roman"/>
          <w:b w:val="0"/>
          <w:bCs w:val="0"/>
          <w:color w:val="auto"/>
          <w:sz w:val="24"/>
          <w:szCs w:val="24"/>
          <w:highlight w:val="none"/>
          <w:lang w:val="en-US" w:eastAsia="zh-CN"/>
        </w:rPr>
        <w:t>结合仁和区商务局2024年消费品以旧换新项目的实施特点、绩效目标及评价要求，本次评价遵循科学规范、公正公开原则，采用“定量与定性结合、现场与非现场互补”的综合评价方法。具体结合项目情况阐述如下</w:t>
      </w:r>
      <w:r>
        <w:rPr>
          <w:rFonts w:hint="eastAsia" w:ascii="Times New Roman" w:hAnsi="Times New Roman" w:cs="Times New Roman"/>
          <w:b w:val="0"/>
          <w:bCs w:val="0"/>
          <w:color w:val="auto"/>
          <w:sz w:val="24"/>
          <w:szCs w:val="24"/>
          <w:highlight w:val="none"/>
          <w:lang w:val="en-US" w:eastAsia="zh-CN"/>
        </w:rPr>
        <w:t>：</w:t>
      </w:r>
    </w:p>
    <w:bookmarkEnd w:id="16"/>
    <w:p w14:paraId="7DA2C13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7" w:name="_Toc22540"/>
      <w:r>
        <w:rPr>
          <w:rFonts w:hint="eastAsia" w:ascii="Times New Roman" w:hAnsi="Times New Roman" w:eastAsia="宋体" w:cs="Times New Roman"/>
          <w:b w:val="0"/>
          <w:bCs w:val="0"/>
          <w:color w:val="auto"/>
          <w:sz w:val="24"/>
          <w:szCs w:val="24"/>
          <w:highlight w:val="none"/>
          <w:lang w:val="en-US" w:eastAsia="zh-CN"/>
        </w:rPr>
        <w:t>1. 项目资料查阅法。通过系统查阅政策文件、项目资料，验证项目决策与实施的合规性、目标设定的合理性。</w:t>
      </w:r>
      <w:bookmarkEnd w:id="17"/>
    </w:p>
    <w:p w14:paraId="3AAECE0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8" w:name="_Toc26353"/>
      <w:r>
        <w:rPr>
          <w:rFonts w:hint="eastAsia" w:ascii="Times New Roman" w:hAnsi="Times New Roman" w:eastAsia="宋体" w:cs="Times New Roman"/>
          <w:b w:val="0"/>
          <w:bCs w:val="0"/>
          <w:color w:val="auto"/>
          <w:sz w:val="24"/>
          <w:szCs w:val="24"/>
          <w:highlight w:val="none"/>
          <w:lang w:val="en-US" w:eastAsia="zh-CN"/>
        </w:rPr>
        <w:t>2.资金凭证现场核验法。核查资金使用凭证，聚焦</w:t>
      </w:r>
      <w:r>
        <w:rPr>
          <w:rFonts w:hint="eastAsia" w:ascii="Times New Roman" w:hAnsi="Times New Roman" w:cs="Times New Roman"/>
          <w:b w:val="0"/>
          <w:bCs w:val="0"/>
          <w:color w:val="auto"/>
          <w:sz w:val="24"/>
          <w:szCs w:val="24"/>
          <w:highlight w:val="none"/>
          <w:lang w:val="en-US" w:eastAsia="zh-CN"/>
        </w:rPr>
        <w:t>以旧换新补贴</w:t>
      </w:r>
      <w:r>
        <w:rPr>
          <w:rFonts w:hint="eastAsia" w:ascii="Times New Roman" w:hAnsi="Times New Roman" w:eastAsia="宋体" w:cs="Times New Roman"/>
          <w:b w:val="0"/>
          <w:bCs w:val="0"/>
          <w:color w:val="auto"/>
          <w:sz w:val="24"/>
          <w:szCs w:val="24"/>
          <w:highlight w:val="none"/>
          <w:lang w:val="en-US" w:eastAsia="zh-CN"/>
        </w:rPr>
        <w:t>等核心支出的会计凭证、银行转账记录、报销台账，确认资金支付是否有完整审批程序、是否符合预算用途，无截留、挤占、挪用等违规情况。</w:t>
      </w:r>
      <w:bookmarkEnd w:id="18"/>
    </w:p>
    <w:p w14:paraId="54344B6B">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9" w:name="_Toc29814"/>
      <w:r>
        <w:rPr>
          <w:rFonts w:hint="eastAsia" w:ascii="Times New Roman" w:hAnsi="Times New Roman" w:eastAsia="宋体" w:cs="Times New Roman"/>
          <w:b w:val="0"/>
          <w:bCs w:val="0"/>
          <w:color w:val="auto"/>
          <w:sz w:val="24"/>
          <w:szCs w:val="24"/>
          <w:highlight w:val="none"/>
          <w:lang w:val="en-US" w:eastAsia="zh-CN"/>
        </w:rPr>
        <w:t>3.数据对比分析法。围绕该项目核心任务与绩效指标，通过对比绩效目标与实际完成值，分析资金使用效率，关联以旧换新活动成果数据等评估项目产出、效益与资金效率。</w:t>
      </w:r>
      <w:bookmarkEnd w:id="19"/>
    </w:p>
    <w:p w14:paraId="65AA3C1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0" w:name="_Toc10616"/>
      <w:r>
        <w:rPr>
          <w:rFonts w:hint="eastAsia" w:ascii="Times New Roman" w:hAnsi="Times New Roman" w:eastAsia="宋体" w:cs="Times New Roman"/>
          <w:b w:val="0"/>
          <w:bCs w:val="0"/>
          <w:color w:val="auto"/>
          <w:sz w:val="24"/>
          <w:szCs w:val="24"/>
          <w:highlight w:val="none"/>
          <w:lang w:val="en-US" w:eastAsia="zh-CN"/>
        </w:rPr>
        <w:t>4.现场访谈法。围绕绩效目标，工作推进等方面，通过访谈相关部门开展面对面沟通，收集多方反馈，完善评价的全面性与客观性，为后续问题分析提供依据。</w:t>
      </w:r>
      <w:bookmarkEnd w:id="20"/>
    </w:p>
    <w:p w14:paraId="3AE49C37">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21" w:name="_Toc14566"/>
      <w:bookmarkStart w:id="22" w:name="_Toc24656"/>
      <w:bookmarkStart w:id="23" w:name="_Toc16163"/>
      <w:bookmarkStart w:id="24" w:name="_Toc18297"/>
      <w:r>
        <w:rPr>
          <w:rFonts w:hint="eastAsia" w:ascii="Times New Roman" w:hAnsi="Times New Roman" w:cs="Times New Roman"/>
          <w:b/>
          <w:bCs/>
          <w:color w:val="auto"/>
          <w:sz w:val="24"/>
          <w:szCs w:val="24"/>
          <w:highlight w:val="none"/>
          <w:lang w:val="en-US" w:eastAsia="zh-CN"/>
        </w:rPr>
        <w:t>评价指标</w:t>
      </w:r>
      <w:bookmarkEnd w:id="21"/>
      <w:bookmarkEnd w:id="22"/>
      <w:bookmarkEnd w:id="23"/>
      <w:bookmarkEnd w:id="24"/>
    </w:p>
    <w:p w14:paraId="721EEB07">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依据(攀仁财〔2025〕54 号)附件3项目绩效评价指标体系为基础，采用了项目决策、项目管理、项目实施、项目结果四类通用指标，依据项目类别选取了专用指标-产业发展，并依据项目实际情况设置了重点品类换新达标率、参与企业服务达标率等个性指标。</w:t>
      </w:r>
    </w:p>
    <w:p w14:paraId="28D5F77D">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25" w:name="_Toc31111"/>
      <w:bookmarkStart w:id="26" w:name="_Toc24382"/>
      <w:bookmarkStart w:id="27" w:name="_Toc9253"/>
      <w:bookmarkStart w:id="28" w:name="_Toc26962"/>
      <w:r>
        <w:rPr>
          <w:rFonts w:hint="eastAsia" w:ascii="Times New Roman" w:hAnsi="Times New Roman" w:cs="Times New Roman"/>
          <w:b/>
          <w:bCs/>
          <w:color w:val="auto"/>
          <w:sz w:val="24"/>
          <w:szCs w:val="24"/>
          <w:highlight w:val="none"/>
          <w:lang w:val="en-US" w:eastAsia="zh-CN"/>
        </w:rPr>
        <w:t>评价结果与结论</w:t>
      </w:r>
      <w:bookmarkEnd w:id="25"/>
      <w:bookmarkEnd w:id="26"/>
      <w:bookmarkEnd w:id="27"/>
      <w:bookmarkEnd w:id="28"/>
    </w:p>
    <w:p w14:paraId="4DE25C7F">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bookmarkStart w:id="29" w:name="_Toc8008"/>
      <w:bookmarkStart w:id="30" w:name="_Toc2615"/>
      <w:bookmarkStart w:id="31" w:name="_Toc23177"/>
      <w:bookmarkStart w:id="32" w:name="_Toc17738"/>
      <w:r>
        <w:rPr>
          <w:rFonts w:hint="eastAsia" w:ascii="Times New Roman" w:hAnsi="Times New Roman" w:cs="Times New Roman"/>
          <w:b w:val="0"/>
          <w:bCs w:val="0"/>
          <w:color w:val="auto"/>
          <w:sz w:val="24"/>
          <w:szCs w:val="24"/>
          <w:highlight w:val="none"/>
          <w:lang w:val="en-US" w:eastAsia="zh-CN"/>
        </w:rPr>
        <w:t>总体而言，项目实施取得了阶段性积极成效，与仁和区经济社会发展实际需求高度契合：一是政策导向精准，项目以 “扩大内需、促进消费加快恢复”为核心目标，紧扣中省市关于以旧换新的决策部署，将资金与资源聚焦汽车、家电、电动自行车等重点消费品类，与区域提振消费市场的现实需求完全匹配。二是管理基础初步成型，项目实施单位建立了基本的企业组织与服务管理流程，成功联动29家汽车销售企业、17家家电销售企业及1家电动自行车销售企业参与，多数参与企业实现价格透明、补贴申报指导规范等服务要求，项目全程未收到消费者服务投诉，群众基础较为扎实。三是消费拉动效应初显，通过政策补贴激励，部分参与企业尤其是汽车销售企业实现客源拓展与主营业务收入小幅增长，有效激活了区域大宗消费潜力，为经济稳增长注入了一定动力。</w:t>
      </w:r>
    </w:p>
    <w:p w14:paraId="7B30D09F">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同时，评价也发现项目存在多维度突出问题，制约了政策效能的全面释放：一是企业参与覆盖不足，汽车、电动自行车销售企业参与数量均未达既定目标。二是补贴资金拨付存在合规性瑕疵，向207名消费者超标准支付0.5元/人，该问题源于国家平台系统仅支持整数金额拨付的技术约束，非人为操作失误，但仍存在补贴资金拨付未完全贴合政策标准的合规性瑕疵。同时未落实补贴信息公示要求，资金管理的规范性与透明度严重不足。三是电动自行车以旧换新补贴项目销售主体存在风险隐患，攀枝花市仁和区绿林车行2024年5月被市场监管部门处罚，虽符合文件资质条件，但为项目后续服务质量与合规性埋下风险隐患。四是绩效目标设置科学性不足，企业参与数量等指标未充分结合仁和区中小微销售企业集中的市场特征，目标值偏高导致完成度不佳，影响了绩效评价的精准性。</w:t>
      </w:r>
    </w:p>
    <w:p w14:paraId="1EEC2355">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绩效评价组对《2024年消费品以旧换新项目》进行综合评价，最终评分得分为86.75分，绩效评价结果定级为“良”。具体得分情况如下表所示：</w:t>
      </w:r>
    </w:p>
    <w:bookmarkEnd w:id="29"/>
    <w:bookmarkEnd w:id="30"/>
    <w:bookmarkEnd w:id="31"/>
    <w:bookmarkEnd w:id="32"/>
    <w:p w14:paraId="7060371B">
      <w:pPr>
        <w:spacing w:before="14" w:line="219" w:lineRule="auto"/>
        <w:jc w:val="center"/>
        <w:rPr>
          <w:rFonts w:ascii="宋体" w:hAnsi="宋体" w:eastAsia="宋体" w:cs="宋体"/>
          <w:b/>
          <w:bCs/>
          <w:spacing w:val="-25"/>
          <w:sz w:val="30"/>
          <w:szCs w:val="30"/>
        </w:rPr>
      </w:pPr>
      <w:r>
        <w:rPr>
          <w:rFonts w:ascii="宋体" w:hAnsi="宋体" w:eastAsia="宋体" w:cs="宋体"/>
          <w:b/>
          <w:bCs/>
          <w:spacing w:val="-25"/>
          <w:sz w:val="30"/>
          <w:szCs w:val="30"/>
        </w:rPr>
        <w:t>表1</w:t>
      </w:r>
      <w:r>
        <w:rPr>
          <w:rFonts w:hint="eastAsia" w:ascii="宋体" w:hAnsi="宋体" w:cs="宋体"/>
          <w:b/>
          <w:bCs/>
          <w:spacing w:val="-25"/>
          <w:sz w:val="30"/>
          <w:szCs w:val="30"/>
          <w:lang w:val="en-US" w:eastAsia="zh-CN"/>
        </w:rPr>
        <w:t xml:space="preserve"> </w:t>
      </w:r>
      <w:r>
        <w:rPr>
          <w:rFonts w:hint="eastAsia" w:ascii="宋体" w:hAnsi="宋体" w:eastAsia="宋体" w:cs="宋体"/>
          <w:b/>
          <w:bCs/>
          <w:spacing w:val="-25"/>
          <w:sz w:val="30"/>
          <w:szCs w:val="30"/>
        </w:rPr>
        <w:t>2024年消费品以旧换新项目</w:t>
      </w:r>
    </w:p>
    <w:p w14:paraId="370A6EA6">
      <w:pPr>
        <w:spacing w:before="14" w:line="219" w:lineRule="auto"/>
        <w:jc w:val="center"/>
        <w:rPr>
          <w:rFonts w:ascii="宋体" w:hAnsi="宋体" w:eastAsia="宋体" w:cs="宋体"/>
          <w:sz w:val="27"/>
          <w:szCs w:val="27"/>
        </w:rPr>
      </w:pPr>
      <w:r>
        <w:rPr>
          <w:rFonts w:ascii="宋体" w:hAnsi="宋体" w:eastAsia="宋体" w:cs="宋体"/>
          <w:b/>
          <w:bCs/>
          <w:spacing w:val="-25"/>
          <w:sz w:val="30"/>
          <w:szCs w:val="30"/>
        </w:rPr>
        <w:t>绩效评价指标体系</w:t>
      </w:r>
    </w:p>
    <w:tbl>
      <w:tblPr>
        <w:tblStyle w:val="13"/>
        <w:tblW w:w="9100" w:type="dxa"/>
        <w:tblInd w:w="-2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987"/>
        <w:gridCol w:w="2663"/>
        <w:gridCol w:w="1450"/>
        <w:gridCol w:w="1450"/>
      </w:tblGrid>
      <w:tr w14:paraId="0602E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6200" w:type="dxa"/>
            <w:gridSpan w:val="3"/>
            <w:noWrap w:val="0"/>
            <w:vAlign w:val="top"/>
          </w:tcPr>
          <w:p w14:paraId="7F6D51C7">
            <w:pPr>
              <w:pStyle w:val="14"/>
              <w:spacing w:before="193" w:line="219" w:lineRule="auto"/>
              <w:ind w:left="2351"/>
              <w:rPr>
                <w:highlight w:val="none"/>
              </w:rPr>
            </w:pPr>
            <w:r>
              <w:rPr>
                <w:spacing w:val="-2"/>
                <w:highlight w:val="none"/>
              </w:rPr>
              <w:t>分层分类指标</w:t>
            </w:r>
          </w:p>
        </w:tc>
        <w:tc>
          <w:tcPr>
            <w:tcW w:w="1450" w:type="dxa"/>
            <w:vMerge w:val="restart"/>
            <w:noWrap w:val="0"/>
            <w:vAlign w:val="top"/>
          </w:tcPr>
          <w:p w14:paraId="6C8E8954">
            <w:pPr>
              <w:pStyle w:val="14"/>
              <w:spacing w:before="65" w:line="219" w:lineRule="auto"/>
              <w:jc w:val="center"/>
              <w:rPr>
                <w:rFonts w:hint="eastAsia"/>
                <w:spacing w:val="-3"/>
                <w:highlight w:val="none"/>
              </w:rPr>
            </w:pPr>
          </w:p>
          <w:p w14:paraId="0916D439">
            <w:pPr>
              <w:pStyle w:val="14"/>
              <w:spacing w:before="65" w:line="219" w:lineRule="auto"/>
              <w:jc w:val="center"/>
              <w:rPr>
                <w:spacing w:val="-3"/>
                <w:highlight w:val="none"/>
              </w:rPr>
            </w:pPr>
            <w:r>
              <w:rPr>
                <w:rFonts w:hint="eastAsia"/>
                <w:spacing w:val="-3"/>
                <w:highlight w:val="none"/>
              </w:rPr>
              <w:t>指标分值</w:t>
            </w:r>
          </w:p>
        </w:tc>
        <w:tc>
          <w:tcPr>
            <w:tcW w:w="1450" w:type="dxa"/>
            <w:vMerge w:val="restart"/>
            <w:tcBorders>
              <w:bottom w:val="nil"/>
            </w:tcBorders>
            <w:noWrap w:val="0"/>
            <w:vAlign w:val="top"/>
          </w:tcPr>
          <w:p w14:paraId="0741DD14">
            <w:pPr>
              <w:pStyle w:val="14"/>
              <w:spacing w:before="65" w:line="219" w:lineRule="auto"/>
              <w:jc w:val="both"/>
              <w:rPr>
                <w:spacing w:val="-3"/>
                <w:highlight w:val="none"/>
              </w:rPr>
            </w:pPr>
          </w:p>
          <w:p w14:paraId="757A78BC">
            <w:pPr>
              <w:pStyle w:val="14"/>
              <w:spacing w:before="65" w:line="219" w:lineRule="auto"/>
              <w:jc w:val="center"/>
              <w:rPr>
                <w:highlight w:val="none"/>
              </w:rPr>
            </w:pPr>
            <w:r>
              <w:rPr>
                <w:spacing w:val="-3"/>
                <w:highlight w:val="none"/>
              </w:rPr>
              <w:t>得分</w:t>
            </w:r>
          </w:p>
        </w:tc>
      </w:tr>
      <w:tr w14:paraId="43211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550" w:type="dxa"/>
            <w:noWrap w:val="0"/>
            <w:vAlign w:val="top"/>
          </w:tcPr>
          <w:p w14:paraId="70E5FF21">
            <w:pPr>
              <w:pStyle w:val="14"/>
              <w:spacing w:before="189" w:line="219" w:lineRule="auto"/>
              <w:jc w:val="center"/>
              <w:rPr>
                <w:highlight w:val="none"/>
              </w:rPr>
            </w:pPr>
            <w:r>
              <w:rPr>
                <w:rFonts w:hint="eastAsia"/>
                <w:spacing w:val="-2"/>
                <w:highlight w:val="none"/>
                <w:lang w:val="en-US" w:eastAsia="zh-CN"/>
              </w:rPr>
              <w:t>一级</w:t>
            </w:r>
            <w:r>
              <w:rPr>
                <w:spacing w:val="-2"/>
                <w:highlight w:val="none"/>
              </w:rPr>
              <w:t>指标</w:t>
            </w:r>
          </w:p>
        </w:tc>
        <w:tc>
          <w:tcPr>
            <w:tcW w:w="1987" w:type="dxa"/>
            <w:noWrap w:val="0"/>
            <w:vAlign w:val="top"/>
          </w:tcPr>
          <w:p w14:paraId="555BCFDF">
            <w:pPr>
              <w:pStyle w:val="14"/>
              <w:spacing w:before="189" w:line="220" w:lineRule="auto"/>
              <w:jc w:val="center"/>
              <w:rPr>
                <w:highlight w:val="none"/>
              </w:rPr>
            </w:pPr>
            <w:r>
              <w:rPr>
                <w:rFonts w:hint="eastAsia"/>
                <w:spacing w:val="-3"/>
                <w:highlight w:val="none"/>
                <w:lang w:val="en-US" w:eastAsia="zh-CN"/>
              </w:rPr>
              <w:t>二</w:t>
            </w:r>
            <w:r>
              <w:rPr>
                <w:spacing w:val="-3"/>
                <w:highlight w:val="none"/>
              </w:rPr>
              <w:t>级指标</w:t>
            </w:r>
          </w:p>
        </w:tc>
        <w:tc>
          <w:tcPr>
            <w:tcW w:w="2663" w:type="dxa"/>
            <w:noWrap w:val="0"/>
            <w:vAlign w:val="top"/>
          </w:tcPr>
          <w:p w14:paraId="1DE2F97B">
            <w:pPr>
              <w:pStyle w:val="14"/>
              <w:spacing w:before="189" w:line="220" w:lineRule="auto"/>
              <w:ind w:left="1053"/>
              <w:rPr>
                <w:highlight w:val="none"/>
              </w:rPr>
            </w:pPr>
            <w:r>
              <w:rPr>
                <w:rFonts w:hint="eastAsia"/>
                <w:spacing w:val="-3"/>
                <w:highlight w:val="none"/>
                <w:lang w:val="en-US" w:eastAsia="zh-CN"/>
              </w:rPr>
              <w:t>三</w:t>
            </w:r>
            <w:r>
              <w:rPr>
                <w:spacing w:val="-3"/>
                <w:highlight w:val="none"/>
              </w:rPr>
              <w:t>级指标</w:t>
            </w:r>
          </w:p>
        </w:tc>
        <w:tc>
          <w:tcPr>
            <w:tcW w:w="1450" w:type="dxa"/>
            <w:vMerge w:val="continue"/>
            <w:noWrap w:val="0"/>
            <w:vAlign w:val="top"/>
          </w:tcPr>
          <w:p w14:paraId="1E98FDB8">
            <w:pPr>
              <w:jc w:val="center"/>
              <w:rPr>
                <w:rFonts w:ascii="Arial"/>
                <w:sz w:val="21"/>
                <w:highlight w:val="none"/>
              </w:rPr>
            </w:pPr>
          </w:p>
        </w:tc>
        <w:tc>
          <w:tcPr>
            <w:tcW w:w="1450" w:type="dxa"/>
            <w:vMerge w:val="continue"/>
            <w:tcBorders>
              <w:top w:val="nil"/>
            </w:tcBorders>
            <w:noWrap w:val="0"/>
            <w:vAlign w:val="top"/>
          </w:tcPr>
          <w:p w14:paraId="515E9BD4">
            <w:pPr>
              <w:jc w:val="center"/>
              <w:rPr>
                <w:rFonts w:ascii="Arial"/>
                <w:sz w:val="21"/>
                <w:highlight w:val="none"/>
              </w:rPr>
            </w:pPr>
          </w:p>
        </w:tc>
      </w:tr>
      <w:tr w14:paraId="48FCE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restart"/>
            <w:noWrap w:val="0"/>
            <w:vAlign w:val="top"/>
          </w:tcPr>
          <w:p w14:paraId="50FAF2B0">
            <w:pPr>
              <w:pStyle w:val="14"/>
              <w:spacing w:before="226" w:line="220" w:lineRule="auto"/>
              <w:ind w:left="130"/>
              <w:jc w:val="center"/>
              <w:rPr>
                <w:spacing w:val="-2"/>
                <w:highlight w:val="none"/>
              </w:rPr>
            </w:pPr>
          </w:p>
          <w:p w14:paraId="15FFDD5E">
            <w:pPr>
              <w:pStyle w:val="14"/>
              <w:spacing w:before="226" w:line="220" w:lineRule="auto"/>
              <w:ind w:left="130"/>
              <w:jc w:val="center"/>
              <w:rPr>
                <w:spacing w:val="-2"/>
                <w:highlight w:val="none"/>
              </w:rPr>
            </w:pPr>
          </w:p>
          <w:p w14:paraId="2F988CBE">
            <w:pPr>
              <w:pStyle w:val="14"/>
              <w:spacing w:before="226" w:line="220" w:lineRule="auto"/>
              <w:ind w:left="130"/>
              <w:jc w:val="center"/>
              <w:rPr>
                <w:spacing w:val="-2"/>
                <w:highlight w:val="none"/>
              </w:rPr>
            </w:pPr>
          </w:p>
          <w:p w14:paraId="1FCA996E">
            <w:pPr>
              <w:pStyle w:val="14"/>
              <w:spacing w:before="226" w:line="220" w:lineRule="auto"/>
              <w:ind w:left="130"/>
              <w:jc w:val="center"/>
              <w:rPr>
                <w:spacing w:val="-2"/>
                <w:highlight w:val="none"/>
              </w:rPr>
            </w:pPr>
          </w:p>
          <w:p w14:paraId="460E3EE8">
            <w:pPr>
              <w:pStyle w:val="14"/>
              <w:spacing w:before="226" w:line="220" w:lineRule="auto"/>
              <w:ind w:left="130"/>
              <w:jc w:val="center"/>
              <w:rPr>
                <w:highlight w:val="none"/>
              </w:rPr>
            </w:pPr>
            <w:r>
              <w:rPr>
                <w:spacing w:val="-2"/>
                <w:highlight w:val="none"/>
              </w:rPr>
              <w:t>通用指标</w:t>
            </w:r>
          </w:p>
        </w:tc>
        <w:tc>
          <w:tcPr>
            <w:tcW w:w="1987" w:type="dxa"/>
            <w:vMerge w:val="restart"/>
            <w:tcBorders>
              <w:bottom w:val="nil"/>
            </w:tcBorders>
            <w:noWrap w:val="0"/>
            <w:vAlign w:val="top"/>
          </w:tcPr>
          <w:p w14:paraId="2C95D16B">
            <w:pPr>
              <w:pStyle w:val="14"/>
              <w:spacing w:before="65" w:line="219" w:lineRule="auto"/>
              <w:jc w:val="center"/>
              <w:rPr>
                <w:spacing w:val="-3"/>
                <w:highlight w:val="none"/>
              </w:rPr>
            </w:pPr>
          </w:p>
          <w:p w14:paraId="1837A122">
            <w:pPr>
              <w:pStyle w:val="14"/>
              <w:spacing w:before="65" w:line="219" w:lineRule="auto"/>
              <w:jc w:val="center"/>
              <w:rPr>
                <w:spacing w:val="-3"/>
                <w:highlight w:val="none"/>
              </w:rPr>
            </w:pPr>
          </w:p>
          <w:p w14:paraId="653D297A">
            <w:pPr>
              <w:pStyle w:val="14"/>
              <w:spacing w:before="65" w:line="219" w:lineRule="auto"/>
              <w:jc w:val="center"/>
              <w:rPr>
                <w:highlight w:val="none"/>
              </w:rPr>
            </w:pPr>
            <w:r>
              <w:rPr>
                <w:spacing w:val="-3"/>
                <w:highlight w:val="none"/>
              </w:rPr>
              <w:t>项目决策</w:t>
            </w:r>
          </w:p>
        </w:tc>
        <w:tc>
          <w:tcPr>
            <w:tcW w:w="2663" w:type="dxa"/>
            <w:noWrap w:val="0"/>
            <w:vAlign w:val="top"/>
          </w:tcPr>
          <w:p w14:paraId="6F09F09D">
            <w:pPr>
              <w:pStyle w:val="14"/>
              <w:spacing w:before="170" w:line="219" w:lineRule="auto"/>
              <w:ind w:left="1053"/>
              <w:rPr>
                <w:highlight w:val="none"/>
              </w:rPr>
            </w:pPr>
            <w:r>
              <w:rPr>
                <w:spacing w:val="2"/>
                <w:highlight w:val="none"/>
              </w:rPr>
              <w:t>决策程序</w:t>
            </w:r>
          </w:p>
        </w:tc>
        <w:tc>
          <w:tcPr>
            <w:tcW w:w="1450" w:type="dxa"/>
            <w:noWrap w:val="0"/>
            <w:vAlign w:val="top"/>
          </w:tcPr>
          <w:p w14:paraId="3639DAC1">
            <w:pPr>
              <w:pStyle w:val="14"/>
              <w:spacing w:before="189"/>
              <w:jc w:val="center"/>
              <w:rPr>
                <w:rFonts w:hint="eastAsia"/>
                <w:highlight w:val="none"/>
                <w:lang w:val="en-US" w:eastAsia="zh-CN"/>
              </w:rPr>
            </w:pPr>
            <w:r>
              <w:rPr>
                <w:spacing w:val="-3"/>
                <w:highlight w:val="none"/>
              </w:rPr>
              <w:t>6</w:t>
            </w:r>
          </w:p>
        </w:tc>
        <w:tc>
          <w:tcPr>
            <w:tcW w:w="1450" w:type="dxa"/>
            <w:noWrap w:val="0"/>
            <w:vAlign w:val="top"/>
          </w:tcPr>
          <w:p w14:paraId="399BB144">
            <w:pPr>
              <w:pStyle w:val="14"/>
              <w:spacing w:before="189"/>
              <w:jc w:val="center"/>
              <w:rPr>
                <w:rFonts w:hint="eastAsia" w:eastAsia="宋体"/>
                <w:highlight w:val="none"/>
                <w:lang w:val="en-US" w:eastAsia="zh-CN"/>
              </w:rPr>
            </w:pPr>
            <w:r>
              <w:rPr>
                <w:rFonts w:hint="eastAsia"/>
                <w:highlight w:val="none"/>
                <w:lang w:val="en-US" w:eastAsia="zh-CN"/>
              </w:rPr>
              <w:t>6</w:t>
            </w:r>
          </w:p>
        </w:tc>
      </w:tr>
      <w:tr w14:paraId="6CBAB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02B71FAB">
            <w:pPr>
              <w:jc w:val="center"/>
              <w:rPr>
                <w:rFonts w:ascii="Arial"/>
                <w:sz w:val="21"/>
                <w:highlight w:val="none"/>
              </w:rPr>
            </w:pPr>
          </w:p>
        </w:tc>
        <w:tc>
          <w:tcPr>
            <w:tcW w:w="1987" w:type="dxa"/>
            <w:vMerge w:val="continue"/>
            <w:tcBorders>
              <w:top w:val="nil"/>
              <w:bottom w:val="nil"/>
            </w:tcBorders>
            <w:noWrap w:val="0"/>
            <w:vAlign w:val="top"/>
          </w:tcPr>
          <w:p w14:paraId="362C06D3">
            <w:pPr>
              <w:jc w:val="center"/>
              <w:rPr>
                <w:rFonts w:ascii="Arial"/>
                <w:sz w:val="21"/>
                <w:highlight w:val="none"/>
              </w:rPr>
            </w:pPr>
          </w:p>
        </w:tc>
        <w:tc>
          <w:tcPr>
            <w:tcW w:w="2663" w:type="dxa"/>
            <w:noWrap w:val="0"/>
            <w:vAlign w:val="top"/>
          </w:tcPr>
          <w:p w14:paraId="77ADE026">
            <w:pPr>
              <w:pStyle w:val="14"/>
              <w:spacing w:before="173" w:line="221" w:lineRule="auto"/>
              <w:ind w:left="1053"/>
              <w:rPr>
                <w:highlight w:val="none"/>
              </w:rPr>
            </w:pPr>
            <w:r>
              <w:rPr>
                <w:rFonts w:hint="eastAsia"/>
                <w:spacing w:val="-2"/>
                <w:highlight w:val="none"/>
              </w:rPr>
              <w:t>规划论证</w:t>
            </w:r>
          </w:p>
        </w:tc>
        <w:tc>
          <w:tcPr>
            <w:tcW w:w="1450" w:type="dxa"/>
            <w:noWrap w:val="0"/>
            <w:vAlign w:val="top"/>
          </w:tcPr>
          <w:p w14:paraId="7AAAF42E">
            <w:pPr>
              <w:pStyle w:val="14"/>
              <w:spacing w:before="190"/>
              <w:jc w:val="center"/>
              <w:rPr>
                <w:rFonts w:hint="eastAsia"/>
                <w:highlight w:val="none"/>
                <w:lang w:val="en-US" w:eastAsia="zh-CN"/>
              </w:rPr>
            </w:pPr>
            <w:r>
              <w:rPr>
                <w:spacing w:val="-3"/>
                <w:highlight w:val="none"/>
              </w:rPr>
              <w:t>6</w:t>
            </w:r>
          </w:p>
        </w:tc>
        <w:tc>
          <w:tcPr>
            <w:tcW w:w="1450" w:type="dxa"/>
            <w:noWrap w:val="0"/>
            <w:vAlign w:val="top"/>
          </w:tcPr>
          <w:p w14:paraId="07D9DDF4">
            <w:pPr>
              <w:pStyle w:val="14"/>
              <w:spacing w:before="190"/>
              <w:jc w:val="center"/>
              <w:rPr>
                <w:rFonts w:hint="default" w:eastAsia="宋体"/>
                <w:highlight w:val="none"/>
                <w:lang w:val="en-US" w:eastAsia="zh-CN"/>
              </w:rPr>
            </w:pPr>
            <w:r>
              <w:rPr>
                <w:rFonts w:hint="eastAsia"/>
                <w:highlight w:val="none"/>
                <w:lang w:val="en-US" w:eastAsia="zh-CN"/>
              </w:rPr>
              <w:t>5</w:t>
            </w:r>
          </w:p>
        </w:tc>
      </w:tr>
      <w:tr w14:paraId="2EB8E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68DA0546">
            <w:pPr>
              <w:jc w:val="center"/>
              <w:rPr>
                <w:rFonts w:ascii="Arial"/>
                <w:sz w:val="21"/>
                <w:highlight w:val="none"/>
              </w:rPr>
            </w:pPr>
          </w:p>
        </w:tc>
        <w:tc>
          <w:tcPr>
            <w:tcW w:w="1987" w:type="dxa"/>
            <w:vMerge w:val="continue"/>
            <w:tcBorders>
              <w:top w:val="nil"/>
            </w:tcBorders>
            <w:noWrap w:val="0"/>
            <w:vAlign w:val="top"/>
          </w:tcPr>
          <w:p w14:paraId="41F24623">
            <w:pPr>
              <w:jc w:val="center"/>
              <w:rPr>
                <w:rFonts w:ascii="Arial"/>
                <w:sz w:val="21"/>
                <w:highlight w:val="none"/>
              </w:rPr>
            </w:pPr>
          </w:p>
        </w:tc>
        <w:tc>
          <w:tcPr>
            <w:tcW w:w="2663" w:type="dxa"/>
            <w:noWrap w:val="0"/>
            <w:vAlign w:val="top"/>
          </w:tcPr>
          <w:p w14:paraId="1D5144A2">
            <w:pPr>
              <w:pStyle w:val="14"/>
              <w:spacing w:before="172" w:line="220" w:lineRule="auto"/>
              <w:ind w:left="1053"/>
              <w:rPr>
                <w:highlight w:val="none"/>
              </w:rPr>
            </w:pPr>
            <w:r>
              <w:rPr>
                <w:spacing w:val="5"/>
                <w:highlight w:val="none"/>
              </w:rPr>
              <w:t>资金投向</w:t>
            </w:r>
          </w:p>
        </w:tc>
        <w:tc>
          <w:tcPr>
            <w:tcW w:w="1450" w:type="dxa"/>
            <w:noWrap w:val="0"/>
            <w:vAlign w:val="top"/>
          </w:tcPr>
          <w:p w14:paraId="7D5CE72E">
            <w:pPr>
              <w:pStyle w:val="14"/>
              <w:spacing w:before="191"/>
              <w:jc w:val="center"/>
              <w:rPr>
                <w:rFonts w:hint="eastAsia"/>
                <w:highlight w:val="none"/>
                <w:lang w:val="en-US" w:eastAsia="zh-CN"/>
              </w:rPr>
            </w:pPr>
            <w:r>
              <w:rPr>
                <w:spacing w:val="-3"/>
                <w:highlight w:val="none"/>
              </w:rPr>
              <w:t>6</w:t>
            </w:r>
          </w:p>
        </w:tc>
        <w:tc>
          <w:tcPr>
            <w:tcW w:w="1450" w:type="dxa"/>
            <w:noWrap w:val="0"/>
            <w:vAlign w:val="top"/>
          </w:tcPr>
          <w:p w14:paraId="4396E380">
            <w:pPr>
              <w:pStyle w:val="14"/>
              <w:spacing w:before="191"/>
              <w:jc w:val="center"/>
              <w:rPr>
                <w:rFonts w:hint="eastAsia" w:eastAsia="宋体"/>
                <w:highlight w:val="none"/>
                <w:lang w:val="en-US" w:eastAsia="zh-CN"/>
              </w:rPr>
            </w:pPr>
            <w:r>
              <w:rPr>
                <w:rFonts w:hint="eastAsia"/>
                <w:highlight w:val="none"/>
                <w:lang w:val="en-US" w:eastAsia="zh-CN"/>
              </w:rPr>
              <w:t>6</w:t>
            </w:r>
          </w:p>
        </w:tc>
      </w:tr>
      <w:tr w14:paraId="62827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482CE004">
            <w:pPr>
              <w:jc w:val="center"/>
              <w:rPr>
                <w:rFonts w:ascii="Arial"/>
                <w:sz w:val="21"/>
                <w:highlight w:val="yellow"/>
              </w:rPr>
            </w:pPr>
          </w:p>
        </w:tc>
        <w:tc>
          <w:tcPr>
            <w:tcW w:w="1987" w:type="dxa"/>
            <w:vMerge w:val="restart"/>
            <w:tcBorders>
              <w:bottom w:val="nil"/>
            </w:tcBorders>
            <w:noWrap w:val="0"/>
            <w:vAlign w:val="top"/>
          </w:tcPr>
          <w:p w14:paraId="3AE8D6A4">
            <w:pPr>
              <w:pStyle w:val="14"/>
              <w:spacing w:before="65" w:line="219" w:lineRule="auto"/>
              <w:jc w:val="center"/>
              <w:rPr>
                <w:spacing w:val="-3"/>
                <w:highlight w:val="none"/>
              </w:rPr>
            </w:pPr>
          </w:p>
          <w:p w14:paraId="54C601A0">
            <w:pPr>
              <w:pStyle w:val="14"/>
              <w:spacing w:before="65" w:line="219" w:lineRule="auto"/>
              <w:jc w:val="center"/>
              <w:rPr>
                <w:spacing w:val="-3"/>
                <w:highlight w:val="none"/>
              </w:rPr>
            </w:pPr>
          </w:p>
          <w:p w14:paraId="4A4FAAB6">
            <w:pPr>
              <w:pStyle w:val="14"/>
              <w:spacing w:before="65" w:line="219" w:lineRule="auto"/>
              <w:jc w:val="center"/>
              <w:rPr>
                <w:highlight w:val="none"/>
              </w:rPr>
            </w:pPr>
            <w:r>
              <w:rPr>
                <w:spacing w:val="-3"/>
                <w:highlight w:val="none"/>
              </w:rPr>
              <w:t>项目管理</w:t>
            </w:r>
          </w:p>
        </w:tc>
        <w:tc>
          <w:tcPr>
            <w:tcW w:w="2663" w:type="dxa"/>
            <w:noWrap w:val="0"/>
            <w:vAlign w:val="top"/>
          </w:tcPr>
          <w:p w14:paraId="16770BF4">
            <w:pPr>
              <w:pStyle w:val="14"/>
              <w:spacing w:before="173" w:line="219" w:lineRule="auto"/>
              <w:ind w:left="1053"/>
              <w:rPr>
                <w:highlight w:val="none"/>
              </w:rPr>
            </w:pPr>
            <w:r>
              <w:rPr>
                <w:spacing w:val="-2"/>
                <w:highlight w:val="none"/>
              </w:rPr>
              <w:t>制度办法</w:t>
            </w:r>
          </w:p>
        </w:tc>
        <w:tc>
          <w:tcPr>
            <w:tcW w:w="1450" w:type="dxa"/>
            <w:noWrap w:val="0"/>
            <w:vAlign w:val="top"/>
          </w:tcPr>
          <w:p w14:paraId="5B8624F4">
            <w:pPr>
              <w:pStyle w:val="14"/>
              <w:spacing w:before="192"/>
              <w:jc w:val="center"/>
              <w:rPr>
                <w:rFonts w:hint="eastAsia"/>
                <w:highlight w:val="none"/>
                <w:lang w:val="en-US" w:eastAsia="zh-CN"/>
              </w:rPr>
            </w:pPr>
            <w:r>
              <w:rPr>
                <w:spacing w:val="-3"/>
                <w:highlight w:val="none"/>
              </w:rPr>
              <w:t>2</w:t>
            </w:r>
          </w:p>
        </w:tc>
        <w:tc>
          <w:tcPr>
            <w:tcW w:w="1450" w:type="dxa"/>
            <w:noWrap w:val="0"/>
            <w:vAlign w:val="top"/>
          </w:tcPr>
          <w:p w14:paraId="2F86851B">
            <w:pPr>
              <w:pStyle w:val="14"/>
              <w:spacing w:before="193" w:line="241" w:lineRule="auto"/>
              <w:jc w:val="center"/>
              <w:rPr>
                <w:rFonts w:hint="eastAsia" w:eastAsia="宋体"/>
                <w:highlight w:val="none"/>
                <w:lang w:val="en-US" w:eastAsia="zh-CN"/>
              </w:rPr>
            </w:pPr>
            <w:r>
              <w:rPr>
                <w:rFonts w:hint="eastAsia"/>
                <w:highlight w:val="none"/>
                <w:lang w:val="en-US" w:eastAsia="zh-CN"/>
              </w:rPr>
              <w:t>2</w:t>
            </w:r>
          </w:p>
        </w:tc>
      </w:tr>
      <w:tr w14:paraId="31AA4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1D57820F">
            <w:pPr>
              <w:jc w:val="center"/>
              <w:rPr>
                <w:rFonts w:ascii="Arial"/>
                <w:sz w:val="21"/>
                <w:highlight w:val="yellow"/>
              </w:rPr>
            </w:pPr>
          </w:p>
        </w:tc>
        <w:tc>
          <w:tcPr>
            <w:tcW w:w="1987" w:type="dxa"/>
            <w:vMerge w:val="continue"/>
            <w:tcBorders>
              <w:top w:val="nil"/>
              <w:bottom w:val="nil"/>
            </w:tcBorders>
            <w:noWrap w:val="0"/>
            <w:vAlign w:val="top"/>
          </w:tcPr>
          <w:p w14:paraId="0DEA98B7">
            <w:pPr>
              <w:jc w:val="center"/>
              <w:rPr>
                <w:rFonts w:ascii="Arial"/>
                <w:sz w:val="21"/>
                <w:highlight w:val="yellow"/>
              </w:rPr>
            </w:pPr>
          </w:p>
        </w:tc>
        <w:tc>
          <w:tcPr>
            <w:tcW w:w="2663" w:type="dxa"/>
            <w:noWrap w:val="0"/>
            <w:vAlign w:val="top"/>
          </w:tcPr>
          <w:p w14:paraId="64B35E85">
            <w:pPr>
              <w:pStyle w:val="14"/>
              <w:spacing w:before="174" w:line="219" w:lineRule="auto"/>
              <w:ind w:left="1053"/>
              <w:rPr>
                <w:highlight w:val="none"/>
              </w:rPr>
            </w:pPr>
            <w:r>
              <w:rPr>
                <w:spacing w:val="-2"/>
                <w:highlight w:val="none"/>
              </w:rPr>
              <w:t>分配管理</w:t>
            </w:r>
          </w:p>
        </w:tc>
        <w:tc>
          <w:tcPr>
            <w:tcW w:w="1450" w:type="dxa"/>
            <w:noWrap w:val="0"/>
            <w:vAlign w:val="top"/>
          </w:tcPr>
          <w:p w14:paraId="7394D6F3">
            <w:pPr>
              <w:pStyle w:val="14"/>
              <w:spacing w:before="193"/>
              <w:jc w:val="center"/>
              <w:rPr>
                <w:rFonts w:hint="eastAsia"/>
                <w:highlight w:val="none"/>
                <w:lang w:val="en-US" w:eastAsia="zh-CN"/>
              </w:rPr>
            </w:pPr>
            <w:r>
              <w:rPr>
                <w:spacing w:val="-6"/>
                <w:highlight w:val="none"/>
              </w:rPr>
              <w:t>10</w:t>
            </w:r>
          </w:p>
        </w:tc>
        <w:tc>
          <w:tcPr>
            <w:tcW w:w="1450" w:type="dxa"/>
            <w:noWrap w:val="0"/>
            <w:vAlign w:val="top"/>
          </w:tcPr>
          <w:p w14:paraId="7819F93A">
            <w:pPr>
              <w:pStyle w:val="14"/>
              <w:spacing w:before="193"/>
              <w:jc w:val="center"/>
              <w:rPr>
                <w:rFonts w:hint="default" w:eastAsia="宋体"/>
                <w:highlight w:val="none"/>
                <w:lang w:val="en-US" w:eastAsia="zh-CN"/>
              </w:rPr>
            </w:pPr>
            <w:r>
              <w:rPr>
                <w:rFonts w:hint="eastAsia"/>
                <w:highlight w:val="none"/>
                <w:lang w:val="en-US" w:eastAsia="zh-CN"/>
              </w:rPr>
              <w:t>10</w:t>
            </w:r>
          </w:p>
        </w:tc>
      </w:tr>
      <w:tr w14:paraId="3FA1C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416C2645">
            <w:pPr>
              <w:jc w:val="center"/>
              <w:rPr>
                <w:rFonts w:ascii="Arial"/>
                <w:sz w:val="21"/>
                <w:highlight w:val="yellow"/>
              </w:rPr>
            </w:pPr>
          </w:p>
        </w:tc>
        <w:tc>
          <w:tcPr>
            <w:tcW w:w="1987" w:type="dxa"/>
            <w:vMerge w:val="continue"/>
            <w:tcBorders>
              <w:top w:val="nil"/>
            </w:tcBorders>
            <w:noWrap w:val="0"/>
            <w:vAlign w:val="top"/>
          </w:tcPr>
          <w:p w14:paraId="310DFCE3">
            <w:pPr>
              <w:jc w:val="center"/>
              <w:rPr>
                <w:rFonts w:ascii="Arial"/>
                <w:sz w:val="21"/>
                <w:highlight w:val="yellow"/>
              </w:rPr>
            </w:pPr>
          </w:p>
        </w:tc>
        <w:tc>
          <w:tcPr>
            <w:tcW w:w="2663" w:type="dxa"/>
            <w:noWrap w:val="0"/>
            <w:vAlign w:val="top"/>
          </w:tcPr>
          <w:p w14:paraId="1C8C1417">
            <w:pPr>
              <w:pStyle w:val="14"/>
              <w:spacing w:before="175" w:line="219" w:lineRule="auto"/>
              <w:ind w:left="1053"/>
              <w:rPr>
                <w:highlight w:val="none"/>
              </w:rPr>
            </w:pPr>
            <w:r>
              <w:rPr>
                <w:spacing w:val="2"/>
                <w:highlight w:val="none"/>
              </w:rPr>
              <w:t>绩效监管</w:t>
            </w:r>
          </w:p>
        </w:tc>
        <w:tc>
          <w:tcPr>
            <w:tcW w:w="1450" w:type="dxa"/>
            <w:noWrap w:val="0"/>
            <w:vAlign w:val="top"/>
          </w:tcPr>
          <w:p w14:paraId="6920D7F0">
            <w:pPr>
              <w:pStyle w:val="14"/>
              <w:spacing w:before="194"/>
              <w:jc w:val="center"/>
              <w:rPr>
                <w:rFonts w:hint="eastAsia"/>
                <w:highlight w:val="none"/>
                <w:lang w:val="en-US" w:eastAsia="zh-CN"/>
              </w:rPr>
            </w:pPr>
            <w:r>
              <w:rPr>
                <w:spacing w:val="-3"/>
                <w:highlight w:val="none"/>
              </w:rPr>
              <w:t>6</w:t>
            </w:r>
          </w:p>
        </w:tc>
        <w:tc>
          <w:tcPr>
            <w:tcW w:w="1450" w:type="dxa"/>
            <w:noWrap w:val="0"/>
            <w:vAlign w:val="top"/>
          </w:tcPr>
          <w:p w14:paraId="51A48D1D">
            <w:pPr>
              <w:pStyle w:val="14"/>
              <w:spacing w:before="194"/>
              <w:jc w:val="center"/>
              <w:rPr>
                <w:rFonts w:hint="eastAsia" w:eastAsia="宋体"/>
                <w:highlight w:val="none"/>
                <w:lang w:val="en-US" w:eastAsia="zh-CN"/>
              </w:rPr>
            </w:pPr>
            <w:r>
              <w:rPr>
                <w:rFonts w:hint="eastAsia"/>
                <w:highlight w:val="none"/>
                <w:lang w:val="en-US" w:eastAsia="zh-CN"/>
              </w:rPr>
              <w:t>6</w:t>
            </w:r>
          </w:p>
        </w:tc>
      </w:tr>
      <w:tr w14:paraId="49614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75AEE0C4">
            <w:pPr>
              <w:pStyle w:val="14"/>
              <w:spacing w:before="226" w:line="220" w:lineRule="auto"/>
              <w:ind w:left="130"/>
              <w:jc w:val="center"/>
              <w:rPr>
                <w:highlight w:val="none"/>
              </w:rPr>
            </w:pPr>
          </w:p>
        </w:tc>
        <w:tc>
          <w:tcPr>
            <w:tcW w:w="1987" w:type="dxa"/>
            <w:vMerge w:val="restart"/>
            <w:tcBorders>
              <w:bottom w:val="nil"/>
            </w:tcBorders>
            <w:noWrap w:val="0"/>
            <w:vAlign w:val="top"/>
          </w:tcPr>
          <w:p w14:paraId="29987FD0">
            <w:pPr>
              <w:pStyle w:val="14"/>
              <w:spacing w:before="65" w:line="600" w:lineRule="auto"/>
              <w:jc w:val="center"/>
              <w:rPr>
                <w:highlight w:val="none"/>
              </w:rPr>
            </w:pPr>
            <w:r>
              <w:rPr>
                <w:spacing w:val="2"/>
                <w:highlight w:val="none"/>
              </w:rPr>
              <w:t>项目实施</w:t>
            </w:r>
          </w:p>
        </w:tc>
        <w:tc>
          <w:tcPr>
            <w:tcW w:w="2663" w:type="dxa"/>
            <w:noWrap w:val="0"/>
            <w:vAlign w:val="top"/>
          </w:tcPr>
          <w:p w14:paraId="7E43B01F">
            <w:pPr>
              <w:pStyle w:val="14"/>
              <w:spacing w:before="176" w:line="219" w:lineRule="auto"/>
              <w:ind w:left="1053"/>
              <w:rPr>
                <w:highlight w:val="none"/>
              </w:rPr>
            </w:pPr>
            <w:r>
              <w:rPr>
                <w:spacing w:val="-2"/>
                <w:highlight w:val="none"/>
              </w:rPr>
              <w:t>预算执行</w:t>
            </w:r>
          </w:p>
        </w:tc>
        <w:tc>
          <w:tcPr>
            <w:tcW w:w="1450" w:type="dxa"/>
            <w:noWrap w:val="0"/>
            <w:vAlign w:val="top"/>
          </w:tcPr>
          <w:p w14:paraId="5A4CA7C7">
            <w:pPr>
              <w:pStyle w:val="14"/>
              <w:spacing w:before="195"/>
              <w:jc w:val="center"/>
              <w:rPr>
                <w:rFonts w:hint="eastAsia"/>
                <w:highlight w:val="none"/>
                <w:lang w:val="en-US" w:eastAsia="zh-CN"/>
              </w:rPr>
            </w:pPr>
            <w:r>
              <w:rPr>
                <w:rFonts w:hint="eastAsia"/>
                <w:spacing w:val="-3"/>
                <w:highlight w:val="none"/>
                <w:lang w:val="en-US" w:eastAsia="zh-CN"/>
              </w:rPr>
              <w:t>3</w:t>
            </w:r>
          </w:p>
        </w:tc>
        <w:tc>
          <w:tcPr>
            <w:tcW w:w="1450" w:type="dxa"/>
            <w:noWrap w:val="0"/>
            <w:vAlign w:val="top"/>
          </w:tcPr>
          <w:p w14:paraId="2F0190A4">
            <w:pPr>
              <w:pStyle w:val="14"/>
              <w:spacing w:before="196" w:line="239" w:lineRule="auto"/>
              <w:jc w:val="center"/>
              <w:rPr>
                <w:rFonts w:hint="default" w:eastAsia="宋体"/>
                <w:highlight w:val="none"/>
                <w:lang w:val="en-US" w:eastAsia="zh-CN"/>
              </w:rPr>
            </w:pPr>
            <w:r>
              <w:rPr>
                <w:rFonts w:hint="eastAsia"/>
                <w:highlight w:val="none"/>
                <w:lang w:val="en-US" w:eastAsia="zh-CN"/>
              </w:rPr>
              <w:t>3</w:t>
            </w:r>
          </w:p>
        </w:tc>
      </w:tr>
      <w:tr w14:paraId="45BEE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550" w:type="dxa"/>
            <w:vMerge w:val="continue"/>
            <w:noWrap w:val="0"/>
            <w:vAlign w:val="top"/>
          </w:tcPr>
          <w:p w14:paraId="48314FD5">
            <w:pPr>
              <w:jc w:val="center"/>
              <w:rPr>
                <w:rFonts w:ascii="Arial"/>
                <w:sz w:val="21"/>
                <w:highlight w:val="none"/>
              </w:rPr>
            </w:pPr>
          </w:p>
        </w:tc>
        <w:tc>
          <w:tcPr>
            <w:tcW w:w="1987" w:type="dxa"/>
            <w:vMerge w:val="continue"/>
            <w:tcBorders>
              <w:top w:val="nil"/>
            </w:tcBorders>
            <w:noWrap w:val="0"/>
            <w:vAlign w:val="top"/>
          </w:tcPr>
          <w:p w14:paraId="5CEC21FB">
            <w:pPr>
              <w:jc w:val="center"/>
              <w:rPr>
                <w:rFonts w:ascii="Arial"/>
                <w:sz w:val="21"/>
                <w:highlight w:val="none"/>
              </w:rPr>
            </w:pPr>
          </w:p>
        </w:tc>
        <w:tc>
          <w:tcPr>
            <w:tcW w:w="2663" w:type="dxa"/>
            <w:noWrap w:val="0"/>
            <w:vAlign w:val="top"/>
          </w:tcPr>
          <w:p w14:paraId="55BD04A7">
            <w:pPr>
              <w:pStyle w:val="14"/>
              <w:spacing w:before="147" w:line="219" w:lineRule="auto"/>
              <w:ind w:left="1053"/>
              <w:rPr>
                <w:highlight w:val="none"/>
              </w:rPr>
            </w:pPr>
            <w:r>
              <w:rPr>
                <w:spacing w:val="6"/>
                <w:highlight w:val="none"/>
              </w:rPr>
              <w:t>资金使用</w:t>
            </w:r>
          </w:p>
        </w:tc>
        <w:tc>
          <w:tcPr>
            <w:tcW w:w="1450" w:type="dxa"/>
            <w:noWrap w:val="0"/>
            <w:vAlign w:val="top"/>
          </w:tcPr>
          <w:p w14:paraId="582614DF">
            <w:pPr>
              <w:pStyle w:val="14"/>
              <w:spacing w:before="166"/>
              <w:jc w:val="center"/>
              <w:rPr>
                <w:rFonts w:hint="eastAsia"/>
                <w:highlight w:val="none"/>
                <w:lang w:val="en-US" w:eastAsia="zh-CN"/>
              </w:rPr>
            </w:pPr>
            <w:r>
              <w:rPr>
                <w:rFonts w:hint="eastAsia"/>
                <w:spacing w:val="-3"/>
                <w:highlight w:val="none"/>
                <w:lang w:val="en-US" w:eastAsia="zh-CN"/>
              </w:rPr>
              <w:t>6</w:t>
            </w:r>
          </w:p>
        </w:tc>
        <w:tc>
          <w:tcPr>
            <w:tcW w:w="1450" w:type="dxa"/>
            <w:noWrap w:val="0"/>
            <w:vAlign w:val="top"/>
          </w:tcPr>
          <w:p w14:paraId="21E4D282">
            <w:pPr>
              <w:pStyle w:val="14"/>
              <w:spacing w:before="166"/>
              <w:jc w:val="center"/>
              <w:rPr>
                <w:rFonts w:hint="default" w:eastAsia="宋体"/>
                <w:highlight w:val="none"/>
                <w:lang w:val="en-US" w:eastAsia="zh-CN"/>
              </w:rPr>
            </w:pPr>
            <w:r>
              <w:rPr>
                <w:rFonts w:hint="eastAsia"/>
                <w:highlight w:val="none"/>
                <w:lang w:val="en-US" w:eastAsia="zh-CN"/>
              </w:rPr>
              <w:t>5</w:t>
            </w:r>
          </w:p>
        </w:tc>
      </w:tr>
      <w:tr w14:paraId="7458F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550" w:type="dxa"/>
            <w:vMerge w:val="continue"/>
            <w:noWrap w:val="0"/>
            <w:vAlign w:val="top"/>
          </w:tcPr>
          <w:p w14:paraId="63DF80C7">
            <w:pPr>
              <w:jc w:val="center"/>
              <w:rPr>
                <w:rFonts w:ascii="Arial"/>
                <w:sz w:val="21"/>
                <w:highlight w:val="none"/>
              </w:rPr>
            </w:pPr>
          </w:p>
        </w:tc>
        <w:tc>
          <w:tcPr>
            <w:tcW w:w="1987" w:type="dxa"/>
            <w:vMerge w:val="restart"/>
            <w:noWrap w:val="0"/>
            <w:vAlign w:val="top"/>
          </w:tcPr>
          <w:p w14:paraId="3FFF43C5">
            <w:pPr>
              <w:pStyle w:val="14"/>
              <w:spacing w:before="178" w:line="600" w:lineRule="auto"/>
              <w:jc w:val="center"/>
              <w:rPr>
                <w:highlight w:val="none"/>
              </w:rPr>
            </w:pPr>
            <w:r>
              <w:rPr>
                <w:spacing w:val="2"/>
                <w:highlight w:val="none"/>
              </w:rPr>
              <w:t>项目结果</w:t>
            </w:r>
          </w:p>
        </w:tc>
        <w:tc>
          <w:tcPr>
            <w:tcW w:w="2663" w:type="dxa"/>
            <w:noWrap w:val="0"/>
            <w:vAlign w:val="top"/>
          </w:tcPr>
          <w:p w14:paraId="5E5E5A08">
            <w:pPr>
              <w:pStyle w:val="14"/>
              <w:spacing w:before="178" w:line="219" w:lineRule="auto"/>
              <w:ind w:left="1053"/>
              <w:rPr>
                <w:highlight w:val="none"/>
              </w:rPr>
            </w:pPr>
            <w:r>
              <w:rPr>
                <w:spacing w:val="2"/>
                <w:highlight w:val="none"/>
              </w:rPr>
              <w:t>目标完成</w:t>
            </w:r>
          </w:p>
        </w:tc>
        <w:tc>
          <w:tcPr>
            <w:tcW w:w="1450" w:type="dxa"/>
            <w:noWrap w:val="0"/>
            <w:vAlign w:val="top"/>
          </w:tcPr>
          <w:p w14:paraId="6116E5D4">
            <w:pPr>
              <w:pStyle w:val="14"/>
              <w:spacing w:before="197"/>
              <w:jc w:val="center"/>
              <w:rPr>
                <w:rFonts w:hint="eastAsia"/>
                <w:highlight w:val="none"/>
                <w:lang w:val="en-US" w:eastAsia="zh-CN"/>
              </w:rPr>
            </w:pPr>
            <w:r>
              <w:rPr>
                <w:spacing w:val="-3"/>
                <w:highlight w:val="none"/>
              </w:rPr>
              <w:t>6</w:t>
            </w:r>
          </w:p>
        </w:tc>
        <w:tc>
          <w:tcPr>
            <w:tcW w:w="1450" w:type="dxa"/>
            <w:noWrap w:val="0"/>
            <w:vAlign w:val="top"/>
          </w:tcPr>
          <w:p w14:paraId="2DE11E46">
            <w:pPr>
              <w:pStyle w:val="14"/>
              <w:spacing w:before="197"/>
              <w:jc w:val="center"/>
              <w:rPr>
                <w:rFonts w:hint="default" w:eastAsia="宋体"/>
                <w:highlight w:val="none"/>
                <w:lang w:val="en-US" w:eastAsia="zh-CN"/>
              </w:rPr>
            </w:pPr>
            <w:r>
              <w:rPr>
                <w:rFonts w:hint="eastAsia"/>
                <w:highlight w:val="none"/>
                <w:lang w:val="en-US" w:eastAsia="zh-CN"/>
              </w:rPr>
              <w:t>3.75</w:t>
            </w:r>
          </w:p>
        </w:tc>
      </w:tr>
      <w:tr w14:paraId="1CDF1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550" w:type="dxa"/>
            <w:vMerge w:val="continue"/>
            <w:noWrap w:val="0"/>
            <w:vAlign w:val="top"/>
          </w:tcPr>
          <w:p w14:paraId="2E8987C4">
            <w:pPr>
              <w:jc w:val="center"/>
              <w:rPr>
                <w:rFonts w:ascii="Arial"/>
                <w:sz w:val="21"/>
                <w:highlight w:val="none"/>
              </w:rPr>
            </w:pPr>
          </w:p>
        </w:tc>
        <w:tc>
          <w:tcPr>
            <w:tcW w:w="1987" w:type="dxa"/>
            <w:vMerge w:val="continue"/>
            <w:noWrap w:val="0"/>
            <w:vAlign w:val="top"/>
          </w:tcPr>
          <w:p w14:paraId="33B00B29">
            <w:pPr>
              <w:jc w:val="center"/>
              <w:rPr>
                <w:rFonts w:ascii="Arial"/>
                <w:sz w:val="21"/>
                <w:highlight w:val="none"/>
              </w:rPr>
            </w:pPr>
          </w:p>
        </w:tc>
        <w:tc>
          <w:tcPr>
            <w:tcW w:w="2663" w:type="dxa"/>
            <w:noWrap w:val="0"/>
            <w:vAlign w:val="top"/>
          </w:tcPr>
          <w:p w14:paraId="37FCC664">
            <w:pPr>
              <w:pStyle w:val="14"/>
              <w:spacing w:before="173" w:line="219" w:lineRule="auto"/>
              <w:ind w:left="1053"/>
              <w:rPr>
                <w:highlight w:val="none"/>
              </w:rPr>
            </w:pPr>
            <w:r>
              <w:rPr>
                <w:spacing w:val="-2"/>
                <w:highlight w:val="none"/>
              </w:rPr>
              <w:t>完成时效</w:t>
            </w:r>
          </w:p>
        </w:tc>
        <w:tc>
          <w:tcPr>
            <w:tcW w:w="1450" w:type="dxa"/>
            <w:noWrap w:val="0"/>
            <w:vAlign w:val="top"/>
          </w:tcPr>
          <w:p w14:paraId="543863C9">
            <w:pPr>
              <w:pStyle w:val="14"/>
              <w:spacing w:before="192"/>
              <w:jc w:val="center"/>
              <w:rPr>
                <w:rFonts w:hint="eastAsia"/>
                <w:highlight w:val="none"/>
                <w:lang w:val="en-US" w:eastAsia="zh-CN"/>
              </w:rPr>
            </w:pPr>
            <w:r>
              <w:rPr>
                <w:spacing w:val="-3"/>
                <w:highlight w:val="none"/>
              </w:rPr>
              <w:t>3</w:t>
            </w:r>
          </w:p>
        </w:tc>
        <w:tc>
          <w:tcPr>
            <w:tcW w:w="1450" w:type="dxa"/>
            <w:noWrap w:val="0"/>
            <w:vAlign w:val="top"/>
          </w:tcPr>
          <w:p w14:paraId="29CD01DB">
            <w:pPr>
              <w:pStyle w:val="14"/>
              <w:spacing w:before="192"/>
              <w:jc w:val="center"/>
              <w:rPr>
                <w:rFonts w:hint="eastAsia" w:eastAsia="宋体"/>
                <w:highlight w:val="none"/>
                <w:lang w:val="en-US" w:eastAsia="zh-CN"/>
              </w:rPr>
            </w:pPr>
            <w:r>
              <w:rPr>
                <w:rFonts w:hint="eastAsia"/>
                <w:highlight w:val="none"/>
                <w:lang w:val="en-US" w:eastAsia="zh-CN"/>
              </w:rPr>
              <w:t>3</w:t>
            </w:r>
          </w:p>
        </w:tc>
      </w:tr>
      <w:tr w14:paraId="4EBBF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550" w:type="dxa"/>
            <w:vMerge w:val="restart"/>
            <w:tcBorders>
              <w:top w:val="nil"/>
            </w:tcBorders>
            <w:noWrap w:val="0"/>
            <w:vAlign w:val="top"/>
          </w:tcPr>
          <w:p w14:paraId="197D20A6">
            <w:pPr>
              <w:pStyle w:val="14"/>
              <w:spacing w:before="65" w:line="240" w:lineRule="auto"/>
              <w:ind w:left="130"/>
              <w:jc w:val="center"/>
              <w:rPr>
                <w:rFonts w:hint="eastAsia" w:ascii="宋体" w:hAnsi="宋体" w:eastAsia="宋体" w:cs="宋体"/>
                <w:spacing w:val="-2"/>
                <w:highlight w:val="none"/>
              </w:rPr>
            </w:pPr>
          </w:p>
          <w:p w14:paraId="1185169B">
            <w:pPr>
              <w:pStyle w:val="14"/>
              <w:spacing w:before="65" w:line="480" w:lineRule="auto"/>
              <w:jc w:val="center"/>
              <w:rPr>
                <w:rFonts w:hint="eastAsia" w:ascii="Arial" w:eastAsia="宋体"/>
                <w:sz w:val="21"/>
                <w:highlight w:val="none"/>
                <w:lang w:val="en-US" w:eastAsia="zh-CN"/>
              </w:rPr>
            </w:pPr>
            <w:r>
              <w:rPr>
                <w:rFonts w:hint="eastAsia" w:ascii="Arial"/>
                <w:sz w:val="21"/>
                <w:highlight w:val="none"/>
                <w:lang w:val="en-US" w:eastAsia="zh-CN"/>
              </w:rPr>
              <w:t>专用指标</w:t>
            </w:r>
          </w:p>
        </w:tc>
        <w:tc>
          <w:tcPr>
            <w:tcW w:w="1987" w:type="dxa"/>
            <w:vMerge w:val="restart"/>
            <w:tcBorders>
              <w:top w:val="nil"/>
            </w:tcBorders>
            <w:noWrap w:val="0"/>
            <w:vAlign w:val="top"/>
          </w:tcPr>
          <w:p w14:paraId="452C38F5">
            <w:pPr>
              <w:jc w:val="center"/>
              <w:rPr>
                <w:rFonts w:hint="eastAsia" w:ascii="Arial"/>
                <w:sz w:val="21"/>
                <w:highlight w:val="none"/>
                <w:lang w:val="en-US" w:eastAsia="zh-CN"/>
              </w:rPr>
            </w:pPr>
          </w:p>
          <w:p w14:paraId="38A2EE60">
            <w:pPr>
              <w:jc w:val="center"/>
              <w:rPr>
                <w:rFonts w:hint="eastAsia" w:ascii="Arial"/>
                <w:sz w:val="21"/>
                <w:highlight w:val="none"/>
                <w:lang w:val="en-US" w:eastAsia="zh-CN"/>
              </w:rPr>
            </w:pPr>
          </w:p>
          <w:p w14:paraId="2101B7C0">
            <w:pPr>
              <w:jc w:val="center"/>
              <w:rPr>
                <w:rFonts w:hint="default" w:ascii="Arial" w:eastAsia="宋体"/>
                <w:sz w:val="21"/>
                <w:highlight w:val="none"/>
                <w:lang w:val="en-US" w:eastAsia="zh-CN"/>
              </w:rPr>
            </w:pPr>
            <w:r>
              <w:rPr>
                <w:rFonts w:hint="eastAsia" w:ascii="Arial"/>
                <w:sz w:val="21"/>
                <w:highlight w:val="none"/>
                <w:lang w:val="en-US" w:eastAsia="zh-CN"/>
              </w:rPr>
              <w:t>产业发展</w:t>
            </w:r>
          </w:p>
        </w:tc>
        <w:tc>
          <w:tcPr>
            <w:tcW w:w="2663" w:type="dxa"/>
            <w:noWrap w:val="0"/>
            <w:vAlign w:val="top"/>
          </w:tcPr>
          <w:p w14:paraId="5EBFF0BE">
            <w:pPr>
              <w:pStyle w:val="14"/>
              <w:spacing w:before="179" w:line="219" w:lineRule="auto"/>
              <w:jc w:val="center"/>
              <w:rPr>
                <w:highlight w:val="none"/>
              </w:rPr>
            </w:pPr>
            <w:r>
              <w:rPr>
                <w:rFonts w:hint="eastAsia"/>
                <w:spacing w:val="-2"/>
                <w:highlight w:val="none"/>
              </w:rPr>
              <w:t>符合性</w:t>
            </w:r>
          </w:p>
        </w:tc>
        <w:tc>
          <w:tcPr>
            <w:tcW w:w="1450" w:type="dxa"/>
            <w:noWrap w:val="0"/>
            <w:vAlign w:val="top"/>
          </w:tcPr>
          <w:p w14:paraId="173A3360">
            <w:pPr>
              <w:pStyle w:val="14"/>
              <w:spacing w:before="200"/>
              <w:jc w:val="center"/>
              <w:rPr>
                <w:rFonts w:hint="default"/>
                <w:highlight w:val="none"/>
                <w:lang w:val="en-US" w:eastAsia="zh-CN"/>
              </w:rPr>
            </w:pPr>
            <w:r>
              <w:rPr>
                <w:rFonts w:hint="eastAsia"/>
                <w:highlight w:val="none"/>
                <w:lang w:val="en-US" w:eastAsia="zh-CN"/>
              </w:rPr>
              <w:t>10</w:t>
            </w:r>
          </w:p>
        </w:tc>
        <w:tc>
          <w:tcPr>
            <w:tcW w:w="1450" w:type="dxa"/>
            <w:noWrap w:val="0"/>
            <w:vAlign w:val="top"/>
          </w:tcPr>
          <w:p w14:paraId="3A95FADF">
            <w:pPr>
              <w:pStyle w:val="14"/>
              <w:spacing w:before="200"/>
              <w:jc w:val="center"/>
              <w:rPr>
                <w:rFonts w:hint="default" w:eastAsia="宋体"/>
                <w:highlight w:val="yellow"/>
                <w:lang w:val="en-US" w:eastAsia="zh-CN"/>
              </w:rPr>
            </w:pPr>
            <w:r>
              <w:rPr>
                <w:rFonts w:hint="eastAsia"/>
                <w:highlight w:val="none"/>
                <w:lang w:val="en-US" w:eastAsia="zh-CN"/>
              </w:rPr>
              <w:t>10</w:t>
            </w:r>
          </w:p>
        </w:tc>
      </w:tr>
      <w:tr w14:paraId="78A47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1550" w:type="dxa"/>
            <w:vMerge w:val="continue"/>
            <w:noWrap w:val="0"/>
            <w:vAlign w:val="top"/>
          </w:tcPr>
          <w:p w14:paraId="62DCA3F5">
            <w:pPr>
              <w:jc w:val="center"/>
              <w:rPr>
                <w:rFonts w:ascii="Arial"/>
                <w:sz w:val="21"/>
                <w:highlight w:val="none"/>
              </w:rPr>
            </w:pPr>
          </w:p>
        </w:tc>
        <w:tc>
          <w:tcPr>
            <w:tcW w:w="1987" w:type="dxa"/>
            <w:vMerge w:val="continue"/>
            <w:noWrap w:val="0"/>
            <w:vAlign w:val="top"/>
          </w:tcPr>
          <w:p w14:paraId="0D51E303">
            <w:pPr>
              <w:jc w:val="center"/>
              <w:rPr>
                <w:rFonts w:ascii="Arial"/>
                <w:sz w:val="21"/>
                <w:highlight w:val="none"/>
              </w:rPr>
            </w:pPr>
          </w:p>
        </w:tc>
        <w:tc>
          <w:tcPr>
            <w:tcW w:w="2663" w:type="dxa"/>
            <w:noWrap w:val="0"/>
            <w:vAlign w:val="top"/>
          </w:tcPr>
          <w:p w14:paraId="366B5D5C">
            <w:pPr>
              <w:pStyle w:val="14"/>
              <w:spacing w:before="172" w:line="220" w:lineRule="auto"/>
              <w:jc w:val="center"/>
              <w:rPr>
                <w:highlight w:val="none"/>
              </w:rPr>
            </w:pPr>
            <w:r>
              <w:rPr>
                <w:rFonts w:hint="eastAsia"/>
                <w:spacing w:val="-2"/>
                <w:highlight w:val="none"/>
              </w:rPr>
              <w:t>成长性</w:t>
            </w:r>
          </w:p>
        </w:tc>
        <w:tc>
          <w:tcPr>
            <w:tcW w:w="1450" w:type="dxa"/>
            <w:noWrap w:val="0"/>
            <w:vAlign w:val="top"/>
          </w:tcPr>
          <w:p w14:paraId="026228F9">
            <w:pPr>
              <w:pStyle w:val="14"/>
              <w:spacing w:before="191"/>
              <w:jc w:val="center"/>
              <w:rPr>
                <w:rFonts w:hint="default"/>
                <w:highlight w:val="none"/>
                <w:lang w:val="en-US" w:eastAsia="zh-CN"/>
              </w:rPr>
            </w:pPr>
            <w:r>
              <w:rPr>
                <w:rFonts w:hint="eastAsia"/>
                <w:highlight w:val="none"/>
                <w:lang w:val="en-US" w:eastAsia="zh-CN"/>
              </w:rPr>
              <w:t>10</w:t>
            </w:r>
          </w:p>
        </w:tc>
        <w:tc>
          <w:tcPr>
            <w:tcW w:w="1450" w:type="dxa"/>
            <w:noWrap w:val="0"/>
            <w:vAlign w:val="top"/>
          </w:tcPr>
          <w:p w14:paraId="52B33896">
            <w:pPr>
              <w:pStyle w:val="14"/>
              <w:spacing w:before="191"/>
              <w:jc w:val="center"/>
              <w:rPr>
                <w:rFonts w:hint="default" w:eastAsia="宋体"/>
                <w:highlight w:val="none"/>
                <w:lang w:val="en-US" w:eastAsia="zh-CN"/>
              </w:rPr>
            </w:pPr>
            <w:r>
              <w:rPr>
                <w:rFonts w:hint="eastAsia"/>
                <w:highlight w:val="none"/>
                <w:lang w:val="en-US" w:eastAsia="zh-CN"/>
              </w:rPr>
              <w:t>7</w:t>
            </w:r>
          </w:p>
        </w:tc>
      </w:tr>
      <w:tr w14:paraId="78B8D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5E96E62A">
            <w:pPr>
              <w:jc w:val="center"/>
              <w:rPr>
                <w:rFonts w:ascii="Arial"/>
                <w:sz w:val="21"/>
                <w:highlight w:val="none"/>
              </w:rPr>
            </w:pPr>
          </w:p>
        </w:tc>
        <w:tc>
          <w:tcPr>
            <w:tcW w:w="1987" w:type="dxa"/>
            <w:vMerge w:val="continue"/>
            <w:noWrap w:val="0"/>
            <w:vAlign w:val="top"/>
          </w:tcPr>
          <w:p w14:paraId="7D9A92C2">
            <w:pPr>
              <w:jc w:val="center"/>
              <w:rPr>
                <w:rFonts w:ascii="Arial"/>
                <w:sz w:val="21"/>
                <w:highlight w:val="none"/>
              </w:rPr>
            </w:pPr>
          </w:p>
        </w:tc>
        <w:tc>
          <w:tcPr>
            <w:tcW w:w="2663" w:type="dxa"/>
            <w:noWrap w:val="0"/>
            <w:vAlign w:val="top"/>
          </w:tcPr>
          <w:p w14:paraId="1C14DF56">
            <w:pPr>
              <w:pStyle w:val="14"/>
              <w:spacing w:before="174" w:line="219" w:lineRule="auto"/>
              <w:jc w:val="center"/>
              <w:rPr>
                <w:highlight w:val="none"/>
              </w:rPr>
            </w:pPr>
            <w:r>
              <w:rPr>
                <w:rFonts w:hint="eastAsia"/>
                <w:spacing w:val="-2"/>
                <w:highlight w:val="none"/>
              </w:rPr>
              <w:t>经济性</w:t>
            </w:r>
          </w:p>
        </w:tc>
        <w:tc>
          <w:tcPr>
            <w:tcW w:w="1450" w:type="dxa"/>
            <w:noWrap w:val="0"/>
            <w:vAlign w:val="top"/>
          </w:tcPr>
          <w:p w14:paraId="663F6D17">
            <w:pPr>
              <w:pStyle w:val="14"/>
              <w:spacing w:before="193"/>
              <w:jc w:val="center"/>
              <w:rPr>
                <w:rFonts w:hint="default"/>
                <w:highlight w:val="none"/>
                <w:lang w:val="en-US" w:eastAsia="zh-CN"/>
              </w:rPr>
            </w:pPr>
            <w:r>
              <w:rPr>
                <w:rFonts w:hint="eastAsia"/>
                <w:highlight w:val="none"/>
                <w:lang w:val="en-US" w:eastAsia="zh-CN"/>
              </w:rPr>
              <w:t>10</w:t>
            </w:r>
          </w:p>
        </w:tc>
        <w:tc>
          <w:tcPr>
            <w:tcW w:w="1450" w:type="dxa"/>
            <w:noWrap w:val="0"/>
            <w:vAlign w:val="top"/>
          </w:tcPr>
          <w:p w14:paraId="01204572">
            <w:pPr>
              <w:pStyle w:val="14"/>
              <w:spacing w:before="193"/>
              <w:jc w:val="center"/>
              <w:rPr>
                <w:rFonts w:hint="default" w:eastAsia="宋体"/>
                <w:highlight w:val="yellow"/>
                <w:lang w:val="en-US" w:eastAsia="zh-CN"/>
              </w:rPr>
            </w:pPr>
            <w:r>
              <w:rPr>
                <w:rFonts w:hint="eastAsia"/>
                <w:highlight w:val="none"/>
                <w:lang w:val="en-US" w:eastAsia="zh-CN"/>
              </w:rPr>
              <w:t>7</w:t>
            </w:r>
          </w:p>
        </w:tc>
      </w:tr>
      <w:tr w14:paraId="3578F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restart"/>
            <w:noWrap w:val="0"/>
            <w:vAlign w:val="top"/>
          </w:tcPr>
          <w:p w14:paraId="55E00F5B">
            <w:pPr>
              <w:pStyle w:val="14"/>
              <w:spacing w:before="65" w:line="480" w:lineRule="auto"/>
              <w:ind w:firstLine="392" w:firstLineChars="200"/>
              <w:jc w:val="both"/>
              <w:rPr>
                <w:highlight w:val="none"/>
              </w:rPr>
            </w:pPr>
            <w:r>
              <w:rPr>
                <w:spacing w:val="-2"/>
                <w:highlight w:val="none"/>
              </w:rPr>
              <w:t>个性指标</w:t>
            </w:r>
          </w:p>
        </w:tc>
        <w:tc>
          <w:tcPr>
            <w:tcW w:w="1987" w:type="dxa"/>
            <w:vMerge w:val="restart"/>
            <w:noWrap w:val="0"/>
            <w:vAlign w:val="top"/>
          </w:tcPr>
          <w:p w14:paraId="316238D3">
            <w:pPr>
              <w:pStyle w:val="14"/>
              <w:spacing w:before="175" w:line="480" w:lineRule="auto"/>
              <w:jc w:val="center"/>
              <w:rPr>
                <w:highlight w:val="none"/>
              </w:rPr>
            </w:pPr>
            <w:r>
              <w:rPr>
                <w:rFonts w:hint="eastAsia"/>
                <w:highlight w:val="none"/>
              </w:rPr>
              <w:t>根据具体项目制定</w:t>
            </w:r>
          </w:p>
        </w:tc>
        <w:tc>
          <w:tcPr>
            <w:tcW w:w="2663" w:type="dxa"/>
            <w:noWrap w:val="0"/>
            <w:vAlign w:val="top"/>
          </w:tcPr>
          <w:p w14:paraId="48B64738">
            <w:pPr>
              <w:pStyle w:val="14"/>
              <w:spacing w:before="175" w:line="219" w:lineRule="auto"/>
              <w:jc w:val="center"/>
              <w:rPr>
                <w:highlight w:val="none"/>
              </w:rPr>
            </w:pPr>
            <w:r>
              <w:rPr>
                <w:rFonts w:hint="eastAsia"/>
                <w:spacing w:val="-1"/>
                <w:highlight w:val="none"/>
              </w:rPr>
              <w:t>重点品类换新达标率</w:t>
            </w:r>
          </w:p>
        </w:tc>
        <w:tc>
          <w:tcPr>
            <w:tcW w:w="1450" w:type="dxa"/>
            <w:noWrap w:val="0"/>
            <w:vAlign w:val="top"/>
          </w:tcPr>
          <w:p w14:paraId="0F21D8FB">
            <w:pPr>
              <w:pStyle w:val="14"/>
              <w:spacing w:before="194"/>
              <w:jc w:val="center"/>
              <w:rPr>
                <w:rFonts w:hint="default"/>
                <w:highlight w:val="none"/>
                <w:lang w:val="en-US" w:eastAsia="zh-CN"/>
              </w:rPr>
            </w:pPr>
            <w:r>
              <w:rPr>
                <w:rFonts w:hint="eastAsia"/>
                <w:highlight w:val="none"/>
                <w:lang w:val="en-US" w:eastAsia="zh-CN"/>
              </w:rPr>
              <w:t>8</w:t>
            </w:r>
          </w:p>
        </w:tc>
        <w:tc>
          <w:tcPr>
            <w:tcW w:w="1450" w:type="dxa"/>
            <w:noWrap w:val="0"/>
            <w:vAlign w:val="top"/>
          </w:tcPr>
          <w:p w14:paraId="46844320">
            <w:pPr>
              <w:pStyle w:val="14"/>
              <w:spacing w:before="194"/>
              <w:jc w:val="center"/>
              <w:rPr>
                <w:rFonts w:hint="default" w:eastAsia="宋体"/>
                <w:highlight w:val="none"/>
                <w:lang w:val="en-US" w:eastAsia="zh-CN"/>
              </w:rPr>
            </w:pPr>
            <w:r>
              <w:rPr>
                <w:rFonts w:hint="eastAsia"/>
                <w:highlight w:val="none"/>
                <w:lang w:val="en-US" w:eastAsia="zh-CN"/>
              </w:rPr>
              <w:t>5</w:t>
            </w:r>
          </w:p>
        </w:tc>
      </w:tr>
      <w:tr w14:paraId="6FC6F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23C4EF64">
            <w:pPr>
              <w:rPr>
                <w:rFonts w:ascii="Arial"/>
                <w:sz w:val="21"/>
                <w:highlight w:val="yellow"/>
              </w:rPr>
            </w:pPr>
          </w:p>
        </w:tc>
        <w:tc>
          <w:tcPr>
            <w:tcW w:w="1987" w:type="dxa"/>
            <w:vMerge w:val="continue"/>
            <w:noWrap w:val="0"/>
            <w:vAlign w:val="top"/>
          </w:tcPr>
          <w:p w14:paraId="3E8D7A92">
            <w:pPr>
              <w:pStyle w:val="14"/>
              <w:spacing w:before="175" w:line="219" w:lineRule="auto"/>
              <w:jc w:val="center"/>
              <w:rPr>
                <w:highlight w:val="yellow"/>
              </w:rPr>
            </w:pPr>
          </w:p>
        </w:tc>
        <w:tc>
          <w:tcPr>
            <w:tcW w:w="2663" w:type="dxa"/>
            <w:noWrap w:val="0"/>
            <w:vAlign w:val="top"/>
          </w:tcPr>
          <w:p w14:paraId="06A16560">
            <w:pPr>
              <w:pStyle w:val="14"/>
              <w:spacing w:before="175" w:line="219" w:lineRule="auto"/>
              <w:jc w:val="center"/>
              <w:rPr>
                <w:highlight w:val="none"/>
              </w:rPr>
            </w:pPr>
            <w:r>
              <w:rPr>
                <w:rFonts w:hint="default"/>
                <w:spacing w:val="-1"/>
                <w:highlight w:val="none"/>
                <w:lang w:val="en-US" w:eastAsia="zh-CN"/>
              </w:rPr>
              <w:t>参与企业服务达标率</w:t>
            </w:r>
          </w:p>
        </w:tc>
        <w:tc>
          <w:tcPr>
            <w:tcW w:w="1450" w:type="dxa"/>
            <w:noWrap w:val="0"/>
            <w:vAlign w:val="top"/>
          </w:tcPr>
          <w:p w14:paraId="4C0C54E8">
            <w:pPr>
              <w:pStyle w:val="14"/>
              <w:spacing w:before="195"/>
              <w:jc w:val="center"/>
              <w:rPr>
                <w:rFonts w:hint="default"/>
                <w:highlight w:val="none"/>
                <w:lang w:val="en-US" w:eastAsia="zh-CN"/>
              </w:rPr>
            </w:pPr>
            <w:r>
              <w:rPr>
                <w:rFonts w:hint="eastAsia"/>
                <w:highlight w:val="none"/>
                <w:lang w:val="en-US" w:eastAsia="zh-CN"/>
              </w:rPr>
              <w:t>8</w:t>
            </w:r>
          </w:p>
        </w:tc>
        <w:tc>
          <w:tcPr>
            <w:tcW w:w="1450" w:type="dxa"/>
            <w:noWrap w:val="0"/>
            <w:vAlign w:val="top"/>
          </w:tcPr>
          <w:p w14:paraId="3D2B48C0">
            <w:pPr>
              <w:pStyle w:val="14"/>
              <w:spacing w:before="195"/>
              <w:jc w:val="center"/>
              <w:rPr>
                <w:rFonts w:hint="default" w:eastAsia="宋体"/>
                <w:highlight w:val="none"/>
                <w:lang w:val="en-US" w:eastAsia="zh-CN"/>
              </w:rPr>
            </w:pPr>
            <w:r>
              <w:rPr>
                <w:rFonts w:hint="eastAsia"/>
                <w:highlight w:val="none"/>
                <w:lang w:val="en-US" w:eastAsia="zh-CN"/>
              </w:rPr>
              <w:t>8</w:t>
            </w:r>
          </w:p>
        </w:tc>
      </w:tr>
      <w:tr w14:paraId="181B8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200" w:type="dxa"/>
            <w:gridSpan w:val="3"/>
            <w:noWrap w:val="0"/>
            <w:vAlign w:val="top"/>
          </w:tcPr>
          <w:p w14:paraId="46B7AEDE">
            <w:pPr>
              <w:pStyle w:val="14"/>
              <w:spacing w:before="175" w:line="219" w:lineRule="auto"/>
              <w:jc w:val="center"/>
              <w:rPr>
                <w:rFonts w:hint="default"/>
                <w:spacing w:val="-1"/>
                <w:highlight w:val="none"/>
                <w:lang w:val="en-US" w:eastAsia="zh-CN"/>
              </w:rPr>
            </w:pPr>
            <w:r>
              <w:rPr>
                <w:rFonts w:hint="eastAsia"/>
                <w:b/>
                <w:bCs/>
                <w:spacing w:val="-1"/>
                <w:highlight w:val="none"/>
                <w:lang w:val="en-US" w:eastAsia="zh-CN"/>
              </w:rPr>
              <w:t>合计</w:t>
            </w:r>
          </w:p>
        </w:tc>
        <w:tc>
          <w:tcPr>
            <w:tcW w:w="1450" w:type="dxa"/>
            <w:noWrap w:val="0"/>
            <w:vAlign w:val="top"/>
          </w:tcPr>
          <w:p w14:paraId="165ED57F">
            <w:pPr>
              <w:pStyle w:val="14"/>
              <w:spacing w:before="195"/>
              <w:jc w:val="center"/>
              <w:rPr>
                <w:rFonts w:hint="default"/>
                <w:highlight w:val="none"/>
                <w:lang w:val="en-US" w:eastAsia="zh-CN"/>
              </w:rPr>
            </w:pPr>
            <w:r>
              <w:rPr>
                <w:rFonts w:hint="eastAsia"/>
                <w:highlight w:val="none"/>
                <w:lang w:val="en-US" w:eastAsia="zh-CN"/>
              </w:rPr>
              <w:t>100</w:t>
            </w:r>
          </w:p>
        </w:tc>
        <w:tc>
          <w:tcPr>
            <w:tcW w:w="1450" w:type="dxa"/>
            <w:noWrap w:val="0"/>
            <w:vAlign w:val="top"/>
          </w:tcPr>
          <w:p w14:paraId="76CA7B29">
            <w:pPr>
              <w:pStyle w:val="14"/>
              <w:spacing w:before="195"/>
              <w:jc w:val="center"/>
              <w:rPr>
                <w:rFonts w:hint="default"/>
                <w:highlight w:val="none"/>
                <w:lang w:val="en-US" w:eastAsia="zh-CN"/>
              </w:rPr>
            </w:pPr>
            <w:r>
              <w:rPr>
                <w:rFonts w:hint="eastAsia"/>
                <w:highlight w:val="none"/>
                <w:lang w:val="en-US" w:eastAsia="zh-CN"/>
              </w:rPr>
              <w:t>86.75</w:t>
            </w:r>
          </w:p>
        </w:tc>
      </w:tr>
    </w:tbl>
    <w:p w14:paraId="7F3433CE">
      <w:pPr>
        <w:spacing w:line="560" w:lineRule="exact"/>
        <w:ind w:firstLine="480" w:firstLineChars="200"/>
        <w:jc w:val="left"/>
        <w:rPr>
          <w:rFonts w:hint="eastAsia" w:ascii="Times New Roman" w:hAnsi="Times New Roman" w:eastAsia="宋体" w:cs="Times New Roman"/>
          <w:b/>
          <w:bCs/>
          <w:color w:val="auto"/>
          <w:sz w:val="24"/>
          <w:szCs w:val="24"/>
          <w:highlight w:val="none"/>
          <w:lang w:val="en-US" w:eastAsia="zh-CN"/>
        </w:rPr>
      </w:pPr>
      <w:r>
        <w:rPr>
          <w:rFonts w:hint="eastAsia" w:ascii="宋体" w:hAnsi="宋体" w:eastAsia="宋体" w:cs="宋体"/>
          <w:bCs/>
          <w:sz w:val="24"/>
          <w:szCs w:val="24"/>
          <w:lang w:val="en-US" w:eastAsia="zh-CN"/>
        </w:rPr>
        <w:t>（注：评价结果的等级划分为四档：90（含）-100分为“优”、80（含）-90分为“良”、70（含）-80分为“中”、70分以下为“差”）</w:t>
      </w:r>
    </w:p>
    <w:p w14:paraId="67DFC03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default" w:ascii="Times New Roman" w:hAnsi="Times New Roman" w:eastAsia="宋体" w:cs="Times New Roman"/>
          <w:b/>
          <w:bCs/>
          <w:color w:val="auto"/>
          <w:sz w:val="24"/>
          <w:szCs w:val="24"/>
          <w:highlight w:val="none"/>
          <w:lang w:val="en-US" w:eastAsia="zh-CN"/>
        </w:rPr>
      </w:pPr>
      <w:bookmarkStart w:id="33" w:name="_Toc23097"/>
      <w:bookmarkStart w:id="34" w:name="_Toc5238"/>
      <w:bookmarkStart w:id="35" w:name="_Toc8539"/>
      <w:bookmarkStart w:id="36" w:name="_Toc5273"/>
      <w:r>
        <w:rPr>
          <w:rFonts w:hint="eastAsia" w:ascii="Times New Roman" w:hAnsi="Times New Roman" w:eastAsia="宋体" w:cs="Times New Roman"/>
          <w:b/>
          <w:bCs/>
          <w:color w:val="auto"/>
          <w:sz w:val="24"/>
          <w:szCs w:val="24"/>
          <w:highlight w:val="none"/>
          <w:lang w:val="en-US" w:eastAsia="zh-CN"/>
        </w:rPr>
        <w:t>五、项目绩效分析</w:t>
      </w:r>
      <w:bookmarkEnd w:id="33"/>
      <w:bookmarkEnd w:id="34"/>
      <w:bookmarkEnd w:id="35"/>
      <w:bookmarkEnd w:id="36"/>
    </w:p>
    <w:p w14:paraId="16DB66F7">
      <w:pPr>
        <w:numPr>
          <w:ilvl w:val="0"/>
          <w:numId w:val="0"/>
        </w:numPr>
        <w:tabs>
          <w:tab w:val="left" w:pos="0"/>
        </w:tabs>
        <w:spacing w:line="360" w:lineRule="auto"/>
        <w:ind w:left="0" w:leftChars="0" w:firstLine="482" w:firstLineChars="200"/>
        <w:jc w:val="left"/>
        <w:outlineLvl w:val="1"/>
        <w:rPr>
          <w:rFonts w:hint="default" w:ascii="Times New Roman" w:hAnsi="Times New Roman" w:cs="Times New Roman"/>
          <w:b/>
          <w:bCs/>
          <w:color w:val="auto"/>
          <w:sz w:val="24"/>
          <w:szCs w:val="24"/>
          <w:highlight w:val="none"/>
          <w:lang w:val="en-US" w:eastAsia="zh-CN"/>
        </w:rPr>
      </w:pPr>
      <w:bookmarkStart w:id="37" w:name="_Toc15493"/>
      <w:bookmarkStart w:id="38" w:name="_Toc153"/>
      <w:bookmarkStart w:id="39" w:name="_Toc29460"/>
      <w:r>
        <w:rPr>
          <w:rFonts w:hint="eastAsia" w:ascii="Times New Roman" w:hAnsi="Times New Roman" w:cs="Times New Roman"/>
          <w:b/>
          <w:bCs/>
          <w:color w:val="auto"/>
          <w:sz w:val="24"/>
          <w:szCs w:val="24"/>
          <w:highlight w:val="none"/>
          <w:lang w:val="en-US" w:eastAsia="zh-CN"/>
        </w:rPr>
        <w:t>（一）</w:t>
      </w:r>
      <w:r>
        <w:rPr>
          <w:rFonts w:hint="default" w:ascii="Times New Roman" w:hAnsi="Times New Roman" w:cs="Times New Roman"/>
          <w:b/>
          <w:bCs/>
          <w:color w:val="auto"/>
          <w:sz w:val="24"/>
          <w:szCs w:val="24"/>
          <w:highlight w:val="none"/>
          <w:lang w:val="en-US" w:eastAsia="zh-CN"/>
        </w:rPr>
        <w:t>通用指标</w:t>
      </w:r>
      <w:bookmarkEnd w:id="37"/>
      <w:bookmarkEnd w:id="38"/>
      <w:bookmarkEnd w:id="39"/>
    </w:p>
    <w:p w14:paraId="657C53C2">
      <w:pPr>
        <w:numPr>
          <w:ilvl w:val="0"/>
          <w:numId w:val="0"/>
        </w:numPr>
        <w:tabs>
          <w:tab w:val="left" w:pos="0"/>
        </w:tabs>
        <w:spacing w:line="360" w:lineRule="auto"/>
        <w:ind w:left="0" w:leftChars="0" w:firstLine="482" w:firstLineChars="200"/>
        <w:jc w:val="left"/>
        <w:outlineLvl w:val="2"/>
        <w:rPr>
          <w:rFonts w:hint="default" w:ascii="Times New Roman" w:hAnsi="Times New Roman" w:cs="Times New Roman"/>
          <w:b/>
          <w:bCs/>
          <w:color w:val="auto"/>
          <w:sz w:val="24"/>
          <w:szCs w:val="24"/>
          <w:highlight w:val="none"/>
          <w:lang w:val="en-US" w:eastAsia="zh-CN"/>
        </w:rPr>
      </w:pPr>
      <w:bookmarkStart w:id="40" w:name="_Toc21048"/>
      <w:bookmarkStart w:id="41" w:name="_Toc21744"/>
      <w:bookmarkStart w:id="42" w:name="_Toc19156"/>
      <w:r>
        <w:rPr>
          <w:rFonts w:hint="default" w:ascii="Times New Roman" w:hAnsi="Times New Roman" w:cs="Times New Roman"/>
          <w:b/>
          <w:bCs/>
          <w:color w:val="auto"/>
          <w:sz w:val="24"/>
          <w:szCs w:val="24"/>
          <w:highlight w:val="none"/>
          <w:lang w:val="en-US" w:eastAsia="zh-CN"/>
        </w:rPr>
        <w:t>1.项目决策</w:t>
      </w:r>
      <w:bookmarkEnd w:id="40"/>
      <w:bookmarkEnd w:id="41"/>
      <w:bookmarkEnd w:id="42"/>
    </w:p>
    <w:p w14:paraId="061BA283">
      <w:pPr>
        <w:numPr>
          <w:ilvl w:val="0"/>
          <w:numId w:val="0"/>
        </w:numPr>
        <w:tabs>
          <w:tab w:val="left" w:pos="0"/>
        </w:tabs>
        <w:spacing w:line="360" w:lineRule="auto"/>
        <w:ind w:left="0" w:leftChars="0" w:firstLine="482" w:firstLineChars="200"/>
        <w:jc w:val="left"/>
        <w:outlineLvl w:val="3"/>
        <w:rPr>
          <w:rFonts w:hint="default" w:ascii="Times New Roman" w:hAnsi="Times New Roman" w:cs="Times New Roman"/>
          <w:b/>
          <w:bCs/>
          <w:color w:val="auto"/>
          <w:sz w:val="24"/>
          <w:szCs w:val="24"/>
          <w:highlight w:val="none"/>
          <w:lang w:val="en-US" w:eastAsia="zh-CN"/>
        </w:rPr>
      </w:pPr>
      <w:bookmarkStart w:id="43" w:name="_Toc11669"/>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决策程序</w:t>
      </w:r>
      <w:bookmarkEnd w:id="43"/>
    </w:p>
    <w:p w14:paraId="07600778">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highlight w:val="none"/>
          <w:lang w:val="en-US" w:eastAsia="zh-CN"/>
        </w:rPr>
        <w:t>根据《四川省人民政府办公厅关于印发&lt;关于进一步支持大规模设备更新和消费品以旧换新的若干政策措施&gt;的通知（川办发</w:t>
      </w:r>
      <w:r>
        <w:rPr>
          <w:rFonts w:hint="eastAsia" w:ascii="宋体" w:hAnsi="宋体" w:cs="宋体"/>
          <w:bCs/>
          <w:sz w:val="24"/>
          <w:szCs w:val="24"/>
          <w:highlight w:val="none"/>
          <w:lang w:val="en-US" w:eastAsia="zh-CN"/>
        </w:rPr>
        <w:t>〔2024〕37号</w:t>
      </w:r>
      <w:r>
        <w:rPr>
          <w:rFonts w:hint="default" w:ascii="宋体" w:hAnsi="宋体" w:eastAsia="宋体" w:cs="宋体"/>
          <w:bCs/>
          <w:sz w:val="24"/>
          <w:szCs w:val="24"/>
          <w:highlight w:val="none"/>
          <w:lang w:val="en-US" w:eastAsia="zh-CN"/>
        </w:rPr>
        <w:t>）、《关于进一步做好家电以旧换新工作的通知》（商办流通函</w:t>
      </w:r>
      <w:r>
        <w:rPr>
          <w:rFonts w:hint="eastAsia" w:ascii="宋体" w:hAnsi="宋体" w:cs="宋体"/>
          <w:bCs/>
          <w:sz w:val="24"/>
          <w:szCs w:val="24"/>
          <w:highlight w:val="none"/>
          <w:lang w:val="en-US" w:eastAsia="zh-CN"/>
        </w:rPr>
        <w:t>〔2024〕397号</w:t>
      </w:r>
      <w:r>
        <w:rPr>
          <w:rFonts w:hint="default" w:ascii="宋体" w:hAnsi="宋体" w:eastAsia="宋体" w:cs="宋体"/>
          <w:bCs/>
          <w:sz w:val="24"/>
          <w:szCs w:val="24"/>
          <w:highlight w:val="none"/>
          <w:lang w:val="en-US" w:eastAsia="zh-CN"/>
        </w:rPr>
        <w:t>）等规定，该项目资金主要</w:t>
      </w:r>
      <w:r>
        <w:rPr>
          <w:rFonts w:hint="eastAsia" w:ascii="宋体" w:hAnsi="宋体" w:cs="宋体"/>
          <w:bCs/>
          <w:sz w:val="24"/>
          <w:szCs w:val="24"/>
          <w:highlight w:val="none"/>
          <w:lang w:val="en-US" w:eastAsia="zh-CN"/>
        </w:rPr>
        <w:t>用于开展消费品以旧换新活动，助力仁和区经济稳定增长</w:t>
      </w:r>
      <w:r>
        <w:rPr>
          <w:rFonts w:hint="eastAsia" w:ascii="宋体" w:hAnsi="宋体" w:cs="宋体"/>
          <w:bCs/>
          <w:sz w:val="24"/>
          <w:szCs w:val="24"/>
          <w:lang w:val="en-US" w:eastAsia="zh-CN"/>
        </w:rPr>
        <w:t>。</w:t>
      </w:r>
    </w:p>
    <w:p w14:paraId="124A8C4B">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该项目设立符合专项项目的基本规范及程序标准，项目定位与对应部门的职责范畴高度适配，符合地方事权支出责任划分原则</w:t>
      </w:r>
      <w:r>
        <w:rPr>
          <w:rFonts w:hint="eastAsia" w:ascii="宋体" w:hAnsi="宋体" w:cs="宋体"/>
          <w:bCs/>
          <w:sz w:val="24"/>
          <w:szCs w:val="24"/>
          <w:highlight w:val="none"/>
          <w:lang w:val="en-US" w:eastAsia="zh-CN"/>
        </w:rPr>
        <w:t>。</w:t>
      </w:r>
    </w:p>
    <w:p w14:paraId="48411D25">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综上，“决策程序”指标权重为6分，扣0分，得6分</w:t>
      </w:r>
      <w:r>
        <w:rPr>
          <w:rFonts w:hint="eastAsia" w:ascii="宋体" w:hAnsi="宋体" w:eastAsia="宋体" w:cs="宋体"/>
          <w:bCs/>
          <w:sz w:val="24"/>
          <w:szCs w:val="24"/>
          <w:highlight w:val="none"/>
          <w:lang w:val="en-US" w:eastAsia="zh-CN"/>
        </w:rPr>
        <w:t>。</w:t>
      </w:r>
    </w:p>
    <w:p w14:paraId="0FF33360">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44" w:name="_Toc1693"/>
      <w:r>
        <w:rPr>
          <w:rFonts w:hint="eastAsia" w:ascii="Times New Roman" w:hAnsi="Times New Roman" w:eastAsia="宋体" w:cs="Times New Roman"/>
          <w:b/>
          <w:bCs/>
          <w:color w:val="auto"/>
          <w:sz w:val="24"/>
          <w:szCs w:val="24"/>
          <w:highlight w:val="none"/>
          <w:lang w:val="en-US" w:eastAsia="zh-CN"/>
        </w:rPr>
        <w:t>（2）规划论证</w:t>
      </w:r>
      <w:bookmarkEnd w:id="44"/>
    </w:p>
    <w:p w14:paraId="725A2F97">
      <w:pPr>
        <w:spacing w:line="560" w:lineRule="exact"/>
        <w:ind w:firstLine="480" w:firstLineChars="200"/>
        <w:jc w:val="left"/>
        <w:rPr>
          <w:rFonts w:hint="default" w:ascii="宋体" w:hAnsi="宋体" w:eastAsia="宋体" w:cs="宋体"/>
          <w:bCs/>
          <w:sz w:val="24"/>
          <w:szCs w:val="24"/>
          <w:highlight w:val="yellow"/>
          <w:lang w:val="en-US" w:eastAsia="zh-CN"/>
        </w:rPr>
      </w:pPr>
      <w:r>
        <w:rPr>
          <w:rFonts w:hint="default" w:ascii="宋体" w:hAnsi="宋体" w:eastAsia="宋体" w:cs="宋体"/>
          <w:bCs/>
          <w:sz w:val="24"/>
          <w:szCs w:val="24"/>
          <w:highlight w:val="none"/>
          <w:lang w:val="en-US" w:eastAsia="zh-CN"/>
        </w:rPr>
        <w:t>该项目设立依据充分，项目规划符合省委、省政府决策部署和宏观政策规划，</w:t>
      </w:r>
      <w:r>
        <w:rPr>
          <w:rFonts w:hint="eastAsia" w:ascii="宋体" w:hAnsi="宋体" w:eastAsia="宋体" w:cs="宋体"/>
          <w:bCs/>
          <w:sz w:val="24"/>
          <w:szCs w:val="24"/>
          <w:highlight w:val="none"/>
          <w:lang w:val="en-US" w:eastAsia="zh-CN"/>
        </w:rPr>
        <w:t>具备</w:t>
      </w:r>
      <w:r>
        <w:rPr>
          <w:rFonts w:hint="default" w:ascii="宋体" w:hAnsi="宋体" w:eastAsia="宋体" w:cs="宋体"/>
          <w:bCs/>
          <w:sz w:val="24"/>
          <w:szCs w:val="24"/>
          <w:highlight w:val="none"/>
          <w:lang w:val="en-US" w:eastAsia="zh-CN"/>
        </w:rPr>
        <w:t>项目</w:t>
      </w:r>
      <w:r>
        <w:rPr>
          <w:rFonts w:hint="eastAsia" w:ascii="宋体" w:hAnsi="宋体" w:eastAsia="宋体" w:cs="宋体"/>
          <w:bCs/>
          <w:sz w:val="24"/>
          <w:szCs w:val="24"/>
          <w:highlight w:val="none"/>
          <w:lang w:val="en-US" w:eastAsia="zh-CN"/>
        </w:rPr>
        <w:t>立项的必要性、前瞻性、合理性和可行性</w:t>
      </w:r>
      <w:r>
        <w:rPr>
          <w:rFonts w:hint="default" w:ascii="宋体" w:hAnsi="宋体" w:eastAsia="宋体" w:cs="宋体"/>
          <w:bCs/>
          <w:sz w:val="24"/>
          <w:szCs w:val="24"/>
          <w:highlight w:val="none"/>
          <w:lang w:val="en-US" w:eastAsia="zh-CN"/>
        </w:rPr>
        <w:t>。</w:t>
      </w:r>
    </w:p>
    <w:p w14:paraId="2C5BBA6F">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该项目设置绩效目标表详情见项目结果中“(</w:t>
      </w:r>
      <w:r>
        <w:rPr>
          <w:rFonts w:hint="eastAsia" w:ascii="宋体" w:hAnsi="宋体" w:cs="宋体"/>
          <w:bCs/>
          <w:sz w:val="24"/>
          <w:szCs w:val="24"/>
          <w:highlight w:val="none"/>
          <w:lang w:val="en-US" w:eastAsia="zh-CN"/>
        </w:rPr>
        <w:t>1</w:t>
      </w:r>
      <w:r>
        <w:rPr>
          <w:rFonts w:hint="default" w:ascii="宋体" w:hAnsi="宋体" w:eastAsia="宋体" w:cs="宋体"/>
          <w:bCs/>
          <w:sz w:val="24"/>
          <w:szCs w:val="24"/>
          <w:highlight w:val="none"/>
          <w:lang w:val="en-US" w:eastAsia="zh-CN"/>
        </w:rPr>
        <w:t>)目标完成”,项目绩效目标设置的科学性存在明显不足</w:t>
      </w:r>
      <w:r>
        <w:rPr>
          <w:rFonts w:hint="eastAsia" w:ascii="宋体" w:hAnsi="宋体" w:cs="宋体"/>
          <w:bCs/>
          <w:sz w:val="24"/>
          <w:szCs w:val="24"/>
          <w:highlight w:val="none"/>
          <w:lang w:val="en-US" w:eastAsia="zh-CN"/>
        </w:rPr>
        <w:t>，如：社会效益指标为“繁荣活跃消费市场，释放消费潜力”未细化量化。</w:t>
      </w:r>
    </w:p>
    <w:p w14:paraId="31500DD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综上，“规划论证”指标权重为6分，扣</w:t>
      </w:r>
      <w:r>
        <w:rPr>
          <w:rFonts w:hint="eastAsia" w:ascii="宋体" w:hAnsi="宋体" w:cs="宋体"/>
          <w:bCs/>
          <w:sz w:val="24"/>
          <w:szCs w:val="24"/>
          <w:highlight w:val="none"/>
          <w:lang w:val="en-US" w:eastAsia="zh-CN"/>
        </w:rPr>
        <w:t>1</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5</w:t>
      </w:r>
      <w:r>
        <w:rPr>
          <w:rFonts w:hint="eastAsia" w:ascii="宋体" w:hAnsi="宋体" w:eastAsia="宋体" w:cs="宋体"/>
          <w:bCs/>
          <w:sz w:val="24"/>
          <w:szCs w:val="24"/>
          <w:highlight w:val="none"/>
          <w:lang w:val="en-US" w:eastAsia="zh-CN"/>
        </w:rPr>
        <w:t>分。</w:t>
      </w:r>
    </w:p>
    <w:p w14:paraId="5BDDD5BD">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45" w:name="_Toc26317"/>
      <w:r>
        <w:rPr>
          <w:rFonts w:hint="eastAsia" w:ascii="Times New Roman" w:hAnsi="Times New Roman" w:eastAsia="宋体" w:cs="Times New Roman"/>
          <w:b/>
          <w:bCs/>
          <w:color w:val="auto"/>
          <w:sz w:val="24"/>
          <w:szCs w:val="24"/>
          <w:highlight w:val="none"/>
          <w:lang w:val="en-US" w:eastAsia="zh-CN"/>
        </w:rPr>
        <w:t>（3）资金投向</w:t>
      </w:r>
      <w:bookmarkEnd w:id="45"/>
    </w:p>
    <w:p w14:paraId="1EE7B5AC">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该项目属于政府支持范围，且符合财政事权支出责任划分规定，资金投向与项目总体规划、相关行业事业发展相匹配</w:t>
      </w:r>
      <w:r>
        <w:rPr>
          <w:rFonts w:hint="eastAsia" w:ascii="宋体" w:hAnsi="宋体" w:eastAsia="宋体" w:cs="宋体"/>
          <w:bCs/>
          <w:sz w:val="24"/>
          <w:szCs w:val="24"/>
          <w:highlight w:val="none"/>
          <w:lang w:val="en-US" w:eastAsia="zh-CN"/>
        </w:rPr>
        <w:t>。聚焦重大任务、重点领域、重点环节，</w:t>
      </w:r>
      <w:r>
        <w:rPr>
          <w:rFonts w:hint="default" w:ascii="宋体" w:hAnsi="宋体" w:eastAsia="宋体" w:cs="宋体"/>
          <w:bCs/>
          <w:sz w:val="24"/>
          <w:szCs w:val="24"/>
          <w:highlight w:val="none"/>
          <w:lang w:val="en-US" w:eastAsia="zh-CN"/>
        </w:rPr>
        <w:t>未与其他同类项目或部门内部相关项目交叉重复</w:t>
      </w:r>
      <w:r>
        <w:rPr>
          <w:rFonts w:hint="eastAsia" w:ascii="宋体" w:hAnsi="宋体" w:eastAsia="宋体" w:cs="宋体"/>
          <w:bCs/>
          <w:sz w:val="24"/>
          <w:szCs w:val="24"/>
          <w:highlight w:val="none"/>
          <w:lang w:val="en-US" w:eastAsia="zh-CN"/>
        </w:rPr>
        <w:t>。</w:t>
      </w:r>
    </w:p>
    <w:p w14:paraId="3200096D">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综上，“资金投向”指标权重为6分，扣0分，得6分。</w:t>
      </w:r>
    </w:p>
    <w:p w14:paraId="350ACCB7">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46" w:name="_Toc7098"/>
      <w:bookmarkStart w:id="47" w:name="_Toc14650"/>
      <w:bookmarkStart w:id="48" w:name="_Toc1999"/>
      <w:r>
        <w:rPr>
          <w:rFonts w:hint="eastAsia" w:ascii="Times New Roman" w:hAnsi="Times New Roman" w:eastAsia="宋体" w:cs="Times New Roman"/>
          <w:b/>
          <w:bCs/>
          <w:color w:val="auto"/>
          <w:sz w:val="24"/>
          <w:szCs w:val="24"/>
          <w:highlight w:val="none"/>
          <w:lang w:val="en-US" w:eastAsia="zh-CN"/>
        </w:rPr>
        <w:t>2.项目管理</w:t>
      </w:r>
      <w:bookmarkEnd w:id="46"/>
      <w:bookmarkEnd w:id="47"/>
      <w:bookmarkEnd w:id="48"/>
    </w:p>
    <w:p w14:paraId="5C10358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49" w:name="_Toc5573"/>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制度办法</w:t>
      </w:r>
      <w:bookmarkEnd w:id="49"/>
    </w:p>
    <w:p w14:paraId="413E3938">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管理制度体系健全上，攀枝花市商务局等14部门印发的《攀枝花市推动消费品以旧换新行动方案》及实施细则（攀商发【2024】7 号），是本项目资金使用的重要政策依据之一，对资金使用的范围界定、审批流程、监督管理等作出了规范性要求</w:t>
      </w:r>
      <w:r>
        <w:rPr>
          <w:rFonts w:hint="eastAsia" w:ascii="宋体" w:hAnsi="宋体" w:eastAsia="宋体" w:cs="宋体"/>
          <w:bCs/>
          <w:sz w:val="24"/>
          <w:szCs w:val="24"/>
          <w:highlight w:val="none"/>
          <w:lang w:val="en-US" w:eastAsia="zh-CN"/>
        </w:rPr>
        <w:t>。</w:t>
      </w:r>
    </w:p>
    <w:p w14:paraId="512BE8CC">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综上，“制度办法”指标权重为2分，扣0分，得2分。</w:t>
      </w:r>
    </w:p>
    <w:p w14:paraId="5F2DDC8C">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0" w:name="_Toc14306"/>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分配管理</w:t>
      </w:r>
      <w:bookmarkEnd w:id="50"/>
    </w:p>
    <w:p w14:paraId="4BC4FE7D">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2024年消费品以旧换新项目资金</w:t>
      </w:r>
      <w:r>
        <w:rPr>
          <w:rFonts w:hint="default" w:ascii="宋体" w:hAnsi="宋体" w:eastAsia="宋体" w:cs="宋体"/>
          <w:bCs/>
          <w:sz w:val="24"/>
          <w:szCs w:val="24"/>
          <w:highlight w:val="none"/>
          <w:lang w:val="en-US" w:eastAsia="zh-CN"/>
        </w:rPr>
        <w:t>预算数为46,119,610.00元，该项目合计到位资金</w:t>
      </w:r>
      <w:r>
        <w:rPr>
          <w:rFonts w:hint="eastAsia" w:ascii="宋体" w:hAnsi="宋体" w:eastAsia="宋体" w:cs="宋体"/>
          <w:bCs/>
          <w:sz w:val="24"/>
          <w:szCs w:val="24"/>
          <w:highlight w:val="none"/>
          <w:lang w:val="en-US" w:eastAsia="zh-CN"/>
        </w:rPr>
        <w:t>46,119,610.00</w:t>
      </w:r>
      <w:r>
        <w:rPr>
          <w:rFonts w:hint="default" w:ascii="宋体" w:hAnsi="宋体" w:eastAsia="宋体" w:cs="宋体"/>
          <w:bCs/>
          <w:sz w:val="24"/>
          <w:szCs w:val="24"/>
          <w:highlight w:val="none"/>
          <w:lang w:val="en-US" w:eastAsia="zh-CN"/>
        </w:rPr>
        <w:t>元</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资金到位率100%。</w:t>
      </w:r>
    </w:p>
    <w:p w14:paraId="4F10BAAB">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综上，“分配管理”指标权重为10分，扣0分，得10分。</w:t>
      </w:r>
    </w:p>
    <w:p w14:paraId="6B321D8C">
      <w:pPr>
        <w:numPr>
          <w:ilvl w:val="0"/>
          <w:numId w:val="0"/>
        </w:numPr>
        <w:tabs>
          <w:tab w:val="left" w:pos="0"/>
        </w:tabs>
        <w:spacing w:line="360" w:lineRule="auto"/>
        <w:ind w:left="420" w:leftChars="200" w:firstLine="0" w:firstLineChars="0"/>
        <w:jc w:val="left"/>
        <w:outlineLvl w:val="3"/>
        <w:rPr>
          <w:rFonts w:hint="eastAsia" w:ascii="Times New Roman" w:hAnsi="Times New Roman" w:eastAsia="宋体" w:cs="Times New Roman"/>
          <w:b/>
          <w:bCs/>
          <w:color w:val="auto"/>
          <w:sz w:val="24"/>
          <w:szCs w:val="24"/>
          <w:highlight w:val="none"/>
          <w:lang w:val="en-US" w:eastAsia="zh-CN"/>
        </w:rPr>
      </w:pPr>
      <w:bookmarkStart w:id="51" w:name="_Toc20670"/>
      <w:r>
        <w:rPr>
          <w:rFonts w:hint="eastAsia" w:ascii="Times New Roman" w:hAnsi="Times New Roman" w:eastAsia="宋体" w:cs="Times New Roman"/>
          <w:b/>
          <w:bCs/>
          <w:color w:val="auto"/>
          <w:sz w:val="24"/>
          <w:szCs w:val="24"/>
          <w:highlight w:val="none"/>
          <w:lang w:val="en-US" w:eastAsia="zh-CN"/>
        </w:rPr>
        <w:t>（3）绩效监管</w:t>
      </w:r>
      <w:bookmarkEnd w:id="51"/>
    </w:p>
    <w:p w14:paraId="05C6EAA4">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仁和区</w:t>
      </w:r>
      <w:r>
        <w:rPr>
          <w:rFonts w:hint="eastAsia" w:ascii="宋体" w:hAnsi="宋体" w:cs="宋体"/>
          <w:bCs/>
          <w:sz w:val="24"/>
          <w:szCs w:val="24"/>
          <w:lang w:val="en-US" w:eastAsia="zh-CN"/>
        </w:rPr>
        <w:t>商务局</w:t>
      </w:r>
      <w:r>
        <w:rPr>
          <w:rFonts w:hint="default" w:ascii="宋体" w:hAnsi="宋体" w:eastAsia="宋体" w:cs="宋体"/>
          <w:bCs/>
          <w:sz w:val="24"/>
          <w:szCs w:val="24"/>
          <w:lang w:val="en-US" w:eastAsia="zh-CN"/>
        </w:rPr>
        <w:t>已完成该项目绩效目标（含事前评估）、绩效监控和绩效评价等预算绩效管理工作</w:t>
      </w:r>
      <w:r>
        <w:rPr>
          <w:rFonts w:hint="eastAsia" w:ascii="宋体" w:hAnsi="宋体" w:cs="宋体"/>
          <w:bCs/>
          <w:sz w:val="24"/>
          <w:szCs w:val="24"/>
          <w:lang w:val="en-US" w:eastAsia="zh-CN"/>
        </w:rPr>
        <w:t>。</w:t>
      </w:r>
    </w:p>
    <w:p w14:paraId="429000D1">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综上，“绩效监管”指标权重为</w:t>
      </w:r>
      <w:r>
        <w:rPr>
          <w:rFonts w:hint="eastAsia" w:ascii="宋体" w:hAnsi="宋体" w:eastAsia="宋体" w:cs="宋体"/>
          <w:bCs/>
          <w:sz w:val="24"/>
          <w:szCs w:val="24"/>
          <w:lang w:val="en-US" w:eastAsia="zh-CN"/>
        </w:rPr>
        <w:t>6</w:t>
      </w:r>
      <w:r>
        <w:rPr>
          <w:rFonts w:hint="default" w:ascii="宋体" w:hAnsi="宋体" w:eastAsia="宋体" w:cs="宋体"/>
          <w:bCs/>
          <w:sz w:val="24"/>
          <w:szCs w:val="24"/>
          <w:lang w:val="en-US" w:eastAsia="zh-CN"/>
        </w:rPr>
        <w:t>分，扣0分，得</w:t>
      </w:r>
      <w:r>
        <w:rPr>
          <w:rFonts w:hint="eastAsia" w:ascii="宋体" w:hAnsi="宋体" w:eastAsia="宋体" w:cs="宋体"/>
          <w:bCs/>
          <w:sz w:val="24"/>
          <w:szCs w:val="24"/>
          <w:lang w:val="en-US" w:eastAsia="zh-CN"/>
        </w:rPr>
        <w:t>6</w:t>
      </w:r>
      <w:r>
        <w:rPr>
          <w:rFonts w:hint="default" w:ascii="宋体" w:hAnsi="宋体" w:eastAsia="宋体" w:cs="宋体"/>
          <w:bCs/>
          <w:sz w:val="24"/>
          <w:szCs w:val="24"/>
          <w:lang w:val="en-US" w:eastAsia="zh-CN"/>
        </w:rPr>
        <w:t>分。</w:t>
      </w:r>
    </w:p>
    <w:p w14:paraId="38BA7928">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52" w:name="_Toc23500"/>
      <w:bookmarkStart w:id="53" w:name="_Toc7938"/>
      <w:bookmarkStart w:id="54" w:name="_Toc7895"/>
      <w:r>
        <w:rPr>
          <w:rFonts w:hint="eastAsia" w:ascii="Times New Roman" w:hAnsi="Times New Roman" w:eastAsia="宋体" w:cs="Times New Roman"/>
          <w:b/>
          <w:bCs/>
          <w:color w:val="auto"/>
          <w:sz w:val="24"/>
          <w:szCs w:val="24"/>
          <w:highlight w:val="none"/>
          <w:lang w:val="en-US" w:eastAsia="zh-CN"/>
        </w:rPr>
        <w:t>3.项目实施</w:t>
      </w:r>
      <w:bookmarkEnd w:id="52"/>
      <w:bookmarkEnd w:id="53"/>
      <w:bookmarkEnd w:id="54"/>
    </w:p>
    <w:p w14:paraId="3D1A5801">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5" w:name="_Toc26206"/>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预算执行</w:t>
      </w:r>
      <w:bookmarkEnd w:id="55"/>
    </w:p>
    <w:p w14:paraId="08BD45CB">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该项目预算资金46,119,610.00元，实际到位资金46,119,610.00元</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单位实际支付资金</w:t>
      </w:r>
      <w:r>
        <w:rPr>
          <w:rFonts w:hint="eastAsia" w:ascii="宋体" w:hAnsi="宋体" w:eastAsia="宋体" w:cs="宋体"/>
          <w:bCs/>
          <w:sz w:val="24"/>
          <w:szCs w:val="24"/>
          <w:highlight w:val="none"/>
          <w:lang w:val="en-US" w:eastAsia="zh-CN"/>
        </w:rPr>
        <w:t>46</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119</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610</w:t>
      </w:r>
      <w:r>
        <w:rPr>
          <w:rFonts w:hint="eastAsia" w:ascii="宋体" w:hAnsi="宋体" w:cs="宋体"/>
          <w:bCs/>
          <w:sz w:val="24"/>
          <w:szCs w:val="24"/>
          <w:highlight w:val="none"/>
          <w:lang w:val="en-US" w:eastAsia="zh-CN"/>
        </w:rPr>
        <w:t>.00</w:t>
      </w:r>
      <w:r>
        <w:rPr>
          <w:rFonts w:hint="default" w:ascii="宋体" w:hAnsi="宋体" w:eastAsia="宋体" w:cs="宋体"/>
          <w:bCs/>
          <w:sz w:val="24"/>
          <w:szCs w:val="24"/>
          <w:highlight w:val="none"/>
          <w:lang w:val="en-US" w:eastAsia="zh-CN"/>
        </w:rPr>
        <w:t>元</w:t>
      </w:r>
      <w:r>
        <w:rPr>
          <w:rFonts w:hint="eastAsia" w:ascii="宋体" w:hAnsi="宋体" w:eastAsia="宋体" w:cs="宋体"/>
          <w:bCs/>
          <w:sz w:val="24"/>
          <w:szCs w:val="24"/>
          <w:highlight w:val="none"/>
          <w:lang w:val="en-US" w:eastAsia="zh-CN"/>
        </w:rPr>
        <w:t>。资金使用率</w:t>
      </w:r>
      <w:r>
        <w:rPr>
          <w:rFonts w:hint="eastAsia" w:ascii="宋体" w:hAnsi="宋体" w:cs="宋体"/>
          <w:bCs/>
          <w:sz w:val="24"/>
          <w:szCs w:val="24"/>
          <w:highlight w:val="none"/>
          <w:lang w:val="en-US" w:eastAsia="zh-CN"/>
        </w:rPr>
        <w:t>100</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w:t>
      </w:r>
    </w:p>
    <w:p w14:paraId="1621879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综上，“预算执行”指标权重为</w:t>
      </w:r>
      <w:r>
        <w:rPr>
          <w:rFonts w:hint="eastAsia" w:ascii="宋体" w:hAnsi="宋体" w:eastAsia="宋体" w:cs="宋体"/>
          <w:bCs/>
          <w:sz w:val="24"/>
          <w:szCs w:val="24"/>
          <w:highlight w:val="none"/>
          <w:lang w:val="en-US" w:eastAsia="zh-CN"/>
        </w:rPr>
        <w:t>3</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0</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3</w:t>
      </w:r>
      <w:r>
        <w:rPr>
          <w:rFonts w:hint="default" w:ascii="宋体" w:hAnsi="宋体" w:eastAsia="宋体" w:cs="宋体"/>
          <w:bCs/>
          <w:sz w:val="24"/>
          <w:szCs w:val="24"/>
          <w:highlight w:val="none"/>
          <w:lang w:val="en-US" w:eastAsia="zh-CN"/>
        </w:rPr>
        <w:t>分。</w:t>
      </w:r>
    </w:p>
    <w:p w14:paraId="702C37E1">
      <w:pPr>
        <w:numPr>
          <w:ilvl w:val="0"/>
          <w:numId w:val="6"/>
        </w:numPr>
        <w:tabs>
          <w:tab w:val="left" w:pos="0"/>
        </w:tabs>
        <w:spacing w:line="360" w:lineRule="auto"/>
        <w:ind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56" w:name="_Toc17342"/>
      <w:r>
        <w:rPr>
          <w:rFonts w:hint="eastAsia" w:ascii="Times New Roman" w:hAnsi="Times New Roman" w:eastAsia="宋体" w:cs="Times New Roman"/>
          <w:b/>
          <w:bCs/>
          <w:color w:val="auto"/>
          <w:sz w:val="24"/>
          <w:szCs w:val="24"/>
          <w:highlight w:val="none"/>
          <w:lang w:val="en-US" w:eastAsia="zh-CN"/>
        </w:rPr>
        <w:t>资金使用</w:t>
      </w:r>
      <w:bookmarkEnd w:id="56"/>
    </w:p>
    <w:p w14:paraId="1556E35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截至202</w:t>
      </w:r>
      <w:r>
        <w:rPr>
          <w:rFonts w:hint="eastAsia" w:ascii="宋体" w:hAnsi="宋体" w:eastAsia="宋体" w:cs="宋体"/>
          <w:bCs/>
          <w:sz w:val="24"/>
          <w:szCs w:val="24"/>
          <w:highlight w:val="none"/>
          <w:lang w:val="en-US" w:eastAsia="zh-CN"/>
        </w:rPr>
        <w:t>4</w:t>
      </w:r>
      <w:r>
        <w:rPr>
          <w:rFonts w:hint="default" w:ascii="宋体" w:hAnsi="宋体" w:eastAsia="宋体" w:cs="宋体"/>
          <w:bCs/>
          <w:sz w:val="24"/>
          <w:szCs w:val="24"/>
          <w:highlight w:val="none"/>
          <w:lang w:val="en-US" w:eastAsia="zh-CN"/>
        </w:rPr>
        <w:t>年12月31日，该项目资金支付金额合计46,119,610.00元。经查看财务资料和项目资料，项目资金使用拨付存在</w:t>
      </w:r>
      <w:r>
        <w:rPr>
          <w:rFonts w:hint="eastAsia" w:ascii="宋体" w:hAnsi="宋体" w:cs="宋体"/>
          <w:bCs/>
          <w:sz w:val="24"/>
          <w:szCs w:val="24"/>
          <w:highlight w:val="none"/>
          <w:lang w:val="en-US" w:eastAsia="zh-CN"/>
        </w:rPr>
        <w:t>：①对享受家电以旧换新补贴的消费者未进行公示公开。项目实施不符合相关规定。问题详见“五、存在的主要问题”。</w:t>
      </w:r>
    </w:p>
    <w:p w14:paraId="3CC11D79">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综上，“资金使用”指标权重为</w:t>
      </w:r>
      <w:r>
        <w:rPr>
          <w:rFonts w:hint="eastAsia" w:ascii="宋体" w:hAnsi="宋体" w:eastAsia="宋体" w:cs="宋体"/>
          <w:bCs/>
          <w:sz w:val="24"/>
          <w:szCs w:val="24"/>
          <w:highlight w:val="none"/>
          <w:lang w:val="en-US" w:eastAsia="zh-CN"/>
        </w:rPr>
        <w:t>6</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1</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5</w:t>
      </w:r>
      <w:r>
        <w:rPr>
          <w:rFonts w:hint="default" w:ascii="宋体" w:hAnsi="宋体" w:eastAsia="宋体" w:cs="宋体"/>
          <w:bCs/>
          <w:sz w:val="24"/>
          <w:szCs w:val="24"/>
          <w:highlight w:val="none"/>
          <w:lang w:val="en-US" w:eastAsia="zh-CN"/>
        </w:rPr>
        <w:t>分。</w:t>
      </w:r>
    </w:p>
    <w:p w14:paraId="059D295E">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57" w:name="_Toc32439"/>
      <w:bookmarkStart w:id="58" w:name="_Toc14401"/>
      <w:bookmarkStart w:id="59" w:name="_Toc29559"/>
      <w:r>
        <w:rPr>
          <w:rFonts w:hint="eastAsia" w:ascii="Times New Roman" w:hAnsi="Times New Roman" w:eastAsia="宋体" w:cs="Times New Roman"/>
          <w:b/>
          <w:bCs/>
          <w:color w:val="auto"/>
          <w:sz w:val="24"/>
          <w:szCs w:val="24"/>
          <w:highlight w:val="none"/>
          <w:lang w:val="en-US" w:eastAsia="zh-CN"/>
        </w:rPr>
        <w:t>4.项目结果</w:t>
      </w:r>
      <w:bookmarkEnd w:id="57"/>
      <w:bookmarkEnd w:id="58"/>
      <w:bookmarkEnd w:id="59"/>
    </w:p>
    <w:p w14:paraId="0495549B">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60" w:name="_Toc9780"/>
      <w:r>
        <w:rPr>
          <w:rFonts w:hint="eastAsia" w:ascii="Times New Roman" w:hAnsi="Times New Roman" w:eastAsia="宋体" w:cs="Times New Roman"/>
          <w:b/>
          <w:bCs/>
          <w:color w:val="auto"/>
          <w:sz w:val="24"/>
          <w:szCs w:val="24"/>
          <w:highlight w:val="none"/>
          <w:lang w:val="en-US" w:eastAsia="zh-CN"/>
        </w:rPr>
        <w:t>（1）目标完成</w:t>
      </w:r>
      <w:bookmarkEnd w:id="60"/>
    </w:p>
    <w:p w14:paraId="7C64E250">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highlight w:val="none"/>
          <w:lang w:val="en-US" w:eastAsia="zh-CN"/>
        </w:rPr>
        <w:t>根据该项目</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绩效目标</w:t>
      </w:r>
      <w:r>
        <w:rPr>
          <w:rFonts w:hint="eastAsia" w:ascii="宋体" w:hAnsi="宋体" w:eastAsia="宋体" w:cs="宋体"/>
          <w:bCs/>
          <w:sz w:val="24"/>
          <w:szCs w:val="24"/>
          <w:highlight w:val="none"/>
          <w:lang w:val="en-US" w:eastAsia="zh-CN"/>
        </w:rPr>
        <w:t>申报</w:t>
      </w:r>
      <w:r>
        <w:rPr>
          <w:rFonts w:hint="default" w:ascii="宋体" w:hAnsi="宋体" w:eastAsia="宋体" w:cs="宋体"/>
          <w:bCs/>
          <w:sz w:val="24"/>
          <w:szCs w:val="24"/>
          <w:highlight w:val="none"/>
          <w:lang w:val="en-US" w:eastAsia="zh-CN"/>
        </w:rPr>
        <w:t>表</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，项目总体目标为</w:t>
      </w:r>
      <w:r>
        <w:rPr>
          <w:rFonts w:hint="eastAsia" w:ascii="宋体" w:hAnsi="宋体" w:eastAsia="宋体" w:cs="宋体"/>
          <w:bCs/>
          <w:sz w:val="24"/>
          <w:szCs w:val="24"/>
          <w:highlight w:val="none"/>
          <w:lang w:val="en-US" w:eastAsia="zh-CN"/>
        </w:rPr>
        <w:t>围绕《四川省人民政府办公厅关于印发&lt;关于进一步支持大规模设备更新和消费品以旧换新的若干政策措施&gt;的通知（川办发</w:t>
      </w:r>
      <w:r>
        <w:rPr>
          <w:rFonts w:hint="eastAsia" w:ascii="宋体" w:hAnsi="宋体" w:cs="宋体"/>
          <w:bCs/>
          <w:sz w:val="24"/>
          <w:szCs w:val="24"/>
          <w:highlight w:val="none"/>
          <w:lang w:val="en-US" w:eastAsia="zh-CN"/>
        </w:rPr>
        <w:t>〔2024〕37号</w:t>
      </w:r>
      <w:r>
        <w:rPr>
          <w:rFonts w:hint="eastAsia" w:ascii="宋体" w:hAnsi="宋体" w:eastAsia="宋体" w:cs="宋体"/>
          <w:bCs/>
          <w:sz w:val="24"/>
          <w:szCs w:val="24"/>
          <w:highlight w:val="none"/>
          <w:lang w:val="en-US" w:eastAsia="zh-CN"/>
        </w:rPr>
        <w:t>）、《关于进一步做好家电以旧换新工作的通知》（商办流通函</w:t>
      </w:r>
      <w:r>
        <w:rPr>
          <w:rFonts w:hint="eastAsia" w:ascii="宋体" w:hAnsi="宋体" w:cs="宋体"/>
          <w:bCs/>
          <w:sz w:val="24"/>
          <w:szCs w:val="24"/>
          <w:highlight w:val="none"/>
          <w:lang w:val="en-US" w:eastAsia="zh-CN"/>
        </w:rPr>
        <w:t>〔2024〕397号</w:t>
      </w:r>
      <w:r>
        <w:rPr>
          <w:rFonts w:hint="eastAsia" w:ascii="宋体" w:hAnsi="宋体" w:eastAsia="宋体" w:cs="宋体"/>
          <w:bCs/>
          <w:sz w:val="24"/>
          <w:szCs w:val="24"/>
          <w:highlight w:val="none"/>
          <w:lang w:val="en-US" w:eastAsia="zh-CN"/>
        </w:rPr>
        <w:t>）等规定，仁和区商务局组织区内商贸流通企业参加消费品以旧换新活动，确保各项工作有序落地</w:t>
      </w:r>
      <w:r>
        <w:rPr>
          <w:rFonts w:hint="default" w:ascii="宋体" w:hAnsi="宋体" w:eastAsia="宋体" w:cs="宋体"/>
          <w:bCs/>
          <w:sz w:val="24"/>
          <w:szCs w:val="24"/>
          <w:highlight w:val="none"/>
          <w:lang w:val="en-US" w:eastAsia="zh-CN"/>
        </w:rPr>
        <w:t>。具体指标设置如下</w:t>
      </w:r>
      <w:r>
        <w:rPr>
          <w:rFonts w:hint="eastAsia" w:ascii="宋体" w:hAnsi="宋体" w:eastAsia="宋体" w:cs="宋体"/>
          <w:bCs/>
          <w:sz w:val="24"/>
          <w:szCs w:val="24"/>
          <w:highlight w:val="none"/>
          <w:lang w:val="en-US" w:eastAsia="zh-CN"/>
        </w:rPr>
        <w:t>：</w:t>
      </w:r>
    </w:p>
    <w:tbl>
      <w:tblPr>
        <w:tblStyle w:val="11"/>
        <w:tblW w:w="93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57"/>
        <w:gridCol w:w="1400"/>
        <w:gridCol w:w="2775"/>
        <w:gridCol w:w="1962"/>
        <w:gridCol w:w="1656"/>
      </w:tblGrid>
      <w:tr w14:paraId="7E20C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blHeader/>
          <w:jc w:val="center"/>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0C5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一级指标</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85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二级指标</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3D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三级指标</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88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指标值</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4EC3">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i w:val="0"/>
                <w:iCs w:val="0"/>
                <w:color w:val="000000"/>
                <w:kern w:val="0"/>
                <w:sz w:val="21"/>
                <w:szCs w:val="21"/>
                <w:u w:val="none"/>
                <w:lang w:val="en-US" w:eastAsia="zh-CN" w:bidi="ar"/>
              </w:rPr>
            </w:pPr>
            <w:r>
              <w:rPr>
                <w:rFonts w:hint="eastAsia" w:ascii="宋体" w:hAnsi="宋体" w:eastAsia="宋体" w:cs="宋体"/>
                <w:b/>
                <w:i w:val="0"/>
                <w:iCs w:val="0"/>
                <w:color w:val="000000"/>
                <w:kern w:val="0"/>
                <w:sz w:val="21"/>
                <w:szCs w:val="21"/>
                <w:u w:val="none"/>
                <w:lang w:val="en-US" w:eastAsia="zh-CN" w:bidi="ar"/>
              </w:rPr>
              <w:t>完成情况</w:t>
            </w:r>
          </w:p>
        </w:tc>
      </w:tr>
      <w:tr w14:paraId="6A9BD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jc w:val="center"/>
        </w:trPr>
        <w:tc>
          <w:tcPr>
            <w:tcW w:w="1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156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w:t>
            </w:r>
          </w:p>
          <w:p w14:paraId="1E30CF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w:t>
            </w:r>
          </w:p>
        </w:tc>
        <w:tc>
          <w:tcPr>
            <w:tcW w:w="1400" w:type="dxa"/>
            <w:vMerge w:val="restart"/>
            <w:tcBorders>
              <w:top w:val="single" w:color="000000" w:sz="4" w:space="0"/>
              <w:left w:val="single" w:color="000000" w:sz="4" w:space="0"/>
              <w:right w:val="single" w:color="000000" w:sz="4" w:space="0"/>
            </w:tcBorders>
            <w:shd w:val="clear" w:color="auto" w:fill="auto"/>
            <w:vAlign w:val="center"/>
          </w:tcPr>
          <w:p w14:paraId="77F664C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964B">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组织全区汽车销售企业参与以旧换新</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6058">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sz w:val="24"/>
                <w:szCs w:val="24"/>
                <w:u w:val="none"/>
                <w:lang w:val="en-US" w:eastAsia="zh-CN"/>
              </w:rPr>
              <w:t>33家</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E95D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未完成既定目标值，参与企业29家</w:t>
            </w:r>
          </w:p>
        </w:tc>
      </w:tr>
      <w:tr w14:paraId="66D11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7" w:hRule="atLeast"/>
          <w:jc w:val="center"/>
        </w:trPr>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22944">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400" w:type="dxa"/>
            <w:vMerge w:val="continue"/>
            <w:tcBorders>
              <w:left w:val="single" w:color="000000" w:sz="4" w:space="0"/>
              <w:right w:val="single" w:color="000000" w:sz="4" w:space="0"/>
            </w:tcBorders>
            <w:shd w:val="clear" w:color="auto" w:fill="auto"/>
            <w:vAlign w:val="center"/>
          </w:tcPr>
          <w:p w14:paraId="696DAD72">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ABA2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组织全区家电销售企业参与以旧换新</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5E05">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17家</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D35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highlight w:val="none"/>
                <w:u w:val="none"/>
                <w:lang w:val="en-US" w:eastAsia="zh-CN" w:bidi="ar"/>
              </w:rPr>
              <w:t>完成</w:t>
            </w:r>
          </w:p>
        </w:tc>
      </w:tr>
      <w:tr w14:paraId="4B23D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93C9A">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400" w:type="dxa"/>
            <w:vMerge w:val="continue"/>
            <w:tcBorders>
              <w:left w:val="single" w:color="000000" w:sz="4" w:space="0"/>
              <w:bottom w:val="single" w:color="000000" w:sz="4" w:space="0"/>
              <w:right w:val="single" w:color="000000" w:sz="4" w:space="0"/>
            </w:tcBorders>
            <w:shd w:val="clear" w:color="auto" w:fill="auto"/>
            <w:vAlign w:val="center"/>
          </w:tcPr>
          <w:p w14:paraId="0EEA36E9">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719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组织全区电动自行车销售企业参与以旧换新</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24C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3家</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260F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未完成既定目标值，参与企业1家</w:t>
            </w:r>
          </w:p>
        </w:tc>
      </w:tr>
      <w:tr w14:paraId="742E3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434F8">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62D9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4B743">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促进释放消费潜力</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C200">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F0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未完成既定目标值</w:t>
            </w:r>
          </w:p>
        </w:tc>
      </w:tr>
      <w:tr w14:paraId="31D88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6" w:hRule="atLeast"/>
          <w:jc w:val="center"/>
        </w:trPr>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D3C73">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EC9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9CDB">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按工作计划</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F172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2024.01-2024.12</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08CE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5A632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0A355">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3D9C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A3C2">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以旧换新补贴资金</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C6B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4611.961</w:t>
            </w:r>
            <w:r>
              <w:rPr>
                <w:rFonts w:hint="eastAsia" w:ascii="宋体" w:hAnsi="宋体" w:eastAsia="宋体" w:cs="宋体"/>
                <w:i w:val="0"/>
                <w:iCs w:val="0"/>
                <w:color w:val="000000"/>
                <w:kern w:val="0"/>
                <w:sz w:val="24"/>
                <w:szCs w:val="24"/>
                <w:u w:val="none"/>
                <w:lang w:val="en-US" w:eastAsia="zh-CN" w:bidi="ar"/>
              </w:rPr>
              <w:t>万元</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544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2F20A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 w:hRule="atLeast"/>
          <w:jc w:val="center"/>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19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F1F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73F33">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繁荣活跃消费市场</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8459">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释放消费潜力</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18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5AAC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2B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1A15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EB3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群众满意度</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B30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5"/>
                <w:lang w:val="en-US" w:eastAsia="zh-CN" w:bidi="ar"/>
              </w:rPr>
              <w:t>≥</w:t>
            </w:r>
            <w:r>
              <w:rPr>
                <w:rStyle w:val="15"/>
                <w:rFonts w:hint="eastAsia"/>
                <w:lang w:val="en-US" w:eastAsia="zh-CN" w:bidi="ar"/>
              </w:rPr>
              <w:t>85</w:t>
            </w:r>
            <w:r>
              <w:rPr>
                <w:rFonts w:hint="eastAsia" w:ascii="宋体" w:hAnsi="宋体" w:eastAsia="宋体" w:cs="宋体"/>
                <w:i w:val="0"/>
                <w:iCs w:val="0"/>
                <w:color w:val="000000"/>
                <w:kern w:val="0"/>
                <w:sz w:val="24"/>
                <w:szCs w:val="24"/>
                <w:u w:val="none"/>
                <w:lang w:val="en-US" w:eastAsia="zh-CN" w:bidi="ar"/>
              </w:rPr>
              <w:t>%</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DDABB">
            <w:pPr>
              <w:keepNext w:val="0"/>
              <w:keepLines w:val="0"/>
              <w:widowControl/>
              <w:suppressLineNumbers w:val="0"/>
              <w:snapToGrid w:val="0"/>
              <w:ind w:left="0" w:leftChars="0" w:right="0" w:rightChars="0" w:firstLine="0" w:firstLineChars="0"/>
              <w:jc w:val="center"/>
              <w:textAlignment w:val="center"/>
              <w:rPr>
                <w:rStyle w:val="15"/>
                <w:lang w:val="en-US" w:eastAsia="zh-CN" w:bidi="ar"/>
              </w:rPr>
            </w:pPr>
            <w:r>
              <w:rPr>
                <w:rFonts w:hint="eastAsia" w:ascii="宋体" w:hAnsi="宋体" w:cs="宋体"/>
                <w:i w:val="0"/>
                <w:iCs w:val="0"/>
                <w:color w:val="000000"/>
                <w:kern w:val="0"/>
                <w:sz w:val="24"/>
                <w:szCs w:val="24"/>
                <w:u w:val="none"/>
                <w:lang w:val="en-US" w:eastAsia="zh-CN" w:bidi="ar"/>
              </w:rPr>
              <w:t>完成</w:t>
            </w:r>
          </w:p>
        </w:tc>
      </w:tr>
    </w:tbl>
    <w:p w14:paraId="457FB7F2">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综上，“目标完成”指标权重</w:t>
      </w:r>
      <w:r>
        <w:rPr>
          <w:rFonts w:hint="eastAsia" w:ascii="宋体" w:hAnsi="宋体" w:eastAsia="宋体" w:cs="宋体"/>
          <w:bCs/>
          <w:sz w:val="24"/>
          <w:szCs w:val="24"/>
          <w:highlight w:val="none"/>
          <w:lang w:val="en-US" w:eastAsia="zh-CN"/>
        </w:rPr>
        <w:t>为6分，扣</w:t>
      </w:r>
      <w:r>
        <w:rPr>
          <w:rFonts w:hint="eastAsia" w:ascii="宋体" w:hAnsi="宋体" w:cs="宋体"/>
          <w:bCs/>
          <w:sz w:val="24"/>
          <w:szCs w:val="24"/>
          <w:highlight w:val="none"/>
          <w:lang w:val="en-US" w:eastAsia="zh-CN"/>
        </w:rPr>
        <w:t>2.25</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3.75</w:t>
      </w:r>
      <w:r>
        <w:rPr>
          <w:rFonts w:hint="eastAsia" w:ascii="宋体" w:hAnsi="宋体" w:eastAsia="宋体" w:cs="宋体"/>
          <w:bCs/>
          <w:sz w:val="24"/>
          <w:szCs w:val="24"/>
          <w:highlight w:val="none"/>
          <w:lang w:val="en-US" w:eastAsia="zh-CN"/>
        </w:rPr>
        <w:t>分。</w:t>
      </w:r>
    </w:p>
    <w:p w14:paraId="55C40211">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61" w:name="_Toc15344"/>
      <w:r>
        <w:rPr>
          <w:rFonts w:hint="eastAsia" w:ascii="Times New Roman" w:hAnsi="Times New Roman" w:eastAsia="宋体" w:cs="Times New Roman"/>
          <w:b/>
          <w:bCs/>
          <w:color w:val="auto"/>
          <w:sz w:val="24"/>
          <w:szCs w:val="24"/>
          <w:highlight w:val="none"/>
          <w:lang w:val="en-US" w:eastAsia="zh-CN"/>
        </w:rPr>
        <w:t>（2）完成时效</w:t>
      </w:r>
      <w:bookmarkEnd w:id="61"/>
    </w:p>
    <w:p w14:paraId="5FBF5CA3">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该项目计划完成期间为202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年1月至202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年12月， 实际完成期间为202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年1月至202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年12月</w:t>
      </w:r>
      <w:r>
        <w:rPr>
          <w:rFonts w:hint="eastAsia" w:ascii="宋体" w:hAnsi="宋体" w:eastAsia="宋体" w:cs="宋体"/>
          <w:bCs/>
          <w:sz w:val="24"/>
          <w:szCs w:val="24"/>
          <w:lang w:val="en-US" w:eastAsia="zh-CN"/>
        </w:rPr>
        <w:t>。</w:t>
      </w:r>
    </w:p>
    <w:p w14:paraId="2237C8D6">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综上，“完成时效”指标权重为3分，扣0分，得3分。</w:t>
      </w:r>
    </w:p>
    <w:p w14:paraId="42F37992">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62" w:name="_Toc14909"/>
      <w:bookmarkStart w:id="63" w:name="_Toc32430"/>
      <w:bookmarkStart w:id="64" w:name="_Toc21968"/>
      <w:r>
        <w:rPr>
          <w:rFonts w:hint="eastAsia" w:ascii="Times New Roman" w:hAnsi="Times New Roman" w:eastAsia="宋体" w:cs="Times New Roman"/>
          <w:b/>
          <w:bCs/>
          <w:color w:val="auto"/>
          <w:sz w:val="24"/>
          <w:szCs w:val="24"/>
          <w:highlight w:val="none"/>
          <w:lang w:val="en-US" w:eastAsia="zh-CN"/>
        </w:rPr>
        <w:t>专用指标</w:t>
      </w:r>
      <w:bookmarkEnd w:id="62"/>
      <w:bookmarkEnd w:id="63"/>
      <w:bookmarkEnd w:id="64"/>
    </w:p>
    <w:p w14:paraId="03AC0D69">
      <w:pPr>
        <w:numPr>
          <w:ilvl w:val="0"/>
          <w:numId w:val="0"/>
        </w:numPr>
        <w:tabs>
          <w:tab w:val="left" w:pos="0"/>
        </w:tabs>
        <w:spacing w:line="360" w:lineRule="auto"/>
        <w:ind w:left="0" w:leftChars="0" w:firstLine="482" w:firstLineChars="200"/>
        <w:jc w:val="left"/>
        <w:outlineLvl w:val="2"/>
        <w:rPr>
          <w:rFonts w:hint="default" w:ascii="Times New Roman" w:hAnsi="Times New Roman" w:eastAsia="宋体" w:cs="Times New Roman"/>
          <w:b/>
          <w:bCs/>
          <w:color w:val="auto"/>
          <w:sz w:val="24"/>
          <w:szCs w:val="24"/>
          <w:highlight w:val="none"/>
          <w:lang w:val="en-US" w:eastAsia="zh-CN"/>
        </w:rPr>
      </w:pPr>
      <w:bookmarkStart w:id="65" w:name="_Toc2089"/>
      <w:bookmarkStart w:id="66" w:name="_Toc3657"/>
      <w:bookmarkStart w:id="67" w:name="_Toc17049"/>
      <w:r>
        <w:rPr>
          <w:rFonts w:hint="eastAsia" w:ascii="Times New Roman" w:hAnsi="Times New Roman" w:eastAsia="宋体" w:cs="Times New Roman"/>
          <w:b/>
          <w:bCs/>
          <w:color w:val="auto"/>
          <w:sz w:val="24"/>
          <w:szCs w:val="24"/>
          <w:highlight w:val="none"/>
          <w:lang w:val="en-US" w:eastAsia="zh-CN"/>
        </w:rPr>
        <w:t>1.</w:t>
      </w:r>
      <w:bookmarkEnd w:id="65"/>
      <w:r>
        <w:rPr>
          <w:rFonts w:hint="eastAsia" w:ascii="Times New Roman" w:hAnsi="Times New Roman" w:eastAsia="宋体" w:cs="Times New Roman"/>
          <w:b/>
          <w:bCs/>
          <w:color w:val="auto"/>
          <w:sz w:val="24"/>
          <w:szCs w:val="24"/>
          <w:highlight w:val="none"/>
          <w:lang w:val="en-US" w:eastAsia="zh-CN"/>
        </w:rPr>
        <w:t>产业发展</w:t>
      </w:r>
      <w:bookmarkEnd w:id="66"/>
      <w:bookmarkEnd w:id="67"/>
    </w:p>
    <w:p w14:paraId="6F2B8EB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68" w:name="_Toc32163"/>
      <w:r>
        <w:rPr>
          <w:rFonts w:hint="eastAsia" w:ascii="Times New Roman" w:hAnsi="Times New Roman" w:eastAsia="宋体" w:cs="Times New Roman"/>
          <w:b/>
          <w:bCs/>
          <w:color w:val="auto"/>
          <w:sz w:val="24"/>
          <w:szCs w:val="24"/>
          <w:highlight w:val="none"/>
          <w:lang w:val="en-US" w:eastAsia="zh-CN"/>
        </w:rPr>
        <w:t>（1）</w:t>
      </w:r>
      <w:bookmarkEnd w:id="68"/>
      <w:r>
        <w:rPr>
          <w:rFonts w:hint="default" w:ascii="Times New Roman" w:hAnsi="Times New Roman" w:eastAsia="宋体" w:cs="Times New Roman"/>
          <w:b/>
          <w:bCs/>
          <w:color w:val="auto"/>
          <w:sz w:val="24"/>
          <w:szCs w:val="24"/>
          <w:highlight w:val="none"/>
          <w:lang w:val="en-US" w:eastAsia="zh-CN"/>
        </w:rPr>
        <w:t>符合性</w:t>
      </w:r>
    </w:p>
    <w:p w14:paraId="362C1196">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项目以中央和省市区“扩大内需、全面促进消费加快恢复”的安排部署为遵循，按照《四川省人民政府办公厅关于印发 &lt;关于进一步支持大规模设备更新和消费品以旧换新的若干政策措施 &gt; 的通知》(川办发〔2024〕37 号)、《攀枝花市商务局等14部门关于印发攀枝花市推动消费品以旧换新行动方案及实施细则的通知》(攀商发〔2024〕7 号) 要求开展消费品以旧换新活动</w:t>
      </w:r>
      <w:r>
        <w:rPr>
          <w:rFonts w:hint="eastAsia" w:ascii="宋体" w:hAnsi="宋体" w:cs="宋体"/>
          <w:bCs/>
          <w:sz w:val="24"/>
          <w:szCs w:val="24"/>
          <w:highlight w:val="none"/>
          <w:lang w:val="en-US" w:eastAsia="zh-CN"/>
        </w:rPr>
        <w:t>。</w:t>
      </w:r>
    </w:p>
    <w:p w14:paraId="62DE945E">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lang w:val="en-US" w:eastAsia="zh-CN"/>
        </w:rPr>
        <w:t>综上，“符合性”指标权重为10分，扣0分，得10分。</w:t>
      </w:r>
    </w:p>
    <w:p w14:paraId="32238B4F">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69" w:name="_Toc4689"/>
      <w:r>
        <w:rPr>
          <w:rFonts w:hint="eastAsia" w:ascii="Times New Roman" w:hAnsi="Times New Roman" w:eastAsia="宋体" w:cs="Times New Roman"/>
          <w:b/>
          <w:bCs/>
          <w:color w:val="auto"/>
          <w:sz w:val="24"/>
          <w:szCs w:val="24"/>
          <w:highlight w:val="none"/>
          <w:lang w:val="en-US" w:eastAsia="zh-CN"/>
        </w:rPr>
        <w:t>（2）</w:t>
      </w:r>
      <w:bookmarkEnd w:id="69"/>
      <w:r>
        <w:rPr>
          <w:rFonts w:hint="default" w:ascii="Times New Roman" w:hAnsi="Times New Roman" w:eastAsia="宋体" w:cs="Times New Roman"/>
          <w:b/>
          <w:bCs/>
          <w:color w:val="auto"/>
          <w:sz w:val="24"/>
          <w:szCs w:val="24"/>
          <w:highlight w:val="none"/>
          <w:lang w:val="en-US" w:eastAsia="zh-CN"/>
        </w:rPr>
        <w:t>成长性</w:t>
      </w:r>
    </w:p>
    <w:p w14:paraId="23138285">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项目通过组织企业参与以旧换新活动，为参与企业提供了政策赋能的业务拓展载体：参与的29家汽车销售企业，借助以旧换新补贴政策拓宽了客源对接渠道，部分企业尝试优化产品推广结构，一定程度上提升了经营活跃度；参与的家电、电动自行车销售企业，也依托活动试水绿色智能产品的市场推广，为经营模式创新积累了实践经验，项目对这些参与企业的成长性起到了初步促进作用</w:t>
      </w:r>
      <w:r>
        <w:rPr>
          <w:rFonts w:hint="eastAsia" w:ascii="宋体" w:hAnsi="宋体" w:cs="宋体"/>
          <w:bCs/>
          <w:sz w:val="24"/>
          <w:szCs w:val="24"/>
          <w:highlight w:val="none"/>
          <w:lang w:val="en-US" w:eastAsia="zh-CN"/>
        </w:rPr>
        <w:t>。但项目对企业成长性的促进作用存在明显短板：一方面，汽车、电动自行车销售企业的参与数量均未达既定目标（汽车仅29家、电动自行车仅1家），多数本地相关企业未获得政策赋能的机会。项目对相关行业企业成长性的促进覆盖不充分、效能有限，成长性赋能的广度与深度有待强化。</w:t>
      </w:r>
    </w:p>
    <w:p w14:paraId="47A7C6AD">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综上，“成长性”指标权重为10分，扣</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7</w:t>
      </w:r>
      <w:r>
        <w:rPr>
          <w:rFonts w:hint="eastAsia" w:ascii="宋体" w:hAnsi="宋体" w:eastAsia="宋体" w:cs="宋体"/>
          <w:bCs/>
          <w:sz w:val="24"/>
          <w:szCs w:val="24"/>
          <w:highlight w:val="none"/>
          <w:lang w:val="en-US" w:eastAsia="zh-CN"/>
        </w:rPr>
        <w:t>分。</w:t>
      </w:r>
    </w:p>
    <w:p w14:paraId="6E46B1D9">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70" w:name="_Toc25829"/>
      <w:r>
        <w:rPr>
          <w:rFonts w:hint="eastAsia" w:ascii="Times New Roman" w:hAnsi="Times New Roman" w:eastAsia="宋体" w:cs="Times New Roman"/>
          <w:b/>
          <w:bCs/>
          <w:color w:val="auto"/>
          <w:sz w:val="24"/>
          <w:szCs w:val="24"/>
          <w:highlight w:val="none"/>
          <w:lang w:val="en-US" w:eastAsia="zh-CN"/>
        </w:rPr>
        <w:t>（3）</w:t>
      </w:r>
      <w:bookmarkEnd w:id="70"/>
      <w:r>
        <w:rPr>
          <w:rFonts w:hint="eastAsia" w:ascii="Times New Roman" w:hAnsi="Times New Roman" w:cs="Times New Roman"/>
          <w:b/>
          <w:bCs/>
          <w:color w:val="auto"/>
          <w:sz w:val="24"/>
          <w:szCs w:val="24"/>
          <w:highlight w:val="none"/>
          <w:lang w:val="en-US" w:eastAsia="zh-CN"/>
        </w:rPr>
        <w:t>经济性</w:t>
      </w:r>
    </w:p>
    <w:p w14:paraId="28E6B1FA">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项目对参与企业的经济指标增长形成了局部支撑：参与的29家汽车销售企业</w:t>
      </w:r>
      <w:r>
        <w:rPr>
          <w:rFonts w:hint="eastAsia" w:ascii="宋体" w:hAnsi="宋体" w:cs="宋体"/>
          <w:bCs/>
          <w:sz w:val="24"/>
          <w:szCs w:val="24"/>
          <w:highlight w:val="none"/>
          <w:lang w:val="en-US" w:eastAsia="zh-CN"/>
        </w:rPr>
        <w:t>、17家家电销售企业</w:t>
      </w:r>
      <w:r>
        <w:rPr>
          <w:rFonts w:hint="eastAsia" w:ascii="宋体" w:hAnsi="宋体" w:eastAsia="宋体" w:cs="宋体"/>
          <w:bCs/>
          <w:sz w:val="24"/>
          <w:szCs w:val="24"/>
          <w:highlight w:val="none"/>
          <w:lang w:val="en-US" w:eastAsia="zh-CN"/>
        </w:rPr>
        <w:t>中，部分企业借助以旧换新补贴政策拓宽了客户对接渠道</w:t>
      </w:r>
      <w:r>
        <w:rPr>
          <w:rFonts w:hint="eastAsia" w:ascii="宋体" w:hAnsi="宋体" w:cs="宋体"/>
          <w:bCs/>
          <w:sz w:val="24"/>
          <w:szCs w:val="24"/>
          <w:highlight w:val="none"/>
          <w:lang w:val="en-US" w:eastAsia="zh-CN"/>
        </w:rPr>
        <w:t>，对业务较之前实现了一定增长。而参与的电动自行车销售企业数量极少，全年只有27名消费者参与此次活动，客户引流效果有限，项目对相关企业经济指标增长的促进覆盖不充分、效能有限。</w:t>
      </w:r>
    </w:p>
    <w:p w14:paraId="440A5A82">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综上，“经济性”指标权重为10分，扣</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7</w:t>
      </w:r>
      <w:r>
        <w:rPr>
          <w:rFonts w:hint="eastAsia" w:ascii="宋体" w:hAnsi="宋体" w:eastAsia="宋体" w:cs="宋体"/>
          <w:bCs/>
          <w:sz w:val="24"/>
          <w:szCs w:val="24"/>
          <w:highlight w:val="none"/>
          <w:lang w:val="en-US" w:eastAsia="zh-CN"/>
        </w:rPr>
        <w:t>分。</w:t>
      </w:r>
    </w:p>
    <w:p w14:paraId="2FC23B82">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71" w:name="_Toc25596"/>
      <w:bookmarkStart w:id="72" w:name="_Toc947"/>
      <w:bookmarkStart w:id="73" w:name="_Toc11134"/>
      <w:r>
        <w:rPr>
          <w:rFonts w:hint="eastAsia" w:ascii="Times New Roman" w:hAnsi="Times New Roman" w:eastAsia="宋体" w:cs="Times New Roman"/>
          <w:b/>
          <w:bCs/>
          <w:color w:val="auto"/>
          <w:sz w:val="24"/>
          <w:szCs w:val="24"/>
          <w:highlight w:val="none"/>
          <w:lang w:val="en-US" w:eastAsia="zh-CN"/>
        </w:rPr>
        <w:t>个性指标</w:t>
      </w:r>
      <w:bookmarkEnd w:id="71"/>
      <w:bookmarkEnd w:id="72"/>
      <w:bookmarkEnd w:id="73"/>
    </w:p>
    <w:p w14:paraId="2EB4B4D3">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74" w:name="_Toc3107"/>
      <w:bookmarkStart w:id="75" w:name="_Toc25221"/>
      <w:bookmarkStart w:id="76" w:name="_Toc31823"/>
      <w:r>
        <w:rPr>
          <w:rFonts w:hint="default" w:ascii="宋体" w:hAnsi="宋体" w:eastAsia="宋体" w:cs="宋体"/>
          <w:b/>
          <w:bCs w:val="0"/>
          <w:sz w:val="24"/>
          <w:szCs w:val="24"/>
          <w:lang w:val="en-US" w:eastAsia="zh-CN"/>
        </w:rPr>
        <w:t>1.</w:t>
      </w:r>
      <w:bookmarkEnd w:id="74"/>
      <w:r>
        <w:rPr>
          <w:rFonts w:hint="default" w:ascii="宋体" w:hAnsi="宋体" w:eastAsia="宋体" w:cs="宋体"/>
          <w:b/>
          <w:bCs w:val="0"/>
          <w:sz w:val="24"/>
          <w:szCs w:val="24"/>
          <w:lang w:val="en-US" w:eastAsia="zh-CN"/>
        </w:rPr>
        <w:t>重点品类换新达标率</w:t>
      </w:r>
      <w:bookmarkEnd w:id="75"/>
      <w:bookmarkEnd w:id="76"/>
    </w:p>
    <w:p w14:paraId="41E8A46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结合攀枝花仁和区以旧换新的实际推进情况，本指标对应的政策重点扶持品类为家电、汽车</w:t>
      </w:r>
      <w:r>
        <w:rPr>
          <w:rFonts w:hint="eastAsia" w:ascii="宋体" w:hAnsi="宋体" w:cs="宋体"/>
          <w:bCs/>
          <w:sz w:val="24"/>
          <w:szCs w:val="24"/>
          <w:highlight w:val="none"/>
          <w:lang w:val="en-US" w:eastAsia="zh-CN"/>
        </w:rPr>
        <w:t>、电动自行车，</w:t>
      </w:r>
      <w:r>
        <w:rPr>
          <w:rFonts w:hint="eastAsia" w:ascii="宋体" w:hAnsi="宋体" w:eastAsia="宋体" w:cs="宋体"/>
          <w:bCs/>
          <w:sz w:val="24"/>
          <w:szCs w:val="24"/>
          <w:highlight w:val="none"/>
          <w:lang w:val="en-US" w:eastAsia="zh-CN"/>
        </w:rPr>
        <w:t>但项目实施中存在明显短板：一方面，</w:t>
      </w:r>
      <w:r>
        <w:rPr>
          <w:rFonts w:hint="eastAsia" w:ascii="宋体" w:hAnsi="宋体" w:cs="宋体"/>
          <w:bCs/>
          <w:sz w:val="24"/>
          <w:szCs w:val="24"/>
          <w:highlight w:val="none"/>
          <w:lang w:val="en-US" w:eastAsia="zh-CN"/>
        </w:rPr>
        <w:t>电动自行车</w:t>
      </w:r>
      <w:r>
        <w:rPr>
          <w:rFonts w:hint="eastAsia" w:ascii="宋体" w:hAnsi="宋体" w:eastAsia="宋体" w:cs="宋体"/>
          <w:bCs/>
          <w:sz w:val="24"/>
          <w:szCs w:val="24"/>
          <w:highlight w:val="none"/>
          <w:lang w:val="en-US" w:eastAsia="zh-CN"/>
        </w:rPr>
        <w:t>企业参与数量严重不足（仅</w:t>
      </w:r>
      <w:r>
        <w:rPr>
          <w:rFonts w:hint="eastAsia" w:ascii="宋体" w:hAnsi="宋体" w:cs="宋体"/>
          <w:bCs/>
          <w:sz w:val="24"/>
          <w:szCs w:val="24"/>
          <w:highlight w:val="none"/>
          <w:lang w:val="en-US" w:eastAsia="zh-CN"/>
        </w:rPr>
        <w:t>1家，</w:t>
      </w:r>
      <w:r>
        <w:rPr>
          <w:rFonts w:hint="eastAsia" w:ascii="宋体" w:hAnsi="宋体" w:eastAsia="宋体" w:cs="宋体"/>
          <w:bCs/>
          <w:sz w:val="24"/>
          <w:szCs w:val="24"/>
          <w:highlight w:val="none"/>
          <w:lang w:val="en-US" w:eastAsia="zh-CN"/>
        </w:rPr>
        <w:t>远未达既定目标），导致</w:t>
      </w:r>
      <w:r>
        <w:rPr>
          <w:rFonts w:hint="eastAsia" w:ascii="宋体" w:hAnsi="宋体" w:cs="宋体"/>
          <w:bCs/>
          <w:sz w:val="24"/>
          <w:szCs w:val="24"/>
          <w:highlight w:val="none"/>
          <w:lang w:val="en-US" w:eastAsia="zh-CN"/>
        </w:rPr>
        <w:t>电动自行车</w:t>
      </w:r>
      <w:r>
        <w:rPr>
          <w:rFonts w:hint="eastAsia" w:ascii="宋体" w:hAnsi="宋体" w:eastAsia="宋体" w:cs="宋体"/>
          <w:bCs/>
          <w:sz w:val="24"/>
          <w:szCs w:val="24"/>
          <w:highlight w:val="none"/>
          <w:lang w:val="en-US" w:eastAsia="zh-CN"/>
        </w:rPr>
        <w:t>品类的换新规模较小；另一方面，汽车销售企业参与数量未达预期（29家，未达≥33 家的目标），也一定程度上限制了汽车品类的换新占比</w:t>
      </w:r>
      <w:r>
        <w:rPr>
          <w:rFonts w:hint="eastAsia" w:ascii="宋体" w:hAnsi="宋体" w:cs="宋体"/>
          <w:bCs/>
          <w:sz w:val="24"/>
          <w:szCs w:val="24"/>
          <w:highlight w:val="none"/>
          <w:lang w:val="en-US" w:eastAsia="zh-CN"/>
        </w:rPr>
        <w:t>。</w:t>
      </w:r>
    </w:p>
    <w:p w14:paraId="0E30D572">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综上，“重点品类换新达标率”指标权重为</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5</w:t>
      </w:r>
      <w:r>
        <w:rPr>
          <w:rFonts w:hint="eastAsia" w:ascii="宋体" w:hAnsi="宋体" w:eastAsia="宋体" w:cs="宋体"/>
          <w:bCs/>
          <w:sz w:val="24"/>
          <w:szCs w:val="24"/>
          <w:highlight w:val="none"/>
          <w:lang w:val="en-US" w:eastAsia="zh-CN"/>
        </w:rPr>
        <w:t>分。</w:t>
      </w:r>
    </w:p>
    <w:p w14:paraId="42934DE5">
      <w:pPr>
        <w:spacing w:line="560" w:lineRule="exact"/>
        <w:ind w:firstLine="482" w:firstLineChars="200"/>
        <w:jc w:val="left"/>
        <w:outlineLvl w:val="2"/>
        <w:rPr>
          <w:rFonts w:hint="default" w:ascii="宋体" w:hAnsi="宋体" w:eastAsia="宋体" w:cs="宋体"/>
          <w:b/>
          <w:bCs w:val="0"/>
          <w:sz w:val="24"/>
          <w:szCs w:val="24"/>
          <w:highlight w:val="none"/>
          <w:lang w:val="en-US" w:eastAsia="zh-CN"/>
        </w:rPr>
      </w:pPr>
      <w:bookmarkStart w:id="77" w:name="_Toc16018"/>
      <w:bookmarkStart w:id="78" w:name="_Toc31299"/>
      <w:bookmarkStart w:id="79" w:name="_Toc17821"/>
      <w:r>
        <w:rPr>
          <w:rFonts w:hint="default" w:ascii="宋体" w:hAnsi="宋体" w:eastAsia="宋体" w:cs="宋体"/>
          <w:b/>
          <w:bCs w:val="0"/>
          <w:sz w:val="24"/>
          <w:szCs w:val="24"/>
          <w:highlight w:val="none"/>
          <w:lang w:val="en-US" w:eastAsia="zh-CN"/>
        </w:rPr>
        <w:t>2.</w:t>
      </w:r>
      <w:bookmarkEnd w:id="77"/>
      <w:r>
        <w:rPr>
          <w:rFonts w:hint="default" w:ascii="宋体" w:hAnsi="宋体" w:eastAsia="宋体" w:cs="宋体"/>
          <w:b/>
          <w:bCs w:val="0"/>
          <w:sz w:val="24"/>
          <w:szCs w:val="24"/>
          <w:highlight w:val="none"/>
          <w:lang w:val="en-US" w:eastAsia="zh-CN"/>
        </w:rPr>
        <w:t>参与企业服务达标率</w:t>
      </w:r>
      <w:bookmarkEnd w:id="78"/>
      <w:bookmarkEnd w:id="79"/>
    </w:p>
    <w:p w14:paraId="4E2EE520">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本次项目参与的29家汽车销售企业、17家家电销售企业及 1家电动自行车销售企业，均能落实服务环节的基本合规要求：做到价格公示透明、配合消费者完成补贴申报指导，旧品上门回收的响应度也基本契合日常需求，消费者对服务的整体认可度较高，未引发投诉。</w:t>
      </w:r>
    </w:p>
    <w:p w14:paraId="6E48FE01">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综上，“参与企业服务达标率”指标权重为</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w:t>
      </w:r>
    </w:p>
    <w:p w14:paraId="13C6AFEE">
      <w:pPr>
        <w:numPr>
          <w:ilvl w:val="0"/>
          <w:numId w:val="7"/>
        </w:numPr>
        <w:tabs>
          <w:tab w:val="left" w:pos="0"/>
        </w:tabs>
        <w:spacing w:line="360" w:lineRule="auto"/>
        <w:ind w:firstLine="482" w:firstLineChars="200"/>
        <w:jc w:val="left"/>
        <w:outlineLvl w:val="1"/>
        <w:rPr>
          <w:rFonts w:hint="eastAsia" w:ascii="Times New Roman" w:hAnsi="Times New Roman" w:eastAsia="宋体" w:cs="Times New Roman"/>
          <w:b/>
          <w:bCs/>
          <w:color w:val="auto"/>
          <w:sz w:val="24"/>
          <w:szCs w:val="24"/>
          <w:highlight w:val="none"/>
          <w:lang w:val="en-US" w:eastAsia="zh-CN"/>
        </w:rPr>
      </w:pPr>
      <w:bookmarkStart w:id="80" w:name="_Toc31184"/>
      <w:bookmarkStart w:id="81" w:name="_Toc11229"/>
      <w:bookmarkStart w:id="82" w:name="_Toc8390"/>
      <w:bookmarkStart w:id="83" w:name="_Toc6176"/>
      <w:r>
        <w:rPr>
          <w:rFonts w:hint="eastAsia" w:ascii="Times New Roman" w:hAnsi="Times New Roman" w:eastAsia="宋体" w:cs="Times New Roman"/>
          <w:b/>
          <w:bCs/>
          <w:color w:val="auto"/>
          <w:sz w:val="24"/>
          <w:szCs w:val="24"/>
          <w:highlight w:val="none"/>
          <w:lang w:val="en-US" w:eastAsia="zh-CN"/>
        </w:rPr>
        <w:t>扣分项</w:t>
      </w:r>
      <w:bookmarkEnd w:id="80"/>
      <w:bookmarkEnd w:id="81"/>
      <w:bookmarkEnd w:id="82"/>
      <w:bookmarkEnd w:id="83"/>
      <w:bookmarkStart w:id="84" w:name="_Toc9237"/>
    </w:p>
    <w:p w14:paraId="63810557">
      <w:pPr>
        <w:numPr>
          <w:ilvl w:val="0"/>
          <w:numId w:val="8"/>
        </w:numPr>
        <w:tabs>
          <w:tab w:val="left" w:pos="0"/>
          <w:tab w:val="clear" w:pos="312"/>
        </w:tabs>
        <w:spacing w:line="360" w:lineRule="auto"/>
        <w:ind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85" w:name="_Toc16418"/>
      <w:bookmarkStart w:id="86" w:name="_Toc24569"/>
      <w:bookmarkStart w:id="87" w:name="_Toc12786"/>
      <w:bookmarkStart w:id="88" w:name="_Toc8659"/>
      <w:r>
        <w:rPr>
          <w:rFonts w:hint="eastAsia" w:ascii="Times New Roman" w:hAnsi="Times New Roman" w:eastAsia="宋体" w:cs="Times New Roman"/>
          <w:b/>
          <w:bCs/>
          <w:color w:val="auto"/>
          <w:sz w:val="24"/>
          <w:szCs w:val="24"/>
          <w:highlight w:val="none"/>
          <w:lang w:val="en-US" w:eastAsia="zh-CN"/>
        </w:rPr>
        <w:t>绩效管理存在问题</w:t>
      </w:r>
      <w:bookmarkEnd w:id="84"/>
      <w:bookmarkEnd w:id="85"/>
      <w:bookmarkEnd w:id="86"/>
      <w:bookmarkEnd w:id="87"/>
      <w:bookmarkEnd w:id="88"/>
    </w:p>
    <w:p w14:paraId="63ED1AF7">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在评价年度内，涉及该项目的人大监督、巡视巡察、审计监督、财会监督等各类监督结果中，均未出现预算绩效管理相关的问题</w:t>
      </w:r>
      <w:r>
        <w:rPr>
          <w:rFonts w:hint="eastAsia" w:ascii="宋体" w:hAnsi="宋体" w:cs="宋体"/>
          <w:bCs/>
          <w:sz w:val="24"/>
          <w:szCs w:val="24"/>
          <w:highlight w:val="none"/>
          <w:lang w:val="en-US" w:eastAsia="zh-CN"/>
        </w:rPr>
        <w:t>。</w:t>
      </w:r>
    </w:p>
    <w:p w14:paraId="12E34799">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综上，“绩效管理存在问题”指标未产生扣分情形。</w:t>
      </w:r>
    </w:p>
    <w:p w14:paraId="072F6B1A">
      <w:pPr>
        <w:numPr>
          <w:ilvl w:val="0"/>
          <w:numId w:val="8"/>
        </w:numPr>
        <w:tabs>
          <w:tab w:val="left" w:pos="0"/>
          <w:tab w:val="clear" w:pos="312"/>
        </w:tabs>
        <w:spacing w:line="360" w:lineRule="auto"/>
        <w:ind w:firstLine="482" w:firstLineChars="200"/>
        <w:jc w:val="left"/>
        <w:outlineLvl w:val="2"/>
        <w:rPr>
          <w:rFonts w:hint="default" w:ascii="Times New Roman" w:hAnsi="Times New Roman" w:cs="Times New Roman"/>
          <w:b/>
          <w:bCs/>
          <w:color w:val="auto"/>
          <w:sz w:val="24"/>
          <w:szCs w:val="24"/>
          <w:highlight w:val="none"/>
          <w:lang w:val="en-US" w:eastAsia="zh-CN"/>
        </w:rPr>
      </w:pPr>
      <w:bookmarkStart w:id="89" w:name="_Toc7015"/>
      <w:bookmarkStart w:id="90" w:name="_Toc3775"/>
      <w:bookmarkStart w:id="91" w:name="_Toc12870"/>
      <w:bookmarkStart w:id="92" w:name="_Toc15652"/>
      <w:bookmarkStart w:id="93" w:name="_Toc16909"/>
      <w:r>
        <w:rPr>
          <w:rFonts w:hint="eastAsia" w:ascii="Times New Roman" w:hAnsi="Times New Roman" w:cs="Times New Roman"/>
          <w:b/>
          <w:bCs/>
          <w:color w:val="auto"/>
          <w:sz w:val="24"/>
          <w:szCs w:val="24"/>
          <w:highlight w:val="none"/>
          <w:lang w:val="en-US" w:eastAsia="zh-CN"/>
        </w:rPr>
        <w:t>被评价部门配合度</w:t>
      </w:r>
      <w:bookmarkEnd w:id="89"/>
      <w:bookmarkEnd w:id="90"/>
      <w:bookmarkEnd w:id="91"/>
      <w:bookmarkEnd w:id="92"/>
      <w:bookmarkEnd w:id="93"/>
    </w:p>
    <w:p w14:paraId="069B7D35">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在本次绩效评价工作推进过程中，被评价对象未出现拖延推诿、提交资料不及时或拒不配合评价工作的情况，能够主动对接评价需求，及时按要求提供相关资料</w:t>
      </w:r>
      <w:r>
        <w:rPr>
          <w:rFonts w:hint="eastAsia" w:ascii="宋体" w:hAnsi="宋体" w:cs="宋体"/>
          <w:bCs/>
          <w:sz w:val="24"/>
          <w:szCs w:val="24"/>
          <w:highlight w:val="none"/>
          <w:lang w:val="en-US" w:eastAsia="zh-CN"/>
        </w:rPr>
        <w:t>。</w:t>
      </w:r>
    </w:p>
    <w:p w14:paraId="0781A508">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综上，“被评价部门配合度”指标未产生扣分情形。</w:t>
      </w:r>
    </w:p>
    <w:p w14:paraId="43D81D0E">
      <w:pPr>
        <w:spacing w:line="560" w:lineRule="exact"/>
        <w:ind w:firstLine="482" w:firstLineChars="200"/>
        <w:jc w:val="left"/>
        <w:outlineLvl w:val="0"/>
        <w:rPr>
          <w:rFonts w:hint="default" w:ascii="宋体" w:hAnsi="宋体" w:eastAsia="宋体" w:cs="宋体"/>
          <w:b/>
          <w:bCs w:val="0"/>
          <w:sz w:val="24"/>
          <w:szCs w:val="24"/>
          <w:lang w:val="en-US" w:eastAsia="zh-CN"/>
        </w:rPr>
      </w:pPr>
      <w:bookmarkStart w:id="94" w:name="_Toc18219"/>
      <w:bookmarkStart w:id="95" w:name="_Toc12812"/>
      <w:bookmarkStart w:id="96" w:name="_Toc25100"/>
      <w:r>
        <w:rPr>
          <w:rFonts w:hint="default" w:ascii="宋体" w:hAnsi="宋体" w:eastAsia="宋体" w:cs="宋体"/>
          <w:b/>
          <w:bCs w:val="0"/>
          <w:sz w:val="24"/>
          <w:szCs w:val="24"/>
          <w:lang w:val="en-US" w:eastAsia="zh-CN"/>
        </w:rPr>
        <w:t>五、存在的主要问题</w:t>
      </w:r>
      <w:bookmarkEnd w:id="94"/>
      <w:bookmarkEnd w:id="95"/>
      <w:bookmarkEnd w:id="96"/>
    </w:p>
    <w:p w14:paraId="75D77E38">
      <w:pPr>
        <w:spacing w:line="560" w:lineRule="exact"/>
        <w:ind w:firstLine="482" w:firstLineChars="200"/>
        <w:jc w:val="left"/>
        <w:outlineLvl w:val="1"/>
        <w:rPr>
          <w:rFonts w:hint="eastAsia" w:ascii="宋体" w:hAnsi="宋体" w:eastAsia="宋体" w:cs="宋体"/>
          <w:b/>
          <w:bCs w:val="0"/>
          <w:sz w:val="24"/>
          <w:szCs w:val="24"/>
          <w:lang w:val="en-US" w:eastAsia="zh-CN"/>
        </w:rPr>
      </w:pPr>
      <w:bookmarkStart w:id="97" w:name="_Toc21094"/>
      <w:bookmarkStart w:id="98" w:name="_Toc18043"/>
      <w:bookmarkStart w:id="99" w:name="_Toc8822"/>
      <w:r>
        <w:rPr>
          <w:rFonts w:hint="eastAsia" w:ascii="宋体" w:hAnsi="宋体" w:eastAsia="宋体" w:cs="宋体"/>
          <w:b/>
          <w:bCs w:val="0"/>
          <w:sz w:val="24"/>
          <w:szCs w:val="24"/>
          <w:lang w:val="en-US" w:eastAsia="zh-CN"/>
        </w:rPr>
        <w:t>（一）</w:t>
      </w:r>
      <w:bookmarkEnd w:id="97"/>
      <w:r>
        <w:rPr>
          <w:rFonts w:hint="eastAsia" w:ascii="宋体" w:hAnsi="宋体" w:eastAsia="宋体" w:cs="宋体"/>
          <w:b/>
          <w:bCs w:val="0"/>
          <w:sz w:val="24"/>
          <w:szCs w:val="24"/>
          <w:lang w:val="en-US" w:eastAsia="zh-CN"/>
        </w:rPr>
        <w:t>项目参与企业组织规模未达目标：多品类销售企业参与数量不足</w:t>
      </w:r>
      <w:bookmarkEnd w:id="98"/>
      <w:bookmarkEnd w:id="99"/>
    </w:p>
    <w:p w14:paraId="0E96B0F7">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lang w:val="en-US" w:eastAsia="zh-CN"/>
        </w:rPr>
        <w:t>项目 “组织全区销售企业参与以旧换新” 的数量指标未完成既定要求</w:t>
      </w:r>
      <w:r>
        <w:rPr>
          <w:rFonts w:hint="eastAsia" w:ascii="宋体" w:hAnsi="宋体" w:cs="宋体"/>
          <w:bCs/>
          <w:sz w:val="24"/>
          <w:szCs w:val="24"/>
          <w:lang w:val="en-US" w:eastAsia="zh-CN"/>
        </w:rPr>
        <w:t>。</w:t>
      </w:r>
      <w:r>
        <w:rPr>
          <w:rFonts w:hint="default" w:ascii="宋体" w:hAnsi="宋体" w:eastAsia="宋体" w:cs="宋体"/>
          <w:bCs/>
          <w:sz w:val="24"/>
          <w:szCs w:val="24"/>
          <w:lang w:val="en-US" w:eastAsia="zh-CN"/>
        </w:rPr>
        <w:t>汽车销售企</w:t>
      </w:r>
      <w:r>
        <w:rPr>
          <w:rFonts w:hint="default" w:ascii="宋体" w:hAnsi="宋体" w:eastAsia="宋体" w:cs="宋体"/>
          <w:bCs/>
          <w:sz w:val="24"/>
          <w:szCs w:val="24"/>
          <w:highlight w:val="none"/>
          <w:lang w:val="en-US" w:eastAsia="zh-CN"/>
        </w:rPr>
        <w:t>业参与目标为≥33家，实际仅29家参与；电动自行车销售企业参与目标为≥3家，实际仅1家参与。多品类销售企业的组织规模远未达预期，导致以旧换新活动的市场覆盖广度不足，政策赋能的惠及面受限。</w:t>
      </w:r>
    </w:p>
    <w:p w14:paraId="3F5DE48C">
      <w:pPr>
        <w:spacing w:line="560" w:lineRule="exact"/>
        <w:ind w:firstLine="482" w:firstLineChars="200"/>
        <w:jc w:val="left"/>
        <w:outlineLvl w:val="1"/>
        <w:rPr>
          <w:rFonts w:hint="default" w:ascii="宋体" w:hAnsi="宋体" w:eastAsia="宋体" w:cs="宋体"/>
          <w:b/>
          <w:bCs w:val="0"/>
          <w:sz w:val="24"/>
          <w:szCs w:val="24"/>
          <w:highlight w:val="none"/>
          <w:lang w:val="en-US" w:eastAsia="zh-CN"/>
        </w:rPr>
      </w:pPr>
      <w:bookmarkStart w:id="100" w:name="_Toc17713"/>
      <w:bookmarkStart w:id="101" w:name="_Toc17368"/>
      <w:bookmarkStart w:id="102" w:name="_Toc18073"/>
      <w:r>
        <w:rPr>
          <w:rFonts w:hint="eastAsia" w:ascii="宋体" w:hAnsi="宋体" w:eastAsia="宋体" w:cs="宋体"/>
          <w:b/>
          <w:bCs w:val="0"/>
          <w:sz w:val="24"/>
          <w:szCs w:val="24"/>
          <w:highlight w:val="none"/>
          <w:lang w:val="en-US" w:eastAsia="zh-CN"/>
        </w:rPr>
        <w:t>（二）</w:t>
      </w:r>
      <w:bookmarkEnd w:id="100"/>
      <w:r>
        <w:rPr>
          <w:rFonts w:hint="eastAsia" w:ascii="宋体" w:hAnsi="宋体" w:eastAsia="宋体" w:cs="宋体"/>
          <w:b/>
          <w:bCs w:val="0"/>
          <w:sz w:val="24"/>
          <w:szCs w:val="24"/>
          <w:highlight w:val="none"/>
          <w:lang w:val="en-US" w:eastAsia="zh-CN"/>
        </w:rPr>
        <w:t>补贴资金拨付：</w:t>
      </w:r>
      <w:bookmarkEnd w:id="101"/>
      <w:bookmarkEnd w:id="102"/>
      <w:r>
        <w:rPr>
          <w:rFonts w:hint="eastAsia" w:ascii="宋体" w:hAnsi="宋体" w:cs="宋体"/>
          <w:b/>
          <w:bCs w:val="0"/>
          <w:sz w:val="24"/>
          <w:szCs w:val="24"/>
          <w:highlight w:val="none"/>
          <w:lang w:val="en-US" w:eastAsia="zh-CN"/>
        </w:rPr>
        <w:t>存在合规性瑕疵</w:t>
      </w:r>
    </w:p>
    <w:p w14:paraId="01FCEBB1">
      <w:pPr>
        <w:numPr>
          <w:ilvl w:val="0"/>
          <w:numId w:val="0"/>
        </w:num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项目向207名享受家电以旧换新政策的消费者支付补贴时，实际补贴金额较政策规定的应补贴金额超标准支付0.5元/人</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经核实，该问题的直接原因为国家平台系统仅支持整数金额拨付的技术设定。属于系统规则引发的操作偏差，而非人为违规，但仍存在补贴资金拨付未完全贴合政策标准的合规性瑕疵。</w:t>
      </w:r>
    </w:p>
    <w:p w14:paraId="11EA1A60">
      <w:pPr>
        <w:numPr>
          <w:ilvl w:val="0"/>
          <w:numId w:val="0"/>
        </w:numPr>
        <w:spacing w:line="560" w:lineRule="exact"/>
        <w:ind w:leftChars="200"/>
        <w:jc w:val="left"/>
        <w:outlineLvl w:val="1"/>
        <w:rPr>
          <w:rFonts w:hint="eastAsia" w:ascii="宋体" w:hAnsi="宋体" w:eastAsia="宋体" w:cs="宋体"/>
          <w:b/>
          <w:bCs w:val="0"/>
          <w:sz w:val="24"/>
          <w:szCs w:val="24"/>
          <w:lang w:val="en-US" w:eastAsia="zh-CN"/>
        </w:rPr>
      </w:pPr>
      <w:bookmarkStart w:id="103" w:name="_Toc17009"/>
      <w:bookmarkStart w:id="104" w:name="_Toc32383"/>
      <w:r>
        <w:rPr>
          <w:rFonts w:hint="eastAsia" w:ascii="宋体" w:hAnsi="宋体" w:cs="宋体"/>
          <w:b/>
          <w:bCs w:val="0"/>
          <w:sz w:val="24"/>
          <w:szCs w:val="24"/>
          <w:lang w:val="en-US" w:eastAsia="zh-CN"/>
        </w:rPr>
        <w:t>（三）</w:t>
      </w:r>
      <w:r>
        <w:rPr>
          <w:rFonts w:hint="eastAsia" w:ascii="宋体" w:hAnsi="宋体" w:eastAsia="宋体" w:cs="宋体"/>
          <w:b/>
          <w:bCs w:val="0"/>
          <w:sz w:val="24"/>
          <w:szCs w:val="24"/>
          <w:lang w:val="en-US" w:eastAsia="zh-CN"/>
        </w:rPr>
        <w:t>补贴信息未公示公开：违背资金使用透明化要求</w:t>
      </w:r>
      <w:bookmarkEnd w:id="103"/>
      <w:bookmarkEnd w:id="104"/>
    </w:p>
    <w:p w14:paraId="5D3DC876">
      <w:pPr>
        <w:numPr>
          <w:ilvl w:val="0"/>
          <w:numId w:val="0"/>
        </w:numPr>
        <w:spacing w:line="560" w:lineRule="exact"/>
        <w:ind w:firstLine="480" w:firstLineChars="200"/>
        <w:jc w:val="left"/>
        <w:rPr>
          <w:rFonts w:hint="eastAsia" w:ascii="宋体" w:hAnsi="宋体" w:cs="宋体"/>
          <w:bCs/>
          <w:sz w:val="24"/>
          <w:szCs w:val="24"/>
          <w:lang w:val="en-US" w:eastAsia="zh-CN"/>
        </w:rPr>
      </w:pPr>
      <w:r>
        <w:rPr>
          <w:rFonts w:hint="eastAsia" w:ascii="宋体" w:hAnsi="宋体" w:eastAsia="宋体" w:cs="宋体"/>
          <w:bCs/>
          <w:sz w:val="24"/>
          <w:szCs w:val="24"/>
          <w:lang w:val="en-US" w:eastAsia="zh-CN"/>
        </w:rPr>
        <w:t>项目未对享受家电以旧换新补贴的消费者信息进行公示公开，导致资金使用的公开性、可监督性不足</w:t>
      </w:r>
      <w:r>
        <w:rPr>
          <w:rFonts w:hint="eastAsia" w:ascii="宋体" w:hAnsi="宋体" w:cs="宋体"/>
          <w:bCs/>
          <w:sz w:val="24"/>
          <w:szCs w:val="24"/>
          <w:lang w:val="en-US" w:eastAsia="zh-CN"/>
        </w:rPr>
        <w:t>。</w:t>
      </w:r>
    </w:p>
    <w:p w14:paraId="299196F9">
      <w:pPr>
        <w:numPr>
          <w:ilvl w:val="0"/>
          <w:numId w:val="0"/>
        </w:numPr>
        <w:spacing w:line="560" w:lineRule="exact"/>
        <w:ind w:leftChars="200"/>
        <w:jc w:val="left"/>
        <w:outlineLvl w:val="1"/>
        <w:rPr>
          <w:rFonts w:hint="default" w:ascii="宋体" w:hAnsi="宋体" w:eastAsia="宋体" w:cs="宋体"/>
          <w:b/>
          <w:bCs w:val="0"/>
          <w:sz w:val="24"/>
          <w:szCs w:val="24"/>
          <w:highlight w:val="none"/>
          <w:lang w:val="en-US" w:eastAsia="zh-CN"/>
        </w:rPr>
      </w:pPr>
      <w:bookmarkStart w:id="105" w:name="_Toc28884"/>
      <w:bookmarkStart w:id="106" w:name="_Toc30824"/>
      <w:r>
        <w:rPr>
          <w:rFonts w:hint="eastAsia" w:ascii="宋体" w:hAnsi="宋体" w:cs="宋体"/>
          <w:b/>
          <w:bCs w:val="0"/>
          <w:sz w:val="24"/>
          <w:szCs w:val="24"/>
          <w:highlight w:val="none"/>
          <w:lang w:val="en-US" w:eastAsia="zh-CN"/>
        </w:rPr>
        <w:t>（四）</w:t>
      </w:r>
      <w:r>
        <w:rPr>
          <w:rFonts w:hint="eastAsia" w:ascii="宋体" w:hAnsi="宋体" w:eastAsia="宋体" w:cs="宋体"/>
          <w:b/>
          <w:bCs w:val="0"/>
          <w:sz w:val="24"/>
          <w:szCs w:val="24"/>
          <w:highlight w:val="none"/>
          <w:lang w:val="en-US" w:eastAsia="zh-CN"/>
        </w:rPr>
        <w:t>销售主体</w:t>
      </w:r>
      <w:bookmarkEnd w:id="105"/>
      <w:bookmarkEnd w:id="106"/>
      <w:r>
        <w:rPr>
          <w:rFonts w:hint="eastAsia" w:ascii="宋体" w:hAnsi="宋体" w:eastAsia="宋体" w:cs="宋体"/>
          <w:b/>
          <w:bCs w:val="0"/>
          <w:sz w:val="24"/>
          <w:szCs w:val="24"/>
          <w:highlight w:val="none"/>
          <w:lang w:val="en-US" w:eastAsia="zh-CN"/>
        </w:rPr>
        <w:t>曾</w:t>
      </w:r>
      <w:r>
        <w:rPr>
          <w:rFonts w:hint="eastAsia" w:ascii="宋体" w:hAnsi="宋体" w:cs="宋体"/>
          <w:b/>
          <w:bCs w:val="0"/>
          <w:sz w:val="24"/>
          <w:szCs w:val="24"/>
          <w:highlight w:val="none"/>
          <w:lang w:val="en-US" w:eastAsia="zh-CN"/>
        </w:rPr>
        <w:t>受到</w:t>
      </w:r>
      <w:r>
        <w:rPr>
          <w:rFonts w:hint="eastAsia" w:ascii="宋体" w:hAnsi="宋体" w:eastAsia="宋体" w:cs="宋体"/>
          <w:b/>
          <w:bCs w:val="0"/>
          <w:sz w:val="24"/>
          <w:szCs w:val="24"/>
          <w:highlight w:val="none"/>
          <w:lang w:val="en-US" w:eastAsia="zh-CN"/>
        </w:rPr>
        <w:t>行政处罚</w:t>
      </w:r>
      <w:r>
        <w:rPr>
          <w:rFonts w:hint="eastAsia" w:ascii="宋体" w:hAnsi="宋体" w:cs="宋体"/>
          <w:b/>
          <w:bCs w:val="0"/>
          <w:sz w:val="24"/>
          <w:szCs w:val="24"/>
          <w:highlight w:val="none"/>
          <w:lang w:val="en-US" w:eastAsia="zh-CN"/>
        </w:rPr>
        <w:t>，存在风险隐患</w:t>
      </w:r>
    </w:p>
    <w:p w14:paraId="564A4EB9">
      <w:pPr>
        <w:numPr>
          <w:ilvl w:val="0"/>
          <w:numId w:val="0"/>
        </w:numPr>
        <w:spacing w:line="560" w:lineRule="exact"/>
        <w:ind w:firstLine="480" w:firstLineChars="200"/>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项目在电动自行车以旧换新补贴中的销售主体中，存在违规记录的企业。销售主体为攀枝花市仁和区绿林车行，该企业于2024年5月30日被攀枝花市仁和区市场监督管理局处罚，存在其他违法行为。虽符合《川商资流〔2024〕17号》文件中对销售主体的满足要求，但为项目后续的服务质量、合规性落实埋下了风险隐患。</w:t>
      </w:r>
    </w:p>
    <w:p w14:paraId="346F9626">
      <w:pPr>
        <w:spacing w:line="560" w:lineRule="exact"/>
        <w:ind w:firstLine="482" w:firstLineChars="200"/>
        <w:jc w:val="left"/>
        <w:outlineLvl w:val="0"/>
        <w:rPr>
          <w:rFonts w:hint="default" w:ascii="宋体" w:hAnsi="宋体" w:eastAsia="宋体" w:cs="宋体"/>
          <w:b/>
          <w:bCs w:val="0"/>
          <w:sz w:val="24"/>
          <w:szCs w:val="24"/>
          <w:lang w:val="en-US" w:eastAsia="zh-CN"/>
        </w:rPr>
      </w:pPr>
      <w:bookmarkStart w:id="107" w:name="_Toc12137"/>
      <w:bookmarkStart w:id="108" w:name="_Toc4874"/>
      <w:bookmarkStart w:id="109" w:name="_Toc17274"/>
      <w:r>
        <w:rPr>
          <w:rFonts w:hint="default" w:ascii="宋体" w:hAnsi="宋体" w:eastAsia="宋体" w:cs="宋体"/>
          <w:b/>
          <w:bCs w:val="0"/>
          <w:sz w:val="24"/>
          <w:szCs w:val="24"/>
          <w:lang w:val="en-US" w:eastAsia="zh-CN"/>
        </w:rPr>
        <w:t>六、相关建议</w:t>
      </w:r>
      <w:bookmarkEnd w:id="107"/>
      <w:bookmarkEnd w:id="108"/>
      <w:bookmarkEnd w:id="109"/>
    </w:p>
    <w:p w14:paraId="2A22F097">
      <w:pPr>
        <w:numPr>
          <w:ilvl w:val="0"/>
          <w:numId w:val="0"/>
        </w:numPr>
        <w:spacing w:line="560" w:lineRule="exact"/>
        <w:ind w:left="0" w:leftChars="0" w:firstLine="482" w:firstLineChars="200"/>
        <w:jc w:val="left"/>
        <w:outlineLvl w:val="1"/>
        <w:rPr>
          <w:rFonts w:hint="default" w:ascii="宋体" w:hAnsi="宋体" w:eastAsia="宋体" w:cs="宋体"/>
          <w:b/>
          <w:bCs w:val="0"/>
          <w:sz w:val="24"/>
          <w:szCs w:val="24"/>
          <w:lang w:val="en-US" w:eastAsia="zh-CN"/>
        </w:rPr>
      </w:pPr>
      <w:bookmarkStart w:id="110" w:name="_Toc24720"/>
      <w:bookmarkStart w:id="111" w:name="_Toc15674"/>
      <w:bookmarkStart w:id="112" w:name="_Toc18087"/>
      <w:r>
        <w:rPr>
          <w:rFonts w:hint="eastAsia" w:ascii="宋体" w:hAnsi="宋体" w:eastAsia="宋体" w:cs="宋体"/>
          <w:b/>
          <w:bCs w:val="0"/>
          <w:sz w:val="24"/>
          <w:szCs w:val="24"/>
          <w:lang w:val="en-US" w:eastAsia="zh-CN"/>
        </w:rPr>
        <w:t>（一）</w:t>
      </w:r>
      <w:bookmarkEnd w:id="110"/>
      <w:r>
        <w:rPr>
          <w:rFonts w:hint="eastAsia" w:ascii="宋体" w:hAnsi="宋体" w:eastAsia="宋体" w:cs="宋体"/>
          <w:b/>
          <w:bCs w:val="0"/>
          <w:sz w:val="24"/>
          <w:szCs w:val="24"/>
          <w:lang w:val="en-US" w:eastAsia="zh-CN"/>
        </w:rPr>
        <w:t>精准动员扩面，提升企业参与覆盖度</w:t>
      </w:r>
      <w:bookmarkEnd w:id="111"/>
      <w:bookmarkEnd w:id="112"/>
    </w:p>
    <w:p w14:paraId="0407E7B7">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针对多品类销售企业参与不足的问题，一是结合攀枝花市仁和区中小微销售企业集中的实际，开展“政策进企”精准宣贯通过行业协会定向推送以旧换新参与权益，明确企业参与后的客源引流、政策背书等利好，提升汽车、电动自行车销售企业的参与意愿；二是适度优化企业参与目标，结合区域市场主体实际规模调整数量指标，增强目标的合理性与可实现性；三是为参与企业配套宣传资源支持（如政务平台同步推广企业活动），降低企业参与的宣传成本，进一步扩大活动的市场覆盖广度</w:t>
      </w:r>
      <w:r>
        <w:rPr>
          <w:rFonts w:hint="eastAsia" w:ascii="宋体" w:hAnsi="宋体" w:cs="宋体"/>
          <w:bCs/>
          <w:sz w:val="24"/>
          <w:szCs w:val="24"/>
          <w:lang w:val="en-US" w:eastAsia="zh-CN"/>
        </w:rPr>
        <w:t>。</w:t>
      </w:r>
    </w:p>
    <w:p w14:paraId="51FFE19A">
      <w:pPr>
        <w:numPr>
          <w:ilvl w:val="0"/>
          <w:numId w:val="9"/>
        </w:numPr>
        <w:spacing w:line="560" w:lineRule="exact"/>
        <w:ind w:firstLine="482" w:firstLineChars="200"/>
        <w:jc w:val="left"/>
        <w:outlineLvl w:val="1"/>
        <w:rPr>
          <w:rFonts w:hint="default" w:ascii="宋体" w:hAnsi="宋体" w:eastAsia="宋体" w:cs="宋体"/>
          <w:b/>
          <w:bCs w:val="0"/>
          <w:sz w:val="24"/>
          <w:szCs w:val="24"/>
          <w:lang w:val="en-US" w:eastAsia="zh-CN"/>
        </w:rPr>
      </w:pPr>
      <w:bookmarkStart w:id="113" w:name="_Toc7309"/>
      <w:bookmarkStart w:id="114" w:name="_Toc22644"/>
      <w:r>
        <w:rPr>
          <w:rFonts w:hint="eastAsia" w:ascii="宋体" w:hAnsi="宋体" w:eastAsia="宋体" w:cs="宋体"/>
          <w:b/>
          <w:bCs w:val="0"/>
          <w:sz w:val="24"/>
          <w:szCs w:val="24"/>
          <w:lang w:val="en-US" w:eastAsia="zh-CN"/>
        </w:rPr>
        <w:t>落实信息公开制度，提升资金使用透明度</w:t>
      </w:r>
      <w:bookmarkEnd w:id="113"/>
      <w:bookmarkEnd w:id="114"/>
    </w:p>
    <w:p w14:paraId="1CD95A4D">
      <w:pPr>
        <w:spacing w:line="560" w:lineRule="exact"/>
        <w:ind w:firstLine="480" w:firstLineChars="200"/>
        <w:jc w:val="left"/>
        <w:rPr>
          <w:rFonts w:hint="eastAsia" w:ascii="宋体" w:hAnsi="宋体" w:cs="宋体"/>
          <w:bCs/>
          <w:sz w:val="24"/>
          <w:szCs w:val="24"/>
          <w:lang w:val="en-US" w:eastAsia="zh-CN"/>
        </w:rPr>
      </w:pPr>
      <w:r>
        <w:rPr>
          <w:rFonts w:hint="default" w:ascii="宋体" w:hAnsi="宋体" w:eastAsia="宋体" w:cs="宋体"/>
          <w:bCs/>
          <w:sz w:val="24"/>
          <w:szCs w:val="24"/>
          <w:lang w:val="en-US" w:eastAsia="zh-CN"/>
        </w:rPr>
        <w:t>针对补贴信息未公示的问题，明确补贴信息</w:t>
      </w:r>
      <w:r>
        <w:rPr>
          <w:rFonts w:hint="eastAsia" w:ascii="宋体" w:hAnsi="宋体" w:cs="宋体"/>
          <w:bCs/>
          <w:sz w:val="24"/>
          <w:szCs w:val="24"/>
          <w:lang w:val="en-US" w:eastAsia="zh-CN"/>
        </w:rPr>
        <w:t>，</w:t>
      </w:r>
      <w:r>
        <w:rPr>
          <w:rFonts w:hint="default" w:ascii="宋体" w:hAnsi="宋体" w:eastAsia="宋体" w:cs="宋体"/>
          <w:bCs/>
          <w:sz w:val="24"/>
          <w:szCs w:val="24"/>
          <w:lang w:val="en-US" w:eastAsia="zh-CN"/>
        </w:rPr>
        <w:t>公开规范在政务网站、社区公告栏等渠道，公示享受补贴的消费者姓名、新家电品类、补贴金额等内容（隐去隐私信息）</w:t>
      </w:r>
      <w:r>
        <w:rPr>
          <w:rFonts w:hint="eastAsia" w:ascii="宋体" w:hAnsi="宋体" w:cs="宋体"/>
          <w:bCs/>
          <w:sz w:val="24"/>
          <w:szCs w:val="24"/>
          <w:lang w:val="en-US" w:eastAsia="zh-CN"/>
        </w:rPr>
        <w:t>，</w:t>
      </w:r>
      <w:r>
        <w:rPr>
          <w:rFonts w:hint="default" w:ascii="宋体" w:hAnsi="宋体" w:eastAsia="宋体" w:cs="宋体"/>
          <w:bCs/>
          <w:sz w:val="24"/>
          <w:szCs w:val="24"/>
          <w:lang w:val="en-US" w:eastAsia="zh-CN"/>
        </w:rPr>
        <w:t>接受社会公众对补贴信息的监督，保障资金使用的公开性与可追溯性</w:t>
      </w:r>
      <w:r>
        <w:rPr>
          <w:rFonts w:hint="eastAsia" w:ascii="宋体" w:hAnsi="宋体" w:cs="宋体"/>
          <w:bCs/>
          <w:sz w:val="24"/>
          <w:szCs w:val="24"/>
          <w:lang w:val="en-US" w:eastAsia="zh-CN"/>
        </w:rPr>
        <w:t>。</w:t>
      </w:r>
    </w:p>
    <w:p w14:paraId="59E64C3A">
      <w:pPr>
        <w:numPr>
          <w:ilvl w:val="0"/>
          <w:numId w:val="9"/>
        </w:numPr>
        <w:spacing w:line="560" w:lineRule="exact"/>
        <w:ind w:firstLine="482" w:firstLineChars="200"/>
        <w:jc w:val="left"/>
        <w:outlineLvl w:val="1"/>
        <w:rPr>
          <w:rFonts w:hint="default" w:ascii="宋体" w:hAnsi="宋体" w:eastAsia="宋体" w:cs="宋体"/>
          <w:b/>
          <w:bCs w:val="0"/>
          <w:sz w:val="24"/>
          <w:szCs w:val="24"/>
          <w:highlight w:val="none"/>
          <w:lang w:val="en-US" w:eastAsia="zh-CN"/>
        </w:rPr>
      </w:pPr>
      <w:bookmarkStart w:id="115" w:name="_Toc26790"/>
      <w:bookmarkStart w:id="116" w:name="_Toc31488"/>
      <w:r>
        <w:rPr>
          <w:rFonts w:hint="default" w:ascii="宋体" w:hAnsi="宋体" w:eastAsia="宋体" w:cs="宋体"/>
          <w:b/>
          <w:bCs w:val="0"/>
          <w:sz w:val="24"/>
          <w:szCs w:val="24"/>
          <w:highlight w:val="none"/>
          <w:lang w:val="en-US" w:eastAsia="zh-CN"/>
        </w:rPr>
        <w:t>建立动态信用监管机制，筑牢合规门槛</w:t>
      </w:r>
      <w:bookmarkEnd w:id="115"/>
      <w:bookmarkEnd w:id="116"/>
    </w:p>
    <w:p w14:paraId="096FCA2E">
      <w:pPr>
        <w:spacing w:line="560" w:lineRule="exact"/>
        <w:ind w:firstLine="480" w:firstLineChars="200"/>
        <w:jc w:val="left"/>
        <w:rPr>
          <w:rFonts w:hint="default" w:ascii="宋体" w:hAnsi="宋体" w:cs="宋体"/>
          <w:bCs/>
          <w:sz w:val="24"/>
          <w:szCs w:val="24"/>
          <w:highlight w:val="none"/>
          <w:lang w:val="en-US" w:eastAsia="zh-CN"/>
        </w:rPr>
      </w:pPr>
      <w:r>
        <w:rPr>
          <w:rFonts w:hint="default" w:ascii="宋体" w:hAnsi="宋体" w:eastAsia="宋体" w:cs="宋体"/>
          <w:bCs/>
          <w:sz w:val="24"/>
          <w:szCs w:val="24"/>
          <w:highlight w:val="none"/>
          <w:lang w:val="en-US" w:eastAsia="zh-CN"/>
        </w:rPr>
        <w:t>联动市场监管等部门建立销售主体信用信息共享渠道，对已入选的主体实施定期核查+动态监测（如每季度复核经营合规性）。一旦发现新增违规行为，立即暂停其项目参与资格，待整改验证通过后再恢复，避免风险持续积累。</w:t>
      </w:r>
    </w:p>
    <w:p w14:paraId="2C7234B6">
      <w:pPr>
        <w:spacing w:line="560" w:lineRule="exact"/>
        <w:ind w:firstLine="480" w:firstLineChars="200"/>
        <w:jc w:val="left"/>
        <w:outlineLvl w:val="9"/>
        <w:rPr>
          <w:rFonts w:hint="default" w:ascii="宋体" w:hAnsi="宋体" w:eastAsia="宋体" w:cs="宋体"/>
          <w:bCs/>
          <w:sz w:val="24"/>
          <w:szCs w:val="24"/>
          <w:lang w:val="en-US" w:eastAsia="zh-CN"/>
        </w:rPr>
      </w:pPr>
      <w:bookmarkStart w:id="117" w:name="_Toc1683"/>
      <w:bookmarkStart w:id="118" w:name="_Toc4066"/>
    </w:p>
    <w:p w14:paraId="352FE6F4">
      <w:pPr>
        <w:spacing w:line="560" w:lineRule="exact"/>
        <w:ind w:firstLine="480" w:firstLineChars="200"/>
        <w:jc w:val="left"/>
        <w:outlineLvl w:val="9"/>
        <w:rPr>
          <w:rFonts w:hint="default" w:ascii="宋体" w:hAnsi="宋体" w:eastAsia="宋体" w:cs="宋体"/>
          <w:bCs/>
          <w:sz w:val="24"/>
          <w:szCs w:val="24"/>
          <w:lang w:val="en-US" w:eastAsia="zh-CN"/>
        </w:rPr>
      </w:pPr>
    </w:p>
    <w:p w14:paraId="2C6245F1">
      <w:pPr>
        <w:spacing w:line="560" w:lineRule="exact"/>
        <w:ind w:firstLine="480" w:firstLineChars="200"/>
        <w:jc w:val="left"/>
        <w:outlineLvl w:val="0"/>
        <w:rPr>
          <w:rFonts w:hint="default" w:ascii="宋体" w:hAnsi="宋体" w:eastAsia="宋体" w:cs="宋体"/>
          <w:bCs/>
          <w:sz w:val="24"/>
          <w:szCs w:val="24"/>
          <w:lang w:val="en-US" w:eastAsia="zh-CN"/>
        </w:rPr>
      </w:pPr>
      <w:bookmarkStart w:id="119" w:name="_Toc6465"/>
      <w:r>
        <w:rPr>
          <w:rFonts w:hint="default" w:ascii="宋体" w:hAnsi="宋体" w:eastAsia="宋体" w:cs="宋体"/>
          <w:bCs/>
          <w:sz w:val="24"/>
          <w:szCs w:val="24"/>
          <w:lang w:val="en-US" w:eastAsia="zh-CN"/>
        </w:rPr>
        <w:t>附件1:</w:t>
      </w:r>
      <w:bookmarkEnd w:id="117"/>
      <w:r>
        <w:rPr>
          <w:rFonts w:hint="default" w:ascii="宋体" w:hAnsi="宋体" w:eastAsia="宋体" w:cs="宋体"/>
          <w:bCs/>
          <w:sz w:val="24"/>
          <w:szCs w:val="24"/>
          <w:lang w:val="en-US" w:eastAsia="zh-CN"/>
        </w:rPr>
        <w:t>消费品以旧换新项目支出绩效评价指标体系</w:t>
      </w:r>
      <w:bookmarkEnd w:id="118"/>
      <w:bookmarkEnd w:id="119"/>
    </w:p>
    <w:p w14:paraId="09AFD14E">
      <w:pPr>
        <w:spacing w:line="560" w:lineRule="exact"/>
        <w:ind w:firstLine="480" w:firstLineChars="200"/>
        <w:jc w:val="right"/>
        <w:rPr>
          <w:rFonts w:hint="default" w:ascii="宋体" w:hAnsi="宋体" w:eastAsia="宋体" w:cs="宋体"/>
          <w:bCs/>
          <w:sz w:val="24"/>
          <w:szCs w:val="24"/>
          <w:lang w:val="en-US" w:eastAsia="zh-CN"/>
        </w:rPr>
      </w:pPr>
    </w:p>
    <w:p w14:paraId="3E6788C0">
      <w:pPr>
        <w:spacing w:line="560" w:lineRule="exact"/>
        <w:ind w:firstLine="480" w:firstLineChars="200"/>
        <w:jc w:val="right"/>
        <w:rPr>
          <w:rFonts w:hint="default" w:ascii="宋体" w:hAnsi="宋体" w:eastAsia="宋体" w:cs="宋体"/>
          <w:bCs/>
          <w:sz w:val="24"/>
          <w:szCs w:val="24"/>
          <w:lang w:val="en-US" w:eastAsia="zh-CN"/>
        </w:rPr>
      </w:pPr>
    </w:p>
    <w:p w14:paraId="0A767D28">
      <w:pPr>
        <w:spacing w:line="560" w:lineRule="exact"/>
        <w:ind w:firstLine="480" w:firstLineChars="200"/>
        <w:jc w:val="right"/>
        <w:rPr>
          <w:rFonts w:hint="default" w:ascii="宋体" w:hAnsi="宋体" w:eastAsia="宋体" w:cs="宋体"/>
          <w:bCs/>
          <w:sz w:val="24"/>
          <w:szCs w:val="24"/>
          <w:lang w:val="en-US" w:eastAsia="zh-CN"/>
        </w:rPr>
      </w:pPr>
    </w:p>
    <w:p w14:paraId="4B47531E">
      <w:pPr>
        <w:spacing w:line="560" w:lineRule="exact"/>
        <w:ind w:firstLine="480" w:firstLineChars="200"/>
        <w:jc w:val="right"/>
        <w:rPr>
          <w:rFonts w:hint="default" w:ascii="宋体" w:hAnsi="宋体" w:eastAsia="宋体" w:cs="宋体"/>
          <w:bCs/>
          <w:sz w:val="24"/>
          <w:szCs w:val="24"/>
          <w:lang w:val="en-US" w:eastAsia="zh-CN"/>
        </w:rPr>
      </w:pPr>
    </w:p>
    <w:p w14:paraId="74C5BEC6">
      <w:pPr>
        <w:spacing w:line="560" w:lineRule="exact"/>
        <w:ind w:firstLine="480" w:firstLineChars="200"/>
        <w:jc w:val="right"/>
        <w:rPr>
          <w:rFonts w:hint="default" w:ascii="宋体" w:hAnsi="宋体" w:eastAsia="宋体" w:cs="宋体"/>
          <w:bCs/>
          <w:sz w:val="24"/>
          <w:szCs w:val="24"/>
          <w:lang w:val="en-US" w:eastAsia="zh-CN"/>
        </w:rPr>
      </w:pPr>
    </w:p>
    <w:p w14:paraId="79DE94F2">
      <w:pPr>
        <w:spacing w:line="560" w:lineRule="exact"/>
        <w:ind w:firstLine="480" w:firstLineChars="200"/>
        <w:jc w:val="righ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四川璟合企业管理咨询有限公司</w:t>
      </w:r>
    </w:p>
    <w:p w14:paraId="29893AA9">
      <w:pPr>
        <w:spacing w:line="560" w:lineRule="exact"/>
        <w:ind w:firstLine="480" w:firstLineChars="200"/>
        <w:jc w:val="right"/>
        <w:rPr>
          <w:rFonts w:hint="default" w:ascii="宋体" w:hAnsi="宋体" w:eastAsia="宋体" w:cs="宋体"/>
          <w:bCs/>
          <w:sz w:val="24"/>
          <w:szCs w:val="24"/>
          <w:lang w:val="en-US" w:eastAsia="zh-CN"/>
        </w:rPr>
      </w:pPr>
      <w:r>
        <w:rPr>
          <w:rFonts w:hint="eastAsia" w:ascii="宋体" w:hAnsi="宋体" w:cs="宋体"/>
          <w:bCs/>
          <w:sz w:val="24"/>
          <w:szCs w:val="24"/>
          <w:lang w:val="en-US" w:eastAsia="zh-CN"/>
        </w:rPr>
        <w:t>二○二</w:t>
      </w:r>
      <w:r>
        <w:rPr>
          <w:rFonts w:hint="eastAsia" w:ascii="宋体" w:hAnsi="宋体" w:eastAsia="宋体" w:cs="宋体"/>
          <w:bCs/>
          <w:sz w:val="24"/>
          <w:szCs w:val="24"/>
          <w:lang w:val="en-US" w:eastAsia="zh-CN"/>
        </w:rPr>
        <w:t>五年十</w:t>
      </w:r>
      <w:r>
        <w:rPr>
          <w:rFonts w:hint="eastAsia" w:ascii="宋体" w:hAnsi="宋体" w:cs="宋体"/>
          <w:bCs/>
          <w:sz w:val="24"/>
          <w:szCs w:val="24"/>
          <w:lang w:val="en-US" w:eastAsia="zh-CN"/>
        </w:rPr>
        <w:t>二</w:t>
      </w:r>
      <w:r>
        <w:rPr>
          <w:rFonts w:hint="eastAsia" w:ascii="宋体" w:hAnsi="宋体" w:eastAsia="宋体" w:cs="宋体"/>
          <w:bCs/>
          <w:sz w:val="24"/>
          <w:szCs w:val="24"/>
          <w:lang w:val="en-US" w:eastAsia="zh-CN"/>
        </w:rPr>
        <w:t>月</w:t>
      </w:r>
      <w:r>
        <w:rPr>
          <w:rFonts w:hint="eastAsia" w:ascii="宋体" w:hAnsi="宋体" w:cs="宋体"/>
          <w:bCs/>
          <w:sz w:val="24"/>
          <w:szCs w:val="24"/>
          <w:lang w:val="en-US" w:eastAsia="zh-CN"/>
        </w:rPr>
        <w:t>三</w:t>
      </w:r>
      <w:r>
        <w:rPr>
          <w:rFonts w:hint="eastAsia" w:ascii="宋体" w:hAnsi="宋体" w:eastAsia="宋体" w:cs="宋体"/>
          <w:bCs/>
          <w:sz w:val="24"/>
          <w:szCs w:val="24"/>
          <w:lang w:val="en-US" w:eastAsia="zh-CN"/>
        </w:rPr>
        <w:t>日</w:t>
      </w:r>
    </w:p>
    <w:p w14:paraId="4ACA17FE"/>
    <w:sectPr>
      <w:footerReference r:id="rId11"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A5BCF">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A1B5C">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8C1A7">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4FD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72F8BD">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272F8B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4DA72">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C4124">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440837">
                          <w:pPr>
                            <w:pStyle w:val="6"/>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2440837">
                    <w:pPr>
                      <w:pStyle w:val="6"/>
                    </w:pPr>
                    <w:r>
                      <w:fldChar w:fldCharType="begin"/>
                    </w:r>
                    <w:r>
                      <w:instrText xml:space="preserve"> PAGE  \* MERGEFORMAT </w:instrText>
                    </w:r>
                    <w:r>
                      <w:fldChar w:fldCharType="separate"/>
                    </w:r>
                    <w:r>
                      <w:t>V</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8124A">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4ECB">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0B3BF">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BD80D"/>
    <w:multiLevelType w:val="singleLevel"/>
    <w:tmpl w:val="956BD80D"/>
    <w:lvl w:ilvl="0" w:tentative="0">
      <w:start w:val="2"/>
      <w:numFmt w:val="decimal"/>
      <w:suff w:val="nothing"/>
      <w:lvlText w:val="（%1）"/>
      <w:lvlJc w:val="left"/>
    </w:lvl>
  </w:abstractNum>
  <w:abstractNum w:abstractNumId="1">
    <w:nsid w:val="9ED7D491"/>
    <w:multiLevelType w:val="singleLevel"/>
    <w:tmpl w:val="9ED7D491"/>
    <w:lvl w:ilvl="0" w:tentative="0">
      <w:start w:val="3"/>
      <w:numFmt w:val="chineseCounting"/>
      <w:suff w:val="nothing"/>
      <w:lvlText w:val="%1、"/>
      <w:lvlJc w:val="left"/>
      <w:rPr>
        <w:rFonts w:hint="eastAsia"/>
      </w:rPr>
    </w:lvl>
  </w:abstractNum>
  <w:abstractNum w:abstractNumId="2">
    <w:nsid w:val="BA9B2409"/>
    <w:multiLevelType w:val="singleLevel"/>
    <w:tmpl w:val="BA9B2409"/>
    <w:lvl w:ilvl="0" w:tentative="0">
      <w:start w:val="1"/>
      <w:numFmt w:val="chineseCounting"/>
      <w:suff w:val="nothing"/>
      <w:lvlText w:val="（%1）"/>
      <w:lvlJc w:val="left"/>
      <w:rPr>
        <w:rFonts w:hint="eastAsia"/>
      </w:rPr>
    </w:lvl>
  </w:abstractNum>
  <w:abstractNum w:abstractNumId="3">
    <w:nsid w:val="F9BF44DC"/>
    <w:multiLevelType w:val="singleLevel"/>
    <w:tmpl w:val="F9BF44DC"/>
    <w:lvl w:ilvl="0" w:tentative="0">
      <w:start w:val="2"/>
      <w:numFmt w:val="chineseCounting"/>
      <w:suff w:val="nothing"/>
      <w:lvlText w:val="（%1）"/>
      <w:lvlJc w:val="left"/>
      <w:rPr>
        <w:rFonts w:hint="eastAsia"/>
      </w:rPr>
    </w:lvl>
  </w:abstractNum>
  <w:abstractNum w:abstractNumId="4">
    <w:nsid w:val="00A785A5"/>
    <w:multiLevelType w:val="singleLevel"/>
    <w:tmpl w:val="00A785A5"/>
    <w:lvl w:ilvl="0" w:tentative="0">
      <w:start w:val="1"/>
      <w:numFmt w:val="chineseCounting"/>
      <w:suff w:val="nothing"/>
      <w:lvlText w:val="（%1）"/>
      <w:lvlJc w:val="left"/>
      <w:rPr>
        <w:rFonts w:hint="eastAsia"/>
      </w:rPr>
    </w:lvl>
  </w:abstractNum>
  <w:abstractNum w:abstractNumId="5">
    <w:nsid w:val="2A53EA7C"/>
    <w:multiLevelType w:val="singleLevel"/>
    <w:tmpl w:val="2A53EA7C"/>
    <w:lvl w:ilvl="0" w:tentative="0">
      <w:start w:val="3"/>
      <w:numFmt w:val="chineseCounting"/>
      <w:suff w:val="nothing"/>
      <w:lvlText w:val="%1、"/>
      <w:lvlJc w:val="left"/>
      <w:rPr>
        <w:rFonts w:hint="eastAsia"/>
      </w:rPr>
    </w:lvl>
  </w:abstractNum>
  <w:abstractNum w:abstractNumId="6">
    <w:nsid w:val="2EB4C75B"/>
    <w:multiLevelType w:val="singleLevel"/>
    <w:tmpl w:val="2EB4C75B"/>
    <w:lvl w:ilvl="0" w:tentative="0">
      <w:start w:val="1"/>
      <w:numFmt w:val="decimal"/>
      <w:lvlText w:val="%1."/>
      <w:lvlJc w:val="left"/>
      <w:pPr>
        <w:tabs>
          <w:tab w:val="left" w:pos="312"/>
        </w:tabs>
      </w:pPr>
    </w:lvl>
  </w:abstractNum>
  <w:abstractNum w:abstractNumId="7">
    <w:nsid w:val="5F4291DE"/>
    <w:multiLevelType w:val="singleLevel"/>
    <w:tmpl w:val="5F4291DE"/>
    <w:lvl w:ilvl="0" w:tentative="0">
      <w:start w:val="2"/>
      <w:numFmt w:val="chineseCounting"/>
      <w:suff w:val="nothing"/>
      <w:lvlText w:val="（%1）"/>
      <w:lvlJc w:val="left"/>
      <w:rPr>
        <w:rFonts w:hint="eastAsia"/>
      </w:rPr>
    </w:lvl>
  </w:abstractNum>
  <w:abstractNum w:abstractNumId="8">
    <w:nsid w:val="6B249201"/>
    <w:multiLevelType w:val="singleLevel"/>
    <w:tmpl w:val="6B249201"/>
    <w:lvl w:ilvl="0" w:tentative="0">
      <w:start w:val="1"/>
      <w:numFmt w:val="chineseCounting"/>
      <w:suff w:val="nothing"/>
      <w:lvlText w:val="%1、"/>
      <w:lvlJc w:val="left"/>
      <w:rPr>
        <w:rFonts w:hint="eastAsia"/>
      </w:rPr>
    </w:lvl>
  </w:abstractNum>
  <w:num w:numId="1">
    <w:abstractNumId w:val="5"/>
  </w:num>
  <w:num w:numId="2">
    <w:abstractNumId w:val="2"/>
  </w:num>
  <w:num w:numId="3">
    <w:abstractNumId w:val="4"/>
  </w:num>
  <w:num w:numId="4">
    <w:abstractNumId w:val="8"/>
  </w:num>
  <w:num w:numId="5">
    <w:abstractNumId w:val="1"/>
  </w:num>
  <w:num w:numId="6">
    <w:abstractNumId w:val="0"/>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60394F"/>
    <w:rsid w:val="00250184"/>
    <w:rsid w:val="014F03DE"/>
    <w:rsid w:val="04B919B9"/>
    <w:rsid w:val="261D1483"/>
    <w:rsid w:val="2D0E2674"/>
    <w:rsid w:val="319F2D4D"/>
    <w:rsid w:val="41110EAD"/>
    <w:rsid w:val="49D00848"/>
    <w:rsid w:val="50D772DA"/>
    <w:rsid w:val="53984A99"/>
    <w:rsid w:val="553B63BC"/>
    <w:rsid w:val="59A87812"/>
    <w:rsid w:val="5A904F45"/>
    <w:rsid w:val="61510B13"/>
    <w:rsid w:val="61880082"/>
    <w:rsid w:val="64272795"/>
    <w:rsid w:val="6460394F"/>
    <w:rsid w:val="64D74801"/>
    <w:rsid w:val="71913464"/>
    <w:rsid w:val="7D147416"/>
    <w:rsid w:val="7D924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w:basedOn w:val="1"/>
    <w:qFormat/>
    <w:uiPriority w:val="0"/>
    <w:pPr>
      <w:ind w:left="200" w:hanging="200" w:hangingChars="200"/>
    </w:pPr>
  </w:style>
  <w:style w:type="paragraph" w:styleId="4">
    <w:name w:val="toc 3"/>
    <w:basedOn w:val="1"/>
    <w:next w:val="1"/>
    <w:qFormat/>
    <w:uiPriority w:val="0"/>
    <w:pPr>
      <w:ind w:left="840" w:leftChars="400"/>
    </w:pPr>
  </w:style>
  <w:style w:type="paragraph" w:styleId="5">
    <w:name w:val="Plain Text"/>
    <w:basedOn w:val="1"/>
    <w:unhideWhenUsed/>
    <w:qFormat/>
    <w:uiPriority w:val="99"/>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Body Text First Indent"/>
    <w:basedOn w:val="2"/>
    <w:next w:val="1"/>
    <w:unhideWhenUsed/>
    <w:qFormat/>
    <w:uiPriority w:val="99"/>
    <w:pPr>
      <w:ind w:firstLine="420" w:firstLineChars="100"/>
    </w:p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character" w:customStyle="1" w:styleId="15">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b0c1b078-7d00-458f-b780-2a6ba221afd5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611FE928</paraID>
      <start>14</start>
      <end>15</end>
      <status>ignored</status>
      <modifiedWord/>
      <trackRevisions>false</trackRevisions>
    </reviewItem>
    <reviewItem>
      <errorID>e47ed1b0-5055-4901-a383-d8a1ee01ce27</errorID>
      <errorWord>&lt;</errorWord>
      <group>L1_Format</group>
      <groupName>格式问题</groupName>
      <ability>L2_HalfPunc</ability>
      <abilityName>全半角检查</abilityName>
      <candidateList>
        <item>〈</item>
      </candidateList>
      <explain>文本全半角错误。</explain>
      <paraID>611FE928</paraID>
      <start>29</start>
      <end>30</end>
      <status>ignored</status>
      <modifiedWord/>
      <trackRevisions>false</trackRevisions>
    </reviewItem>
    <reviewItem>
      <errorID>e38c175b-127d-4853-8458-649ec7863586</errorID>
      <errorWord>&gt;</errorWord>
      <group>L1_Format</group>
      <groupName>格式问题</groupName>
      <ability>L2_HalfPunc</ability>
      <abilityName>全半角检查</abilityName>
      <candidateList>
        <item>〉</item>
      </candidateList>
      <explain>文本全半角错误。</explain>
      <paraID>611FE928</paraID>
      <start>59</start>
      <end>60</end>
      <status>ignored</status>
      <modifiedWord/>
      <trackRevisions>false</trackRevisions>
    </reviewItem>
    <reviewItem>
      <errorID>aa2732ea-87e1-45e5-9b3f-da23efd1b8ed</errorID>
      <errorWord>【2024】37号</errorWord>
      <group>L1_Knowledge</group>
      <groupName>知识性问题</groupName>
      <ability>L2_Knowledge</ability>
      <abilityName>其他知识</abilityName>
      <candidateList>
        <item>〔2024〕37号</item>
      </candidateList>
      <explain>发文字号格式错误。</explain>
      <paraID>611FE928</paraID>
      <start>67</start>
      <end>76</end>
      <status>modified</status>
      <modifiedWord>〔2024〕37号</modifiedWord>
      <trackRevisions>false</trackRevisions>
    </reviewItem>
    <reviewItem>
      <errorID>3527db76-e90a-4c71-b20e-fd587a7cb554</errorID>
      <errorWord>【2024】397号</errorWord>
      <group>L1_Knowledge</group>
      <groupName>知识性问题</groupName>
      <ability>L2_Knowledge</ability>
      <abilityName>其他知识</abilityName>
      <candidateList>
        <item>〔2024〕397号</item>
      </candidateList>
      <explain>发文字号格式错误。</explain>
      <paraID>611FE928</paraID>
      <start>104</start>
      <end>114</end>
      <status>modified</status>
      <modifiedWord>〔2024〕397号</modifiedWord>
      <trackRevisions>false</trackRevisions>
    </reviewItem>
    <reviewItem>
      <errorID>4f2973ba-900d-4526-ab50-efc3406d1ee4</errorID>
      <errorWord>达</errorWord>
      <group>L1_Word</group>
      <groupName>字词问题</groupName>
      <ability>L2_Typo</ability>
      <abilityName>字词错误</abilityName>
      <candidateList>
        <item>达到</item>
      </candidateList>
      <explain>〈动〉到（多指抽象事物或程度）：达得到｜达不到｜目的没有～｜～国际水平。</explain>
      <paraID>1C0E2923</paraID>
      <start>22</start>
      <end>24</end>
      <status>modified</status>
      <modifiedWord>达到</modifiedWord>
      <trackRevisions>false</trackRevisions>
    </reviewItem>
    <reviewItem>
      <errorID>d73e3744-e0a3-42e8-9fed-ce347189d363</errorID>
      <errorWord>(</errorWord>
      <group>L1_Format</group>
      <groupName>格式问题</groupName>
      <ability>L2_HalfPunc</ability>
      <abilityName>全半角检查</abilityName>
      <candidateList>
        <item>（</item>
      </candidateList>
      <explain>文本全半角错误。</explain>
      <paraID>31258F9F</paraID>
      <start>62</start>
      <end>63</end>
      <status>ignored</status>
      <modifiedWord/>
      <trackRevisions>false</trackRevisions>
    </reviewItem>
    <reviewItem>
      <errorID>d1e85359-e1e6-4c45-b96c-b98fa6094491</errorID>
      <errorWord>)</errorWord>
      <group>L1_Format</group>
      <groupName>格式问题</groupName>
      <ability>L2_HalfPunc</ability>
      <abilityName>全半角检查</abilityName>
      <candidateList>
        <item>）</item>
      </candidateList>
      <explain>文本全半角错误。</explain>
      <paraID>31258F9F</paraID>
      <start>76</start>
      <end>77</end>
      <status>ignored</status>
      <modifiedWord/>
      <trackRevisions>false</trackRevisions>
    </reviewItem>
    <reviewItem>
      <errorID>ac9d273c-6d9b-40a0-a987-216a265b7397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711A8CB6</paraID>
      <start>2</start>
      <end>3</end>
      <status>unmodified</status>
      <modifiedWord/>
      <trackRevisions>false</trackRevisions>
    </reviewItem>
    <reviewItem>
      <errorID>f9534da9-4e04-4d2a-bf12-7e3d7e1c38e7</errorID>
      <errorWord>&lt;</errorWord>
      <group>L1_Format</group>
      <groupName>格式问题</groupName>
      <ability>L2_HalfPunc</ability>
      <abilityName>全半角检查</abilityName>
      <candidateList>
        <item>〈</item>
      </candidateList>
      <explain>文本全半角错误。</explain>
      <paraID>711A8CB6</paraID>
      <start>17</start>
      <end>18</end>
      <status>unmodified</status>
      <modifiedWord/>
      <trackRevisions>false</trackRevisions>
    </reviewItem>
    <reviewItem>
      <errorID>7b7df2cb-d670-4148-97c2-1218d335e902</errorID>
      <errorWord>&gt;</errorWord>
      <group>L1_Format</group>
      <groupName>格式问题</groupName>
      <ability>L2_HalfPunc</ability>
      <abilityName>全半角检查</abilityName>
      <candidateList>
        <item>〉</item>
      </candidateList>
      <explain>文本全半角错误。</explain>
      <paraID>711A8CB6</paraID>
      <start>47</start>
      <end>48</end>
      <status>unmodified</status>
      <modifiedWord/>
      <trackRevisions>false</trackRevisions>
    </reviewItem>
    <reviewItem>
      <errorID>80d5ac8d-b916-48cd-a99a-e592eb4b649d</errorID>
      <errorWord>【2024】37号</errorWord>
      <group>L1_Knowledge</group>
      <groupName>知识性问题</groupName>
      <ability>L2_Knowledge</ability>
      <abilityName>其他知识</abilityName>
      <candidateList>
        <item>〔2024〕37号</item>
      </candidateList>
      <explain>发文字号格式错误。</explain>
      <paraID>711A8CB6</paraID>
      <start>55</start>
      <end>64</end>
      <status>modified</status>
      <modifiedWord>〔2024〕37号</modifiedWord>
      <trackRevisions>false</trackRevisions>
    </reviewItem>
    <reviewItem>
      <errorID>df0fcec0-cdd8-4cfb-85b9-5db81c026584</errorID>
      <errorWord>【2024】397号</errorWord>
      <group>L1_Knowledge</group>
      <groupName>知识性问题</groupName>
      <ability>L2_Knowledge</ability>
      <abilityName>其他知识</abilityName>
      <candidateList>
        <item>〔2024〕397号</item>
      </candidateList>
      <explain>发文字号格式错误。</explain>
      <paraID>711A8CB6</paraID>
      <start>92</start>
      <end>102</end>
      <status>modified</status>
      <modifiedWord>〔2024〕397号</modifiedWord>
      <trackRevisions>false</trackRevisions>
    </reviewItem>
    <reviewItem>
      <errorID>9892d541-b8d4-4bfa-8728-bc96bd9197f5</errorID>
      <errorWord>提</errorWord>
      <group>L1_Word</group>
      <groupName>字词问题</groupName>
      <ability>L2_Typo</ability>
      <abilityName>字词错误</abilityName>
      <candidateList>
        <item>提出</item>
      </candidateList>
      <explain/>
      <paraID>1E3A9146</paraID>
      <start>62</start>
      <end>64</end>
      <status>modified</status>
      <modifiedWord>提出</modifiedWord>
      <trackRevisions>false</trackRevisions>
    </reviewItem>
    <reviewItem>
      <errorID>d6c4a363-f38f-4026-8e08-77bd075332ee</errorID>
      <errorWord>(</errorWord>
      <group>L1_Format</group>
      <groupName>格式问题</groupName>
      <ability>L2_HalfPunc</ability>
      <abilityName>全半角检查</abilityName>
      <candidateList>
        <item>（</item>
      </candidateList>
      <explain>文本全半角错误。</explain>
      <paraID>721EEB07</paraID>
      <start>2</start>
      <end>3</end>
      <status>ignored</status>
      <modifiedWord/>
      <trackRevisions>false</trackRevisions>
    </reviewItem>
    <reviewItem>
      <errorID>4bdb1668-503b-4ef8-b304-e2a186741383</errorID>
      <errorWord>)</errorWord>
      <group>L1_Format</group>
      <groupName>格式问题</groupName>
      <ability>L2_HalfPunc</ability>
      <abilityName>全半角检查</abilityName>
      <candidateList>
        <item>）</item>
      </candidateList>
      <explain>文本全半角错误。</explain>
      <paraID>721EEB07</paraID>
      <start>16</start>
      <end>17</end>
      <status>ignored</status>
      <modifiedWord/>
      <trackRevisions>false</trackRevisions>
    </reviewItem>
    <reviewItem>
      <errorID>9a33740d-feba-4b0f-8ecb-64c6ddc318fe</errorID>
      <errorWord>-</errorWord>
      <group>L1_Format</group>
      <groupName>格式问题</groupName>
      <ability>L2_HalfPunc</ability>
      <abilityName>全半角检查</abilityName>
      <candidateList>
        <item>－</item>
      </candidateList>
      <explain>文本全半角错误。</explain>
      <paraID>721EEB07</paraID>
      <start>76</start>
      <end>77</end>
      <status>ignored</status>
      <modifiedWord/>
      <trackRevisions>false</trackRevisions>
    </reviewItem>
    <reviewItem>
      <errorID>567cabf4-8d65-48e6-83d4-37fedc4a2b6e</errorID>
      <errorWord>达</errorWord>
      <group>L1_Word</group>
      <groupName>字词问题</groupName>
      <ability>L2_Typo</ability>
      <abilityName>字词错误</abilityName>
      <candidateList>
        <item>达到</item>
      </candidateList>
      <explain>〈动〉到（多指抽象事物或程度）：达得到｜达不到｜目的没有～｜～国际水平。</explain>
      <paraID>7B30D09F</paraID>
      <start>62</start>
      <end>63</end>
      <status>ignored</status>
      <modifiedWord/>
      <trackRevisions>false</trackRevisions>
    </reviewItem>
    <reviewItem>
      <errorID>45a83e66-6bbe-4749-aad3-3fafe4fdffbc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7600778</paraID>
      <start>2</start>
      <end>3</end>
      <status>ignored</status>
      <modifiedWord/>
      <trackRevisions>false</trackRevisions>
    </reviewItem>
    <reviewItem>
      <errorID>4a4d01d5-9dca-4448-a345-df1ec5cd89d5</errorID>
      <errorWord>&lt;</errorWord>
      <group>L1_Format</group>
      <groupName>格式问题</groupName>
      <ability>L2_HalfPunc</ability>
      <abilityName>全半角检查</abilityName>
      <candidateList>
        <item>〈</item>
      </candidateList>
      <explain>文本全半角错误。</explain>
      <paraID> 7600778</paraID>
      <start>17</start>
      <end>18</end>
      <status>ignored</status>
      <modifiedWord/>
      <trackRevisions>false</trackRevisions>
    </reviewItem>
    <reviewItem>
      <errorID>13b1493e-a47b-48cf-b99c-96df0f1ff45f</errorID>
      <errorWord>&gt;</errorWord>
      <group>L1_Format</group>
      <groupName>格式问题</groupName>
      <ability>L2_HalfPunc</ability>
      <abilityName>全半角检查</abilityName>
      <candidateList>
        <item>〉</item>
      </candidateList>
      <explain>文本全半角错误。</explain>
      <paraID> 7600778</paraID>
      <start>47</start>
      <end>48</end>
      <status>ignored</status>
      <modifiedWord/>
      <trackRevisions>false</trackRevisions>
    </reviewItem>
    <reviewItem>
      <errorID>4066bc95-f6df-4830-a2f9-c63f5f0241ad</errorID>
      <errorWord>【2024】37号</errorWord>
      <group>L1_Knowledge</group>
      <groupName>知识性问题</groupName>
      <ability>L2_Knowledge</ability>
      <abilityName>其他知识</abilityName>
      <candidateList>
        <item>〔2024〕37号</item>
      </candidateList>
      <explain>发文字号格式错误。</explain>
      <paraID> 7600778</paraID>
      <start>55</start>
      <end>64</end>
      <status>modified</status>
      <modifiedWord>〔2024〕37号</modifiedWord>
      <trackRevisions>false</trackRevisions>
    </reviewItem>
    <reviewItem>
      <errorID>8a1d0a27-3f82-4118-8266-bbd3a6b5726a</errorID>
      <errorWord>【2024】397号</errorWord>
      <group>L1_Knowledge</group>
      <groupName>知识性问题</groupName>
      <ability>L2_Knowledge</ability>
      <abilityName>其他知识</abilityName>
      <candidateList>
        <item>〔2024〕397号</item>
      </candidateList>
      <explain>发文字号格式错误。</explain>
      <paraID> 7600778</paraID>
      <start>92</start>
      <end>102</end>
      <status>modified</status>
      <modifiedWord>〔2024〕397号</modifiedWord>
      <trackRevisions>false</trackRevisions>
    </reviewItem>
    <reviewItem>
      <errorID>695534ba-a3dc-477e-b6e9-e23a257b2001</errorID>
      <errorWord>(</errorWord>
      <group>L1_Format</group>
      <groupName>格式问题</groupName>
      <ability>L2_HalfPunc</ability>
      <abilityName>全半角检查</abilityName>
      <candidateList>
        <item>（</item>
      </candidateList>
      <explain>文本全半角错误。</explain>
      <paraID>2C5BBA6F</paraID>
      <start>19</start>
      <end>20</end>
      <status>ignored</status>
      <modifiedWord/>
      <trackRevisions>false</trackRevisions>
    </reviewItem>
    <reviewItem>
      <errorID>240e1e79-350c-410f-b4f2-7b65198e2b4a</errorID>
      <errorWord>)</errorWord>
      <group>L1_Format</group>
      <groupName>格式问题</groupName>
      <ability>L2_HalfPunc</ability>
      <abilityName>全半角检查</abilityName>
      <candidateList>
        <item>）</item>
      </candidateList>
      <explain>文本全半角错误。</explain>
      <paraID>2C5BBA6F</paraID>
      <start>21</start>
      <end>22</end>
      <status>ignored</status>
      <modifiedWord/>
      <trackRevisions>false</trackRevisions>
    </reviewItem>
    <reviewItem>
      <errorID>6f650b64-63d8-4769-bbf1-7b7d1df8b7c4</errorID>
      <errorWord>,</errorWord>
      <group>L1_Format</group>
      <groupName>格式问题</groupName>
      <ability>L2_HalfPunc</ability>
      <abilityName>全半角检查</abilityName>
      <candidateList>
        <item>，</item>
      </candidateList>
      <explain>文本全半角错误。</explain>
      <paraID>2C5BBA6F</paraID>
      <start>27</start>
      <end>28</end>
      <status>ignored</status>
      <modifiedWord/>
      <trackRevisions>false</trackRevisions>
    </reviewItem>
    <reviewItem>
      <errorID>a968dd9d-d975-4fd1-a0c0-7402f9f346d8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7C64E250</paraID>
      <start>24</start>
      <end>25</end>
      <status>ignored</status>
      <modifiedWord/>
      <trackRevisions>false</trackRevisions>
    </reviewItem>
    <reviewItem>
      <errorID>08b094ac-128c-45f4-a6a3-ec9d947e324f</errorID>
      <errorWord>&lt;</errorWord>
      <group>L1_Format</group>
      <groupName>格式问题</groupName>
      <ability>L2_HalfPunc</ability>
      <abilityName>全半角检查</abilityName>
      <candidateList>
        <item>〈</item>
      </candidateList>
      <explain>文本全半角错误。</explain>
      <paraID>7C64E250</paraID>
      <start>39</start>
      <end>40</end>
      <status>ignored</status>
      <modifiedWord/>
      <trackRevisions>false</trackRevisions>
    </reviewItem>
    <reviewItem>
      <errorID>113b6275-6850-46ee-b2f5-79a355c720fe</errorID>
      <errorWord>&gt;</errorWord>
      <group>L1_Format</group>
      <groupName>格式问题</groupName>
      <ability>L2_HalfPunc</ability>
      <abilityName>全半角检查</abilityName>
      <candidateList>
        <item>〉</item>
      </candidateList>
      <explain>文本全半角错误。</explain>
      <paraID>7C64E250</paraID>
      <start>69</start>
      <end>70</end>
      <status>ignored</status>
      <modifiedWord/>
      <trackRevisions>false</trackRevisions>
    </reviewItem>
    <reviewItem>
      <errorID>925ed0da-a306-4e08-8719-f6ecd65fb0a8</errorID>
      <errorWord>【2024】37号</errorWord>
      <group>L1_Knowledge</group>
      <groupName>知识性问题</groupName>
      <ability>L2_Knowledge</ability>
      <abilityName>其他知识</abilityName>
      <candidateList>
        <item>〔2024〕37号</item>
      </candidateList>
      <explain>发文字号格式错误。</explain>
      <paraID>7C64E250</paraID>
      <start>77</start>
      <end>86</end>
      <status>modified</status>
      <modifiedWord>〔2024〕37号</modifiedWord>
      <trackRevisions>false</trackRevisions>
    </reviewItem>
    <reviewItem>
      <errorID>039e8ee4-22cb-4c51-b9fa-3d5aa50b3b82</errorID>
      <errorWord>【2024】397号</errorWord>
      <group>L1_Knowledge</group>
      <groupName>知识性问题</groupName>
      <ability>L2_Knowledge</ability>
      <abilityName>其他知识</abilityName>
      <candidateList>
        <item>〔2024〕397号</item>
      </candidateList>
      <explain>发文字号格式错误。</explain>
      <paraID>7C64E250</paraID>
      <start>114</start>
      <end>124</end>
      <status>modified</status>
      <modifiedWord>〔2024〕397号</modifiedWord>
      <trackRevisions>false</trackRevisions>
    </reviewItem>
    <reviewItem>
      <errorID>4117fa2e-fcb8-451a-8111-96436d273499</errorID>
      <errorWord>&lt;</errorWord>
      <group>L1_Format</group>
      <groupName>格式问题</groupName>
      <ability>L2_HalfPunc</ability>
      <abilityName>全半角检查</abilityName>
      <candidateList>
        <item>〈</item>
      </candidateList>
      <explain>文本全半角错误。</explain>
      <paraID>362C1196</paraID>
      <start>53</start>
      <end>54</end>
      <status>ignored</status>
      <modifiedWord/>
      <trackRevisions>false</trackRevisions>
    </reviewItem>
    <reviewItem>
      <errorID>a23939cb-9ec3-4e8f-b806-70f03e317248</errorID>
      <errorWord>&gt;</errorWord>
      <group>L1_Format</group>
      <groupName>格式问题</groupName>
      <ability>L2_HalfPunc</ability>
      <abilityName>全半角检查</abilityName>
      <candidateList>
        <item>〉</item>
      </candidateList>
      <explain>文本全半角错误。</explain>
      <paraID>362C1196</paraID>
      <start>84</start>
      <end>85</end>
      <status>ignored</status>
      <modifiedWord/>
      <trackRevisions>false</trackRevisions>
    </reviewItem>
    <reviewItem>
      <errorID>fa908060-de20-407c-a153-df1507bf1c6b</errorID>
      <errorWord>(</errorWord>
      <group>L1_Format</group>
      <groupName>格式问题</groupName>
      <ability>L2_HalfPunc</ability>
      <abilityName>全半角检查</abilityName>
      <candidateList>
        <item>（</item>
      </candidateList>
      <explain>文本全半角错误。</explain>
      <paraID>362C1196</paraID>
      <start>90</start>
      <end>91</end>
      <status>ignored</status>
      <modifiedWord/>
      <trackRevisions>false</trackRevisions>
    </reviewItem>
    <reviewItem>
      <errorID>8d4766f7-1339-462a-ba26-4c91215c6230</errorID>
      <errorWord>)</errorWord>
      <group>L1_Format</group>
      <groupName>格式问题</groupName>
      <ability>L2_HalfPunc</ability>
      <abilityName>全半角检查</abilityName>
      <candidateList>
        <item>）</item>
      </candidateList>
      <explain>文本全半角错误。</explain>
      <paraID>362C1196</paraID>
      <start>104</start>
      <end>105</end>
      <status>ignored</status>
      <modifiedWord/>
      <trackRevisions>false</trackRevisions>
    </reviewItem>
    <reviewItem>
      <errorID>720f2f4f-5114-42e7-acc8-c0e48c35716b</errorID>
      <errorWord>(</errorWord>
      <group>L1_Format</group>
      <groupName>格式问题</groupName>
      <ability>L2_HalfPunc</ability>
      <abilityName>全半角检查</abilityName>
      <candidateList>
        <item>（</item>
      </candidateList>
      <explain>文本全半角错误。</explain>
      <paraID>362C1196</paraID>
      <start>149</start>
      <end>150</end>
      <status>ignored</status>
      <modifiedWord/>
      <trackRevisions>false</trackRevisions>
    </reviewItem>
    <reviewItem>
      <errorID>77615297-4401-4ff6-90f7-4a7647d67ba0</errorID>
      <errorWord>)</errorWord>
      <group>L1_Format</group>
      <groupName>格式问题</groupName>
      <ability>L2_HalfPunc</ability>
      <abilityName>全半角检查</abilityName>
      <candidateList>
        <item>）</item>
      </candidateList>
      <explain>文本全半角错误。</explain>
      <paraID>362C1196</paraID>
      <start>162</start>
      <end>163</end>
      <status>ignored</status>
      <modifiedWord/>
      <trackRevisions>false</trackRevisions>
    </reviewItem>
    <reviewItem>
      <errorID>c26abbea-4f05-440a-8bcc-f83307ce826c</errorID>
      <errorWord>，对</errorWord>
      <group>L1_Word</group>
      <groupName>字词问题</groupName>
      <ability>L2_Typo</ability>
      <abilityName>字词错误</abilityName>
      <candidateList>
        <item>，</item>
      </candidateList>
      <explain/>
      <paraID>28E6B1FA</paraID>
      <start>69</start>
      <end>71</end>
      <status>ignored</status>
      <modifiedWord/>
      <trackRevisions>false</trackRevisions>
    </reviewItem>
    <reviewItem>
      <errorID>1223d64f-41b8-4bab-ab4a-0c6589ccc77f</errorID>
      <errorWord>此</errorWord>
      <group>L1_Word</group>
      <groupName>字词问题</groupName>
      <ability>L2_Typo</ability>
      <abilityName>字词错误</abilityName>
      <candidateList>
        <item>此次</item>
      </candidateList>
      <explain/>
      <paraID>28E6B1FA</paraID>
      <start>114</start>
      <end>116</end>
      <status>modified</status>
      <modifiedWord>此次</modifiedWord>
      <trackRevisions>false</trackRevisions>
    </reviewItem>
    <reviewItem>
      <errorID>3d63cba6-44a7-4402-8645-5d11665a2c0f</errorID>
      <errorWord>达</errorWord>
      <group>L1_Word</group>
      <groupName>字词问题</groupName>
      <ability>L2_Typo</ability>
      <abilityName>字词错误</abilityName>
      <candidateList>
        <item>达到</item>
      </candidateList>
      <explain>〈动〉到（多指抽象事物或程度）：达得到｜达不到｜目的没有～｜～国际水平。</explain>
      <paraID> E96B0F7</paraID>
      <start>98</start>
      <end>99</end>
      <status>ignored</status>
      <modifiedWord/>
      <trackRevisions>false</trackRevisions>
    </reviewItem>
    <reviewItem>
      <errorID>96401b8b-6a3b-4f21-b6ea-9857c96df311</errorID>
      <errorWord>受</errorWord>
      <group>L1_Word</group>
      <groupName>字词问题</groupName>
      <ability>L2_Typo</ability>
      <abilityName>字词错误</abilityName>
      <candidateList>
        <item>受到</item>
      </candidateList>
      <explain/>
      <paraID>299196F9</paraID>
      <start>8</start>
      <end>10</end>
      <status>modified</status>
      <modifiedWord>受到</modifiedWord>
      <trackRevisions>false</trackRevisions>
    </reviewItem>
    <reviewItem>
      <errorID>72655cb8-39f8-4e91-b67a-7ab3ddc8adc5</errorID>
      <errorWord>【2024】17号</errorWord>
      <group>L1_Knowledge</group>
      <groupName>知识性问题</groupName>
      <ability>L2_Knowledge</ability>
      <abilityName>其他知识</abilityName>
      <candidateList>
        <item>〔2024〕17号</item>
      </candidateList>
      <explain>发文字号格式错误。</explain>
      <paraID>564A4EB9</paraID>
      <start>98</start>
      <end>107</end>
      <status>modified</status>
      <modifiedWord>〔2024〕17号</modifiedWord>
      <trackRevisions>false</trackRevisions>
    </reviewItem>
    <reviewItem>
      <errorID>5e08f012-9ee7-40d6-9eef-0ca2d045ab1b</errorID>
      <errorWord>广度</errorWord>
      <group>L1_Word</group>
      <groupName>字词问题</groupName>
      <ability>L2_Typo</ability>
      <abilityName>字词错误</abilityName>
      <candidateList>
        <item>度</item>
      </candidateList>
      <explain/>
      <paraID> 407E7B7</paraID>
      <start>214</start>
      <end>216</end>
      <status>ignored</status>
      <modifiedWord/>
      <trackRevisions>false</trackRevisions>
    </reviewItem>
    <reviewItem>
      <errorID>038d6999-7484-40d7-9551-f4b50635410a</errorID>
      <errorWord>:</errorWord>
      <group>L1_Format</group>
      <groupName>格式问题</groupName>
      <ability>L2_HalfPunc</ability>
      <abilityName>全半角检查</abilityName>
      <candidateList>
        <item>：</item>
      </candidateList>
      <explain>文本全半角错误。</explain>
      <paraID>2C6245F1</paraID>
      <start>3</start>
      <end>4</end>
      <status>ignored</status>
      <modifiedWord/>
      <trackRevisions>false</trackRevisions>
    </reviewItem>
    <reviewItem>
      <errorID>cd7e534f-f1f1-47df-9181-dfc148ce6d20</errorID>
      <errorWord>二零二</errorWord>
      <group>L1_Word</group>
      <groupName>字词问题</groupName>
      <ability>L2_Alias</ability>
      <abilityName>也作/曾用词</abilityName>
      <candidateList>
        <item>二○二</item>
      </candidateList>
      <explain>词汇[二零二]为不规范表述或旧称，其规范书面表述为[二○二]。</explain>
      <paraID>29893AA9</paraID>
      <start>0</start>
      <end>3</end>
      <status>modified</status>
      <modifiedWord>二○二</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9e1766-4604-4d6f-9ca3-913d4cceba94}">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7124</Words>
  <Characters>7491</Characters>
  <Lines>0</Lines>
  <Paragraphs>0</Paragraphs>
  <TotalTime>113</TotalTime>
  <ScaleCrop>false</ScaleCrop>
  <LinksUpToDate>false</LinksUpToDate>
  <CharactersWithSpaces>7611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2025-11-27T10:14:00Z</dcterms:created>
  <dc:creator>try</dc:creator>
  <cp:lastModifiedBy>try</cp:lastModifiedBy>
  <dcterms:modified xsi:type="dcterms:W3CDTF">2026-02-12T02:02:08Z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52277C1E79D547B0A19C49120A93647A_13</vt:lpwstr>
  </property>
  <property fmtid="{D5CDD505-2E9C-101B-9397-08002B2CF9AE}" pid="4" name="KSOTemplateDocerSaveRecord">
    <vt:lpwstr>eyJoZGlkIjoiZThlYmFlMzM1OWFlNDM3OTFmZTNkODFmMTJlNjQ5MWYiLCJ1c2VySWQiOiIxNzM1MDIzNSJ9</vt:lpwstr>
  </property>
</Properties>
</file>