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81DA7">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eastAsia" w:ascii="黑体" w:hAnsi="黑体" w:eastAsia="黑体" w:cs="黑体"/>
          <w:b/>
          <w:bCs/>
          <w:color w:val="auto"/>
          <w:sz w:val="44"/>
          <w:szCs w:val="44"/>
          <w:highlight w:val="none"/>
          <w:lang w:val="en-US" w:eastAsia="zh-CN"/>
        </w:rPr>
      </w:pPr>
      <w:r>
        <w:rPr>
          <w:rFonts w:hint="eastAsia" w:ascii="黑体" w:hAnsi="黑体" w:eastAsia="黑体" w:cs="黑体"/>
          <w:b/>
          <w:bCs/>
          <w:color w:val="auto"/>
          <w:sz w:val="44"/>
          <w:szCs w:val="44"/>
          <w:highlight w:val="none"/>
          <w:lang w:eastAsia="zh-CN"/>
        </w:rPr>
        <w:t>202</w:t>
      </w:r>
      <w:r>
        <w:rPr>
          <w:rFonts w:hint="eastAsia" w:ascii="黑体" w:hAnsi="黑体" w:eastAsia="黑体" w:cs="黑体"/>
          <w:b/>
          <w:bCs/>
          <w:color w:val="auto"/>
          <w:sz w:val="44"/>
          <w:szCs w:val="44"/>
          <w:highlight w:val="none"/>
          <w:lang w:val="en-US" w:eastAsia="zh-CN"/>
        </w:rPr>
        <w:t>5</w:t>
      </w:r>
      <w:r>
        <w:rPr>
          <w:rFonts w:hint="eastAsia" w:ascii="黑体" w:hAnsi="黑体" w:eastAsia="黑体" w:cs="黑体"/>
          <w:b/>
          <w:bCs/>
          <w:color w:val="auto"/>
          <w:sz w:val="44"/>
          <w:szCs w:val="44"/>
          <w:highlight w:val="none"/>
          <w:lang w:eastAsia="zh-CN"/>
        </w:rPr>
        <w:t>年度</w:t>
      </w:r>
      <w:r>
        <w:rPr>
          <w:rFonts w:hint="eastAsia" w:ascii="黑体" w:hAnsi="黑体" w:eastAsia="黑体" w:cs="黑体"/>
          <w:b/>
          <w:bCs/>
          <w:color w:val="auto"/>
          <w:sz w:val="44"/>
          <w:szCs w:val="44"/>
          <w:highlight w:val="none"/>
          <w:lang w:val="en-US" w:eastAsia="zh-CN"/>
        </w:rPr>
        <w:t>攀枝花市仁和区</w:t>
      </w:r>
    </w:p>
    <w:p w14:paraId="7FF525EF">
      <w:pPr>
        <w:spacing w:line="580" w:lineRule="exact"/>
        <w:ind w:firstLine="0" w:firstLineChars="0"/>
        <w:jc w:val="center"/>
        <w:rPr>
          <w:rFonts w:hint="default" w:ascii="Times New Roman" w:hAnsi="Times New Roman" w:eastAsia="楷体_GB2312" w:cs="Times New Roman"/>
          <w:b/>
          <w:bCs/>
          <w:color w:val="auto"/>
          <w:sz w:val="52"/>
          <w:szCs w:val="52"/>
        </w:rPr>
      </w:pPr>
      <w:r>
        <w:rPr>
          <w:rFonts w:hint="eastAsia" w:ascii="黑体" w:hAnsi="黑体" w:eastAsia="黑体" w:cs="黑体"/>
          <w:b/>
          <w:bCs/>
          <w:color w:val="auto"/>
          <w:sz w:val="44"/>
          <w:szCs w:val="44"/>
          <w:highlight w:val="none"/>
          <w:lang w:val="en-US" w:eastAsia="zh-CN"/>
        </w:rPr>
        <w:t>专项预算项目</w:t>
      </w:r>
      <w:r>
        <w:rPr>
          <w:rFonts w:hint="eastAsia" w:ascii="黑体" w:hAnsi="黑体" w:eastAsia="黑体" w:cs="黑体"/>
          <w:b/>
          <w:bCs/>
          <w:color w:val="auto"/>
          <w:sz w:val="44"/>
          <w:szCs w:val="44"/>
          <w:highlight w:val="none"/>
          <w:lang w:eastAsia="zh-CN"/>
        </w:rPr>
        <w:t>绩效评价报告</w:t>
      </w:r>
    </w:p>
    <w:p w14:paraId="42526524">
      <w:pPr>
        <w:pStyle w:val="5"/>
        <w:spacing w:line="580" w:lineRule="exact"/>
        <w:ind w:firstLine="0" w:firstLineChars="0"/>
        <w:jc w:val="center"/>
        <w:rPr>
          <w:rFonts w:hint="default" w:ascii="Times New Roman" w:hAnsi="Times New Roman" w:cs="Times New Roman"/>
          <w:color w:val="auto"/>
          <w:sz w:val="52"/>
          <w:szCs w:val="52"/>
        </w:rPr>
      </w:pPr>
    </w:p>
    <w:p w14:paraId="790694D6">
      <w:pPr>
        <w:spacing w:line="580" w:lineRule="exact"/>
        <w:rPr>
          <w:rFonts w:hint="default" w:ascii="Times New Roman" w:hAnsi="Times New Roman" w:cs="Times New Roman"/>
          <w:color w:val="auto"/>
          <w:sz w:val="52"/>
          <w:szCs w:val="52"/>
        </w:rPr>
      </w:pPr>
    </w:p>
    <w:p w14:paraId="4BFF21B9">
      <w:pPr>
        <w:spacing w:line="580" w:lineRule="exact"/>
        <w:rPr>
          <w:rFonts w:hint="default" w:ascii="Times New Roman" w:hAnsi="Times New Roman" w:cs="Times New Roman"/>
          <w:color w:val="auto"/>
          <w:sz w:val="52"/>
          <w:szCs w:val="52"/>
        </w:rPr>
      </w:pPr>
    </w:p>
    <w:p w14:paraId="70E3A53D">
      <w:pPr>
        <w:spacing w:line="580" w:lineRule="exact"/>
        <w:rPr>
          <w:rFonts w:hint="default" w:ascii="Times New Roman" w:hAnsi="Times New Roman" w:cs="Times New Roman"/>
          <w:color w:val="auto"/>
          <w:sz w:val="52"/>
          <w:szCs w:val="52"/>
        </w:rPr>
      </w:pPr>
    </w:p>
    <w:p w14:paraId="3E0C9D47">
      <w:pPr>
        <w:spacing w:line="580" w:lineRule="exact"/>
        <w:rPr>
          <w:rFonts w:hint="default" w:ascii="Times New Roman" w:hAnsi="Times New Roman" w:cs="Times New Roman"/>
          <w:color w:val="auto"/>
          <w:sz w:val="52"/>
          <w:szCs w:val="52"/>
        </w:rPr>
      </w:pPr>
    </w:p>
    <w:p w14:paraId="17351F46">
      <w:pPr>
        <w:spacing w:line="580" w:lineRule="exact"/>
        <w:rPr>
          <w:rFonts w:hint="default" w:ascii="Times New Roman" w:hAnsi="Times New Roman" w:cs="Times New Roman"/>
          <w:color w:val="auto"/>
          <w:sz w:val="52"/>
          <w:szCs w:val="52"/>
        </w:rPr>
      </w:pPr>
    </w:p>
    <w:p w14:paraId="27F5F004">
      <w:pPr>
        <w:pStyle w:val="10"/>
        <w:rPr>
          <w:rFonts w:hint="default"/>
        </w:rPr>
      </w:pPr>
    </w:p>
    <w:p w14:paraId="761D8AB7">
      <w:pPr>
        <w:spacing w:line="580" w:lineRule="exact"/>
        <w:ind w:left="2801" w:leftChars="665" w:hanging="1405" w:hanging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项目名称：</w:t>
      </w:r>
      <w:r>
        <w:rPr>
          <w:rFonts w:hint="eastAsia" w:ascii="黑体" w:hAnsi="黑体" w:eastAsia="黑体" w:cs="黑体"/>
          <w:b/>
          <w:bCs/>
          <w:color w:val="auto"/>
          <w:sz w:val="28"/>
          <w:szCs w:val="28"/>
          <w:lang w:eastAsia="zh-CN"/>
        </w:rPr>
        <w:t>第五次全国经济普查经费</w:t>
      </w:r>
    </w:p>
    <w:p w14:paraId="12E57430">
      <w:pPr>
        <w:spacing w:line="580" w:lineRule="exact"/>
        <w:ind w:firstLine="1405" w:firstLineChars="500"/>
        <w:jc w:val="both"/>
        <w:rPr>
          <w:rFonts w:hint="eastAsia" w:ascii="黑体" w:hAnsi="黑体" w:eastAsia="黑体" w:cs="黑体"/>
          <w:b/>
          <w:bCs/>
          <w:color w:val="auto"/>
          <w:sz w:val="28"/>
          <w:szCs w:val="28"/>
          <w:highlight w:val="none"/>
          <w:lang w:eastAsia="zh-CN"/>
        </w:rPr>
      </w:pPr>
      <w:r>
        <w:rPr>
          <w:rFonts w:hint="eastAsia" w:ascii="黑体" w:hAnsi="黑体" w:eastAsia="黑体" w:cs="黑体"/>
          <w:b/>
          <w:bCs/>
          <w:color w:val="auto"/>
          <w:sz w:val="28"/>
          <w:szCs w:val="28"/>
          <w:highlight w:val="none"/>
        </w:rPr>
        <w:t>项目单位：</w:t>
      </w:r>
      <w:r>
        <w:rPr>
          <w:rFonts w:hint="eastAsia" w:ascii="黑体" w:hAnsi="黑体" w:eastAsia="黑体" w:cs="黑体"/>
          <w:b/>
          <w:bCs/>
          <w:color w:val="auto"/>
          <w:sz w:val="28"/>
          <w:szCs w:val="28"/>
          <w:highlight w:val="none"/>
          <w:lang w:eastAsia="zh-CN"/>
        </w:rPr>
        <w:t>攀枝花市仁和区统计局</w:t>
      </w:r>
    </w:p>
    <w:p w14:paraId="5E9FCF2B">
      <w:pPr>
        <w:spacing w:line="580" w:lineRule="exact"/>
        <w:ind w:firstLine="1405" w:firstLine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委托单位：</w:t>
      </w:r>
      <w:r>
        <w:rPr>
          <w:rFonts w:hint="eastAsia" w:ascii="黑体" w:hAnsi="黑体" w:eastAsia="黑体" w:cs="黑体"/>
          <w:b/>
          <w:bCs/>
          <w:color w:val="auto"/>
          <w:sz w:val="28"/>
          <w:szCs w:val="28"/>
          <w:lang w:eastAsia="zh-CN"/>
        </w:rPr>
        <w:t>攀枝花市仁和区财政局</w:t>
      </w:r>
    </w:p>
    <w:p w14:paraId="0F42FE54">
      <w:pPr>
        <w:spacing w:line="580" w:lineRule="exact"/>
        <w:ind w:firstLine="1405" w:firstLineChars="500"/>
        <w:jc w:val="both"/>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评价机构：</w:t>
      </w:r>
      <w:r>
        <w:rPr>
          <w:rFonts w:hint="eastAsia" w:ascii="黑体" w:hAnsi="黑体" w:eastAsia="黑体" w:cs="黑体"/>
          <w:b/>
          <w:bCs/>
          <w:color w:val="auto"/>
          <w:sz w:val="28"/>
          <w:szCs w:val="28"/>
          <w:lang w:eastAsia="zh-CN"/>
        </w:rPr>
        <w:t>四川璟合企业管理咨询有限公司</w:t>
      </w:r>
    </w:p>
    <w:p w14:paraId="792DC522">
      <w:pPr>
        <w:keepNext w:val="0"/>
        <w:keepLines w:val="0"/>
        <w:pageBreakBefore w:val="0"/>
        <w:widowControl w:val="0"/>
        <w:kinsoku/>
        <w:wordWrap/>
        <w:overflowPunct/>
        <w:topLinePunct w:val="0"/>
        <w:autoSpaceDE/>
        <w:autoSpaceDN/>
        <w:bidi w:val="0"/>
        <w:adjustRightInd/>
        <w:snapToGrid/>
        <w:spacing w:line="580" w:lineRule="atLeast"/>
        <w:ind w:firstLine="0" w:firstLineChars="0"/>
        <w:jc w:val="both"/>
        <w:textAlignment w:val="auto"/>
        <w:rPr>
          <w:rFonts w:hint="eastAsia" w:ascii="Times New Roman" w:hAnsi="Times New Roman" w:eastAsia="楷体_GB2312" w:cs="Times New Roman"/>
          <w:b/>
          <w:bCs/>
          <w:color w:val="auto"/>
          <w:szCs w:val="32"/>
        </w:rPr>
      </w:pPr>
    </w:p>
    <w:p w14:paraId="53EC4296">
      <w:pPr>
        <w:keepNext w:val="0"/>
        <w:keepLines w:val="0"/>
        <w:pageBreakBefore w:val="0"/>
        <w:widowControl w:val="0"/>
        <w:kinsoku/>
        <w:wordWrap/>
        <w:overflowPunct/>
        <w:topLinePunct w:val="0"/>
        <w:autoSpaceDE/>
        <w:autoSpaceDN/>
        <w:bidi w:val="0"/>
        <w:adjustRightInd/>
        <w:snapToGrid/>
        <w:spacing w:line="580" w:lineRule="atLeast"/>
        <w:ind w:firstLine="0" w:firstLineChars="0"/>
        <w:jc w:val="left"/>
        <w:textAlignment w:val="auto"/>
        <w:rPr>
          <w:rFonts w:hint="eastAsia" w:ascii="Times New Roman" w:hAnsi="Times New Roman" w:eastAsia="楷体_GB2312" w:cs="Times New Roman"/>
          <w:b/>
          <w:bCs/>
          <w:color w:val="auto"/>
          <w:szCs w:val="32"/>
        </w:rPr>
      </w:pPr>
    </w:p>
    <w:p w14:paraId="07517274">
      <w:pPr>
        <w:keepNext w:val="0"/>
        <w:keepLines w:val="0"/>
        <w:pageBreakBefore w:val="0"/>
        <w:widowControl w:val="0"/>
        <w:kinsoku/>
        <w:wordWrap/>
        <w:overflowPunct/>
        <w:topLinePunct w:val="0"/>
        <w:autoSpaceDE/>
        <w:autoSpaceDN/>
        <w:bidi w:val="0"/>
        <w:adjustRightInd/>
        <w:snapToGrid/>
        <w:spacing w:line="580" w:lineRule="atLeast"/>
        <w:ind w:firstLine="0" w:firstLineChars="0"/>
        <w:jc w:val="both"/>
        <w:textAlignment w:val="auto"/>
        <w:rPr>
          <w:rFonts w:hint="eastAsia" w:ascii="Times New Roman" w:hAnsi="Times New Roman" w:eastAsia="楷体_GB2312" w:cs="Times New Roman"/>
          <w:b/>
          <w:bCs/>
          <w:color w:val="auto"/>
          <w:szCs w:val="32"/>
        </w:rPr>
      </w:pPr>
    </w:p>
    <w:p w14:paraId="1DC93FC8">
      <w:pPr>
        <w:keepNext w:val="0"/>
        <w:keepLines w:val="0"/>
        <w:pageBreakBefore w:val="0"/>
        <w:widowControl w:val="0"/>
        <w:kinsoku/>
        <w:wordWrap/>
        <w:overflowPunct/>
        <w:topLinePunct w:val="0"/>
        <w:autoSpaceDE/>
        <w:autoSpaceDN/>
        <w:bidi w:val="0"/>
        <w:adjustRightInd/>
        <w:snapToGrid/>
        <w:spacing w:line="580" w:lineRule="atLeast"/>
        <w:ind w:firstLine="0" w:firstLineChars="0"/>
        <w:jc w:val="center"/>
        <w:textAlignment w:val="auto"/>
        <w:rPr>
          <w:rFonts w:hint="eastAsia" w:ascii="Times New Roman" w:hAnsi="Times New Roman" w:eastAsia="楷体_GB2312" w:cs="Times New Roman"/>
          <w:b/>
          <w:bCs/>
          <w:color w:val="auto"/>
          <w:szCs w:val="32"/>
        </w:rPr>
      </w:pPr>
    </w:p>
    <w:p w14:paraId="4162FF21">
      <w:pPr>
        <w:keepNext w:val="0"/>
        <w:keepLines w:val="0"/>
        <w:pageBreakBefore w:val="0"/>
        <w:widowControl w:val="0"/>
        <w:kinsoku/>
        <w:wordWrap/>
        <w:overflowPunct/>
        <w:topLinePunct w:val="0"/>
        <w:autoSpaceDE/>
        <w:autoSpaceDN/>
        <w:bidi w:val="0"/>
        <w:adjustRightInd/>
        <w:snapToGrid/>
        <w:spacing w:line="580" w:lineRule="atLeast"/>
        <w:ind w:firstLine="0" w:firstLineChars="0"/>
        <w:jc w:val="center"/>
        <w:textAlignment w:val="auto"/>
        <w:rPr>
          <w:rFonts w:hint="eastAsia" w:ascii="Times New Roman" w:hAnsi="Times New Roman" w:eastAsia="楷体_GB2312" w:cs="Times New Roman"/>
          <w:b/>
          <w:bCs/>
          <w:color w:val="auto"/>
          <w:szCs w:val="32"/>
        </w:rPr>
      </w:pPr>
    </w:p>
    <w:p w14:paraId="0C176CA4">
      <w:pPr>
        <w:spacing w:line="580" w:lineRule="exact"/>
        <w:jc w:val="center"/>
        <w:rPr>
          <w:rFonts w:hint="default" w:ascii="Times New Roman" w:hAnsi="Times New Roman" w:eastAsia="楷体_GB2312" w:cs="Times New Roman"/>
          <w:b/>
          <w:bCs/>
          <w:color w:val="auto"/>
          <w:szCs w:val="32"/>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28" w:left="1587" w:header="851" w:footer="1701" w:gutter="0"/>
          <w:pgNumType w:fmt="upperRoman"/>
          <w:cols w:space="425" w:num="1"/>
          <w:docGrid w:type="lines" w:linePitch="312" w:charSpace="0"/>
        </w:sectPr>
      </w:pPr>
      <w:r>
        <w:rPr>
          <w:rFonts w:hint="eastAsia" w:ascii="黑体" w:hAnsi="黑体" w:eastAsia="黑体" w:cs="黑体"/>
          <w:b/>
          <w:bCs/>
          <w:color w:val="auto"/>
          <w:sz w:val="28"/>
          <w:szCs w:val="28"/>
          <w:lang w:eastAsia="zh-CN"/>
        </w:rPr>
        <w:t>二〇二</w:t>
      </w:r>
      <w:r>
        <w:rPr>
          <w:rFonts w:hint="eastAsia" w:ascii="黑体" w:hAnsi="黑体" w:eastAsia="黑体" w:cs="黑体"/>
          <w:b/>
          <w:bCs/>
          <w:color w:val="auto"/>
          <w:sz w:val="28"/>
          <w:szCs w:val="28"/>
          <w:lang w:val="en-US" w:eastAsia="zh-CN"/>
        </w:rPr>
        <w:t>五</w:t>
      </w:r>
      <w:r>
        <w:rPr>
          <w:rFonts w:hint="eastAsia" w:ascii="黑体" w:hAnsi="黑体" w:eastAsia="黑体" w:cs="黑体"/>
          <w:b/>
          <w:bCs/>
          <w:color w:val="auto"/>
          <w:sz w:val="28"/>
          <w:szCs w:val="28"/>
          <w:lang w:eastAsia="zh-CN"/>
        </w:rPr>
        <w:t>年</w:t>
      </w:r>
      <w:r>
        <w:rPr>
          <w:rFonts w:hint="eastAsia" w:ascii="黑体" w:hAnsi="黑体" w:eastAsia="黑体" w:cs="黑体"/>
          <w:b/>
          <w:bCs/>
          <w:color w:val="auto"/>
          <w:sz w:val="28"/>
          <w:szCs w:val="28"/>
          <w:lang w:val="en-US" w:eastAsia="zh-CN"/>
        </w:rPr>
        <w:t>十二</w:t>
      </w:r>
      <w:r>
        <w:rPr>
          <w:rFonts w:hint="eastAsia" w:ascii="黑体" w:hAnsi="黑体" w:eastAsia="黑体" w:cs="黑体"/>
          <w:b/>
          <w:bCs/>
          <w:color w:val="auto"/>
          <w:sz w:val="28"/>
          <w:szCs w:val="28"/>
          <w:lang w:eastAsia="zh-CN"/>
        </w:rPr>
        <w:t>月</w:t>
      </w:r>
    </w:p>
    <w:sdt>
      <w:sdtPr>
        <w:rPr>
          <w:rFonts w:ascii="宋体" w:hAnsi="宋体" w:eastAsia="宋体" w:cs="Times New Roman"/>
          <w:kern w:val="2"/>
          <w:sz w:val="21"/>
          <w:szCs w:val="24"/>
          <w:lang w:val="en-US" w:eastAsia="zh-CN" w:bidi="ar-SA"/>
        </w:rPr>
        <w:id w:val="147480915"/>
        <w15:color w:val="DBDBDB"/>
        <w:docPartObj>
          <w:docPartGallery w:val="Table of Contents"/>
          <w:docPartUnique/>
        </w:docPartObj>
      </w:sdtPr>
      <w:sdtEndPr>
        <w:rPr>
          <w:rFonts w:hint="default" w:ascii="Calibri" w:hAnsi="Calibri" w:eastAsia="宋体" w:cs="Times New Roman"/>
          <w:kern w:val="2"/>
          <w:sz w:val="21"/>
          <w:szCs w:val="24"/>
          <w:lang w:val="en-US" w:eastAsia="zh-CN" w:bidi="ar-SA"/>
        </w:rPr>
      </w:sdtEndPr>
      <w:sdtContent>
        <w:p w14:paraId="340209C3">
          <w:pPr>
            <w:spacing w:before="0" w:beforeLines="0" w:after="0" w:afterLines="0" w:line="240" w:lineRule="auto"/>
            <w:ind w:left="0" w:leftChars="0" w:right="0" w:rightChars="0" w:firstLine="0" w:firstLineChars="0"/>
            <w:jc w:val="center"/>
          </w:pPr>
          <w:r>
            <w:rPr>
              <w:rFonts w:ascii="宋体" w:hAnsi="宋体" w:eastAsia="宋体"/>
              <w:b/>
              <w:bCs/>
              <w:sz w:val="24"/>
              <w:szCs w:val="32"/>
            </w:rPr>
            <w:t>目录</w:t>
          </w:r>
        </w:p>
        <w:p w14:paraId="41BE9BEE">
          <w:pPr>
            <w:pStyle w:val="8"/>
            <w:tabs>
              <w:tab w:val="right" w:leader="dot" w:pos="8845"/>
            </w:tabs>
            <w:rPr>
              <w:b/>
              <w:bCs/>
            </w:rPr>
          </w:pPr>
          <w:r>
            <w:rPr>
              <w:rFonts w:hint="default" w:ascii="Calibri" w:hAnsi="Calibri" w:eastAsia="宋体" w:cs="Times New Roman"/>
              <w:kern w:val="2"/>
              <w:sz w:val="21"/>
              <w:szCs w:val="24"/>
              <w:lang w:val="en-US" w:eastAsia="zh-CN" w:bidi="ar-SA"/>
            </w:rPr>
            <w:fldChar w:fldCharType="begin"/>
          </w:r>
          <w:r>
            <w:rPr>
              <w:rFonts w:hint="default" w:ascii="Calibri" w:hAnsi="Calibri" w:eastAsia="宋体" w:cs="Times New Roman"/>
              <w:kern w:val="2"/>
              <w:sz w:val="21"/>
              <w:szCs w:val="24"/>
              <w:lang w:val="en-US" w:eastAsia="zh-CN" w:bidi="ar-SA"/>
            </w:rPr>
            <w:instrText xml:space="preserve">TOC \o "1-3" \h \u </w:instrText>
          </w:r>
          <w:r>
            <w:rPr>
              <w:rFonts w:hint="default" w:ascii="Calibri" w:hAnsi="Calibri" w:eastAsia="宋体" w:cs="Times New Roman"/>
              <w:kern w:val="2"/>
              <w:sz w:val="21"/>
              <w:szCs w:val="24"/>
              <w:lang w:val="en-US" w:eastAsia="zh-CN" w:bidi="ar-SA"/>
            </w:rPr>
            <w:fldChar w:fldCharType="separate"/>
          </w: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_Toc17064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lang w:val="en-US" w:eastAsia="zh-CN"/>
            </w:rPr>
            <w:t xml:space="preserve">一、 </w:t>
          </w:r>
          <w:r>
            <w:rPr>
              <w:rFonts w:hint="eastAsia" w:ascii="Times New Roman" w:hAnsi="Times New Roman" w:eastAsia="宋体" w:cs="Times New Roman"/>
              <w:b/>
              <w:bCs/>
              <w:szCs w:val="24"/>
              <w:highlight w:val="none"/>
              <w:lang w:val="en-US" w:eastAsia="zh-CN"/>
            </w:rPr>
            <w:t>项目基本情况</w:t>
          </w:r>
          <w:r>
            <w:rPr>
              <w:b/>
              <w:bCs/>
            </w:rPr>
            <w:tab/>
          </w:r>
          <w:r>
            <w:rPr>
              <w:b/>
              <w:bCs/>
            </w:rPr>
            <w:fldChar w:fldCharType="begin"/>
          </w:r>
          <w:r>
            <w:rPr>
              <w:b/>
              <w:bCs/>
            </w:rPr>
            <w:instrText xml:space="preserve"> PAGEREF _Toc17064 \h </w:instrText>
          </w:r>
          <w:r>
            <w:rPr>
              <w:b/>
              <w:bCs/>
            </w:rPr>
            <w:fldChar w:fldCharType="separate"/>
          </w:r>
          <w:r>
            <w:rPr>
              <w:b/>
              <w:bCs/>
            </w:rPr>
            <w:t>1</w:t>
          </w:r>
          <w:r>
            <w:rPr>
              <w:b/>
              <w:bCs/>
            </w:rPr>
            <w:fldChar w:fldCharType="end"/>
          </w:r>
          <w:r>
            <w:rPr>
              <w:rFonts w:hint="default" w:ascii="Calibri" w:hAnsi="Calibri" w:eastAsia="宋体" w:cs="Times New Roman"/>
              <w:b/>
              <w:bCs/>
              <w:kern w:val="2"/>
              <w:szCs w:val="24"/>
              <w:lang w:val="en-US" w:eastAsia="zh-CN" w:bidi="ar-SA"/>
            </w:rPr>
            <w:fldChar w:fldCharType="end"/>
          </w:r>
        </w:p>
        <w:p w14:paraId="2315A74C">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_Toc17280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highlight w:val="none"/>
              <w:lang w:val="en-US" w:eastAsia="zh-CN"/>
            </w:rPr>
            <w:t>二、评价工作开展情况</w:t>
          </w:r>
          <w:r>
            <w:rPr>
              <w:b/>
              <w:bCs/>
            </w:rPr>
            <w:tab/>
          </w:r>
          <w:r>
            <w:rPr>
              <w:b/>
              <w:bCs/>
            </w:rPr>
            <w:fldChar w:fldCharType="begin"/>
          </w:r>
          <w:r>
            <w:rPr>
              <w:b/>
              <w:bCs/>
            </w:rPr>
            <w:instrText xml:space="preserve"> PAGEREF _Toc17280 \h </w:instrText>
          </w:r>
          <w:r>
            <w:rPr>
              <w:b/>
              <w:bCs/>
            </w:rPr>
            <w:fldChar w:fldCharType="separate"/>
          </w:r>
          <w:r>
            <w:rPr>
              <w:b/>
              <w:bCs/>
            </w:rPr>
            <w:t>1</w:t>
          </w:r>
          <w:r>
            <w:rPr>
              <w:b/>
              <w:bCs/>
            </w:rPr>
            <w:fldChar w:fldCharType="end"/>
          </w:r>
          <w:r>
            <w:rPr>
              <w:rFonts w:hint="default" w:ascii="Calibri" w:hAnsi="Calibri" w:eastAsia="宋体" w:cs="Times New Roman"/>
              <w:b/>
              <w:bCs/>
              <w:kern w:val="2"/>
              <w:szCs w:val="24"/>
              <w:lang w:val="en-US" w:eastAsia="zh-CN" w:bidi="ar-SA"/>
            </w:rPr>
            <w:fldChar w:fldCharType="end"/>
          </w:r>
        </w:p>
        <w:p w14:paraId="553316D0">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_Toc6571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eastAsia="宋体" w:cs="Times New Roman"/>
              <w:bCs/>
              <w:szCs w:val="24"/>
              <w:highlight w:val="none"/>
              <w:lang w:val="en-US" w:eastAsia="zh-CN"/>
            </w:rPr>
            <w:t>（一）</w:t>
          </w:r>
          <w:r>
            <w:rPr>
              <w:rFonts w:hint="eastAsia" w:ascii="Times New Roman" w:hAnsi="Times New Roman" w:eastAsia="宋体" w:cs="Times New Roman"/>
              <w:bCs/>
              <w:szCs w:val="24"/>
              <w:highlight w:val="none"/>
              <w:lang w:val="en-US" w:eastAsia="zh-CN"/>
            </w:rPr>
            <w:t>评价目的</w:t>
          </w:r>
          <w:r>
            <w:tab/>
          </w:r>
          <w:r>
            <w:fldChar w:fldCharType="begin"/>
          </w:r>
          <w:r>
            <w:instrText xml:space="preserve"> PAGEREF _Toc6571 \h </w:instrText>
          </w:r>
          <w:r>
            <w:fldChar w:fldCharType="separate"/>
          </w:r>
          <w:r>
            <w:t>1</w:t>
          </w:r>
          <w:r>
            <w:fldChar w:fldCharType="end"/>
          </w:r>
          <w:r>
            <w:rPr>
              <w:rFonts w:hint="default" w:ascii="Calibri" w:hAnsi="Calibri" w:eastAsia="宋体" w:cs="Times New Roman"/>
              <w:kern w:val="2"/>
              <w:szCs w:val="24"/>
              <w:lang w:val="en-US" w:eastAsia="zh-CN" w:bidi="ar-SA"/>
            </w:rPr>
            <w:fldChar w:fldCharType="end"/>
          </w:r>
        </w:p>
        <w:p w14:paraId="1EF07CA8">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_Toc6403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（二）评价方法</w:t>
          </w:r>
          <w:r>
            <w:tab/>
          </w:r>
          <w:r>
            <w:fldChar w:fldCharType="begin"/>
          </w:r>
          <w:r>
            <w:instrText xml:space="preserve"> PAGEREF _Toc6403 \h </w:instrText>
          </w:r>
          <w:r>
            <w:fldChar w:fldCharType="separate"/>
          </w:r>
          <w:r>
            <w:t>2</w:t>
          </w:r>
          <w:r>
            <w:fldChar w:fldCharType="end"/>
          </w:r>
          <w:r>
            <w:rPr>
              <w:rFonts w:hint="default" w:ascii="Calibri" w:hAnsi="Calibri" w:eastAsia="宋体" w:cs="Times New Roman"/>
              <w:kern w:val="2"/>
              <w:szCs w:val="24"/>
              <w:lang w:val="en-US" w:eastAsia="zh-CN" w:bidi="ar-SA"/>
            </w:rPr>
            <w:fldChar w:fldCharType="end"/>
          </w:r>
        </w:p>
        <w:p w14:paraId="337404E0">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_Toc12704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cs="Times New Roman"/>
              <w:b/>
              <w:bCs/>
              <w:szCs w:val="24"/>
              <w:lang w:val="en-US" w:eastAsia="zh-CN"/>
            </w:rPr>
            <w:t xml:space="preserve">三、 </w:t>
          </w:r>
          <w:r>
            <w:rPr>
              <w:rFonts w:hint="eastAsia" w:ascii="Times New Roman" w:hAnsi="Times New Roman" w:cs="Times New Roman"/>
              <w:b/>
              <w:bCs/>
              <w:szCs w:val="24"/>
              <w:highlight w:val="none"/>
              <w:lang w:val="en-US" w:eastAsia="zh-CN"/>
            </w:rPr>
            <w:t>评价指标</w:t>
          </w:r>
          <w:r>
            <w:rPr>
              <w:b/>
              <w:bCs/>
            </w:rPr>
            <w:tab/>
          </w:r>
          <w:r>
            <w:rPr>
              <w:b/>
              <w:bCs/>
            </w:rPr>
            <w:fldChar w:fldCharType="begin"/>
          </w:r>
          <w:r>
            <w:rPr>
              <w:b/>
              <w:bCs/>
            </w:rPr>
            <w:instrText xml:space="preserve"> PAGEREF _Toc12704 \h </w:instrText>
          </w:r>
          <w:r>
            <w:rPr>
              <w:b/>
              <w:bCs/>
            </w:rPr>
            <w:fldChar w:fldCharType="separate"/>
          </w:r>
          <w:r>
            <w:rPr>
              <w:b/>
              <w:bCs/>
            </w:rPr>
            <w:t>2</w:t>
          </w:r>
          <w:r>
            <w:rPr>
              <w:b/>
              <w:bCs/>
            </w:rPr>
            <w:fldChar w:fldCharType="end"/>
          </w:r>
          <w:r>
            <w:rPr>
              <w:rFonts w:hint="default" w:ascii="Calibri" w:hAnsi="Calibri" w:eastAsia="宋体" w:cs="Times New Roman"/>
              <w:b/>
              <w:bCs/>
              <w:kern w:val="2"/>
              <w:szCs w:val="24"/>
              <w:lang w:val="en-US" w:eastAsia="zh-CN" w:bidi="ar-SA"/>
            </w:rPr>
            <w:fldChar w:fldCharType="end"/>
          </w:r>
        </w:p>
        <w:p w14:paraId="32330C36">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_Toc3917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cs="Times New Roman"/>
              <w:b/>
              <w:bCs/>
              <w:szCs w:val="24"/>
              <w:lang w:val="en-US" w:eastAsia="zh-CN"/>
            </w:rPr>
            <w:t xml:space="preserve">四、 </w:t>
          </w:r>
          <w:r>
            <w:rPr>
              <w:rFonts w:hint="eastAsia" w:ascii="Times New Roman" w:hAnsi="Times New Roman" w:cs="Times New Roman"/>
              <w:b/>
              <w:bCs/>
              <w:szCs w:val="24"/>
              <w:highlight w:val="none"/>
              <w:lang w:val="en-US" w:eastAsia="zh-CN"/>
            </w:rPr>
            <w:t>评价结果与结论</w:t>
          </w:r>
          <w:r>
            <w:rPr>
              <w:b/>
              <w:bCs/>
            </w:rPr>
            <w:tab/>
          </w:r>
          <w:r>
            <w:rPr>
              <w:b/>
              <w:bCs/>
            </w:rPr>
            <w:fldChar w:fldCharType="begin"/>
          </w:r>
          <w:r>
            <w:rPr>
              <w:b/>
              <w:bCs/>
            </w:rPr>
            <w:instrText xml:space="preserve"> PAGEREF _Toc3917 \h </w:instrText>
          </w:r>
          <w:r>
            <w:rPr>
              <w:b/>
              <w:bCs/>
            </w:rPr>
            <w:fldChar w:fldCharType="separate"/>
          </w:r>
          <w:r>
            <w:rPr>
              <w:b/>
              <w:bCs/>
            </w:rPr>
            <w:t>2</w:t>
          </w:r>
          <w:r>
            <w:rPr>
              <w:b/>
              <w:bCs/>
            </w:rPr>
            <w:fldChar w:fldCharType="end"/>
          </w:r>
          <w:r>
            <w:rPr>
              <w:rFonts w:hint="default" w:ascii="Calibri" w:hAnsi="Calibri" w:eastAsia="宋体" w:cs="Times New Roman"/>
              <w:b/>
              <w:bCs/>
              <w:kern w:val="2"/>
              <w:szCs w:val="24"/>
              <w:lang w:val="en-US" w:eastAsia="zh-CN" w:bidi="ar-SA"/>
            </w:rPr>
            <w:fldChar w:fldCharType="end"/>
          </w:r>
        </w:p>
        <w:p w14:paraId="47458B57">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_Toc1478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highlight w:val="none"/>
              <w:lang w:val="en-US" w:eastAsia="zh-CN"/>
            </w:rPr>
            <w:t>五、项目绩效分析</w:t>
          </w:r>
          <w:r>
            <w:rPr>
              <w:b/>
              <w:bCs/>
            </w:rPr>
            <w:tab/>
          </w:r>
          <w:r>
            <w:rPr>
              <w:b/>
              <w:bCs/>
            </w:rPr>
            <w:fldChar w:fldCharType="begin"/>
          </w:r>
          <w:r>
            <w:rPr>
              <w:b/>
              <w:bCs/>
            </w:rPr>
            <w:instrText xml:space="preserve"> PAGEREF _Toc1478 \h </w:instrText>
          </w:r>
          <w:r>
            <w:rPr>
              <w:b/>
              <w:bCs/>
            </w:rPr>
            <w:fldChar w:fldCharType="separate"/>
          </w:r>
          <w:r>
            <w:rPr>
              <w:b/>
              <w:bCs/>
            </w:rPr>
            <w:t>4</w:t>
          </w:r>
          <w:r>
            <w:rPr>
              <w:b/>
              <w:bCs/>
            </w:rPr>
            <w:fldChar w:fldCharType="end"/>
          </w:r>
          <w:r>
            <w:rPr>
              <w:rFonts w:hint="default" w:ascii="Calibri" w:hAnsi="Calibri" w:eastAsia="宋体" w:cs="Times New Roman"/>
              <w:b/>
              <w:bCs/>
              <w:kern w:val="2"/>
              <w:szCs w:val="24"/>
              <w:lang w:val="en-US" w:eastAsia="zh-CN" w:bidi="ar-SA"/>
            </w:rPr>
            <w:fldChar w:fldCharType="end"/>
          </w:r>
        </w:p>
        <w:p w14:paraId="3D675699">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_Toc7319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cs="Times New Roman"/>
              <w:bCs/>
              <w:szCs w:val="24"/>
              <w:highlight w:val="none"/>
              <w:lang w:val="en-US" w:eastAsia="zh-CN"/>
            </w:rPr>
            <w:t>（一）</w:t>
          </w:r>
          <w:r>
            <w:rPr>
              <w:rFonts w:hint="default" w:ascii="Times New Roman" w:hAnsi="Times New Roman" w:cs="Times New Roman"/>
              <w:bCs/>
              <w:szCs w:val="24"/>
              <w:highlight w:val="none"/>
              <w:lang w:val="en-US" w:eastAsia="zh-CN"/>
            </w:rPr>
            <w:t>通用指标</w:t>
          </w:r>
          <w:r>
            <w:tab/>
          </w:r>
          <w:r>
            <w:fldChar w:fldCharType="begin"/>
          </w:r>
          <w:r>
            <w:instrText xml:space="preserve"> PAGEREF _Toc7319 \h </w:instrText>
          </w:r>
          <w:r>
            <w:fldChar w:fldCharType="separate"/>
          </w:r>
          <w:r>
            <w:t>4</w:t>
          </w:r>
          <w:r>
            <w:fldChar w:fldCharType="end"/>
          </w:r>
          <w:r>
            <w:rPr>
              <w:rFonts w:hint="default" w:ascii="Calibri" w:hAnsi="Calibri" w:eastAsia="宋体" w:cs="Times New Roman"/>
              <w:kern w:val="2"/>
              <w:szCs w:val="24"/>
              <w:lang w:val="en-US" w:eastAsia="zh-CN" w:bidi="ar-SA"/>
            </w:rPr>
            <w:fldChar w:fldCharType="end"/>
          </w:r>
        </w:p>
        <w:p w14:paraId="7B10C192">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_Toc11672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cs="Times New Roman"/>
              <w:bCs/>
              <w:szCs w:val="24"/>
              <w:highlight w:val="none"/>
              <w:lang w:val="en-US" w:eastAsia="zh-CN"/>
            </w:rPr>
            <w:t>1.项目决策</w:t>
          </w:r>
          <w:r>
            <w:tab/>
          </w:r>
          <w:r>
            <w:fldChar w:fldCharType="begin"/>
          </w:r>
          <w:r>
            <w:instrText xml:space="preserve"> PAGEREF _Toc11672 \h </w:instrText>
          </w:r>
          <w:r>
            <w:fldChar w:fldCharType="separate"/>
          </w:r>
          <w:r>
            <w:t>4</w:t>
          </w:r>
          <w:r>
            <w:fldChar w:fldCharType="end"/>
          </w:r>
          <w:r>
            <w:rPr>
              <w:rFonts w:hint="default" w:ascii="Calibri" w:hAnsi="Calibri" w:eastAsia="宋体" w:cs="Times New Roman"/>
              <w:kern w:val="2"/>
              <w:szCs w:val="24"/>
              <w:lang w:val="en-US" w:eastAsia="zh-CN" w:bidi="ar-SA"/>
            </w:rPr>
            <w:fldChar w:fldCharType="end"/>
          </w:r>
        </w:p>
        <w:p w14:paraId="1D373AFE">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_Toc27690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2.项目管理</w:t>
          </w:r>
          <w:r>
            <w:tab/>
          </w:r>
          <w:r>
            <w:fldChar w:fldCharType="begin"/>
          </w:r>
          <w:r>
            <w:instrText xml:space="preserve"> PAGEREF _Toc27690 \h </w:instrText>
          </w:r>
          <w:r>
            <w:fldChar w:fldCharType="separate"/>
          </w:r>
          <w:r>
            <w:t>5</w:t>
          </w:r>
          <w:r>
            <w:fldChar w:fldCharType="end"/>
          </w:r>
          <w:r>
            <w:rPr>
              <w:rFonts w:hint="default" w:ascii="Calibri" w:hAnsi="Calibri" w:eastAsia="宋体" w:cs="Times New Roman"/>
              <w:kern w:val="2"/>
              <w:szCs w:val="24"/>
              <w:lang w:val="en-US" w:eastAsia="zh-CN" w:bidi="ar-SA"/>
            </w:rPr>
            <w:fldChar w:fldCharType="end"/>
          </w:r>
        </w:p>
        <w:p w14:paraId="3AE56BC8">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_Toc17893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3.项目实施</w:t>
          </w:r>
          <w:r>
            <w:tab/>
          </w:r>
          <w:r>
            <w:fldChar w:fldCharType="begin"/>
          </w:r>
          <w:r>
            <w:instrText xml:space="preserve"> PAGEREF _Toc17893 \h </w:instrText>
          </w:r>
          <w:r>
            <w:fldChar w:fldCharType="separate"/>
          </w:r>
          <w:r>
            <w:t>6</w:t>
          </w:r>
          <w:r>
            <w:fldChar w:fldCharType="end"/>
          </w:r>
          <w:r>
            <w:rPr>
              <w:rFonts w:hint="default" w:ascii="Calibri" w:hAnsi="Calibri" w:eastAsia="宋体" w:cs="Times New Roman"/>
              <w:kern w:val="2"/>
              <w:szCs w:val="24"/>
              <w:lang w:val="en-US" w:eastAsia="zh-CN" w:bidi="ar-SA"/>
            </w:rPr>
            <w:fldChar w:fldCharType="end"/>
          </w:r>
        </w:p>
        <w:p w14:paraId="56A31B80">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_Toc31182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4.项目结果</w:t>
          </w:r>
          <w:r>
            <w:tab/>
          </w:r>
          <w:r>
            <w:fldChar w:fldCharType="begin"/>
          </w:r>
          <w:r>
            <w:instrText xml:space="preserve"> PAGEREF _Toc31182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3E0AEC27">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_Toc22129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（二）</w:t>
          </w:r>
          <w:r>
            <w:rPr>
              <w:rFonts w:hint="eastAsia" w:ascii="Times New Roman" w:hAnsi="Times New Roman" w:eastAsia="宋体" w:cs="Times New Roman"/>
              <w:bCs/>
              <w:szCs w:val="24"/>
              <w:highlight w:val="none"/>
              <w:lang w:val="en-US" w:eastAsia="zh-CN"/>
            </w:rPr>
            <w:t>专用指标</w:t>
          </w:r>
          <w:r>
            <w:tab/>
          </w:r>
          <w:r>
            <w:fldChar w:fldCharType="begin"/>
          </w:r>
          <w:r>
            <w:instrText xml:space="preserve"> PAGEREF _Toc22129 \h </w:instrText>
          </w:r>
          <w:r>
            <w:fldChar w:fldCharType="separate"/>
          </w:r>
          <w:r>
            <w:t>10</w:t>
          </w:r>
          <w:r>
            <w:fldChar w:fldCharType="end"/>
          </w:r>
          <w:r>
            <w:rPr>
              <w:rFonts w:hint="default" w:ascii="Calibri" w:hAnsi="Calibri" w:eastAsia="宋体" w:cs="Times New Roman"/>
              <w:kern w:val="2"/>
              <w:szCs w:val="24"/>
              <w:lang w:val="en-US" w:eastAsia="zh-CN" w:bidi="ar-SA"/>
            </w:rPr>
            <w:fldChar w:fldCharType="end"/>
          </w:r>
        </w:p>
        <w:p w14:paraId="419A4BC3">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_Toc25693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1.行政运转</w:t>
          </w:r>
          <w:r>
            <w:tab/>
          </w:r>
          <w:r>
            <w:fldChar w:fldCharType="begin"/>
          </w:r>
          <w:r>
            <w:instrText xml:space="preserve"> PAGEREF _Toc25693 \h </w:instrText>
          </w:r>
          <w:r>
            <w:fldChar w:fldCharType="separate"/>
          </w:r>
          <w:r>
            <w:t>10</w:t>
          </w:r>
          <w:r>
            <w:fldChar w:fldCharType="end"/>
          </w:r>
          <w:r>
            <w:rPr>
              <w:rFonts w:hint="default" w:ascii="Calibri" w:hAnsi="Calibri" w:eastAsia="宋体" w:cs="Times New Roman"/>
              <w:kern w:val="2"/>
              <w:szCs w:val="24"/>
              <w:lang w:val="en-US" w:eastAsia="zh-CN" w:bidi="ar-SA"/>
            </w:rPr>
            <w:fldChar w:fldCharType="end"/>
          </w:r>
        </w:p>
        <w:p w14:paraId="34FF0FD9">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_Toc26700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（三）</w:t>
          </w:r>
          <w:r>
            <w:rPr>
              <w:rFonts w:hint="eastAsia" w:ascii="Times New Roman" w:hAnsi="Times New Roman" w:eastAsia="宋体" w:cs="Times New Roman"/>
              <w:bCs/>
              <w:szCs w:val="24"/>
              <w:highlight w:val="none"/>
              <w:lang w:val="en-US" w:eastAsia="zh-CN"/>
            </w:rPr>
            <w:t>个性指标</w:t>
          </w:r>
          <w:r>
            <w:tab/>
          </w:r>
          <w:r>
            <w:fldChar w:fldCharType="begin"/>
          </w:r>
          <w:r>
            <w:instrText xml:space="preserve"> PAGEREF _Toc26700 \h </w:instrText>
          </w:r>
          <w:r>
            <w:fldChar w:fldCharType="separate"/>
          </w:r>
          <w:r>
            <w:t>11</w:t>
          </w:r>
          <w:r>
            <w:fldChar w:fldCharType="end"/>
          </w:r>
          <w:r>
            <w:rPr>
              <w:rFonts w:hint="default" w:ascii="Calibri" w:hAnsi="Calibri" w:eastAsia="宋体" w:cs="Times New Roman"/>
              <w:kern w:val="2"/>
              <w:szCs w:val="24"/>
              <w:lang w:val="en-US" w:eastAsia="zh-CN" w:bidi="ar-SA"/>
            </w:rPr>
            <w:fldChar w:fldCharType="end"/>
          </w:r>
        </w:p>
        <w:p w14:paraId="7EF2FE32">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_Toc18391 </w:instrText>
          </w:r>
          <w:r>
            <w:rPr>
              <w:rFonts w:hint="default" w:ascii="Calibri" w:hAnsi="Calibri" w:eastAsia="宋体" w:cs="Times New Roman"/>
              <w:kern w:val="2"/>
              <w:szCs w:val="24"/>
              <w:lang w:val="en-US" w:eastAsia="zh-CN" w:bidi="ar-SA"/>
            </w:rPr>
            <w:fldChar w:fldCharType="separate"/>
          </w:r>
          <w:r>
            <w:rPr>
              <w:rFonts w:hint="default" w:ascii="宋体" w:hAnsi="宋体" w:eastAsia="宋体" w:cs="宋体"/>
              <w:bCs w:val="0"/>
              <w:szCs w:val="24"/>
              <w:lang w:val="en-US" w:eastAsia="zh-CN"/>
            </w:rPr>
            <w:t>1.普查责任区覆盖达标率</w:t>
          </w:r>
          <w:r>
            <w:tab/>
          </w:r>
          <w:r>
            <w:fldChar w:fldCharType="begin"/>
          </w:r>
          <w:r>
            <w:instrText xml:space="preserve"> PAGEREF _Toc18391 \h </w:instrText>
          </w:r>
          <w:r>
            <w:fldChar w:fldCharType="separate"/>
          </w:r>
          <w:r>
            <w:t>11</w:t>
          </w:r>
          <w:r>
            <w:fldChar w:fldCharType="end"/>
          </w:r>
          <w:r>
            <w:rPr>
              <w:rFonts w:hint="default" w:ascii="Calibri" w:hAnsi="Calibri" w:eastAsia="宋体" w:cs="Times New Roman"/>
              <w:kern w:val="2"/>
              <w:szCs w:val="24"/>
              <w:lang w:val="en-US" w:eastAsia="zh-CN" w:bidi="ar-SA"/>
            </w:rPr>
            <w:fldChar w:fldCharType="end"/>
          </w:r>
        </w:p>
        <w:p w14:paraId="52BD3B67">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_Toc18907 </w:instrText>
          </w:r>
          <w:r>
            <w:rPr>
              <w:rFonts w:hint="default" w:ascii="Calibri" w:hAnsi="Calibri" w:eastAsia="宋体" w:cs="Times New Roman"/>
              <w:kern w:val="2"/>
              <w:szCs w:val="24"/>
              <w:lang w:val="en-US" w:eastAsia="zh-CN" w:bidi="ar-SA"/>
            </w:rPr>
            <w:fldChar w:fldCharType="separate"/>
          </w:r>
          <w:r>
            <w:rPr>
              <w:rFonts w:hint="default" w:ascii="宋体" w:hAnsi="宋体" w:eastAsia="宋体" w:cs="宋体"/>
              <w:bCs w:val="0"/>
              <w:szCs w:val="24"/>
              <w:lang w:val="en-US" w:eastAsia="zh-CN"/>
            </w:rPr>
            <w:t>2.特殊对象普查处置合规率</w:t>
          </w:r>
          <w:r>
            <w:tab/>
          </w:r>
          <w:r>
            <w:fldChar w:fldCharType="begin"/>
          </w:r>
          <w:r>
            <w:instrText xml:space="preserve"> PAGEREF _Toc18907 \h </w:instrText>
          </w:r>
          <w:r>
            <w:fldChar w:fldCharType="separate"/>
          </w:r>
          <w:r>
            <w:t>11</w:t>
          </w:r>
          <w:r>
            <w:fldChar w:fldCharType="end"/>
          </w:r>
          <w:r>
            <w:rPr>
              <w:rFonts w:hint="default" w:ascii="Calibri" w:hAnsi="Calibri" w:eastAsia="宋体" w:cs="Times New Roman"/>
              <w:kern w:val="2"/>
              <w:szCs w:val="24"/>
              <w:lang w:val="en-US" w:eastAsia="zh-CN" w:bidi="ar-SA"/>
            </w:rPr>
            <w:fldChar w:fldCharType="end"/>
          </w:r>
        </w:p>
        <w:p w14:paraId="54B0D042">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_Toc31184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 xml:space="preserve">（四） </w:t>
          </w:r>
          <w:r>
            <w:rPr>
              <w:rFonts w:hint="eastAsia" w:ascii="Times New Roman" w:hAnsi="Times New Roman" w:eastAsia="宋体" w:cs="Times New Roman"/>
              <w:bCs/>
              <w:szCs w:val="24"/>
              <w:highlight w:val="none"/>
              <w:lang w:val="en-US" w:eastAsia="zh-CN"/>
            </w:rPr>
            <w:t>扣分项</w:t>
          </w:r>
          <w:r>
            <w:tab/>
          </w:r>
          <w:r>
            <w:fldChar w:fldCharType="begin"/>
          </w:r>
          <w:r>
            <w:instrText xml:space="preserve"> PAGEREF _Toc31184 \h </w:instrText>
          </w:r>
          <w:r>
            <w:fldChar w:fldCharType="separate"/>
          </w:r>
          <w:r>
            <w:t>11</w:t>
          </w:r>
          <w:r>
            <w:fldChar w:fldCharType="end"/>
          </w:r>
          <w:r>
            <w:rPr>
              <w:rFonts w:hint="default" w:ascii="Calibri" w:hAnsi="Calibri" w:eastAsia="宋体" w:cs="Times New Roman"/>
              <w:kern w:val="2"/>
              <w:szCs w:val="24"/>
              <w:lang w:val="en-US" w:eastAsia="zh-CN" w:bidi="ar-SA"/>
            </w:rPr>
            <w:fldChar w:fldCharType="end"/>
          </w:r>
        </w:p>
        <w:p w14:paraId="1768FB5E">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_Toc16418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 xml:space="preserve">1. </w:t>
          </w:r>
          <w:r>
            <w:rPr>
              <w:rFonts w:hint="eastAsia" w:ascii="Times New Roman" w:hAnsi="Times New Roman" w:eastAsia="宋体" w:cs="Times New Roman"/>
              <w:bCs/>
              <w:szCs w:val="24"/>
              <w:highlight w:val="none"/>
              <w:lang w:val="en-US" w:eastAsia="zh-CN"/>
            </w:rPr>
            <w:t>绩效管理存在问题</w:t>
          </w:r>
          <w:r>
            <w:tab/>
          </w:r>
          <w:r>
            <w:fldChar w:fldCharType="begin"/>
          </w:r>
          <w:r>
            <w:instrText xml:space="preserve"> PAGEREF _Toc16418 \h </w:instrText>
          </w:r>
          <w:r>
            <w:fldChar w:fldCharType="separate"/>
          </w:r>
          <w:r>
            <w:t>11</w:t>
          </w:r>
          <w:r>
            <w:fldChar w:fldCharType="end"/>
          </w:r>
          <w:r>
            <w:rPr>
              <w:rFonts w:hint="default" w:ascii="Calibri" w:hAnsi="Calibri" w:eastAsia="宋体" w:cs="Times New Roman"/>
              <w:kern w:val="2"/>
              <w:szCs w:val="24"/>
              <w:lang w:val="en-US" w:eastAsia="zh-CN" w:bidi="ar-SA"/>
            </w:rPr>
            <w:fldChar w:fldCharType="end"/>
          </w:r>
        </w:p>
        <w:p w14:paraId="51A702E5">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_Toc16909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cs="Times New Roman"/>
              <w:bCs/>
              <w:szCs w:val="24"/>
              <w:lang w:val="en-US" w:eastAsia="zh-CN"/>
            </w:rPr>
            <w:t xml:space="preserve">2. </w:t>
          </w:r>
          <w:r>
            <w:rPr>
              <w:rFonts w:hint="eastAsia" w:ascii="Times New Roman" w:hAnsi="Times New Roman" w:cs="Times New Roman"/>
              <w:bCs/>
              <w:szCs w:val="24"/>
              <w:highlight w:val="none"/>
              <w:lang w:val="en-US" w:eastAsia="zh-CN"/>
            </w:rPr>
            <w:t>被评价部门配合度</w:t>
          </w:r>
          <w:r>
            <w:tab/>
          </w:r>
          <w:r>
            <w:fldChar w:fldCharType="begin"/>
          </w:r>
          <w:r>
            <w:instrText xml:space="preserve"> PAGEREF _Toc16909 \h </w:instrText>
          </w:r>
          <w:r>
            <w:fldChar w:fldCharType="separate"/>
          </w:r>
          <w:r>
            <w:t>12</w:t>
          </w:r>
          <w:r>
            <w:fldChar w:fldCharType="end"/>
          </w:r>
          <w:r>
            <w:rPr>
              <w:rFonts w:hint="default" w:ascii="Calibri" w:hAnsi="Calibri" w:eastAsia="宋体" w:cs="Times New Roman"/>
              <w:kern w:val="2"/>
              <w:szCs w:val="24"/>
              <w:lang w:val="en-US" w:eastAsia="zh-CN" w:bidi="ar-SA"/>
            </w:rPr>
            <w:fldChar w:fldCharType="end"/>
          </w:r>
        </w:p>
        <w:p w14:paraId="57F6C57E">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_Toc30549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五、存在的主要问题</w:t>
          </w:r>
          <w:r>
            <w:rPr>
              <w:b/>
              <w:bCs/>
            </w:rPr>
            <w:tab/>
          </w:r>
          <w:r>
            <w:rPr>
              <w:b/>
              <w:bCs/>
            </w:rPr>
            <w:fldChar w:fldCharType="begin"/>
          </w:r>
          <w:r>
            <w:rPr>
              <w:b/>
              <w:bCs/>
            </w:rPr>
            <w:instrText xml:space="preserve"> PAGEREF _Toc30549 \h </w:instrText>
          </w:r>
          <w:r>
            <w:rPr>
              <w:b/>
              <w:bCs/>
            </w:rPr>
            <w:fldChar w:fldCharType="separate"/>
          </w:r>
          <w:r>
            <w:rPr>
              <w:b/>
              <w:bCs/>
            </w:rPr>
            <w:t>12</w:t>
          </w:r>
          <w:r>
            <w:rPr>
              <w:b/>
              <w:bCs/>
            </w:rPr>
            <w:fldChar w:fldCharType="end"/>
          </w:r>
          <w:r>
            <w:rPr>
              <w:rFonts w:hint="default" w:ascii="Calibri" w:hAnsi="Calibri" w:eastAsia="宋体" w:cs="Times New Roman"/>
              <w:b/>
              <w:bCs/>
              <w:kern w:val="2"/>
              <w:szCs w:val="24"/>
              <w:lang w:val="en-US" w:eastAsia="zh-CN" w:bidi="ar-SA"/>
            </w:rPr>
            <w:fldChar w:fldCharType="end"/>
          </w:r>
        </w:p>
        <w:p w14:paraId="70624C58">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_Toc14678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（一）培训组织管理不规范：普查人员培训参与率未达要求</w:t>
          </w:r>
          <w:r>
            <w:tab/>
          </w:r>
          <w:r>
            <w:fldChar w:fldCharType="begin"/>
          </w:r>
          <w:r>
            <w:instrText xml:space="preserve"> PAGEREF _Toc14678 \h </w:instrText>
          </w:r>
          <w:r>
            <w:fldChar w:fldCharType="separate"/>
          </w:r>
          <w:r>
            <w:t>12</w:t>
          </w:r>
          <w:r>
            <w:fldChar w:fldCharType="end"/>
          </w:r>
          <w:r>
            <w:rPr>
              <w:rFonts w:hint="default" w:ascii="Calibri" w:hAnsi="Calibri" w:eastAsia="宋体" w:cs="Times New Roman"/>
              <w:kern w:val="2"/>
              <w:szCs w:val="24"/>
              <w:lang w:val="en-US" w:eastAsia="zh-CN" w:bidi="ar-SA"/>
            </w:rPr>
            <w:fldChar w:fldCharType="end"/>
          </w:r>
        </w:p>
        <w:p w14:paraId="2E2A90DA">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_Toc21754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（二）</w:t>
          </w:r>
          <w:r>
            <w:rPr>
              <w:rFonts w:hint="eastAsia" w:ascii="宋体" w:hAnsi="宋体" w:cs="宋体"/>
              <w:bCs w:val="0"/>
              <w:szCs w:val="24"/>
              <w:lang w:val="en-US" w:eastAsia="zh-CN"/>
            </w:rPr>
            <w:t>纸质</w:t>
          </w:r>
          <w:r>
            <w:rPr>
              <w:rFonts w:hint="eastAsia" w:ascii="宋体" w:hAnsi="宋体" w:eastAsia="宋体" w:cs="宋体"/>
              <w:bCs w:val="0"/>
              <w:szCs w:val="24"/>
              <w:lang w:val="en-US" w:eastAsia="zh-CN"/>
            </w:rPr>
            <w:t>考核评分</w:t>
          </w:r>
          <w:r>
            <w:rPr>
              <w:rFonts w:hint="eastAsia" w:ascii="宋体" w:hAnsi="宋体" w:cs="宋体"/>
              <w:bCs w:val="0"/>
              <w:szCs w:val="24"/>
              <w:lang w:val="en-US" w:eastAsia="zh-CN"/>
            </w:rPr>
            <w:t>资料</w:t>
          </w:r>
          <w:r>
            <w:rPr>
              <w:rFonts w:hint="eastAsia" w:ascii="宋体" w:hAnsi="宋体" w:eastAsia="宋体" w:cs="宋体"/>
              <w:bCs w:val="0"/>
              <w:szCs w:val="24"/>
              <w:lang w:val="en-US" w:eastAsia="zh-CN"/>
            </w:rPr>
            <w:t>管理不完整：部分单位考核计评分表内容缺失</w:t>
          </w:r>
          <w:r>
            <w:tab/>
          </w:r>
          <w:r>
            <w:fldChar w:fldCharType="begin"/>
          </w:r>
          <w:r>
            <w:instrText xml:space="preserve"> PAGEREF _Toc21754 \h </w:instrText>
          </w:r>
          <w:r>
            <w:fldChar w:fldCharType="separate"/>
          </w:r>
          <w:r>
            <w:t>12</w:t>
          </w:r>
          <w:r>
            <w:fldChar w:fldCharType="end"/>
          </w:r>
          <w:r>
            <w:rPr>
              <w:rFonts w:hint="default" w:ascii="Calibri" w:hAnsi="Calibri" w:eastAsia="宋体" w:cs="Times New Roman"/>
              <w:kern w:val="2"/>
              <w:szCs w:val="24"/>
              <w:lang w:val="en-US" w:eastAsia="zh-CN" w:bidi="ar-SA"/>
            </w:rPr>
            <w:fldChar w:fldCharType="end"/>
          </w:r>
        </w:p>
        <w:p w14:paraId="164C94BD">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_Toc1926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（三）经费发放管控不精准：补助对象细分缺乏明确规则</w:t>
          </w:r>
          <w:r>
            <w:tab/>
          </w:r>
          <w:r>
            <w:fldChar w:fldCharType="begin"/>
          </w:r>
          <w:r>
            <w:instrText xml:space="preserve"> PAGEREF _Toc1926 \h </w:instrText>
          </w:r>
          <w:r>
            <w:fldChar w:fldCharType="separate"/>
          </w:r>
          <w:r>
            <w:t>12</w:t>
          </w:r>
          <w:r>
            <w:fldChar w:fldCharType="end"/>
          </w:r>
          <w:r>
            <w:rPr>
              <w:rFonts w:hint="default" w:ascii="Calibri" w:hAnsi="Calibri" w:eastAsia="宋体" w:cs="Times New Roman"/>
              <w:kern w:val="2"/>
              <w:szCs w:val="24"/>
              <w:lang w:val="en-US" w:eastAsia="zh-CN" w:bidi="ar-SA"/>
            </w:rPr>
            <w:fldChar w:fldCharType="end"/>
          </w:r>
        </w:p>
        <w:p w14:paraId="74316D6B">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_Toc8234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w:t>
          </w:r>
          <w:r>
            <w:rPr>
              <w:rFonts w:hint="eastAsia" w:ascii="宋体" w:hAnsi="宋体" w:cs="宋体"/>
              <w:bCs w:val="0"/>
              <w:szCs w:val="24"/>
              <w:lang w:val="en-US" w:eastAsia="zh-CN"/>
            </w:rPr>
            <w:t>四</w:t>
          </w:r>
          <w:r>
            <w:rPr>
              <w:rFonts w:hint="eastAsia" w:ascii="宋体" w:hAnsi="宋体" w:eastAsia="宋体" w:cs="宋体"/>
              <w:bCs w:val="0"/>
              <w:szCs w:val="24"/>
              <w:lang w:val="en-US" w:eastAsia="zh-CN"/>
            </w:rPr>
            <w:t>） 绩效目标与实际工作适配不足：单位清查户数计划目标未达实际完成要求</w:t>
          </w:r>
          <w:r>
            <w:tab/>
          </w:r>
          <w:r>
            <w:fldChar w:fldCharType="begin"/>
          </w:r>
          <w:r>
            <w:instrText xml:space="preserve"> PAGEREF _Toc8234 \h </w:instrText>
          </w:r>
          <w:r>
            <w:fldChar w:fldCharType="separate"/>
          </w:r>
          <w:r>
            <w:t>12</w:t>
          </w:r>
          <w:r>
            <w:fldChar w:fldCharType="end"/>
          </w:r>
          <w:r>
            <w:rPr>
              <w:rFonts w:hint="default" w:ascii="Calibri" w:hAnsi="Calibri" w:eastAsia="宋体" w:cs="Times New Roman"/>
              <w:kern w:val="2"/>
              <w:szCs w:val="24"/>
              <w:lang w:val="en-US" w:eastAsia="zh-CN" w:bidi="ar-SA"/>
            </w:rPr>
            <w:fldChar w:fldCharType="end"/>
          </w:r>
        </w:p>
        <w:p w14:paraId="2F8A29CB">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_Toc17241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六、相关建议</w:t>
          </w:r>
          <w:r>
            <w:rPr>
              <w:b/>
              <w:bCs/>
            </w:rPr>
            <w:tab/>
          </w:r>
          <w:r>
            <w:rPr>
              <w:b/>
              <w:bCs/>
            </w:rPr>
            <w:fldChar w:fldCharType="begin"/>
          </w:r>
          <w:r>
            <w:rPr>
              <w:b/>
              <w:bCs/>
            </w:rPr>
            <w:instrText xml:space="preserve"> PAGEREF _Toc17241 \h </w:instrText>
          </w:r>
          <w:r>
            <w:rPr>
              <w:b/>
              <w:bCs/>
            </w:rPr>
            <w:fldChar w:fldCharType="separate"/>
          </w:r>
          <w:r>
            <w:rPr>
              <w:b/>
              <w:bCs/>
            </w:rPr>
            <w:t>13</w:t>
          </w:r>
          <w:r>
            <w:rPr>
              <w:b/>
              <w:bCs/>
            </w:rPr>
            <w:fldChar w:fldCharType="end"/>
          </w:r>
          <w:r>
            <w:rPr>
              <w:rFonts w:hint="default" w:ascii="Calibri" w:hAnsi="Calibri" w:eastAsia="宋体" w:cs="Times New Roman"/>
              <w:b/>
              <w:bCs/>
              <w:kern w:val="2"/>
              <w:szCs w:val="24"/>
              <w:lang w:val="en-US" w:eastAsia="zh-CN" w:bidi="ar-SA"/>
            </w:rPr>
            <w:fldChar w:fldCharType="end"/>
          </w:r>
        </w:p>
        <w:p w14:paraId="788B662D">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_Toc22695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（一）优化培训组织管控，保障全员参训</w:t>
          </w:r>
          <w:r>
            <w:tab/>
          </w:r>
          <w:r>
            <w:fldChar w:fldCharType="begin"/>
          </w:r>
          <w:r>
            <w:instrText xml:space="preserve"> PAGEREF _Toc22695 \h </w:instrText>
          </w:r>
          <w:r>
            <w:fldChar w:fldCharType="separate"/>
          </w:r>
          <w:r>
            <w:t>13</w:t>
          </w:r>
          <w:r>
            <w:fldChar w:fldCharType="end"/>
          </w:r>
          <w:r>
            <w:rPr>
              <w:rFonts w:hint="default" w:ascii="Calibri" w:hAnsi="Calibri" w:eastAsia="宋体" w:cs="Times New Roman"/>
              <w:kern w:val="2"/>
              <w:szCs w:val="24"/>
              <w:lang w:val="en-US" w:eastAsia="zh-CN" w:bidi="ar-SA"/>
            </w:rPr>
            <w:fldChar w:fldCharType="end"/>
          </w:r>
        </w:p>
        <w:p w14:paraId="796F8ED2">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_Toc2455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（二） 统一考核资料管理标准，确保纸电信息一致</w:t>
          </w:r>
          <w:r>
            <w:tab/>
          </w:r>
          <w:r>
            <w:fldChar w:fldCharType="begin"/>
          </w:r>
          <w:r>
            <w:instrText xml:space="preserve"> PAGEREF _Toc2455 \h </w:instrText>
          </w:r>
          <w:r>
            <w:fldChar w:fldCharType="separate"/>
          </w:r>
          <w:r>
            <w:t>13</w:t>
          </w:r>
          <w:r>
            <w:fldChar w:fldCharType="end"/>
          </w:r>
          <w:r>
            <w:rPr>
              <w:rFonts w:hint="default" w:ascii="Calibri" w:hAnsi="Calibri" w:eastAsia="宋体" w:cs="Times New Roman"/>
              <w:kern w:val="2"/>
              <w:szCs w:val="24"/>
              <w:lang w:val="en-US" w:eastAsia="zh-CN" w:bidi="ar-SA"/>
            </w:rPr>
            <w:fldChar w:fldCharType="end"/>
          </w:r>
        </w:p>
        <w:p w14:paraId="5B988145">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_Toc7146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（三） 细化经费发放规则，强化对象管控精准性</w:t>
          </w:r>
          <w:r>
            <w:tab/>
          </w:r>
          <w:r>
            <w:fldChar w:fldCharType="begin"/>
          </w:r>
          <w:r>
            <w:instrText xml:space="preserve"> PAGEREF _Toc7146 \h </w:instrText>
          </w:r>
          <w:r>
            <w:fldChar w:fldCharType="separate"/>
          </w:r>
          <w:r>
            <w:t>13</w:t>
          </w:r>
          <w:r>
            <w:fldChar w:fldCharType="end"/>
          </w:r>
          <w:r>
            <w:rPr>
              <w:rFonts w:hint="default" w:ascii="Calibri" w:hAnsi="Calibri" w:eastAsia="宋体" w:cs="Times New Roman"/>
              <w:kern w:val="2"/>
              <w:szCs w:val="24"/>
              <w:lang w:val="en-US" w:eastAsia="zh-CN" w:bidi="ar-SA"/>
            </w:rPr>
            <w:fldChar w:fldCharType="end"/>
          </w:r>
        </w:p>
        <w:p w14:paraId="7598BE84">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_Toc20093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（四） 精准适配绩效目标，提升与实际工作的衔接度</w:t>
          </w:r>
          <w:r>
            <w:tab/>
          </w:r>
          <w:r>
            <w:fldChar w:fldCharType="begin"/>
          </w:r>
          <w:r>
            <w:instrText xml:space="preserve"> PAGEREF _Toc20093 \h </w:instrText>
          </w:r>
          <w:r>
            <w:fldChar w:fldCharType="separate"/>
          </w:r>
          <w:r>
            <w:t>14</w:t>
          </w:r>
          <w:r>
            <w:fldChar w:fldCharType="end"/>
          </w:r>
          <w:r>
            <w:rPr>
              <w:rFonts w:hint="default" w:ascii="Calibri" w:hAnsi="Calibri" w:eastAsia="宋体" w:cs="Times New Roman"/>
              <w:kern w:val="2"/>
              <w:szCs w:val="24"/>
              <w:lang w:val="en-US" w:eastAsia="zh-CN" w:bidi="ar-SA"/>
            </w:rPr>
            <w:fldChar w:fldCharType="end"/>
          </w:r>
        </w:p>
        <w:p w14:paraId="56ADC1E8">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_Toc12114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附件1:第五次全国经济普查经费</w:t>
          </w:r>
          <w:r>
            <w:rPr>
              <w:rFonts w:hint="eastAsia" w:ascii="宋体" w:hAnsi="宋体" w:cs="宋体"/>
              <w:b/>
              <w:bCs/>
              <w:szCs w:val="24"/>
              <w:lang w:val="en-US" w:eastAsia="zh-CN"/>
            </w:rPr>
            <w:t>项目</w:t>
          </w:r>
          <w:r>
            <w:rPr>
              <w:rFonts w:hint="default" w:ascii="宋体" w:hAnsi="宋体" w:eastAsia="宋体" w:cs="宋体"/>
              <w:b/>
              <w:bCs/>
              <w:szCs w:val="24"/>
              <w:lang w:val="en-US" w:eastAsia="zh-CN"/>
            </w:rPr>
            <w:t>支出绩效评价指标体系</w:t>
          </w:r>
          <w:r>
            <w:rPr>
              <w:b/>
              <w:bCs/>
            </w:rPr>
            <w:tab/>
          </w:r>
          <w:r>
            <w:rPr>
              <w:b/>
              <w:bCs/>
            </w:rPr>
            <w:fldChar w:fldCharType="begin"/>
          </w:r>
          <w:r>
            <w:rPr>
              <w:b/>
              <w:bCs/>
            </w:rPr>
            <w:instrText xml:space="preserve"> PAGEREF _Toc12114 \h </w:instrText>
          </w:r>
          <w:r>
            <w:rPr>
              <w:b/>
              <w:bCs/>
            </w:rPr>
            <w:fldChar w:fldCharType="separate"/>
          </w:r>
          <w:r>
            <w:rPr>
              <w:b/>
              <w:bCs/>
            </w:rPr>
            <w:t>14</w:t>
          </w:r>
          <w:r>
            <w:rPr>
              <w:b/>
              <w:bCs/>
            </w:rPr>
            <w:fldChar w:fldCharType="end"/>
          </w:r>
          <w:r>
            <w:rPr>
              <w:rFonts w:hint="default" w:ascii="Calibri" w:hAnsi="Calibri" w:eastAsia="宋体" w:cs="Times New Roman"/>
              <w:b/>
              <w:bCs/>
              <w:kern w:val="2"/>
              <w:szCs w:val="24"/>
              <w:lang w:val="en-US" w:eastAsia="zh-CN" w:bidi="ar-SA"/>
            </w:rPr>
            <w:fldChar w:fldCharType="end"/>
          </w:r>
        </w:p>
        <w:p w14:paraId="77D4BBDC">
          <w:pP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Cs w:val="24"/>
              <w:lang w:val="en-US" w:eastAsia="zh-CN" w:bidi="ar-SA"/>
            </w:rPr>
            <w:fldChar w:fldCharType="end"/>
          </w:r>
        </w:p>
      </w:sdtContent>
    </w:sdt>
    <w:p w14:paraId="4E267EC0">
      <w:pPr>
        <w:rPr>
          <w:rFonts w:hint="default" w:ascii="Calibri" w:hAnsi="Calibri" w:eastAsia="宋体" w:cs="Times New Roman"/>
          <w:kern w:val="2"/>
          <w:sz w:val="21"/>
          <w:szCs w:val="24"/>
          <w:lang w:val="en-US" w:eastAsia="zh-CN" w:bidi="ar-SA"/>
        </w:rPr>
      </w:pPr>
    </w:p>
    <w:p w14:paraId="0AA57F11">
      <w:pPr>
        <w:rPr>
          <w:rFonts w:hint="default"/>
        </w:rPr>
        <w:sectPr>
          <w:pgSz w:w="11906" w:h="16838"/>
          <w:pgMar w:top="2098" w:right="1474" w:bottom="1928" w:left="1587" w:header="851" w:footer="1701" w:gutter="0"/>
          <w:pgNumType w:fmt="upperRoman"/>
          <w:cols w:space="425" w:num="1"/>
          <w:docGrid w:type="lines" w:linePitch="312" w:charSpace="0"/>
        </w:sectPr>
      </w:pPr>
    </w:p>
    <w:p w14:paraId="0A2469B4">
      <w:pPr>
        <w:jc w:val="both"/>
        <w:rPr>
          <w:rFonts w:hint="eastAsia" w:ascii="黑体" w:hAnsi="黑体" w:eastAsia="黑体" w:cs="黑体"/>
          <w:bCs/>
          <w:sz w:val="32"/>
          <w:szCs w:val="32"/>
          <w:lang w:val="en-US" w:eastAsia="zh-CN"/>
        </w:rPr>
        <w:sectPr>
          <w:footerReference r:id="rId9" w:type="default"/>
          <w:type w:val="continuous"/>
          <w:pgSz w:w="11906" w:h="16838"/>
          <w:pgMar w:top="1440" w:right="1134" w:bottom="1440" w:left="1134"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7E8A0AE3">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摘 要</w:t>
      </w:r>
    </w:p>
    <w:p w14:paraId="3624C746">
      <w:pPr>
        <w:jc w:val="both"/>
        <w:rPr>
          <w:rFonts w:hint="eastAsia" w:ascii="黑体" w:hAnsi="黑体" w:eastAsia="黑体" w:cs="黑体"/>
          <w:bCs/>
          <w:sz w:val="32"/>
          <w:szCs w:val="32"/>
          <w:lang w:val="en-US" w:eastAsia="zh-CN"/>
        </w:rPr>
      </w:pPr>
    </w:p>
    <w:p w14:paraId="7C946716">
      <w:pPr>
        <w:numPr>
          <w:ilvl w:val="0"/>
          <w:numId w:val="0"/>
        </w:numPr>
        <w:ind w:firstLine="482" w:firstLineChars="200"/>
        <w:jc w:val="both"/>
        <w:rPr>
          <w:rFonts w:hint="eastAsia" w:asciiTheme="majorEastAsia" w:hAnsiTheme="majorEastAsia" w:eastAsiaTheme="majorEastAsia" w:cstheme="majorEastAsia"/>
          <w:b/>
          <w:bCs w:val="0"/>
          <w:sz w:val="24"/>
          <w:szCs w:val="24"/>
          <w:lang w:val="en-US" w:eastAsia="zh-CN"/>
        </w:rPr>
      </w:pPr>
      <w:r>
        <w:rPr>
          <w:rFonts w:hint="eastAsia" w:asciiTheme="majorEastAsia" w:hAnsiTheme="majorEastAsia" w:eastAsiaTheme="majorEastAsia" w:cstheme="majorEastAsia"/>
          <w:b/>
          <w:bCs w:val="0"/>
          <w:sz w:val="24"/>
          <w:szCs w:val="24"/>
          <w:lang w:val="en-US" w:eastAsia="zh-CN"/>
        </w:rPr>
        <w:t>一、项目基本情况</w:t>
      </w:r>
    </w:p>
    <w:p w14:paraId="31AD30B0">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根据《国家统计局 关于开展第五次全国经济普查的通知》开展第五次全国经济普查，通过经济普查摸清第二、第三产业的发展情况，完善更新基本单位名录库，了解全部调查单位的资产负债、经营和用工等情况，为研究制定国民经济和社会发展规划及相关政策提供基础性资料。</w:t>
      </w:r>
    </w:p>
    <w:p w14:paraId="3043403A">
      <w:pPr>
        <w:widowControl w:val="0"/>
        <w:numPr>
          <w:ilvl w:val="0"/>
          <w:numId w:val="0"/>
        </w:numPr>
        <w:jc w:val="both"/>
        <w:rPr>
          <w:rFonts w:hint="default" w:asciiTheme="majorEastAsia" w:hAnsiTheme="majorEastAsia" w:eastAsiaTheme="majorEastAsia" w:cstheme="majorEastAsia"/>
          <w:b/>
          <w:bCs w:val="0"/>
          <w:sz w:val="24"/>
          <w:szCs w:val="24"/>
          <w:lang w:val="en-US" w:eastAsia="zh-CN"/>
        </w:rPr>
      </w:pPr>
    </w:p>
    <w:p w14:paraId="1925D051">
      <w:pPr>
        <w:widowControl w:val="0"/>
        <w:numPr>
          <w:ilvl w:val="0"/>
          <w:numId w:val="0"/>
        </w:numPr>
        <w:ind w:leftChars="0" w:firstLine="482" w:firstLineChars="200"/>
        <w:jc w:val="both"/>
        <w:rPr>
          <w:rFonts w:hint="default" w:ascii="宋体" w:hAnsi="宋体" w:eastAsia="宋体" w:cs="宋体"/>
          <w:bCs/>
          <w:sz w:val="24"/>
          <w:szCs w:val="24"/>
          <w:lang w:val="en-US" w:eastAsia="zh-CN"/>
        </w:rPr>
      </w:pPr>
      <w:r>
        <w:rPr>
          <w:rFonts w:hint="eastAsia" w:asciiTheme="majorEastAsia" w:hAnsiTheme="majorEastAsia" w:eastAsiaTheme="majorEastAsia" w:cstheme="majorEastAsia"/>
          <w:b/>
          <w:bCs w:val="0"/>
          <w:sz w:val="24"/>
          <w:szCs w:val="24"/>
          <w:lang w:val="en-US" w:eastAsia="zh-CN"/>
        </w:rPr>
        <w:t>二、主要绩效</w:t>
      </w:r>
    </w:p>
    <w:p w14:paraId="38DA8D89">
      <w:pPr>
        <w:spacing w:line="560" w:lineRule="exact"/>
        <w:ind w:firstLine="480" w:firstLineChars="200"/>
        <w:jc w:val="left"/>
        <w:rPr>
          <w:rFonts w:hint="eastAsia" w:ascii="宋体" w:hAnsi="宋体" w:cs="宋体"/>
          <w:bCs/>
          <w:sz w:val="24"/>
          <w:szCs w:val="24"/>
          <w:lang w:val="en-US" w:eastAsia="zh-CN"/>
        </w:rPr>
      </w:pPr>
      <w:r>
        <w:rPr>
          <w:rFonts w:hint="eastAsia" w:ascii="宋体" w:hAnsi="宋体" w:eastAsia="宋体" w:cs="宋体"/>
          <w:bCs/>
          <w:sz w:val="24"/>
          <w:szCs w:val="24"/>
          <w:lang w:val="en-US" w:eastAsia="zh-CN"/>
        </w:rPr>
        <w:t>2024年度，该项目年初预算数为2,060,000.00元，预算收回指标196,800.00元，该项目到位资金1,863,200.00元</w:t>
      </w:r>
      <w:r>
        <w:rPr>
          <w:rFonts w:hint="eastAsia" w:ascii="宋体" w:hAnsi="宋体" w:cs="宋体"/>
          <w:bCs/>
          <w:sz w:val="24"/>
          <w:szCs w:val="24"/>
          <w:lang w:val="en-US" w:eastAsia="zh-CN"/>
        </w:rPr>
        <w:t>，实际支付资金745,200.00元，资金使用率40.00%。资金支付具备完整审批程序，无截留、挤占、挪用等违规情况。在单位清查户数指标中，个体经营户的清查目标（约26000户）为前期设定的计划数，最终实际完成的清查数量（23025户）与计划目标存在偏差，未完成既定指标。在项目效益指标方面，为后续汇总区域产业规模、布局及效益数据奠定了基础，契合五经普“服务高质量发展”的最终目标。绩效评价得分为89.87分。</w:t>
      </w:r>
    </w:p>
    <w:p w14:paraId="0C5389D1">
      <w:pPr>
        <w:numPr>
          <w:ilvl w:val="0"/>
          <w:numId w:val="1"/>
        </w:numPr>
        <w:spacing w:line="560" w:lineRule="exact"/>
        <w:ind w:firstLine="482" w:firstLineChars="200"/>
        <w:jc w:val="left"/>
        <w:rPr>
          <w:rFonts w:hint="eastAsia" w:ascii="宋体" w:hAnsi="宋体" w:cs="宋体"/>
          <w:b/>
          <w:bCs w:val="0"/>
          <w:sz w:val="24"/>
          <w:szCs w:val="24"/>
          <w:lang w:val="en-US" w:eastAsia="zh-CN"/>
        </w:rPr>
      </w:pPr>
      <w:r>
        <w:rPr>
          <w:rFonts w:hint="eastAsia" w:ascii="宋体" w:hAnsi="宋体" w:cs="宋体"/>
          <w:b/>
          <w:bCs w:val="0"/>
          <w:sz w:val="24"/>
          <w:szCs w:val="24"/>
          <w:lang w:val="en-US" w:eastAsia="zh-CN"/>
        </w:rPr>
        <w:t>存在问题</w:t>
      </w:r>
    </w:p>
    <w:p w14:paraId="1B24043D">
      <w:pPr>
        <w:widowControl w:val="0"/>
        <w:numPr>
          <w:ilvl w:val="0"/>
          <w:numId w:val="2"/>
        </w:numPr>
        <w:spacing w:line="560" w:lineRule="exact"/>
        <w:ind w:firstLine="240" w:firstLineChars="100"/>
        <w:jc w:val="left"/>
        <w:rPr>
          <w:rFonts w:hint="eastAsia" w:ascii="宋体" w:hAnsi="宋体" w:cs="宋体"/>
          <w:bCs/>
          <w:sz w:val="24"/>
          <w:szCs w:val="24"/>
          <w:lang w:val="en-US" w:eastAsia="zh-CN"/>
        </w:rPr>
      </w:pPr>
      <w:r>
        <w:rPr>
          <w:rFonts w:hint="eastAsia" w:ascii="宋体" w:hAnsi="宋体" w:cs="宋体"/>
          <w:bCs/>
          <w:sz w:val="24"/>
          <w:szCs w:val="24"/>
          <w:lang w:val="en-US" w:eastAsia="zh-CN"/>
        </w:rPr>
        <w:t>培训组织不规范，普查人员培训参与率未达 100%，参训管控不足；</w:t>
      </w:r>
    </w:p>
    <w:p w14:paraId="28F37BC7">
      <w:pPr>
        <w:widowControl w:val="0"/>
        <w:numPr>
          <w:ilvl w:val="0"/>
          <w:numId w:val="2"/>
        </w:numPr>
        <w:spacing w:line="560" w:lineRule="exact"/>
        <w:ind w:firstLine="240" w:firstLineChars="100"/>
        <w:jc w:val="left"/>
        <w:rPr>
          <w:rFonts w:hint="default" w:ascii="宋体" w:hAnsi="宋体" w:cs="宋体"/>
          <w:bCs/>
          <w:sz w:val="24"/>
          <w:szCs w:val="24"/>
          <w:lang w:val="en-US" w:eastAsia="zh-CN"/>
        </w:rPr>
      </w:pPr>
      <w:r>
        <w:rPr>
          <w:rFonts w:hint="default" w:ascii="宋体" w:hAnsi="宋体" w:cs="宋体"/>
          <w:bCs/>
          <w:sz w:val="24"/>
          <w:szCs w:val="24"/>
          <w:lang w:val="en-US" w:eastAsia="zh-CN"/>
        </w:rPr>
        <w:t>部分单位纸质《考核计评分表》“数据处理 - 数据审核” 项分数缺失，纸电信息不一致，资料管理有疏漏；</w:t>
      </w:r>
    </w:p>
    <w:p w14:paraId="1548CE20">
      <w:pPr>
        <w:widowControl w:val="0"/>
        <w:numPr>
          <w:ilvl w:val="0"/>
          <w:numId w:val="2"/>
        </w:numPr>
        <w:spacing w:line="560" w:lineRule="exact"/>
        <w:ind w:firstLine="240" w:firstLineChars="100"/>
        <w:jc w:val="left"/>
        <w:rPr>
          <w:rFonts w:hint="default" w:ascii="宋体" w:hAnsi="宋体" w:cs="宋体"/>
          <w:bCs/>
          <w:sz w:val="24"/>
          <w:szCs w:val="24"/>
          <w:lang w:val="en-US" w:eastAsia="zh-CN"/>
        </w:rPr>
      </w:pPr>
      <w:r>
        <w:rPr>
          <w:rFonts w:hint="default" w:ascii="宋体" w:hAnsi="宋体" w:cs="宋体"/>
          <w:bCs/>
          <w:sz w:val="24"/>
          <w:szCs w:val="24"/>
          <w:lang w:val="en-US" w:eastAsia="zh-CN"/>
        </w:rPr>
        <w:t>“智能手机补贴和流量费” 补助无明确对象细分规则，实际发放人数与核定人数不符，经费管控不精准；</w:t>
      </w:r>
    </w:p>
    <w:p w14:paraId="739BBC09">
      <w:pPr>
        <w:widowControl w:val="0"/>
        <w:numPr>
          <w:ilvl w:val="0"/>
          <w:numId w:val="2"/>
        </w:numPr>
        <w:spacing w:line="560" w:lineRule="exact"/>
        <w:ind w:firstLine="240" w:firstLineChars="100"/>
        <w:jc w:val="left"/>
        <w:rPr>
          <w:rFonts w:hint="default" w:ascii="宋体" w:hAnsi="宋体" w:cs="宋体"/>
          <w:bCs/>
          <w:sz w:val="24"/>
          <w:szCs w:val="24"/>
          <w:lang w:val="en-US" w:eastAsia="zh-CN"/>
        </w:rPr>
      </w:pPr>
      <w:r>
        <w:rPr>
          <w:rFonts w:hint="default" w:ascii="宋体" w:hAnsi="宋体" w:cs="宋体"/>
          <w:bCs/>
          <w:sz w:val="24"/>
          <w:szCs w:val="24"/>
          <w:lang w:val="en-US" w:eastAsia="zh-CN"/>
        </w:rPr>
        <w:t>个体经营户清查绩效目标未结合实际设定，计划26000户、实际完成 23025户，目标与实际适配不足。</w:t>
      </w:r>
    </w:p>
    <w:p w14:paraId="788D1329">
      <w:pPr>
        <w:numPr>
          <w:ilvl w:val="0"/>
          <w:numId w:val="1"/>
        </w:numPr>
        <w:spacing w:line="560" w:lineRule="exact"/>
        <w:ind w:firstLine="482" w:firstLineChars="200"/>
        <w:jc w:val="left"/>
        <w:rPr>
          <w:rFonts w:hint="default" w:ascii="宋体" w:hAnsi="宋体" w:cs="宋体"/>
          <w:b/>
          <w:bCs w:val="0"/>
          <w:sz w:val="24"/>
          <w:szCs w:val="24"/>
          <w:lang w:val="en-US" w:eastAsia="zh-CN"/>
        </w:rPr>
      </w:pPr>
      <w:r>
        <w:rPr>
          <w:rFonts w:hint="eastAsia" w:ascii="宋体" w:hAnsi="宋体" w:cs="宋体"/>
          <w:b/>
          <w:bCs w:val="0"/>
          <w:sz w:val="24"/>
          <w:szCs w:val="24"/>
          <w:lang w:val="en-US" w:eastAsia="zh-CN"/>
        </w:rPr>
        <w:t>相关建议</w:t>
      </w:r>
    </w:p>
    <w:p w14:paraId="0C0A2F8D">
      <w:pPr>
        <w:numPr>
          <w:ilvl w:val="0"/>
          <w:numId w:val="3"/>
        </w:numPr>
        <w:spacing w:line="560" w:lineRule="exact"/>
        <w:ind w:firstLine="240" w:firstLineChars="100"/>
        <w:jc w:val="left"/>
        <w:rPr>
          <w:rFonts w:hint="eastAsia" w:ascii="宋体" w:hAnsi="宋体" w:cs="宋体"/>
          <w:b w:val="0"/>
          <w:bCs/>
          <w:sz w:val="24"/>
          <w:szCs w:val="24"/>
          <w:lang w:val="en-US" w:eastAsia="zh-CN"/>
        </w:rPr>
        <w:sectPr>
          <w:footerReference r:id="rId10" w:type="default"/>
          <w:pgSz w:w="11906" w:h="16838"/>
          <w:pgMar w:top="1440" w:right="1800" w:bottom="1440" w:left="1800" w:header="851" w:footer="992" w:gutter="0"/>
          <w:cols w:space="425" w:num="1"/>
          <w:docGrid w:type="lines" w:linePitch="312" w:charSpace="0"/>
        </w:sectPr>
      </w:pPr>
      <w:r>
        <w:rPr>
          <w:rFonts w:hint="eastAsia" w:ascii="宋体" w:hAnsi="宋体" w:cs="宋体"/>
          <w:b w:val="0"/>
          <w:bCs/>
          <w:sz w:val="24"/>
          <w:szCs w:val="24"/>
          <w:lang w:val="en-US" w:eastAsia="zh-CN"/>
        </w:rPr>
        <w:t>优化培训管控，通过提前通知、强化签到核验、建立补训机制，保障全</w:t>
      </w:r>
    </w:p>
    <w:p w14:paraId="197E405B">
      <w:pPr>
        <w:numPr>
          <w:ilvl w:val="0"/>
          <w:numId w:val="3"/>
        </w:numPr>
        <w:spacing w:line="560" w:lineRule="exact"/>
        <w:ind w:firstLine="240" w:firstLineChars="100"/>
        <w:jc w:val="left"/>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员参训；</w:t>
      </w:r>
    </w:p>
    <w:p w14:paraId="3146DCF7">
      <w:pPr>
        <w:numPr>
          <w:ilvl w:val="0"/>
          <w:numId w:val="3"/>
        </w:numPr>
        <w:spacing w:line="560" w:lineRule="exact"/>
        <w:ind w:firstLine="240" w:firstLineChars="100"/>
        <w:jc w:val="left"/>
        <w:rPr>
          <w:rFonts w:hint="default" w:ascii="宋体" w:hAnsi="宋体" w:cs="宋体"/>
          <w:b w:val="0"/>
          <w:bCs/>
          <w:sz w:val="24"/>
          <w:szCs w:val="24"/>
          <w:lang w:val="en-US" w:eastAsia="zh-CN"/>
        </w:rPr>
      </w:pPr>
      <w:r>
        <w:rPr>
          <w:rFonts w:hint="default" w:ascii="宋体" w:hAnsi="宋体" w:cs="宋体"/>
          <w:b w:val="0"/>
          <w:bCs/>
          <w:sz w:val="24"/>
          <w:szCs w:val="24"/>
          <w:lang w:val="en-US" w:eastAsia="zh-CN"/>
        </w:rPr>
        <w:t>统一考核资料标准，明确纸电同步要求，建立归档前核对机制，规范资料管理；</w:t>
      </w:r>
    </w:p>
    <w:p w14:paraId="1F0A305A">
      <w:pPr>
        <w:numPr>
          <w:ilvl w:val="0"/>
          <w:numId w:val="3"/>
        </w:numPr>
        <w:spacing w:line="560" w:lineRule="exact"/>
        <w:ind w:firstLine="240" w:firstLineChars="100"/>
        <w:jc w:val="left"/>
        <w:rPr>
          <w:rFonts w:hint="default" w:ascii="宋体" w:hAnsi="宋体" w:cs="宋体"/>
          <w:b w:val="0"/>
          <w:bCs/>
          <w:sz w:val="24"/>
          <w:szCs w:val="24"/>
          <w:lang w:val="en-US" w:eastAsia="zh-CN"/>
        </w:rPr>
      </w:pPr>
      <w:r>
        <w:rPr>
          <w:rFonts w:hint="default" w:ascii="宋体" w:hAnsi="宋体" w:cs="宋体"/>
          <w:b w:val="0"/>
          <w:bCs/>
          <w:sz w:val="24"/>
          <w:szCs w:val="24"/>
          <w:lang w:val="en-US" w:eastAsia="zh-CN"/>
        </w:rPr>
        <w:t>制定补助发放实施细则，完善审批与公示制度，细化经费发放规则，提升精准性；</w:t>
      </w:r>
    </w:p>
    <w:p w14:paraId="4AD894BA">
      <w:pPr>
        <w:numPr>
          <w:ilvl w:val="0"/>
          <w:numId w:val="3"/>
        </w:numPr>
        <w:spacing w:line="560" w:lineRule="exact"/>
        <w:ind w:firstLine="240" w:firstLineChars="100"/>
        <w:jc w:val="left"/>
        <w:rPr>
          <w:rFonts w:hint="default" w:ascii="宋体" w:hAnsi="宋体" w:cs="宋体"/>
          <w:b w:val="0"/>
          <w:bCs/>
          <w:sz w:val="24"/>
          <w:szCs w:val="24"/>
          <w:lang w:val="en-US" w:eastAsia="zh-CN"/>
        </w:rPr>
      </w:pPr>
      <w:r>
        <w:rPr>
          <w:rFonts w:hint="default" w:ascii="宋体" w:hAnsi="宋体" w:cs="宋体"/>
          <w:b w:val="0"/>
          <w:bCs/>
          <w:sz w:val="24"/>
          <w:szCs w:val="24"/>
          <w:lang w:val="en-US" w:eastAsia="zh-CN"/>
        </w:rPr>
        <w:t>前期开展摸底调研，建立绩效目标动态调整机制，分解目标并明确跟踪节点，提升目标与实际衔接度。</w:t>
      </w:r>
    </w:p>
    <w:p w14:paraId="2E5E9644">
      <w:pPr>
        <w:spacing w:line="560" w:lineRule="exact"/>
        <w:ind w:firstLine="480" w:firstLineChars="200"/>
        <w:jc w:val="left"/>
        <w:rPr>
          <w:rFonts w:hint="default" w:ascii="宋体" w:hAnsi="宋体" w:cs="宋体"/>
          <w:bCs/>
          <w:sz w:val="24"/>
          <w:szCs w:val="24"/>
          <w:lang w:val="en-US" w:eastAsia="zh-CN"/>
        </w:rPr>
      </w:pPr>
    </w:p>
    <w:p w14:paraId="74645AD4">
      <w:pPr>
        <w:spacing w:line="560" w:lineRule="exact"/>
        <w:ind w:firstLine="480" w:firstLineChars="200"/>
        <w:jc w:val="left"/>
        <w:rPr>
          <w:rFonts w:hint="eastAsia" w:ascii="宋体" w:hAnsi="宋体" w:cs="宋体"/>
          <w:bCs/>
          <w:sz w:val="24"/>
          <w:szCs w:val="24"/>
          <w:lang w:val="en-US" w:eastAsia="zh-CN"/>
        </w:rPr>
      </w:pPr>
    </w:p>
    <w:p w14:paraId="5FF517E3">
      <w:pPr>
        <w:spacing w:line="560" w:lineRule="exact"/>
        <w:ind w:firstLine="480" w:firstLineChars="200"/>
        <w:jc w:val="left"/>
        <w:rPr>
          <w:rFonts w:hint="default" w:ascii="宋体" w:hAnsi="宋体" w:cs="宋体"/>
          <w:bCs/>
          <w:sz w:val="24"/>
          <w:szCs w:val="24"/>
          <w:lang w:val="en-US" w:eastAsia="zh-CN"/>
        </w:rPr>
        <w:sectPr>
          <w:footerReference r:id="rId11" w:type="default"/>
          <w:pgSz w:w="11906" w:h="16838"/>
          <w:pgMar w:top="1440" w:right="1800" w:bottom="1440" w:left="1800" w:header="851" w:footer="992" w:gutter="0"/>
          <w:cols w:space="425" w:num="1"/>
          <w:docGrid w:type="lines" w:linePitch="312" w:charSpace="0"/>
        </w:sectPr>
      </w:pPr>
    </w:p>
    <w:p w14:paraId="1C12DC72">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第五次全国经济普查经费</w:t>
      </w:r>
    </w:p>
    <w:p w14:paraId="29F50415">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项目支出绩效评价报告</w:t>
      </w:r>
    </w:p>
    <w:p w14:paraId="7B29B561">
      <w:pPr>
        <w:jc w:val="center"/>
        <w:rPr>
          <w:rFonts w:hint="eastAsia" w:ascii="黑体" w:hAnsi="黑体" w:eastAsia="黑体" w:cs="黑体"/>
          <w:bCs/>
          <w:sz w:val="32"/>
          <w:szCs w:val="32"/>
          <w:lang w:val="en-US" w:eastAsia="zh-CN"/>
        </w:rPr>
      </w:pPr>
    </w:p>
    <w:p w14:paraId="2E03184C">
      <w:pPr>
        <w:spacing w:line="560" w:lineRule="exact"/>
        <w:jc w:val="left"/>
        <w:rPr>
          <w:rFonts w:hint="eastAsia" w:ascii="黑体" w:hAnsi="黑体" w:eastAsia="黑体" w:cs="仿宋"/>
          <w:bCs/>
          <w:sz w:val="28"/>
          <w:szCs w:val="28"/>
          <w:lang w:val="en-US" w:eastAsia="zh-CN"/>
        </w:rPr>
      </w:pPr>
      <w:r>
        <w:rPr>
          <w:rFonts w:hint="eastAsia" w:ascii="黑体" w:hAnsi="黑体" w:eastAsia="黑体" w:cs="仿宋"/>
          <w:bCs/>
          <w:sz w:val="28"/>
          <w:szCs w:val="28"/>
          <w:lang w:val="en-US" w:eastAsia="zh-CN"/>
        </w:rPr>
        <w:t>攀枝花市仁和区财政局：</w:t>
      </w:r>
    </w:p>
    <w:p w14:paraId="27670290">
      <w:pPr>
        <w:spacing w:line="560" w:lineRule="exact"/>
        <w:ind w:firstLine="480" w:firstLineChars="200"/>
        <w:jc w:val="left"/>
        <w:rPr>
          <w:rFonts w:hint="eastAsia" w:ascii="宋体" w:hAnsi="宋体" w:cs="宋体"/>
          <w:bCs/>
          <w:sz w:val="24"/>
          <w:szCs w:val="24"/>
          <w:lang w:val="en-US" w:eastAsia="zh-CN"/>
        </w:rPr>
      </w:pPr>
      <w:r>
        <w:rPr>
          <w:rFonts w:hint="eastAsia" w:ascii="宋体" w:hAnsi="宋体" w:eastAsia="宋体" w:cs="宋体"/>
          <w:bCs/>
          <w:sz w:val="24"/>
          <w:szCs w:val="24"/>
          <w:lang w:val="en-US" w:eastAsia="zh-CN"/>
        </w:rPr>
        <w:t>我们接受委托，对攀枝花市仁和区</w:t>
      </w:r>
      <w:r>
        <w:rPr>
          <w:rFonts w:hint="eastAsia" w:ascii="宋体" w:hAnsi="宋体" w:cs="宋体"/>
          <w:bCs/>
          <w:sz w:val="24"/>
          <w:szCs w:val="24"/>
          <w:lang w:val="en-US" w:eastAsia="zh-CN"/>
        </w:rPr>
        <w:t>统计局</w:t>
      </w:r>
      <w:r>
        <w:rPr>
          <w:rFonts w:hint="eastAsia" w:ascii="宋体" w:hAnsi="宋体" w:eastAsia="宋体" w:cs="宋体"/>
          <w:bCs/>
          <w:sz w:val="24"/>
          <w:szCs w:val="24"/>
          <w:lang w:val="en-US" w:eastAsia="zh-CN"/>
        </w:rPr>
        <w:t>实施的第五次全国经济普查经费</w:t>
      </w:r>
      <w:r>
        <w:rPr>
          <w:rFonts w:hint="eastAsia" w:ascii="宋体" w:hAnsi="宋体" w:cs="宋体"/>
          <w:bCs/>
          <w:sz w:val="24"/>
          <w:szCs w:val="24"/>
          <w:lang w:val="en-US" w:eastAsia="zh-CN"/>
        </w:rPr>
        <w:t>项目</w:t>
      </w:r>
      <w:r>
        <w:rPr>
          <w:rFonts w:hint="eastAsia" w:ascii="宋体" w:hAnsi="宋体" w:eastAsia="宋体" w:cs="宋体"/>
          <w:bCs/>
          <w:sz w:val="24"/>
          <w:szCs w:val="24"/>
          <w:lang w:val="en-US" w:eastAsia="zh-CN"/>
        </w:rPr>
        <w:t>的财政支出绩效进行评价。项目主管部门提供了与被评价项目财政支出绩效评价相关的财务资料及其他相关资料，上述资料的真实性、完整性、合法性由被评价项目主管部门负责</w:t>
      </w:r>
      <w:r>
        <w:rPr>
          <w:rFonts w:hint="eastAsia" w:ascii="宋体" w:hAnsi="宋体" w:cs="宋体"/>
          <w:bCs/>
          <w:sz w:val="24"/>
          <w:szCs w:val="24"/>
          <w:lang w:val="en-US" w:eastAsia="zh-CN"/>
        </w:rPr>
        <w:t>。</w:t>
      </w:r>
    </w:p>
    <w:p w14:paraId="31258F9F">
      <w:pPr>
        <w:spacing w:line="560" w:lineRule="exact"/>
        <w:ind w:firstLine="480" w:firstLineChars="200"/>
        <w:jc w:val="left"/>
        <w:rPr>
          <w:rFonts w:hint="eastAsia" w:ascii="宋体" w:hAnsi="宋体" w:cs="宋体"/>
          <w:bCs/>
          <w:sz w:val="24"/>
          <w:szCs w:val="24"/>
          <w:highlight w:val="yellow"/>
          <w:lang w:val="en-US" w:eastAsia="zh-CN"/>
        </w:rPr>
      </w:pPr>
      <w:r>
        <w:rPr>
          <w:rFonts w:hint="eastAsia" w:ascii="宋体" w:hAnsi="宋体" w:cs="宋体"/>
          <w:bCs/>
          <w:sz w:val="24"/>
          <w:szCs w:val="24"/>
          <w:lang w:val="en-US" w:eastAsia="zh-CN"/>
        </w:rPr>
        <w:t>我们的责任是根据被评价单位提供的上述评价资料，按照《攀枝花市仁和区财政局 关于开展 2025年度财政重点绩效评价工作的通知》(攀仁财〔2025〕54 号)的要求，对被评价项目财政支出绩效进行评</w:t>
      </w:r>
      <w:r>
        <w:rPr>
          <w:rFonts w:hint="eastAsia" w:ascii="宋体" w:hAnsi="宋体" w:cs="宋体"/>
          <w:bCs/>
          <w:sz w:val="24"/>
          <w:szCs w:val="24"/>
          <w:highlight w:val="none"/>
          <w:lang w:val="en-US" w:eastAsia="zh-CN"/>
        </w:rPr>
        <w:t>价。项目开展“独立、客观、公正”的第三方绩效评价工作，对项目相关人员进行了访谈，通过访谈、专家咨询、现场核查等方式进行了综合分析，现出具以下评价意见：</w:t>
      </w:r>
    </w:p>
    <w:p w14:paraId="56E12A72">
      <w:pPr>
        <w:keepNext w:val="0"/>
        <w:keepLines w:val="0"/>
        <w:pageBreakBefore w:val="0"/>
        <w:widowControl w:val="0"/>
        <w:numPr>
          <w:ilvl w:val="0"/>
          <w:numId w:val="4"/>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eastAsia="宋体" w:cs="Times New Roman"/>
          <w:b/>
          <w:bCs/>
          <w:color w:val="auto"/>
          <w:sz w:val="24"/>
          <w:szCs w:val="24"/>
          <w:highlight w:val="none"/>
          <w:lang w:val="en-US" w:eastAsia="zh-CN"/>
        </w:rPr>
      </w:pPr>
      <w:bookmarkStart w:id="0" w:name="_Toc21464"/>
      <w:bookmarkStart w:id="1" w:name="_Toc17064"/>
      <w:bookmarkStart w:id="2" w:name="_Toc9165"/>
      <w:bookmarkStart w:id="3" w:name="_Toc27435"/>
      <w:bookmarkStart w:id="4" w:name="_Toc25394"/>
      <w:r>
        <w:rPr>
          <w:rFonts w:hint="eastAsia" w:ascii="Times New Roman" w:hAnsi="Times New Roman" w:eastAsia="宋体" w:cs="Times New Roman"/>
          <w:b/>
          <w:bCs/>
          <w:color w:val="auto"/>
          <w:sz w:val="24"/>
          <w:szCs w:val="24"/>
          <w:highlight w:val="none"/>
          <w:lang w:val="en-US" w:eastAsia="zh-CN"/>
        </w:rPr>
        <w:t>项目基本情况</w:t>
      </w:r>
      <w:bookmarkEnd w:id="0"/>
      <w:bookmarkEnd w:id="1"/>
      <w:bookmarkEnd w:id="2"/>
      <w:bookmarkEnd w:id="3"/>
      <w:bookmarkEnd w:id="4"/>
    </w:p>
    <w:p w14:paraId="711A8CB6">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根据国家统计局《关于做好第五次全国经济普查经费预算编制相关工作的通知》国统字〔2022〕68号、《国务院关于开展第五次全国经济普查的通知》国发〔2022〕22号；第五次全国经济普查是“十四五”规划经济社会发展目标攻坚期开展的一次关键普查，对于摸清我国经济家底，优化产业结构，推动经济发展质量变革、效率变革、动力变革具有重要意义。通过经济普查摸清第二、第三产业的发展情况，完善更新基本单位名录库，了解全部调查单位的资产负债、经营和用工等情况；能够客观全面反映重大国情国力的发展变化情况，为研究制定国民经济和社会发展规划及相关政策提供基础性资料。</w:t>
      </w:r>
    </w:p>
    <w:p w14:paraId="4C973965">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eastAsia="宋体" w:cs="Times New Roman"/>
          <w:b/>
          <w:bCs/>
          <w:color w:val="auto"/>
          <w:sz w:val="24"/>
          <w:szCs w:val="24"/>
          <w:highlight w:val="none"/>
          <w:lang w:val="en-US" w:eastAsia="zh-CN"/>
        </w:rPr>
      </w:pPr>
      <w:bookmarkStart w:id="5" w:name="_Toc20938"/>
      <w:bookmarkStart w:id="6" w:name="_Toc7387"/>
      <w:bookmarkStart w:id="7" w:name="_Toc8395"/>
      <w:bookmarkStart w:id="8" w:name="_Toc11186"/>
      <w:bookmarkStart w:id="9" w:name="_Toc17280"/>
      <w:r>
        <w:rPr>
          <w:rFonts w:hint="eastAsia" w:ascii="Times New Roman" w:hAnsi="Times New Roman" w:eastAsia="宋体" w:cs="Times New Roman"/>
          <w:b/>
          <w:bCs/>
          <w:color w:val="auto"/>
          <w:sz w:val="24"/>
          <w:szCs w:val="24"/>
          <w:highlight w:val="none"/>
          <w:lang w:val="en-US" w:eastAsia="zh-CN"/>
        </w:rPr>
        <w:t>二、评价工作开展情况</w:t>
      </w:r>
      <w:bookmarkEnd w:id="5"/>
      <w:bookmarkEnd w:id="6"/>
      <w:bookmarkEnd w:id="7"/>
      <w:bookmarkEnd w:id="8"/>
      <w:bookmarkEnd w:id="9"/>
    </w:p>
    <w:p w14:paraId="0810A651">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1"/>
        <w:rPr>
          <w:rFonts w:hint="default" w:ascii="Times New Roman" w:hAnsi="Times New Roman" w:eastAsia="宋体" w:cs="Times New Roman"/>
          <w:b/>
          <w:bCs/>
          <w:color w:val="auto"/>
          <w:sz w:val="24"/>
          <w:szCs w:val="24"/>
          <w:highlight w:val="none"/>
          <w:lang w:val="en-US" w:eastAsia="zh-CN"/>
        </w:rPr>
      </w:pPr>
      <w:bookmarkStart w:id="10" w:name="_Toc6571"/>
      <w:bookmarkStart w:id="11" w:name="_Toc26898"/>
      <w:bookmarkStart w:id="12" w:name="_Toc1043"/>
      <w:bookmarkStart w:id="13" w:name="_Toc12555"/>
      <w:bookmarkStart w:id="14" w:name="_Toc31826"/>
      <w:r>
        <w:rPr>
          <w:rFonts w:hint="default" w:ascii="Times New Roman" w:hAnsi="Times New Roman" w:eastAsia="宋体" w:cs="Times New Roman"/>
          <w:b/>
          <w:bCs/>
          <w:color w:val="auto"/>
          <w:sz w:val="24"/>
          <w:szCs w:val="24"/>
          <w:highlight w:val="none"/>
          <w:lang w:val="en-US" w:eastAsia="zh-CN"/>
        </w:rPr>
        <w:t>（一）</w:t>
      </w:r>
      <w:r>
        <w:rPr>
          <w:rFonts w:hint="eastAsia" w:ascii="Times New Roman" w:hAnsi="Times New Roman" w:eastAsia="宋体" w:cs="Times New Roman"/>
          <w:b/>
          <w:bCs/>
          <w:color w:val="auto"/>
          <w:sz w:val="24"/>
          <w:szCs w:val="24"/>
          <w:highlight w:val="none"/>
          <w:lang w:val="en-US" w:eastAsia="zh-CN"/>
        </w:rPr>
        <w:t>评价目的</w:t>
      </w:r>
      <w:bookmarkEnd w:id="10"/>
      <w:bookmarkEnd w:id="11"/>
      <w:bookmarkEnd w:id="12"/>
      <w:bookmarkEnd w:id="13"/>
      <w:bookmarkEnd w:id="14"/>
    </w:p>
    <w:p w14:paraId="1E3A9146">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为落实中央、省预算绩效管理要求，从项目依据、绩效目标、资金管理等方面，全面评价该资金使用的科学性、合理性与有效性，分析问题并</w:t>
      </w:r>
      <w:r>
        <w:rPr>
          <w:rFonts w:hint="eastAsia" w:ascii="宋体" w:hAnsi="宋体" w:cs="宋体"/>
          <w:bCs/>
          <w:sz w:val="24"/>
          <w:szCs w:val="24"/>
          <w:highlight w:val="none"/>
          <w:lang w:val="en-US" w:eastAsia="zh-CN"/>
        </w:rPr>
        <w:t>提出</w:t>
      </w:r>
      <w:r>
        <w:rPr>
          <w:rFonts w:hint="default" w:ascii="宋体" w:hAnsi="宋体" w:eastAsia="宋体" w:cs="宋体"/>
          <w:bCs/>
          <w:sz w:val="24"/>
          <w:szCs w:val="24"/>
          <w:highlight w:val="none"/>
          <w:lang w:val="en-US" w:eastAsia="zh-CN"/>
        </w:rPr>
        <w:t>建议，为后续资金安排、预算编制提供依据，提升资金效益</w:t>
      </w:r>
      <w:r>
        <w:rPr>
          <w:rFonts w:hint="eastAsia" w:ascii="宋体" w:hAnsi="宋体" w:cs="宋体"/>
          <w:bCs/>
          <w:sz w:val="24"/>
          <w:szCs w:val="24"/>
          <w:highlight w:val="none"/>
          <w:lang w:val="en-US" w:eastAsia="zh-CN"/>
        </w:rPr>
        <w:t>。</w:t>
      </w:r>
    </w:p>
    <w:p w14:paraId="328A34C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1"/>
        <w:rPr>
          <w:rFonts w:hint="default" w:ascii="Times New Roman" w:hAnsi="Times New Roman" w:eastAsia="宋体" w:cs="Times New Roman"/>
          <w:b/>
          <w:bCs/>
          <w:color w:val="auto"/>
          <w:sz w:val="24"/>
          <w:szCs w:val="24"/>
          <w:highlight w:val="none"/>
          <w:lang w:val="en-US" w:eastAsia="zh-CN"/>
        </w:rPr>
      </w:pPr>
      <w:bookmarkStart w:id="15" w:name="_Toc16050"/>
      <w:bookmarkStart w:id="16" w:name="_Toc6403"/>
      <w:bookmarkStart w:id="17" w:name="_Toc29506"/>
      <w:bookmarkStart w:id="18" w:name="_Toc3924"/>
      <w:bookmarkStart w:id="19" w:name="_Toc19093"/>
      <w:r>
        <w:rPr>
          <w:rFonts w:hint="eastAsia" w:ascii="Times New Roman" w:hAnsi="Times New Roman" w:eastAsia="宋体" w:cs="Times New Roman"/>
          <w:b/>
          <w:bCs/>
          <w:color w:val="auto"/>
          <w:sz w:val="24"/>
          <w:szCs w:val="24"/>
          <w:highlight w:val="none"/>
          <w:lang w:val="en-US" w:eastAsia="zh-CN"/>
        </w:rPr>
        <w:t>（二）评价方法</w:t>
      </w:r>
      <w:bookmarkEnd w:id="15"/>
      <w:bookmarkEnd w:id="16"/>
      <w:bookmarkEnd w:id="17"/>
      <w:bookmarkEnd w:id="18"/>
      <w:bookmarkEnd w:id="19"/>
    </w:p>
    <w:p w14:paraId="669F399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cs="Times New Roman"/>
          <w:b w:val="0"/>
          <w:bCs w:val="0"/>
          <w:color w:val="auto"/>
          <w:sz w:val="24"/>
          <w:szCs w:val="24"/>
          <w:highlight w:val="none"/>
          <w:lang w:val="en-US" w:eastAsia="zh-CN"/>
        </w:rPr>
      </w:pPr>
      <w:bookmarkStart w:id="20" w:name="_Toc20121"/>
      <w:r>
        <w:rPr>
          <w:rFonts w:hint="eastAsia" w:ascii="Times New Roman" w:hAnsi="Times New Roman" w:eastAsia="宋体" w:cs="Times New Roman"/>
          <w:b w:val="0"/>
          <w:bCs w:val="0"/>
          <w:color w:val="auto"/>
          <w:sz w:val="24"/>
          <w:szCs w:val="24"/>
          <w:highlight w:val="none"/>
          <w:lang w:val="en-US" w:eastAsia="zh-CN"/>
        </w:rPr>
        <w:t>结合仁和区统计局第五次全国经济普查经费项目的实施特点、绩效目标及评价要求，本次评价遵循科学规范、公正公开原则，采用“定量与定性结合、现场与非现场互补”的综合评价方法。</w:t>
      </w:r>
      <w:bookmarkEnd w:id="20"/>
      <w:r>
        <w:rPr>
          <w:rFonts w:hint="eastAsia" w:ascii="Times New Roman" w:hAnsi="Times New Roman" w:eastAsia="宋体" w:cs="Times New Roman"/>
          <w:b w:val="0"/>
          <w:bCs w:val="0"/>
          <w:color w:val="auto"/>
          <w:sz w:val="24"/>
          <w:szCs w:val="24"/>
          <w:highlight w:val="none"/>
          <w:lang w:val="en-US" w:eastAsia="zh-CN"/>
        </w:rPr>
        <w:t>具体结合项目情况阐述如下</w:t>
      </w:r>
      <w:r>
        <w:rPr>
          <w:rFonts w:hint="eastAsia" w:ascii="Times New Roman" w:hAnsi="Times New Roman" w:cs="Times New Roman"/>
          <w:b w:val="0"/>
          <w:bCs w:val="0"/>
          <w:color w:val="auto"/>
          <w:sz w:val="24"/>
          <w:szCs w:val="24"/>
          <w:highlight w:val="none"/>
          <w:lang w:val="en-US" w:eastAsia="zh-CN"/>
        </w:rPr>
        <w:t>：</w:t>
      </w:r>
    </w:p>
    <w:p w14:paraId="3A9E4BA7">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default"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项目资料查阅</w:t>
      </w:r>
      <w:r>
        <w:rPr>
          <w:rFonts w:hint="eastAsia" w:ascii="Times New Roman" w:hAnsi="Times New Roman" w:cs="Times New Roman"/>
          <w:b w:val="0"/>
          <w:bCs w:val="0"/>
          <w:color w:val="auto"/>
          <w:sz w:val="24"/>
          <w:szCs w:val="24"/>
          <w:highlight w:val="none"/>
          <w:lang w:val="en-US" w:eastAsia="zh-CN"/>
        </w:rPr>
        <w:t>法</w:t>
      </w:r>
      <w:r>
        <w:rPr>
          <w:rFonts w:hint="eastAsia" w:ascii="Times New Roman" w:hAnsi="Times New Roman" w:eastAsia="宋体" w:cs="Times New Roman"/>
          <w:b w:val="0"/>
          <w:bCs w:val="0"/>
          <w:color w:val="auto"/>
          <w:sz w:val="24"/>
          <w:szCs w:val="24"/>
          <w:highlight w:val="none"/>
          <w:lang w:val="en-US" w:eastAsia="zh-CN"/>
        </w:rPr>
        <w:t>。通过系统查阅政策文件、项目资料，验证项目决策与实施的合规性、目标设定的合理性。</w:t>
      </w:r>
    </w:p>
    <w:p w14:paraId="6A6F6E1F">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资金凭证现场核验法</w:t>
      </w:r>
      <w:r>
        <w:rPr>
          <w:rFonts w:hint="eastAsia" w:ascii="Times New Roman" w:hAnsi="Times New Roman" w:cs="Times New Roman"/>
          <w:b w:val="0"/>
          <w:bCs w:val="0"/>
          <w:color w:val="auto"/>
          <w:sz w:val="24"/>
          <w:szCs w:val="24"/>
          <w:highlight w:val="none"/>
          <w:lang w:val="en-US" w:eastAsia="zh-CN"/>
        </w:rPr>
        <w:t>。核查资金使用凭证，重点抽查“两员”补贴发放记录，日常办公经费等核心支出的会计凭证、银行转账记录、报销台账，确认资金支付是否有完整审批程序、是否符合预算用途，无截留、挤占、挪用等违规情况。</w:t>
      </w:r>
    </w:p>
    <w:p w14:paraId="3AE326F7">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数据</w:t>
      </w:r>
      <w:r>
        <w:rPr>
          <w:rFonts w:hint="eastAsia" w:ascii="Times New Roman" w:hAnsi="Times New Roman" w:cs="Times New Roman"/>
          <w:b w:val="0"/>
          <w:bCs w:val="0"/>
          <w:color w:val="auto"/>
          <w:sz w:val="24"/>
          <w:szCs w:val="24"/>
          <w:highlight w:val="none"/>
          <w:lang w:val="en-US" w:eastAsia="zh-CN"/>
        </w:rPr>
        <w:t>对比</w:t>
      </w:r>
      <w:r>
        <w:rPr>
          <w:rFonts w:hint="default" w:ascii="Times New Roman" w:hAnsi="Times New Roman" w:eastAsia="宋体" w:cs="Times New Roman"/>
          <w:b w:val="0"/>
          <w:bCs w:val="0"/>
          <w:color w:val="auto"/>
          <w:sz w:val="24"/>
          <w:szCs w:val="24"/>
          <w:highlight w:val="none"/>
          <w:lang w:val="en-US" w:eastAsia="zh-CN"/>
        </w:rPr>
        <w:t>分析法</w:t>
      </w:r>
      <w:r>
        <w:rPr>
          <w:rFonts w:hint="eastAsia" w:ascii="Times New Roman" w:hAnsi="Times New Roman" w:cs="Times New Roman"/>
          <w:b w:val="0"/>
          <w:bCs w:val="0"/>
          <w:color w:val="auto"/>
          <w:sz w:val="24"/>
          <w:szCs w:val="24"/>
          <w:highlight w:val="none"/>
          <w:lang w:val="en-US" w:eastAsia="zh-CN"/>
        </w:rPr>
        <w:t>。围绕五经普核心任务与绩效指标，通过对比绩效目标与实际完成值，分析资金使用效率，关联普查成果数据等评估项目产出、效益与资金效率。</w:t>
      </w:r>
    </w:p>
    <w:p w14:paraId="7FD63799">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现场访谈</w:t>
      </w:r>
      <w:r>
        <w:rPr>
          <w:rFonts w:hint="eastAsia" w:ascii="Times New Roman" w:hAnsi="Times New Roman" w:cs="Times New Roman"/>
          <w:b w:val="0"/>
          <w:bCs w:val="0"/>
          <w:color w:val="auto"/>
          <w:sz w:val="24"/>
          <w:szCs w:val="24"/>
          <w:highlight w:val="none"/>
          <w:lang w:val="en-US" w:eastAsia="zh-CN"/>
        </w:rPr>
        <w:t>法。围绕绩效目标，工作推进等方面，通过访谈相关部门开展面对面沟通，收集多方反馈，完善评价的全面性与客观性，为后续问题分析提供依据。</w:t>
      </w:r>
    </w:p>
    <w:p w14:paraId="3AE49C37">
      <w:pPr>
        <w:keepNext w:val="0"/>
        <w:keepLines w:val="0"/>
        <w:pageBreakBefore w:val="0"/>
        <w:widowControl w:val="0"/>
        <w:numPr>
          <w:ilvl w:val="0"/>
          <w:numId w:val="6"/>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cs="Times New Roman"/>
          <w:b/>
          <w:bCs/>
          <w:color w:val="auto"/>
          <w:sz w:val="24"/>
          <w:szCs w:val="24"/>
          <w:highlight w:val="none"/>
          <w:lang w:val="en-US" w:eastAsia="zh-CN"/>
        </w:rPr>
      </w:pPr>
      <w:bookmarkStart w:id="21" w:name="_Toc24428"/>
      <w:bookmarkStart w:id="22" w:name="_Toc14566"/>
      <w:bookmarkStart w:id="23" w:name="_Toc12704"/>
      <w:bookmarkStart w:id="24" w:name="_Toc18297"/>
      <w:bookmarkStart w:id="25" w:name="_Toc16163"/>
      <w:r>
        <w:rPr>
          <w:rFonts w:hint="eastAsia" w:ascii="Times New Roman" w:hAnsi="Times New Roman" w:cs="Times New Roman"/>
          <w:b/>
          <w:bCs/>
          <w:color w:val="auto"/>
          <w:sz w:val="24"/>
          <w:szCs w:val="24"/>
          <w:highlight w:val="none"/>
          <w:lang w:val="en-US" w:eastAsia="zh-CN"/>
        </w:rPr>
        <w:t>评价指标</w:t>
      </w:r>
      <w:bookmarkEnd w:id="21"/>
      <w:bookmarkEnd w:id="22"/>
      <w:bookmarkEnd w:id="23"/>
      <w:bookmarkEnd w:id="24"/>
      <w:bookmarkEnd w:id="25"/>
    </w:p>
    <w:p w14:paraId="721EEB07">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依据(攀仁财〔2025〕54 号)附件3项目绩效评价指标体系为基础，采用了项目决策、项目管理、项目实施、项目结果四类通用指标，依据项目类别选取了专用指标-行政运转，并依据项目实际情况设置了普查责任区覆盖达标率、特殊对象普查处置合规率等个性指标。</w:t>
      </w:r>
    </w:p>
    <w:p w14:paraId="28D5F77D">
      <w:pPr>
        <w:keepNext w:val="0"/>
        <w:keepLines w:val="0"/>
        <w:pageBreakBefore w:val="0"/>
        <w:widowControl w:val="0"/>
        <w:numPr>
          <w:ilvl w:val="0"/>
          <w:numId w:val="6"/>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0"/>
        <w:rPr>
          <w:rFonts w:hint="eastAsia" w:ascii="Times New Roman" w:hAnsi="Times New Roman" w:cs="Times New Roman"/>
          <w:b/>
          <w:bCs/>
          <w:color w:val="auto"/>
          <w:sz w:val="24"/>
          <w:szCs w:val="24"/>
          <w:highlight w:val="none"/>
          <w:lang w:val="en-US" w:eastAsia="zh-CN"/>
        </w:rPr>
      </w:pPr>
      <w:bookmarkStart w:id="26" w:name="_Toc3917"/>
      <w:bookmarkStart w:id="27" w:name="_Toc20730"/>
      <w:bookmarkStart w:id="28" w:name="_Toc26962"/>
      <w:bookmarkStart w:id="29" w:name="_Toc9253"/>
      <w:bookmarkStart w:id="30" w:name="_Toc24382"/>
      <w:r>
        <w:rPr>
          <w:rFonts w:hint="eastAsia" w:ascii="Times New Roman" w:hAnsi="Times New Roman" w:cs="Times New Roman"/>
          <w:b/>
          <w:bCs/>
          <w:color w:val="auto"/>
          <w:sz w:val="24"/>
          <w:szCs w:val="24"/>
          <w:highlight w:val="none"/>
          <w:lang w:val="en-US" w:eastAsia="zh-CN"/>
        </w:rPr>
        <w:t>评价结果与结论</w:t>
      </w:r>
      <w:bookmarkEnd w:id="26"/>
      <w:bookmarkEnd w:id="27"/>
      <w:bookmarkEnd w:id="28"/>
      <w:bookmarkEnd w:id="29"/>
      <w:bookmarkEnd w:id="30"/>
    </w:p>
    <w:p w14:paraId="420D3F32">
      <w:pPr>
        <w:spacing w:line="560" w:lineRule="exact"/>
        <w:ind w:firstLine="480" w:firstLineChars="200"/>
        <w:jc w:val="left"/>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t>总体而言，该项目经费为仁和区五经普工作的有序推进提供了关键支撑，取得了阶段性积极成效，与区域经济社会发展需求高度契合：项目紧扣“全面摸清第二、三产业家底”的普查核心目标，严格对照国家及省市普查方案要求配置经费，将资金重点投向“两员”（普查指导员、普查员）报酬、设备补贴、培训组织等关键环节，与仁和区“夯实统计基础、服务宏观决策”的实际需求完全匹配。经费有效支撑了普查全流程运转，前期联动工商、税务等部门完成普查对象名单梳理，保障了线下地毯式清查的人力投入；针对失联单位、异地经营等特殊对象，支持基层开展多部门协查与“统计云工作台”信息录入，确保普查数据的源头追溯性。为后续汇总区域产业规模、布局及效益数据奠定了基础，契合五经普“服务高质量发展”的最终目标。</w:t>
      </w:r>
    </w:p>
    <w:p w14:paraId="31EFCD42">
      <w:pPr>
        <w:spacing w:line="560" w:lineRule="exact"/>
        <w:ind w:firstLine="480" w:firstLineChars="200"/>
        <w:jc w:val="left"/>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t>同时，评价也发现项目存在多维度管理疏漏，制约了经费使用效能与普查工作质量：一是培训组织管控不足，“两员”培训参与率未达100%，签到册中存在应参未参记录。二是考核资料纸电信息不一致，大龙潭乡、仁和镇等7个单位的纸质《考核计评分表》中“数据处理-数据审核”项缺失分数，而电子版资料已完整填写，工作规范存在一定的疏漏。三是经费发放精准性欠缺，“智能手机补贴和流量费”存在实际发放人数（如大河中路街道44人）与核定人数（27人）不符的情况，虽总金额未超预算，但因缺乏对象细分规则，导致经费分配的规范性不足。四是绩效目标适配性差，个体经营户清查目标（约26000户）未结合基层清查力量、经营户流动特性等实际情况科学设定，最终完成量（23025户）与目标偏差较大，反映出目标设置与实际工作脱。</w:t>
      </w:r>
    </w:p>
    <w:p w14:paraId="47DF6CA0">
      <w:pPr>
        <w:spacing w:line="560" w:lineRule="exact"/>
        <w:ind w:firstLine="480" w:firstLineChars="200"/>
        <w:jc w:val="left"/>
        <w:rPr>
          <w:rFonts w:hint="eastAsia" w:ascii="宋体" w:hAnsi="宋体" w:eastAsia="宋体" w:cs="宋体"/>
          <w:bCs/>
          <w:sz w:val="24"/>
          <w:szCs w:val="24"/>
          <w:highlight w:val="yellow"/>
          <w:lang w:val="en-US" w:eastAsia="zh-CN"/>
        </w:rPr>
      </w:pPr>
      <w:r>
        <w:rPr>
          <w:rFonts w:hint="eastAsia" w:ascii="宋体" w:hAnsi="宋体" w:cs="宋体"/>
          <w:bCs/>
          <w:sz w:val="24"/>
          <w:szCs w:val="24"/>
          <w:highlight w:val="none"/>
          <w:lang w:val="en-US" w:eastAsia="zh-CN"/>
        </w:rPr>
        <w:t>绩效评价组对《第五次全国经济普查经费项目》进行综合评价，最终评分得分为89.87分，绩效评价结果定级为“良”。具体得分情况如下表所示：</w:t>
      </w:r>
    </w:p>
    <w:p w14:paraId="7060371B">
      <w:pPr>
        <w:spacing w:before="14" w:line="219" w:lineRule="auto"/>
        <w:jc w:val="center"/>
        <w:rPr>
          <w:rFonts w:hint="eastAsia" w:ascii="宋体" w:hAnsi="宋体" w:eastAsia="宋体" w:cs="宋体"/>
          <w:b/>
          <w:bCs/>
          <w:spacing w:val="-25"/>
          <w:sz w:val="30"/>
          <w:szCs w:val="30"/>
          <w:lang w:val="en-US" w:eastAsia="zh-CN"/>
        </w:rPr>
      </w:pPr>
      <w:r>
        <w:rPr>
          <w:rFonts w:ascii="宋体" w:hAnsi="宋体" w:eastAsia="宋体" w:cs="宋体"/>
          <w:b/>
          <w:bCs/>
          <w:spacing w:val="-25"/>
          <w:sz w:val="30"/>
          <w:szCs w:val="30"/>
        </w:rPr>
        <w:t>表1</w:t>
      </w:r>
      <w:r>
        <w:rPr>
          <w:rFonts w:hint="eastAsia" w:ascii="宋体" w:hAnsi="宋体" w:eastAsia="宋体" w:cs="宋体"/>
          <w:b/>
          <w:bCs/>
          <w:spacing w:val="-25"/>
          <w:sz w:val="30"/>
          <w:szCs w:val="30"/>
        </w:rPr>
        <w:t>第五次全国经济普查经费</w:t>
      </w:r>
      <w:r>
        <w:rPr>
          <w:rFonts w:hint="eastAsia" w:ascii="宋体" w:hAnsi="宋体" w:cs="宋体"/>
          <w:b/>
          <w:bCs/>
          <w:spacing w:val="-25"/>
          <w:sz w:val="30"/>
          <w:szCs w:val="30"/>
          <w:lang w:val="en-US" w:eastAsia="zh-CN"/>
        </w:rPr>
        <w:t>项目</w:t>
      </w:r>
    </w:p>
    <w:p w14:paraId="370A6EA6">
      <w:pPr>
        <w:spacing w:before="14" w:line="219" w:lineRule="auto"/>
        <w:jc w:val="center"/>
        <w:rPr>
          <w:rFonts w:ascii="宋体" w:hAnsi="宋体" w:eastAsia="宋体" w:cs="宋体"/>
          <w:sz w:val="27"/>
          <w:szCs w:val="27"/>
        </w:rPr>
      </w:pPr>
      <w:r>
        <w:rPr>
          <w:rFonts w:ascii="宋体" w:hAnsi="宋体" w:eastAsia="宋体" w:cs="宋体"/>
          <w:b/>
          <w:bCs/>
          <w:spacing w:val="-25"/>
          <w:sz w:val="30"/>
          <w:szCs w:val="30"/>
        </w:rPr>
        <w:t>绩效评价指标体系</w:t>
      </w:r>
    </w:p>
    <w:tbl>
      <w:tblPr>
        <w:tblStyle w:val="13"/>
        <w:tblW w:w="9100" w:type="dxa"/>
        <w:tblInd w:w="-2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987"/>
        <w:gridCol w:w="2663"/>
        <w:gridCol w:w="1450"/>
        <w:gridCol w:w="1450"/>
      </w:tblGrid>
      <w:tr w14:paraId="0602E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6200" w:type="dxa"/>
            <w:gridSpan w:val="3"/>
            <w:noWrap w:val="0"/>
            <w:vAlign w:val="top"/>
          </w:tcPr>
          <w:p w14:paraId="7F6D51C7">
            <w:pPr>
              <w:pStyle w:val="14"/>
              <w:spacing w:before="193" w:line="219" w:lineRule="auto"/>
              <w:ind w:left="2351"/>
              <w:rPr>
                <w:highlight w:val="none"/>
              </w:rPr>
            </w:pPr>
            <w:r>
              <w:rPr>
                <w:spacing w:val="-2"/>
                <w:highlight w:val="none"/>
              </w:rPr>
              <w:t>分层分类指标</w:t>
            </w:r>
          </w:p>
        </w:tc>
        <w:tc>
          <w:tcPr>
            <w:tcW w:w="1450" w:type="dxa"/>
            <w:vMerge w:val="restart"/>
            <w:noWrap w:val="0"/>
            <w:vAlign w:val="top"/>
          </w:tcPr>
          <w:p w14:paraId="2F280CC0">
            <w:pPr>
              <w:pStyle w:val="14"/>
              <w:spacing w:before="65" w:line="219" w:lineRule="auto"/>
              <w:jc w:val="both"/>
              <w:rPr>
                <w:rFonts w:hint="eastAsia"/>
                <w:spacing w:val="-3"/>
                <w:highlight w:val="none"/>
                <w:lang w:val="en-US" w:eastAsia="zh-CN"/>
              </w:rPr>
            </w:pPr>
          </w:p>
          <w:p w14:paraId="4566AE70">
            <w:pPr>
              <w:pStyle w:val="14"/>
              <w:spacing w:before="65" w:line="219" w:lineRule="auto"/>
              <w:jc w:val="center"/>
              <w:rPr>
                <w:rFonts w:hint="default" w:eastAsia="宋体"/>
                <w:spacing w:val="-3"/>
                <w:highlight w:val="none"/>
                <w:lang w:val="en-US" w:eastAsia="zh-CN"/>
              </w:rPr>
            </w:pPr>
            <w:r>
              <w:rPr>
                <w:rFonts w:hint="eastAsia"/>
                <w:spacing w:val="-3"/>
                <w:highlight w:val="none"/>
                <w:lang w:val="en-US" w:eastAsia="zh-CN"/>
              </w:rPr>
              <w:t>指标分值</w:t>
            </w:r>
          </w:p>
        </w:tc>
        <w:tc>
          <w:tcPr>
            <w:tcW w:w="1450" w:type="dxa"/>
            <w:vMerge w:val="restart"/>
            <w:tcBorders>
              <w:bottom w:val="nil"/>
            </w:tcBorders>
            <w:noWrap w:val="0"/>
            <w:vAlign w:val="top"/>
          </w:tcPr>
          <w:p w14:paraId="35459D89">
            <w:pPr>
              <w:pStyle w:val="14"/>
              <w:spacing w:before="65" w:line="219" w:lineRule="auto"/>
              <w:jc w:val="both"/>
              <w:rPr>
                <w:spacing w:val="-3"/>
                <w:highlight w:val="none"/>
              </w:rPr>
            </w:pPr>
          </w:p>
          <w:p w14:paraId="757A78BC">
            <w:pPr>
              <w:pStyle w:val="14"/>
              <w:spacing w:before="65" w:line="219" w:lineRule="auto"/>
              <w:jc w:val="center"/>
              <w:rPr>
                <w:highlight w:val="none"/>
              </w:rPr>
            </w:pPr>
            <w:r>
              <w:rPr>
                <w:spacing w:val="-3"/>
                <w:highlight w:val="none"/>
              </w:rPr>
              <w:t>得分</w:t>
            </w:r>
          </w:p>
        </w:tc>
      </w:tr>
      <w:tr w14:paraId="43211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550" w:type="dxa"/>
            <w:noWrap w:val="0"/>
            <w:vAlign w:val="top"/>
          </w:tcPr>
          <w:p w14:paraId="70E5FF21">
            <w:pPr>
              <w:pStyle w:val="14"/>
              <w:spacing w:before="189" w:line="219" w:lineRule="auto"/>
              <w:jc w:val="center"/>
              <w:rPr>
                <w:highlight w:val="none"/>
              </w:rPr>
            </w:pPr>
            <w:r>
              <w:rPr>
                <w:rFonts w:hint="eastAsia"/>
                <w:spacing w:val="-2"/>
                <w:highlight w:val="none"/>
                <w:lang w:val="en-US" w:eastAsia="zh-CN"/>
              </w:rPr>
              <w:t>一级</w:t>
            </w:r>
            <w:r>
              <w:rPr>
                <w:spacing w:val="-2"/>
                <w:highlight w:val="none"/>
              </w:rPr>
              <w:t>指标</w:t>
            </w:r>
          </w:p>
        </w:tc>
        <w:tc>
          <w:tcPr>
            <w:tcW w:w="1987" w:type="dxa"/>
            <w:noWrap w:val="0"/>
            <w:vAlign w:val="top"/>
          </w:tcPr>
          <w:p w14:paraId="555BCFDF">
            <w:pPr>
              <w:pStyle w:val="14"/>
              <w:spacing w:before="189" w:line="220" w:lineRule="auto"/>
              <w:jc w:val="center"/>
              <w:rPr>
                <w:highlight w:val="none"/>
              </w:rPr>
            </w:pPr>
            <w:r>
              <w:rPr>
                <w:rFonts w:hint="eastAsia"/>
                <w:spacing w:val="-3"/>
                <w:highlight w:val="none"/>
                <w:lang w:val="en-US" w:eastAsia="zh-CN"/>
              </w:rPr>
              <w:t>二</w:t>
            </w:r>
            <w:r>
              <w:rPr>
                <w:spacing w:val="-3"/>
                <w:highlight w:val="none"/>
              </w:rPr>
              <w:t>级指标</w:t>
            </w:r>
          </w:p>
        </w:tc>
        <w:tc>
          <w:tcPr>
            <w:tcW w:w="2663" w:type="dxa"/>
            <w:noWrap w:val="0"/>
            <w:vAlign w:val="top"/>
          </w:tcPr>
          <w:p w14:paraId="1DE2F97B">
            <w:pPr>
              <w:pStyle w:val="14"/>
              <w:spacing w:before="189" w:line="220" w:lineRule="auto"/>
              <w:ind w:left="1053"/>
              <w:rPr>
                <w:highlight w:val="none"/>
              </w:rPr>
            </w:pPr>
            <w:r>
              <w:rPr>
                <w:rFonts w:hint="eastAsia"/>
                <w:spacing w:val="-3"/>
                <w:highlight w:val="none"/>
                <w:lang w:val="en-US" w:eastAsia="zh-CN"/>
              </w:rPr>
              <w:t>三</w:t>
            </w:r>
            <w:r>
              <w:rPr>
                <w:spacing w:val="-3"/>
                <w:highlight w:val="none"/>
              </w:rPr>
              <w:t>级指标</w:t>
            </w:r>
          </w:p>
        </w:tc>
        <w:tc>
          <w:tcPr>
            <w:tcW w:w="1450" w:type="dxa"/>
            <w:vMerge w:val="continue"/>
            <w:noWrap w:val="0"/>
            <w:vAlign w:val="top"/>
          </w:tcPr>
          <w:p w14:paraId="1E98FDB8">
            <w:pPr>
              <w:jc w:val="center"/>
              <w:rPr>
                <w:rFonts w:ascii="Arial"/>
                <w:sz w:val="21"/>
                <w:highlight w:val="none"/>
              </w:rPr>
            </w:pPr>
          </w:p>
        </w:tc>
        <w:tc>
          <w:tcPr>
            <w:tcW w:w="1450" w:type="dxa"/>
            <w:vMerge w:val="continue"/>
            <w:tcBorders>
              <w:top w:val="nil"/>
            </w:tcBorders>
            <w:noWrap w:val="0"/>
            <w:vAlign w:val="top"/>
          </w:tcPr>
          <w:p w14:paraId="48A29120">
            <w:pPr>
              <w:jc w:val="center"/>
              <w:rPr>
                <w:rFonts w:ascii="Arial"/>
                <w:sz w:val="21"/>
                <w:highlight w:val="none"/>
              </w:rPr>
            </w:pPr>
          </w:p>
        </w:tc>
      </w:tr>
      <w:tr w14:paraId="48FCE500">
        <w:tblPrEx>
          <w:tblCellMar>
            <w:top w:w="0" w:type="dxa"/>
            <w:left w:w="0" w:type="dxa"/>
            <w:bottom w:w="0" w:type="dxa"/>
            <w:right w:w="0" w:type="dxa"/>
          </w:tblCellMar>
        </w:tblPrEx>
        <w:trPr>
          <w:trHeight w:val="529" w:hRule="atLeast"/>
        </w:trPr>
        <w:tc>
          <w:tcPr>
            <w:tcW w:w="1550" w:type="dxa"/>
            <w:vMerge w:val="restart"/>
            <w:noWrap w:val="0"/>
            <w:vAlign w:val="top"/>
          </w:tcPr>
          <w:p w14:paraId="50FAF2B0">
            <w:pPr>
              <w:pStyle w:val="14"/>
              <w:spacing w:before="226" w:line="220" w:lineRule="auto"/>
              <w:ind w:left="130"/>
              <w:jc w:val="center"/>
              <w:rPr>
                <w:spacing w:val="-2"/>
                <w:highlight w:val="none"/>
              </w:rPr>
            </w:pPr>
          </w:p>
          <w:p w14:paraId="15FFDD5E">
            <w:pPr>
              <w:pStyle w:val="14"/>
              <w:spacing w:before="226" w:line="220" w:lineRule="auto"/>
              <w:ind w:left="130"/>
              <w:jc w:val="center"/>
              <w:rPr>
                <w:spacing w:val="-2"/>
                <w:highlight w:val="none"/>
              </w:rPr>
            </w:pPr>
          </w:p>
          <w:p w14:paraId="2F988CBE">
            <w:pPr>
              <w:pStyle w:val="14"/>
              <w:spacing w:before="226" w:line="220" w:lineRule="auto"/>
              <w:ind w:left="130"/>
              <w:jc w:val="center"/>
              <w:rPr>
                <w:spacing w:val="-2"/>
                <w:highlight w:val="none"/>
              </w:rPr>
            </w:pPr>
          </w:p>
          <w:p w14:paraId="1FCA996E">
            <w:pPr>
              <w:pStyle w:val="14"/>
              <w:spacing w:before="226" w:line="220" w:lineRule="auto"/>
              <w:ind w:left="130"/>
              <w:jc w:val="center"/>
              <w:rPr>
                <w:spacing w:val="-2"/>
                <w:highlight w:val="none"/>
              </w:rPr>
            </w:pPr>
          </w:p>
          <w:p w14:paraId="460E3EE8">
            <w:pPr>
              <w:pStyle w:val="14"/>
              <w:spacing w:before="226" w:line="220" w:lineRule="auto"/>
              <w:ind w:left="130"/>
              <w:jc w:val="center"/>
              <w:rPr>
                <w:highlight w:val="none"/>
              </w:rPr>
            </w:pPr>
            <w:r>
              <w:rPr>
                <w:spacing w:val="-2"/>
                <w:highlight w:val="none"/>
              </w:rPr>
              <w:t>通用指标</w:t>
            </w:r>
          </w:p>
        </w:tc>
        <w:tc>
          <w:tcPr>
            <w:tcW w:w="1987" w:type="dxa"/>
            <w:vMerge w:val="restart"/>
            <w:tcBorders>
              <w:bottom w:val="nil"/>
            </w:tcBorders>
            <w:noWrap w:val="0"/>
            <w:vAlign w:val="top"/>
          </w:tcPr>
          <w:p w14:paraId="2C95D16B">
            <w:pPr>
              <w:pStyle w:val="14"/>
              <w:spacing w:before="65" w:line="219" w:lineRule="auto"/>
              <w:jc w:val="center"/>
              <w:rPr>
                <w:spacing w:val="-3"/>
                <w:highlight w:val="none"/>
              </w:rPr>
            </w:pPr>
          </w:p>
          <w:p w14:paraId="1837A122">
            <w:pPr>
              <w:pStyle w:val="14"/>
              <w:spacing w:before="65" w:line="219" w:lineRule="auto"/>
              <w:jc w:val="center"/>
              <w:rPr>
                <w:spacing w:val="-3"/>
                <w:highlight w:val="none"/>
              </w:rPr>
            </w:pPr>
          </w:p>
          <w:p w14:paraId="653D297A">
            <w:pPr>
              <w:pStyle w:val="14"/>
              <w:spacing w:before="65" w:line="219" w:lineRule="auto"/>
              <w:jc w:val="center"/>
              <w:rPr>
                <w:highlight w:val="none"/>
              </w:rPr>
            </w:pPr>
            <w:r>
              <w:rPr>
                <w:spacing w:val="-3"/>
                <w:highlight w:val="none"/>
              </w:rPr>
              <w:t>项目决策</w:t>
            </w:r>
          </w:p>
        </w:tc>
        <w:tc>
          <w:tcPr>
            <w:tcW w:w="2663" w:type="dxa"/>
            <w:noWrap w:val="0"/>
            <w:vAlign w:val="top"/>
          </w:tcPr>
          <w:p w14:paraId="6F09F09D">
            <w:pPr>
              <w:pStyle w:val="14"/>
              <w:spacing w:before="170" w:line="219" w:lineRule="auto"/>
              <w:ind w:left="1053"/>
              <w:rPr>
                <w:highlight w:val="none"/>
              </w:rPr>
            </w:pPr>
            <w:r>
              <w:rPr>
                <w:spacing w:val="2"/>
                <w:highlight w:val="none"/>
              </w:rPr>
              <w:t>决策程序</w:t>
            </w:r>
          </w:p>
        </w:tc>
        <w:tc>
          <w:tcPr>
            <w:tcW w:w="1450" w:type="dxa"/>
            <w:noWrap w:val="0"/>
            <w:vAlign w:val="top"/>
          </w:tcPr>
          <w:p w14:paraId="7DD1F68D">
            <w:pPr>
              <w:pStyle w:val="14"/>
              <w:spacing w:before="189"/>
              <w:jc w:val="center"/>
              <w:rPr>
                <w:rFonts w:hint="eastAsia"/>
                <w:highlight w:val="none"/>
                <w:lang w:val="en-US" w:eastAsia="zh-CN"/>
              </w:rPr>
            </w:pPr>
            <w:r>
              <w:rPr>
                <w:spacing w:val="-3"/>
                <w:highlight w:val="none"/>
              </w:rPr>
              <w:t>6</w:t>
            </w:r>
          </w:p>
        </w:tc>
        <w:tc>
          <w:tcPr>
            <w:tcW w:w="1450" w:type="dxa"/>
            <w:noWrap w:val="0"/>
            <w:vAlign w:val="top"/>
          </w:tcPr>
          <w:p w14:paraId="399BB144">
            <w:pPr>
              <w:pStyle w:val="14"/>
              <w:spacing w:before="189"/>
              <w:jc w:val="center"/>
              <w:rPr>
                <w:rFonts w:hint="eastAsia" w:eastAsia="宋体"/>
                <w:highlight w:val="none"/>
                <w:lang w:val="en-US" w:eastAsia="zh-CN"/>
              </w:rPr>
            </w:pPr>
            <w:r>
              <w:rPr>
                <w:rFonts w:hint="eastAsia"/>
                <w:highlight w:val="none"/>
                <w:lang w:val="en-US" w:eastAsia="zh-CN"/>
              </w:rPr>
              <w:t>6</w:t>
            </w:r>
          </w:p>
        </w:tc>
      </w:tr>
      <w:tr w14:paraId="6CBAB0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02B71FAB">
            <w:pPr>
              <w:jc w:val="center"/>
              <w:rPr>
                <w:rFonts w:ascii="Arial"/>
                <w:sz w:val="21"/>
                <w:highlight w:val="none"/>
              </w:rPr>
            </w:pPr>
          </w:p>
        </w:tc>
        <w:tc>
          <w:tcPr>
            <w:tcW w:w="1987" w:type="dxa"/>
            <w:vMerge w:val="continue"/>
            <w:tcBorders>
              <w:top w:val="nil"/>
              <w:bottom w:val="nil"/>
            </w:tcBorders>
            <w:noWrap w:val="0"/>
            <w:vAlign w:val="top"/>
          </w:tcPr>
          <w:p w14:paraId="362C06D3">
            <w:pPr>
              <w:jc w:val="center"/>
              <w:rPr>
                <w:rFonts w:ascii="Arial"/>
                <w:sz w:val="21"/>
                <w:highlight w:val="none"/>
              </w:rPr>
            </w:pPr>
          </w:p>
        </w:tc>
        <w:tc>
          <w:tcPr>
            <w:tcW w:w="2663" w:type="dxa"/>
            <w:noWrap w:val="0"/>
            <w:vAlign w:val="top"/>
          </w:tcPr>
          <w:p w14:paraId="77ADE026">
            <w:pPr>
              <w:pStyle w:val="14"/>
              <w:spacing w:before="173" w:line="221" w:lineRule="auto"/>
              <w:ind w:left="1053"/>
              <w:rPr>
                <w:highlight w:val="none"/>
              </w:rPr>
            </w:pPr>
            <w:r>
              <w:rPr>
                <w:rFonts w:hint="eastAsia"/>
                <w:spacing w:val="-2"/>
                <w:highlight w:val="none"/>
              </w:rPr>
              <w:t>规划论证</w:t>
            </w:r>
          </w:p>
        </w:tc>
        <w:tc>
          <w:tcPr>
            <w:tcW w:w="1450" w:type="dxa"/>
            <w:noWrap w:val="0"/>
            <w:vAlign w:val="top"/>
          </w:tcPr>
          <w:p w14:paraId="12FEF404">
            <w:pPr>
              <w:pStyle w:val="14"/>
              <w:spacing w:before="190"/>
              <w:jc w:val="center"/>
              <w:rPr>
                <w:rFonts w:hint="eastAsia"/>
                <w:highlight w:val="none"/>
                <w:lang w:val="en-US" w:eastAsia="zh-CN"/>
              </w:rPr>
            </w:pPr>
            <w:r>
              <w:rPr>
                <w:spacing w:val="-3"/>
                <w:highlight w:val="none"/>
              </w:rPr>
              <w:t>6</w:t>
            </w:r>
          </w:p>
        </w:tc>
        <w:tc>
          <w:tcPr>
            <w:tcW w:w="1450" w:type="dxa"/>
            <w:noWrap w:val="0"/>
            <w:vAlign w:val="top"/>
          </w:tcPr>
          <w:p w14:paraId="07D9DDF4">
            <w:pPr>
              <w:pStyle w:val="14"/>
              <w:spacing w:before="190"/>
              <w:jc w:val="center"/>
              <w:rPr>
                <w:rFonts w:hint="default" w:eastAsia="宋体"/>
                <w:highlight w:val="none"/>
                <w:lang w:val="en-US" w:eastAsia="zh-CN"/>
              </w:rPr>
            </w:pPr>
            <w:r>
              <w:rPr>
                <w:rFonts w:hint="eastAsia"/>
                <w:highlight w:val="none"/>
                <w:lang w:val="en-US" w:eastAsia="zh-CN"/>
              </w:rPr>
              <w:t>3</w:t>
            </w:r>
          </w:p>
        </w:tc>
      </w:tr>
      <w:tr w14:paraId="2EB8E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68DA0546">
            <w:pPr>
              <w:jc w:val="center"/>
              <w:rPr>
                <w:rFonts w:ascii="Arial"/>
                <w:sz w:val="21"/>
                <w:highlight w:val="none"/>
              </w:rPr>
            </w:pPr>
          </w:p>
        </w:tc>
        <w:tc>
          <w:tcPr>
            <w:tcW w:w="1987" w:type="dxa"/>
            <w:vMerge w:val="continue"/>
            <w:tcBorders>
              <w:top w:val="nil"/>
            </w:tcBorders>
            <w:noWrap w:val="0"/>
            <w:vAlign w:val="top"/>
          </w:tcPr>
          <w:p w14:paraId="41F24623">
            <w:pPr>
              <w:jc w:val="center"/>
              <w:rPr>
                <w:rFonts w:ascii="Arial"/>
                <w:sz w:val="21"/>
                <w:highlight w:val="none"/>
              </w:rPr>
            </w:pPr>
          </w:p>
        </w:tc>
        <w:tc>
          <w:tcPr>
            <w:tcW w:w="2663" w:type="dxa"/>
            <w:noWrap w:val="0"/>
            <w:vAlign w:val="top"/>
          </w:tcPr>
          <w:p w14:paraId="1D5144A2">
            <w:pPr>
              <w:pStyle w:val="14"/>
              <w:spacing w:before="172" w:line="220" w:lineRule="auto"/>
              <w:ind w:left="1053"/>
              <w:rPr>
                <w:highlight w:val="none"/>
              </w:rPr>
            </w:pPr>
            <w:r>
              <w:rPr>
                <w:spacing w:val="5"/>
                <w:highlight w:val="none"/>
              </w:rPr>
              <w:t>资金投向</w:t>
            </w:r>
          </w:p>
        </w:tc>
        <w:tc>
          <w:tcPr>
            <w:tcW w:w="1450" w:type="dxa"/>
            <w:noWrap w:val="0"/>
            <w:vAlign w:val="top"/>
          </w:tcPr>
          <w:p w14:paraId="245EB752">
            <w:pPr>
              <w:pStyle w:val="14"/>
              <w:spacing w:before="191"/>
              <w:jc w:val="center"/>
              <w:rPr>
                <w:rFonts w:hint="eastAsia"/>
                <w:highlight w:val="none"/>
                <w:lang w:val="en-US" w:eastAsia="zh-CN"/>
              </w:rPr>
            </w:pPr>
            <w:r>
              <w:rPr>
                <w:spacing w:val="-3"/>
                <w:highlight w:val="none"/>
              </w:rPr>
              <w:t>6</w:t>
            </w:r>
          </w:p>
        </w:tc>
        <w:tc>
          <w:tcPr>
            <w:tcW w:w="1450" w:type="dxa"/>
            <w:noWrap w:val="0"/>
            <w:vAlign w:val="top"/>
          </w:tcPr>
          <w:p w14:paraId="4396E380">
            <w:pPr>
              <w:pStyle w:val="14"/>
              <w:spacing w:before="191"/>
              <w:jc w:val="center"/>
              <w:rPr>
                <w:rFonts w:hint="eastAsia" w:eastAsia="宋体"/>
                <w:highlight w:val="none"/>
                <w:lang w:val="en-US" w:eastAsia="zh-CN"/>
              </w:rPr>
            </w:pPr>
            <w:r>
              <w:rPr>
                <w:rFonts w:hint="eastAsia"/>
                <w:highlight w:val="none"/>
                <w:lang w:val="en-US" w:eastAsia="zh-CN"/>
              </w:rPr>
              <w:t>6</w:t>
            </w:r>
          </w:p>
        </w:tc>
      </w:tr>
      <w:tr w14:paraId="628277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482CE004">
            <w:pPr>
              <w:jc w:val="center"/>
              <w:rPr>
                <w:rFonts w:ascii="Arial"/>
                <w:sz w:val="21"/>
                <w:highlight w:val="yellow"/>
              </w:rPr>
            </w:pPr>
          </w:p>
        </w:tc>
        <w:tc>
          <w:tcPr>
            <w:tcW w:w="1987" w:type="dxa"/>
            <w:vMerge w:val="restart"/>
            <w:tcBorders>
              <w:bottom w:val="nil"/>
            </w:tcBorders>
            <w:noWrap w:val="0"/>
            <w:vAlign w:val="top"/>
          </w:tcPr>
          <w:p w14:paraId="3AE8D6A4">
            <w:pPr>
              <w:pStyle w:val="14"/>
              <w:spacing w:before="65" w:line="219" w:lineRule="auto"/>
              <w:jc w:val="center"/>
              <w:rPr>
                <w:spacing w:val="-3"/>
                <w:highlight w:val="none"/>
              </w:rPr>
            </w:pPr>
          </w:p>
          <w:p w14:paraId="54C601A0">
            <w:pPr>
              <w:pStyle w:val="14"/>
              <w:spacing w:before="65" w:line="219" w:lineRule="auto"/>
              <w:jc w:val="center"/>
              <w:rPr>
                <w:spacing w:val="-3"/>
                <w:highlight w:val="none"/>
              </w:rPr>
            </w:pPr>
          </w:p>
          <w:p w14:paraId="4A4FAAB6">
            <w:pPr>
              <w:pStyle w:val="14"/>
              <w:spacing w:before="65" w:line="219" w:lineRule="auto"/>
              <w:jc w:val="center"/>
              <w:rPr>
                <w:highlight w:val="none"/>
              </w:rPr>
            </w:pPr>
            <w:r>
              <w:rPr>
                <w:spacing w:val="-3"/>
                <w:highlight w:val="none"/>
              </w:rPr>
              <w:t>项目管理</w:t>
            </w:r>
          </w:p>
        </w:tc>
        <w:tc>
          <w:tcPr>
            <w:tcW w:w="2663" w:type="dxa"/>
            <w:noWrap w:val="0"/>
            <w:vAlign w:val="top"/>
          </w:tcPr>
          <w:p w14:paraId="16770BF4">
            <w:pPr>
              <w:pStyle w:val="14"/>
              <w:spacing w:before="173" w:line="219" w:lineRule="auto"/>
              <w:ind w:left="1053"/>
              <w:rPr>
                <w:highlight w:val="none"/>
              </w:rPr>
            </w:pPr>
            <w:r>
              <w:rPr>
                <w:spacing w:val="-2"/>
                <w:highlight w:val="none"/>
              </w:rPr>
              <w:t>制度办法</w:t>
            </w:r>
          </w:p>
        </w:tc>
        <w:tc>
          <w:tcPr>
            <w:tcW w:w="1450" w:type="dxa"/>
            <w:noWrap w:val="0"/>
            <w:vAlign w:val="top"/>
          </w:tcPr>
          <w:p w14:paraId="4450608C">
            <w:pPr>
              <w:pStyle w:val="14"/>
              <w:spacing w:before="192"/>
              <w:jc w:val="center"/>
              <w:rPr>
                <w:rFonts w:hint="eastAsia"/>
                <w:highlight w:val="none"/>
                <w:lang w:val="en-US" w:eastAsia="zh-CN"/>
              </w:rPr>
            </w:pPr>
            <w:r>
              <w:rPr>
                <w:spacing w:val="-3"/>
                <w:highlight w:val="none"/>
              </w:rPr>
              <w:t>2</w:t>
            </w:r>
          </w:p>
        </w:tc>
        <w:tc>
          <w:tcPr>
            <w:tcW w:w="1450" w:type="dxa"/>
            <w:noWrap w:val="0"/>
            <w:vAlign w:val="top"/>
          </w:tcPr>
          <w:p w14:paraId="2F86851B">
            <w:pPr>
              <w:pStyle w:val="14"/>
              <w:spacing w:before="193" w:line="241" w:lineRule="auto"/>
              <w:jc w:val="center"/>
              <w:rPr>
                <w:rFonts w:hint="eastAsia" w:eastAsia="宋体"/>
                <w:highlight w:val="none"/>
                <w:lang w:val="en-US" w:eastAsia="zh-CN"/>
              </w:rPr>
            </w:pPr>
            <w:r>
              <w:rPr>
                <w:rFonts w:hint="eastAsia"/>
                <w:highlight w:val="none"/>
                <w:lang w:val="en-US" w:eastAsia="zh-CN"/>
              </w:rPr>
              <w:t>2</w:t>
            </w:r>
          </w:p>
        </w:tc>
      </w:tr>
      <w:tr w14:paraId="31AA4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1D57820F">
            <w:pPr>
              <w:jc w:val="center"/>
              <w:rPr>
                <w:rFonts w:ascii="Arial"/>
                <w:sz w:val="21"/>
                <w:highlight w:val="yellow"/>
              </w:rPr>
            </w:pPr>
          </w:p>
        </w:tc>
        <w:tc>
          <w:tcPr>
            <w:tcW w:w="1987" w:type="dxa"/>
            <w:vMerge w:val="continue"/>
            <w:tcBorders>
              <w:top w:val="nil"/>
              <w:bottom w:val="nil"/>
            </w:tcBorders>
            <w:noWrap w:val="0"/>
            <w:vAlign w:val="top"/>
          </w:tcPr>
          <w:p w14:paraId="0DEA98B7">
            <w:pPr>
              <w:jc w:val="center"/>
              <w:rPr>
                <w:rFonts w:ascii="Arial"/>
                <w:sz w:val="21"/>
                <w:highlight w:val="yellow"/>
              </w:rPr>
            </w:pPr>
          </w:p>
        </w:tc>
        <w:tc>
          <w:tcPr>
            <w:tcW w:w="2663" w:type="dxa"/>
            <w:noWrap w:val="0"/>
            <w:vAlign w:val="top"/>
          </w:tcPr>
          <w:p w14:paraId="64B35E85">
            <w:pPr>
              <w:pStyle w:val="14"/>
              <w:spacing w:before="174" w:line="219" w:lineRule="auto"/>
              <w:ind w:left="1053"/>
              <w:rPr>
                <w:highlight w:val="none"/>
              </w:rPr>
            </w:pPr>
            <w:r>
              <w:rPr>
                <w:spacing w:val="-2"/>
                <w:highlight w:val="none"/>
              </w:rPr>
              <w:t>分配管理</w:t>
            </w:r>
          </w:p>
        </w:tc>
        <w:tc>
          <w:tcPr>
            <w:tcW w:w="1450" w:type="dxa"/>
            <w:noWrap w:val="0"/>
            <w:vAlign w:val="top"/>
          </w:tcPr>
          <w:p w14:paraId="4503CBB2">
            <w:pPr>
              <w:pStyle w:val="14"/>
              <w:spacing w:before="193"/>
              <w:jc w:val="center"/>
              <w:rPr>
                <w:rFonts w:hint="eastAsia"/>
                <w:highlight w:val="none"/>
                <w:lang w:val="en-US" w:eastAsia="zh-CN"/>
              </w:rPr>
            </w:pPr>
            <w:r>
              <w:rPr>
                <w:spacing w:val="-6"/>
                <w:highlight w:val="none"/>
              </w:rPr>
              <w:t>10</w:t>
            </w:r>
          </w:p>
        </w:tc>
        <w:tc>
          <w:tcPr>
            <w:tcW w:w="1450" w:type="dxa"/>
            <w:noWrap w:val="0"/>
            <w:vAlign w:val="top"/>
          </w:tcPr>
          <w:p w14:paraId="7819F93A">
            <w:pPr>
              <w:pStyle w:val="14"/>
              <w:spacing w:before="193"/>
              <w:jc w:val="center"/>
              <w:rPr>
                <w:rFonts w:hint="default" w:eastAsia="宋体"/>
                <w:highlight w:val="none"/>
                <w:lang w:val="en-US" w:eastAsia="zh-CN"/>
              </w:rPr>
            </w:pPr>
            <w:r>
              <w:rPr>
                <w:rFonts w:hint="eastAsia"/>
                <w:highlight w:val="none"/>
                <w:lang w:val="en-US" w:eastAsia="zh-CN"/>
              </w:rPr>
              <w:t>10</w:t>
            </w:r>
          </w:p>
        </w:tc>
      </w:tr>
      <w:tr w14:paraId="3FA1C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416C2645">
            <w:pPr>
              <w:jc w:val="center"/>
              <w:rPr>
                <w:rFonts w:ascii="Arial"/>
                <w:sz w:val="21"/>
                <w:highlight w:val="yellow"/>
              </w:rPr>
            </w:pPr>
          </w:p>
        </w:tc>
        <w:tc>
          <w:tcPr>
            <w:tcW w:w="1987" w:type="dxa"/>
            <w:vMerge w:val="continue"/>
            <w:tcBorders>
              <w:top w:val="nil"/>
            </w:tcBorders>
            <w:noWrap w:val="0"/>
            <w:vAlign w:val="top"/>
          </w:tcPr>
          <w:p w14:paraId="310DFCE3">
            <w:pPr>
              <w:jc w:val="center"/>
              <w:rPr>
                <w:rFonts w:ascii="Arial"/>
                <w:sz w:val="21"/>
                <w:highlight w:val="yellow"/>
              </w:rPr>
            </w:pPr>
          </w:p>
        </w:tc>
        <w:tc>
          <w:tcPr>
            <w:tcW w:w="2663" w:type="dxa"/>
            <w:noWrap w:val="0"/>
            <w:vAlign w:val="top"/>
          </w:tcPr>
          <w:p w14:paraId="1C8C1417">
            <w:pPr>
              <w:pStyle w:val="14"/>
              <w:spacing w:before="175" w:line="219" w:lineRule="auto"/>
              <w:ind w:left="1053"/>
              <w:rPr>
                <w:highlight w:val="none"/>
              </w:rPr>
            </w:pPr>
            <w:r>
              <w:rPr>
                <w:spacing w:val="2"/>
                <w:highlight w:val="none"/>
              </w:rPr>
              <w:t>绩效监管</w:t>
            </w:r>
          </w:p>
        </w:tc>
        <w:tc>
          <w:tcPr>
            <w:tcW w:w="1450" w:type="dxa"/>
            <w:noWrap w:val="0"/>
            <w:vAlign w:val="top"/>
          </w:tcPr>
          <w:p w14:paraId="26FBDADA">
            <w:pPr>
              <w:pStyle w:val="14"/>
              <w:spacing w:before="194"/>
              <w:jc w:val="center"/>
              <w:rPr>
                <w:rFonts w:hint="eastAsia"/>
                <w:highlight w:val="none"/>
                <w:lang w:val="en-US" w:eastAsia="zh-CN"/>
              </w:rPr>
            </w:pPr>
            <w:r>
              <w:rPr>
                <w:spacing w:val="-3"/>
                <w:highlight w:val="none"/>
              </w:rPr>
              <w:t>6</w:t>
            </w:r>
          </w:p>
        </w:tc>
        <w:tc>
          <w:tcPr>
            <w:tcW w:w="1450" w:type="dxa"/>
            <w:noWrap w:val="0"/>
            <w:vAlign w:val="top"/>
          </w:tcPr>
          <w:p w14:paraId="51A48D1D">
            <w:pPr>
              <w:pStyle w:val="14"/>
              <w:spacing w:before="194"/>
              <w:jc w:val="center"/>
              <w:rPr>
                <w:rFonts w:hint="eastAsia" w:eastAsia="宋体"/>
                <w:highlight w:val="none"/>
                <w:lang w:val="en-US" w:eastAsia="zh-CN"/>
              </w:rPr>
            </w:pPr>
            <w:r>
              <w:rPr>
                <w:rFonts w:hint="eastAsia"/>
                <w:highlight w:val="none"/>
                <w:lang w:val="en-US" w:eastAsia="zh-CN"/>
              </w:rPr>
              <w:t>6</w:t>
            </w:r>
          </w:p>
        </w:tc>
      </w:tr>
      <w:tr w14:paraId="49614E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75AEE0C4">
            <w:pPr>
              <w:pStyle w:val="14"/>
              <w:spacing w:before="226" w:line="220" w:lineRule="auto"/>
              <w:ind w:left="130"/>
              <w:jc w:val="center"/>
              <w:rPr>
                <w:highlight w:val="none"/>
              </w:rPr>
            </w:pPr>
          </w:p>
        </w:tc>
        <w:tc>
          <w:tcPr>
            <w:tcW w:w="1987" w:type="dxa"/>
            <w:vMerge w:val="restart"/>
            <w:tcBorders>
              <w:bottom w:val="nil"/>
            </w:tcBorders>
            <w:noWrap w:val="0"/>
            <w:vAlign w:val="top"/>
          </w:tcPr>
          <w:p w14:paraId="29987FD0">
            <w:pPr>
              <w:pStyle w:val="14"/>
              <w:spacing w:before="65" w:line="600" w:lineRule="auto"/>
              <w:jc w:val="center"/>
              <w:rPr>
                <w:highlight w:val="none"/>
              </w:rPr>
            </w:pPr>
            <w:r>
              <w:rPr>
                <w:spacing w:val="2"/>
                <w:highlight w:val="none"/>
              </w:rPr>
              <w:t>项目实施</w:t>
            </w:r>
          </w:p>
        </w:tc>
        <w:tc>
          <w:tcPr>
            <w:tcW w:w="2663" w:type="dxa"/>
            <w:noWrap w:val="0"/>
            <w:vAlign w:val="top"/>
          </w:tcPr>
          <w:p w14:paraId="7E43B01F">
            <w:pPr>
              <w:pStyle w:val="14"/>
              <w:spacing w:before="176" w:line="219" w:lineRule="auto"/>
              <w:ind w:left="1053"/>
              <w:rPr>
                <w:highlight w:val="none"/>
              </w:rPr>
            </w:pPr>
            <w:r>
              <w:rPr>
                <w:spacing w:val="-2"/>
                <w:highlight w:val="none"/>
              </w:rPr>
              <w:t>预算执行</w:t>
            </w:r>
          </w:p>
        </w:tc>
        <w:tc>
          <w:tcPr>
            <w:tcW w:w="1450" w:type="dxa"/>
            <w:noWrap w:val="0"/>
            <w:vAlign w:val="top"/>
          </w:tcPr>
          <w:p w14:paraId="3D7BE700">
            <w:pPr>
              <w:pStyle w:val="14"/>
              <w:spacing w:before="195"/>
              <w:jc w:val="center"/>
              <w:rPr>
                <w:rFonts w:hint="eastAsia"/>
                <w:highlight w:val="none"/>
                <w:lang w:val="en-US" w:eastAsia="zh-CN"/>
              </w:rPr>
            </w:pPr>
            <w:r>
              <w:rPr>
                <w:rFonts w:hint="eastAsia"/>
                <w:spacing w:val="-3"/>
                <w:highlight w:val="none"/>
                <w:lang w:val="en-US" w:eastAsia="zh-CN"/>
              </w:rPr>
              <w:t>3</w:t>
            </w:r>
          </w:p>
        </w:tc>
        <w:tc>
          <w:tcPr>
            <w:tcW w:w="1450" w:type="dxa"/>
            <w:noWrap w:val="0"/>
            <w:vAlign w:val="top"/>
          </w:tcPr>
          <w:p w14:paraId="2F0190A4">
            <w:pPr>
              <w:pStyle w:val="14"/>
              <w:spacing w:before="196" w:line="239" w:lineRule="auto"/>
              <w:jc w:val="center"/>
              <w:rPr>
                <w:rFonts w:hint="default" w:eastAsia="宋体"/>
                <w:highlight w:val="none"/>
                <w:lang w:val="en-US" w:eastAsia="zh-CN"/>
              </w:rPr>
            </w:pPr>
            <w:r>
              <w:rPr>
                <w:rFonts w:hint="eastAsia"/>
                <w:highlight w:val="none"/>
                <w:lang w:val="en-US" w:eastAsia="zh-CN"/>
              </w:rPr>
              <w:t>1.2</w:t>
            </w:r>
          </w:p>
        </w:tc>
      </w:tr>
      <w:tr w14:paraId="45BEE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550" w:type="dxa"/>
            <w:vMerge w:val="continue"/>
            <w:noWrap w:val="0"/>
            <w:vAlign w:val="top"/>
          </w:tcPr>
          <w:p w14:paraId="48314FD5">
            <w:pPr>
              <w:jc w:val="center"/>
              <w:rPr>
                <w:rFonts w:ascii="Arial"/>
                <w:sz w:val="21"/>
                <w:highlight w:val="none"/>
              </w:rPr>
            </w:pPr>
          </w:p>
        </w:tc>
        <w:tc>
          <w:tcPr>
            <w:tcW w:w="1987" w:type="dxa"/>
            <w:vMerge w:val="continue"/>
            <w:tcBorders>
              <w:top w:val="nil"/>
            </w:tcBorders>
            <w:noWrap w:val="0"/>
            <w:vAlign w:val="top"/>
          </w:tcPr>
          <w:p w14:paraId="5CEC21FB">
            <w:pPr>
              <w:jc w:val="center"/>
              <w:rPr>
                <w:rFonts w:ascii="Arial"/>
                <w:sz w:val="21"/>
                <w:highlight w:val="none"/>
              </w:rPr>
            </w:pPr>
          </w:p>
        </w:tc>
        <w:tc>
          <w:tcPr>
            <w:tcW w:w="2663" w:type="dxa"/>
            <w:noWrap w:val="0"/>
            <w:vAlign w:val="top"/>
          </w:tcPr>
          <w:p w14:paraId="55BD04A7">
            <w:pPr>
              <w:pStyle w:val="14"/>
              <w:spacing w:before="147" w:line="219" w:lineRule="auto"/>
              <w:ind w:left="1053"/>
              <w:rPr>
                <w:highlight w:val="none"/>
              </w:rPr>
            </w:pPr>
            <w:r>
              <w:rPr>
                <w:spacing w:val="6"/>
                <w:highlight w:val="none"/>
              </w:rPr>
              <w:t>资金使用</w:t>
            </w:r>
          </w:p>
        </w:tc>
        <w:tc>
          <w:tcPr>
            <w:tcW w:w="1450" w:type="dxa"/>
            <w:noWrap w:val="0"/>
            <w:vAlign w:val="top"/>
          </w:tcPr>
          <w:p w14:paraId="277219B6">
            <w:pPr>
              <w:pStyle w:val="14"/>
              <w:spacing w:before="166"/>
              <w:jc w:val="center"/>
              <w:rPr>
                <w:rFonts w:hint="eastAsia"/>
                <w:highlight w:val="none"/>
                <w:lang w:val="en-US" w:eastAsia="zh-CN"/>
              </w:rPr>
            </w:pPr>
            <w:r>
              <w:rPr>
                <w:rFonts w:hint="eastAsia"/>
                <w:spacing w:val="-3"/>
                <w:highlight w:val="none"/>
                <w:lang w:val="en-US" w:eastAsia="zh-CN"/>
              </w:rPr>
              <w:t>6</w:t>
            </w:r>
          </w:p>
        </w:tc>
        <w:tc>
          <w:tcPr>
            <w:tcW w:w="1450" w:type="dxa"/>
            <w:noWrap w:val="0"/>
            <w:vAlign w:val="top"/>
          </w:tcPr>
          <w:p w14:paraId="21E4D282">
            <w:pPr>
              <w:pStyle w:val="14"/>
              <w:spacing w:before="166"/>
              <w:jc w:val="center"/>
              <w:rPr>
                <w:rFonts w:hint="default" w:eastAsia="宋体"/>
                <w:highlight w:val="none"/>
                <w:lang w:val="en-US" w:eastAsia="zh-CN"/>
              </w:rPr>
            </w:pPr>
            <w:r>
              <w:rPr>
                <w:rFonts w:hint="eastAsia"/>
                <w:highlight w:val="none"/>
                <w:lang w:val="en-US" w:eastAsia="zh-CN"/>
              </w:rPr>
              <w:t>3</w:t>
            </w:r>
          </w:p>
        </w:tc>
      </w:tr>
      <w:tr w14:paraId="7458F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550" w:type="dxa"/>
            <w:vMerge w:val="continue"/>
            <w:noWrap w:val="0"/>
            <w:vAlign w:val="top"/>
          </w:tcPr>
          <w:p w14:paraId="63DF80C7">
            <w:pPr>
              <w:jc w:val="center"/>
              <w:rPr>
                <w:rFonts w:ascii="Arial"/>
                <w:sz w:val="21"/>
                <w:highlight w:val="none"/>
              </w:rPr>
            </w:pPr>
          </w:p>
        </w:tc>
        <w:tc>
          <w:tcPr>
            <w:tcW w:w="1987" w:type="dxa"/>
            <w:vMerge w:val="restart"/>
            <w:noWrap w:val="0"/>
            <w:vAlign w:val="top"/>
          </w:tcPr>
          <w:p w14:paraId="3FFF43C5">
            <w:pPr>
              <w:pStyle w:val="14"/>
              <w:spacing w:before="178" w:line="600" w:lineRule="auto"/>
              <w:jc w:val="center"/>
              <w:rPr>
                <w:highlight w:val="none"/>
              </w:rPr>
            </w:pPr>
            <w:r>
              <w:rPr>
                <w:spacing w:val="2"/>
                <w:highlight w:val="none"/>
              </w:rPr>
              <w:t>项目结果</w:t>
            </w:r>
          </w:p>
        </w:tc>
        <w:tc>
          <w:tcPr>
            <w:tcW w:w="2663" w:type="dxa"/>
            <w:noWrap w:val="0"/>
            <w:vAlign w:val="top"/>
          </w:tcPr>
          <w:p w14:paraId="5E5E5A08">
            <w:pPr>
              <w:pStyle w:val="14"/>
              <w:spacing w:before="178" w:line="219" w:lineRule="auto"/>
              <w:ind w:left="1053"/>
              <w:rPr>
                <w:highlight w:val="none"/>
              </w:rPr>
            </w:pPr>
            <w:r>
              <w:rPr>
                <w:spacing w:val="2"/>
                <w:highlight w:val="none"/>
              </w:rPr>
              <w:t>目标完成</w:t>
            </w:r>
          </w:p>
        </w:tc>
        <w:tc>
          <w:tcPr>
            <w:tcW w:w="1450" w:type="dxa"/>
            <w:noWrap w:val="0"/>
            <w:vAlign w:val="top"/>
          </w:tcPr>
          <w:p w14:paraId="22F13B83">
            <w:pPr>
              <w:pStyle w:val="14"/>
              <w:spacing w:before="197"/>
              <w:jc w:val="center"/>
              <w:rPr>
                <w:rFonts w:hint="eastAsia"/>
                <w:highlight w:val="none"/>
                <w:lang w:val="en-US" w:eastAsia="zh-CN"/>
              </w:rPr>
            </w:pPr>
            <w:r>
              <w:rPr>
                <w:spacing w:val="-3"/>
                <w:highlight w:val="none"/>
              </w:rPr>
              <w:t>6</w:t>
            </w:r>
          </w:p>
        </w:tc>
        <w:tc>
          <w:tcPr>
            <w:tcW w:w="1450" w:type="dxa"/>
            <w:noWrap w:val="0"/>
            <w:vAlign w:val="top"/>
          </w:tcPr>
          <w:p w14:paraId="2DE11E46">
            <w:pPr>
              <w:pStyle w:val="14"/>
              <w:spacing w:before="197"/>
              <w:jc w:val="center"/>
              <w:rPr>
                <w:rFonts w:hint="default" w:eastAsia="宋体"/>
                <w:highlight w:val="none"/>
                <w:lang w:val="en-US" w:eastAsia="zh-CN"/>
              </w:rPr>
            </w:pPr>
            <w:r>
              <w:rPr>
                <w:rFonts w:hint="eastAsia"/>
                <w:highlight w:val="none"/>
                <w:lang w:val="en-US" w:eastAsia="zh-CN"/>
              </w:rPr>
              <w:t>5.67</w:t>
            </w:r>
          </w:p>
        </w:tc>
      </w:tr>
      <w:tr w14:paraId="1CDF1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1550" w:type="dxa"/>
            <w:vMerge w:val="continue"/>
            <w:noWrap w:val="0"/>
            <w:vAlign w:val="top"/>
          </w:tcPr>
          <w:p w14:paraId="2E8987C4">
            <w:pPr>
              <w:jc w:val="center"/>
              <w:rPr>
                <w:rFonts w:ascii="Arial"/>
                <w:sz w:val="21"/>
                <w:highlight w:val="none"/>
              </w:rPr>
            </w:pPr>
          </w:p>
        </w:tc>
        <w:tc>
          <w:tcPr>
            <w:tcW w:w="1987" w:type="dxa"/>
            <w:vMerge w:val="continue"/>
            <w:noWrap w:val="0"/>
            <w:vAlign w:val="top"/>
          </w:tcPr>
          <w:p w14:paraId="33B00B29">
            <w:pPr>
              <w:jc w:val="center"/>
              <w:rPr>
                <w:rFonts w:ascii="Arial"/>
                <w:sz w:val="21"/>
                <w:highlight w:val="none"/>
              </w:rPr>
            </w:pPr>
          </w:p>
        </w:tc>
        <w:tc>
          <w:tcPr>
            <w:tcW w:w="2663" w:type="dxa"/>
            <w:noWrap w:val="0"/>
            <w:vAlign w:val="top"/>
          </w:tcPr>
          <w:p w14:paraId="37FCC664">
            <w:pPr>
              <w:pStyle w:val="14"/>
              <w:spacing w:before="173" w:line="219" w:lineRule="auto"/>
              <w:ind w:left="1053"/>
              <w:rPr>
                <w:highlight w:val="none"/>
              </w:rPr>
            </w:pPr>
            <w:r>
              <w:rPr>
                <w:spacing w:val="-2"/>
                <w:highlight w:val="none"/>
              </w:rPr>
              <w:t>完成时效</w:t>
            </w:r>
          </w:p>
        </w:tc>
        <w:tc>
          <w:tcPr>
            <w:tcW w:w="1450" w:type="dxa"/>
            <w:noWrap w:val="0"/>
            <w:vAlign w:val="top"/>
          </w:tcPr>
          <w:p w14:paraId="5F995FF7">
            <w:pPr>
              <w:pStyle w:val="14"/>
              <w:spacing w:before="192"/>
              <w:jc w:val="center"/>
              <w:rPr>
                <w:rFonts w:hint="eastAsia"/>
                <w:highlight w:val="none"/>
                <w:lang w:val="en-US" w:eastAsia="zh-CN"/>
              </w:rPr>
            </w:pPr>
            <w:r>
              <w:rPr>
                <w:spacing w:val="-3"/>
                <w:highlight w:val="none"/>
              </w:rPr>
              <w:t>3</w:t>
            </w:r>
          </w:p>
        </w:tc>
        <w:tc>
          <w:tcPr>
            <w:tcW w:w="1450" w:type="dxa"/>
            <w:noWrap w:val="0"/>
            <w:vAlign w:val="top"/>
          </w:tcPr>
          <w:p w14:paraId="29CD01DB">
            <w:pPr>
              <w:pStyle w:val="14"/>
              <w:spacing w:before="192"/>
              <w:jc w:val="center"/>
              <w:rPr>
                <w:rFonts w:hint="eastAsia" w:eastAsia="宋体"/>
                <w:highlight w:val="none"/>
                <w:lang w:val="en-US" w:eastAsia="zh-CN"/>
              </w:rPr>
            </w:pPr>
            <w:r>
              <w:rPr>
                <w:rFonts w:hint="eastAsia"/>
                <w:highlight w:val="none"/>
                <w:lang w:val="en-US" w:eastAsia="zh-CN"/>
              </w:rPr>
              <w:t>3</w:t>
            </w:r>
          </w:p>
        </w:tc>
      </w:tr>
      <w:tr w14:paraId="4EBBF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550" w:type="dxa"/>
            <w:vMerge w:val="restart"/>
            <w:tcBorders>
              <w:top w:val="nil"/>
            </w:tcBorders>
            <w:noWrap w:val="0"/>
            <w:vAlign w:val="top"/>
          </w:tcPr>
          <w:p w14:paraId="197D20A6">
            <w:pPr>
              <w:pStyle w:val="14"/>
              <w:spacing w:before="65" w:line="240" w:lineRule="auto"/>
              <w:ind w:left="130"/>
              <w:jc w:val="center"/>
              <w:rPr>
                <w:rFonts w:hint="eastAsia" w:ascii="宋体" w:hAnsi="宋体" w:eastAsia="宋体" w:cs="宋体"/>
                <w:spacing w:val="-2"/>
                <w:highlight w:val="none"/>
              </w:rPr>
            </w:pPr>
          </w:p>
          <w:p w14:paraId="1185169B">
            <w:pPr>
              <w:pStyle w:val="14"/>
              <w:spacing w:before="65" w:line="480" w:lineRule="auto"/>
              <w:jc w:val="center"/>
              <w:rPr>
                <w:rFonts w:hint="eastAsia" w:ascii="Arial" w:eastAsia="宋体"/>
                <w:sz w:val="21"/>
                <w:highlight w:val="none"/>
                <w:lang w:val="en-US" w:eastAsia="zh-CN"/>
              </w:rPr>
            </w:pPr>
            <w:r>
              <w:rPr>
                <w:rFonts w:hint="eastAsia" w:ascii="Arial"/>
                <w:sz w:val="21"/>
                <w:highlight w:val="none"/>
                <w:lang w:val="en-US" w:eastAsia="zh-CN"/>
              </w:rPr>
              <w:t>专用指标</w:t>
            </w:r>
          </w:p>
        </w:tc>
        <w:tc>
          <w:tcPr>
            <w:tcW w:w="1987" w:type="dxa"/>
            <w:vMerge w:val="restart"/>
            <w:tcBorders>
              <w:top w:val="nil"/>
            </w:tcBorders>
            <w:noWrap w:val="0"/>
            <w:vAlign w:val="top"/>
          </w:tcPr>
          <w:p w14:paraId="452C38F5">
            <w:pPr>
              <w:jc w:val="center"/>
              <w:rPr>
                <w:rFonts w:hint="eastAsia" w:ascii="Arial"/>
                <w:sz w:val="21"/>
                <w:highlight w:val="none"/>
                <w:lang w:val="en-US" w:eastAsia="zh-CN"/>
              </w:rPr>
            </w:pPr>
          </w:p>
          <w:p w14:paraId="38A2EE60">
            <w:pPr>
              <w:jc w:val="center"/>
              <w:rPr>
                <w:rFonts w:hint="eastAsia" w:ascii="Arial"/>
                <w:sz w:val="21"/>
                <w:highlight w:val="none"/>
                <w:lang w:val="en-US" w:eastAsia="zh-CN"/>
              </w:rPr>
            </w:pPr>
          </w:p>
          <w:p w14:paraId="2101B7C0">
            <w:pPr>
              <w:jc w:val="center"/>
              <w:rPr>
                <w:rFonts w:hint="default" w:ascii="Arial" w:eastAsia="宋体"/>
                <w:sz w:val="21"/>
                <w:highlight w:val="none"/>
                <w:lang w:val="en-US" w:eastAsia="zh-CN"/>
              </w:rPr>
            </w:pPr>
            <w:r>
              <w:rPr>
                <w:rFonts w:hint="eastAsia" w:ascii="Arial"/>
                <w:sz w:val="21"/>
                <w:highlight w:val="none"/>
                <w:lang w:val="en-US" w:eastAsia="zh-CN"/>
              </w:rPr>
              <w:t>行政运转</w:t>
            </w:r>
          </w:p>
        </w:tc>
        <w:tc>
          <w:tcPr>
            <w:tcW w:w="2663" w:type="dxa"/>
            <w:noWrap w:val="0"/>
            <w:vAlign w:val="top"/>
          </w:tcPr>
          <w:p w14:paraId="5EBFF0BE">
            <w:pPr>
              <w:pStyle w:val="14"/>
              <w:spacing w:before="179" w:line="219" w:lineRule="auto"/>
              <w:jc w:val="center"/>
              <w:rPr>
                <w:highlight w:val="none"/>
              </w:rPr>
            </w:pPr>
            <w:r>
              <w:rPr>
                <w:rFonts w:hint="eastAsia"/>
                <w:spacing w:val="-2"/>
                <w:highlight w:val="none"/>
                <w:lang w:val="en-US" w:eastAsia="zh-CN"/>
              </w:rPr>
              <w:t xml:space="preserve">   </w:t>
            </w:r>
            <w:r>
              <w:rPr>
                <w:rFonts w:hint="eastAsia"/>
                <w:spacing w:val="-2"/>
                <w:highlight w:val="none"/>
              </w:rPr>
              <w:t>用途合规性</w:t>
            </w:r>
          </w:p>
        </w:tc>
        <w:tc>
          <w:tcPr>
            <w:tcW w:w="1450" w:type="dxa"/>
            <w:noWrap w:val="0"/>
            <w:vAlign w:val="top"/>
          </w:tcPr>
          <w:p w14:paraId="3ED0CE84">
            <w:pPr>
              <w:pStyle w:val="14"/>
              <w:spacing w:before="191"/>
              <w:jc w:val="center"/>
              <w:rPr>
                <w:rFonts w:hint="eastAsia"/>
                <w:highlight w:val="none"/>
                <w:lang w:val="en-US" w:eastAsia="zh-CN"/>
              </w:rPr>
            </w:pPr>
            <w:r>
              <w:rPr>
                <w:rFonts w:hint="eastAsia" w:ascii="宋体" w:hAnsi="宋体" w:eastAsia="宋体" w:cs="宋体"/>
                <w:spacing w:val="-6"/>
                <w:highlight w:val="none"/>
                <w:lang w:val="en-US" w:eastAsia="zh-CN"/>
              </w:rPr>
              <w:t>10</w:t>
            </w:r>
          </w:p>
        </w:tc>
        <w:tc>
          <w:tcPr>
            <w:tcW w:w="1450" w:type="dxa"/>
            <w:noWrap w:val="0"/>
            <w:vAlign w:val="top"/>
          </w:tcPr>
          <w:p w14:paraId="3A95FADF">
            <w:pPr>
              <w:pStyle w:val="14"/>
              <w:spacing w:before="200"/>
              <w:jc w:val="center"/>
              <w:rPr>
                <w:rFonts w:hint="default" w:eastAsia="宋体"/>
                <w:highlight w:val="yellow"/>
                <w:lang w:val="en-US" w:eastAsia="zh-CN"/>
              </w:rPr>
            </w:pPr>
            <w:r>
              <w:rPr>
                <w:rFonts w:hint="eastAsia"/>
                <w:highlight w:val="none"/>
                <w:lang w:val="en-US" w:eastAsia="zh-CN"/>
              </w:rPr>
              <w:t>10</w:t>
            </w:r>
          </w:p>
        </w:tc>
      </w:tr>
      <w:tr w14:paraId="78A47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trPr>
        <w:tc>
          <w:tcPr>
            <w:tcW w:w="1550" w:type="dxa"/>
            <w:vMerge w:val="continue"/>
            <w:noWrap w:val="0"/>
            <w:vAlign w:val="top"/>
          </w:tcPr>
          <w:p w14:paraId="62DCA3F5">
            <w:pPr>
              <w:jc w:val="center"/>
              <w:rPr>
                <w:rFonts w:ascii="Arial"/>
                <w:sz w:val="21"/>
                <w:highlight w:val="none"/>
              </w:rPr>
            </w:pPr>
          </w:p>
        </w:tc>
        <w:tc>
          <w:tcPr>
            <w:tcW w:w="1987" w:type="dxa"/>
            <w:vMerge w:val="continue"/>
            <w:noWrap w:val="0"/>
            <w:vAlign w:val="top"/>
          </w:tcPr>
          <w:p w14:paraId="0D51E303">
            <w:pPr>
              <w:jc w:val="center"/>
              <w:rPr>
                <w:rFonts w:ascii="Arial"/>
                <w:sz w:val="21"/>
                <w:highlight w:val="none"/>
              </w:rPr>
            </w:pPr>
          </w:p>
        </w:tc>
        <w:tc>
          <w:tcPr>
            <w:tcW w:w="2663" w:type="dxa"/>
            <w:noWrap w:val="0"/>
            <w:vAlign w:val="top"/>
          </w:tcPr>
          <w:p w14:paraId="366B5D5C">
            <w:pPr>
              <w:pStyle w:val="14"/>
              <w:spacing w:before="172" w:line="220" w:lineRule="auto"/>
              <w:jc w:val="center"/>
              <w:rPr>
                <w:highlight w:val="none"/>
              </w:rPr>
            </w:pPr>
            <w:r>
              <w:rPr>
                <w:rFonts w:hint="eastAsia"/>
                <w:spacing w:val="-2"/>
                <w:highlight w:val="none"/>
                <w:lang w:val="en-US" w:eastAsia="zh-CN"/>
              </w:rPr>
              <w:t xml:space="preserve">   </w:t>
            </w:r>
            <w:r>
              <w:rPr>
                <w:rFonts w:hint="eastAsia"/>
                <w:spacing w:val="-2"/>
                <w:highlight w:val="none"/>
              </w:rPr>
              <w:t>程序合规性</w:t>
            </w:r>
          </w:p>
        </w:tc>
        <w:tc>
          <w:tcPr>
            <w:tcW w:w="1450" w:type="dxa"/>
            <w:noWrap w:val="0"/>
            <w:vAlign w:val="top"/>
          </w:tcPr>
          <w:p w14:paraId="0DCE6E93">
            <w:pPr>
              <w:pStyle w:val="14"/>
              <w:spacing w:before="191"/>
              <w:jc w:val="center"/>
              <w:rPr>
                <w:rFonts w:hint="eastAsia"/>
                <w:highlight w:val="none"/>
                <w:lang w:val="en-US" w:eastAsia="zh-CN"/>
              </w:rPr>
            </w:pPr>
            <w:r>
              <w:rPr>
                <w:spacing w:val="-6"/>
                <w:highlight w:val="none"/>
              </w:rPr>
              <w:t>10</w:t>
            </w:r>
          </w:p>
        </w:tc>
        <w:tc>
          <w:tcPr>
            <w:tcW w:w="1450" w:type="dxa"/>
            <w:noWrap w:val="0"/>
            <w:vAlign w:val="top"/>
          </w:tcPr>
          <w:p w14:paraId="52B33896">
            <w:pPr>
              <w:pStyle w:val="14"/>
              <w:spacing w:before="191"/>
              <w:jc w:val="center"/>
              <w:rPr>
                <w:rFonts w:hint="default" w:eastAsia="宋体"/>
                <w:highlight w:val="none"/>
                <w:lang w:val="en-US" w:eastAsia="zh-CN"/>
              </w:rPr>
            </w:pPr>
            <w:r>
              <w:rPr>
                <w:rFonts w:hint="eastAsia"/>
                <w:highlight w:val="none"/>
                <w:lang w:val="en-US" w:eastAsia="zh-CN"/>
              </w:rPr>
              <w:t>10</w:t>
            </w:r>
          </w:p>
        </w:tc>
      </w:tr>
      <w:tr w14:paraId="78B8D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5E96E62A">
            <w:pPr>
              <w:jc w:val="center"/>
              <w:rPr>
                <w:rFonts w:ascii="Arial"/>
                <w:sz w:val="21"/>
                <w:highlight w:val="none"/>
              </w:rPr>
            </w:pPr>
          </w:p>
        </w:tc>
        <w:tc>
          <w:tcPr>
            <w:tcW w:w="1987" w:type="dxa"/>
            <w:vMerge w:val="continue"/>
            <w:noWrap w:val="0"/>
            <w:vAlign w:val="top"/>
          </w:tcPr>
          <w:p w14:paraId="7D9A92C2">
            <w:pPr>
              <w:jc w:val="center"/>
              <w:rPr>
                <w:rFonts w:ascii="Arial"/>
                <w:sz w:val="21"/>
                <w:highlight w:val="none"/>
              </w:rPr>
            </w:pPr>
          </w:p>
        </w:tc>
        <w:tc>
          <w:tcPr>
            <w:tcW w:w="2663" w:type="dxa"/>
            <w:noWrap w:val="0"/>
            <w:vAlign w:val="top"/>
          </w:tcPr>
          <w:p w14:paraId="1C14DF56">
            <w:pPr>
              <w:pStyle w:val="14"/>
              <w:spacing w:before="174" w:line="219" w:lineRule="auto"/>
              <w:jc w:val="center"/>
              <w:rPr>
                <w:highlight w:val="none"/>
              </w:rPr>
            </w:pPr>
            <w:r>
              <w:rPr>
                <w:rFonts w:hint="eastAsia"/>
                <w:spacing w:val="-2"/>
                <w:highlight w:val="none"/>
                <w:lang w:val="en-US" w:eastAsia="zh-CN"/>
              </w:rPr>
              <w:t xml:space="preserve">   </w:t>
            </w:r>
            <w:r>
              <w:rPr>
                <w:rFonts w:hint="eastAsia"/>
                <w:spacing w:val="-2"/>
                <w:highlight w:val="none"/>
              </w:rPr>
              <w:t>标准合规性</w:t>
            </w:r>
          </w:p>
        </w:tc>
        <w:tc>
          <w:tcPr>
            <w:tcW w:w="1450" w:type="dxa"/>
            <w:noWrap w:val="0"/>
            <w:vAlign w:val="top"/>
          </w:tcPr>
          <w:p w14:paraId="1250ACD1">
            <w:pPr>
              <w:pStyle w:val="14"/>
              <w:spacing w:before="193"/>
              <w:jc w:val="center"/>
              <w:rPr>
                <w:rFonts w:hint="eastAsia"/>
                <w:highlight w:val="none"/>
                <w:lang w:val="en-US" w:eastAsia="zh-CN"/>
              </w:rPr>
            </w:pPr>
            <w:r>
              <w:rPr>
                <w:spacing w:val="-6"/>
                <w:highlight w:val="none"/>
              </w:rPr>
              <w:t>10</w:t>
            </w:r>
          </w:p>
        </w:tc>
        <w:tc>
          <w:tcPr>
            <w:tcW w:w="1450" w:type="dxa"/>
            <w:noWrap w:val="0"/>
            <w:vAlign w:val="top"/>
          </w:tcPr>
          <w:p w14:paraId="01204572">
            <w:pPr>
              <w:pStyle w:val="14"/>
              <w:spacing w:before="193"/>
              <w:jc w:val="center"/>
              <w:rPr>
                <w:rFonts w:hint="default" w:eastAsia="宋体"/>
                <w:highlight w:val="yellow"/>
                <w:lang w:val="en-US" w:eastAsia="zh-CN"/>
              </w:rPr>
            </w:pPr>
            <w:r>
              <w:rPr>
                <w:rFonts w:hint="eastAsia"/>
                <w:highlight w:val="none"/>
                <w:lang w:val="en-US" w:eastAsia="zh-CN"/>
              </w:rPr>
              <w:t>8</w:t>
            </w:r>
          </w:p>
        </w:tc>
      </w:tr>
      <w:tr w14:paraId="3578F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restart"/>
            <w:noWrap w:val="0"/>
            <w:vAlign w:val="top"/>
          </w:tcPr>
          <w:p w14:paraId="55E00F5B">
            <w:pPr>
              <w:pStyle w:val="14"/>
              <w:spacing w:before="65" w:line="480" w:lineRule="auto"/>
              <w:ind w:firstLine="392" w:firstLineChars="200"/>
              <w:jc w:val="both"/>
              <w:rPr>
                <w:highlight w:val="none"/>
              </w:rPr>
            </w:pPr>
            <w:r>
              <w:rPr>
                <w:spacing w:val="-2"/>
                <w:highlight w:val="none"/>
              </w:rPr>
              <w:t>个性指标</w:t>
            </w:r>
          </w:p>
        </w:tc>
        <w:tc>
          <w:tcPr>
            <w:tcW w:w="1987" w:type="dxa"/>
            <w:vMerge w:val="restart"/>
            <w:noWrap w:val="0"/>
            <w:vAlign w:val="top"/>
          </w:tcPr>
          <w:p w14:paraId="316238D3">
            <w:pPr>
              <w:pStyle w:val="14"/>
              <w:spacing w:before="175" w:line="480" w:lineRule="auto"/>
              <w:jc w:val="center"/>
              <w:rPr>
                <w:highlight w:val="none"/>
              </w:rPr>
            </w:pPr>
            <w:r>
              <w:rPr>
                <w:rFonts w:hint="eastAsia"/>
                <w:highlight w:val="none"/>
              </w:rPr>
              <w:t>根据具体项目制定</w:t>
            </w:r>
          </w:p>
        </w:tc>
        <w:tc>
          <w:tcPr>
            <w:tcW w:w="2663" w:type="dxa"/>
            <w:noWrap w:val="0"/>
            <w:vAlign w:val="top"/>
          </w:tcPr>
          <w:p w14:paraId="48B64738">
            <w:pPr>
              <w:pStyle w:val="14"/>
              <w:spacing w:before="175" w:line="219" w:lineRule="auto"/>
              <w:jc w:val="center"/>
              <w:rPr>
                <w:highlight w:val="none"/>
              </w:rPr>
            </w:pPr>
            <w:r>
              <w:rPr>
                <w:rFonts w:hint="eastAsia"/>
                <w:spacing w:val="-1"/>
                <w:highlight w:val="none"/>
              </w:rPr>
              <w:t>普查责任区覆盖达标率</w:t>
            </w:r>
          </w:p>
        </w:tc>
        <w:tc>
          <w:tcPr>
            <w:tcW w:w="1450" w:type="dxa"/>
            <w:noWrap w:val="0"/>
            <w:vAlign w:val="top"/>
          </w:tcPr>
          <w:p w14:paraId="0B2C6F2B">
            <w:pPr>
              <w:pStyle w:val="14"/>
              <w:spacing w:before="65"/>
              <w:jc w:val="center"/>
              <w:rPr>
                <w:rFonts w:hint="default"/>
                <w:highlight w:val="none"/>
                <w:lang w:val="en-US" w:eastAsia="zh-CN"/>
              </w:rPr>
            </w:pPr>
            <w:r>
              <w:rPr>
                <w:rFonts w:hint="eastAsia"/>
                <w:highlight w:val="none"/>
                <w:lang w:val="en-US" w:eastAsia="zh-CN"/>
              </w:rPr>
              <w:t>8</w:t>
            </w:r>
          </w:p>
        </w:tc>
        <w:tc>
          <w:tcPr>
            <w:tcW w:w="1450" w:type="dxa"/>
            <w:noWrap w:val="0"/>
            <w:vAlign w:val="top"/>
          </w:tcPr>
          <w:p w14:paraId="46844320">
            <w:pPr>
              <w:pStyle w:val="14"/>
              <w:spacing w:before="65"/>
              <w:jc w:val="center"/>
              <w:rPr>
                <w:rFonts w:hint="default" w:eastAsia="宋体"/>
                <w:highlight w:val="none"/>
                <w:lang w:val="en-US" w:eastAsia="zh-CN"/>
              </w:rPr>
            </w:pPr>
            <w:r>
              <w:rPr>
                <w:rFonts w:hint="eastAsia"/>
                <w:highlight w:val="none"/>
                <w:lang w:val="en-US" w:eastAsia="zh-CN"/>
              </w:rPr>
              <w:t>8</w:t>
            </w:r>
          </w:p>
        </w:tc>
      </w:tr>
      <w:tr w14:paraId="6FC6F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23C4EF64">
            <w:pPr>
              <w:rPr>
                <w:rFonts w:ascii="Arial"/>
                <w:sz w:val="21"/>
                <w:highlight w:val="yellow"/>
              </w:rPr>
            </w:pPr>
          </w:p>
        </w:tc>
        <w:tc>
          <w:tcPr>
            <w:tcW w:w="1987" w:type="dxa"/>
            <w:vMerge w:val="continue"/>
            <w:noWrap w:val="0"/>
            <w:vAlign w:val="top"/>
          </w:tcPr>
          <w:p w14:paraId="3E8D7A92">
            <w:pPr>
              <w:pStyle w:val="14"/>
              <w:spacing w:before="175" w:line="219" w:lineRule="auto"/>
              <w:jc w:val="center"/>
              <w:rPr>
                <w:highlight w:val="yellow"/>
              </w:rPr>
            </w:pPr>
          </w:p>
        </w:tc>
        <w:tc>
          <w:tcPr>
            <w:tcW w:w="2663" w:type="dxa"/>
            <w:noWrap w:val="0"/>
            <w:vAlign w:val="top"/>
          </w:tcPr>
          <w:p w14:paraId="06A16560">
            <w:pPr>
              <w:pStyle w:val="14"/>
              <w:spacing w:before="175" w:line="219" w:lineRule="auto"/>
              <w:jc w:val="center"/>
              <w:rPr>
                <w:highlight w:val="none"/>
              </w:rPr>
            </w:pPr>
            <w:r>
              <w:rPr>
                <w:rFonts w:hint="default"/>
                <w:spacing w:val="-1"/>
                <w:highlight w:val="none"/>
                <w:lang w:val="en-US" w:eastAsia="zh-CN"/>
              </w:rPr>
              <w:t>特殊对象普查处置合规率</w:t>
            </w:r>
          </w:p>
        </w:tc>
        <w:tc>
          <w:tcPr>
            <w:tcW w:w="1450" w:type="dxa"/>
            <w:noWrap w:val="0"/>
            <w:vAlign w:val="top"/>
          </w:tcPr>
          <w:p w14:paraId="5A9AB911">
            <w:pPr>
              <w:pStyle w:val="14"/>
              <w:spacing w:before="65"/>
              <w:jc w:val="center"/>
              <w:rPr>
                <w:rFonts w:hint="default"/>
                <w:highlight w:val="none"/>
                <w:lang w:val="en-US" w:eastAsia="zh-CN"/>
              </w:rPr>
            </w:pPr>
            <w:r>
              <w:rPr>
                <w:rFonts w:hint="eastAsia"/>
                <w:highlight w:val="none"/>
                <w:lang w:val="en-US" w:eastAsia="zh-CN"/>
              </w:rPr>
              <w:t>8</w:t>
            </w:r>
          </w:p>
        </w:tc>
        <w:tc>
          <w:tcPr>
            <w:tcW w:w="1450" w:type="dxa"/>
            <w:noWrap w:val="0"/>
            <w:vAlign w:val="top"/>
          </w:tcPr>
          <w:p w14:paraId="3D2B48C0">
            <w:pPr>
              <w:pStyle w:val="14"/>
              <w:spacing w:before="65"/>
              <w:jc w:val="center"/>
              <w:rPr>
                <w:rFonts w:hint="default" w:eastAsia="宋体"/>
                <w:highlight w:val="none"/>
                <w:lang w:val="en-US" w:eastAsia="zh-CN"/>
              </w:rPr>
            </w:pPr>
            <w:r>
              <w:rPr>
                <w:rFonts w:hint="eastAsia"/>
                <w:highlight w:val="none"/>
                <w:lang w:val="en-US" w:eastAsia="zh-CN"/>
              </w:rPr>
              <w:t>8</w:t>
            </w:r>
          </w:p>
        </w:tc>
      </w:tr>
      <w:tr w14:paraId="25C2D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restart"/>
            <w:noWrap w:val="0"/>
            <w:vAlign w:val="top"/>
          </w:tcPr>
          <w:p w14:paraId="732EF7A4">
            <w:pPr>
              <w:jc w:val="center"/>
              <w:rPr>
                <w:rFonts w:hint="eastAsia"/>
                <w:spacing w:val="-2"/>
                <w:highlight w:val="none"/>
                <w:lang w:val="en-US" w:eastAsia="zh-CN"/>
              </w:rPr>
            </w:pPr>
          </w:p>
          <w:p w14:paraId="6196C729">
            <w:pPr>
              <w:jc w:val="center"/>
              <w:rPr>
                <w:rFonts w:ascii="Arial"/>
                <w:sz w:val="21"/>
                <w:highlight w:val="yellow"/>
              </w:rPr>
            </w:pPr>
            <w:r>
              <w:rPr>
                <w:rFonts w:hint="eastAsia"/>
                <w:spacing w:val="-2"/>
                <w:highlight w:val="none"/>
                <w:lang w:val="en-US" w:eastAsia="zh-CN"/>
              </w:rPr>
              <w:t>扣分项</w:t>
            </w:r>
          </w:p>
        </w:tc>
        <w:tc>
          <w:tcPr>
            <w:tcW w:w="1987" w:type="dxa"/>
            <w:noWrap w:val="0"/>
            <w:vAlign w:val="top"/>
          </w:tcPr>
          <w:p w14:paraId="3C2BA272">
            <w:pPr>
              <w:pStyle w:val="14"/>
              <w:spacing w:before="175" w:line="219" w:lineRule="auto"/>
              <w:jc w:val="center"/>
              <w:rPr>
                <w:highlight w:val="yellow"/>
              </w:rPr>
            </w:pPr>
            <w:r>
              <w:rPr>
                <w:rFonts w:hint="eastAsia"/>
                <w:highlight w:val="none"/>
              </w:rPr>
              <w:t>绩效管理存在问题</w:t>
            </w:r>
          </w:p>
        </w:tc>
        <w:tc>
          <w:tcPr>
            <w:tcW w:w="2663" w:type="dxa"/>
            <w:noWrap w:val="0"/>
            <w:vAlign w:val="top"/>
          </w:tcPr>
          <w:p w14:paraId="39AB3D35">
            <w:pPr>
              <w:pStyle w:val="14"/>
              <w:spacing w:before="175" w:line="219" w:lineRule="auto"/>
              <w:jc w:val="center"/>
              <w:rPr>
                <w:rFonts w:hint="default"/>
                <w:spacing w:val="-1"/>
                <w:highlight w:val="none"/>
                <w:lang w:val="en-US" w:eastAsia="zh-CN"/>
              </w:rPr>
            </w:pPr>
            <w:r>
              <w:rPr>
                <w:rFonts w:hint="default"/>
                <w:spacing w:val="-1"/>
                <w:highlight w:val="none"/>
                <w:lang w:val="en-US" w:eastAsia="zh-CN"/>
              </w:rPr>
              <w:t>预算绩效管理工作存在问题</w:t>
            </w:r>
          </w:p>
        </w:tc>
        <w:tc>
          <w:tcPr>
            <w:tcW w:w="1450" w:type="dxa"/>
            <w:noWrap w:val="0"/>
            <w:vAlign w:val="top"/>
          </w:tcPr>
          <w:p w14:paraId="1537076E">
            <w:pPr>
              <w:pStyle w:val="14"/>
              <w:spacing w:before="189"/>
              <w:jc w:val="center"/>
              <w:rPr>
                <w:rFonts w:hint="default"/>
                <w:highlight w:val="none"/>
                <w:lang w:val="en-US" w:eastAsia="zh-CN"/>
              </w:rPr>
            </w:pPr>
            <w:r>
              <w:rPr>
                <w:rFonts w:hint="eastAsia"/>
                <w:highlight w:val="none"/>
                <w:lang w:val="en-US" w:eastAsia="zh-CN"/>
              </w:rPr>
              <w:t>-</w:t>
            </w:r>
          </w:p>
        </w:tc>
        <w:tc>
          <w:tcPr>
            <w:tcW w:w="1450" w:type="dxa"/>
            <w:noWrap w:val="0"/>
            <w:vAlign w:val="top"/>
          </w:tcPr>
          <w:p w14:paraId="5CBB203A">
            <w:pPr>
              <w:pStyle w:val="14"/>
              <w:spacing w:before="195"/>
              <w:jc w:val="center"/>
              <w:rPr>
                <w:rFonts w:hint="eastAsia"/>
                <w:highlight w:val="none"/>
                <w:lang w:val="en-US" w:eastAsia="zh-CN"/>
              </w:rPr>
            </w:pPr>
            <w:r>
              <w:rPr>
                <w:rFonts w:hint="eastAsia"/>
                <w:highlight w:val="none"/>
                <w:lang w:val="en-US" w:eastAsia="zh-CN"/>
              </w:rPr>
              <w:t>0</w:t>
            </w:r>
          </w:p>
        </w:tc>
      </w:tr>
      <w:tr w14:paraId="6E4B5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51957C85">
            <w:pPr>
              <w:rPr>
                <w:rFonts w:ascii="Arial"/>
                <w:sz w:val="21"/>
                <w:highlight w:val="yellow"/>
              </w:rPr>
            </w:pPr>
          </w:p>
        </w:tc>
        <w:tc>
          <w:tcPr>
            <w:tcW w:w="1987" w:type="dxa"/>
            <w:noWrap w:val="0"/>
            <w:vAlign w:val="top"/>
          </w:tcPr>
          <w:p w14:paraId="4CE42265">
            <w:pPr>
              <w:pStyle w:val="14"/>
              <w:spacing w:before="175" w:line="219" w:lineRule="auto"/>
              <w:jc w:val="center"/>
              <w:rPr>
                <w:highlight w:val="yellow"/>
              </w:rPr>
            </w:pPr>
            <w:r>
              <w:rPr>
                <w:rFonts w:hint="eastAsia"/>
                <w:highlight w:val="none"/>
              </w:rPr>
              <w:t>被评价部门配合度</w:t>
            </w:r>
          </w:p>
        </w:tc>
        <w:tc>
          <w:tcPr>
            <w:tcW w:w="2663" w:type="dxa"/>
            <w:noWrap w:val="0"/>
            <w:vAlign w:val="top"/>
          </w:tcPr>
          <w:p w14:paraId="79594E81">
            <w:pPr>
              <w:pStyle w:val="14"/>
              <w:spacing w:before="175" w:line="219" w:lineRule="auto"/>
              <w:jc w:val="center"/>
              <w:rPr>
                <w:rFonts w:hint="default"/>
                <w:spacing w:val="-1"/>
                <w:highlight w:val="none"/>
                <w:lang w:val="en-US" w:eastAsia="zh-CN"/>
              </w:rPr>
            </w:pPr>
            <w:r>
              <w:rPr>
                <w:rFonts w:hint="default"/>
                <w:spacing w:val="-1"/>
                <w:highlight w:val="none"/>
                <w:lang w:val="en-US" w:eastAsia="zh-CN"/>
              </w:rPr>
              <w:t>被评价对象工作配合情况</w:t>
            </w:r>
          </w:p>
        </w:tc>
        <w:tc>
          <w:tcPr>
            <w:tcW w:w="1450" w:type="dxa"/>
            <w:noWrap w:val="0"/>
            <w:vAlign w:val="top"/>
          </w:tcPr>
          <w:p w14:paraId="5C5C7031">
            <w:pPr>
              <w:pStyle w:val="14"/>
              <w:spacing w:before="190"/>
              <w:jc w:val="center"/>
              <w:rPr>
                <w:rFonts w:hint="default"/>
                <w:highlight w:val="none"/>
                <w:lang w:val="en-US" w:eastAsia="zh-CN"/>
              </w:rPr>
            </w:pPr>
            <w:r>
              <w:rPr>
                <w:rFonts w:hint="eastAsia"/>
                <w:highlight w:val="none"/>
                <w:lang w:val="en-US" w:eastAsia="zh-CN"/>
              </w:rPr>
              <w:t>-</w:t>
            </w:r>
          </w:p>
        </w:tc>
        <w:tc>
          <w:tcPr>
            <w:tcW w:w="1450" w:type="dxa"/>
            <w:noWrap w:val="0"/>
            <w:vAlign w:val="top"/>
          </w:tcPr>
          <w:p w14:paraId="26F79300">
            <w:pPr>
              <w:pStyle w:val="14"/>
              <w:spacing w:before="195"/>
              <w:jc w:val="center"/>
              <w:rPr>
                <w:rFonts w:hint="eastAsia"/>
                <w:highlight w:val="none"/>
                <w:lang w:val="en-US" w:eastAsia="zh-CN"/>
              </w:rPr>
            </w:pPr>
            <w:r>
              <w:rPr>
                <w:rFonts w:hint="eastAsia"/>
                <w:highlight w:val="none"/>
                <w:lang w:val="en-US" w:eastAsia="zh-CN"/>
              </w:rPr>
              <w:t>0</w:t>
            </w:r>
          </w:p>
        </w:tc>
      </w:tr>
      <w:tr w14:paraId="6DDA5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200" w:type="dxa"/>
            <w:gridSpan w:val="3"/>
            <w:noWrap w:val="0"/>
            <w:vAlign w:val="top"/>
          </w:tcPr>
          <w:p w14:paraId="4EEE56F4">
            <w:pPr>
              <w:pStyle w:val="14"/>
              <w:spacing w:before="175" w:line="219" w:lineRule="auto"/>
              <w:jc w:val="center"/>
              <w:rPr>
                <w:rFonts w:hint="default"/>
                <w:spacing w:val="-1"/>
                <w:highlight w:val="none"/>
                <w:lang w:val="en-US" w:eastAsia="zh-CN"/>
              </w:rPr>
            </w:pPr>
            <w:r>
              <w:rPr>
                <w:rFonts w:hint="eastAsia"/>
                <w:b/>
                <w:bCs/>
                <w:spacing w:val="-1"/>
                <w:highlight w:val="none"/>
                <w:lang w:val="en-US" w:eastAsia="zh-CN"/>
              </w:rPr>
              <w:t>合计</w:t>
            </w:r>
          </w:p>
        </w:tc>
        <w:tc>
          <w:tcPr>
            <w:tcW w:w="1450" w:type="dxa"/>
            <w:noWrap w:val="0"/>
            <w:vAlign w:val="top"/>
          </w:tcPr>
          <w:p w14:paraId="59647A7D">
            <w:pPr>
              <w:pStyle w:val="14"/>
              <w:spacing w:before="190"/>
              <w:jc w:val="center"/>
              <w:rPr>
                <w:rFonts w:hint="eastAsia"/>
                <w:highlight w:val="none"/>
                <w:lang w:val="en-US" w:eastAsia="zh-CN"/>
              </w:rPr>
            </w:pPr>
            <w:r>
              <w:rPr>
                <w:rFonts w:hint="eastAsia"/>
                <w:highlight w:val="none"/>
                <w:lang w:val="en-US" w:eastAsia="zh-CN"/>
              </w:rPr>
              <w:t>100</w:t>
            </w:r>
          </w:p>
        </w:tc>
        <w:tc>
          <w:tcPr>
            <w:tcW w:w="1450" w:type="dxa"/>
            <w:noWrap w:val="0"/>
            <w:vAlign w:val="top"/>
          </w:tcPr>
          <w:p w14:paraId="6F66D8AF">
            <w:pPr>
              <w:pStyle w:val="14"/>
              <w:spacing w:before="195"/>
              <w:jc w:val="center"/>
              <w:rPr>
                <w:rFonts w:hint="eastAsia"/>
                <w:highlight w:val="none"/>
                <w:lang w:val="en-US" w:eastAsia="zh-CN"/>
              </w:rPr>
            </w:pPr>
            <w:r>
              <w:rPr>
                <w:rFonts w:hint="eastAsia"/>
                <w:highlight w:val="none"/>
                <w:lang w:val="en-US" w:eastAsia="zh-CN"/>
              </w:rPr>
              <w:t>89.87</w:t>
            </w:r>
          </w:p>
        </w:tc>
      </w:tr>
    </w:tbl>
    <w:p w14:paraId="7F3433CE">
      <w:pPr>
        <w:spacing w:line="560" w:lineRule="exact"/>
        <w:ind w:firstLine="480" w:firstLineChars="200"/>
        <w:jc w:val="left"/>
        <w:rPr>
          <w:rFonts w:hint="eastAsia" w:ascii="Times New Roman" w:hAnsi="Times New Roman" w:eastAsia="宋体" w:cs="Times New Roman"/>
          <w:b/>
          <w:bCs/>
          <w:color w:val="auto"/>
          <w:sz w:val="24"/>
          <w:szCs w:val="24"/>
          <w:highlight w:val="none"/>
          <w:lang w:val="en-US" w:eastAsia="zh-CN"/>
        </w:rPr>
      </w:pPr>
      <w:r>
        <w:rPr>
          <w:rFonts w:hint="eastAsia" w:ascii="宋体" w:hAnsi="宋体" w:eastAsia="宋体" w:cs="宋体"/>
          <w:bCs/>
          <w:sz w:val="24"/>
          <w:szCs w:val="24"/>
          <w:lang w:val="en-US" w:eastAsia="zh-CN"/>
        </w:rPr>
        <w:t>（注：评价结果的等级划分为四档：90（含）-100分为“优”、80（含）-90分为“良”、70（含）-80分为“中”、70分以下为“差”）</w:t>
      </w:r>
    </w:p>
    <w:p w14:paraId="67DFC03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default" w:ascii="Times New Roman" w:hAnsi="Times New Roman" w:eastAsia="宋体" w:cs="Times New Roman"/>
          <w:b/>
          <w:bCs/>
          <w:color w:val="auto"/>
          <w:sz w:val="24"/>
          <w:szCs w:val="24"/>
          <w:highlight w:val="none"/>
          <w:lang w:val="en-US" w:eastAsia="zh-CN"/>
        </w:rPr>
      </w:pPr>
      <w:bookmarkStart w:id="31" w:name="_Toc23097"/>
      <w:bookmarkStart w:id="32" w:name="_Toc5238"/>
      <w:bookmarkStart w:id="33" w:name="_Toc5273"/>
      <w:bookmarkStart w:id="34" w:name="_Toc1478"/>
      <w:bookmarkStart w:id="35" w:name="_Toc2799"/>
      <w:r>
        <w:rPr>
          <w:rFonts w:hint="eastAsia" w:ascii="Times New Roman" w:hAnsi="Times New Roman" w:eastAsia="宋体" w:cs="Times New Roman"/>
          <w:b/>
          <w:bCs/>
          <w:color w:val="auto"/>
          <w:sz w:val="24"/>
          <w:szCs w:val="24"/>
          <w:highlight w:val="none"/>
          <w:lang w:val="en-US" w:eastAsia="zh-CN"/>
        </w:rPr>
        <w:t>五、项目绩效分析</w:t>
      </w:r>
      <w:bookmarkEnd w:id="31"/>
      <w:bookmarkEnd w:id="32"/>
      <w:bookmarkEnd w:id="33"/>
      <w:bookmarkEnd w:id="34"/>
      <w:bookmarkEnd w:id="35"/>
    </w:p>
    <w:p w14:paraId="16DB66F7">
      <w:pPr>
        <w:numPr>
          <w:ilvl w:val="0"/>
          <w:numId w:val="0"/>
        </w:numPr>
        <w:tabs>
          <w:tab w:val="left" w:pos="0"/>
        </w:tabs>
        <w:spacing w:line="360" w:lineRule="auto"/>
        <w:ind w:left="0" w:leftChars="0" w:firstLine="482" w:firstLineChars="200"/>
        <w:jc w:val="left"/>
        <w:outlineLvl w:val="1"/>
        <w:rPr>
          <w:rFonts w:hint="default" w:ascii="Times New Roman" w:hAnsi="Times New Roman" w:cs="Times New Roman"/>
          <w:b/>
          <w:bCs/>
          <w:color w:val="auto"/>
          <w:sz w:val="24"/>
          <w:szCs w:val="24"/>
          <w:highlight w:val="none"/>
          <w:lang w:val="en-US" w:eastAsia="zh-CN"/>
        </w:rPr>
      </w:pPr>
      <w:bookmarkStart w:id="36" w:name="_Toc26444"/>
      <w:bookmarkStart w:id="37" w:name="_Toc29460"/>
      <w:bookmarkStart w:id="38" w:name="_Toc153"/>
      <w:bookmarkStart w:id="39" w:name="_Toc7319"/>
      <w:r>
        <w:rPr>
          <w:rFonts w:hint="eastAsia" w:ascii="Times New Roman" w:hAnsi="Times New Roman" w:cs="Times New Roman"/>
          <w:b/>
          <w:bCs/>
          <w:color w:val="auto"/>
          <w:sz w:val="24"/>
          <w:szCs w:val="24"/>
          <w:highlight w:val="none"/>
          <w:lang w:val="en-US" w:eastAsia="zh-CN"/>
        </w:rPr>
        <w:t>（一）</w:t>
      </w:r>
      <w:r>
        <w:rPr>
          <w:rFonts w:hint="default" w:ascii="Times New Roman" w:hAnsi="Times New Roman" w:cs="Times New Roman"/>
          <w:b/>
          <w:bCs/>
          <w:color w:val="auto"/>
          <w:sz w:val="24"/>
          <w:szCs w:val="24"/>
          <w:highlight w:val="none"/>
          <w:lang w:val="en-US" w:eastAsia="zh-CN"/>
        </w:rPr>
        <w:t>通用指标</w:t>
      </w:r>
      <w:bookmarkEnd w:id="36"/>
      <w:bookmarkEnd w:id="37"/>
      <w:bookmarkEnd w:id="38"/>
      <w:bookmarkEnd w:id="39"/>
    </w:p>
    <w:p w14:paraId="657C53C2">
      <w:pPr>
        <w:numPr>
          <w:ilvl w:val="0"/>
          <w:numId w:val="0"/>
        </w:numPr>
        <w:tabs>
          <w:tab w:val="left" w:pos="0"/>
        </w:tabs>
        <w:spacing w:line="360" w:lineRule="auto"/>
        <w:ind w:left="0" w:leftChars="0" w:firstLine="482" w:firstLineChars="200"/>
        <w:jc w:val="left"/>
        <w:outlineLvl w:val="2"/>
        <w:rPr>
          <w:rFonts w:hint="default" w:ascii="Times New Roman" w:hAnsi="Times New Roman" w:cs="Times New Roman"/>
          <w:b/>
          <w:bCs/>
          <w:color w:val="auto"/>
          <w:sz w:val="24"/>
          <w:szCs w:val="24"/>
          <w:highlight w:val="none"/>
          <w:lang w:val="en-US" w:eastAsia="zh-CN"/>
        </w:rPr>
      </w:pPr>
      <w:bookmarkStart w:id="40" w:name="_Toc3066"/>
      <w:bookmarkStart w:id="41" w:name="_Toc19156"/>
      <w:bookmarkStart w:id="42" w:name="_Toc21744"/>
      <w:bookmarkStart w:id="43" w:name="_Toc11672"/>
      <w:r>
        <w:rPr>
          <w:rFonts w:hint="default" w:ascii="Times New Roman" w:hAnsi="Times New Roman" w:cs="Times New Roman"/>
          <w:b/>
          <w:bCs/>
          <w:color w:val="auto"/>
          <w:sz w:val="24"/>
          <w:szCs w:val="24"/>
          <w:highlight w:val="none"/>
          <w:lang w:val="en-US" w:eastAsia="zh-CN"/>
        </w:rPr>
        <w:t>1.项目决策</w:t>
      </w:r>
      <w:bookmarkEnd w:id="40"/>
      <w:bookmarkEnd w:id="41"/>
      <w:bookmarkEnd w:id="42"/>
      <w:bookmarkEnd w:id="43"/>
    </w:p>
    <w:p w14:paraId="061BA283">
      <w:pPr>
        <w:numPr>
          <w:ilvl w:val="0"/>
          <w:numId w:val="0"/>
        </w:numPr>
        <w:tabs>
          <w:tab w:val="left" w:pos="0"/>
        </w:tabs>
        <w:spacing w:line="360" w:lineRule="auto"/>
        <w:ind w:left="0" w:leftChars="0" w:firstLine="482" w:firstLineChars="200"/>
        <w:jc w:val="left"/>
        <w:outlineLvl w:val="3"/>
        <w:rPr>
          <w:rFonts w:hint="default" w:ascii="Times New Roman" w:hAnsi="Times New Roman" w:cs="Times New Roman"/>
          <w:b/>
          <w:bCs/>
          <w:color w:val="auto"/>
          <w:sz w:val="24"/>
          <w:szCs w:val="24"/>
          <w:highlight w:val="none"/>
          <w:lang w:val="en-US" w:eastAsia="zh-CN"/>
        </w:rPr>
      </w:pPr>
      <w:bookmarkStart w:id="44" w:name="_Toc11669"/>
      <w:r>
        <w:rPr>
          <w:rFonts w:hint="eastAsia" w:ascii="Times New Roman" w:hAnsi="Times New Roman" w:cs="Times New Roman"/>
          <w:b/>
          <w:bCs/>
          <w:color w:val="auto"/>
          <w:sz w:val="24"/>
          <w:szCs w:val="24"/>
          <w:highlight w:val="none"/>
          <w:lang w:val="en-US" w:eastAsia="zh-CN"/>
        </w:rPr>
        <w:t>（1）</w:t>
      </w:r>
      <w:r>
        <w:rPr>
          <w:rFonts w:hint="default" w:ascii="Times New Roman" w:hAnsi="Times New Roman" w:cs="Times New Roman"/>
          <w:b/>
          <w:bCs/>
          <w:color w:val="auto"/>
          <w:sz w:val="24"/>
          <w:szCs w:val="24"/>
          <w:highlight w:val="none"/>
          <w:lang w:val="en-US" w:eastAsia="zh-CN"/>
        </w:rPr>
        <w:t>决策程序</w:t>
      </w:r>
      <w:bookmarkEnd w:id="44"/>
    </w:p>
    <w:p w14:paraId="07600778">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highlight w:val="none"/>
          <w:lang w:val="en-US" w:eastAsia="zh-CN"/>
        </w:rPr>
        <w:t>根据国家统计局《关于做好第五次全国经济普查经费预算编制相关工作的通知》国统字〔2022〕68号、《国务院关于开展第五次全国经济普查的通知》国发〔2022〕22号；第五次全国经济普查是“十四五”规划经济社会发展目标攻坚期开展的一次关键普查，对于摸清我国经济家底，优化产业结构，推动经济发展质量变革、效率变革、动力变革具有重要意义，该项目资金主要</w:t>
      </w:r>
      <w:r>
        <w:rPr>
          <w:rFonts w:hint="eastAsia" w:ascii="宋体" w:hAnsi="宋体" w:cs="宋体"/>
          <w:bCs/>
          <w:sz w:val="24"/>
          <w:szCs w:val="24"/>
          <w:highlight w:val="none"/>
          <w:lang w:val="en-US" w:eastAsia="zh-CN"/>
        </w:rPr>
        <w:t>用于开展第五次全国经济普查</w:t>
      </w:r>
      <w:r>
        <w:rPr>
          <w:rFonts w:hint="eastAsia" w:ascii="宋体" w:hAnsi="宋体" w:cs="宋体"/>
          <w:bCs/>
          <w:sz w:val="24"/>
          <w:szCs w:val="24"/>
          <w:lang w:val="en-US" w:eastAsia="zh-CN"/>
        </w:rPr>
        <w:t>。</w:t>
      </w:r>
    </w:p>
    <w:p w14:paraId="124A8C4B">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该项目设立符合专项项目的基本规范及程序标准，项目定位与对应部门的职责范畴高度适配，符合地方事权支出责任划分原则</w:t>
      </w:r>
      <w:r>
        <w:rPr>
          <w:rFonts w:hint="eastAsia" w:ascii="宋体" w:hAnsi="宋体" w:cs="宋体"/>
          <w:bCs/>
          <w:sz w:val="24"/>
          <w:szCs w:val="24"/>
          <w:highlight w:val="none"/>
          <w:lang w:val="en-US" w:eastAsia="zh-CN"/>
        </w:rPr>
        <w:t>。</w:t>
      </w:r>
    </w:p>
    <w:p w14:paraId="48411D25">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综上，“决策程序”指标权重为6分，扣0分，得6分</w:t>
      </w:r>
      <w:r>
        <w:rPr>
          <w:rFonts w:hint="eastAsia" w:ascii="宋体" w:hAnsi="宋体" w:eastAsia="宋体" w:cs="宋体"/>
          <w:bCs/>
          <w:sz w:val="24"/>
          <w:szCs w:val="24"/>
          <w:highlight w:val="none"/>
          <w:lang w:val="en-US" w:eastAsia="zh-CN"/>
        </w:rPr>
        <w:t>。</w:t>
      </w:r>
    </w:p>
    <w:p w14:paraId="0FF33360">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45" w:name="_Toc1693"/>
      <w:r>
        <w:rPr>
          <w:rFonts w:hint="eastAsia" w:ascii="Times New Roman" w:hAnsi="Times New Roman" w:eastAsia="宋体" w:cs="Times New Roman"/>
          <w:b/>
          <w:bCs/>
          <w:color w:val="auto"/>
          <w:sz w:val="24"/>
          <w:szCs w:val="24"/>
          <w:highlight w:val="none"/>
          <w:lang w:val="en-US" w:eastAsia="zh-CN"/>
        </w:rPr>
        <w:t>（2）规划论证</w:t>
      </w:r>
      <w:bookmarkEnd w:id="45"/>
    </w:p>
    <w:p w14:paraId="560617B5">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该项目设立依据充分，项目规划符合省委、省政府决策部署和宏观政策规划，具备项目立项的必要性、前瞻性、合理性和可行性。</w:t>
      </w:r>
    </w:p>
    <w:p w14:paraId="2C5BBA6F">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该项目设置绩效目标表详情见项目结果中“(一)目标完成”,该项目总体绩效目标设置</w:t>
      </w:r>
      <w:r>
        <w:rPr>
          <w:rFonts w:hint="eastAsia" w:ascii="宋体" w:hAnsi="宋体" w:cs="宋体"/>
          <w:bCs/>
          <w:sz w:val="24"/>
          <w:szCs w:val="24"/>
          <w:highlight w:val="none"/>
          <w:lang w:val="en-US" w:eastAsia="zh-CN"/>
        </w:rPr>
        <w:t>不够细化、量化。</w:t>
      </w:r>
    </w:p>
    <w:p w14:paraId="31500DD4">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综上，“规划论证”指标权重为6分，扣</w:t>
      </w:r>
      <w:r>
        <w:rPr>
          <w:rFonts w:hint="eastAsia" w:ascii="宋体" w:hAnsi="宋体" w:cs="宋体"/>
          <w:bCs/>
          <w:sz w:val="24"/>
          <w:szCs w:val="24"/>
          <w:highlight w:val="none"/>
          <w:lang w:val="en-US" w:eastAsia="zh-CN"/>
        </w:rPr>
        <w:t>3</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3</w:t>
      </w:r>
      <w:r>
        <w:rPr>
          <w:rFonts w:hint="eastAsia" w:ascii="宋体" w:hAnsi="宋体" w:eastAsia="宋体" w:cs="宋体"/>
          <w:bCs/>
          <w:sz w:val="24"/>
          <w:szCs w:val="24"/>
          <w:highlight w:val="none"/>
          <w:lang w:val="en-US" w:eastAsia="zh-CN"/>
        </w:rPr>
        <w:t>分。</w:t>
      </w:r>
    </w:p>
    <w:p w14:paraId="5BDDD5BD">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46" w:name="_Toc26317"/>
      <w:r>
        <w:rPr>
          <w:rFonts w:hint="eastAsia" w:ascii="Times New Roman" w:hAnsi="Times New Roman" w:eastAsia="宋体" w:cs="Times New Roman"/>
          <w:b/>
          <w:bCs/>
          <w:color w:val="auto"/>
          <w:sz w:val="24"/>
          <w:szCs w:val="24"/>
          <w:highlight w:val="none"/>
          <w:lang w:val="en-US" w:eastAsia="zh-CN"/>
        </w:rPr>
        <w:t>（3）资金投向</w:t>
      </w:r>
      <w:bookmarkEnd w:id="46"/>
    </w:p>
    <w:p w14:paraId="1EE7B5AC">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该项目属于政府支持范围，且符合财政事权支出责任划分规定，资金投向与项目总体规划、相关行业事业发展相匹配</w:t>
      </w:r>
      <w:r>
        <w:rPr>
          <w:rFonts w:hint="eastAsia" w:ascii="宋体" w:hAnsi="宋体" w:eastAsia="宋体" w:cs="宋体"/>
          <w:bCs/>
          <w:sz w:val="24"/>
          <w:szCs w:val="24"/>
          <w:highlight w:val="none"/>
          <w:lang w:val="en-US" w:eastAsia="zh-CN"/>
        </w:rPr>
        <w:t>。聚焦重大任务、重点领域、重点环节，</w:t>
      </w:r>
      <w:r>
        <w:rPr>
          <w:rFonts w:hint="default" w:ascii="宋体" w:hAnsi="宋体" w:eastAsia="宋体" w:cs="宋体"/>
          <w:bCs/>
          <w:sz w:val="24"/>
          <w:szCs w:val="24"/>
          <w:highlight w:val="none"/>
          <w:lang w:val="en-US" w:eastAsia="zh-CN"/>
        </w:rPr>
        <w:t>未与其他同类项目或部门内部相关项目交叉重复</w:t>
      </w:r>
      <w:r>
        <w:rPr>
          <w:rFonts w:hint="eastAsia" w:ascii="宋体" w:hAnsi="宋体" w:eastAsia="宋体" w:cs="宋体"/>
          <w:bCs/>
          <w:sz w:val="24"/>
          <w:szCs w:val="24"/>
          <w:highlight w:val="none"/>
          <w:lang w:val="en-US" w:eastAsia="zh-CN"/>
        </w:rPr>
        <w:t>。</w:t>
      </w:r>
    </w:p>
    <w:p w14:paraId="3200096D">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综上，“资金投向”指标权重为6分，扣0分，得6分。</w:t>
      </w:r>
    </w:p>
    <w:p w14:paraId="350ACCB7">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47" w:name="_Toc27690"/>
      <w:bookmarkStart w:id="48" w:name="_Toc28244"/>
      <w:bookmarkStart w:id="49" w:name="_Toc1999"/>
      <w:bookmarkStart w:id="50" w:name="_Toc14650"/>
      <w:r>
        <w:rPr>
          <w:rFonts w:hint="eastAsia" w:ascii="Times New Roman" w:hAnsi="Times New Roman" w:eastAsia="宋体" w:cs="Times New Roman"/>
          <w:b/>
          <w:bCs/>
          <w:color w:val="auto"/>
          <w:sz w:val="24"/>
          <w:szCs w:val="24"/>
          <w:highlight w:val="none"/>
          <w:lang w:val="en-US" w:eastAsia="zh-CN"/>
        </w:rPr>
        <w:t>2.项目管理</w:t>
      </w:r>
      <w:bookmarkEnd w:id="47"/>
      <w:bookmarkEnd w:id="48"/>
      <w:bookmarkEnd w:id="49"/>
      <w:bookmarkEnd w:id="50"/>
    </w:p>
    <w:p w14:paraId="5C103585">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51" w:name="_Toc5573"/>
      <w:r>
        <w:rPr>
          <w:rFonts w:hint="eastAsia"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lang w:val="en-US" w:eastAsia="zh-CN"/>
        </w:rPr>
        <w:t>制度办法</w:t>
      </w:r>
      <w:bookmarkEnd w:id="51"/>
    </w:p>
    <w:p w14:paraId="413E3938">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攀枝花市仁和区成立了第五次全国经济普查领导小组办公室，根据《全国经济普查条例》规定和《国务院关于开展第五次全国经济普查的通知》（国发〔2022〕22号）文件，开展2024年第五次全国经济普查工作</w:t>
      </w:r>
      <w:r>
        <w:rPr>
          <w:rFonts w:hint="eastAsia" w:ascii="宋体" w:hAnsi="宋体" w:eastAsia="宋体" w:cs="宋体"/>
          <w:bCs/>
          <w:sz w:val="24"/>
          <w:szCs w:val="24"/>
          <w:highlight w:val="none"/>
          <w:lang w:val="en-US" w:eastAsia="zh-CN"/>
        </w:rPr>
        <w:t>。</w:t>
      </w:r>
    </w:p>
    <w:p w14:paraId="512BE8CC">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综上，“制度办法”指标权重为2分，扣0分，得2分。</w:t>
      </w:r>
    </w:p>
    <w:p w14:paraId="5F2DDC8C">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52" w:name="_Toc14306"/>
      <w:r>
        <w:rPr>
          <w:rFonts w:hint="eastAsia"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val="en-US" w:eastAsia="zh-CN"/>
        </w:rPr>
        <w:t>分配管理</w:t>
      </w:r>
      <w:bookmarkEnd w:id="52"/>
    </w:p>
    <w:p w14:paraId="4BC4FE7D">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根据仁和区统计局《2024年部门预算编制》,年初第五次全国经济普查工作经费项目预算数为2,060,000.00元，预算收回指标196,800.00元，该项目到位资金1,863,200.00元,资金到位率为100%</w:t>
      </w:r>
      <w:r>
        <w:rPr>
          <w:rFonts w:hint="eastAsia" w:ascii="宋体" w:hAnsi="宋体" w:eastAsia="宋体" w:cs="宋体"/>
          <w:bCs/>
          <w:sz w:val="24"/>
          <w:szCs w:val="24"/>
          <w:highlight w:val="none"/>
          <w:lang w:val="en-US" w:eastAsia="zh-CN"/>
        </w:rPr>
        <w:t>。</w:t>
      </w:r>
    </w:p>
    <w:p w14:paraId="4F10BAAB">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综上，“分配管理”指标权重为10分，扣0分，得10分。</w:t>
      </w:r>
    </w:p>
    <w:p w14:paraId="6B321D8C">
      <w:pPr>
        <w:numPr>
          <w:ilvl w:val="0"/>
          <w:numId w:val="0"/>
        </w:numPr>
        <w:tabs>
          <w:tab w:val="left" w:pos="0"/>
        </w:tabs>
        <w:spacing w:line="360" w:lineRule="auto"/>
        <w:ind w:left="420" w:leftChars="200" w:firstLine="0" w:firstLineChars="0"/>
        <w:jc w:val="left"/>
        <w:outlineLvl w:val="3"/>
        <w:rPr>
          <w:rFonts w:hint="eastAsia" w:ascii="Times New Roman" w:hAnsi="Times New Roman" w:eastAsia="宋体" w:cs="Times New Roman"/>
          <w:b/>
          <w:bCs/>
          <w:color w:val="auto"/>
          <w:sz w:val="24"/>
          <w:szCs w:val="24"/>
          <w:highlight w:val="none"/>
          <w:lang w:val="en-US" w:eastAsia="zh-CN"/>
        </w:rPr>
      </w:pPr>
      <w:bookmarkStart w:id="53" w:name="_Toc20670"/>
      <w:r>
        <w:rPr>
          <w:rFonts w:hint="eastAsia" w:ascii="Times New Roman" w:hAnsi="Times New Roman" w:eastAsia="宋体" w:cs="Times New Roman"/>
          <w:b/>
          <w:bCs/>
          <w:color w:val="auto"/>
          <w:sz w:val="24"/>
          <w:szCs w:val="24"/>
          <w:highlight w:val="none"/>
          <w:lang w:val="en-US" w:eastAsia="zh-CN"/>
        </w:rPr>
        <w:t>（3）绩效监管</w:t>
      </w:r>
      <w:bookmarkEnd w:id="53"/>
    </w:p>
    <w:p w14:paraId="4A2632A9">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攀枝花市仁和区统计局已完成该项目绩效目标（含事前评估）、绩效监控和绩效评价等预算绩效管理工作</w:t>
      </w:r>
      <w:r>
        <w:rPr>
          <w:rFonts w:hint="eastAsia" w:ascii="宋体" w:hAnsi="宋体" w:eastAsia="宋体" w:cs="宋体"/>
          <w:bCs/>
          <w:sz w:val="24"/>
          <w:szCs w:val="24"/>
          <w:lang w:val="en-US" w:eastAsia="zh-CN"/>
        </w:rPr>
        <w:t>。</w:t>
      </w:r>
    </w:p>
    <w:p w14:paraId="429000D1">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综上，“绩效监管”指标权重为</w:t>
      </w:r>
      <w:r>
        <w:rPr>
          <w:rFonts w:hint="eastAsia" w:ascii="宋体" w:hAnsi="宋体" w:eastAsia="宋体" w:cs="宋体"/>
          <w:bCs/>
          <w:sz w:val="24"/>
          <w:szCs w:val="24"/>
          <w:lang w:val="en-US" w:eastAsia="zh-CN"/>
        </w:rPr>
        <w:t>6</w:t>
      </w:r>
      <w:r>
        <w:rPr>
          <w:rFonts w:hint="default" w:ascii="宋体" w:hAnsi="宋体" w:eastAsia="宋体" w:cs="宋体"/>
          <w:bCs/>
          <w:sz w:val="24"/>
          <w:szCs w:val="24"/>
          <w:lang w:val="en-US" w:eastAsia="zh-CN"/>
        </w:rPr>
        <w:t>分，扣0分，得</w:t>
      </w:r>
      <w:r>
        <w:rPr>
          <w:rFonts w:hint="eastAsia" w:ascii="宋体" w:hAnsi="宋体" w:eastAsia="宋体" w:cs="宋体"/>
          <w:bCs/>
          <w:sz w:val="24"/>
          <w:szCs w:val="24"/>
          <w:lang w:val="en-US" w:eastAsia="zh-CN"/>
        </w:rPr>
        <w:t>6</w:t>
      </w:r>
      <w:r>
        <w:rPr>
          <w:rFonts w:hint="default" w:ascii="宋体" w:hAnsi="宋体" w:eastAsia="宋体" w:cs="宋体"/>
          <w:bCs/>
          <w:sz w:val="24"/>
          <w:szCs w:val="24"/>
          <w:lang w:val="en-US" w:eastAsia="zh-CN"/>
        </w:rPr>
        <w:t>分。</w:t>
      </w:r>
    </w:p>
    <w:p w14:paraId="38BA7928">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54" w:name="_Toc23500"/>
      <w:bookmarkStart w:id="55" w:name="_Toc7432"/>
      <w:bookmarkStart w:id="56" w:name="_Toc7938"/>
      <w:bookmarkStart w:id="57" w:name="_Toc17893"/>
      <w:r>
        <w:rPr>
          <w:rFonts w:hint="eastAsia" w:ascii="Times New Roman" w:hAnsi="Times New Roman" w:eastAsia="宋体" w:cs="Times New Roman"/>
          <w:b/>
          <w:bCs/>
          <w:color w:val="auto"/>
          <w:sz w:val="24"/>
          <w:szCs w:val="24"/>
          <w:highlight w:val="none"/>
          <w:lang w:val="en-US" w:eastAsia="zh-CN"/>
        </w:rPr>
        <w:t>3.项目实施</w:t>
      </w:r>
      <w:bookmarkEnd w:id="54"/>
      <w:bookmarkEnd w:id="55"/>
      <w:bookmarkEnd w:id="56"/>
      <w:bookmarkEnd w:id="57"/>
    </w:p>
    <w:p w14:paraId="3D1A5801">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58" w:name="_Toc26206"/>
      <w:r>
        <w:rPr>
          <w:rFonts w:hint="eastAsia"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lang w:val="en-US" w:eastAsia="zh-CN"/>
        </w:rPr>
        <w:t>预算执行</w:t>
      </w:r>
      <w:bookmarkEnd w:id="58"/>
    </w:p>
    <w:p w14:paraId="08BD45CB">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该项目预算资金2,060,000.00元，实际到位资金1,863,200.00元</w:t>
      </w:r>
      <w:r>
        <w:rPr>
          <w:rFonts w:hint="eastAsia" w:ascii="宋体" w:hAnsi="宋体" w:cs="宋体"/>
          <w:bCs/>
          <w:sz w:val="24"/>
          <w:szCs w:val="24"/>
          <w:lang w:val="en-US" w:eastAsia="zh-CN"/>
        </w:rPr>
        <w:t>，</w:t>
      </w:r>
      <w:r>
        <w:rPr>
          <w:rFonts w:hint="default" w:ascii="宋体" w:hAnsi="宋体" w:eastAsia="宋体" w:cs="宋体"/>
          <w:bCs/>
          <w:sz w:val="24"/>
          <w:szCs w:val="24"/>
          <w:lang w:val="en-US" w:eastAsia="zh-CN"/>
        </w:rPr>
        <w:t>单位实际支付资金</w:t>
      </w:r>
      <w:r>
        <w:rPr>
          <w:rFonts w:hint="eastAsia" w:ascii="宋体" w:hAnsi="宋体" w:eastAsia="宋体" w:cs="宋体"/>
          <w:bCs/>
          <w:sz w:val="24"/>
          <w:szCs w:val="24"/>
          <w:lang w:val="en-US" w:eastAsia="zh-CN"/>
        </w:rPr>
        <w:t>745</w:t>
      </w:r>
      <w:r>
        <w:rPr>
          <w:rFonts w:hint="eastAsia" w:ascii="宋体" w:hAnsi="宋体" w:cs="宋体"/>
          <w:bCs/>
          <w:sz w:val="24"/>
          <w:szCs w:val="24"/>
          <w:lang w:val="en-US" w:eastAsia="zh-CN"/>
        </w:rPr>
        <w:t>,</w:t>
      </w:r>
      <w:r>
        <w:rPr>
          <w:rFonts w:hint="eastAsia" w:ascii="宋体" w:hAnsi="宋体" w:eastAsia="宋体" w:cs="宋体"/>
          <w:bCs/>
          <w:sz w:val="24"/>
          <w:szCs w:val="24"/>
          <w:lang w:val="en-US" w:eastAsia="zh-CN"/>
        </w:rPr>
        <w:t>200</w:t>
      </w:r>
      <w:r>
        <w:rPr>
          <w:rFonts w:hint="eastAsia" w:ascii="宋体" w:hAnsi="宋体" w:cs="宋体"/>
          <w:bCs/>
          <w:sz w:val="24"/>
          <w:szCs w:val="24"/>
          <w:lang w:val="en-US" w:eastAsia="zh-CN"/>
        </w:rPr>
        <w:t>.00</w:t>
      </w:r>
      <w:r>
        <w:rPr>
          <w:rFonts w:hint="default" w:ascii="宋体" w:hAnsi="宋体" w:eastAsia="宋体" w:cs="宋体"/>
          <w:bCs/>
          <w:sz w:val="24"/>
          <w:szCs w:val="24"/>
          <w:lang w:val="en-US" w:eastAsia="zh-CN"/>
        </w:rPr>
        <w:t>元</w:t>
      </w:r>
      <w:r>
        <w:rPr>
          <w:rFonts w:hint="eastAsia" w:ascii="宋体" w:hAnsi="宋体" w:cs="宋体"/>
          <w:bCs/>
          <w:sz w:val="24"/>
          <w:szCs w:val="24"/>
          <w:lang w:val="en-US" w:eastAsia="zh-CN"/>
        </w:rPr>
        <w:t>，</w:t>
      </w:r>
      <w:r>
        <w:rPr>
          <w:rFonts w:hint="eastAsia" w:ascii="宋体" w:hAnsi="宋体" w:eastAsia="宋体" w:cs="宋体"/>
          <w:bCs/>
          <w:sz w:val="24"/>
          <w:szCs w:val="24"/>
          <w:lang w:val="en-US" w:eastAsia="zh-CN"/>
        </w:rPr>
        <w:t>资金使用率</w:t>
      </w:r>
      <w:r>
        <w:rPr>
          <w:rFonts w:hint="eastAsia" w:ascii="宋体" w:hAnsi="宋体" w:cs="宋体"/>
          <w:bCs/>
          <w:sz w:val="24"/>
          <w:szCs w:val="24"/>
          <w:lang w:val="en-US" w:eastAsia="zh-CN"/>
        </w:rPr>
        <w:t>40.00</w:t>
      </w:r>
      <w:r>
        <w:rPr>
          <w:rFonts w:hint="eastAsia" w:ascii="宋体" w:hAnsi="宋体" w:eastAsia="宋体" w:cs="宋体"/>
          <w:bCs/>
          <w:sz w:val="24"/>
          <w:szCs w:val="24"/>
          <w:lang w:val="en-US" w:eastAsia="zh-CN"/>
        </w:rPr>
        <w:t>%。</w:t>
      </w:r>
    </w:p>
    <w:p w14:paraId="16218796">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综上，“预算执行”指标权重为</w:t>
      </w:r>
      <w:r>
        <w:rPr>
          <w:rFonts w:hint="eastAsia" w:ascii="宋体" w:hAnsi="宋体" w:eastAsia="宋体" w:cs="宋体"/>
          <w:bCs/>
          <w:sz w:val="24"/>
          <w:szCs w:val="24"/>
          <w:lang w:val="en-US" w:eastAsia="zh-CN"/>
        </w:rPr>
        <w:t>3</w:t>
      </w:r>
      <w:r>
        <w:rPr>
          <w:rFonts w:hint="default" w:ascii="宋体" w:hAnsi="宋体" w:eastAsia="宋体" w:cs="宋体"/>
          <w:bCs/>
          <w:sz w:val="24"/>
          <w:szCs w:val="24"/>
          <w:lang w:val="en-US" w:eastAsia="zh-CN"/>
        </w:rPr>
        <w:t>分，扣</w:t>
      </w:r>
      <w:r>
        <w:rPr>
          <w:rFonts w:hint="eastAsia" w:ascii="宋体" w:hAnsi="宋体" w:cs="宋体"/>
          <w:bCs/>
          <w:sz w:val="24"/>
          <w:szCs w:val="24"/>
          <w:lang w:val="en-US" w:eastAsia="zh-CN"/>
        </w:rPr>
        <w:t>1.80</w:t>
      </w:r>
      <w:r>
        <w:rPr>
          <w:rFonts w:hint="default" w:ascii="宋体" w:hAnsi="宋体" w:eastAsia="宋体" w:cs="宋体"/>
          <w:bCs/>
          <w:sz w:val="24"/>
          <w:szCs w:val="24"/>
          <w:lang w:val="en-US" w:eastAsia="zh-CN"/>
        </w:rPr>
        <w:t>分，得</w:t>
      </w:r>
      <w:r>
        <w:rPr>
          <w:rFonts w:hint="eastAsia" w:ascii="宋体" w:hAnsi="宋体" w:cs="宋体"/>
          <w:bCs/>
          <w:sz w:val="24"/>
          <w:szCs w:val="24"/>
          <w:lang w:val="en-US" w:eastAsia="zh-CN"/>
        </w:rPr>
        <w:t>1.20</w:t>
      </w:r>
      <w:r>
        <w:rPr>
          <w:rFonts w:hint="default" w:ascii="宋体" w:hAnsi="宋体" w:eastAsia="宋体" w:cs="宋体"/>
          <w:bCs/>
          <w:sz w:val="24"/>
          <w:szCs w:val="24"/>
          <w:lang w:val="en-US" w:eastAsia="zh-CN"/>
        </w:rPr>
        <w:t>分。</w:t>
      </w:r>
    </w:p>
    <w:p w14:paraId="702C37E1">
      <w:pPr>
        <w:numPr>
          <w:ilvl w:val="0"/>
          <w:numId w:val="7"/>
        </w:numPr>
        <w:tabs>
          <w:tab w:val="left" w:pos="0"/>
        </w:tabs>
        <w:spacing w:line="360" w:lineRule="auto"/>
        <w:ind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59" w:name="_Toc17342"/>
      <w:r>
        <w:rPr>
          <w:rFonts w:hint="eastAsia" w:ascii="Times New Roman" w:hAnsi="Times New Roman" w:eastAsia="宋体" w:cs="Times New Roman"/>
          <w:b/>
          <w:bCs/>
          <w:color w:val="auto"/>
          <w:sz w:val="24"/>
          <w:szCs w:val="24"/>
          <w:highlight w:val="none"/>
          <w:lang w:val="en-US" w:eastAsia="zh-CN"/>
        </w:rPr>
        <w:t>资金使用</w:t>
      </w:r>
      <w:bookmarkEnd w:id="59"/>
    </w:p>
    <w:p w14:paraId="1556E356">
      <w:pPr>
        <w:spacing w:line="560" w:lineRule="exact"/>
        <w:ind w:firstLine="480" w:firstLineChars="200"/>
        <w:jc w:val="left"/>
        <w:rPr>
          <w:rFonts w:hint="default" w:ascii="宋体" w:hAnsi="宋体" w:eastAsia="宋体" w:cs="宋体"/>
          <w:bCs/>
          <w:sz w:val="24"/>
          <w:szCs w:val="24"/>
          <w:highlight w:val="yellow"/>
          <w:lang w:val="en-US" w:eastAsia="zh-CN"/>
        </w:rPr>
      </w:pPr>
      <w:r>
        <w:rPr>
          <w:rFonts w:hint="default" w:ascii="宋体" w:hAnsi="宋体" w:eastAsia="宋体" w:cs="宋体"/>
          <w:bCs/>
          <w:sz w:val="24"/>
          <w:szCs w:val="24"/>
          <w:highlight w:val="none"/>
          <w:lang w:val="en-US" w:eastAsia="zh-CN"/>
        </w:rPr>
        <w:t>截至202</w:t>
      </w:r>
      <w:r>
        <w:rPr>
          <w:rFonts w:hint="eastAsia" w:ascii="宋体" w:hAnsi="宋体" w:eastAsia="宋体" w:cs="宋体"/>
          <w:bCs/>
          <w:sz w:val="24"/>
          <w:szCs w:val="24"/>
          <w:highlight w:val="none"/>
          <w:lang w:val="en-US" w:eastAsia="zh-CN"/>
        </w:rPr>
        <w:t>4</w:t>
      </w:r>
      <w:r>
        <w:rPr>
          <w:rFonts w:hint="default" w:ascii="宋体" w:hAnsi="宋体" w:eastAsia="宋体" w:cs="宋体"/>
          <w:bCs/>
          <w:sz w:val="24"/>
          <w:szCs w:val="24"/>
          <w:highlight w:val="none"/>
          <w:lang w:val="en-US" w:eastAsia="zh-CN"/>
        </w:rPr>
        <w:t>年12月31日，该项目资金支付金额合计745,200.00元。经查看财务资料和项目资料，项目资金使用、 拨付符合国家财经法规、财务管理制度及有关专项资金管理制度办法规定和审批程序。项目实施存</w:t>
      </w:r>
      <w:r>
        <w:rPr>
          <w:rFonts w:hint="eastAsia" w:ascii="宋体" w:hAnsi="宋体" w:cs="宋体"/>
          <w:bCs/>
          <w:sz w:val="24"/>
          <w:szCs w:val="24"/>
          <w:highlight w:val="none"/>
          <w:lang w:val="en-US" w:eastAsia="zh-CN"/>
        </w:rPr>
        <w:t>在：“①针对对普查指导员和普查员的培训，参与率未达到100%；②大龙潭乡人民政府、仁和镇人民政府、中坝乡人民政府、务本乡人民政府、金江镇、大河中路街道、南山园区管委会的纸质《考核计评分表》中数据处理-数据审核未见考核分数。③“智能手机补贴和流量费”补助实际发放人数与核定人数不符，虽总的补助金额与核定金额相符，未出现超预算支出情况，但未对对象细分制定明确管控规则。如：大和中路街道核定补助发放人数上限（27 人），实际发放人数（44 人）。问题详见“五、存在的主要问题”。</w:t>
      </w:r>
    </w:p>
    <w:p w14:paraId="3CC11D79">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综上，“资金使用”指标权重为</w:t>
      </w:r>
      <w:r>
        <w:rPr>
          <w:rFonts w:hint="eastAsia" w:ascii="宋体" w:hAnsi="宋体" w:eastAsia="宋体" w:cs="宋体"/>
          <w:bCs/>
          <w:sz w:val="24"/>
          <w:szCs w:val="24"/>
          <w:highlight w:val="none"/>
          <w:lang w:val="en-US" w:eastAsia="zh-CN"/>
        </w:rPr>
        <w:t>6</w:t>
      </w:r>
      <w:r>
        <w:rPr>
          <w:rFonts w:hint="default"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3</w:t>
      </w:r>
      <w:r>
        <w:rPr>
          <w:rFonts w:hint="default"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3</w:t>
      </w:r>
      <w:r>
        <w:rPr>
          <w:rFonts w:hint="default" w:ascii="宋体" w:hAnsi="宋体" w:eastAsia="宋体" w:cs="宋体"/>
          <w:bCs/>
          <w:sz w:val="24"/>
          <w:szCs w:val="24"/>
          <w:highlight w:val="none"/>
          <w:lang w:val="en-US" w:eastAsia="zh-CN"/>
        </w:rPr>
        <w:t>分。</w:t>
      </w:r>
    </w:p>
    <w:p w14:paraId="059D295E">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60" w:name="_Toc31182"/>
      <w:bookmarkStart w:id="61" w:name="_Toc32439"/>
      <w:bookmarkStart w:id="62" w:name="_Toc31447"/>
      <w:bookmarkStart w:id="63" w:name="_Toc29559"/>
      <w:r>
        <w:rPr>
          <w:rFonts w:hint="eastAsia" w:ascii="Times New Roman" w:hAnsi="Times New Roman" w:eastAsia="宋体" w:cs="Times New Roman"/>
          <w:b/>
          <w:bCs/>
          <w:color w:val="auto"/>
          <w:sz w:val="24"/>
          <w:szCs w:val="24"/>
          <w:highlight w:val="none"/>
          <w:lang w:val="en-US" w:eastAsia="zh-CN"/>
        </w:rPr>
        <w:t>4.项目结果</w:t>
      </w:r>
      <w:bookmarkEnd w:id="60"/>
      <w:bookmarkEnd w:id="61"/>
      <w:bookmarkEnd w:id="62"/>
      <w:bookmarkEnd w:id="63"/>
    </w:p>
    <w:p w14:paraId="0495549B">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64" w:name="_Toc9780"/>
      <w:r>
        <w:rPr>
          <w:rFonts w:hint="eastAsia" w:ascii="Times New Roman" w:hAnsi="Times New Roman" w:eastAsia="宋体" w:cs="Times New Roman"/>
          <w:b/>
          <w:bCs/>
          <w:color w:val="auto"/>
          <w:sz w:val="24"/>
          <w:szCs w:val="24"/>
          <w:highlight w:val="none"/>
          <w:lang w:val="en-US" w:eastAsia="zh-CN"/>
        </w:rPr>
        <w:t>（1）目标完成</w:t>
      </w:r>
      <w:bookmarkEnd w:id="64"/>
    </w:p>
    <w:p w14:paraId="7C64E250">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highlight w:val="none"/>
          <w:lang w:val="en-US" w:eastAsia="zh-CN"/>
        </w:rPr>
        <w:t>根据该项目</w:t>
      </w:r>
      <w:r>
        <w:rPr>
          <w:rFonts w:hint="eastAsia" w:ascii="宋体" w:hAnsi="宋体" w:eastAsia="宋体" w:cs="宋体"/>
          <w:bCs/>
          <w:sz w:val="24"/>
          <w:szCs w:val="24"/>
          <w:highlight w:val="none"/>
          <w:lang w:val="en-US" w:eastAsia="zh-CN"/>
        </w:rPr>
        <w:t>《</w:t>
      </w:r>
      <w:r>
        <w:rPr>
          <w:rFonts w:hint="default" w:ascii="宋体" w:hAnsi="宋体" w:eastAsia="宋体" w:cs="宋体"/>
          <w:bCs/>
          <w:sz w:val="24"/>
          <w:szCs w:val="24"/>
          <w:highlight w:val="none"/>
          <w:lang w:val="en-US" w:eastAsia="zh-CN"/>
        </w:rPr>
        <w:t>绩效目标</w:t>
      </w:r>
      <w:r>
        <w:rPr>
          <w:rFonts w:hint="eastAsia" w:ascii="宋体" w:hAnsi="宋体" w:eastAsia="宋体" w:cs="宋体"/>
          <w:bCs/>
          <w:sz w:val="24"/>
          <w:szCs w:val="24"/>
          <w:highlight w:val="none"/>
          <w:lang w:val="en-US" w:eastAsia="zh-CN"/>
        </w:rPr>
        <w:t>申报</w:t>
      </w:r>
      <w:r>
        <w:rPr>
          <w:rFonts w:hint="default" w:ascii="宋体" w:hAnsi="宋体" w:eastAsia="宋体" w:cs="宋体"/>
          <w:bCs/>
          <w:sz w:val="24"/>
          <w:szCs w:val="24"/>
          <w:highlight w:val="none"/>
          <w:lang w:val="en-US" w:eastAsia="zh-CN"/>
        </w:rPr>
        <w:t>表</w:t>
      </w:r>
      <w:r>
        <w:rPr>
          <w:rFonts w:hint="eastAsia" w:ascii="宋体" w:hAnsi="宋体" w:eastAsia="宋体" w:cs="宋体"/>
          <w:bCs/>
          <w:sz w:val="24"/>
          <w:szCs w:val="24"/>
          <w:highlight w:val="none"/>
          <w:lang w:val="en-US" w:eastAsia="zh-CN"/>
        </w:rPr>
        <w:t>》</w:t>
      </w:r>
      <w:r>
        <w:rPr>
          <w:rFonts w:hint="default" w:ascii="宋体" w:hAnsi="宋体" w:eastAsia="宋体" w:cs="宋体"/>
          <w:bCs/>
          <w:sz w:val="24"/>
          <w:szCs w:val="24"/>
          <w:highlight w:val="none"/>
          <w:lang w:val="en-US" w:eastAsia="zh-CN"/>
        </w:rPr>
        <w:t>，项目总体目标为</w:t>
      </w:r>
      <w:r>
        <w:rPr>
          <w:rFonts w:hint="eastAsia" w:ascii="宋体" w:hAnsi="宋体" w:eastAsia="宋体" w:cs="宋体"/>
          <w:bCs/>
          <w:sz w:val="24"/>
          <w:szCs w:val="24"/>
          <w:highlight w:val="none"/>
          <w:lang w:val="en-US" w:eastAsia="zh-CN"/>
        </w:rPr>
        <w:t>围绕国家统计局《关于做好第五次全国经济普查经费预算编制相关工作的通知》国统字〔2022〕68号、《国务院关于开展第五次全国经济普查的通知》国发〔2022〕22号</w:t>
      </w:r>
      <w:r>
        <w:rPr>
          <w:rFonts w:hint="eastAsia" w:ascii="宋体" w:hAnsi="宋体" w:cs="宋体"/>
          <w:bCs/>
          <w:sz w:val="24"/>
          <w:szCs w:val="24"/>
          <w:highlight w:val="none"/>
          <w:lang w:val="en-US" w:eastAsia="zh-CN"/>
        </w:rPr>
        <w:t>的规定</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开展第五次全国经济普查工作，</w:t>
      </w:r>
      <w:r>
        <w:rPr>
          <w:rFonts w:hint="eastAsia" w:ascii="宋体" w:hAnsi="宋体" w:eastAsia="宋体" w:cs="宋体"/>
          <w:bCs/>
          <w:sz w:val="24"/>
          <w:szCs w:val="24"/>
          <w:highlight w:val="none"/>
          <w:lang w:val="en-US" w:eastAsia="zh-CN"/>
        </w:rPr>
        <w:t>确保各项工作有序落地</w:t>
      </w:r>
      <w:r>
        <w:rPr>
          <w:rFonts w:hint="default" w:ascii="宋体" w:hAnsi="宋体" w:eastAsia="宋体" w:cs="宋体"/>
          <w:bCs/>
          <w:sz w:val="24"/>
          <w:szCs w:val="24"/>
          <w:highlight w:val="none"/>
          <w:lang w:val="en-US" w:eastAsia="zh-CN"/>
        </w:rPr>
        <w:t>。具体指标设置如下</w:t>
      </w:r>
      <w:r>
        <w:rPr>
          <w:rFonts w:hint="eastAsia" w:ascii="宋体" w:hAnsi="宋体" w:eastAsia="宋体" w:cs="宋体"/>
          <w:bCs/>
          <w:sz w:val="24"/>
          <w:szCs w:val="24"/>
          <w:highlight w:val="none"/>
          <w:lang w:val="en-US" w:eastAsia="zh-CN"/>
        </w:rPr>
        <w:t>：</w:t>
      </w:r>
    </w:p>
    <w:tbl>
      <w:tblPr>
        <w:tblStyle w:val="11"/>
        <w:tblW w:w="94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5"/>
        <w:gridCol w:w="1263"/>
        <w:gridCol w:w="1312"/>
        <w:gridCol w:w="4263"/>
        <w:gridCol w:w="1289"/>
      </w:tblGrid>
      <w:tr w14:paraId="3C8C5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315" w:type="dxa"/>
            <w:tcBorders>
              <w:top w:val="single" w:color="000000" w:sz="4" w:space="0"/>
              <w:left w:val="single" w:color="000000" w:sz="4" w:space="0"/>
              <w:bottom w:val="nil"/>
              <w:right w:val="single" w:color="000000" w:sz="4" w:space="0"/>
            </w:tcBorders>
            <w:shd w:val="clear" w:color="auto" w:fill="auto"/>
            <w:vAlign w:val="center"/>
          </w:tcPr>
          <w:p w14:paraId="73950BF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一级指标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B9F05">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D3F6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三级指标</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785FD">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指标值（包含数字及文字描述）</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34BF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kern w:val="0"/>
                <w:sz w:val="21"/>
                <w:szCs w:val="21"/>
                <w:u w:val="none"/>
                <w:lang w:val="en-US" w:eastAsia="zh-CN" w:bidi="ar"/>
              </w:rPr>
            </w:pPr>
            <w:r>
              <w:rPr>
                <w:rFonts w:hint="eastAsia" w:ascii="宋体" w:hAnsi="宋体" w:eastAsia="宋体" w:cs="宋体"/>
                <w:b/>
                <w:i w:val="0"/>
                <w:iCs w:val="0"/>
                <w:color w:val="000000"/>
                <w:kern w:val="0"/>
                <w:sz w:val="21"/>
                <w:szCs w:val="21"/>
                <w:u w:val="none"/>
                <w:lang w:val="en-US" w:eastAsia="zh-CN" w:bidi="ar"/>
              </w:rPr>
              <w:t>完成情况</w:t>
            </w:r>
          </w:p>
        </w:tc>
      </w:tr>
      <w:tr w14:paraId="0CE40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6D9D77">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项目完成</w:t>
            </w:r>
          </w:p>
        </w:tc>
        <w:tc>
          <w:tcPr>
            <w:tcW w:w="12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EF67E1">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5747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市级综合试点费用</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E2435">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1.试点培训人员：区经普办20人，乡镇14人，南管委1人，钒钛园区1人，试点乡镇及社区（村）普查两员25人，共61人；2.入户登记法人、产业单位和个体户600个</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2109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5160F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BBECF">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27B48">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A539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五经普培训人员数</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726E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1.区、乡、村三级普查员400人；2.区乡两级普办主任和业务骨干人员60人；3.乡镇、社区村指导员、普查员300人；4.投入产出抽中单位人员25人</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8ED2">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0B13A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B4A41">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77D36">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674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单位清查户数</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A0CC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1.法人单位和产业活动单位7700户；2.个体经营户约26000户；3.清查、普查和统计台账用表户数法人单位6500户和产业活动单位1200户；4.普查用手提袋、调查证、文具300套</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C758E">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部分未完成指标，个体经营户实际完成数量为23025户</w:t>
            </w:r>
          </w:p>
        </w:tc>
      </w:tr>
      <w:tr w14:paraId="1753F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D744A">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64FC0">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50CE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设备购置费用</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0822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1.台式计算机10台、便携式计算机2台； 2.打印机黑白6台、彩色2台； 3.租赁移动终端数据采集设备260台</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A5D9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653BD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0CCCC">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2913E">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5B5C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非一套表调查单位补助户数</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ED9E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法人单位6500户，产业活动单位1200户，国家统一抽取个体经营户2000户</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2892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740C2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B04E9">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2F592">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E13BD">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购买服务人员数</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DA9ED">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1.聘请第三方公司业务讲师1-2人；2.区经普办、仁和镇、前进镇、大河中路街道和南山管委会聘请财务会计总指导员6人；3.区经普办抽调西部志愿者1人</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297A">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2EB6D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B2B4A">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tcBorders>
              <w:top w:val="single" w:color="000000" w:sz="4" w:space="0"/>
              <w:left w:val="single" w:color="000000" w:sz="4" w:space="0"/>
              <w:bottom w:val="nil"/>
              <w:right w:val="single" w:color="000000" w:sz="4" w:space="0"/>
            </w:tcBorders>
            <w:shd w:val="clear" w:color="auto" w:fill="auto"/>
            <w:vAlign w:val="center"/>
          </w:tcPr>
          <w:p w14:paraId="1D6E2E7E">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2EC8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严格执行普查方案，强化质量控制</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5E207">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严格执行经济普查方案，加强各环节质量管控，确保高质量完成普查任务</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216F5">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44CFE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5C572">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tcBorders>
              <w:top w:val="single" w:color="000000" w:sz="4" w:space="0"/>
              <w:left w:val="single" w:color="000000" w:sz="4" w:space="0"/>
              <w:bottom w:val="nil"/>
              <w:right w:val="single" w:color="000000" w:sz="4" w:space="0"/>
            </w:tcBorders>
            <w:shd w:val="clear" w:color="auto" w:fill="auto"/>
            <w:vAlign w:val="center"/>
          </w:tcPr>
          <w:p w14:paraId="7C342A4A">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3F8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按工作计划及上级安排实施</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C768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2024年1-12月</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D921">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0181B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4062E">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restart"/>
            <w:tcBorders>
              <w:top w:val="single" w:color="000000" w:sz="4" w:space="0"/>
              <w:left w:val="single" w:color="000000" w:sz="4" w:space="0"/>
              <w:bottom w:val="nil"/>
              <w:right w:val="single" w:color="000000" w:sz="4" w:space="0"/>
            </w:tcBorders>
            <w:shd w:val="clear" w:color="auto" w:fill="auto"/>
            <w:vAlign w:val="center"/>
          </w:tcPr>
          <w:p w14:paraId="32AE7DE7">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E0A3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市级综合试点费用</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2107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市级综合试点培训人员61人，培训2天，集中入户登记2天，41人，标准按140元/人·天(含食宿)，小计26000元；2.入户登记、数据审核录入，法人、产业单位和个体经营户600个，25元/户，小计12000元；3.培训资料70套，20元/套，宣传标语20幅*200元/幅，宣传单1000张*0.12元/张，试点用表、调查证、饮用水等经费，小计11000元；三项共计49000元</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3DC4">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677AB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5" w:type="dxa"/>
            <w:vMerge w:val="restart"/>
            <w:tcBorders>
              <w:top w:val="single" w:color="000000" w:sz="4" w:space="0"/>
              <w:left w:val="single" w:color="000000" w:sz="4" w:space="0"/>
              <w:right w:val="single" w:color="000000" w:sz="4" w:space="0"/>
            </w:tcBorders>
            <w:shd w:val="clear" w:color="auto" w:fill="auto"/>
            <w:vAlign w:val="center"/>
          </w:tcPr>
          <w:p w14:paraId="693C1608">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continue"/>
            <w:tcBorders>
              <w:top w:val="single" w:color="000000" w:sz="4" w:space="0"/>
              <w:left w:val="single" w:color="000000" w:sz="4" w:space="0"/>
              <w:bottom w:val="nil"/>
              <w:right w:val="single" w:color="000000" w:sz="4" w:space="0"/>
            </w:tcBorders>
            <w:shd w:val="clear" w:color="auto" w:fill="auto"/>
            <w:vAlign w:val="center"/>
          </w:tcPr>
          <w:p w14:paraId="3BFA5065">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8B13B">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五经普培训人员</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D3C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区、乡、村三级普查员400人，分专业培训，50元/人·天，小计20000元；2.区乡两级普办主任和业务骨干人员60人，培训5次，140元/人·天(含食宿)，小计42000元；3.乡镇、社区村指导员、普查员300人，单位清查培训1天·次，普查业务培训2天·次，每天140元/人·天(含食宿)，小计126000元；4.投入产出抽中单位人员25人，基础资料整理</w:t>
            </w:r>
            <w:r>
              <w:rPr>
                <w:rFonts w:hint="eastAsia" w:ascii="宋体" w:hAnsi="宋体" w:cs="宋体"/>
                <w:i w:val="0"/>
                <w:iCs w:val="0"/>
                <w:color w:val="000000"/>
                <w:kern w:val="0"/>
                <w:sz w:val="21"/>
                <w:szCs w:val="21"/>
                <w:u w:val="none"/>
                <w:lang w:val="en-US" w:eastAsia="zh-CN" w:bidi="ar"/>
              </w:rPr>
              <w:t>和台账</w:t>
            </w:r>
            <w:r>
              <w:rPr>
                <w:rFonts w:hint="eastAsia" w:ascii="宋体" w:hAnsi="宋体" w:eastAsia="宋体" w:cs="宋体"/>
                <w:i w:val="0"/>
                <w:iCs w:val="0"/>
                <w:color w:val="000000"/>
                <w:kern w:val="0"/>
                <w:sz w:val="21"/>
                <w:szCs w:val="21"/>
                <w:u w:val="none"/>
                <w:lang w:val="en-US" w:eastAsia="zh-CN" w:bidi="ar"/>
              </w:rPr>
              <w:t>建立业务培训4天·次，标准：50元/人·天，小计5000元；四项共计193000元</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3BE6D">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43705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91B63">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continue"/>
            <w:tcBorders>
              <w:top w:val="single" w:color="000000" w:sz="4" w:space="0"/>
              <w:left w:val="single" w:color="000000" w:sz="4" w:space="0"/>
              <w:bottom w:val="nil"/>
              <w:right w:val="single" w:color="000000" w:sz="4" w:space="0"/>
            </w:tcBorders>
            <w:shd w:val="clear" w:color="auto" w:fill="auto"/>
            <w:vAlign w:val="center"/>
          </w:tcPr>
          <w:p w14:paraId="25D3E612">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91EA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单位清查费用</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F6E3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单位清查补助：法人和产业单位7700户，20元/户，小计154000元；2.个体经营户26000户，10元/户，小计260000元；3.清查、普查和统计台账用表户数法人单位6500户和产业活动单位1200户，小计30500元；4.普查用手提袋、调查证、文具300套，50元/套，小计15000元；四项共计459500元</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8675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73321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E04EC">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continue"/>
            <w:tcBorders>
              <w:top w:val="single" w:color="000000" w:sz="4" w:space="0"/>
              <w:left w:val="single" w:color="000000" w:sz="4" w:space="0"/>
              <w:bottom w:val="nil"/>
              <w:right w:val="single" w:color="000000" w:sz="4" w:space="0"/>
            </w:tcBorders>
            <w:shd w:val="clear" w:color="auto" w:fill="auto"/>
            <w:vAlign w:val="center"/>
          </w:tcPr>
          <w:p w14:paraId="204B1C56">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7F34D">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设备购置费用</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54B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1.台式计算机10台*6200元/台、便携式计算机2台*7500元/台 ，小计77000元； 2.打印机黑白6台*2100元/台 、彩色2台*5600元/台，小计23800元； 3.租赁移动终端数据采集设备260台，租金及流量费：50元/月·台，租期8个月，小计104000元；三项共计204800元</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03A2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23F42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17676">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continue"/>
            <w:tcBorders>
              <w:top w:val="single" w:color="000000" w:sz="4" w:space="0"/>
              <w:left w:val="single" w:color="000000" w:sz="4" w:space="0"/>
              <w:bottom w:val="nil"/>
              <w:right w:val="single" w:color="000000" w:sz="4" w:space="0"/>
            </w:tcBorders>
            <w:shd w:val="clear" w:color="auto" w:fill="auto"/>
            <w:vAlign w:val="center"/>
          </w:tcPr>
          <w:p w14:paraId="6A6AC831">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3C717">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非一套表调查单位补助</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2BC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1.法人单位60元/户*6500户、产业活动单位40元/户*1200户，小计426000元；2.国家统一抽取个体经营户调查30元/户*2000户，小计60000元；两项共计486000元</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6644">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42C4E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9B1A7">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continue"/>
            <w:tcBorders>
              <w:top w:val="single" w:color="000000" w:sz="4" w:space="0"/>
              <w:left w:val="single" w:color="000000" w:sz="4" w:space="0"/>
              <w:bottom w:val="nil"/>
              <w:right w:val="single" w:color="000000" w:sz="4" w:space="0"/>
            </w:tcBorders>
            <w:shd w:val="clear" w:color="auto" w:fill="auto"/>
            <w:vAlign w:val="center"/>
          </w:tcPr>
          <w:p w14:paraId="6B109709">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4EE9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购买服务经费</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6F5EA">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聘请第三方公司业务讲师负责清查摸底培训、综合业务培训和分专业培训，预计培训8个场，共50个学时，按500元/学时计算，劳务费25000元；2.区经普办、仁和镇、前进镇、大河中路街道和南山管委会聘请财务会计总指导员6人，服务费包括：辖区财务会计业务咨询费3</w:t>
            </w:r>
            <w:r>
              <w:rPr>
                <w:rStyle w:val="15"/>
                <w:sz w:val="21"/>
                <w:szCs w:val="21"/>
                <w:lang w:val="en-US" w:eastAsia="zh-CN" w:bidi="ar"/>
              </w:rPr>
              <w:t>000元/月；驻区经普办、乡镇（街道）和南山管委会财务会计总指导员6000元/月·人（含五险一金和绩效奖励等），服务时间5个月，小计255000元；3.区经普办抽调1名西部志愿者到区经普办工作，3000元/月（含住房、社保等）*16个月，小计48000元；三项共计328000元</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8CD0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74089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AFDD9">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vMerge w:val="continue"/>
            <w:tcBorders>
              <w:top w:val="single" w:color="000000" w:sz="4" w:space="0"/>
              <w:left w:val="single" w:color="000000" w:sz="4" w:space="0"/>
              <w:bottom w:val="nil"/>
              <w:right w:val="single" w:color="000000" w:sz="4" w:space="0"/>
            </w:tcBorders>
            <w:shd w:val="clear" w:color="auto" w:fill="auto"/>
            <w:vAlign w:val="center"/>
          </w:tcPr>
          <w:p w14:paraId="2C804793">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242AB">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普查日常办公经费</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D062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1.办公用品等417</w:t>
            </w:r>
            <w:r>
              <w:rPr>
                <w:rStyle w:val="15"/>
                <w:sz w:val="21"/>
                <w:szCs w:val="21"/>
                <w:lang w:val="en-US" w:eastAsia="zh-CN" w:bidi="ar"/>
              </w:rPr>
              <w:t>00元； 2.固定电话通讯费8000元； 3.水电费4000元；4.会议场地租赁费及相关费用30000元 5.参加省、市业务培训、学习和普查公务租车等费用（含租车费）60000元；6.资料打印、复印费15000元；7.购买人身意外保险，普查员和普查指导员260人（不含机关事业单位商调人员），标准140元/人，小计26000元；8.各级检查、指导、验收等工作经费35000元；八项共计219700元</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F7E4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48FBB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A721A">
            <w:pPr>
              <w:keepNext/>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1263" w:type="dxa"/>
            <w:tcBorders>
              <w:top w:val="nil"/>
              <w:left w:val="single" w:color="000000" w:sz="4" w:space="0"/>
              <w:bottom w:val="nil"/>
              <w:right w:val="single" w:color="000000" w:sz="4" w:space="0"/>
            </w:tcBorders>
            <w:shd w:val="clear" w:color="auto" w:fill="auto"/>
            <w:vAlign w:val="center"/>
          </w:tcPr>
          <w:p w14:paraId="314F1476">
            <w:pPr>
              <w:keepNext/>
              <w:snapToGrid w:val="0"/>
              <w:ind w:left="0" w:leftChars="0" w:right="0" w:rightChars="0" w:firstLine="0" w:firstLineChars="0"/>
              <w:jc w:val="left"/>
              <w:rPr>
                <w:rFonts w:hint="eastAsia" w:ascii="宋体" w:hAnsi="宋体" w:eastAsia="宋体" w:cs="宋体"/>
                <w:i w:val="0"/>
                <w:iCs w:val="0"/>
                <w:color w:val="000000"/>
                <w:sz w:val="21"/>
                <w:szCs w:val="21"/>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9791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宣传和总结表扬费用</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5B5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1.路牌广告2块、挡墙标语、横幅、普查“两员”马甲、新闻媒体报道、宣传月活动和抽中个体经营户宣传品等费用1</w:t>
            </w:r>
            <w:r>
              <w:rPr>
                <w:rStyle w:val="15"/>
                <w:sz w:val="21"/>
                <w:szCs w:val="21"/>
                <w:lang w:val="en-US" w:eastAsia="zh-CN" w:bidi="ar"/>
              </w:rPr>
              <w:t>10000元； 2.总结表扬对普查工作先进集体和个人表扬（制牌制证等）10000元；两项共计120000元</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D6385">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2640A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tcBorders>
              <w:top w:val="single" w:color="000000" w:sz="4" w:space="0"/>
              <w:left w:val="single" w:color="000000" w:sz="4" w:space="0"/>
              <w:bottom w:val="nil"/>
              <w:right w:val="single" w:color="000000" w:sz="4" w:space="0"/>
            </w:tcBorders>
            <w:shd w:val="clear" w:color="auto" w:fill="auto"/>
            <w:vAlign w:val="center"/>
          </w:tcPr>
          <w:p w14:paraId="79B17960">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项目效益</w:t>
            </w:r>
          </w:p>
        </w:tc>
        <w:tc>
          <w:tcPr>
            <w:tcW w:w="1263" w:type="dxa"/>
            <w:tcBorders>
              <w:top w:val="single" w:color="000000" w:sz="4" w:space="0"/>
              <w:left w:val="single" w:color="000000" w:sz="4" w:space="0"/>
              <w:bottom w:val="nil"/>
              <w:right w:val="single" w:color="000000" w:sz="4" w:space="0"/>
            </w:tcBorders>
            <w:shd w:val="clear" w:color="auto" w:fill="auto"/>
            <w:vAlign w:val="center"/>
          </w:tcPr>
          <w:p w14:paraId="62CD136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社会效益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D9C5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为各级党委政府科学决策提供统计信息支撑</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0E50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通过普查准确掌握第二产业和第三产业发展规模、产业结构和效益，为国家宏观调控和经济社会发展及编制“十五五”规划提供全面准确的信息支撑</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612B">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r w14:paraId="457B8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50B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F700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3C4E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区级部门及有需求的社会公众满意度</w:t>
            </w:r>
          </w:p>
        </w:tc>
        <w:tc>
          <w:tcPr>
            <w:tcW w:w="4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18A2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C81C5">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w:t>
            </w:r>
          </w:p>
        </w:tc>
      </w:tr>
    </w:tbl>
    <w:p w14:paraId="457FB7F2">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综上，“目标完成”指标权重为6分，扣</w:t>
      </w:r>
      <w:r>
        <w:rPr>
          <w:rFonts w:hint="eastAsia" w:ascii="宋体" w:hAnsi="宋体" w:cs="宋体"/>
          <w:bCs/>
          <w:sz w:val="24"/>
          <w:szCs w:val="24"/>
          <w:lang w:val="en-US" w:eastAsia="zh-CN"/>
        </w:rPr>
        <w:t>0.33</w:t>
      </w:r>
      <w:r>
        <w:rPr>
          <w:rFonts w:hint="eastAsia" w:ascii="宋体" w:hAnsi="宋体" w:eastAsia="宋体" w:cs="宋体"/>
          <w:bCs/>
          <w:sz w:val="24"/>
          <w:szCs w:val="24"/>
          <w:lang w:val="en-US" w:eastAsia="zh-CN"/>
        </w:rPr>
        <w:t>分，得</w:t>
      </w:r>
      <w:r>
        <w:rPr>
          <w:rFonts w:hint="eastAsia" w:ascii="宋体" w:hAnsi="宋体" w:cs="宋体"/>
          <w:bCs/>
          <w:sz w:val="24"/>
          <w:szCs w:val="24"/>
          <w:lang w:val="en-US" w:eastAsia="zh-CN"/>
        </w:rPr>
        <w:t>5.67</w:t>
      </w:r>
      <w:r>
        <w:rPr>
          <w:rFonts w:hint="eastAsia" w:ascii="宋体" w:hAnsi="宋体" w:eastAsia="宋体" w:cs="宋体"/>
          <w:bCs/>
          <w:sz w:val="24"/>
          <w:szCs w:val="24"/>
          <w:lang w:val="en-US" w:eastAsia="zh-CN"/>
        </w:rPr>
        <w:t>分。</w:t>
      </w:r>
    </w:p>
    <w:p w14:paraId="55C40211">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65" w:name="_Toc15344"/>
      <w:r>
        <w:rPr>
          <w:rFonts w:hint="eastAsia" w:ascii="Times New Roman" w:hAnsi="Times New Roman" w:eastAsia="宋体" w:cs="Times New Roman"/>
          <w:b/>
          <w:bCs/>
          <w:color w:val="auto"/>
          <w:sz w:val="24"/>
          <w:szCs w:val="24"/>
          <w:highlight w:val="none"/>
          <w:lang w:val="en-US" w:eastAsia="zh-CN"/>
        </w:rPr>
        <w:t>（2）完成时效</w:t>
      </w:r>
      <w:bookmarkEnd w:id="65"/>
    </w:p>
    <w:p w14:paraId="5FBF5CA3">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该项目计划完成期间为202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年1月至202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年12月， 实际完成期间为202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年1月至202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年12月</w:t>
      </w:r>
      <w:r>
        <w:rPr>
          <w:rFonts w:hint="eastAsia" w:ascii="宋体" w:hAnsi="宋体" w:eastAsia="宋体" w:cs="宋体"/>
          <w:bCs/>
          <w:sz w:val="24"/>
          <w:szCs w:val="24"/>
          <w:lang w:val="en-US" w:eastAsia="zh-CN"/>
        </w:rPr>
        <w:t>。</w:t>
      </w:r>
    </w:p>
    <w:p w14:paraId="2237C8D6">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综上，“完成时效”指标权重为3分，扣0分，得3分。</w:t>
      </w:r>
    </w:p>
    <w:p w14:paraId="42F37992">
      <w:pPr>
        <w:numPr>
          <w:ilvl w:val="0"/>
          <w:numId w:val="8"/>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66" w:name="_Toc8723"/>
      <w:bookmarkStart w:id="67" w:name="_Toc21968"/>
      <w:bookmarkStart w:id="68" w:name="_Toc22129"/>
      <w:bookmarkStart w:id="69" w:name="_Toc14909"/>
      <w:r>
        <w:rPr>
          <w:rFonts w:hint="eastAsia" w:ascii="Times New Roman" w:hAnsi="Times New Roman" w:eastAsia="宋体" w:cs="Times New Roman"/>
          <w:b/>
          <w:bCs/>
          <w:color w:val="auto"/>
          <w:sz w:val="24"/>
          <w:szCs w:val="24"/>
          <w:highlight w:val="none"/>
          <w:lang w:val="en-US" w:eastAsia="zh-CN"/>
        </w:rPr>
        <w:t>专用指标</w:t>
      </w:r>
      <w:bookmarkEnd w:id="66"/>
      <w:bookmarkEnd w:id="67"/>
      <w:bookmarkEnd w:id="68"/>
      <w:bookmarkEnd w:id="69"/>
    </w:p>
    <w:p w14:paraId="03AC0D69">
      <w:pPr>
        <w:numPr>
          <w:ilvl w:val="0"/>
          <w:numId w:val="0"/>
        </w:numPr>
        <w:tabs>
          <w:tab w:val="left" w:pos="0"/>
        </w:tabs>
        <w:spacing w:line="360" w:lineRule="auto"/>
        <w:ind w:left="0" w:leftChars="0" w:firstLine="482" w:firstLineChars="200"/>
        <w:jc w:val="left"/>
        <w:outlineLvl w:val="2"/>
        <w:rPr>
          <w:rFonts w:hint="default" w:ascii="Times New Roman" w:hAnsi="Times New Roman" w:eastAsia="宋体" w:cs="Times New Roman"/>
          <w:b/>
          <w:bCs/>
          <w:color w:val="auto"/>
          <w:sz w:val="24"/>
          <w:szCs w:val="24"/>
          <w:highlight w:val="none"/>
          <w:lang w:val="en-US" w:eastAsia="zh-CN"/>
        </w:rPr>
      </w:pPr>
      <w:bookmarkStart w:id="70" w:name="_Toc3657"/>
      <w:bookmarkStart w:id="71" w:name="_Toc2089"/>
      <w:bookmarkStart w:id="72" w:name="_Toc12053"/>
      <w:bookmarkStart w:id="73" w:name="_Toc25693"/>
      <w:r>
        <w:rPr>
          <w:rFonts w:hint="eastAsia" w:ascii="Times New Roman" w:hAnsi="Times New Roman" w:eastAsia="宋体" w:cs="Times New Roman"/>
          <w:b/>
          <w:bCs/>
          <w:color w:val="auto"/>
          <w:sz w:val="24"/>
          <w:szCs w:val="24"/>
          <w:highlight w:val="none"/>
          <w:lang w:val="en-US" w:eastAsia="zh-CN"/>
        </w:rPr>
        <w:t>1.</w:t>
      </w:r>
      <w:bookmarkEnd w:id="70"/>
      <w:bookmarkEnd w:id="71"/>
      <w:r>
        <w:rPr>
          <w:rFonts w:hint="eastAsia" w:ascii="Times New Roman" w:hAnsi="Times New Roman" w:eastAsia="宋体" w:cs="Times New Roman"/>
          <w:b/>
          <w:bCs/>
          <w:color w:val="auto"/>
          <w:sz w:val="24"/>
          <w:szCs w:val="24"/>
          <w:highlight w:val="none"/>
          <w:lang w:val="en-US" w:eastAsia="zh-CN"/>
        </w:rPr>
        <w:t>行政运转</w:t>
      </w:r>
      <w:bookmarkEnd w:id="72"/>
      <w:bookmarkEnd w:id="73"/>
    </w:p>
    <w:p w14:paraId="6F2B8EB5">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74" w:name="_Toc32163"/>
      <w:r>
        <w:rPr>
          <w:rFonts w:hint="eastAsia" w:ascii="Times New Roman" w:hAnsi="Times New Roman" w:eastAsia="宋体" w:cs="Times New Roman"/>
          <w:b/>
          <w:bCs/>
          <w:color w:val="auto"/>
          <w:sz w:val="24"/>
          <w:szCs w:val="24"/>
          <w:highlight w:val="none"/>
          <w:lang w:val="en-US" w:eastAsia="zh-CN"/>
        </w:rPr>
        <w:t>（1）</w:t>
      </w:r>
      <w:bookmarkEnd w:id="74"/>
      <w:r>
        <w:rPr>
          <w:rFonts w:hint="default" w:ascii="Times New Roman" w:hAnsi="Times New Roman" w:eastAsia="宋体" w:cs="Times New Roman"/>
          <w:b/>
          <w:bCs/>
          <w:color w:val="auto"/>
          <w:sz w:val="24"/>
          <w:szCs w:val="24"/>
          <w:highlight w:val="none"/>
          <w:lang w:val="en-US" w:eastAsia="zh-CN"/>
        </w:rPr>
        <w:t>用途合规性</w:t>
      </w:r>
    </w:p>
    <w:p w14:paraId="5E6531E2">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该项目资金主要用于</w:t>
      </w:r>
      <w:r>
        <w:rPr>
          <w:rFonts w:hint="eastAsia" w:ascii="宋体" w:hAnsi="宋体" w:cs="宋体"/>
          <w:bCs/>
          <w:sz w:val="24"/>
          <w:szCs w:val="24"/>
          <w:highlight w:val="none"/>
          <w:lang w:val="en-US" w:eastAsia="zh-CN"/>
        </w:rPr>
        <w:t>开展第五次全国经济普查</w:t>
      </w:r>
      <w:r>
        <w:rPr>
          <w:rFonts w:hint="default" w:ascii="宋体" w:hAnsi="宋体" w:eastAsia="宋体" w:cs="宋体"/>
          <w:bCs/>
          <w:sz w:val="24"/>
          <w:szCs w:val="24"/>
          <w:highlight w:val="none"/>
          <w:lang w:val="en-US" w:eastAsia="zh-CN"/>
        </w:rPr>
        <w:t>核心</w:t>
      </w:r>
      <w:r>
        <w:rPr>
          <w:rFonts w:hint="eastAsia" w:ascii="宋体" w:hAnsi="宋体" w:cs="宋体"/>
          <w:bCs/>
          <w:sz w:val="24"/>
          <w:szCs w:val="24"/>
          <w:highlight w:val="none"/>
          <w:lang w:val="en-US" w:eastAsia="zh-CN"/>
        </w:rPr>
        <w:t>工作</w:t>
      </w:r>
      <w:r>
        <w:rPr>
          <w:rFonts w:hint="default" w:ascii="宋体" w:hAnsi="宋体" w:eastAsia="宋体" w:cs="宋体"/>
          <w:bCs/>
          <w:sz w:val="24"/>
          <w:szCs w:val="24"/>
          <w:highlight w:val="none"/>
          <w:lang w:val="en-US" w:eastAsia="zh-CN"/>
        </w:rPr>
        <w:t>事项上，资金实际用途与规定的适用范围相符。</w:t>
      </w:r>
    </w:p>
    <w:p w14:paraId="62DE945E">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综上，“用途合规性”指标权重为10分，扣0分，得10分</w:t>
      </w:r>
      <w:r>
        <w:rPr>
          <w:rFonts w:hint="eastAsia" w:ascii="宋体" w:hAnsi="宋体" w:eastAsia="宋体" w:cs="宋体"/>
          <w:bCs/>
          <w:sz w:val="24"/>
          <w:szCs w:val="24"/>
          <w:lang w:val="en-US" w:eastAsia="zh-CN"/>
        </w:rPr>
        <w:t>。</w:t>
      </w:r>
    </w:p>
    <w:p w14:paraId="32238B4F">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75" w:name="_Toc4689"/>
      <w:r>
        <w:rPr>
          <w:rFonts w:hint="eastAsia" w:ascii="Times New Roman" w:hAnsi="Times New Roman" w:eastAsia="宋体" w:cs="Times New Roman"/>
          <w:b/>
          <w:bCs/>
          <w:color w:val="auto"/>
          <w:sz w:val="24"/>
          <w:szCs w:val="24"/>
          <w:highlight w:val="none"/>
          <w:lang w:val="en-US" w:eastAsia="zh-CN"/>
        </w:rPr>
        <w:t>（2）</w:t>
      </w:r>
      <w:bookmarkEnd w:id="75"/>
      <w:r>
        <w:rPr>
          <w:rFonts w:hint="default" w:ascii="Times New Roman" w:hAnsi="Times New Roman" w:eastAsia="宋体" w:cs="Times New Roman"/>
          <w:b/>
          <w:bCs/>
          <w:color w:val="auto"/>
          <w:sz w:val="24"/>
          <w:szCs w:val="24"/>
          <w:highlight w:val="none"/>
          <w:lang w:val="en-US" w:eastAsia="zh-CN"/>
        </w:rPr>
        <w:t>程序合规性</w:t>
      </w:r>
    </w:p>
    <w:p w14:paraId="7FCF3FB3">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结合攀枝花市仁和区第五次全国经济普查工作的实际开展情况，区统计局在本次经济普查工作经费的资金管理过程中，严格遵循专项资金管理的各项规范要求。资金拨付前的内部审核、层级报批，再到后续资金发放的流程管控，各环节均契合专项资金管理的程序规定</w:t>
      </w:r>
      <w:r>
        <w:rPr>
          <w:rFonts w:hint="eastAsia" w:ascii="宋体" w:hAnsi="宋体" w:cs="宋体"/>
          <w:bCs/>
          <w:sz w:val="24"/>
          <w:szCs w:val="24"/>
          <w:highlight w:val="none"/>
          <w:lang w:val="en-US" w:eastAsia="zh-CN"/>
        </w:rPr>
        <w:t>。</w:t>
      </w:r>
    </w:p>
    <w:p w14:paraId="47A7C6AD">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综上，“程序合规性”指标权重为10分，扣</w:t>
      </w:r>
      <w:r>
        <w:rPr>
          <w:rFonts w:hint="eastAsia" w:ascii="宋体" w:hAnsi="宋体" w:cs="宋体"/>
          <w:bCs/>
          <w:sz w:val="24"/>
          <w:szCs w:val="24"/>
          <w:highlight w:val="none"/>
          <w:lang w:val="en-US" w:eastAsia="zh-CN"/>
        </w:rPr>
        <w:t>0</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10</w:t>
      </w:r>
      <w:r>
        <w:rPr>
          <w:rFonts w:hint="eastAsia" w:ascii="宋体" w:hAnsi="宋体" w:eastAsia="宋体" w:cs="宋体"/>
          <w:bCs/>
          <w:sz w:val="24"/>
          <w:szCs w:val="24"/>
          <w:highlight w:val="none"/>
          <w:lang w:val="en-US" w:eastAsia="zh-CN"/>
        </w:rPr>
        <w:t>分。</w:t>
      </w:r>
    </w:p>
    <w:p w14:paraId="6E46B1D9">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76" w:name="_Toc25829"/>
      <w:r>
        <w:rPr>
          <w:rFonts w:hint="eastAsia" w:ascii="Times New Roman" w:hAnsi="Times New Roman" w:eastAsia="宋体" w:cs="Times New Roman"/>
          <w:b/>
          <w:bCs/>
          <w:color w:val="auto"/>
          <w:sz w:val="24"/>
          <w:szCs w:val="24"/>
          <w:highlight w:val="none"/>
          <w:lang w:val="en-US" w:eastAsia="zh-CN"/>
        </w:rPr>
        <w:t>（3）</w:t>
      </w:r>
      <w:bookmarkEnd w:id="76"/>
      <w:r>
        <w:rPr>
          <w:rFonts w:hint="eastAsia" w:ascii="Times New Roman" w:hAnsi="Times New Roman" w:eastAsia="宋体" w:cs="Times New Roman"/>
          <w:b/>
          <w:bCs/>
          <w:color w:val="auto"/>
          <w:sz w:val="24"/>
          <w:szCs w:val="24"/>
          <w:highlight w:val="none"/>
          <w:lang w:val="en-US" w:eastAsia="zh-CN"/>
        </w:rPr>
        <w:t>标准合规性</w:t>
      </w:r>
    </w:p>
    <w:p w14:paraId="17410852">
      <w:pPr>
        <w:spacing w:line="560" w:lineRule="exact"/>
        <w:ind w:firstLine="480" w:firstLineChars="200"/>
        <w:jc w:val="left"/>
        <w:rPr>
          <w:rFonts w:hint="eastAsia" w:ascii="宋体" w:hAnsi="宋体" w:eastAsia="宋体" w:cs="宋体"/>
          <w:bCs/>
          <w:sz w:val="24"/>
          <w:szCs w:val="24"/>
          <w:highlight w:val="yellow"/>
          <w:lang w:val="en-US" w:eastAsia="zh-CN"/>
        </w:rPr>
      </w:pPr>
      <w:r>
        <w:rPr>
          <w:rFonts w:hint="eastAsia" w:ascii="宋体" w:hAnsi="宋体" w:eastAsia="宋体" w:cs="宋体"/>
          <w:bCs/>
          <w:sz w:val="24"/>
          <w:szCs w:val="24"/>
          <w:highlight w:val="none"/>
          <w:lang w:val="en-US" w:eastAsia="zh-CN"/>
        </w:rPr>
        <w:t>项目在资金分配标准的整体管控上，基本契合专项资金“总额控制”的核心管理要求</w:t>
      </w:r>
      <w:r>
        <w:rPr>
          <w:rFonts w:hint="eastAsia" w:ascii="宋体" w:hAnsi="宋体" w:cs="宋体"/>
          <w:bCs/>
          <w:sz w:val="24"/>
          <w:szCs w:val="24"/>
          <w:highlight w:val="none"/>
          <w:lang w:val="en-US" w:eastAsia="zh-CN"/>
        </w:rPr>
        <w:t>。</w:t>
      </w:r>
      <w:r>
        <w:rPr>
          <w:rFonts w:hint="eastAsia" w:ascii="宋体" w:hAnsi="宋体" w:eastAsia="宋体" w:cs="宋体"/>
          <w:bCs/>
          <w:sz w:val="24"/>
          <w:szCs w:val="24"/>
          <w:highlight w:val="none"/>
          <w:lang w:val="en-US" w:eastAsia="zh-CN"/>
        </w:rPr>
        <w:t>本次“智能手机补贴和流量费”补助的实际发放总金额，与前期按相关标准核定的金额保持一致，未出现超预算支出的情况。但项目在资金分配标准的细化执行上存在疏漏：区统计局按要求核定了“智能手机补贴和流量费”补助的发放人数上限及对应金额后，未针对发放对象的细分环节制定明确的管控规则，而是由各乡镇街道自行根据基层普查工作开展情况细分享受人员，最终导致实际发放人数与核定人数标准出现明显偏离。</w:t>
      </w:r>
      <w:r>
        <w:rPr>
          <w:rFonts w:hint="eastAsia" w:ascii="宋体" w:hAnsi="宋体" w:cs="宋体"/>
          <w:bCs/>
          <w:sz w:val="24"/>
          <w:szCs w:val="24"/>
          <w:highlight w:val="none"/>
          <w:lang w:val="en-US" w:eastAsia="zh-CN"/>
        </w:rPr>
        <w:t>如：大和中路街道核定补助发放人数上限（27 人），实际发放人数（44 人）。</w:t>
      </w:r>
      <w:r>
        <w:rPr>
          <w:rFonts w:hint="eastAsia" w:ascii="宋体" w:hAnsi="宋体" w:eastAsia="宋体" w:cs="宋体"/>
          <w:bCs/>
          <w:sz w:val="24"/>
          <w:szCs w:val="24"/>
          <w:highlight w:val="none"/>
          <w:lang w:val="en-US" w:eastAsia="zh-CN"/>
        </w:rPr>
        <w:t>该问题反映出资金分配的人员标准未严格匹配核定要求，存在分配标准执行不精准的情况</w:t>
      </w:r>
      <w:r>
        <w:rPr>
          <w:rFonts w:hint="eastAsia" w:ascii="宋体" w:hAnsi="宋体" w:cs="宋体"/>
          <w:bCs/>
          <w:sz w:val="24"/>
          <w:szCs w:val="24"/>
          <w:highlight w:val="none"/>
          <w:lang w:val="en-US" w:eastAsia="zh-CN"/>
        </w:rPr>
        <w:t>。</w:t>
      </w:r>
    </w:p>
    <w:p w14:paraId="440A5A82">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综上，“标准合规性”指标权重为10分，扣</w:t>
      </w:r>
      <w:r>
        <w:rPr>
          <w:rFonts w:hint="eastAsia" w:ascii="宋体" w:hAnsi="宋体" w:cs="宋体"/>
          <w:bCs/>
          <w:sz w:val="24"/>
          <w:szCs w:val="24"/>
          <w:highlight w:val="none"/>
          <w:lang w:val="en-US" w:eastAsia="zh-CN"/>
        </w:rPr>
        <w:t>2</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w:t>
      </w:r>
    </w:p>
    <w:p w14:paraId="2FC23B82">
      <w:pPr>
        <w:numPr>
          <w:ilvl w:val="0"/>
          <w:numId w:val="8"/>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77" w:name="_Toc25596"/>
      <w:bookmarkStart w:id="78" w:name="_Toc29156"/>
      <w:bookmarkStart w:id="79" w:name="_Toc11134"/>
      <w:bookmarkStart w:id="80" w:name="_Toc26700"/>
      <w:r>
        <w:rPr>
          <w:rFonts w:hint="eastAsia" w:ascii="Times New Roman" w:hAnsi="Times New Roman" w:eastAsia="宋体" w:cs="Times New Roman"/>
          <w:b/>
          <w:bCs/>
          <w:color w:val="auto"/>
          <w:sz w:val="24"/>
          <w:szCs w:val="24"/>
          <w:highlight w:val="none"/>
          <w:lang w:val="en-US" w:eastAsia="zh-CN"/>
        </w:rPr>
        <w:t>个性指标</w:t>
      </w:r>
      <w:bookmarkEnd w:id="77"/>
      <w:bookmarkEnd w:id="78"/>
      <w:bookmarkEnd w:id="79"/>
      <w:bookmarkEnd w:id="80"/>
    </w:p>
    <w:p w14:paraId="2EB4B4D3">
      <w:pPr>
        <w:spacing w:line="560" w:lineRule="exact"/>
        <w:ind w:firstLine="482" w:firstLineChars="200"/>
        <w:jc w:val="left"/>
        <w:outlineLvl w:val="2"/>
        <w:rPr>
          <w:rFonts w:hint="default" w:ascii="宋体" w:hAnsi="宋体" w:eastAsia="宋体" w:cs="宋体"/>
          <w:b/>
          <w:bCs w:val="0"/>
          <w:sz w:val="24"/>
          <w:szCs w:val="24"/>
          <w:lang w:val="en-US" w:eastAsia="zh-CN"/>
        </w:rPr>
      </w:pPr>
      <w:bookmarkStart w:id="81" w:name="_Toc31823"/>
      <w:bookmarkStart w:id="82" w:name="_Toc3107"/>
      <w:bookmarkStart w:id="83" w:name="_Toc22056"/>
      <w:bookmarkStart w:id="84" w:name="_Toc18391"/>
      <w:r>
        <w:rPr>
          <w:rFonts w:hint="default" w:ascii="宋体" w:hAnsi="宋体" w:eastAsia="宋体" w:cs="宋体"/>
          <w:b/>
          <w:bCs w:val="0"/>
          <w:sz w:val="24"/>
          <w:szCs w:val="24"/>
          <w:lang w:val="en-US" w:eastAsia="zh-CN"/>
        </w:rPr>
        <w:t>1.</w:t>
      </w:r>
      <w:bookmarkEnd w:id="81"/>
      <w:bookmarkEnd w:id="82"/>
      <w:r>
        <w:rPr>
          <w:rFonts w:hint="default" w:ascii="宋体" w:hAnsi="宋体" w:eastAsia="宋体" w:cs="宋体"/>
          <w:b/>
          <w:bCs w:val="0"/>
          <w:sz w:val="24"/>
          <w:szCs w:val="24"/>
          <w:lang w:val="en-US" w:eastAsia="zh-CN"/>
        </w:rPr>
        <w:t>普查责任区覆盖达标率</w:t>
      </w:r>
      <w:bookmarkEnd w:id="83"/>
      <w:bookmarkEnd w:id="84"/>
    </w:p>
    <w:p w14:paraId="41E8A464">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结合攀枝花仁和区第五次全国经济普查的实际推进情况，</w:t>
      </w:r>
      <w:r>
        <w:rPr>
          <w:rFonts w:hint="eastAsia" w:ascii="宋体" w:hAnsi="宋体" w:cs="宋体"/>
          <w:bCs/>
          <w:sz w:val="24"/>
          <w:szCs w:val="24"/>
          <w:highlight w:val="none"/>
          <w:lang w:val="en-US" w:eastAsia="zh-CN"/>
        </w:rPr>
        <w:t>基层以乡镇、街道为单元细化划分了覆盖全域的普查责任区，每个责任区均明确了对应的普查 “两员”，并依托线下地毯式普查的工作模式，实现了责任区的100%无遗漏覆盖。各责任区的履职、普查推进等工作均同步做好了对应记录，履职记录完整度符合要求。</w:t>
      </w:r>
    </w:p>
    <w:p w14:paraId="0E30D572">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lang w:val="en-US" w:eastAsia="zh-CN"/>
        </w:rPr>
        <w:t>综上，“普查责任区覆盖达标率”指标权重为</w:t>
      </w:r>
      <w:r>
        <w:rPr>
          <w:rFonts w:hint="eastAsia" w:ascii="宋体" w:hAnsi="宋体" w:cs="宋体"/>
          <w:bCs/>
          <w:sz w:val="24"/>
          <w:szCs w:val="24"/>
          <w:lang w:val="en-US" w:eastAsia="zh-CN"/>
        </w:rPr>
        <w:t>8</w:t>
      </w:r>
      <w:r>
        <w:rPr>
          <w:rFonts w:hint="eastAsia" w:ascii="宋体" w:hAnsi="宋体" w:eastAsia="宋体" w:cs="宋体"/>
          <w:bCs/>
          <w:sz w:val="24"/>
          <w:szCs w:val="24"/>
          <w:lang w:val="en-US" w:eastAsia="zh-CN"/>
        </w:rPr>
        <w:t>分，扣</w:t>
      </w:r>
      <w:r>
        <w:rPr>
          <w:rFonts w:hint="eastAsia" w:ascii="宋体" w:hAnsi="宋体" w:cs="宋体"/>
          <w:bCs/>
          <w:sz w:val="24"/>
          <w:szCs w:val="24"/>
          <w:lang w:val="en-US" w:eastAsia="zh-CN"/>
        </w:rPr>
        <w:t>0</w:t>
      </w:r>
      <w:r>
        <w:rPr>
          <w:rFonts w:hint="eastAsia" w:ascii="宋体" w:hAnsi="宋体" w:eastAsia="宋体" w:cs="宋体"/>
          <w:bCs/>
          <w:sz w:val="24"/>
          <w:szCs w:val="24"/>
          <w:lang w:val="en-US" w:eastAsia="zh-CN"/>
        </w:rPr>
        <w:t>分，得</w:t>
      </w:r>
      <w:r>
        <w:rPr>
          <w:rFonts w:hint="eastAsia" w:ascii="宋体" w:hAnsi="宋体" w:cs="宋体"/>
          <w:bCs/>
          <w:sz w:val="24"/>
          <w:szCs w:val="24"/>
          <w:lang w:val="en-US" w:eastAsia="zh-CN"/>
        </w:rPr>
        <w:t>8</w:t>
      </w:r>
      <w:r>
        <w:rPr>
          <w:rFonts w:hint="eastAsia" w:ascii="宋体" w:hAnsi="宋体" w:eastAsia="宋体" w:cs="宋体"/>
          <w:bCs/>
          <w:sz w:val="24"/>
          <w:szCs w:val="24"/>
          <w:lang w:val="en-US" w:eastAsia="zh-CN"/>
        </w:rPr>
        <w:t>分。</w:t>
      </w:r>
    </w:p>
    <w:p w14:paraId="42934DE5">
      <w:pPr>
        <w:spacing w:line="560" w:lineRule="exact"/>
        <w:ind w:firstLine="482" w:firstLineChars="200"/>
        <w:jc w:val="left"/>
        <w:outlineLvl w:val="2"/>
        <w:rPr>
          <w:rFonts w:hint="default" w:ascii="宋体" w:hAnsi="宋体" w:eastAsia="宋体" w:cs="宋体"/>
          <w:b/>
          <w:bCs w:val="0"/>
          <w:sz w:val="24"/>
          <w:szCs w:val="24"/>
          <w:lang w:val="en-US" w:eastAsia="zh-CN"/>
        </w:rPr>
      </w:pPr>
      <w:bookmarkStart w:id="85" w:name="_Toc16018"/>
      <w:bookmarkStart w:id="86" w:name="_Toc31299"/>
      <w:bookmarkStart w:id="87" w:name="_Toc9397"/>
      <w:bookmarkStart w:id="88" w:name="_Toc18907"/>
      <w:r>
        <w:rPr>
          <w:rFonts w:hint="default" w:ascii="宋体" w:hAnsi="宋体" w:eastAsia="宋体" w:cs="宋体"/>
          <w:b/>
          <w:bCs w:val="0"/>
          <w:sz w:val="24"/>
          <w:szCs w:val="24"/>
          <w:lang w:val="en-US" w:eastAsia="zh-CN"/>
        </w:rPr>
        <w:t>2.</w:t>
      </w:r>
      <w:bookmarkEnd w:id="85"/>
      <w:bookmarkEnd w:id="86"/>
      <w:r>
        <w:rPr>
          <w:rFonts w:hint="default" w:ascii="宋体" w:hAnsi="宋体" w:eastAsia="宋体" w:cs="宋体"/>
          <w:b/>
          <w:bCs w:val="0"/>
          <w:sz w:val="24"/>
          <w:szCs w:val="24"/>
          <w:lang w:val="en-US" w:eastAsia="zh-CN"/>
        </w:rPr>
        <w:t>特殊对象普查处置合规率</w:t>
      </w:r>
      <w:bookmarkEnd w:id="87"/>
      <w:bookmarkEnd w:id="88"/>
    </w:p>
    <w:p w14:paraId="4E2EE520">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针对失联单位、异地经营、停业未注销等特殊普查对象，基层严格执行了规范处置流程：在地毯式普查过程中发现此类特殊对象后，会再次对接工商、税务等部门核实其实际经营状态，待情况核实无误后，按要求将相关信息上报“统计云工作台”并录入备注特殊情况，整个处置过程既遵循了“实地核查+部门协查” 的规范流程，也留存了完整的核实、录入记录。</w:t>
      </w:r>
    </w:p>
    <w:p w14:paraId="6E48FE01">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综上，“特殊对象普查处置合规率”指标权重为</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0</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w:t>
      </w:r>
    </w:p>
    <w:p w14:paraId="261EB28E">
      <w:pPr>
        <w:numPr>
          <w:ilvl w:val="0"/>
          <w:numId w:val="8"/>
        </w:numPr>
        <w:tabs>
          <w:tab w:val="left" w:pos="0"/>
        </w:tabs>
        <w:spacing w:line="360" w:lineRule="auto"/>
        <w:ind w:firstLine="482" w:firstLineChars="200"/>
        <w:jc w:val="left"/>
        <w:outlineLvl w:val="1"/>
        <w:rPr>
          <w:rFonts w:hint="eastAsia" w:ascii="Times New Roman" w:hAnsi="Times New Roman" w:eastAsia="宋体" w:cs="Times New Roman"/>
          <w:b/>
          <w:bCs/>
          <w:color w:val="auto"/>
          <w:sz w:val="24"/>
          <w:szCs w:val="24"/>
          <w:highlight w:val="none"/>
          <w:lang w:val="en-US" w:eastAsia="zh-CN"/>
        </w:rPr>
      </w:pPr>
      <w:bookmarkStart w:id="89" w:name="_Toc31184"/>
      <w:bookmarkStart w:id="90" w:name="_Toc8390"/>
      <w:r>
        <w:rPr>
          <w:rFonts w:hint="eastAsia" w:ascii="Times New Roman" w:hAnsi="Times New Roman" w:eastAsia="宋体" w:cs="Times New Roman"/>
          <w:b/>
          <w:bCs/>
          <w:color w:val="auto"/>
          <w:sz w:val="24"/>
          <w:szCs w:val="24"/>
          <w:highlight w:val="none"/>
          <w:lang w:val="en-US" w:eastAsia="zh-CN"/>
        </w:rPr>
        <w:t>扣分项</w:t>
      </w:r>
      <w:bookmarkEnd w:id="89"/>
      <w:bookmarkEnd w:id="90"/>
      <w:bookmarkStart w:id="91" w:name="_Toc9237"/>
    </w:p>
    <w:p w14:paraId="39186FBA">
      <w:pPr>
        <w:numPr>
          <w:ilvl w:val="0"/>
          <w:numId w:val="9"/>
        </w:numPr>
        <w:tabs>
          <w:tab w:val="left" w:pos="0"/>
          <w:tab w:val="clear" w:pos="312"/>
        </w:tabs>
        <w:spacing w:line="360" w:lineRule="auto"/>
        <w:ind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92" w:name="_Toc8659"/>
      <w:bookmarkStart w:id="93" w:name="_Toc16418"/>
      <w:r>
        <w:rPr>
          <w:rFonts w:hint="eastAsia" w:ascii="Times New Roman" w:hAnsi="Times New Roman" w:eastAsia="宋体" w:cs="Times New Roman"/>
          <w:b/>
          <w:bCs/>
          <w:color w:val="auto"/>
          <w:sz w:val="24"/>
          <w:szCs w:val="24"/>
          <w:highlight w:val="none"/>
          <w:lang w:val="en-US" w:eastAsia="zh-CN"/>
        </w:rPr>
        <w:t>绩效管理存在问题</w:t>
      </w:r>
      <w:bookmarkEnd w:id="91"/>
      <w:bookmarkEnd w:id="92"/>
      <w:bookmarkEnd w:id="93"/>
    </w:p>
    <w:p w14:paraId="31FD1715">
      <w:pPr>
        <w:spacing w:line="560" w:lineRule="exact"/>
        <w:ind w:firstLine="480" w:firstLineChars="200"/>
        <w:jc w:val="left"/>
        <w:rPr>
          <w:rFonts w:hint="eastAsia" w:ascii="宋体" w:hAnsi="宋体" w:cs="宋体"/>
          <w:bCs/>
          <w:sz w:val="24"/>
          <w:szCs w:val="24"/>
          <w:highlight w:val="none"/>
          <w:lang w:val="en-US" w:eastAsia="zh-CN"/>
        </w:rPr>
      </w:pPr>
      <w:r>
        <w:rPr>
          <w:rFonts w:hint="default" w:ascii="宋体" w:hAnsi="宋体" w:cs="宋体"/>
          <w:bCs/>
          <w:sz w:val="24"/>
          <w:szCs w:val="24"/>
          <w:highlight w:val="none"/>
          <w:lang w:val="en-US" w:eastAsia="zh-CN"/>
        </w:rPr>
        <w:t>在评价年度内，涉及该项目的人大监督、巡视巡察、审计监督、财会监督等各类监督结果中，均未出现预算绩效管理相关的问题</w:t>
      </w:r>
      <w:r>
        <w:rPr>
          <w:rFonts w:hint="eastAsia" w:ascii="宋体" w:hAnsi="宋体" w:cs="宋体"/>
          <w:bCs/>
          <w:sz w:val="24"/>
          <w:szCs w:val="24"/>
          <w:highlight w:val="none"/>
          <w:lang w:val="en-US" w:eastAsia="zh-CN"/>
        </w:rPr>
        <w:t>。</w:t>
      </w:r>
    </w:p>
    <w:p w14:paraId="6A760C14">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综上，“绩效管理存在问题”指标未产生扣分情形。</w:t>
      </w:r>
    </w:p>
    <w:p w14:paraId="73B1C394">
      <w:pPr>
        <w:numPr>
          <w:ilvl w:val="0"/>
          <w:numId w:val="9"/>
        </w:numPr>
        <w:tabs>
          <w:tab w:val="left" w:pos="0"/>
          <w:tab w:val="clear" w:pos="312"/>
        </w:tabs>
        <w:spacing w:line="360" w:lineRule="auto"/>
        <w:ind w:firstLine="482" w:firstLineChars="200"/>
        <w:jc w:val="left"/>
        <w:outlineLvl w:val="2"/>
        <w:rPr>
          <w:rFonts w:hint="default" w:ascii="Times New Roman" w:hAnsi="Times New Roman" w:cs="Times New Roman"/>
          <w:b/>
          <w:bCs/>
          <w:color w:val="auto"/>
          <w:sz w:val="24"/>
          <w:szCs w:val="24"/>
          <w:highlight w:val="none"/>
          <w:lang w:val="en-US" w:eastAsia="zh-CN"/>
        </w:rPr>
      </w:pPr>
      <w:bookmarkStart w:id="94" w:name="_Toc12870"/>
      <w:bookmarkStart w:id="95" w:name="_Toc15652"/>
      <w:bookmarkStart w:id="96" w:name="_Toc16909"/>
      <w:r>
        <w:rPr>
          <w:rFonts w:hint="eastAsia" w:ascii="Times New Roman" w:hAnsi="Times New Roman" w:cs="Times New Roman"/>
          <w:b/>
          <w:bCs/>
          <w:color w:val="auto"/>
          <w:sz w:val="24"/>
          <w:szCs w:val="24"/>
          <w:highlight w:val="none"/>
          <w:lang w:val="en-US" w:eastAsia="zh-CN"/>
        </w:rPr>
        <w:t>被评价部门配合度</w:t>
      </w:r>
      <w:bookmarkEnd w:id="94"/>
      <w:bookmarkEnd w:id="95"/>
      <w:bookmarkEnd w:id="96"/>
    </w:p>
    <w:p w14:paraId="3BC9C0D0">
      <w:pPr>
        <w:spacing w:line="560" w:lineRule="exact"/>
        <w:ind w:firstLine="480" w:firstLineChars="200"/>
        <w:jc w:val="left"/>
        <w:rPr>
          <w:rFonts w:hint="eastAsia" w:ascii="宋体" w:hAnsi="宋体" w:cs="宋体"/>
          <w:bCs/>
          <w:sz w:val="24"/>
          <w:szCs w:val="24"/>
          <w:highlight w:val="none"/>
          <w:lang w:val="en-US" w:eastAsia="zh-CN"/>
        </w:rPr>
      </w:pPr>
      <w:r>
        <w:rPr>
          <w:rFonts w:hint="default" w:ascii="宋体" w:hAnsi="宋体" w:cs="宋体"/>
          <w:bCs/>
          <w:sz w:val="24"/>
          <w:szCs w:val="24"/>
          <w:highlight w:val="none"/>
          <w:lang w:val="en-US" w:eastAsia="zh-CN"/>
        </w:rPr>
        <w:t>在本次绩效评价工作推进过程中，被评价对象未出现拖延推诿、提交资料不及时或拒不配合评价工作的情况，能够主动对接评价需求，及时按要求提供相关资料</w:t>
      </w:r>
      <w:r>
        <w:rPr>
          <w:rFonts w:hint="eastAsia" w:ascii="宋体" w:hAnsi="宋体" w:cs="宋体"/>
          <w:bCs/>
          <w:sz w:val="24"/>
          <w:szCs w:val="24"/>
          <w:highlight w:val="none"/>
          <w:lang w:val="en-US" w:eastAsia="zh-CN"/>
        </w:rPr>
        <w:t>。</w:t>
      </w:r>
    </w:p>
    <w:p w14:paraId="5B6239EC">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综上，“被评价部门配合度”指标未产生扣分情形</w:t>
      </w:r>
      <w:r>
        <w:rPr>
          <w:rFonts w:hint="eastAsia" w:ascii="宋体" w:hAnsi="宋体" w:cs="宋体"/>
          <w:bCs/>
          <w:sz w:val="24"/>
          <w:szCs w:val="24"/>
          <w:highlight w:val="none"/>
          <w:lang w:val="en-US" w:eastAsia="zh-CN"/>
        </w:rPr>
        <w:t>。</w:t>
      </w:r>
    </w:p>
    <w:p w14:paraId="43D81D0E">
      <w:pPr>
        <w:spacing w:line="560" w:lineRule="exact"/>
        <w:ind w:firstLine="482" w:firstLineChars="200"/>
        <w:jc w:val="left"/>
        <w:outlineLvl w:val="0"/>
        <w:rPr>
          <w:rFonts w:hint="default" w:ascii="宋体" w:hAnsi="宋体" w:eastAsia="宋体" w:cs="宋体"/>
          <w:b/>
          <w:bCs w:val="0"/>
          <w:sz w:val="24"/>
          <w:szCs w:val="24"/>
          <w:lang w:val="en-US" w:eastAsia="zh-CN"/>
        </w:rPr>
      </w:pPr>
      <w:bookmarkStart w:id="97" w:name="_Toc18219"/>
      <w:bookmarkStart w:id="98" w:name="_Toc686"/>
      <w:bookmarkStart w:id="99" w:name="_Toc12812"/>
      <w:bookmarkStart w:id="100" w:name="_Toc30549"/>
      <w:r>
        <w:rPr>
          <w:rFonts w:hint="default" w:ascii="宋体" w:hAnsi="宋体" w:eastAsia="宋体" w:cs="宋体"/>
          <w:b/>
          <w:bCs w:val="0"/>
          <w:sz w:val="24"/>
          <w:szCs w:val="24"/>
          <w:lang w:val="en-US" w:eastAsia="zh-CN"/>
        </w:rPr>
        <w:t>五、存在的主要问题</w:t>
      </w:r>
      <w:bookmarkEnd w:id="97"/>
      <w:bookmarkEnd w:id="98"/>
      <w:bookmarkEnd w:id="99"/>
      <w:bookmarkEnd w:id="100"/>
    </w:p>
    <w:p w14:paraId="75D77E38">
      <w:pPr>
        <w:spacing w:line="560" w:lineRule="exact"/>
        <w:ind w:firstLine="482" w:firstLineChars="200"/>
        <w:jc w:val="left"/>
        <w:outlineLvl w:val="1"/>
        <w:rPr>
          <w:rFonts w:hint="eastAsia" w:ascii="宋体" w:hAnsi="宋体" w:eastAsia="宋体" w:cs="宋体"/>
          <w:b/>
          <w:bCs w:val="0"/>
          <w:sz w:val="24"/>
          <w:szCs w:val="24"/>
          <w:lang w:val="en-US" w:eastAsia="zh-CN"/>
        </w:rPr>
      </w:pPr>
      <w:bookmarkStart w:id="101" w:name="_Toc21094"/>
      <w:bookmarkStart w:id="102" w:name="_Toc8822"/>
      <w:bookmarkStart w:id="103" w:name="_Toc14678"/>
      <w:bookmarkStart w:id="104" w:name="_Toc6359"/>
      <w:r>
        <w:rPr>
          <w:rFonts w:hint="eastAsia" w:ascii="宋体" w:hAnsi="宋体" w:eastAsia="宋体" w:cs="宋体"/>
          <w:b/>
          <w:bCs w:val="0"/>
          <w:sz w:val="24"/>
          <w:szCs w:val="24"/>
          <w:lang w:val="en-US" w:eastAsia="zh-CN"/>
        </w:rPr>
        <w:t>（一）</w:t>
      </w:r>
      <w:bookmarkEnd w:id="101"/>
      <w:bookmarkEnd w:id="102"/>
      <w:r>
        <w:rPr>
          <w:rFonts w:hint="eastAsia" w:ascii="宋体" w:hAnsi="宋体" w:eastAsia="宋体" w:cs="宋体"/>
          <w:b/>
          <w:bCs w:val="0"/>
          <w:sz w:val="24"/>
          <w:szCs w:val="24"/>
          <w:lang w:val="en-US" w:eastAsia="zh-CN"/>
        </w:rPr>
        <w:t>培训组织管理不规范：普查人员培训参与率未达要求</w:t>
      </w:r>
      <w:bookmarkEnd w:id="103"/>
      <w:bookmarkEnd w:id="104"/>
    </w:p>
    <w:p w14:paraId="0E96B0F7">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普查指导员和普查员的培训参与率未达到100%，调阅培训资料可见，培训会议签到册中存在应参加人员实际未参加的记录</w:t>
      </w:r>
      <w:r>
        <w:rPr>
          <w:rFonts w:hint="eastAsia" w:ascii="宋体" w:hAnsi="宋体" w:cs="宋体"/>
          <w:bCs/>
          <w:sz w:val="24"/>
          <w:szCs w:val="24"/>
          <w:lang w:val="en-US" w:eastAsia="zh-CN"/>
        </w:rPr>
        <w:t>，</w:t>
      </w:r>
      <w:r>
        <w:rPr>
          <w:rFonts w:hint="default" w:ascii="宋体" w:hAnsi="宋体" w:eastAsia="宋体" w:cs="宋体"/>
          <w:bCs/>
          <w:sz w:val="24"/>
          <w:szCs w:val="24"/>
          <w:lang w:val="en-US" w:eastAsia="zh-CN"/>
        </w:rPr>
        <w:t>这反映出培训组织环节对人员参训的管控不足，可能导致部分普查人员未能充分掌握普查工作规范与流程，不利于普查工作的标准化、精准化推进。</w:t>
      </w:r>
    </w:p>
    <w:p w14:paraId="3F5DE48C">
      <w:pPr>
        <w:spacing w:line="560" w:lineRule="exact"/>
        <w:ind w:firstLine="482" w:firstLineChars="200"/>
        <w:jc w:val="left"/>
        <w:outlineLvl w:val="1"/>
        <w:rPr>
          <w:rFonts w:hint="eastAsia" w:ascii="宋体" w:hAnsi="宋体" w:eastAsia="宋体" w:cs="宋体"/>
          <w:b/>
          <w:bCs w:val="0"/>
          <w:sz w:val="24"/>
          <w:szCs w:val="24"/>
          <w:lang w:val="en-US" w:eastAsia="zh-CN"/>
        </w:rPr>
      </w:pPr>
      <w:bookmarkStart w:id="105" w:name="_Toc17368"/>
      <w:bookmarkStart w:id="106" w:name="_Toc17713"/>
      <w:bookmarkStart w:id="107" w:name="_Toc24397"/>
      <w:bookmarkStart w:id="108" w:name="_Toc21754"/>
      <w:r>
        <w:rPr>
          <w:rFonts w:hint="eastAsia" w:ascii="宋体" w:hAnsi="宋体" w:eastAsia="宋体" w:cs="宋体"/>
          <w:b/>
          <w:bCs w:val="0"/>
          <w:sz w:val="24"/>
          <w:szCs w:val="24"/>
          <w:lang w:val="en-US" w:eastAsia="zh-CN"/>
        </w:rPr>
        <w:t>（二）</w:t>
      </w:r>
      <w:bookmarkEnd w:id="105"/>
      <w:bookmarkEnd w:id="106"/>
      <w:r>
        <w:rPr>
          <w:rFonts w:hint="eastAsia" w:ascii="宋体" w:hAnsi="宋体" w:cs="宋体"/>
          <w:b/>
          <w:bCs w:val="0"/>
          <w:sz w:val="24"/>
          <w:szCs w:val="24"/>
          <w:lang w:val="en-US" w:eastAsia="zh-CN"/>
        </w:rPr>
        <w:t>纸质</w:t>
      </w:r>
      <w:r>
        <w:rPr>
          <w:rFonts w:hint="eastAsia" w:ascii="宋体" w:hAnsi="宋体" w:eastAsia="宋体" w:cs="宋体"/>
          <w:b/>
          <w:bCs w:val="0"/>
          <w:sz w:val="24"/>
          <w:szCs w:val="24"/>
          <w:lang w:val="en-US" w:eastAsia="zh-CN"/>
        </w:rPr>
        <w:t>考核评分</w:t>
      </w:r>
      <w:r>
        <w:rPr>
          <w:rFonts w:hint="eastAsia" w:ascii="宋体" w:hAnsi="宋体" w:cs="宋体"/>
          <w:b/>
          <w:bCs w:val="0"/>
          <w:sz w:val="24"/>
          <w:szCs w:val="24"/>
          <w:lang w:val="en-US" w:eastAsia="zh-CN"/>
        </w:rPr>
        <w:t>资料</w:t>
      </w:r>
      <w:r>
        <w:rPr>
          <w:rFonts w:hint="eastAsia" w:ascii="宋体" w:hAnsi="宋体" w:eastAsia="宋体" w:cs="宋体"/>
          <w:b/>
          <w:bCs w:val="0"/>
          <w:sz w:val="24"/>
          <w:szCs w:val="24"/>
          <w:lang w:val="en-US" w:eastAsia="zh-CN"/>
        </w:rPr>
        <w:t>管理不完整：部分单位考核计评分表内容缺失</w:t>
      </w:r>
      <w:bookmarkEnd w:id="107"/>
      <w:bookmarkEnd w:id="108"/>
    </w:p>
    <w:p w14:paraId="01FCEBB1">
      <w:pPr>
        <w:numPr>
          <w:ilvl w:val="0"/>
          <w:numId w:val="0"/>
        </w:num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大龙潭乡人民政府、仁和镇人民政府、中坝乡人民政府、务本乡人民政府、金江镇、大河中路街道、南山园区管委会提交的纸质《考核计评分表》中，“数据处理-数据审核”项未见考核分数</w:t>
      </w:r>
      <w:r>
        <w:rPr>
          <w:rFonts w:hint="eastAsia" w:ascii="宋体" w:hAnsi="宋体" w:cs="宋体"/>
          <w:bCs/>
          <w:sz w:val="24"/>
          <w:szCs w:val="24"/>
          <w:lang w:val="en-US" w:eastAsia="zh-CN"/>
        </w:rPr>
        <w:t>，但对应的电子版资料已填写该项目分数。</w:t>
      </w:r>
      <w:r>
        <w:rPr>
          <w:rFonts w:hint="default" w:ascii="宋体" w:hAnsi="宋体" w:eastAsia="宋体" w:cs="宋体"/>
          <w:bCs/>
          <w:sz w:val="24"/>
          <w:szCs w:val="24"/>
          <w:lang w:val="en-US" w:eastAsia="zh-CN"/>
        </w:rPr>
        <w:t>工作规范</w:t>
      </w:r>
      <w:r>
        <w:rPr>
          <w:rFonts w:hint="eastAsia" w:ascii="宋体" w:hAnsi="宋体" w:eastAsia="宋体" w:cs="宋体"/>
          <w:bCs/>
          <w:sz w:val="24"/>
          <w:szCs w:val="24"/>
          <w:lang w:val="en-US" w:eastAsia="zh-CN"/>
        </w:rPr>
        <w:t>存在一定的疏漏。</w:t>
      </w:r>
    </w:p>
    <w:p w14:paraId="2B14CC90">
      <w:pPr>
        <w:numPr>
          <w:ilvl w:val="0"/>
          <w:numId w:val="0"/>
        </w:numPr>
        <w:spacing w:line="560" w:lineRule="exact"/>
        <w:ind w:left="0" w:leftChars="0" w:firstLine="482" w:firstLineChars="200"/>
        <w:jc w:val="left"/>
        <w:outlineLvl w:val="1"/>
        <w:rPr>
          <w:rFonts w:hint="eastAsia" w:ascii="宋体" w:hAnsi="宋体" w:eastAsia="宋体" w:cs="宋体"/>
          <w:b/>
          <w:bCs w:val="0"/>
          <w:sz w:val="24"/>
          <w:szCs w:val="24"/>
          <w:lang w:val="en-US" w:eastAsia="zh-CN"/>
        </w:rPr>
      </w:pPr>
      <w:bookmarkStart w:id="109" w:name="_Toc6662"/>
      <w:bookmarkStart w:id="110" w:name="_Toc1353"/>
      <w:bookmarkStart w:id="111" w:name="_Toc25989"/>
      <w:bookmarkStart w:id="112" w:name="_Toc1926"/>
      <w:r>
        <w:rPr>
          <w:rFonts w:hint="eastAsia" w:ascii="宋体" w:hAnsi="宋体" w:eastAsia="宋体" w:cs="宋体"/>
          <w:b/>
          <w:bCs w:val="0"/>
          <w:sz w:val="24"/>
          <w:szCs w:val="24"/>
          <w:lang w:val="en-US" w:eastAsia="zh-CN"/>
        </w:rPr>
        <w:t>（三）</w:t>
      </w:r>
      <w:bookmarkEnd w:id="109"/>
      <w:bookmarkEnd w:id="110"/>
      <w:r>
        <w:rPr>
          <w:rFonts w:hint="eastAsia" w:ascii="宋体" w:hAnsi="宋体" w:eastAsia="宋体" w:cs="宋体"/>
          <w:b/>
          <w:bCs w:val="0"/>
          <w:sz w:val="24"/>
          <w:szCs w:val="24"/>
          <w:lang w:val="en-US" w:eastAsia="zh-CN"/>
        </w:rPr>
        <w:t>经费发放管控不精准：补助对象细分缺乏明确规则</w:t>
      </w:r>
      <w:bookmarkEnd w:id="111"/>
      <w:bookmarkEnd w:id="112"/>
    </w:p>
    <w:p w14:paraId="78E612C1">
      <w:pPr>
        <w:numPr>
          <w:ilvl w:val="0"/>
          <w:numId w:val="0"/>
        </w:num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智能手机补贴和流量费”补助存在实际发放人数与核定人数不符的情况，虽总补助金额与核定金额一致、未出现超预算支出，但未对补助对象的细分制定明确管控规则，例如大河中路街道该补助核定发放人数上限为27人，实际发放人数为44 人</w:t>
      </w:r>
      <w:r>
        <w:rPr>
          <w:rFonts w:hint="eastAsia" w:ascii="宋体" w:hAnsi="宋体" w:cs="宋体"/>
          <w:bCs/>
          <w:sz w:val="24"/>
          <w:szCs w:val="24"/>
          <w:lang w:val="en-US" w:eastAsia="zh-CN"/>
        </w:rPr>
        <w:t>，</w:t>
      </w:r>
      <w:r>
        <w:rPr>
          <w:rFonts w:hint="default" w:ascii="宋体" w:hAnsi="宋体" w:eastAsia="宋体" w:cs="宋体"/>
          <w:bCs/>
          <w:sz w:val="24"/>
          <w:szCs w:val="24"/>
          <w:lang w:val="en-US" w:eastAsia="zh-CN"/>
        </w:rPr>
        <w:t>这反映出经费发放环节对对象认定的管控不够严谨</w:t>
      </w:r>
      <w:r>
        <w:rPr>
          <w:rFonts w:hint="eastAsia" w:ascii="宋体" w:hAnsi="宋体" w:cs="宋体"/>
          <w:bCs/>
          <w:sz w:val="24"/>
          <w:szCs w:val="24"/>
          <w:lang w:val="en-US" w:eastAsia="zh-CN"/>
        </w:rPr>
        <w:t>、精准</w:t>
      </w:r>
      <w:r>
        <w:rPr>
          <w:rFonts w:hint="default" w:ascii="宋体" w:hAnsi="宋体" w:eastAsia="宋体" w:cs="宋体"/>
          <w:bCs/>
          <w:sz w:val="24"/>
          <w:szCs w:val="24"/>
          <w:lang w:val="en-US" w:eastAsia="zh-CN"/>
        </w:rPr>
        <w:t>。</w:t>
      </w:r>
    </w:p>
    <w:p w14:paraId="48B4BC24">
      <w:pPr>
        <w:numPr>
          <w:ilvl w:val="0"/>
          <w:numId w:val="0"/>
        </w:numPr>
        <w:spacing w:line="560" w:lineRule="exact"/>
        <w:ind w:firstLine="482" w:firstLineChars="200"/>
        <w:jc w:val="left"/>
        <w:outlineLvl w:val="1"/>
        <w:rPr>
          <w:rFonts w:hint="eastAsia" w:ascii="宋体" w:hAnsi="宋体" w:eastAsia="宋体" w:cs="宋体"/>
          <w:b/>
          <w:bCs w:val="0"/>
          <w:sz w:val="24"/>
          <w:szCs w:val="24"/>
          <w:lang w:val="en-US" w:eastAsia="zh-CN"/>
        </w:rPr>
      </w:pPr>
      <w:bookmarkStart w:id="113" w:name="_Toc8234"/>
      <w:bookmarkStart w:id="114" w:name="_Toc10436"/>
      <w:bookmarkStart w:id="115" w:name="_Toc29169"/>
      <w:r>
        <w:rPr>
          <w:rFonts w:hint="eastAsia" w:ascii="宋体" w:hAnsi="宋体" w:cs="宋体"/>
          <w:b/>
          <w:bCs w:val="0"/>
          <w:sz w:val="24"/>
          <w:szCs w:val="24"/>
          <w:lang w:val="en-US" w:eastAsia="zh-CN"/>
        </w:rPr>
        <w:t>（四）</w:t>
      </w:r>
      <w:r>
        <w:rPr>
          <w:rFonts w:hint="eastAsia" w:ascii="宋体" w:hAnsi="宋体" w:eastAsia="宋体" w:cs="宋体"/>
          <w:b/>
          <w:bCs w:val="0"/>
          <w:sz w:val="24"/>
          <w:szCs w:val="24"/>
          <w:lang w:val="en-US" w:eastAsia="zh-CN"/>
        </w:rPr>
        <w:t>绩效目标与实际工作适配不足：单位清查户数计划目标未达实际完成要求</w:t>
      </w:r>
      <w:bookmarkEnd w:id="113"/>
      <w:bookmarkEnd w:id="114"/>
      <w:bookmarkEnd w:id="115"/>
    </w:p>
    <w:p w14:paraId="564A4EB9">
      <w:pPr>
        <w:numPr>
          <w:ilvl w:val="0"/>
          <w:numId w:val="0"/>
        </w:numPr>
        <w:spacing w:line="560" w:lineRule="exact"/>
        <w:ind w:firstLine="480" w:firstLineChars="200"/>
        <w:jc w:val="left"/>
        <w:rPr>
          <w:rFonts w:hint="eastAsia" w:ascii="宋体" w:hAnsi="宋体" w:cs="宋体"/>
          <w:bCs/>
          <w:sz w:val="24"/>
          <w:szCs w:val="24"/>
          <w:lang w:val="en-US" w:eastAsia="zh-CN"/>
        </w:rPr>
      </w:pPr>
      <w:r>
        <w:rPr>
          <w:rFonts w:hint="eastAsia" w:ascii="宋体" w:hAnsi="宋体" w:eastAsia="宋体" w:cs="宋体"/>
          <w:bCs/>
          <w:sz w:val="24"/>
          <w:szCs w:val="24"/>
          <w:lang w:val="en-US" w:eastAsia="zh-CN"/>
        </w:rPr>
        <w:t>单位清查户数指标中，个体经营户的清查目标（约26000户）为前期设定的计划数，未充分结合实际清查工作的客观推进情况进行精准适配，最终实际完成的清查数量（23025户）与计划目标存在偏差，未完成既定指标。该问题反映出绩效目标设置环节对实际工作的衔接不足</w:t>
      </w:r>
      <w:r>
        <w:rPr>
          <w:rFonts w:hint="eastAsia" w:ascii="宋体" w:hAnsi="宋体" w:cs="宋体"/>
          <w:bCs/>
          <w:sz w:val="24"/>
          <w:szCs w:val="24"/>
          <w:lang w:val="en-US" w:eastAsia="zh-CN"/>
        </w:rPr>
        <w:t>。</w:t>
      </w:r>
    </w:p>
    <w:p w14:paraId="346F9626">
      <w:pPr>
        <w:spacing w:line="560" w:lineRule="exact"/>
        <w:ind w:firstLine="482" w:firstLineChars="200"/>
        <w:jc w:val="left"/>
        <w:outlineLvl w:val="0"/>
        <w:rPr>
          <w:rFonts w:hint="default" w:ascii="宋体" w:hAnsi="宋体" w:eastAsia="宋体" w:cs="宋体"/>
          <w:b/>
          <w:bCs w:val="0"/>
          <w:sz w:val="24"/>
          <w:szCs w:val="24"/>
          <w:lang w:val="en-US" w:eastAsia="zh-CN"/>
        </w:rPr>
      </w:pPr>
      <w:bookmarkStart w:id="116" w:name="_Toc17241"/>
      <w:bookmarkStart w:id="117" w:name="_Toc30023"/>
      <w:bookmarkStart w:id="118" w:name="_Toc17274"/>
      <w:bookmarkStart w:id="119" w:name="_Toc4874"/>
      <w:r>
        <w:rPr>
          <w:rFonts w:hint="default" w:ascii="宋体" w:hAnsi="宋体" w:eastAsia="宋体" w:cs="宋体"/>
          <w:b/>
          <w:bCs w:val="0"/>
          <w:sz w:val="24"/>
          <w:szCs w:val="24"/>
          <w:lang w:val="en-US" w:eastAsia="zh-CN"/>
        </w:rPr>
        <w:t>六、相关建议</w:t>
      </w:r>
      <w:bookmarkEnd w:id="116"/>
      <w:bookmarkEnd w:id="117"/>
      <w:bookmarkEnd w:id="118"/>
      <w:bookmarkEnd w:id="119"/>
    </w:p>
    <w:p w14:paraId="2A22F097">
      <w:pPr>
        <w:numPr>
          <w:ilvl w:val="0"/>
          <w:numId w:val="0"/>
        </w:numPr>
        <w:spacing w:line="560" w:lineRule="exact"/>
        <w:ind w:left="0" w:leftChars="0" w:firstLine="482" w:firstLineChars="200"/>
        <w:jc w:val="left"/>
        <w:outlineLvl w:val="1"/>
        <w:rPr>
          <w:rFonts w:hint="default" w:ascii="宋体" w:hAnsi="宋体" w:eastAsia="宋体" w:cs="宋体"/>
          <w:b/>
          <w:bCs w:val="0"/>
          <w:sz w:val="24"/>
          <w:szCs w:val="24"/>
          <w:lang w:val="en-US" w:eastAsia="zh-CN"/>
        </w:rPr>
      </w:pPr>
      <w:bookmarkStart w:id="120" w:name="_Toc15674"/>
      <w:bookmarkStart w:id="121" w:name="_Toc24720"/>
      <w:bookmarkStart w:id="122" w:name="_Toc22695"/>
      <w:bookmarkStart w:id="123" w:name="_Toc17709"/>
      <w:bookmarkStart w:id="136" w:name="_GoBack"/>
      <w:bookmarkEnd w:id="136"/>
      <w:r>
        <w:rPr>
          <w:rFonts w:hint="eastAsia" w:ascii="宋体" w:hAnsi="宋体" w:eastAsia="宋体" w:cs="宋体"/>
          <w:b/>
          <w:bCs w:val="0"/>
          <w:sz w:val="24"/>
          <w:szCs w:val="24"/>
          <w:lang w:val="en-US" w:eastAsia="zh-CN"/>
        </w:rPr>
        <w:t>（一）</w:t>
      </w:r>
      <w:bookmarkEnd w:id="120"/>
      <w:bookmarkEnd w:id="121"/>
      <w:r>
        <w:rPr>
          <w:rFonts w:hint="eastAsia" w:ascii="宋体" w:hAnsi="宋体" w:eastAsia="宋体" w:cs="宋体"/>
          <w:b/>
          <w:bCs w:val="0"/>
          <w:sz w:val="24"/>
          <w:szCs w:val="24"/>
          <w:lang w:val="en-US" w:eastAsia="zh-CN"/>
        </w:rPr>
        <w:t>优化培训组织管控，保障全员参训</w:t>
      </w:r>
      <w:bookmarkEnd w:id="122"/>
      <w:bookmarkEnd w:id="123"/>
    </w:p>
    <w:p w14:paraId="0407E7B7">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针对培训参与率未达100%的问题，一是在培训前通过“一对一通知 + 工作群提醒” 的方式明确参训要求，同步告知参训缺席的补训安排；二是强化培训签到的核验管理，采用“现场签到 + 身份核对”的方式确认参训人员，对未签到人员实时记录并跟进；三是建立缺席补训机制，针对未参训人员，通过线上培训视频、线下集中补训等方式开展专项补课，确保普查人员均能掌握工作规范与流程，保障培训覆盖的完整性</w:t>
      </w:r>
      <w:r>
        <w:rPr>
          <w:rFonts w:hint="eastAsia" w:ascii="宋体" w:hAnsi="宋体" w:cs="宋体"/>
          <w:bCs/>
          <w:sz w:val="24"/>
          <w:szCs w:val="24"/>
          <w:lang w:val="en-US" w:eastAsia="zh-CN"/>
        </w:rPr>
        <w:t>。</w:t>
      </w:r>
    </w:p>
    <w:p w14:paraId="0911BD98">
      <w:pPr>
        <w:numPr>
          <w:ilvl w:val="0"/>
          <w:numId w:val="10"/>
        </w:numPr>
        <w:spacing w:line="560" w:lineRule="exact"/>
        <w:ind w:firstLine="482" w:firstLineChars="200"/>
        <w:jc w:val="left"/>
        <w:outlineLvl w:val="1"/>
        <w:rPr>
          <w:rFonts w:hint="eastAsia" w:ascii="宋体" w:hAnsi="宋体" w:eastAsia="宋体" w:cs="宋体"/>
          <w:b/>
          <w:bCs w:val="0"/>
          <w:sz w:val="24"/>
          <w:szCs w:val="24"/>
          <w:lang w:val="en-US" w:eastAsia="zh-CN"/>
        </w:rPr>
      </w:pPr>
      <w:bookmarkStart w:id="124" w:name="_Toc2455"/>
      <w:bookmarkStart w:id="125" w:name="_Toc3229"/>
      <w:r>
        <w:rPr>
          <w:rFonts w:hint="eastAsia" w:ascii="宋体" w:hAnsi="宋体" w:eastAsia="宋体" w:cs="宋体"/>
          <w:b/>
          <w:bCs w:val="0"/>
          <w:sz w:val="24"/>
          <w:szCs w:val="24"/>
          <w:lang w:val="en-US" w:eastAsia="zh-CN"/>
        </w:rPr>
        <w:t>统一考核资料管理标准，确保纸电信息一致</w:t>
      </w:r>
      <w:bookmarkEnd w:id="124"/>
      <w:bookmarkEnd w:id="125"/>
    </w:p>
    <w:p w14:paraId="6F1B6EDD">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针对纸质考核资料与电子版信息不一致的问题，一是明确 “纸电同步” 的考核资料管理要求，规定各乡镇街道在填写电子版《考核计评分表》后，需同步更新纸质材料对应内容，确保两项资料信息完全匹配；二是建立资料归档前的核对机制，在考核资料提交存档前，安排专人对纸质与电子版材料的项目内容、分数等信息逐一校验；三是细化考核资料归档规范，明确纸质材料需完整包含所有考核项目内容，避免出现项目缺失的情况，提升考核资料的规范性与可追溯性</w:t>
      </w:r>
      <w:r>
        <w:rPr>
          <w:rFonts w:hint="eastAsia" w:ascii="宋体" w:hAnsi="宋体" w:eastAsia="宋体" w:cs="宋体"/>
          <w:bCs/>
          <w:sz w:val="24"/>
          <w:szCs w:val="24"/>
          <w:lang w:val="en-US" w:eastAsia="zh-CN"/>
        </w:rPr>
        <w:t>。</w:t>
      </w:r>
    </w:p>
    <w:p w14:paraId="07479129">
      <w:pPr>
        <w:numPr>
          <w:ilvl w:val="0"/>
          <w:numId w:val="10"/>
        </w:numPr>
        <w:spacing w:line="560" w:lineRule="exact"/>
        <w:ind w:firstLine="482" w:firstLineChars="200"/>
        <w:jc w:val="left"/>
        <w:outlineLvl w:val="1"/>
        <w:rPr>
          <w:rFonts w:hint="default" w:ascii="宋体" w:hAnsi="宋体" w:eastAsia="宋体" w:cs="宋体"/>
          <w:b/>
          <w:bCs w:val="0"/>
          <w:sz w:val="24"/>
          <w:szCs w:val="24"/>
          <w:lang w:val="en-US" w:eastAsia="zh-CN"/>
        </w:rPr>
      </w:pPr>
      <w:bookmarkStart w:id="126" w:name="_Toc8500"/>
      <w:bookmarkStart w:id="127" w:name="_Toc26310"/>
      <w:bookmarkStart w:id="128" w:name="_Toc7146"/>
      <w:r>
        <w:rPr>
          <w:rFonts w:hint="eastAsia" w:ascii="宋体" w:hAnsi="宋体" w:eastAsia="宋体" w:cs="宋体"/>
          <w:b/>
          <w:bCs w:val="0"/>
          <w:sz w:val="24"/>
          <w:szCs w:val="24"/>
          <w:lang w:val="en-US" w:eastAsia="zh-CN"/>
        </w:rPr>
        <w:t>细化经费发放规则，强化对象管控精准性</w:t>
      </w:r>
      <w:bookmarkEnd w:id="126"/>
      <w:bookmarkEnd w:id="127"/>
      <w:bookmarkEnd w:id="128"/>
    </w:p>
    <w:p w14:paraId="19E7F4E7">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针对经费发放对象细分无明确规则的问题，一是制定《“智能手机补贴和流量费” 补助发放实施细则》，明确补助人数核定的依据（如按普查责任区工作量、实际参与人数等），细化各乡镇街道的人数细分标准；二是建立补助发放前的审批流程，各乡镇街道需提交补助对象细分的具体清单及依据，经区统计局审核通过后再执行发放；三是落实补助信息公示制度，在乡镇、街道公示栏同步公开补助核定人数、实际发放人数及细分依据，接受基层工作人员监督，提升经费发放的精准性与合规性</w:t>
      </w:r>
      <w:r>
        <w:rPr>
          <w:rFonts w:hint="eastAsia" w:ascii="宋体" w:hAnsi="宋体" w:cs="宋体"/>
          <w:bCs/>
          <w:sz w:val="24"/>
          <w:szCs w:val="24"/>
          <w:lang w:val="en-US" w:eastAsia="zh-CN"/>
        </w:rPr>
        <w:t>。</w:t>
      </w:r>
    </w:p>
    <w:p w14:paraId="51FFE19A">
      <w:pPr>
        <w:numPr>
          <w:ilvl w:val="0"/>
          <w:numId w:val="10"/>
        </w:numPr>
        <w:spacing w:line="560" w:lineRule="exact"/>
        <w:ind w:firstLine="482" w:firstLineChars="200"/>
        <w:jc w:val="left"/>
        <w:outlineLvl w:val="1"/>
        <w:rPr>
          <w:rFonts w:hint="default" w:ascii="宋体" w:hAnsi="宋体" w:eastAsia="宋体" w:cs="宋体"/>
          <w:b/>
          <w:bCs w:val="0"/>
          <w:sz w:val="24"/>
          <w:szCs w:val="24"/>
          <w:lang w:val="en-US" w:eastAsia="zh-CN"/>
        </w:rPr>
      </w:pPr>
      <w:bookmarkStart w:id="129" w:name="_Toc7309"/>
      <w:bookmarkStart w:id="130" w:name="_Toc5915"/>
      <w:bookmarkStart w:id="131" w:name="_Toc20093"/>
      <w:r>
        <w:rPr>
          <w:rFonts w:hint="eastAsia" w:ascii="宋体" w:hAnsi="宋体" w:eastAsia="宋体" w:cs="宋体"/>
          <w:b/>
          <w:bCs w:val="0"/>
          <w:sz w:val="24"/>
          <w:szCs w:val="24"/>
          <w:lang w:val="en-US" w:eastAsia="zh-CN"/>
        </w:rPr>
        <w:t>精准适配绩效目标，提升与实际工作的衔接度</w:t>
      </w:r>
      <w:bookmarkEnd w:id="129"/>
      <w:bookmarkEnd w:id="130"/>
      <w:bookmarkEnd w:id="131"/>
    </w:p>
    <w:p w14:paraId="329ECB8F">
      <w:pPr>
        <w:spacing w:line="560" w:lineRule="exact"/>
        <w:ind w:firstLine="480" w:firstLineChars="200"/>
        <w:jc w:val="left"/>
        <w:rPr>
          <w:rFonts w:hint="eastAsia" w:ascii="宋体" w:hAnsi="宋体" w:cs="宋体"/>
          <w:bCs/>
          <w:sz w:val="24"/>
          <w:szCs w:val="24"/>
          <w:lang w:val="en-US" w:eastAsia="zh-CN"/>
        </w:rPr>
      </w:pPr>
      <w:r>
        <w:rPr>
          <w:rFonts w:hint="default" w:ascii="宋体" w:hAnsi="宋体" w:eastAsia="宋体" w:cs="宋体"/>
          <w:bCs/>
          <w:sz w:val="24"/>
          <w:szCs w:val="24"/>
          <w:lang w:val="en-US" w:eastAsia="zh-CN"/>
        </w:rPr>
        <w:t>针对绩效目标与实际工作适配不足的问题，一是在设置单位清查户数等绩效目标前，开展前期摸底调研 —— 联合工商、税务及各乡镇街道，梳理仁和区个体经营户的实际分布、存续状态等情况，结合基层清查力量的实际承载能力，科学设定合理的清查目标；二是建立目标动态调整机制，在普查工作推进过程中，定期跟踪清查进度，若发现实际情况与计划目标偏差较大，及时结合工作实际调整目标值；三是强化目标与工作的衔接，将目标分解至各乡镇街道的具体责任区，同步明确进度跟踪的节点，确保目标设置贴合实际工作推进节奏</w:t>
      </w:r>
      <w:r>
        <w:rPr>
          <w:rFonts w:hint="eastAsia" w:ascii="宋体" w:hAnsi="宋体" w:cs="宋体"/>
          <w:bCs/>
          <w:sz w:val="24"/>
          <w:szCs w:val="24"/>
          <w:lang w:val="en-US" w:eastAsia="zh-CN"/>
        </w:rPr>
        <w:t>。</w:t>
      </w:r>
    </w:p>
    <w:p w14:paraId="096FCA2E">
      <w:pPr>
        <w:spacing w:line="560" w:lineRule="exact"/>
        <w:ind w:firstLine="480" w:firstLineChars="200"/>
        <w:jc w:val="left"/>
        <w:rPr>
          <w:rFonts w:hint="default" w:ascii="宋体" w:hAnsi="宋体" w:cs="宋体"/>
          <w:bCs/>
          <w:sz w:val="24"/>
          <w:szCs w:val="24"/>
          <w:lang w:val="en-US" w:eastAsia="zh-CN"/>
        </w:rPr>
      </w:pPr>
    </w:p>
    <w:p w14:paraId="54BCA3B7">
      <w:pPr>
        <w:spacing w:line="560" w:lineRule="exact"/>
        <w:ind w:firstLine="480" w:firstLineChars="200"/>
        <w:jc w:val="left"/>
        <w:outlineLvl w:val="0"/>
        <w:rPr>
          <w:rFonts w:hint="default" w:ascii="宋体" w:hAnsi="宋体" w:eastAsia="宋体" w:cs="宋体"/>
          <w:bCs/>
          <w:sz w:val="24"/>
          <w:szCs w:val="24"/>
          <w:lang w:val="en-US" w:eastAsia="zh-CN"/>
        </w:rPr>
      </w:pPr>
      <w:bookmarkStart w:id="132" w:name="_Toc1683"/>
      <w:bookmarkStart w:id="133" w:name="_Toc8660"/>
      <w:bookmarkStart w:id="134" w:name="_Toc4066"/>
      <w:bookmarkStart w:id="135" w:name="_Toc12114"/>
      <w:r>
        <w:rPr>
          <w:rFonts w:hint="default" w:ascii="宋体" w:hAnsi="宋体" w:eastAsia="宋体" w:cs="宋体"/>
          <w:bCs/>
          <w:sz w:val="24"/>
          <w:szCs w:val="24"/>
          <w:lang w:val="en-US" w:eastAsia="zh-CN"/>
        </w:rPr>
        <w:t>附件1:</w:t>
      </w:r>
      <w:bookmarkEnd w:id="132"/>
      <w:r>
        <w:rPr>
          <w:rFonts w:hint="default" w:ascii="宋体" w:hAnsi="宋体" w:eastAsia="宋体" w:cs="宋体"/>
          <w:bCs/>
          <w:sz w:val="24"/>
          <w:szCs w:val="24"/>
          <w:lang w:val="en-US" w:eastAsia="zh-CN"/>
        </w:rPr>
        <w:t>第五次全国经济普查经费</w:t>
      </w:r>
      <w:r>
        <w:rPr>
          <w:rFonts w:hint="eastAsia" w:ascii="宋体" w:hAnsi="宋体" w:cs="宋体"/>
          <w:bCs/>
          <w:sz w:val="24"/>
          <w:szCs w:val="24"/>
          <w:lang w:val="en-US" w:eastAsia="zh-CN"/>
        </w:rPr>
        <w:t>项目</w:t>
      </w:r>
      <w:r>
        <w:rPr>
          <w:rFonts w:hint="default" w:ascii="宋体" w:hAnsi="宋体" w:eastAsia="宋体" w:cs="宋体"/>
          <w:bCs/>
          <w:sz w:val="24"/>
          <w:szCs w:val="24"/>
          <w:lang w:val="en-US" w:eastAsia="zh-CN"/>
        </w:rPr>
        <w:t>支出绩效评价指标体系</w:t>
      </w:r>
      <w:bookmarkEnd w:id="133"/>
      <w:bookmarkEnd w:id="134"/>
      <w:bookmarkEnd w:id="135"/>
    </w:p>
    <w:p w14:paraId="012FE86F">
      <w:pPr>
        <w:spacing w:line="560" w:lineRule="exact"/>
        <w:ind w:firstLine="480" w:firstLineChars="200"/>
        <w:jc w:val="left"/>
        <w:rPr>
          <w:rFonts w:hint="default" w:ascii="宋体" w:hAnsi="宋体" w:eastAsia="宋体" w:cs="宋体"/>
          <w:bCs/>
          <w:sz w:val="24"/>
          <w:szCs w:val="24"/>
          <w:lang w:val="en-US" w:eastAsia="zh-CN"/>
        </w:rPr>
      </w:pPr>
    </w:p>
    <w:p w14:paraId="2C6245F1">
      <w:pPr>
        <w:spacing w:line="560" w:lineRule="exact"/>
        <w:ind w:firstLine="480" w:firstLineChars="200"/>
        <w:jc w:val="right"/>
        <w:rPr>
          <w:rFonts w:hint="default" w:ascii="宋体" w:hAnsi="宋体" w:eastAsia="宋体" w:cs="宋体"/>
          <w:bCs/>
          <w:sz w:val="24"/>
          <w:szCs w:val="24"/>
          <w:lang w:val="en-US" w:eastAsia="zh-CN"/>
        </w:rPr>
      </w:pPr>
    </w:p>
    <w:p w14:paraId="09AFD14E">
      <w:pPr>
        <w:spacing w:line="560" w:lineRule="exact"/>
        <w:ind w:firstLine="480" w:firstLineChars="200"/>
        <w:jc w:val="right"/>
        <w:rPr>
          <w:rFonts w:hint="default" w:ascii="宋体" w:hAnsi="宋体" w:eastAsia="宋体" w:cs="宋体"/>
          <w:bCs/>
          <w:sz w:val="24"/>
          <w:szCs w:val="24"/>
          <w:lang w:val="en-US" w:eastAsia="zh-CN"/>
        </w:rPr>
      </w:pPr>
    </w:p>
    <w:p w14:paraId="79DE94F2">
      <w:pPr>
        <w:spacing w:line="560" w:lineRule="exact"/>
        <w:ind w:firstLine="480" w:firstLineChars="200"/>
        <w:jc w:val="righ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四川璟合企业管理咨询有限公司</w:t>
      </w:r>
    </w:p>
    <w:p w14:paraId="29893AA9">
      <w:pPr>
        <w:spacing w:line="560" w:lineRule="exact"/>
        <w:ind w:firstLine="480" w:firstLineChars="200"/>
        <w:jc w:val="right"/>
        <w:rPr>
          <w:rFonts w:hint="default" w:ascii="宋体" w:hAnsi="宋体" w:eastAsia="宋体" w:cs="宋体"/>
          <w:bCs/>
          <w:sz w:val="24"/>
          <w:szCs w:val="24"/>
          <w:lang w:val="en-US" w:eastAsia="zh-CN"/>
        </w:rPr>
      </w:pPr>
      <w:r>
        <w:rPr>
          <w:rFonts w:hint="eastAsia" w:ascii="宋体" w:hAnsi="宋体" w:cs="宋体"/>
          <w:bCs/>
          <w:sz w:val="24"/>
          <w:szCs w:val="24"/>
          <w:lang w:val="en-US" w:eastAsia="zh-CN"/>
        </w:rPr>
        <w:t>二○二</w:t>
      </w:r>
      <w:r>
        <w:rPr>
          <w:rFonts w:hint="eastAsia" w:ascii="宋体" w:hAnsi="宋体" w:eastAsia="宋体" w:cs="宋体"/>
          <w:bCs/>
          <w:sz w:val="24"/>
          <w:szCs w:val="24"/>
          <w:lang w:val="en-US" w:eastAsia="zh-CN"/>
        </w:rPr>
        <w:t>五年</w:t>
      </w:r>
      <w:r>
        <w:rPr>
          <w:rFonts w:hint="eastAsia" w:ascii="宋体" w:hAnsi="宋体" w:cs="宋体"/>
          <w:bCs/>
          <w:sz w:val="24"/>
          <w:szCs w:val="24"/>
          <w:lang w:val="en-US" w:eastAsia="zh-CN"/>
        </w:rPr>
        <w:t>十二</w:t>
      </w:r>
      <w:r>
        <w:rPr>
          <w:rFonts w:hint="eastAsia" w:ascii="宋体" w:hAnsi="宋体" w:eastAsia="宋体" w:cs="宋体"/>
          <w:bCs/>
          <w:sz w:val="24"/>
          <w:szCs w:val="24"/>
          <w:lang w:val="en-US" w:eastAsia="zh-CN"/>
        </w:rPr>
        <w:t>月</w:t>
      </w:r>
      <w:r>
        <w:rPr>
          <w:rFonts w:hint="eastAsia" w:ascii="宋体" w:hAnsi="宋体" w:cs="宋体"/>
          <w:bCs/>
          <w:sz w:val="24"/>
          <w:szCs w:val="24"/>
          <w:lang w:val="en-US" w:eastAsia="zh-CN"/>
        </w:rPr>
        <w:t>三</w:t>
      </w:r>
      <w:r>
        <w:rPr>
          <w:rFonts w:hint="eastAsia" w:ascii="宋体" w:hAnsi="宋体" w:eastAsia="宋体" w:cs="宋体"/>
          <w:bCs/>
          <w:sz w:val="24"/>
          <w:szCs w:val="24"/>
          <w:lang w:val="en-US" w:eastAsia="zh-CN"/>
        </w:rPr>
        <w:t>日</w:t>
      </w:r>
    </w:p>
    <w:p w14:paraId="4ACA17FE"/>
    <w:p w14:paraId="2A2DEB85"/>
    <w:sectPr>
      <w:footerReference r:id="rId12"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A5BCF">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A1B5C">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8C1A7">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B4FD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72F8BD">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272F8B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B289C">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050CF">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2EED4">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DA5761">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5CDA5761">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8124A">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4ECB">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0B3BF">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BD80D"/>
    <w:multiLevelType w:val="singleLevel"/>
    <w:tmpl w:val="956BD80D"/>
    <w:lvl w:ilvl="0" w:tentative="0">
      <w:start w:val="2"/>
      <w:numFmt w:val="decimal"/>
      <w:suff w:val="nothing"/>
      <w:lvlText w:val="（%1）"/>
      <w:lvlJc w:val="left"/>
    </w:lvl>
  </w:abstractNum>
  <w:abstractNum w:abstractNumId="1">
    <w:nsid w:val="9ED7D491"/>
    <w:multiLevelType w:val="singleLevel"/>
    <w:tmpl w:val="9ED7D491"/>
    <w:lvl w:ilvl="0" w:tentative="0">
      <w:start w:val="3"/>
      <w:numFmt w:val="chineseCounting"/>
      <w:suff w:val="nothing"/>
      <w:lvlText w:val="%1、"/>
      <w:lvlJc w:val="left"/>
      <w:rPr>
        <w:rFonts w:hint="eastAsia"/>
      </w:rPr>
    </w:lvl>
  </w:abstractNum>
  <w:abstractNum w:abstractNumId="2">
    <w:nsid w:val="BA9B2409"/>
    <w:multiLevelType w:val="singleLevel"/>
    <w:tmpl w:val="BA9B2409"/>
    <w:lvl w:ilvl="0" w:tentative="0">
      <w:start w:val="1"/>
      <w:numFmt w:val="chineseCounting"/>
      <w:suff w:val="nothing"/>
      <w:lvlText w:val="（%1）"/>
      <w:lvlJc w:val="left"/>
      <w:rPr>
        <w:rFonts w:hint="eastAsia"/>
      </w:rPr>
    </w:lvl>
  </w:abstractNum>
  <w:abstractNum w:abstractNumId="3">
    <w:nsid w:val="F8A44919"/>
    <w:multiLevelType w:val="singleLevel"/>
    <w:tmpl w:val="F8A44919"/>
    <w:lvl w:ilvl="0" w:tentative="0">
      <w:start w:val="1"/>
      <w:numFmt w:val="chineseCounting"/>
      <w:suff w:val="nothing"/>
      <w:lvlText w:val="（%1）"/>
      <w:lvlJc w:val="left"/>
      <w:rPr>
        <w:rFonts w:hint="eastAsia"/>
      </w:rPr>
    </w:lvl>
  </w:abstractNum>
  <w:abstractNum w:abstractNumId="4">
    <w:nsid w:val="F9BF44DC"/>
    <w:multiLevelType w:val="singleLevel"/>
    <w:tmpl w:val="F9BF44DC"/>
    <w:lvl w:ilvl="0" w:tentative="0">
      <w:start w:val="2"/>
      <w:numFmt w:val="chineseCounting"/>
      <w:suff w:val="nothing"/>
      <w:lvlText w:val="（%1）"/>
      <w:lvlJc w:val="left"/>
      <w:rPr>
        <w:rFonts w:hint="eastAsia"/>
      </w:rPr>
    </w:lvl>
  </w:abstractNum>
  <w:abstractNum w:abstractNumId="5">
    <w:nsid w:val="1E696DEF"/>
    <w:multiLevelType w:val="singleLevel"/>
    <w:tmpl w:val="1E696DEF"/>
    <w:lvl w:ilvl="0" w:tentative="0">
      <w:start w:val="1"/>
      <w:numFmt w:val="decimal"/>
      <w:suff w:val="space"/>
      <w:lvlText w:val="%1."/>
      <w:lvlJc w:val="left"/>
    </w:lvl>
  </w:abstractNum>
  <w:abstractNum w:abstractNumId="6">
    <w:nsid w:val="2A53EA7C"/>
    <w:multiLevelType w:val="singleLevel"/>
    <w:tmpl w:val="2A53EA7C"/>
    <w:lvl w:ilvl="0" w:tentative="0">
      <w:start w:val="3"/>
      <w:numFmt w:val="chineseCounting"/>
      <w:suff w:val="nothing"/>
      <w:lvlText w:val="%1、"/>
      <w:lvlJc w:val="left"/>
      <w:rPr>
        <w:rFonts w:hint="eastAsia"/>
      </w:rPr>
    </w:lvl>
  </w:abstractNum>
  <w:abstractNum w:abstractNumId="7">
    <w:nsid w:val="2EB4C75B"/>
    <w:multiLevelType w:val="singleLevel"/>
    <w:tmpl w:val="2EB4C75B"/>
    <w:lvl w:ilvl="0" w:tentative="0">
      <w:start w:val="1"/>
      <w:numFmt w:val="decimal"/>
      <w:lvlText w:val="%1."/>
      <w:lvlJc w:val="left"/>
      <w:pPr>
        <w:tabs>
          <w:tab w:val="left" w:pos="312"/>
        </w:tabs>
      </w:pPr>
    </w:lvl>
  </w:abstractNum>
  <w:abstractNum w:abstractNumId="8">
    <w:nsid w:val="5F4291DE"/>
    <w:multiLevelType w:val="singleLevel"/>
    <w:tmpl w:val="5F4291DE"/>
    <w:lvl w:ilvl="0" w:tentative="0">
      <w:start w:val="2"/>
      <w:numFmt w:val="chineseCounting"/>
      <w:suff w:val="nothing"/>
      <w:lvlText w:val="（%1）"/>
      <w:lvlJc w:val="left"/>
      <w:rPr>
        <w:rFonts w:hint="eastAsia"/>
      </w:rPr>
    </w:lvl>
  </w:abstractNum>
  <w:abstractNum w:abstractNumId="9">
    <w:nsid w:val="6B249201"/>
    <w:multiLevelType w:val="singleLevel"/>
    <w:tmpl w:val="6B249201"/>
    <w:lvl w:ilvl="0" w:tentative="0">
      <w:start w:val="1"/>
      <w:numFmt w:val="chineseCounting"/>
      <w:suff w:val="nothing"/>
      <w:lvlText w:val="%1、"/>
      <w:lvlJc w:val="left"/>
      <w:rPr>
        <w:rFonts w:hint="eastAsia"/>
      </w:rPr>
    </w:lvl>
  </w:abstractNum>
  <w:num w:numId="1">
    <w:abstractNumId w:val="6"/>
  </w:num>
  <w:num w:numId="2">
    <w:abstractNumId w:val="2"/>
  </w:num>
  <w:num w:numId="3">
    <w:abstractNumId w:val="3"/>
  </w:num>
  <w:num w:numId="4">
    <w:abstractNumId w:val="9"/>
  </w:num>
  <w:num w:numId="5">
    <w:abstractNumId w:val="5"/>
  </w:num>
  <w:num w:numId="6">
    <w:abstractNumId w:val="1"/>
  </w:num>
  <w:num w:numId="7">
    <w:abstractNumId w:val="0"/>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C909E2"/>
    <w:rsid w:val="042518DB"/>
    <w:rsid w:val="04354F3E"/>
    <w:rsid w:val="07C909E2"/>
    <w:rsid w:val="11F027B7"/>
    <w:rsid w:val="1B5F11E0"/>
    <w:rsid w:val="21570ECE"/>
    <w:rsid w:val="26052596"/>
    <w:rsid w:val="2C041C52"/>
    <w:rsid w:val="2D510EC7"/>
    <w:rsid w:val="2D7B23E8"/>
    <w:rsid w:val="2E5E5E02"/>
    <w:rsid w:val="317E1D05"/>
    <w:rsid w:val="3A9D485F"/>
    <w:rsid w:val="3BC92571"/>
    <w:rsid w:val="47F524CF"/>
    <w:rsid w:val="49565A91"/>
    <w:rsid w:val="4C131809"/>
    <w:rsid w:val="573A6D57"/>
    <w:rsid w:val="67E36BF7"/>
    <w:rsid w:val="69EA1E54"/>
    <w:rsid w:val="70D859B1"/>
    <w:rsid w:val="719B167B"/>
    <w:rsid w:val="72705B49"/>
    <w:rsid w:val="72FB1D62"/>
    <w:rsid w:val="76425B24"/>
    <w:rsid w:val="7F2B5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w:basedOn w:val="1"/>
    <w:qFormat/>
    <w:uiPriority w:val="0"/>
    <w:pPr>
      <w:ind w:left="200" w:hanging="200" w:hangingChars="200"/>
    </w:pPr>
  </w:style>
  <w:style w:type="paragraph" w:styleId="4">
    <w:name w:val="toc 3"/>
    <w:basedOn w:val="1"/>
    <w:next w:val="1"/>
    <w:qFormat/>
    <w:uiPriority w:val="0"/>
    <w:pPr>
      <w:ind w:left="840" w:leftChars="400"/>
    </w:pPr>
  </w:style>
  <w:style w:type="paragraph" w:styleId="5">
    <w:name w:val="Plain Text"/>
    <w:basedOn w:val="1"/>
    <w:unhideWhenUsed/>
    <w:qFormat/>
    <w:uiPriority w:val="99"/>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Body Text First Indent"/>
    <w:basedOn w:val="2"/>
    <w:next w:val="1"/>
    <w:unhideWhenUsed/>
    <w:qFormat/>
    <w:uiPriority w:val="99"/>
    <w:pPr>
      <w:ind w:firstLine="420" w:firstLineChars="100"/>
    </w:p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宋体" w:hAnsi="宋体" w:eastAsia="宋体" w:cs="宋体"/>
      <w:sz w:val="20"/>
      <w:szCs w:val="20"/>
      <w:lang w:val="en-US" w:eastAsia="en-US" w:bidi="ar-SA"/>
    </w:rPr>
  </w:style>
  <w:style w:type="character" w:customStyle="1" w:styleId="15">
    <w:name w:val="font3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2336abfd-a8ea-4db7-b43a-b31f25d1f1bb</errorID>
      <errorWord>(</errorWord>
      <group>L1_Format</group>
      <groupName>格式问题</groupName>
      <ability>L2_HalfPunc</ability>
      <abilityName>全半角检查</abilityName>
      <candidateList>
        <item>（</item>
      </candidateList>
      <explain>文本全半角错误。</explain>
      <paraID>31258F9F</paraID>
      <start>62</start>
      <end>63</end>
      <status>ignored</status>
      <modifiedWord/>
      <trackRevisions>false</trackRevisions>
    </reviewItem>
    <reviewItem>
      <errorID>c1588c75-6c9e-427d-8ba8-a859790d2b37</errorID>
      <errorWord>)</errorWord>
      <group>L1_Format</group>
      <groupName>格式问题</groupName>
      <ability>L2_HalfPunc</ability>
      <abilityName>全半角检查</abilityName>
      <candidateList>
        <item>）</item>
      </candidateList>
      <explain>文本全半角错误。</explain>
      <paraID>31258F9F</paraID>
      <start>76</start>
      <end>77</end>
      <status>ignored</status>
      <modifiedWord/>
      <trackRevisions>false</trackRevisions>
    </reviewItem>
    <reviewItem>
      <errorID>5d5bbc3d-2dc9-4c04-a94f-ddb313a02d26</errorID>
      <errorWord>提</errorWord>
      <group>L1_Word</group>
      <groupName>字词问题</groupName>
      <ability>L2_Typo</ability>
      <abilityName>字词错误</abilityName>
      <candidateList>
        <item>提出</item>
      </candidateList>
      <explain/>
      <paraID>1E3A9146</paraID>
      <start>62</start>
      <end>64</end>
      <status>modified</status>
      <modifiedWord>提出</modifiedWord>
      <trackRevisions>false</trackRevisions>
    </reviewItem>
    <reviewItem>
      <errorID>938fa3c5-3569-4a47-b834-2e1ec6f88732</errorID>
      <errorWord>(</errorWord>
      <group>L1_Format</group>
      <groupName>格式问题</groupName>
      <ability>L2_HalfPunc</ability>
      <abilityName>全半角检查</abilityName>
      <candidateList>
        <item>（</item>
      </candidateList>
      <explain>文本全半角错误。</explain>
      <paraID>721EEB07</paraID>
      <start>2</start>
      <end>3</end>
      <status>ignored</status>
      <modifiedWord/>
      <trackRevisions>false</trackRevisions>
    </reviewItem>
    <reviewItem>
      <errorID>dbe9ea39-9090-45d8-b46e-a03077c281b3</errorID>
      <errorWord>)</errorWord>
      <group>L1_Format</group>
      <groupName>格式问题</groupName>
      <ability>L2_HalfPunc</ability>
      <abilityName>全半角检查</abilityName>
      <candidateList>
        <item>）</item>
      </candidateList>
      <explain>文本全半角错误。</explain>
      <paraID>721EEB07</paraID>
      <start>16</start>
      <end>17</end>
      <status>ignored</status>
      <modifiedWord/>
      <trackRevisions>false</trackRevisions>
    </reviewItem>
    <reviewItem>
      <errorID>03ba6372-86d0-4635-930b-d3c0c92debb5</errorID>
      <errorWord>-</errorWord>
      <group>L1_Format</group>
      <groupName>格式问题</groupName>
      <ability>L2_HalfPunc</ability>
      <abilityName>全半角检查</abilityName>
      <candidateList>
        <item>－</item>
      </candidateList>
      <explain>文本全半角错误。</explain>
      <paraID>721EEB07</paraID>
      <start>76</start>
      <end>77</end>
      <status>ignored</status>
      <modifiedWord/>
      <trackRevisions>false</trackRevisions>
    </reviewItem>
    <reviewItem>
      <errorID>31ac1143-536f-4b0a-aebb-4948766aa66b</errorID>
      <errorWord>-</errorWord>
      <group>L1_Format</group>
      <groupName>格式问题</groupName>
      <ability>L2_HalfPunc</ability>
      <abilityName>全半角检查</abilityName>
      <candidateList>
        <item>－</item>
      </candidateList>
      <explain>文本全半角错误。</explain>
      <paraID>31EFCD42</paraID>
      <start>121</start>
      <end>122</end>
      <status>ignored</status>
      <modifiedWord/>
      <trackRevisions>false</trackRevisions>
    </reviewItem>
    <reviewItem>
      <errorID>52d59710-663e-4ce8-8059-da8238d35172</errorID>
      <errorWord>超</errorWord>
      <group>L1_Word</group>
      <groupName>字词问题</groupName>
      <ability>L2_Typo</ability>
      <abilityName>字词错误</abilityName>
      <candidateList>
        <item>超过</item>
      </candidateList>
      <explain/>
      <paraID>31EFCD42</paraID>
      <start>222</start>
      <end>223</end>
      <status>ignored</status>
      <modifiedWord/>
      <trackRevisions>false</trackRevisions>
    </reviewItem>
    <reviewItem>
      <errorID>c43d9cfa-821a-404e-9eef-86ebe6c9ed89</errorID>
      <errorWord>（</errorWord>
      <group>L1_Punc</group>
      <groupName>标点问题</groupName>
      <ability>L2_Punc</ability>
      <abilityName>标点符号检查</abilityName>
      <candidateList/>
      <explain>同一形式括号套用。</explain>
      <paraID>7F3433CE</paraID>
      <start>18</start>
      <end>19</end>
      <status>ignored</status>
      <modifiedWord/>
      <trackRevisions>false</trackRevisions>
    </reviewItem>
    <reviewItem>
      <errorID>8de28d98-2101-42ed-bd81-029d5be39e83</errorID>
      <errorWord>）</errorWord>
      <group>L1_Punc</group>
      <groupName>标点问题</groupName>
      <ability>L2_Punc</ability>
      <abilityName>标点符号检查</abilityName>
      <candidateList/>
      <explain>同一形式括号套用。</explain>
      <paraID>7F3433CE</paraID>
      <start>20</start>
      <end>21</end>
      <status>ignored</status>
      <modifiedWord/>
      <trackRevisions>false</trackRevisions>
    </reviewItem>
    <reviewItem>
      <errorID>182f8e4c-7c89-4d38-ad55-ec4d83016c33</errorID>
      <errorWord>（</errorWord>
      <group>L1_Punc</group>
      <groupName>标点问题</groupName>
      <ability>L2_Punc</ability>
      <abilityName>标点符号检查</abilityName>
      <candidateList/>
      <explain>同一形式括号套用。</explain>
      <paraID>7F3433CE</paraID>
      <start>33</start>
      <end>34</end>
      <status>ignored</status>
      <modifiedWord/>
      <trackRevisions>false</trackRevisions>
    </reviewItem>
    <reviewItem>
      <errorID>2c015ce3-265d-4147-b4c7-1343ff967084</errorID>
      <errorWord>）</errorWord>
      <group>L1_Punc</group>
      <groupName>标点问题</groupName>
      <ability>L2_Punc</ability>
      <abilityName>标点符号检查</abilityName>
      <candidateList/>
      <explain>同一形式括号套用。</explain>
      <paraID>7F3433CE</paraID>
      <start>35</start>
      <end>36</end>
      <status>ignored</status>
      <modifiedWord/>
      <trackRevisions>false</trackRevisions>
    </reviewItem>
    <reviewItem>
      <errorID>9643c143-cd3c-4bca-b5c0-6526ccdcf93e</errorID>
      <errorWord>（</errorWord>
      <group>L1_Punc</group>
      <groupName>标点问题</groupName>
      <ability>L2_Punc</ability>
      <abilityName>标点符号检查</abilityName>
      <candidateList/>
      <explain>同一形式括号套用。</explain>
      <paraID>7F3433CE</paraID>
      <start>47</start>
      <end>48</end>
      <status>ignored</status>
      <modifiedWord/>
      <trackRevisions>false</trackRevisions>
    </reviewItem>
    <reviewItem>
      <errorID>645ed578-f8fe-44a5-917c-17a1d91ad45c</errorID>
      <errorWord>）</errorWord>
      <group>L1_Punc</group>
      <groupName>标点问题</groupName>
      <ability>L2_Punc</ability>
      <abilityName>标点符号检查</abilityName>
      <candidateList/>
      <explain>同一形式括号套用。</explain>
      <paraID>7F3433CE</paraID>
      <start>49</start>
      <end>50</end>
      <status>ignored</status>
      <modifiedWord/>
      <trackRevisions>false</trackRevisions>
    </reviewItem>
    <reviewItem>
      <errorID>227434ba-c893-44cf-98b4-39e95c223708</errorID>
      <errorWord>(</errorWord>
      <group>L1_Format</group>
      <groupName>格式问题</groupName>
      <ability>L2_HalfPunc</ability>
      <abilityName>全半角检查</abilityName>
      <candidateList>
        <item>（</item>
      </candidateList>
      <explain>文本全半角错误。</explain>
      <paraID>2C5BBA6F</paraID>
      <start>19</start>
      <end>20</end>
      <status>ignored</status>
      <modifiedWord/>
      <trackRevisions>false</trackRevisions>
    </reviewItem>
    <reviewItem>
      <errorID>15c63593-0008-4bee-8144-7df46e8b1ad7</errorID>
      <errorWord>)</errorWord>
      <group>L1_Format</group>
      <groupName>格式问题</groupName>
      <ability>L2_HalfPunc</ability>
      <abilityName>全半角检查</abilityName>
      <candidateList>
        <item>）</item>
      </candidateList>
      <explain>文本全半角错误。</explain>
      <paraID>2C5BBA6F</paraID>
      <start>21</start>
      <end>22</end>
      <status>ignored</status>
      <modifiedWord/>
      <trackRevisions>false</trackRevisions>
    </reviewItem>
    <reviewItem>
      <errorID>4fcd714b-dda8-4c79-b423-97bfe772517e</errorID>
      <errorWord>,</errorWord>
      <group>L1_Format</group>
      <groupName>格式问题</groupName>
      <ability>L2_HalfPunc</ability>
      <abilityName>全半角检查</abilityName>
      <candidateList>
        <item>，</item>
      </candidateList>
      <explain>文本全半角错误。</explain>
      <paraID>2C5BBA6F</paraID>
      <start>27</start>
      <end>28</end>
      <status>ignored</status>
      <modifiedWord/>
      <trackRevisions>false</trackRevisions>
    </reviewItem>
    <reviewItem>
      <errorID>bd97f729-74e9-4440-8b7a-2372e77fdea6</errorID>
      <errorWord>【2022】22号</errorWord>
      <group>L1_Knowledge</group>
      <groupName>知识性问题</groupName>
      <ability>L2_Knowledge</ability>
      <abilityName>其他知识</abilityName>
      <candidateList>
        <item>〔2022〕22号</item>
      </candidateList>
      <explain>发文字号格式错误。</explain>
      <paraID>413E3938</paraID>
      <start>66</start>
      <end>75</end>
      <status>modified</status>
      <modifiedWord>〔2022〕22号</modifiedWord>
      <trackRevisions>false</trackRevisions>
    </reviewItem>
    <reviewItem>
      <errorID>f9edc2c5-2013-4c28-91f1-41a022345554</errorID>
      <errorWord>,</errorWord>
      <group>L1_Format</group>
      <groupName>格式问题</groupName>
      <ability>L2_HalfPunc</ability>
      <abilityName>全半角检查</abilityName>
      <candidateList>
        <item>，</item>
      </candidateList>
      <explain>文本全半角错误。</explain>
      <paraID>4BC4FE7D</paraID>
      <start>21</start>
      <end>22</end>
      <status>ignored</status>
      <modifiedWord/>
      <trackRevisions>false</trackRevisions>
    </reviewItem>
    <reviewItem>
      <errorID>21b708fd-1fa1-482b-b414-42feea279d88</errorID>
      <errorWord>,</errorWord>
      <group>L1_Format</group>
      <groupName>格式问题</groupName>
      <ability>L2_HalfPunc</ability>
      <abilityName>全半角检查</abilityName>
      <candidateList>
        <item>，</item>
      </candidateList>
      <explain>文本全半角错误。</explain>
      <paraID>4BC4FE7D</paraID>
      <start>95</start>
      <end>96</end>
      <status>ignored</status>
      <modifiedWord/>
      <trackRevisions>false</trackRevisions>
    </reviewItem>
    <reviewItem>
      <errorID>df10458e-2402-4a9e-8672-48c71636872a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1556E356</paraID>
      <start>103</start>
      <end>104</end>
      <status>ignored</status>
      <modifiedWord/>
      <trackRevisions>false</trackRevisions>
    </reviewItem>
    <reviewItem>
      <errorID>82ceb997-a9a4-4a79-b65f-ad21710e27dd</errorID>
      <errorWord>针对于</errorWord>
      <group>L1_Word</group>
      <groupName>字词问题</groupName>
      <ability>L2_Typo</ability>
      <abilityName>字词错误</abilityName>
      <candidateList>
        <item>针对</item>
      </candidateList>
      <explain>〈动〉对准：～儿童的心理特点进行教育｜这些不都是～某个人的。</explain>
      <paraID>1556E356</paraID>
      <start>105</start>
      <end>107</end>
      <status>modified</status>
      <modifiedWord>针对</modifiedWord>
      <trackRevisions>false</trackRevisions>
    </reviewItem>
    <reviewItem>
      <errorID>75cf12ea-932d-47e8-bfbf-1a9d8b6f9fd2</errorID>
      <errorWord>-</errorWord>
      <group>L1_Format</group>
      <groupName>格式问题</groupName>
      <ability>L2_HalfPunc</ability>
      <abilityName>全半角检查</abilityName>
      <candidateList>
        <item>－</item>
      </candidateList>
      <explain>文本全半角错误。</explain>
      <paraID>1556E356</paraID>
      <start>200</start>
      <end>201</end>
      <status>ignored</status>
      <modifiedWord/>
      <trackRevisions>false</trackRevisions>
    </reviewItem>
    <reviewItem>
      <errorID>971423bb-1fc3-43d5-93f1-70af0a0c36c1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4BFDA9ED</paraID>
      <start>14</start>
      <end>15</end>
      <status>ignored</status>
      <modifiedWord/>
      <trackRevisions>false</trackRevisions>
    </reviewItem>
    <reviewItem>
      <errorID>291da162-d1ab-4e8f-b755-162a35d9ff08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1C4C768F</paraID>
      <start>6</start>
      <end>7</end>
      <status>ignored</status>
      <modifiedWord/>
      <trackRevisions>false</trackRevisions>
    </reviewItem>
    <reviewItem>
      <errorID>a284b845-e572-4bfc-837d-82e60238abcc</errorID>
      <errorWord>(</errorWord>
      <group>L1_Format</group>
      <groupName>格式问题</groupName>
      <ability>L2_HalfPunc</ability>
      <abilityName>全半角检查</abilityName>
      <candidateList>
        <item>（</item>
      </candidateList>
      <explain>文本全半角错误。</explain>
      <paraID>2562107F</paraID>
      <start>45</start>
      <end>46</end>
      <status>ignored</status>
      <modifiedWord/>
      <trackRevisions>false</trackRevisions>
    </reviewItem>
    <reviewItem>
      <errorID>7c586377-a76d-49e0-ab21-729aa6cc9fe5</errorID>
      <errorWord>)</errorWord>
      <group>L1_Format</group>
      <groupName>格式问题</groupName>
      <ability>L2_HalfPunc</ability>
      <abilityName>全半角检查</abilityName>
      <candidateList>
        <item>）</item>
      </candidateList>
      <explain>文本全半角错误。</explain>
      <paraID>2562107F</paraID>
      <start>49</start>
      <end>50</end>
      <status>ignored</status>
      <modifiedWord/>
      <trackRevisions>false</trackRevisions>
    </reviewItem>
    <reviewItem>
      <errorID>9bb4d134-24c1-4bdd-93f2-a39deb4039f3</errorID>
      <errorWord>(</errorWord>
      <group>L1_Format</group>
      <groupName>格式问题</groupName>
      <ability>L2_HalfPunc</ability>
      <abilityName>全半角检查</abilityName>
      <candidateList>
        <item>（</item>
      </candidateList>
      <explain>文本全半角错误。</explain>
      <paraID>4F06D3C4</paraID>
      <start>74</start>
      <end>75</end>
      <status>ignored</status>
      <modifiedWord/>
      <trackRevisions>false</trackRevisions>
    </reviewItem>
    <reviewItem>
      <errorID>cee6e77f-b0d0-4c56-83b7-6ac36c2bcc48</errorID>
      <errorWord>)</errorWord>
      <group>L1_Format</group>
      <groupName>格式问题</groupName>
      <ability>L2_HalfPunc</ability>
      <abilityName>全半角检查</abilityName>
      <candidateList>
        <item>）</item>
      </candidateList>
      <explain>文本全半角错误。</explain>
      <paraID>4F06D3C4</paraID>
      <start>78</start>
      <end>79</end>
      <status>ignored</status>
      <modifiedWord/>
      <trackRevisions>false</trackRevisions>
    </reviewItem>
    <reviewItem>
      <errorID>9a398f07-dd3f-48cd-a75a-36373f90b744</errorID>
      <errorWord>(</errorWord>
      <group>L1_Format</group>
      <groupName>格式问题</groupName>
      <ability>L2_HalfPunc</ability>
      <abilityName>全半角检查</abilityName>
      <candidateList>
        <item>（</item>
      </candidateList>
      <explain>文本全半角错误。</explain>
      <paraID>4F06D3C4</paraID>
      <start>141</start>
      <end>142</end>
      <status>ignored</status>
      <modifiedWord/>
      <trackRevisions>false</trackRevisions>
    </reviewItem>
    <reviewItem>
      <errorID>0d66fe4e-607f-45e3-96ee-bf6e0aef66f2</errorID>
      <errorWord>)</errorWord>
      <group>L1_Format</group>
      <groupName>格式问题</groupName>
      <ability>L2_HalfPunc</ability>
      <abilityName>全半角检查</abilityName>
      <candidateList>
        <item>）</item>
      </candidateList>
      <explain>文本全半角错误。</explain>
      <paraID>4F06D3C4</paraID>
      <start>145</start>
      <end>146</end>
      <status>ignored</status>
      <modifiedWord/>
      <trackRevisions>false</trackRevisions>
    </reviewItem>
    <reviewItem>
      <errorID>a1208dd6-3988-4ac2-a86f-67a683ef86d7</errorID>
      <errorWord>和台帐</errorWord>
      <group>L1_Word</group>
      <groupName>字词问题</groupName>
      <ability>L2_Alias</ability>
      <abilityName>也作/曾用词</abilityName>
      <candidateList>
        <item>和台账</item>
      </candidateList>
      <explain>词汇[和台帐]为不规范表述或旧称，其规范书面表述为[和台账]。</explain>
      <paraID>4F06D3C4</paraID>
      <start>179</start>
      <end>182</end>
      <status>modified</status>
      <modifiedWord>和台账</modifiedWord>
      <trackRevisions>false</trackRevisions>
    </reviewItem>
    <reviewItem>
      <errorID>12790695-b66e-45bf-b64d-a3c6d6179fc4</errorID>
      <errorWord>党委政府</errorWord>
      <group>L1_Political</group>
      <groupName>政治性问题</groupName>
      <ability>L2_Keyword</ability>
      <abilityName>固定表述</abilityName>
      <candidateList>
        <item>党委、政府</item>
      </candidateList>
      <explain>注意检查当前固定表述标点是否使用规范。</explain>
      <paraID>3C4D9C56</paraID>
      <start>3</start>
      <end>7</end>
      <status>ignored</status>
      <modifiedWord/>
      <trackRevisions>false</trackRevisions>
    </reviewItem>
    <reviewItem>
      <errorID>0b69fbaf-dadd-4c9d-9de1-416cf64ef4b1</errorID>
      <errorWord>事项上</errorWord>
      <group>L1_Word</group>
      <groupName>字词问题</groupName>
      <ability>L2_Typo</ability>
      <abilityName>字词错误</abilityName>
      <candidateList>
        <item>事项</item>
      </candidateList>
      <explain/>
      <paraID>5E6531E2</paraID>
      <start>24</start>
      <end>27</end>
      <status>ignored</status>
      <modifiedWord/>
      <trackRevisions>false</trackRevisions>
    </reviewItem>
    <reviewItem>
      <errorID>4bc8a777-41fa-46f6-bfeb-f667cade1ba9</errorID>
      <errorWord>-</errorWord>
      <group>L1_Format</group>
      <groupName>格式问题</groupName>
      <ability>L2_HalfPunc</ability>
      <abilityName>全半角检查</abilityName>
      <candidateList>
        <item>－</item>
      </candidateList>
      <explain>文本全半角错误。</explain>
      <paraID> 1FCEBB1</paraID>
      <start>71</start>
      <end>72</end>
      <status>ignored</status>
      <modifiedWord/>
      <trackRevisions>false</trackRevisions>
    </reviewItem>
    <reviewItem>
      <errorID>e46047b9-e130-4087-9c68-d37807d1d68f</errorID>
      <errorWord>达</errorWord>
      <group>L1_Word</group>
      <groupName>字词问题</groupName>
      <ability>L2_Typo</ability>
      <abilityName>字词错误</abilityName>
      <candidateList>
        <item>达到</item>
      </candidateList>
      <explain>〈动〉到（多指抽象事物或程度）：达得到｜达不到｜目的没有～｜～国际水平。</explain>
      <paraID>48B4BC24</paraID>
      <start>28</start>
      <end>29</end>
      <status>ignored</status>
      <modifiedWord/>
      <trackRevisions>false</trackRevisions>
    </reviewItem>
    <reviewItem>
      <errorID>c78353cc-a92b-45f6-b870-9ac6a9ad3de5</errorID>
      <errorWord>:</errorWord>
      <group>L1_Format</group>
      <groupName>格式问题</groupName>
      <ability>L2_HalfPunc</ability>
      <abilityName>全半角检查</abilityName>
      <candidateList>
        <item>：</item>
      </candidateList>
      <explain>文本全半角错误。</explain>
      <paraID>54BCA3B7</paraID>
      <start>3</start>
      <end>4</end>
      <status>ignored</status>
      <modifiedWord/>
      <trackRevisions>false</trackRevisions>
    </reviewItem>
    <reviewItem>
      <errorID>10400a31-38fe-4f6e-83ff-b3f0051d1199</errorID>
      <errorWord>二零二</errorWord>
      <group>L1_Word</group>
      <groupName>字词问题</groupName>
      <ability>L2_Alias</ability>
      <abilityName>也作/曾用词</abilityName>
      <candidateList>
        <item>二○二</item>
      </candidateList>
      <explain>词汇[二零二]为不规范表述或旧称，其规范书面表述为[二○二]。</explain>
      <paraID>29893AA9</paraID>
      <start>0</start>
      <end>3</end>
      <status>modified</status>
      <modifiedWord>二○二</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e0889f-b76f-41e9-87b9-eb531c266f5e}">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4950</Words>
  <Characters>5253</Characters>
  <Lines>0</Lines>
  <Paragraphs>0</Paragraphs>
  <TotalTime>6</TotalTime>
  <ScaleCrop>false</ScaleCrop>
  <LinksUpToDate>false</LinksUpToDate>
  <CharactersWithSpaces>5380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2025-11-30T07:20:00Z</dcterms:created>
  <dc:creator>try</dc:creator>
  <cp:lastModifiedBy>try</cp:lastModifiedBy>
  <dcterms:modified xsi:type="dcterms:W3CDTF">2026-02-12T01:53:28Z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26C9198D1817448AB284772B39F6D499_11</vt:lpwstr>
  </property>
  <property fmtid="{D5CDD505-2E9C-101B-9397-08002B2CF9AE}" pid="4" name="KSOTemplateDocerSaveRecord">
    <vt:lpwstr>eyJoZGlkIjoiZThlYmFlMzM1OWFlNDM3OTFmZTNkODFmMTJlNjQ5MWYiLCJ1c2VySWQiOiIxNzM1MDIzNSJ9</vt:lpwstr>
  </property>
</Properties>
</file>